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2"/>
        <w:spacing w:line="480" w:lineRule="auto"/>
        <w:jc w:val="both"/>
        <w:rPr>
          <w:rStyle w:val="34"/>
          <w:rFonts w:ascii="宋体" w:eastAsia="宋体" w:cs="仿宋"/>
          <w:b/>
          <w:bCs/>
          <w:color w:val="auto"/>
          <w:sz w:val="28"/>
          <w:szCs w:val="28"/>
        </w:rPr>
      </w:pPr>
      <w:r>
        <w:rPr>
          <w:rStyle w:val="34"/>
          <w:rFonts w:ascii="宋体" w:eastAsia="宋体" w:cs="仿宋"/>
          <w:b/>
          <w:bCs/>
          <w:color w:val="auto"/>
          <w:sz w:val="28"/>
          <w:szCs w:val="28"/>
        </w:rPr>
        <w:t xml:space="preserve"> </w:t>
      </w:r>
    </w:p>
    <w:p>
      <w:pPr>
        <w:pStyle w:val="141"/>
        <w:ind w:firstLine="0"/>
        <w:jc w:val="center"/>
        <w:rPr>
          <w:rStyle w:val="34"/>
          <w:rFonts w:ascii="宋体" w:hAnsi="宋体" w:cs="Times New Roman"/>
          <w:b/>
          <w:bCs/>
          <w:color w:val="auto"/>
          <w:sz w:val="72"/>
          <w:szCs w:val="72"/>
        </w:rPr>
      </w:pPr>
      <w:r>
        <w:rPr>
          <w:rStyle w:val="34"/>
          <w:rFonts w:ascii="宋体" w:hAnsi="宋体" w:cs="Times New Roman"/>
          <w:b/>
          <w:bCs/>
          <w:color w:val="auto"/>
          <w:sz w:val="72"/>
          <w:szCs w:val="72"/>
        </w:rPr>
        <w:t>招　标　文　件</w:t>
      </w:r>
    </w:p>
    <w:p>
      <w:pPr>
        <w:pStyle w:val="141"/>
        <w:spacing w:line="240" w:lineRule="auto"/>
        <w:ind w:firstLine="0"/>
        <w:rPr>
          <w:rStyle w:val="34"/>
          <w:rFonts w:ascii="宋体" w:hAnsi="宋体" w:cs="Times New Roman"/>
          <w:bCs/>
          <w:color w:val="auto"/>
        </w:rPr>
      </w:pPr>
    </w:p>
    <w:p>
      <w:pPr>
        <w:pStyle w:val="141"/>
        <w:spacing w:line="240" w:lineRule="auto"/>
        <w:ind w:firstLine="0"/>
        <w:rPr>
          <w:rStyle w:val="34"/>
          <w:rFonts w:ascii="宋体" w:hAnsi="宋体" w:cs="Times New Roman"/>
          <w:bCs/>
          <w:color w:val="auto"/>
        </w:rPr>
      </w:pPr>
    </w:p>
    <w:p>
      <w:pPr>
        <w:pStyle w:val="141"/>
        <w:spacing w:line="240" w:lineRule="auto"/>
        <w:ind w:firstLine="0"/>
        <w:rPr>
          <w:rStyle w:val="34"/>
          <w:rFonts w:ascii="宋体" w:hAnsi="宋体" w:cs="Times New Roman"/>
          <w:bCs/>
          <w:color w:val="auto"/>
        </w:rPr>
      </w:pPr>
    </w:p>
    <w:p>
      <w:pPr>
        <w:pStyle w:val="141"/>
        <w:spacing w:line="240" w:lineRule="auto"/>
        <w:ind w:firstLine="0"/>
        <w:rPr>
          <w:rStyle w:val="34"/>
          <w:rFonts w:ascii="宋体" w:hAnsi="宋体" w:cs="Times New Roman"/>
          <w:bCs/>
          <w:color w:val="auto"/>
        </w:rPr>
      </w:pPr>
    </w:p>
    <w:p>
      <w:pPr>
        <w:pStyle w:val="141"/>
        <w:spacing w:line="240" w:lineRule="auto"/>
        <w:ind w:firstLine="843" w:firstLineChars="300"/>
        <w:jc w:val="both"/>
        <w:rPr>
          <w:rStyle w:val="34"/>
          <w:rFonts w:cs="Times New Roman"/>
          <w:b/>
          <w:bCs/>
          <w:color w:val="auto"/>
          <w:sz w:val="28"/>
          <w:szCs w:val="28"/>
        </w:rPr>
      </w:pPr>
      <w:r>
        <w:rPr>
          <w:rStyle w:val="34"/>
          <w:rFonts w:cs="Times New Roman"/>
          <w:b/>
          <w:bCs/>
          <w:color w:val="auto"/>
          <w:sz w:val="28"/>
          <w:szCs w:val="28"/>
        </w:rPr>
        <w:t>项目名称：泰兴市排水GIS系统</w:t>
      </w:r>
    </w:p>
    <w:p>
      <w:pPr>
        <w:pStyle w:val="141"/>
        <w:spacing w:line="240" w:lineRule="auto"/>
        <w:ind w:firstLine="281" w:firstLineChars="100"/>
        <w:jc w:val="both"/>
        <w:rPr>
          <w:rStyle w:val="34"/>
          <w:rFonts w:cs="Times New Roman"/>
          <w:b/>
          <w:bCs/>
          <w:color w:val="auto"/>
          <w:sz w:val="28"/>
          <w:szCs w:val="28"/>
        </w:rPr>
      </w:pPr>
    </w:p>
    <w:p>
      <w:pPr>
        <w:spacing w:before="156" w:after="156"/>
        <w:ind w:firstLine="843" w:firstLineChars="300"/>
        <w:rPr>
          <w:rStyle w:val="34"/>
          <w:rFonts w:ascii="宋体" w:hAnsi="宋体"/>
          <w:b/>
          <w:color w:val="auto"/>
          <w:spacing w:val="6"/>
          <w:sz w:val="44"/>
          <w:szCs w:val="44"/>
        </w:rPr>
      </w:pPr>
      <w:r>
        <w:rPr>
          <w:rStyle w:val="34"/>
          <w:rFonts w:ascii="Times New Roman" w:hAnsi="Times New Roman" w:cs="Times New Roman"/>
          <w:b/>
          <w:bCs/>
          <w:color w:val="auto"/>
          <w:sz w:val="28"/>
          <w:szCs w:val="28"/>
        </w:rPr>
        <w:t>项目编号：</w:t>
      </w:r>
      <w:r>
        <w:rPr>
          <w:rStyle w:val="34"/>
          <w:rFonts w:hint="eastAsia" w:ascii="Times New Roman" w:hAnsi="Times New Roman" w:cs="Times New Roman"/>
          <w:b/>
          <w:bCs/>
          <w:color w:val="auto"/>
          <w:sz w:val="28"/>
          <w:szCs w:val="28"/>
          <w:lang w:val="en-US" w:eastAsia="zh-CN"/>
        </w:rPr>
        <w:t>TXS20210506312</w:t>
      </w:r>
    </w:p>
    <w:p>
      <w:pPr>
        <w:spacing w:before="156" w:after="156"/>
        <w:jc w:val="center"/>
        <w:rPr>
          <w:rStyle w:val="34"/>
          <w:rFonts w:ascii="宋体" w:hAnsi="宋体"/>
          <w:b/>
          <w:color w:val="auto"/>
          <w:spacing w:val="6"/>
          <w:sz w:val="84"/>
          <w:szCs w:val="84"/>
        </w:rPr>
      </w:pPr>
    </w:p>
    <w:p>
      <w:pPr>
        <w:pStyle w:val="192"/>
        <w:spacing w:line="360" w:lineRule="exact"/>
        <w:ind w:firstLine="480" w:firstLineChars="200"/>
        <w:jc w:val="center"/>
        <w:rPr>
          <w:rStyle w:val="34"/>
          <w:rFonts w:ascii="宋体" w:eastAsia="宋体"/>
          <w:color w:val="auto"/>
        </w:rPr>
      </w:pPr>
    </w:p>
    <w:p>
      <w:pPr>
        <w:pStyle w:val="192"/>
        <w:spacing w:line="360" w:lineRule="exact"/>
        <w:ind w:firstLine="480" w:firstLineChars="200"/>
        <w:jc w:val="center"/>
        <w:rPr>
          <w:rStyle w:val="34"/>
          <w:rFonts w:ascii="宋体" w:eastAsia="宋体"/>
          <w:color w:val="auto"/>
        </w:rPr>
      </w:pPr>
    </w:p>
    <w:p>
      <w:pPr>
        <w:spacing w:line="900" w:lineRule="exact"/>
        <w:jc w:val="center"/>
        <w:rPr>
          <w:rStyle w:val="34"/>
          <w:rFonts w:hint="eastAsia" w:ascii="宋体" w:hAnsi="宋体" w:eastAsia="宋体"/>
          <w:b/>
          <w:color w:val="auto"/>
          <w:kern w:val="0"/>
          <w:sz w:val="24"/>
          <w:szCs w:val="24"/>
          <w:lang w:eastAsia="zh-CN"/>
        </w:rPr>
      </w:pPr>
      <w:r>
        <w:rPr>
          <w:rStyle w:val="34"/>
          <w:rFonts w:ascii="宋体" w:hAnsi="宋体"/>
          <w:b/>
          <w:color w:val="auto"/>
          <w:kern w:val="0"/>
          <w:sz w:val="24"/>
          <w:szCs w:val="24"/>
        </w:rPr>
        <w:t>招标人：</w:t>
      </w:r>
      <w:r>
        <w:rPr>
          <w:rStyle w:val="34"/>
          <w:rFonts w:hint="eastAsia" w:ascii="宋体" w:hAnsi="宋体"/>
          <w:b/>
          <w:color w:val="auto"/>
          <w:kern w:val="0"/>
          <w:sz w:val="24"/>
          <w:szCs w:val="24"/>
          <w:lang w:eastAsia="zh-CN"/>
        </w:rPr>
        <w:t>泰兴市市政公用事业服务中心（市园林绿化服务中心、市城建档案馆）</w:t>
      </w:r>
    </w:p>
    <w:p>
      <w:pPr>
        <w:spacing w:line="900" w:lineRule="exact"/>
        <w:jc w:val="center"/>
        <w:rPr>
          <w:rStyle w:val="34"/>
          <w:rFonts w:ascii="宋体" w:hAnsi="宋体"/>
          <w:b/>
          <w:color w:val="auto"/>
          <w:kern w:val="0"/>
          <w:sz w:val="30"/>
          <w:szCs w:val="30"/>
        </w:rPr>
      </w:pPr>
      <w:r>
        <w:rPr>
          <w:rStyle w:val="34"/>
          <w:rFonts w:ascii="宋体" w:hAnsi="宋体"/>
          <w:b/>
          <w:color w:val="auto"/>
          <w:kern w:val="0"/>
          <w:sz w:val="24"/>
          <w:szCs w:val="24"/>
        </w:rPr>
        <w:t>代理机构：江苏国兴建设项目管理有限公司</w:t>
      </w:r>
    </w:p>
    <w:p>
      <w:pPr>
        <w:spacing w:line="900" w:lineRule="exact"/>
        <w:jc w:val="center"/>
        <w:rPr>
          <w:rStyle w:val="34"/>
          <w:b/>
          <w:color w:val="auto"/>
        </w:rPr>
        <w:sectPr>
          <w:headerReference r:id="rId3" w:type="default"/>
          <w:footerReference r:id="rId4" w:type="default"/>
          <w:pgSz w:w="11906" w:h="16838"/>
          <w:pgMar w:top="1474" w:right="1418" w:bottom="1247" w:left="1701" w:header="851" w:footer="992" w:gutter="0"/>
          <w:pgNumType w:start="1"/>
          <w:cols w:space="720" w:num="1"/>
          <w:docGrid w:type="lines" w:linePitch="312" w:charSpace="0"/>
        </w:sectPr>
      </w:pPr>
      <w:r>
        <w:rPr>
          <w:rStyle w:val="34"/>
          <w:rFonts w:ascii="宋体" w:hAnsi="宋体"/>
          <w:b/>
          <w:color w:val="auto"/>
          <w:kern w:val="0"/>
          <w:sz w:val="30"/>
          <w:szCs w:val="30"/>
        </w:rPr>
        <w:t>二○二一年</w:t>
      </w:r>
      <w:r>
        <w:rPr>
          <w:rStyle w:val="34"/>
          <w:rFonts w:hint="eastAsia" w:ascii="宋体" w:hAnsi="宋体"/>
          <w:b/>
          <w:color w:val="auto"/>
          <w:kern w:val="0"/>
          <w:sz w:val="30"/>
          <w:szCs w:val="30"/>
          <w:lang w:val="en-US" w:eastAsia="zh-CN"/>
        </w:rPr>
        <w:t>五</w:t>
      </w:r>
      <w:r>
        <w:rPr>
          <w:rStyle w:val="34"/>
          <w:rFonts w:ascii="宋体" w:hAnsi="宋体"/>
          <w:b/>
          <w:color w:val="auto"/>
          <w:kern w:val="0"/>
          <w:sz w:val="30"/>
          <w:szCs w:val="30"/>
        </w:rPr>
        <w:t>月</w:t>
      </w:r>
    </w:p>
    <w:p>
      <w:pPr>
        <w:spacing w:line="900" w:lineRule="exact"/>
        <w:jc w:val="center"/>
        <w:rPr>
          <w:rStyle w:val="34"/>
          <w:rFonts w:cs="Times New Roman"/>
          <w:b/>
          <w:bCs/>
          <w:color w:val="auto"/>
          <w:sz w:val="32"/>
          <w:szCs w:val="32"/>
        </w:rPr>
      </w:pPr>
      <w:r>
        <w:rPr>
          <w:rStyle w:val="34"/>
          <w:rFonts w:ascii="宋体" w:hAnsi="宋体" w:cs="Times New Roman"/>
          <w:b/>
          <w:bCs/>
          <w:color w:val="auto"/>
          <w:sz w:val="32"/>
          <w:szCs w:val="32"/>
        </w:rPr>
        <w:t>目  录</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第一章 招标公告</w:t>
      </w:r>
      <w:r>
        <w:rPr>
          <w:rStyle w:val="34"/>
          <w:rFonts w:cs="Times New Roman"/>
          <w:bCs/>
          <w:color w:val="auto"/>
          <w:sz w:val="24"/>
          <w:szCs w:val="24"/>
        </w:rPr>
        <w:tab/>
      </w:r>
      <w:r>
        <w:rPr>
          <w:rStyle w:val="34"/>
          <w:rFonts w:cs="Times New Roman"/>
          <w:bCs/>
          <w:color w:val="auto"/>
          <w:sz w:val="24"/>
          <w:szCs w:val="24"/>
        </w:rPr>
        <w:t>1</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第二章 投标人须知</w:t>
      </w:r>
      <w:r>
        <w:rPr>
          <w:rStyle w:val="34"/>
          <w:rFonts w:cs="Times New Roman"/>
          <w:bCs/>
          <w:color w:val="auto"/>
          <w:sz w:val="24"/>
          <w:szCs w:val="24"/>
        </w:rPr>
        <w:tab/>
      </w:r>
      <w:r>
        <w:rPr>
          <w:rStyle w:val="34"/>
          <w:rFonts w:hint="eastAsia" w:cs="Times New Roman"/>
          <w:bCs/>
          <w:color w:val="auto"/>
          <w:sz w:val="24"/>
          <w:szCs w:val="24"/>
        </w:rPr>
        <w:t>6</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投标人须知前附表</w:t>
      </w:r>
      <w:r>
        <w:rPr>
          <w:rStyle w:val="34"/>
          <w:rFonts w:cs="Times New Roman"/>
          <w:bCs/>
          <w:color w:val="auto"/>
          <w:sz w:val="24"/>
          <w:szCs w:val="24"/>
        </w:rPr>
        <w:tab/>
      </w:r>
      <w:r>
        <w:rPr>
          <w:rStyle w:val="34"/>
          <w:rFonts w:hint="eastAsia" w:cs="Times New Roman"/>
          <w:bCs/>
          <w:color w:val="auto"/>
          <w:sz w:val="24"/>
          <w:szCs w:val="24"/>
        </w:rPr>
        <w:t>6</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1.总则</w:t>
      </w:r>
      <w:r>
        <w:rPr>
          <w:rStyle w:val="34"/>
          <w:rFonts w:cs="Times New Roman"/>
          <w:bCs/>
          <w:color w:val="auto"/>
          <w:sz w:val="24"/>
          <w:szCs w:val="24"/>
        </w:rPr>
        <w:tab/>
      </w:r>
      <w:r>
        <w:rPr>
          <w:rStyle w:val="34"/>
          <w:rFonts w:hint="eastAsia" w:cs="Times New Roman"/>
          <w:bCs/>
          <w:color w:val="auto"/>
          <w:sz w:val="24"/>
          <w:szCs w:val="24"/>
        </w:rPr>
        <w:t>7</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2. 招标文件</w:t>
      </w:r>
      <w:r>
        <w:rPr>
          <w:rStyle w:val="34"/>
          <w:rFonts w:cs="Times New Roman"/>
          <w:bCs/>
          <w:color w:val="auto"/>
          <w:sz w:val="24"/>
          <w:szCs w:val="24"/>
        </w:rPr>
        <w:tab/>
      </w:r>
      <w:r>
        <w:rPr>
          <w:rStyle w:val="34"/>
          <w:rFonts w:hint="eastAsia" w:cs="Times New Roman"/>
          <w:bCs/>
          <w:color w:val="auto"/>
          <w:sz w:val="24"/>
          <w:szCs w:val="24"/>
        </w:rPr>
        <w:t>9</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3. 投标文件</w:t>
      </w:r>
      <w:r>
        <w:rPr>
          <w:rStyle w:val="34"/>
          <w:rFonts w:cs="Times New Roman"/>
          <w:bCs/>
          <w:color w:val="auto"/>
          <w:sz w:val="24"/>
          <w:szCs w:val="24"/>
        </w:rPr>
        <w:tab/>
      </w:r>
      <w:r>
        <w:rPr>
          <w:rStyle w:val="34"/>
          <w:rFonts w:hint="eastAsia" w:cs="Times New Roman"/>
          <w:bCs/>
          <w:color w:val="auto"/>
          <w:sz w:val="24"/>
          <w:szCs w:val="24"/>
        </w:rPr>
        <w:t>10</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4. 投标</w:t>
      </w:r>
      <w:r>
        <w:rPr>
          <w:rStyle w:val="34"/>
          <w:rFonts w:cs="Times New Roman"/>
          <w:bCs/>
          <w:color w:val="auto"/>
          <w:sz w:val="24"/>
          <w:szCs w:val="24"/>
        </w:rPr>
        <w:tab/>
      </w:r>
      <w:r>
        <w:rPr>
          <w:rStyle w:val="34"/>
          <w:rFonts w:cs="Times New Roman"/>
          <w:bCs/>
          <w:color w:val="auto"/>
          <w:sz w:val="24"/>
          <w:szCs w:val="24"/>
        </w:rPr>
        <w:t>13</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5. 开标</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3</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6. 评标</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4</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7. 定标</w:t>
      </w:r>
      <w:r>
        <w:rPr>
          <w:rStyle w:val="34"/>
          <w:rFonts w:cs="Times New Roman"/>
          <w:bCs/>
          <w:color w:val="auto"/>
          <w:sz w:val="24"/>
          <w:szCs w:val="24"/>
        </w:rPr>
        <w:tab/>
      </w:r>
      <w:r>
        <w:rPr>
          <w:rStyle w:val="34"/>
          <w:rFonts w:cs="Times New Roman"/>
          <w:bCs/>
          <w:color w:val="auto"/>
          <w:sz w:val="24"/>
          <w:szCs w:val="24"/>
        </w:rPr>
        <w:t>15</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8.质疑</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5</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9. 合同</w:t>
      </w:r>
      <w:r>
        <w:rPr>
          <w:rStyle w:val="34"/>
          <w:rFonts w:cs="Times New Roman"/>
          <w:bCs/>
          <w:color w:val="auto"/>
          <w:sz w:val="24"/>
          <w:szCs w:val="24"/>
        </w:rPr>
        <w:tab/>
      </w:r>
      <w:r>
        <w:rPr>
          <w:rStyle w:val="34"/>
          <w:rFonts w:cs="Times New Roman"/>
          <w:bCs/>
          <w:color w:val="auto"/>
          <w:sz w:val="24"/>
          <w:szCs w:val="24"/>
        </w:rPr>
        <w:t>16</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10.废标</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6</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11. 纪律和监督</w:t>
      </w:r>
      <w:r>
        <w:rPr>
          <w:rStyle w:val="34"/>
          <w:rFonts w:cs="Times New Roman"/>
          <w:bCs/>
          <w:color w:val="auto"/>
          <w:sz w:val="24"/>
          <w:szCs w:val="24"/>
        </w:rPr>
        <w:tab/>
      </w:r>
      <w:r>
        <w:rPr>
          <w:rStyle w:val="34"/>
          <w:rFonts w:cs="Times New Roman"/>
          <w:bCs/>
          <w:color w:val="auto"/>
          <w:sz w:val="24"/>
          <w:szCs w:val="24"/>
        </w:rPr>
        <w:t>17</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12. 需要补充的其他内容</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7</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13.招标文件的解释</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7</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第三章 评标办法</w:t>
      </w:r>
      <w:r>
        <w:rPr>
          <w:rStyle w:val="34"/>
          <w:rFonts w:cs="Times New Roman"/>
          <w:bCs/>
          <w:color w:val="auto"/>
          <w:sz w:val="24"/>
          <w:szCs w:val="24"/>
        </w:rPr>
        <w:tab/>
      </w:r>
      <w:r>
        <w:rPr>
          <w:rStyle w:val="34"/>
          <w:rFonts w:cs="Times New Roman"/>
          <w:bCs/>
          <w:color w:val="auto"/>
          <w:sz w:val="24"/>
          <w:szCs w:val="24"/>
        </w:rPr>
        <w:t>1</w:t>
      </w:r>
      <w:r>
        <w:rPr>
          <w:rStyle w:val="34"/>
          <w:rFonts w:hint="eastAsia" w:cs="Times New Roman"/>
          <w:bCs/>
          <w:color w:val="auto"/>
          <w:sz w:val="24"/>
          <w:szCs w:val="24"/>
        </w:rPr>
        <w:t>8</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第四章 合同条款</w:t>
      </w:r>
      <w:r>
        <w:rPr>
          <w:rStyle w:val="34"/>
          <w:rFonts w:cs="Times New Roman"/>
          <w:bCs/>
          <w:color w:val="auto"/>
          <w:sz w:val="24"/>
          <w:szCs w:val="24"/>
        </w:rPr>
        <w:tab/>
      </w:r>
      <w:r>
        <w:rPr>
          <w:rStyle w:val="34"/>
          <w:rFonts w:cs="Times New Roman"/>
          <w:bCs/>
          <w:color w:val="auto"/>
          <w:sz w:val="24"/>
          <w:szCs w:val="24"/>
        </w:rPr>
        <w:t>2</w:t>
      </w:r>
      <w:r>
        <w:rPr>
          <w:rStyle w:val="34"/>
          <w:rFonts w:hint="eastAsia" w:cs="Times New Roman"/>
          <w:bCs/>
          <w:color w:val="auto"/>
          <w:sz w:val="24"/>
          <w:szCs w:val="24"/>
        </w:rPr>
        <w:t>6</w:t>
      </w:r>
    </w:p>
    <w:p>
      <w:pPr>
        <w:pStyle w:val="155"/>
        <w:tabs>
          <w:tab w:val="right" w:leader="dot" w:pos="8787"/>
        </w:tabs>
        <w:spacing w:line="360" w:lineRule="auto"/>
        <w:jc w:val="both"/>
        <w:rPr>
          <w:rStyle w:val="34"/>
          <w:rFonts w:cs="Times New Roman"/>
          <w:bCs/>
          <w:color w:val="auto"/>
          <w:sz w:val="24"/>
          <w:szCs w:val="24"/>
        </w:rPr>
      </w:pPr>
      <w:r>
        <w:rPr>
          <w:rStyle w:val="34"/>
          <w:rFonts w:cs="Times New Roman"/>
          <w:bCs/>
          <w:color w:val="auto"/>
          <w:sz w:val="24"/>
          <w:szCs w:val="24"/>
        </w:rPr>
        <w:t>第五章 技术标准和要求</w:t>
      </w:r>
      <w:r>
        <w:rPr>
          <w:rStyle w:val="34"/>
          <w:rFonts w:cs="Times New Roman"/>
          <w:bCs/>
          <w:color w:val="auto"/>
          <w:sz w:val="24"/>
          <w:szCs w:val="24"/>
        </w:rPr>
        <w:tab/>
      </w:r>
      <w:r>
        <w:rPr>
          <w:rStyle w:val="34"/>
          <w:rFonts w:cs="Times New Roman"/>
          <w:bCs/>
          <w:color w:val="auto"/>
          <w:sz w:val="24"/>
          <w:szCs w:val="24"/>
        </w:rPr>
        <w:t>3</w:t>
      </w:r>
      <w:r>
        <w:rPr>
          <w:rStyle w:val="34"/>
          <w:rFonts w:hint="eastAsia" w:cs="Times New Roman"/>
          <w:bCs/>
          <w:color w:val="auto"/>
          <w:sz w:val="24"/>
          <w:szCs w:val="24"/>
        </w:rPr>
        <w:t>2</w:t>
      </w:r>
    </w:p>
    <w:p>
      <w:pPr>
        <w:pStyle w:val="155"/>
        <w:tabs>
          <w:tab w:val="right" w:leader="dot" w:pos="8787"/>
        </w:tabs>
        <w:spacing w:line="360" w:lineRule="auto"/>
        <w:jc w:val="both"/>
        <w:rPr>
          <w:rStyle w:val="34"/>
          <w:rFonts w:ascii="Calibri" w:hAnsi="Calibri"/>
          <w:b/>
          <w:color w:val="auto"/>
          <w:sz w:val="21"/>
        </w:rPr>
      </w:pPr>
      <w:r>
        <w:rPr>
          <w:rStyle w:val="34"/>
          <w:rFonts w:cs="Times New Roman"/>
          <w:bCs/>
          <w:color w:val="auto"/>
          <w:sz w:val="24"/>
          <w:szCs w:val="24"/>
        </w:rPr>
        <w:t>第六章 投标文件的编制及格式</w:t>
      </w:r>
      <w:r>
        <w:rPr>
          <w:rStyle w:val="34"/>
          <w:rFonts w:cs="Times New Roman"/>
          <w:bCs/>
          <w:color w:val="auto"/>
          <w:sz w:val="24"/>
          <w:szCs w:val="24"/>
        </w:rPr>
        <w:tab/>
      </w:r>
      <w:r>
        <w:rPr>
          <w:rStyle w:val="34"/>
          <w:rFonts w:hint="eastAsia" w:cs="Times New Roman"/>
          <w:bCs/>
          <w:color w:val="auto"/>
          <w:sz w:val="24"/>
          <w:szCs w:val="24"/>
        </w:rPr>
        <w:t>66</w:t>
      </w:r>
    </w:p>
    <w:p>
      <w:pPr>
        <w:pStyle w:val="155"/>
        <w:tabs>
          <w:tab w:val="right" w:leader="dot" w:pos="8787"/>
        </w:tabs>
        <w:jc w:val="both"/>
        <w:rPr>
          <w:rStyle w:val="34"/>
          <w:rFonts w:ascii="Calibri" w:hAnsi="Calibri"/>
          <w:b/>
          <w:color w:val="auto"/>
          <w:sz w:val="21"/>
        </w:rPr>
      </w:pPr>
    </w:p>
    <w:p>
      <w:pPr>
        <w:pStyle w:val="179"/>
        <w:jc w:val="center"/>
        <w:rPr>
          <w:rStyle w:val="34"/>
          <w:b/>
          <w:color w:val="auto"/>
        </w:rPr>
      </w:pPr>
    </w:p>
    <w:p>
      <w:pPr>
        <w:pStyle w:val="179"/>
        <w:jc w:val="center"/>
        <w:rPr>
          <w:rStyle w:val="34"/>
          <w:color w:val="auto"/>
          <w:sz w:val="32"/>
          <w:szCs w:val="32"/>
        </w:rPr>
        <w:sectPr>
          <w:footerReference r:id="rId5" w:type="default"/>
          <w:pgSz w:w="11906" w:h="16838"/>
          <w:pgMar w:top="1474" w:right="1418" w:bottom="1247" w:left="1701" w:header="851" w:footer="992" w:gutter="0"/>
          <w:cols w:space="720" w:num="1"/>
          <w:docGrid w:type="lines" w:linePitch="312" w:charSpace="0"/>
        </w:sectPr>
      </w:pPr>
    </w:p>
    <w:p>
      <w:pPr>
        <w:pStyle w:val="179"/>
        <w:jc w:val="center"/>
        <w:rPr>
          <w:rStyle w:val="34"/>
          <w:color w:val="auto"/>
          <w:sz w:val="32"/>
          <w:szCs w:val="32"/>
        </w:rPr>
      </w:pPr>
      <w:r>
        <w:rPr>
          <w:rStyle w:val="34"/>
          <w:color w:val="auto"/>
          <w:sz w:val="32"/>
          <w:szCs w:val="32"/>
        </w:rPr>
        <w:t>第一章</w:t>
      </w:r>
      <w:r>
        <w:rPr>
          <w:rStyle w:val="34"/>
          <w:b/>
          <w:color w:val="auto"/>
          <w:lang w:val="en-US"/>
        </w:rPr>
        <w:t xml:space="preserve">  </w:t>
      </w:r>
      <w:r>
        <w:rPr>
          <w:rStyle w:val="34"/>
          <w:color w:val="auto"/>
          <w:sz w:val="32"/>
          <w:szCs w:val="32"/>
        </w:rPr>
        <w:t>招标公告</w:t>
      </w:r>
    </w:p>
    <w:tbl>
      <w:tblPr>
        <w:tblStyle w:val="13"/>
        <w:tblW w:w="8885" w:type="dxa"/>
        <w:tblInd w:w="11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888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070" w:hRule="atLeast"/>
        </w:trPr>
        <w:tc>
          <w:tcPr>
            <w:tcW w:w="8885" w:type="dxa"/>
            <w:tcBorders>
              <w:top w:val="single" w:color="000000" w:sz="8" w:space="0"/>
              <w:left w:val="single" w:color="000000" w:sz="8" w:space="0"/>
              <w:bottom w:val="single" w:color="000000" w:sz="8" w:space="0"/>
              <w:right w:val="single" w:color="000000" w:sz="8" w:space="0"/>
            </w:tcBorders>
          </w:tcPr>
          <w:p>
            <w:pPr>
              <w:spacing w:line="440" w:lineRule="exact"/>
              <w:rPr>
                <w:rStyle w:val="34"/>
                <w:rFonts w:ascii="宋体" w:hAnsi="宋体"/>
                <w:color w:val="auto"/>
                <w:kern w:val="0"/>
                <w:sz w:val="24"/>
              </w:rPr>
            </w:pPr>
            <w:r>
              <w:rPr>
                <w:rStyle w:val="34"/>
                <w:rFonts w:ascii="宋体" w:hAnsi="宋体"/>
                <w:color w:val="auto"/>
                <w:kern w:val="0"/>
                <w:sz w:val="24"/>
              </w:rPr>
              <w:t>项目概况</w:t>
            </w:r>
          </w:p>
          <w:p>
            <w:pPr>
              <w:spacing w:line="440" w:lineRule="exact"/>
              <w:ind w:firstLine="560"/>
              <w:rPr>
                <w:rStyle w:val="34"/>
                <w:rFonts w:ascii="宋体" w:hAnsi="宋体"/>
                <w:color w:val="auto"/>
                <w:kern w:val="0"/>
                <w:sz w:val="24"/>
              </w:rPr>
            </w:pPr>
            <w:r>
              <w:rPr>
                <w:rStyle w:val="34"/>
                <w:rFonts w:ascii="宋体" w:hAnsi="宋体"/>
                <w:color w:val="auto"/>
                <w:kern w:val="0"/>
                <w:sz w:val="24"/>
                <w:u w:val="single" w:color="000000"/>
              </w:rPr>
              <w:t>泰兴市排水GIS系统项目</w:t>
            </w:r>
            <w:r>
              <w:rPr>
                <w:rStyle w:val="34"/>
                <w:rFonts w:ascii="宋体" w:hAnsi="宋体"/>
                <w:color w:val="auto"/>
                <w:kern w:val="0"/>
                <w:sz w:val="24"/>
              </w:rPr>
              <w:t>招标项目的潜在投标人应在</w:t>
            </w:r>
            <w:r>
              <w:rPr>
                <w:rStyle w:val="34"/>
                <w:rFonts w:ascii="宋体" w:hAnsi="宋体"/>
                <w:color w:val="auto"/>
                <w:kern w:val="0"/>
                <w:sz w:val="24"/>
                <w:u w:val="single" w:color="000000"/>
              </w:rPr>
              <w:t>泰兴市行政审批局（泰兴市文昌东路62号）三楼江苏国兴建设项目管理有限公司办公室</w:t>
            </w:r>
            <w:r>
              <w:rPr>
                <w:rStyle w:val="34"/>
                <w:rFonts w:ascii="宋体" w:hAnsi="宋体"/>
                <w:color w:val="auto"/>
                <w:kern w:val="0"/>
                <w:sz w:val="24"/>
              </w:rPr>
              <w:t>获取招标文件，并于</w:t>
            </w:r>
            <w:r>
              <w:rPr>
                <w:rStyle w:val="34"/>
                <w:rFonts w:ascii="宋体" w:hAnsi="宋体"/>
                <w:color w:val="auto"/>
                <w:kern w:val="0"/>
                <w:sz w:val="24"/>
                <w:u w:val="single" w:color="000000"/>
              </w:rPr>
              <w:t>2021</w:t>
            </w:r>
            <w:r>
              <w:rPr>
                <w:rStyle w:val="34"/>
                <w:rFonts w:ascii="宋体" w:hAnsi="宋体"/>
                <w:color w:val="auto"/>
                <w:kern w:val="0"/>
                <w:sz w:val="24"/>
                <w:u w:val="single" w:color="FF0000"/>
              </w:rPr>
              <w:t>年</w:t>
            </w:r>
            <w:r>
              <w:rPr>
                <w:rStyle w:val="34"/>
                <w:rFonts w:hint="eastAsia" w:ascii="宋体" w:hAnsi="宋体"/>
                <w:color w:val="auto"/>
                <w:kern w:val="0"/>
                <w:sz w:val="24"/>
                <w:u w:val="single" w:color="FF0000"/>
                <w:lang w:val="en-US" w:eastAsia="zh-CN"/>
              </w:rPr>
              <w:t>5</w:t>
            </w:r>
            <w:r>
              <w:rPr>
                <w:rStyle w:val="34"/>
                <w:rFonts w:ascii="宋体" w:hAnsi="宋体"/>
                <w:color w:val="auto"/>
                <w:kern w:val="0"/>
                <w:sz w:val="24"/>
                <w:u w:val="single" w:color="FF0000"/>
              </w:rPr>
              <w:t>月</w:t>
            </w:r>
            <w:r>
              <w:rPr>
                <w:rStyle w:val="34"/>
                <w:rFonts w:hint="eastAsia" w:ascii="宋体" w:hAnsi="宋体"/>
                <w:color w:val="auto"/>
                <w:kern w:val="0"/>
                <w:sz w:val="24"/>
                <w:u w:val="single" w:color="FF0000"/>
                <w:lang w:val="en-US" w:eastAsia="zh-CN"/>
              </w:rPr>
              <w:t>28</w:t>
            </w:r>
            <w:r>
              <w:rPr>
                <w:rStyle w:val="34"/>
                <w:rFonts w:ascii="宋体" w:hAnsi="宋体"/>
                <w:color w:val="auto"/>
                <w:kern w:val="0"/>
                <w:sz w:val="24"/>
                <w:u w:val="single" w:color="FF0000"/>
              </w:rPr>
              <w:t>日</w:t>
            </w:r>
            <w:r>
              <w:rPr>
                <w:rStyle w:val="34"/>
                <w:rFonts w:hint="eastAsia" w:ascii="宋体" w:hAnsi="宋体"/>
                <w:color w:val="auto"/>
                <w:kern w:val="0"/>
                <w:sz w:val="24"/>
                <w:u w:val="single" w:color="FF0000"/>
                <w:lang w:val="en-US" w:eastAsia="zh-CN"/>
              </w:rPr>
              <w:t>15</w:t>
            </w:r>
            <w:r>
              <w:rPr>
                <w:rStyle w:val="34"/>
                <w:rFonts w:ascii="宋体" w:hAnsi="宋体"/>
                <w:color w:val="auto"/>
                <w:kern w:val="0"/>
                <w:sz w:val="24"/>
                <w:u w:val="single" w:color="FF0000"/>
              </w:rPr>
              <w:t>点</w:t>
            </w:r>
            <w:r>
              <w:rPr>
                <w:rStyle w:val="34"/>
                <w:rFonts w:hint="eastAsia" w:ascii="宋体" w:hAnsi="宋体"/>
                <w:color w:val="auto"/>
                <w:kern w:val="0"/>
                <w:sz w:val="24"/>
                <w:u w:val="single" w:color="FF0000"/>
                <w:lang w:val="en-US" w:eastAsia="zh-CN"/>
              </w:rPr>
              <w:t>00分</w:t>
            </w:r>
            <w:r>
              <w:rPr>
                <w:rStyle w:val="34"/>
                <w:rFonts w:ascii="宋体" w:hAnsi="宋体"/>
                <w:color w:val="auto"/>
                <w:kern w:val="0"/>
                <w:sz w:val="24"/>
                <w:u w:val="single" w:color="000000"/>
              </w:rPr>
              <w:t>（</w:t>
            </w:r>
            <w:r>
              <w:rPr>
                <w:rStyle w:val="34"/>
                <w:rFonts w:ascii="宋体" w:hAnsi="宋体"/>
                <w:color w:val="auto"/>
                <w:kern w:val="0"/>
                <w:sz w:val="24"/>
              </w:rPr>
              <w:t>北京时间）前递交投标文件。</w:t>
            </w:r>
          </w:p>
        </w:tc>
      </w:tr>
    </w:tbl>
    <w:p>
      <w:pPr>
        <w:shd w:val="clear" w:color="auto" w:fill="FFFFFF"/>
        <w:spacing w:line="440" w:lineRule="exact"/>
        <w:ind w:left="-34" w:leftChars="-16" w:firstLine="360" w:firstLineChars="150"/>
        <w:rPr>
          <w:rStyle w:val="34"/>
          <w:rFonts w:ascii="宋体"/>
          <w:color w:val="auto"/>
          <w:sz w:val="24"/>
        </w:rPr>
      </w:pPr>
      <w:r>
        <w:rPr>
          <w:rStyle w:val="34"/>
          <w:rFonts w:hint="eastAsia" w:ascii="宋体"/>
          <w:color w:val="auto"/>
          <w:sz w:val="24"/>
        </w:rPr>
        <w:t>一、</w:t>
      </w:r>
      <w:r>
        <w:rPr>
          <w:rStyle w:val="34"/>
          <w:rFonts w:ascii="宋体"/>
          <w:color w:val="auto"/>
          <w:sz w:val="24"/>
        </w:rPr>
        <w:t>项目基本情况：</w:t>
      </w:r>
    </w:p>
    <w:p>
      <w:pPr>
        <w:shd w:val="clear" w:color="auto" w:fill="FFFFFF"/>
        <w:spacing w:line="440" w:lineRule="exact"/>
        <w:ind w:left="-34" w:leftChars="-16" w:firstLine="360" w:firstLineChars="150"/>
        <w:rPr>
          <w:rStyle w:val="34"/>
          <w:rFonts w:ascii="宋体" w:hAnsi="Times New Roman"/>
          <w:color w:val="auto"/>
          <w:sz w:val="24"/>
        </w:rPr>
      </w:pPr>
      <w:r>
        <w:rPr>
          <w:rStyle w:val="34"/>
          <w:rFonts w:ascii="宋体" w:hAnsi="Times New Roman"/>
          <w:color w:val="auto"/>
          <w:sz w:val="24"/>
        </w:rPr>
        <w:t>1.项目编号：</w:t>
      </w:r>
      <w:r>
        <w:rPr>
          <w:rStyle w:val="34"/>
          <w:rFonts w:hint="default" w:ascii="宋体" w:hAnsi="Times New Roman" w:cstheme="minorBidi"/>
          <w:b w:val="0"/>
          <w:bCs w:val="0"/>
          <w:color w:val="auto"/>
          <w:sz w:val="24"/>
          <w:szCs w:val="24"/>
          <w:lang w:val="en-US" w:eastAsia="zh-CN"/>
        </w:rPr>
        <w:t xml:space="preserve">TXS20210506312 </w:t>
      </w:r>
    </w:p>
    <w:p>
      <w:pPr>
        <w:shd w:val="clear" w:color="auto" w:fill="FFFFFF"/>
        <w:spacing w:line="440" w:lineRule="exact"/>
        <w:ind w:left="-34" w:leftChars="-16" w:firstLine="360" w:firstLineChars="150"/>
        <w:rPr>
          <w:rStyle w:val="34"/>
          <w:rFonts w:ascii="宋体" w:hAnsi="Times New Roman"/>
          <w:color w:val="auto"/>
          <w:sz w:val="24"/>
        </w:rPr>
      </w:pPr>
      <w:r>
        <w:rPr>
          <w:rStyle w:val="34"/>
          <w:rFonts w:ascii="宋体" w:hAnsi="Times New Roman"/>
          <w:color w:val="auto"/>
          <w:sz w:val="24"/>
        </w:rPr>
        <w:t>2.项目名称：泰兴市排水GIS系统项目</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3.采购方式：公开招标</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4.预算金额：14600000元</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5.最高限价：14600000元</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6.采购需求：</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本项目采购内容为泰兴市排水GIS系统建设，包括泰兴市排水GIS系统运行管理机制建设、排水GIS系统指挥中心、建设排水管网清疏检测数据库、排水管网历史数据库转换、新建排水管网数据采集入库、排水相关设备建设、系统运行环境、系统平台建设。其中系统平台建设包含基础信息平台建设、业务应用平台建设、公众服务平台建设。</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7.交付时间：</w:t>
      </w:r>
      <w:r>
        <w:rPr>
          <w:rStyle w:val="34"/>
          <w:rFonts w:ascii="宋体" w:hAnsi="宋体"/>
          <w:color w:val="auto"/>
          <w:sz w:val="24"/>
        </w:rPr>
        <w:t>2021年10月31日前完成本项目所有内容</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8.付款方式：根据中标价格进行结算。</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（1）合同签订后的一个月内，采购人向中标人支付合同预计总额的30%。</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（2）项目完成并经采购人验收合格后的1个月内，采购人向中标人支付合同总金额的65%。</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（3）系统免费运维期结束后，采购人向中标人支付合同预计总额的5%。</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9.本项目不接受联合体投标。</w:t>
      </w:r>
    </w:p>
    <w:p>
      <w:pPr>
        <w:spacing w:line="440" w:lineRule="exact"/>
        <w:ind w:firstLine="566"/>
        <w:rPr>
          <w:rStyle w:val="34"/>
          <w:rFonts w:ascii="宋体" w:hAnsi="宋体"/>
          <w:color w:val="auto"/>
          <w:kern w:val="0"/>
          <w:sz w:val="24"/>
        </w:rPr>
      </w:pPr>
      <w:r>
        <w:rPr>
          <w:rStyle w:val="34"/>
          <w:rFonts w:ascii="宋体" w:hAnsi="宋体"/>
          <w:color w:val="auto"/>
          <w:kern w:val="0"/>
          <w:sz w:val="24"/>
        </w:rPr>
        <w:t>二、申请人的资格要求：</w:t>
      </w:r>
    </w:p>
    <w:p>
      <w:pPr>
        <w:spacing w:line="440" w:lineRule="exact"/>
        <w:ind w:firstLine="560"/>
        <w:rPr>
          <w:rStyle w:val="34"/>
          <w:rFonts w:ascii="宋体" w:hAnsi="宋体"/>
          <w:color w:val="auto"/>
          <w:kern w:val="0"/>
          <w:sz w:val="24"/>
        </w:rPr>
      </w:pPr>
      <w:r>
        <w:rPr>
          <w:rStyle w:val="34"/>
          <w:rFonts w:ascii="宋体" w:hAnsi="宋体"/>
          <w:color w:val="auto"/>
          <w:kern w:val="0"/>
          <w:sz w:val="24"/>
        </w:rPr>
        <w:t>1.满足《中华人民共和国政府采购法》第二十二条规定：</w:t>
      </w:r>
    </w:p>
    <w:p>
      <w:pPr>
        <w:spacing w:line="440" w:lineRule="exact"/>
        <w:ind w:firstLine="560"/>
        <w:rPr>
          <w:rStyle w:val="34"/>
          <w:rFonts w:ascii="宋体" w:hAnsi="宋体"/>
          <w:color w:val="auto"/>
          <w:kern w:val="0"/>
          <w:sz w:val="24"/>
        </w:rPr>
      </w:pPr>
      <w:r>
        <w:rPr>
          <w:rStyle w:val="34"/>
          <w:rFonts w:ascii="宋体" w:hAnsi="宋体"/>
          <w:color w:val="auto"/>
          <w:kern w:val="0"/>
          <w:sz w:val="24"/>
        </w:rPr>
        <w:t>（1）具有独立承担民事责任的能力；</w:t>
      </w:r>
    </w:p>
    <w:p>
      <w:pPr>
        <w:spacing w:line="440" w:lineRule="exact"/>
        <w:ind w:firstLine="560"/>
        <w:rPr>
          <w:rStyle w:val="34"/>
          <w:rFonts w:ascii="宋体" w:hAnsi="宋体"/>
          <w:color w:val="auto"/>
          <w:kern w:val="0"/>
          <w:sz w:val="24"/>
        </w:rPr>
      </w:pPr>
      <w:r>
        <w:rPr>
          <w:rStyle w:val="34"/>
          <w:rFonts w:ascii="宋体" w:hAnsi="宋体"/>
          <w:color w:val="auto"/>
          <w:kern w:val="0"/>
          <w:sz w:val="24"/>
        </w:rPr>
        <w:t>（2）具有良好的商业信誉和健全的财务会计制度；</w:t>
      </w:r>
    </w:p>
    <w:p>
      <w:pPr>
        <w:spacing w:line="440" w:lineRule="exact"/>
        <w:ind w:firstLine="560"/>
        <w:rPr>
          <w:rStyle w:val="34"/>
          <w:rFonts w:ascii="宋体" w:hAnsi="宋体"/>
          <w:color w:val="auto"/>
          <w:kern w:val="0"/>
          <w:sz w:val="24"/>
        </w:rPr>
      </w:pPr>
      <w:r>
        <w:rPr>
          <w:rStyle w:val="34"/>
          <w:rFonts w:ascii="宋体" w:hAnsi="宋体"/>
          <w:color w:val="auto"/>
          <w:kern w:val="0"/>
          <w:sz w:val="24"/>
        </w:rPr>
        <w:t>（3）具有履行合同所必需的设备和专业技术能力；</w:t>
      </w:r>
    </w:p>
    <w:p>
      <w:pPr>
        <w:spacing w:line="440" w:lineRule="exact"/>
        <w:ind w:firstLine="560"/>
        <w:rPr>
          <w:rStyle w:val="34"/>
          <w:rFonts w:ascii="宋体" w:hAnsi="宋体"/>
          <w:color w:val="auto"/>
          <w:kern w:val="0"/>
          <w:sz w:val="24"/>
        </w:rPr>
      </w:pPr>
      <w:r>
        <w:rPr>
          <w:rStyle w:val="34"/>
          <w:rFonts w:ascii="宋体" w:hAnsi="宋体"/>
          <w:color w:val="auto"/>
          <w:kern w:val="0"/>
          <w:sz w:val="24"/>
        </w:rPr>
        <w:t>（4）有依法缴纳税收和社会保障资金的良好记录；</w:t>
      </w:r>
    </w:p>
    <w:p>
      <w:pPr>
        <w:spacing w:line="440" w:lineRule="exact"/>
        <w:ind w:firstLine="560"/>
        <w:rPr>
          <w:rStyle w:val="34"/>
          <w:rFonts w:ascii="宋体" w:hAnsi="宋体"/>
          <w:color w:val="auto"/>
          <w:kern w:val="0"/>
          <w:sz w:val="24"/>
        </w:rPr>
      </w:pPr>
      <w:r>
        <w:rPr>
          <w:rStyle w:val="34"/>
          <w:rFonts w:ascii="宋体" w:hAnsi="宋体"/>
          <w:color w:val="auto"/>
          <w:kern w:val="0"/>
          <w:sz w:val="24"/>
        </w:rPr>
        <w:t>（5）参加政府采购活动前三年内，在经营活动中没有重大违法记录；</w:t>
      </w:r>
    </w:p>
    <w:p>
      <w:pPr>
        <w:spacing w:line="440" w:lineRule="exact"/>
        <w:ind w:firstLine="560"/>
        <w:rPr>
          <w:rStyle w:val="34"/>
          <w:rFonts w:ascii="宋体" w:hAnsi="宋体"/>
          <w:color w:val="auto"/>
          <w:kern w:val="0"/>
          <w:sz w:val="24"/>
        </w:rPr>
      </w:pPr>
      <w:r>
        <w:rPr>
          <w:rStyle w:val="34"/>
          <w:rFonts w:ascii="宋体" w:hAnsi="宋体"/>
          <w:color w:val="auto"/>
          <w:kern w:val="0"/>
          <w:sz w:val="24"/>
        </w:rPr>
        <w:t>（6）法律、行政法规规定的其他条件。</w:t>
      </w:r>
    </w:p>
    <w:p>
      <w:pPr>
        <w:spacing w:line="440" w:lineRule="exact"/>
        <w:ind w:firstLine="560"/>
        <w:rPr>
          <w:rStyle w:val="34"/>
          <w:rFonts w:ascii="宋体" w:hAnsi="宋体"/>
          <w:color w:val="auto"/>
          <w:kern w:val="0"/>
          <w:sz w:val="24"/>
        </w:rPr>
      </w:pPr>
      <w:r>
        <w:rPr>
          <w:rStyle w:val="34"/>
          <w:rFonts w:ascii="宋体" w:hAnsi="宋体"/>
          <w:color w:val="auto"/>
          <w:kern w:val="0"/>
          <w:sz w:val="24"/>
        </w:rPr>
        <w:t>2.落实政府采购政策需满足的资格要求：本项目为非专门面向中小企业的项目。</w:t>
      </w:r>
    </w:p>
    <w:p>
      <w:pPr>
        <w:snapToGrid w:val="0"/>
        <w:spacing w:line="380" w:lineRule="exact"/>
        <w:ind w:firstLine="480" w:firstLineChars="200"/>
        <w:rPr>
          <w:rStyle w:val="34"/>
          <w:rFonts w:ascii="宋体" w:hAnsi="宋体"/>
          <w:color w:val="auto"/>
          <w:kern w:val="0"/>
          <w:sz w:val="24"/>
        </w:rPr>
      </w:pPr>
      <w:r>
        <w:rPr>
          <w:rStyle w:val="34"/>
          <w:rFonts w:ascii="宋体" w:hAnsi="宋体"/>
          <w:color w:val="auto"/>
          <w:kern w:val="0"/>
          <w:sz w:val="24"/>
        </w:rPr>
        <w:t>3.本项目的特定资格要求：</w:t>
      </w:r>
    </w:p>
    <w:p>
      <w:pPr>
        <w:shd w:val="clear" w:color="auto" w:fill="FFFFFF"/>
        <w:spacing w:line="440" w:lineRule="exact"/>
        <w:ind w:left="-34" w:leftChars="-16" w:firstLine="360" w:firstLineChars="150"/>
        <w:rPr>
          <w:rStyle w:val="34"/>
          <w:rFonts w:ascii="宋体"/>
          <w:color w:val="auto"/>
          <w:sz w:val="24"/>
        </w:rPr>
      </w:pPr>
      <w:r>
        <w:rPr>
          <w:rStyle w:val="34"/>
          <w:rFonts w:hint="eastAsia" w:ascii="宋体"/>
          <w:color w:val="auto"/>
          <w:sz w:val="24"/>
          <w:lang w:eastAsia="zh-CN"/>
        </w:rPr>
        <w:t>投标人须具备</w:t>
      </w:r>
      <w:r>
        <w:rPr>
          <w:rStyle w:val="34"/>
          <w:rFonts w:ascii="宋体" w:hAnsi="宋体"/>
          <w:color w:val="auto"/>
          <w:sz w:val="24"/>
        </w:rPr>
        <w:t>国家测绘行政主管部门颁发的甲级测绘资质证书（含地理信息系统工程和工程测量【含地下管线测量】专业）。</w:t>
      </w:r>
    </w:p>
    <w:p>
      <w:pPr>
        <w:shd w:val="clear" w:color="auto" w:fill="FFFFFF"/>
        <w:spacing w:line="440" w:lineRule="exact"/>
        <w:ind w:left="-34" w:leftChars="-16" w:firstLine="360" w:firstLineChars="150"/>
        <w:rPr>
          <w:rStyle w:val="34"/>
          <w:rFonts w:ascii="宋体" w:hAnsi="宋体"/>
          <w:color w:val="auto"/>
          <w:sz w:val="24"/>
        </w:rPr>
      </w:pPr>
      <w:r>
        <w:rPr>
          <w:rStyle w:val="34"/>
          <w:rFonts w:ascii="宋体" w:hAnsi="宋体"/>
          <w:color w:val="auto"/>
          <w:sz w:val="24"/>
        </w:rPr>
        <w:t>三、获取招标文件：</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1、时间：</w:t>
      </w:r>
      <w:r>
        <w:rPr>
          <w:rStyle w:val="34"/>
          <w:rFonts w:ascii="宋体"/>
          <w:color w:val="auto"/>
          <w:sz w:val="24"/>
          <w:u w:val="single" w:color="FF0000"/>
        </w:rPr>
        <w:t>2021年</w:t>
      </w:r>
      <w:r>
        <w:rPr>
          <w:rStyle w:val="34"/>
          <w:rFonts w:hint="eastAsia" w:ascii="宋体"/>
          <w:color w:val="auto"/>
          <w:sz w:val="24"/>
          <w:u w:val="single" w:color="FF0000"/>
          <w:lang w:val="en-US" w:eastAsia="zh-CN"/>
        </w:rPr>
        <w:t>5</w:t>
      </w:r>
      <w:r>
        <w:rPr>
          <w:rStyle w:val="34"/>
          <w:rFonts w:ascii="宋体"/>
          <w:color w:val="auto"/>
          <w:sz w:val="24"/>
          <w:u w:val="single" w:color="FF0000"/>
        </w:rPr>
        <w:t>月</w:t>
      </w:r>
      <w:r>
        <w:rPr>
          <w:rStyle w:val="34"/>
          <w:rFonts w:hint="eastAsia" w:ascii="宋体"/>
          <w:color w:val="auto"/>
          <w:sz w:val="24"/>
          <w:u w:val="single" w:color="FF0000"/>
          <w:lang w:val="en-US" w:eastAsia="zh-CN"/>
        </w:rPr>
        <w:t>7</w:t>
      </w:r>
      <w:r>
        <w:rPr>
          <w:rStyle w:val="34"/>
          <w:rFonts w:ascii="宋体"/>
          <w:color w:val="auto"/>
          <w:sz w:val="24"/>
          <w:u w:val="single" w:color="FF0000"/>
        </w:rPr>
        <w:t>日起，2021年</w:t>
      </w:r>
      <w:r>
        <w:rPr>
          <w:rStyle w:val="34"/>
          <w:rFonts w:hint="eastAsia" w:ascii="宋体"/>
          <w:color w:val="auto"/>
          <w:sz w:val="24"/>
          <w:u w:val="single" w:color="FF0000"/>
          <w:lang w:val="en-US" w:eastAsia="zh-CN"/>
        </w:rPr>
        <w:t>5</w:t>
      </w:r>
      <w:r>
        <w:rPr>
          <w:rStyle w:val="34"/>
          <w:rFonts w:ascii="宋体"/>
          <w:color w:val="auto"/>
          <w:sz w:val="24"/>
          <w:u w:val="single" w:color="FF0000"/>
        </w:rPr>
        <w:t>月</w:t>
      </w:r>
      <w:r>
        <w:rPr>
          <w:rStyle w:val="34"/>
          <w:rFonts w:hint="eastAsia" w:ascii="宋体"/>
          <w:color w:val="auto"/>
          <w:sz w:val="24"/>
          <w:u w:val="single" w:color="FF0000"/>
          <w:lang w:val="en-US" w:eastAsia="zh-CN"/>
        </w:rPr>
        <w:t>12</w:t>
      </w:r>
      <w:r>
        <w:rPr>
          <w:rStyle w:val="34"/>
          <w:rFonts w:ascii="宋体"/>
          <w:color w:val="auto"/>
          <w:sz w:val="24"/>
          <w:u w:val="single" w:color="FF0000"/>
        </w:rPr>
        <w:t>日止</w:t>
      </w:r>
      <w:r>
        <w:rPr>
          <w:rStyle w:val="34"/>
          <w:rFonts w:ascii="宋体"/>
          <w:color w:val="auto"/>
          <w:sz w:val="24"/>
          <w:u w:val="single"/>
        </w:rPr>
        <w:t>（法定节假日除外），每日上午8：30 至12:00时，每日下午14：</w:t>
      </w:r>
      <w:r>
        <w:rPr>
          <w:rStyle w:val="34"/>
          <w:rFonts w:hint="eastAsia" w:ascii="宋体"/>
          <w:color w:val="auto"/>
          <w:sz w:val="24"/>
          <w:u w:val="single"/>
          <w:lang w:val="en-US" w:eastAsia="zh-CN"/>
        </w:rPr>
        <w:t>3</w:t>
      </w:r>
      <w:r>
        <w:rPr>
          <w:rStyle w:val="34"/>
          <w:rFonts w:ascii="宋体"/>
          <w:color w:val="auto"/>
          <w:sz w:val="24"/>
          <w:u w:val="single"/>
        </w:rPr>
        <w:t>0至17：30分。</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2、地点：</w:t>
      </w:r>
      <w:r>
        <w:rPr>
          <w:rStyle w:val="34"/>
          <w:rFonts w:ascii="宋体" w:hAnsi="宋体"/>
          <w:color w:val="auto"/>
          <w:sz w:val="24"/>
        </w:rPr>
        <w:t>泰兴市政务服务中心（文昌东路62号）3楼江苏国兴办公室</w:t>
      </w:r>
      <w:r>
        <w:rPr>
          <w:rStyle w:val="34"/>
          <w:rFonts w:ascii="宋体"/>
          <w:color w:val="auto"/>
          <w:sz w:val="24"/>
        </w:rPr>
        <w:t>。</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3、方式：投标人的法定代表人或者法定代表人的授权委托人现场领。</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（1）法定代表人现场领取文件时应提供以下资料的原件及一套盖章的复印件：法定代表人的身份证明书</w:t>
      </w:r>
      <w:r>
        <w:rPr>
          <w:rStyle w:val="34"/>
          <w:rFonts w:hint="eastAsia" w:ascii="宋体"/>
          <w:color w:val="auto"/>
          <w:sz w:val="24"/>
          <w:lang w:eastAsia="zh-CN"/>
        </w:rPr>
        <w:t>（原件）</w:t>
      </w:r>
      <w:r>
        <w:rPr>
          <w:rStyle w:val="34"/>
          <w:rFonts w:ascii="宋体"/>
          <w:color w:val="auto"/>
          <w:sz w:val="24"/>
        </w:rPr>
        <w:t>、身份证</w:t>
      </w:r>
      <w:r>
        <w:rPr>
          <w:rStyle w:val="34"/>
          <w:rFonts w:hint="eastAsia" w:ascii="宋体"/>
          <w:color w:val="auto"/>
          <w:sz w:val="24"/>
          <w:lang w:eastAsia="zh-CN"/>
        </w:rPr>
        <w:t>（复印件加盖公章）</w:t>
      </w:r>
      <w:r>
        <w:rPr>
          <w:rStyle w:val="34"/>
          <w:rFonts w:ascii="宋体"/>
          <w:color w:val="auto"/>
          <w:sz w:val="24"/>
        </w:rPr>
        <w:t>、企业营业执照</w:t>
      </w:r>
      <w:r>
        <w:rPr>
          <w:rStyle w:val="34"/>
          <w:rFonts w:hint="eastAsia" w:ascii="宋体"/>
          <w:color w:val="auto"/>
          <w:sz w:val="24"/>
          <w:lang w:eastAsia="zh-CN"/>
        </w:rPr>
        <w:t>（复印件加盖公章）</w:t>
      </w:r>
      <w:r>
        <w:rPr>
          <w:rStyle w:val="34"/>
          <w:rFonts w:ascii="宋体"/>
          <w:color w:val="auto"/>
          <w:sz w:val="24"/>
        </w:rPr>
        <w:t>、特定资格要求资料</w:t>
      </w:r>
      <w:r>
        <w:rPr>
          <w:rStyle w:val="34"/>
          <w:rFonts w:hint="eastAsia" w:ascii="宋体"/>
          <w:color w:val="auto"/>
          <w:sz w:val="24"/>
          <w:lang w:eastAsia="zh-CN"/>
        </w:rPr>
        <w:t>（复印件加盖公章）</w:t>
      </w:r>
      <w:r>
        <w:rPr>
          <w:rStyle w:val="34"/>
          <w:rFonts w:ascii="宋体"/>
          <w:color w:val="auto"/>
          <w:sz w:val="24"/>
        </w:rPr>
        <w:t>；</w:t>
      </w:r>
    </w:p>
    <w:p>
      <w:pPr>
        <w:shd w:val="clear" w:color="auto" w:fill="FFFFFF"/>
        <w:spacing w:line="440" w:lineRule="exact"/>
        <w:ind w:left="-34" w:leftChars="-16" w:firstLine="360" w:firstLineChars="150"/>
        <w:rPr>
          <w:rStyle w:val="34"/>
          <w:rFonts w:ascii="宋体"/>
          <w:b/>
          <w:color w:val="auto"/>
          <w:sz w:val="24"/>
        </w:rPr>
      </w:pPr>
      <w:r>
        <w:rPr>
          <w:rStyle w:val="34"/>
          <w:rFonts w:ascii="宋体"/>
          <w:color w:val="auto"/>
          <w:sz w:val="24"/>
        </w:rPr>
        <w:t>（2）法定代表人的授权委托人现场领取文件时应提供以下资料的原件及一套盖章的复印件：法定代表人的授权委托书</w:t>
      </w:r>
      <w:r>
        <w:rPr>
          <w:rStyle w:val="34"/>
          <w:rFonts w:hint="eastAsia" w:ascii="宋体"/>
          <w:color w:val="auto"/>
          <w:sz w:val="24"/>
          <w:lang w:eastAsia="zh-CN"/>
        </w:rPr>
        <w:t>（原件）</w:t>
      </w:r>
      <w:r>
        <w:rPr>
          <w:rStyle w:val="34"/>
          <w:rFonts w:ascii="宋体"/>
          <w:color w:val="auto"/>
          <w:sz w:val="24"/>
        </w:rPr>
        <w:t>、受委托人身份证</w:t>
      </w:r>
      <w:r>
        <w:rPr>
          <w:rStyle w:val="34"/>
          <w:rFonts w:hint="eastAsia" w:ascii="宋体"/>
          <w:color w:val="auto"/>
          <w:sz w:val="24"/>
          <w:lang w:eastAsia="zh-CN"/>
        </w:rPr>
        <w:t>（复印件加盖公章）</w:t>
      </w:r>
      <w:r>
        <w:rPr>
          <w:rStyle w:val="34"/>
          <w:rFonts w:ascii="宋体"/>
          <w:color w:val="auto"/>
          <w:sz w:val="24"/>
        </w:rPr>
        <w:t>、企业营业执照</w:t>
      </w:r>
      <w:r>
        <w:rPr>
          <w:rStyle w:val="34"/>
          <w:rFonts w:hint="eastAsia" w:ascii="宋体"/>
          <w:color w:val="auto"/>
          <w:sz w:val="24"/>
          <w:lang w:eastAsia="zh-CN"/>
        </w:rPr>
        <w:t>（复印件加盖公章）</w:t>
      </w:r>
      <w:r>
        <w:rPr>
          <w:rStyle w:val="34"/>
          <w:rFonts w:ascii="宋体"/>
          <w:color w:val="auto"/>
          <w:sz w:val="24"/>
        </w:rPr>
        <w:t>、特定资格要求资料</w:t>
      </w:r>
      <w:r>
        <w:rPr>
          <w:rStyle w:val="34"/>
          <w:rFonts w:hint="eastAsia" w:ascii="宋体"/>
          <w:color w:val="auto"/>
          <w:sz w:val="24"/>
          <w:lang w:eastAsia="zh-CN"/>
        </w:rPr>
        <w:t>（复印件加盖公章）</w:t>
      </w:r>
      <w:r>
        <w:rPr>
          <w:rStyle w:val="34"/>
          <w:rFonts w:ascii="宋体"/>
          <w:color w:val="auto"/>
          <w:sz w:val="24"/>
        </w:rPr>
        <w:t>。</w:t>
      </w:r>
    </w:p>
    <w:p>
      <w:pPr>
        <w:shd w:val="clear" w:color="auto" w:fill="FFFFFF"/>
        <w:spacing w:line="440" w:lineRule="exact"/>
        <w:ind w:left="-34" w:leftChars="-16" w:firstLine="360" w:firstLineChars="150"/>
        <w:rPr>
          <w:rStyle w:val="34"/>
          <w:rFonts w:ascii="宋体"/>
          <w:color w:val="auto"/>
          <w:sz w:val="24"/>
        </w:rPr>
      </w:pPr>
      <w:r>
        <w:rPr>
          <w:rStyle w:val="34"/>
          <w:rFonts w:ascii="宋体"/>
          <w:color w:val="auto"/>
          <w:sz w:val="24"/>
        </w:rPr>
        <w:t>4、</w:t>
      </w:r>
      <w:r>
        <w:rPr>
          <w:rStyle w:val="34"/>
          <w:rFonts w:ascii="宋体" w:hAnsi="宋体"/>
          <w:color w:val="auto"/>
          <w:kern w:val="0"/>
          <w:sz w:val="24"/>
        </w:rPr>
        <w:t>售价：300元/份，售后不退。</w:t>
      </w:r>
      <w:r>
        <w:rPr>
          <w:rStyle w:val="34"/>
          <w:rFonts w:ascii="宋体"/>
          <w:color w:val="auto"/>
          <w:sz w:val="24"/>
        </w:rPr>
        <w:t xml:space="preserve"> </w:t>
      </w:r>
    </w:p>
    <w:p>
      <w:pPr>
        <w:spacing w:line="440" w:lineRule="exact"/>
        <w:rPr>
          <w:rStyle w:val="34"/>
          <w:rFonts w:ascii="宋体"/>
          <w:color w:val="auto"/>
          <w:sz w:val="24"/>
        </w:rPr>
      </w:pPr>
      <w:r>
        <w:rPr>
          <w:rStyle w:val="34"/>
          <w:rFonts w:ascii="宋体" w:hAnsi="宋体"/>
          <w:color w:val="auto"/>
          <w:sz w:val="24"/>
        </w:rPr>
        <w:t>四、</w:t>
      </w:r>
      <w:r>
        <w:rPr>
          <w:rStyle w:val="34"/>
          <w:rFonts w:ascii="宋体" w:hAnsi="宋体"/>
          <w:color w:val="auto"/>
          <w:kern w:val="0"/>
          <w:sz w:val="24"/>
        </w:rPr>
        <w:t>提交投标文件截止时间、开标时间和地点</w:t>
      </w:r>
    </w:p>
    <w:p>
      <w:pPr>
        <w:shd w:val="clear" w:color="auto" w:fill="FFFFFF"/>
        <w:spacing w:line="440" w:lineRule="exact"/>
        <w:rPr>
          <w:rStyle w:val="34"/>
          <w:rFonts w:ascii="宋体" w:cs="宋体"/>
          <w:b/>
          <w:bCs/>
          <w:color w:val="auto"/>
          <w:sz w:val="24"/>
        </w:rPr>
      </w:pPr>
      <w:r>
        <w:rPr>
          <w:rStyle w:val="34"/>
          <w:rFonts w:ascii="宋体" w:hAnsi="宋体" w:cs="宋体"/>
          <w:b/>
          <w:bCs/>
          <w:color w:val="auto"/>
          <w:sz w:val="24"/>
        </w:rPr>
        <w:t xml:space="preserve">    </w:t>
      </w:r>
      <w:r>
        <w:rPr>
          <w:rStyle w:val="34"/>
          <w:rFonts w:ascii="宋体" w:hAnsi="宋体"/>
          <w:color w:val="auto"/>
          <w:sz w:val="24"/>
        </w:rPr>
        <w:t>1、</w:t>
      </w:r>
      <w:r>
        <w:rPr>
          <w:rStyle w:val="34"/>
          <w:rFonts w:ascii="宋体" w:hAnsi="宋体"/>
          <w:color w:val="auto"/>
          <w:kern w:val="0"/>
          <w:sz w:val="24"/>
        </w:rPr>
        <w:t xml:space="preserve"> </w:t>
      </w:r>
      <w:r>
        <w:rPr>
          <w:rStyle w:val="34"/>
          <w:rFonts w:ascii="宋体" w:hAnsi="宋体"/>
          <w:color w:val="auto"/>
          <w:kern w:val="0"/>
          <w:sz w:val="24"/>
          <w:u w:val="single" w:color="FF0000"/>
        </w:rPr>
        <w:t>2021 年</w:t>
      </w:r>
      <w:r>
        <w:rPr>
          <w:rStyle w:val="34"/>
          <w:rFonts w:hint="eastAsia" w:ascii="宋体" w:hAnsi="宋体"/>
          <w:color w:val="auto"/>
          <w:kern w:val="0"/>
          <w:sz w:val="24"/>
          <w:u w:val="single" w:color="FF0000"/>
          <w:lang w:val="en-US" w:eastAsia="zh-CN"/>
        </w:rPr>
        <w:t>5</w:t>
      </w:r>
      <w:r>
        <w:rPr>
          <w:rStyle w:val="34"/>
          <w:rFonts w:ascii="宋体" w:hAnsi="宋体"/>
          <w:color w:val="auto"/>
          <w:kern w:val="0"/>
          <w:sz w:val="24"/>
          <w:u w:val="single" w:color="FF0000"/>
        </w:rPr>
        <w:t>月</w:t>
      </w:r>
      <w:r>
        <w:rPr>
          <w:rStyle w:val="34"/>
          <w:rFonts w:hint="eastAsia" w:ascii="宋体" w:hAnsi="宋体"/>
          <w:color w:val="auto"/>
          <w:kern w:val="0"/>
          <w:sz w:val="24"/>
          <w:u w:val="single" w:color="FF0000"/>
          <w:lang w:val="en-US" w:eastAsia="zh-CN"/>
        </w:rPr>
        <w:t>28</w:t>
      </w:r>
      <w:r>
        <w:rPr>
          <w:rStyle w:val="34"/>
          <w:rFonts w:ascii="宋体" w:hAnsi="宋体"/>
          <w:color w:val="auto"/>
          <w:kern w:val="0"/>
          <w:sz w:val="24"/>
          <w:u w:val="single" w:color="FF0000"/>
        </w:rPr>
        <w:t>日</w:t>
      </w:r>
      <w:r>
        <w:rPr>
          <w:rStyle w:val="34"/>
          <w:rFonts w:hint="eastAsia" w:ascii="宋体" w:hAnsi="宋体"/>
          <w:color w:val="auto"/>
          <w:kern w:val="0"/>
          <w:sz w:val="24"/>
          <w:u w:val="single" w:color="FF0000"/>
          <w:lang w:val="en-US" w:eastAsia="zh-CN"/>
        </w:rPr>
        <w:t>15</w:t>
      </w:r>
      <w:r>
        <w:rPr>
          <w:rStyle w:val="34"/>
          <w:rFonts w:ascii="宋体" w:hAnsi="宋体"/>
          <w:color w:val="auto"/>
          <w:kern w:val="0"/>
          <w:sz w:val="24"/>
          <w:u w:val="single" w:color="FF0000"/>
        </w:rPr>
        <w:t>点</w:t>
      </w:r>
      <w:r>
        <w:rPr>
          <w:rStyle w:val="34"/>
          <w:rFonts w:hint="eastAsia" w:ascii="宋体" w:hAnsi="宋体"/>
          <w:color w:val="auto"/>
          <w:kern w:val="0"/>
          <w:sz w:val="24"/>
          <w:u w:val="single" w:color="FF0000"/>
          <w:lang w:val="en-US" w:eastAsia="zh-CN"/>
        </w:rPr>
        <w:t>00</w:t>
      </w:r>
      <w:r>
        <w:rPr>
          <w:rStyle w:val="34"/>
          <w:rFonts w:ascii="宋体" w:hAnsi="宋体"/>
          <w:color w:val="auto"/>
          <w:kern w:val="0"/>
          <w:sz w:val="24"/>
          <w:u w:val="single" w:color="FF0000"/>
        </w:rPr>
        <w:t>分</w:t>
      </w:r>
      <w:r>
        <w:rPr>
          <w:rStyle w:val="34"/>
          <w:rFonts w:ascii="宋体" w:hAnsi="宋体"/>
          <w:color w:val="auto"/>
          <w:kern w:val="0"/>
          <w:sz w:val="24"/>
        </w:rPr>
        <w:t>止（北京时间）</w:t>
      </w:r>
      <w:r>
        <w:rPr>
          <w:rStyle w:val="34"/>
          <w:rFonts w:ascii="宋体" w:hAnsi="宋体" w:cs="宋体"/>
          <w:b/>
          <w:bCs/>
          <w:color w:val="auto"/>
          <w:sz w:val="24"/>
        </w:rPr>
        <w:t>。</w:t>
      </w:r>
    </w:p>
    <w:p>
      <w:pPr>
        <w:shd w:val="clear" w:color="auto" w:fill="FFFFFF"/>
        <w:spacing w:line="440" w:lineRule="exact"/>
        <w:rPr>
          <w:rStyle w:val="34"/>
          <w:rFonts w:ascii="宋体"/>
          <w:color w:val="auto"/>
          <w:sz w:val="24"/>
          <w:u w:val="single"/>
        </w:rPr>
      </w:pPr>
      <w:r>
        <w:rPr>
          <w:rStyle w:val="34"/>
          <w:rFonts w:ascii="宋体" w:hAnsi="宋体"/>
          <w:color w:val="auto"/>
          <w:sz w:val="24"/>
        </w:rPr>
        <w:t xml:space="preserve">    2、地点：泰兴市政务服务中心（文昌东路62号）3楼开标四室。</w:t>
      </w:r>
    </w:p>
    <w:p>
      <w:pPr>
        <w:pStyle w:val="176"/>
        <w:spacing w:line="440" w:lineRule="exact"/>
        <w:jc w:val="both"/>
        <w:rPr>
          <w:rStyle w:val="34"/>
          <w:rFonts w:eastAsia="宋体"/>
          <w:color w:val="auto"/>
        </w:rPr>
      </w:pPr>
      <w:r>
        <w:rPr>
          <w:rStyle w:val="34"/>
          <w:rFonts w:eastAsia="宋体"/>
          <w:color w:val="auto"/>
        </w:rPr>
        <w:t>五、公告期限</w:t>
      </w:r>
    </w:p>
    <w:p>
      <w:pPr>
        <w:shd w:val="clear" w:color="auto" w:fill="FFFFFF"/>
        <w:spacing w:line="440" w:lineRule="exact"/>
        <w:ind w:firstLine="480"/>
        <w:rPr>
          <w:rStyle w:val="34"/>
          <w:rFonts w:ascii="宋体" w:hAnsi="宋体"/>
          <w:color w:val="auto"/>
          <w:sz w:val="24"/>
        </w:rPr>
      </w:pPr>
      <w:r>
        <w:rPr>
          <w:rStyle w:val="34"/>
          <w:rFonts w:ascii="宋体" w:hAnsi="宋体"/>
          <w:color w:val="auto"/>
          <w:sz w:val="24"/>
        </w:rPr>
        <w:t>自本公告发布之日起5个工作日</w:t>
      </w:r>
    </w:p>
    <w:p>
      <w:pPr>
        <w:shd w:val="clear" w:color="auto" w:fill="FFFFFF"/>
        <w:spacing w:line="440" w:lineRule="exact"/>
        <w:rPr>
          <w:rStyle w:val="34"/>
          <w:rFonts w:ascii="宋体"/>
          <w:color w:val="auto"/>
          <w:sz w:val="24"/>
        </w:rPr>
      </w:pPr>
      <w:r>
        <w:rPr>
          <w:rStyle w:val="34"/>
          <w:rFonts w:ascii="宋体" w:hAnsi="宋体"/>
          <w:color w:val="auto"/>
          <w:sz w:val="24"/>
        </w:rPr>
        <w:t>六、</w:t>
      </w:r>
      <w:r>
        <w:rPr>
          <w:rStyle w:val="34"/>
          <w:rFonts w:ascii="宋体" w:hAnsi="宋体"/>
          <w:color w:val="auto"/>
          <w:kern w:val="0"/>
          <w:sz w:val="24"/>
        </w:rPr>
        <w:t>其他补充事宜</w:t>
      </w:r>
    </w:p>
    <w:p>
      <w:pPr>
        <w:shd w:val="clear" w:color="auto" w:fill="FFFFFF"/>
        <w:spacing w:line="440" w:lineRule="exact"/>
        <w:rPr>
          <w:rStyle w:val="34"/>
          <w:rFonts w:ascii="宋体"/>
          <w:color w:val="auto"/>
          <w:sz w:val="24"/>
        </w:rPr>
      </w:pPr>
      <w:r>
        <w:rPr>
          <w:rStyle w:val="34"/>
          <w:rFonts w:ascii="宋体" w:hAnsi="宋体"/>
          <w:color w:val="auto"/>
          <w:sz w:val="24"/>
        </w:rPr>
        <w:t xml:space="preserve">    1、确认函递交截止时间</w:t>
      </w:r>
    </w:p>
    <w:p>
      <w:pPr>
        <w:shd w:val="clear" w:color="auto" w:fill="FFFFFF"/>
        <w:spacing w:line="440" w:lineRule="exact"/>
        <w:ind w:firstLine="480"/>
        <w:rPr>
          <w:rStyle w:val="34"/>
          <w:rFonts w:ascii="宋体" w:cs="宋体"/>
          <w:b/>
          <w:bCs/>
          <w:color w:val="auto"/>
          <w:sz w:val="24"/>
        </w:rPr>
      </w:pPr>
      <w:r>
        <w:rPr>
          <w:rStyle w:val="34"/>
          <w:rFonts w:ascii="宋体" w:hAnsi="宋体" w:cs="宋体"/>
          <w:b/>
          <w:bCs/>
          <w:color w:val="auto"/>
          <w:sz w:val="24"/>
        </w:rPr>
        <w:t>确认函递交截止时间：</w:t>
      </w:r>
      <w:r>
        <w:rPr>
          <w:rStyle w:val="34"/>
          <w:rFonts w:ascii="宋体" w:hAnsi="宋体" w:cs="宋体"/>
          <w:b/>
          <w:bCs/>
          <w:color w:val="auto"/>
          <w:sz w:val="24"/>
          <w:u w:val="single" w:color="FF0000"/>
        </w:rPr>
        <w:t>2021</w:t>
      </w:r>
      <w:r>
        <w:rPr>
          <w:rStyle w:val="34"/>
          <w:rFonts w:ascii="宋体" w:hAnsi="宋体" w:cs="宋体"/>
          <w:b/>
          <w:bCs/>
          <w:color w:val="auto"/>
          <w:sz w:val="24"/>
        </w:rPr>
        <w:t>年</w:t>
      </w:r>
      <w:r>
        <w:rPr>
          <w:rStyle w:val="34"/>
          <w:rFonts w:hint="eastAsia" w:ascii="宋体" w:hAnsi="宋体" w:cs="宋体"/>
          <w:b/>
          <w:bCs/>
          <w:color w:val="auto"/>
          <w:sz w:val="24"/>
          <w:u w:val="single" w:color="FF0000"/>
          <w:lang w:val="en-US" w:eastAsia="zh-CN"/>
        </w:rPr>
        <w:t>5</w:t>
      </w:r>
      <w:r>
        <w:rPr>
          <w:rStyle w:val="34"/>
          <w:rFonts w:ascii="宋体" w:hAnsi="宋体" w:cs="宋体"/>
          <w:b/>
          <w:bCs/>
          <w:color w:val="auto"/>
          <w:sz w:val="24"/>
        </w:rPr>
        <w:t>月</w:t>
      </w:r>
      <w:r>
        <w:rPr>
          <w:rStyle w:val="34"/>
          <w:rFonts w:hint="eastAsia" w:ascii="宋体" w:hAnsi="宋体" w:cs="宋体"/>
          <w:b/>
          <w:bCs/>
          <w:color w:val="auto"/>
          <w:sz w:val="24"/>
          <w:u w:val="single" w:color="FF0000"/>
          <w:lang w:val="en-US" w:eastAsia="zh-CN"/>
        </w:rPr>
        <w:t>14</w:t>
      </w:r>
      <w:r>
        <w:rPr>
          <w:rStyle w:val="34"/>
          <w:rFonts w:ascii="宋体" w:hAnsi="宋体" w:cs="宋体"/>
          <w:b/>
          <w:bCs/>
          <w:color w:val="auto"/>
          <w:sz w:val="24"/>
        </w:rPr>
        <w:t>日</w:t>
      </w:r>
      <w:r>
        <w:rPr>
          <w:rStyle w:val="34"/>
          <w:rFonts w:ascii="宋体" w:hAnsi="宋体" w:cs="宋体"/>
          <w:b/>
          <w:bCs/>
          <w:color w:val="auto"/>
          <w:sz w:val="24"/>
          <w:u w:val="single" w:color="FF0000"/>
        </w:rPr>
        <w:t>17:30</w:t>
      </w:r>
      <w:r>
        <w:rPr>
          <w:rStyle w:val="34"/>
          <w:rFonts w:ascii="宋体" w:hAnsi="宋体" w:cs="宋体"/>
          <w:b/>
          <w:bCs/>
          <w:color w:val="auto"/>
          <w:sz w:val="24"/>
        </w:rPr>
        <w:t>时止。</w:t>
      </w:r>
    </w:p>
    <w:p>
      <w:pPr>
        <w:shd w:val="clear" w:color="auto" w:fill="FFFFFF"/>
        <w:spacing w:line="440" w:lineRule="exact"/>
        <w:ind w:firstLine="480"/>
        <w:rPr>
          <w:rStyle w:val="34"/>
          <w:rFonts w:ascii="宋体" w:cs="宋体"/>
          <w:b/>
          <w:bCs/>
          <w:color w:val="auto"/>
          <w:sz w:val="24"/>
        </w:rPr>
      </w:pPr>
      <w:r>
        <w:rPr>
          <w:rStyle w:val="34"/>
          <w:rFonts w:ascii="宋体" w:hAnsi="宋体" w:cs="宋体"/>
          <w:b/>
          <w:bCs/>
          <w:color w:val="auto"/>
          <w:sz w:val="24"/>
        </w:rPr>
        <w:t>逾时未递交《投标确认函》的，将不能参加本次项目的投标。</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2、确认函递交方式</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供应商应在确认函递交截止时间前，将《投标确认函》以电子邮件发至邮箱：574571823@qq.com或者现场递交至泰兴市政务服务中心（文昌东路62号）3楼江苏国兴办公室。</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3、供应商如实填写投标确认函中的有关内容和信息，如内容不完整，造成采购机构无法联系的，其引发的不良后果由供应商自行承担。</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4、已提交确认函的供应商，如无正当理由不参加本项目投标，政府采购监管部门有权作出不利于供应商的处理。</w:t>
      </w:r>
    </w:p>
    <w:p>
      <w:pPr>
        <w:pStyle w:val="141"/>
        <w:spacing w:before="0" w:after="0" w:line="440" w:lineRule="exact"/>
        <w:ind w:firstLineChars="200"/>
        <w:jc w:val="both"/>
        <w:rPr>
          <w:rStyle w:val="34"/>
          <w:rFonts w:ascii="宋体" w:hAnsi="宋体"/>
          <w:color w:val="auto"/>
        </w:rPr>
      </w:pPr>
      <w:r>
        <w:rPr>
          <w:rStyle w:val="34"/>
          <w:rFonts w:hint="eastAsia" w:ascii="宋体" w:hAnsi="宋体"/>
          <w:color w:val="auto"/>
        </w:rPr>
        <w:t>5</w:t>
      </w:r>
      <w:r>
        <w:rPr>
          <w:rStyle w:val="34"/>
          <w:rFonts w:ascii="宋体" w:hAnsi="宋体"/>
          <w:color w:val="auto"/>
        </w:rPr>
        <w:t>. 公告发布媒介：</w:t>
      </w:r>
    </w:p>
    <w:p>
      <w:pPr>
        <w:spacing w:line="440" w:lineRule="exact"/>
        <w:ind w:firstLine="560"/>
        <w:rPr>
          <w:rStyle w:val="34"/>
          <w:rFonts w:ascii="宋体" w:hAnsi="宋体"/>
          <w:color w:val="auto"/>
          <w:kern w:val="0"/>
          <w:sz w:val="24"/>
        </w:rPr>
      </w:pPr>
      <w:r>
        <w:rPr>
          <w:rStyle w:val="34"/>
          <w:rFonts w:ascii="宋体" w:hAnsi="宋体"/>
          <w:color w:val="auto"/>
          <w:kern w:val="0"/>
          <w:sz w:val="24"/>
        </w:rPr>
        <w:t>江苏政府采购网（www.ccgp-jiangsu.gov.cn）</w:t>
      </w:r>
    </w:p>
    <w:p>
      <w:pPr>
        <w:spacing w:line="440" w:lineRule="exact"/>
        <w:ind w:firstLine="560"/>
        <w:rPr>
          <w:rStyle w:val="34"/>
          <w:rFonts w:ascii="宋体" w:hAnsi="宋体"/>
          <w:color w:val="auto"/>
          <w:kern w:val="0"/>
          <w:sz w:val="24"/>
        </w:rPr>
      </w:pPr>
      <w:r>
        <w:rPr>
          <w:rStyle w:val="34"/>
          <w:rFonts w:ascii="宋体" w:hAnsi="宋体"/>
          <w:color w:val="auto"/>
          <w:kern w:val="0"/>
          <w:sz w:val="24"/>
        </w:rPr>
        <w:t>泰州市政务管理办公室公共资源交易平台-泰兴站（http://zwfw.taizhou.gov.cn/ggzy/tx/）</w:t>
      </w:r>
    </w:p>
    <w:p>
      <w:pPr>
        <w:numPr>
          <w:ilvl w:val="0"/>
          <w:numId w:val="6"/>
        </w:numPr>
        <w:shd w:val="clear" w:color="auto" w:fill="FFFFFF"/>
        <w:spacing w:line="440" w:lineRule="exact"/>
        <w:rPr>
          <w:rStyle w:val="34"/>
          <w:rFonts w:ascii="宋体" w:hAnsi="宋体"/>
          <w:color w:val="auto"/>
          <w:kern w:val="0"/>
          <w:sz w:val="24"/>
        </w:rPr>
      </w:pPr>
      <w:r>
        <w:rPr>
          <w:rStyle w:val="34"/>
          <w:rFonts w:ascii="宋体" w:hAnsi="宋体"/>
          <w:color w:val="auto"/>
          <w:kern w:val="0"/>
          <w:sz w:val="24"/>
        </w:rPr>
        <w:t>对本次招标提出询问，请按以下方式联系</w:t>
      </w:r>
    </w:p>
    <w:p>
      <w:pPr>
        <w:spacing w:line="440" w:lineRule="exact"/>
        <w:ind w:firstLine="560"/>
        <w:jc w:val="left"/>
        <w:rPr>
          <w:rStyle w:val="34"/>
          <w:rFonts w:ascii="宋体" w:hAnsi="宋体"/>
          <w:color w:val="auto"/>
          <w:kern w:val="0"/>
          <w:sz w:val="24"/>
        </w:rPr>
      </w:pPr>
      <w:r>
        <w:rPr>
          <w:rStyle w:val="34"/>
          <w:rFonts w:ascii="宋体" w:hAnsi="宋体"/>
          <w:color w:val="auto"/>
          <w:kern w:val="0"/>
          <w:sz w:val="24"/>
        </w:rPr>
        <w:t>1.采购人信息</w:t>
      </w:r>
    </w:p>
    <w:p>
      <w:pPr>
        <w:spacing w:line="440" w:lineRule="exact"/>
        <w:ind w:firstLine="560"/>
        <w:jc w:val="left"/>
        <w:rPr>
          <w:rStyle w:val="34"/>
          <w:rFonts w:hint="eastAsia" w:ascii="宋体" w:hAnsi="宋体" w:eastAsia="宋体"/>
          <w:color w:val="auto"/>
          <w:kern w:val="0"/>
          <w:sz w:val="24"/>
          <w:lang w:eastAsia="zh-CN"/>
        </w:rPr>
      </w:pPr>
      <w:r>
        <w:rPr>
          <w:rStyle w:val="34"/>
          <w:rFonts w:ascii="宋体" w:hAnsi="宋体"/>
          <w:color w:val="auto"/>
          <w:kern w:val="0"/>
          <w:sz w:val="24"/>
        </w:rPr>
        <w:t>名称：</w:t>
      </w:r>
      <w:r>
        <w:rPr>
          <w:rStyle w:val="34"/>
          <w:rFonts w:hint="eastAsia" w:ascii="宋体" w:hAnsi="宋体" w:cs="宋体"/>
          <w:bCs/>
          <w:color w:val="auto"/>
          <w:sz w:val="24"/>
          <w:u w:val="single"/>
          <w:lang w:eastAsia="zh-CN"/>
        </w:rPr>
        <w:t>泰兴市市政公用事业服务中心（市园林绿化服务中心、市城建档案馆）</w:t>
      </w:r>
    </w:p>
    <w:p>
      <w:pPr>
        <w:spacing w:line="440" w:lineRule="exact"/>
        <w:ind w:firstLine="560"/>
        <w:jc w:val="left"/>
        <w:rPr>
          <w:rStyle w:val="34"/>
          <w:rFonts w:ascii="宋体" w:hAnsi="宋体"/>
          <w:color w:val="auto"/>
          <w:kern w:val="0"/>
          <w:sz w:val="24"/>
        </w:rPr>
      </w:pPr>
      <w:r>
        <w:rPr>
          <w:rStyle w:val="34"/>
          <w:rFonts w:ascii="宋体" w:hAnsi="宋体"/>
          <w:color w:val="auto"/>
          <w:kern w:val="0"/>
          <w:sz w:val="24"/>
        </w:rPr>
        <w:t>地址：</w:t>
      </w:r>
      <w:r>
        <w:rPr>
          <w:rStyle w:val="34"/>
          <w:rFonts w:ascii="宋体" w:hAnsi="宋体"/>
          <w:color w:val="auto"/>
          <w:sz w:val="24"/>
          <w:u w:val="single"/>
        </w:rPr>
        <w:t>泰兴市</w:t>
      </w:r>
      <w:r>
        <w:rPr>
          <w:rStyle w:val="34"/>
          <w:rFonts w:hint="eastAsia" w:ascii="宋体" w:hAnsi="宋体"/>
          <w:color w:val="auto"/>
          <w:sz w:val="24"/>
          <w:u w:val="single"/>
        </w:rPr>
        <w:t>曾涛路1</w:t>
      </w:r>
      <w:r>
        <w:rPr>
          <w:rStyle w:val="34"/>
          <w:rFonts w:ascii="宋体" w:hAnsi="宋体"/>
          <w:color w:val="auto"/>
          <w:sz w:val="24"/>
          <w:u w:val="single"/>
        </w:rPr>
        <w:t>62号</w:t>
      </w:r>
    </w:p>
    <w:p>
      <w:pPr>
        <w:spacing w:line="440" w:lineRule="exact"/>
        <w:ind w:firstLine="560"/>
        <w:jc w:val="left"/>
        <w:rPr>
          <w:rStyle w:val="34"/>
          <w:rFonts w:ascii="宋体" w:hAnsi="宋体"/>
          <w:color w:val="auto"/>
          <w:kern w:val="0"/>
          <w:sz w:val="24"/>
        </w:rPr>
      </w:pPr>
      <w:r>
        <w:rPr>
          <w:rStyle w:val="34"/>
          <w:rFonts w:ascii="宋体" w:hAnsi="宋体"/>
          <w:color w:val="auto"/>
          <w:kern w:val="0"/>
          <w:sz w:val="24"/>
        </w:rPr>
        <w:t>联系方式：</w:t>
      </w:r>
      <w:r>
        <w:rPr>
          <w:rStyle w:val="34"/>
          <w:rFonts w:ascii="宋体" w:hAnsi="宋体"/>
          <w:color w:val="auto"/>
          <w:sz w:val="24"/>
          <w:u w:val="single"/>
        </w:rPr>
        <w:t>0523-87771926</w:t>
      </w:r>
    </w:p>
    <w:p>
      <w:pPr>
        <w:spacing w:line="440" w:lineRule="exact"/>
        <w:ind w:firstLine="560"/>
        <w:jc w:val="left"/>
        <w:rPr>
          <w:rStyle w:val="34"/>
          <w:rFonts w:ascii="宋体" w:hAnsi="宋体"/>
          <w:color w:val="auto"/>
          <w:kern w:val="0"/>
          <w:sz w:val="24"/>
        </w:rPr>
      </w:pPr>
      <w:r>
        <w:rPr>
          <w:rStyle w:val="34"/>
          <w:rFonts w:ascii="宋体" w:hAnsi="宋体"/>
          <w:color w:val="auto"/>
          <w:kern w:val="0"/>
          <w:sz w:val="24"/>
        </w:rPr>
        <w:t>2.采购代理机构信息</w:t>
      </w:r>
    </w:p>
    <w:p>
      <w:pPr>
        <w:spacing w:line="440" w:lineRule="exact"/>
        <w:ind w:firstLine="560"/>
        <w:rPr>
          <w:rStyle w:val="34"/>
          <w:rFonts w:ascii="宋体" w:hAnsi="宋体"/>
          <w:color w:val="auto"/>
          <w:kern w:val="0"/>
          <w:sz w:val="24"/>
        </w:rPr>
      </w:pPr>
      <w:r>
        <w:rPr>
          <w:rStyle w:val="34"/>
          <w:rFonts w:ascii="宋体" w:hAnsi="宋体"/>
          <w:color w:val="auto"/>
          <w:kern w:val="0"/>
          <w:sz w:val="24"/>
        </w:rPr>
        <w:t>名 称：</w:t>
      </w:r>
      <w:r>
        <w:rPr>
          <w:rStyle w:val="34"/>
          <w:rFonts w:ascii="宋体" w:hAnsi="宋体"/>
          <w:color w:val="auto"/>
          <w:sz w:val="24"/>
          <w:u w:val="single"/>
        </w:rPr>
        <w:t>江苏国兴建设项目管理有限公司</w:t>
      </w:r>
    </w:p>
    <w:p>
      <w:pPr>
        <w:spacing w:line="440" w:lineRule="exact"/>
        <w:ind w:firstLine="560"/>
        <w:rPr>
          <w:rStyle w:val="34"/>
          <w:rFonts w:ascii="宋体" w:hAnsi="宋体"/>
          <w:color w:val="auto"/>
          <w:sz w:val="24"/>
          <w:u w:val="single"/>
        </w:rPr>
      </w:pPr>
      <w:r>
        <w:rPr>
          <w:rStyle w:val="34"/>
          <w:rFonts w:ascii="宋体" w:hAnsi="宋体"/>
          <w:color w:val="auto"/>
          <w:kern w:val="0"/>
          <w:sz w:val="24"/>
        </w:rPr>
        <w:t>地　址：</w:t>
      </w:r>
      <w:r>
        <w:rPr>
          <w:rStyle w:val="34"/>
          <w:rFonts w:ascii="宋体" w:hAnsi="宋体"/>
          <w:color w:val="auto"/>
          <w:sz w:val="24"/>
          <w:u w:val="single"/>
        </w:rPr>
        <w:t>济川路36号</w:t>
      </w:r>
    </w:p>
    <w:p>
      <w:pPr>
        <w:spacing w:line="440" w:lineRule="exact"/>
        <w:ind w:firstLine="560"/>
        <w:rPr>
          <w:rStyle w:val="34"/>
          <w:rFonts w:ascii="宋体" w:hAnsi="宋体"/>
          <w:color w:val="auto"/>
          <w:sz w:val="24"/>
          <w:u w:val="single"/>
        </w:rPr>
      </w:pPr>
      <w:r>
        <w:rPr>
          <w:rStyle w:val="34"/>
          <w:rFonts w:ascii="宋体" w:hAnsi="宋体"/>
          <w:color w:val="auto"/>
          <w:kern w:val="0"/>
          <w:sz w:val="24"/>
        </w:rPr>
        <w:t>联系方式：</w:t>
      </w:r>
      <w:r>
        <w:rPr>
          <w:rStyle w:val="34"/>
          <w:rFonts w:ascii="宋体"/>
          <w:color w:val="auto"/>
          <w:sz w:val="24"/>
          <w:u w:val="single"/>
        </w:rPr>
        <w:t> </w:t>
      </w:r>
      <w:r>
        <w:rPr>
          <w:rStyle w:val="34"/>
          <w:rFonts w:ascii="宋体" w:hAnsi="宋体"/>
          <w:color w:val="auto"/>
          <w:sz w:val="24"/>
          <w:u w:val="single"/>
        </w:rPr>
        <w:t>17701421886</w:t>
      </w:r>
    </w:p>
    <w:p>
      <w:pPr>
        <w:spacing w:line="440" w:lineRule="exact"/>
        <w:ind w:firstLine="560"/>
        <w:rPr>
          <w:rStyle w:val="34"/>
          <w:rFonts w:ascii="宋体" w:hAnsi="宋体"/>
          <w:color w:val="auto"/>
          <w:kern w:val="0"/>
          <w:sz w:val="24"/>
        </w:rPr>
      </w:pPr>
      <w:r>
        <w:rPr>
          <w:rStyle w:val="34"/>
          <w:rFonts w:ascii="宋体" w:hAnsi="宋体"/>
          <w:color w:val="auto"/>
          <w:kern w:val="0"/>
          <w:sz w:val="24"/>
        </w:rPr>
        <w:t>3.项目联系方式</w:t>
      </w:r>
    </w:p>
    <w:p>
      <w:pPr>
        <w:spacing w:line="440" w:lineRule="exact"/>
        <w:ind w:firstLine="560"/>
        <w:rPr>
          <w:rStyle w:val="34"/>
          <w:rFonts w:ascii="宋体" w:hAnsi="宋体"/>
          <w:color w:val="auto"/>
          <w:kern w:val="0"/>
          <w:sz w:val="24"/>
        </w:rPr>
      </w:pPr>
      <w:r>
        <w:rPr>
          <w:rStyle w:val="34"/>
          <w:rFonts w:ascii="宋体" w:hAnsi="宋体"/>
          <w:color w:val="auto"/>
          <w:kern w:val="0"/>
          <w:sz w:val="24"/>
        </w:rPr>
        <w:t>项目联系人：</w:t>
      </w:r>
      <w:r>
        <w:rPr>
          <w:rStyle w:val="34"/>
          <w:rFonts w:hint="eastAsia" w:ascii="宋体" w:hAnsi="宋体" w:cs="宋体"/>
          <w:bCs/>
          <w:color w:val="auto"/>
          <w:sz w:val="24"/>
          <w:u w:val="single"/>
          <w:lang w:eastAsia="zh-CN"/>
        </w:rPr>
        <w:t>泰兴市市政公用事业服务中心（市园林绿化服务中心、市城建档案馆）</w:t>
      </w:r>
      <w:r>
        <w:rPr>
          <w:rStyle w:val="34"/>
          <w:rFonts w:ascii="宋体" w:hAnsi="宋体"/>
          <w:color w:val="auto"/>
          <w:kern w:val="0"/>
          <w:sz w:val="24"/>
          <w:u w:val="single" w:color="000000"/>
        </w:rPr>
        <w:t xml:space="preserve">   王霖</w:t>
      </w:r>
    </w:p>
    <w:p>
      <w:pPr>
        <w:spacing w:line="440" w:lineRule="exact"/>
        <w:ind w:firstLine="560"/>
        <w:rPr>
          <w:rStyle w:val="34"/>
          <w:rFonts w:ascii="宋体" w:hAnsi="宋体"/>
          <w:color w:val="auto"/>
          <w:kern w:val="0"/>
          <w:sz w:val="24"/>
        </w:rPr>
      </w:pPr>
      <w:r>
        <w:rPr>
          <w:rStyle w:val="34"/>
          <w:rFonts w:ascii="宋体" w:hAnsi="宋体"/>
          <w:color w:val="auto"/>
          <w:kern w:val="0"/>
          <w:sz w:val="24"/>
        </w:rPr>
        <w:t>电　话：</w:t>
      </w:r>
      <w:r>
        <w:rPr>
          <w:rStyle w:val="34"/>
          <w:rFonts w:ascii="宋体" w:hAnsi="宋体"/>
          <w:color w:val="auto"/>
          <w:sz w:val="24"/>
          <w:u w:val="single" w:color="FF0000"/>
        </w:rPr>
        <w:t>15190601859</w:t>
      </w:r>
    </w:p>
    <w:p>
      <w:pPr>
        <w:spacing w:line="440" w:lineRule="exact"/>
        <w:ind w:firstLine="560"/>
        <w:rPr>
          <w:rStyle w:val="34"/>
          <w:rFonts w:ascii="宋体" w:hAnsi="宋体"/>
          <w:color w:val="auto"/>
          <w:kern w:val="0"/>
          <w:sz w:val="24"/>
        </w:rPr>
      </w:pPr>
      <w:r>
        <w:rPr>
          <w:rStyle w:val="34"/>
          <w:rFonts w:ascii="宋体" w:hAnsi="宋体"/>
          <w:color w:val="auto"/>
          <w:kern w:val="0"/>
          <w:sz w:val="24"/>
        </w:rPr>
        <w:t>项目联系人：</w:t>
      </w:r>
      <w:r>
        <w:rPr>
          <w:rStyle w:val="34"/>
          <w:rFonts w:ascii="宋体" w:hAnsi="宋体"/>
          <w:color w:val="auto"/>
          <w:sz w:val="24"/>
          <w:u w:val="single"/>
        </w:rPr>
        <w:t>江苏国兴建设项目管理有限公司</w:t>
      </w:r>
      <w:r>
        <w:rPr>
          <w:rStyle w:val="34"/>
          <w:rFonts w:ascii="宋体" w:hAnsi="宋体"/>
          <w:color w:val="auto"/>
          <w:kern w:val="0"/>
          <w:sz w:val="24"/>
          <w:u w:val="single" w:color="000000"/>
        </w:rPr>
        <w:t xml:space="preserve">   刘雪芬</w:t>
      </w:r>
    </w:p>
    <w:p>
      <w:pPr>
        <w:spacing w:line="440" w:lineRule="exact"/>
        <w:ind w:firstLine="560"/>
        <w:rPr>
          <w:rStyle w:val="34"/>
          <w:color w:val="auto"/>
          <w:sz w:val="24"/>
        </w:rPr>
      </w:pPr>
      <w:r>
        <w:rPr>
          <w:rStyle w:val="34"/>
          <w:rFonts w:ascii="宋体" w:hAnsi="宋体"/>
          <w:color w:val="auto"/>
          <w:kern w:val="0"/>
          <w:sz w:val="24"/>
        </w:rPr>
        <w:t>电　话：</w:t>
      </w:r>
      <w:r>
        <w:rPr>
          <w:rStyle w:val="34"/>
          <w:rFonts w:ascii="宋体" w:hAnsi="宋体"/>
          <w:color w:val="auto"/>
          <w:sz w:val="24"/>
          <w:u w:val="single"/>
        </w:rPr>
        <w:t>17701421886</w:t>
      </w:r>
    </w:p>
    <w:p>
      <w:pPr>
        <w:pStyle w:val="141"/>
        <w:spacing w:before="0" w:after="0" w:line="440" w:lineRule="exact"/>
        <w:ind w:firstLine="482" w:firstLineChars="200"/>
        <w:jc w:val="both"/>
        <w:rPr>
          <w:rStyle w:val="34"/>
          <w:rFonts w:ascii="宋体" w:hAnsi="宋体"/>
          <w:color w:val="auto"/>
          <w:sz w:val="21"/>
          <w:szCs w:val="21"/>
        </w:rPr>
      </w:pPr>
      <w:r>
        <w:rPr>
          <w:rStyle w:val="34"/>
          <w:rFonts w:ascii="宋体" w:hAnsi="宋体"/>
          <w:b/>
          <w:color w:val="auto"/>
          <w:szCs w:val="21"/>
        </w:rPr>
        <w:br w:type="page"/>
      </w:r>
      <w:r>
        <w:rPr>
          <w:rStyle w:val="34"/>
          <w:rFonts w:ascii="宋体" w:hAnsi="宋体"/>
          <w:color w:val="auto"/>
        </w:rPr>
        <w:t>参考格式：</w:t>
      </w:r>
    </w:p>
    <w:p>
      <w:pPr>
        <w:jc w:val="center"/>
        <w:rPr>
          <w:rStyle w:val="34"/>
          <w:rFonts w:ascii="宋体" w:hAnsi="宋体"/>
          <w:b/>
          <w:color w:val="auto"/>
          <w:szCs w:val="21"/>
        </w:rPr>
      </w:pPr>
    </w:p>
    <w:p>
      <w:pPr>
        <w:pStyle w:val="141"/>
        <w:spacing w:before="0" w:after="0" w:line="440" w:lineRule="exact"/>
        <w:ind w:firstLine="562" w:firstLineChars="200"/>
        <w:jc w:val="center"/>
        <w:rPr>
          <w:rStyle w:val="34"/>
          <w:rFonts w:ascii="宋体" w:hAnsi="宋体"/>
          <w:b/>
          <w:color w:val="auto"/>
          <w:sz w:val="21"/>
          <w:szCs w:val="21"/>
        </w:rPr>
      </w:pPr>
      <w:r>
        <w:rPr>
          <w:rStyle w:val="34"/>
          <w:rFonts w:ascii="宋体" w:hAnsi="宋体"/>
          <w:b/>
          <w:color w:val="auto"/>
          <w:sz w:val="28"/>
          <w:szCs w:val="28"/>
        </w:rPr>
        <w:t>投标确认函</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江苏国兴建设项目管理有限公司：</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我单位已获取了贵单位</w:t>
      </w:r>
      <w:r>
        <w:rPr>
          <w:rStyle w:val="34"/>
          <w:rFonts w:ascii="宋体" w:hAnsi="宋体"/>
          <w:color w:val="auto"/>
          <w:u w:val="single"/>
        </w:rPr>
        <w:t>泰兴市排水GIS系统</w:t>
      </w:r>
      <w:r>
        <w:rPr>
          <w:rStyle w:val="34"/>
          <w:rFonts w:ascii="宋体" w:hAnsi="宋体"/>
          <w:color w:val="auto"/>
        </w:rPr>
        <w:t>项目（项目编号：</w:t>
      </w:r>
      <w:r>
        <w:rPr>
          <w:rStyle w:val="34"/>
          <w:rFonts w:hint="default" w:ascii="宋体" w:hAnsi="Times New Roman" w:cstheme="minorBidi"/>
          <w:b w:val="0"/>
          <w:bCs w:val="0"/>
          <w:color w:val="auto"/>
          <w:sz w:val="24"/>
          <w:szCs w:val="24"/>
          <w:lang w:val="en-US" w:eastAsia="zh-CN"/>
        </w:rPr>
        <w:t>TXS20210506312</w:t>
      </w:r>
      <w:r>
        <w:rPr>
          <w:rStyle w:val="34"/>
          <w:rFonts w:ascii="宋体" w:hAnsi="宋体"/>
          <w:color w:val="auto"/>
        </w:rPr>
        <w:t>）的招标文件，经我单位研究，决定准时参加本项目的投标。</w:t>
      </w:r>
      <w:r>
        <w:rPr>
          <w:rStyle w:val="34"/>
          <w:rFonts w:ascii="宋体" w:hAnsi="宋体"/>
          <w:color w:val="auto"/>
        </w:rPr>
        <w:br w:type="textWrapping"/>
      </w:r>
      <w:r>
        <w:rPr>
          <w:rStyle w:val="34"/>
          <w:rFonts w:ascii="宋体" w:hAnsi="宋体"/>
          <w:color w:val="auto"/>
        </w:rPr>
        <w:t xml:space="preserve">    我单位名称：</w:t>
      </w:r>
      <w:r>
        <w:rPr>
          <w:rStyle w:val="34"/>
          <w:rFonts w:ascii="宋体" w:hAnsi="宋体"/>
          <w:color w:val="auto"/>
          <w:u w:val="single"/>
        </w:rPr>
        <w:t>          </w:t>
      </w:r>
      <w:r>
        <w:rPr>
          <w:rStyle w:val="34"/>
          <w:rFonts w:ascii="宋体" w:hAnsi="宋体"/>
          <w:color w:val="auto"/>
        </w:rPr>
        <w:t>，</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投标联系人：</w:t>
      </w:r>
      <w:r>
        <w:rPr>
          <w:rStyle w:val="34"/>
          <w:rFonts w:ascii="宋体" w:hAnsi="宋体"/>
          <w:color w:val="auto"/>
          <w:u w:val="single"/>
        </w:rPr>
        <w:t>                </w:t>
      </w:r>
      <w:r>
        <w:rPr>
          <w:rStyle w:val="34"/>
          <w:rFonts w:ascii="宋体" w:hAnsi="宋体"/>
          <w:color w:val="auto"/>
        </w:rPr>
        <w:t>，</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手机：</w:t>
      </w:r>
      <w:r>
        <w:rPr>
          <w:rStyle w:val="34"/>
          <w:rFonts w:ascii="宋体" w:hAnsi="宋体"/>
          <w:color w:val="auto"/>
          <w:u w:val="single"/>
        </w:rPr>
        <w:t>                </w:t>
      </w:r>
      <w:r>
        <w:rPr>
          <w:rStyle w:val="34"/>
          <w:rFonts w:ascii="宋体" w:hAnsi="宋体"/>
          <w:color w:val="auto"/>
        </w:rPr>
        <w:t>，</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传真：</w:t>
      </w:r>
      <w:r>
        <w:rPr>
          <w:rStyle w:val="34"/>
          <w:rFonts w:ascii="宋体" w:hAnsi="宋体"/>
          <w:color w:val="auto"/>
          <w:u w:val="single"/>
        </w:rPr>
        <w:t>                </w:t>
      </w:r>
      <w:r>
        <w:rPr>
          <w:rStyle w:val="34"/>
          <w:rFonts w:ascii="宋体" w:hAnsi="宋体"/>
          <w:color w:val="auto"/>
        </w:rPr>
        <w:t>，</w:t>
      </w:r>
    </w:p>
    <w:p>
      <w:pPr>
        <w:pStyle w:val="141"/>
        <w:spacing w:before="0" w:after="0" w:line="440" w:lineRule="exact"/>
        <w:ind w:firstLineChars="200"/>
        <w:jc w:val="both"/>
        <w:rPr>
          <w:rStyle w:val="34"/>
          <w:rFonts w:ascii="宋体" w:hAnsi="宋体"/>
          <w:color w:val="auto"/>
        </w:rPr>
      </w:pPr>
      <w:r>
        <w:rPr>
          <w:rStyle w:val="34"/>
          <w:rFonts w:ascii="宋体" w:hAnsi="宋体"/>
          <w:color w:val="auto"/>
        </w:rPr>
        <w:t>邮箱：</w:t>
      </w:r>
      <w:r>
        <w:rPr>
          <w:rStyle w:val="34"/>
          <w:rFonts w:ascii="宋体" w:hAnsi="宋体"/>
          <w:color w:val="auto"/>
          <w:u w:val="single"/>
        </w:rPr>
        <w:t>                </w:t>
      </w:r>
      <w:r>
        <w:rPr>
          <w:rStyle w:val="34"/>
          <w:rFonts w:ascii="宋体" w:hAnsi="宋体"/>
          <w:color w:val="auto"/>
        </w:rPr>
        <w:t>。</w:t>
      </w:r>
    </w:p>
    <w:p>
      <w:pPr>
        <w:pStyle w:val="141"/>
        <w:spacing w:line="440" w:lineRule="exact"/>
        <w:ind w:firstLine="5040" w:firstLineChars="2100"/>
        <w:rPr>
          <w:rStyle w:val="34"/>
          <w:rFonts w:ascii="宋体" w:hAnsi="宋体"/>
          <w:color w:val="auto"/>
        </w:rPr>
      </w:pPr>
      <w:r>
        <w:rPr>
          <w:rStyle w:val="34"/>
          <w:rFonts w:ascii="宋体" w:hAnsi="宋体"/>
          <w:color w:val="auto"/>
        </w:rPr>
        <w:t xml:space="preserve">    法人公章：</w:t>
      </w:r>
    </w:p>
    <w:p>
      <w:pPr>
        <w:pStyle w:val="141"/>
        <w:spacing w:line="440" w:lineRule="exact"/>
        <w:ind w:left="120" w:leftChars="57" w:firstLine="0"/>
        <w:jc w:val="right"/>
        <w:rPr>
          <w:rStyle w:val="34"/>
          <w:rFonts w:ascii="宋体" w:hAnsi="宋体"/>
          <w:color w:val="auto"/>
        </w:rPr>
      </w:pPr>
      <w:r>
        <w:rPr>
          <w:rStyle w:val="34"/>
          <w:rFonts w:ascii="宋体" w:hAnsi="宋体"/>
          <w:color w:val="auto"/>
        </w:rPr>
        <w:t xml:space="preserve">   日  期:     年   月   日</w:t>
      </w:r>
    </w:p>
    <w:p>
      <w:pPr>
        <w:jc w:val="center"/>
        <w:rPr>
          <w:rStyle w:val="34"/>
          <w:rFonts w:ascii="宋体" w:hAnsi="宋体"/>
          <w:b/>
          <w:color w:val="auto"/>
          <w:sz w:val="28"/>
          <w:szCs w:val="28"/>
        </w:rPr>
      </w:pPr>
    </w:p>
    <w:p>
      <w:pPr>
        <w:jc w:val="center"/>
        <w:rPr>
          <w:rStyle w:val="34"/>
          <w:rFonts w:ascii="宋体" w:hAnsi="宋体"/>
          <w:b/>
          <w:color w:val="auto"/>
          <w:szCs w:val="21"/>
        </w:rPr>
      </w:pPr>
      <w:r>
        <w:rPr>
          <w:rStyle w:val="34"/>
          <w:rFonts w:ascii="宋体" w:hAnsi="宋体"/>
          <w:b/>
          <w:color w:val="auto"/>
          <w:sz w:val="28"/>
          <w:szCs w:val="28"/>
        </w:rPr>
        <w:t>法定代表人身份证明书</w:t>
      </w:r>
    </w:p>
    <w:p>
      <w:pPr>
        <w:spacing w:line="420" w:lineRule="exact"/>
        <w:rPr>
          <w:rStyle w:val="34"/>
          <w:rFonts w:ascii="宋体" w:hAnsi="宋体"/>
          <w:b/>
          <w:color w:val="auto"/>
          <w:szCs w:val="21"/>
        </w:rPr>
      </w:pPr>
    </w:p>
    <w:p>
      <w:pPr>
        <w:spacing w:line="420" w:lineRule="exact"/>
        <w:ind w:firstLine="612"/>
        <w:rPr>
          <w:rStyle w:val="34"/>
          <w:rFonts w:ascii="宋体" w:hAnsi="宋体"/>
          <w:color w:val="auto"/>
          <w:sz w:val="24"/>
        </w:rPr>
      </w:pPr>
      <w:r>
        <w:rPr>
          <w:rStyle w:val="34"/>
          <w:rFonts w:ascii="宋体" w:hAnsi="宋体"/>
          <w:color w:val="auto"/>
          <w:sz w:val="24"/>
        </w:rPr>
        <w:t>单位名称：</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pacing w:line="420" w:lineRule="exact"/>
        <w:ind w:firstLine="610"/>
        <w:rPr>
          <w:rStyle w:val="34"/>
          <w:rFonts w:ascii="宋体" w:hAnsi="宋体"/>
          <w:color w:val="auto"/>
          <w:sz w:val="24"/>
          <w:u w:val="single"/>
        </w:rPr>
      </w:pPr>
      <w:r>
        <w:rPr>
          <w:rStyle w:val="34"/>
          <w:rFonts w:ascii="宋体" w:hAnsi="宋体"/>
          <w:color w:val="auto"/>
          <w:sz w:val="24"/>
        </w:rPr>
        <w:t>单位性质：</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pacing w:line="420" w:lineRule="exact"/>
        <w:ind w:firstLine="610"/>
        <w:rPr>
          <w:rStyle w:val="34"/>
          <w:rFonts w:ascii="宋体" w:hAnsi="宋体"/>
          <w:color w:val="auto"/>
          <w:sz w:val="24"/>
          <w:u w:val="single"/>
        </w:rPr>
      </w:pPr>
      <w:r>
        <w:rPr>
          <w:rStyle w:val="34"/>
          <w:rFonts w:ascii="宋体" w:hAnsi="宋体"/>
          <w:color w:val="auto"/>
          <w:sz w:val="24"/>
        </w:rPr>
        <w:t>地    址：</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pacing w:line="420" w:lineRule="exact"/>
        <w:ind w:firstLine="610"/>
        <w:rPr>
          <w:rStyle w:val="34"/>
          <w:rFonts w:ascii="宋体" w:hAnsi="宋体"/>
          <w:color w:val="auto"/>
          <w:sz w:val="24"/>
        </w:rPr>
      </w:pPr>
      <w:r>
        <w:rPr>
          <w:rStyle w:val="34"/>
          <w:rFonts w:ascii="宋体" w:hAnsi="宋体"/>
          <w:color w:val="auto"/>
          <w:sz w:val="24"/>
        </w:rPr>
        <w:t>成立时间：</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spacing w:line="420" w:lineRule="exact"/>
        <w:ind w:firstLine="610"/>
        <w:rPr>
          <w:rStyle w:val="34"/>
          <w:rFonts w:ascii="宋体" w:hAnsi="宋体"/>
          <w:color w:val="auto"/>
          <w:sz w:val="24"/>
          <w:u w:val="single"/>
        </w:rPr>
      </w:pPr>
      <w:r>
        <w:rPr>
          <w:rStyle w:val="34"/>
          <w:rFonts w:ascii="宋体" w:hAnsi="宋体"/>
          <w:color w:val="auto"/>
          <w:sz w:val="24"/>
        </w:rPr>
        <w:t>经营期限：</w:t>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p>
    <w:p>
      <w:pPr>
        <w:spacing w:line="420" w:lineRule="exact"/>
        <w:ind w:firstLine="610"/>
        <w:rPr>
          <w:rStyle w:val="34"/>
          <w:rFonts w:ascii="宋体" w:hAnsi="宋体"/>
          <w:color w:val="auto"/>
          <w:sz w:val="24"/>
        </w:rPr>
      </w:pPr>
      <w:r>
        <w:rPr>
          <w:rStyle w:val="34"/>
          <w:rFonts w:ascii="宋体" w:hAnsi="宋体"/>
          <w:color w:val="auto"/>
          <w:sz w:val="24"/>
        </w:rPr>
        <w:t>姓    名：</w:t>
      </w:r>
      <w:r>
        <w:rPr>
          <w:rStyle w:val="34"/>
          <w:rFonts w:ascii="宋体" w:hAnsi="宋体"/>
          <w:color w:val="auto"/>
          <w:sz w:val="24"/>
          <w:u w:val="single"/>
        </w:rPr>
        <w:t xml:space="preserve">         </w:t>
      </w:r>
      <w:r>
        <w:rPr>
          <w:rStyle w:val="34"/>
          <w:rFonts w:ascii="宋体" w:hAnsi="宋体"/>
          <w:color w:val="auto"/>
          <w:sz w:val="24"/>
        </w:rPr>
        <w:t xml:space="preserve"> 性别：</w:t>
      </w:r>
      <w:r>
        <w:rPr>
          <w:rStyle w:val="34"/>
          <w:rFonts w:ascii="宋体" w:hAnsi="宋体"/>
          <w:color w:val="auto"/>
          <w:sz w:val="24"/>
          <w:u w:val="single"/>
        </w:rPr>
        <w:t xml:space="preserve">        </w:t>
      </w:r>
      <w:r>
        <w:rPr>
          <w:rStyle w:val="34"/>
          <w:rFonts w:ascii="宋体" w:hAnsi="宋体"/>
          <w:color w:val="auto"/>
          <w:sz w:val="24"/>
        </w:rPr>
        <w:t>年龄：</w:t>
      </w:r>
      <w:r>
        <w:rPr>
          <w:rStyle w:val="34"/>
          <w:rFonts w:ascii="宋体" w:hAnsi="宋体"/>
          <w:color w:val="auto"/>
          <w:sz w:val="24"/>
          <w:u w:val="single"/>
        </w:rPr>
        <w:t xml:space="preserve">          </w:t>
      </w:r>
      <w:r>
        <w:rPr>
          <w:rStyle w:val="34"/>
          <w:rFonts w:ascii="宋体" w:hAnsi="宋体"/>
          <w:color w:val="auto"/>
          <w:sz w:val="24"/>
        </w:rPr>
        <w:t xml:space="preserve"> </w:t>
      </w:r>
    </w:p>
    <w:p>
      <w:pPr>
        <w:spacing w:line="420" w:lineRule="exact"/>
        <w:ind w:firstLine="610"/>
        <w:rPr>
          <w:rStyle w:val="34"/>
          <w:rFonts w:ascii="宋体" w:hAnsi="宋体"/>
          <w:color w:val="auto"/>
          <w:sz w:val="24"/>
          <w:u w:val="single"/>
        </w:rPr>
      </w:pPr>
      <w:r>
        <w:rPr>
          <w:rStyle w:val="34"/>
          <w:rFonts w:ascii="宋体" w:hAnsi="宋体"/>
          <w:color w:val="auto"/>
          <w:sz w:val="24"/>
        </w:rPr>
        <w:t>身份证号码</w:t>
      </w:r>
      <w:r>
        <w:rPr>
          <w:rStyle w:val="34"/>
          <w:rFonts w:ascii="宋体" w:hAnsi="宋体"/>
          <w:color w:val="auto"/>
          <w:sz w:val="24"/>
          <w:u w:val="single"/>
        </w:rPr>
        <w:t xml:space="preserve">                                 </w:t>
      </w:r>
    </w:p>
    <w:p>
      <w:pPr>
        <w:spacing w:line="420" w:lineRule="exact"/>
        <w:ind w:firstLine="610"/>
        <w:rPr>
          <w:rStyle w:val="34"/>
          <w:rFonts w:ascii="宋体" w:hAnsi="宋体"/>
          <w:color w:val="auto"/>
          <w:sz w:val="24"/>
        </w:rPr>
      </w:pPr>
      <w:r>
        <w:rPr>
          <w:rStyle w:val="34"/>
          <w:rFonts w:ascii="宋体" w:hAnsi="宋体"/>
          <w:color w:val="auto"/>
          <w:sz w:val="24"/>
        </w:rPr>
        <w:t>系</w:t>
      </w:r>
      <w:r>
        <w:rPr>
          <w:rStyle w:val="34"/>
          <w:rFonts w:ascii="宋体" w:hAnsi="宋体"/>
          <w:color w:val="auto"/>
          <w:sz w:val="24"/>
          <w:u w:val="single"/>
        </w:rPr>
        <w:t xml:space="preserve">          （投标人单位名称）         </w:t>
      </w:r>
      <w:r>
        <w:rPr>
          <w:rStyle w:val="34"/>
          <w:rFonts w:ascii="宋体" w:hAnsi="宋体"/>
          <w:color w:val="auto"/>
          <w:sz w:val="24"/>
        </w:rPr>
        <w:t>的法定代表人。</w:t>
      </w:r>
    </w:p>
    <w:p>
      <w:pPr>
        <w:spacing w:line="420" w:lineRule="exact"/>
        <w:ind w:firstLine="610"/>
        <w:rPr>
          <w:rStyle w:val="34"/>
          <w:rFonts w:ascii="宋体" w:hAnsi="宋体"/>
          <w:color w:val="auto"/>
          <w:sz w:val="24"/>
        </w:rPr>
      </w:pPr>
      <w:r>
        <w:rPr>
          <w:rStyle w:val="34"/>
          <w:rFonts w:ascii="宋体" w:hAnsi="宋体"/>
          <w:color w:val="auto"/>
          <w:sz w:val="24"/>
        </w:rPr>
        <w:t>特此证明。</w:t>
      </w:r>
    </w:p>
    <w:p>
      <w:pPr>
        <w:spacing w:line="420" w:lineRule="exact"/>
        <w:ind w:firstLine="610"/>
        <w:rPr>
          <w:rStyle w:val="34"/>
          <w:rFonts w:ascii="宋体" w:hAnsi="宋体"/>
          <w:color w:val="auto"/>
          <w:sz w:val="24"/>
        </w:rPr>
      </w:pPr>
      <w:r>
        <w:rPr>
          <w:rStyle w:val="34"/>
          <w:rFonts w:ascii="宋体" w:hAnsi="宋体"/>
          <w:color w:val="auto"/>
          <w:sz w:val="24"/>
          <w:u w:val="single"/>
        </w:rPr>
        <w:t xml:space="preserve">          附身份证复印件                                   </w:t>
      </w:r>
    </w:p>
    <w:p>
      <w:pPr>
        <w:tabs>
          <w:tab w:val="left" w:pos="720"/>
          <w:tab w:val="left" w:pos="900"/>
        </w:tabs>
        <w:spacing w:line="420" w:lineRule="exact"/>
        <w:ind w:firstLine="480" w:firstLineChars="200"/>
        <w:rPr>
          <w:rStyle w:val="34"/>
          <w:rFonts w:ascii="宋体" w:hAnsi="宋体"/>
          <w:color w:val="auto"/>
          <w:sz w:val="24"/>
        </w:rPr>
      </w:pPr>
    </w:p>
    <w:p>
      <w:pPr>
        <w:tabs>
          <w:tab w:val="left" w:pos="720"/>
          <w:tab w:val="left" w:pos="900"/>
        </w:tabs>
        <w:spacing w:line="420" w:lineRule="exact"/>
        <w:ind w:firstLine="480" w:firstLineChars="200"/>
        <w:rPr>
          <w:rStyle w:val="34"/>
          <w:rFonts w:ascii="宋体" w:hAnsi="宋体"/>
          <w:color w:val="auto"/>
          <w:sz w:val="24"/>
        </w:rPr>
      </w:pPr>
    </w:p>
    <w:p>
      <w:pPr>
        <w:tabs>
          <w:tab w:val="left" w:pos="720"/>
          <w:tab w:val="left" w:pos="900"/>
        </w:tabs>
        <w:spacing w:line="420" w:lineRule="exact"/>
        <w:ind w:firstLine="4440" w:firstLineChars="1850"/>
        <w:rPr>
          <w:rStyle w:val="34"/>
          <w:rFonts w:ascii="宋体" w:hAnsi="宋体"/>
          <w:color w:val="auto"/>
          <w:sz w:val="24"/>
          <w:u w:val="single"/>
        </w:rPr>
      </w:pPr>
      <w:r>
        <w:rPr>
          <w:rStyle w:val="34"/>
          <w:rFonts w:ascii="宋体" w:hAnsi="宋体"/>
          <w:color w:val="auto"/>
          <w:sz w:val="24"/>
        </w:rPr>
        <w:t>投标人：</w:t>
      </w:r>
      <w:r>
        <w:rPr>
          <w:rStyle w:val="34"/>
          <w:rFonts w:ascii="宋体" w:hAnsi="宋体"/>
          <w:color w:val="auto"/>
          <w:sz w:val="24"/>
          <w:u w:val="single"/>
        </w:rPr>
        <w:t xml:space="preserve">             （盖公章）</w:t>
      </w:r>
    </w:p>
    <w:p>
      <w:pPr>
        <w:tabs>
          <w:tab w:val="left" w:pos="720"/>
          <w:tab w:val="left" w:pos="900"/>
        </w:tabs>
        <w:spacing w:line="420" w:lineRule="exact"/>
        <w:ind w:firstLine="4440" w:firstLineChars="1850"/>
        <w:rPr>
          <w:rStyle w:val="34"/>
          <w:rFonts w:ascii="宋体" w:hAnsi="宋体"/>
          <w:color w:val="auto"/>
          <w:sz w:val="24"/>
        </w:rPr>
      </w:pPr>
      <w:r>
        <w:rPr>
          <w:rStyle w:val="34"/>
          <w:rFonts w:ascii="宋体" w:hAnsi="宋体"/>
          <w:color w:val="auto"/>
          <w:sz w:val="24"/>
        </w:rPr>
        <w:t>法定代表人签名</w:t>
      </w:r>
      <w:r>
        <w:rPr>
          <w:rStyle w:val="34"/>
          <w:rFonts w:ascii="宋体" w:hAnsi="宋体"/>
          <w:color w:val="auto"/>
          <w:sz w:val="24"/>
          <w:u w:val="single"/>
        </w:rPr>
        <w:t xml:space="preserve">：            </w:t>
      </w:r>
    </w:p>
    <w:p>
      <w:pPr>
        <w:tabs>
          <w:tab w:val="left" w:pos="720"/>
          <w:tab w:val="left" w:pos="900"/>
        </w:tabs>
        <w:spacing w:line="420" w:lineRule="exact"/>
        <w:ind w:firstLine="4440" w:firstLineChars="1850"/>
        <w:rPr>
          <w:rStyle w:val="34"/>
          <w:rFonts w:ascii="宋体" w:hAnsi="宋体"/>
          <w:color w:val="auto"/>
          <w:sz w:val="24"/>
        </w:rPr>
      </w:pPr>
      <w:r>
        <w:rPr>
          <w:rStyle w:val="34"/>
          <w:rFonts w:ascii="宋体" w:hAnsi="宋体"/>
          <w:color w:val="auto"/>
          <w:sz w:val="24"/>
        </w:rPr>
        <w:t>日 期：</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jc w:val="center"/>
        <w:rPr>
          <w:rStyle w:val="34"/>
          <w:rFonts w:ascii="宋体" w:hAnsi="宋体"/>
          <w:color w:val="auto"/>
          <w:kern w:val="0"/>
          <w:szCs w:val="21"/>
        </w:rPr>
      </w:pPr>
      <w:r>
        <w:rPr>
          <w:rStyle w:val="34"/>
          <w:rFonts w:ascii="宋体" w:hAnsi="宋体"/>
          <w:b/>
          <w:color w:val="auto"/>
          <w:kern w:val="0"/>
          <w:sz w:val="28"/>
          <w:szCs w:val="28"/>
        </w:rPr>
        <w:t>授权委托书</w:t>
      </w:r>
    </w:p>
    <w:p>
      <w:pPr>
        <w:spacing w:line="420" w:lineRule="exact"/>
        <w:jc w:val="left"/>
        <w:rPr>
          <w:rStyle w:val="34"/>
          <w:rFonts w:ascii="宋体" w:hAnsi="宋体"/>
          <w:color w:val="auto"/>
          <w:kern w:val="0"/>
          <w:szCs w:val="21"/>
        </w:rPr>
      </w:pPr>
      <w:r>
        <w:rPr>
          <w:rStyle w:val="34"/>
          <w:rFonts w:ascii="宋体" w:hAnsi="宋体"/>
          <w:color w:val="auto"/>
          <w:kern w:val="0"/>
          <w:szCs w:val="21"/>
        </w:rPr>
        <w:t> </w:t>
      </w:r>
    </w:p>
    <w:p>
      <w:pPr>
        <w:spacing w:line="420" w:lineRule="exact"/>
        <w:jc w:val="left"/>
        <w:rPr>
          <w:rStyle w:val="34"/>
          <w:rFonts w:ascii="宋体" w:hAnsi="宋体"/>
          <w:color w:val="auto"/>
          <w:kern w:val="0"/>
          <w:sz w:val="24"/>
        </w:rPr>
      </w:pPr>
      <w:r>
        <w:rPr>
          <w:rStyle w:val="34"/>
          <w:rFonts w:ascii="宋体" w:hAnsi="宋体"/>
          <w:color w:val="auto"/>
          <w:kern w:val="0"/>
          <w:sz w:val="24"/>
        </w:rPr>
        <w:t>委托人（投标人）：</w:t>
      </w:r>
      <w:r>
        <w:rPr>
          <w:rStyle w:val="34"/>
          <w:rFonts w:ascii="宋体" w:hAnsi="宋体"/>
          <w:color w:val="auto"/>
          <w:kern w:val="0"/>
          <w:sz w:val="24"/>
          <w:u w:val="single" w:color="000000"/>
        </w:rPr>
        <w:t xml:space="preserve">                               </w:t>
      </w:r>
    </w:p>
    <w:p>
      <w:pPr>
        <w:spacing w:line="420" w:lineRule="exact"/>
        <w:jc w:val="left"/>
        <w:rPr>
          <w:rStyle w:val="34"/>
          <w:rFonts w:ascii="宋体" w:hAnsi="宋体"/>
          <w:color w:val="auto"/>
          <w:kern w:val="0"/>
          <w:sz w:val="24"/>
        </w:rPr>
      </w:pPr>
      <w:r>
        <w:rPr>
          <w:rStyle w:val="34"/>
          <w:rFonts w:ascii="宋体" w:hAnsi="宋体"/>
          <w:color w:val="auto"/>
          <w:kern w:val="0"/>
          <w:sz w:val="24"/>
        </w:rPr>
        <w:t>地    址：</w:t>
      </w:r>
      <w:r>
        <w:rPr>
          <w:rStyle w:val="34"/>
          <w:rFonts w:ascii="宋体" w:hAnsi="宋体"/>
          <w:color w:val="auto"/>
          <w:kern w:val="0"/>
          <w:sz w:val="24"/>
          <w:u w:val="single" w:color="000000"/>
        </w:rPr>
        <w:t xml:space="preserve">                                    </w:t>
      </w:r>
    </w:p>
    <w:p>
      <w:pPr>
        <w:spacing w:line="420" w:lineRule="exact"/>
        <w:jc w:val="left"/>
        <w:rPr>
          <w:rStyle w:val="34"/>
          <w:rFonts w:ascii="宋体" w:hAnsi="宋体"/>
          <w:color w:val="auto"/>
          <w:kern w:val="0"/>
          <w:sz w:val="24"/>
        </w:rPr>
      </w:pPr>
      <w:r>
        <w:rPr>
          <w:rStyle w:val="34"/>
          <w:rFonts w:ascii="宋体" w:hAnsi="宋体"/>
          <w:color w:val="auto"/>
          <w:kern w:val="0"/>
          <w:sz w:val="24"/>
        </w:rPr>
        <w:t>法定代表人：</w:t>
      </w:r>
      <w:r>
        <w:rPr>
          <w:rStyle w:val="34"/>
          <w:rFonts w:ascii="宋体" w:hAnsi="宋体"/>
          <w:color w:val="auto"/>
          <w:kern w:val="0"/>
          <w:sz w:val="24"/>
          <w:u w:val="single" w:color="000000"/>
        </w:rPr>
        <w:t xml:space="preserve">                                  </w:t>
      </w:r>
    </w:p>
    <w:p>
      <w:pPr>
        <w:spacing w:line="420" w:lineRule="exact"/>
        <w:jc w:val="left"/>
        <w:rPr>
          <w:rStyle w:val="34"/>
          <w:rFonts w:ascii="宋体" w:hAnsi="宋体"/>
          <w:color w:val="auto"/>
          <w:kern w:val="0"/>
          <w:sz w:val="24"/>
        </w:rPr>
      </w:pPr>
      <w:r>
        <w:rPr>
          <w:rStyle w:val="34"/>
          <w:rFonts w:ascii="宋体" w:hAnsi="宋体"/>
          <w:color w:val="auto"/>
          <w:kern w:val="0"/>
          <w:sz w:val="24"/>
        </w:rPr>
        <w:t>受委托人（一）：</w:t>
      </w:r>
      <w:r>
        <w:rPr>
          <w:rStyle w:val="34"/>
          <w:rFonts w:ascii="宋体" w:hAnsi="宋体"/>
          <w:color w:val="auto"/>
          <w:kern w:val="0"/>
          <w:sz w:val="24"/>
          <w:u w:val="single" w:color="000000"/>
        </w:rPr>
        <w:t xml:space="preserve">                 </w:t>
      </w:r>
      <w:r>
        <w:rPr>
          <w:rStyle w:val="34"/>
          <w:rFonts w:ascii="宋体" w:hAnsi="宋体"/>
          <w:color w:val="auto"/>
          <w:kern w:val="0"/>
          <w:sz w:val="24"/>
        </w:rPr>
        <w:t>职务：</w:t>
      </w:r>
      <w:r>
        <w:rPr>
          <w:rStyle w:val="34"/>
          <w:rFonts w:ascii="宋体" w:hAnsi="宋体"/>
          <w:color w:val="auto"/>
          <w:kern w:val="0"/>
          <w:sz w:val="24"/>
          <w:u w:val="single" w:color="000000"/>
        </w:rPr>
        <w:t xml:space="preserve">          </w:t>
      </w:r>
    </w:p>
    <w:p>
      <w:pPr>
        <w:spacing w:line="420" w:lineRule="exact"/>
        <w:jc w:val="left"/>
        <w:rPr>
          <w:rStyle w:val="34"/>
          <w:rFonts w:ascii="宋体" w:hAnsi="宋体"/>
          <w:color w:val="auto"/>
          <w:kern w:val="0"/>
          <w:sz w:val="24"/>
        </w:rPr>
      </w:pPr>
      <w:r>
        <w:rPr>
          <w:rStyle w:val="34"/>
          <w:rFonts w:ascii="宋体" w:hAnsi="宋体"/>
          <w:color w:val="auto"/>
          <w:kern w:val="0"/>
          <w:sz w:val="24"/>
        </w:rPr>
        <w:t>受委托人（一）身份证号码：</w:t>
      </w:r>
      <w:r>
        <w:rPr>
          <w:rStyle w:val="34"/>
          <w:rFonts w:ascii="宋体" w:hAnsi="宋体"/>
          <w:color w:val="auto"/>
          <w:kern w:val="0"/>
          <w:sz w:val="24"/>
          <w:u w:val="single" w:color="000000"/>
        </w:rPr>
        <w:t>                        </w:t>
      </w:r>
    </w:p>
    <w:p>
      <w:pPr>
        <w:spacing w:line="420" w:lineRule="exact"/>
        <w:jc w:val="left"/>
        <w:rPr>
          <w:rStyle w:val="34"/>
          <w:rFonts w:ascii="宋体" w:hAnsi="宋体"/>
          <w:color w:val="auto"/>
          <w:kern w:val="0"/>
          <w:sz w:val="24"/>
        </w:rPr>
      </w:pPr>
      <w:r>
        <w:rPr>
          <w:rStyle w:val="34"/>
          <w:rFonts w:ascii="宋体" w:hAnsi="宋体"/>
          <w:color w:val="auto"/>
          <w:kern w:val="0"/>
          <w:sz w:val="24"/>
        </w:rPr>
        <w:t> </w:t>
      </w:r>
    </w:p>
    <w:p>
      <w:pPr>
        <w:spacing w:line="420" w:lineRule="exact"/>
        <w:jc w:val="left"/>
        <w:rPr>
          <w:rStyle w:val="34"/>
          <w:rFonts w:ascii="宋体" w:hAnsi="宋体"/>
          <w:color w:val="auto"/>
          <w:kern w:val="0"/>
          <w:sz w:val="24"/>
        </w:rPr>
      </w:pPr>
      <w:r>
        <w:rPr>
          <w:rStyle w:val="34"/>
          <w:rFonts w:ascii="宋体" w:hAnsi="宋体"/>
          <w:color w:val="auto"/>
          <w:kern w:val="0"/>
          <w:sz w:val="24"/>
        </w:rPr>
        <w:t> </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现委托上述受委托人在</w:t>
      </w:r>
      <w:r>
        <w:rPr>
          <w:rStyle w:val="34"/>
          <w:rFonts w:ascii="宋体" w:hAnsi="宋体"/>
          <w:color w:val="auto"/>
          <w:kern w:val="0"/>
          <w:sz w:val="24"/>
          <w:u w:val="single" w:color="000000"/>
        </w:rPr>
        <w:t>   （招标项目名称）       </w:t>
      </w:r>
      <w:r>
        <w:rPr>
          <w:rStyle w:val="34"/>
          <w:rFonts w:ascii="宋体" w:hAnsi="宋体"/>
          <w:color w:val="auto"/>
          <w:kern w:val="0"/>
          <w:sz w:val="24"/>
        </w:rPr>
        <w:t>权委托人。</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委托事项：领取招标文件、编制、签署、递交、说明补正投标文件、签订合同和处理有关事宜等特别授权。受委托人联合行使或独立行使的委托权限，其法律后果由委托人承担。</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投标事务负责人无转委托权。招标人（招标代理机构）有权拒绝其他任何代表委托人行使的投标事宜，以及超出本授权范围的其他事宜。</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委托期限：</w:t>
      </w:r>
      <w:r>
        <w:rPr>
          <w:rStyle w:val="34"/>
          <w:rFonts w:ascii="宋体" w:hAnsi="宋体"/>
          <w:color w:val="auto"/>
          <w:kern w:val="0"/>
          <w:sz w:val="24"/>
          <w:u w:val="single" w:color="000000"/>
        </w:rPr>
        <w:t>         </w:t>
      </w:r>
      <w:r>
        <w:rPr>
          <w:rStyle w:val="34"/>
          <w:rFonts w:ascii="宋体" w:hAnsi="宋体"/>
          <w:color w:val="auto"/>
          <w:kern w:val="0"/>
          <w:sz w:val="24"/>
        </w:rPr>
        <w:t>日，自</w:t>
      </w:r>
      <w:r>
        <w:rPr>
          <w:rStyle w:val="34"/>
          <w:rFonts w:ascii="宋体" w:hAnsi="宋体"/>
          <w:color w:val="auto"/>
          <w:kern w:val="0"/>
          <w:sz w:val="24"/>
          <w:u w:val="single" w:color="000000"/>
        </w:rPr>
        <w:t xml:space="preserve">     </w:t>
      </w:r>
      <w:r>
        <w:rPr>
          <w:rStyle w:val="34"/>
          <w:rFonts w:ascii="宋体" w:hAnsi="宋体"/>
          <w:color w:val="auto"/>
          <w:kern w:val="0"/>
          <w:sz w:val="24"/>
        </w:rPr>
        <w:t>年</w:t>
      </w:r>
      <w:r>
        <w:rPr>
          <w:rStyle w:val="34"/>
          <w:rFonts w:ascii="宋体" w:hAnsi="宋体"/>
          <w:color w:val="auto"/>
          <w:kern w:val="0"/>
          <w:sz w:val="24"/>
          <w:u w:val="single" w:color="000000"/>
        </w:rPr>
        <w:t xml:space="preserve">    </w:t>
      </w:r>
      <w:r>
        <w:rPr>
          <w:rStyle w:val="34"/>
          <w:rFonts w:ascii="宋体" w:hAnsi="宋体"/>
          <w:color w:val="auto"/>
          <w:kern w:val="0"/>
          <w:sz w:val="24"/>
        </w:rPr>
        <w:t>月</w:t>
      </w:r>
      <w:r>
        <w:rPr>
          <w:rStyle w:val="34"/>
          <w:rFonts w:ascii="宋体" w:hAnsi="宋体"/>
          <w:color w:val="auto"/>
          <w:kern w:val="0"/>
          <w:sz w:val="24"/>
          <w:u w:val="single" w:color="000000"/>
        </w:rPr>
        <w:t xml:space="preserve">   </w:t>
      </w:r>
      <w:r>
        <w:rPr>
          <w:rStyle w:val="34"/>
          <w:rFonts w:ascii="宋体" w:hAnsi="宋体"/>
          <w:color w:val="auto"/>
          <w:kern w:val="0"/>
          <w:sz w:val="24"/>
        </w:rPr>
        <w:t>日至</w:t>
      </w:r>
      <w:r>
        <w:rPr>
          <w:rStyle w:val="34"/>
          <w:rFonts w:ascii="宋体" w:hAnsi="宋体"/>
          <w:color w:val="auto"/>
          <w:kern w:val="0"/>
          <w:sz w:val="24"/>
          <w:u w:val="single" w:color="000000"/>
        </w:rPr>
        <w:t xml:space="preserve">     </w:t>
      </w:r>
      <w:r>
        <w:rPr>
          <w:rStyle w:val="34"/>
          <w:rFonts w:ascii="宋体" w:hAnsi="宋体"/>
          <w:color w:val="auto"/>
          <w:kern w:val="0"/>
          <w:sz w:val="24"/>
        </w:rPr>
        <w:t>年</w:t>
      </w:r>
      <w:r>
        <w:rPr>
          <w:rStyle w:val="34"/>
          <w:rFonts w:ascii="宋体" w:hAnsi="宋体"/>
          <w:color w:val="auto"/>
          <w:kern w:val="0"/>
          <w:sz w:val="24"/>
          <w:u w:val="single" w:color="000000"/>
        </w:rPr>
        <w:t xml:space="preserve">    </w:t>
      </w:r>
      <w:r>
        <w:rPr>
          <w:rStyle w:val="34"/>
          <w:rFonts w:ascii="宋体" w:hAnsi="宋体"/>
          <w:color w:val="auto"/>
          <w:kern w:val="0"/>
          <w:sz w:val="24"/>
        </w:rPr>
        <w:t>月</w:t>
      </w:r>
      <w:r>
        <w:rPr>
          <w:rStyle w:val="34"/>
          <w:rFonts w:ascii="宋体" w:hAnsi="宋体"/>
          <w:color w:val="auto"/>
          <w:kern w:val="0"/>
          <w:sz w:val="24"/>
          <w:u w:val="single" w:color="000000"/>
        </w:rPr>
        <w:t xml:space="preserve">   </w:t>
      </w:r>
      <w:r>
        <w:rPr>
          <w:rStyle w:val="34"/>
          <w:rFonts w:ascii="宋体" w:hAnsi="宋体"/>
          <w:color w:val="auto"/>
          <w:kern w:val="0"/>
          <w:sz w:val="24"/>
        </w:rPr>
        <w:t>日。</w:t>
      </w:r>
    </w:p>
    <w:p>
      <w:pPr>
        <w:spacing w:line="420" w:lineRule="exact"/>
        <w:ind w:firstLine="480" w:firstLineChars="200"/>
        <w:jc w:val="left"/>
        <w:rPr>
          <w:rStyle w:val="34"/>
          <w:rFonts w:ascii="宋体" w:hAnsi="宋体"/>
          <w:color w:val="auto"/>
          <w:kern w:val="0"/>
          <w:sz w:val="24"/>
        </w:rPr>
      </w:pPr>
    </w:p>
    <w:p>
      <w:pPr>
        <w:spacing w:line="420" w:lineRule="exact"/>
        <w:ind w:firstLine="610"/>
        <w:rPr>
          <w:rStyle w:val="34"/>
          <w:rFonts w:ascii="宋体" w:hAnsi="宋体"/>
          <w:color w:val="auto"/>
          <w:sz w:val="24"/>
        </w:rPr>
      </w:pPr>
      <w:r>
        <w:rPr>
          <w:rStyle w:val="34"/>
          <w:rFonts w:ascii="宋体" w:hAnsi="宋体"/>
          <w:color w:val="auto"/>
          <w:sz w:val="24"/>
          <w:u w:val="single"/>
        </w:rPr>
        <w:t xml:space="preserve">          附身份证复印件                                   </w:t>
      </w:r>
    </w:p>
    <w:p>
      <w:pPr>
        <w:spacing w:line="420" w:lineRule="exact"/>
        <w:ind w:firstLine="480" w:firstLineChars="200"/>
        <w:jc w:val="left"/>
        <w:rPr>
          <w:rStyle w:val="34"/>
          <w:rFonts w:ascii="宋体" w:hAnsi="宋体"/>
          <w:color w:val="auto"/>
          <w:kern w:val="0"/>
          <w:sz w:val="24"/>
        </w:rPr>
      </w:pPr>
    </w:p>
    <w:p>
      <w:pPr>
        <w:spacing w:line="420" w:lineRule="exact"/>
        <w:ind w:firstLine="480" w:firstLineChars="200"/>
        <w:jc w:val="left"/>
        <w:rPr>
          <w:rStyle w:val="34"/>
          <w:rFonts w:ascii="宋体" w:hAnsi="宋体"/>
          <w:color w:val="auto"/>
          <w:kern w:val="0"/>
          <w:sz w:val="24"/>
        </w:rPr>
      </w:pPr>
    </w:p>
    <w:p>
      <w:pPr>
        <w:spacing w:line="420" w:lineRule="exact"/>
        <w:ind w:firstLine="480" w:firstLineChars="200"/>
        <w:jc w:val="left"/>
        <w:rPr>
          <w:rStyle w:val="34"/>
          <w:rFonts w:ascii="宋体" w:hAnsi="宋体"/>
          <w:color w:val="auto"/>
          <w:kern w:val="0"/>
          <w:sz w:val="24"/>
        </w:rPr>
      </w:pPr>
    </w:p>
    <w:p>
      <w:pPr>
        <w:spacing w:line="420" w:lineRule="exact"/>
        <w:ind w:firstLine="480" w:firstLineChars="200"/>
        <w:jc w:val="left"/>
        <w:rPr>
          <w:rStyle w:val="34"/>
          <w:rFonts w:ascii="宋体" w:hAnsi="宋体"/>
          <w:color w:val="auto"/>
          <w:kern w:val="0"/>
          <w:sz w:val="24"/>
        </w:rPr>
      </w:pPr>
    </w:p>
    <w:p>
      <w:pPr>
        <w:spacing w:line="420" w:lineRule="exact"/>
        <w:ind w:firstLine="480" w:firstLineChars="200"/>
        <w:jc w:val="left"/>
        <w:rPr>
          <w:rStyle w:val="34"/>
          <w:rFonts w:ascii="宋体" w:hAnsi="宋体"/>
          <w:color w:val="auto"/>
          <w:kern w:val="0"/>
          <w:sz w:val="24"/>
        </w:rPr>
      </w:pP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 </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委托人：</w:t>
      </w:r>
      <w:r>
        <w:rPr>
          <w:rStyle w:val="34"/>
          <w:rFonts w:ascii="宋体" w:hAnsi="宋体"/>
          <w:color w:val="auto"/>
          <w:kern w:val="0"/>
          <w:sz w:val="24"/>
          <w:u w:val="single" w:color="000000"/>
        </w:rPr>
        <w:t xml:space="preserve">                            </w:t>
      </w:r>
      <w:r>
        <w:rPr>
          <w:rStyle w:val="34"/>
          <w:rFonts w:ascii="宋体" w:hAnsi="宋体"/>
          <w:color w:val="auto"/>
          <w:kern w:val="0"/>
          <w:sz w:val="24"/>
        </w:rPr>
        <w:t>（盖单位章）</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 </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法定代表人：</w:t>
      </w:r>
      <w:r>
        <w:rPr>
          <w:rStyle w:val="34"/>
          <w:rFonts w:ascii="宋体" w:hAnsi="宋体"/>
          <w:color w:val="auto"/>
          <w:kern w:val="0"/>
          <w:sz w:val="24"/>
          <w:u w:val="single" w:color="000000"/>
        </w:rPr>
        <w:t xml:space="preserve">                          </w:t>
      </w:r>
      <w:r>
        <w:rPr>
          <w:rStyle w:val="34"/>
          <w:rFonts w:ascii="宋体" w:hAnsi="宋体"/>
          <w:color w:val="auto"/>
          <w:kern w:val="0"/>
          <w:sz w:val="24"/>
        </w:rPr>
        <w:t>（签字）</w:t>
      </w:r>
    </w:p>
    <w:p>
      <w:pPr>
        <w:spacing w:line="420" w:lineRule="exact"/>
        <w:ind w:firstLine="480" w:firstLineChars="200"/>
        <w:jc w:val="left"/>
        <w:rPr>
          <w:rStyle w:val="34"/>
          <w:rFonts w:ascii="宋体" w:hAnsi="宋体"/>
          <w:color w:val="auto"/>
          <w:kern w:val="0"/>
          <w:sz w:val="24"/>
        </w:rPr>
      </w:pPr>
      <w:r>
        <w:rPr>
          <w:rStyle w:val="34"/>
          <w:rFonts w:ascii="宋体" w:hAnsi="宋体"/>
          <w:color w:val="auto"/>
          <w:kern w:val="0"/>
          <w:sz w:val="24"/>
        </w:rPr>
        <w:t> </w:t>
      </w:r>
    </w:p>
    <w:p>
      <w:pPr>
        <w:spacing w:line="420" w:lineRule="exact"/>
        <w:ind w:firstLine="480" w:firstLineChars="200"/>
        <w:jc w:val="left"/>
        <w:rPr>
          <w:rStyle w:val="34"/>
          <w:b/>
          <w:color w:val="auto"/>
          <w:sz w:val="24"/>
        </w:rPr>
      </w:pPr>
      <w:r>
        <w:rPr>
          <w:rStyle w:val="34"/>
          <w:rFonts w:ascii="宋体" w:hAnsi="宋体"/>
          <w:color w:val="auto"/>
          <w:kern w:val="0"/>
          <w:sz w:val="24"/>
        </w:rPr>
        <w:t>受委托人：</w:t>
      </w:r>
      <w:r>
        <w:rPr>
          <w:rStyle w:val="34"/>
          <w:rFonts w:ascii="宋体" w:hAnsi="宋体"/>
          <w:color w:val="auto"/>
          <w:kern w:val="0"/>
          <w:sz w:val="24"/>
          <w:u w:val="single" w:color="000000"/>
        </w:rPr>
        <w:t>                        </w:t>
      </w:r>
      <w:r>
        <w:rPr>
          <w:rStyle w:val="34"/>
          <w:rFonts w:ascii="宋体" w:hAnsi="宋体"/>
          <w:color w:val="auto"/>
          <w:kern w:val="0"/>
          <w:sz w:val="24"/>
        </w:rPr>
        <w:t>（签字）</w:t>
      </w:r>
    </w:p>
    <w:p>
      <w:pPr>
        <w:pStyle w:val="24"/>
        <w:spacing w:line="360" w:lineRule="auto"/>
        <w:jc w:val="center"/>
        <w:rPr>
          <w:rStyle w:val="34"/>
          <w:color w:val="auto"/>
        </w:rPr>
      </w:pPr>
      <w:r>
        <w:rPr>
          <w:rStyle w:val="34"/>
          <w:color w:val="auto"/>
        </w:rPr>
        <w:t>第二章   投标人须知</w:t>
      </w:r>
    </w:p>
    <w:p>
      <w:pPr>
        <w:spacing w:line="400" w:lineRule="exact"/>
        <w:ind w:firstLine="554" w:firstLineChars="197"/>
        <w:rPr>
          <w:rStyle w:val="34"/>
          <w:rFonts w:ascii="宋体" w:cs="宋体"/>
          <w:b/>
          <w:bCs/>
          <w:color w:val="auto"/>
          <w:sz w:val="28"/>
          <w:szCs w:val="28"/>
        </w:rPr>
      </w:pPr>
      <w:r>
        <w:rPr>
          <w:rStyle w:val="34"/>
          <w:rFonts w:ascii="宋体" w:hAnsi="宋体" w:cs="宋体"/>
          <w:b/>
          <w:bCs/>
          <w:color w:val="auto"/>
          <w:sz w:val="28"/>
          <w:szCs w:val="28"/>
        </w:rPr>
        <w:t>投标人须知前附表</w:t>
      </w:r>
    </w:p>
    <w:tbl>
      <w:tblPr>
        <w:tblStyle w:val="13"/>
        <w:tblW w:w="94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2139"/>
        <w:gridCol w:w="6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s="宋体"/>
                <w:b/>
                <w:bCs/>
                <w:color w:val="auto"/>
                <w:sz w:val="24"/>
              </w:rPr>
            </w:pPr>
            <w:r>
              <w:rPr>
                <w:rStyle w:val="34"/>
                <w:rFonts w:ascii="宋体" w:hAnsi="宋体" w:cs="宋体"/>
                <w:b/>
                <w:bCs/>
                <w:color w:val="auto"/>
                <w:sz w:val="24"/>
              </w:rPr>
              <w:t>条款号</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s="宋体"/>
                <w:b/>
                <w:bCs/>
                <w:color w:val="auto"/>
                <w:sz w:val="24"/>
              </w:rPr>
            </w:pPr>
            <w:r>
              <w:rPr>
                <w:rStyle w:val="34"/>
                <w:rFonts w:ascii="宋体" w:hAnsi="宋体" w:cs="宋体"/>
                <w:b/>
                <w:bCs/>
                <w:color w:val="auto"/>
                <w:sz w:val="24"/>
              </w:rPr>
              <w:t>条款名称</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s="宋体"/>
                <w:b/>
                <w:bCs/>
                <w:color w:val="auto"/>
                <w:sz w:val="24"/>
              </w:rPr>
            </w:pPr>
            <w:r>
              <w:rPr>
                <w:rStyle w:val="34"/>
                <w:rFonts w:ascii="宋体" w:hAnsi="宋体" w:cs="宋体"/>
                <w:b/>
                <w:bCs/>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1.1.2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34"/>
                <w:rFonts w:ascii="宋体" w:hAnsi="宋体" w:cs="宋体"/>
                <w:bCs/>
                <w:color w:val="auto"/>
                <w:sz w:val="24"/>
              </w:rPr>
            </w:pPr>
            <w:r>
              <w:rPr>
                <w:rStyle w:val="34"/>
                <w:rFonts w:ascii="宋体" w:hAnsi="宋体" w:cs="宋体"/>
                <w:bCs/>
                <w:color w:val="auto"/>
                <w:sz w:val="24"/>
              </w:rPr>
              <w:t>招标人</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34"/>
                <w:rFonts w:hint="eastAsia" w:ascii="宋体" w:hAnsi="宋体" w:eastAsia="宋体" w:cs="宋体"/>
                <w:bCs/>
                <w:color w:val="auto"/>
                <w:sz w:val="24"/>
                <w:lang w:eastAsia="zh-CN"/>
              </w:rPr>
            </w:pPr>
            <w:r>
              <w:rPr>
                <w:rStyle w:val="34"/>
                <w:rFonts w:ascii="宋体" w:hAnsi="宋体" w:cs="宋体"/>
                <w:bCs/>
                <w:color w:val="auto"/>
                <w:sz w:val="24"/>
              </w:rPr>
              <w:t>名称：</w:t>
            </w:r>
            <w:r>
              <w:rPr>
                <w:rStyle w:val="34"/>
                <w:rFonts w:hint="eastAsia" w:ascii="宋体" w:hAnsi="宋体" w:cs="宋体"/>
                <w:bCs/>
                <w:color w:val="auto"/>
                <w:sz w:val="24"/>
                <w:lang w:eastAsia="zh-CN"/>
              </w:rPr>
              <w:t>泰兴市市政公用事业服务中心（市园林绿化服务中心、市城建档案馆）</w:t>
            </w:r>
          </w:p>
          <w:p>
            <w:pPr>
              <w:spacing w:line="300" w:lineRule="exact"/>
              <w:rPr>
                <w:rStyle w:val="34"/>
                <w:rFonts w:ascii="宋体" w:hAnsi="宋体" w:cs="宋体"/>
                <w:bCs/>
                <w:color w:val="auto"/>
                <w:sz w:val="24"/>
              </w:rPr>
            </w:pPr>
            <w:r>
              <w:rPr>
                <w:rStyle w:val="34"/>
                <w:rFonts w:ascii="宋体" w:hAnsi="宋体" w:cs="宋体"/>
                <w:bCs/>
                <w:color w:val="auto"/>
                <w:sz w:val="24"/>
              </w:rPr>
              <w:t>地址：泰兴市曾涛路162号</w:t>
            </w:r>
          </w:p>
          <w:p>
            <w:pPr>
              <w:spacing w:line="300" w:lineRule="exact"/>
              <w:rPr>
                <w:rStyle w:val="34"/>
                <w:rFonts w:ascii="宋体" w:hAnsi="宋体" w:cs="宋体"/>
                <w:bCs/>
                <w:color w:val="auto"/>
                <w:sz w:val="24"/>
              </w:rPr>
            </w:pPr>
            <w:r>
              <w:rPr>
                <w:rStyle w:val="34"/>
                <w:rFonts w:ascii="宋体" w:hAnsi="宋体" w:cs="宋体"/>
                <w:bCs/>
                <w:color w:val="auto"/>
                <w:sz w:val="24"/>
              </w:rPr>
              <w:t>联系人:王霖</w:t>
            </w:r>
          </w:p>
          <w:p>
            <w:pPr>
              <w:spacing w:line="300" w:lineRule="exact"/>
              <w:rPr>
                <w:rStyle w:val="34"/>
                <w:rFonts w:ascii="宋体" w:hAnsi="宋体" w:cs="宋体"/>
                <w:bCs/>
                <w:color w:val="auto"/>
                <w:sz w:val="24"/>
              </w:rPr>
            </w:pPr>
            <w:r>
              <w:rPr>
                <w:rStyle w:val="34"/>
                <w:rFonts w:ascii="宋体" w:hAnsi="宋体" w:cs="宋体"/>
                <w:bCs/>
                <w:color w:val="auto"/>
                <w:sz w:val="24"/>
              </w:rPr>
              <w:t>电话：15190601859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1.1.3</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34"/>
                <w:rFonts w:ascii="宋体"/>
                <w:color w:val="auto"/>
                <w:sz w:val="24"/>
              </w:rPr>
            </w:pPr>
            <w:r>
              <w:rPr>
                <w:rStyle w:val="34"/>
                <w:rFonts w:ascii="宋体" w:hAnsi="宋体"/>
                <w:color w:val="auto"/>
                <w:sz w:val="24"/>
              </w:rPr>
              <w:t>采购代理机构</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34"/>
                <w:rFonts w:ascii="宋体"/>
                <w:color w:val="auto"/>
                <w:sz w:val="24"/>
              </w:rPr>
            </w:pPr>
            <w:r>
              <w:rPr>
                <w:rStyle w:val="34"/>
                <w:rFonts w:ascii="宋体" w:hAnsi="宋体"/>
                <w:color w:val="auto"/>
                <w:sz w:val="24"/>
              </w:rPr>
              <w:t>名称：江苏国兴建设项目管理有限公司</w:t>
            </w:r>
          </w:p>
          <w:p>
            <w:pPr>
              <w:spacing w:line="300" w:lineRule="exact"/>
              <w:rPr>
                <w:rStyle w:val="34"/>
                <w:rFonts w:ascii="宋体" w:hAnsi="宋体"/>
                <w:color w:val="auto"/>
                <w:sz w:val="24"/>
              </w:rPr>
            </w:pPr>
            <w:r>
              <w:rPr>
                <w:rStyle w:val="34"/>
                <w:rFonts w:ascii="宋体" w:hAnsi="宋体"/>
                <w:color w:val="auto"/>
                <w:sz w:val="24"/>
              </w:rPr>
              <w:t>地址：泰兴市政务服务中心3楼国兴办公室</w:t>
            </w:r>
          </w:p>
          <w:p>
            <w:pPr>
              <w:spacing w:line="300" w:lineRule="exact"/>
              <w:rPr>
                <w:rStyle w:val="34"/>
                <w:rFonts w:ascii="宋体"/>
                <w:color w:val="auto"/>
                <w:sz w:val="24"/>
              </w:rPr>
            </w:pPr>
            <w:r>
              <w:rPr>
                <w:rStyle w:val="34"/>
                <w:rFonts w:ascii="宋体" w:hAnsi="宋体"/>
                <w:color w:val="auto"/>
                <w:sz w:val="24"/>
              </w:rPr>
              <w:t>联系人：刘雪芬</w:t>
            </w:r>
          </w:p>
          <w:p>
            <w:pPr>
              <w:spacing w:line="300" w:lineRule="exact"/>
              <w:rPr>
                <w:rStyle w:val="34"/>
                <w:rFonts w:ascii="宋体"/>
                <w:color w:val="auto"/>
                <w:sz w:val="24"/>
              </w:rPr>
            </w:pPr>
            <w:r>
              <w:rPr>
                <w:rStyle w:val="34"/>
                <w:rFonts w:ascii="宋体" w:hAnsi="宋体"/>
                <w:color w:val="auto"/>
                <w:sz w:val="24"/>
              </w:rPr>
              <w:t>联系电话：17701421886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1.1.4</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34"/>
                <w:rFonts w:ascii="宋体"/>
                <w:color w:val="auto"/>
                <w:sz w:val="24"/>
              </w:rPr>
            </w:pPr>
            <w:r>
              <w:rPr>
                <w:rStyle w:val="34"/>
                <w:rFonts w:ascii="宋体" w:hAnsi="宋体"/>
                <w:color w:val="auto"/>
                <w:sz w:val="24"/>
              </w:rPr>
              <w:t>项目名称及项目编号</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34"/>
                <w:rFonts w:ascii="宋体"/>
                <w:color w:val="auto"/>
                <w:sz w:val="24"/>
              </w:rPr>
            </w:pPr>
            <w:r>
              <w:rPr>
                <w:rStyle w:val="34"/>
                <w:rFonts w:ascii="宋体" w:hAnsi="宋体"/>
                <w:color w:val="auto"/>
                <w:sz w:val="24"/>
              </w:rPr>
              <w:t>项目名称：泰兴市排水GIS系统项目</w:t>
            </w:r>
          </w:p>
          <w:p>
            <w:pPr>
              <w:spacing w:line="300" w:lineRule="exact"/>
              <w:rPr>
                <w:rStyle w:val="34"/>
                <w:rFonts w:ascii="宋体"/>
                <w:color w:val="auto"/>
                <w:sz w:val="24"/>
              </w:rPr>
            </w:pPr>
            <w:r>
              <w:rPr>
                <w:rStyle w:val="34"/>
                <w:rFonts w:ascii="宋体" w:hAnsi="宋体"/>
                <w:color w:val="auto"/>
                <w:sz w:val="24"/>
              </w:rPr>
              <w:t>项目编号：</w:t>
            </w:r>
            <w:r>
              <w:rPr>
                <w:rStyle w:val="34"/>
                <w:rFonts w:hint="default" w:ascii="宋体" w:hAnsi="Times New Roman" w:cstheme="minorBidi"/>
                <w:b w:val="0"/>
                <w:bCs w:val="0"/>
                <w:color w:val="auto"/>
                <w:sz w:val="24"/>
                <w:szCs w:val="24"/>
                <w:lang w:val="en-US" w:eastAsia="zh-CN"/>
              </w:rPr>
              <w:t>TXS20210506312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1.2.1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资金来源及出资比例</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资金来源：财政</w:t>
            </w:r>
          </w:p>
          <w:p>
            <w:pPr>
              <w:spacing w:line="300" w:lineRule="exact"/>
              <w:jc w:val="left"/>
              <w:rPr>
                <w:rStyle w:val="34"/>
                <w:rFonts w:ascii="宋体" w:hAnsi="宋体"/>
                <w:color w:val="auto"/>
                <w:sz w:val="24"/>
              </w:rPr>
            </w:pPr>
            <w:r>
              <w:rPr>
                <w:rStyle w:val="34"/>
                <w:rFonts w:ascii="宋体" w:hAnsi="宋体"/>
                <w:color w:val="auto"/>
                <w:sz w:val="24"/>
              </w:rPr>
              <w:t>出资比例：100%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1.2.2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资金落实情况</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1.2.3</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付款方式</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kern w:val="0"/>
                <w:sz w:val="24"/>
                <w:lang w:val="zh-CN"/>
              </w:rPr>
            </w:pPr>
            <w:r>
              <w:rPr>
                <w:rStyle w:val="34"/>
                <w:rFonts w:ascii="宋体" w:hAnsi="宋体"/>
                <w:color w:val="auto"/>
                <w:kern w:val="0"/>
                <w:sz w:val="24"/>
                <w:lang w:val="zh-CN"/>
              </w:rPr>
              <w:t>（1）合同签订后的一个月内，采购人向中标人支付合同预计总额的30%。</w:t>
            </w:r>
          </w:p>
          <w:p>
            <w:pPr>
              <w:spacing w:line="300" w:lineRule="exact"/>
              <w:jc w:val="left"/>
              <w:rPr>
                <w:rStyle w:val="34"/>
                <w:rFonts w:ascii="宋体" w:hAnsi="宋体"/>
                <w:color w:val="auto"/>
                <w:kern w:val="0"/>
                <w:sz w:val="24"/>
                <w:lang w:val="zh-CN"/>
              </w:rPr>
            </w:pPr>
            <w:r>
              <w:rPr>
                <w:rStyle w:val="34"/>
                <w:rFonts w:ascii="宋体" w:hAnsi="宋体"/>
                <w:color w:val="auto"/>
                <w:kern w:val="0"/>
                <w:sz w:val="24"/>
                <w:lang w:val="zh-CN"/>
              </w:rPr>
              <w:t>（2）项目完成并经采购人验收合格后的1个月内，采购人向中标人支付合同总金额的65%。</w:t>
            </w:r>
          </w:p>
          <w:p>
            <w:pPr>
              <w:spacing w:line="300" w:lineRule="exact"/>
              <w:jc w:val="left"/>
              <w:rPr>
                <w:rStyle w:val="34"/>
                <w:color w:val="auto"/>
                <w:sz w:val="24"/>
              </w:rPr>
            </w:pPr>
            <w:r>
              <w:rPr>
                <w:rStyle w:val="34"/>
                <w:rFonts w:ascii="宋体" w:hAnsi="宋体"/>
                <w:color w:val="auto"/>
                <w:kern w:val="0"/>
                <w:sz w:val="24"/>
                <w:lang w:val="zh-CN"/>
              </w:rPr>
              <w:t>（3）系统免费运维期结束后，采购人向中标人支付合同预计总额的5%。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1.3.1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采购范围</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color w:val="auto"/>
                <w:sz w:val="24"/>
              </w:rPr>
            </w:pPr>
            <w:r>
              <w:rPr>
                <w:rStyle w:val="34"/>
                <w:color w:val="auto"/>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1.3.2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工期</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Style w:val="34"/>
                <w:rFonts w:ascii="宋体" w:hAnsi="宋体"/>
                <w:color w:val="auto"/>
                <w:sz w:val="24"/>
              </w:rPr>
            </w:pPr>
            <w:r>
              <w:rPr>
                <w:rStyle w:val="34"/>
                <w:rFonts w:ascii="宋体" w:hAnsi="宋体"/>
                <w:color w:val="auto"/>
                <w:sz w:val="24"/>
              </w:rPr>
              <w:t>2021年10月31日前完成本项目所有内容。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34"/>
                <w:rFonts w:ascii="宋体"/>
                <w:color w:val="auto"/>
                <w:sz w:val="24"/>
              </w:rPr>
            </w:pPr>
            <w:r>
              <w:rPr>
                <w:rStyle w:val="34"/>
                <w:rFonts w:ascii="宋体" w:hAnsi="宋体"/>
                <w:color w:val="auto"/>
                <w:sz w:val="24"/>
              </w:rPr>
              <w:t>1.4.2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34"/>
                <w:rFonts w:ascii="宋体"/>
                <w:color w:val="auto"/>
                <w:sz w:val="24"/>
              </w:rPr>
            </w:pPr>
            <w:r>
              <w:rPr>
                <w:rStyle w:val="34"/>
                <w:rFonts w:ascii="宋体" w:hAnsi="宋体"/>
                <w:color w:val="auto"/>
                <w:sz w:val="24"/>
              </w:rPr>
              <w:t>招标人要求投标人具备的特定条件</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34"/>
                <w:rFonts w:ascii="宋体"/>
                <w:color w:val="auto"/>
                <w:sz w:val="24"/>
              </w:rPr>
            </w:pPr>
            <w:r>
              <w:rPr>
                <w:rStyle w:val="34"/>
                <w:rFonts w:ascii="宋体" w:hAnsi="宋体"/>
                <w:color w:val="auto"/>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1.9</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分包</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1.10</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偏离</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本招标文件中的技术要求标注为“★”的条款允许正偏离，不允许负偏离；其它参数允许正偏离和负偏离，详见技术参数及评分标准。（供应商应仔细阅读第五章招标项目要求，结合自身的实际情况，如实填写技术标准和要求偏离表。技术偏离表须详细说明货物品牌、型号、实际技术参数及偏离情况、对所提要求的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2.1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构成招标文件的其他材料</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2.2.1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投标人要求澄清招标文件的截止时间</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2021年</w:t>
            </w:r>
            <w:r>
              <w:rPr>
                <w:rStyle w:val="34"/>
                <w:rFonts w:hint="eastAsia" w:ascii="宋体" w:hAnsi="宋体"/>
                <w:color w:val="auto"/>
                <w:sz w:val="24"/>
                <w:lang w:val="en-US" w:eastAsia="zh-CN"/>
              </w:rPr>
              <w:t>5</w:t>
            </w:r>
            <w:r>
              <w:rPr>
                <w:rStyle w:val="34"/>
                <w:rFonts w:ascii="宋体" w:hAnsi="宋体"/>
                <w:color w:val="auto"/>
                <w:sz w:val="24"/>
              </w:rPr>
              <w:t>月</w:t>
            </w:r>
            <w:r>
              <w:rPr>
                <w:rStyle w:val="34"/>
                <w:rFonts w:hint="eastAsia" w:ascii="宋体" w:hAnsi="宋体"/>
                <w:color w:val="auto"/>
                <w:sz w:val="24"/>
                <w:lang w:val="en-US" w:eastAsia="zh-CN"/>
              </w:rPr>
              <w:t>13</w:t>
            </w:r>
            <w:r>
              <w:rPr>
                <w:rStyle w:val="34"/>
                <w:rFonts w:ascii="宋体" w:hAnsi="宋体"/>
                <w:color w:val="auto"/>
                <w:sz w:val="24"/>
              </w:rPr>
              <w:t>日17时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2.2.2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投标截止时间</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2021年</w:t>
            </w:r>
            <w:r>
              <w:rPr>
                <w:rStyle w:val="34"/>
                <w:rFonts w:hint="eastAsia" w:ascii="宋体" w:hAnsi="宋体"/>
                <w:color w:val="auto"/>
                <w:sz w:val="24"/>
                <w:lang w:val="en-US" w:eastAsia="zh-CN"/>
              </w:rPr>
              <w:t>5</w:t>
            </w:r>
            <w:r>
              <w:rPr>
                <w:rStyle w:val="34"/>
                <w:rFonts w:ascii="宋体" w:hAnsi="宋体"/>
                <w:color w:val="auto"/>
                <w:sz w:val="24"/>
              </w:rPr>
              <w:t>月</w:t>
            </w:r>
            <w:r>
              <w:rPr>
                <w:rStyle w:val="34"/>
                <w:rFonts w:hint="eastAsia" w:ascii="宋体" w:hAnsi="宋体"/>
                <w:color w:val="auto"/>
                <w:sz w:val="24"/>
                <w:lang w:val="en-US" w:eastAsia="zh-CN"/>
              </w:rPr>
              <w:t>28</w:t>
            </w:r>
            <w:r>
              <w:rPr>
                <w:rStyle w:val="34"/>
                <w:rFonts w:ascii="宋体" w:hAnsi="宋体"/>
                <w:color w:val="auto"/>
                <w:sz w:val="24"/>
              </w:rPr>
              <w:t>日</w:t>
            </w:r>
            <w:r>
              <w:rPr>
                <w:rStyle w:val="34"/>
                <w:rFonts w:hint="eastAsia" w:ascii="宋体" w:hAnsi="宋体"/>
                <w:color w:val="auto"/>
                <w:sz w:val="24"/>
                <w:lang w:val="en-US" w:eastAsia="zh-CN"/>
              </w:rPr>
              <w:t>15</w:t>
            </w:r>
            <w:r>
              <w:rPr>
                <w:rStyle w:val="34"/>
                <w:rFonts w:ascii="宋体" w:hAnsi="宋体"/>
                <w:color w:val="auto"/>
                <w:sz w:val="24"/>
              </w:rPr>
              <w:t>：00时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2.4.1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采购预算</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1460万元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3.3.1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投标有效期</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left"/>
              <w:rPr>
                <w:rStyle w:val="34"/>
                <w:rFonts w:ascii="宋体"/>
                <w:color w:val="auto"/>
                <w:sz w:val="24"/>
              </w:rPr>
            </w:pPr>
            <w:r>
              <w:rPr>
                <w:rStyle w:val="34"/>
                <w:rFonts w:ascii="宋体" w:hAnsi="宋体"/>
                <w:color w:val="auto"/>
                <w:sz w:val="24"/>
              </w:rPr>
              <w:t>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hAnsi="宋体"/>
                <w:color w:val="auto"/>
                <w:sz w:val="24"/>
              </w:rPr>
            </w:pPr>
            <w:r>
              <w:rPr>
                <w:rStyle w:val="34"/>
                <w:rFonts w:ascii="宋体" w:hAnsi="宋体"/>
                <w:color w:val="auto"/>
                <w:sz w:val="24"/>
              </w:rPr>
              <w:t>3.4.1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4"/>
                <w:rFonts w:ascii="宋体" w:hAnsi="宋体"/>
                <w:color w:val="auto"/>
                <w:sz w:val="24"/>
              </w:rPr>
            </w:pPr>
            <w:r>
              <w:rPr>
                <w:rStyle w:val="34"/>
                <w:rFonts w:ascii="宋体" w:hAnsi="宋体"/>
                <w:color w:val="auto"/>
                <w:sz w:val="24"/>
                <w:highlight w:val="white"/>
              </w:rPr>
              <w:t>投标保证金</w:t>
            </w:r>
          </w:p>
        </w:tc>
        <w:tc>
          <w:tcPr>
            <w:tcW w:w="641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4"/>
                <w:rFonts w:ascii="宋体" w:hAnsi="宋体"/>
                <w:color w:val="auto"/>
                <w:sz w:val="24"/>
              </w:rPr>
            </w:pPr>
            <w:r>
              <w:rPr>
                <w:rStyle w:val="34"/>
                <w:rFonts w:ascii="宋体" w:hAnsi="宋体"/>
                <w:color w:val="auto"/>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3.6.1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投标文件的份数</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正本</w:t>
            </w:r>
            <w:r>
              <w:rPr>
                <w:rStyle w:val="34"/>
                <w:rFonts w:ascii="宋体" w:hAnsi="宋体"/>
                <w:color w:val="auto"/>
                <w:sz w:val="24"/>
                <w:u w:val="single"/>
              </w:rPr>
              <w:t>壹</w:t>
            </w:r>
            <w:r>
              <w:rPr>
                <w:rStyle w:val="34"/>
                <w:rFonts w:ascii="宋体" w:hAnsi="宋体"/>
                <w:color w:val="auto"/>
                <w:sz w:val="24"/>
              </w:rPr>
              <w:t>份</w:t>
            </w:r>
          </w:p>
          <w:p>
            <w:pPr>
              <w:spacing w:line="290" w:lineRule="exact"/>
              <w:rPr>
                <w:rStyle w:val="34"/>
                <w:rFonts w:ascii="宋体"/>
                <w:color w:val="auto"/>
                <w:sz w:val="24"/>
              </w:rPr>
            </w:pPr>
            <w:r>
              <w:rPr>
                <w:rStyle w:val="34"/>
                <w:rFonts w:ascii="宋体" w:hAnsi="宋体"/>
                <w:color w:val="auto"/>
                <w:sz w:val="24"/>
              </w:rPr>
              <w:t>副本</w:t>
            </w:r>
            <w:r>
              <w:rPr>
                <w:rStyle w:val="34"/>
                <w:rFonts w:hint="eastAsia" w:ascii="宋体" w:hAnsi="宋体"/>
                <w:color w:val="auto"/>
                <w:sz w:val="24"/>
                <w:u w:val="single"/>
                <w:lang w:val="en-US" w:eastAsia="zh-CN"/>
              </w:rPr>
              <w:t>陆</w:t>
            </w:r>
            <w:r>
              <w:rPr>
                <w:rStyle w:val="34"/>
                <w:rFonts w:ascii="宋体" w:hAnsi="宋体"/>
                <w:color w:val="auto"/>
                <w:sz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3"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3.6.3</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封袋标记的内容</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hAnsi="宋体"/>
                <w:color w:val="auto"/>
                <w:sz w:val="24"/>
                <w:u w:val="single"/>
              </w:rPr>
            </w:pPr>
            <w:r>
              <w:rPr>
                <w:rStyle w:val="34"/>
                <w:rFonts w:ascii="宋体" w:hAnsi="宋体"/>
                <w:color w:val="auto"/>
                <w:sz w:val="24"/>
              </w:rPr>
              <w:t>采购项目名称：泰兴市排水GIS系统项目</w:t>
            </w:r>
          </w:p>
          <w:p>
            <w:pPr>
              <w:spacing w:line="290" w:lineRule="exact"/>
              <w:rPr>
                <w:rStyle w:val="34"/>
                <w:rFonts w:ascii="宋体"/>
                <w:color w:val="auto"/>
                <w:sz w:val="24"/>
                <w:u w:val="single"/>
              </w:rPr>
            </w:pPr>
            <w:r>
              <w:rPr>
                <w:rStyle w:val="34"/>
                <w:rFonts w:ascii="宋体" w:hAnsi="宋体"/>
                <w:color w:val="auto"/>
                <w:sz w:val="24"/>
              </w:rPr>
              <w:t>投标人名称：</w:t>
            </w:r>
          </w:p>
          <w:p>
            <w:pPr>
              <w:spacing w:line="290" w:lineRule="exact"/>
              <w:rPr>
                <w:rStyle w:val="34"/>
                <w:rFonts w:ascii="宋体"/>
                <w:color w:val="auto"/>
                <w:sz w:val="24"/>
                <w:u w:val="single"/>
              </w:rPr>
            </w:pPr>
            <w:r>
              <w:rPr>
                <w:rStyle w:val="34"/>
                <w:rFonts w:ascii="宋体" w:hAnsi="宋体"/>
                <w:color w:val="auto"/>
                <w:sz w:val="24"/>
              </w:rPr>
              <w:t>在</w:t>
            </w:r>
            <w:r>
              <w:rPr>
                <w:rStyle w:val="34"/>
                <w:rFonts w:ascii="宋体" w:hAnsi="宋体"/>
                <w:color w:val="auto"/>
                <w:sz w:val="24"/>
                <w:u w:val="single"/>
              </w:rPr>
              <w:t>本项目开标前</w:t>
            </w:r>
            <w:r>
              <w:rPr>
                <w:rStyle w:val="34"/>
                <w:rFonts w:ascii="宋体" w:hAnsi="宋体"/>
                <w:color w:val="auto"/>
                <w:sz w:val="24"/>
              </w:rPr>
              <w:t>不得启封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8"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5.1.1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开标时间和地点</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开标时间：同投标截止时间</w:t>
            </w:r>
          </w:p>
          <w:p>
            <w:pPr>
              <w:spacing w:line="290" w:lineRule="exact"/>
              <w:rPr>
                <w:rStyle w:val="34"/>
                <w:rFonts w:ascii="宋体"/>
                <w:color w:val="auto"/>
                <w:sz w:val="24"/>
              </w:rPr>
            </w:pPr>
            <w:r>
              <w:rPr>
                <w:rStyle w:val="34"/>
                <w:rFonts w:ascii="宋体" w:hAnsi="宋体"/>
                <w:color w:val="auto"/>
                <w:sz w:val="24"/>
              </w:rPr>
              <w:t>开标地点：泰兴市政务服务中心（文昌东路62号）3楼开标四室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6.1.1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评标委员会</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评标委员会人数：</w:t>
            </w:r>
            <w:r>
              <w:rPr>
                <w:rStyle w:val="34"/>
                <w:rFonts w:ascii="宋体" w:hAnsi="宋体"/>
                <w:color w:val="auto"/>
                <w:sz w:val="24"/>
                <w:u w:val="single"/>
              </w:rPr>
              <w:t xml:space="preserve"> </w:t>
            </w:r>
            <w:r>
              <w:rPr>
                <w:rStyle w:val="34"/>
                <w:rFonts w:hint="eastAsia" w:ascii="宋体" w:hAnsi="宋体"/>
                <w:color w:val="auto"/>
                <w:sz w:val="24"/>
                <w:u w:val="single"/>
              </w:rPr>
              <w:t>7</w:t>
            </w:r>
            <w:r>
              <w:rPr>
                <w:rStyle w:val="34"/>
                <w:rFonts w:ascii="宋体" w:hAnsi="宋体"/>
                <w:color w:val="auto"/>
                <w:sz w:val="24"/>
              </w:rPr>
              <w:t>人</w:t>
            </w:r>
            <w:r>
              <w:rPr>
                <w:rStyle w:val="34"/>
                <w:rFonts w:hint="eastAsia" w:ascii="宋体" w:hAnsi="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7.2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中标公告媒介</w:t>
            </w:r>
          </w:p>
        </w:tc>
        <w:tc>
          <w:tcPr>
            <w:tcW w:w="6413"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rPr>
                <w:rStyle w:val="34"/>
                <w:rFonts w:ascii="宋体" w:hAnsi="宋体"/>
                <w:color w:val="auto"/>
                <w:sz w:val="24"/>
              </w:rPr>
            </w:pPr>
            <w:r>
              <w:rPr>
                <w:rStyle w:val="34"/>
                <w:rFonts w:ascii="宋体" w:hAnsi="宋体"/>
                <w:color w:val="auto"/>
                <w:sz w:val="24"/>
              </w:rPr>
              <w:t>江苏政府采购网（www.ccgp-jiangsu.gov.cn）</w:t>
            </w:r>
          </w:p>
          <w:p>
            <w:pPr>
              <w:shd w:val="clear" w:color="auto" w:fill="FFFFFF"/>
              <w:spacing w:line="440" w:lineRule="exact"/>
              <w:ind w:left="360" w:hanging="360"/>
              <w:rPr>
                <w:rStyle w:val="34"/>
                <w:rFonts w:ascii="宋体"/>
                <w:color w:val="auto"/>
                <w:sz w:val="24"/>
              </w:rPr>
            </w:pPr>
            <w:r>
              <w:rPr>
                <w:rStyle w:val="34"/>
                <w:rFonts w:ascii="宋体" w:hAnsi="宋体"/>
                <w:color w:val="auto"/>
                <w:sz w:val="24"/>
              </w:rPr>
              <w:t>泰州市政务管理办公室公共资源交易平台-泰兴站（http://zwfw.taizhou.gov.cn/ggzy/tx/）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9.1</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履约保证金</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（1）履约保证金形成：支票、汇票、本票、履约担保等法律法规允许的非现金形式；</w:t>
            </w:r>
          </w:p>
          <w:p>
            <w:pPr>
              <w:spacing w:line="290" w:lineRule="exact"/>
              <w:rPr>
                <w:rStyle w:val="34"/>
                <w:rFonts w:ascii="宋体" w:hAnsi="宋体"/>
                <w:color w:val="auto"/>
                <w:sz w:val="24"/>
              </w:rPr>
            </w:pPr>
            <w:r>
              <w:rPr>
                <w:rStyle w:val="34"/>
                <w:rFonts w:ascii="宋体" w:hAnsi="宋体"/>
                <w:color w:val="auto"/>
                <w:sz w:val="24"/>
              </w:rPr>
              <w:t>（2）金额：合同价的5%；</w:t>
            </w:r>
          </w:p>
          <w:p>
            <w:pPr>
              <w:spacing w:line="290" w:lineRule="exact"/>
              <w:rPr>
                <w:rStyle w:val="34"/>
                <w:rFonts w:ascii="宋体"/>
                <w:color w:val="auto"/>
                <w:sz w:val="24"/>
              </w:rPr>
            </w:pPr>
            <w:r>
              <w:rPr>
                <w:rStyle w:val="34"/>
                <w:rFonts w:ascii="宋体" w:hAnsi="宋体"/>
                <w:color w:val="auto"/>
                <w:sz w:val="24"/>
              </w:rPr>
              <w:t>（3）缴纳时间：在确定成交投标人之后，签订采购合同前。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9.2</w:t>
            </w:r>
          </w:p>
        </w:tc>
        <w:tc>
          <w:tcPr>
            <w:tcW w:w="2139"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签订合同的时间要求</w:t>
            </w:r>
          </w:p>
        </w:tc>
        <w:tc>
          <w:tcPr>
            <w:tcW w:w="6413"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color w:val="auto"/>
                <w:sz w:val="24"/>
              </w:rPr>
            </w:pPr>
            <w:r>
              <w:rPr>
                <w:rStyle w:val="34"/>
                <w:rFonts w:ascii="宋体" w:hAnsi="宋体"/>
                <w:color w:val="auto"/>
                <w:sz w:val="24"/>
              </w:rPr>
              <w:t>自中标通知书发出之日起</w:t>
            </w:r>
            <w:r>
              <w:rPr>
                <w:rStyle w:val="34"/>
                <w:rFonts w:ascii="宋体" w:hAnsi="宋体"/>
                <w:color w:val="auto"/>
                <w:sz w:val="24"/>
                <w:u w:val="single"/>
              </w:rPr>
              <w:t>15</w:t>
            </w:r>
            <w:r>
              <w:rPr>
                <w:rStyle w:val="34"/>
                <w:rFonts w:ascii="宋体" w:hAnsi="宋体"/>
                <w:color w:val="auto"/>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12</w:t>
            </w:r>
          </w:p>
        </w:tc>
        <w:tc>
          <w:tcPr>
            <w:tcW w:w="8552" w:type="dxa"/>
            <w:gridSpan w:val="2"/>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s="宋体"/>
                <w:b/>
                <w:bCs/>
                <w:color w:val="auto"/>
                <w:sz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Style w:val="34"/>
                <w:rFonts w:ascii="宋体"/>
                <w:color w:val="auto"/>
                <w:sz w:val="24"/>
              </w:rPr>
            </w:pPr>
            <w:r>
              <w:rPr>
                <w:rStyle w:val="34"/>
                <w:rFonts w:ascii="宋体" w:hAnsi="宋体"/>
                <w:color w:val="auto"/>
                <w:sz w:val="24"/>
              </w:rPr>
              <w:t>12.1</w:t>
            </w:r>
          </w:p>
        </w:tc>
        <w:tc>
          <w:tcPr>
            <w:tcW w:w="8552" w:type="dxa"/>
            <w:gridSpan w:val="2"/>
            <w:tcBorders>
              <w:top w:val="single" w:color="000000" w:sz="4" w:space="0"/>
              <w:left w:val="single" w:color="000000" w:sz="4" w:space="0"/>
              <w:bottom w:val="single" w:color="000000" w:sz="4" w:space="0"/>
              <w:right w:val="single" w:color="000000" w:sz="4" w:space="0"/>
            </w:tcBorders>
            <w:vAlign w:val="center"/>
          </w:tcPr>
          <w:p>
            <w:pPr>
              <w:pStyle w:val="317"/>
              <w:keepNext w:val="0"/>
              <w:keepLines w:val="0"/>
              <w:pageBreakBefore w:val="0"/>
              <w:kinsoku/>
              <w:wordWrap/>
              <w:overflowPunct/>
              <w:bidi w:val="0"/>
              <w:spacing w:line="400" w:lineRule="exact"/>
              <w:rPr>
                <w:rFonts w:hint="eastAsia" w:ascii="Times New Roman" w:hAnsi="Times New Roman" w:eastAsia="宋体" w:cs="Times New Roman"/>
                <w:b/>
                <w:color w:val="auto"/>
                <w:kern w:val="2"/>
                <w:sz w:val="21"/>
                <w:szCs w:val="21"/>
                <w:highlight w:val="white"/>
                <w:lang w:val="en-US" w:eastAsia="zh-CN" w:bidi="ar-SA"/>
              </w:rPr>
            </w:pPr>
            <w:r>
              <w:rPr>
                <w:rFonts w:hint="eastAsia"/>
                <w:color w:val="auto"/>
                <w:spacing w:val="-4"/>
                <w:sz w:val="21"/>
                <w:lang w:val="en-US" w:eastAsia="zh-CN"/>
              </w:rPr>
              <w:t>1、</w:t>
            </w:r>
            <w:r>
              <w:rPr>
                <w:rFonts w:hint="eastAsia" w:ascii="Times New Roman" w:hAnsi="Times New Roman" w:eastAsia="宋体" w:cs="Times New Roman"/>
                <w:b/>
                <w:color w:val="auto"/>
                <w:kern w:val="2"/>
                <w:sz w:val="21"/>
                <w:szCs w:val="21"/>
                <w:highlight w:val="white"/>
                <w:lang w:val="en-US" w:eastAsia="zh-CN" w:bidi="ar-SA"/>
              </w:rPr>
              <w:t>本项目招标代理服务费由成交供应商在领取成交通知书前支付，招标代理费按发改价格[2011]534号文件规定的70%收取。</w:t>
            </w:r>
          </w:p>
          <w:p>
            <w:pPr>
              <w:pStyle w:val="317"/>
              <w:keepNext w:val="0"/>
              <w:keepLines w:val="0"/>
              <w:pageBreakBefore w:val="0"/>
              <w:kinsoku/>
              <w:wordWrap/>
              <w:overflowPunct/>
              <w:bidi w:val="0"/>
              <w:spacing w:line="400" w:lineRule="exact"/>
              <w:rPr>
                <w:rFonts w:hint="eastAsia" w:ascii="Times New Roman" w:hAnsi="Times New Roman" w:eastAsia="宋体" w:cs="Times New Roman"/>
                <w:b/>
                <w:color w:val="auto"/>
                <w:kern w:val="2"/>
                <w:sz w:val="21"/>
                <w:szCs w:val="21"/>
                <w:highlight w:val="white"/>
                <w:lang w:val="en-US" w:eastAsia="zh-CN" w:bidi="ar-SA"/>
              </w:rPr>
            </w:pPr>
            <w:r>
              <w:rPr>
                <w:rFonts w:hint="eastAsia"/>
                <w:color w:val="auto"/>
                <w:spacing w:val="-4"/>
                <w:sz w:val="21"/>
                <w:lang w:val="en-US" w:eastAsia="zh-CN"/>
              </w:rPr>
              <w:t>2、</w:t>
            </w:r>
            <w:r>
              <w:rPr>
                <w:rFonts w:hint="eastAsia" w:ascii="Times New Roman" w:hAnsi="Times New Roman" w:eastAsia="宋体" w:cs="Times New Roman"/>
                <w:b/>
                <w:color w:val="auto"/>
                <w:kern w:val="2"/>
                <w:sz w:val="21"/>
                <w:szCs w:val="21"/>
                <w:highlight w:val="white"/>
                <w:lang w:val="en-US" w:eastAsia="zh-CN" w:bidi="ar-SA"/>
              </w:rPr>
              <w:t>评审费按实际支出计取。</w:t>
            </w:r>
          </w:p>
          <w:p>
            <w:pPr>
              <w:spacing w:line="290" w:lineRule="exact"/>
              <w:rPr>
                <w:color w:val="auto"/>
              </w:rPr>
            </w:pPr>
            <w:r>
              <w:rPr>
                <w:rFonts w:hint="eastAsia"/>
                <w:color w:val="auto"/>
                <w:spacing w:val="-4"/>
                <w:sz w:val="21"/>
                <w:lang w:val="en-US" w:eastAsia="zh-CN"/>
              </w:rPr>
              <w:t>3、</w:t>
            </w:r>
            <w:r>
              <w:rPr>
                <w:rFonts w:hint="eastAsia" w:ascii="Times New Roman" w:hAnsi="Times New Roman" w:eastAsia="宋体" w:cs="Times New Roman"/>
                <w:b/>
                <w:color w:val="auto"/>
                <w:kern w:val="2"/>
                <w:sz w:val="21"/>
                <w:szCs w:val="21"/>
                <w:highlight w:val="white"/>
                <w:lang w:val="en-US" w:eastAsia="zh-CN" w:bidi="ar-SA"/>
              </w:rPr>
              <w:t>供应商在投标报价时应综合考虑有关投标所产生的所有费用，采购人不再另外支付。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895" w:type="dxa"/>
            <w:tcBorders>
              <w:top w:val="single" w:color="000000" w:sz="4" w:space="0"/>
              <w:left w:val="single" w:color="000000" w:sz="4" w:space="0"/>
              <w:bottom w:val="single" w:color="000000" w:sz="4" w:space="0"/>
              <w:right w:val="single" w:color="000000" w:sz="4" w:space="0"/>
            </w:tcBorders>
            <w:vAlign w:val="center"/>
          </w:tcPr>
          <w:p>
            <w:pPr>
              <w:spacing w:line="290" w:lineRule="exact"/>
              <w:rPr>
                <w:rStyle w:val="34"/>
                <w:rFonts w:ascii="宋体"/>
                <w:b/>
                <w:color w:val="auto"/>
                <w:sz w:val="24"/>
              </w:rPr>
            </w:pPr>
            <w:r>
              <w:rPr>
                <w:rStyle w:val="34"/>
                <w:rFonts w:ascii="宋体"/>
                <w:b/>
                <w:color w:val="auto"/>
                <w:sz w:val="24"/>
              </w:rPr>
              <w:t>12.2</w:t>
            </w:r>
          </w:p>
        </w:tc>
        <w:tc>
          <w:tcPr>
            <w:tcW w:w="8552" w:type="dxa"/>
            <w:gridSpan w:val="2"/>
            <w:tcBorders>
              <w:top w:val="single" w:color="000000" w:sz="4" w:space="0"/>
              <w:left w:val="single" w:color="000000" w:sz="4" w:space="0"/>
              <w:bottom w:val="single" w:color="000000" w:sz="4" w:space="0"/>
              <w:right w:val="single" w:color="000000" w:sz="4" w:space="0"/>
            </w:tcBorders>
            <w:vAlign w:val="center"/>
          </w:tcPr>
          <w:p>
            <w:pPr>
              <w:spacing w:line="290" w:lineRule="exact"/>
              <w:ind w:firstLine="0" w:firstLineChars="0"/>
              <w:rPr>
                <w:rStyle w:val="34"/>
                <w:rFonts w:ascii="宋体"/>
                <w:b/>
                <w:color w:val="auto"/>
                <w:sz w:val="24"/>
              </w:rPr>
            </w:pPr>
            <w:r>
              <w:rPr>
                <w:rStyle w:val="34"/>
                <w:rFonts w:ascii="宋体"/>
                <w:b/>
                <w:color w:val="auto"/>
                <w:sz w:val="24"/>
              </w:rPr>
              <w:t>质疑和投诉：按照《政府采购质疑和投诉办法》（财政部第94号令）处理</w:t>
            </w:r>
          </w:p>
        </w:tc>
      </w:tr>
    </w:tbl>
    <w:p>
      <w:pPr>
        <w:pStyle w:val="25"/>
        <w:spacing w:line="440" w:lineRule="exact"/>
        <w:rPr>
          <w:rStyle w:val="34"/>
          <w:rFonts w:ascii="宋体" w:hAnsi="宋体" w:cs="Times New Roman"/>
          <w:bCs/>
          <w:color w:val="auto"/>
          <w:szCs w:val="36"/>
        </w:rPr>
      </w:pPr>
      <w:r>
        <w:rPr>
          <w:rStyle w:val="34"/>
          <w:color w:val="auto"/>
        </w:rPr>
        <w:t>1.总则</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1.1 项目概况</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1.1.1根据《中华人民共和国政府采购法》等有关法律、法规和规章的规定，本采购项目已具备采购条件，现对本项目进行公开招标。</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 xml:space="preserve">1.1.2 </w:t>
      </w:r>
      <w:r>
        <w:rPr>
          <w:rStyle w:val="34"/>
          <w:rFonts w:ascii="宋体" w:hAnsi="宋体"/>
          <w:color w:val="auto"/>
          <w:sz w:val="24"/>
        </w:rPr>
        <w:t>招标人：见投标人须知前附表。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1.1.3 采购代理机构：见投标人须知前附表。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1.1.4 项目名称及项目编号：见投标人须知前附表。</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1.2 资金来源和落实情况</w:t>
      </w:r>
      <w:r>
        <w:rPr>
          <w:rStyle w:val="34"/>
          <w:b w:val="0"/>
          <w:color w:val="auto"/>
          <w:sz w:val="24"/>
          <w:szCs w:val="24"/>
        </w:rPr>
        <w:t>及付款方式</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1.2.1 资金来源及出资比例：见投标人须知前附表。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1.2.2 资金落实情况：见投标人须知前附表。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1.2.3 付款方式：见投标人须知前附表。</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 xml:space="preserve">1.3 </w:t>
      </w:r>
      <w:r>
        <w:rPr>
          <w:rStyle w:val="34"/>
          <w:b w:val="0"/>
          <w:color w:val="auto"/>
          <w:sz w:val="24"/>
          <w:szCs w:val="24"/>
        </w:rPr>
        <w:t>采购范围与合同工期</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1.3.1 采购范围：见投标人须知前附表。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1.3.2 合同工期：见投标人须知前附表。</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1.4 投标人资格要求</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 xml:space="preserve">1.4.1 </w:t>
      </w:r>
      <w:r>
        <w:rPr>
          <w:rStyle w:val="34"/>
          <w:rFonts w:ascii="宋体" w:hAnsi="宋体"/>
          <w:color w:val="auto"/>
          <w:sz w:val="24"/>
        </w:rPr>
        <w:t>投标人参加政府采购活动应当具备下列条件：</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  （1）具有独立承担民事责任的能力；</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  （2）</w:t>
      </w:r>
      <w:r>
        <w:rPr>
          <w:rStyle w:val="34"/>
          <w:rFonts w:ascii="宋体" w:hAnsi="宋体" w:cs="Times New Roman"/>
          <w:bCs/>
          <w:color w:val="auto"/>
          <w:sz w:val="24"/>
        </w:rPr>
        <w:t>符合《政府采购法》第二十二条及《政府采购法实施条例》第十七条之规定；</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（3）</w:t>
      </w:r>
      <w:r>
        <w:rPr>
          <w:rStyle w:val="34"/>
          <w:rFonts w:ascii="宋体" w:hAnsi="宋体" w:cs="Times New Roman"/>
          <w:bCs/>
          <w:color w:val="auto"/>
          <w:sz w:val="24"/>
        </w:rPr>
        <w:t>供应商提供的设备或产品必须是全新、符合采购文件要求的技术参数和性能、具有厂家质量合格证明的设备。</w:t>
      </w:r>
    </w:p>
    <w:p>
      <w:pPr>
        <w:snapToGrid w:val="0"/>
        <w:spacing w:line="440" w:lineRule="exact"/>
        <w:jc w:val="left"/>
        <w:rPr>
          <w:rStyle w:val="34"/>
          <w:rFonts w:ascii="宋体" w:hAnsi="宋体"/>
          <w:color w:val="auto"/>
          <w:sz w:val="24"/>
        </w:rPr>
      </w:pPr>
      <w:r>
        <w:rPr>
          <w:rStyle w:val="34"/>
          <w:rFonts w:ascii="宋体" w:hAnsi="宋体"/>
          <w:color w:val="auto"/>
          <w:sz w:val="24"/>
        </w:rPr>
        <w:t>1.4.2招标人根据采购项目特殊要求，要求投标人具备的特定条件：见投标人须知前附表。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1.4.3投标人不得存在下列情形之一：</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（l）与招标人和采购代理机构存在</w:t>
      </w:r>
      <w:r>
        <w:rPr>
          <w:rStyle w:val="34"/>
          <w:rFonts w:ascii="宋体" w:hAnsi="宋体" w:cs="Times New Roman"/>
          <w:bCs/>
          <w:color w:val="auto"/>
          <w:sz w:val="24"/>
        </w:rPr>
        <w:t>隶属关系或者其他利害关系</w:t>
      </w:r>
      <w:r>
        <w:rPr>
          <w:rStyle w:val="34"/>
          <w:rFonts w:ascii="宋体" w:hAnsi="宋体"/>
          <w:color w:val="auto"/>
          <w:sz w:val="24"/>
        </w:rPr>
        <w:t>；</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（2）投标人或者其法定代表人、董事、监事、高级管理人员因经营活动中的违法行为受到行政处罚，但警告和罚款额在三万元以下的行政处罚除外；</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（3）投标人或者其法定代表人、董事、监事、高级管理人员因经营活动中的违法行为受到刑事处罚；</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（4）法律、行政法规规定的其他条件。</w:t>
      </w:r>
    </w:p>
    <w:p>
      <w:pPr>
        <w:snapToGrid w:val="0"/>
        <w:spacing w:line="440" w:lineRule="exact"/>
        <w:jc w:val="left"/>
        <w:rPr>
          <w:rStyle w:val="34"/>
          <w:rFonts w:ascii="宋体" w:hAnsi="宋体"/>
          <w:color w:val="auto"/>
          <w:sz w:val="24"/>
        </w:rPr>
      </w:pPr>
      <w:r>
        <w:rPr>
          <w:rStyle w:val="34"/>
          <w:rFonts w:ascii="宋体" w:hAnsi="宋体"/>
          <w:color w:val="auto"/>
          <w:sz w:val="24"/>
        </w:rPr>
        <w:t>1.4.4 单位负责人为同一人或者存在直接控股、管理关系的不同投标人，不得参加同一合同项下的政府采购活动。</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1.5 费用承担</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无论采购结果如何，投标人为准备和参加投标活动发生的费用自理。</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1.6 保密</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 xml:space="preserve">参与采购项目招标投标活动的各方应对招标文件和投标人投标文件中的商业和技术等秘密保密，违者应对由此造成的后果承担法律责任。 </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1.7 语言文字</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招标投标文件使用的语言文字为中文。专用术语使用外文的，应附有中文注释。</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1.8 计量单位</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所有计量均采用中华人民共和国法定计量单位。</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 xml:space="preserve">1.9 </w:t>
      </w:r>
      <w:r>
        <w:rPr>
          <w:rStyle w:val="34"/>
          <w:b w:val="0"/>
          <w:color w:val="auto"/>
          <w:sz w:val="24"/>
          <w:szCs w:val="24"/>
        </w:rPr>
        <w:t>分包</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本项目不接受分包，劳务分包按相关法律规定执行。</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 xml:space="preserve">1.10 </w:t>
      </w:r>
      <w:r>
        <w:rPr>
          <w:rStyle w:val="34"/>
          <w:b w:val="0"/>
          <w:color w:val="auto"/>
          <w:sz w:val="24"/>
          <w:szCs w:val="24"/>
        </w:rPr>
        <w:t>偏离</w:t>
      </w:r>
    </w:p>
    <w:p>
      <w:pPr>
        <w:snapToGrid w:val="0"/>
        <w:spacing w:line="440" w:lineRule="exact"/>
        <w:jc w:val="left"/>
        <w:rPr>
          <w:rStyle w:val="34"/>
          <w:rFonts w:ascii="宋体" w:hAnsi="宋体"/>
          <w:color w:val="auto"/>
          <w:sz w:val="24"/>
        </w:rPr>
      </w:pPr>
      <w:r>
        <w:rPr>
          <w:rStyle w:val="34"/>
          <w:rFonts w:ascii="宋体" w:hAnsi="宋体"/>
          <w:color w:val="auto"/>
          <w:sz w:val="24"/>
        </w:rPr>
        <w:t>1.10.1本条所称偏离为投标文件中的内容高于或者低于招标文件中规定的技术参数、标准。低于的偏离为负偏离，即不满足、或不响应招标文件规定的技术参数、标准；高于的为正偏离，即优于招标文件规定的技术参数、标准。</w:t>
      </w:r>
    </w:p>
    <w:p>
      <w:pPr>
        <w:snapToGrid w:val="0"/>
        <w:spacing w:line="440" w:lineRule="exact"/>
        <w:jc w:val="left"/>
        <w:rPr>
          <w:rStyle w:val="34"/>
          <w:color w:val="auto"/>
          <w:sz w:val="24"/>
          <w:highlight w:val="white"/>
        </w:rPr>
      </w:pPr>
      <w:r>
        <w:rPr>
          <w:rStyle w:val="34"/>
          <w:rFonts w:ascii="宋体" w:hAnsi="宋体"/>
          <w:color w:val="auto"/>
          <w:sz w:val="24"/>
        </w:rPr>
        <w:t>1.10.2偏离的具体要求见投标人须知前附表。</w:t>
      </w:r>
    </w:p>
    <w:p>
      <w:pPr>
        <w:pStyle w:val="25"/>
        <w:spacing w:line="440" w:lineRule="exact"/>
        <w:rPr>
          <w:rStyle w:val="34"/>
          <w:rFonts w:ascii="宋体" w:hAnsi="宋体"/>
          <w:color w:val="auto"/>
          <w:sz w:val="24"/>
          <w:szCs w:val="24"/>
        </w:rPr>
      </w:pPr>
      <w:r>
        <w:rPr>
          <w:rStyle w:val="34"/>
          <w:color w:val="auto"/>
          <w:sz w:val="24"/>
          <w:szCs w:val="24"/>
        </w:rPr>
        <w:t>2. 招标文件</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2.1 招标文件的组成</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2.1.1 本招标文件包括：</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（1）招标公告；</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（2）投标人须知；</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（3）评标办法；</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（4）合同条款及格式；</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 xml:space="preserve">（5）技术标准和要求； </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（6）投标文件的编制及格式；</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（7）投标人须知前附表规定的构成招标文件的其他材料。</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2.1.2 根据本章第2.2款和第2.3款对招标文件所作的澄清、修改，构成招标文件的组成部分。</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2.1.3 </w:t>
      </w:r>
      <w:r>
        <w:rPr>
          <w:rStyle w:val="34"/>
          <w:rFonts w:ascii="宋体" w:hAnsi="宋体" w:cs="Times New Roman"/>
          <w:bCs/>
          <w:color w:val="auto"/>
          <w:sz w:val="24"/>
        </w:rPr>
        <w:t>投标人应认真阅读、并充分理解招标文件的全部内容（包括所有的补充、修改内容、重要事项、格式、条款和技术规范、参数及要求等）。投标人没有对招标文件出实质性响应将导致投标无效。</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 xml:space="preserve">2.2 招标文件的澄清 </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2.2.1投标人应仔细阅读和检查招标文件的全部内容。如发现缺页或附件不全，应及时向招标人或采购代理机构提出，以便补齐。如有疑问，应在投标人须知前附表规定的时间前，要求招标人或采购代理机构对招标文件予以澄清。</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2.2.2</w:t>
      </w:r>
      <w:r>
        <w:rPr>
          <w:rStyle w:val="34"/>
          <w:rFonts w:ascii="宋体" w:hAnsi="宋体"/>
          <w:color w:val="auto"/>
          <w:kern w:val="0"/>
          <w:sz w:val="24"/>
          <w:highlight w:val="white"/>
        </w:rPr>
        <w:t>招标文件的澄清将在投标人须知前附表规定的投标截止时间15 天前</w:t>
      </w:r>
      <w:r>
        <w:rPr>
          <w:rStyle w:val="34"/>
          <w:rFonts w:ascii="宋体" w:hAnsi="宋体"/>
          <w:color w:val="auto"/>
          <w:kern w:val="0"/>
          <w:sz w:val="24"/>
        </w:rPr>
        <w:t>在原公告信息发布媒体公开发布</w:t>
      </w:r>
      <w:r>
        <w:rPr>
          <w:rStyle w:val="34"/>
          <w:rFonts w:ascii="宋体" w:hAnsi="宋体"/>
          <w:color w:val="auto"/>
          <w:kern w:val="0"/>
          <w:sz w:val="24"/>
          <w:highlight w:val="white"/>
        </w:rPr>
        <w:t>，但不指明问题的来源。如果澄清发布的时间距投标截止时间不足15 天，并且澄清内容影响投标文件编制的，将相应延长投标截止时间</w:t>
      </w:r>
      <w:r>
        <w:rPr>
          <w:rStyle w:val="34"/>
          <w:rFonts w:ascii="宋体" w:hAnsi="宋体"/>
          <w:color w:val="auto"/>
          <w:sz w:val="24"/>
          <w:highlight w:val="white"/>
        </w:rPr>
        <w:t>。</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2.2.3</w:t>
      </w:r>
      <w:r>
        <w:rPr>
          <w:rStyle w:val="34"/>
          <w:rFonts w:ascii="宋体" w:hAnsi="宋体"/>
          <w:color w:val="auto"/>
          <w:kern w:val="0"/>
          <w:sz w:val="24"/>
          <w:highlight w:val="white"/>
        </w:rPr>
        <w:t>投标人未按澄清后的招标文件编制的投标文件有可能被评标委员会否决。</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2.3 招标文件的修改</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2.3.1招标人可以修改招标文件，</w:t>
      </w:r>
      <w:r>
        <w:rPr>
          <w:rStyle w:val="34"/>
          <w:rFonts w:ascii="宋体" w:hAnsi="宋体"/>
          <w:color w:val="auto"/>
          <w:kern w:val="0"/>
          <w:sz w:val="24"/>
        </w:rPr>
        <w:t>修改后的内容是招标文件的组成部分，将在原公告信息发布媒体公开发布，修改后的招标文件内容对潜在投标人具有约束力。</w:t>
      </w:r>
      <w:r>
        <w:rPr>
          <w:rStyle w:val="34"/>
          <w:rFonts w:ascii="宋体" w:hAnsi="宋体"/>
          <w:color w:val="auto"/>
          <w:sz w:val="24"/>
          <w:highlight w:val="white"/>
        </w:rPr>
        <w:t>如果修改招标文件的时间距投标截止时间不足15天，并且修改内容影响投标文件编制的，将相应延长投标截止时间。</w:t>
      </w:r>
    </w:p>
    <w:p>
      <w:pPr>
        <w:snapToGrid w:val="0"/>
        <w:spacing w:line="440" w:lineRule="exact"/>
        <w:jc w:val="left"/>
        <w:rPr>
          <w:rStyle w:val="34"/>
          <w:rFonts w:ascii="宋体" w:hAnsi="宋体"/>
          <w:color w:val="auto"/>
          <w:kern w:val="0"/>
          <w:sz w:val="24"/>
        </w:rPr>
      </w:pPr>
      <w:r>
        <w:rPr>
          <w:rStyle w:val="34"/>
          <w:rFonts w:ascii="宋体" w:hAnsi="宋体"/>
          <w:color w:val="auto"/>
          <w:sz w:val="24"/>
          <w:highlight w:val="white"/>
        </w:rPr>
        <w:t>2.3.2潜在</w:t>
      </w:r>
      <w:r>
        <w:rPr>
          <w:rStyle w:val="34"/>
          <w:rFonts w:ascii="宋体" w:hAnsi="宋体"/>
          <w:color w:val="auto"/>
          <w:kern w:val="0"/>
          <w:sz w:val="24"/>
        </w:rPr>
        <w:t>投标人应在投标截止时间前，关注招标公告信息发布媒体有无补充文件信息。因潜在投标人自身原因不能及时获知补充文件信息的，招标人及采购代理机构不承担任何责任。</w:t>
      </w:r>
      <w:r>
        <w:rPr>
          <w:rStyle w:val="34"/>
          <w:rFonts w:ascii="宋体" w:hAnsi="宋体"/>
          <w:color w:val="auto"/>
          <w:kern w:val="0"/>
          <w:sz w:val="24"/>
          <w:highlight w:val="white"/>
        </w:rPr>
        <w:t>潜在投标人未按修改后的招标文件编制的投标文件有可能被评标委员会否决。</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 xml:space="preserve">2.4 </w:t>
      </w:r>
      <w:r>
        <w:rPr>
          <w:rStyle w:val="34"/>
          <w:b w:val="0"/>
          <w:color w:val="auto"/>
          <w:sz w:val="24"/>
          <w:szCs w:val="24"/>
        </w:rPr>
        <w:t>采购预算</w:t>
      </w:r>
    </w:p>
    <w:p>
      <w:pPr>
        <w:snapToGrid w:val="0"/>
        <w:spacing w:line="440" w:lineRule="exact"/>
        <w:jc w:val="left"/>
        <w:rPr>
          <w:rStyle w:val="34"/>
          <w:rFonts w:ascii="宋体" w:hAnsi="宋体"/>
          <w:color w:val="auto"/>
          <w:sz w:val="24"/>
        </w:rPr>
      </w:pPr>
      <w:r>
        <w:rPr>
          <w:rStyle w:val="34"/>
          <w:rFonts w:ascii="宋体" w:hAnsi="宋体"/>
          <w:color w:val="auto"/>
          <w:sz w:val="24"/>
        </w:rPr>
        <w:t>采购预算具体金额见投标须知前附表。</w:t>
      </w:r>
    </w:p>
    <w:p>
      <w:pPr>
        <w:pStyle w:val="25"/>
        <w:spacing w:line="440" w:lineRule="exact"/>
        <w:rPr>
          <w:rStyle w:val="34"/>
          <w:rFonts w:ascii="宋体" w:hAnsi="宋体"/>
          <w:color w:val="auto"/>
          <w:sz w:val="24"/>
          <w:szCs w:val="24"/>
        </w:rPr>
      </w:pPr>
      <w:r>
        <w:rPr>
          <w:rStyle w:val="34"/>
          <w:color w:val="auto"/>
          <w:sz w:val="24"/>
          <w:szCs w:val="24"/>
        </w:rPr>
        <w:t>3. 投标文件</w:t>
      </w:r>
    </w:p>
    <w:p>
      <w:pPr>
        <w:pStyle w:val="26"/>
        <w:snapToGrid w:val="0"/>
        <w:spacing w:before="0" w:after="0" w:line="440" w:lineRule="exact"/>
        <w:jc w:val="left"/>
        <w:rPr>
          <w:rStyle w:val="34"/>
          <w:color w:val="auto"/>
          <w:sz w:val="24"/>
          <w:szCs w:val="24"/>
          <w:highlight w:val="white"/>
        </w:rPr>
      </w:pPr>
      <w:r>
        <w:rPr>
          <w:rStyle w:val="34"/>
          <w:color w:val="auto"/>
          <w:sz w:val="24"/>
          <w:szCs w:val="24"/>
          <w:highlight w:val="white"/>
        </w:rPr>
        <w:t>3.1投标文件的构成</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（1）开标一览表</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（2）投标函</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（3）投标报价构成表及分析说明</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（4）资格及资信证明文件</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5）技术文件应包括而不限于以下内容：投标货物的详细供货范围清单（包括配置情况、主要部件、配套件、备品备件及专用工具等的名称、品牌、型号规格、主要技术参数及性能、数量、单价、制造商全称及制造地点等）；项目实施方案等；技术规格响应偏离表</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（6）售后服务承诺</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（7）企业综合实力证明材料</w:t>
      </w:r>
    </w:p>
    <w:p>
      <w:pPr>
        <w:pStyle w:val="176"/>
        <w:snapToGrid w:val="0"/>
        <w:spacing w:line="440" w:lineRule="exact"/>
        <w:ind w:firstLine="240" w:firstLineChars="100"/>
        <w:jc w:val="both"/>
        <w:rPr>
          <w:rStyle w:val="34"/>
          <w:rFonts w:ascii="宋体" w:hAnsi="宋体" w:eastAsia="宋体"/>
          <w:color w:val="auto"/>
        </w:rPr>
      </w:pPr>
      <w:r>
        <w:rPr>
          <w:rStyle w:val="34"/>
          <w:rFonts w:ascii="宋体" w:hAnsi="宋体" w:eastAsia="宋体"/>
          <w:color w:val="auto"/>
          <w:highlight w:val="white"/>
        </w:rPr>
        <w:t>（8）根据评标办法应列入投标文件的其他材料</w:t>
      </w:r>
    </w:p>
    <w:p>
      <w:pPr>
        <w:pStyle w:val="26"/>
        <w:snapToGrid w:val="0"/>
        <w:spacing w:before="0" w:after="0" w:line="440" w:lineRule="exact"/>
        <w:jc w:val="left"/>
        <w:rPr>
          <w:rStyle w:val="34"/>
          <w:rFonts w:ascii="宋体" w:hAnsi="宋体"/>
          <w:b w:val="0"/>
          <w:color w:val="auto"/>
          <w:sz w:val="24"/>
          <w:szCs w:val="24"/>
        </w:rPr>
      </w:pPr>
      <w:r>
        <w:rPr>
          <w:rStyle w:val="34"/>
          <w:b w:val="0"/>
          <w:color w:val="auto"/>
          <w:sz w:val="24"/>
          <w:szCs w:val="24"/>
          <w:highlight w:val="white"/>
        </w:rPr>
        <w:t>3.2</w:t>
      </w:r>
      <w:r>
        <w:rPr>
          <w:rStyle w:val="34"/>
          <w:rFonts w:ascii="宋体" w:hAnsi="宋体"/>
          <w:color w:val="auto"/>
          <w:sz w:val="24"/>
          <w:szCs w:val="24"/>
          <w:highlight w:val="white"/>
        </w:rPr>
        <w:t>投标报价</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3.2.1 投标人应按招标文件规定的供货及服务要求、责任范围和合同条件，以人民币进行报价。</w:t>
      </w:r>
      <w:r>
        <w:rPr>
          <w:rStyle w:val="34"/>
          <w:rFonts w:ascii="宋体"/>
          <w:color w:val="auto"/>
          <w:sz w:val="24"/>
        </w:rPr>
        <w:t>本次采购采用固定总价方式，投标人根据招标人提供的清单报价。</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3.2.2 投标人应按开标一览表和分项价格表的内容和格式要求填写各项货物及服务的分项价格和总价。投标总价中不得包含招标文件要求以外的内容，否则，在评标时不予核减。投标总价中也不得缺漏招标文件所要求的内容，否则，在评标时将其视为无效投标。</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3.2.3投标人对每种货物及服务只允许有一个报价，不接受选择性报价，否则，在评标时将其视为无效投标。</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3.2.4投标人的投标报价不得超过采购项目预算。</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3.2.5投标文件中标明的价格在单价合同执行过程中是固定不变的，不得以任何理由予以变更。任何包含价格调整要求和条件的投标，在评标时将其视为无效投标。</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根据《政府采购促进中小企业发展暂行办法》规定，对小型和微型企业的产品价格给予10%的扣除，扣除后的价格参与评审。</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须提供的材料：</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1.投标产品是由投标人制造的，投标人提供《中小企业声明函》（格式附后）；</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2.投标产品是由其他中小企业制造的，投标人提供其他企业的《中小企业声明函》（格式附后）；</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3.3投标有效期</w:t>
      </w:r>
    </w:p>
    <w:p>
      <w:pPr>
        <w:snapToGrid w:val="0"/>
        <w:spacing w:line="440" w:lineRule="exact"/>
        <w:jc w:val="left"/>
        <w:rPr>
          <w:rStyle w:val="34"/>
          <w:rFonts w:ascii="宋体" w:hAnsi="宋体"/>
          <w:color w:val="auto"/>
          <w:kern w:val="0"/>
          <w:sz w:val="24"/>
        </w:rPr>
      </w:pPr>
      <w:r>
        <w:rPr>
          <w:rStyle w:val="34"/>
          <w:rFonts w:ascii="宋体" w:hAnsi="宋体"/>
          <w:color w:val="auto"/>
          <w:sz w:val="24"/>
          <w:highlight w:val="white"/>
        </w:rPr>
        <w:t xml:space="preserve">3.3.1 </w:t>
      </w:r>
      <w:r>
        <w:rPr>
          <w:rStyle w:val="34"/>
          <w:rFonts w:ascii="宋体" w:hAnsi="宋体"/>
          <w:color w:val="auto"/>
          <w:kern w:val="0"/>
          <w:sz w:val="24"/>
          <w:highlight w:val="white"/>
        </w:rPr>
        <w:t>在投标人须知前附表规定的投标有效期内，投标人不得要求撤销或修改其投标文件。</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3.3.2出现特殊情况需要延长投标有效期的，招标人以书面形式通知所有投标人。投标人同意延长的，应相应延长其投标保证金的有效期，但不得要求或被允许修改或撤销其投标文件；投标人拒绝延长的，其投标失效，但投标人有权收回其投标保证金。</w:t>
      </w:r>
    </w:p>
    <w:p>
      <w:pPr>
        <w:pStyle w:val="26"/>
        <w:snapToGrid w:val="0"/>
        <w:spacing w:before="0" w:after="0" w:line="440" w:lineRule="exact"/>
        <w:jc w:val="left"/>
        <w:rPr>
          <w:rStyle w:val="34"/>
          <w:b w:val="0"/>
          <w:color w:val="auto"/>
          <w:sz w:val="24"/>
          <w:szCs w:val="24"/>
        </w:rPr>
      </w:pPr>
      <w:r>
        <w:rPr>
          <w:rStyle w:val="34"/>
          <w:b w:val="0"/>
          <w:color w:val="auto"/>
          <w:sz w:val="24"/>
          <w:szCs w:val="24"/>
        </w:rPr>
        <w:t>3.4 投标保证金</w:t>
      </w:r>
    </w:p>
    <w:p>
      <w:pPr>
        <w:snapToGrid w:val="0"/>
        <w:spacing w:line="440" w:lineRule="exact"/>
        <w:rPr>
          <w:rStyle w:val="34"/>
          <w:rFonts w:ascii="宋体" w:hAnsi="宋体"/>
          <w:color w:val="auto"/>
          <w:sz w:val="24"/>
        </w:rPr>
      </w:pPr>
      <w:r>
        <w:rPr>
          <w:rStyle w:val="34"/>
          <w:rFonts w:ascii="宋体" w:hAnsi="宋体"/>
          <w:color w:val="auto"/>
          <w:sz w:val="24"/>
        </w:rPr>
        <w:t>3.4.1见投标人须知前附表。</w:t>
      </w:r>
    </w:p>
    <w:p>
      <w:pPr>
        <w:snapToGrid w:val="0"/>
        <w:spacing w:line="440" w:lineRule="exact"/>
        <w:rPr>
          <w:rStyle w:val="34"/>
          <w:rFonts w:ascii="宋体" w:hAnsi="宋体"/>
          <w:color w:val="auto"/>
          <w:sz w:val="24"/>
        </w:rPr>
      </w:pPr>
      <w:r>
        <w:rPr>
          <w:rStyle w:val="34"/>
          <w:rFonts w:ascii="宋体" w:hAnsi="宋体"/>
          <w:color w:val="auto"/>
          <w:sz w:val="24"/>
        </w:rPr>
        <w:t>3.4.2投标保证金的退还：</w:t>
      </w:r>
    </w:p>
    <w:p>
      <w:pPr>
        <w:snapToGrid w:val="0"/>
        <w:spacing w:line="440" w:lineRule="exact"/>
        <w:ind w:firstLine="240" w:firstLineChars="100"/>
        <w:rPr>
          <w:rStyle w:val="34"/>
          <w:rFonts w:ascii="宋体" w:hAnsi="宋体"/>
          <w:color w:val="auto"/>
          <w:sz w:val="24"/>
        </w:rPr>
      </w:pPr>
      <w:r>
        <w:rPr>
          <w:rStyle w:val="34"/>
          <w:rFonts w:ascii="宋体" w:hAnsi="宋体"/>
          <w:color w:val="auto"/>
          <w:sz w:val="24"/>
        </w:rPr>
        <w:t>（1）未中标投标人的投标保证金，在确定中标人后退还。</w:t>
      </w:r>
    </w:p>
    <w:p>
      <w:pPr>
        <w:snapToGrid w:val="0"/>
        <w:spacing w:line="440" w:lineRule="exact"/>
        <w:ind w:firstLine="240" w:firstLineChars="100"/>
        <w:rPr>
          <w:rStyle w:val="34"/>
          <w:rFonts w:ascii="宋体" w:hAnsi="宋体"/>
          <w:color w:val="auto"/>
          <w:sz w:val="24"/>
        </w:rPr>
      </w:pPr>
      <w:r>
        <w:rPr>
          <w:rStyle w:val="34"/>
          <w:rFonts w:ascii="宋体" w:hAnsi="宋体"/>
          <w:color w:val="auto"/>
          <w:sz w:val="24"/>
        </w:rPr>
        <w:t>（2）中标人的保证金，在采购合同签订后5个工作日内退还。</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3.4.3有下列情形之一的，投标保证金将不予退还： </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（1）投标人在规定的投标有效期内撤销或修改其投标文件；</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 xml:space="preserve">（2）未按招标文件规定提交履约担保； </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（3）中标人在收到中标通知书后，无正当理由拒签合同协议书。</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3.5投标文件的编制</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3.5.1投标文件的编制应按第六章“投标文件编制和格式”要求进行编制，投标人需另行增加的，应将相关内容和材料编入投标文件相应章节，作为投标文件的组成部分。</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3.5.2 投标文件应当对招标文件有关合同工期、投标有效期、技术标准和要求、招标范围等实质性内容作出响应。</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3.5.3投标文件中涉及到的相关的资质、资格、业绩等材料，应按第六章“投标文件编制和格式”规定的方式编入投标文件。相关原件资料应该</w:t>
      </w:r>
      <w:r>
        <w:rPr>
          <w:rStyle w:val="34"/>
          <w:rFonts w:ascii="宋体" w:hAnsi="宋体"/>
          <w:color w:val="auto"/>
          <w:kern w:val="0"/>
          <w:sz w:val="24"/>
          <w:highlight w:val="white"/>
        </w:rPr>
        <w:t>由投标人法定代表人或其授权委托的代理人携带至开标现场，供评标委员会备查。</w:t>
      </w:r>
    </w:p>
    <w:p>
      <w:pPr>
        <w:pStyle w:val="26"/>
        <w:snapToGrid w:val="0"/>
        <w:spacing w:before="0" w:after="0" w:line="440" w:lineRule="exact"/>
        <w:jc w:val="left"/>
        <w:rPr>
          <w:rStyle w:val="34"/>
          <w:b w:val="0"/>
          <w:color w:val="auto"/>
          <w:sz w:val="24"/>
          <w:szCs w:val="24"/>
          <w:highlight w:val="white"/>
        </w:rPr>
      </w:pPr>
      <w:r>
        <w:rPr>
          <w:rStyle w:val="34"/>
          <w:b w:val="0"/>
          <w:color w:val="auto"/>
          <w:sz w:val="24"/>
          <w:szCs w:val="24"/>
          <w:highlight w:val="white"/>
        </w:rPr>
        <w:t>3.6投标文件的数量和签署</w:t>
      </w:r>
    </w:p>
    <w:p>
      <w:pPr>
        <w:tabs>
          <w:tab w:val="left" w:pos="-1980"/>
          <w:tab w:val="left" w:pos="360"/>
        </w:tabs>
        <w:snapToGrid w:val="0"/>
        <w:spacing w:line="440" w:lineRule="exact"/>
        <w:jc w:val="left"/>
        <w:rPr>
          <w:rStyle w:val="34"/>
          <w:rFonts w:ascii="宋体" w:hAnsi="宋体"/>
          <w:color w:val="auto"/>
          <w:kern w:val="0"/>
          <w:sz w:val="24"/>
        </w:rPr>
      </w:pPr>
      <w:r>
        <w:rPr>
          <w:rStyle w:val="34"/>
          <w:rFonts w:ascii="宋体" w:hAnsi="宋体"/>
          <w:color w:val="auto"/>
          <w:kern w:val="0"/>
          <w:sz w:val="24"/>
        </w:rPr>
        <w:t>3.6.1 投标文件的正本和副本的份数见投标人须知前附表。投标文件的正本需打印或用不褪色墨水书写，投标文件的副本可采用正本的复印件。每套投标文件须清楚地标明“正本”、“副本”。若副本与正本不符，以正本为准；</w:t>
      </w:r>
    </w:p>
    <w:p>
      <w:pPr>
        <w:tabs>
          <w:tab w:val="left" w:pos="-1980"/>
          <w:tab w:val="left" w:pos="0"/>
        </w:tabs>
        <w:snapToGrid w:val="0"/>
        <w:spacing w:line="440" w:lineRule="exact"/>
        <w:jc w:val="left"/>
        <w:rPr>
          <w:rStyle w:val="34"/>
          <w:rFonts w:ascii="宋体" w:hAnsi="宋体"/>
          <w:color w:val="auto"/>
          <w:kern w:val="0"/>
          <w:sz w:val="24"/>
        </w:rPr>
      </w:pPr>
      <w:r>
        <w:rPr>
          <w:rStyle w:val="34"/>
          <w:rFonts w:ascii="宋体" w:hAnsi="宋体"/>
          <w:color w:val="auto"/>
          <w:kern w:val="0"/>
          <w:sz w:val="24"/>
        </w:rPr>
        <w:t>3.6.2 投标文件正本中需要加盖投标人法人公章或法定代表人或经其授权的代表签字或签章的，须在规定内容处加盖投标人法人公章或法定代表人或经其授权的代表签字或签章。授权代表签字或签章时，须将《法定代表人授权书》附在投标文件中。</w:t>
      </w:r>
    </w:p>
    <w:p>
      <w:pPr>
        <w:snapToGrid w:val="0"/>
        <w:spacing w:line="440" w:lineRule="exact"/>
        <w:jc w:val="left"/>
        <w:rPr>
          <w:rStyle w:val="34"/>
          <w:rFonts w:ascii="宋体" w:hAnsi="宋体"/>
          <w:color w:val="auto"/>
          <w:kern w:val="0"/>
          <w:sz w:val="24"/>
        </w:rPr>
      </w:pPr>
      <w:r>
        <w:rPr>
          <w:rStyle w:val="34"/>
          <w:rFonts w:ascii="宋体" w:hAnsi="宋体"/>
          <w:color w:val="auto"/>
          <w:kern w:val="0"/>
          <w:sz w:val="24"/>
        </w:rPr>
        <w:t>3.6.3投标文件中的任何重要的插字、涂改和增删，修改处须有法定代表人或经其授权的代表的签章或签字。</w:t>
      </w:r>
    </w:p>
    <w:p>
      <w:pPr>
        <w:pStyle w:val="26"/>
        <w:snapToGrid w:val="0"/>
        <w:spacing w:before="0" w:after="0" w:line="440" w:lineRule="exact"/>
        <w:jc w:val="left"/>
        <w:rPr>
          <w:rStyle w:val="34"/>
          <w:b w:val="0"/>
          <w:color w:val="auto"/>
          <w:sz w:val="24"/>
          <w:szCs w:val="24"/>
          <w:highlight w:val="white"/>
        </w:rPr>
      </w:pPr>
      <w:r>
        <w:rPr>
          <w:rStyle w:val="34"/>
          <w:b w:val="0"/>
          <w:color w:val="auto"/>
          <w:sz w:val="24"/>
          <w:szCs w:val="24"/>
          <w:highlight w:val="white"/>
        </w:rPr>
        <w:t>3.7投标文件的装订、密封和标记</w:t>
      </w:r>
    </w:p>
    <w:p>
      <w:pPr>
        <w:tabs>
          <w:tab w:val="left" w:pos="-1980"/>
          <w:tab w:val="left" w:pos="360"/>
        </w:tabs>
        <w:snapToGrid w:val="0"/>
        <w:spacing w:line="440" w:lineRule="exact"/>
        <w:jc w:val="left"/>
        <w:rPr>
          <w:rStyle w:val="34"/>
          <w:rFonts w:ascii="宋体" w:hAnsi="宋体"/>
          <w:color w:val="auto"/>
          <w:kern w:val="0"/>
          <w:sz w:val="24"/>
        </w:rPr>
      </w:pPr>
      <w:r>
        <w:rPr>
          <w:rStyle w:val="34"/>
          <w:rFonts w:ascii="宋体" w:hAnsi="宋体"/>
          <w:color w:val="auto"/>
          <w:kern w:val="0"/>
          <w:sz w:val="24"/>
        </w:rPr>
        <w:t>3.7.1 投标文件应装订成册。出现掉页或者漏页的责任由投标人自行承担。</w:t>
      </w:r>
    </w:p>
    <w:p>
      <w:pPr>
        <w:tabs>
          <w:tab w:val="left" w:pos="-1980"/>
          <w:tab w:val="left" w:pos="360"/>
        </w:tabs>
        <w:snapToGrid w:val="0"/>
        <w:spacing w:line="440" w:lineRule="exact"/>
        <w:jc w:val="left"/>
        <w:rPr>
          <w:rStyle w:val="34"/>
          <w:rFonts w:ascii="宋体" w:hAnsi="宋体"/>
          <w:color w:val="auto"/>
          <w:kern w:val="0"/>
          <w:sz w:val="24"/>
        </w:rPr>
      </w:pPr>
      <w:r>
        <w:rPr>
          <w:rStyle w:val="34"/>
          <w:rFonts w:ascii="宋体" w:hAnsi="宋体"/>
          <w:color w:val="auto"/>
          <w:kern w:val="0"/>
          <w:sz w:val="24"/>
        </w:rPr>
        <w:t>3.7.2投标人应将投标文件密封包装。并在密封袋</w:t>
      </w:r>
      <w:r>
        <w:rPr>
          <w:rStyle w:val="34"/>
          <w:rFonts w:ascii="宋体" w:hAnsi="宋体"/>
          <w:color w:val="auto"/>
          <w:sz w:val="24"/>
        </w:rPr>
        <w:t>封口处加盖</w:t>
      </w:r>
      <w:r>
        <w:rPr>
          <w:rStyle w:val="34"/>
          <w:rFonts w:ascii="宋体" w:hAnsi="宋体" w:cs="Times New Roman"/>
          <w:b/>
          <w:bCs/>
          <w:color w:val="auto"/>
          <w:sz w:val="24"/>
        </w:rPr>
        <w:t>投标人法人公章</w:t>
      </w:r>
      <w:r>
        <w:rPr>
          <w:rStyle w:val="34"/>
          <w:rFonts w:ascii="宋体" w:hAnsi="宋体"/>
          <w:color w:val="auto"/>
          <w:kern w:val="0"/>
          <w:sz w:val="24"/>
        </w:rPr>
        <w:t>。</w:t>
      </w:r>
    </w:p>
    <w:p>
      <w:pPr>
        <w:tabs>
          <w:tab w:val="left" w:pos="-1980"/>
          <w:tab w:val="left" w:pos="360"/>
        </w:tabs>
        <w:snapToGrid w:val="0"/>
        <w:spacing w:line="440" w:lineRule="exact"/>
        <w:jc w:val="left"/>
        <w:rPr>
          <w:rStyle w:val="34"/>
          <w:rFonts w:ascii="宋体" w:hAnsi="宋体"/>
          <w:color w:val="auto"/>
          <w:kern w:val="0"/>
          <w:sz w:val="24"/>
        </w:rPr>
      </w:pPr>
      <w:r>
        <w:rPr>
          <w:rStyle w:val="34"/>
          <w:rFonts w:ascii="宋体" w:hAnsi="宋体"/>
          <w:color w:val="auto"/>
          <w:kern w:val="0"/>
          <w:sz w:val="24"/>
        </w:rPr>
        <w:t>3.7.3 封袋上应当注明的内容见投标人须知前附表。</w:t>
      </w:r>
    </w:p>
    <w:p>
      <w:pPr>
        <w:pStyle w:val="25"/>
        <w:spacing w:line="440" w:lineRule="exact"/>
        <w:rPr>
          <w:rStyle w:val="34"/>
          <w:color w:val="auto"/>
          <w:sz w:val="24"/>
          <w:szCs w:val="24"/>
        </w:rPr>
      </w:pPr>
      <w:r>
        <w:rPr>
          <w:rStyle w:val="34"/>
          <w:color w:val="auto"/>
          <w:sz w:val="24"/>
          <w:szCs w:val="24"/>
        </w:rPr>
        <w:t>4. 投标</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4.1投标文件的递交</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4.1.1 投标人应在本章第2.2.2项规定的投标截止时间前，将投标文件递交至5.1.1项规定的开标地点。</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4.1.2</w:t>
      </w:r>
      <w:r>
        <w:rPr>
          <w:rStyle w:val="34"/>
          <w:rFonts w:ascii="宋体" w:hAnsi="宋体"/>
          <w:color w:val="auto"/>
          <w:sz w:val="24"/>
        </w:rPr>
        <w:t>投标文件出现下列情形之一时，招标人（采购代理机构）将拒收：</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（1）投标截止时间后送达的；</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（2）未送达指定地点的；</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（2）投标文件未按本章第3.7条要求密封和标记的。</w:t>
      </w:r>
    </w:p>
    <w:p>
      <w:pPr>
        <w:pStyle w:val="26"/>
        <w:snapToGrid w:val="0"/>
        <w:spacing w:before="0" w:after="0" w:line="440" w:lineRule="exact"/>
        <w:jc w:val="left"/>
        <w:rPr>
          <w:rStyle w:val="34"/>
          <w:b w:val="0"/>
          <w:color w:val="auto"/>
          <w:sz w:val="24"/>
          <w:szCs w:val="24"/>
          <w:highlight w:val="white"/>
        </w:rPr>
      </w:pPr>
      <w:r>
        <w:rPr>
          <w:rStyle w:val="34"/>
          <w:b w:val="0"/>
          <w:color w:val="auto"/>
          <w:sz w:val="24"/>
          <w:szCs w:val="24"/>
          <w:highlight w:val="white"/>
        </w:rPr>
        <w:t>4.2投标文件的修改与撤回</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4.2.1 在本章第2.2.2项规定的投标截止时间前，投标人可以修改或撤回已递交的投标文件。</w:t>
      </w:r>
    </w:p>
    <w:p>
      <w:pPr>
        <w:snapToGrid w:val="0"/>
        <w:spacing w:line="440" w:lineRule="exact"/>
        <w:jc w:val="left"/>
        <w:rPr>
          <w:rStyle w:val="34"/>
          <w:rFonts w:ascii="宋体" w:hAnsi="宋体"/>
          <w:color w:val="auto"/>
          <w:kern w:val="0"/>
          <w:sz w:val="24"/>
        </w:rPr>
      </w:pPr>
      <w:r>
        <w:rPr>
          <w:rStyle w:val="34"/>
          <w:rFonts w:ascii="宋体" w:hAnsi="宋体"/>
          <w:color w:val="auto"/>
          <w:sz w:val="24"/>
          <w:highlight w:val="white"/>
        </w:rPr>
        <w:t>4.2.2</w:t>
      </w:r>
      <w:r>
        <w:rPr>
          <w:rStyle w:val="34"/>
          <w:rFonts w:ascii="宋体" w:hAnsi="宋体"/>
          <w:color w:val="auto"/>
          <w:kern w:val="0"/>
          <w:sz w:val="24"/>
          <w:highlight w:val="white"/>
        </w:rPr>
        <w:t>修改的投标文件应按照本章第3 条、第4 条规定进行编制和递交。</w:t>
      </w:r>
    </w:p>
    <w:p>
      <w:pPr>
        <w:pStyle w:val="61"/>
        <w:tabs>
          <w:tab w:val="left" w:pos="-1980"/>
          <w:tab w:val="left" w:pos="360"/>
        </w:tabs>
        <w:snapToGrid w:val="0"/>
        <w:spacing w:line="440" w:lineRule="exact"/>
        <w:jc w:val="left"/>
        <w:rPr>
          <w:rStyle w:val="34"/>
          <w:rFonts w:hAnsi="宋体"/>
          <w:color w:val="auto"/>
          <w:sz w:val="24"/>
          <w:szCs w:val="24"/>
          <w:highlight w:val="white"/>
        </w:rPr>
      </w:pPr>
      <w:r>
        <w:rPr>
          <w:rStyle w:val="34"/>
          <w:rFonts w:hAnsi="宋体"/>
          <w:color w:val="auto"/>
          <w:sz w:val="24"/>
          <w:szCs w:val="24"/>
          <w:highlight w:val="white"/>
        </w:rPr>
        <w:t>4.2.3 投标人在投标截止时间前撤回投标文件的，招标人自收到投标人书面撤回通知之日起5日内退还已收取的投标保证金。</w:t>
      </w:r>
    </w:p>
    <w:p>
      <w:pPr>
        <w:pStyle w:val="25"/>
        <w:spacing w:line="440" w:lineRule="exact"/>
        <w:rPr>
          <w:rStyle w:val="34"/>
          <w:color w:val="auto"/>
          <w:sz w:val="24"/>
          <w:szCs w:val="24"/>
        </w:rPr>
      </w:pPr>
      <w:r>
        <w:rPr>
          <w:rStyle w:val="34"/>
          <w:color w:val="auto"/>
          <w:sz w:val="24"/>
          <w:szCs w:val="24"/>
        </w:rPr>
        <w:t>5. 开标</w:t>
      </w:r>
    </w:p>
    <w:p>
      <w:pPr>
        <w:pStyle w:val="26"/>
        <w:snapToGrid w:val="0"/>
        <w:spacing w:before="0" w:after="0" w:line="440" w:lineRule="exact"/>
        <w:jc w:val="left"/>
        <w:rPr>
          <w:rStyle w:val="34"/>
          <w:b w:val="0"/>
          <w:color w:val="auto"/>
          <w:sz w:val="24"/>
          <w:szCs w:val="24"/>
          <w:highlight w:val="white"/>
        </w:rPr>
      </w:pPr>
      <w:r>
        <w:rPr>
          <w:rStyle w:val="34"/>
          <w:b w:val="0"/>
          <w:color w:val="auto"/>
          <w:sz w:val="24"/>
          <w:szCs w:val="24"/>
          <w:highlight w:val="white"/>
        </w:rPr>
        <w:t>5.1 开标时间和地点</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5.1.1开标时间和地点：见投标人须知前附表</w:t>
      </w:r>
      <w:r>
        <w:rPr>
          <w:rStyle w:val="34"/>
          <w:rFonts w:ascii="宋体" w:hAnsi="宋体"/>
          <w:color w:val="auto"/>
          <w:sz w:val="24"/>
        </w:rPr>
        <w:t>。</w:t>
      </w:r>
    </w:p>
    <w:p>
      <w:pPr>
        <w:snapToGrid w:val="0"/>
        <w:spacing w:line="440" w:lineRule="exact"/>
        <w:jc w:val="left"/>
        <w:rPr>
          <w:rStyle w:val="34"/>
          <w:rFonts w:ascii="宋体" w:hAnsi="宋体"/>
          <w:color w:val="auto"/>
          <w:sz w:val="24"/>
        </w:rPr>
      </w:pPr>
      <w:r>
        <w:rPr>
          <w:rStyle w:val="34"/>
          <w:rFonts w:ascii="宋体" w:hAnsi="宋体"/>
          <w:color w:val="auto"/>
          <w:sz w:val="24"/>
        </w:rPr>
        <w:t>5.1.2投标人法定代表人或其委托代表应准时参加开标会议</w:t>
      </w:r>
      <w:r>
        <w:rPr>
          <w:rStyle w:val="34"/>
          <w:rFonts w:ascii="宋体" w:hAnsi="宋体"/>
          <w:color w:val="auto"/>
          <w:sz w:val="24"/>
          <w:highlight w:val="white"/>
        </w:rPr>
        <w:t>。参加开标的投标人代表应出示身份证原件并签名以证明其出席。</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5.2 开标程序</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5.2.1 主持人按下列程序进行开标：</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（1）宣布开标纪律；</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（2）宣布开标人、监标人、记录人、招标人代表等有关人员姓名；</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（3）公布提交投标文件的投标人名称；</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w:t>
      </w:r>
      <w:r>
        <w:rPr>
          <w:rStyle w:val="34"/>
          <w:rFonts w:ascii="宋体" w:hAnsi="宋体"/>
          <w:color w:val="auto"/>
          <w:sz w:val="24"/>
        </w:rPr>
        <w:t>投标人或者其推选的代表检查投标文件的密封情况，也可以由招标人委托的公证机构检查并公证</w:t>
      </w:r>
    </w:p>
    <w:p>
      <w:pPr>
        <w:snapToGrid w:val="0"/>
        <w:spacing w:line="440" w:lineRule="exact"/>
        <w:jc w:val="left"/>
        <w:rPr>
          <w:rStyle w:val="34"/>
          <w:rFonts w:ascii="宋体" w:hAnsi="宋体"/>
          <w:color w:val="auto"/>
          <w:kern w:val="0"/>
          <w:sz w:val="24"/>
        </w:rPr>
      </w:pPr>
      <w:r>
        <w:rPr>
          <w:rStyle w:val="34"/>
          <w:rFonts w:ascii="宋体" w:hAnsi="宋体"/>
          <w:color w:val="auto"/>
          <w:sz w:val="24"/>
          <w:highlight w:val="white"/>
        </w:rPr>
        <w:t>（5）</w:t>
      </w:r>
      <w:r>
        <w:rPr>
          <w:rStyle w:val="34"/>
          <w:rFonts w:ascii="宋体" w:hAnsi="宋体"/>
          <w:color w:val="auto"/>
          <w:sz w:val="24"/>
        </w:rPr>
        <w:t>招标工作人员当众拆封，宣读投标人名称、投标价格、价格折扣、招标文件允许提供的备选投标方案和投标文件的其他主要内容；</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（6）各投标人、招标人代表、监标人、记录人等有关人员在开标记录上签字确认；</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（7）开标结束。</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5.2.</w:t>
      </w:r>
      <w:r>
        <w:rPr>
          <w:rStyle w:val="34"/>
          <w:rFonts w:ascii="宋体" w:hAnsi="宋体"/>
          <w:color w:val="auto"/>
          <w:sz w:val="24"/>
        </w:rPr>
        <w:t>2开标时，如唱标人宣读的内容与投标文件不一致时，投标人代表应当及时当场提出。未宣读的投标价格、价格折扣和招标文件允许提供的备选投标方案等实质性内容，评标时不予承认。</w:t>
      </w:r>
    </w:p>
    <w:p>
      <w:pPr>
        <w:snapToGrid w:val="0"/>
        <w:spacing w:line="440" w:lineRule="exact"/>
        <w:jc w:val="left"/>
        <w:rPr>
          <w:rStyle w:val="34"/>
          <w:rFonts w:ascii="宋体" w:hAnsi="宋体"/>
          <w:color w:val="auto"/>
          <w:sz w:val="24"/>
        </w:rPr>
      </w:pPr>
      <w:r>
        <w:rPr>
          <w:rStyle w:val="34"/>
          <w:rFonts w:ascii="宋体" w:hAnsi="宋体"/>
          <w:color w:val="auto"/>
          <w:sz w:val="24"/>
        </w:rPr>
        <w:t>5.2.3开标时，投标文件中开标一览表内容与投标文件中分项价格表内容不一致的，以开标一览表为准。</w:t>
      </w:r>
    </w:p>
    <w:p>
      <w:pPr>
        <w:snapToGrid w:val="0"/>
        <w:spacing w:line="440" w:lineRule="exact"/>
        <w:jc w:val="left"/>
        <w:rPr>
          <w:rStyle w:val="34"/>
          <w:rFonts w:ascii="宋体" w:hAnsi="宋体"/>
          <w:color w:val="auto"/>
          <w:sz w:val="24"/>
        </w:rPr>
      </w:pPr>
      <w:r>
        <w:rPr>
          <w:rStyle w:val="34"/>
          <w:rFonts w:ascii="宋体" w:hAnsi="宋体"/>
          <w:color w:val="auto"/>
          <w:sz w:val="24"/>
        </w:rPr>
        <w:t>5.2.4唱标结束后，投标人代表、采购人代表、采购代理机构代表、监督人（如果在现场）、记录人等有关人员在开标记录上签字确认</w:t>
      </w:r>
      <w:r>
        <w:rPr>
          <w:rStyle w:val="34"/>
          <w:rFonts w:ascii="宋体" w:hAnsi="宋体" w:cs="Times New Roman"/>
          <w:bCs/>
          <w:color w:val="auto"/>
          <w:sz w:val="24"/>
        </w:rPr>
        <w:t>。</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5.3开标异议</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投标人对开标有异议的，应当在开标现场提出，招标人当场作出答复，并制作记录。投标人对答复不满意的，可以向政府采购行政监督部门投诉，但不得以此为由阻挠开标会议的正常进行。</w:t>
      </w:r>
    </w:p>
    <w:p>
      <w:pPr>
        <w:pStyle w:val="25"/>
        <w:spacing w:line="440" w:lineRule="exact"/>
        <w:rPr>
          <w:rStyle w:val="34"/>
          <w:color w:val="auto"/>
          <w:sz w:val="24"/>
          <w:szCs w:val="24"/>
        </w:rPr>
      </w:pPr>
      <w:r>
        <w:rPr>
          <w:rStyle w:val="34"/>
          <w:color w:val="auto"/>
          <w:sz w:val="24"/>
          <w:szCs w:val="24"/>
        </w:rPr>
        <w:t>6. 评标</w:t>
      </w:r>
    </w:p>
    <w:p>
      <w:pPr>
        <w:pStyle w:val="26"/>
        <w:snapToGrid w:val="0"/>
        <w:spacing w:before="0" w:after="0" w:line="440" w:lineRule="exact"/>
        <w:jc w:val="left"/>
        <w:rPr>
          <w:rStyle w:val="34"/>
          <w:b w:val="0"/>
          <w:color w:val="auto"/>
          <w:sz w:val="24"/>
          <w:szCs w:val="24"/>
        </w:rPr>
      </w:pPr>
      <w:r>
        <w:rPr>
          <w:rStyle w:val="34"/>
          <w:b w:val="0"/>
          <w:color w:val="auto"/>
          <w:sz w:val="24"/>
          <w:szCs w:val="24"/>
          <w:highlight w:val="white"/>
        </w:rPr>
        <w:t>6.1 评标委员会</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6.1.1 评标由招标人依法组建的评标委员会负责。评标委员会由招标人代表，以及有关方面的专家组成。</w:t>
      </w:r>
      <w:r>
        <w:rPr>
          <w:rStyle w:val="34"/>
          <w:rFonts w:ascii="宋体" w:hAnsi="宋体"/>
          <w:color w:val="auto"/>
          <w:sz w:val="24"/>
        </w:rPr>
        <w:t>具体人数见投标人须知前附表。</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6.1.2 评标委员会成员有下列情形之一的，应当回避：</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（1）投标人或投标人主要负责人的近亲属；</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（2）项目主管部门或者行政监督部门的人员；</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（3）与投标人有经济利益关系；</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（4）曾因在招标、评标以及其他与招标投标有关活动中从事违法行为而受过行政处罚或刑事处罚的；</w:t>
      </w:r>
    </w:p>
    <w:p>
      <w:pPr>
        <w:snapToGrid w:val="0"/>
        <w:spacing w:line="440" w:lineRule="exact"/>
        <w:jc w:val="left"/>
        <w:rPr>
          <w:rStyle w:val="34"/>
          <w:rFonts w:ascii="宋体" w:hAnsi="宋体"/>
          <w:color w:val="auto"/>
          <w:sz w:val="24"/>
        </w:rPr>
      </w:pPr>
      <w:r>
        <w:rPr>
          <w:rStyle w:val="34"/>
          <w:rFonts w:ascii="宋体" w:hAnsi="宋体"/>
          <w:color w:val="auto"/>
          <w:sz w:val="24"/>
          <w:highlight w:val="white"/>
        </w:rPr>
        <w:t>（5）与投标人有其他利害关系。</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6.2 评标原则</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评标活动遵循公平、公正、科学和择优的原则。</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6.3 评标</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评标委员会按照第三章“评标办法”规定的方法、评审因素、标准和程序对投标文件进行评审。第三章“评标办法”没有规定的方法、评审因素和标准，不得作为评标依据。</w:t>
      </w:r>
    </w:p>
    <w:p>
      <w:pPr>
        <w:pStyle w:val="25"/>
        <w:spacing w:line="440" w:lineRule="exact"/>
        <w:rPr>
          <w:rStyle w:val="34"/>
          <w:rFonts w:ascii="宋体" w:hAnsi="宋体"/>
          <w:color w:val="auto"/>
          <w:sz w:val="24"/>
          <w:szCs w:val="24"/>
        </w:rPr>
      </w:pPr>
      <w:r>
        <w:rPr>
          <w:rStyle w:val="34"/>
          <w:color w:val="auto"/>
          <w:sz w:val="24"/>
          <w:szCs w:val="24"/>
        </w:rPr>
        <w:t>7. 定标</w:t>
      </w:r>
    </w:p>
    <w:p>
      <w:pPr>
        <w:snapToGrid w:val="0"/>
        <w:spacing w:line="440" w:lineRule="exact"/>
        <w:jc w:val="left"/>
        <w:rPr>
          <w:rStyle w:val="34"/>
          <w:rFonts w:ascii="宋体" w:hAnsi="宋体"/>
          <w:color w:val="auto"/>
          <w:sz w:val="24"/>
        </w:rPr>
      </w:pPr>
      <w:r>
        <w:rPr>
          <w:rStyle w:val="34"/>
          <w:rFonts w:ascii="宋体" w:hAnsi="宋体" w:cs="Times New Roman"/>
          <w:bCs/>
          <w:color w:val="auto"/>
          <w:sz w:val="24"/>
          <w:highlight w:val="white"/>
        </w:rPr>
        <w:t>7.1</w:t>
      </w:r>
      <w:r>
        <w:rPr>
          <w:rStyle w:val="34"/>
          <w:rFonts w:ascii="宋体" w:hAnsi="宋体"/>
          <w:color w:val="auto"/>
          <w:sz w:val="24"/>
          <w:highlight w:val="white"/>
        </w:rPr>
        <w:t>招标人根据评标报告，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以重新招标。</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（1）因不可抗力或者自身原因不能履行合同的；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（2）财政部门经过处理投诉举报、监督检查，认定中标结果无效的；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（3）中标人拒绝与招标人签订合同的。</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 xml:space="preserve">7.2中标人确定后，招标人将在投标人须知前附表规定的媒介上公告中标结果，并同时发出中标通知书。中标通知书对招标人和中标人具有同等法律效力。 </w:t>
      </w:r>
      <w:r>
        <w:rPr>
          <w:rStyle w:val="34"/>
          <w:rFonts w:ascii="宋体" w:hAnsi="宋体"/>
          <w:color w:val="auto"/>
          <w:sz w:val="24"/>
        </w:rPr>
        <w:t xml:space="preserve"> </w:t>
      </w:r>
    </w:p>
    <w:p>
      <w:pPr>
        <w:pStyle w:val="25"/>
        <w:spacing w:line="440" w:lineRule="exact"/>
        <w:rPr>
          <w:rStyle w:val="34"/>
          <w:color w:val="auto"/>
          <w:sz w:val="24"/>
          <w:szCs w:val="24"/>
        </w:rPr>
      </w:pPr>
      <w:r>
        <w:rPr>
          <w:rStyle w:val="34"/>
          <w:color w:val="auto"/>
          <w:sz w:val="24"/>
          <w:szCs w:val="24"/>
        </w:rPr>
        <w:t>8.质疑</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8.1投标人认为招标文件、招标过程和中标结果使自己的权益受到损害的，可以在知道或者应当知道其权益受到损害之日起七个工作日内，以书面形式向招标人提出质疑。</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8.2招标人在收到投标人的书面质疑后，在七个工作日内对质疑内容作出答复，并以书面形式通知质疑投标人和其他有关的投标人。</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8.3质疑函应当包括但不限于以下内容：</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（1）质疑人的名称、地址、邮编、联系人、联系电话；</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（2）具体的质疑事项及事实依据；</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（3）认为自己的合法权益受到损害或者可能受到损害的相关证据材料；</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（4）提出质疑的日期；</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5）质疑函应当署名：质疑人为自然人的，应当由本人签字并附有效身份证明；质疑人为法人或者其他组织的，应当由法定代表人签字并加盖单位公章。投标人委托代理质疑的，应当向被质疑人提交授权委托书，并载明委托代理的具体权限和事项。</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8.4有下列情形之一的质疑，招标人将不予受理：</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（1）非在法定时间内提交的；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（2）非书面形式（含传真、电子邮件等）提出的；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（3）非参加本次招标活动的投标人；</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（4）质疑函的内容不符合本章8.3条规定的；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（5）法律、行政法规规定的其他情形。</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8.5投标人对招标人的答复不满意或者招标人未在规定的时间内作出答复的，可以依法向政府采购监管部门提出投诉。</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8.6投标人提出质疑必须有理、有据，不得恶意质疑或提交虚假质疑。否则，一经查实，招标人有权依据政府采购的有关规定，报请政府采购监管部门对该投标人进行相应的行政处罚。</w:t>
      </w:r>
    </w:p>
    <w:p>
      <w:pPr>
        <w:pStyle w:val="25"/>
        <w:spacing w:line="440" w:lineRule="exact"/>
        <w:rPr>
          <w:rStyle w:val="34"/>
          <w:color w:val="auto"/>
          <w:sz w:val="24"/>
          <w:szCs w:val="24"/>
        </w:rPr>
      </w:pPr>
      <w:r>
        <w:rPr>
          <w:rStyle w:val="34"/>
          <w:color w:val="auto"/>
          <w:sz w:val="24"/>
          <w:szCs w:val="24"/>
        </w:rPr>
        <w:t>9. 合同</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9.1 履约保证金</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9.1.1中标人应按投标人须知前附表规定的履约保证金的形式、金额和提交时间向招标人提交履约保证金。</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9.1.2中标人不能按本招标文件要求提交履约保证金的，视为放弃中标，其投标保证金不予退还，给招标人造成的损失超过投标保证金数额的，中标人还应当对超过部分予以赔偿。</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9.2签订合同</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9.2.1招标人和中标人在投标人须知前附表规定的时间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val="0"/>
        <w:spacing w:line="440" w:lineRule="exact"/>
        <w:jc w:val="left"/>
        <w:rPr>
          <w:rStyle w:val="34"/>
          <w:rFonts w:ascii="宋体" w:hAnsi="宋体"/>
          <w:color w:val="auto"/>
          <w:sz w:val="24"/>
          <w:highlight w:val="white"/>
        </w:rPr>
      </w:pPr>
      <w:r>
        <w:rPr>
          <w:rStyle w:val="34"/>
          <w:rFonts w:ascii="宋体" w:hAnsi="宋体"/>
          <w:color w:val="auto"/>
          <w:sz w:val="24"/>
          <w:highlight w:val="white"/>
        </w:rPr>
        <w:t>9.2.2 发出中标通知书后，招标人无正当理由拒签合同的，招标人向中标人退还投标保证金；给中标人造成损失的，还应当赔偿损失。</w:t>
      </w:r>
    </w:p>
    <w:p>
      <w:pPr>
        <w:pStyle w:val="25"/>
        <w:spacing w:line="440" w:lineRule="exact"/>
        <w:rPr>
          <w:rStyle w:val="34"/>
          <w:color w:val="auto"/>
          <w:sz w:val="24"/>
          <w:szCs w:val="24"/>
        </w:rPr>
      </w:pPr>
      <w:r>
        <w:rPr>
          <w:rStyle w:val="34"/>
          <w:color w:val="auto"/>
          <w:sz w:val="24"/>
          <w:szCs w:val="24"/>
        </w:rPr>
        <w:t>10.废标</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出现情形之一的，招标人将予以废标，并将废标理由通知所有投标人：</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（1）符合专业条件的投标人或者对招标文件作实质响应的投标人不足三家的；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（2）出现影响采购公正的违法、违规行为的；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（3）投标人的报价均超过了采购预算，招标人不能支付的；</w:t>
      </w:r>
    </w:p>
    <w:p>
      <w:pPr>
        <w:snapToGrid w:val="0"/>
        <w:spacing w:line="440" w:lineRule="exact"/>
        <w:ind w:firstLine="240" w:firstLineChars="100"/>
        <w:jc w:val="left"/>
        <w:rPr>
          <w:rStyle w:val="34"/>
          <w:rFonts w:ascii="宋体" w:hAnsi="宋体"/>
          <w:color w:val="auto"/>
          <w:sz w:val="24"/>
          <w:highlight w:val="white"/>
        </w:rPr>
      </w:pPr>
      <w:r>
        <w:rPr>
          <w:rStyle w:val="34"/>
          <w:rFonts w:ascii="宋体" w:hAnsi="宋体"/>
          <w:color w:val="auto"/>
          <w:sz w:val="24"/>
          <w:highlight w:val="white"/>
        </w:rPr>
        <w:t>（4）因重大变故，采购任务取消的。</w:t>
      </w:r>
    </w:p>
    <w:p>
      <w:pPr>
        <w:pStyle w:val="21"/>
        <w:ind w:firstLine="240" w:firstLineChars="100"/>
        <w:rPr>
          <w:rStyle w:val="34"/>
          <w:rFonts w:ascii="宋体" w:hAnsi="宋体" w:eastAsia="宋体"/>
          <w:color w:val="auto"/>
          <w:sz w:val="24"/>
          <w:szCs w:val="24"/>
          <w:highlight w:val="white"/>
        </w:rPr>
      </w:pPr>
      <w:r>
        <w:rPr>
          <w:rStyle w:val="34"/>
          <w:rFonts w:hint="eastAsia" w:ascii="宋体" w:hAnsi="宋体" w:eastAsia="宋体"/>
          <w:color w:val="auto"/>
          <w:sz w:val="24"/>
          <w:szCs w:val="24"/>
          <w:highlight w:val="white"/>
        </w:rPr>
        <w:t>（5）</w:t>
      </w:r>
      <w:r>
        <w:rPr>
          <w:rStyle w:val="34"/>
          <w:rFonts w:ascii="宋体" w:hAnsi="宋体" w:eastAsia="宋体"/>
          <w:color w:val="auto"/>
          <w:sz w:val="24"/>
          <w:szCs w:val="24"/>
          <w:highlight w:val="white"/>
        </w:rPr>
        <w:t>法律、法规和招标文件规定的其他无效情形。</w:t>
      </w:r>
    </w:p>
    <w:p>
      <w:pPr>
        <w:pStyle w:val="25"/>
        <w:spacing w:line="440" w:lineRule="exact"/>
        <w:rPr>
          <w:rStyle w:val="34"/>
          <w:color w:val="auto"/>
          <w:sz w:val="24"/>
          <w:szCs w:val="24"/>
        </w:rPr>
      </w:pPr>
      <w:r>
        <w:rPr>
          <w:rStyle w:val="34"/>
          <w:color w:val="auto"/>
          <w:sz w:val="24"/>
          <w:szCs w:val="24"/>
        </w:rPr>
        <w:t>11. 纪律和监督</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11.1 对招标人的纪律要求</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招标人不得泄漏招标投标活动中应当保密的情况和资料，不得与投标人串通损害国家利益、社会公共利益或者他人合法权益。</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11.2 对投标人的纪律要求</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投标人不得相互串通投标或者与招标人串通投标，不得向招标人或者评标委员会成员行贿谋取中标，不得以他人名义投标或者以其他方式弄虚作假骗取中标；投标人不得以任何方式干扰、影响开、评标工作。</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11.3 对评标委员会成员的纪律要求</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11.4 对与评标活动有关的工作人员的纪律要求</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11.5 投诉</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投标人和其他利害关系人认为本次招标活动违反法律、法规和规章规定的，有权向财政部门投诉。</w:t>
      </w:r>
    </w:p>
    <w:p>
      <w:pPr>
        <w:pStyle w:val="25"/>
        <w:spacing w:line="440" w:lineRule="exact"/>
        <w:rPr>
          <w:rStyle w:val="34"/>
          <w:color w:val="auto"/>
          <w:sz w:val="24"/>
          <w:szCs w:val="24"/>
        </w:rPr>
      </w:pPr>
      <w:r>
        <w:rPr>
          <w:rStyle w:val="34"/>
          <w:color w:val="auto"/>
          <w:sz w:val="24"/>
          <w:szCs w:val="24"/>
        </w:rPr>
        <w:t>12. 需要补充的其他内容</w:t>
      </w:r>
    </w:p>
    <w:p>
      <w:pPr>
        <w:snapToGrid w:val="0"/>
        <w:spacing w:line="440" w:lineRule="exact"/>
        <w:ind w:firstLine="240" w:firstLineChars="100"/>
        <w:jc w:val="left"/>
        <w:rPr>
          <w:rStyle w:val="34"/>
          <w:color w:val="auto"/>
          <w:sz w:val="24"/>
        </w:rPr>
      </w:pPr>
      <w:r>
        <w:rPr>
          <w:rStyle w:val="34"/>
          <w:rFonts w:ascii="宋体" w:hAnsi="宋体"/>
          <w:color w:val="auto"/>
          <w:sz w:val="24"/>
          <w:highlight w:val="white"/>
        </w:rPr>
        <w:t>需要补充的其他内容：见投标人须知前附表。</w:t>
      </w:r>
    </w:p>
    <w:p>
      <w:pPr>
        <w:pStyle w:val="25"/>
        <w:spacing w:line="440" w:lineRule="exact"/>
        <w:rPr>
          <w:rStyle w:val="34"/>
          <w:color w:val="auto"/>
          <w:sz w:val="24"/>
          <w:szCs w:val="24"/>
        </w:rPr>
      </w:pPr>
      <w:r>
        <w:rPr>
          <w:rStyle w:val="34"/>
          <w:color w:val="auto"/>
          <w:sz w:val="24"/>
          <w:szCs w:val="24"/>
        </w:rPr>
        <w:t>13.招标文件的解释</w:t>
      </w:r>
    </w:p>
    <w:p>
      <w:pPr>
        <w:snapToGrid w:val="0"/>
        <w:spacing w:line="440" w:lineRule="exact"/>
        <w:ind w:firstLine="240" w:firstLineChars="100"/>
        <w:rPr>
          <w:rStyle w:val="34"/>
          <w:color w:val="auto"/>
          <w:highlight w:val="white"/>
        </w:rPr>
        <w:sectPr>
          <w:footerReference r:id="rId6" w:type="default"/>
          <w:pgSz w:w="11906" w:h="16838"/>
          <w:pgMar w:top="1474" w:right="1418" w:bottom="1247" w:left="1701" w:header="851" w:footer="992" w:gutter="0"/>
          <w:pgNumType w:start="1"/>
          <w:cols w:space="720" w:num="1"/>
          <w:docGrid w:type="lines" w:linePitch="312" w:charSpace="0"/>
        </w:sectPr>
      </w:pPr>
      <w:r>
        <w:rPr>
          <w:rStyle w:val="34"/>
          <w:rFonts w:ascii="宋体" w:hAnsi="宋体"/>
          <w:color w:val="auto"/>
          <w:sz w:val="24"/>
          <w:highlight w:val="white"/>
        </w:rPr>
        <w:t>本招标文件的解释权属于招标</w:t>
      </w:r>
      <w:r>
        <w:rPr>
          <w:rStyle w:val="34"/>
          <w:rFonts w:hint="eastAsia" w:ascii="宋体" w:hAnsi="宋体"/>
          <w:color w:val="auto"/>
          <w:sz w:val="24"/>
          <w:highlight w:val="white"/>
        </w:rPr>
        <w:t>人所有。</w:t>
      </w:r>
    </w:p>
    <w:p>
      <w:pPr>
        <w:snapToGrid w:val="0"/>
        <w:spacing w:line="360" w:lineRule="auto"/>
        <w:ind w:firstLine="2650" w:firstLineChars="600"/>
        <w:rPr>
          <w:rStyle w:val="34"/>
          <w:b/>
          <w:bCs/>
          <w:color w:val="auto"/>
          <w:sz w:val="44"/>
          <w:szCs w:val="44"/>
        </w:rPr>
      </w:pPr>
      <w:r>
        <w:rPr>
          <w:rStyle w:val="34"/>
          <w:b/>
          <w:bCs/>
          <w:color w:val="auto"/>
          <w:sz w:val="44"/>
          <w:szCs w:val="44"/>
        </w:rPr>
        <w:t>第三章 评标办法</w:t>
      </w:r>
    </w:p>
    <w:p>
      <w:pPr>
        <w:pStyle w:val="25"/>
        <w:snapToGrid w:val="0"/>
        <w:spacing w:line="300" w:lineRule="exact"/>
        <w:rPr>
          <w:rStyle w:val="34"/>
          <w:color w:val="auto"/>
          <w:sz w:val="28"/>
          <w:szCs w:val="28"/>
        </w:rPr>
      </w:pPr>
      <w:r>
        <w:rPr>
          <w:rStyle w:val="34"/>
          <w:color w:val="auto"/>
          <w:sz w:val="28"/>
          <w:szCs w:val="28"/>
          <w:highlight w:val="white"/>
        </w:rPr>
        <w:t>评标办法前附表</w:t>
      </w:r>
    </w:p>
    <w:tbl>
      <w:tblPr>
        <w:tblStyle w:val="13"/>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717"/>
        <w:gridCol w:w="132"/>
        <w:gridCol w:w="2767"/>
        <w:gridCol w:w="567"/>
        <w:gridCol w:w="4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89" w:type="dxa"/>
            <w:gridSpan w:val="3"/>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r>
              <w:rPr>
                <w:rStyle w:val="34"/>
                <w:color w:val="auto"/>
                <w:sz w:val="24"/>
              </w:rPr>
              <w:t>条款号</w:t>
            </w:r>
          </w:p>
        </w:tc>
        <w:tc>
          <w:tcPr>
            <w:tcW w:w="3334" w:type="dxa"/>
            <w:gridSpan w:val="2"/>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r>
              <w:rPr>
                <w:rStyle w:val="34"/>
                <w:color w:val="auto"/>
                <w:sz w:val="24"/>
              </w:rPr>
              <w:t>评审因素</w:t>
            </w:r>
          </w:p>
        </w:tc>
        <w:tc>
          <w:tcPr>
            <w:tcW w:w="4618" w:type="dxa"/>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r>
              <w:rPr>
                <w:rStyle w:val="34"/>
                <w:color w:val="auto"/>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jc w:val="center"/>
        </w:trPr>
        <w:tc>
          <w:tcPr>
            <w:tcW w:w="9441" w:type="dxa"/>
            <w:gridSpan w:val="6"/>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r>
              <w:rPr>
                <w:rStyle w:val="34"/>
                <w:color w:val="auto"/>
                <w:sz w:val="24"/>
              </w:rPr>
              <w:t>投标文件初审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r>
              <w:rPr>
                <w:rStyle w:val="34"/>
                <w:color w:val="auto"/>
                <w:sz w:val="24"/>
              </w:rPr>
              <w:t>1.1.1</w:t>
            </w:r>
          </w:p>
        </w:tc>
        <w:tc>
          <w:tcPr>
            <w:tcW w:w="717"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r>
              <w:rPr>
                <w:rStyle w:val="34"/>
                <w:color w:val="auto"/>
                <w:sz w:val="24"/>
              </w:rPr>
              <w:t>资格性检查</w:t>
            </w: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具有独立承担民事责任的能力</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具备有效的营业执照，且名称与投标人名称一致。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left"/>
              <w:rPr>
                <w:rStyle w:val="34"/>
                <w:rFonts w:ascii="宋体" w:hAnsi="宋体"/>
                <w:color w:val="auto"/>
                <w:sz w:val="24"/>
              </w:rPr>
            </w:pPr>
            <w:r>
              <w:rPr>
                <w:rStyle w:val="34"/>
                <w:rFonts w:ascii="宋体" w:hAnsi="宋体"/>
                <w:color w:val="auto"/>
                <w:sz w:val="24"/>
              </w:rPr>
              <w:t>具有良好的商业信誉和健全的财务会计制度</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980"/>
                <w:tab w:val="left" w:pos="360"/>
              </w:tabs>
              <w:snapToGrid w:val="0"/>
              <w:spacing w:line="280" w:lineRule="exact"/>
              <w:rPr>
                <w:rStyle w:val="34"/>
                <w:rFonts w:ascii="宋体" w:hAnsi="宋体" w:cs="Times New Roman"/>
                <w:bCs/>
                <w:color w:val="auto"/>
                <w:sz w:val="24"/>
              </w:rPr>
            </w:pPr>
            <w:r>
              <w:rPr>
                <w:rStyle w:val="34"/>
                <w:rFonts w:ascii="宋体" w:hAnsi="宋体"/>
                <w:color w:val="auto"/>
                <w:sz w:val="24"/>
              </w:rPr>
              <w:t>供应商应具备健全的财务会计制度，已通过《全国企业信用信息公示系统》完成相应年度企业年报的申报，且企业未处于经营异常状态。供应商须提供《全国企业信用信息公示系统》“企业公示信息”（或“个体工商户公示信息”）栏的截图，评标委员会将通过《全国企业信用信息公示系统》对供应商提供的截图信息进行核实</w:t>
            </w:r>
            <w:r>
              <w:rPr>
                <w:rStyle w:val="34"/>
                <w:rFonts w:ascii="宋体" w:hAnsi="宋体" w:cs="Times New Roman"/>
                <w:bCs/>
                <w:color w:val="auto"/>
                <w:sz w:val="24"/>
                <w:highlight w:val="white"/>
              </w:rPr>
              <w:t>；</w:t>
            </w:r>
          </w:p>
          <w:p>
            <w:pPr>
              <w:snapToGrid w:val="0"/>
              <w:spacing w:line="280" w:lineRule="exact"/>
              <w:jc w:val="left"/>
              <w:rPr>
                <w:rStyle w:val="34"/>
                <w:rFonts w:ascii="宋体" w:hAnsi="宋体"/>
                <w:color w:val="auto"/>
                <w:sz w:val="24"/>
              </w:rPr>
            </w:pPr>
            <w:r>
              <w:rPr>
                <w:rStyle w:val="34"/>
                <w:rFonts w:ascii="宋体" w:hAnsi="宋体"/>
                <w:color w:val="auto"/>
                <w:sz w:val="24"/>
              </w:rPr>
              <w:t>供应商是其他组织的：可提供其基本开户银行出具的资信证明。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参加政府采购活动近三年内，在经营活动中没有重大违法记录的书面声明</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参加本项目准备活动前三年内，未因违法经营受到刑事处罚或者责令停产停业、吊销许可证或者执照、较大数额罚款等行政处罚。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980"/>
                <w:tab w:val="left" w:pos="360"/>
              </w:tabs>
              <w:snapToGrid w:val="0"/>
              <w:rPr>
                <w:rStyle w:val="34"/>
                <w:color w:val="auto"/>
                <w:sz w:val="24"/>
              </w:rPr>
            </w:pPr>
            <w:r>
              <w:rPr>
                <w:rStyle w:val="34"/>
                <w:rFonts w:ascii="宋体" w:hAnsi="宋体"/>
                <w:color w:val="auto"/>
                <w:sz w:val="24"/>
              </w:rPr>
              <w:t>有依法缴纳税收和社会保障金的良好记录</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rPr>
                <w:rStyle w:val="34"/>
                <w:color w:val="auto"/>
                <w:sz w:val="24"/>
              </w:rPr>
            </w:pPr>
            <w:r>
              <w:rPr>
                <w:rStyle w:val="34"/>
                <w:color w:val="auto"/>
                <w:sz w:val="24"/>
              </w:rPr>
              <w:t>1．提供参加政府采购活动前一段时间内缴纳税收的凭据，证明其依法缴纳税收。</w:t>
            </w:r>
          </w:p>
          <w:p>
            <w:pPr>
              <w:tabs>
                <w:tab w:val="left" w:pos="-1980"/>
                <w:tab w:val="left" w:pos="360"/>
              </w:tabs>
              <w:snapToGrid w:val="0"/>
              <w:rPr>
                <w:rStyle w:val="34"/>
                <w:color w:val="auto"/>
                <w:sz w:val="24"/>
              </w:rPr>
            </w:pPr>
            <w:r>
              <w:rPr>
                <w:rStyle w:val="34"/>
                <w:color w:val="auto"/>
                <w:sz w:val="24"/>
              </w:rPr>
              <w:t>2．提供参加政府采购活动前一段时间内(</w:t>
            </w:r>
            <w:r>
              <w:rPr>
                <w:rStyle w:val="34"/>
                <w:rFonts w:ascii="宋体" w:hAnsi="宋体" w:cs="Times New Roman"/>
                <w:bCs/>
                <w:color w:val="auto"/>
                <w:sz w:val="24"/>
                <w:lang w:val="zh-CN"/>
              </w:rPr>
              <w:t>近3个月</w:t>
            </w:r>
            <w:r>
              <w:rPr>
                <w:rStyle w:val="34"/>
                <w:rFonts w:ascii="宋体" w:hAnsi="宋体" w:cs="Times New Roman"/>
                <w:bCs/>
                <w:color w:val="auto"/>
                <w:sz w:val="24"/>
              </w:rPr>
              <w:t>)</w:t>
            </w:r>
            <w:r>
              <w:rPr>
                <w:rStyle w:val="34"/>
                <w:color w:val="auto"/>
                <w:sz w:val="24"/>
              </w:rPr>
              <w:t>缴纳社会保险的凭据（专用收据或社会保险缴纳清单），证明其依法缴纳社会保障金。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招标人根据本项目特点，要求</w:t>
            </w:r>
            <w:r>
              <w:rPr>
                <w:rStyle w:val="34"/>
                <w:rFonts w:ascii="宋体" w:hAnsi="宋体"/>
                <w:color w:val="auto"/>
                <w:sz w:val="24"/>
              </w:rPr>
              <w:t>投标人具备的特定条件</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rFonts w:ascii="宋体" w:hAnsi="宋体"/>
                <w:color w:val="auto"/>
                <w:sz w:val="24"/>
              </w:rPr>
            </w:pPr>
            <w:r>
              <w:rPr>
                <w:rStyle w:val="34"/>
                <w:rFonts w:ascii="宋体" w:hAnsi="宋体"/>
                <w:color w:val="auto"/>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投标保证金</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rPr>
                <w:rStyle w:val="34"/>
                <w:color w:val="auto"/>
                <w:sz w:val="24"/>
              </w:rPr>
            </w:pPr>
            <w:r>
              <w:rPr>
                <w:rStyle w:val="34"/>
                <w:color w:val="auto"/>
                <w:sz w:val="24"/>
              </w:rPr>
              <w:t>符合第二章“投标人须知”第3.4.1项规定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left"/>
              <w:rPr>
                <w:rStyle w:val="34"/>
                <w:rFonts w:ascii="宋体"/>
                <w:color w:val="auto"/>
                <w:sz w:val="24"/>
              </w:rPr>
            </w:pPr>
            <w:r>
              <w:rPr>
                <w:rStyle w:val="34"/>
                <w:rFonts w:ascii="宋体" w:hAnsi="宋体"/>
                <w:color w:val="auto"/>
                <w:sz w:val="24"/>
              </w:rPr>
              <w:t>信用查询</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left"/>
              <w:rPr>
                <w:rStyle w:val="34"/>
                <w:rFonts w:ascii="宋体" w:hAnsi="宋体"/>
                <w:color w:val="auto"/>
                <w:sz w:val="24"/>
              </w:rPr>
            </w:pPr>
            <w:r>
              <w:rPr>
                <w:rStyle w:val="34"/>
                <w:rFonts w:ascii="宋体" w:hAnsi="宋体"/>
                <w:color w:val="auto"/>
                <w:sz w:val="24"/>
              </w:rPr>
              <w:t>1、查询渠道：包括但不限于：“信用中国”网站（www.creditchina.gov.cn）、中国政府采购网（</w:t>
            </w:r>
            <w:r>
              <w:rPr>
                <w:rStyle w:val="34"/>
                <w:color w:val="auto"/>
                <w:sz w:val="24"/>
              </w:rPr>
              <w:t>www.ccgp.gov.cn</w:t>
            </w:r>
            <w:r>
              <w:rPr>
                <w:rStyle w:val="34"/>
                <w:rFonts w:ascii="宋体" w:hAnsi="宋体"/>
                <w:color w:val="auto"/>
                <w:sz w:val="24"/>
              </w:rPr>
              <w:t>）</w:t>
            </w:r>
          </w:p>
          <w:p>
            <w:pPr>
              <w:snapToGrid w:val="0"/>
              <w:spacing w:line="280" w:lineRule="exact"/>
              <w:jc w:val="left"/>
              <w:rPr>
                <w:rStyle w:val="34"/>
                <w:rFonts w:ascii="宋体"/>
                <w:color w:val="auto"/>
                <w:sz w:val="24"/>
              </w:rPr>
            </w:pPr>
            <w:r>
              <w:rPr>
                <w:rStyle w:val="34"/>
                <w:rFonts w:ascii="宋体" w:hAnsi="宋体"/>
                <w:color w:val="auto"/>
                <w:sz w:val="24"/>
              </w:rPr>
              <w:t>2、未列入失信被执行人、重大税收违法案件当事人名单、政府采购严重违法失信行为记录名单及其他不符合《中华人民共和国政府采购法》第二十二条规定条件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r>
              <w:rPr>
                <w:rStyle w:val="34"/>
                <w:color w:val="auto"/>
                <w:sz w:val="24"/>
              </w:rPr>
              <w:t>1.1.2</w:t>
            </w:r>
          </w:p>
        </w:tc>
        <w:tc>
          <w:tcPr>
            <w:tcW w:w="717"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rPr>
            </w:pPr>
            <w:r>
              <w:rPr>
                <w:rStyle w:val="34"/>
                <w:color w:val="auto"/>
                <w:sz w:val="24"/>
              </w:rPr>
              <w:t>符合性检查</w:t>
            </w: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投标文件的签署</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符合第二章“投标人须知”第3.6.2项和3.6.3规定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投标内容</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供货期</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5"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报价</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Style w:val="34"/>
                <w:color w:val="auto"/>
                <w:sz w:val="24"/>
              </w:rPr>
            </w:pPr>
            <w:r>
              <w:rPr>
                <w:rStyle w:val="34"/>
                <w:color w:val="auto"/>
                <w:sz w:val="24"/>
              </w:rPr>
              <w:t xml:space="preserve">有且只有一个有效报价；未超过采购预算；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34"/>
                <w:color w:val="auto"/>
                <w:sz w:val="24"/>
              </w:rPr>
            </w:pPr>
            <w:r>
              <w:rPr>
                <w:rStyle w:val="34"/>
                <w:color w:val="auto"/>
                <w:sz w:val="24"/>
              </w:rPr>
              <w:t>投标有效期</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34"/>
                <w:color w:val="auto"/>
                <w:sz w:val="24"/>
              </w:rPr>
            </w:pPr>
            <w:r>
              <w:rPr>
                <w:rStyle w:val="34"/>
                <w:color w:val="auto"/>
                <w:sz w:val="24"/>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center"/>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980"/>
                <w:tab w:val="left" w:pos="360"/>
              </w:tabs>
              <w:snapToGrid w:val="0"/>
              <w:spacing w:line="240" w:lineRule="atLeast"/>
              <w:rPr>
                <w:rStyle w:val="34"/>
                <w:rFonts w:ascii="宋体" w:hAnsi="宋体"/>
                <w:color w:val="auto"/>
                <w:kern w:val="0"/>
                <w:sz w:val="24"/>
              </w:rPr>
            </w:pPr>
            <w:r>
              <w:rPr>
                <w:rStyle w:val="34"/>
                <w:rFonts w:ascii="宋体" w:hAnsi="宋体"/>
                <w:color w:val="auto"/>
                <w:kern w:val="0"/>
                <w:sz w:val="24"/>
              </w:rPr>
              <w:t>投标文件份数</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980"/>
                <w:tab w:val="left" w:pos="360"/>
              </w:tabs>
              <w:snapToGrid w:val="0"/>
              <w:spacing w:line="240" w:lineRule="atLeast"/>
              <w:rPr>
                <w:rStyle w:val="34"/>
                <w:rFonts w:ascii="宋体" w:hAnsi="宋体"/>
                <w:color w:val="auto"/>
                <w:kern w:val="0"/>
                <w:sz w:val="24"/>
              </w:rPr>
            </w:pPr>
            <w:r>
              <w:rPr>
                <w:rStyle w:val="34"/>
                <w:rFonts w:ascii="宋体" w:hAnsi="宋体"/>
                <w:color w:val="auto"/>
                <w:kern w:val="0"/>
                <w:sz w:val="24"/>
              </w:rPr>
              <w:t>投标文件正本、副本数量符合</w:t>
            </w:r>
            <w:r>
              <w:rPr>
                <w:rStyle w:val="34"/>
                <w:color w:val="auto"/>
                <w:sz w:val="24"/>
              </w:rPr>
              <w:t>第二章“投标人须知”第3.6.1项规定</w:t>
            </w:r>
            <w:r>
              <w:rPr>
                <w:rStyle w:val="34"/>
                <w:rFonts w:ascii="宋体" w:hAnsi="宋体"/>
                <w:color w:val="auto"/>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717" w:type="dxa"/>
            <w:vMerge w:val="continue"/>
            <w:tcBorders>
              <w:top w:val="single" w:color="000000" w:sz="4" w:space="0"/>
              <w:left w:val="single" w:color="000000" w:sz="4" w:space="0"/>
              <w:bottom w:val="single" w:color="000000" w:sz="4" w:space="0"/>
              <w:right w:val="single" w:color="000000" w:sz="4" w:space="0"/>
            </w:tcBorders>
          </w:tcPr>
          <w:p>
            <w:pPr>
              <w:snapToGrid w:val="0"/>
              <w:jc w:val="left"/>
              <w:rPr>
                <w:rStyle w:val="34"/>
                <w:color w:val="auto"/>
                <w:sz w:val="24"/>
              </w:rPr>
            </w:pPr>
          </w:p>
        </w:tc>
        <w:tc>
          <w:tcPr>
            <w:tcW w:w="2899"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34"/>
                <w:color w:val="auto"/>
                <w:sz w:val="24"/>
              </w:rPr>
            </w:pPr>
            <w:r>
              <w:rPr>
                <w:rStyle w:val="34"/>
                <w:color w:val="auto"/>
                <w:sz w:val="24"/>
              </w:rPr>
              <w:t>偏离</w:t>
            </w:r>
          </w:p>
        </w:tc>
        <w:tc>
          <w:tcPr>
            <w:tcW w:w="518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34"/>
                <w:color w:val="auto"/>
                <w:sz w:val="24"/>
              </w:rPr>
            </w:pPr>
            <w:r>
              <w:rPr>
                <w:rStyle w:val="34"/>
                <w:color w:val="auto"/>
                <w:sz w:val="24"/>
              </w:rPr>
              <w:t>符合第二章“投标人须知”第1.10项规定</w:t>
            </w:r>
          </w:p>
        </w:tc>
      </w:tr>
    </w:tbl>
    <w:p>
      <w:pPr>
        <w:snapToGrid w:val="0"/>
        <w:spacing w:line="440" w:lineRule="exact"/>
        <w:ind w:firstLine="420" w:firstLineChars="200"/>
        <w:rPr>
          <w:rStyle w:val="34"/>
          <w:rFonts w:ascii="Arial" w:hAnsi="Arial" w:cs="Times New Roman"/>
          <w:bCs/>
          <w:color w:val="auto"/>
        </w:rPr>
      </w:pPr>
      <w:r>
        <w:rPr>
          <w:rStyle w:val="34"/>
          <w:rFonts w:ascii="Arial" w:hAnsi="Arial" w:cs="Times New Roman"/>
          <w:bCs/>
          <w:color w:val="auto"/>
        </w:rPr>
        <w:t>2</w:t>
      </w:r>
      <w:r>
        <w:rPr>
          <w:rStyle w:val="34"/>
          <w:rFonts w:ascii="Arial" w:hAnsi="Arial" w:cs="Times New Roman"/>
          <w:bCs/>
          <w:color w:val="auto"/>
          <w:sz w:val="24"/>
        </w:rPr>
        <w:t>.2详细评审：采取综合评分法进行详细评审，并采取打分的方法衡量投标文件是否最大限度地满足招标文件中规定的各项评价标准，满分为100分。评标委员会从以下几方面对投标文件进行详细评审和打分：</w:t>
      </w:r>
    </w:p>
    <w:tbl>
      <w:tblPr>
        <w:tblStyle w:val="13"/>
        <w:tblpPr w:leftFromText="180" w:rightFromText="180" w:vertAnchor="text" w:horzAnchor="margin" w:tblpX="48" w:tblpY="1"/>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9"/>
        <w:gridCol w:w="1059"/>
        <w:gridCol w:w="6451"/>
        <w:gridCol w:w="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cs="Times New Roman"/>
                <w:b/>
                <w:bCs/>
                <w:color w:val="auto"/>
                <w:sz w:val="24"/>
              </w:rPr>
            </w:pPr>
            <w:r>
              <w:rPr>
                <w:rStyle w:val="34"/>
                <w:rFonts w:ascii="宋体" w:hAnsi="宋体" w:cs="Times New Roman"/>
                <w:b/>
                <w:bCs/>
                <w:color w:val="auto"/>
                <w:sz w:val="24"/>
              </w:rPr>
              <w:t>项目</w:t>
            </w:r>
          </w:p>
        </w:tc>
        <w:tc>
          <w:tcPr>
            <w:tcW w:w="75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cs="Times New Roman"/>
                <w:b/>
                <w:bCs/>
                <w:color w:val="auto"/>
                <w:sz w:val="24"/>
              </w:rPr>
            </w:pPr>
            <w:r>
              <w:rPr>
                <w:rStyle w:val="34"/>
                <w:rFonts w:ascii="宋体" w:hAnsi="宋体" w:cs="Times New Roman"/>
                <w:b/>
                <w:bCs/>
                <w:color w:val="auto"/>
                <w:sz w:val="24"/>
              </w:rPr>
              <w:t>评分内容</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cs="Times New Roman"/>
                <w:b/>
                <w:bCs/>
                <w:color w:val="auto"/>
                <w:spacing w:val="-10"/>
                <w:sz w:val="24"/>
              </w:rPr>
            </w:pPr>
            <w:r>
              <w:rPr>
                <w:rStyle w:val="34"/>
                <w:rFonts w:ascii="宋体" w:hAnsi="宋体" w:cs="Times New Roman"/>
                <w:b/>
                <w:bCs/>
                <w:color w:val="auto"/>
                <w:spacing w:val="-10"/>
                <w:sz w:val="24"/>
              </w:rPr>
              <w:t>最高分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cs="Times New Roman"/>
                <w:bCs/>
                <w:color w:val="auto"/>
                <w:sz w:val="24"/>
              </w:rPr>
            </w:pPr>
            <w:r>
              <w:rPr>
                <w:rStyle w:val="34"/>
                <w:rFonts w:ascii="宋体" w:hAnsi="宋体" w:cs="Times New Roman"/>
                <w:bCs/>
                <w:color w:val="auto"/>
                <w:sz w:val="24"/>
              </w:rPr>
              <w:t>投标报价</w:t>
            </w:r>
            <w:r>
              <w:rPr>
                <w:rStyle w:val="34"/>
                <w:rFonts w:hint="eastAsia" w:ascii="宋体" w:hAnsi="宋体" w:cs="Times New Roman"/>
                <w:bCs/>
                <w:color w:val="auto"/>
                <w:sz w:val="24"/>
              </w:rPr>
              <w:t>（15分）</w:t>
            </w:r>
          </w:p>
        </w:tc>
        <w:tc>
          <w:tcPr>
            <w:tcW w:w="75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left"/>
              <w:rPr>
                <w:rStyle w:val="34"/>
                <w:rFonts w:ascii="宋体" w:hAnsi="宋体"/>
                <w:color w:val="auto"/>
                <w:sz w:val="24"/>
              </w:rPr>
            </w:pPr>
            <w:r>
              <w:rPr>
                <w:rStyle w:val="34"/>
                <w:rFonts w:ascii="宋体" w:hAnsi="宋体"/>
                <w:color w:val="auto"/>
                <w:sz w:val="24"/>
              </w:rPr>
              <w:t>满足招标文件要求且投标价格最低的投标报价为评标基准价，其价格分为15分；其他投标人的投标报价按下列公式计算：投标报价得分＝（评标基准价／投标报价）×1</w:t>
            </w:r>
            <w:r>
              <w:rPr>
                <w:rStyle w:val="34"/>
                <w:rFonts w:hint="eastAsia" w:ascii="宋体" w:hAnsi="宋体"/>
                <w:color w:val="auto"/>
                <w:sz w:val="24"/>
              </w:rPr>
              <w:t>5</w:t>
            </w:r>
            <w:r>
              <w:rPr>
                <w:rStyle w:val="34"/>
                <w:rFonts w:ascii="宋体" w:hAnsi="宋体"/>
                <w:color w:val="auto"/>
                <w:sz w:val="24"/>
              </w:rPr>
              <w:t>分。</w:t>
            </w:r>
          </w:p>
          <w:p>
            <w:pPr>
              <w:snapToGrid w:val="0"/>
              <w:spacing w:line="380" w:lineRule="exact"/>
              <w:jc w:val="left"/>
              <w:rPr>
                <w:rStyle w:val="34"/>
                <w:rFonts w:ascii="宋体" w:hAnsi="宋体"/>
                <w:color w:val="auto"/>
                <w:sz w:val="24"/>
              </w:rPr>
            </w:pPr>
            <w:r>
              <w:rPr>
                <w:rStyle w:val="34"/>
                <w:rFonts w:ascii="宋体" w:hAnsi="宋体"/>
                <w:color w:val="auto"/>
                <w:sz w:val="24"/>
              </w:rPr>
              <w:t>投标人的投标报价明显低于其他通过符合性审查投标人的报价，有可能影响服务质量或者不能诚信履约的，评标委员会可要求其在开评标现场合理的时间内提供书面说明，必要时提交相关证明材料；投标人不能证明其投标报价合理性的，评标委员会可将其作为无效投标处理。</w:t>
            </w:r>
          </w:p>
          <w:p>
            <w:pPr>
              <w:snapToGrid w:val="0"/>
              <w:spacing w:line="380" w:lineRule="exact"/>
              <w:ind w:left="-40"/>
              <w:jc w:val="left"/>
              <w:rPr>
                <w:rStyle w:val="34"/>
                <w:rFonts w:ascii="宋体" w:hAnsi="宋体"/>
                <w:color w:val="auto"/>
                <w:sz w:val="24"/>
              </w:rPr>
            </w:pPr>
            <w:r>
              <w:rPr>
                <w:rStyle w:val="34"/>
                <w:rFonts w:ascii="宋体" w:hAnsi="宋体"/>
                <w:color w:val="auto"/>
                <w:sz w:val="24"/>
              </w:rPr>
              <w:t>因落实政府采购政策进行价格调整的，以调整后的价格计算评标基准价和投标报价。</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s="Times New Roman"/>
                <w:bCs/>
                <w:color w:val="auto"/>
                <w:sz w:val="24"/>
              </w:rPr>
            </w:pPr>
            <w:r>
              <w:rPr>
                <w:rStyle w:val="34"/>
                <w:rFonts w:ascii="宋体" w:hAnsi="宋体" w:cs="Times New Roman"/>
                <w:bCs/>
                <w:color w:val="auto"/>
                <w:sz w:val="24"/>
              </w:rPr>
              <w:t>1</w:t>
            </w:r>
            <w:r>
              <w:rPr>
                <w:rStyle w:val="34"/>
                <w:rFonts w:hint="eastAsia" w:ascii="宋体" w:hAnsi="宋体" w:cs="Times New Roman"/>
                <w:bCs/>
                <w:color w:val="auto"/>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r>
              <w:rPr>
                <w:rStyle w:val="34"/>
                <w:rFonts w:ascii="宋体" w:hAnsi="宋体" w:cs="Times New Roman"/>
                <w:bCs/>
                <w:color w:val="auto"/>
                <w:sz w:val="24"/>
              </w:rPr>
              <w:t>项目方案</w:t>
            </w:r>
            <w:r>
              <w:rPr>
                <w:rStyle w:val="34"/>
                <w:rFonts w:hint="eastAsia" w:ascii="宋体" w:hAnsi="宋体" w:cs="Times New Roman"/>
                <w:bCs/>
                <w:color w:val="auto"/>
                <w:sz w:val="24"/>
              </w:rPr>
              <w:t>（40分）</w:t>
            </w: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服务响应情况</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kern w:val="0"/>
                <w:sz w:val="24"/>
                <w:lang w:val="zh-CN"/>
              </w:rPr>
            </w:pPr>
            <w:r>
              <w:rPr>
                <w:rStyle w:val="34"/>
                <w:rFonts w:ascii="宋体" w:hAnsi="宋体"/>
                <w:color w:val="auto"/>
                <w:kern w:val="0"/>
                <w:sz w:val="24"/>
                <w:lang w:val="zh-CN"/>
              </w:rPr>
              <w:t>投标人承诺提供的服务全部满足招标文件要求的得基本分3分；有不利于采购人的偏离，每条扣1分，扣完为止。</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进度计划</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highlight w:val="yellow"/>
              </w:rPr>
            </w:pPr>
            <w:r>
              <w:rPr>
                <w:rStyle w:val="34"/>
                <w:rFonts w:ascii="宋体" w:hAnsi="宋体"/>
                <w:color w:val="auto"/>
                <w:sz w:val="24"/>
              </w:rPr>
              <w:t>根据投标人的进度计划进行评定，节点明确的得</w:t>
            </w:r>
            <w:r>
              <w:rPr>
                <w:rStyle w:val="34"/>
                <w:rFonts w:hint="eastAsia" w:ascii="宋体" w:hAnsi="宋体"/>
                <w:color w:val="auto"/>
                <w:sz w:val="24"/>
              </w:rPr>
              <w:t>2-</w:t>
            </w:r>
            <w:r>
              <w:rPr>
                <w:rStyle w:val="34"/>
                <w:rFonts w:ascii="宋体" w:hAnsi="宋体"/>
                <w:color w:val="auto"/>
                <w:sz w:val="24"/>
              </w:rPr>
              <w:t>3分；节点较为明确的得</w:t>
            </w:r>
            <w:r>
              <w:rPr>
                <w:rStyle w:val="34"/>
                <w:rFonts w:hint="eastAsia" w:ascii="宋体" w:hAnsi="宋体"/>
                <w:color w:val="auto"/>
                <w:sz w:val="24"/>
              </w:rPr>
              <w:t>1-</w:t>
            </w:r>
            <w:r>
              <w:rPr>
                <w:rStyle w:val="34"/>
                <w:rFonts w:ascii="宋体" w:hAnsi="宋体"/>
                <w:color w:val="auto"/>
                <w:sz w:val="24"/>
              </w:rPr>
              <w:t>2分；节点不明确的得</w:t>
            </w:r>
            <w:r>
              <w:rPr>
                <w:rStyle w:val="34"/>
                <w:rFonts w:hint="eastAsia" w:ascii="宋体" w:hAnsi="宋体"/>
                <w:color w:val="auto"/>
                <w:sz w:val="24"/>
              </w:rPr>
              <w:t>0-</w:t>
            </w:r>
            <w:r>
              <w:rPr>
                <w:rStyle w:val="34"/>
                <w:rFonts w:ascii="宋体" w:hAnsi="宋体"/>
                <w:color w:val="auto"/>
                <w:sz w:val="24"/>
              </w:rPr>
              <w:t>1分</w:t>
            </w:r>
            <w:r>
              <w:rPr>
                <w:rStyle w:val="34"/>
                <w:rFonts w:hint="eastAsia" w:ascii="宋体" w:hAnsi="宋体"/>
                <w:color w:val="auto"/>
                <w:sz w:val="24"/>
              </w:rPr>
              <w:t>，</w:t>
            </w:r>
            <w:r>
              <w:rPr>
                <w:rStyle w:val="34"/>
                <w:rFonts w:ascii="宋体" w:hAnsi="宋体"/>
                <w:color w:val="auto"/>
                <w:sz w:val="24"/>
              </w:rPr>
              <w:t>未作说明的不得分。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项目理解</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根据投标人对本项目现状的理解情况进行评定，项目理解到位、符合实际的得</w:t>
            </w:r>
            <w:r>
              <w:rPr>
                <w:rStyle w:val="34"/>
                <w:rFonts w:hint="eastAsia" w:ascii="宋体" w:hAnsi="宋体"/>
                <w:color w:val="auto"/>
                <w:sz w:val="24"/>
              </w:rPr>
              <w:t>2-3</w:t>
            </w:r>
            <w:r>
              <w:rPr>
                <w:rStyle w:val="34"/>
                <w:rFonts w:ascii="宋体" w:hAnsi="宋体"/>
                <w:color w:val="auto"/>
                <w:sz w:val="24"/>
              </w:rPr>
              <w:t>分；理解较到位、较符合实际的得</w:t>
            </w:r>
            <w:r>
              <w:rPr>
                <w:rStyle w:val="34"/>
                <w:rFonts w:hint="eastAsia" w:ascii="宋体" w:hAnsi="宋体"/>
                <w:color w:val="auto"/>
                <w:sz w:val="24"/>
              </w:rPr>
              <w:t>1-2</w:t>
            </w:r>
            <w:r>
              <w:rPr>
                <w:rStyle w:val="34"/>
                <w:rFonts w:ascii="宋体" w:hAnsi="宋体"/>
                <w:color w:val="auto"/>
                <w:sz w:val="24"/>
              </w:rPr>
              <w:t>分，理解基本到位、基本符合实际的得</w:t>
            </w:r>
            <w:r>
              <w:rPr>
                <w:rStyle w:val="34"/>
                <w:rFonts w:hint="eastAsia" w:ascii="宋体" w:hAnsi="宋体"/>
                <w:color w:val="auto"/>
                <w:sz w:val="24"/>
              </w:rPr>
              <w:t>0-1</w:t>
            </w:r>
            <w:r>
              <w:rPr>
                <w:rStyle w:val="34"/>
                <w:rFonts w:ascii="宋体" w:hAnsi="宋体"/>
                <w:color w:val="auto"/>
                <w:sz w:val="24"/>
              </w:rPr>
              <w:t>分，未作说明不得分。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重难点分析</w:t>
            </w:r>
          </w:p>
          <w:p>
            <w:pPr>
              <w:snapToGrid w:val="0"/>
              <w:spacing w:line="440" w:lineRule="exact"/>
              <w:jc w:val="center"/>
              <w:rPr>
                <w:rStyle w:val="34"/>
                <w:rFonts w:ascii="宋体" w:hAnsi="宋体"/>
                <w:color w:val="auto"/>
                <w:sz w:val="24"/>
              </w:rPr>
            </w:pP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针对投标人对本项目的重点难点分析及相应解决方案进行评定，分析透彻、解决措施完善的得</w:t>
            </w:r>
            <w:r>
              <w:rPr>
                <w:rStyle w:val="34"/>
                <w:rFonts w:hint="eastAsia" w:ascii="宋体" w:hAnsi="宋体"/>
                <w:color w:val="auto"/>
                <w:sz w:val="24"/>
              </w:rPr>
              <w:t>2-3</w:t>
            </w:r>
            <w:r>
              <w:rPr>
                <w:rStyle w:val="34"/>
                <w:rFonts w:ascii="宋体" w:hAnsi="宋体"/>
                <w:color w:val="auto"/>
                <w:sz w:val="24"/>
              </w:rPr>
              <w:t>分；分析较透彻、解决措施较完善的得</w:t>
            </w:r>
            <w:r>
              <w:rPr>
                <w:rStyle w:val="34"/>
                <w:rFonts w:hint="eastAsia" w:ascii="宋体" w:hAnsi="宋体"/>
                <w:color w:val="auto"/>
                <w:sz w:val="24"/>
              </w:rPr>
              <w:t>1-2</w:t>
            </w:r>
            <w:r>
              <w:rPr>
                <w:rStyle w:val="34"/>
                <w:rFonts w:ascii="宋体" w:hAnsi="宋体"/>
                <w:color w:val="auto"/>
                <w:sz w:val="24"/>
              </w:rPr>
              <w:t>分；分析不够透彻、解决措施有所不足的得</w:t>
            </w:r>
            <w:r>
              <w:rPr>
                <w:rStyle w:val="34"/>
                <w:rFonts w:hint="eastAsia" w:ascii="宋体" w:hAnsi="宋体"/>
                <w:color w:val="auto"/>
                <w:sz w:val="24"/>
              </w:rPr>
              <w:t>0-1</w:t>
            </w:r>
            <w:r>
              <w:rPr>
                <w:rStyle w:val="34"/>
                <w:rFonts w:ascii="宋体" w:hAnsi="宋体"/>
                <w:color w:val="auto"/>
                <w:sz w:val="24"/>
              </w:rPr>
              <w:t>分</w:t>
            </w:r>
            <w:r>
              <w:rPr>
                <w:rStyle w:val="34"/>
                <w:rFonts w:hint="eastAsia" w:ascii="宋体" w:hAnsi="宋体"/>
                <w:color w:val="auto"/>
                <w:sz w:val="24"/>
              </w:rPr>
              <w:t>，</w:t>
            </w:r>
            <w:r>
              <w:rPr>
                <w:rStyle w:val="34"/>
                <w:rFonts w:ascii="宋体" w:hAnsi="宋体"/>
                <w:color w:val="auto"/>
                <w:sz w:val="24"/>
              </w:rPr>
              <w:t>未作说明不得分。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实施方案</w:t>
            </w:r>
            <w:r>
              <w:rPr>
                <w:rStyle w:val="34"/>
                <w:rFonts w:hint="eastAsia" w:ascii="宋体" w:hAnsi="宋体"/>
                <w:color w:val="auto"/>
                <w:sz w:val="24"/>
              </w:rPr>
              <w:t>（15分）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1、根据投标人制定的管线普查方案进行评定，内容完善的得</w:t>
            </w:r>
            <w:r>
              <w:rPr>
                <w:rStyle w:val="34"/>
                <w:rFonts w:hint="eastAsia" w:ascii="宋体" w:hAnsi="宋体"/>
                <w:color w:val="auto"/>
                <w:sz w:val="24"/>
              </w:rPr>
              <w:t>3-</w:t>
            </w:r>
            <w:r>
              <w:rPr>
                <w:rStyle w:val="34"/>
                <w:rFonts w:ascii="宋体" w:hAnsi="宋体"/>
                <w:color w:val="auto"/>
                <w:sz w:val="24"/>
              </w:rPr>
              <w:t>5分，内容较为完善的得</w:t>
            </w:r>
            <w:r>
              <w:rPr>
                <w:rStyle w:val="34"/>
                <w:rFonts w:hint="eastAsia" w:ascii="宋体" w:hAnsi="宋体"/>
                <w:color w:val="auto"/>
                <w:sz w:val="24"/>
              </w:rPr>
              <w:t>1-</w:t>
            </w:r>
            <w:r>
              <w:rPr>
                <w:rStyle w:val="34"/>
                <w:rFonts w:ascii="宋体" w:hAnsi="宋体"/>
                <w:color w:val="auto"/>
                <w:sz w:val="24"/>
              </w:rPr>
              <w:t>3分；内容不够完善的得</w:t>
            </w:r>
            <w:r>
              <w:rPr>
                <w:rStyle w:val="34"/>
                <w:rFonts w:hint="eastAsia" w:ascii="宋体" w:hAnsi="宋体"/>
                <w:color w:val="auto"/>
                <w:sz w:val="24"/>
              </w:rPr>
              <w:t>0-</w:t>
            </w:r>
            <w:r>
              <w:rPr>
                <w:rStyle w:val="34"/>
                <w:rFonts w:ascii="宋体" w:hAnsi="宋体"/>
                <w:color w:val="auto"/>
                <w:sz w:val="24"/>
              </w:rPr>
              <w:t>1分</w:t>
            </w:r>
            <w:r>
              <w:rPr>
                <w:rStyle w:val="34"/>
                <w:rFonts w:hint="eastAsia" w:ascii="宋体" w:hAnsi="宋体"/>
                <w:color w:val="auto"/>
                <w:sz w:val="24"/>
              </w:rPr>
              <w:t>，</w:t>
            </w:r>
            <w:r>
              <w:rPr>
                <w:rStyle w:val="34"/>
                <w:rFonts w:ascii="宋体" w:hAnsi="宋体"/>
                <w:color w:val="auto"/>
                <w:sz w:val="24"/>
              </w:rPr>
              <w:t>未作说明的不得分。</w:t>
            </w:r>
          </w:p>
          <w:p>
            <w:pPr>
              <w:snapToGrid w:val="0"/>
              <w:spacing w:line="440" w:lineRule="exact"/>
              <w:rPr>
                <w:rStyle w:val="34"/>
                <w:rFonts w:ascii="宋体" w:hAnsi="宋体"/>
                <w:color w:val="auto"/>
                <w:sz w:val="24"/>
              </w:rPr>
            </w:pPr>
            <w:r>
              <w:rPr>
                <w:rStyle w:val="34"/>
                <w:rFonts w:ascii="宋体" w:hAnsi="宋体"/>
                <w:color w:val="auto"/>
                <w:sz w:val="24"/>
              </w:rPr>
              <w:t>2、根据投标人制定的</w:t>
            </w:r>
            <w:r>
              <w:rPr>
                <w:rStyle w:val="34"/>
                <w:rFonts w:ascii="宋体" w:hAnsi="宋体" w:cs="Times New Roman"/>
                <w:bCs/>
                <w:color w:val="auto"/>
                <w:sz w:val="24"/>
              </w:rPr>
              <w:t>管线三维建模方案</w:t>
            </w:r>
            <w:r>
              <w:rPr>
                <w:rStyle w:val="34"/>
                <w:rFonts w:ascii="宋体" w:hAnsi="宋体"/>
                <w:color w:val="auto"/>
                <w:sz w:val="24"/>
              </w:rPr>
              <w:t>进行评定，方案完善、技术线路先进的得</w:t>
            </w:r>
            <w:r>
              <w:rPr>
                <w:rStyle w:val="34"/>
                <w:rFonts w:hint="eastAsia" w:ascii="宋体" w:hAnsi="宋体"/>
                <w:color w:val="auto"/>
                <w:sz w:val="24"/>
              </w:rPr>
              <w:t>3-</w:t>
            </w:r>
            <w:r>
              <w:rPr>
                <w:rStyle w:val="34"/>
                <w:rFonts w:ascii="宋体" w:hAnsi="宋体"/>
                <w:color w:val="auto"/>
                <w:sz w:val="24"/>
              </w:rPr>
              <w:t>5分，方案较为完善、技术线路较先进的得</w:t>
            </w:r>
            <w:r>
              <w:rPr>
                <w:rStyle w:val="34"/>
                <w:rFonts w:hint="eastAsia" w:ascii="宋体" w:hAnsi="宋体"/>
                <w:color w:val="auto"/>
                <w:sz w:val="24"/>
              </w:rPr>
              <w:t>1-</w:t>
            </w:r>
            <w:r>
              <w:rPr>
                <w:rStyle w:val="34"/>
                <w:rFonts w:ascii="宋体" w:hAnsi="宋体"/>
                <w:color w:val="auto"/>
                <w:sz w:val="24"/>
              </w:rPr>
              <w:t>3分；方案不够完善、技术线路不够先进的得</w:t>
            </w:r>
            <w:r>
              <w:rPr>
                <w:rStyle w:val="34"/>
                <w:rFonts w:hint="eastAsia" w:ascii="宋体" w:hAnsi="宋体"/>
                <w:color w:val="auto"/>
                <w:sz w:val="24"/>
              </w:rPr>
              <w:t>0-</w:t>
            </w:r>
            <w:r>
              <w:rPr>
                <w:rStyle w:val="34"/>
                <w:rFonts w:ascii="宋体" w:hAnsi="宋体"/>
                <w:color w:val="auto"/>
                <w:sz w:val="24"/>
              </w:rPr>
              <w:t>1分</w:t>
            </w:r>
            <w:r>
              <w:rPr>
                <w:rStyle w:val="34"/>
                <w:rFonts w:hint="eastAsia" w:ascii="宋体" w:hAnsi="宋体"/>
                <w:color w:val="auto"/>
                <w:sz w:val="24"/>
              </w:rPr>
              <w:t>，</w:t>
            </w:r>
            <w:r>
              <w:rPr>
                <w:rStyle w:val="34"/>
                <w:rFonts w:ascii="宋体" w:hAnsi="宋体"/>
                <w:color w:val="auto"/>
                <w:sz w:val="24"/>
              </w:rPr>
              <w:t>未作说明的不得分。</w:t>
            </w:r>
          </w:p>
          <w:p>
            <w:pPr>
              <w:snapToGrid w:val="0"/>
              <w:spacing w:line="440" w:lineRule="exact"/>
              <w:rPr>
                <w:rStyle w:val="34"/>
                <w:rFonts w:ascii="宋体" w:hAnsi="宋体"/>
                <w:color w:val="auto"/>
                <w:sz w:val="24"/>
              </w:rPr>
            </w:pPr>
            <w:r>
              <w:rPr>
                <w:rStyle w:val="34"/>
                <w:rFonts w:ascii="宋体" w:hAnsi="宋体"/>
                <w:color w:val="auto"/>
                <w:sz w:val="24"/>
              </w:rPr>
              <w:t>3、根据投标人管理系统建设的系统架构及技术路线进行评定，内容完善、先进的得</w:t>
            </w:r>
            <w:r>
              <w:rPr>
                <w:rStyle w:val="34"/>
                <w:rFonts w:hint="eastAsia" w:ascii="宋体" w:hAnsi="宋体"/>
                <w:color w:val="auto"/>
                <w:sz w:val="24"/>
              </w:rPr>
              <w:t>3-</w:t>
            </w:r>
            <w:r>
              <w:rPr>
                <w:rStyle w:val="34"/>
                <w:rFonts w:ascii="宋体" w:hAnsi="宋体"/>
                <w:color w:val="auto"/>
                <w:sz w:val="24"/>
              </w:rPr>
              <w:t>5分；内容较完善、较先进的得</w:t>
            </w:r>
            <w:r>
              <w:rPr>
                <w:rStyle w:val="34"/>
                <w:rFonts w:hint="eastAsia" w:ascii="宋体" w:hAnsi="宋体"/>
                <w:color w:val="auto"/>
                <w:sz w:val="24"/>
              </w:rPr>
              <w:t>2-</w:t>
            </w:r>
            <w:r>
              <w:rPr>
                <w:rStyle w:val="34"/>
                <w:rFonts w:ascii="宋体" w:hAnsi="宋体"/>
                <w:color w:val="auto"/>
                <w:sz w:val="24"/>
              </w:rPr>
              <w:t>3分；内容基本完善的得</w:t>
            </w:r>
            <w:r>
              <w:rPr>
                <w:rStyle w:val="34"/>
                <w:rFonts w:hint="eastAsia" w:ascii="宋体" w:hAnsi="宋体"/>
                <w:color w:val="auto"/>
                <w:sz w:val="24"/>
              </w:rPr>
              <w:t>0-</w:t>
            </w:r>
            <w:r>
              <w:rPr>
                <w:rStyle w:val="34"/>
                <w:rFonts w:ascii="宋体" w:hAnsi="宋体"/>
                <w:color w:val="auto"/>
                <w:sz w:val="24"/>
              </w:rPr>
              <w:t>1分</w:t>
            </w:r>
            <w:r>
              <w:rPr>
                <w:rStyle w:val="34"/>
                <w:rFonts w:hint="eastAsia" w:ascii="宋体" w:hAnsi="宋体"/>
                <w:color w:val="auto"/>
                <w:sz w:val="24"/>
              </w:rPr>
              <w:t>，</w:t>
            </w:r>
            <w:r>
              <w:rPr>
                <w:rStyle w:val="34"/>
                <w:rFonts w:ascii="宋体" w:hAnsi="宋体"/>
                <w:color w:val="auto"/>
                <w:sz w:val="24"/>
              </w:rPr>
              <w:t>未作说明不得分。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进度保障</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根据投标人制定的进度保障措施进行评定。内容完善、保障充分的得</w:t>
            </w:r>
            <w:r>
              <w:rPr>
                <w:rStyle w:val="34"/>
                <w:rFonts w:hint="eastAsia" w:ascii="宋体" w:hAnsi="宋体"/>
                <w:color w:val="auto"/>
                <w:sz w:val="24"/>
              </w:rPr>
              <w:t>2-3</w:t>
            </w:r>
            <w:r>
              <w:rPr>
                <w:rStyle w:val="34"/>
                <w:rFonts w:ascii="宋体" w:hAnsi="宋体"/>
                <w:color w:val="auto"/>
                <w:sz w:val="24"/>
              </w:rPr>
              <w:t>分；内容较完善、保障较充分的得</w:t>
            </w:r>
            <w:r>
              <w:rPr>
                <w:rStyle w:val="34"/>
                <w:rFonts w:hint="eastAsia" w:ascii="宋体" w:hAnsi="宋体"/>
                <w:color w:val="auto"/>
                <w:sz w:val="24"/>
              </w:rPr>
              <w:t>1-2</w:t>
            </w:r>
            <w:r>
              <w:rPr>
                <w:rStyle w:val="34"/>
                <w:rFonts w:ascii="宋体" w:hAnsi="宋体"/>
                <w:color w:val="auto"/>
                <w:sz w:val="24"/>
              </w:rPr>
              <w:t>分；内容不够完善、保障不够充分的得</w:t>
            </w:r>
            <w:r>
              <w:rPr>
                <w:rStyle w:val="34"/>
                <w:rFonts w:hint="eastAsia" w:ascii="宋体" w:hAnsi="宋体"/>
                <w:color w:val="auto"/>
                <w:sz w:val="24"/>
              </w:rPr>
              <w:t>0-</w:t>
            </w:r>
            <w:r>
              <w:rPr>
                <w:rStyle w:val="34"/>
                <w:rFonts w:ascii="宋体" w:hAnsi="宋体"/>
                <w:color w:val="auto"/>
                <w:sz w:val="24"/>
              </w:rPr>
              <w:t>1分</w:t>
            </w:r>
            <w:r>
              <w:rPr>
                <w:rStyle w:val="34"/>
                <w:rFonts w:hint="eastAsia" w:ascii="宋体" w:hAnsi="宋体"/>
                <w:color w:val="auto"/>
                <w:sz w:val="24"/>
              </w:rPr>
              <w:t>，</w:t>
            </w:r>
            <w:r>
              <w:rPr>
                <w:rStyle w:val="34"/>
                <w:rFonts w:ascii="宋体" w:hAnsi="宋体"/>
                <w:color w:val="auto"/>
                <w:sz w:val="24"/>
              </w:rPr>
              <w:t>未作说明的不得分。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kern w:val="0"/>
                <w:sz w:val="24"/>
              </w:rPr>
            </w:pPr>
            <w:r>
              <w:rPr>
                <w:rStyle w:val="34"/>
                <w:rFonts w:ascii="宋体" w:hAnsi="宋体"/>
                <w:color w:val="auto"/>
                <w:kern w:val="0"/>
                <w:sz w:val="24"/>
              </w:rPr>
              <w:t>安全保障</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kern w:val="0"/>
                <w:sz w:val="24"/>
              </w:rPr>
            </w:pPr>
            <w:r>
              <w:rPr>
                <w:rStyle w:val="34"/>
                <w:rFonts w:ascii="宋体" w:hAnsi="宋体"/>
                <w:color w:val="auto"/>
                <w:kern w:val="0"/>
                <w:sz w:val="24"/>
              </w:rPr>
              <w:t>根据投标人针对本项目的安全保障方案进行评定，方案内容完整、保障全面、可行性高的得</w:t>
            </w:r>
            <w:r>
              <w:rPr>
                <w:rStyle w:val="34"/>
                <w:rFonts w:hint="eastAsia" w:ascii="宋体" w:hAnsi="宋体"/>
                <w:color w:val="auto"/>
                <w:kern w:val="0"/>
                <w:sz w:val="24"/>
              </w:rPr>
              <w:t>2-</w:t>
            </w:r>
            <w:r>
              <w:rPr>
                <w:rStyle w:val="34"/>
                <w:rFonts w:ascii="宋体" w:hAnsi="宋体"/>
                <w:color w:val="auto"/>
                <w:kern w:val="0"/>
                <w:sz w:val="24"/>
              </w:rPr>
              <w:t>3分，方案内容较完整、保障较全面、可行性较高的得</w:t>
            </w:r>
            <w:r>
              <w:rPr>
                <w:rStyle w:val="34"/>
                <w:rFonts w:hint="eastAsia" w:ascii="宋体" w:hAnsi="宋体"/>
                <w:color w:val="auto"/>
                <w:kern w:val="0"/>
                <w:sz w:val="24"/>
              </w:rPr>
              <w:t>1-</w:t>
            </w:r>
            <w:r>
              <w:rPr>
                <w:rStyle w:val="34"/>
                <w:rFonts w:ascii="宋体" w:hAnsi="宋体"/>
                <w:color w:val="auto"/>
                <w:kern w:val="0"/>
                <w:sz w:val="24"/>
              </w:rPr>
              <w:t>2分，方案基本完整、保障性及可行性一般的得</w:t>
            </w:r>
            <w:r>
              <w:rPr>
                <w:rStyle w:val="34"/>
                <w:rFonts w:hint="eastAsia" w:ascii="宋体" w:hAnsi="宋体"/>
                <w:color w:val="auto"/>
                <w:kern w:val="0"/>
                <w:sz w:val="24"/>
              </w:rPr>
              <w:t>0-</w:t>
            </w:r>
            <w:r>
              <w:rPr>
                <w:rStyle w:val="34"/>
                <w:rFonts w:ascii="宋体" w:hAnsi="宋体"/>
                <w:color w:val="auto"/>
                <w:kern w:val="0"/>
                <w:sz w:val="24"/>
              </w:rPr>
              <w:t>1分</w:t>
            </w:r>
            <w:r>
              <w:rPr>
                <w:rStyle w:val="34"/>
                <w:rFonts w:hint="eastAsia" w:ascii="宋体" w:hAnsi="宋体"/>
                <w:color w:val="auto"/>
                <w:kern w:val="0"/>
                <w:sz w:val="24"/>
              </w:rPr>
              <w:t>，</w:t>
            </w:r>
            <w:r>
              <w:rPr>
                <w:rStyle w:val="34"/>
                <w:rFonts w:ascii="宋体" w:hAnsi="宋体"/>
                <w:color w:val="auto"/>
                <w:kern w:val="0"/>
                <w:sz w:val="24"/>
              </w:rPr>
              <w:t>未作说明的不得分。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kern w:val="0"/>
                <w:sz w:val="24"/>
              </w:rPr>
            </w:pPr>
            <w:r>
              <w:rPr>
                <w:rStyle w:val="34"/>
                <w:rFonts w:ascii="宋体" w:hAnsi="宋体"/>
                <w:color w:val="auto"/>
                <w:kern w:val="0"/>
                <w:sz w:val="24"/>
              </w:rPr>
              <w:t>保密措施</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kern w:val="0"/>
                <w:sz w:val="24"/>
              </w:rPr>
            </w:pPr>
            <w:r>
              <w:rPr>
                <w:rStyle w:val="34"/>
                <w:rFonts w:ascii="宋体" w:hAnsi="宋体"/>
                <w:color w:val="auto"/>
                <w:kern w:val="0"/>
                <w:sz w:val="24"/>
              </w:rPr>
              <w:t>根据投标人针对本项目的保密措施方案进行评定，措施完善有效的得</w:t>
            </w:r>
            <w:r>
              <w:rPr>
                <w:rStyle w:val="34"/>
                <w:rFonts w:hint="eastAsia" w:ascii="宋体" w:hAnsi="宋体"/>
                <w:color w:val="auto"/>
                <w:kern w:val="0"/>
                <w:sz w:val="24"/>
              </w:rPr>
              <w:t>2-</w:t>
            </w:r>
            <w:r>
              <w:rPr>
                <w:rStyle w:val="34"/>
                <w:rFonts w:ascii="宋体" w:hAnsi="宋体"/>
                <w:color w:val="auto"/>
                <w:kern w:val="0"/>
                <w:sz w:val="24"/>
              </w:rPr>
              <w:t>3分，措施较完善有效的得</w:t>
            </w:r>
            <w:r>
              <w:rPr>
                <w:rStyle w:val="34"/>
                <w:rFonts w:hint="eastAsia" w:ascii="宋体" w:hAnsi="宋体"/>
                <w:color w:val="auto"/>
                <w:kern w:val="0"/>
                <w:sz w:val="24"/>
              </w:rPr>
              <w:t>1-</w:t>
            </w:r>
            <w:r>
              <w:rPr>
                <w:rStyle w:val="34"/>
                <w:rFonts w:ascii="宋体" w:hAnsi="宋体"/>
                <w:color w:val="auto"/>
                <w:kern w:val="0"/>
                <w:sz w:val="24"/>
              </w:rPr>
              <w:t>2分，措施基本完善有效的得</w:t>
            </w:r>
            <w:r>
              <w:rPr>
                <w:rStyle w:val="34"/>
                <w:rFonts w:hint="eastAsia" w:ascii="宋体" w:hAnsi="宋体"/>
                <w:color w:val="auto"/>
                <w:kern w:val="0"/>
                <w:sz w:val="24"/>
              </w:rPr>
              <w:t>0-</w:t>
            </w:r>
            <w:r>
              <w:rPr>
                <w:rStyle w:val="34"/>
                <w:rFonts w:ascii="宋体" w:hAnsi="宋体"/>
                <w:color w:val="auto"/>
                <w:kern w:val="0"/>
                <w:sz w:val="24"/>
              </w:rPr>
              <w:t>1分</w:t>
            </w:r>
            <w:r>
              <w:rPr>
                <w:rStyle w:val="34"/>
                <w:rFonts w:hint="eastAsia" w:ascii="宋体" w:hAnsi="宋体"/>
                <w:color w:val="auto"/>
                <w:kern w:val="0"/>
                <w:sz w:val="24"/>
              </w:rPr>
              <w:t>，</w:t>
            </w:r>
            <w:r>
              <w:rPr>
                <w:rStyle w:val="34"/>
                <w:rFonts w:ascii="宋体" w:hAnsi="宋体"/>
                <w:color w:val="auto"/>
                <w:kern w:val="0"/>
                <w:sz w:val="24"/>
              </w:rPr>
              <w:t>未作说明的不得分。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color w:val="auto"/>
                <w:sz w:val="24"/>
              </w:rPr>
            </w:pPr>
            <w:r>
              <w:rPr>
                <w:rStyle w:val="34"/>
                <w:rFonts w:ascii="宋体" w:hAnsi="宋体"/>
                <w:color w:val="auto"/>
                <w:kern w:val="0"/>
                <w:sz w:val="24"/>
              </w:rPr>
              <w:t>综合协调方案</w:t>
            </w:r>
            <w:r>
              <w:rPr>
                <w:rStyle w:val="34"/>
                <w:rFonts w:hint="eastAsia" w:ascii="宋体" w:hAnsi="宋体"/>
                <w:color w:val="auto"/>
                <w:sz w:val="24"/>
              </w:rPr>
              <w:t>（3分）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kern w:val="0"/>
                <w:sz w:val="24"/>
              </w:rPr>
            </w:pPr>
            <w:r>
              <w:rPr>
                <w:rStyle w:val="34"/>
                <w:rFonts w:ascii="宋体" w:hAnsi="宋体"/>
                <w:color w:val="auto"/>
                <w:kern w:val="0"/>
                <w:sz w:val="24"/>
              </w:rPr>
              <w:t>对投标人制定的与其他单位、部门的综合协调方案进行评定，综合协调方案完善且考虑周全的得</w:t>
            </w:r>
            <w:r>
              <w:rPr>
                <w:rStyle w:val="34"/>
                <w:rFonts w:hint="eastAsia" w:ascii="宋体" w:hAnsi="宋体"/>
                <w:color w:val="auto"/>
                <w:kern w:val="0"/>
                <w:sz w:val="24"/>
              </w:rPr>
              <w:t>2-</w:t>
            </w:r>
            <w:r>
              <w:rPr>
                <w:rStyle w:val="34"/>
                <w:rFonts w:ascii="宋体" w:hAnsi="宋体"/>
                <w:color w:val="auto"/>
                <w:kern w:val="0"/>
                <w:sz w:val="24"/>
              </w:rPr>
              <w:t>3分；综合协调方案比较详细且考虑较为全面的得</w:t>
            </w:r>
            <w:r>
              <w:rPr>
                <w:rStyle w:val="34"/>
                <w:rFonts w:hint="eastAsia" w:ascii="宋体" w:hAnsi="宋体"/>
                <w:color w:val="auto"/>
                <w:kern w:val="0"/>
                <w:sz w:val="24"/>
              </w:rPr>
              <w:t>1-</w:t>
            </w:r>
            <w:r>
              <w:rPr>
                <w:rStyle w:val="34"/>
                <w:rFonts w:ascii="宋体" w:hAnsi="宋体"/>
                <w:color w:val="auto"/>
                <w:kern w:val="0"/>
                <w:sz w:val="24"/>
              </w:rPr>
              <w:t>2分；协调方案较为简单的得</w:t>
            </w:r>
            <w:r>
              <w:rPr>
                <w:rStyle w:val="34"/>
                <w:rFonts w:hint="eastAsia" w:ascii="宋体" w:hAnsi="宋体"/>
                <w:color w:val="auto"/>
                <w:kern w:val="0"/>
                <w:sz w:val="24"/>
              </w:rPr>
              <w:t>0-</w:t>
            </w:r>
            <w:r>
              <w:rPr>
                <w:rStyle w:val="34"/>
                <w:rFonts w:ascii="宋体" w:hAnsi="宋体"/>
                <w:color w:val="auto"/>
                <w:kern w:val="0"/>
                <w:sz w:val="24"/>
              </w:rPr>
              <w:t>1分</w:t>
            </w:r>
            <w:r>
              <w:rPr>
                <w:rStyle w:val="34"/>
                <w:rFonts w:hint="eastAsia" w:ascii="宋体" w:hAnsi="宋体"/>
                <w:color w:val="auto"/>
                <w:kern w:val="0"/>
                <w:sz w:val="24"/>
              </w:rPr>
              <w:t>，</w:t>
            </w:r>
            <w:r>
              <w:rPr>
                <w:rStyle w:val="34"/>
                <w:rFonts w:ascii="宋体" w:hAnsi="宋体"/>
                <w:color w:val="auto"/>
                <w:kern w:val="0"/>
                <w:sz w:val="24"/>
              </w:rPr>
              <w:t>未作说明的</w:t>
            </w:r>
            <w:r>
              <w:rPr>
                <w:rStyle w:val="34"/>
                <w:rFonts w:ascii="宋体" w:hAnsi="宋体"/>
                <w:color w:val="auto"/>
                <w:sz w:val="24"/>
              </w:rPr>
              <w:t>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kern w:val="0"/>
                <w:sz w:val="24"/>
              </w:rPr>
            </w:pPr>
            <w:r>
              <w:rPr>
                <w:rStyle w:val="34"/>
                <w:rFonts w:ascii="宋体" w:hAnsi="宋体"/>
                <w:color w:val="auto"/>
                <w:kern w:val="0"/>
                <w:sz w:val="24"/>
              </w:rPr>
              <w:t>免费运维期</w:t>
            </w:r>
            <w:r>
              <w:rPr>
                <w:rStyle w:val="34"/>
                <w:rFonts w:hint="eastAsia" w:ascii="宋体" w:hAnsi="宋体"/>
                <w:color w:val="auto"/>
                <w:sz w:val="24"/>
              </w:rPr>
              <w:t>（1分）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kern w:val="0"/>
                <w:sz w:val="24"/>
              </w:rPr>
            </w:pPr>
            <w:r>
              <w:rPr>
                <w:rStyle w:val="34"/>
                <w:rFonts w:ascii="宋体" w:hAnsi="宋体"/>
                <w:color w:val="auto"/>
                <w:kern w:val="0"/>
                <w:sz w:val="24"/>
              </w:rPr>
              <w:t>投标人免费运维期满足项目要求的得</w:t>
            </w:r>
            <w:r>
              <w:rPr>
                <w:rStyle w:val="34"/>
                <w:rFonts w:hint="eastAsia" w:ascii="宋体" w:hAnsi="宋体"/>
                <w:color w:val="auto"/>
                <w:kern w:val="0"/>
                <w:sz w:val="24"/>
              </w:rPr>
              <w:t>1</w:t>
            </w:r>
            <w:r>
              <w:rPr>
                <w:rStyle w:val="34"/>
                <w:rFonts w:ascii="宋体" w:hAnsi="宋体"/>
                <w:color w:val="auto"/>
                <w:kern w:val="0"/>
                <w:sz w:val="24"/>
              </w:rPr>
              <w:t>分，未作说明或不满足的不得分。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r>
              <w:rPr>
                <w:rStyle w:val="34"/>
                <w:rFonts w:ascii="宋体" w:hAnsi="宋体" w:cs="Times New Roman"/>
                <w:bCs/>
                <w:color w:val="auto"/>
                <w:sz w:val="24"/>
              </w:rPr>
              <w:t>人员设备</w:t>
            </w:r>
          </w:p>
          <w:p>
            <w:pPr>
              <w:snapToGrid w:val="0"/>
              <w:spacing w:line="360" w:lineRule="exact"/>
              <w:jc w:val="center"/>
              <w:rPr>
                <w:rStyle w:val="34"/>
                <w:rFonts w:ascii="宋体" w:hAnsi="宋体" w:cs="Times New Roman"/>
                <w:bCs/>
                <w:color w:val="auto"/>
                <w:sz w:val="24"/>
              </w:rPr>
            </w:pPr>
            <w:r>
              <w:rPr>
                <w:rStyle w:val="34"/>
                <w:rFonts w:hint="eastAsia" w:ascii="宋体" w:hAnsi="宋体" w:cs="Times New Roman"/>
                <w:bCs/>
                <w:color w:val="auto"/>
                <w:sz w:val="24"/>
              </w:rPr>
              <w:t>（28分）</w:t>
            </w: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测绘设备</w:t>
            </w:r>
            <w:r>
              <w:rPr>
                <w:rStyle w:val="34"/>
                <w:rFonts w:hint="eastAsia" w:ascii="宋体" w:hAnsi="宋体"/>
                <w:color w:val="auto"/>
                <w:sz w:val="24"/>
              </w:rPr>
              <w:t>（2分）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1、投标人配备有8台GPS定位仪的得1分，每缺少一台扣0.2分，扣完为止。</w:t>
            </w:r>
          </w:p>
          <w:p>
            <w:pPr>
              <w:snapToGrid w:val="0"/>
              <w:spacing w:line="440" w:lineRule="exact"/>
              <w:rPr>
                <w:rStyle w:val="34"/>
                <w:rFonts w:ascii="宋体" w:hAnsi="宋体"/>
                <w:color w:val="auto"/>
                <w:sz w:val="24"/>
              </w:rPr>
            </w:pPr>
            <w:r>
              <w:rPr>
                <w:rStyle w:val="34"/>
                <w:rFonts w:ascii="宋体" w:hAnsi="宋体"/>
                <w:color w:val="auto"/>
                <w:sz w:val="24"/>
              </w:rPr>
              <w:t>2、投标人配备有6台全站仪的得1分，每缺少一台扣0.2分，扣完为止。</w:t>
            </w:r>
          </w:p>
          <w:p>
            <w:pPr>
              <w:snapToGrid w:val="0"/>
              <w:spacing w:line="440" w:lineRule="exact"/>
              <w:rPr>
                <w:rStyle w:val="34"/>
                <w:rFonts w:ascii="宋体" w:hAnsi="宋体"/>
                <w:color w:val="auto"/>
                <w:sz w:val="24"/>
              </w:rPr>
            </w:pPr>
            <w:r>
              <w:rPr>
                <w:rStyle w:val="34"/>
                <w:rFonts w:ascii="宋体" w:hAnsi="宋体"/>
                <w:color w:val="auto"/>
                <w:sz w:val="24"/>
              </w:rPr>
              <w:t>注：GPS定位仪、全站仪需提供检定机构出具的有效期内的检定证书或购买发票，</w:t>
            </w:r>
            <w:r>
              <w:rPr>
                <w:rStyle w:val="34"/>
                <w:rFonts w:hint="eastAsia" w:ascii="宋体" w:hAnsi="宋体"/>
                <w:color w:val="auto"/>
                <w:sz w:val="24"/>
              </w:rPr>
              <w:t>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排水相关设备建设</w:t>
            </w:r>
            <w:r>
              <w:rPr>
                <w:rStyle w:val="34"/>
                <w:rFonts w:hint="eastAsia" w:ascii="宋体" w:hAnsi="宋体"/>
                <w:color w:val="auto"/>
                <w:sz w:val="24"/>
              </w:rPr>
              <w:t>（2分）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投标人须提供技术参数情况偏离说明（格式自拟，投标人须对照招标文件中规定的产品要求，在投标文件中逐条对应列出并分别注明：正偏离或无偏离或负偏离，不得遗漏），全部满足或高于招标文件要求的得2分，低于招标文件要求的视为负偏离，每项扣0.2分，扣完为止。</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系统运行的环境和场地建设</w:t>
            </w:r>
            <w:r>
              <w:rPr>
                <w:rStyle w:val="34"/>
                <w:rFonts w:hint="eastAsia" w:ascii="宋体" w:hAnsi="宋体"/>
                <w:color w:val="auto"/>
                <w:sz w:val="24"/>
              </w:rPr>
              <w:t>（2分）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投标人须提供技术参数情况偏离说明（格式自拟，投标人须对照招标文件中规定的产品要求，在投标文件中逐条对应列出并分别注明：正偏离或无偏离或负偏离，不得遗漏），全部满足或高于招标文件要求的得2分，低于招标文件要求的视为负偏离，每项扣0.2分，扣完为止。</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人员情况</w:t>
            </w:r>
            <w:r>
              <w:rPr>
                <w:rStyle w:val="34"/>
                <w:rFonts w:hint="eastAsia" w:ascii="宋体" w:hAnsi="宋体"/>
                <w:color w:val="auto"/>
                <w:sz w:val="24"/>
              </w:rPr>
              <w:t>（22分）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1、项目负责人（同一人）具有系统集成项目管理工程师证书、注册测绘师证书、涉密测绘成果管理人员岗位培训证书、PMP（项目管理专业人员资格证）及测绘相关专业高级工程师职称证书的，有一项得1分，最高得5分；项目负责人参与的项目获得过省级及以上奖项的，有一项加0.5分，最高得1分。</w:t>
            </w:r>
            <w:r>
              <w:rPr>
                <w:rStyle w:val="34"/>
                <w:rFonts w:ascii="宋体" w:hAnsi="宋体"/>
                <w:b/>
                <w:bCs/>
                <w:color w:val="auto"/>
                <w:sz w:val="24"/>
              </w:rPr>
              <w:t>本项最高得6分。</w:t>
            </w:r>
          </w:p>
          <w:p>
            <w:pPr>
              <w:snapToGrid w:val="0"/>
              <w:spacing w:line="440" w:lineRule="exact"/>
              <w:rPr>
                <w:rStyle w:val="34"/>
                <w:rFonts w:ascii="宋体" w:hAnsi="宋体"/>
                <w:color w:val="auto"/>
                <w:sz w:val="24"/>
              </w:rPr>
            </w:pPr>
            <w:r>
              <w:rPr>
                <w:rStyle w:val="34"/>
                <w:rFonts w:ascii="宋体" w:hAnsi="宋体"/>
                <w:color w:val="auto"/>
                <w:sz w:val="24"/>
              </w:rPr>
              <w:t>2、技术负责人（同一人）具有测绘相关专业高级工程师职称证书、系统集成项目管理工程师证书、注册信息安全专业人员证书（CISP）、全国信息化工程师证书（SQLSERVER数据库管理师）、涉密测绘成果管理人员岗位培训证书、软件工程造价师证书的，有一项得1分，</w:t>
            </w:r>
            <w:r>
              <w:rPr>
                <w:rStyle w:val="34"/>
                <w:rFonts w:ascii="宋体" w:hAnsi="宋体"/>
                <w:b/>
                <w:bCs/>
                <w:color w:val="auto"/>
                <w:sz w:val="24"/>
              </w:rPr>
              <w:t>本项最高得6分。</w:t>
            </w:r>
          </w:p>
          <w:p>
            <w:pPr>
              <w:snapToGrid w:val="0"/>
              <w:spacing w:line="440" w:lineRule="exact"/>
              <w:rPr>
                <w:rStyle w:val="34"/>
                <w:rFonts w:ascii="宋体" w:hAnsi="宋体"/>
                <w:b/>
                <w:bCs/>
                <w:color w:val="auto"/>
                <w:sz w:val="24"/>
              </w:rPr>
            </w:pPr>
            <w:r>
              <w:rPr>
                <w:rStyle w:val="34"/>
                <w:rFonts w:ascii="宋体" w:hAnsi="宋体"/>
                <w:color w:val="auto"/>
                <w:sz w:val="24"/>
              </w:rPr>
              <w:t>3、质检负责人（同一人）具有注册测绘师证书、涉密测绘成果管理人员岗位培训证书、测绘地理信息技术质量培训证书（或测绘地理信息成果质量检查员培训证书）以及测绘相关专业高级工程师职称证书的，有一项得1分，最高得4分；质检负责人参与的项目获得过省级及以上奖项</w:t>
            </w:r>
            <w:r>
              <w:rPr>
                <w:rStyle w:val="34"/>
                <w:rFonts w:hint="eastAsia" w:ascii="宋体" w:hAnsi="宋体"/>
                <w:color w:val="auto"/>
                <w:sz w:val="24"/>
              </w:rPr>
              <w:t>的</w:t>
            </w:r>
            <w:r>
              <w:rPr>
                <w:rStyle w:val="34"/>
                <w:rFonts w:ascii="宋体" w:hAnsi="宋体"/>
                <w:color w:val="auto"/>
                <w:sz w:val="24"/>
              </w:rPr>
              <w:t>，有一项加</w:t>
            </w:r>
            <w:r>
              <w:rPr>
                <w:rStyle w:val="34"/>
                <w:rFonts w:hint="eastAsia" w:ascii="宋体" w:hAnsi="宋体"/>
                <w:color w:val="auto"/>
                <w:sz w:val="24"/>
              </w:rPr>
              <w:t>0.5</w:t>
            </w:r>
            <w:r>
              <w:rPr>
                <w:rStyle w:val="34"/>
                <w:rFonts w:ascii="宋体" w:hAnsi="宋体"/>
                <w:color w:val="auto"/>
                <w:sz w:val="24"/>
              </w:rPr>
              <w:t>分，最高得</w:t>
            </w:r>
            <w:r>
              <w:rPr>
                <w:rStyle w:val="34"/>
                <w:rFonts w:hint="eastAsia" w:ascii="宋体" w:hAnsi="宋体"/>
                <w:color w:val="auto"/>
                <w:sz w:val="24"/>
              </w:rPr>
              <w:t>1</w:t>
            </w:r>
            <w:r>
              <w:rPr>
                <w:rStyle w:val="34"/>
                <w:rFonts w:ascii="宋体" w:hAnsi="宋体"/>
                <w:color w:val="auto"/>
                <w:sz w:val="24"/>
              </w:rPr>
              <w:t>分。</w:t>
            </w:r>
            <w:r>
              <w:rPr>
                <w:rStyle w:val="34"/>
                <w:rFonts w:ascii="宋体" w:hAnsi="宋体"/>
                <w:b/>
                <w:bCs/>
                <w:color w:val="auto"/>
                <w:sz w:val="24"/>
              </w:rPr>
              <w:t>本项最高得</w:t>
            </w:r>
            <w:r>
              <w:rPr>
                <w:rStyle w:val="34"/>
                <w:rFonts w:hint="eastAsia" w:ascii="宋体" w:hAnsi="宋体"/>
                <w:b/>
                <w:bCs/>
                <w:color w:val="auto"/>
                <w:sz w:val="24"/>
              </w:rPr>
              <w:t>5</w:t>
            </w:r>
            <w:r>
              <w:rPr>
                <w:rStyle w:val="34"/>
                <w:rFonts w:ascii="宋体" w:hAnsi="宋体"/>
                <w:b/>
                <w:bCs/>
                <w:color w:val="auto"/>
                <w:sz w:val="24"/>
              </w:rPr>
              <w:t>分。</w:t>
            </w:r>
          </w:p>
          <w:p>
            <w:pPr>
              <w:snapToGrid w:val="0"/>
              <w:spacing w:line="440" w:lineRule="exact"/>
              <w:rPr>
                <w:rStyle w:val="34"/>
                <w:rFonts w:ascii="宋体" w:hAnsi="宋体"/>
                <w:b/>
                <w:bCs/>
                <w:color w:val="auto"/>
                <w:sz w:val="24"/>
              </w:rPr>
            </w:pPr>
            <w:r>
              <w:rPr>
                <w:rStyle w:val="34"/>
                <w:rFonts w:ascii="宋体" w:hAnsi="宋体"/>
                <w:color w:val="auto"/>
                <w:sz w:val="24"/>
              </w:rPr>
              <w:t>4、其他项目组成员</w:t>
            </w:r>
            <w:r>
              <w:rPr>
                <w:rStyle w:val="34"/>
                <w:rFonts w:hint="eastAsia" w:ascii="宋体" w:hAnsi="宋体"/>
                <w:color w:val="auto"/>
                <w:sz w:val="24"/>
              </w:rPr>
              <w:t>：同时</w:t>
            </w:r>
            <w:r>
              <w:rPr>
                <w:rStyle w:val="34"/>
                <w:rFonts w:ascii="宋体" w:hAnsi="宋体"/>
                <w:color w:val="auto"/>
                <w:sz w:val="24"/>
              </w:rPr>
              <w:t>具有涉密测绘成果管理人员岗位培训证书</w:t>
            </w:r>
            <w:r>
              <w:rPr>
                <w:rStyle w:val="34"/>
                <w:rFonts w:hint="eastAsia" w:ascii="宋体" w:hAnsi="宋体"/>
                <w:color w:val="auto"/>
                <w:sz w:val="24"/>
              </w:rPr>
              <w:t>、</w:t>
            </w:r>
            <w:r>
              <w:rPr>
                <w:rStyle w:val="34"/>
                <w:rFonts w:ascii="宋体" w:hAnsi="宋体"/>
                <w:color w:val="auto"/>
                <w:sz w:val="24"/>
              </w:rPr>
              <w:t>注册信息安全专业人员证书</w:t>
            </w:r>
            <w:r>
              <w:rPr>
                <w:rStyle w:val="34"/>
                <w:rFonts w:hint="eastAsia" w:ascii="宋体" w:hAnsi="宋体"/>
                <w:color w:val="auto"/>
                <w:sz w:val="24"/>
              </w:rPr>
              <w:t>和高级工程师职称证书</w:t>
            </w:r>
            <w:r>
              <w:rPr>
                <w:rStyle w:val="34"/>
                <w:rFonts w:ascii="宋体" w:hAnsi="宋体"/>
                <w:color w:val="auto"/>
                <w:sz w:val="24"/>
              </w:rPr>
              <w:t>的得</w:t>
            </w:r>
            <w:r>
              <w:rPr>
                <w:rStyle w:val="34"/>
                <w:rFonts w:hint="eastAsia" w:ascii="宋体" w:hAnsi="宋体"/>
                <w:color w:val="auto"/>
                <w:sz w:val="24"/>
              </w:rPr>
              <w:t>2</w:t>
            </w:r>
            <w:r>
              <w:rPr>
                <w:rStyle w:val="34"/>
                <w:rFonts w:ascii="宋体" w:hAnsi="宋体"/>
                <w:color w:val="auto"/>
                <w:sz w:val="24"/>
              </w:rPr>
              <w:t>分。同时具有工程师及以上职称和高级信息系统项目管理师证书的，每有一人得1分，</w:t>
            </w:r>
            <w:r>
              <w:rPr>
                <w:rStyle w:val="34"/>
                <w:rFonts w:hint="eastAsia" w:ascii="宋体" w:hAnsi="宋体"/>
                <w:color w:val="auto"/>
                <w:sz w:val="24"/>
              </w:rPr>
              <w:t>最高得3分；同一人最高得3分，</w:t>
            </w:r>
            <w:r>
              <w:rPr>
                <w:rStyle w:val="34"/>
                <w:rFonts w:ascii="宋体" w:hAnsi="宋体"/>
                <w:b/>
                <w:bCs/>
                <w:color w:val="auto"/>
                <w:sz w:val="24"/>
              </w:rPr>
              <w:t>本项最高得</w:t>
            </w:r>
            <w:r>
              <w:rPr>
                <w:rStyle w:val="34"/>
                <w:rFonts w:hint="eastAsia" w:ascii="宋体" w:hAnsi="宋体"/>
                <w:b/>
                <w:bCs/>
                <w:color w:val="auto"/>
                <w:sz w:val="24"/>
              </w:rPr>
              <w:t>5</w:t>
            </w:r>
            <w:r>
              <w:rPr>
                <w:rStyle w:val="34"/>
                <w:rFonts w:ascii="宋体" w:hAnsi="宋体"/>
                <w:b/>
                <w:bCs/>
                <w:color w:val="auto"/>
                <w:sz w:val="24"/>
              </w:rPr>
              <w:t>分</w:t>
            </w:r>
            <w:r>
              <w:rPr>
                <w:rStyle w:val="34"/>
                <w:rFonts w:hint="eastAsia" w:ascii="宋体" w:hAnsi="宋体"/>
                <w:b/>
                <w:bCs/>
                <w:color w:val="auto"/>
                <w:sz w:val="24"/>
              </w:rPr>
              <w:t>。</w:t>
            </w:r>
          </w:p>
          <w:p>
            <w:pPr>
              <w:snapToGrid w:val="0"/>
              <w:spacing w:line="440" w:lineRule="exact"/>
              <w:rPr>
                <w:rStyle w:val="34"/>
                <w:rFonts w:ascii="宋体" w:hAnsi="宋体"/>
                <w:color w:val="auto"/>
                <w:sz w:val="24"/>
              </w:rPr>
            </w:pPr>
            <w:r>
              <w:rPr>
                <w:rStyle w:val="34"/>
                <w:rFonts w:ascii="宋体" w:hAnsi="宋体"/>
                <w:color w:val="auto"/>
                <w:sz w:val="24"/>
              </w:rPr>
              <w:t>注：1、需提供投标人为人员缴纳社保（</w:t>
            </w:r>
            <w:r>
              <w:rPr>
                <w:rStyle w:val="34"/>
                <w:rFonts w:hint="eastAsia" w:ascii="宋体" w:hAnsi="宋体"/>
                <w:color w:val="auto"/>
                <w:sz w:val="24"/>
              </w:rPr>
              <w:t>近3个月</w:t>
            </w:r>
            <w:r>
              <w:rPr>
                <w:rStyle w:val="34"/>
                <w:rFonts w:ascii="宋体" w:hAnsi="宋体"/>
                <w:color w:val="auto"/>
                <w:sz w:val="24"/>
              </w:rPr>
              <w:t>）的证明以及相关证书等证明材料，否则不得分；</w:t>
            </w:r>
          </w:p>
          <w:p>
            <w:pPr>
              <w:snapToGrid w:val="0"/>
              <w:spacing w:line="440" w:lineRule="exact"/>
              <w:rPr>
                <w:rStyle w:val="34"/>
                <w:rFonts w:ascii="宋体" w:hAnsi="宋体"/>
                <w:color w:val="auto"/>
                <w:sz w:val="24"/>
              </w:rPr>
            </w:pPr>
            <w:r>
              <w:rPr>
                <w:rStyle w:val="34"/>
                <w:rFonts w:ascii="宋体" w:hAnsi="宋体"/>
                <w:color w:val="auto"/>
                <w:sz w:val="24"/>
              </w:rPr>
              <w:t>2、提供职称证书复印件，职称证书上需有专业名称，若职称证书上无法体现专业名称的，需提供毕业证书</w:t>
            </w:r>
            <w:r>
              <w:rPr>
                <w:rStyle w:val="34"/>
                <w:rFonts w:hint="eastAsia" w:ascii="宋体" w:hAnsi="宋体"/>
                <w:color w:val="auto"/>
                <w:sz w:val="24"/>
              </w:rPr>
              <w:t>证明材料</w:t>
            </w:r>
            <w:r>
              <w:rPr>
                <w:rStyle w:val="34"/>
                <w:rFonts w:ascii="宋体" w:hAnsi="宋体"/>
                <w:color w:val="auto"/>
                <w:sz w:val="24"/>
              </w:rPr>
              <w:t>。</w:t>
            </w:r>
          </w:p>
          <w:p>
            <w:pPr>
              <w:snapToGrid w:val="0"/>
              <w:spacing w:line="440" w:lineRule="exact"/>
              <w:rPr>
                <w:rStyle w:val="34"/>
                <w:rFonts w:ascii="宋体" w:hAnsi="宋体"/>
                <w:color w:val="auto"/>
                <w:sz w:val="24"/>
              </w:rPr>
            </w:pPr>
            <w:r>
              <w:rPr>
                <w:rStyle w:val="34"/>
                <w:rFonts w:ascii="宋体" w:hAnsi="宋体"/>
                <w:color w:val="auto"/>
                <w:sz w:val="24"/>
              </w:rPr>
              <w:t>3</w:t>
            </w:r>
            <w:r>
              <w:rPr>
                <w:rStyle w:val="34"/>
                <w:rFonts w:hint="eastAsia" w:ascii="宋体" w:hAnsi="宋体"/>
                <w:color w:val="auto"/>
                <w:sz w:val="24"/>
              </w:rPr>
              <w:t>、以上岗位人员不得重复。</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r>
              <w:rPr>
                <w:rStyle w:val="34"/>
                <w:rFonts w:ascii="宋体" w:hAnsi="宋体" w:cs="Times New Roman"/>
                <w:bCs/>
                <w:color w:val="auto"/>
                <w:sz w:val="24"/>
              </w:rPr>
              <w:t>综合能力</w:t>
            </w:r>
            <w:r>
              <w:rPr>
                <w:rStyle w:val="34"/>
                <w:rFonts w:hint="eastAsia" w:ascii="宋体" w:hAnsi="宋体" w:cs="Times New Roman"/>
                <w:bCs/>
                <w:color w:val="auto"/>
                <w:sz w:val="24"/>
              </w:rPr>
              <w:t>（17分）</w:t>
            </w: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业绩</w:t>
            </w:r>
            <w:r>
              <w:rPr>
                <w:rStyle w:val="34"/>
                <w:rFonts w:hint="eastAsia" w:ascii="宋体" w:hAnsi="宋体"/>
                <w:color w:val="auto"/>
                <w:sz w:val="24"/>
              </w:rPr>
              <w:t>（4分）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根据投标人自2017年1月1日（以合同签订日期为准）至今实施过的全国范围内类似业绩</w:t>
            </w:r>
            <w:r>
              <w:rPr>
                <w:rStyle w:val="34"/>
                <w:rFonts w:hint="eastAsia" w:ascii="宋体" w:hAnsi="宋体"/>
                <w:color w:val="auto"/>
                <w:sz w:val="24"/>
              </w:rPr>
              <w:t>（地下管网测绘或地下管网软件开发项目类）</w:t>
            </w:r>
            <w:r>
              <w:rPr>
                <w:rStyle w:val="34"/>
                <w:rFonts w:ascii="宋体" w:hAnsi="宋体"/>
                <w:color w:val="auto"/>
                <w:sz w:val="24"/>
              </w:rPr>
              <w:t>，每提供一份得1分，</w:t>
            </w:r>
            <w:r>
              <w:rPr>
                <w:rStyle w:val="34"/>
                <w:rFonts w:ascii="宋体" w:hAnsi="宋体"/>
                <w:b/>
                <w:bCs/>
                <w:color w:val="auto"/>
                <w:sz w:val="24"/>
              </w:rPr>
              <w:t>本项最高得4分。</w:t>
            </w:r>
          </w:p>
          <w:p>
            <w:pPr>
              <w:snapToGrid w:val="0"/>
              <w:spacing w:line="440" w:lineRule="exact"/>
              <w:rPr>
                <w:rStyle w:val="34"/>
                <w:rFonts w:ascii="宋体" w:hAnsi="宋体"/>
                <w:color w:val="auto"/>
                <w:sz w:val="24"/>
              </w:rPr>
            </w:pPr>
            <w:r>
              <w:rPr>
                <w:rStyle w:val="34"/>
                <w:rFonts w:ascii="宋体" w:hAnsi="宋体"/>
                <w:color w:val="auto"/>
                <w:sz w:val="24"/>
              </w:rPr>
              <w:t>注：投标文件中须提供合同证明材料（包括合同首页、合同</w:t>
            </w:r>
            <w:r>
              <w:rPr>
                <w:rStyle w:val="34"/>
                <w:rFonts w:hint="eastAsia" w:ascii="宋体" w:hAnsi="宋体"/>
                <w:color w:val="auto"/>
                <w:sz w:val="24"/>
              </w:rPr>
              <w:t>标的物内容</w:t>
            </w:r>
            <w:r>
              <w:rPr>
                <w:rStyle w:val="34"/>
                <w:rFonts w:ascii="宋体" w:hAnsi="宋体"/>
                <w:color w:val="auto"/>
                <w:sz w:val="24"/>
              </w:rPr>
              <w:t>、签字盖章页），合同原件在开标前按规定密封递交核查，未按要求提供材料的不得分。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认证情况</w:t>
            </w:r>
            <w:r>
              <w:rPr>
                <w:rStyle w:val="34"/>
                <w:rFonts w:hint="eastAsia" w:ascii="宋体" w:hAnsi="宋体"/>
                <w:color w:val="auto"/>
                <w:sz w:val="24"/>
              </w:rPr>
              <w:t>（9分）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投标人同时具有有效的质量管理体系认证证书、环境管理体系认证证书、职业健康安全管理体系认证证书</w:t>
            </w:r>
            <w:r>
              <w:rPr>
                <w:rStyle w:val="34"/>
                <w:rFonts w:hint="eastAsia" w:ascii="宋体" w:hAnsi="宋体"/>
                <w:color w:val="auto"/>
                <w:sz w:val="24"/>
              </w:rPr>
              <w:t>。</w:t>
            </w:r>
            <w:r>
              <w:rPr>
                <w:rStyle w:val="34"/>
                <w:rFonts w:ascii="宋体" w:hAnsi="宋体"/>
                <w:b/>
                <w:bCs/>
                <w:color w:val="auto"/>
                <w:sz w:val="24"/>
              </w:rPr>
              <w:t>本项最高得1分</w:t>
            </w:r>
            <w:r>
              <w:rPr>
                <w:rStyle w:val="34"/>
                <w:rFonts w:hint="eastAsia" w:ascii="宋体" w:hAnsi="宋体"/>
                <w:b/>
                <w:bCs/>
                <w:color w:val="auto"/>
                <w:sz w:val="24"/>
              </w:rPr>
              <w:t>。</w:t>
            </w:r>
          </w:p>
          <w:p>
            <w:pPr>
              <w:snapToGrid w:val="0"/>
              <w:spacing w:line="440" w:lineRule="exact"/>
              <w:rPr>
                <w:rStyle w:val="34"/>
                <w:rFonts w:ascii="宋体" w:hAnsi="宋体"/>
                <w:color w:val="auto"/>
                <w:sz w:val="24"/>
              </w:rPr>
            </w:pPr>
            <w:r>
              <w:rPr>
                <w:rStyle w:val="34"/>
                <w:rFonts w:ascii="宋体" w:hAnsi="宋体"/>
                <w:color w:val="auto"/>
                <w:sz w:val="24"/>
              </w:rPr>
              <w:t>注：投标文件中需提供证书及中国国家认证认可监督管理委员会官网查询页面完整截图，否则不得分。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b/>
                <w:bCs/>
                <w:color w:val="auto"/>
                <w:sz w:val="24"/>
              </w:rPr>
            </w:pPr>
            <w:r>
              <w:rPr>
                <w:rStyle w:val="34"/>
                <w:rFonts w:ascii="宋体" w:hAnsi="宋体"/>
                <w:color w:val="auto"/>
                <w:sz w:val="24"/>
              </w:rPr>
              <w:t xml:space="preserve">投标人具有有效的 CMMI5 级资质证书得 </w:t>
            </w:r>
            <w:r>
              <w:rPr>
                <w:rStyle w:val="34"/>
                <w:rFonts w:hint="eastAsia" w:ascii="宋体" w:hAnsi="宋体"/>
                <w:color w:val="auto"/>
                <w:sz w:val="24"/>
              </w:rPr>
              <w:t>4</w:t>
            </w:r>
            <w:r>
              <w:rPr>
                <w:rStyle w:val="34"/>
                <w:rFonts w:ascii="宋体" w:hAnsi="宋体"/>
                <w:color w:val="auto"/>
                <w:sz w:val="24"/>
              </w:rPr>
              <w:t xml:space="preserve"> 分，具有有效的 CMMI4 级资质证书得 </w:t>
            </w:r>
            <w:r>
              <w:rPr>
                <w:rStyle w:val="34"/>
                <w:rFonts w:hint="eastAsia" w:ascii="宋体" w:hAnsi="宋体"/>
                <w:color w:val="auto"/>
                <w:sz w:val="24"/>
              </w:rPr>
              <w:t>3</w:t>
            </w:r>
            <w:r>
              <w:rPr>
                <w:rStyle w:val="34"/>
                <w:rFonts w:ascii="宋体" w:hAnsi="宋体"/>
                <w:color w:val="auto"/>
                <w:sz w:val="24"/>
              </w:rPr>
              <w:t xml:space="preserve">分，具有有效的 CMMI3 级资质证书得 </w:t>
            </w:r>
            <w:r>
              <w:rPr>
                <w:rStyle w:val="34"/>
                <w:rFonts w:hint="eastAsia" w:ascii="宋体" w:hAnsi="宋体"/>
                <w:color w:val="auto"/>
                <w:sz w:val="24"/>
              </w:rPr>
              <w:t>2</w:t>
            </w:r>
            <w:r>
              <w:rPr>
                <w:rStyle w:val="34"/>
                <w:rFonts w:ascii="宋体" w:hAnsi="宋体"/>
                <w:color w:val="auto"/>
                <w:sz w:val="24"/>
              </w:rPr>
              <w:t>分，CMMI2 级</w:t>
            </w:r>
            <w:r>
              <w:rPr>
                <w:rStyle w:val="34"/>
                <w:rFonts w:hint="eastAsia" w:ascii="宋体" w:hAnsi="宋体"/>
                <w:color w:val="auto"/>
                <w:sz w:val="24"/>
              </w:rPr>
              <w:t>得1分，其他</w:t>
            </w:r>
            <w:r>
              <w:rPr>
                <w:rStyle w:val="34"/>
                <w:rFonts w:ascii="宋体" w:hAnsi="宋体"/>
                <w:color w:val="auto"/>
                <w:sz w:val="24"/>
              </w:rPr>
              <w:t>不得分。</w:t>
            </w:r>
            <w:r>
              <w:rPr>
                <w:rStyle w:val="34"/>
                <w:rFonts w:ascii="宋体" w:hAnsi="宋体"/>
                <w:b/>
                <w:bCs/>
                <w:color w:val="auto"/>
                <w:sz w:val="24"/>
              </w:rPr>
              <w:t>本项最高得</w:t>
            </w:r>
            <w:r>
              <w:rPr>
                <w:rStyle w:val="34"/>
                <w:rFonts w:hint="eastAsia" w:ascii="宋体" w:hAnsi="宋体"/>
                <w:b/>
                <w:bCs/>
                <w:color w:val="auto"/>
                <w:sz w:val="24"/>
              </w:rPr>
              <w:t>4分。</w:t>
            </w:r>
          </w:p>
          <w:p>
            <w:pPr>
              <w:snapToGrid w:val="0"/>
              <w:spacing w:line="440" w:lineRule="exact"/>
              <w:rPr>
                <w:rStyle w:val="34"/>
                <w:rFonts w:ascii="宋体" w:hAnsi="宋体"/>
                <w:color w:val="auto"/>
                <w:sz w:val="24"/>
              </w:rPr>
            </w:pPr>
            <w:r>
              <w:rPr>
                <w:rStyle w:val="34"/>
                <w:rFonts w:ascii="宋体" w:hAnsi="宋体"/>
                <w:color w:val="auto"/>
                <w:sz w:val="24"/>
              </w:rPr>
              <w:t>注：</w:t>
            </w:r>
            <w:r>
              <w:rPr>
                <w:rStyle w:val="34"/>
                <w:rFonts w:hint="eastAsia" w:ascii="宋体" w:hAnsi="宋体"/>
                <w:color w:val="auto"/>
                <w:sz w:val="24"/>
              </w:rPr>
              <w:t>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hint="eastAsia" w:ascii="宋体" w:hAnsi="宋体"/>
                <w:color w:val="auto"/>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b/>
                <w:bCs/>
                <w:color w:val="auto"/>
                <w:sz w:val="24"/>
              </w:rPr>
            </w:pPr>
            <w:r>
              <w:rPr>
                <w:rStyle w:val="34"/>
                <w:rFonts w:ascii="宋体" w:hAnsi="宋体"/>
                <w:color w:val="auto"/>
                <w:sz w:val="24"/>
              </w:rPr>
              <w:t>投标人</w:t>
            </w:r>
            <w:r>
              <w:rPr>
                <w:rStyle w:val="34"/>
                <w:rFonts w:hint="eastAsia" w:ascii="宋体" w:hAnsi="宋体"/>
                <w:color w:val="auto"/>
                <w:sz w:val="24"/>
              </w:rPr>
              <w:t>同时</w:t>
            </w:r>
            <w:r>
              <w:rPr>
                <w:rStyle w:val="34"/>
                <w:rFonts w:ascii="宋体" w:hAnsi="宋体"/>
                <w:color w:val="auto"/>
                <w:sz w:val="24"/>
              </w:rPr>
              <w:t>具有高新技术企业证书、软件企业证书的</w:t>
            </w:r>
            <w:r>
              <w:rPr>
                <w:rStyle w:val="34"/>
                <w:rFonts w:hint="eastAsia" w:ascii="宋体" w:hAnsi="宋体"/>
                <w:color w:val="auto"/>
                <w:sz w:val="24"/>
              </w:rPr>
              <w:t>得2分，否则不得分。</w:t>
            </w:r>
            <w:r>
              <w:rPr>
                <w:rStyle w:val="34"/>
                <w:rFonts w:hint="eastAsia" w:ascii="宋体" w:hAnsi="宋体"/>
                <w:b/>
                <w:bCs/>
                <w:color w:val="auto"/>
                <w:sz w:val="24"/>
              </w:rPr>
              <w:t>本</w:t>
            </w:r>
            <w:r>
              <w:rPr>
                <w:rStyle w:val="34"/>
                <w:rFonts w:ascii="宋体" w:hAnsi="宋体"/>
                <w:b/>
                <w:bCs/>
                <w:color w:val="auto"/>
                <w:sz w:val="24"/>
              </w:rPr>
              <w:t>项最高得</w:t>
            </w:r>
            <w:r>
              <w:rPr>
                <w:rStyle w:val="34"/>
                <w:rFonts w:hint="eastAsia" w:ascii="宋体" w:hAnsi="宋体"/>
                <w:b/>
                <w:bCs/>
                <w:color w:val="auto"/>
                <w:sz w:val="24"/>
              </w:rPr>
              <w:t>2分。</w:t>
            </w:r>
          </w:p>
          <w:p>
            <w:pPr>
              <w:snapToGrid w:val="0"/>
              <w:spacing w:line="440" w:lineRule="exact"/>
              <w:rPr>
                <w:rStyle w:val="34"/>
                <w:rFonts w:ascii="宋体" w:hAnsi="宋体"/>
                <w:color w:val="auto"/>
                <w:sz w:val="24"/>
              </w:rPr>
            </w:pPr>
            <w:r>
              <w:rPr>
                <w:rStyle w:val="34"/>
                <w:rFonts w:ascii="宋体" w:hAnsi="宋体"/>
                <w:color w:val="auto"/>
                <w:sz w:val="24"/>
              </w:rPr>
              <w:t>注：</w:t>
            </w:r>
            <w:r>
              <w:rPr>
                <w:rStyle w:val="34"/>
                <w:rFonts w:hint="eastAsia" w:ascii="宋体" w:hAnsi="宋体"/>
                <w:color w:val="auto"/>
                <w:sz w:val="24"/>
              </w:rPr>
              <w:t>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2017年1月1日至今得中国地理信息百强企业证书的，有一个得0.5分，</w:t>
            </w:r>
            <w:r>
              <w:rPr>
                <w:rStyle w:val="34"/>
                <w:rFonts w:ascii="宋体" w:hAnsi="宋体"/>
                <w:b/>
                <w:bCs/>
                <w:color w:val="auto"/>
                <w:sz w:val="24"/>
              </w:rPr>
              <w:t>本项最高得</w:t>
            </w:r>
            <w:r>
              <w:rPr>
                <w:rStyle w:val="34"/>
                <w:rFonts w:hint="eastAsia" w:ascii="宋体" w:hAnsi="宋体"/>
                <w:b/>
                <w:bCs/>
                <w:color w:val="auto"/>
                <w:sz w:val="24"/>
              </w:rPr>
              <w:t>2分。</w:t>
            </w:r>
            <w:r>
              <w:rPr>
                <w:rStyle w:val="34"/>
                <w:rFonts w:ascii="宋体" w:hAnsi="宋体"/>
                <w:color w:val="auto"/>
                <w:sz w:val="24"/>
              </w:rPr>
              <w:t>注：</w:t>
            </w:r>
            <w:r>
              <w:rPr>
                <w:rStyle w:val="34"/>
                <w:rFonts w:hint="eastAsia" w:ascii="宋体" w:hAnsi="宋体"/>
                <w:color w:val="auto"/>
                <w:sz w:val="24"/>
              </w:rPr>
              <w:t>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7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软件著作权</w:t>
            </w:r>
            <w:r>
              <w:rPr>
                <w:rStyle w:val="34"/>
                <w:rFonts w:hint="eastAsia" w:ascii="宋体" w:hAnsi="宋体"/>
                <w:color w:val="auto"/>
                <w:sz w:val="24"/>
              </w:rPr>
              <w:t>（2分）</w:t>
            </w:r>
          </w:p>
        </w:tc>
        <w:tc>
          <w:tcPr>
            <w:tcW w:w="6451" w:type="dxa"/>
            <w:tcBorders>
              <w:top w:val="single" w:color="000000" w:sz="4" w:space="0"/>
              <w:left w:val="single" w:color="000000" w:sz="4" w:space="0"/>
              <w:bottom w:val="single" w:color="000000" w:sz="4" w:space="0"/>
              <w:right w:val="single" w:color="000000" w:sz="4" w:space="0"/>
            </w:tcBorders>
            <w:vAlign w:val="center"/>
          </w:tcPr>
          <w:p>
            <w:pPr>
              <w:pStyle w:val="21"/>
              <w:ind w:firstLine="0" w:firstLineChars="0"/>
              <w:rPr>
                <w:color w:val="auto"/>
              </w:rPr>
            </w:pPr>
            <w:r>
              <w:rPr>
                <w:rStyle w:val="34"/>
                <w:rFonts w:ascii="宋体" w:hAnsi="宋体" w:eastAsia="宋体"/>
                <w:color w:val="auto"/>
                <w:sz w:val="24"/>
                <w:szCs w:val="24"/>
              </w:rPr>
              <w:t>投标人具有管线测量系统软件、城市地下管线施工信息云平台、数据质量检查系统软件、综合管线信息管理平台软件相关著作权的，有一个得0.5分，</w:t>
            </w:r>
            <w:r>
              <w:rPr>
                <w:rStyle w:val="34"/>
                <w:rFonts w:ascii="宋体" w:hAnsi="宋体" w:eastAsia="宋体"/>
                <w:b/>
                <w:bCs/>
                <w:color w:val="auto"/>
                <w:sz w:val="24"/>
                <w:szCs w:val="24"/>
              </w:rPr>
              <w:t>本项最高得</w:t>
            </w:r>
            <w:r>
              <w:rPr>
                <w:rStyle w:val="34"/>
                <w:rFonts w:hint="eastAsia" w:ascii="宋体" w:hAnsi="宋体" w:eastAsia="宋体"/>
                <w:b/>
                <w:bCs/>
                <w:color w:val="auto"/>
                <w:sz w:val="24"/>
                <w:szCs w:val="24"/>
              </w:rPr>
              <w:t>2分。</w:t>
            </w:r>
            <w:r>
              <w:rPr>
                <w:rStyle w:val="34"/>
                <w:rFonts w:hint="eastAsia" w:ascii="宋体" w:hAnsi="宋体" w:eastAsia="宋体"/>
                <w:color w:val="auto"/>
                <w:sz w:val="24"/>
                <w:szCs w:val="24"/>
              </w:rPr>
              <w:t>注：需提供证明材料备查。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Style w:val="34"/>
                <w:rFonts w:ascii="宋体" w:hAnsi="宋体" w:cs="Times New Roman"/>
                <w:bCs/>
                <w:color w:val="auto"/>
                <w:sz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获奖</w:t>
            </w:r>
          </w:p>
          <w:p>
            <w:pPr>
              <w:snapToGrid w:val="0"/>
              <w:spacing w:line="440" w:lineRule="exact"/>
              <w:jc w:val="center"/>
              <w:rPr>
                <w:rStyle w:val="34"/>
                <w:rFonts w:ascii="宋体" w:hAnsi="宋体"/>
                <w:color w:val="auto"/>
                <w:sz w:val="24"/>
              </w:rPr>
            </w:pPr>
            <w:r>
              <w:rPr>
                <w:rStyle w:val="34"/>
                <w:rFonts w:hint="eastAsia" w:ascii="宋体" w:hAnsi="宋体"/>
                <w:color w:val="auto"/>
                <w:sz w:val="24"/>
              </w:rPr>
              <w:t>（2分）</w:t>
            </w:r>
          </w:p>
        </w:tc>
        <w:tc>
          <w:tcPr>
            <w:tcW w:w="645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Style w:val="34"/>
                <w:rFonts w:ascii="宋体" w:hAnsi="宋体"/>
                <w:color w:val="auto"/>
                <w:sz w:val="24"/>
              </w:rPr>
            </w:pPr>
            <w:r>
              <w:rPr>
                <w:rStyle w:val="34"/>
                <w:rFonts w:ascii="宋体" w:hAnsi="宋体"/>
                <w:color w:val="auto"/>
                <w:sz w:val="24"/>
              </w:rPr>
              <w:t>2017年以来投标人的管线（或管网）普查项目获得过省级奖项的得1分；获得过国家级奖项的得2分，</w:t>
            </w:r>
            <w:r>
              <w:rPr>
                <w:rStyle w:val="34"/>
                <w:rFonts w:ascii="宋体" w:hAnsi="宋体"/>
                <w:b/>
                <w:bCs/>
                <w:color w:val="auto"/>
                <w:sz w:val="24"/>
              </w:rPr>
              <w:t>本项最高得2分</w:t>
            </w:r>
            <w:r>
              <w:rPr>
                <w:rStyle w:val="34"/>
                <w:rFonts w:ascii="宋体" w:hAnsi="宋体"/>
                <w:color w:val="auto"/>
                <w:sz w:val="24"/>
              </w:rPr>
              <w:t>。注：</w:t>
            </w:r>
            <w:r>
              <w:rPr>
                <w:rStyle w:val="34"/>
                <w:rFonts w:hint="eastAsia" w:ascii="宋体" w:hAnsi="宋体"/>
                <w:color w:val="auto"/>
                <w:sz w:val="24"/>
              </w:rPr>
              <w:t>需提供证明材料备查。</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4"/>
                <w:rFonts w:ascii="宋体" w:hAnsi="宋体"/>
                <w:color w:val="auto"/>
                <w:sz w:val="24"/>
              </w:rPr>
            </w:pPr>
            <w:r>
              <w:rPr>
                <w:rStyle w:val="34"/>
                <w:rFonts w:ascii="宋体" w:hAnsi="宋体"/>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82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cs="Times New Roman"/>
                <w:bCs/>
                <w:color w:val="auto"/>
                <w:sz w:val="24"/>
              </w:rPr>
            </w:pPr>
            <w:r>
              <w:rPr>
                <w:rStyle w:val="34"/>
                <w:rFonts w:ascii="宋体" w:hAnsi="宋体" w:cs="Times New Roman"/>
                <w:bCs/>
                <w:color w:val="auto"/>
                <w:sz w:val="24"/>
              </w:rPr>
              <w:t>总分</w:t>
            </w:r>
          </w:p>
        </w:tc>
        <w:tc>
          <w:tcPr>
            <w:tcW w:w="53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jc w:val="center"/>
              <w:rPr>
                <w:rStyle w:val="34"/>
                <w:rFonts w:ascii="宋体" w:cs="Times New Roman"/>
                <w:bCs/>
                <w:color w:val="auto"/>
                <w:sz w:val="24"/>
              </w:rPr>
            </w:pPr>
            <w:r>
              <w:rPr>
                <w:rStyle w:val="34"/>
                <w:rFonts w:ascii="宋体" w:hAnsi="宋体" w:cs="Times New Roman"/>
                <w:bCs/>
                <w:color w:val="auto"/>
                <w:sz w:val="24"/>
              </w:rPr>
              <w:fldChar w:fldCharType="begin"/>
            </w:r>
            <w:r>
              <w:rPr>
                <w:rStyle w:val="34"/>
                <w:rFonts w:ascii="宋体" w:hAnsi="宋体" w:cs="Times New Roman"/>
                <w:bCs/>
                <w:color w:val="auto"/>
                <w:sz w:val="24"/>
              </w:rPr>
              <w:instrText xml:space="preserve"> =SUM(ABOVE) </w:instrText>
            </w:r>
            <w:r>
              <w:rPr>
                <w:rStyle w:val="34"/>
                <w:rFonts w:ascii="宋体" w:hAnsi="宋体" w:cs="Times New Roman"/>
                <w:bCs/>
                <w:color w:val="auto"/>
                <w:sz w:val="24"/>
              </w:rPr>
              <w:fldChar w:fldCharType="separate"/>
            </w:r>
            <w:r>
              <w:rPr>
                <w:rStyle w:val="34"/>
                <w:rFonts w:ascii="宋体" w:hAnsi="宋体" w:cs="Times New Roman"/>
                <w:bCs/>
                <w:color w:val="auto"/>
                <w:sz w:val="24"/>
              </w:rPr>
              <w:t>100</w:t>
            </w:r>
            <w:r>
              <w:rPr>
                <w:rStyle w:val="34"/>
                <w:rFonts w:ascii="宋体" w:hAnsi="宋体" w:cs="Times New Roman"/>
                <w:bCs/>
                <w:color w:val="auto"/>
                <w:sz w:val="24"/>
              </w:rPr>
              <w:fldChar w:fldCharType="end"/>
            </w:r>
          </w:p>
        </w:tc>
      </w:tr>
    </w:tbl>
    <w:p>
      <w:pPr>
        <w:snapToGrid w:val="0"/>
        <w:spacing w:line="440" w:lineRule="exact"/>
        <w:ind w:firstLine="482" w:firstLineChars="200"/>
        <w:jc w:val="left"/>
        <w:rPr>
          <w:rStyle w:val="34"/>
          <w:rFonts w:ascii="宋体" w:hAnsi="宋体" w:cs="Calibri"/>
          <w:b/>
          <w:bCs/>
          <w:color w:val="auto"/>
          <w:kern w:val="0"/>
          <w:sz w:val="24"/>
        </w:rPr>
      </w:pPr>
      <w:r>
        <w:rPr>
          <w:rStyle w:val="34"/>
          <w:rFonts w:ascii="宋体" w:hAnsi="宋体" w:cs="Calibri"/>
          <w:b/>
          <w:bCs/>
          <w:color w:val="auto"/>
          <w:kern w:val="0"/>
          <w:sz w:val="24"/>
        </w:rPr>
        <w:t>注：以上所有证明材料，</w:t>
      </w:r>
      <w:r>
        <w:rPr>
          <w:rStyle w:val="34"/>
          <w:rFonts w:hint="eastAsia" w:ascii="宋体" w:hAnsi="宋体" w:cs="Calibri"/>
          <w:b/>
          <w:bCs/>
          <w:color w:val="auto"/>
          <w:kern w:val="0"/>
          <w:sz w:val="24"/>
        </w:rPr>
        <w:t>需提供原件或网上可查询的截图或公证件。</w:t>
      </w:r>
    </w:p>
    <w:p>
      <w:pPr>
        <w:snapToGrid w:val="0"/>
        <w:spacing w:line="440" w:lineRule="exact"/>
        <w:ind w:firstLine="480" w:firstLineChars="200"/>
        <w:jc w:val="left"/>
        <w:rPr>
          <w:rStyle w:val="34"/>
          <w:color w:val="auto"/>
          <w:sz w:val="24"/>
        </w:rPr>
      </w:pPr>
      <w:r>
        <w:rPr>
          <w:rStyle w:val="34"/>
          <w:color w:val="auto"/>
          <w:sz w:val="24"/>
          <w:highlight w:val="white"/>
        </w:rPr>
        <w:t>评标采用综合评分法，评标委员会对满足招标文件实质要求的投标文件，按照本章规定的评分标准进行打分，并按得分由高到低顺序推荐中标候选人。</w:t>
      </w:r>
    </w:p>
    <w:p>
      <w:pPr>
        <w:pStyle w:val="25"/>
        <w:snapToGrid w:val="0"/>
        <w:spacing w:before="0" w:after="0" w:line="440" w:lineRule="exact"/>
        <w:rPr>
          <w:rStyle w:val="34"/>
          <w:rFonts w:ascii="宋体" w:hAnsi="宋体"/>
          <w:b w:val="0"/>
          <w:color w:val="auto"/>
          <w:sz w:val="24"/>
          <w:szCs w:val="24"/>
        </w:rPr>
      </w:pPr>
      <w:r>
        <w:rPr>
          <w:rStyle w:val="34"/>
          <w:rFonts w:ascii="宋体" w:hAnsi="宋体"/>
          <w:b w:val="0"/>
          <w:color w:val="auto"/>
          <w:sz w:val="24"/>
          <w:szCs w:val="24"/>
          <w:highlight w:val="white"/>
        </w:rPr>
        <w:t>2. 评审标准</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2.1 投标文件初审</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highlight w:val="white"/>
        </w:rPr>
        <w:t>2.1.1 资格性检查：见评标办法前附表。</w:t>
      </w:r>
    </w:p>
    <w:p>
      <w:pPr>
        <w:snapToGrid w:val="0"/>
        <w:spacing w:line="440" w:lineRule="exact"/>
        <w:ind w:firstLine="240" w:firstLineChars="100"/>
        <w:jc w:val="left"/>
        <w:rPr>
          <w:rStyle w:val="34"/>
          <w:color w:val="auto"/>
          <w:sz w:val="24"/>
        </w:rPr>
      </w:pPr>
      <w:r>
        <w:rPr>
          <w:rStyle w:val="34"/>
          <w:rFonts w:ascii="宋体" w:hAnsi="宋体"/>
          <w:color w:val="auto"/>
          <w:sz w:val="24"/>
          <w:highlight w:val="white"/>
        </w:rPr>
        <w:t>2.1.2 符合性检查：见评标办法前附表</w:t>
      </w:r>
      <w:r>
        <w:rPr>
          <w:rStyle w:val="34"/>
          <w:color w:val="auto"/>
          <w:sz w:val="24"/>
          <w:highlight w:val="white"/>
        </w:rPr>
        <w:t>。</w:t>
      </w:r>
    </w:p>
    <w:p>
      <w:pPr>
        <w:pStyle w:val="26"/>
        <w:snapToGrid w:val="0"/>
        <w:spacing w:before="0" w:after="0" w:line="440" w:lineRule="exact"/>
        <w:jc w:val="left"/>
        <w:rPr>
          <w:rStyle w:val="34"/>
          <w:rFonts w:ascii="宋体" w:hAnsi="宋体"/>
          <w:b w:val="0"/>
          <w:color w:val="auto"/>
          <w:sz w:val="24"/>
          <w:szCs w:val="24"/>
          <w:highlight w:val="white"/>
        </w:rPr>
      </w:pPr>
      <w:r>
        <w:rPr>
          <w:rStyle w:val="34"/>
          <w:rFonts w:ascii="宋体" w:hAnsi="宋体"/>
          <w:b w:val="0"/>
          <w:color w:val="auto"/>
          <w:sz w:val="24"/>
          <w:szCs w:val="24"/>
          <w:highlight w:val="white"/>
        </w:rPr>
        <w:t>2.2 投标文件计算错误的修正</w:t>
      </w:r>
    </w:p>
    <w:p>
      <w:pPr>
        <w:snapToGrid w:val="0"/>
        <w:spacing w:line="440" w:lineRule="exact"/>
        <w:ind w:firstLine="240" w:firstLineChars="100"/>
        <w:jc w:val="left"/>
        <w:rPr>
          <w:rStyle w:val="34"/>
          <w:rFonts w:ascii="宋体" w:hAnsi="宋体"/>
          <w:color w:val="auto"/>
          <w:kern w:val="0"/>
          <w:sz w:val="24"/>
        </w:rPr>
      </w:pPr>
      <w:r>
        <w:rPr>
          <w:rStyle w:val="34"/>
          <w:rFonts w:ascii="宋体" w:hAnsi="宋体"/>
          <w:color w:val="auto"/>
          <w:kern w:val="0"/>
          <w:sz w:val="24"/>
        </w:rPr>
        <w:t>2.2.1计算错误的修正原则：</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投标文件的大写金额和小写金额不一致的，以大写金额为准；总价金额与按单价汇总金额不一致的，以单价金额计算结果为准；单价金额小数点有明显错位的，应以总价为准，并修改单价。</w:t>
      </w:r>
    </w:p>
    <w:p>
      <w:pPr>
        <w:snapToGrid w:val="0"/>
        <w:spacing w:line="440" w:lineRule="exact"/>
        <w:ind w:firstLine="240" w:firstLineChars="100"/>
        <w:jc w:val="left"/>
        <w:rPr>
          <w:rStyle w:val="34"/>
          <w:rFonts w:ascii="宋体" w:hAnsi="宋体"/>
          <w:color w:val="auto"/>
          <w:sz w:val="24"/>
        </w:rPr>
      </w:pPr>
      <w:r>
        <w:rPr>
          <w:rStyle w:val="34"/>
          <w:rFonts w:ascii="宋体" w:hAnsi="宋体"/>
          <w:color w:val="auto"/>
          <w:sz w:val="24"/>
        </w:rPr>
        <w:t>2.2.2按照上述的原则和方法调整或者修正投标文件的投标报价，投标人同意后，调整后的投标报价对投标人起约束作用，如投标人不接受修正后的投标报价，</w:t>
      </w:r>
      <w:r>
        <w:rPr>
          <w:rStyle w:val="34"/>
          <w:rFonts w:ascii="宋体" w:hAnsi="宋体"/>
          <w:color w:val="auto"/>
          <w:kern w:val="0"/>
          <w:sz w:val="24"/>
        </w:rPr>
        <w:t>其投标将被视为无效投标或确定为投标无效，且不影响评标工作。</w:t>
      </w:r>
    </w:p>
    <w:p>
      <w:pPr>
        <w:pStyle w:val="26"/>
        <w:snapToGrid w:val="0"/>
        <w:spacing w:before="0" w:after="0" w:line="440" w:lineRule="exact"/>
        <w:jc w:val="left"/>
        <w:rPr>
          <w:rStyle w:val="34"/>
          <w:rFonts w:ascii="宋体" w:hAnsi="宋体"/>
          <w:b w:val="0"/>
          <w:color w:val="auto"/>
          <w:sz w:val="24"/>
          <w:szCs w:val="24"/>
          <w:highlight w:val="white"/>
        </w:rPr>
      </w:pPr>
      <w:r>
        <w:rPr>
          <w:rStyle w:val="34"/>
          <w:rFonts w:ascii="宋体" w:hAnsi="宋体"/>
          <w:color w:val="auto"/>
          <w:sz w:val="24"/>
          <w:szCs w:val="24"/>
          <w:highlight w:val="white"/>
        </w:rPr>
        <w:t>2.3</w:t>
      </w:r>
      <w:r>
        <w:rPr>
          <w:rStyle w:val="34"/>
          <w:rFonts w:ascii="宋体" w:hAnsi="宋体"/>
          <w:b w:val="0"/>
          <w:color w:val="auto"/>
          <w:sz w:val="24"/>
          <w:szCs w:val="24"/>
          <w:highlight w:val="white"/>
        </w:rPr>
        <w:t>澄清、说明或补正</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2.3.1评标委员会在对投标文件的有效性、完整性和响应程度进行审查时，可以要求投标人对投标文件中含义不明确、同类问题表述不一致或者有明显文字描述错误的内容等作出必要的澄清、说明或者更正。投标人的澄清、说明或者更正不得超出投标文件的范围或者改变投标文件的实质性内容。</w:t>
      </w:r>
      <w:r>
        <w:rPr>
          <w:rStyle w:val="34"/>
          <w:rFonts w:ascii="宋体" w:hAnsi="宋体" w:cs="Times New Roman"/>
          <w:bCs/>
          <w:color w:val="auto"/>
          <w:sz w:val="24"/>
        </w:rPr>
        <w:t>投标人的书面澄清材料作为投标文件的补充。</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2.3.2评标委员会要求投标人澄清、说明或者更正投标文件应当以书面形式作出。投标人的澄清、说明或者更正应当由法定代表人或其授权代表签字或者加盖公章。由授权代表签字的，应当附法定代表人授权书。</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2.3.3评标委员会不会接受投标人主动提出的澄清、说明或补正。</w:t>
      </w:r>
    </w:p>
    <w:p>
      <w:pPr>
        <w:snapToGrid w:val="0"/>
        <w:spacing w:line="440" w:lineRule="exact"/>
        <w:ind w:firstLine="480" w:firstLineChars="200"/>
        <w:jc w:val="left"/>
        <w:rPr>
          <w:rStyle w:val="34"/>
          <w:rFonts w:ascii="宋体" w:hAnsi="宋体" w:cs="Times New Roman"/>
          <w:bCs/>
          <w:color w:val="auto"/>
          <w:sz w:val="24"/>
        </w:rPr>
      </w:pPr>
      <w:r>
        <w:rPr>
          <w:rStyle w:val="34"/>
          <w:rFonts w:ascii="宋体" w:hAnsi="宋体" w:cs="Times New Roman"/>
          <w:bCs/>
          <w:color w:val="auto"/>
          <w:sz w:val="24"/>
        </w:rPr>
        <w:t>2.3.4评标委员会在评标中发现的计算错误进行的修改不在此列。</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2.4综合评分</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2.4.1综合评分的内容</w:t>
      </w:r>
      <w:r>
        <w:rPr>
          <w:rStyle w:val="34"/>
          <w:rFonts w:ascii="宋体" w:hAnsi="宋体"/>
          <w:color w:val="auto"/>
          <w:sz w:val="24"/>
          <w:highlight w:val="white"/>
        </w:rPr>
        <w:t>见评标办法前附表，</w:t>
      </w:r>
      <w:r>
        <w:rPr>
          <w:rStyle w:val="34"/>
          <w:rFonts w:ascii="宋体" w:hAnsi="宋体" w:cs="Times New Roman"/>
          <w:bCs/>
          <w:color w:val="auto"/>
          <w:sz w:val="24"/>
          <w:highlight w:val="white"/>
        </w:rPr>
        <w:t>满分为100分，对资格性检查和符合性检查合格的投标文件综合比较与评价。</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根据《政府采购促进中小企业发展暂行办法》规定，对小型和微型企业的产品价格给予10%的扣除，扣除后的价格参与评审。</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须提供的材料：</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1.投标服务是由投标人提供的，投标人提供《中小企业声明函》（格式附后）；</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2.投标服务是由其他中小企业提供的，投标人提供其他企业的《中小企业声明函》（格式附后）</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2.4.2评标委员会各成员独立进行评价、打分。评审结束后，将评审结果递交给评审组长。</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2.4.3评审组长对各评委打分情况进行核查及复核。除出现下列情形外，评委不得要求修改已递交的评审结果：</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（1）资格性检查认定错误；</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（2）分值汇总计算错误；</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（3）分项评分超出评分标准范围；</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（4）客观分评分不一致；</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（5）政策功能价格计算错误的；</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（6）经评标委员会一致认定评分畸高或畸低。</w:t>
      </w:r>
    </w:p>
    <w:p>
      <w:pPr>
        <w:snapToGrid w:val="0"/>
        <w:spacing w:line="440" w:lineRule="exact"/>
        <w:ind w:firstLine="240" w:firstLineChars="100"/>
        <w:jc w:val="left"/>
        <w:rPr>
          <w:rStyle w:val="34"/>
          <w:rFonts w:ascii="宋体" w:hAnsi="宋体" w:cs="Times New Roman"/>
          <w:bCs/>
          <w:color w:val="auto"/>
          <w:sz w:val="24"/>
          <w:highlight w:val="white"/>
        </w:rPr>
      </w:pPr>
      <w:r>
        <w:rPr>
          <w:rStyle w:val="34"/>
          <w:rFonts w:ascii="宋体" w:hAnsi="宋体" w:cs="Times New Roman"/>
          <w:bCs/>
          <w:color w:val="auto"/>
          <w:sz w:val="24"/>
          <w:highlight w:val="white"/>
        </w:rPr>
        <w:t>2.4.</w:t>
      </w:r>
      <w:r>
        <w:rPr>
          <w:rStyle w:val="34"/>
          <w:rFonts w:ascii="宋体" w:hAnsi="宋体" w:cs="Times New Roman"/>
          <w:bCs/>
          <w:color w:val="auto"/>
          <w:sz w:val="24"/>
        </w:rPr>
        <w:t>4投标人的最终得分为所有评委打分的平均值。</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highlight w:val="white"/>
        </w:rPr>
        <w:t>2.5记名投票</w:t>
      </w:r>
    </w:p>
    <w:p>
      <w:pPr>
        <w:snapToGrid w:val="0"/>
        <w:spacing w:line="440" w:lineRule="exact"/>
        <w:ind w:firstLine="480" w:firstLineChars="200"/>
        <w:jc w:val="left"/>
        <w:rPr>
          <w:rStyle w:val="34"/>
          <w:color w:val="auto"/>
          <w:sz w:val="24"/>
          <w:highlight w:val="white"/>
        </w:rPr>
      </w:pPr>
      <w:r>
        <w:rPr>
          <w:rStyle w:val="34"/>
          <w:rFonts w:ascii="宋体" w:hAnsi="宋体"/>
          <w:color w:val="auto"/>
          <w:sz w:val="24"/>
        </w:rPr>
        <w:t>在评审过程中，需评标委员会就某项定性的评审结论做出表决的，由评标委员会全体成员按照少数服从多数的原则，以记名投票方式表决。</w:t>
      </w:r>
    </w:p>
    <w:p>
      <w:pPr>
        <w:pStyle w:val="26"/>
        <w:snapToGrid w:val="0"/>
        <w:spacing w:before="0" w:after="0" w:line="440" w:lineRule="exact"/>
        <w:jc w:val="left"/>
        <w:rPr>
          <w:rStyle w:val="34"/>
          <w:rFonts w:ascii="宋体" w:hAnsi="宋体"/>
          <w:b w:val="0"/>
          <w:color w:val="auto"/>
          <w:sz w:val="24"/>
          <w:szCs w:val="24"/>
          <w:highlight w:val="white"/>
        </w:rPr>
      </w:pPr>
      <w:r>
        <w:rPr>
          <w:rStyle w:val="34"/>
          <w:rFonts w:ascii="宋体" w:hAnsi="宋体"/>
          <w:b w:val="0"/>
          <w:color w:val="auto"/>
          <w:sz w:val="24"/>
          <w:szCs w:val="24"/>
          <w:highlight w:val="white"/>
        </w:rPr>
        <w:t>2.6推荐中标候选人</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highlight w:val="white"/>
        </w:rPr>
        <w:t>评标委员会在推荐中标候选人时，按照最终得分由高至低的顺序，推荐1-3名中标候选人。</w:t>
      </w:r>
      <w:r>
        <w:rPr>
          <w:rStyle w:val="34"/>
          <w:rFonts w:ascii="宋体" w:hAnsi="宋体"/>
          <w:color w:val="auto"/>
          <w:sz w:val="24"/>
        </w:rPr>
        <w:t>得分相同时，投标报价低的排名优先；如投标报价也相同，按照评审因素的量化指标评审得分最高的投标人为排名第一的中标候选人。</w:t>
      </w:r>
    </w:p>
    <w:p>
      <w:pPr>
        <w:pStyle w:val="26"/>
        <w:snapToGrid w:val="0"/>
        <w:spacing w:before="0" w:after="0" w:line="440" w:lineRule="exact"/>
        <w:jc w:val="left"/>
        <w:rPr>
          <w:rStyle w:val="34"/>
          <w:rFonts w:ascii="宋体" w:hAnsi="宋体"/>
          <w:b w:val="0"/>
          <w:color w:val="auto"/>
          <w:sz w:val="24"/>
          <w:szCs w:val="24"/>
          <w:highlight w:val="white"/>
        </w:rPr>
      </w:pPr>
      <w:r>
        <w:rPr>
          <w:rStyle w:val="34"/>
          <w:rFonts w:ascii="宋体" w:hAnsi="宋体"/>
          <w:b w:val="0"/>
          <w:color w:val="auto"/>
          <w:sz w:val="24"/>
          <w:szCs w:val="24"/>
          <w:highlight w:val="white"/>
        </w:rPr>
        <w:t>2.7编写评标报告</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highlight w:val="white"/>
        </w:rPr>
        <w:t>2.7.1评标委员会</w:t>
      </w:r>
      <w:r>
        <w:rPr>
          <w:rStyle w:val="34"/>
          <w:rFonts w:ascii="宋体" w:hAnsi="宋体"/>
          <w:color w:val="auto"/>
          <w:sz w:val="24"/>
        </w:rPr>
        <w:t>根据全体评标成员签字的原始评标记录和评标结果编写评标报告，其主要内容包括：</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（1）招标公告刊登的媒体名称、开标日期和地点；</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（2）获取招标文件的投标人名单和评标委员会成员名单；</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（3）评标方法和标准；</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（4）开标记录和评标情况及说明，包括投标无效投标人名单及原因；</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（5）评标结果和中标候选供应商排序表；</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（6）评标委员会的授标建议。</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2.7.2评标报告应当由评标委员会全体人员签字认可。评标委员会成员对评标报告有异议的，应当在报告上签署不同意见并说明理由，由评标委员会书面记录相关情况。评标委员会成员拒绝在报告上签字又不书面说明其不同意见和理由的，视为同意评标报告。</w:t>
      </w:r>
    </w:p>
    <w:p>
      <w:pPr>
        <w:pStyle w:val="21"/>
        <w:jc w:val="center"/>
        <w:rPr>
          <w:rStyle w:val="34"/>
          <w:color w:val="auto"/>
        </w:rPr>
      </w:pPr>
      <w:r>
        <w:rPr>
          <w:rStyle w:val="34"/>
          <w:rFonts w:hint="eastAsia" w:ascii="宋体" w:hAnsi="宋体"/>
          <w:color w:val="auto"/>
          <w:sz w:val="24"/>
        </w:rPr>
        <w:br w:type="page"/>
      </w:r>
      <w:r>
        <w:rPr>
          <w:rStyle w:val="34"/>
          <w:color w:val="auto"/>
        </w:rPr>
        <w:t>第四章 合同条款</w:t>
      </w:r>
    </w:p>
    <w:p>
      <w:pPr>
        <w:snapToGrid w:val="0"/>
        <w:spacing w:line="440" w:lineRule="exact"/>
        <w:ind w:firstLine="561"/>
        <w:jc w:val="left"/>
        <w:rPr>
          <w:rStyle w:val="34"/>
          <w:color w:val="auto"/>
          <w:szCs w:val="21"/>
        </w:rPr>
      </w:pPr>
    </w:p>
    <w:p>
      <w:pPr>
        <w:snapToGrid w:val="0"/>
        <w:spacing w:line="440" w:lineRule="exact"/>
        <w:ind w:firstLine="561"/>
        <w:jc w:val="left"/>
        <w:rPr>
          <w:rStyle w:val="34"/>
          <w:color w:val="auto"/>
          <w:sz w:val="24"/>
        </w:rPr>
      </w:pPr>
      <w:r>
        <w:rPr>
          <w:rStyle w:val="34"/>
          <w:color w:val="auto"/>
          <w:sz w:val="24"/>
        </w:rPr>
        <w:t xml:space="preserve">合同编号：                              </w:t>
      </w:r>
    </w:p>
    <w:p>
      <w:pPr>
        <w:snapToGrid w:val="0"/>
        <w:spacing w:line="440" w:lineRule="exact"/>
        <w:ind w:firstLine="561"/>
        <w:jc w:val="left"/>
        <w:rPr>
          <w:rStyle w:val="34"/>
          <w:color w:val="auto"/>
          <w:sz w:val="24"/>
        </w:rPr>
      </w:pPr>
      <w:r>
        <w:rPr>
          <w:rStyle w:val="34"/>
          <w:color w:val="auto"/>
          <w:sz w:val="24"/>
        </w:rPr>
        <w:t xml:space="preserve">项目名称：                              </w:t>
      </w:r>
    </w:p>
    <w:p>
      <w:pPr>
        <w:snapToGrid w:val="0"/>
        <w:spacing w:line="440" w:lineRule="exact"/>
        <w:ind w:firstLine="561"/>
        <w:jc w:val="left"/>
        <w:rPr>
          <w:rStyle w:val="34"/>
          <w:color w:val="auto"/>
          <w:sz w:val="24"/>
        </w:rPr>
      </w:pPr>
      <w:r>
        <w:rPr>
          <w:rStyle w:val="34"/>
          <w:color w:val="auto"/>
          <w:sz w:val="24"/>
        </w:rPr>
        <w:t xml:space="preserve">使用单位：                              </w:t>
      </w:r>
    </w:p>
    <w:p>
      <w:pPr>
        <w:snapToGrid w:val="0"/>
        <w:spacing w:line="440" w:lineRule="exact"/>
        <w:ind w:firstLine="561"/>
        <w:jc w:val="left"/>
        <w:rPr>
          <w:rStyle w:val="34"/>
          <w:color w:val="auto"/>
          <w:sz w:val="24"/>
        </w:rPr>
      </w:pPr>
      <w:r>
        <w:rPr>
          <w:rStyle w:val="34"/>
          <w:color w:val="auto"/>
          <w:sz w:val="24"/>
        </w:rPr>
        <w:t xml:space="preserve">供货单位：                              </w:t>
      </w:r>
    </w:p>
    <w:p>
      <w:pPr>
        <w:snapToGrid w:val="0"/>
        <w:spacing w:line="440" w:lineRule="exact"/>
        <w:ind w:firstLine="561"/>
        <w:jc w:val="left"/>
        <w:rPr>
          <w:rStyle w:val="34"/>
          <w:color w:val="auto"/>
          <w:sz w:val="24"/>
        </w:rPr>
      </w:pPr>
      <w:r>
        <w:rPr>
          <w:rStyle w:val="34"/>
          <w:color w:val="auto"/>
          <w:sz w:val="24"/>
        </w:rPr>
        <w:t xml:space="preserve">签订日期：                              </w:t>
      </w:r>
    </w:p>
    <w:p>
      <w:pPr>
        <w:snapToGrid w:val="0"/>
        <w:spacing w:line="440" w:lineRule="exact"/>
        <w:ind w:firstLine="561"/>
        <w:jc w:val="left"/>
        <w:rPr>
          <w:rStyle w:val="34"/>
          <w:color w:val="auto"/>
          <w:sz w:val="24"/>
          <w:lang w:val="zh-CN"/>
        </w:rPr>
      </w:pPr>
    </w:p>
    <w:p>
      <w:pPr>
        <w:snapToGrid w:val="0"/>
        <w:spacing w:line="440" w:lineRule="exact"/>
        <w:ind w:firstLine="561"/>
        <w:jc w:val="left"/>
        <w:rPr>
          <w:rStyle w:val="34"/>
          <w:color w:val="auto"/>
          <w:sz w:val="24"/>
        </w:rPr>
      </w:pPr>
      <w:r>
        <w:rPr>
          <w:rStyle w:val="34"/>
          <w:color w:val="auto"/>
          <w:sz w:val="24"/>
          <w:lang w:val="zh-CN"/>
        </w:rPr>
        <w:t>合同编号：</w:t>
      </w:r>
    </w:p>
    <w:tbl>
      <w:tblPr>
        <w:tblStyle w:val="13"/>
        <w:tblW w:w="9286" w:type="dxa"/>
        <w:tblInd w:w="0" w:type="dxa"/>
        <w:tblLayout w:type="fixed"/>
        <w:tblCellMar>
          <w:top w:w="0" w:type="dxa"/>
          <w:left w:w="0" w:type="dxa"/>
          <w:bottom w:w="0" w:type="dxa"/>
          <w:right w:w="0" w:type="dxa"/>
        </w:tblCellMar>
      </w:tblPr>
      <w:tblGrid>
        <w:gridCol w:w="4643"/>
        <w:gridCol w:w="4643"/>
      </w:tblGrid>
      <w:tr>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采购人（以下称甲方）</w:t>
            </w:r>
          </w:p>
        </w:tc>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供应商：（以下称乙方）</w:t>
            </w:r>
          </w:p>
        </w:tc>
      </w:tr>
      <w:tr>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住所地：</w:t>
            </w:r>
          </w:p>
        </w:tc>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住所地</w:t>
            </w:r>
            <w:r>
              <w:rPr>
                <w:rStyle w:val="34"/>
                <w:color w:val="auto"/>
                <w:sz w:val="24"/>
              </w:rPr>
              <w:t>：</w:t>
            </w:r>
          </w:p>
        </w:tc>
      </w:tr>
    </w:tbl>
    <w:p>
      <w:pPr>
        <w:snapToGrid w:val="0"/>
        <w:spacing w:line="440" w:lineRule="exact"/>
        <w:ind w:firstLine="561"/>
        <w:jc w:val="left"/>
        <w:rPr>
          <w:rStyle w:val="34"/>
          <w:color w:val="auto"/>
          <w:sz w:val="24"/>
        </w:rPr>
      </w:pPr>
      <w:r>
        <w:rPr>
          <w:rStyle w:val="34"/>
          <w:color w:val="auto"/>
          <w:sz w:val="24"/>
          <w:lang w:val="zh-CN"/>
        </w:rPr>
        <w:t>根据《中华人民共和国政府采购法》、《中华人民共和国合同法》等法律法规的规定，甲乙双方按照泰兴市公共资源交易中心的招标结果签订本合同。</w:t>
      </w:r>
    </w:p>
    <w:p>
      <w:pPr>
        <w:numPr>
          <w:ilvl w:val="0"/>
          <w:numId w:val="7"/>
        </w:numPr>
        <w:snapToGrid w:val="0"/>
        <w:spacing w:line="440" w:lineRule="exact"/>
        <w:ind w:firstLine="561"/>
        <w:jc w:val="left"/>
        <w:rPr>
          <w:rStyle w:val="34"/>
          <w:color w:val="auto"/>
          <w:sz w:val="24"/>
          <w:lang w:val="zh-CN"/>
        </w:rPr>
      </w:pPr>
      <w:r>
        <w:rPr>
          <w:rStyle w:val="34"/>
          <w:color w:val="auto"/>
          <w:sz w:val="24"/>
          <w:lang w:val="zh-CN"/>
        </w:rPr>
        <w:t xml:space="preserve">合同标的  </w:t>
      </w:r>
    </w:p>
    <w:p>
      <w:pPr>
        <w:snapToGrid w:val="0"/>
        <w:spacing w:line="440" w:lineRule="exact"/>
        <w:ind w:firstLine="480" w:firstLineChars="200"/>
        <w:jc w:val="left"/>
        <w:rPr>
          <w:rStyle w:val="34"/>
          <w:color w:val="auto"/>
          <w:sz w:val="24"/>
          <w:lang w:val="zh-CN"/>
        </w:rPr>
      </w:pPr>
      <w:r>
        <w:rPr>
          <w:rStyle w:val="34"/>
          <w:color w:val="auto"/>
          <w:sz w:val="24"/>
          <w:lang w:val="zh-CN"/>
        </w:rPr>
        <w:t>乙方根据甲方需求提供下列货物：</w:t>
      </w:r>
      <w:r>
        <w:rPr>
          <w:rStyle w:val="34"/>
          <w:color w:val="auto"/>
          <w:sz w:val="24"/>
          <w:u w:val="single"/>
          <w:lang w:val="zh-CN"/>
        </w:rPr>
        <w:t xml:space="preserve">                    </w:t>
      </w:r>
      <w:r>
        <w:rPr>
          <w:rStyle w:val="34"/>
          <w:color w:val="auto"/>
          <w:sz w:val="24"/>
          <w:lang w:val="zh-CN"/>
        </w:rPr>
        <w:t>，货物名称、规格、数量及单价等详见合同附件1。</w:t>
      </w:r>
    </w:p>
    <w:p>
      <w:pPr>
        <w:snapToGrid w:val="0"/>
        <w:spacing w:line="440" w:lineRule="exact"/>
        <w:ind w:firstLine="561"/>
        <w:jc w:val="left"/>
        <w:rPr>
          <w:rStyle w:val="34"/>
          <w:color w:val="auto"/>
          <w:sz w:val="24"/>
          <w:lang w:val="zh-CN"/>
        </w:rPr>
      </w:pPr>
      <w:r>
        <w:rPr>
          <w:rStyle w:val="34"/>
          <w:color w:val="auto"/>
          <w:sz w:val="24"/>
          <w:lang w:val="zh-CN"/>
        </w:rPr>
        <w:t>第二条 合同总价款  本合同项下人民币总价款为___________（大写）人民币（泰兴交付价），分项价款在“投标报价表”中有明确规定。</w:t>
      </w:r>
    </w:p>
    <w:p>
      <w:pPr>
        <w:snapToGrid w:val="0"/>
        <w:spacing w:line="440" w:lineRule="exact"/>
        <w:ind w:firstLine="561"/>
        <w:jc w:val="left"/>
        <w:rPr>
          <w:rStyle w:val="34"/>
          <w:color w:val="auto"/>
          <w:sz w:val="24"/>
          <w:lang w:val="zh-CN"/>
        </w:rPr>
      </w:pPr>
      <w:r>
        <w:rPr>
          <w:rStyle w:val="34"/>
          <w:color w:val="auto"/>
          <w:sz w:val="24"/>
          <w:lang w:val="zh-CN"/>
        </w:rPr>
        <w:t>本合同总价款是货物设计、制造、包装、仓储、运输、安装及验收合格之前及保修期内备品备件发生的所有含税费用，以及支付给员工的工资和国家强制缴纳的各种社会保障资金等。</w:t>
      </w:r>
    </w:p>
    <w:p>
      <w:pPr>
        <w:snapToGrid w:val="0"/>
        <w:spacing w:line="440" w:lineRule="exact"/>
        <w:ind w:firstLine="561"/>
        <w:jc w:val="left"/>
        <w:rPr>
          <w:rStyle w:val="34"/>
          <w:color w:val="auto"/>
          <w:sz w:val="24"/>
          <w:lang w:val="zh-CN"/>
        </w:rPr>
      </w:pPr>
      <w:r>
        <w:rPr>
          <w:rStyle w:val="34"/>
          <w:color w:val="auto"/>
          <w:sz w:val="24"/>
          <w:lang w:val="zh-CN"/>
        </w:rPr>
        <w:t>本合同总价款还包含乙方应当提供的伴随服务/售后服务费用。</w:t>
      </w:r>
    </w:p>
    <w:p>
      <w:pPr>
        <w:snapToGrid w:val="0"/>
        <w:spacing w:line="440" w:lineRule="exact"/>
        <w:ind w:firstLine="561"/>
        <w:jc w:val="left"/>
        <w:rPr>
          <w:rStyle w:val="34"/>
          <w:color w:val="auto"/>
          <w:sz w:val="24"/>
          <w:lang w:val="zh-CN"/>
        </w:rPr>
      </w:pPr>
      <w:r>
        <w:rPr>
          <w:rStyle w:val="34"/>
          <w:color w:val="auto"/>
          <w:sz w:val="24"/>
          <w:lang w:val="zh-CN"/>
        </w:rPr>
        <w:t>本合同执行期间合同总价款不变。</w:t>
      </w:r>
    </w:p>
    <w:p>
      <w:pPr>
        <w:snapToGrid w:val="0"/>
        <w:spacing w:line="440" w:lineRule="exact"/>
        <w:ind w:firstLine="561"/>
        <w:jc w:val="left"/>
        <w:rPr>
          <w:rStyle w:val="34"/>
          <w:color w:val="auto"/>
          <w:sz w:val="24"/>
          <w:lang w:val="zh-CN"/>
        </w:rPr>
      </w:pPr>
      <w:r>
        <w:rPr>
          <w:rStyle w:val="34"/>
          <w:color w:val="auto"/>
          <w:sz w:val="24"/>
          <w:lang w:val="zh-CN"/>
        </w:rPr>
        <w:t>第三条 组成本合同的有关文件  下列关于泰兴市政府采购</w:t>
      </w:r>
      <w:r>
        <w:rPr>
          <w:rStyle w:val="34"/>
          <w:color w:val="auto"/>
          <w:sz w:val="24"/>
          <w:u w:val="single"/>
          <w:lang w:val="zh-CN"/>
        </w:rPr>
        <w:t xml:space="preserve"> </w:t>
      </w:r>
      <w:r>
        <w:rPr>
          <w:rStyle w:val="34"/>
          <w:color w:val="auto"/>
          <w:sz w:val="24"/>
          <w:u w:val="single"/>
        </w:rPr>
        <w:t xml:space="preserve">           </w:t>
      </w:r>
      <w:r>
        <w:rPr>
          <w:rStyle w:val="34"/>
          <w:color w:val="auto"/>
          <w:sz w:val="24"/>
          <w:u w:val="single"/>
          <w:lang w:val="zh-CN"/>
        </w:rPr>
        <w:t xml:space="preserve"> </w:t>
      </w:r>
      <w:r>
        <w:rPr>
          <w:rStyle w:val="34"/>
          <w:color w:val="auto"/>
          <w:sz w:val="24"/>
          <w:lang w:val="zh-CN"/>
        </w:rPr>
        <w:t>号标的招投标文件或与本次采购活动方式相适应的文件及有关附件是本合同不可分割的组成部分，与本合同具有同等法律效力，这些文件包括但不限于：</w:t>
      </w:r>
    </w:p>
    <w:p>
      <w:pPr>
        <w:snapToGrid w:val="0"/>
        <w:spacing w:line="440" w:lineRule="exact"/>
        <w:ind w:firstLine="561"/>
        <w:jc w:val="left"/>
        <w:rPr>
          <w:rStyle w:val="34"/>
          <w:color w:val="auto"/>
          <w:sz w:val="24"/>
          <w:lang w:val="zh-CN"/>
        </w:rPr>
      </w:pPr>
      <w:r>
        <w:rPr>
          <w:rStyle w:val="34"/>
          <w:color w:val="auto"/>
          <w:sz w:val="24"/>
          <w:lang w:val="zh-CN"/>
        </w:rPr>
        <w:t xml:space="preserve">（1）乙方提供的投标文件和投标报价表；         </w:t>
      </w:r>
    </w:p>
    <w:p>
      <w:pPr>
        <w:snapToGrid w:val="0"/>
        <w:spacing w:line="440" w:lineRule="exact"/>
        <w:ind w:firstLine="561"/>
        <w:jc w:val="left"/>
        <w:rPr>
          <w:rStyle w:val="34"/>
          <w:color w:val="auto"/>
          <w:sz w:val="24"/>
          <w:lang w:val="zh-CN"/>
        </w:rPr>
      </w:pPr>
      <w:r>
        <w:rPr>
          <w:rStyle w:val="34"/>
          <w:color w:val="auto"/>
          <w:sz w:val="24"/>
          <w:lang w:val="zh-CN"/>
        </w:rPr>
        <w:t>（2）供货一览表；</w:t>
      </w:r>
    </w:p>
    <w:p>
      <w:pPr>
        <w:snapToGrid w:val="0"/>
        <w:spacing w:line="440" w:lineRule="exact"/>
        <w:ind w:firstLine="561"/>
        <w:jc w:val="left"/>
        <w:rPr>
          <w:rStyle w:val="34"/>
          <w:color w:val="auto"/>
          <w:sz w:val="24"/>
          <w:lang w:val="zh-CN"/>
        </w:rPr>
      </w:pPr>
      <w:r>
        <w:rPr>
          <w:rStyle w:val="34"/>
          <w:color w:val="auto"/>
          <w:sz w:val="24"/>
          <w:lang w:val="zh-CN"/>
        </w:rPr>
        <w:t xml:space="preserve">（3）交货一览表；                             </w:t>
      </w:r>
    </w:p>
    <w:p>
      <w:pPr>
        <w:snapToGrid w:val="0"/>
        <w:spacing w:line="440" w:lineRule="exact"/>
        <w:ind w:firstLine="561"/>
        <w:jc w:val="left"/>
        <w:rPr>
          <w:rStyle w:val="34"/>
          <w:color w:val="auto"/>
          <w:sz w:val="24"/>
          <w:lang w:val="zh-CN"/>
        </w:rPr>
      </w:pPr>
      <w:r>
        <w:rPr>
          <w:rStyle w:val="34"/>
          <w:color w:val="auto"/>
          <w:sz w:val="24"/>
          <w:lang w:val="zh-CN"/>
        </w:rPr>
        <w:t xml:space="preserve">（4）技术规格响应表； </w:t>
      </w:r>
    </w:p>
    <w:p>
      <w:pPr>
        <w:snapToGrid w:val="0"/>
        <w:spacing w:line="440" w:lineRule="exact"/>
        <w:ind w:firstLine="561"/>
        <w:jc w:val="left"/>
        <w:rPr>
          <w:rStyle w:val="34"/>
          <w:color w:val="auto"/>
          <w:sz w:val="24"/>
          <w:lang w:val="zh-CN"/>
        </w:rPr>
      </w:pPr>
      <w:r>
        <w:rPr>
          <w:rStyle w:val="34"/>
          <w:color w:val="auto"/>
          <w:sz w:val="24"/>
          <w:lang w:val="zh-CN"/>
        </w:rPr>
        <w:t xml:space="preserve">（5）投标承诺；                              </w:t>
      </w:r>
    </w:p>
    <w:p>
      <w:pPr>
        <w:snapToGrid w:val="0"/>
        <w:spacing w:line="440" w:lineRule="exact"/>
        <w:ind w:firstLine="561"/>
        <w:jc w:val="left"/>
        <w:rPr>
          <w:rStyle w:val="34"/>
          <w:color w:val="auto"/>
          <w:sz w:val="24"/>
          <w:lang w:val="zh-CN"/>
        </w:rPr>
      </w:pPr>
      <w:r>
        <w:rPr>
          <w:rStyle w:val="34"/>
          <w:color w:val="auto"/>
          <w:sz w:val="24"/>
          <w:lang w:val="zh-CN"/>
        </w:rPr>
        <w:t xml:space="preserve">（6）服务承诺； </w:t>
      </w:r>
    </w:p>
    <w:p>
      <w:pPr>
        <w:snapToGrid w:val="0"/>
        <w:spacing w:line="440" w:lineRule="exact"/>
        <w:ind w:firstLine="561"/>
        <w:jc w:val="left"/>
        <w:rPr>
          <w:rStyle w:val="34"/>
          <w:color w:val="auto"/>
          <w:sz w:val="24"/>
          <w:lang w:val="zh-CN"/>
        </w:rPr>
      </w:pPr>
      <w:r>
        <w:rPr>
          <w:rStyle w:val="34"/>
          <w:color w:val="auto"/>
          <w:sz w:val="24"/>
          <w:lang w:val="zh-CN"/>
        </w:rPr>
        <w:t xml:space="preserve">（7）中标通知书；                             </w:t>
      </w:r>
    </w:p>
    <w:p>
      <w:pPr>
        <w:snapToGrid w:val="0"/>
        <w:spacing w:line="440" w:lineRule="exact"/>
        <w:ind w:firstLine="561"/>
        <w:jc w:val="left"/>
        <w:rPr>
          <w:rStyle w:val="34"/>
          <w:color w:val="auto"/>
          <w:sz w:val="24"/>
          <w:lang w:val="zh-CN"/>
        </w:rPr>
      </w:pPr>
      <w:r>
        <w:rPr>
          <w:rStyle w:val="34"/>
          <w:color w:val="auto"/>
          <w:sz w:val="24"/>
          <w:lang w:val="zh-CN"/>
        </w:rPr>
        <w:t>（8）甲乙双方商定的其他文件等。</w:t>
      </w:r>
    </w:p>
    <w:p>
      <w:pPr>
        <w:snapToGrid w:val="0"/>
        <w:spacing w:line="440" w:lineRule="exact"/>
        <w:ind w:firstLine="561"/>
        <w:jc w:val="left"/>
        <w:rPr>
          <w:rStyle w:val="34"/>
          <w:color w:val="auto"/>
          <w:sz w:val="24"/>
          <w:lang w:val="zh-CN"/>
        </w:rPr>
      </w:pPr>
      <w:r>
        <w:rPr>
          <w:rStyle w:val="34"/>
          <w:color w:val="auto"/>
          <w:sz w:val="24"/>
        </w:rPr>
        <w:t>当招标文件和乙方的投标文件不一致时，应当以招标文件为准，但如果投标文件的承诺高于招标文件时，以投标文件为准。</w:t>
      </w:r>
    </w:p>
    <w:p>
      <w:pPr>
        <w:snapToGrid w:val="0"/>
        <w:spacing w:line="440" w:lineRule="exact"/>
        <w:ind w:firstLine="561"/>
        <w:jc w:val="left"/>
        <w:rPr>
          <w:rStyle w:val="34"/>
          <w:color w:val="auto"/>
          <w:sz w:val="24"/>
          <w:lang w:val="zh-CN"/>
        </w:rPr>
      </w:pPr>
      <w:r>
        <w:rPr>
          <w:rStyle w:val="34"/>
          <w:color w:val="auto"/>
          <w:sz w:val="24"/>
          <w:lang w:val="zh-CN"/>
        </w:rPr>
        <w:t>第四条 权利保证</w:t>
      </w:r>
    </w:p>
    <w:p>
      <w:pPr>
        <w:snapToGrid w:val="0"/>
        <w:spacing w:line="440" w:lineRule="exact"/>
        <w:ind w:firstLine="561"/>
        <w:jc w:val="left"/>
        <w:rPr>
          <w:rStyle w:val="34"/>
          <w:color w:val="auto"/>
          <w:sz w:val="24"/>
          <w:lang w:val="zh-CN"/>
        </w:rPr>
      </w:pPr>
      <w:r>
        <w:rPr>
          <w:rStyle w:val="34"/>
          <w:color w:val="auto"/>
          <w:sz w:val="24"/>
          <w:lang w:val="zh-CN"/>
        </w:rPr>
        <w:t>乙方应保证甲方在使用该货物或其任何一部分时不受第三方提出侵犯其专利权、版权、商标权或其他权利的起诉。一旦出现侵权，乙方应承担全部责任。</w:t>
      </w:r>
    </w:p>
    <w:p>
      <w:pPr>
        <w:snapToGrid w:val="0"/>
        <w:spacing w:line="440" w:lineRule="exact"/>
        <w:ind w:firstLine="561"/>
        <w:jc w:val="left"/>
        <w:rPr>
          <w:rStyle w:val="34"/>
          <w:color w:val="auto"/>
          <w:sz w:val="24"/>
          <w:lang w:val="zh-CN"/>
        </w:rPr>
      </w:pPr>
      <w:r>
        <w:rPr>
          <w:rStyle w:val="34"/>
          <w:color w:val="auto"/>
          <w:sz w:val="24"/>
          <w:lang w:val="zh-CN"/>
        </w:rPr>
        <w:t>第五条 质量保证</w:t>
      </w:r>
    </w:p>
    <w:p>
      <w:pPr>
        <w:snapToGrid w:val="0"/>
        <w:spacing w:line="440" w:lineRule="exact"/>
        <w:ind w:firstLine="561"/>
        <w:jc w:val="left"/>
        <w:rPr>
          <w:rStyle w:val="34"/>
          <w:color w:val="auto"/>
          <w:sz w:val="24"/>
          <w:lang w:val="zh-CN"/>
        </w:rPr>
      </w:pPr>
      <w:r>
        <w:rPr>
          <w:rStyle w:val="34"/>
          <w:color w:val="auto"/>
          <w:sz w:val="24"/>
          <w:lang w:val="zh-CN"/>
        </w:rPr>
        <w:t>1、乙方所提供的货物的技术规格应与招标文件规定的技术规格及所附的“技术规格响应表”相一致；若技术性能无特殊说明，则按国家有关部门最新颁布的标准及规范为准。</w:t>
      </w:r>
    </w:p>
    <w:p>
      <w:pPr>
        <w:snapToGrid w:val="0"/>
        <w:spacing w:line="440" w:lineRule="exact"/>
        <w:ind w:firstLine="561"/>
        <w:jc w:val="left"/>
        <w:rPr>
          <w:rStyle w:val="34"/>
          <w:color w:val="auto"/>
          <w:sz w:val="24"/>
          <w:lang w:val="zh-CN"/>
        </w:rPr>
      </w:pPr>
      <w:r>
        <w:rPr>
          <w:rStyle w:val="34"/>
          <w:color w:val="auto"/>
          <w:sz w:val="24"/>
          <w:lang w:val="zh-CN"/>
        </w:rPr>
        <w:t>2、乙方应保证货物是全新、未使用过的原装合格正品，并完全符合招标文件及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napToGrid w:val="0"/>
        <w:spacing w:line="440" w:lineRule="exact"/>
        <w:ind w:firstLine="561"/>
        <w:jc w:val="left"/>
        <w:rPr>
          <w:rStyle w:val="34"/>
          <w:color w:val="auto"/>
          <w:sz w:val="24"/>
          <w:lang w:val="zh-CN"/>
        </w:rPr>
      </w:pPr>
      <w:r>
        <w:rPr>
          <w:rStyle w:val="34"/>
          <w:color w:val="auto"/>
          <w:sz w:val="24"/>
          <w:lang w:val="zh-CN"/>
        </w:rPr>
        <w:t>第六条 包装要求</w:t>
      </w:r>
    </w:p>
    <w:p>
      <w:pPr>
        <w:snapToGrid w:val="0"/>
        <w:spacing w:line="440" w:lineRule="exact"/>
        <w:ind w:firstLine="561"/>
        <w:jc w:val="left"/>
        <w:rPr>
          <w:rStyle w:val="34"/>
          <w:color w:val="auto"/>
          <w:sz w:val="24"/>
          <w:lang w:val="zh-CN"/>
        </w:rPr>
      </w:pPr>
      <w:r>
        <w:rPr>
          <w:rStyle w:val="34"/>
          <w:color w:val="auto"/>
          <w:sz w:val="24"/>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snapToGrid w:val="0"/>
        <w:spacing w:line="440" w:lineRule="exact"/>
        <w:ind w:firstLine="561"/>
        <w:jc w:val="left"/>
        <w:rPr>
          <w:rStyle w:val="34"/>
          <w:color w:val="auto"/>
          <w:sz w:val="24"/>
          <w:lang w:val="zh-CN"/>
        </w:rPr>
      </w:pPr>
      <w:r>
        <w:rPr>
          <w:rStyle w:val="34"/>
          <w:color w:val="auto"/>
          <w:sz w:val="24"/>
          <w:lang w:val="zh-CN"/>
        </w:rPr>
        <w:t>2、每一包装单元内应附详细的装箱单和质量合格凭证。</w:t>
      </w:r>
    </w:p>
    <w:p>
      <w:pPr>
        <w:snapToGrid w:val="0"/>
        <w:spacing w:line="440" w:lineRule="exact"/>
        <w:ind w:firstLine="561"/>
        <w:jc w:val="left"/>
        <w:rPr>
          <w:rStyle w:val="34"/>
          <w:color w:val="auto"/>
          <w:sz w:val="24"/>
          <w:lang w:val="zh-CN"/>
        </w:rPr>
      </w:pPr>
      <w:r>
        <w:rPr>
          <w:rStyle w:val="34"/>
          <w:color w:val="auto"/>
          <w:sz w:val="24"/>
          <w:lang w:val="zh-CN"/>
        </w:rPr>
        <w:t>3、免费质保期   年（工程竣工验收合格后起算），免费质保期从  年  月  日—  年  月  日。</w:t>
      </w:r>
    </w:p>
    <w:p>
      <w:pPr>
        <w:snapToGrid w:val="0"/>
        <w:spacing w:line="440" w:lineRule="exact"/>
        <w:ind w:firstLine="561"/>
        <w:jc w:val="left"/>
        <w:rPr>
          <w:rStyle w:val="34"/>
          <w:color w:val="auto"/>
          <w:sz w:val="24"/>
          <w:lang w:val="zh-CN"/>
        </w:rPr>
      </w:pPr>
      <w:r>
        <w:rPr>
          <w:rStyle w:val="34"/>
          <w:color w:val="auto"/>
          <w:sz w:val="24"/>
          <w:lang w:val="zh-CN"/>
        </w:rPr>
        <w:t>第七条 交货和验收</w:t>
      </w:r>
    </w:p>
    <w:p>
      <w:pPr>
        <w:snapToGrid w:val="0"/>
        <w:spacing w:line="440" w:lineRule="exact"/>
        <w:ind w:firstLine="561"/>
        <w:jc w:val="left"/>
        <w:rPr>
          <w:rStyle w:val="34"/>
          <w:color w:val="auto"/>
          <w:sz w:val="24"/>
          <w:lang w:val="zh-CN"/>
        </w:rPr>
      </w:pPr>
      <w:r>
        <w:rPr>
          <w:rStyle w:val="34"/>
          <w:color w:val="auto"/>
          <w:sz w:val="24"/>
          <w:lang w:val="zh-CN"/>
        </w:rPr>
        <w:t>1、乙方应当在</w:t>
      </w:r>
      <w:r>
        <w:rPr>
          <w:rStyle w:val="34"/>
          <w:color w:val="auto"/>
          <w:sz w:val="24"/>
          <w:u w:val="single"/>
          <w:lang w:val="zh-CN"/>
        </w:rPr>
        <w:t xml:space="preserve">        年      月      </w:t>
      </w:r>
      <w:r>
        <w:rPr>
          <w:rStyle w:val="34"/>
          <w:color w:val="auto"/>
          <w:sz w:val="24"/>
          <w:lang w:val="zh-CN"/>
        </w:rPr>
        <w:t>日之前将货物安装调试完毕交付甲方正常使用，地点由甲方指定（详见合同附件2）。招标文件有约定的，从其约定。</w:t>
      </w:r>
    </w:p>
    <w:p>
      <w:pPr>
        <w:snapToGrid w:val="0"/>
        <w:spacing w:line="440" w:lineRule="exact"/>
        <w:ind w:firstLine="561"/>
        <w:jc w:val="left"/>
        <w:rPr>
          <w:rStyle w:val="34"/>
          <w:color w:val="auto"/>
          <w:sz w:val="24"/>
          <w:lang w:val="zh-CN"/>
        </w:rPr>
      </w:pPr>
      <w:r>
        <w:rPr>
          <w:rStyle w:val="34"/>
          <w:color w:val="auto"/>
          <w:sz w:val="24"/>
          <w:lang w:val="zh-CN"/>
        </w:rPr>
        <w:t>2、乙方交付的货物应当完全符合本合同或者招投标文件所规定的货物、数量和规格要求。乙方提供的货物不符合招投标文件和合同规定的，甲方有权拒收货物，由此引起的风险，由乙方承担。</w:t>
      </w:r>
    </w:p>
    <w:p>
      <w:pPr>
        <w:snapToGrid w:val="0"/>
        <w:spacing w:line="440" w:lineRule="exact"/>
        <w:ind w:firstLine="561"/>
        <w:jc w:val="left"/>
        <w:rPr>
          <w:rStyle w:val="34"/>
          <w:color w:val="auto"/>
          <w:sz w:val="24"/>
          <w:lang w:val="zh-CN"/>
        </w:rPr>
      </w:pPr>
      <w:r>
        <w:rPr>
          <w:rStyle w:val="34"/>
          <w:color w:val="auto"/>
          <w:sz w:val="24"/>
          <w:lang w:val="zh-CN"/>
        </w:rPr>
        <w:t>3、货物的到货验收包括：型号、规格、数量、外观质量、及货物包装是否完好。</w:t>
      </w:r>
    </w:p>
    <w:p>
      <w:pPr>
        <w:snapToGrid w:val="0"/>
        <w:spacing w:line="440" w:lineRule="exact"/>
        <w:ind w:firstLine="561"/>
        <w:jc w:val="left"/>
        <w:rPr>
          <w:rStyle w:val="34"/>
          <w:color w:val="auto"/>
          <w:sz w:val="24"/>
          <w:lang w:val="zh-CN"/>
        </w:rPr>
      </w:pPr>
      <w:r>
        <w:rPr>
          <w:rStyle w:val="34"/>
          <w:color w:val="auto"/>
          <w:sz w:val="24"/>
          <w:lang w:val="zh-CN"/>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napToGrid w:val="0"/>
        <w:spacing w:line="440" w:lineRule="exact"/>
        <w:ind w:firstLine="561"/>
        <w:jc w:val="left"/>
        <w:rPr>
          <w:rStyle w:val="34"/>
          <w:color w:val="auto"/>
          <w:sz w:val="24"/>
          <w:lang w:val="zh-CN"/>
        </w:rPr>
      </w:pPr>
      <w:r>
        <w:rPr>
          <w:rStyle w:val="34"/>
          <w:color w:val="auto"/>
          <w:sz w:val="24"/>
          <w:lang w:val="zh-CN"/>
        </w:rPr>
        <w:t>5、甲方应当在安装调试结束后的7个工作日内对货物进行验收。验收合格的，由甲方签署验收单并加盖单位公章。招标文件对检验期限另有规定的，从其规定。</w:t>
      </w:r>
    </w:p>
    <w:p>
      <w:pPr>
        <w:snapToGrid w:val="0"/>
        <w:spacing w:line="440" w:lineRule="exact"/>
        <w:ind w:firstLine="561"/>
        <w:jc w:val="left"/>
        <w:rPr>
          <w:rStyle w:val="34"/>
          <w:color w:val="auto"/>
          <w:sz w:val="24"/>
          <w:lang w:val="zh-CN"/>
        </w:rPr>
      </w:pPr>
      <w:r>
        <w:rPr>
          <w:rStyle w:val="34"/>
          <w:color w:val="auto"/>
          <w:sz w:val="24"/>
          <w:lang w:val="zh-CN"/>
        </w:rPr>
        <w:t>6、货物和系统调试验收的标准：按行业通行标准、厂方出厂标准和乙方投标文件的承诺（详见合同附件载明的标准，并不低于国家相关标准）。</w:t>
      </w:r>
    </w:p>
    <w:p>
      <w:pPr>
        <w:snapToGrid w:val="0"/>
        <w:spacing w:line="440" w:lineRule="exact"/>
        <w:ind w:firstLine="561"/>
        <w:jc w:val="left"/>
        <w:rPr>
          <w:rStyle w:val="34"/>
          <w:color w:val="auto"/>
          <w:sz w:val="24"/>
          <w:lang w:val="zh-CN"/>
        </w:rPr>
      </w:pPr>
      <w:r>
        <w:rPr>
          <w:rStyle w:val="34"/>
          <w:color w:val="auto"/>
          <w:sz w:val="24"/>
          <w:lang w:val="zh-CN"/>
        </w:rPr>
        <w:t>第八条 伴随服务／售后服务</w:t>
      </w:r>
    </w:p>
    <w:p>
      <w:pPr>
        <w:snapToGrid w:val="0"/>
        <w:spacing w:line="440" w:lineRule="exact"/>
        <w:ind w:firstLine="561"/>
        <w:jc w:val="left"/>
        <w:rPr>
          <w:rStyle w:val="34"/>
          <w:color w:val="auto"/>
          <w:sz w:val="24"/>
          <w:lang w:val="zh-CN"/>
        </w:rPr>
      </w:pPr>
      <w:r>
        <w:rPr>
          <w:rStyle w:val="34"/>
          <w:color w:val="auto"/>
          <w:sz w:val="24"/>
          <w:lang w:val="zh-CN"/>
        </w:rPr>
        <w:t>1、乙方应按照国家有关法律法规规章和“三包”规定以及合同所附的“服务承诺”提供服务。</w:t>
      </w:r>
    </w:p>
    <w:p>
      <w:pPr>
        <w:snapToGrid w:val="0"/>
        <w:spacing w:line="440" w:lineRule="exact"/>
        <w:ind w:firstLine="561"/>
        <w:jc w:val="left"/>
        <w:rPr>
          <w:rStyle w:val="34"/>
          <w:color w:val="auto"/>
          <w:sz w:val="24"/>
          <w:lang w:val="zh-CN"/>
        </w:rPr>
      </w:pPr>
      <w:r>
        <w:rPr>
          <w:rStyle w:val="34"/>
          <w:color w:val="auto"/>
          <w:sz w:val="24"/>
          <w:lang w:val="zh-CN"/>
        </w:rPr>
        <w:t>2、除前款规定外，乙方还应提供下列服务：</w:t>
      </w:r>
    </w:p>
    <w:p>
      <w:pPr>
        <w:snapToGrid w:val="0"/>
        <w:spacing w:line="440" w:lineRule="exact"/>
        <w:ind w:firstLine="561"/>
        <w:jc w:val="left"/>
        <w:rPr>
          <w:rStyle w:val="34"/>
          <w:color w:val="auto"/>
          <w:sz w:val="24"/>
          <w:lang w:val="zh-CN"/>
        </w:rPr>
      </w:pPr>
      <w:r>
        <w:rPr>
          <w:rStyle w:val="34"/>
          <w:color w:val="auto"/>
          <w:sz w:val="24"/>
          <w:lang w:val="zh-CN"/>
        </w:rPr>
        <w:t>（1）货物的现场安装、调试和/或启动监督；</w:t>
      </w:r>
    </w:p>
    <w:p>
      <w:pPr>
        <w:snapToGrid w:val="0"/>
        <w:spacing w:line="440" w:lineRule="exact"/>
        <w:ind w:firstLine="561"/>
        <w:jc w:val="left"/>
        <w:rPr>
          <w:rStyle w:val="34"/>
          <w:color w:val="auto"/>
          <w:sz w:val="24"/>
          <w:lang w:val="zh-CN"/>
        </w:rPr>
      </w:pPr>
      <w:r>
        <w:rPr>
          <w:rStyle w:val="34"/>
          <w:color w:val="auto"/>
          <w:sz w:val="24"/>
          <w:lang w:val="zh-CN"/>
        </w:rPr>
        <w:t>（2）就货物的安装、启动、运行及维护等对甲方人员进行免费培训。</w:t>
      </w:r>
    </w:p>
    <w:p>
      <w:pPr>
        <w:snapToGrid w:val="0"/>
        <w:spacing w:line="440" w:lineRule="exact"/>
        <w:ind w:firstLine="561"/>
        <w:jc w:val="left"/>
        <w:rPr>
          <w:rStyle w:val="34"/>
          <w:color w:val="auto"/>
          <w:sz w:val="24"/>
          <w:lang w:val="zh-CN"/>
        </w:rPr>
      </w:pPr>
      <w:r>
        <w:rPr>
          <w:rStyle w:val="34"/>
          <w:color w:val="auto"/>
          <w:sz w:val="24"/>
          <w:lang w:val="zh-CN"/>
        </w:rPr>
        <w:t>3、若招标文件中不包含有关伴随服务或售后服务的承诺，双方作如下约定：</w:t>
      </w:r>
    </w:p>
    <w:p>
      <w:pPr>
        <w:snapToGrid w:val="0"/>
        <w:spacing w:line="440" w:lineRule="exact"/>
        <w:ind w:firstLine="561"/>
        <w:jc w:val="left"/>
        <w:rPr>
          <w:rStyle w:val="34"/>
          <w:color w:val="auto"/>
          <w:sz w:val="24"/>
          <w:lang w:val="zh-CN"/>
        </w:rPr>
      </w:pPr>
      <w:r>
        <w:rPr>
          <w:rStyle w:val="34"/>
          <w:color w:val="auto"/>
          <w:sz w:val="24"/>
          <w:lang w:val="zh-CN"/>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napToGrid w:val="0"/>
        <w:spacing w:line="440" w:lineRule="exact"/>
        <w:ind w:firstLine="561"/>
        <w:jc w:val="left"/>
        <w:rPr>
          <w:rStyle w:val="34"/>
          <w:color w:val="auto"/>
          <w:sz w:val="24"/>
          <w:lang w:val="zh-CN"/>
        </w:rPr>
      </w:pPr>
      <w:r>
        <w:rPr>
          <w:rStyle w:val="34"/>
          <w:color w:val="auto"/>
          <w:sz w:val="24"/>
          <w:lang w:val="zh-CN"/>
        </w:rPr>
        <w:t>（2）所购货物按乙方投标承诺提供免费维护和质量保证，保修费用计入总价。</w:t>
      </w:r>
    </w:p>
    <w:p>
      <w:pPr>
        <w:snapToGrid w:val="0"/>
        <w:spacing w:line="440" w:lineRule="exact"/>
        <w:ind w:firstLine="561"/>
        <w:jc w:val="left"/>
        <w:rPr>
          <w:rStyle w:val="34"/>
          <w:color w:val="auto"/>
          <w:sz w:val="24"/>
          <w:lang w:val="zh-CN"/>
        </w:rPr>
      </w:pPr>
      <w:r>
        <w:rPr>
          <w:rStyle w:val="34"/>
          <w:color w:val="auto"/>
          <w:sz w:val="24"/>
          <w:lang w:val="zh-CN"/>
        </w:rPr>
        <w:t>（3）保修期内，乙方负责对其提供的货物整机进行维修和系统维护，不再收取任何费用，但不可抗力（如火灾、雷击等）造成的故障除外。</w:t>
      </w:r>
    </w:p>
    <w:p>
      <w:pPr>
        <w:snapToGrid w:val="0"/>
        <w:spacing w:line="440" w:lineRule="exact"/>
        <w:ind w:firstLine="561"/>
        <w:jc w:val="left"/>
        <w:rPr>
          <w:rStyle w:val="34"/>
          <w:color w:val="auto"/>
          <w:sz w:val="24"/>
          <w:lang w:val="zh-CN"/>
        </w:rPr>
      </w:pPr>
      <w:r>
        <w:rPr>
          <w:rStyle w:val="34"/>
          <w:color w:val="auto"/>
          <w:sz w:val="24"/>
          <w:lang w:val="zh-CN"/>
        </w:rPr>
        <w:t>（4）货物故障报修的响应时间按乙方投标承诺执行。</w:t>
      </w:r>
    </w:p>
    <w:p>
      <w:pPr>
        <w:snapToGrid w:val="0"/>
        <w:spacing w:line="440" w:lineRule="exact"/>
        <w:ind w:firstLine="561"/>
        <w:jc w:val="left"/>
        <w:rPr>
          <w:rStyle w:val="34"/>
          <w:color w:val="auto"/>
          <w:sz w:val="24"/>
          <w:lang w:val="zh-CN"/>
        </w:rPr>
      </w:pPr>
      <w:r>
        <w:rPr>
          <w:rStyle w:val="34"/>
          <w:color w:val="auto"/>
          <w:sz w:val="24"/>
          <w:lang w:val="zh-CN"/>
        </w:rPr>
        <w:t>（5）若货物故障在检修8工作小时后仍无法排除，乙方应在48小时内免费提供不低于故障货物规格型号档次的备用货物供甲方使用，直至故障货物修复。</w:t>
      </w:r>
    </w:p>
    <w:p>
      <w:pPr>
        <w:snapToGrid w:val="0"/>
        <w:spacing w:line="440" w:lineRule="exact"/>
        <w:ind w:firstLine="561"/>
        <w:jc w:val="left"/>
        <w:rPr>
          <w:rStyle w:val="34"/>
          <w:color w:val="auto"/>
          <w:sz w:val="24"/>
          <w:lang w:val="zh-CN"/>
        </w:rPr>
      </w:pPr>
      <w:r>
        <w:rPr>
          <w:rStyle w:val="34"/>
          <w:color w:val="auto"/>
          <w:sz w:val="24"/>
          <w:lang w:val="zh-CN"/>
        </w:rPr>
        <w:t>（6）所有货物保修服务方式均为乙方上门保修，即由乙方派员到货物使用现场维修，由此产生的一切费用均由乙方承担。</w:t>
      </w:r>
    </w:p>
    <w:p>
      <w:pPr>
        <w:snapToGrid w:val="0"/>
        <w:spacing w:line="440" w:lineRule="exact"/>
        <w:ind w:firstLine="561"/>
        <w:jc w:val="left"/>
        <w:rPr>
          <w:rStyle w:val="34"/>
          <w:color w:val="auto"/>
          <w:sz w:val="24"/>
          <w:lang w:val="zh-CN"/>
        </w:rPr>
      </w:pPr>
      <w:r>
        <w:rPr>
          <w:rStyle w:val="34"/>
          <w:color w:val="auto"/>
          <w:sz w:val="24"/>
          <w:lang w:val="zh-CN"/>
        </w:rPr>
        <w:t>（7）保修期后的货物维护由双方协商再定。</w:t>
      </w:r>
    </w:p>
    <w:p>
      <w:pPr>
        <w:snapToGrid w:val="0"/>
        <w:spacing w:line="440" w:lineRule="exact"/>
        <w:ind w:firstLine="561"/>
        <w:jc w:val="left"/>
        <w:rPr>
          <w:rStyle w:val="34"/>
          <w:color w:val="auto"/>
          <w:sz w:val="24"/>
          <w:lang w:val="zh-CN"/>
        </w:rPr>
      </w:pPr>
      <w:r>
        <w:rPr>
          <w:rStyle w:val="34"/>
          <w:color w:val="auto"/>
          <w:sz w:val="24"/>
          <w:lang w:val="zh-CN"/>
        </w:rPr>
        <w:t>第九条 履约保证金</w:t>
      </w:r>
    </w:p>
    <w:p>
      <w:pPr>
        <w:snapToGrid w:val="0"/>
        <w:spacing w:line="440" w:lineRule="exact"/>
        <w:ind w:firstLine="561"/>
        <w:jc w:val="left"/>
        <w:rPr>
          <w:rStyle w:val="34"/>
          <w:color w:val="auto"/>
          <w:sz w:val="24"/>
          <w:lang w:val="zh-CN"/>
        </w:rPr>
      </w:pPr>
      <w:r>
        <w:rPr>
          <w:rStyle w:val="34"/>
          <w:color w:val="auto"/>
          <w:sz w:val="24"/>
          <w:lang w:val="zh-CN"/>
        </w:rPr>
        <w:t xml:space="preserve">1、乙方在签订本合同前，以支票、汇票、本票、履约担保等法律法规允许的非现金形式，向采购人预交合同价的 </w:t>
      </w:r>
      <w:r>
        <w:rPr>
          <w:rStyle w:val="34"/>
          <w:color w:val="auto"/>
          <w:sz w:val="24"/>
        </w:rPr>
        <w:t xml:space="preserve">5 </w:t>
      </w:r>
      <w:r>
        <w:rPr>
          <w:rStyle w:val="34"/>
          <w:color w:val="auto"/>
          <w:sz w:val="24"/>
          <w:lang w:val="zh-CN"/>
        </w:rPr>
        <w:t>%履约保证金。</w:t>
      </w:r>
    </w:p>
    <w:p>
      <w:pPr>
        <w:snapToGrid w:val="0"/>
        <w:spacing w:line="440" w:lineRule="exact"/>
        <w:ind w:firstLine="561"/>
        <w:jc w:val="left"/>
        <w:rPr>
          <w:rStyle w:val="34"/>
          <w:color w:val="auto"/>
          <w:sz w:val="24"/>
          <w:lang w:val="zh-CN"/>
        </w:rPr>
      </w:pPr>
      <w:r>
        <w:rPr>
          <w:rStyle w:val="34"/>
          <w:color w:val="auto"/>
          <w:sz w:val="24"/>
          <w:lang w:val="zh-CN"/>
        </w:rPr>
        <w:t>2、履约保证金的有效期为该项目验收合格时止。</w:t>
      </w:r>
    </w:p>
    <w:p>
      <w:pPr>
        <w:snapToGrid w:val="0"/>
        <w:spacing w:line="440" w:lineRule="exact"/>
        <w:ind w:firstLine="561"/>
        <w:jc w:val="left"/>
        <w:rPr>
          <w:rStyle w:val="34"/>
          <w:color w:val="auto"/>
          <w:sz w:val="24"/>
          <w:lang w:val="zh-CN"/>
        </w:rPr>
      </w:pPr>
      <w:r>
        <w:rPr>
          <w:rStyle w:val="34"/>
          <w:color w:val="auto"/>
          <w:sz w:val="24"/>
          <w:lang w:val="zh-CN"/>
        </w:rPr>
        <w:t>3、如乙方未能履行合同规定的义务，甲方有权从履约保证金中取得补偿。</w:t>
      </w:r>
    </w:p>
    <w:p>
      <w:pPr>
        <w:snapToGrid w:val="0"/>
        <w:spacing w:line="440" w:lineRule="exact"/>
        <w:ind w:firstLine="561"/>
        <w:jc w:val="left"/>
        <w:rPr>
          <w:rStyle w:val="34"/>
          <w:color w:val="auto"/>
          <w:sz w:val="24"/>
          <w:lang w:val="zh-CN"/>
        </w:rPr>
      </w:pPr>
      <w:r>
        <w:rPr>
          <w:rStyle w:val="34"/>
          <w:color w:val="auto"/>
          <w:sz w:val="24"/>
          <w:lang w:val="zh-CN"/>
        </w:rPr>
        <w:t>4、质保金在质保期满后无息返还。</w:t>
      </w:r>
    </w:p>
    <w:p>
      <w:pPr>
        <w:snapToGrid w:val="0"/>
        <w:spacing w:line="440" w:lineRule="exact"/>
        <w:ind w:firstLine="561"/>
        <w:jc w:val="left"/>
        <w:rPr>
          <w:rStyle w:val="34"/>
          <w:color w:val="auto"/>
          <w:sz w:val="24"/>
          <w:lang w:val="zh-CN"/>
        </w:rPr>
      </w:pPr>
      <w:r>
        <w:rPr>
          <w:rStyle w:val="34"/>
          <w:color w:val="auto"/>
          <w:sz w:val="24"/>
          <w:lang w:val="zh-CN"/>
        </w:rPr>
        <w:t>第十条 货款支付</w:t>
      </w:r>
    </w:p>
    <w:p>
      <w:pPr>
        <w:snapToGrid w:val="0"/>
        <w:spacing w:line="440" w:lineRule="exact"/>
        <w:ind w:firstLine="561"/>
        <w:jc w:val="left"/>
        <w:rPr>
          <w:rStyle w:val="34"/>
          <w:color w:val="auto"/>
          <w:sz w:val="24"/>
          <w:lang w:val="zh-CN"/>
        </w:rPr>
      </w:pPr>
      <w:r>
        <w:rPr>
          <w:rStyle w:val="34"/>
          <w:color w:val="auto"/>
          <w:sz w:val="24"/>
          <w:lang w:val="zh-CN"/>
        </w:rPr>
        <w:t>1、本合同项下所有款项均以人民币支付。</w:t>
      </w:r>
    </w:p>
    <w:p>
      <w:pPr>
        <w:snapToGrid w:val="0"/>
        <w:spacing w:line="440" w:lineRule="exact"/>
        <w:ind w:firstLine="561"/>
        <w:jc w:val="left"/>
        <w:rPr>
          <w:rStyle w:val="34"/>
          <w:color w:val="auto"/>
          <w:sz w:val="24"/>
          <w:lang w:val="zh-CN"/>
        </w:rPr>
      </w:pPr>
      <w:r>
        <w:rPr>
          <w:rStyle w:val="34"/>
          <w:color w:val="auto"/>
          <w:sz w:val="24"/>
          <w:lang w:val="zh-CN"/>
        </w:rPr>
        <w:t>2、本合同项下的采购资金由甲方自行支付，乙方向甲方开具发票。</w:t>
      </w:r>
    </w:p>
    <w:p>
      <w:pPr>
        <w:snapToGrid w:val="0"/>
        <w:spacing w:line="440" w:lineRule="exact"/>
        <w:ind w:firstLine="561"/>
        <w:jc w:val="left"/>
        <w:rPr>
          <w:rStyle w:val="34"/>
          <w:color w:val="auto"/>
          <w:sz w:val="24"/>
        </w:rPr>
      </w:pPr>
      <w:r>
        <w:rPr>
          <w:rStyle w:val="34"/>
          <w:color w:val="auto"/>
          <w:sz w:val="24"/>
          <w:lang w:val="zh-CN"/>
        </w:rPr>
        <w:t>3、付款方式：</w:t>
      </w:r>
      <w:r>
        <w:rPr>
          <w:rStyle w:val="34"/>
          <w:color w:val="auto"/>
          <w:sz w:val="24"/>
        </w:rPr>
        <w:t xml:space="preserve">    。</w:t>
      </w:r>
    </w:p>
    <w:p>
      <w:pPr>
        <w:snapToGrid w:val="0"/>
        <w:spacing w:line="440" w:lineRule="exact"/>
        <w:ind w:firstLine="561"/>
        <w:jc w:val="left"/>
        <w:rPr>
          <w:rStyle w:val="34"/>
          <w:color w:val="auto"/>
          <w:sz w:val="24"/>
          <w:lang w:val="zh-CN"/>
        </w:rPr>
      </w:pPr>
      <w:r>
        <w:rPr>
          <w:rStyle w:val="34"/>
          <w:color w:val="auto"/>
          <w:sz w:val="24"/>
          <w:lang w:val="zh-CN"/>
        </w:rPr>
        <w:t>第十一条 违约责任</w:t>
      </w:r>
      <w:r>
        <w:rPr>
          <w:rStyle w:val="34"/>
          <w:color w:val="auto"/>
          <w:sz w:val="24"/>
          <w:lang w:val="zh-CN"/>
        </w:rPr>
        <w:tab/>
      </w:r>
    </w:p>
    <w:p>
      <w:pPr>
        <w:snapToGrid w:val="0"/>
        <w:spacing w:line="440" w:lineRule="exact"/>
        <w:ind w:firstLine="561"/>
        <w:jc w:val="left"/>
        <w:rPr>
          <w:rStyle w:val="34"/>
          <w:color w:val="auto"/>
          <w:sz w:val="24"/>
          <w:lang w:val="zh-CN"/>
        </w:rPr>
      </w:pPr>
      <w:r>
        <w:rPr>
          <w:rStyle w:val="34"/>
          <w:color w:val="auto"/>
          <w:sz w:val="24"/>
          <w:lang w:val="zh-CN"/>
        </w:rPr>
        <w:t>１、甲方无正当理由拒收货物、拒付货物款的，由甲方向乙方偿付合同总价的5%违约金。</w:t>
      </w:r>
    </w:p>
    <w:p>
      <w:pPr>
        <w:snapToGrid w:val="0"/>
        <w:spacing w:line="440" w:lineRule="exact"/>
        <w:ind w:firstLine="561"/>
        <w:jc w:val="left"/>
        <w:rPr>
          <w:rStyle w:val="34"/>
          <w:color w:val="auto"/>
          <w:sz w:val="24"/>
          <w:lang w:val="zh-CN"/>
        </w:rPr>
      </w:pPr>
      <w:r>
        <w:rPr>
          <w:rStyle w:val="34"/>
          <w:color w:val="auto"/>
          <w:sz w:val="24"/>
          <w:lang w:val="zh-CN"/>
        </w:rPr>
        <w:t>２、甲方未按合同规定的期限向乙方支付货款的，每逾期1天甲方向乙方偿付欠款总额的5‰滞纳金，但累计滞纳金总额不超过欠款总额的5%。</w:t>
      </w:r>
    </w:p>
    <w:p>
      <w:pPr>
        <w:snapToGrid w:val="0"/>
        <w:spacing w:line="440" w:lineRule="exact"/>
        <w:ind w:firstLine="561"/>
        <w:jc w:val="left"/>
        <w:rPr>
          <w:rStyle w:val="34"/>
          <w:color w:val="auto"/>
          <w:sz w:val="24"/>
          <w:lang w:val="zh-CN"/>
        </w:rPr>
      </w:pPr>
      <w:r>
        <w:rPr>
          <w:rStyle w:val="34"/>
          <w:color w:val="auto"/>
          <w:sz w:val="24"/>
          <w:lang w:val="zh-CN"/>
        </w:rPr>
        <w:t>３、如乙方不能交付货物、完成安装调试的，甲方有权扣留全部履约保证金；同时乙方应向甲方支付合同总价5%的违约金。</w:t>
      </w:r>
    </w:p>
    <w:p>
      <w:pPr>
        <w:snapToGrid w:val="0"/>
        <w:spacing w:line="440" w:lineRule="exact"/>
        <w:ind w:firstLine="561"/>
        <w:jc w:val="left"/>
        <w:rPr>
          <w:rStyle w:val="34"/>
          <w:color w:val="auto"/>
          <w:sz w:val="24"/>
          <w:lang w:val="zh-CN"/>
        </w:rPr>
      </w:pPr>
      <w:r>
        <w:rPr>
          <w:rStyle w:val="34"/>
          <w:color w:val="auto"/>
          <w:sz w:val="24"/>
          <w:lang w:val="zh-CN"/>
        </w:rPr>
        <w:t>４、乙方逾期交付的，每逾期1天，乙方向甲方偿付合同总额的5‰的滞纳金。如乙方逾期交付达10天，甲方有权解除合同，解除合同的通知自到达乙方时生效。</w:t>
      </w:r>
    </w:p>
    <w:p>
      <w:pPr>
        <w:snapToGrid w:val="0"/>
        <w:spacing w:line="440" w:lineRule="exact"/>
        <w:ind w:firstLine="561"/>
        <w:jc w:val="left"/>
        <w:rPr>
          <w:rStyle w:val="34"/>
          <w:color w:val="auto"/>
          <w:sz w:val="24"/>
          <w:lang w:val="zh-CN"/>
        </w:rPr>
      </w:pPr>
      <w:r>
        <w:rPr>
          <w:rStyle w:val="34"/>
          <w:color w:val="auto"/>
          <w:sz w:val="24"/>
          <w:lang w:val="zh-CN"/>
        </w:rPr>
        <w:t>５、乙方所交付的货物品种、型号、规格不符合合同规定的，甲方有权拒收。甲方拒收的，乙方应向甲方支付货款总额5%的违约金。甲方未拒收的，采购中心发现后将向有关部门反映，并责成乙方按照采购结果提供货物和服务，同时视情给予不退还部分或全部履约保证金、暂停一至三年参加泰兴市公共资源交易中心组织的政府采购活动的处理。</w:t>
      </w:r>
    </w:p>
    <w:p>
      <w:pPr>
        <w:snapToGrid w:val="0"/>
        <w:spacing w:line="440" w:lineRule="exact"/>
        <w:ind w:firstLine="561"/>
        <w:jc w:val="left"/>
        <w:rPr>
          <w:rStyle w:val="34"/>
          <w:color w:val="auto"/>
          <w:sz w:val="24"/>
          <w:lang w:val="zh-CN"/>
        </w:rPr>
      </w:pPr>
      <w:r>
        <w:rPr>
          <w:rStyle w:val="34"/>
          <w:color w:val="auto"/>
          <w:sz w:val="24"/>
          <w:lang w:val="zh-CN"/>
        </w:rPr>
        <w:t>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snapToGrid w:val="0"/>
        <w:spacing w:line="440" w:lineRule="exact"/>
        <w:ind w:firstLine="561"/>
        <w:jc w:val="left"/>
        <w:rPr>
          <w:rStyle w:val="34"/>
          <w:color w:val="auto"/>
          <w:sz w:val="24"/>
          <w:lang w:val="zh-CN"/>
        </w:rPr>
      </w:pPr>
      <w:r>
        <w:rPr>
          <w:rStyle w:val="34"/>
          <w:color w:val="auto"/>
          <w:sz w:val="24"/>
          <w:lang w:val="zh-CN"/>
        </w:rPr>
        <w:t>7、乙方未按本合同第九条的规定向甲方交付履约保证金的，应按应交付履约保证金的100%向甲方支付违约金，该违约金的支付不影响乙方应承担的其他违约责任。</w:t>
      </w:r>
    </w:p>
    <w:p>
      <w:pPr>
        <w:snapToGrid w:val="0"/>
        <w:spacing w:line="440" w:lineRule="exact"/>
        <w:ind w:firstLine="561"/>
        <w:jc w:val="left"/>
        <w:rPr>
          <w:rStyle w:val="34"/>
          <w:color w:val="auto"/>
          <w:sz w:val="24"/>
          <w:lang w:val="zh-CN"/>
        </w:rPr>
      </w:pPr>
      <w:r>
        <w:rPr>
          <w:rStyle w:val="34"/>
          <w:color w:val="auto"/>
          <w:sz w:val="24"/>
          <w:lang w:val="zh-CN"/>
        </w:rPr>
        <w:t>8、乙方未按本合同的规定和“服务承诺”提供伴随服务/售后服务的，应按合同总价款的5 %向甲方承担违约责任。</w:t>
      </w:r>
    </w:p>
    <w:p>
      <w:pPr>
        <w:snapToGrid w:val="0"/>
        <w:spacing w:line="440" w:lineRule="exact"/>
        <w:ind w:firstLine="561"/>
        <w:jc w:val="left"/>
        <w:rPr>
          <w:rStyle w:val="34"/>
          <w:color w:val="auto"/>
          <w:sz w:val="24"/>
          <w:lang w:val="zh-CN"/>
        </w:rPr>
      </w:pPr>
      <w:r>
        <w:rPr>
          <w:rStyle w:val="34"/>
          <w:color w:val="auto"/>
          <w:sz w:val="24"/>
          <w:lang w:val="zh-CN"/>
        </w:rPr>
        <w:t>9、乙方在承担上述4-7款一项或多项违约责任后，仍应继续履行合同规定的义务（甲方解除合同的除外）。甲方未能及时追究乙方的任何一项违约责任并不表明甲方放弃追究乙方该项或其他违约责任。</w:t>
      </w:r>
    </w:p>
    <w:p>
      <w:pPr>
        <w:snapToGrid w:val="0"/>
        <w:spacing w:line="440" w:lineRule="exact"/>
        <w:ind w:firstLine="561"/>
        <w:jc w:val="left"/>
        <w:rPr>
          <w:rStyle w:val="34"/>
          <w:color w:val="auto"/>
          <w:sz w:val="24"/>
          <w:lang w:val="zh-CN"/>
        </w:rPr>
      </w:pPr>
      <w:r>
        <w:rPr>
          <w:rStyle w:val="34"/>
          <w:color w:val="auto"/>
          <w:sz w:val="24"/>
          <w:lang w:val="zh-CN"/>
        </w:rPr>
        <w:t>10、乙方投标属虚假承诺，或经权威部门监测提供的货物不能满足招标文件要求，或是由于乙方的过错造成合同无法继续履行的，乙方履约保证金不予退还外，还应向甲方支付不少于合同总价30%赔偿金。</w:t>
      </w:r>
    </w:p>
    <w:p>
      <w:pPr>
        <w:snapToGrid w:val="0"/>
        <w:spacing w:line="440" w:lineRule="exact"/>
        <w:ind w:firstLine="561"/>
        <w:jc w:val="left"/>
        <w:rPr>
          <w:rStyle w:val="34"/>
          <w:color w:val="auto"/>
          <w:sz w:val="24"/>
          <w:lang w:val="zh-CN"/>
        </w:rPr>
      </w:pPr>
      <w:r>
        <w:rPr>
          <w:rStyle w:val="34"/>
          <w:color w:val="auto"/>
          <w:sz w:val="24"/>
          <w:lang w:val="zh-CN"/>
        </w:rPr>
        <w:t>第十二条 合同的变更和终止</w:t>
      </w:r>
    </w:p>
    <w:p>
      <w:pPr>
        <w:snapToGrid w:val="0"/>
        <w:spacing w:line="440" w:lineRule="exact"/>
        <w:ind w:firstLine="561"/>
        <w:jc w:val="left"/>
        <w:rPr>
          <w:rStyle w:val="34"/>
          <w:color w:val="auto"/>
          <w:sz w:val="24"/>
          <w:lang w:val="zh-CN"/>
        </w:rPr>
      </w:pPr>
      <w:r>
        <w:rPr>
          <w:rStyle w:val="34"/>
          <w:color w:val="auto"/>
          <w:sz w:val="24"/>
          <w:lang w:val="zh-CN"/>
        </w:rPr>
        <w:t>1、除《政府采购法》第50条第二款规定的情形外，本合同一经签订，甲乙双方不得擅自变更、中止或终止合同。</w:t>
      </w:r>
    </w:p>
    <w:p>
      <w:pPr>
        <w:snapToGrid w:val="0"/>
        <w:spacing w:line="440" w:lineRule="exact"/>
        <w:ind w:firstLine="561"/>
        <w:jc w:val="left"/>
        <w:rPr>
          <w:rStyle w:val="34"/>
          <w:color w:val="auto"/>
          <w:sz w:val="24"/>
          <w:lang w:val="zh-CN"/>
        </w:rPr>
      </w:pPr>
      <w:r>
        <w:rPr>
          <w:rStyle w:val="34"/>
          <w:color w:val="auto"/>
          <w:sz w:val="24"/>
          <w:lang w:val="zh-CN"/>
        </w:rPr>
        <w:t>2、</w:t>
      </w:r>
      <w:r>
        <w:rPr>
          <w:rStyle w:val="34"/>
          <w:color w:val="auto"/>
          <w:sz w:val="24"/>
        </w:rPr>
        <w:t>除发生法律规定的不能预见、不能避免并不能克服的客观情况外，甲乙双方不得放弃或拒绝履行合同。乙方放弃或拒绝履行合同，在三年内不得参加泰兴市公共资源交易中心组织的政府采购活动。</w:t>
      </w:r>
    </w:p>
    <w:p>
      <w:pPr>
        <w:snapToGrid w:val="0"/>
        <w:spacing w:line="440" w:lineRule="exact"/>
        <w:ind w:firstLine="561"/>
        <w:jc w:val="left"/>
        <w:rPr>
          <w:rStyle w:val="34"/>
          <w:color w:val="auto"/>
          <w:sz w:val="24"/>
          <w:lang w:val="zh-CN"/>
        </w:rPr>
      </w:pPr>
      <w:r>
        <w:rPr>
          <w:rStyle w:val="34"/>
          <w:color w:val="auto"/>
          <w:sz w:val="24"/>
          <w:lang w:val="zh-CN"/>
        </w:rPr>
        <w:t>第十三条 合同的转让</w:t>
      </w:r>
    </w:p>
    <w:p>
      <w:pPr>
        <w:snapToGrid w:val="0"/>
        <w:spacing w:line="440" w:lineRule="exact"/>
        <w:ind w:firstLine="561"/>
        <w:jc w:val="left"/>
        <w:rPr>
          <w:rStyle w:val="34"/>
          <w:color w:val="auto"/>
          <w:sz w:val="24"/>
        </w:rPr>
      </w:pPr>
      <w:r>
        <w:rPr>
          <w:rStyle w:val="34"/>
          <w:color w:val="auto"/>
          <w:sz w:val="24"/>
        </w:rPr>
        <w:t>乙方不得擅自部分或全部转让其应履行的合同义务。</w:t>
      </w:r>
    </w:p>
    <w:p>
      <w:pPr>
        <w:snapToGrid w:val="0"/>
        <w:spacing w:line="440" w:lineRule="exact"/>
        <w:ind w:firstLine="561"/>
        <w:jc w:val="left"/>
        <w:rPr>
          <w:rStyle w:val="34"/>
          <w:color w:val="auto"/>
          <w:sz w:val="24"/>
          <w:lang w:val="zh-CN"/>
        </w:rPr>
      </w:pPr>
      <w:r>
        <w:rPr>
          <w:rStyle w:val="34"/>
          <w:color w:val="auto"/>
          <w:sz w:val="24"/>
          <w:lang w:val="zh-CN"/>
        </w:rPr>
        <w:t>第十</w:t>
      </w:r>
      <w:r>
        <w:rPr>
          <w:rStyle w:val="34"/>
          <w:rFonts w:hint="eastAsia"/>
          <w:color w:val="auto"/>
          <w:sz w:val="24"/>
          <w:lang w:val="zh-CN"/>
        </w:rPr>
        <w:t>四</w:t>
      </w:r>
      <w:r>
        <w:rPr>
          <w:rStyle w:val="34"/>
          <w:color w:val="auto"/>
          <w:sz w:val="24"/>
          <w:lang w:val="zh-CN"/>
        </w:rPr>
        <w:t>条 争议的解决</w:t>
      </w:r>
    </w:p>
    <w:p>
      <w:pPr>
        <w:snapToGrid w:val="0"/>
        <w:spacing w:line="440" w:lineRule="exact"/>
        <w:ind w:firstLine="561"/>
        <w:jc w:val="left"/>
        <w:rPr>
          <w:rStyle w:val="34"/>
          <w:color w:val="auto"/>
          <w:sz w:val="24"/>
          <w:lang w:val="zh-CN"/>
        </w:rPr>
      </w:pPr>
      <w:r>
        <w:rPr>
          <w:rStyle w:val="34"/>
          <w:color w:val="auto"/>
          <w:sz w:val="24"/>
          <w:lang w:val="zh-CN"/>
        </w:rPr>
        <w:t>1、因货物的质量问题发生争议的，应当邀请国家认可的质量检测机构对货物质量进行鉴定。货物符合标准的，鉴定费由甲方承担；货物不符合质量标准的，鉴定费由乙方承担。</w:t>
      </w:r>
    </w:p>
    <w:p>
      <w:pPr>
        <w:snapToGrid w:val="0"/>
        <w:spacing w:line="440" w:lineRule="exact"/>
        <w:ind w:firstLine="561"/>
        <w:jc w:val="left"/>
        <w:rPr>
          <w:rStyle w:val="34"/>
          <w:color w:val="auto"/>
          <w:sz w:val="24"/>
          <w:lang w:val="zh-CN"/>
        </w:rPr>
      </w:pPr>
      <w:r>
        <w:rPr>
          <w:rStyle w:val="34"/>
          <w:color w:val="auto"/>
          <w:sz w:val="24"/>
          <w:lang w:val="zh-CN"/>
        </w:rPr>
        <w:t>2、因履行本合同引起的或与本合同有关的争议，甲、乙双方应首先通过友好协商解决，如果协商不能解决争议，则采取以下第（2）种方式解决争议：</w:t>
      </w:r>
    </w:p>
    <w:p>
      <w:pPr>
        <w:snapToGrid w:val="0"/>
        <w:spacing w:line="440" w:lineRule="exact"/>
        <w:ind w:firstLine="561"/>
        <w:jc w:val="left"/>
        <w:rPr>
          <w:rStyle w:val="34"/>
          <w:color w:val="auto"/>
          <w:sz w:val="24"/>
          <w:lang w:val="zh-CN"/>
        </w:rPr>
      </w:pPr>
      <w:r>
        <w:rPr>
          <w:rStyle w:val="34"/>
          <w:color w:val="auto"/>
          <w:sz w:val="24"/>
          <w:lang w:val="zh-CN"/>
        </w:rPr>
        <w:t>（1）向甲方所在地有管辖权的人民法院提起诉讼；</w:t>
      </w:r>
    </w:p>
    <w:p>
      <w:pPr>
        <w:snapToGrid w:val="0"/>
        <w:spacing w:line="440" w:lineRule="exact"/>
        <w:ind w:firstLine="561"/>
        <w:jc w:val="left"/>
        <w:rPr>
          <w:rStyle w:val="34"/>
          <w:color w:val="auto"/>
          <w:sz w:val="24"/>
          <w:lang w:val="zh-CN"/>
        </w:rPr>
      </w:pPr>
      <w:r>
        <w:rPr>
          <w:rStyle w:val="34"/>
          <w:color w:val="auto"/>
          <w:sz w:val="24"/>
          <w:lang w:val="zh-CN"/>
        </w:rPr>
        <w:t>（2）向泰兴仲裁委员会按其仲裁规则申请仲裁。</w:t>
      </w:r>
    </w:p>
    <w:p>
      <w:pPr>
        <w:snapToGrid w:val="0"/>
        <w:spacing w:line="440" w:lineRule="exact"/>
        <w:ind w:firstLine="561"/>
        <w:jc w:val="left"/>
        <w:rPr>
          <w:rStyle w:val="34"/>
          <w:color w:val="auto"/>
          <w:sz w:val="24"/>
          <w:lang w:val="zh-CN"/>
        </w:rPr>
      </w:pPr>
      <w:r>
        <w:rPr>
          <w:rStyle w:val="34"/>
          <w:color w:val="auto"/>
          <w:sz w:val="24"/>
          <w:lang w:val="zh-CN"/>
        </w:rPr>
        <w:t>3、在仲裁期间，本合同应继续履行。</w:t>
      </w:r>
    </w:p>
    <w:p>
      <w:pPr>
        <w:snapToGrid w:val="0"/>
        <w:spacing w:line="440" w:lineRule="exact"/>
        <w:ind w:firstLine="561"/>
        <w:jc w:val="left"/>
        <w:rPr>
          <w:rStyle w:val="34"/>
          <w:color w:val="auto"/>
          <w:sz w:val="24"/>
          <w:lang w:val="zh-CN"/>
        </w:rPr>
      </w:pPr>
      <w:r>
        <w:rPr>
          <w:rStyle w:val="34"/>
          <w:color w:val="auto"/>
          <w:sz w:val="24"/>
          <w:lang w:val="zh-CN"/>
        </w:rPr>
        <w:t>第十</w:t>
      </w:r>
      <w:r>
        <w:rPr>
          <w:rStyle w:val="34"/>
          <w:rFonts w:hint="eastAsia"/>
          <w:color w:val="auto"/>
          <w:sz w:val="24"/>
          <w:lang w:val="zh-CN"/>
        </w:rPr>
        <w:t>五</w:t>
      </w:r>
      <w:r>
        <w:rPr>
          <w:rStyle w:val="34"/>
          <w:color w:val="auto"/>
          <w:sz w:val="24"/>
          <w:lang w:val="zh-CN"/>
        </w:rPr>
        <w:t xml:space="preserve">条 诚实信用 </w:t>
      </w:r>
    </w:p>
    <w:p>
      <w:pPr>
        <w:snapToGrid w:val="0"/>
        <w:spacing w:line="440" w:lineRule="exact"/>
        <w:ind w:firstLine="561"/>
        <w:jc w:val="left"/>
        <w:rPr>
          <w:rStyle w:val="34"/>
          <w:color w:val="auto"/>
          <w:sz w:val="24"/>
          <w:lang w:val="zh-CN"/>
        </w:rPr>
      </w:pPr>
      <w:r>
        <w:rPr>
          <w:rStyle w:val="34"/>
          <w:color w:val="auto"/>
          <w:sz w:val="24"/>
          <w:lang w:val="zh-CN"/>
        </w:rPr>
        <w:t>乙方应诚实信用，严格按照招标文件要求和投标承诺履行合同，不向甲方进行商业贿赂或者提供不正当利益。</w:t>
      </w:r>
    </w:p>
    <w:p>
      <w:pPr>
        <w:snapToGrid w:val="0"/>
        <w:spacing w:line="440" w:lineRule="exact"/>
        <w:ind w:firstLine="561"/>
        <w:jc w:val="left"/>
        <w:rPr>
          <w:rStyle w:val="34"/>
          <w:color w:val="auto"/>
          <w:sz w:val="24"/>
          <w:lang w:val="zh-CN"/>
        </w:rPr>
      </w:pPr>
      <w:r>
        <w:rPr>
          <w:rStyle w:val="34"/>
          <w:color w:val="auto"/>
          <w:sz w:val="24"/>
          <w:lang w:val="zh-CN"/>
        </w:rPr>
        <w:t>第十</w:t>
      </w:r>
      <w:r>
        <w:rPr>
          <w:rStyle w:val="34"/>
          <w:rFonts w:hint="eastAsia"/>
          <w:color w:val="auto"/>
          <w:sz w:val="24"/>
          <w:lang w:val="zh-CN"/>
        </w:rPr>
        <w:t>六</w:t>
      </w:r>
      <w:r>
        <w:rPr>
          <w:rStyle w:val="34"/>
          <w:color w:val="auto"/>
          <w:sz w:val="24"/>
          <w:lang w:val="zh-CN"/>
        </w:rPr>
        <w:t>条 合同生效及其他</w:t>
      </w:r>
    </w:p>
    <w:p>
      <w:pPr>
        <w:snapToGrid w:val="0"/>
        <w:spacing w:line="440" w:lineRule="exact"/>
        <w:ind w:firstLine="561"/>
        <w:jc w:val="left"/>
        <w:rPr>
          <w:rStyle w:val="34"/>
          <w:color w:val="auto"/>
          <w:sz w:val="24"/>
          <w:lang w:val="zh-CN"/>
        </w:rPr>
      </w:pPr>
      <w:r>
        <w:rPr>
          <w:rStyle w:val="34"/>
          <w:color w:val="auto"/>
          <w:sz w:val="24"/>
          <w:lang w:val="zh-CN"/>
        </w:rPr>
        <w:t>1、本合同自签订之日起生效。</w:t>
      </w:r>
    </w:p>
    <w:p>
      <w:pPr>
        <w:snapToGrid w:val="0"/>
        <w:spacing w:line="440" w:lineRule="exact"/>
        <w:ind w:firstLine="561"/>
        <w:jc w:val="left"/>
        <w:rPr>
          <w:rStyle w:val="34"/>
          <w:color w:val="auto"/>
          <w:sz w:val="24"/>
          <w:lang w:val="zh-CN"/>
        </w:rPr>
      </w:pPr>
      <w:r>
        <w:rPr>
          <w:rStyle w:val="34"/>
          <w:color w:val="auto"/>
          <w:sz w:val="24"/>
          <w:lang w:val="zh-CN"/>
        </w:rPr>
        <w:t>2、本合同一式四份，甲乙双方各执一份，一份交代理公司存档，一份报送政府采购管理办公室备案。</w:t>
      </w:r>
    </w:p>
    <w:p>
      <w:pPr>
        <w:snapToGrid w:val="0"/>
        <w:spacing w:line="440" w:lineRule="exact"/>
        <w:ind w:firstLine="561"/>
        <w:jc w:val="left"/>
        <w:rPr>
          <w:rStyle w:val="34"/>
          <w:color w:val="auto"/>
          <w:sz w:val="24"/>
          <w:lang w:val="zh-CN"/>
        </w:rPr>
      </w:pPr>
      <w:r>
        <w:rPr>
          <w:rStyle w:val="34"/>
          <w:color w:val="auto"/>
          <w:sz w:val="24"/>
          <w:lang w:val="zh-CN"/>
        </w:rPr>
        <w:t>3、本合同应按照中华人民共和国的现行法律进行解释。</w:t>
      </w:r>
    </w:p>
    <w:p>
      <w:pPr>
        <w:snapToGrid w:val="0"/>
        <w:spacing w:line="440" w:lineRule="exact"/>
        <w:ind w:firstLine="561"/>
        <w:jc w:val="left"/>
        <w:rPr>
          <w:rStyle w:val="34"/>
          <w:color w:val="auto"/>
          <w:sz w:val="24"/>
          <w:lang w:val="zh-CN"/>
        </w:rPr>
      </w:pPr>
    </w:p>
    <w:tbl>
      <w:tblPr>
        <w:tblStyle w:val="13"/>
        <w:tblW w:w="9286" w:type="dxa"/>
        <w:jc w:val="center"/>
        <w:tblLayout w:type="fixed"/>
        <w:tblCellMar>
          <w:top w:w="0" w:type="dxa"/>
          <w:left w:w="0" w:type="dxa"/>
          <w:bottom w:w="0" w:type="dxa"/>
          <w:right w:w="0" w:type="dxa"/>
        </w:tblCellMar>
      </w:tblPr>
      <w:tblGrid>
        <w:gridCol w:w="4643"/>
        <w:gridCol w:w="4643"/>
      </w:tblGrid>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甲方（采购人）：（盖章）</w:t>
            </w:r>
          </w:p>
        </w:tc>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乙方（供应商）：（盖章）</w:t>
            </w:r>
          </w:p>
        </w:tc>
      </w:tr>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代表人：</w:t>
            </w:r>
          </w:p>
        </w:tc>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代表人</w:t>
            </w:r>
            <w:r>
              <w:rPr>
                <w:rStyle w:val="34"/>
                <w:color w:val="auto"/>
                <w:sz w:val="24"/>
              </w:rPr>
              <w:t>：</w:t>
            </w:r>
          </w:p>
        </w:tc>
      </w:tr>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电</w:t>
            </w:r>
            <w:r>
              <w:rPr>
                <w:rStyle w:val="34"/>
                <w:color w:val="auto"/>
                <w:sz w:val="24"/>
              </w:rPr>
              <w:t xml:space="preserve">    </w:t>
            </w:r>
            <w:r>
              <w:rPr>
                <w:rStyle w:val="34"/>
                <w:color w:val="auto"/>
                <w:sz w:val="24"/>
                <w:lang w:val="zh-CN"/>
              </w:rPr>
              <w:t>话：</w:t>
            </w:r>
          </w:p>
        </w:tc>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电</w:t>
            </w:r>
            <w:r>
              <w:rPr>
                <w:rStyle w:val="34"/>
                <w:color w:val="auto"/>
                <w:sz w:val="24"/>
              </w:rPr>
              <w:t xml:space="preserve">    </w:t>
            </w:r>
            <w:r>
              <w:rPr>
                <w:rStyle w:val="34"/>
                <w:color w:val="auto"/>
                <w:sz w:val="24"/>
                <w:lang w:val="zh-CN"/>
              </w:rPr>
              <w:t>话：</w:t>
            </w:r>
          </w:p>
        </w:tc>
      </w:tr>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开户银行：</w:t>
            </w:r>
          </w:p>
        </w:tc>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开户银行：</w:t>
            </w:r>
          </w:p>
        </w:tc>
      </w:tr>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帐</w:t>
            </w:r>
            <w:r>
              <w:rPr>
                <w:rStyle w:val="34"/>
                <w:color w:val="auto"/>
                <w:sz w:val="24"/>
              </w:rPr>
              <w:t xml:space="preserve">    </w:t>
            </w:r>
            <w:r>
              <w:rPr>
                <w:rStyle w:val="34"/>
                <w:color w:val="auto"/>
                <w:sz w:val="24"/>
                <w:lang w:val="zh-CN"/>
              </w:rPr>
              <w:t>号：</w:t>
            </w:r>
          </w:p>
        </w:tc>
        <w:tc>
          <w:tcPr>
            <w:tcW w:w="4643" w:type="dxa"/>
            <w:tcBorders>
              <w:top w:val="nil"/>
              <w:left w:val="nil"/>
              <w:bottom w:val="nil"/>
              <w:right w:val="nil"/>
            </w:tcBorders>
          </w:tcPr>
          <w:p>
            <w:pPr>
              <w:snapToGrid w:val="0"/>
              <w:spacing w:line="440" w:lineRule="exact"/>
              <w:ind w:firstLine="561"/>
              <w:jc w:val="left"/>
              <w:rPr>
                <w:rStyle w:val="34"/>
                <w:color w:val="auto"/>
                <w:sz w:val="24"/>
              </w:rPr>
            </w:pPr>
            <w:r>
              <w:rPr>
                <w:rStyle w:val="34"/>
                <w:color w:val="auto"/>
                <w:sz w:val="24"/>
                <w:lang w:val="zh-CN"/>
              </w:rPr>
              <w:t>帐</w:t>
            </w:r>
            <w:r>
              <w:rPr>
                <w:rStyle w:val="34"/>
                <w:color w:val="auto"/>
                <w:sz w:val="24"/>
              </w:rPr>
              <w:t xml:space="preserve">    </w:t>
            </w:r>
            <w:r>
              <w:rPr>
                <w:rStyle w:val="34"/>
                <w:color w:val="auto"/>
                <w:sz w:val="24"/>
                <w:lang w:val="zh-CN"/>
              </w:rPr>
              <w:t>号：</w:t>
            </w:r>
          </w:p>
        </w:tc>
      </w:tr>
      <w:tr>
        <w:trPr>
          <w:jc w:val="center"/>
        </w:trPr>
        <w:tc>
          <w:tcPr>
            <w:tcW w:w="4643" w:type="dxa"/>
            <w:tcBorders>
              <w:top w:val="nil"/>
              <w:left w:val="nil"/>
              <w:bottom w:val="nil"/>
              <w:right w:val="nil"/>
            </w:tcBorders>
          </w:tcPr>
          <w:p>
            <w:pPr>
              <w:snapToGrid w:val="0"/>
              <w:spacing w:line="440" w:lineRule="exact"/>
              <w:jc w:val="left"/>
              <w:rPr>
                <w:rStyle w:val="34"/>
                <w:color w:val="auto"/>
                <w:sz w:val="24"/>
                <w:lang w:val="zh-CN"/>
              </w:rPr>
            </w:pPr>
          </w:p>
        </w:tc>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p>
        </w:tc>
      </w:tr>
      <w:tr>
        <w:trPr>
          <w:jc w:val="center"/>
        </w:trPr>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日    期：   年  月  日</w:t>
            </w:r>
          </w:p>
        </w:tc>
        <w:tc>
          <w:tcPr>
            <w:tcW w:w="4643" w:type="dxa"/>
            <w:tcBorders>
              <w:top w:val="nil"/>
              <w:left w:val="nil"/>
              <w:bottom w:val="nil"/>
              <w:right w:val="nil"/>
            </w:tcBorders>
          </w:tcPr>
          <w:p>
            <w:pPr>
              <w:snapToGrid w:val="0"/>
              <w:spacing w:line="440" w:lineRule="exact"/>
              <w:ind w:firstLine="561"/>
              <w:jc w:val="left"/>
              <w:rPr>
                <w:rStyle w:val="34"/>
                <w:color w:val="auto"/>
                <w:sz w:val="24"/>
                <w:lang w:val="zh-CN"/>
              </w:rPr>
            </w:pPr>
            <w:r>
              <w:rPr>
                <w:rStyle w:val="34"/>
                <w:color w:val="auto"/>
                <w:sz w:val="24"/>
                <w:lang w:val="zh-CN"/>
              </w:rPr>
              <w:t>日    期：   年  月   日</w:t>
            </w:r>
          </w:p>
        </w:tc>
      </w:tr>
    </w:tbl>
    <w:p>
      <w:pPr>
        <w:snapToGrid w:val="0"/>
        <w:ind w:firstLine="560"/>
        <w:jc w:val="left"/>
        <w:rPr>
          <w:rStyle w:val="34"/>
          <w:color w:val="auto"/>
          <w:szCs w:val="21"/>
        </w:rPr>
      </w:pPr>
    </w:p>
    <w:p>
      <w:pPr>
        <w:pStyle w:val="149"/>
        <w:rPr>
          <w:rStyle w:val="34"/>
          <w:rFonts w:hint="eastAsia" w:ascii="宋体" w:hAnsi="宋体" w:eastAsia="宋体" w:cs="宋体"/>
          <w:b/>
          <w:bCs/>
          <w:color w:val="auto"/>
          <w:sz w:val="32"/>
          <w:szCs w:val="32"/>
        </w:rPr>
      </w:pPr>
      <w:r>
        <w:rPr>
          <w:rStyle w:val="34"/>
          <w:color w:val="auto"/>
        </w:rPr>
        <w:br w:type="page"/>
      </w:r>
      <w:r>
        <w:rPr>
          <w:rStyle w:val="34"/>
          <w:rFonts w:hint="eastAsia" w:ascii="宋体" w:hAnsi="宋体" w:eastAsia="宋体" w:cs="宋体"/>
          <w:b/>
          <w:bCs/>
          <w:color w:val="auto"/>
          <w:sz w:val="32"/>
          <w:szCs w:val="32"/>
        </w:rPr>
        <w:t>第五章 技术标准和要求</w:t>
      </w:r>
    </w:p>
    <w:p>
      <w:pPr>
        <w:snapToGrid w:val="0"/>
        <w:spacing w:line="440" w:lineRule="exact"/>
        <w:rPr>
          <w:rStyle w:val="34"/>
          <w:rFonts w:cs="Times New Roman"/>
          <w:b/>
          <w:bCs/>
          <w:color w:val="auto"/>
          <w:sz w:val="24"/>
          <w:szCs w:val="24"/>
        </w:rPr>
      </w:pPr>
      <w:r>
        <w:rPr>
          <w:rStyle w:val="34"/>
          <w:rFonts w:cs="Times New Roman"/>
          <w:b/>
          <w:bCs/>
          <w:color w:val="auto"/>
          <w:sz w:val="24"/>
          <w:szCs w:val="24"/>
        </w:rPr>
        <w:t>项目名称：泰兴市排水GIS系统建设</w:t>
      </w:r>
    </w:p>
    <w:p>
      <w:pPr>
        <w:snapToGrid w:val="0"/>
        <w:spacing w:line="440" w:lineRule="exact"/>
        <w:rPr>
          <w:rStyle w:val="34"/>
          <w:rFonts w:cs="Times New Roman"/>
          <w:b/>
          <w:bCs/>
          <w:color w:val="auto"/>
          <w:sz w:val="24"/>
          <w:szCs w:val="24"/>
        </w:rPr>
      </w:pPr>
      <w:r>
        <w:rPr>
          <w:rStyle w:val="34"/>
          <w:rFonts w:cs="Times New Roman"/>
          <w:b/>
          <w:bCs/>
          <w:color w:val="auto"/>
          <w:sz w:val="24"/>
          <w:szCs w:val="24"/>
        </w:rPr>
        <w:t>采 购 人：</w:t>
      </w:r>
      <w:bookmarkStart w:id="0" w:name="_GoBack"/>
      <w:bookmarkEnd w:id="0"/>
      <w:r>
        <w:rPr>
          <w:rStyle w:val="34"/>
          <w:rFonts w:hint="eastAsia" w:cs="Times New Roman"/>
          <w:b/>
          <w:bCs/>
          <w:color w:val="auto"/>
          <w:sz w:val="24"/>
          <w:szCs w:val="24"/>
          <w:lang w:eastAsia="zh-CN"/>
        </w:rPr>
        <w:t>泰兴市市政公用事业服务中心（市园林绿化服务中心、市城建档案馆）</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一、项目说明：</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1、项目背景：</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排水管网系统是城市基础设施的重要组成部分，关系着城市地面雨水的排除、城市污水的处理等，是水资源得以良性循环的基础设施，对居民居住环境有着十分重要的意义。随着国民经济和社会的不断发展，我国城市排水行业与以往相比有了很大的发展，但面临的诸多问题也日益凸显，2018 年以来，江苏省推动高质量城乡生活污水治理和城镇污水治理提质增效等行动，对建设排水GIS信息化系统提出明确要求，建立排水管网GIS系统，实施动态更新完善，实现管网信息化、账册化管理，运用大数据、物联网、云计算等技术，逐步提升智慧化管理水平厅。因此，建设泰兴市排水GIS系统，解决排水监管实际问题，完善排水监管体系为手段，结合物联网、二三维一体化GIS等新技术，建立清疏检测数据管理等的新型监管模式，提高市内排水与污水处理行业监管水平，为实现区域水环境综合治理目标提供有力支撑，将发挥显著的社会效益和经济效益，具有加快建设的迫切性和必要性。</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2、建设内容</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本项目采购内容为泰兴市排水GIS系统建设，包括泰兴市排水GIS系统运行管理机制建设、排水管网清疏检测数据库、排水管网历史数据库转换、新建排水管网数据采集入库、排水相关设备建设、系统运行环境和场地建设、系统平台建设。其中系统平台建设包含基础信息平台建设、业务应用平台建设、公众服务平台建设。</w:t>
      </w:r>
    </w:p>
    <w:p>
      <w:pPr>
        <w:snapToGrid w:val="0"/>
        <w:spacing w:line="460" w:lineRule="exact"/>
        <w:ind w:firstLine="480" w:firstLineChars="200"/>
        <w:rPr>
          <w:rStyle w:val="34"/>
          <w:rFonts w:ascii="宋体" w:hAnsi="宋体"/>
          <w:color w:val="auto"/>
          <w:kern w:val="0"/>
          <w:sz w:val="24"/>
          <w:lang w:val="zh-CN"/>
        </w:rPr>
      </w:pPr>
      <w:r>
        <w:rPr>
          <w:rStyle w:val="34"/>
          <w:rFonts w:ascii="宋体" w:hAnsi="宋体"/>
          <w:color w:val="auto"/>
          <w:kern w:val="0"/>
          <w:sz w:val="24"/>
          <w:lang w:val="zh-CN"/>
        </w:rPr>
        <w:t>3、交付时间</w:t>
      </w:r>
      <w:r>
        <w:rPr>
          <w:rStyle w:val="34"/>
          <w:rFonts w:ascii="宋体" w:hAnsi="宋体"/>
          <w:color w:val="auto"/>
          <w:kern w:val="0"/>
          <w:sz w:val="24"/>
        </w:rPr>
        <w:t>：2021年10月31日前完成本项目所有内容。</w:t>
      </w:r>
    </w:p>
    <w:p>
      <w:pPr>
        <w:snapToGrid w:val="0"/>
        <w:spacing w:line="460" w:lineRule="exact"/>
        <w:ind w:firstLine="480" w:firstLineChars="200"/>
        <w:rPr>
          <w:rStyle w:val="34"/>
          <w:rFonts w:ascii="宋体" w:hAnsi="宋体"/>
          <w:color w:val="auto"/>
          <w:kern w:val="0"/>
          <w:sz w:val="24"/>
          <w:lang w:val="zh-CN"/>
        </w:rPr>
      </w:pPr>
      <w:r>
        <w:rPr>
          <w:rStyle w:val="34"/>
          <w:rFonts w:ascii="宋体" w:hAnsi="宋体"/>
          <w:color w:val="auto"/>
          <w:kern w:val="0"/>
          <w:sz w:val="24"/>
          <w:lang w:val="zh-CN"/>
        </w:rPr>
        <w:t>4、结算方式：</w:t>
      </w:r>
    </w:p>
    <w:p>
      <w:pPr>
        <w:snapToGrid w:val="0"/>
        <w:spacing w:line="460" w:lineRule="exact"/>
        <w:ind w:firstLine="720" w:firstLineChars="300"/>
        <w:rPr>
          <w:rStyle w:val="34"/>
          <w:rFonts w:ascii="宋体" w:hAnsi="宋体"/>
          <w:color w:val="auto"/>
          <w:kern w:val="0"/>
          <w:sz w:val="24"/>
          <w:lang w:val="zh-CN"/>
        </w:rPr>
      </w:pPr>
      <w:r>
        <w:rPr>
          <w:rStyle w:val="34"/>
          <w:rFonts w:ascii="宋体" w:hAnsi="宋体"/>
          <w:color w:val="auto"/>
          <w:kern w:val="0"/>
          <w:sz w:val="24"/>
          <w:lang w:val="zh-CN"/>
        </w:rPr>
        <w:t>根据相应中标价格进行结算。</w:t>
      </w:r>
    </w:p>
    <w:p>
      <w:pPr>
        <w:snapToGrid w:val="0"/>
        <w:spacing w:line="460" w:lineRule="exact"/>
        <w:ind w:firstLine="480" w:firstLineChars="200"/>
        <w:rPr>
          <w:rStyle w:val="34"/>
          <w:rFonts w:ascii="宋体" w:hAnsi="宋体"/>
          <w:color w:val="auto"/>
          <w:kern w:val="0"/>
          <w:sz w:val="24"/>
          <w:lang w:val="zh-CN"/>
        </w:rPr>
      </w:pPr>
      <w:r>
        <w:rPr>
          <w:rStyle w:val="34"/>
          <w:rFonts w:ascii="宋体" w:hAnsi="宋体"/>
          <w:color w:val="auto"/>
          <w:kern w:val="0"/>
          <w:sz w:val="24"/>
          <w:lang w:val="zh-CN"/>
        </w:rPr>
        <w:t>5、付款方式：</w:t>
      </w:r>
    </w:p>
    <w:p>
      <w:pPr>
        <w:snapToGrid w:val="0"/>
        <w:spacing w:line="460" w:lineRule="exact"/>
        <w:ind w:firstLine="720" w:firstLineChars="300"/>
        <w:rPr>
          <w:rStyle w:val="34"/>
          <w:rFonts w:ascii="宋体" w:hAnsi="宋体" w:cs="Times New Roman"/>
          <w:bCs/>
          <w:color w:val="auto"/>
          <w:sz w:val="24"/>
        </w:rPr>
      </w:pPr>
      <w:r>
        <w:rPr>
          <w:rStyle w:val="34"/>
          <w:rFonts w:ascii="宋体" w:hAnsi="宋体" w:cs="Times New Roman"/>
          <w:bCs/>
          <w:color w:val="auto"/>
          <w:sz w:val="24"/>
        </w:rPr>
        <w:t>5.1合同签订后的一个月内，采购人向中标人支付合同预计总额的30%。</w:t>
      </w:r>
    </w:p>
    <w:p>
      <w:pPr>
        <w:snapToGrid w:val="0"/>
        <w:spacing w:line="460" w:lineRule="exact"/>
        <w:ind w:firstLine="720" w:firstLineChars="300"/>
        <w:rPr>
          <w:rStyle w:val="34"/>
          <w:rFonts w:ascii="宋体" w:hAnsi="宋体" w:cs="Times New Roman"/>
          <w:bCs/>
          <w:color w:val="auto"/>
          <w:sz w:val="24"/>
        </w:rPr>
      </w:pPr>
      <w:r>
        <w:rPr>
          <w:rStyle w:val="34"/>
          <w:rFonts w:ascii="宋体" w:hAnsi="宋体" w:cs="Times New Roman"/>
          <w:bCs/>
          <w:color w:val="auto"/>
          <w:sz w:val="24"/>
        </w:rPr>
        <w:t>5.2项目完成并经采购人验收合格后的1个月内，采购人向中标人支付合同总金额的65%。</w:t>
      </w:r>
    </w:p>
    <w:p>
      <w:pPr>
        <w:snapToGrid w:val="0"/>
        <w:spacing w:line="460" w:lineRule="exact"/>
        <w:ind w:firstLine="720" w:firstLineChars="300"/>
        <w:rPr>
          <w:rStyle w:val="34"/>
          <w:rFonts w:ascii="宋体" w:hAnsi="宋体" w:cs="Times New Roman"/>
          <w:bCs/>
          <w:color w:val="auto"/>
          <w:sz w:val="24"/>
        </w:rPr>
      </w:pPr>
      <w:r>
        <w:rPr>
          <w:rStyle w:val="34"/>
          <w:rFonts w:ascii="宋体" w:hAnsi="宋体" w:cs="Times New Roman"/>
          <w:bCs/>
          <w:color w:val="auto"/>
          <w:sz w:val="24"/>
        </w:rPr>
        <w:t>5.3系统免费运维期结束后，采购人向中标人支付合同预计总额的5%。</w:t>
      </w:r>
    </w:p>
    <w:p>
      <w:pPr>
        <w:snapToGrid w:val="0"/>
        <w:spacing w:line="460" w:lineRule="exact"/>
        <w:rPr>
          <w:rStyle w:val="34"/>
          <w:rFonts w:ascii="宋体" w:hAnsi="宋体" w:cs="宋体"/>
          <w:b/>
          <w:bCs/>
          <w:color w:val="auto"/>
          <w:kern w:val="0"/>
          <w:sz w:val="24"/>
          <w:lang w:val="zh-CN"/>
        </w:rPr>
      </w:pPr>
      <w:r>
        <w:rPr>
          <w:rStyle w:val="34"/>
          <w:rFonts w:ascii="宋体" w:hAnsi="宋体" w:cs="宋体"/>
          <w:b/>
          <w:bCs/>
          <w:color w:val="auto"/>
          <w:kern w:val="0"/>
          <w:sz w:val="24"/>
          <w:lang w:val="zh-CN"/>
        </w:rPr>
        <w:t>二、项目范围及服务内容：</w:t>
      </w:r>
    </w:p>
    <w:p>
      <w:pPr>
        <w:snapToGrid w:val="0"/>
        <w:spacing w:line="440" w:lineRule="exact"/>
        <w:jc w:val="left"/>
        <w:rPr>
          <w:rStyle w:val="34"/>
          <w:rFonts w:ascii="宋体" w:hAnsi="宋体"/>
          <w:b/>
          <w:color w:val="auto"/>
          <w:kern w:val="0"/>
          <w:sz w:val="24"/>
          <w:lang w:val="zh-CN"/>
        </w:rPr>
      </w:pPr>
      <w:r>
        <w:rPr>
          <w:rStyle w:val="34"/>
          <w:rFonts w:ascii="宋体" w:hAnsi="宋体"/>
          <w:b/>
          <w:color w:val="auto"/>
          <w:kern w:val="0"/>
          <w:sz w:val="24"/>
          <w:lang w:val="zh-CN"/>
        </w:rPr>
        <w:t>（一）排水设施地理信息系统运行管理机制建设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建立数据管理和动态更新机制，按照数据“谁拥有，谁生产，谁负责”的原则，明确数据更新责任单位、更新内容、更新周期和更新方式，建立数据更新与同步机制，及时进行数据更新，保障数据的现势性、真实性、准确性和完整性。</w:t>
      </w:r>
    </w:p>
    <w:p>
      <w:pPr>
        <w:snapToGrid w:val="0"/>
        <w:spacing w:line="440" w:lineRule="exact"/>
        <w:jc w:val="left"/>
        <w:rPr>
          <w:rStyle w:val="34"/>
          <w:rFonts w:ascii="宋体" w:hAnsi="宋体"/>
          <w:b/>
          <w:color w:val="auto"/>
          <w:kern w:val="0"/>
          <w:sz w:val="24"/>
          <w:lang w:val="zh-CN"/>
        </w:rPr>
      </w:pPr>
      <w:r>
        <w:rPr>
          <w:rStyle w:val="34"/>
          <w:rFonts w:ascii="宋体" w:hAnsi="宋体"/>
          <w:b/>
          <w:color w:val="auto"/>
          <w:kern w:val="0"/>
          <w:sz w:val="24"/>
          <w:lang w:val="zh-CN"/>
        </w:rPr>
        <w:t>（二）排水相关设备建设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1、排水检查井铭牌</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对所有的排水检查井进行梳理，按照固定规则进行编号，并制作金属铭牌，方便进行巡查养护工作。在进行巡查养护工作时方便快速定位问题设施位置等信息。</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检查井铭牌要求：材质不锈钢，直径10公分，标示牌内容包含：雨污水检查井名称，流向符号，唯一标识码。</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2、物联感知设备</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2.1市政管网流量计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可进行排水工程的实时在线流速、水位、流量和水温测量。</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882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2570"/>
        <w:gridCol w:w="6254"/>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FFFFFF"/>
        </w:tblPrEx>
        <w:trPr>
          <w:jc w:val="center"/>
        </w:trPr>
        <w:tc>
          <w:tcPr>
            <w:tcW w:w="2570" w:type="dxa"/>
            <w:tcBorders>
              <w:top w:val="nil"/>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测流范围</w:t>
            </w:r>
          </w:p>
        </w:tc>
        <w:tc>
          <w:tcPr>
            <w:tcW w:w="6254" w:type="dxa"/>
            <w:tcBorders>
              <w:top w:val="nil"/>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0.01-5.00m/s</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测流准确度</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1.0%±1cm/s</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分辨率</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1mm</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水温测量范围</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-5-60℃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测温准确度</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±1℃</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水位范围</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0-5m，0-10m</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水位精度</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0.2%±0.2cm</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流量范围</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1升/秒-99999999立方米/每小时</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工作温度</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0-60℃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输出接口</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RS485或RS232，标准的MODBUS协议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工作电源</w:t>
            </w:r>
          </w:p>
        </w:tc>
        <w:tc>
          <w:tcPr>
            <w:tcW w:w="6254" w:type="dxa"/>
            <w:tcBorders>
              <w:top w:val="single" w:color="000000" w:sz="4" w:space="0"/>
              <w:left w:val="single" w:color="000000" w:sz="4" w:space="0"/>
              <w:bottom w:val="single" w:color="000000" w:sz="4" w:space="0"/>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AC220V、50HZ、±10%；DC12V±10%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jc w:val="center"/>
        </w:trPr>
        <w:tc>
          <w:tcPr>
            <w:tcW w:w="2570" w:type="dxa"/>
            <w:tcBorders>
              <w:top w:val="single" w:color="000000" w:sz="4" w:space="0"/>
              <w:left w:val="nil"/>
              <w:bottom w:val="nil"/>
              <w:right w:val="single" w:color="000000" w:sz="4" w:space="0"/>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安装方式</w:t>
            </w:r>
          </w:p>
        </w:tc>
        <w:tc>
          <w:tcPr>
            <w:tcW w:w="6254" w:type="dxa"/>
            <w:tcBorders>
              <w:top w:val="single" w:color="000000" w:sz="4" w:space="0"/>
              <w:left w:val="single" w:color="000000" w:sz="4" w:space="0"/>
              <w:bottom w:val="nil"/>
              <w:right w:val="nil"/>
            </w:tcBorders>
            <w:shd w:val="clear" w:color="auto" w:fill="FFFFFF"/>
            <w:vAlign w:val="center"/>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底部安装</w:t>
            </w:r>
          </w:p>
        </w:tc>
      </w:tr>
    </w:tbl>
    <w:p>
      <w:pPr>
        <w:snapToGrid w:val="0"/>
        <w:ind w:left="360"/>
        <w:rPr>
          <w:rStyle w:val="34"/>
          <w:rFonts w:ascii="等线" w:hAnsi="等线" w:eastAsia="等线" w:cs="Times New Roman"/>
          <w:b/>
          <w:bCs/>
          <w:color w:val="auto"/>
          <w:szCs w:val="22"/>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2.2水质设备</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2.2.1 pH、溶解氧、电导率、浊度、温度</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9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1415"/>
        <w:gridCol w:w="1705"/>
        <w:gridCol w:w="1674"/>
        <w:gridCol w:w="1958"/>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项目</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溶解氧</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pH</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电导率</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浊度</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重复性误差</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±0.3 mg/L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±0.1pH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±3％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零点漂移</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＜0.1 mg/L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±3％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量程漂移</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±0.2 mg/L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±5％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漂移</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±0.1pH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响应时间（s）</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45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15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15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温度补偿器误差</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±0.3 mg/L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±0.1pH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±1％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jc w:val="center"/>
        </w:trPr>
        <w:tc>
          <w:tcPr>
            <w:tcW w:w="1631"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线性误差</w:t>
            </w:r>
          </w:p>
        </w:tc>
        <w:tc>
          <w:tcPr>
            <w:tcW w:w="141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705"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674"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c>
          <w:tcPr>
            <w:tcW w:w="1958"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±5％ </w:t>
            </w:r>
          </w:p>
        </w:tc>
        <w:tc>
          <w:tcPr>
            <w:tcW w:w="1292" w:type="dxa"/>
            <w:tcBorders>
              <w:top w:val="single" w:color="000000" w:sz="4" w:space="0"/>
              <w:left w:val="single" w:color="000000" w:sz="4" w:space="0"/>
              <w:bottom w:val="single" w:color="000000" w:sz="4" w:space="0"/>
              <w:right w:val="single" w:color="000000" w:sz="4" w:space="0"/>
            </w:tcBorders>
          </w:tcPr>
          <w:p>
            <w:pPr>
              <w:snapToGrid w:val="0"/>
              <w:jc w:val="center"/>
              <w:rPr>
                <w:rStyle w:val="34"/>
                <w:rFonts w:ascii="Times New Roman" w:hAnsi="宋体" w:eastAsia="等线"/>
                <w:color w:val="auto"/>
                <w:szCs w:val="21"/>
              </w:rPr>
            </w:pPr>
            <w:r>
              <w:rPr>
                <w:rStyle w:val="34"/>
                <w:rFonts w:ascii="Times New Roman" w:hAnsi="宋体" w:eastAsia="等线"/>
                <w:color w:val="auto"/>
                <w:szCs w:val="21"/>
              </w:rPr>
              <w:t xml:space="preserve">N/A </w:t>
            </w:r>
          </w:p>
        </w:tc>
      </w:tr>
    </w:tbl>
    <w:p>
      <w:pPr>
        <w:snapToGrid w:val="0"/>
        <w:ind w:left="360"/>
        <w:rPr>
          <w:rStyle w:val="34"/>
          <w:rFonts w:ascii="等线" w:hAnsi="等线" w:eastAsia="等线" w:cs="Times New Roman"/>
          <w:b/>
          <w:bCs/>
          <w:color w:val="auto"/>
          <w:szCs w:val="22"/>
        </w:rPr>
      </w:pPr>
    </w:p>
    <w:p>
      <w:pPr>
        <w:snapToGrid w:val="0"/>
        <w:ind w:left="360"/>
        <w:rPr>
          <w:rStyle w:val="34"/>
          <w:rFonts w:ascii="等线" w:hAnsi="等线" w:eastAsia="等线" w:cs="Times New Roman"/>
          <w:b/>
          <w:bCs/>
          <w:color w:val="auto"/>
          <w:szCs w:val="22"/>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2.2.2 COD</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4027"/>
        <w:gridCol w:w="1284"/>
        <w:gridCol w:w="3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项目</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规格</w:t>
            </w:r>
            <w:r>
              <w:rPr>
                <w:rStyle w:val="34"/>
                <w:rFonts w:ascii="Times New Roman" w:hAnsi="宋体" w:eastAsia="等线" w:cs="Times New Roman"/>
                <w:b/>
                <w:bCs/>
                <w:color w:val="auto"/>
                <w:szCs w:val="21"/>
              </w:rPr>
              <w:tab/>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项目</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检测方法</w:t>
            </w:r>
          </w:p>
        </w:tc>
        <w:tc>
          <w:tcPr>
            <w:tcW w:w="8792" w:type="dxa"/>
            <w:gridSpan w:val="3"/>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重铬酸钾快速消解分光光度法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检测量程</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（0～1000）mg/L，扩展可以到10000mg/L</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MTBF</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≥720h/次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准确度</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±10%</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通讯接口</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 xml:space="preserve">RS232、（4～20）mA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重复性</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绝缘阻抗</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20MΩ以上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零点漂移</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±3mg/L</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电    源</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AC（220±22）V，（50±1）Hz，5A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量程漂移</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±10%F.S</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功    耗</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70"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测量周期</w:t>
            </w:r>
          </w:p>
        </w:tc>
        <w:tc>
          <w:tcPr>
            <w:tcW w:w="4027"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（30～50）min</w:t>
            </w:r>
          </w:p>
        </w:tc>
        <w:tc>
          <w:tcPr>
            <w:tcW w:w="12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尺    寸</w:t>
            </w:r>
          </w:p>
        </w:tc>
        <w:tc>
          <w:tcPr>
            <w:tcW w:w="3481"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1500mm×500mm×410mm</w:t>
            </w:r>
          </w:p>
        </w:tc>
      </w:tr>
    </w:tbl>
    <w:p>
      <w:pPr>
        <w:snapToGrid w:val="0"/>
        <w:ind w:firstLine="280" w:firstLineChars="100"/>
        <w:rPr>
          <w:rStyle w:val="34"/>
          <w:rFonts w:ascii="黑体" w:hAnsi="宋体" w:eastAsia="黑体"/>
          <w:color w:val="auto"/>
          <w:sz w:val="28"/>
          <w:szCs w:val="28"/>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 xml:space="preserve">2.2.3氨氮              </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3402"/>
        <w:gridCol w:w="1418"/>
        <w:gridCol w:w="3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项目</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规格</w:t>
            </w:r>
            <w:r>
              <w:rPr>
                <w:rStyle w:val="34"/>
                <w:rFonts w:ascii="Times New Roman" w:hAnsi="宋体" w:eastAsia="等线" w:cs="Times New Roman"/>
                <w:b/>
                <w:bCs/>
                <w:color w:val="auto"/>
                <w:szCs w:val="21"/>
              </w:rPr>
              <w:tab/>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项目</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s="Times New Roman"/>
                <w:b/>
                <w:bCs/>
                <w:color w:val="auto"/>
                <w:szCs w:val="21"/>
              </w:rPr>
            </w:pPr>
            <w:r>
              <w:rPr>
                <w:rStyle w:val="34"/>
                <w:rFonts w:ascii="Times New Roman" w:hAnsi="宋体" w:eastAsia="等线" w:cs="Times New Roman"/>
                <w:b/>
                <w:bCs/>
                <w:color w:val="auto"/>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检测方法</w:t>
            </w:r>
          </w:p>
        </w:tc>
        <w:tc>
          <w:tcPr>
            <w:tcW w:w="8169" w:type="dxa"/>
            <w:gridSpan w:val="3"/>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水杨酸分光光度法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检测量程</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 xml:space="preserve">（0～300）mg/L </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MTBF</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≥720h/次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准确度</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±10%</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通讯接口</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RS485/RS232、（4～20）mA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重复性</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绝缘阻抗</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20MΩ以上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零点漂移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电    源</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AC（220±22）V，（50±0.5）Hz，5A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量程漂移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功    耗</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测量周期</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（20～50）min</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尺    寸</w:t>
            </w:r>
          </w:p>
        </w:tc>
        <w:tc>
          <w:tcPr>
            <w:tcW w:w="3349"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1500mm×500mm×410mm</w:t>
            </w:r>
          </w:p>
        </w:tc>
      </w:tr>
    </w:tbl>
    <w:p>
      <w:pPr>
        <w:snapToGrid w:val="0"/>
        <w:rPr>
          <w:rStyle w:val="34"/>
          <w:rFonts w:ascii="黑体" w:hAnsi="宋体" w:eastAsia="黑体"/>
          <w:color w:val="auto"/>
          <w:sz w:val="28"/>
          <w:szCs w:val="28"/>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 xml:space="preserve">2.2.4总磷         </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3402"/>
        <w:gridCol w:w="1418"/>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项目</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规格</w:t>
            </w:r>
            <w:r>
              <w:rPr>
                <w:rStyle w:val="34"/>
                <w:rFonts w:ascii="Times New Roman" w:hAnsi="宋体" w:eastAsia="等线"/>
                <w:color w:val="auto"/>
                <w:szCs w:val="21"/>
              </w:rPr>
              <w:tab/>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项目</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检测方法</w:t>
            </w:r>
          </w:p>
        </w:tc>
        <w:tc>
          <w:tcPr>
            <w:tcW w:w="8578" w:type="dxa"/>
            <w:gridSpan w:val="3"/>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钼酸铵分光光度法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检测量程</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（0～300）mg/L</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MTBF</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≥720h/次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准确度</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±10%</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通讯接口</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RS485/RS232、（4～20）mA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重复性</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绝缘阻抗</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20MΩ以上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零点漂移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电    源</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AC（220±22）V，（50±1）Hz，5A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量程漂移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功    耗</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测量周期</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（30～50）min</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尺    寸</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1500mm×500mm×410mm</w:t>
            </w:r>
          </w:p>
        </w:tc>
      </w:tr>
    </w:tbl>
    <w:p>
      <w:pPr>
        <w:snapToGrid w:val="0"/>
        <w:rPr>
          <w:rStyle w:val="34"/>
          <w:rFonts w:ascii="等线" w:hAnsi="等线" w:eastAsia="等线"/>
          <w:color w:val="auto"/>
          <w:szCs w:val="22"/>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2.2.5总氮</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3402"/>
        <w:gridCol w:w="1418"/>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项目</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规格</w:t>
            </w:r>
            <w:r>
              <w:rPr>
                <w:rStyle w:val="34"/>
                <w:rFonts w:ascii="Times New Roman" w:hAnsi="宋体" w:eastAsia="等线"/>
                <w:color w:val="auto"/>
                <w:szCs w:val="21"/>
              </w:rPr>
              <w:tab/>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项目</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检测方法</w:t>
            </w:r>
          </w:p>
        </w:tc>
        <w:tc>
          <w:tcPr>
            <w:tcW w:w="8578" w:type="dxa"/>
            <w:gridSpan w:val="3"/>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碱性过硫酸钾消解紫外分光光度法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检测量程</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（0～100）mg/L，可扩展</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MTBF</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≥720h/次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准确度</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±10%</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通讯接口</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RS485/RS232、（4～20）mA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重复性</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绝缘阻抗</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20MΩ以上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零点漂移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电    源</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AC（220±22）V，（50±1）Hz，5A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量程漂移</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±5% F.S</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功    耗</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4"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测量周期</w:t>
            </w:r>
          </w:p>
        </w:tc>
        <w:tc>
          <w:tcPr>
            <w:tcW w:w="3402"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（30～50）min</w:t>
            </w:r>
          </w:p>
        </w:tc>
        <w:tc>
          <w:tcPr>
            <w:tcW w:w="141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尺    寸</w:t>
            </w:r>
          </w:p>
        </w:tc>
        <w:tc>
          <w:tcPr>
            <w:tcW w:w="3758" w:type="dxa"/>
            <w:tcBorders>
              <w:top w:val="single" w:color="000000" w:sz="4" w:space="0"/>
              <w:left w:val="single" w:color="000000" w:sz="4" w:space="0"/>
              <w:bottom w:val="single" w:color="000000" w:sz="4" w:space="0"/>
              <w:right w:val="single" w:color="000000" w:sz="4" w:space="0"/>
            </w:tcBorders>
          </w:tcPr>
          <w:p>
            <w:pPr>
              <w:snapToGrid w:val="0"/>
              <w:rPr>
                <w:rStyle w:val="34"/>
                <w:rFonts w:ascii="Times New Roman" w:hAnsi="宋体" w:eastAsia="等线"/>
                <w:color w:val="auto"/>
                <w:szCs w:val="21"/>
              </w:rPr>
            </w:pPr>
            <w:r>
              <w:rPr>
                <w:rStyle w:val="34"/>
                <w:rFonts w:ascii="Times New Roman" w:hAnsi="宋体" w:eastAsia="等线"/>
                <w:color w:val="auto"/>
                <w:szCs w:val="21"/>
              </w:rPr>
              <w:t>1500mm×500mm×410mm</w:t>
            </w:r>
          </w:p>
        </w:tc>
      </w:tr>
    </w:tbl>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2.2.6药品</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以上设备，需提供1年运行的试剂药品。</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2.2.7采集传输</w:t>
      </w:r>
    </w:p>
    <w:p>
      <w:pPr>
        <w:snapToGrid w:val="0"/>
        <w:ind w:firstLine="480" w:firstLineChars="200"/>
        <w:rPr>
          <w:rStyle w:val="34"/>
          <w:rFonts w:ascii="Times New Roman" w:hAnsi="等线" w:eastAsia="等线"/>
          <w:color w:val="auto"/>
          <w:szCs w:val="22"/>
        </w:rPr>
      </w:pPr>
      <w:r>
        <w:rPr>
          <w:rStyle w:val="34"/>
          <w:rFonts w:ascii="宋体" w:hAnsi="宋体"/>
          <w:color w:val="auto"/>
          <w:sz w:val="24"/>
        </w:rPr>
        <w:t>技术参数</w:t>
      </w:r>
    </w:p>
    <w:tbl>
      <w:tblPr>
        <w:tblStyle w:val="13"/>
        <w:tblW w:w="8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6"/>
        <w:gridCol w:w="2068"/>
        <w:gridCol w:w="5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3494" w:type="dxa"/>
            <w:gridSpan w:val="2"/>
            <w:tcBorders>
              <w:top w:val="single" w:color="000000" w:sz="4" w:space="0"/>
              <w:left w:val="single" w:color="000000" w:sz="4" w:space="0"/>
              <w:bottom w:val="single" w:color="000000" w:sz="4" w:space="0"/>
              <w:right w:val="single" w:color="000000" w:sz="4" w:space="0"/>
            </w:tcBorders>
            <w:shd w:val="clear" w:color="auto" w:fill="CCCCCC"/>
            <w:vAlign w:val="center"/>
          </w:tcPr>
          <w:p>
            <w:pPr>
              <w:snapToGrid w:val="0"/>
              <w:jc w:val="center"/>
              <w:rPr>
                <w:rStyle w:val="34"/>
                <w:rFonts w:ascii="宋体" w:cs="Times New Roman"/>
                <w:b/>
                <w:bCs/>
                <w:color w:val="auto"/>
                <w:szCs w:val="21"/>
              </w:rPr>
            </w:pPr>
            <w:r>
              <w:rPr>
                <w:rStyle w:val="34"/>
                <w:rFonts w:ascii="宋体" w:cs="Times New Roman"/>
                <w:b/>
                <w:bCs/>
                <w:color w:val="auto"/>
                <w:szCs w:val="21"/>
              </w:rPr>
              <w:t>项目</w:t>
            </w:r>
          </w:p>
        </w:tc>
        <w:tc>
          <w:tcPr>
            <w:tcW w:w="5280" w:type="dxa"/>
            <w:tcBorders>
              <w:top w:val="single" w:color="000000" w:sz="4" w:space="0"/>
              <w:left w:val="single" w:color="000000" w:sz="4" w:space="0"/>
              <w:bottom w:val="single" w:color="000000" w:sz="4" w:space="0"/>
              <w:right w:val="single" w:color="000000" w:sz="4" w:space="0"/>
            </w:tcBorders>
            <w:shd w:val="clear" w:color="auto" w:fill="CCCCCC"/>
            <w:vAlign w:val="center"/>
          </w:tcPr>
          <w:p>
            <w:pPr>
              <w:snapToGrid w:val="0"/>
              <w:jc w:val="center"/>
              <w:rPr>
                <w:rStyle w:val="34"/>
                <w:rFonts w:ascii="宋体" w:cs="Times New Roman"/>
                <w:b/>
                <w:bCs/>
                <w:color w:val="auto"/>
                <w:szCs w:val="21"/>
              </w:rPr>
            </w:pPr>
            <w:r>
              <w:rPr>
                <w:rStyle w:val="34"/>
                <w:rFonts w:ascii="宋体" w:cs="Times New Roman"/>
                <w:b/>
                <w:bCs/>
                <w:color w:val="auto"/>
                <w:szCs w:val="21"/>
              </w:rPr>
              <w:t>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显示单元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hAnsi="宋体"/>
                <w:color w:val="auto"/>
                <w:szCs w:val="21"/>
              </w:rPr>
            </w:pPr>
            <w:r>
              <w:rPr>
                <w:rStyle w:val="34"/>
                <w:rFonts w:hAnsi="宋体"/>
                <w:color w:val="auto"/>
                <w:szCs w:val="21"/>
              </w:rPr>
              <w:t>触摸屏</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7寸，分辨率：800*480，16.7M色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s="Times New Roman"/>
                <w:b/>
                <w:bCs/>
                <w:color w:val="auto"/>
                <w:szCs w:val="21"/>
              </w:rPr>
            </w:pPr>
            <w:r>
              <w:rPr>
                <w:rStyle w:val="34"/>
                <w:rFonts w:ascii="宋体" w:cs="Times New Roman"/>
                <w:b/>
                <w:bCs/>
                <w:color w:val="auto"/>
                <w:szCs w:val="21"/>
              </w:rPr>
              <w:t>数据采集</w:t>
            </w:r>
          </w:p>
          <w:p>
            <w:pPr>
              <w:snapToGrid w:val="0"/>
              <w:jc w:val="center"/>
              <w:rPr>
                <w:rStyle w:val="34"/>
                <w:rFonts w:ascii="宋体"/>
                <w:color w:val="auto"/>
                <w:szCs w:val="21"/>
              </w:rPr>
            </w:pPr>
            <w:r>
              <w:rPr>
                <w:rStyle w:val="34"/>
                <w:rFonts w:ascii="宋体" w:cs="Times New Roman"/>
                <w:b/>
                <w:bCs/>
                <w:color w:val="auto"/>
                <w:szCs w:val="21"/>
              </w:rPr>
              <w:t>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hAnsi="宋体"/>
                <w:color w:val="auto"/>
                <w:szCs w:val="21"/>
              </w:rPr>
            </w:pPr>
            <w:r>
              <w:rPr>
                <w:rStyle w:val="34"/>
                <w:rFonts w:hAnsi="宋体"/>
                <w:color w:val="auto"/>
                <w:szCs w:val="21"/>
              </w:rPr>
              <w:t>模拟量输入</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8路，12位分辨率,0/4~20mA或0/1~5V输入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开关量输出</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4路，继电器输出，220V5A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开关量输入</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4路，光耦隔离，支持3~24V直流输入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RS-232接口</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5路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RS-485接口</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2路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存储单元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内部存储容量</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32M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扩展存储接口</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TF卡，最大支持32G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s="Times New Roman"/>
                <w:b/>
                <w:bCs/>
                <w:color w:val="auto"/>
                <w:szCs w:val="21"/>
              </w:rPr>
            </w:pPr>
            <w:r>
              <w:rPr>
                <w:rStyle w:val="34"/>
                <w:rFonts w:ascii="宋体" w:cs="Times New Roman"/>
                <w:b/>
                <w:bCs/>
                <w:color w:val="auto"/>
                <w:szCs w:val="21"/>
              </w:rPr>
              <w:t>数据传输</w:t>
            </w:r>
          </w:p>
          <w:p>
            <w:pPr>
              <w:snapToGrid w:val="0"/>
              <w:jc w:val="center"/>
              <w:rPr>
                <w:rStyle w:val="34"/>
                <w:rFonts w:ascii="宋体"/>
                <w:color w:val="auto"/>
                <w:szCs w:val="21"/>
              </w:rPr>
            </w:pPr>
            <w:r>
              <w:rPr>
                <w:rStyle w:val="34"/>
                <w:rFonts w:ascii="宋体" w:cs="Times New Roman"/>
                <w:b/>
                <w:bCs/>
                <w:color w:val="auto"/>
                <w:szCs w:val="21"/>
              </w:rPr>
              <w:t>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有线传输</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以太网，1个10/100M自适应，RJ45端口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无线传输</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编码与频段：</w:t>
            </w:r>
          </w:p>
          <w:p>
            <w:pPr>
              <w:snapToGrid w:val="0"/>
              <w:ind w:firstLine="210" w:firstLineChars="100"/>
              <w:rPr>
                <w:rStyle w:val="34"/>
                <w:rFonts w:ascii="宋体"/>
                <w:color w:val="auto"/>
                <w:szCs w:val="21"/>
              </w:rPr>
            </w:pPr>
            <w:r>
              <w:rPr>
                <w:rStyle w:val="34"/>
                <w:rFonts w:ascii="宋体"/>
                <w:color w:val="auto"/>
                <w:szCs w:val="21"/>
              </w:rPr>
              <w:t>TDD-LTE B38/B39/B40/B41</w:t>
            </w:r>
          </w:p>
          <w:p>
            <w:pPr>
              <w:snapToGrid w:val="0"/>
              <w:ind w:firstLine="210" w:firstLineChars="100"/>
              <w:rPr>
                <w:rStyle w:val="34"/>
                <w:rFonts w:ascii="宋体"/>
                <w:color w:val="auto"/>
                <w:szCs w:val="21"/>
              </w:rPr>
            </w:pPr>
            <w:r>
              <w:rPr>
                <w:rStyle w:val="34"/>
                <w:rFonts w:ascii="宋体"/>
                <w:color w:val="auto"/>
                <w:szCs w:val="21"/>
              </w:rPr>
              <w:t>FDD-LTE B1/B3/B8</w:t>
            </w:r>
          </w:p>
          <w:p>
            <w:pPr>
              <w:snapToGrid w:val="0"/>
              <w:ind w:firstLine="210" w:firstLineChars="100"/>
              <w:rPr>
                <w:rStyle w:val="34"/>
                <w:rFonts w:ascii="宋体"/>
                <w:color w:val="auto"/>
                <w:szCs w:val="21"/>
              </w:rPr>
            </w:pPr>
            <w:r>
              <w:rPr>
                <w:rStyle w:val="34"/>
                <w:rFonts w:ascii="宋体"/>
                <w:color w:val="auto"/>
                <w:szCs w:val="21"/>
              </w:rPr>
              <w:t>TD-SCDMA  B34/B39</w:t>
            </w:r>
          </w:p>
          <w:p>
            <w:pPr>
              <w:snapToGrid w:val="0"/>
              <w:ind w:firstLine="210" w:firstLineChars="100"/>
              <w:rPr>
                <w:rStyle w:val="34"/>
                <w:rFonts w:ascii="宋体"/>
                <w:color w:val="auto"/>
                <w:szCs w:val="21"/>
              </w:rPr>
            </w:pPr>
            <w:r>
              <w:rPr>
                <w:rStyle w:val="34"/>
                <w:rFonts w:ascii="宋体"/>
                <w:color w:val="auto"/>
                <w:szCs w:val="21"/>
              </w:rPr>
              <w:t>WCDMA/HSDPA/HSPA+  B1/B8</w:t>
            </w:r>
          </w:p>
          <w:p>
            <w:pPr>
              <w:snapToGrid w:val="0"/>
              <w:ind w:firstLine="210" w:firstLineChars="100"/>
              <w:rPr>
                <w:rStyle w:val="34"/>
                <w:rFonts w:ascii="宋体"/>
                <w:color w:val="auto"/>
                <w:szCs w:val="21"/>
              </w:rPr>
            </w:pPr>
            <w:r>
              <w:rPr>
                <w:rStyle w:val="34"/>
                <w:rFonts w:ascii="宋体"/>
                <w:color w:val="auto"/>
                <w:szCs w:val="21"/>
              </w:rPr>
              <w:t>CDMA 1X/EVDO BC0</w:t>
            </w:r>
          </w:p>
          <w:p>
            <w:pPr>
              <w:snapToGrid w:val="0"/>
              <w:ind w:firstLine="210" w:firstLineChars="100"/>
              <w:rPr>
                <w:rStyle w:val="34"/>
                <w:rFonts w:ascii="宋体"/>
                <w:color w:val="auto"/>
                <w:szCs w:val="21"/>
              </w:rPr>
            </w:pPr>
            <w:r>
              <w:rPr>
                <w:rStyle w:val="34"/>
                <w:rFonts w:ascii="宋体"/>
                <w:color w:val="auto"/>
                <w:szCs w:val="21"/>
              </w:rPr>
              <w:t>GSM/GPRS/EDGE 900/1800 MHz</w:t>
            </w:r>
          </w:p>
          <w:p>
            <w:pPr>
              <w:snapToGrid w:val="0"/>
              <w:rPr>
                <w:rStyle w:val="34"/>
                <w:rFonts w:ascii="宋体"/>
                <w:color w:val="auto"/>
                <w:szCs w:val="21"/>
              </w:rPr>
            </w:pPr>
            <w:r>
              <w:rPr>
                <w:rStyle w:val="34"/>
                <w:rFonts w:ascii="宋体"/>
                <w:color w:val="auto"/>
                <w:szCs w:val="21"/>
              </w:rPr>
              <w:t>传输方式：TCP、UDP、SMS</w:t>
            </w:r>
          </w:p>
          <w:p>
            <w:pPr>
              <w:snapToGrid w:val="0"/>
              <w:rPr>
                <w:rStyle w:val="34"/>
                <w:rFonts w:ascii="宋体"/>
                <w:color w:val="auto"/>
                <w:szCs w:val="21"/>
              </w:rPr>
            </w:pPr>
            <w:r>
              <w:rPr>
                <w:rStyle w:val="34"/>
                <w:rFonts w:ascii="宋体"/>
                <w:color w:val="auto"/>
                <w:szCs w:val="21"/>
              </w:rPr>
              <w:t>SIM/UMI卡型：标准SIM卡</w:t>
            </w:r>
          </w:p>
          <w:p>
            <w:pPr>
              <w:snapToGrid w:val="0"/>
              <w:rPr>
                <w:rStyle w:val="34"/>
                <w:rFonts w:ascii="宋体"/>
                <w:color w:val="auto"/>
                <w:szCs w:val="21"/>
              </w:rPr>
            </w:pPr>
            <w:r>
              <w:rPr>
                <w:rStyle w:val="34"/>
                <w:rFonts w:ascii="宋体"/>
                <w:color w:val="auto"/>
                <w:szCs w:val="21"/>
              </w:rPr>
              <w:t>天线接口：50</w:t>
            </w:r>
            <w:r>
              <w:rPr>
                <w:rStyle w:val="34"/>
                <w:rFonts w:ascii="微软雅黑" w:hAnsi="微软雅黑" w:eastAsia="微软雅黑"/>
                <w:color w:val="auto"/>
                <w:szCs w:val="21"/>
              </w:rPr>
              <w:t>Ω</w:t>
            </w:r>
            <w:r>
              <w:rPr>
                <w:rStyle w:val="34"/>
                <w:rFonts w:ascii="宋体"/>
                <w:color w:val="auto"/>
                <w:szCs w:val="21"/>
              </w:rPr>
              <w:t>/SMA-K（阴头）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电源单元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主电源</w:t>
            </w:r>
          </w:p>
        </w:tc>
        <w:tc>
          <w:tcPr>
            <w:tcW w:w="5280" w:type="dxa"/>
            <w:tcBorders>
              <w:top w:val="single" w:color="000000" w:sz="4" w:space="0"/>
              <w:left w:val="single" w:color="000000" w:sz="4" w:space="0"/>
              <w:bottom w:val="single" w:color="000000" w:sz="4" w:space="0"/>
              <w:right w:val="single" w:color="000000" w:sz="4" w:space="0"/>
            </w:tcBorders>
          </w:tcPr>
          <w:p>
            <w:pPr>
              <w:snapToGrid w:val="0"/>
              <w:jc w:val="left"/>
              <w:rPr>
                <w:rStyle w:val="34"/>
                <w:rFonts w:ascii="等线" w:hAnsi="等线" w:eastAsia="等线"/>
                <w:color w:val="auto"/>
                <w:szCs w:val="22"/>
              </w:rPr>
            </w:pPr>
            <w:r>
              <w:rPr>
                <w:rStyle w:val="34"/>
                <w:rFonts w:ascii="宋体" w:hAnsi="等线" w:eastAsia="等线"/>
                <w:color w:val="auto"/>
                <w:szCs w:val="21"/>
              </w:rPr>
              <w:t>供电电压：220V±</w:t>
            </w:r>
            <w:r>
              <w:rPr>
                <w:rStyle w:val="34"/>
                <w:rFonts w:ascii="TimesNewRomanPSMT" w:hAnsi="TimesNewRomanPSMT" w:eastAsia="TimesNewRomanPSMT"/>
                <w:color w:val="auto"/>
                <w:szCs w:val="21"/>
              </w:rPr>
              <w:t>15%</w:t>
            </w:r>
            <w:r>
              <w:rPr>
                <w:rStyle w:val="34"/>
                <w:rFonts w:ascii="宋体" w:hAnsi="宋体"/>
                <w:color w:val="auto"/>
                <w:szCs w:val="21"/>
              </w:rPr>
              <w:t>，</w:t>
            </w:r>
            <w:r>
              <w:rPr>
                <w:rStyle w:val="34"/>
                <w:rFonts w:ascii="TimesNewRomanPSMT" w:hAnsi="TimesNewRomanPSMT" w:eastAsia="TimesNewRomanPSMT"/>
                <w:color w:val="auto"/>
                <w:szCs w:val="21"/>
              </w:rPr>
              <w:t>50Hz</w:t>
            </w:r>
          </w:p>
          <w:p>
            <w:pPr>
              <w:snapToGrid w:val="0"/>
              <w:rPr>
                <w:rStyle w:val="34"/>
                <w:rFonts w:ascii="宋体"/>
                <w:color w:val="auto"/>
                <w:szCs w:val="21"/>
              </w:rPr>
            </w:pPr>
            <w:r>
              <w:rPr>
                <w:rStyle w:val="34"/>
                <w:rFonts w:ascii="宋体"/>
                <w:color w:val="auto"/>
                <w:szCs w:val="21"/>
              </w:rPr>
              <w:t>电源规格：12V/2A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备用电源</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充电电压：8.4V</w:t>
            </w:r>
          </w:p>
          <w:p>
            <w:pPr>
              <w:snapToGrid w:val="0"/>
              <w:rPr>
                <w:rStyle w:val="34"/>
                <w:rFonts w:ascii="宋体"/>
                <w:color w:val="auto"/>
                <w:szCs w:val="21"/>
              </w:rPr>
            </w:pPr>
            <w:r>
              <w:rPr>
                <w:rStyle w:val="34"/>
                <w:rFonts w:ascii="宋体"/>
                <w:color w:val="auto"/>
                <w:szCs w:val="21"/>
              </w:rPr>
              <w:t>充电电流：0-500mA</w:t>
            </w:r>
          </w:p>
          <w:p>
            <w:pPr>
              <w:snapToGrid w:val="0"/>
              <w:rPr>
                <w:rStyle w:val="34"/>
                <w:rFonts w:ascii="宋体"/>
                <w:color w:val="auto"/>
                <w:szCs w:val="21"/>
              </w:rPr>
            </w:pPr>
            <w:r>
              <w:rPr>
                <w:rStyle w:val="34"/>
                <w:rFonts w:ascii="宋体"/>
                <w:color w:val="auto"/>
                <w:szCs w:val="21"/>
              </w:rPr>
              <w:t>电池容量：4000mAH</w:t>
            </w:r>
          </w:p>
          <w:p>
            <w:pPr>
              <w:snapToGrid w:val="0"/>
              <w:rPr>
                <w:rStyle w:val="34"/>
                <w:rFonts w:ascii="宋体"/>
                <w:color w:val="auto"/>
                <w:szCs w:val="21"/>
              </w:rPr>
            </w:pPr>
            <w:r>
              <w:rPr>
                <w:rStyle w:val="34"/>
                <w:rFonts w:ascii="宋体"/>
                <w:color w:val="auto"/>
                <w:szCs w:val="21"/>
              </w:rPr>
              <w:t>其它要求：主电源断开工作大于6小时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接线单元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接线端子</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2EDG5.08插拔式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壳体</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尺寸</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s="Times New Roman"/>
                <w:b/>
                <w:bCs/>
                <w:color w:val="auto"/>
                <w:szCs w:val="21"/>
              </w:rPr>
            </w:pPr>
            <w:r>
              <w:rPr>
                <w:rStyle w:val="34"/>
                <w:rFonts w:ascii="宋体"/>
                <w:color w:val="auto"/>
                <w:szCs w:val="21"/>
              </w:rPr>
              <w:t>320X380X80（单位mm）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材质</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s="Times New Roman"/>
                <w:b/>
                <w:bCs/>
                <w:color w:val="auto"/>
                <w:szCs w:val="21"/>
              </w:rPr>
            </w:pPr>
            <w:r>
              <w:rPr>
                <w:rStyle w:val="34"/>
                <w:rFonts w:ascii="宋体"/>
                <w:color w:val="auto"/>
                <w:szCs w:val="21"/>
              </w:rPr>
              <w:t>烤漆钢板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其它要求</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s="Times New Roman"/>
                <w:b/>
                <w:bCs/>
                <w:color w:val="auto"/>
                <w:szCs w:val="21"/>
              </w:rPr>
            </w:pPr>
            <w:r>
              <w:rPr>
                <w:rStyle w:val="34"/>
                <w:rFonts w:ascii="宋体"/>
                <w:color w:val="auto"/>
                <w:szCs w:val="21"/>
              </w:rPr>
              <w:t>不应有明显划痕、裂缝、变形和污染，仪器表面涂镀层应均匀，不应起泡、龟裂、脱落和磨损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工作环境</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环境温度</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-20-55摄氏度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环境湿度</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不高于95%RH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s="Times New Roman"/>
                <w:b/>
                <w:bCs/>
                <w:color w:val="auto"/>
                <w:szCs w:val="21"/>
              </w:rPr>
              <w:t>其它规格</w:t>
            </w: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s="Times New Roman"/>
                <w:b/>
                <w:bCs/>
                <w:color w:val="auto"/>
                <w:szCs w:val="21"/>
              </w:rPr>
            </w:pPr>
            <w:r>
              <w:rPr>
                <w:rStyle w:val="34"/>
                <w:rFonts w:ascii="宋体"/>
                <w:color w:val="auto"/>
                <w:szCs w:val="21"/>
              </w:rPr>
              <w:t>时钟精度</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5ppm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硬件看门狗</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MTBF</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&gt;3000小时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数据导出</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通过TF卡导出csv格式文件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6"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rFonts w:ascii="宋体"/>
                <w:color w:val="auto"/>
                <w:szCs w:val="21"/>
              </w:rPr>
            </w:pPr>
            <w:r>
              <w:rPr>
                <w:rStyle w:val="34"/>
                <w:rFonts w:ascii="宋体"/>
                <w:color w:val="auto"/>
                <w:szCs w:val="21"/>
              </w:rPr>
              <w:t>密码保护</w:t>
            </w:r>
          </w:p>
        </w:tc>
        <w:tc>
          <w:tcPr>
            <w:tcW w:w="5280" w:type="dxa"/>
            <w:tcBorders>
              <w:top w:val="single" w:color="000000" w:sz="4" w:space="0"/>
              <w:left w:val="single" w:color="000000" w:sz="4" w:space="0"/>
              <w:bottom w:val="single" w:color="000000" w:sz="4" w:space="0"/>
              <w:right w:val="single" w:color="000000" w:sz="4" w:space="0"/>
            </w:tcBorders>
          </w:tcPr>
          <w:p>
            <w:pPr>
              <w:snapToGrid w:val="0"/>
              <w:rPr>
                <w:rStyle w:val="34"/>
                <w:rFonts w:ascii="宋体"/>
                <w:color w:val="auto"/>
                <w:szCs w:val="21"/>
              </w:rPr>
            </w:pPr>
            <w:r>
              <w:rPr>
                <w:rStyle w:val="34"/>
                <w:rFonts w:ascii="宋体"/>
                <w:color w:val="auto"/>
                <w:szCs w:val="21"/>
              </w:rPr>
              <w:t>支持</w:t>
            </w:r>
          </w:p>
        </w:tc>
      </w:tr>
    </w:tbl>
    <w:p>
      <w:pPr>
        <w:snapToGrid w:val="0"/>
        <w:rPr>
          <w:rStyle w:val="34"/>
          <w:rFonts w:ascii="Times New Roman" w:hAnsi="等线" w:eastAsia="等线"/>
          <w:color w:val="auto"/>
          <w:szCs w:val="22"/>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2.3检查井监测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2.3.1水位监测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采用投入式压力水位计，量程：10米</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环境温度：-10～80℃</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大 气 压： 86～106kPa</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补偿温度范围： 0～50℃</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精度 ：典型值 0.25%FS</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分辨率：1厘米</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长期稳定性：0.25%FS（典型值）</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输出信号：4～20 mA  两线制</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电源：24 VDC</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电缆：两芯0.3平方导气屏蔽电缆</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绝缘：100MΩ／50V</w:t>
      </w:r>
    </w:p>
    <w:p>
      <w:pPr>
        <w:numPr>
          <w:ilvl w:val="0"/>
          <w:numId w:val="8"/>
        </w:numPr>
        <w:snapToGrid w:val="0"/>
        <w:spacing w:line="460" w:lineRule="exact"/>
        <w:jc w:val="left"/>
        <w:rPr>
          <w:rStyle w:val="34"/>
          <w:rFonts w:ascii="宋体" w:hAnsi="宋体"/>
          <w:color w:val="auto"/>
          <w:sz w:val="24"/>
        </w:rPr>
      </w:pPr>
      <w:r>
        <w:rPr>
          <w:rStyle w:val="34"/>
          <w:rFonts w:ascii="宋体" w:hAnsi="宋体"/>
          <w:color w:val="auto"/>
          <w:sz w:val="24"/>
        </w:rPr>
        <w:t>防护等级：IP68</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2.3.2井盖监测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行程开关、常开、常闭型均可。</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2.3.3 RTU采集传输</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防护等级IP68；</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可采集水位、开关信号，采集间隔可任意设置；</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监测数据越限报警，电池电压低报警、传感器故障报警；</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本机循环存储监测数据，掉电不丢失；</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存储容量：配置32M容量</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支持远程修改设备工作参数、远程诊断设备运行故障、升级设备程序；</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电池供电，为增加采集周期，外配80Ah电池；</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支持GPRS、CDMA、4G、短信息通信；</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支持水文、水资源各种规约，可定制开发。</w:t>
      </w:r>
    </w:p>
    <w:p>
      <w:pPr>
        <w:numPr>
          <w:ilvl w:val="0"/>
          <w:numId w:val="9"/>
        </w:numPr>
        <w:snapToGrid w:val="0"/>
        <w:spacing w:line="460" w:lineRule="exact"/>
        <w:jc w:val="left"/>
        <w:rPr>
          <w:rStyle w:val="34"/>
          <w:rFonts w:ascii="宋体" w:hAnsi="宋体"/>
          <w:color w:val="auto"/>
          <w:sz w:val="24"/>
        </w:rPr>
      </w:pPr>
      <w:r>
        <w:rPr>
          <w:rStyle w:val="34"/>
          <w:rFonts w:ascii="宋体" w:hAnsi="宋体"/>
          <w:color w:val="auto"/>
          <w:sz w:val="24"/>
        </w:rPr>
        <w:t>配套防水接线盒。</w:t>
      </w:r>
    </w:p>
    <w:p>
      <w:pPr>
        <w:snapToGrid w:val="0"/>
        <w:spacing w:line="460" w:lineRule="exact"/>
        <w:ind w:firstLine="480" w:firstLineChars="200"/>
        <w:jc w:val="left"/>
        <w:rPr>
          <w:rStyle w:val="34"/>
          <w:rFonts w:ascii="宋体" w:hAnsi="宋体"/>
          <w:color w:val="auto"/>
          <w:sz w:val="24"/>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2.4城市低洼地液位监测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2.4.1液位监测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7995" w:type="dxa"/>
        <w:jc w:val="center"/>
        <w:tblLayout w:type="autofit"/>
        <w:tblCellMar>
          <w:top w:w="0" w:type="dxa"/>
          <w:left w:w="108" w:type="dxa"/>
          <w:bottom w:w="0" w:type="dxa"/>
          <w:right w:w="108" w:type="dxa"/>
        </w:tblCellMar>
      </w:tblPr>
      <w:tblGrid>
        <w:gridCol w:w="2298"/>
        <w:gridCol w:w="5697"/>
      </w:tblGrid>
      <w:tr>
        <w:tblPrEx>
          <w:tblCellMar>
            <w:top w:w="0" w:type="dxa"/>
            <w:left w:w="108" w:type="dxa"/>
            <w:bottom w:w="0" w:type="dxa"/>
            <w:right w:w="108" w:type="dxa"/>
          </w:tblCellMar>
        </w:tblPrEx>
        <w:trPr>
          <w:trHeight w:val="278"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20"/>
                <w:szCs w:val="20"/>
              </w:rPr>
            </w:pPr>
            <w:r>
              <w:rPr>
                <w:rStyle w:val="34"/>
                <w:rFonts w:ascii="微软雅黑" w:hAnsi="微软雅黑" w:eastAsia="微软雅黑" w:cs="宋体"/>
                <w:b/>
                <w:bCs/>
                <w:color w:val="auto"/>
                <w:kern w:val="0"/>
                <w:sz w:val="20"/>
                <w:szCs w:val="20"/>
              </w:rPr>
              <w:t>参数类型</w:t>
            </w:r>
          </w:p>
        </w:tc>
        <w:tc>
          <w:tcPr>
            <w:tcW w:w="5697" w:type="dxa"/>
            <w:tcBorders>
              <w:top w:val="single" w:color="000000" w:sz="4" w:space="0"/>
              <w:left w:val="nil"/>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20"/>
                <w:szCs w:val="20"/>
              </w:rPr>
            </w:pPr>
            <w:r>
              <w:rPr>
                <w:rStyle w:val="34"/>
                <w:rFonts w:ascii="微软雅黑" w:hAnsi="微软雅黑" w:eastAsia="微软雅黑" w:cs="宋体"/>
                <w:b/>
                <w:bCs/>
                <w:color w:val="auto"/>
                <w:kern w:val="0"/>
                <w:sz w:val="20"/>
                <w:szCs w:val="20"/>
              </w:rPr>
              <w:t>详细数据</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水位量程</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0～5m，可定制</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水位分辨力</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0.1cm</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  水位过载能力   </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200%FS</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水位精度</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0.05%</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温度分辨力</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0.003℃</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温度精度</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±0.05℃</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工作温度</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-20到+80℃</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通信方式</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GPRS、CDMA、4G、短消息</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存储容量</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4M/8M/16M/32M可选</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供电电压</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DC 10-28V</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标配电池</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14Ah/14.4V，锂电池组，外接80Ah电池，可外接太阳能供电</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防水等级</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IP68</w:t>
            </w:r>
          </w:p>
        </w:tc>
      </w:tr>
      <w:tr>
        <w:tblPrEx>
          <w:tblCellMar>
            <w:top w:w="0" w:type="dxa"/>
            <w:left w:w="108" w:type="dxa"/>
            <w:bottom w:w="0" w:type="dxa"/>
            <w:right w:w="108" w:type="dxa"/>
          </w:tblCellMar>
        </w:tblPrEx>
        <w:trPr>
          <w:trHeight w:val="278" w:hRule="atLeast"/>
          <w:jc w:val="center"/>
        </w:trPr>
        <w:tc>
          <w:tcPr>
            <w:tcW w:w="2298" w:type="dxa"/>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防护管</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外置防护管，用于设备防护</w:t>
            </w:r>
          </w:p>
        </w:tc>
      </w:tr>
      <w:tr>
        <w:tblPrEx>
          <w:tblCellMar>
            <w:top w:w="0" w:type="dxa"/>
            <w:left w:w="108" w:type="dxa"/>
            <w:bottom w:w="0" w:type="dxa"/>
            <w:right w:w="108" w:type="dxa"/>
          </w:tblCellMar>
        </w:tblPrEx>
        <w:trPr>
          <w:trHeight w:val="278" w:hRule="atLeast"/>
          <w:jc w:val="center"/>
        </w:trPr>
        <w:tc>
          <w:tcPr>
            <w:tcW w:w="2298"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工作环境</w:t>
            </w: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水上部分——温度：-40℃～+85℃；湿度：≤95%    </w:t>
            </w:r>
          </w:p>
        </w:tc>
      </w:tr>
      <w:tr>
        <w:tblPrEx>
          <w:tblCellMar>
            <w:top w:w="0" w:type="dxa"/>
            <w:left w:w="108" w:type="dxa"/>
            <w:bottom w:w="0" w:type="dxa"/>
            <w:right w:w="108" w:type="dxa"/>
          </w:tblCellMar>
        </w:tblPrEx>
        <w:trPr>
          <w:trHeight w:val="278" w:hRule="atLeast"/>
          <w:jc w:val="center"/>
        </w:trPr>
        <w:tc>
          <w:tcPr>
            <w:tcW w:w="229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olor w:val="auto"/>
                <w:kern w:val="0"/>
                <w:sz w:val="20"/>
                <w:szCs w:val="20"/>
              </w:rPr>
            </w:pPr>
          </w:p>
        </w:tc>
        <w:tc>
          <w:tcPr>
            <w:tcW w:w="569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微软雅黑" w:hAnsi="微软雅黑" w:eastAsia="微软雅黑"/>
                <w:color w:val="auto"/>
                <w:kern w:val="0"/>
                <w:sz w:val="20"/>
                <w:szCs w:val="20"/>
              </w:rPr>
            </w:pPr>
            <w:r>
              <w:rPr>
                <w:rStyle w:val="34"/>
                <w:rFonts w:ascii="微软雅黑" w:hAnsi="微软雅黑" w:eastAsia="微软雅黑"/>
                <w:color w:val="auto"/>
                <w:kern w:val="0"/>
                <w:sz w:val="20"/>
                <w:szCs w:val="20"/>
              </w:rPr>
              <w:t>水下部分——0℃～80℃（接触的水不结冰） </w:t>
            </w:r>
          </w:p>
        </w:tc>
      </w:tr>
    </w:tbl>
    <w:p>
      <w:pPr>
        <w:pStyle w:val="21"/>
        <w:snapToGrid w:val="0"/>
        <w:ind w:firstLine="600"/>
        <w:rPr>
          <w:rStyle w:val="34"/>
          <w:color w:val="auto"/>
        </w:rPr>
      </w:pP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2.5视频监控</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8642" w:type="dxa"/>
        <w:tblInd w:w="113" w:type="dxa"/>
        <w:tblLayout w:type="autofit"/>
        <w:tblCellMar>
          <w:top w:w="0" w:type="dxa"/>
          <w:left w:w="108" w:type="dxa"/>
          <w:bottom w:w="0" w:type="dxa"/>
          <w:right w:w="108" w:type="dxa"/>
        </w:tblCellMar>
      </w:tblPr>
      <w:tblGrid>
        <w:gridCol w:w="988"/>
        <w:gridCol w:w="1417"/>
        <w:gridCol w:w="6237"/>
      </w:tblGrid>
      <w:tr>
        <w:trPr>
          <w:trHeight w:val="270"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18"/>
                <w:szCs w:val="18"/>
              </w:rPr>
            </w:pPr>
            <w:r>
              <w:rPr>
                <w:rStyle w:val="34"/>
                <w:rFonts w:ascii="微软雅黑" w:hAnsi="微软雅黑" w:eastAsia="微软雅黑" w:cs="宋体"/>
                <w:b/>
                <w:bCs/>
                <w:color w:val="auto"/>
                <w:kern w:val="0"/>
                <w:sz w:val="18"/>
                <w:szCs w:val="18"/>
              </w:rPr>
              <w:t>基础参数</w:t>
            </w:r>
          </w:p>
        </w:tc>
        <w:tc>
          <w:tcPr>
            <w:tcW w:w="1417" w:type="dxa"/>
            <w:tcBorders>
              <w:top w:val="single" w:color="000000" w:sz="4" w:space="0"/>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图像传感器</w:t>
            </w:r>
          </w:p>
        </w:tc>
        <w:tc>
          <w:tcPr>
            <w:tcW w:w="6237" w:type="dxa"/>
            <w:tcBorders>
              <w:top w:val="single" w:color="000000" w:sz="4" w:space="0"/>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1/1.8＂ Progressive Scan CMOS</w:t>
            </w:r>
          </w:p>
        </w:tc>
      </w:tr>
      <w:tr>
        <w:tblPrEx>
          <w:tblCellMar>
            <w:top w:w="0" w:type="dxa"/>
            <w:left w:w="108" w:type="dxa"/>
            <w:bottom w:w="0" w:type="dxa"/>
            <w:right w:w="108" w:type="dxa"/>
          </w:tblCellMar>
        </w:tblPrEx>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最低照度</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彩色：0.005Lux @ (F1.5，AGC ON)；黑白：0.002Lux @(F1.5，AGC ON) ；0 Lux with IR</w:t>
            </w:r>
          </w:p>
        </w:tc>
      </w:tr>
      <w:tr>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视频压缩</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H.265/H.264/MJPEG</w:t>
            </w:r>
          </w:p>
        </w:tc>
      </w:tr>
      <w:tr>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音频压缩</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G.711alaw/G.711ulaw/G.722.1/G.726/MP2L2/PCM</w:t>
            </w:r>
          </w:p>
        </w:tc>
      </w:tr>
      <w:tr>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红外照射距离</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150米</w:t>
            </w:r>
          </w:p>
        </w:tc>
      </w:tr>
      <w:tr>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日夜模式</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自动ICR彩转黑</w:t>
            </w:r>
          </w:p>
        </w:tc>
      </w:tr>
      <w:tr>
        <w:trPr>
          <w:trHeight w:val="270"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数字变倍</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16倍</w:t>
            </w:r>
          </w:p>
        </w:tc>
      </w:tr>
      <w:tr>
        <w:tblPrEx>
          <w:tblCellMar>
            <w:top w:w="0" w:type="dxa"/>
            <w:left w:w="108" w:type="dxa"/>
            <w:bottom w:w="0" w:type="dxa"/>
            <w:right w:w="108" w:type="dxa"/>
          </w:tblCellMar>
        </w:tblPrEx>
        <w:trPr>
          <w:trHeight w:val="270" w:hRule="atLeast"/>
        </w:trPr>
        <w:tc>
          <w:tcPr>
            <w:tcW w:w="988"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18"/>
                <w:szCs w:val="18"/>
              </w:rPr>
            </w:pPr>
            <w:r>
              <w:rPr>
                <w:rStyle w:val="34"/>
                <w:rFonts w:ascii="微软雅黑" w:hAnsi="微软雅黑" w:eastAsia="微软雅黑" w:cs="宋体"/>
                <w:b/>
                <w:bCs/>
                <w:color w:val="auto"/>
                <w:kern w:val="0"/>
                <w:sz w:val="18"/>
                <w:szCs w:val="18"/>
              </w:rPr>
              <w:t>镜头</w:t>
            </w: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焦距</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5.9-177mm，30倍光学</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变倍速度</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大约4.8秒(光学,广角-望远)</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水平视角</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48.8-2.3度(广角-望远)</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近摄距</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10-1500mm(广角-望远)</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光圈数</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F1.5-F3.4</w:t>
            </w:r>
          </w:p>
        </w:tc>
      </w:tr>
      <w:tr>
        <w:trPr>
          <w:trHeight w:val="285" w:hRule="atLeast"/>
        </w:trPr>
        <w:tc>
          <w:tcPr>
            <w:tcW w:w="988"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18"/>
                <w:szCs w:val="18"/>
              </w:rPr>
            </w:pPr>
            <w:r>
              <w:rPr>
                <w:rStyle w:val="34"/>
                <w:rFonts w:ascii="微软雅黑" w:hAnsi="微软雅黑" w:eastAsia="微软雅黑" w:cs="宋体"/>
                <w:b/>
                <w:bCs/>
                <w:color w:val="auto"/>
                <w:kern w:val="0"/>
                <w:sz w:val="18"/>
                <w:szCs w:val="18"/>
              </w:rPr>
              <w:t>功能</w:t>
            </w: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Smart侦测</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人脸侦测、区域入侵侦测、越界侦测、进入区域侦测、离开区域侦测、徘徊侦测、人员聚集侦测、快速移动侦测、停车侦测、物品遗留侦测、物品拿取侦测、音频异常侦测、移动侦测、视频遮挡侦测</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Smart录像</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断网续传、智能后检索</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Smart图像增强</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数字宽动态、透雾、强光抑制、电子防抖、Smart IR</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Smart编码</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smart265、smart264、低码率、ROI</w:t>
            </w:r>
          </w:p>
        </w:tc>
      </w:tr>
      <w:tr>
        <w:trPr>
          <w:trHeight w:val="270" w:hRule="atLeast"/>
        </w:trPr>
        <w:tc>
          <w:tcPr>
            <w:tcW w:w="988"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18"/>
                <w:szCs w:val="18"/>
              </w:rPr>
            </w:pPr>
            <w:r>
              <w:rPr>
                <w:rStyle w:val="34"/>
                <w:rFonts w:ascii="微软雅黑" w:hAnsi="微软雅黑" w:eastAsia="微软雅黑" w:cs="宋体"/>
                <w:b/>
                <w:bCs/>
                <w:color w:val="auto"/>
                <w:kern w:val="0"/>
                <w:sz w:val="18"/>
                <w:szCs w:val="18"/>
              </w:rPr>
              <w:t>网络</w:t>
            </w:r>
          </w:p>
        </w:tc>
        <w:tc>
          <w:tcPr>
            <w:tcW w:w="1417"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网络协议</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IPv4/IPv6,HTTP,HTTPS,802.1x,Qos,FTP,SMTP,UPnP,SNMP,</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宋体" w:hAnsi="宋体"/>
                <w:color w:val="auto"/>
                <w:kern w:val="0"/>
                <w:sz w:val="18"/>
                <w:szCs w:val="18"/>
              </w:rPr>
            </w:pP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DNS,DDNS,NTP,RTSP,RTCP,RTP,TCP/IP,UDP,IGMP,ICMP,DHCP,PPPoE,Bonjour</w:t>
            </w:r>
          </w:p>
        </w:tc>
      </w:tr>
      <w:tr>
        <w:trPr>
          <w:trHeight w:val="285"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应用编程接口</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支持软件集成的开放式API，支持标准协议(ONVIF、PSIA、CGI)、支持海康SDK和第三方管理平台接入、支持GB/T28181协议、支持E家协议、支持萤石云接入</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安全模式</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授权的用户名和密码，以及MAC地址绑定；HTTPS加密；IEEE 802.1x网络访问控制、IP地址过滤</w:t>
            </w:r>
          </w:p>
        </w:tc>
      </w:tr>
      <w:tr>
        <w:trPr>
          <w:trHeight w:val="270" w:hRule="atLeast"/>
        </w:trPr>
        <w:tc>
          <w:tcPr>
            <w:tcW w:w="988"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jc w:val="center"/>
              <w:rPr>
                <w:rStyle w:val="34"/>
                <w:rFonts w:ascii="微软雅黑" w:hAnsi="微软雅黑" w:eastAsia="微软雅黑" w:cs="宋体"/>
                <w:b/>
                <w:bCs/>
                <w:color w:val="auto"/>
                <w:kern w:val="0"/>
                <w:sz w:val="18"/>
                <w:szCs w:val="18"/>
              </w:rPr>
            </w:pPr>
            <w:r>
              <w:rPr>
                <w:rStyle w:val="34"/>
                <w:rFonts w:ascii="微软雅黑" w:hAnsi="微软雅黑" w:eastAsia="微软雅黑" w:cs="宋体"/>
                <w:b/>
                <w:bCs/>
                <w:color w:val="auto"/>
                <w:kern w:val="0"/>
                <w:sz w:val="18"/>
                <w:szCs w:val="18"/>
              </w:rPr>
              <w:t>接口</w:t>
            </w: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网络接口</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RJ45网口，自适应10M/100M网络数据 </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音频输入/输出</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1路音频输入，音频峰值:2-2.4V[p-p]，输入阻抗:1KΩ±10%；1路音频输出，线性电平，阻抗:600Ω</w:t>
            </w:r>
          </w:p>
        </w:tc>
      </w:tr>
      <w:tr>
        <w:trPr>
          <w:trHeight w:val="270" w:hRule="atLeast"/>
        </w:trPr>
        <w:tc>
          <w:tcPr>
            <w:tcW w:w="988" w:type="dxa"/>
            <w:vMerge w:val="continue"/>
            <w:tcBorders>
              <w:top w:val="nil"/>
              <w:left w:val="single" w:color="000000" w:sz="4" w:space="0"/>
              <w:bottom w:val="single" w:color="000000" w:sz="4" w:space="0"/>
              <w:right w:val="single" w:color="000000" w:sz="4" w:space="0"/>
            </w:tcBorders>
            <w:vAlign w:val="center"/>
          </w:tcPr>
          <w:p>
            <w:pPr>
              <w:snapToGrid w:val="0"/>
              <w:jc w:val="left"/>
              <w:rPr>
                <w:rStyle w:val="34"/>
                <w:rFonts w:ascii="微软雅黑" w:hAnsi="微软雅黑" w:eastAsia="微软雅黑" w:cs="宋体"/>
                <w:b/>
                <w:bCs/>
                <w:color w:val="auto"/>
                <w:kern w:val="0"/>
                <w:sz w:val="18"/>
                <w:szCs w:val="18"/>
              </w:rPr>
            </w:pPr>
          </w:p>
        </w:tc>
        <w:tc>
          <w:tcPr>
            <w:tcW w:w="141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报警输入/输出</w:t>
            </w:r>
          </w:p>
        </w:tc>
        <w:tc>
          <w:tcPr>
            <w:tcW w:w="6237" w:type="dxa"/>
            <w:tcBorders>
              <w:top w:val="nil"/>
              <w:left w:val="nil"/>
              <w:bottom w:val="single" w:color="000000" w:sz="4" w:space="0"/>
              <w:right w:val="single" w:color="000000" w:sz="4" w:space="0"/>
            </w:tcBorders>
            <w:shd w:val="clear" w:color="auto" w:fill="FFFFFF"/>
            <w:vAlign w:val="center"/>
          </w:tcPr>
          <w:p>
            <w:pPr>
              <w:snapToGrid w:val="0"/>
              <w:jc w:val="left"/>
              <w:rPr>
                <w:rStyle w:val="34"/>
                <w:rFonts w:ascii="宋体" w:hAnsi="宋体"/>
                <w:color w:val="auto"/>
                <w:kern w:val="0"/>
                <w:sz w:val="18"/>
                <w:szCs w:val="18"/>
              </w:rPr>
            </w:pPr>
            <w:r>
              <w:rPr>
                <w:rStyle w:val="34"/>
                <w:rFonts w:ascii="宋体" w:hAnsi="宋体"/>
                <w:color w:val="auto"/>
                <w:kern w:val="0"/>
                <w:sz w:val="18"/>
                <w:szCs w:val="18"/>
              </w:rPr>
              <w:t>2路报警输入；1路报警输出；支持设置报警联动预置点/巡航扫描/花样扫描/SD卡录像/报警输出/邮件/上传中心/上传FTP</w:t>
            </w:r>
          </w:p>
        </w:tc>
      </w:tr>
    </w:tbl>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2.6河道水位监测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2.6.1水位计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测量范围：15米</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测量精度：0.5%</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分辨率：1~5mm</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发射角：6°~12°</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盲区：0.5米</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输出信号：4~20mA或RS485/RS232，可选</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显示：LCD</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防护等级：IP65</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工作温度：-20℃~+60℃，≤90%非凝结</w:t>
      </w:r>
    </w:p>
    <w:p>
      <w:pPr>
        <w:numPr>
          <w:ilvl w:val="0"/>
          <w:numId w:val="10"/>
        </w:numPr>
        <w:snapToGrid w:val="0"/>
        <w:spacing w:line="460" w:lineRule="exact"/>
        <w:jc w:val="left"/>
        <w:rPr>
          <w:rStyle w:val="34"/>
          <w:rFonts w:ascii="宋体" w:hAnsi="宋体"/>
          <w:color w:val="auto"/>
          <w:sz w:val="24"/>
        </w:rPr>
      </w:pPr>
      <w:r>
        <w:rPr>
          <w:rStyle w:val="34"/>
          <w:rFonts w:ascii="宋体" w:hAnsi="宋体"/>
          <w:color w:val="auto"/>
          <w:sz w:val="24"/>
        </w:rPr>
        <w:t>电源：12VDC或24VDC</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2.6.2采集器</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串口：RS485/RS 232≥3路</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AI/DI：AI（4~20mA  精度0.5%）+DI（无源节点）≥10路，可自由组合</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DO：3路</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工作制式：自报式、应答式、兼容式</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通信方式：4G（联通、移动、电信）、3G/2G(移动、联通)、NB-IoT、北斗卫星</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设参方式：串口设参、远程设参、蓝牙设参（选配）</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供电电源：DC10-30V</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CPU：32位处理器、运行频率80MHz</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MTBF：≥25000h</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存储容量：32M</w:t>
      </w:r>
    </w:p>
    <w:p>
      <w:pPr>
        <w:numPr>
          <w:ilvl w:val="0"/>
          <w:numId w:val="11"/>
        </w:numPr>
        <w:snapToGrid w:val="0"/>
        <w:spacing w:line="460" w:lineRule="exact"/>
        <w:jc w:val="left"/>
        <w:rPr>
          <w:rStyle w:val="34"/>
          <w:rFonts w:ascii="宋体" w:hAnsi="宋体"/>
          <w:color w:val="auto"/>
          <w:sz w:val="24"/>
        </w:rPr>
      </w:pPr>
      <w:r>
        <w:rPr>
          <w:rStyle w:val="34"/>
          <w:rFonts w:ascii="宋体" w:hAnsi="宋体"/>
          <w:color w:val="auto"/>
          <w:sz w:val="24"/>
        </w:rPr>
        <w:t>工作环境：温度：-40℃~85℃；湿度：≤95%</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2.6.3其他</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配套立杆、机箱、防雷设备、满足15日阴雨天运行的太阳能板、蓄电池供电系统。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3、泵站自动化改造</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3.1 PLC</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PLC通过权威机构的安全认证，如FCC、CE等各种认证；</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CPU采用32位微处理器，主频200MHz，嵌入式操作系统</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配置32M存储器，掉电数据保存</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具备工业级高性能处理器，位处理速度不低于0.2us，背板总线通讯速率不低于400Kbits。</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提供一个10M/100M以太网接口并支持多种通讯协议如OPC，Modbus TCP，UDP协议等，并可以直接通过以太网接口调试和下载程序。</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支持系统自诊断功能，可以监视到每一个模块和对应通道的实时系统诊断信息。</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CPU本体自带4路带光电隔离的RS-485通信接口，通信规约采用规约ModBus RTU和字由口协议。</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EMC指标：浪涌抗扰度 IEC61000-4-5 2kV（共模）/1kV（差模）</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             振荡波抗扰度 IEC61000-4-12 2.5kV（共模）/1kV（差模）</w:t>
      </w:r>
    </w:p>
    <w:p>
      <w:pPr>
        <w:snapToGrid w:val="0"/>
        <w:spacing w:line="440" w:lineRule="exact"/>
        <w:jc w:val="left"/>
        <w:rPr>
          <w:rStyle w:val="34"/>
          <w:rFonts w:ascii="宋体" w:hAnsi="宋体"/>
          <w:color w:val="auto"/>
          <w:sz w:val="24"/>
        </w:rPr>
      </w:pPr>
      <w:r>
        <w:rPr>
          <w:rStyle w:val="34"/>
          <w:rFonts w:ascii="宋体" w:hAnsi="宋体"/>
          <w:color w:val="auto"/>
          <w:sz w:val="24"/>
        </w:rPr>
        <w:t xml:space="preserve">             快速瞬变 IEC61000-4-4 ±2kV（电源）/±1kV（I/O）</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平均值 小于60dB(µV)</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导轨安装方式。</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电源：AC220V。</w:t>
      </w:r>
    </w:p>
    <w:p>
      <w:pPr>
        <w:numPr>
          <w:ilvl w:val="0"/>
          <w:numId w:val="12"/>
        </w:numPr>
        <w:snapToGrid w:val="0"/>
        <w:spacing w:line="440" w:lineRule="exact"/>
        <w:jc w:val="left"/>
        <w:rPr>
          <w:rStyle w:val="34"/>
          <w:rFonts w:ascii="宋体" w:hAnsi="宋体"/>
          <w:color w:val="auto"/>
          <w:sz w:val="24"/>
        </w:rPr>
      </w:pPr>
      <w:r>
        <w:rPr>
          <w:rStyle w:val="34"/>
          <w:rFonts w:ascii="宋体" w:hAnsi="宋体"/>
          <w:color w:val="auto"/>
          <w:sz w:val="24"/>
        </w:rPr>
        <w:t>工作环境满足环境温度-40℃～+70℃，相对湿度≤95%的要求，具有抗电磁干扰、防尘、防震、防潮、防腐和防锈的能力。</w:t>
      </w:r>
    </w:p>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3.2触摸屏</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10.1" 800x480 TFT LCD</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无风扇冷却系统</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主板涂层保护处理在严苛的环境中，能防止腐蚀</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具有1 RJ45 PORT 10/100M Base-T</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NEMA4/IP65 前面板防护等级</w:t>
      </w:r>
    </w:p>
    <w:p>
      <w:pPr>
        <w:numPr>
          <w:ilvl w:val="0"/>
          <w:numId w:val="13"/>
        </w:numPr>
        <w:snapToGrid w:val="0"/>
        <w:spacing w:line="440" w:lineRule="exact"/>
        <w:jc w:val="left"/>
        <w:rPr>
          <w:rStyle w:val="34"/>
          <w:rFonts w:ascii="宋体" w:hAnsi="宋体"/>
          <w:color w:val="auto"/>
          <w:sz w:val="24"/>
        </w:rPr>
      </w:pPr>
      <w:r>
        <w:rPr>
          <w:rStyle w:val="34"/>
          <w:rFonts w:ascii="宋体" w:hAnsi="宋体"/>
          <w:color w:val="auto"/>
          <w:sz w:val="24"/>
        </w:rPr>
        <w:t>内置电源隔离</w:t>
      </w:r>
    </w:p>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3.3交换机</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符合IEC61850-3标准</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不低于2百兆单模光口，6百兆电口</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 xml:space="preserve">支持RSTP/STP及私有环网协议（恢复时间小于20ms）                        </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支持QoS、VLAN、IGMP Snooping/GMRP等管理功能</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DC24V供电</w:t>
      </w:r>
    </w:p>
    <w:p>
      <w:pPr>
        <w:numPr>
          <w:ilvl w:val="0"/>
          <w:numId w:val="14"/>
        </w:numPr>
        <w:snapToGrid w:val="0"/>
        <w:spacing w:line="440" w:lineRule="exact"/>
        <w:jc w:val="left"/>
        <w:rPr>
          <w:rStyle w:val="34"/>
          <w:rFonts w:ascii="宋体" w:hAnsi="宋体"/>
          <w:color w:val="auto"/>
          <w:sz w:val="24"/>
        </w:rPr>
      </w:pPr>
      <w:r>
        <w:rPr>
          <w:rStyle w:val="34"/>
          <w:rFonts w:ascii="宋体" w:hAnsi="宋体"/>
          <w:color w:val="auto"/>
          <w:sz w:val="24"/>
        </w:rPr>
        <w:t>冗余电源输入，宽温设计，强抗电磁干扰能力</w:t>
      </w:r>
    </w:p>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3.4插入式流量计</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采用分体式插入流量计</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流速测量范围: 0 m/s- -15 m/s .</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测量管道直径: DN32mm- -DN3000mm</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测量精度: 1.0级</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工作压力:≤1.6Mpa</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介质温度: 0°C- -80°C</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耗电功率: &lt;20W</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防护等级: IP68</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连接方式:法兰连接、螺纹连接</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通讯输出：4~20mA 、RS485</w:t>
      </w:r>
    </w:p>
    <w:p>
      <w:pPr>
        <w:numPr>
          <w:ilvl w:val="0"/>
          <w:numId w:val="15"/>
        </w:numPr>
        <w:snapToGrid w:val="0"/>
        <w:spacing w:line="440" w:lineRule="exact"/>
        <w:jc w:val="left"/>
        <w:rPr>
          <w:rStyle w:val="34"/>
          <w:rFonts w:ascii="宋体" w:hAnsi="宋体"/>
          <w:color w:val="auto"/>
          <w:sz w:val="24"/>
        </w:rPr>
      </w:pPr>
      <w:r>
        <w:rPr>
          <w:rStyle w:val="34"/>
          <w:rFonts w:ascii="宋体" w:hAnsi="宋体"/>
          <w:color w:val="auto"/>
          <w:sz w:val="24"/>
        </w:rPr>
        <w:t>供电方式: 220VAC、24VDC/12VDC、 并支持3.6VDC/12VDC和220VAC多路电源自动切换功能</w:t>
      </w:r>
    </w:p>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3.5水位计</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测量范围：15米</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测量精度：0.5%</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分辨率：1~5mm</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发射角：6°~12°</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盲区：0.5米</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输出信号：4~20mA或RS485/RS232，可选</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显示：LCD</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防护等级：IP65</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工作温度：-20℃~+60℃，≤90%非凝结</w:t>
      </w:r>
    </w:p>
    <w:p>
      <w:pPr>
        <w:numPr>
          <w:ilvl w:val="0"/>
          <w:numId w:val="16"/>
        </w:numPr>
        <w:snapToGrid w:val="0"/>
        <w:spacing w:line="440" w:lineRule="exact"/>
        <w:jc w:val="left"/>
        <w:rPr>
          <w:rStyle w:val="34"/>
          <w:rFonts w:ascii="宋体" w:hAnsi="宋体"/>
          <w:color w:val="auto"/>
          <w:sz w:val="24"/>
        </w:rPr>
      </w:pPr>
      <w:r>
        <w:rPr>
          <w:rStyle w:val="34"/>
          <w:rFonts w:ascii="宋体" w:hAnsi="宋体"/>
          <w:color w:val="auto"/>
          <w:sz w:val="24"/>
        </w:rPr>
        <w:t>电源：12VDC或24VDC</w:t>
      </w:r>
    </w:p>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3.6球机</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8241" w:type="dxa"/>
        <w:tblInd w:w="113" w:type="dxa"/>
        <w:tblLayout w:type="fixed"/>
        <w:tblCellMar>
          <w:top w:w="0" w:type="dxa"/>
          <w:left w:w="108" w:type="dxa"/>
          <w:bottom w:w="0" w:type="dxa"/>
          <w:right w:w="108" w:type="dxa"/>
        </w:tblCellMar>
      </w:tblPr>
      <w:tblGrid>
        <w:gridCol w:w="622"/>
        <w:gridCol w:w="1002"/>
        <w:gridCol w:w="6617"/>
      </w:tblGrid>
      <w:tr>
        <w:trPr>
          <w:trHeight w:val="27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基础参数</w:t>
            </w:r>
          </w:p>
        </w:tc>
        <w:tc>
          <w:tcPr>
            <w:tcW w:w="1002"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图像传感器</w:t>
            </w:r>
          </w:p>
        </w:tc>
        <w:tc>
          <w:tcPr>
            <w:tcW w:w="6617"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1/1.8＂ Progressive Scan CMOS</w:t>
            </w:r>
          </w:p>
        </w:tc>
      </w:tr>
      <w:tr>
        <w:tblPrEx>
          <w:tblCellMar>
            <w:top w:w="0" w:type="dxa"/>
            <w:left w:w="108" w:type="dxa"/>
            <w:bottom w:w="0" w:type="dxa"/>
            <w:right w:w="108"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最低照度</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彩色：0.005Lux @ (F1.5，AGC ON)；黑白：0.002Lux @(F1.5，AGC ON) ；0 Lux with IR</w:t>
            </w:r>
          </w:p>
        </w:tc>
      </w:tr>
      <w:tr>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视频压缩</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H.265/H.264/MJPEG</w:t>
            </w:r>
          </w:p>
        </w:tc>
      </w:tr>
      <w:tr>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音频压缩</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G.711alaw/G.711ulaw/G.722.1/G.726/MP2L2/PCM</w:t>
            </w:r>
          </w:p>
        </w:tc>
      </w:tr>
      <w:tr>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红外照射距离</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150米</w:t>
            </w:r>
          </w:p>
        </w:tc>
      </w:tr>
      <w:tr>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日夜模式</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自动ICR彩转黑</w:t>
            </w:r>
          </w:p>
        </w:tc>
      </w:tr>
      <w:tr>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数字变倍</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16倍</w:t>
            </w:r>
          </w:p>
        </w:tc>
      </w:tr>
      <w:tr>
        <w:tblPrEx>
          <w:tblCellMar>
            <w:top w:w="0" w:type="dxa"/>
            <w:left w:w="108" w:type="dxa"/>
            <w:bottom w:w="0" w:type="dxa"/>
            <w:right w:w="108" w:type="dxa"/>
          </w:tblCellMar>
        </w:tblPrEx>
        <w:trPr>
          <w:trHeight w:val="270" w:hRule="atLeast"/>
        </w:trPr>
        <w:tc>
          <w:tcPr>
            <w:tcW w:w="622"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镜头</w:t>
            </w: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焦距</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5.9-177mm，30倍光学</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变倍速度</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大约4.8秒(光学,广角-望远)</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水平视角</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48.8-2.3度(广角-望远)</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近摄距</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10-1500mm(广角-望远)</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光圈数</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F1.5-F3.4</w:t>
            </w:r>
          </w:p>
        </w:tc>
      </w:tr>
      <w:tr>
        <w:trPr>
          <w:trHeight w:val="285" w:hRule="atLeast"/>
        </w:trPr>
        <w:tc>
          <w:tcPr>
            <w:tcW w:w="622"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功能</w:t>
            </w: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Smart侦测</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人脸侦测、区域入侵侦测、越界侦测、进入区域侦测、离开区域侦测、徘徊侦测、人员聚集侦测、快速移动侦测、停车侦测、物品遗留侦测、物品拿取侦测、音频异常侦测、移动侦测、视频遮挡侦测</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Smart录像</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断网续传、智能后检索</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Smart图像增强</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数字宽动态、透雾、强光抑制、电子防抖、Smart IR</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Smart编码</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smart265、smart264、低码率、ROI</w:t>
            </w:r>
          </w:p>
        </w:tc>
      </w:tr>
      <w:tr>
        <w:trPr>
          <w:trHeight w:val="270" w:hRule="atLeast"/>
        </w:trPr>
        <w:tc>
          <w:tcPr>
            <w:tcW w:w="622"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网络</w:t>
            </w:r>
          </w:p>
        </w:tc>
        <w:tc>
          <w:tcPr>
            <w:tcW w:w="1002"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网络协议</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IPv4/IPv6,HTTP,HTTPS,802.1x,Qos,FTP,SMTP,UPnP,SNMP,</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DNS,DDNS,NTP,RTSP,RTCP,RTP,TCP/IP,UDP,IGMP,ICMP,DHCP,PPPoE,Bonjour</w:t>
            </w:r>
          </w:p>
        </w:tc>
      </w:tr>
      <w:tr>
        <w:trPr>
          <w:trHeight w:val="285"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应用编程接口</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支持软件集成的开放式API，支持标准协议(ONVIF、PSIA、CGI)、支持海康SDK和第三方管理平台接入、支持GB/T28181协议、支持E家协议、支持萤石云接入</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安全模式</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授权的用户名和密码，以及MAC地址绑定；HTTPS加密；IEEE 802.1x网络访问控制、IP地址过滤</w:t>
            </w:r>
          </w:p>
        </w:tc>
      </w:tr>
      <w:tr>
        <w:trPr>
          <w:trHeight w:val="270" w:hRule="atLeast"/>
        </w:trPr>
        <w:tc>
          <w:tcPr>
            <w:tcW w:w="622"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接口</w:t>
            </w: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网络接口</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RJ45网口，自适应10M/100M网络数据 </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音频输入/输出</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1路音频输入，音频峰值:2-2.4V[p-p]，输入阻抗:1KΩ±10%；1路音频输出，线性电平，阻抗:600Ω</w:t>
            </w:r>
          </w:p>
        </w:tc>
      </w:tr>
      <w:tr>
        <w:trPr>
          <w:trHeight w:val="270" w:hRule="atLeast"/>
        </w:trPr>
        <w:tc>
          <w:tcPr>
            <w:tcW w:w="622"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00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报警输入/输出</w:t>
            </w:r>
          </w:p>
        </w:tc>
        <w:tc>
          <w:tcPr>
            <w:tcW w:w="6617"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2路报警输入；1路报警输出；支持设置报警联动预置点/巡航扫描/花样扫描/SD卡录像/报警输出/邮件/上传中心/上传FTP</w:t>
            </w:r>
          </w:p>
        </w:tc>
      </w:tr>
    </w:tbl>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3.7枪机</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8586" w:type="dxa"/>
        <w:tblInd w:w="113" w:type="dxa"/>
        <w:tblLayout w:type="fixed"/>
        <w:tblCellMar>
          <w:top w:w="0" w:type="dxa"/>
          <w:left w:w="108" w:type="dxa"/>
          <w:bottom w:w="0" w:type="dxa"/>
          <w:right w:w="108" w:type="dxa"/>
        </w:tblCellMar>
      </w:tblPr>
      <w:tblGrid>
        <w:gridCol w:w="929"/>
        <w:gridCol w:w="1575"/>
        <w:gridCol w:w="6082"/>
      </w:tblGrid>
      <w:tr>
        <w:trPr>
          <w:trHeight w:val="278"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摄像机</w:t>
            </w:r>
          </w:p>
        </w:tc>
        <w:tc>
          <w:tcPr>
            <w:tcW w:w="1575"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传感器类型</w:t>
            </w:r>
          </w:p>
        </w:tc>
        <w:tc>
          <w:tcPr>
            <w:tcW w:w="6082"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1/3" Progressive Scan CMOS</w:t>
            </w:r>
          </w:p>
        </w:tc>
      </w:tr>
      <w:tr>
        <w:tblPrEx>
          <w:tblCellMar>
            <w:top w:w="0" w:type="dxa"/>
            <w:left w:w="108" w:type="dxa"/>
            <w:bottom w:w="0" w:type="dxa"/>
            <w:right w:w="108" w:type="dxa"/>
          </w:tblCellMar>
        </w:tblPrEx>
        <w:trPr>
          <w:trHeight w:val="278" w:hRule="atLeast"/>
        </w:trPr>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快门</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1/3秒至1/100,000秒</w:t>
            </w:r>
          </w:p>
        </w:tc>
      </w:tr>
      <w:tr>
        <w:trPr>
          <w:trHeight w:val="278" w:hRule="atLeast"/>
        </w:trPr>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日夜转换模式</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ICR红外滤片式</w:t>
            </w:r>
          </w:p>
        </w:tc>
      </w:tr>
      <w:tr>
        <w:trPr>
          <w:trHeight w:val="278" w:hRule="atLeast"/>
        </w:trPr>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宽动态范围</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120dB</w:t>
            </w:r>
          </w:p>
        </w:tc>
      </w:tr>
      <w:tr>
        <w:tblPrEx>
          <w:tblCellMar>
            <w:top w:w="0" w:type="dxa"/>
            <w:left w:w="108" w:type="dxa"/>
            <w:bottom w:w="0" w:type="dxa"/>
            <w:right w:w="108" w:type="dxa"/>
          </w:tblCellMar>
        </w:tblPrEx>
        <w:trPr>
          <w:trHeight w:val="278" w:hRule="atLeast"/>
        </w:trPr>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数字降噪</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3D 数字降噪</w:t>
            </w:r>
          </w:p>
        </w:tc>
      </w:tr>
      <w:tr>
        <w:tblPrEx>
          <w:tblCellMar>
            <w:top w:w="0" w:type="dxa"/>
            <w:left w:w="108" w:type="dxa"/>
            <w:bottom w:w="0" w:type="dxa"/>
            <w:right w:w="108" w:type="dxa"/>
          </w:tblCellMar>
        </w:tblPrEx>
        <w:trPr>
          <w:trHeight w:val="278" w:hRule="atLeast"/>
        </w:trPr>
        <w:tc>
          <w:tcPr>
            <w:tcW w:w="929"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压缩标准</w:t>
            </w: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视频压缩标准</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H.265 / H.264 / MJPEG </w:t>
            </w:r>
          </w:p>
        </w:tc>
      </w:tr>
      <w:tr>
        <w:tblPrEx>
          <w:tblCellMar>
            <w:top w:w="0" w:type="dxa"/>
            <w:left w:w="108" w:type="dxa"/>
            <w:bottom w:w="0" w:type="dxa"/>
            <w:right w:w="108" w:type="dxa"/>
          </w:tblCellMar>
        </w:tblPrEx>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H.265编码类型</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Main Profile</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压缩输出码率</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32 Kbps~8Mbps</w:t>
            </w:r>
          </w:p>
        </w:tc>
      </w:tr>
      <w:tr>
        <w:trPr>
          <w:trHeight w:val="510" w:hRule="atLeast"/>
        </w:trPr>
        <w:tc>
          <w:tcPr>
            <w:tcW w:w="929"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网络功能</w:t>
            </w: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存储功能</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支持Micro SD/SDHC/SDXC卡(128G)断网本地存储,NAS(NFS,SMB/CIFS均支持)  </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接口协议</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ONVIF,PSIA,CGI,ISAPI,GB28181</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智能报警</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移动侦测,动态分析,遮挡报警,网线断,IP地址冲突,存储器满,存储器错 </w:t>
            </w:r>
          </w:p>
        </w:tc>
      </w:tr>
      <w:tr>
        <w:trPr>
          <w:trHeight w:val="765"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智能报警</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越界侦测,区域入侵侦测,场景变更侦测,人脸侦测,虚焦侦测,物品遗留侦测,物品拾取侦测,非法停车侦测,人员聚集侦测,徘徊侦测,快速移动侦测,进入区域侦测,离开区域侦测</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支持协议</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TCP/IP,ICMP,HTTP,HTTPS,FTP,DHCP,DNS,DDNS,RTP,RTSP,RTCP,</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PPPoE,NTP,UPnP,SMTP,SNMP,IGMP,802.1X,QoS,IPv6,Bonjour</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通用功能</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三码流,心跳,镜像,密码保护,视频遮盖,水印技术,匿名访问,IP地址过滤</w:t>
            </w:r>
          </w:p>
        </w:tc>
      </w:tr>
      <w:tr>
        <w:trPr>
          <w:trHeight w:val="278" w:hRule="atLeast"/>
        </w:trPr>
        <w:tc>
          <w:tcPr>
            <w:tcW w:w="929" w:type="dxa"/>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接口及功能</w:t>
            </w: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通讯接口</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1个 RJ45 10M / 100M 自适应以太网口</w:t>
            </w:r>
          </w:p>
        </w:tc>
      </w:tr>
      <w:tr>
        <w:trPr>
          <w:trHeight w:val="278" w:hRule="atLeast"/>
        </w:trPr>
        <w:tc>
          <w:tcPr>
            <w:tcW w:w="929" w:type="dxa"/>
            <w:vMerge w:val="restart"/>
            <w:tcBorders>
              <w:top w:val="nil"/>
              <w:left w:val="single" w:color="000000" w:sz="4" w:space="0"/>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一般规范</w:t>
            </w: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工作温度和湿度</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-30℃~60℃,湿度小于95%(无凝结)</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电源供应</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DC12V±25% / PoE(802.3af)，带D型号不支持POE</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防护等级</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IP67</w:t>
            </w:r>
          </w:p>
        </w:tc>
      </w:tr>
      <w:tr>
        <w:trPr>
          <w:trHeight w:val="278" w:hRule="atLeast"/>
        </w:trPr>
        <w:tc>
          <w:tcPr>
            <w:tcW w:w="929"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p>
        </w:tc>
        <w:tc>
          <w:tcPr>
            <w:tcW w:w="1575"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红外</w:t>
            </w:r>
          </w:p>
        </w:tc>
        <w:tc>
          <w:tcPr>
            <w:tcW w:w="608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最远可达50米；</w:t>
            </w:r>
          </w:p>
        </w:tc>
      </w:tr>
    </w:tbl>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3.8硬盘录像机</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技术参数：</w:t>
      </w:r>
    </w:p>
    <w:tbl>
      <w:tblPr>
        <w:tblStyle w:val="13"/>
        <w:tblW w:w="8676" w:type="dxa"/>
        <w:tblInd w:w="113" w:type="dxa"/>
        <w:tblLayout w:type="fixed"/>
        <w:tblCellMar>
          <w:top w:w="0" w:type="dxa"/>
          <w:left w:w="108" w:type="dxa"/>
          <w:bottom w:w="0" w:type="dxa"/>
          <w:right w:w="108" w:type="dxa"/>
        </w:tblCellMar>
      </w:tblPr>
      <w:tblGrid>
        <w:gridCol w:w="503"/>
        <w:gridCol w:w="801"/>
        <w:gridCol w:w="7372"/>
      </w:tblGrid>
      <w:tr>
        <w:tblPrEx>
          <w:tblCellMar>
            <w:top w:w="0" w:type="dxa"/>
            <w:left w:w="108" w:type="dxa"/>
            <w:bottom w:w="0" w:type="dxa"/>
            <w:right w:w="108" w:type="dxa"/>
          </w:tblCellMar>
        </w:tblPrEx>
        <w:trPr>
          <w:trHeight w:val="278" w:hRule="atLeast"/>
        </w:trPr>
        <w:tc>
          <w:tcPr>
            <w:tcW w:w="5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视音频输入</w:t>
            </w:r>
          </w:p>
        </w:tc>
        <w:tc>
          <w:tcPr>
            <w:tcW w:w="801"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网络视频输入</w:t>
            </w:r>
          </w:p>
        </w:tc>
        <w:tc>
          <w:tcPr>
            <w:tcW w:w="7372"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32路</w:t>
            </w:r>
          </w:p>
        </w:tc>
      </w:tr>
      <w:tr>
        <w:tblPrEx>
          <w:tblCellMar>
            <w:top w:w="0" w:type="dxa"/>
            <w:left w:w="108" w:type="dxa"/>
            <w:bottom w:w="0" w:type="dxa"/>
            <w:right w:w="108" w:type="dxa"/>
          </w:tblCellMar>
        </w:tblPrEx>
        <w:trPr>
          <w:trHeight w:val="540" w:hRule="atLeast"/>
        </w:trPr>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网络视频接入带宽</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256Mbps</w:t>
            </w:r>
          </w:p>
        </w:tc>
      </w:tr>
      <w:tr>
        <w:tblPrEx>
          <w:tblCellMar>
            <w:top w:w="0" w:type="dxa"/>
            <w:left w:w="108" w:type="dxa"/>
            <w:bottom w:w="0" w:type="dxa"/>
            <w:right w:w="108" w:type="dxa"/>
          </w:tblCellMar>
        </w:tblPrEx>
        <w:trPr>
          <w:trHeight w:val="1088" w:hRule="atLeast"/>
        </w:trPr>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网络视频接入协议</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ACTi、ARECONT、AXIS、BOSCH、BRICKCOM、CANON、HUNT、ONVIF（版本支持2.5）、PANASONIC、PELCO、PSIA、RTSP、SAMSUNG、SANYO、SONY、VIVOTEK、ZAVIO</w:t>
            </w:r>
          </w:p>
        </w:tc>
      </w:tr>
      <w:tr>
        <w:tblPrEx>
          <w:tblCellMar>
            <w:top w:w="0" w:type="dxa"/>
            <w:left w:w="108" w:type="dxa"/>
            <w:bottom w:w="0" w:type="dxa"/>
            <w:right w:w="108" w:type="dxa"/>
          </w:tblCellMar>
        </w:tblPrEx>
        <w:trPr>
          <w:trHeight w:val="465"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视音频输出</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HDMI输出</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1路，分辨率：1024x768/60Hz，1280x720/60Hz，1280x1024/60Hz，1600×1200/60Hz，1920x1080/60Hz，2K(2560x1440)/60Hz， 4K(3840x2160)/30Hz </w:t>
            </w:r>
          </w:p>
        </w:tc>
      </w:tr>
      <w:tr>
        <w:tblPrEx>
          <w:tblCellMar>
            <w:top w:w="0" w:type="dxa"/>
            <w:left w:w="108" w:type="dxa"/>
            <w:bottom w:w="0" w:type="dxa"/>
            <w:right w:w="108" w:type="dxa"/>
          </w:tblCellMar>
        </w:tblPrEx>
        <w:trPr>
          <w:trHeight w:val="465"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VGA输出</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1路，分辨率：1024x768/60Hz，1280x720/60Hz，1280x1024/60Hz，1600×1200/60Hz，1920x1080/60Hz</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音频输出</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1个，RCA接口（线性电平，阻抗：1kΩ）</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预览分割</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1/4/6/8/9/16/25/32/36画面</w:t>
            </w:r>
          </w:p>
        </w:tc>
      </w:tr>
      <w:tr>
        <w:tblPrEx>
          <w:tblCellMar>
            <w:top w:w="0" w:type="dxa"/>
            <w:left w:w="108" w:type="dxa"/>
            <w:bottom w:w="0" w:type="dxa"/>
            <w:right w:w="108" w:type="dxa"/>
          </w:tblCellMar>
        </w:tblPrEx>
        <w:trPr>
          <w:trHeight w:val="278"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视音频编解码参数</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录像分辨率</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12MP/8MP/6MP/5MP/4MP/3MP/1080p/UXGA/720p/VGA/4CIF/2CIF/CIF/QCIF</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同步回放</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16路</w:t>
            </w:r>
          </w:p>
        </w:tc>
      </w:tr>
      <w:tr>
        <w:tblPrEx>
          <w:tblCellMar>
            <w:top w:w="0" w:type="dxa"/>
            <w:left w:w="108" w:type="dxa"/>
            <w:bottom w:w="0" w:type="dxa"/>
            <w:right w:w="108" w:type="dxa"/>
          </w:tblCellMar>
        </w:tblPrEx>
        <w:trPr>
          <w:trHeight w:val="465"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录像管理</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录像模式</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手动录像、定时录像、事件录像、移动侦测录像、报警录像、动测或报警录像、动测和报警录像</w:t>
            </w:r>
          </w:p>
        </w:tc>
      </w:tr>
      <w:tr>
        <w:tblPrEx>
          <w:tblCellMar>
            <w:top w:w="0" w:type="dxa"/>
            <w:left w:w="108" w:type="dxa"/>
            <w:bottom w:w="0" w:type="dxa"/>
            <w:right w:w="108" w:type="dxa"/>
          </w:tblCellMar>
        </w:tblPrEx>
        <w:trPr>
          <w:trHeight w:val="465"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回放模式</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即时回放、常规回放、事件回放、标签回放、智能回放、视频摘要回放、分时段回放、外部文件回放</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备份模式</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常规备份、事件备份</w:t>
            </w:r>
          </w:p>
        </w:tc>
      </w:tr>
      <w:tr>
        <w:tblPrEx>
          <w:tblCellMar>
            <w:top w:w="0" w:type="dxa"/>
            <w:left w:w="108" w:type="dxa"/>
            <w:bottom w:w="0" w:type="dxa"/>
            <w:right w:w="108" w:type="dxa"/>
          </w:tblCellMar>
        </w:tblPrEx>
        <w:trPr>
          <w:trHeight w:val="278"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硬盘驱动器</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类型</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4个SATA接口,选配eSATA接口</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最大容量</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每个接口支持容量最大6TB的硬盘</w:t>
            </w:r>
          </w:p>
        </w:tc>
      </w:tr>
      <w:tr>
        <w:tblPrEx>
          <w:tblCellMar>
            <w:top w:w="0" w:type="dxa"/>
            <w:left w:w="108" w:type="dxa"/>
            <w:bottom w:w="0" w:type="dxa"/>
            <w:right w:w="108" w:type="dxa"/>
          </w:tblCellMar>
        </w:tblPrEx>
        <w:trPr>
          <w:trHeight w:val="278"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外部接口</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语音对讲输入</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1个，RCA接口（电平：2.0Vp-p，阻抗：1kΩ）</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网络接口</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2个，RJ45 10M/100M/1000M自适应以太网口</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USB接口</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2个USB2.0，1个USB3.0</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报警输入</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16路</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报警输出</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4路(选配8路)</w:t>
            </w:r>
          </w:p>
        </w:tc>
      </w:tr>
      <w:tr>
        <w:tblPrEx>
          <w:tblCellMar>
            <w:top w:w="0" w:type="dxa"/>
            <w:left w:w="108" w:type="dxa"/>
            <w:bottom w:w="0" w:type="dxa"/>
            <w:right w:w="108" w:type="dxa"/>
          </w:tblCellMar>
        </w:tblPrEx>
        <w:trPr>
          <w:trHeight w:val="698" w:hRule="atLeast"/>
        </w:trPr>
        <w:tc>
          <w:tcPr>
            <w:tcW w:w="503"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网络管理</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网络协议</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UPnP（即插即用）、 SNMP（简单网络管理）、NTP（网络校时）、SADP（设备网络搜索）、SMTP（邮件服务）、 NFS（接入NAS）、iSCSI（IP SAN应用）、PPPoE（拨号上网）、DHCP（自动获取IP地址）</w:t>
            </w:r>
          </w:p>
        </w:tc>
      </w:tr>
      <w:tr>
        <w:tblPrEx>
          <w:tblCellMar>
            <w:top w:w="0" w:type="dxa"/>
            <w:left w:w="108" w:type="dxa"/>
            <w:bottom w:w="0" w:type="dxa"/>
            <w:right w:w="108" w:type="dxa"/>
          </w:tblCellMar>
        </w:tblPrEx>
        <w:trPr>
          <w:trHeight w:val="278" w:hRule="atLeast"/>
        </w:trPr>
        <w:tc>
          <w:tcPr>
            <w:tcW w:w="503" w:type="dxa"/>
            <w:vMerge w:val="restart"/>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其他</w:t>
            </w: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电源</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AC220V，50Hz </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功耗（不含硬盘）</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≤20W</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工作温度</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-10℃--＋55℃</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工作湿度</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10％--90％</w:t>
            </w:r>
          </w:p>
        </w:tc>
      </w:tr>
      <w:tr>
        <w:tblPrEx>
          <w:tblCellMar>
            <w:top w:w="0" w:type="dxa"/>
            <w:left w:w="108" w:type="dxa"/>
            <w:bottom w:w="0" w:type="dxa"/>
            <w:right w:w="108" w:type="dxa"/>
          </w:tblCellMar>
        </w:tblPrEx>
        <w:trPr>
          <w:trHeight w:val="278" w:hRule="atLeast"/>
        </w:trPr>
        <w:tc>
          <w:tcPr>
            <w:tcW w:w="503" w:type="dxa"/>
            <w:vMerge w:val="continue"/>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p>
        </w:tc>
        <w:tc>
          <w:tcPr>
            <w:tcW w:w="801"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机箱</w:t>
            </w:r>
          </w:p>
        </w:tc>
        <w:tc>
          <w:tcPr>
            <w:tcW w:w="7372" w:type="dxa"/>
            <w:tcBorders>
              <w:top w:val="nil"/>
              <w:left w:val="nil"/>
              <w:bottom w:val="single" w:color="000000" w:sz="4" w:space="0"/>
              <w:right w:val="single" w:color="000000" w:sz="4" w:space="0"/>
            </w:tcBorders>
            <w:shd w:val="clear" w:color="auto" w:fill="FFFFFF"/>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19英寸标准1.5U机箱</w:t>
            </w:r>
          </w:p>
        </w:tc>
      </w:tr>
    </w:tbl>
    <w:p>
      <w:pPr>
        <w:snapToGrid w:val="0"/>
        <w:spacing w:line="440" w:lineRule="exact"/>
        <w:jc w:val="left"/>
        <w:rPr>
          <w:rStyle w:val="34"/>
          <w:rFonts w:ascii="宋体" w:hAnsi="宋体"/>
          <w:color w:val="auto"/>
          <w:sz w:val="24"/>
        </w:rPr>
      </w:pP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3.9 UPS</w:t>
      </w:r>
    </w:p>
    <w:p>
      <w:pPr>
        <w:pStyle w:val="296"/>
        <w:snapToGrid w:val="0"/>
        <w:spacing w:line="440" w:lineRule="exact"/>
        <w:ind w:firstLine="480"/>
        <w:jc w:val="both"/>
        <w:rPr>
          <w:rStyle w:val="34"/>
          <w:color w:val="auto"/>
        </w:rPr>
      </w:pPr>
      <w:r>
        <w:rPr>
          <w:rStyle w:val="34"/>
          <w:color w:val="auto"/>
        </w:rPr>
        <w:t>技术参数：</w:t>
      </w:r>
    </w:p>
    <w:tbl>
      <w:tblPr>
        <w:tblStyle w:val="13"/>
        <w:tblW w:w="8566" w:type="dxa"/>
        <w:tblInd w:w="103" w:type="dxa"/>
        <w:tblLayout w:type="autofit"/>
        <w:tblCellMar>
          <w:top w:w="0" w:type="dxa"/>
          <w:left w:w="108" w:type="dxa"/>
          <w:bottom w:w="0" w:type="dxa"/>
          <w:right w:w="108" w:type="dxa"/>
        </w:tblCellMar>
      </w:tblPr>
      <w:tblGrid>
        <w:gridCol w:w="3580"/>
        <w:gridCol w:w="4986"/>
      </w:tblGrid>
      <w:tr>
        <w:tblPrEx>
          <w:tblCellMar>
            <w:top w:w="0" w:type="dxa"/>
            <w:left w:w="108" w:type="dxa"/>
            <w:bottom w:w="0" w:type="dxa"/>
            <w:right w:w="108" w:type="dxa"/>
          </w:tblCellMar>
        </w:tblPrEx>
        <w:trPr>
          <w:trHeight w:val="270" w:hRule="atLeast"/>
        </w:trPr>
        <w:tc>
          <w:tcPr>
            <w:tcW w:w="358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s="Times New Roman"/>
                <w:b/>
                <w:bCs/>
                <w:color w:val="auto"/>
                <w:sz w:val="24"/>
              </w:rPr>
            </w:pPr>
            <w:r>
              <w:rPr>
                <w:rStyle w:val="34"/>
                <w:rFonts w:ascii="宋体" w:hAnsi="宋体" w:cs="Times New Roman"/>
                <w:b/>
                <w:bCs/>
                <w:color w:val="auto"/>
                <w:sz w:val="24"/>
              </w:rPr>
              <w:t>输出</w:t>
            </w:r>
          </w:p>
        </w:tc>
        <w:tc>
          <w:tcPr>
            <w:tcW w:w="4986" w:type="dxa"/>
            <w:tcBorders>
              <w:top w:val="single" w:color="000000" w:sz="4" w:space="0"/>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输出功率容量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3000瓦数/3 kVA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最大可配置功率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3000瓦数/3kVA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额定输出电压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230V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输出电压可调范围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可设置为220、230或240 输出电压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满负载效率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92.0%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输出电压失真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低于 3%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输出频率(与主频率同步)</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50/60Hz±3Hz 用户可调±0.1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其它输出电压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220,240 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波峰因数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03:01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拓朴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双转换联机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波形类型</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正弦波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s="Times New Roman"/>
                <w:b/>
                <w:bCs/>
                <w:color w:val="auto"/>
                <w:sz w:val="24"/>
              </w:rPr>
              <w:t>输入</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额定输入电压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230V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输入频率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50/60Hz±5 Hz (自动适应) </w:t>
            </w:r>
          </w:p>
        </w:tc>
      </w:tr>
      <w:tr>
        <w:tblPrEx>
          <w:tblCellMar>
            <w:top w:w="0" w:type="dxa"/>
            <w:left w:w="108" w:type="dxa"/>
            <w:bottom w:w="0" w:type="dxa"/>
            <w:right w:w="108" w:type="dxa"/>
          </w:tblCellMar>
        </w:tblPrEx>
        <w:trPr>
          <w:trHeight w:val="270" w:hRule="atLeast"/>
        </w:trPr>
        <w:tc>
          <w:tcPr>
            <w:tcW w:w="3580" w:type="dxa"/>
            <w:tcBorders>
              <w:top w:val="nil"/>
              <w:left w:val="single" w:color="000000" w:sz="4" w:space="0"/>
              <w:bottom w:val="single" w:color="000000" w:sz="4" w:space="0"/>
              <w:right w:val="single" w:color="000000" w:sz="4" w:space="0"/>
            </w:tcBorders>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工作电压范围    </w:t>
            </w:r>
          </w:p>
        </w:tc>
        <w:tc>
          <w:tcPr>
            <w:tcW w:w="4986" w:type="dxa"/>
            <w:tcBorders>
              <w:top w:val="nil"/>
              <w:left w:val="nil"/>
              <w:bottom w:val="single" w:color="000000" w:sz="4" w:space="0"/>
              <w:right w:val="single" w:color="000000" w:sz="4" w:space="0"/>
            </w:tcBorders>
            <w:noWrap/>
            <w:vAlign w:val="center"/>
          </w:tcPr>
          <w:p>
            <w:pPr>
              <w:snapToGrid w:val="0"/>
              <w:spacing w:line="440" w:lineRule="exact"/>
              <w:jc w:val="left"/>
              <w:rPr>
                <w:rStyle w:val="34"/>
                <w:rFonts w:ascii="宋体" w:hAnsi="宋体"/>
                <w:color w:val="auto"/>
                <w:sz w:val="24"/>
              </w:rPr>
            </w:pPr>
            <w:r>
              <w:rPr>
                <w:rStyle w:val="34"/>
                <w:rFonts w:ascii="宋体" w:hAnsi="宋体"/>
                <w:color w:val="auto"/>
                <w:sz w:val="24"/>
              </w:rPr>
              <w:t>160-280V </w:t>
            </w:r>
          </w:p>
        </w:tc>
      </w:tr>
    </w:tbl>
    <w:p>
      <w:pPr>
        <w:snapToGrid w:val="0"/>
        <w:spacing w:line="440" w:lineRule="exact"/>
        <w:jc w:val="left"/>
        <w:rPr>
          <w:rStyle w:val="34"/>
          <w:rFonts w:ascii="宋体" w:hAnsi="宋体"/>
          <w:b/>
          <w:color w:val="auto"/>
          <w:kern w:val="0"/>
          <w:sz w:val="24"/>
          <w:lang w:val="zh-CN"/>
        </w:rPr>
      </w:pPr>
    </w:p>
    <w:p>
      <w:pPr>
        <w:snapToGrid w:val="0"/>
        <w:spacing w:line="440" w:lineRule="exact"/>
        <w:jc w:val="left"/>
        <w:rPr>
          <w:rStyle w:val="34"/>
          <w:rFonts w:ascii="宋体" w:hAnsi="宋体"/>
          <w:b/>
          <w:color w:val="auto"/>
          <w:sz w:val="24"/>
        </w:rPr>
      </w:pPr>
      <w:r>
        <w:rPr>
          <w:rStyle w:val="34"/>
          <w:rFonts w:ascii="宋体" w:hAnsi="宋体"/>
          <w:b/>
          <w:color w:val="auto"/>
          <w:kern w:val="0"/>
          <w:sz w:val="24"/>
          <w:lang w:val="zh-CN"/>
        </w:rPr>
        <w:t>（三）</w:t>
      </w:r>
      <w:r>
        <w:rPr>
          <w:rStyle w:val="34"/>
          <w:rFonts w:ascii="宋体" w:hAnsi="宋体"/>
          <w:b/>
          <w:color w:val="auto"/>
          <w:sz w:val="24"/>
        </w:rPr>
        <w:t>新建排水管网数据采集入库</w:t>
      </w:r>
    </w:p>
    <w:p>
      <w:pPr>
        <w:pStyle w:val="296"/>
        <w:snapToGrid w:val="0"/>
        <w:spacing w:line="440" w:lineRule="exact"/>
        <w:ind w:firstLine="480"/>
        <w:jc w:val="both"/>
        <w:rPr>
          <w:rStyle w:val="34"/>
          <w:color w:val="auto"/>
        </w:rPr>
      </w:pPr>
      <w:r>
        <w:rPr>
          <w:rStyle w:val="34"/>
          <w:color w:val="auto"/>
        </w:rPr>
        <w:t>1、对泰兴市建成区范围内2018年后新建市政道路上的地下排水管线进行普查，管线长度约100公里。对泰兴市已有的历史排水管网数据进行编辑入库，管线长度约400公里。包括但不限于以下内容：</w:t>
      </w:r>
    </w:p>
    <w:p>
      <w:pPr>
        <w:pStyle w:val="296"/>
        <w:snapToGrid w:val="0"/>
        <w:spacing w:line="440" w:lineRule="exact"/>
        <w:ind w:firstLine="720" w:firstLineChars="300"/>
        <w:jc w:val="both"/>
        <w:rPr>
          <w:rStyle w:val="34"/>
          <w:color w:val="auto"/>
        </w:rPr>
      </w:pPr>
      <w:r>
        <w:rPr>
          <w:rStyle w:val="34"/>
          <w:color w:val="auto"/>
        </w:rPr>
        <w:t>1.1现状资料的调查、收集、整理；</w:t>
      </w:r>
    </w:p>
    <w:p>
      <w:pPr>
        <w:pStyle w:val="296"/>
        <w:snapToGrid w:val="0"/>
        <w:spacing w:line="440" w:lineRule="exact"/>
        <w:ind w:firstLine="720" w:firstLineChars="300"/>
        <w:jc w:val="both"/>
        <w:rPr>
          <w:rStyle w:val="34"/>
          <w:color w:val="auto"/>
        </w:rPr>
      </w:pPr>
      <w:r>
        <w:rPr>
          <w:rStyle w:val="34"/>
          <w:color w:val="auto"/>
        </w:rPr>
        <w:t>1.2进行分类检查整理及编制技术方案、实施方案（根据现状道路，确定探测范围、人员设备分配、进度安排）；</w:t>
      </w:r>
    </w:p>
    <w:p>
      <w:pPr>
        <w:pStyle w:val="296"/>
        <w:snapToGrid w:val="0"/>
        <w:spacing w:line="440" w:lineRule="exact"/>
        <w:ind w:firstLine="720" w:firstLineChars="300"/>
        <w:jc w:val="both"/>
        <w:rPr>
          <w:rStyle w:val="34"/>
          <w:color w:val="auto"/>
        </w:rPr>
      </w:pPr>
      <w:r>
        <w:rPr>
          <w:rStyle w:val="34"/>
          <w:color w:val="auto"/>
        </w:rPr>
        <w:t>1.3完成实地调查、探测；</w:t>
      </w:r>
    </w:p>
    <w:p>
      <w:pPr>
        <w:pStyle w:val="296"/>
        <w:snapToGrid w:val="0"/>
        <w:spacing w:line="440" w:lineRule="exact"/>
        <w:ind w:firstLine="720" w:firstLineChars="300"/>
        <w:jc w:val="both"/>
        <w:rPr>
          <w:rStyle w:val="34"/>
          <w:color w:val="auto"/>
        </w:rPr>
      </w:pPr>
      <w:r>
        <w:rPr>
          <w:rStyle w:val="34"/>
          <w:color w:val="auto"/>
        </w:rPr>
        <w:t>1.4成果表编制及管线图编绘；</w:t>
      </w:r>
    </w:p>
    <w:p>
      <w:pPr>
        <w:pStyle w:val="296"/>
        <w:snapToGrid w:val="0"/>
        <w:spacing w:line="440" w:lineRule="exact"/>
        <w:ind w:firstLine="720" w:firstLineChars="300"/>
        <w:jc w:val="both"/>
        <w:rPr>
          <w:rStyle w:val="34"/>
          <w:color w:val="auto"/>
        </w:rPr>
      </w:pPr>
      <w:r>
        <w:rPr>
          <w:rStyle w:val="34"/>
          <w:color w:val="auto"/>
        </w:rPr>
        <w:t>1.5成果数据自检、整理、提交、入库；</w:t>
      </w:r>
    </w:p>
    <w:p>
      <w:pPr>
        <w:pStyle w:val="296"/>
        <w:snapToGrid w:val="0"/>
        <w:spacing w:line="440" w:lineRule="exact"/>
        <w:ind w:firstLine="720" w:firstLineChars="300"/>
        <w:jc w:val="both"/>
        <w:rPr>
          <w:rStyle w:val="34"/>
          <w:color w:val="auto"/>
        </w:rPr>
      </w:pPr>
      <w:r>
        <w:rPr>
          <w:rStyle w:val="34"/>
          <w:color w:val="auto"/>
        </w:rPr>
        <w:t>1.6编制工作、技术总结报告。</w:t>
      </w:r>
    </w:p>
    <w:p>
      <w:pPr>
        <w:pStyle w:val="296"/>
        <w:snapToGrid w:val="0"/>
        <w:spacing w:line="440" w:lineRule="exact"/>
        <w:ind w:firstLine="480"/>
        <w:jc w:val="both"/>
        <w:rPr>
          <w:rStyle w:val="34"/>
          <w:color w:val="auto"/>
        </w:rPr>
      </w:pPr>
      <w:r>
        <w:rPr>
          <w:rStyle w:val="34"/>
          <w:color w:val="auto"/>
        </w:rPr>
        <w:t>2、管线类型包括雨水、污水。</w:t>
      </w:r>
    </w:p>
    <w:p>
      <w:pPr>
        <w:pStyle w:val="296"/>
        <w:snapToGrid w:val="0"/>
        <w:spacing w:line="440" w:lineRule="exact"/>
        <w:ind w:firstLine="480"/>
        <w:jc w:val="both"/>
        <w:rPr>
          <w:rStyle w:val="34"/>
          <w:color w:val="auto"/>
        </w:rPr>
      </w:pPr>
      <w:r>
        <w:rPr>
          <w:rStyle w:val="34"/>
          <w:color w:val="auto"/>
        </w:rPr>
        <w:t>3、测绘基准</w:t>
      </w:r>
    </w:p>
    <w:p>
      <w:pPr>
        <w:pStyle w:val="296"/>
        <w:snapToGrid w:val="0"/>
        <w:spacing w:line="440" w:lineRule="exact"/>
        <w:ind w:firstLine="720" w:firstLineChars="300"/>
        <w:jc w:val="both"/>
        <w:rPr>
          <w:rStyle w:val="34"/>
          <w:color w:val="auto"/>
        </w:rPr>
      </w:pPr>
      <w:r>
        <w:rPr>
          <w:rStyle w:val="34"/>
          <w:color w:val="auto"/>
        </w:rPr>
        <w:t>3.1平面系统：采用国家2000坐标系。</w:t>
      </w:r>
    </w:p>
    <w:p>
      <w:pPr>
        <w:pStyle w:val="296"/>
        <w:snapToGrid w:val="0"/>
        <w:spacing w:line="440" w:lineRule="exact"/>
        <w:ind w:firstLine="720" w:firstLineChars="300"/>
        <w:jc w:val="both"/>
        <w:rPr>
          <w:rStyle w:val="34"/>
          <w:color w:val="auto"/>
        </w:rPr>
      </w:pPr>
      <w:r>
        <w:rPr>
          <w:rStyle w:val="34"/>
          <w:color w:val="auto"/>
        </w:rPr>
        <w:t>3.2高程系统：采用1985国家高程基准。</w:t>
      </w:r>
    </w:p>
    <w:p>
      <w:pPr>
        <w:pStyle w:val="296"/>
        <w:snapToGrid w:val="0"/>
        <w:spacing w:line="440" w:lineRule="exact"/>
        <w:ind w:firstLine="480"/>
        <w:jc w:val="both"/>
        <w:rPr>
          <w:rStyle w:val="34"/>
          <w:color w:val="auto"/>
        </w:rPr>
      </w:pPr>
      <w:r>
        <w:rPr>
          <w:rStyle w:val="34"/>
          <w:color w:val="auto"/>
        </w:rPr>
        <w:t>4、地下管线探测精度要求</w:t>
      </w:r>
    </w:p>
    <w:p>
      <w:pPr>
        <w:pStyle w:val="296"/>
        <w:snapToGrid w:val="0"/>
        <w:spacing w:line="440" w:lineRule="exact"/>
        <w:ind w:firstLine="720" w:firstLineChars="300"/>
        <w:jc w:val="both"/>
        <w:rPr>
          <w:rStyle w:val="34"/>
          <w:color w:val="auto"/>
        </w:rPr>
      </w:pPr>
      <w:r>
        <w:rPr>
          <w:rStyle w:val="34"/>
          <w:color w:val="auto"/>
        </w:rPr>
        <w:t>4.1、明显管线点调查技术指标 明显管线点重复量测的埋深误差不得超过±5.0cm，中误差限差为±3.0cm。</w:t>
      </w:r>
    </w:p>
    <w:p>
      <w:pPr>
        <w:pStyle w:val="296"/>
        <w:snapToGrid w:val="0"/>
        <w:spacing w:line="440" w:lineRule="exact"/>
        <w:ind w:firstLine="720" w:firstLineChars="300"/>
        <w:jc w:val="both"/>
        <w:rPr>
          <w:rStyle w:val="34"/>
          <w:color w:val="auto"/>
        </w:rPr>
      </w:pPr>
      <w:r>
        <w:rPr>
          <w:rStyle w:val="34"/>
          <w:color w:val="auto"/>
        </w:rPr>
        <w:t>4.2、隐蔽管线点探查精度平面位置限差δts：0.10h;埋深限差δth:0.15h（式中h为地下管线的中心埋深，单位为cm，不足100cm时则以100cm代入计算）。</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5、新建排水管网采集数据标准（入库标准）符合《江苏省城镇排水设施地理信息系统建设指南》的要求。</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6、中标人负责将新建排水管网采集的数据录入系统平台。</w:t>
      </w:r>
    </w:p>
    <w:p>
      <w:pPr>
        <w:snapToGrid w:val="0"/>
        <w:spacing w:line="440" w:lineRule="exact"/>
        <w:jc w:val="left"/>
        <w:rPr>
          <w:rStyle w:val="34"/>
          <w:rFonts w:ascii="宋体" w:hAnsi="宋体"/>
          <w:b/>
          <w:color w:val="auto"/>
          <w:kern w:val="0"/>
          <w:sz w:val="24"/>
          <w:lang w:val="zh-CN"/>
        </w:rPr>
      </w:pPr>
      <w:r>
        <w:rPr>
          <w:rStyle w:val="34"/>
          <w:rFonts w:ascii="宋体" w:hAnsi="宋体"/>
          <w:b/>
          <w:color w:val="auto"/>
          <w:kern w:val="0"/>
          <w:sz w:val="24"/>
          <w:lang w:val="zh-CN"/>
        </w:rPr>
        <w:t>（四）系统运行的环境和场地建设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1、服务器资源建设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服务器资源技术要求如下：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服务器采用云服务器，配置为cpu8核、内存16G、硬盘1T，共计6台。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2、通信网络建设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通信网络建设服务期限为三年，通信网络技术要求如下：</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泵站监控专线共计9条，带宽为20M每条。</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可视化大屏专线共计1条，带宽为20M每条。</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指挥大厅宽带共计1条，带宽为200M每条。</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云服务器专线共计1条，带宽100M每条。</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物联设备数据传输线路共计1条，带宽为10M每条。</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物联设备物联卡共计40个，流量500M 每月。</w:t>
      </w:r>
    </w:p>
    <w:p>
      <w:pPr>
        <w:numPr>
          <w:ilvl w:val="0"/>
          <w:numId w:val="17"/>
        </w:numPr>
        <w:snapToGrid w:val="0"/>
        <w:spacing w:line="460" w:lineRule="exact"/>
        <w:jc w:val="left"/>
        <w:rPr>
          <w:rStyle w:val="34"/>
          <w:rFonts w:ascii="宋体" w:hAnsi="宋体"/>
          <w:color w:val="auto"/>
          <w:sz w:val="24"/>
        </w:rPr>
      </w:pPr>
      <w:r>
        <w:rPr>
          <w:rStyle w:val="34"/>
          <w:rFonts w:ascii="宋体" w:hAnsi="宋体"/>
          <w:color w:val="auto"/>
          <w:sz w:val="24"/>
        </w:rPr>
        <w:t>L2TP路由器共计1台。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3、指挥中心建设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指挥中心可视化大屏建设技术要求如下：</w:t>
      </w:r>
    </w:p>
    <w:p>
      <w:pPr>
        <w:snapToGrid w:val="0"/>
        <w:spacing w:line="460" w:lineRule="exact"/>
        <w:ind w:firstLine="480" w:firstLineChars="200"/>
        <w:jc w:val="left"/>
        <w:rPr>
          <w:rStyle w:val="34"/>
          <w:rFonts w:ascii="等线" w:hAnsi="等线" w:eastAsia="等线"/>
          <w:color w:val="auto"/>
          <w:kern w:val="0"/>
          <w:sz w:val="22"/>
        </w:rPr>
      </w:pPr>
      <w:r>
        <w:rPr>
          <w:rStyle w:val="34"/>
          <w:rFonts w:ascii="宋体" w:hAnsi="宋体"/>
          <w:color w:val="auto"/>
          <w:sz w:val="24"/>
        </w:rPr>
        <w:t>（1）室内P1.839全彩LED电子显示屏</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尺寸为5.76*2.88，LED发光二极管：表贴三合一LED；要求显示屏使用国内主流品牌金线封装；</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像素间距：≤1.25mm； 像素密度：≥640000dots/m²；</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白平衡亮度：≥600cd/m²；亮度均匀性：≥97％；</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对比度：≥4000；1；画面刷新率：≥3840 Hz；</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发光点中心距偏差：≤2.5％；视角：水平/垂直≥160°；</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箱体平整度：≤0.1mm；</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箱体分辨率（W×H）：不低于480×270mm；</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箱体材质：压铸铝；</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维护方式：完全前维护；</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驱动方式：恒流驱动；电源适应性：AC100～240V，50～60 Hz；</w:t>
      </w:r>
    </w:p>
    <w:p>
      <w:pPr>
        <w:numPr>
          <w:ilvl w:val="0"/>
          <w:numId w:val="18"/>
        </w:numPr>
        <w:snapToGrid w:val="0"/>
        <w:spacing w:line="460" w:lineRule="exact"/>
        <w:jc w:val="left"/>
        <w:rPr>
          <w:rStyle w:val="34"/>
          <w:rFonts w:ascii="宋体" w:hAnsi="宋体"/>
          <w:color w:val="auto"/>
          <w:sz w:val="24"/>
        </w:rPr>
      </w:pPr>
      <w:r>
        <w:rPr>
          <w:rStyle w:val="34"/>
          <w:rFonts w:ascii="宋体" w:hAnsi="宋体"/>
          <w:color w:val="auto"/>
          <w:sz w:val="24"/>
        </w:rPr>
        <w:t>使用寿命：≥100，000 小时；</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（2）视频软件</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显示屏管理软件，配合发送、接收、监控以及多功能卡，用户可以方便的实现对LED显示屏的智能配置、参数调节、亮度控制、电源管理、屏体校正以及硬件监控</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（3）LED控制系统同步接收卡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刷新率：可达10000Hz，串行频率：4.1MHz-31.25MHz，144mm*91mm，DC:3.5V-6V，额定电流0.8A.额定功率：4W</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（4）LED显示屏专用驱动电源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额定输入220VAC 50/60Hz，输出电流：33A/17A，输出电压：5V</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（5）型材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强弱电材料槽式电缆桥架C100*100</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（6）LED屏不锈钢包框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不锈钢包框，国标材料</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（7）H3C路由器（防火墙）</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8口千兆双频无线企业级防火墙VEN路由器</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（8）机柜</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42U标准网络机柜，前后网格门600mm*1000mm*2000mm</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（9）网线</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超五类网线</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（10）不间断电源</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额定容量：3000VA/2400，输入电压：80-300VAC，输出电压:220±20%(电池模式)输出功率：≥20KW；</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输入电压范围：285～476VAC；</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相数：三相五线；</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输入频率范围（Hz）：45～55/ 54～66；</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输入功率因数：≥0.99；</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输入电流谐波成分：≤4％ ；</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输出波形失真度：≤3％ 非线性负载 ；</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输出功因：≥0.9 ；</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切换时间（ms）：≤0 ；</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整机效率：100％负载，≥95％ ；</w:t>
      </w:r>
    </w:p>
    <w:p>
      <w:pPr>
        <w:numPr>
          <w:ilvl w:val="0"/>
          <w:numId w:val="19"/>
        </w:numPr>
        <w:snapToGrid w:val="0"/>
        <w:spacing w:line="460" w:lineRule="exact"/>
        <w:jc w:val="left"/>
        <w:rPr>
          <w:rStyle w:val="34"/>
          <w:rFonts w:ascii="宋体" w:hAnsi="宋体"/>
          <w:color w:val="auto"/>
          <w:sz w:val="24"/>
        </w:rPr>
      </w:pPr>
      <w:r>
        <w:rPr>
          <w:rStyle w:val="34"/>
          <w:rFonts w:ascii="宋体" w:hAnsi="宋体"/>
          <w:color w:val="auto"/>
          <w:sz w:val="24"/>
        </w:rPr>
        <w:t>过载能力：负载≤110％，60min；≤125％，10min；≤150％，1min。</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（11）远程会议</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分辨率：3840×2160像素，视野：90°FOV 俯仰调节手动+/-15°，远端传输：1080@30fps全高清视频通话，无线投屏：最高支持1080@30fps投屏，以太网：10/100/1000m自适应1个，整机功耗：12W+,电源输出12V-2A</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（12）话筒</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一拖二无线会议话筒</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（13）音箱</w:t>
      </w:r>
    </w:p>
    <w:p>
      <w:pPr>
        <w:numPr>
          <w:ilvl w:val="0"/>
          <w:numId w:val="20"/>
        </w:numPr>
        <w:snapToGrid w:val="0"/>
        <w:spacing w:line="460" w:lineRule="exact"/>
        <w:jc w:val="left"/>
        <w:rPr>
          <w:rStyle w:val="34"/>
          <w:rFonts w:ascii="宋体" w:hAnsi="宋体"/>
          <w:color w:val="auto"/>
          <w:sz w:val="24"/>
        </w:rPr>
      </w:pPr>
      <w:r>
        <w:rPr>
          <w:rStyle w:val="34"/>
          <w:rFonts w:ascii="宋体" w:hAnsi="宋体"/>
          <w:color w:val="auto"/>
          <w:sz w:val="24"/>
        </w:rPr>
        <w:t>采用拼接排列扬声器设计，箱体采用不低于12mm夹板制作</w:t>
      </w:r>
    </w:p>
    <w:p>
      <w:pPr>
        <w:numPr>
          <w:ilvl w:val="0"/>
          <w:numId w:val="20"/>
        </w:numPr>
        <w:snapToGrid w:val="0"/>
        <w:spacing w:line="460" w:lineRule="exact"/>
        <w:jc w:val="left"/>
        <w:rPr>
          <w:rStyle w:val="34"/>
          <w:rFonts w:ascii="宋体" w:hAnsi="宋体"/>
          <w:color w:val="auto"/>
          <w:sz w:val="24"/>
        </w:rPr>
      </w:pPr>
      <w:r>
        <w:rPr>
          <w:rStyle w:val="34"/>
          <w:rFonts w:ascii="宋体" w:hAnsi="宋体"/>
          <w:color w:val="auto"/>
          <w:sz w:val="24"/>
        </w:rPr>
        <w:t>阻抗：8Ω、频响：80Hz-20KHz</w:t>
      </w:r>
    </w:p>
    <w:p>
      <w:pPr>
        <w:numPr>
          <w:ilvl w:val="0"/>
          <w:numId w:val="20"/>
        </w:numPr>
        <w:snapToGrid w:val="0"/>
        <w:spacing w:line="460" w:lineRule="exact"/>
        <w:jc w:val="left"/>
        <w:rPr>
          <w:rStyle w:val="34"/>
          <w:rFonts w:ascii="宋体" w:hAnsi="宋体"/>
          <w:color w:val="auto"/>
          <w:sz w:val="24"/>
        </w:rPr>
      </w:pPr>
      <w:r>
        <w:rPr>
          <w:rStyle w:val="34"/>
          <w:rFonts w:ascii="宋体" w:hAnsi="宋体"/>
          <w:color w:val="auto"/>
          <w:sz w:val="24"/>
        </w:rPr>
        <w:t>额定功率：≥300W</w:t>
      </w:r>
    </w:p>
    <w:p>
      <w:pPr>
        <w:numPr>
          <w:ilvl w:val="0"/>
          <w:numId w:val="20"/>
        </w:numPr>
        <w:snapToGrid w:val="0"/>
        <w:spacing w:line="460" w:lineRule="exact"/>
        <w:jc w:val="left"/>
        <w:rPr>
          <w:rStyle w:val="34"/>
          <w:rFonts w:ascii="宋体" w:hAnsi="宋体"/>
          <w:color w:val="auto"/>
          <w:sz w:val="24"/>
        </w:rPr>
      </w:pPr>
      <w:r>
        <w:rPr>
          <w:rStyle w:val="34"/>
          <w:rFonts w:ascii="宋体" w:hAnsi="宋体"/>
          <w:color w:val="auto"/>
          <w:sz w:val="24"/>
        </w:rPr>
        <w:t>灵敏度：≥97dB</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（14）功放</w:t>
      </w:r>
      <w:r>
        <w:rPr>
          <w:rStyle w:val="34"/>
          <w:rFonts w:ascii="宋体" w:hAnsi="宋体"/>
          <w:color w:val="auto"/>
          <w:sz w:val="24"/>
        </w:rPr>
        <w:tab/>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输出功率：4Ω 100W×2，频率响应：20Hz-20KHz，谐波失真：≤0.5%@1KHz，输出阻抗：4Ω-16Ω，信噪比：≥74dB，功防尺寸：430×310×120mm</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（15）电脑主机</w:t>
      </w:r>
      <w:r>
        <w:rPr>
          <w:rStyle w:val="34"/>
          <w:rFonts w:ascii="宋体" w:hAnsi="宋体"/>
          <w:color w:val="auto"/>
          <w:sz w:val="24"/>
        </w:rPr>
        <w:tab/>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10代I5-10400 8G 512固态核芯显卡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（16）显示器</w:t>
      </w:r>
      <w:r>
        <w:rPr>
          <w:rStyle w:val="34"/>
          <w:rFonts w:ascii="宋体" w:hAnsi="宋体"/>
          <w:color w:val="auto"/>
          <w:sz w:val="24"/>
        </w:rPr>
        <w:tab/>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24寸×1080p×75HZ×IPS面板</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（17）平板电脑</w:t>
      </w:r>
      <w:r>
        <w:rPr>
          <w:rStyle w:val="34"/>
          <w:rFonts w:ascii="宋体" w:hAnsi="宋体"/>
          <w:color w:val="auto"/>
          <w:sz w:val="24"/>
        </w:rPr>
        <w:tab/>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屏幕尺寸10.4英寸，屏幕类型IPS触摸屏，分辨率2000 x 1200，触摸屏电容屏十点触控，防指纹涂层，运行内存（RAM）6GB，存储容量（ROM）128GB，支持802.11ax无线协议，双频（2.4GHz+5GHz），双摄像头（前置：800万像素，后置：800万像素），指南针，状态指示灯，环境光传感器，霍尔传感器，重力传感器，USB Type-C数据和充电接口</w:t>
      </w:r>
    </w:p>
    <w:p>
      <w:pPr>
        <w:snapToGrid w:val="0"/>
        <w:spacing w:line="440" w:lineRule="exact"/>
        <w:jc w:val="left"/>
        <w:rPr>
          <w:rStyle w:val="34"/>
          <w:rFonts w:ascii="宋体" w:hAnsi="宋体"/>
          <w:b/>
          <w:color w:val="auto"/>
          <w:kern w:val="0"/>
          <w:sz w:val="24"/>
          <w:lang w:val="zh-CN"/>
        </w:rPr>
      </w:pPr>
      <w:r>
        <w:rPr>
          <w:rStyle w:val="34"/>
          <w:rFonts w:ascii="宋体" w:hAnsi="宋体"/>
          <w:b/>
          <w:color w:val="auto"/>
          <w:kern w:val="0"/>
          <w:sz w:val="24"/>
          <w:lang w:val="zh-CN"/>
        </w:rPr>
        <w:t>（五）系统平台建设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1、基础信息平台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1.1、数据管理系统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实现排水设施“一张图”数据库多来源、多类型的数据管理，为数据服务与应用提供基础支撑。</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系统可以实现数据入库、数据质检、数据更新、数据查询、定位、统计分析、数据输出、管网编辑、穿点成线、自动维修拓扑、设备资产周期管理等主要功能。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1.2、资源管理系统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主要实现地图浏览、查询分析、空间统计等，同时提供数据服务和应用服务定制，对应用系统的服务和功能共享提供支撑，实现各个业务应用系统的空间数据接口和访问机制。</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系统可以实现目录服务、地图应用门户、地图开发工具包、数据分发、服务管理等功能。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1.3、运维管理系统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主要实现元数据、用户权限、安全认证、系统日志、地图索引等的管理功能。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系统可以实现用户和权限管理、数据库备份管理、系统监控和访问管理、数据字典管理、元数据管理、日志管理等主要功能。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2、业务应用平台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2.1、“一张图”展示系统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重点提升排水管网一张图系统态势功能，通过三维展示可呈现管网的分布、流向、管径等。提升排水管网数据的查询功能，通过空间范围的圈选、多边形选能力，查找范围内管点、管段，并显示相关详细信息。提升排水管网数据的分析功能，对于在某一空间范围内管线的材质、埋深、孔径可深入分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2.1.1、三维展示</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三维展示基于主流三维平台建设三维管线和三维城市模型。具备地上地下空间一体化三维展示、三维管线放大、缩小、漫游、旋转等浏览操作和属性查询等功能。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2.1.2、综合查询</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查询模块是对地图显示、查询与定位等基本操作功能的扩展，应提供包括点击查询、分类查询、地名查询等功能。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2.1.3、管线数据编辑</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面对大量复杂的多形式的管网数据，需要建立一套完备的对管网各类数据进行数字化编辑和操作的工具，用以维护数据的管网拓扑关系完整性，同时将业务数据等所涉及的属性数据与管网基础地理信息数据有机的融为一体，将属性数据与管网数据关联，进行一体化的管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2.1.4、管网统计分析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系统应支持提供丰富的报表统计方法，具备的统计分析功能。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2.1.5、管网智能分析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该模块通过 GIS 特有的各种空间分析技术，利用在 GIS 数据库中的管网业务数据进行综合分析，如截面分析、连通性分析等功能，为日常业务管理提供辅助决策依据。</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2.1.6、工程管理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系统可在一张GIS地图上展示正在施工的工程，将所选工程的基本信息和实施过程信息进行地图显示。可在一张GIS地图上展示已完工的项目，将显示所选工程的基本信息和竣工验收相关资料。</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2.1.7、巡检管理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系统可以一张GIS地图展示队员的巡查路线，以及队员上报的事件工单可以落图展示。</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2.1.8、在线监测</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系统集成了井盖监控信息、排水井液位信息、大用户排放监测信息、视频信息、报警信息等，将重要的数据和信息能够在GIS地图上进行展示。</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2.1.9、专题图</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系统可以根据建设单位的具体要求，对相关排水管线、排水设施、排水设备等数据做专题展示。</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2.2、排水设施普查系统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通过外业测绘手段实现对所有排水设施基础资产数据收集，通过普查成果成图，辅助摸清数据家底，为排水设施地理信息系统建设提供数据支撑。</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基于C/S架构,主要实现普查、竣工等数据检查入库，提供便捷的数据批量导入、数据转换功能，实现数据入库，根据数据标准规范要求，进行字段要求、空间位置、管线属性、管点属性、管线连接关系等的检查。</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2.3、排水设施排查系统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基于排水设施基础信息平台，提供对CCTV、QV等检测数据及文档资料一体化全面管理能力。</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系统提供：针对CCTV、QV等数据资料库管理和数据质量检测、入库等主要功能模块。</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2.4、设施巡查养护系统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该模块能实现对外包单位的养护情况、雨水排口的出水情况以及河道进行巡查监管，在巡查监管过程中发现的问题，用移动终端上传巡查监管的情况、结果、照片等，提交后台审核处置，对养护工单进行考核，并对发现的问题进行跟踪、管理、统计、分析。</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2.5、设施建设工程管理系统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程管理用于将计划建设工程、在建工程、竣工工程等相关工程信息用不同的图层体现在系统中，便于对工程建设的综合管理和数据统计。系统可对工程项目从立项、审批、过程建设、验收全过程进行管理。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2.6、排水设施设备管理系统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通过建立规范化的业务流程及设备信息管理平台，实现设备管理的规范化、系统化、信息化。排水设施设备管理系统通过一整套的设备管理功能实现对设备的申报采购、入库出库、保养、巡检、维修直至报废的全生命周期进行管理。</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2.7、排水户管理系统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应能实现重点工业排污企业、重点排水户、一般排水户等三类排水户的分类管理，实现排水户动态管理，包括基本信息、类型、许可证类型、许可证到期时间、相连排放口、地理位置等信息，提供基于GIS的排水用户分布展示、查询；</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系统应能提供不同时间、区间段内的排水户、许可证时间内的排水户、过期排水户等的统计、查询、分析；可查询与排放口相连的上游的排水户等。</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2.8、物联感知系统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物联感知系统是泰兴实现智慧排水的重要平台，在智慧排水基础平台的框架下，集成了GIS地理信息、井盖监控信息、排水井液位信息、大用户排放监测信息、视频信息、报警信息等，将重要的数据和信息能够显示在以GIS为支撑的应用平台上，以方便排水管理中心的管理人员全面地管控泰兴市排水业务状况。</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物联感知系统，对主要路段、重要河道排口、泵站、重点排水户等对象部署液位计、流量计、自动采样仪以及水质监测仪等设备，构建全面的物联感知网络，实时获取液位、流量等监测数据和视频监控数据，实现所有监测数据的统一管理，确保排水设施运行的安全性及稳定性。</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2.9、厂、站、网、河（湖）一体化管理系统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通过指挥调度和小流域、网格化生产运营，充分优化、提升污水收集和处理的全系统功能，实现“水质保障、水量均衡、水位预调”，改善水体黑臭现象，同时能够整体提升防汛保障水平，及时发现和应对突发事件。</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可以在地图上对于厂、站、网、河（湖）进行水质、流速、液位等监测，还可以对阈值进行管理，并能进行预警。</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2.10、辅助决策系统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系统主要包括水位分析、水质分析和污水厂监测分析等功能。</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2.11、工单流转系统</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系统支持12345平台推送过来的排水相关工单进行内部流转，系统根据工单所在位置，通过短信或APP推送的方式智能推送至相关责任人，相关责任人接收到工单后，到现场进行处理，并通过手机APP上传相应处理结果，上级可以查看上传的处理结果并进行审核，审核通过后可以将此工单关闭并把处理结果推送给12345平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2.12、移动APP</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在手机端应能实现GIS地图、管网管理、综合监控、视频监控、河道水位流量监控、排水口监控、泵站监控、窨井液位监控、报警管理、养护巡查、排水用户管理、积水点管理、智慧井盖管理、工程管理、防汛应急指挥等功能，实现基于无线互联网的移动办公管理功能，实现随时随地的办公，提高办公效率。</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3、公众服务平台</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3.1政务信息公开</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发布排水设施主管部门政策法规、办事指南，公开办理结果，宣传资源管理政策、新闻，提供信息查询等功能，接受社会举报、监督，提供在线业务受理和办理服务。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3.2信息产品发布</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对排水设施普（排）查和业务管理产生的数据，按照相关行业和社会需求制作成相应的信息产品，通过公共服务平台对外共享发布。</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3.3信息共享服务体系</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整合排水设施工程建设、设施养护、运行监管、监测预警等信息，形成共享机制，逐步向其它行业延伸，最终形成信息资源共享体系，为各行业和社会公众提供不同形式的信息服务。</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3.4应急服务信息公开</w:t>
      </w:r>
    </w:p>
    <w:p>
      <w:pPr>
        <w:snapToGrid w:val="0"/>
        <w:spacing w:line="460" w:lineRule="exact"/>
        <w:ind w:firstLine="480" w:firstLineChars="200"/>
        <w:jc w:val="left"/>
        <w:rPr>
          <w:rStyle w:val="34"/>
          <w:rFonts w:ascii="宋体" w:hAnsi="宋体"/>
          <w:color w:val="auto"/>
          <w:sz w:val="24"/>
        </w:rPr>
      </w:pPr>
      <w:r>
        <w:rPr>
          <w:rStyle w:val="34"/>
          <w:rFonts w:ascii="宋体" w:hAnsi="宋体"/>
          <w:color w:val="auto"/>
          <w:sz w:val="24"/>
        </w:rPr>
        <w:t>公开各级排水设施应急管理部门的地址、负责领导和工作人员姓名、电话等信息，发布寻求帮助和报告的途径，以及防灾避险等应急知识的宣传教育。</w:t>
      </w:r>
    </w:p>
    <w:p>
      <w:pPr>
        <w:snapToGrid w:val="0"/>
        <w:spacing w:line="460" w:lineRule="exact"/>
        <w:rPr>
          <w:rStyle w:val="34"/>
          <w:rFonts w:ascii="宋体" w:hAnsi="宋体" w:cs="宋体"/>
          <w:b/>
          <w:bCs/>
          <w:color w:val="auto"/>
          <w:kern w:val="0"/>
          <w:sz w:val="24"/>
        </w:rPr>
      </w:pPr>
      <w:r>
        <w:rPr>
          <w:rStyle w:val="34"/>
          <w:rFonts w:ascii="宋体" w:hAnsi="宋体" w:cs="宋体"/>
          <w:b/>
          <w:bCs/>
          <w:color w:val="auto"/>
          <w:kern w:val="0"/>
          <w:sz w:val="24"/>
          <w:lang w:val="zh-CN"/>
        </w:rPr>
        <w:t>三、系统技术要求</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1、开发技术平台：服务器端采用开源的Java+SpringCloud或MS.NET技术路线，微服务架构，浏览器端采用前后端分离原则，采用Html5+JavaScript或Vue2工程化技术路线。</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2、数据库管理系统：采用SQL server数据库来管理后台数据，架构遵循行业统一数据结构标准。</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 xml:space="preserve">3、具备抗病毒、抗攻击能力；要求扩展性好、应用系统的升级简易方便，并能提供符合规范、合理的数据接口和二次开发接口，如需与其它系统对接的中标人需无条件协助采购人完成。 </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4、系统能够提供完善的日志管理功能，要求所有的业务操作都有详细的操作日志记录；</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5、PC端操作系统为Windows 7或以上，浏览器：支持IE、Chrome等浏览器。</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6、扩展性要求：满足业务变更平滑扩展，后期采购人将绿化、建筑纳入可视化管理，管线综合管理系统需满足相关扩展要求，不需要改变系统架构。</w:t>
      </w:r>
    </w:p>
    <w:p>
      <w:pPr>
        <w:snapToGrid w:val="0"/>
        <w:spacing w:line="460" w:lineRule="exact"/>
        <w:rPr>
          <w:rStyle w:val="34"/>
          <w:rFonts w:ascii="宋体" w:hAnsi="宋体" w:cs="宋体"/>
          <w:b/>
          <w:bCs/>
          <w:color w:val="auto"/>
          <w:kern w:val="0"/>
          <w:sz w:val="24"/>
          <w:lang w:val="zh-CN"/>
        </w:rPr>
      </w:pPr>
      <w:r>
        <w:rPr>
          <w:rStyle w:val="34"/>
          <w:rFonts w:ascii="宋体" w:hAnsi="宋体" w:cs="宋体"/>
          <w:b/>
          <w:bCs/>
          <w:color w:val="auto"/>
          <w:kern w:val="0"/>
          <w:sz w:val="24"/>
          <w:lang w:val="zh-CN"/>
        </w:rPr>
        <w:t>四、建设成果提交</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1、《地下管线探测技术设计书》</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2、《地下管线探测技术总结》</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3、《地下管线探测方法试验和仪器一致性校验报告》</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4、《地下管线探测质量检查报告》</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5、《地下管线测量成果资料和管线点属性调查表》</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6、管线探测的综合管线图和各专业管线图</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7、MDB格式数据文件及其他各种文件光盘</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8、排水设施地理信息系统软件</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9、排水设施地理信息系统数据库</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10、《排水设施地理信息系统建设方案》</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11、《排水设施地理信息系统需求说明书》</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12、《排水设施地理信息系统设计说明书》</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13、《排水设施地理信息系统测试报告》</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14、《排水设施地理信息系统培训手册》</w:t>
      </w:r>
    </w:p>
    <w:p>
      <w:pPr>
        <w:snapToGrid w:val="0"/>
        <w:spacing w:line="440" w:lineRule="exact"/>
        <w:ind w:firstLine="480" w:firstLineChars="200"/>
        <w:jc w:val="left"/>
        <w:rPr>
          <w:rStyle w:val="34"/>
          <w:rFonts w:ascii="宋体" w:hAnsi="宋体"/>
          <w:color w:val="auto"/>
          <w:sz w:val="24"/>
        </w:rPr>
      </w:pPr>
      <w:r>
        <w:rPr>
          <w:rStyle w:val="34"/>
          <w:rFonts w:ascii="宋体" w:hAnsi="宋体"/>
          <w:color w:val="auto"/>
          <w:sz w:val="24"/>
        </w:rPr>
        <w:t>15、《排水设施地理信息系统用户操作手册》</w:t>
      </w:r>
    </w:p>
    <w:p>
      <w:pPr>
        <w:snapToGrid w:val="0"/>
        <w:spacing w:line="440" w:lineRule="exact"/>
        <w:rPr>
          <w:rStyle w:val="34"/>
          <w:rFonts w:ascii="宋体" w:hAnsi="宋体" w:cs="宋体"/>
          <w:b/>
          <w:bCs/>
          <w:color w:val="auto"/>
          <w:kern w:val="0"/>
          <w:sz w:val="24"/>
          <w:lang w:val="zh-CN"/>
        </w:rPr>
      </w:pPr>
      <w:r>
        <w:rPr>
          <w:rStyle w:val="34"/>
          <w:rFonts w:ascii="宋体" w:hAnsi="宋体" w:cs="宋体"/>
          <w:b/>
          <w:bCs/>
          <w:color w:val="auto"/>
          <w:kern w:val="0"/>
          <w:sz w:val="24"/>
          <w:lang w:val="zh-CN"/>
        </w:rPr>
        <w:t>五、相关技术规范</w:t>
      </w:r>
    </w:p>
    <w:p>
      <w:pPr>
        <w:pStyle w:val="296"/>
        <w:snapToGrid w:val="0"/>
        <w:spacing w:line="440" w:lineRule="exact"/>
        <w:ind w:firstLine="480"/>
        <w:jc w:val="both"/>
        <w:rPr>
          <w:rStyle w:val="34"/>
          <w:color w:val="auto"/>
        </w:rPr>
      </w:pPr>
      <w:r>
        <w:rPr>
          <w:rStyle w:val="34"/>
          <w:color w:val="auto"/>
        </w:rPr>
        <w:t>1、《城市地下管线探测技术规程》(CJJ61-2017)；</w:t>
      </w:r>
    </w:p>
    <w:p>
      <w:pPr>
        <w:pStyle w:val="296"/>
        <w:snapToGrid w:val="0"/>
        <w:spacing w:line="440" w:lineRule="exact"/>
        <w:ind w:firstLine="480"/>
        <w:jc w:val="both"/>
        <w:rPr>
          <w:rStyle w:val="34"/>
          <w:color w:val="auto"/>
        </w:rPr>
      </w:pPr>
      <w:r>
        <w:rPr>
          <w:rStyle w:val="34"/>
          <w:color w:val="auto"/>
        </w:rPr>
        <w:t>2、《城市测量规范》(CJJ/T8-2011)；</w:t>
      </w:r>
    </w:p>
    <w:p>
      <w:pPr>
        <w:pStyle w:val="296"/>
        <w:snapToGrid w:val="0"/>
        <w:spacing w:line="440" w:lineRule="exact"/>
        <w:ind w:firstLine="480"/>
        <w:jc w:val="both"/>
        <w:rPr>
          <w:rStyle w:val="34"/>
          <w:color w:val="auto"/>
        </w:rPr>
      </w:pPr>
      <w:r>
        <w:rPr>
          <w:rStyle w:val="34"/>
          <w:color w:val="auto"/>
        </w:rPr>
        <w:t>3、《城市地下管线工程档案管理办法》；</w:t>
      </w:r>
    </w:p>
    <w:p>
      <w:pPr>
        <w:pStyle w:val="296"/>
        <w:snapToGrid w:val="0"/>
        <w:spacing w:line="440" w:lineRule="exact"/>
        <w:ind w:firstLine="480"/>
        <w:jc w:val="both"/>
        <w:rPr>
          <w:rStyle w:val="34"/>
          <w:color w:val="auto"/>
        </w:rPr>
      </w:pPr>
      <w:r>
        <w:rPr>
          <w:rStyle w:val="34"/>
          <w:color w:val="auto"/>
        </w:rPr>
        <w:t>4、《全球定位系统（GPS）测量规范》（GB/T 18314—2009）；</w:t>
      </w:r>
    </w:p>
    <w:p>
      <w:pPr>
        <w:pStyle w:val="296"/>
        <w:snapToGrid w:val="0"/>
        <w:spacing w:line="440" w:lineRule="exact"/>
        <w:ind w:firstLine="480"/>
        <w:jc w:val="both"/>
        <w:rPr>
          <w:rStyle w:val="34"/>
          <w:color w:val="auto"/>
        </w:rPr>
      </w:pPr>
      <w:r>
        <w:rPr>
          <w:rStyle w:val="34"/>
          <w:color w:val="auto"/>
        </w:rPr>
        <w:t>5、《数字测绘成果质量检查与验收》（GB/T18316-2008）；</w:t>
      </w:r>
    </w:p>
    <w:p>
      <w:pPr>
        <w:pStyle w:val="296"/>
        <w:snapToGrid w:val="0"/>
        <w:spacing w:line="440" w:lineRule="exact"/>
        <w:ind w:firstLine="480"/>
        <w:jc w:val="both"/>
        <w:rPr>
          <w:rStyle w:val="34"/>
          <w:color w:val="auto"/>
        </w:rPr>
      </w:pPr>
      <w:r>
        <w:rPr>
          <w:rStyle w:val="34"/>
          <w:color w:val="auto"/>
        </w:rPr>
        <w:t>6、《测绘成果质量检查与验收》（GB/T24356-2009）；</w:t>
      </w:r>
    </w:p>
    <w:p>
      <w:pPr>
        <w:pStyle w:val="296"/>
        <w:snapToGrid w:val="0"/>
        <w:spacing w:line="440" w:lineRule="exact"/>
        <w:ind w:firstLine="480"/>
        <w:jc w:val="both"/>
        <w:rPr>
          <w:rStyle w:val="34"/>
          <w:color w:val="auto"/>
        </w:rPr>
      </w:pPr>
      <w:r>
        <w:rPr>
          <w:rStyle w:val="34"/>
          <w:color w:val="auto"/>
        </w:rPr>
        <w:t>7、《测绘技术总结编写规定》(CH/T 1001-2005)；</w:t>
      </w:r>
    </w:p>
    <w:p>
      <w:pPr>
        <w:pStyle w:val="296"/>
        <w:snapToGrid w:val="0"/>
        <w:spacing w:line="440" w:lineRule="exact"/>
        <w:ind w:firstLine="480"/>
        <w:jc w:val="both"/>
        <w:rPr>
          <w:rStyle w:val="34"/>
          <w:color w:val="auto"/>
        </w:rPr>
      </w:pPr>
      <w:r>
        <w:rPr>
          <w:rStyle w:val="34"/>
          <w:color w:val="auto"/>
        </w:rPr>
        <w:t>8、《国家基本比例尺1:500 1:1000 1:2000地形图图式》 （GB/T 20257.1-2017）</w:t>
      </w:r>
    </w:p>
    <w:p>
      <w:pPr>
        <w:pStyle w:val="296"/>
        <w:snapToGrid w:val="0"/>
        <w:spacing w:line="440" w:lineRule="exact"/>
        <w:ind w:firstLine="480"/>
        <w:jc w:val="both"/>
        <w:rPr>
          <w:rStyle w:val="34"/>
          <w:color w:val="auto"/>
        </w:rPr>
      </w:pPr>
      <w:r>
        <w:rPr>
          <w:rStyle w:val="34"/>
          <w:color w:val="auto"/>
        </w:rPr>
        <w:t>9、《1:500 1:1000 1:2000地形图数字化规范》（GB/T 17160-2008）</w:t>
      </w:r>
    </w:p>
    <w:p>
      <w:pPr>
        <w:pStyle w:val="296"/>
        <w:snapToGrid w:val="0"/>
        <w:spacing w:line="440" w:lineRule="exact"/>
        <w:ind w:firstLine="480"/>
        <w:jc w:val="both"/>
        <w:rPr>
          <w:rStyle w:val="34"/>
          <w:color w:val="auto"/>
        </w:rPr>
      </w:pPr>
      <w:r>
        <w:rPr>
          <w:rStyle w:val="34"/>
          <w:color w:val="auto"/>
        </w:rPr>
        <w:t>10、《基础地理信息要素分类与代码》（GB/T 13923-2006）；</w:t>
      </w:r>
    </w:p>
    <w:p>
      <w:pPr>
        <w:pStyle w:val="296"/>
        <w:snapToGrid w:val="0"/>
        <w:spacing w:line="440" w:lineRule="exact"/>
        <w:ind w:firstLine="480"/>
        <w:jc w:val="both"/>
        <w:rPr>
          <w:rStyle w:val="34"/>
          <w:color w:val="auto"/>
        </w:rPr>
      </w:pPr>
      <w:r>
        <w:rPr>
          <w:rStyle w:val="34"/>
          <w:color w:val="auto"/>
        </w:rPr>
        <w:t>11、《城市基础地理信息系统技术规范》（CJJ 100-2004）；</w:t>
      </w:r>
    </w:p>
    <w:p>
      <w:pPr>
        <w:pStyle w:val="296"/>
        <w:snapToGrid w:val="0"/>
        <w:spacing w:line="440" w:lineRule="exact"/>
        <w:ind w:firstLine="480"/>
        <w:jc w:val="both"/>
        <w:rPr>
          <w:rStyle w:val="34"/>
          <w:color w:val="auto"/>
        </w:rPr>
      </w:pPr>
      <w:r>
        <w:rPr>
          <w:rStyle w:val="34"/>
          <w:color w:val="auto"/>
        </w:rPr>
        <w:t>12、《城市三维建模技术规范》（CJJ/T 157—2010 ）；</w:t>
      </w:r>
    </w:p>
    <w:p>
      <w:pPr>
        <w:pStyle w:val="296"/>
        <w:snapToGrid w:val="0"/>
        <w:spacing w:line="440" w:lineRule="exact"/>
        <w:ind w:firstLine="480"/>
        <w:jc w:val="both"/>
        <w:rPr>
          <w:rStyle w:val="34"/>
          <w:color w:val="auto"/>
        </w:rPr>
      </w:pPr>
      <w:r>
        <w:rPr>
          <w:rStyle w:val="34"/>
          <w:color w:val="auto"/>
        </w:rPr>
        <w:t>13、《计算机软件文档编制规范》（GB/T 8567-2006）；</w:t>
      </w:r>
    </w:p>
    <w:p>
      <w:pPr>
        <w:pStyle w:val="296"/>
        <w:snapToGrid w:val="0"/>
        <w:spacing w:line="440" w:lineRule="exact"/>
        <w:ind w:firstLine="480"/>
        <w:jc w:val="both"/>
        <w:rPr>
          <w:rStyle w:val="34"/>
          <w:color w:val="auto"/>
        </w:rPr>
      </w:pPr>
      <w:r>
        <w:rPr>
          <w:rStyle w:val="34"/>
          <w:color w:val="auto"/>
        </w:rPr>
        <w:t>14、《软件产品管理办法》(工业和信息化部令第9号)；</w:t>
      </w:r>
    </w:p>
    <w:p>
      <w:pPr>
        <w:pStyle w:val="296"/>
        <w:snapToGrid w:val="0"/>
        <w:spacing w:line="440" w:lineRule="exact"/>
        <w:ind w:firstLine="480"/>
        <w:jc w:val="both"/>
        <w:rPr>
          <w:rStyle w:val="34"/>
          <w:color w:val="auto"/>
        </w:rPr>
      </w:pPr>
      <w:r>
        <w:rPr>
          <w:rStyle w:val="34"/>
          <w:color w:val="auto"/>
        </w:rPr>
        <w:t>15、《信息技术软件生存周期过程》(GB/T 8566-2007)；</w:t>
      </w:r>
    </w:p>
    <w:p>
      <w:pPr>
        <w:pStyle w:val="296"/>
        <w:snapToGrid w:val="0"/>
        <w:spacing w:line="440" w:lineRule="exact"/>
        <w:ind w:firstLine="480"/>
        <w:jc w:val="both"/>
        <w:rPr>
          <w:rStyle w:val="34"/>
          <w:color w:val="auto"/>
        </w:rPr>
      </w:pPr>
      <w:r>
        <w:rPr>
          <w:rStyle w:val="34"/>
          <w:color w:val="auto"/>
        </w:rPr>
        <w:t>16、《计算机软件需求规格说明规范》(GB/T 9385-2008)；</w:t>
      </w:r>
    </w:p>
    <w:p>
      <w:pPr>
        <w:pStyle w:val="296"/>
        <w:snapToGrid w:val="0"/>
        <w:spacing w:line="440" w:lineRule="exact"/>
        <w:ind w:firstLine="480"/>
        <w:jc w:val="both"/>
        <w:rPr>
          <w:rStyle w:val="34"/>
          <w:color w:val="auto"/>
        </w:rPr>
      </w:pPr>
      <w:r>
        <w:rPr>
          <w:rStyle w:val="34"/>
          <w:color w:val="auto"/>
        </w:rPr>
        <w:t>17、经批准的本项目技术设计书。</w:t>
      </w:r>
    </w:p>
    <w:p>
      <w:pPr>
        <w:snapToGrid w:val="0"/>
        <w:spacing w:line="440" w:lineRule="exact"/>
        <w:ind w:firstLine="480" w:firstLineChars="200"/>
        <w:jc w:val="left"/>
        <w:rPr>
          <w:rStyle w:val="34"/>
          <w:rFonts w:ascii="宋体" w:hAnsi="宋体"/>
          <w:color w:val="auto"/>
          <w:kern w:val="0"/>
          <w:sz w:val="24"/>
        </w:rPr>
      </w:pPr>
      <w:r>
        <w:rPr>
          <w:rStyle w:val="34"/>
          <w:rFonts w:ascii="宋体" w:hAnsi="宋体"/>
          <w:color w:val="auto"/>
          <w:sz w:val="24"/>
        </w:rPr>
        <w:t>注：以上标准如有更新，按最新标准为准。</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六、实施要求</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1、投标人需根据现场情况及本项目内容制定进度计划，明确各部分时间节点。</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2、项目实施前，投标人需对本项目进行重点难点进行分析并制定针对性的解决方案。同时对作业过程中的风险因素制定相关安全措施及应急预案，最大程度减少突发事件及其造成的损害。</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3、投标人需根据普查对象的现状及对项目建设的理解制定项目实施方案（包括管线普查方案、管线三维建模方案、管理系统建设方案等），并制定相关进度、质量的保障措施。</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4、投标人应加强管理，制定内部管理制度、明确分工责任。</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5、安全要求</w:t>
      </w:r>
    </w:p>
    <w:p>
      <w:pPr>
        <w:snapToGrid w:val="0"/>
        <w:spacing w:line="460" w:lineRule="exact"/>
        <w:ind w:firstLine="720" w:firstLineChars="3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5.1制定严格安全管理方案，加强作业队伍管理，遵守作业现场的一切规章制度，注意安全，一切伤亡事故由中标人负全责；</w:t>
      </w:r>
    </w:p>
    <w:p>
      <w:pPr>
        <w:snapToGrid w:val="0"/>
        <w:spacing w:line="460" w:lineRule="exact"/>
        <w:ind w:firstLine="720" w:firstLineChars="300"/>
        <w:rPr>
          <w:rStyle w:val="34"/>
          <w:rFonts w:ascii="宋体" w:hAnsi="宋体"/>
          <w:color w:val="auto"/>
          <w:sz w:val="24"/>
        </w:rPr>
      </w:pPr>
      <w:r>
        <w:rPr>
          <w:rStyle w:val="34"/>
          <w:rFonts w:ascii="宋体" w:hAnsi="宋体"/>
          <w:color w:val="auto"/>
          <w:sz w:val="24"/>
        </w:rPr>
        <w:t>5.2项目实施过程中注意保护现场已存在的公共设施、邻近管线等，如有损坏必须由中标人负责恢复或赔偿；</w:t>
      </w:r>
    </w:p>
    <w:p>
      <w:pPr>
        <w:snapToGrid w:val="0"/>
        <w:spacing w:line="460" w:lineRule="exact"/>
        <w:ind w:firstLine="720" w:firstLineChars="300"/>
        <w:rPr>
          <w:rStyle w:val="34"/>
          <w:rFonts w:ascii="宋体" w:hAnsi="宋体"/>
          <w:color w:val="auto"/>
          <w:sz w:val="24"/>
        </w:rPr>
      </w:pPr>
      <w:r>
        <w:rPr>
          <w:rStyle w:val="34"/>
          <w:rFonts w:ascii="宋体" w:hAnsi="宋体"/>
          <w:color w:val="auto"/>
          <w:sz w:val="24"/>
        </w:rPr>
        <w:t>5.3现场作业时应明示安全警示标志和作业围挡；根据风险治理措施配备必要的个人防护用品，确保个人防护用品有效，现场作业必须佩带安全帽、反光背心等基本防护用品，在道路上作业时周围需采取临时维护，清理闲杂人员围观。作业完成后井盖需及时归位，并清理作业区域。</w:t>
      </w:r>
    </w:p>
    <w:p>
      <w:pPr>
        <w:snapToGrid w:val="0"/>
        <w:spacing w:line="460" w:lineRule="exact"/>
        <w:ind w:firstLine="720" w:firstLineChars="300"/>
        <w:rPr>
          <w:rStyle w:val="34"/>
          <w:rFonts w:ascii="宋体" w:hAnsi="宋体"/>
          <w:color w:val="auto"/>
          <w:sz w:val="24"/>
        </w:rPr>
      </w:pPr>
      <w:r>
        <w:rPr>
          <w:rStyle w:val="34"/>
          <w:rFonts w:ascii="宋体" w:hAnsi="宋体"/>
          <w:color w:val="auto"/>
          <w:sz w:val="24"/>
        </w:rPr>
        <w:t>5.4中标人的工作人员在岗履行职责期间（包括上下班途中），发生自身的人身伤害、伤亡，均由中标人负责处理并承担经济和道义上的责任，采购人不承担任何责任。</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6、投标人应提前制定与采购人等相关单位的协调方案，保证项目顺利进行。</w:t>
      </w:r>
    </w:p>
    <w:p>
      <w:pPr>
        <w:snapToGrid w:val="0"/>
        <w:spacing w:line="460" w:lineRule="exact"/>
        <w:ind w:firstLine="480" w:firstLineChars="200"/>
        <w:rPr>
          <w:rStyle w:val="34"/>
          <w:rFonts w:ascii="宋体" w:hAnsi="宋体" w:cs="Times New Roman"/>
          <w:bCs/>
          <w:color w:val="auto"/>
          <w:kern w:val="0"/>
          <w:sz w:val="24"/>
          <w:lang w:val="zh-CN"/>
        </w:rPr>
      </w:pPr>
      <w:r>
        <w:rPr>
          <w:rStyle w:val="34"/>
          <w:rFonts w:ascii="宋体" w:hAnsi="宋体" w:cs="Times New Roman"/>
          <w:bCs/>
          <w:color w:val="auto"/>
          <w:kern w:val="0"/>
          <w:sz w:val="24"/>
          <w:lang w:val="zh-CN"/>
        </w:rPr>
        <w:t>7、项目实施前，投标人需配备相关设备仪器（包括但不限于GPS定位仪、全站仪）。</w:t>
      </w:r>
    </w:p>
    <w:p>
      <w:pPr>
        <w:snapToGrid w:val="0"/>
        <w:spacing w:line="460" w:lineRule="exact"/>
        <w:ind w:firstLine="480" w:firstLineChars="200"/>
        <w:rPr>
          <w:rStyle w:val="34"/>
          <w:rFonts w:ascii="宋体" w:hAnsi="宋体"/>
          <w:color w:val="auto"/>
          <w:sz w:val="24"/>
        </w:rPr>
      </w:pPr>
      <w:r>
        <w:rPr>
          <w:rStyle w:val="34"/>
          <w:rFonts w:ascii="宋体" w:hAnsi="宋体" w:cs="Times New Roman"/>
          <w:bCs/>
          <w:color w:val="auto"/>
          <w:kern w:val="0"/>
          <w:sz w:val="24"/>
          <w:lang w:val="zh-CN"/>
        </w:rPr>
        <w:t>8、人员基本要求：投标人需为本项目配备1名项目负责人、1名技术负责人、1名质检负责人、不少于5名系统开发人员及不少于10名管线调查和测量技术人员。项目负责人需具有</w:t>
      </w:r>
      <w:r>
        <w:rPr>
          <w:rStyle w:val="34"/>
          <w:rFonts w:ascii="宋体" w:hAnsi="宋体"/>
          <w:color w:val="auto"/>
          <w:sz w:val="24"/>
        </w:rPr>
        <w:t>系统集成项目管理工程师证书、注册测绘师证书、涉密测绘成果管理人员岗位培训证书及测绘相关专业高级工程师职称证书；</w:t>
      </w:r>
      <w:r>
        <w:rPr>
          <w:rStyle w:val="34"/>
          <w:rFonts w:ascii="宋体" w:hAnsi="宋体" w:cs="Times New Roman"/>
          <w:bCs/>
          <w:color w:val="auto"/>
          <w:kern w:val="0"/>
          <w:sz w:val="24"/>
          <w:lang w:val="zh-CN"/>
        </w:rPr>
        <w:t>技术负责人需</w:t>
      </w:r>
      <w:r>
        <w:rPr>
          <w:rStyle w:val="34"/>
          <w:rFonts w:ascii="宋体" w:hAnsi="宋体"/>
          <w:color w:val="auto"/>
          <w:sz w:val="24"/>
        </w:rPr>
        <w:t>具有测绘相关专业高级工程师职称证书、系统集成项目管理工程师证书、注册信息安全专业人员证书（CISP）；</w:t>
      </w:r>
      <w:r>
        <w:rPr>
          <w:rStyle w:val="34"/>
          <w:rFonts w:ascii="宋体" w:hAnsi="宋体" w:cs="Times New Roman"/>
          <w:bCs/>
          <w:color w:val="auto"/>
          <w:kern w:val="0"/>
          <w:sz w:val="24"/>
          <w:lang w:val="zh-CN"/>
        </w:rPr>
        <w:t>质检负责人需具有</w:t>
      </w:r>
      <w:r>
        <w:rPr>
          <w:rStyle w:val="34"/>
          <w:rFonts w:ascii="宋体" w:hAnsi="宋体"/>
          <w:color w:val="auto"/>
          <w:sz w:val="24"/>
        </w:rPr>
        <w:t>注册测绘师证书、涉密测绘成果管理人员岗位培训证书、测绘地理信息技术质量培训证书（或测绘地理信息成果质量检查员培训证书）以及测绘相关专业高级工程师职称证书，其他人员需具有涉密测绘成果管理人员岗位培训证书或注册信息安全专业人员证书。</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9、中标人应制定项目保密措施，对项目中获得的相关信息数据严格保密，不得以任何形式将项目相关资料、数据成果转让给第三方重复使用，不得以任何形式进行泄漏、传播。</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七、投标报价：</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1、本项目采购预算为人民币14600000.00元，投标总价不得超过采购预算，否则视为无效投标。</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2、投标人须对本项目中的所有服务进行投报，不得拆开投报或只投其中的部分内容，否则将作无效投标处理。</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3、投标报价应以人民币报价，包括人工费（人员工资、福利费、加班费、人身意外伤害险等）、设备及工具费、通讯流量费、系统平台开发费、专利费、对接费、系统维护费、税费及政策性文件规定的所有风险、责任等各项费用，采购人不再额外支付其他费用。</w:t>
      </w:r>
    </w:p>
    <w:p>
      <w:pPr>
        <w:snapToGrid w:val="0"/>
        <w:spacing w:line="460" w:lineRule="exact"/>
        <w:ind w:firstLine="480" w:firstLineChars="200"/>
        <w:rPr>
          <w:rStyle w:val="34"/>
          <w:rFonts w:ascii="宋体" w:hAnsi="宋体"/>
          <w:color w:val="auto"/>
          <w:kern w:val="0"/>
          <w:sz w:val="24"/>
        </w:rPr>
      </w:pPr>
      <w:r>
        <w:rPr>
          <w:rStyle w:val="34"/>
          <w:rFonts w:ascii="宋体" w:hAnsi="宋体"/>
          <w:color w:val="auto"/>
          <w:kern w:val="0"/>
          <w:sz w:val="24"/>
        </w:rPr>
        <w:t>4、投标人须</w:t>
      </w:r>
      <w:r>
        <w:rPr>
          <w:rStyle w:val="34"/>
          <w:rFonts w:ascii="宋体" w:hAnsi="宋体"/>
          <w:color w:val="auto"/>
          <w:sz w:val="24"/>
        </w:rPr>
        <w:t>购买第三方人员及施工现场全部人员意外伤害保险、为履行合同聘请的第三方的工伤保险、施工设备财产保险等</w:t>
      </w:r>
      <w:r>
        <w:rPr>
          <w:rStyle w:val="34"/>
          <w:rFonts w:ascii="宋体" w:hAnsi="宋体"/>
          <w:color w:val="auto"/>
          <w:kern w:val="0"/>
          <w:sz w:val="24"/>
        </w:rPr>
        <w:t>，对项目实施过程中的安全责任负责，并承担由此产生的所有费用，请投标人在投标时综合考虑。</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八、验收要求：</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1、项目完成后将由采购人、相关管理部门等进行验收。</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2、验收标准：符合相关国家标准、招标文件及相关附件、技术条件及中标人承诺的其它指标</w:t>
      </w:r>
      <w:r>
        <w:rPr>
          <w:rStyle w:val="34"/>
          <w:rFonts w:hint="eastAsia" w:ascii="宋体" w:hAnsi="宋体"/>
          <w:color w:val="auto"/>
          <w:sz w:val="24"/>
        </w:rPr>
        <w:t>，</w:t>
      </w:r>
      <w:r>
        <w:rPr>
          <w:rStyle w:val="34"/>
          <w:rFonts w:ascii="宋体" w:hAnsi="宋体"/>
          <w:color w:val="auto"/>
          <w:sz w:val="24"/>
        </w:rPr>
        <w:t>符合《江苏省城镇排水设施地理信息系统建设指南》的要求。</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3、如中标人未能按时完成项目内容或验收不合格、相关要求不合格、达不到采购文件要求或投标文件中所承诺的标准，中标单位将无偿给予重测或采取补救措施，以达到质量要求且不得影响最终完成交付时间。否则采购人有权拒绝付款且从履约保证金中取得补偿，并上报有关部门进行失信登记，中标人须承担相关损失及违约责任。</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九、免费运行维护服务</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1、中标人</w:t>
      </w:r>
      <w:r>
        <w:rPr>
          <w:rStyle w:val="34"/>
          <w:rFonts w:hint="eastAsia" w:ascii="宋体" w:hAnsi="宋体"/>
          <w:color w:val="auto"/>
          <w:sz w:val="24"/>
        </w:rPr>
        <w:t>在三年免费维保期内负责对新建排水工程中地下管线的数据入库工作（管线数据库要符合国家及省厅数据库标准）</w:t>
      </w:r>
      <w:r>
        <w:rPr>
          <w:rStyle w:val="34"/>
          <w:rFonts w:ascii="宋体" w:hAnsi="宋体"/>
          <w:color w:val="auto"/>
          <w:sz w:val="24"/>
        </w:rPr>
        <w:t>、</w:t>
      </w:r>
      <w:r>
        <w:rPr>
          <w:rStyle w:val="34"/>
          <w:rFonts w:hint="eastAsia" w:ascii="宋体" w:hAnsi="宋体"/>
          <w:color w:val="auto"/>
          <w:sz w:val="24"/>
        </w:rPr>
        <w:t>对本项目中的硬件设备提供三年免费质保</w:t>
      </w:r>
      <w:r>
        <w:rPr>
          <w:rStyle w:val="34"/>
          <w:rFonts w:ascii="宋体" w:hAnsi="宋体"/>
          <w:color w:val="auto"/>
          <w:sz w:val="24"/>
        </w:rPr>
        <w:t>、对软件系统提供三年的免费运维</w:t>
      </w:r>
      <w:r>
        <w:rPr>
          <w:rStyle w:val="34"/>
          <w:rFonts w:hint="eastAsia" w:ascii="宋体" w:hAnsi="宋体"/>
          <w:color w:val="auto"/>
          <w:sz w:val="24"/>
        </w:rPr>
        <w:t>升级</w:t>
      </w:r>
      <w:r>
        <w:rPr>
          <w:rStyle w:val="34"/>
          <w:rFonts w:ascii="宋体" w:hAnsi="宋体"/>
          <w:color w:val="auto"/>
          <w:sz w:val="24"/>
        </w:rPr>
        <w:t>服务。</w:t>
      </w:r>
      <w:r>
        <w:rPr>
          <w:rStyle w:val="34"/>
          <w:rFonts w:hint="eastAsia" w:ascii="宋体" w:hAnsi="宋体"/>
          <w:color w:val="auto"/>
          <w:sz w:val="24"/>
          <w:lang w:val="en-US" w:eastAsia="zh-CN"/>
        </w:rPr>
        <w:t>若运维服务达到采购人绩效考核标准，可续签后期运维合同。</w:t>
      </w:r>
      <w:r>
        <w:rPr>
          <w:rStyle w:val="34"/>
          <w:rFonts w:ascii="宋体" w:hAnsi="宋体"/>
          <w:color w:val="auto"/>
          <w:sz w:val="24"/>
        </w:rPr>
        <w:t>中标人提供7×24小时响应服务，在接到采购人通知后半小时内响应并提供远程技术服务，无法通过远程技术服务解决的，中标人需在2小时内到达现场进行处理。如4小时内无法解决的，中标人需提供备用方案，确保系统恢复正常。</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2、投标人需制定详细的运行维护方案，确保系统平台稳定正常运行。</w:t>
      </w:r>
    </w:p>
    <w:p>
      <w:pPr>
        <w:snapToGrid w:val="0"/>
        <w:spacing w:line="460" w:lineRule="exact"/>
        <w:ind w:firstLine="480" w:firstLineChars="200"/>
        <w:rPr>
          <w:rStyle w:val="34"/>
          <w:rFonts w:ascii="宋体" w:hAnsi="宋体"/>
          <w:color w:val="auto"/>
          <w:sz w:val="24"/>
        </w:rPr>
      </w:pPr>
      <w:r>
        <w:rPr>
          <w:rStyle w:val="34"/>
          <w:rFonts w:ascii="宋体" w:hAnsi="宋体"/>
          <w:color w:val="auto"/>
          <w:sz w:val="24"/>
        </w:rPr>
        <w:t>3、中标人需为系统使用人员进行日常管理及维护方面的培训，确保相关人员掌握日常使用的操作。</w:t>
      </w:r>
    </w:p>
    <w:p>
      <w:pPr>
        <w:snapToGrid w:val="0"/>
        <w:spacing w:line="460" w:lineRule="exact"/>
        <w:rPr>
          <w:rStyle w:val="34"/>
          <w:rFonts w:ascii="宋体" w:hAnsi="宋体" w:cs="Times New Roman"/>
          <w:b/>
          <w:bCs/>
          <w:color w:val="auto"/>
          <w:sz w:val="24"/>
        </w:rPr>
      </w:pPr>
      <w:r>
        <w:rPr>
          <w:rStyle w:val="34"/>
          <w:rFonts w:ascii="宋体" w:hAnsi="宋体" w:cs="Times New Roman"/>
          <w:b/>
          <w:bCs/>
          <w:color w:val="auto"/>
          <w:sz w:val="24"/>
        </w:rPr>
        <w:t>十、系统设备清单</w:t>
      </w:r>
    </w:p>
    <w:tbl>
      <w:tblPr>
        <w:tblStyle w:val="13"/>
        <w:tblW w:w="904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559"/>
        <w:gridCol w:w="2410"/>
        <w:gridCol w:w="993"/>
        <w:gridCol w:w="708"/>
        <w:gridCol w:w="638"/>
        <w:gridCol w:w="2021"/>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序号</w:t>
            </w:r>
          </w:p>
        </w:tc>
        <w:tc>
          <w:tcPr>
            <w:tcW w:w="1559"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项目</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系统/功能名称</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数量</w:t>
            </w:r>
          </w:p>
        </w:tc>
        <w:tc>
          <w:tcPr>
            <w:tcW w:w="708" w:type="dxa"/>
            <w:tcBorders>
              <w:top w:val="single" w:color="000000" w:sz="4" w:space="0"/>
              <w:left w:val="single" w:color="000000" w:sz="4" w:space="0"/>
              <w:bottom w:val="single" w:color="000000" w:sz="4" w:space="0"/>
              <w:right w:val="single" w:color="000000" w:sz="4" w:space="0"/>
            </w:tcBorders>
          </w:tcPr>
          <w:p>
            <w:pPr>
              <w:snapToGrid w:val="0"/>
              <w:ind w:left="-109" w:leftChars="-52" w:firstLine="109" w:firstLineChars="52"/>
              <w:rPr>
                <w:rStyle w:val="34"/>
                <w:color w:val="auto"/>
              </w:rPr>
            </w:pPr>
            <w:r>
              <w:rPr>
                <w:rStyle w:val="34"/>
                <w:color w:val="auto"/>
              </w:rPr>
              <w:t>单位</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备注</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042" w:type="dxa"/>
            <w:gridSpan w:val="8"/>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1、排水设施地理信息系统运行管理机制建设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3969" w:type="dxa"/>
            <w:gridSpan w:val="2"/>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排水设施地理信息系统运行管理机制建设</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份</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042" w:type="dxa"/>
            <w:gridSpan w:val="8"/>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2、排水相关设备建设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1559"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检查井铭牌</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r>
              <w:rPr>
                <w:rStyle w:val="34"/>
                <w:rFonts w:hint="eastAsia"/>
                <w:color w:val="auto"/>
              </w:rPr>
              <w:t>28</w:t>
            </w:r>
            <w:r>
              <w:rPr>
                <w:rStyle w:val="34"/>
                <w:color w:val="auto"/>
              </w:rPr>
              <w:t>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个</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物联感知设备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2.1</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市政管网监测设备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流量计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PH、温度、浊度、溶解氧、电导率</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氨氮检测</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含数采仪及采样器、管材、水泵、箱体</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站房</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所有仪器运行试剂及药品</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rFonts w:hint="eastAsia"/>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2.2</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检查井监测设备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井盖检测器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液位监测</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采集传输</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2.3</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城市低洼地监测设备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液位监测</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液位采集、无线传输</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球机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2.4</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河道水位监测设备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液位监测</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液位采集、无线传输，太阳能供电、立杆等</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2.5</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雨水排水口监测设备</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球机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流量监控</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PH、温度、浊度、溶解氧、电导率</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泵站改造</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3.1</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济川1号泵站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水位计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流量计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120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UPS</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硬盘录像机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3.2</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济川2号泵站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UPS</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3.3</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济川3号泵站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流量计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120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UPS</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3.4</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阳江路4号泵站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3.5</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文江路5号泵站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3.6</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幸福中沟6号泵站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3.7</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江平路7号泵站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UPS</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3.8</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根思8号泵站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流量计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80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UPS</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枪机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球机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立杆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硬盘录像机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3.9</w:t>
            </w:r>
          </w:p>
        </w:tc>
        <w:tc>
          <w:tcPr>
            <w:tcW w:w="1559"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姚王9号泵站</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PLC调试</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触摸屏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水质监测（五常）</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水质监测（COD）</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水质监测（氨氮）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水质监测（总磷）</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水质监测（总氮）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数采仪及采样器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药品及试剂</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浮球开关</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电气仪表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120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枪机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球机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立杆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硬盘录像机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交换机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线缆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辅材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042" w:type="dxa"/>
            <w:gridSpan w:val="8"/>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3、新建排水管网数据采集入库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管线普查入库</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公里</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历史数据入库</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公里</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042" w:type="dxa"/>
            <w:gridSpan w:val="8"/>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4、系统运行的环境和场地建设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服务器资源建设</w:t>
            </w:r>
          </w:p>
        </w:tc>
        <w:tc>
          <w:tcPr>
            <w:tcW w:w="2410"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6</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通信网络建设</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泵站监控专线</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9</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条</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可视化大屏专线</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条</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指挥大厅宽带</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条</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云服务器专线</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条</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物联设备数据传输线路</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条</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物联设备物联卡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张</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L2TP路由器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jc w:val="left"/>
              <w:rPr>
                <w:rStyle w:val="34"/>
                <w:color w:val="auto"/>
              </w:rPr>
            </w:pPr>
            <w:r>
              <w:rPr>
                <w:rStyle w:val="34"/>
                <w:color w:val="auto"/>
              </w:rPr>
              <w:t>3年</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指挥中心建设</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室内P1.839全彩LED电子显示屏</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16.59</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平方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视频软件</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LED控制系统同步接收卡</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45</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张</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LED显示屏专用驱动电源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65</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型材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50</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LED屏不锈钢包框</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16.6</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平方</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厂家配套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H3C路由器（防火墙）</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机柜</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网线</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箱</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不间断电源</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远程会议</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话筒</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音箱</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2</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功放</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电脑主机</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显示器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3</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平板电脑</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台</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办公椅</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9</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把</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办公桌</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张</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吧台柜</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8</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米</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原室内装饰拆除</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墙面、顶面批灰</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195</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m2</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木龙骨，轻钢龙骨叠级造型吊顶</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79</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m2</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原有地板的翻新</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77</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m2</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玻璃门，门套</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电路</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项</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书柜</w:t>
            </w:r>
          </w:p>
        </w:tc>
        <w:tc>
          <w:tcPr>
            <w:tcW w:w="993"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26</w:t>
            </w:r>
          </w:p>
        </w:tc>
        <w:tc>
          <w:tcPr>
            <w:tcW w:w="70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m3</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042" w:type="dxa"/>
            <w:gridSpan w:val="8"/>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5、系统平台建设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基础信息平台</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数据管理系统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资源管理系统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运维管理系统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2</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业务应用平台</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“一张图”展示系统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排水设施普查系统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排水设施排查系统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设施巡查养护系统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设施建设工程管理系统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排水设施设备管理系统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排水户管理系统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物联感知系统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285"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厂、站、网、河（湖）一体化管理系统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辅助决策系统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工单流转系统</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移动APP</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3</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公众服务平台</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政务信息公开</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信息产品发布</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信息共享服务体系</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应急服务信息公开</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4</w:t>
            </w:r>
          </w:p>
        </w:tc>
        <w:tc>
          <w:tcPr>
            <w:tcW w:w="1559" w:type="dxa"/>
            <w:vMerge w:val="restart"/>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系统对接</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泰兴市供水系统对接</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泰兴智慧城市系统对接</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1559" w:type="dxa"/>
            <w:vMerge w:val="continue"/>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其他系统对接</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集成商定制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00" w:hRule="atLeast"/>
        </w:trPr>
        <w:tc>
          <w:tcPr>
            <w:tcW w:w="704"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5</w:t>
            </w:r>
          </w:p>
        </w:tc>
        <w:tc>
          <w:tcPr>
            <w:tcW w:w="1559"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采购软件费用</w:t>
            </w:r>
          </w:p>
        </w:tc>
        <w:tc>
          <w:tcPr>
            <w:tcW w:w="2410"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GIS基础平台费用</w:t>
            </w:r>
          </w:p>
        </w:tc>
        <w:tc>
          <w:tcPr>
            <w:tcW w:w="993"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1</w:t>
            </w:r>
          </w:p>
        </w:tc>
        <w:tc>
          <w:tcPr>
            <w:tcW w:w="708"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r>
              <w:rPr>
                <w:rStyle w:val="34"/>
                <w:color w:val="auto"/>
              </w:rPr>
              <w:t>套</w:t>
            </w:r>
          </w:p>
        </w:tc>
        <w:tc>
          <w:tcPr>
            <w:tcW w:w="638" w:type="dxa"/>
            <w:tcBorders>
              <w:top w:val="single" w:color="000000" w:sz="4" w:space="0"/>
              <w:left w:val="single" w:color="000000" w:sz="4" w:space="0"/>
              <w:bottom w:val="single" w:color="000000" w:sz="4" w:space="0"/>
              <w:right w:val="single" w:color="000000" w:sz="4" w:space="0"/>
            </w:tcBorders>
            <w:noWrap/>
          </w:tcPr>
          <w:p>
            <w:pPr>
              <w:snapToGrid w:val="0"/>
              <w:rPr>
                <w:rStyle w:val="34"/>
                <w:color w:val="auto"/>
              </w:rPr>
            </w:pPr>
            <w:r>
              <w:rPr>
                <w:rStyle w:val="34"/>
                <w:color w:val="auto"/>
              </w:rPr>
              <w:t>　</w:t>
            </w:r>
          </w:p>
        </w:tc>
        <w:tc>
          <w:tcPr>
            <w:tcW w:w="2021" w:type="dxa"/>
            <w:tcBorders>
              <w:top w:val="single" w:color="000000" w:sz="4" w:space="0"/>
              <w:left w:val="single" w:color="000000" w:sz="4" w:space="0"/>
              <w:bottom w:val="single" w:color="000000" w:sz="4" w:space="0"/>
              <w:right w:val="single" w:color="000000" w:sz="4" w:space="0"/>
            </w:tcBorders>
          </w:tcPr>
          <w:p>
            <w:pPr>
              <w:snapToGrid w:val="0"/>
              <w:rPr>
                <w:rStyle w:val="34"/>
                <w:color w:val="auto"/>
              </w:rPr>
            </w:pPr>
          </w:p>
        </w:tc>
      </w:tr>
    </w:tbl>
    <w:p>
      <w:pPr>
        <w:pStyle w:val="21"/>
        <w:snapToGrid w:val="0"/>
        <w:ind w:firstLine="0" w:firstLineChars="0"/>
        <w:rPr>
          <w:rStyle w:val="34"/>
          <w:color w:val="auto"/>
        </w:rPr>
      </w:pPr>
    </w:p>
    <w:p>
      <w:pPr>
        <w:pStyle w:val="24"/>
        <w:snapToGrid w:val="0"/>
        <w:spacing w:before="460" w:line="380" w:lineRule="exact"/>
        <w:rPr>
          <w:rStyle w:val="34"/>
          <w:rFonts w:ascii="宋体" w:hAnsi="宋体" w:cs="宋体"/>
          <w:b w:val="0"/>
          <w:bCs/>
          <w:color w:val="auto"/>
          <w:sz w:val="28"/>
          <w:szCs w:val="28"/>
        </w:rPr>
      </w:pPr>
    </w:p>
    <w:p>
      <w:pPr>
        <w:pStyle w:val="24"/>
        <w:snapToGrid w:val="0"/>
        <w:spacing w:before="460" w:line="380" w:lineRule="exact"/>
        <w:jc w:val="center"/>
        <w:rPr>
          <w:rStyle w:val="34"/>
          <w:color w:val="auto"/>
        </w:rPr>
      </w:pPr>
      <w:r>
        <w:rPr>
          <w:rStyle w:val="34"/>
          <w:color w:val="auto"/>
        </w:rPr>
        <w:br w:type="page"/>
      </w:r>
      <w:r>
        <w:rPr>
          <w:rStyle w:val="34"/>
          <w:color w:val="auto"/>
        </w:rPr>
        <w:t>第六章 投标文件的编制及格式</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rPr>
        <w:t>1.投标文件的构成</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（1）开标一览表</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（2）投标函</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（3）投标报价构成表及分析说明</w:t>
      </w:r>
    </w:p>
    <w:p>
      <w:pPr>
        <w:pStyle w:val="176"/>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（4）资格及资信证明文件</w:t>
      </w:r>
    </w:p>
    <w:p>
      <w:pPr>
        <w:pStyle w:val="193"/>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（5）技术标准和要求响应表</w:t>
      </w:r>
    </w:p>
    <w:p>
      <w:pPr>
        <w:pStyle w:val="193"/>
        <w:snapToGrid w:val="0"/>
        <w:spacing w:line="440" w:lineRule="exact"/>
        <w:ind w:firstLine="240" w:firstLineChars="100"/>
        <w:jc w:val="both"/>
        <w:rPr>
          <w:rStyle w:val="34"/>
          <w:rFonts w:ascii="宋体" w:hAnsi="宋体" w:eastAsia="宋体"/>
          <w:color w:val="auto"/>
          <w:highlight w:val="white"/>
        </w:rPr>
      </w:pPr>
      <w:r>
        <w:rPr>
          <w:rStyle w:val="34"/>
          <w:rFonts w:ascii="宋体" w:hAnsi="宋体" w:eastAsia="宋体"/>
          <w:color w:val="auto"/>
          <w:highlight w:val="white"/>
        </w:rPr>
        <w:t>（6）服务方案及组织实施方案</w:t>
      </w:r>
    </w:p>
    <w:p>
      <w:pPr>
        <w:pStyle w:val="193"/>
        <w:snapToGrid w:val="0"/>
        <w:spacing w:line="440" w:lineRule="exact"/>
        <w:ind w:firstLine="240" w:firstLineChars="100"/>
        <w:jc w:val="both"/>
        <w:rPr>
          <w:rStyle w:val="34"/>
          <w:rFonts w:ascii="宋体" w:hAnsi="宋体" w:eastAsia="宋体"/>
          <w:color w:val="auto"/>
        </w:rPr>
      </w:pPr>
      <w:r>
        <w:rPr>
          <w:rStyle w:val="34"/>
          <w:rFonts w:ascii="宋体" w:hAnsi="宋体" w:eastAsia="宋体"/>
          <w:color w:val="auto"/>
          <w:highlight w:val="white"/>
        </w:rPr>
        <w:t>（</w:t>
      </w:r>
      <w:r>
        <w:rPr>
          <w:rStyle w:val="34"/>
          <w:rFonts w:hint="eastAsia" w:ascii="宋体" w:hAnsi="宋体" w:eastAsia="宋体"/>
          <w:color w:val="auto"/>
          <w:highlight w:val="white"/>
          <w:lang w:val="en-US" w:eastAsia="zh-CN"/>
        </w:rPr>
        <w:t>7</w:t>
      </w:r>
      <w:r>
        <w:rPr>
          <w:rStyle w:val="34"/>
          <w:rFonts w:ascii="宋体" w:hAnsi="宋体" w:eastAsia="宋体"/>
          <w:color w:val="auto"/>
          <w:highlight w:val="white"/>
        </w:rPr>
        <w:t>）投标人认为应列入投标文件的其他材料</w:t>
      </w:r>
    </w:p>
    <w:p>
      <w:pPr>
        <w:pStyle w:val="26"/>
        <w:snapToGrid w:val="0"/>
        <w:spacing w:before="0" w:after="0" w:line="440" w:lineRule="exact"/>
        <w:jc w:val="left"/>
        <w:rPr>
          <w:rStyle w:val="34"/>
          <w:rFonts w:ascii="宋体" w:hAnsi="宋体"/>
          <w:b w:val="0"/>
          <w:color w:val="auto"/>
          <w:sz w:val="24"/>
          <w:szCs w:val="24"/>
        </w:rPr>
      </w:pPr>
      <w:r>
        <w:rPr>
          <w:rStyle w:val="34"/>
          <w:rFonts w:ascii="宋体" w:hAnsi="宋体"/>
          <w:b w:val="0"/>
          <w:color w:val="auto"/>
          <w:sz w:val="24"/>
          <w:szCs w:val="24"/>
        </w:rPr>
        <w:t>2.投标文件的编制内容及编制要求</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2.1开标一览表</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2.1.1 投标人必须按表中规定格式完整、清晰、正确填写；</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2.1.2开标一览表中的价格应与投标文件中投标报价明细表中的价格一致。投标文件报价明细表中的价格及其它相关内容与开标一览表中的内容不一致的，评标时一律以开标一览表为准。</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2.1.3开标一览表格式见附件。</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2.2 投标函</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2.2.1投标人必须按表中规定格式完整、清晰、正确填写；</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2.2.2投标函应加盖投标人法人公章并经法定代表人或经其正式授权的代表签字或签章。授权代表签字或签章时，须将《法定代表人授权书》附在投标文件中。</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2.2.3投标函和法定代表人授权书的格式见附件。</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2.3 投标报价明细表及分析说明</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2.3.1投标人必须按表中规定格式完整、清晰、正确填写，表格中各项可进一步细分，栏数不够可自行添加。</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2.3.2投标报价构成表及分析说明见附件。</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2.4 资格及资信证明文件</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2.4.1该部分内容是资格性审查和综合评分的依据，投标人应根据第三章评标办法的评审内容和评审标准提供相应的材料。</w:t>
      </w:r>
    </w:p>
    <w:p>
      <w:pPr>
        <w:snapToGrid w:val="0"/>
        <w:spacing w:line="440" w:lineRule="exact"/>
        <w:jc w:val="left"/>
        <w:rPr>
          <w:rStyle w:val="34"/>
          <w:rFonts w:cs="Times New Roman"/>
          <w:bCs/>
          <w:color w:val="auto"/>
          <w:sz w:val="24"/>
          <w:highlight w:val="white"/>
        </w:rPr>
      </w:pPr>
      <w:r>
        <w:rPr>
          <w:rStyle w:val="34"/>
          <w:rFonts w:cs="Times New Roman"/>
          <w:bCs/>
          <w:color w:val="auto"/>
          <w:sz w:val="24"/>
          <w:highlight w:val="white"/>
        </w:rPr>
        <w:t>2.4.2资格及资信证明文件应包括而不限于以下内容：</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highlight w:val="white"/>
        </w:rPr>
        <w:t>（1）营业执照；</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highlight w:val="white"/>
        </w:rPr>
        <w:t>（2）</w:t>
      </w:r>
      <w:r>
        <w:rPr>
          <w:rStyle w:val="34"/>
          <w:color w:val="auto"/>
          <w:sz w:val="24"/>
        </w:rPr>
        <w:t>供应商应具备健全的财务会计制度，已通过《全国企业信用信息公示系统》完成相应年度企业年报的申报，且企业未处于经营异常状态。供应商须提供《全国企业信用信息公示系统》“企业公示信息”（或“个体工商户公示信息”）栏的截图，评标委员会将通过《全国企业信用信息公示系统》对供应商提供的截图信息进行核实</w:t>
      </w:r>
      <w:r>
        <w:rPr>
          <w:rStyle w:val="34"/>
          <w:rFonts w:cs="Times New Roman"/>
          <w:bCs/>
          <w:color w:val="auto"/>
          <w:sz w:val="24"/>
          <w:highlight w:val="white"/>
        </w:rPr>
        <w:t>；</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highlight w:val="white"/>
        </w:rPr>
        <w:t>（3）投标前一段时间内完税证明和缴纳社保证明；</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highlight w:val="white"/>
        </w:rPr>
        <w:t>（4）按照招标文件第二章1.4.2项要求提供的证明材料（如有时）</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highlight w:val="white"/>
        </w:rPr>
        <w:t>（5）参加本项目准备活动前三年内无重大违法记录声明（原件）</w:t>
      </w:r>
    </w:p>
    <w:p>
      <w:pPr>
        <w:snapToGrid w:val="0"/>
        <w:spacing w:line="440" w:lineRule="exact"/>
        <w:ind w:firstLine="240" w:firstLineChars="100"/>
        <w:jc w:val="left"/>
        <w:rPr>
          <w:rStyle w:val="34"/>
          <w:rFonts w:cs="Times New Roman"/>
          <w:bCs/>
          <w:color w:val="auto"/>
          <w:sz w:val="24"/>
          <w:highlight w:val="white"/>
        </w:rPr>
      </w:pPr>
      <w:r>
        <w:rPr>
          <w:rStyle w:val="34"/>
          <w:rFonts w:cs="Times New Roman"/>
          <w:bCs/>
          <w:color w:val="auto"/>
          <w:sz w:val="24"/>
        </w:rPr>
        <w:t>（6）投标保证金票据证明复印件（如需）</w:t>
      </w:r>
    </w:p>
    <w:p>
      <w:pPr>
        <w:snapToGrid w:val="0"/>
        <w:spacing w:line="440" w:lineRule="exact"/>
        <w:ind w:firstLine="240" w:firstLineChars="100"/>
        <w:jc w:val="left"/>
        <w:rPr>
          <w:rStyle w:val="34"/>
          <w:rFonts w:cs="Times New Roman"/>
          <w:bCs/>
          <w:color w:val="auto"/>
          <w:sz w:val="24"/>
        </w:rPr>
      </w:pPr>
      <w:r>
        <w:rPr>
          <w:rStyle w:val="34"/>
          <w:rFonts w:cs="Times New Roman"/>
          <w:bCs/>
          <w:color w:val="auto"/>
          <w:sz w:val="24"/>
          <w:highlight w:val="white"/>
        </w:rPr>
        <w:t>（7）投标人认为需要提供的其他资格及资信证明文件</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2.5技术标准和要求响应表</w:t>
      </w:r>
    </w:p>
    <w:p>
      <w:pPr>
        <w:pStyle w:val="151"/>
        <w:snapToGrid w:val="0"/>
        <w:spacing w:line="440" w:lineRule="exact"/>
        <w:ind w:firstLine="360"/>
        <w:rPr>
          <w:rStyle w:val="34"/>
          <w:rFonts w:cs="宋体"/>
          <w:b/>
          <w:bCs/>
          <w:color w:val="auto"/>
          <w:sz w:val="24"/>
          <w:szCs w:val="24"/>
          <w:highlight w:val="white"/>
        </w:rPr>
      </w:pPr>
      <w:r>
        <w:rPr>
          <w:rStyle w:val="34"/>
          <w:color w:val="auto"/>
          <w:sz w:val="24"/>
          <w:szCs w:val="24"/>
          <w:highlight w:val="white"/>
        </w:rPr>
        <w:t>投标人应</w:t>
      </w:r>
      <w:r>
        <w:rPr>
          <w:rStyle w:val="34"/>
          <w:rFonts w:cs="宋体"/>
          <w:bCs/>
          <w:color w:val="auto"/>
          <w:sz w:val="24"/>
          <w:szCs w:val="24"/>
          <w:highlight w:val="white"/>
        </w:rPr>
        <w:t>仔细阅读招标文件第五章</w:t>
      </w:r>
      <w:r>
        <w:rPr>
          <w:rStyle w:val="34"/>
          <w:color w:val="auto"/>
          <w:sz w:val="24"/>
          <w:szCs w:val="24"/>
          <w:highlight w:val="white"/>
        </w:rPr>
        <w:t>技术标准和要求，并对照第三章评标办法中的响应性评审因素，结合自身的实际情况，如实填写</w:t>
      </w:r>
      <w:r>
        <w:rPr>
          <w:rStyle w:val="34"/>
          <w:rFonts w:cs="宋体"/>
          <w:bCs/>
          <w:color w:val="auto"/>
          <w:sz w:val="24"/>
          <w:szCs w:val="24"/>
          <w:highlight w:val="white"/>
        </w:rPr>
        <w:t>技术标准和要求响应表。</w:t>
      </w:r>
    </w:p>
    <w:p>
      <w:pPr>
        <w:snapToGrid w:val="0"/>
        <w:spacing w:line="440" w:lineRule="exact"/>
        <w:jc w:val="left"/>
        <w:rPr>
          <w:rStyle w:val="34"/>
          <w:rFonts w:ascii="宋体" w:hAnsi="宋体" w:cs="Times New Roman"/>
          <w:b/>
          <w:bCs/>
          <w:color w:val="auto"/>
          <w:sz w:val="24"/>
          <w:highlight w:val="white"/>
        </w:rPr>
      </w:pPr>
      <w:r>
        <w:rPr>
          <w:rStyle w:val="34"/>
          <w:rFonts w:ascii="宋体" w:hAnsi="宋体" w:cs="Times New Roman"/>
          <w:b/>
          <w:bCs/>
          <w:color w:val="auto"/>
          <w:sz w:val="24"/>
          <w:highlight w:val="white"/>
        </w:rPr>
        <w:t>2.6服务方案及组织实施方案</w:t>
      </w:r>
    </w:p>
    <w:p>
      <w:pPr>
        <w:snapToGrid w:val="0"/>
        <w:spacing w:line="440" w:lineRule="exact"/>
        <w:ind w:firstLine="240" w:firstLineChars="100"/>
        <w:rPr>
          <w:rStyle w:val="34"/>
          <w:rFonts w:ascii="宋体" w:hAnsi="宋体"/>
          <w:color w:val="auto"/>
          <w:sz w:val="24"/>
          <w:highlight w:val="white"/>
        </w:rPr>
      </w:pPr>
      <w:r>
        <w:rPr>
          <w:rStyle w:val="34"/>
          <w:rFonts w:ascii="宋体" w:hAnsi="宋体"/>
          <w:color w:val="auto"/>
          <w:sz w:val="24"/>
          <w:highlight w:val="white"/>
        </w:rPr>
        <w:t>投标人应</w:t>
      </w:r>
      <w:r>
        <w:rPr>
          <w:rStyle w:val="34"/>
          <w:rFonts w:ascii="宋体" w:hAnsi="宋体" w:cs="Times New Roman"/>
          <w:bCs/>
          <w:color w:val="auto"/>
          <w:sz w:val="24"/>
          <w:highlight w:val="white"/>
        </w:rPr>
        <w:t>仔细阅读招标文件第五章</w:t>
      </w:r>
      <w:r>
        <w:rPr>
          <w:rStyle w:val="34"/>
          <w:rFonts w:ascii="宋体" w:hAnsi="宋体"/>
          <w:color w:val="auto"/>
          <w:sz w:val="24"/>
          <w:highlight w:val="white"/>
        </w:rPr>
        <w:t>技术标准和要求，并对照第三章评标办法中的综合评分中的评审因素</w:t>
      </w:r>
      <w:r>
        <w:rPr>
          <w:rStyle w:val="34"/>
          <w:rFonts w:ascii="宋体" w:hAnsi="宋体"/>
          <w:color w:val="auto"/>
          <w:sz w:val="24"/>
        </w:rPr>
        <w:t>，</w:t>
      </w:r>
      <w:r>
        <w:rPr>
          <w:rStyle w:val="34"/>
          <w:rFonts w:ascii="宋体" w:hAnsi="宋体"/>
          <w:color w:val="auto"/>
          <w:sz w:val="24"/>
          <w:highlight w:val="white"/>
        </w:rPr>
        <w:t>针对本招标项目特点，自行编制服务方案及组织实施方案，包括管理服务理念和目标、人员的配备、培训与管理、进度保证措施等。</w:t>
      </w:r>
    </w:p>
    <w:p>
      <w:pPr>
        <w:snapToGrid w:val="0"/>
        <w:spacing w:line="440" w:lineRule="exact"/>
        <w:jc w:val="left"/>
        <w:rPr>
          <w:rStyle w:val="34"/>
          <w:rFonts w:ascii="宋体" w:hAnsi="宋体"/>
          <w:color w:val="auto"/>
          <w:sz w:val="24"/>
          <w:highlight w:val="white"/>
        </w:rPr>
      </w:pPr>
      <w:r>
        <w:rPr>
          <w:rStyle w:val="34"/>
          <w:rFonts w:ascii="宋体" w:hAnsi="宋体" w:cs="Times New Roman"/>
          <w:b/>
          <w:bCs/>
          <w:color w:val="auto"/>
          <w:sz w:val="24"/>
          <w:highlight w:val="white"/>
        </w:rPr>
        <w:t>2.7样品：</w:t>
      </w:r>
      <w:r>
        <w:rPr>
          <w:rStyle w:val="34"/>
          <w:rFonts w:ascii="宋体" w:hAnsi="宋体"/>
          <w:color w:val="auto"/>
          <w:sz w:val="24"/>
        </w:rPr>
        <w:t>无</w:t>
      </w:r>
    </w:p>
    <w:p>
      <w:pPr>
        <w:pStyle w:val="26"/>
        <w:snapToGrid w:val="0"/>
        <w:spacing w:before="0" w:after="0" w:line="440" w:lineRule="exact"/>
        <w:jc w:val="left"/>
        <w:rPr>
          <w:rStyle w:val="34"/>
          <w:rFonts w:ascii="宋体" w:hAnsi="宋体" w:cs="Times New Roman"/>
          <w:bCs/>
          <w:color w:val="auto"/>
          <w:sz w:val="24"/>
          <w:highlight w:val="white"/>
        </w:rPr>
      </w:pPr>
      <w:r>
        <w:rPr>
          <w:rStyle w:val="34"/>
          <w:rFonts w:ascii="宋体" w:hAnsi="宋体" w:cs="Times New Roman"/>
          <w:bCs/>
          <w:color w:val="auto"/>
          <w:sz w:val="24"/>
          <w:szCs w:val="24"/>
          <w:highlight w:val="white"/>
        </w:rPr>
        <w:t>2.8投标人认为应列入投标文件的其他材料</w:t>
      </w:r>
    </w:p>
    <w:p>
      <w:pPr>
        <w:pStyle w:val="26"/>
        <w:snapToGrid w:val="0"/>
        <w:spacing w:before="0" w:after="0" w:line="500" w:lineRule="exact"/>
        <w:jc w:val="left"/>
        <w:rPr>
          <w:rStyle w:val="34"/>
          <w:rFonts w:ascii="宋体" w:hAnsi="宋体"/>
          <w:color w:val="auto"/>
          <w:sz w:val="24"/>
        </w:rPr>
      </w:pPr>
      <w:r>
        <w:rPr>
          <w:rStyle w:val="34"/>
          <w:rFonts w:ascii="宋体" w:hAnsi="宋体"/>
          <w:color w:val="auto"/>
          <w:sz w:val="24"/>
        </w:rPr>
        <w:br w:type="page"/>
      </w:r>
    </w:p>
    <w:p>
      <w:pPr>
        <w:pStyle w:val="26"/>
        <w:snapToGrid w:val="0"/>
        <w:spacing w:before="0" w:after="0" w:line="500" w:lineRule="exact"/>
        <w:jc w:val="left"/>
        <w:rPr>
          <w:rStyle w:val="34"/>
          <w:rFonts w:ascii="宋体" w:hAnsi="宋体"/>
          <w:color w:val="auto"/>
          <w:sz w:val="24"/>
        </w:rPr>
      </w:pPr>
      <w:r>
        <w:rPr>
          <w:rStyle w:val="34"/>
          <w:rFonts w:ascii="宋体" w:hAnsi="宋体"/>
          <w:color w:val="auto"/>
          <w:sz w:val="24"/>
        </w:rPr>
        <w:t>3. 投标文件参考格式</w:t>
      </w:r>
    </w:p>
    <w:p>
      <w:pPr>
        <w:pStyle w:val="26"/>
        <w:snapToGrid w:val="0"/>
        <w:spacing w:before="120" w:after="120" w:line="360" w:lineRule="exact"/>
        <w:ind w:firstLine="301" w:firstLineChars="100"/>
        <w:rPr>
          <w:rStyle w:val="34"/>
          <w:rFonts w:ascii="宋体" w:hAnsi="宋体"/>
          <w:color w:val="auto"/>
          <w:sz w:val="30"/>
          <w:szCs w:val="30"/>
        </w:rPr>
      </w:pPr>
      <w:r>
        <w:rPr>
          <w:rStyle w:val="34"/>
          <w:rFonts w:ascii="宋体" w:hAnsi="宋体"/>
          <w:color w:val="auto"/>
          <w:sz w:val="30"/>
          <w:szCs w:val="30"/>
        </w:rPr>
        <w:t>3.1 投标文件封袋格式</w:t>
      </w: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snapToGrid w:val="0"/>
        <w:spacing w:line="360" w:lineRule="exact"/>
        <w:jc w:val="center"/>
        <w:rPr>
          <w:rStyle w:val="34"/>
          <w:rFonts w:ascii="宋体" w:hAnsi="宋体"/>
          <w:color w:val="auto"/>
          <w:kern w:val="0"/>
          <w:sz w:val="30"/>
          <w:szCs w:val="30"/>
        </w:rPr>
      </w:pPr>
    </w:p>
    <w:p>
      <w:pPr>
        <w:pStyle w:val="29"/>
        <w:snapToGrid w:val="0"/>
        <w:rPr>
          <w:rStyle w:val="34"/>
          <w:rFonts w:ascii="宋体" w:hAnsi="宋体"/>
          <w:color w:val="auto"/>
          <w:sz w:val="30"/>
          <w:szCs w:val="30"/>
        </w:rPr>
      </w:pPr>
      <w:r>
        <w:rPr>
          <w:rStyle w:val="34"/>
          <w:rFonts w:ascii="宋体" w:hAnsi="宋体"/>
          <w:color w:val="auto"/>
          <w:sz w:val="30"/>
          <w:szCs w:val="30"/>
        </w:rPr>
        <w:t>采购项目名称：</w:t>
      </w:r>
      <w:r>
        <w:rPr>
          <w:rStyle w:val="34"/>
          <w:rFonts w:ascii="宋体" w:hAnsi="宋体"/>
          <w:color w:val="auto"/>
          <w:sz w:val="30"/>
          <w:szCs w:val="30"/>
          <w:u w:val="single"/>
        </w:rPr>
        <w:t xml:space="preserve">                                   </w:t>
      </w:r>
    </w:p>
    <w:p>
      <w:pPr>
        <w:pStyle w:val="29"/>
        <w:snapToGrid w:val="0"/>
        <w:rPr>
          <w:rStyle w:val="34"/>
          <w:rFonts w:ascii="宋体" w:hAnsi="宋体"/>
          <w:color w:val="auto"/>
          <w:sz w:val="30"/>
          <w:szCs w:val="30"/>
        </w:rPr>
      </w:pPr>
    </w:p>
    <w:p>
      <w:pPr>
        <w:pStyle w:val="29"/>
        <w:snapToGrid w:val="0"/>
        <w:ind w:firstLine="0"/>
        <w:rPr>
          <w:rStyle w:val="34"/>
          <w:rFonts w:ascii="宋体" w:hAnsi="宋体"/>
          <w:color w:val="auto"/>
          <w:sz w:val="30"/>
          <w:szCs w:val="30"/>
          <w:u w:val="single"/>
        </w:rPr>
      </w:pPr>
    </w:p>
    <w:p>
      <w:pPr>
        <w:pStyle w:val="29"/>
        <w:snapToGrid w:val="0"/>
        <w:rPr>
          <w:rStyle w:val="34"/>
          <w:rFonts w:ascii="宋体" w:hAnsi="宋体"/>
          <w:color w:val="auto"/>
          <w:sz w:val="30"/>
          <w:szCs w:val="30"/>
          <w:u w:val="single"/>
        </w:rPr>
      </w:pPr>
      <w:r>
        <w:rPr>
          <w:rStyle w:val="34"/>
          <w:rFonts w:ascii="宋体" w:hAnsi="宋体"/>
          <w:color w:val="auto"/>
          <w:sz w:val="30"/>
          <w:szCs w:val="30"/>
        </w:rPr>
        <w:t xml:space="preserve">投标人名称：  </w:t>
      </w:r>
      <w:r>
        <w:rPr>
          <w:rStyle w:val="34"/>
          <w:rFonts w:ascii="宋体" w:hAnsi="宋体"/>
          <w:color w:val="auto"/>
          <w:sz w:val="30"/>
          <w:szCs w:val="30"/>
          <w:u w:val="single"/>
        </w:rPr>
        <w:t xml:space="preserve">        （盖法人章）               </w:t>
      </w:r>
    </w:p>
    <w:p>
      <w:pPr>
        <w:pStyle w:val="29"/>
        <w:snapToGrid w:val="0"/>
        <w:rPr>
          <w:rStyle w:val="34"/>
          <w:rFonts w:ascii="宋体" w:hAnsi="宋体"/>
          <w:color w:val="auto"/>
          <w:sz w:val="30"/>
          <w:szCs w:val="30"/>
        </w:rPr>
      </w:pPr>
    </w:p>
    <w:p>
      <w:pPr>
        <w:snapToGrid w:val="0"/>
        <w:spacing w:line="360" w:lineRule="exact"/>
        <w:jc w:val="center"/>
        <w:rPr>
          <w:rStyle w:val="34"/>
          <w:rFonts w:ascii="宋体" w:hAnsi="宋体"/>
          <w:color w:val="auto"/>
          <w:kern w:val="0"/>
          <w:sz w:val="30"/>
          <w:szCs w:val="30"/>
        </w:rPr>
      </w:pPr>
      <w:r>
        <w:rPr>
          <w:rStyle w:val="34"/>
          <w:rFonts w:ascii="宋体" w:hAnsi="宋体"/>
          <w:color w:val="auto"/>
          <w:kern w:val="0"/>
          <w:sz w:val="30"/>
          <w:szCs w:val="30"/>
        </w:rPr>
        <w:t>在</w:t>
      </w:r>
      <w:r>
        <w:rPr>
          <w:rStyle w:val="34"/>
          <w:rFonts w:ascii="宋体" w:hAnsi="宋体"/>
          <w:color w:val="auto"/>
          <w:kern w:val="0"/>
          <w:sz w:val="30"/>
          <w:szCs w:val="30"/>
          <w:u w:val="single"/>
        </w:rPr>
        <w:t>本项目开标前</w:t>
      </w:r>
      <w:r>
        <w:rPr>
          <w:rStyle w:val="34"/>
          <w:rFonts w:ascii="宋体" w:hAnsi="宋体"/>
          <w:color w:val="auto"/>
          <w:kern w:val="0"/>
          <w:sz w:val="30"/>
          <w:szCs w:val="30"/>
        </w:rPr>
        <w:t>不得启封</w:t>
      </w:r>
    </w:p>
    <w:p>
      <w:pPr>
        <w:pStyle w:val="29"/>
        <w:snapToGrid w:val="0"/>
        <w:rPr>
          <w:rStyle w:val="34"/>
          <w:color w:val="auto"/>
          <w:sz w:val="30"/>
          <w:szCs w:val="30"/>
        </w:rPr>
      </w:pPr>
    </w:p>
    <w:p>
      <w:pPr>
        <w:pStyle w:val="29"/>
        <w:snapToGrid w:val="0"/>
        <w:rPr>
          <w:rStyle w:val="34"/>
          <w:color w:val="auto"/>
          <w:sz w:val="30"/>
          <w:szCs w:val="30"/>
        </w:rPr>
      </w:pPr>
    </w:p>
    <w:p>
      <w:pPr>
        <w:pStyle w:val="29"/>
        <w:snapToGrid w:val="0"/>
        <w:rPr>
          <w:rStyle w:val="34"/>
          <w:color w:val="auto"/>
          <w:sz w:val="30"/>
          <w:szCs w:val="30"/>
        </w:rPr>
        <w:sectPr>
          <w:footerReference r:id="rId7" w:type="default"/>
          <w:pgSz w:w="11907" w:h="16840"/>
          <w:pgMar w:top="1587" w:right="1418" w:bottom="1440" w:left="1701" w:header="851" w:footer="992" w:gutter="0"/>
          <w:cols w:space="720" w:num="1"/>
          <w:docGrid w:linePitch="312" w:charSpace="0"/>
        </w:sectPr>
      </w:pPr>
    </w:p>
    <w:p>
      <w:pPr>
        <w:pStyle w:val="29"/>
        <w:snapToGrid w:val="0"/>
        <w:spacing w:before="120" w:after="120" w:line="360" w:lineRule="exact"/>
        <w:ind w:firstLine="300" w:firstLineChars="100"/>
        <w:rPr>
          <w:rStyle w:val="34"/>
          <w:rFonts w:ascii="宋体" w:hAnsi="宋体"/>
          <w:color w:val="auto"/>
          <w:sz w:val="30"/>
          <w:szCs w:val="30"/>
        </w:rPr>
      </w:pPr>
      <w:r>
        <w:rPr>
          <w:rStyle w:val="34"/>
          <w:rFonts w:ascii="宋体" w:hAnsi="宋体"/>
          <w:color w:val="auto"/>
          <w:sz w:val="30"/>
          <w:szCs w:val="30"/>
        </w:rPr>
        <w:t>3.2投标文件封面格式</w:t>
      </w:r>
    </w:p>
    <w:p>
      <w:pPr>
        <w:snapToGrid w:val="0"/>
        <w:spacing w:line="360" w:lineRule="exact"/>
        <w:ind w:firstLine="600" w:firstLineChars="200"/>
        <w:jc w:val="center"/>
        <w:rPr>
          <w:rStyle w:val="34"/>
          <w:rFonts w:ascii="宋体" w:hAnsi="宋体"/>
          <w:color w:val="auto"/>
          <w:kern w:val="0"/>
          <w:sz w:val="30"/>
          <w:szCs w:val="30"/>
        </w:rPr>
      </w:pPr>
    </w:p>
    <w:p>
      <w:pPr>
        <w:snapToGrid w:val="0"/>
        <w:spacing w:line="360" w:lineRule="exact"/>
        <w:ind w:firstLine="480" w:firstLineChars="200"/>
        <w:jc w:val="center"/>
        <w:rPr>
          <w:rStyle w:val="34"/>
          <w:rFonts w:ascii="宋体" w:hAnsi="宋体"/>
          <w:color w:val="auto"/>
          <w:kern w:val="0"/>
          <w:sz w:val="24"/>
        </w:rPr>
      </w:pPr>
    </w:p>
    <w:p>
      <w:pPr>
        <w:snapToGrid w:val="0"/>
        <w:jc w:val="center"/>
        <w:rPr>
          <w:rStyle w:val="34"/>
          <w:rFonts w:ascii="宋体" w:hAnsi="宋体"/>
          <w:b/>
          <w:color w:val="auto"/>
          <w:sz w:val="48"/>
          <w:szCs w:val="48"/>
        </w:rPr>
      </w:pPr>
      <w:r>
        <w:rPr>
          <w:rStyle w:val="34"/>
          <w:rFonts w:ascii="宋体" w:hAnsi="宋体"/>
          <w:b/>
          <w:color w:val="auto"/>
          <w:sz w:val="48"/>
          <w:szCs w:val="48"/>
        </w:rPr>
        <w:t>投标文件</w:t>
      </w:r>
    </w:p>
    <w:p>
      <w:pPr>
        <w:snapToGrid w:val="0"/>
        <w:jc w:val="center"/>
        <w:rPr>
          <w:rStyle w:val="34"/>
          <w:rFonts w:ascii="宋体" w:hAnsi="宋体"/>
          <w:color w:val="auto"/>
          <w:sz w:val="48"/>
          <w:szCs w:val="48"/>
        </w:rPr>
      </w:pPr>
      <w:r>
        <w:rPr>
          <w:rStyle w:val="34"/>
          <w:rFonts w:ascii="宋体" w:hAnsi="宋体"/>
          <w:color w:val="auto"/>
          <w:sz w:val="48"/>
          <w:szCs w:val="48"/>
        </w:rPr>
        <w:t>【正/副本】</w:t>
      </w:r>
    </w:p>
    <w:p>
      <w:pPr>
        <w:snapToGrid w:val="0"/>
        <w:spacing w:line="360" w:lineRule="exact"/>
        <w:ind w:firstLine="480" w:firstLineChars="200"/>
        <w:rPr>
          <w:rStyle w:val="34"/>
          <w:rFonts w:ascii="宋体" w:hAnsi="宋体"/>
          <w:color w:val="auto"/>
          <w:sz w:val="24"/>
        </w:rPr>
      </w:pPr>
    </w:p>
    <w:p>
      <w:pPr>
        <w:snapToGrid w:val="0"/>
        <w:spacing w:line="360" w:lineRule="exact"/>
        <w:ind w:firstLine="480" w:firstLineChars="200"/>
        <w:rPr>
          <w:rStyle w:val="34"/>
          <w:rFonts w:ascii="宋体" w:hAnsi="宋体"/>
          <w:color w:val="auto"/>
          <w:sz w:val="24"/>
        </w:rPr>
      </w:pPr>
    </w:p>
    <w:p>
      <w:pPr>
        <w:snapToGrid w:val="0"/>
        <w:spacing w:line="360" w:lineRule="exact"/>
        <w:ind w:firstLine="480" w:firstLineChars="200"/>
        <w:rPr>
          <w:rStyle w:val="34"/>
          <w:rFonts w:ascii="宋体" w:hAnsi="宋体"/>
          <w:color w:val="auto"/>
          <w:sz w:val="24"/>
        </w:rPr>
      </w:pPr>
    </w:p>
    <w:p>
      <w:pPr>
        <w:snapToGrid w:val="0"/>
        <w:spacing w:line="360" w:lineRule="exact"/>
        <w:ind w:firstLine="480" w:firstLineChars="200"/>
        <w:rPr>
          <w:rStyle w:val="34"/>
          <w:rFonts w:ascii="宋体" w:hAnsi="宋体"/>
          <w:color w:val="auto"/>
          <w:sz w:val="24"/>
        </w:rPr>
      </w:pPr>
    </w:p>
    <w:p>
      <w:pPr>
        <w:snapToGrid w:val="0"/>
        <w:spacing w:line="360" w:lineRule="exact"/>
        <w:ind w:firstLine="1080" w:firstLineChars="450"/>
        <w:rPr>
          <w:rStyle w:val="34"/>
          <w:rFonts w:ascii="宋体" w:hAnsi="宋体"/>
          <w:color w:val="auto"/>
          <w:sz w:val="24"/>
        </w:rPr>
      </w:pPr>
      <w:r>
        <w:rPr>
          <w:rStyle w:val="34"/>
          <w:rFonts w:ascii="宋体" w:hAnsi="宋体"/>
          <w:color w:val="auto"/>
          <w:sz w:val="24"/>
        </w:rPr>
        <w:t>采购项目名称：</w:t>
      </w:r>
    </w:p>
    <w:p>
      <w:pPr>
        <w:pStyle w:val="141"/>
        <w:snapToGrid w:val="0"/>
        <w:spacing w:line="360" w:lineRule="exact"/>
        <w:ind w:firstLine="456" w:firstLineChars="200"/>
        <w:rPr>
          <w:rStyle w:val="34"/>
          <w:rFonts w:ascii="宋体" w:hAnsi="宋体" w:cs="Times New Roman"/>
          <w:bCs/>
          <w:color w:val="auto"/>
          <w:spacing w:val="-6"/>
        </w:rPr>
      </w:pPr>
    </w:p>
    <w:p>
      <w:pPr>
        <w:snapToGrid w:val="0"/>
        <w:spacing w:line="360" w:lineRule="exact"/>
        <w:ind w:left="1050" w:leftChars="500" w:firstLine="480" w:firstLineChars="200"/>
        <w:rPr>
          <w:rStyle w:val="34"/>
          <w:rFonts w:ascii="宋体" w:hAnsi="宋体"/>
          <w:color w:val="auto"/>
          <w:sz w:val="24"/>
        </w:rPr>
      </w:pPr>
    </w:p>
    <w:p>
      <w:pPr>
        <w:snapToGrid w:val="0"/>
        <w:spacing w:line="360" w:lineRule="exact"/>
        <w:ind w:firstLine="480" w:firstLineChars="200"/>
        <w:rPr>
          <w:rStyle w:val="34"/>
          <w:rFonts w:ascii="宋体" w:hAnsi="宋体"/>
          <w:color w:val="auto"/>
          <w:sz w:val="24"/>
        </w:rPr>
      </w:pPr>
    </w:p>
    <w:p>
      <w:pPr>
        <w:snapToGrid w:val="0"/>
        <w:spacing w:line="360" w:lineRule="exact"/>
        <w:ind w:firstLine="480" w:firstLineChars="200"/>
        <w:rPr>
          <w:rStyle w:val="34"/>
          <w:rFonts w:ascii="宋体" w:hAnsi="宋体"/>
          <w:color w:val="auto"/>
          <w:sz w:val="24"/>
        </w:rPr>
      </w:pPr>
    </w:p>
    <w:p>
      <w:pPr>
        <w:tabs>
          <w:tab w:val="left" w:pos="2700"/>
        </w:tabs>
        <w:snapToGrid w:val="0"/>
        <w:spacing w:line="720" w:lineRule="auto"/>
        <w:ind w:firstLine="2340" w:firstLineChars="975"/>
        <w:rPr>
          <w:rStyle w:val="34"/>
          <w:rFonts w:ascii="宋体" w:hAnsi="宋体"/>
          <w:color w:val="auto"/>
          <w:sz w:val="24"/>
          <w:u w:val="single"/>
        </w:rPr>
      </w:pPr>
      <w:r>
        <w:rPr>
          <w:rStyle w:val="34"/>
          <w:rFonts w:ascii="宋体" w:hAnsi="宋体"/>
          <w:color w:val="auto"/>
          <w:sz w:val="24"/>
        </w:rPr>
        <w:t>投标人名称：</w:t>
      </w:r>
      <w:r>
        <w:rPr>
          <w:rStyle w:val="34"/>
          <w:rFonts w:ascii="宋体" w:hAnsi="宋体"/>
          <w:color w:val="auto"/>
          <w:sz w:val="24"/>
          <w:u w:val="single"/>
        </w:rPr>
        <w:t xml:space="preserve">  （盖法人章）     </w:t>
      </w:r>
    </w:p>
    <w:p>
      <w:pPr>
        <w:tabs>
          <w:tab w:val="left" w:pos="2700"/>
        </w:tabs>
        <w:snapToGrid w:val="0"/>
        <w:spacing w:line="720" w:lineRule="auto"/>
        <w:ind w:firstLine="2340" w:firstLineChars="975"/>
        <w:rPr>
          <w:rStyle w:val="34"/>
          <w:rFonts w:ascii="宋体" w:hAnsi="宋体"/>
          <w:color w:val="auto"/>
          <w:sz w:val="24"/>
          <w:u w:val="single"/>
        </w:rPr>
      </w:pPr>
      <w:r>
        <w:rPr>
          <w:rStyle w:val="34"/>
          <w:rFonts w:ascii="宋体" w:hAnsi="宋体"/>
          <w:color w:val="auto"/>
          <w:sz w:val="24"/>
        </w:rPr>
        <w:t>联系人：</w:t>
      </w:r>
      <w:r>
        <w:rPr>
          <w:rStyle w:val="34"/>
          <w:rFonts w:ascii="宋体" w:hAnsi="宋体"/>
          <w:color w:val="auto"/>
          <w:sz w:val="24"/>
          <w:u w:val="single"/>
        </w:rPr>
        <w:t xml:space="preserve">                                 </w:t>
      </w:r>
    </w:p>
    <w:p>
      <w:pPr>
        <w:tabs>
          <w:tab w:val="left" w:pos="2700"/>
        </w:tabs>
        <w:snapToGrid w:val="0"/>
        <w:spacing w:line="720" w:lineRule="auto"/>
        <w:ind w:firstLine="2340" w:firstLineChars="975"/>
        <w:rPr>
          <w:rStyle w:val="34"/>
          <w:rFonts w:ascii="宋体" w:hAnsi="宋体"/>
          <w:color w:val="auto"/>
          <w:sz w:val="24"/>
          <w:u w:val="single"/>
        </w:rPr>
      </w:pPr>
      <w:r>
        <w:rPr>
          <w:rStyle w:val="34"/>
          <w:rFonts w:ascii="宋体" w:hAnsi="宋体"/>
          <w:color w:val="auto"/>
          <w:sz w:val="24"/>
        </w:rPr>
        <w:t>联系电话：</w:t>
      </w:r>
      <w:r>
        <w:rPr>
          <w:rStyle w:val="34"/>
          <w:rFonts w:ascii="宋体" w:hAnsi="宋体"/>
          <w:color w:val="auto"/>
          <w:sz w:val="24"/>
          <w:u w:val="single"/>
        </w:rPr>
        <w:t xml:space="preserve">                               </w:t>
      </w:r>
    </w:p>
    <w:p>
      <w:pPr>
        <w:tabs>
          <w:tab w:val="left" w:pos="2700"/>
        </w:tabs>
        <w:snapToGrid w:val="0"/>
        <w:spacing w:line="360" w:lineRule="auto"/>
        <w:ind w:firstLine="2340" w:firstLineChars="975"/>
        <w:rPr>
          <w:rStyle w:val="34"/>
          <w:rFonts w:ascii="宋体" w:hAnsi="宋体"/>
          <w:color w:val="auto"/>
          <w:kern w:val="0"/>
          <w:sz w:val="24"/>
        </w:rPr>
      </w:pPr>
      <w:r>
        <w:rPr>
          <w:rStyle w:val="34"/>
          <w:rFonts w:ascii="宋体" w:hAnsi="宋体"/>
          <w:color w:val="auto"/>
          <w:sz w:val="24"/>
        </w:rPr>
        <w:t>日 期：______年____月____日</w:t>
      </w:r>
      <w:r>
        <w:rPr>
          <w:rStyle w:val="34"/>
          <w:rFonts w:ascii="宋体" w:hAnsi="宋体"/>
          <w:color w:val="auto"/>
        </w:rPr>
        <w:br w:type="page"/>
      </w:r>
      <w:r>
        <w:rPr>
          <w:rStyle w:val="34"/>
          <w:rFonts w:ascii="宋体" w:hAnsi="宋体"/>
          <w:color w:val="auto"/>
          <w:kern w:val="0"/>
          <w:sz w:val="32"/>
          <w:szCs w:val="32"/>
        </w:rPr>
        <w:t>3.3 开标一览表</w:t>
      </w:r>
    </w:p>
    <w:p>
      <w:pPr>
        <w:pStyle w:val="29"/>
        <w:snapToGrid w:val="0"/>
        <w:ind w:firstLine="0"/>
        <w:jc w:val="center"/>
        <w:rPr>
          <w:rStyle w:val="34"/>
          <w:color w:val="auto"/>
          <w:sz w:val="44"/>
          <w:szCs w:val="44"/>
        </w:rPr>
      </w:pPr>
      <w:r>
        <w:rPr>
          <w:rStyle w:val="34"/>
          <w:color w:val="auto"/>
          <w:sz w:val="44"/>
          <w:szCs w:val="44"/>
        </w:rPr>
        <w:t>开标一览表</w:t>
      </w:r>
    </w:p>
    <w:tbl>
      <w:tblPr>
        <w:tblStyle w:val="13"/>
        <w:tblW w:w="902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trPr>
        <w:tc>
          <w:tcPr>
            <w:tcW w:w="20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jc w:val="center"/>
              <w:rPr>
                <w:rFonts w:ascii="宋体" w:hAnsi="宋体" w:cs="宋体"/>
                <w:color w:val="auto"/>
                <w:szCs w:val="21"/>
              </w:rPr>
            </w:pPr>
            <w:r>
              <w:rPr>
                <w:rFonts w:hint="eastAsia" w:ascii="宋体" w:hAnsi="宋体" w:cs="宋体"/>
                <w:color w:val="auto"/>
                <w:szCs w:val="21"/>
              </w:rPr>
              <w:t>采购项目名称</w:t>
            </w:r>
          </w:p>
        </w:tc>
        <w:tc>
          <w:tcPr>
            <w:tcW w:w="6890"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trPr>
        <w:tc>
          <w:tcPr>
            <w:tcW w:w="891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tLeast"/>
              <w:ind w:firstLine="105" w:firstLineChars="50"/>
              <w:rPr>
                <w:rFonts w:ascii="宋体" w:hAnsi="宋体"/>
                <w:color w:val="auto"/>
              </w:rPr>
            </w:pPr>
            <w:r>
              <w:rPr>
                <w:rFonts w:hint="eastAsia" w:ascii="宋体" w:hAnsi="宋体"/>
                <w:color w:val="auto"/>
              </w:rPr>
              <w:t>投标总价：</w:t>
            </w:r>
          </w:p>
          <w:p>
            <w:pPr>
              <w:snapToGrid w:val="0"/>
              <w:spacing w:line="360" w:lineRule="atLeast"/>
              <w:ind w:firstLine="105" w:firstLineChars="50"/>
              <w:rPr>
                <w:rFonts w:ascii="宋体" w:hAnsi="宋体"/>
                <w:color w:val="auto"/>
                <w:u w:val="single"/>
              </w:rPr>
            </w:pPr>
            <w:r>
              <w:rPr>
                <w:rFonts w:hint="eastAsia" w:ascii="宋体" w:hAnsi="宋体"/>
                <w:color w:val="auto"/>
              </w:rPr>
              <w:t>小写：</w:t>
            </w:r>
            <w:r>
              <w:rPr>
                <w:rFonts w:hint="eastAsia" w:ascii="宋体" w:hAnsi="宋体"/>
                <w:color w:val="auto"/>
                <w:u w:val="single"/>
              </w:rPr>
              <w:t xml:space="preserve">                     </w:t>
            </w:r>
          </w:p>
          <w:p>
            <w:pPr>
              <w:snapToGrid w:val="0"/>
              <w:spacing w:line="360" w:lineRule="atLeast"/>
              <w:ind w:firstLine="105" w:firstLineChars="50"/>
              <w:rPr>
                <w:rFonts w:hint="eastAsia" w:ascii="宋体" w:hAnsi="宋体"/>
                <w:color w:val="auto"/>
                <w:u w:val="single"/>
              </w:rPr>
            </w:pPr>
            <w:r>
              <w:rPr>
                <w:rFonts w:hint="eastAsia" w:ascii="宋体" w:hAnsi="宋体"/>
                <w:color w:val="auto"/>
              </w:rPr>
              <w:t>大写：</w:t>
            </w:r>
            <w:r>
              <w:rPr>
                <w:rFonts w:hint="eastAsia" w:ascii="宋体" w:hAnsi="宋体"/>
                <w:color w:val="auto"/>
                <w:u w:val="single"/>
              </w:rPr>
              <w:t xml:space="preserve">                     </w:t>
            </w:r>
          </w:p>
          <w:p>
            <w:pPr>
              <w:pStyle w:val="315"/>
              <w:rPr>
                <w:rFonts w:ascii="宋体" w:hAnsi="宋体" w:eastAsia="宋体"/>
                <w:color w:val="auto"/>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0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jc w:val="center"/>
              <w:rPr>
                <w:rFonts w:ascii="宋体" w:hAnsi="宋体" w:cs="宋体"/>
                <w:color w:val="auto"/>
                <w:szCs w:val="21"/>
              </w:rPr>
            </w:pPr>
            <w:r>
              <w:rPr>
                <w:rFonts w:hint="eastAsia" w:ascii="宋体" w:hAnsi="宋体" w:cs="宋体"/>
                <w:color w:val="auto"/>
                <w:szCs w:val="21"/>
              </w:rPr>
              <w:t>交货期</w:t>
            </w:r>
          </w:p>
        </w:tc>
        <w:tc>
          <w:tcPr>
            <w:tcW w:w="6890" w:type="dxa"/>
            <w:tcBorders>
              <w:top w:val="single" w:color="auto" w:sz="4" w:space="0"/>
              <w:left w:val="single" w:color="auto" w:sz="4" w:space="0"/>
              <w:bottom w:val="single" w:color="auto" w:sz="4" w:space="0"/>
              <w:right w:val="single" w:color="auto" w:sz="4" w:space="0"/>
            </w:tcBorders>
            <w:noWrap w:val="0"/>
            <w:vAlign w:val="center"/>
          </w:tcPr>
          <w:p>
            <w:pPr>
              <w:pStyle w:val="316"/>
              <w:spacing w:line="360" w:lineRule="exact"/>
              <w:jc w:val="both"/>
              <w:rPr>
                <w:rFonts w:ascii="宋体" w:hAnsi="宋体" w:eastAsia="宋体"/>
                <w:color w:val="auto"/>
                <w:kern w:val="2"/>
                <w:sz w:val="21"/>
                <w:szCs w:val="21"/>
              </w:rPr>
            </w:pPr>
            <w:r>
              <w:rPr>
                <w:rFonts w:hint="eastAsia" w:ascii="宋体" w:hAnsi="宋体" w:eastAsia="宋体"/>
                <w:color w:val="auto"/>
                <w:kern w:val="2"/>
                <w:sz w:val="21"/>
                <w:szCs w:val="21"/>
                <w:u w:val="single"/>
              </w:rPr>
              <w:t xml:space="preserve">               </w:t>
            </w:r>
            <w:r>
              <w:rPr>
                <w:rFonts w:hint="eastAsia" w:ascii="宋体" w:hAnsi="宋体" w:eastAsia="宋体"/>
                <w:color w:val="auto"/>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0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exact"/>
              <w:jc w:val="center"/>
              <w:rPr>
                <w:rFonts w:ascii="宋体" w:hAnsi="宋体" w:cs="宋体"/>
                <w:color w:val="auto"/>
                <w:szCs w:val="21"/>
              </w:rPr>
            </w:pPr>
            <w:r>
              <w:rPr>
                <w:rFonts w:hint="eastAsia" w:ascii="宋体" w:hAnsi="宋体" w:cs="宋体"/>
                <w:color w:val="auto"/>
                <w:szCs w:val="21"/>
              </w:rPr>
              <w:t>投标有效期</w:t>
            </w:r>
          </w:p>
        </w:tc>
        <w:tc>
          <w:tcPr>
            <w:tcW w:w="6890" w:type="dxa"/>
            <w:tcBorders>
              <w:top w:val="single" w:color="auto" w:sz="4" w:space="0"/>
              <w:left w:val="single" w:color="auto" w:sz="4" w:space="0"/>
              <w:bottom w:val="single" w:color="auto" w:sz="4" w:space="0"/>
              <w:right w:val="single" w:color="auto" w:sz="4" w:space="0"/>
            </w:tcBorders>
            <w:noWrap w:val="0"/>
            <w:vAlign w:val="center"/>
          </w:tcPr>
          <w:p>
            <w:pPr>
              <w:pStyle w:val="316"/>
              <w:spacing w:line="360" w:lineRule="exact"/>
              <w:rPr>
                <w:rFonts w:ascii="宋体" w:hAnsi="宋体" w:eastAsia="宋体"/>
                <w:color w:val="auto"/>
                <w:kern w:val="2"/>
                <w:sz w:val="21"/>
                <w:szCs w:val="21"/>
              </w:rPr>
            </w:pPr>
            <w:r>
              <w:rPr>
                <w:rFonts w:hint="eastAsia" w:ascii="宋体" w:hAnsi="宋体" w:eastAsia="宋体"/>
                <w:color w:val="auto"/>
                <w:kern w:val="2"/>
                <w:sz w:val="21"/>
                <w:szCs w:val="21"/>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2" w:hRule="atLeast"/>
        </w:trPr>
        <w:tc>
          <w:tcPr>
            <w:tcW w:w="2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s="宋体"/>
                <w:color w:val="auto"/>
                <w:szCs w:val="21"/>
              </w:rPr>
            </w:pPr>
            <w:r>
              <w:rPr>
                <w:rFonts w:hint="eastAsia" w:ascii="宋体" w:hAnsi="宋体" w:cs="宋体"/>
                <w:color w:val="auto"/>
                <w:szCs w:val="21"/>
              </w:rPr>
              <w:t>投标文件份数</w:t>
            </w:r>
          </w:p>
        </w:tc>
        <w:tc>
          <w:tcPr>
            <w:tcW w:w="689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ascii="宋体" w:hAnsi="宋体" w:cs="宋体"/>
                <w:color w:val="auto"/>
                <w:szCs w:val="21"/>
              </w:rPr>
            </w:pPr>
            <w:r>
              <w:rPr>
                <w:rFonts w:hint="eastAsia" w:ascii="宋体" w:hAnsi="宋体" w:cs="宋体"/>
                <w:color w:val="auto"/>
                <w:szCs w:val="21"/>
              </w:rPr>
              <w:t>正本：</w:t>
            </w:r>
            <w:r>
              <w:rPr>
                <w:rFonts w:hint="eastAsia" w:ascii="宋体" w:hAnsi="宋体" w:cs="宋体"/>
                <w:color w:val="auto"/>
                <w:szCs w:val="21"/>
                <w:u w:val="single"/>
              </w:rPr>
              <w:t xml:space="preserve">          </w:t>
            </w:r>
            <w:r>
              <w:rPr>
                <w:rFonts w:hint="eastAsia" w:ascii="宋体" w:hAnsi="宋体" w:cs="宋体"/>
                <w:color w:val="auto"/>
                <w:szCs w:val="21"/>
              </w:rPr>
              <w:t>份； 副本：</w:t>
            </w:r>
            <w:r>
              <w:rPr>
                <w:rFonts w:hint="eastAsia" w:ascii="宋体" w:hAnsi="宋体" w:cs="宋体"/>
                <w:color w:val="auto"/>
                <w:szCs w:val="21"/>
                <w:u w:val="single"/>
              </w:rPr>
              <w:t xml:space="preserve">            </w:t>
            </w:r>
            <w:r>
              <w:rPr>
                <w:rFonts w:hint="eastAsia" w:ascii="宋体" w:hAnsi="宋体" w:cs="宋体"/>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2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s="宋体"/>
                <w:color w:val="auto"/>
                <w:szCs w:val="21"/>
              </w:rPr>
            </w:pPr>
            <w:r>
              <w:rPr>
                <w:rFonts w:hint="eastAsia" w:ascii="宋体" w:hAnsi="宋体" w:cs="宋体"/>
                <w:color w:val="auto"/>
                <w:szCs w:val="21"/>
              </w:rPr>
              <w:t>其他事项声明</w:t>
            </w:r>
          </w:p>
        </w:tc>
        <w:tc>
          <w:tcPr>
            <w:tcW w:w="689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ascii="宋体" w:hAnsi="宋体" w:cs="宋体"/>
                <w:color w:val="auto"/>
                <w:szCs w:val="21"/>
              </w:rPr>
            </w:pPr>
          </w:p>
        </w:tc>
      </w:tr>
    </w:tbl>
    <w:p>
      <w:pPr>
        <w:pStyle w:val="61"/>
        <w:snapToGrid w:val="0"/>
        <w:spacing w:before="120" w:line="360" w:lineRule="auto"/>
        <w:rPr>
          <w:rStyle w:val="34"/>
          <w:rFonts w:hAnsi="宋体"/>
          <w:color w:val="auto"/>
        </w:rPr>
      </w:pPr>
    </w:p>
    <w:p>
      <w:pPr>
        <w:pStyle w:val="61"/>
        <w:snapToGrid w:val="0"/>
        <w:spacing w:before="120" w:line="360" w:lineRule="auto"/>
        <w:rPr>
          <w:rStyle w:val="34"/>
          <w:rFonts w:hAnsi="宋体"/>
          <w:color w:val="auto"/>
          <w:sz w:val="24"/>
          <w:szCs w:val="24"/>
        </w:rPr>
      </w:pPr>
      <w:r>
        <w:rPr>
          <w:rStyle w:val="34"/>
          <w:rFonts w:hAnsi="宋体"/>
          <w:color w:val="auto"/>
          <w:sz w:val="24"/>
          <w:szCs w:val="24"/>
        </w:rPr>
        <w:t>投标人名称(盖法人章)：</w:t>
      </w:r>
      <w:r>
        <w:rPr>
          <w:rStyle w:val="34"/>
          <w:rFonts w:hAnsi="宋体"/>
          <w:color w:val="auto"/>
          <w:sz w:val="24"/>
          <w:szCs w:val="24"/>
          <w:u w:val="single"/>
        </w:rPr>
        <w:t xml:space="preserve">                </w:t>
      </w:r>
    </w:p>
    <w:p>
      <w:pPr>
        <w:snapToGrid w:val="0"/>
        <w:spacing w:before="120" w:line="360" w:lineRule="auto"/>
        <w:rPr>
          <w:rStyle w:val="34"/>
          <w:rFonts w:ascii="宋体" w:hAnsi="宋体"/>
          <w:color w:val="auto"/>
          <w:sz w:val="24"/>
          <w:u w:val="single"/>
        </w:rPr>
      </w:pPr>
      <w:r>
        <w:rPr>
          <w:rStyle w:val="34"/>
          <w:rFonts w:ascii="宋体" w:hAnsi="宋体"/>
          <w:color w:val="auto"/>
          <w:sz w:val="24"/>
        </w:rPr>
        <w:t>法定代表人或其授权的代理人(签字或签章)：</w:t>
      </w:r>
      <w:r>
        <w:rPr>
          <w:rStyle w:val="34"/>
          <w:rFonts w:ascii="宋体" w:hAnsi="宋体"/>
          <w:color w:val="auto"/>
          <w:sz w:val="24"/>
          <w:u w:val="single"/>
        </w:rPr>
        <w:t xml:space="preserve">               </w:t>
      </w:r>
    </w:p>
    <w:p>
      <w:pPr>
        <w:snapToGrid w:val="0"/>
        <w:spacing w:before="120" w:line="360" w:lineRule="auto"/>
        <w:rPr>
          <w:rStyle w:val="34"/>
          <w:rFonts w:ascii="宋体" w:hAnsi="宋体"/>
          <w:color w:val="auto"/>
          <w:szCs w:val="21"/>
        </w:rPr>
      </w:pPr>
      <w:r>
        <w:rPr>
          <w:rStyle w:val="34"/>
          <w:rFonts w:ascii="宋体" w:hAnsi="宋体"/>
          <w:color w:val="auto"/>
          <w:sz w:val="24"/>
        </w:rPr>
        <w:t>日期：</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snapToGrid w:val="0"/>
        <w:jc w:val="left"/>
        <w:rPr>
          <w:rStyle w:val="34"/>
          <w:rFonts w:ascii="宋体" w:hAnsi="宋体"/>
          <w:color w:val="auto"/>
        </w:rPr>
      </w:pPr>
      <w:r>
        <w:rPr>
          <w:rStyle w:val="34"/>
          <w:rFonts w:ascii="宋体" w:hAnsi="宋体"/>
          <w:color w:val="auto"/>
        </w:rPr>
        <w:br w:type="page"/>
      </w:r>
    </w:p>
    <w:p>
      <w:pPr>
        <w:snapToGrid w:val="0"/>
        <w:jc w:val="left"/>
        <w:rPr>
          <w:rStyle w:val="34"/>
          <w:rFonts w:ascii="宋体" w:hAnsi="宋体"/>
          <w:color w:val="auto"/>
          <w:sz w:val="24"/>
        </w:rPr>
      </w:pPr>
      <w:r>
        <w:rPr>
          <w:rStyle w:val="34"/>
          <w:rFonts w:ascii="宋体" w:hAnsi="宋体"/>
          <w:color w:val="auto"/>
          <w:sz w:val="24"/>
        </w:rPr>
        <w:t>3.4 投标函</w:t>
      </w:r>
    </w:p>
    <w:p>
      <w:pPr>
        <w:pStyle w:val="29"/>
        <w:snapToGrid w:val="0"/>
        <w:ind w:firstLine="600" w:firstLineChars="250"/>
        <w:rPr>
          <w:rStyle w:val="34"/>
          <w:color w:val="auto"/>
        </w:rPr>
      </w:pPr>
      <w:r>
        <w:rPr>
          <w:rStyle w:val="34"/>
          <w:color w:val="auto"/>
          <w:sz w:val="24"/>
          <w:szCs w:val="24"/>
        </w:rPr>
        <w:t>3.4.1投标函格式</w:t>
      </w:r>
    </w:p>
    <w:p>
      <w:pPr>
        <w:snapToGrid w:val="0"/>
        <w:jc w:val="center"/>
        <w:rPr>
          <w:rStyle w:val="34"/>
          <w:color w:val="auto"/>
          <w:sz w:val="44"/>
          <w:szCs w:val="44"/>
        </w:rPr>
      </w:pPr>
      <w:r>
        <w:rPr>
          <w:rStyle w:val="34"/>
          <w:color w:val="auto"/>
          <w:sz w:val="44"/>
          <w:szCs w:val="44"/>
        </w:rPr>
        <w:t>投 标 函</w:t>
      </w:r>
    </w:p>
    <w:p>
      <w:pPr>
        <w:snapToGrid w:val="0"/>
        <w:spacing w:before="120" w:line="360" w:lineRule="exact"/>
        <w:rPr>
          <w:rStyle w:val="34"/>
          <w:rFonts w:ascii="宋体" w:hAnsi="宋体"/>
          <w:color w:val="auto"/>
          <w:sz w:val="24"/>
        </w:rPr>
      </w:pPr>
      <w:r>
        <w:rPr>
          <w:rStyle w:val="34"/>
          <w:rFonts w:ascii="宋体" w:hAnsi="宋体"/>
          <w:color w:val="auto"/>
          <w:sz w:val="24"/>
        </w:rPr>
        <w:t>致：</w:t>
      </w:r>
      <w:r>
        <w:rPr>
          <w:rStyle w:val="34"/>
          <w:rFonts w:ascii="宋体" w:hAnsi="宋体"/>
          <w:color w:val="auto"/>
          <w:sz w:val="24"/>
          <w:u w:val="single"/>
        </w:rPr>
        <w:t xml:space="preserve">            </w:t>
      </w:r>
      <w:r>
        <w:rPr>
          <w:rStyle w:val="34"/>
          <w:rFonts w:ascii="宋体" w:hAnsi="宋体"/>
          <w:color w:val="auto"/>
          <w:sz w:val="24"/>
        </w:rPr>
        <w:t>(招标人名称)：</w:t>
      </w:r>
    </w:p>
    <w:p>
      <w:pPr>
        <w:snapToGrid w:val="0"/>
        <w:spacing w:before="120" w:line="360" w:lineRule="exact"/>
        <w:ind w:firstLine="480" w:firstLineChars="200"/>
        <w:jc w:val="left"/>
        <w:rPr>
          <w:rStyle w:val="34"/>
          <w:rFonts w:ascii="宋体" w:hAnsi="宋体"/>
          <w:color w:val="auto"/>
          <w:sz w:val="24"/>
        </w:rPr>
      </w:pPr>
      <w:r>
        <w:rPr>
          <w:rStyle w:val="34"/>
          <w:rFonts w:ascii="宋体" w:hAnsi="宋体"/>
          <w:color w:val="auto"/>
          <w:sz w:val="24"/>
        </w:rPr>
        <w:t>根据</w:t>
      </w:r>
      <w:r>
        <w:rPr>
          <w:rStyle w:val="34"/>
          <w:rFonts w:ascii="宋体" w:hAnsi="宋体"/>
          <w:color w:val="auto"/>
          <w:sz w:val="24"/>
          <w:u w:val="single"/>
        </w:rPr>
        <w:t xml:space="preserve">   （项目名称）           </w:t>
      </w:r>
      <w:r>
        <w:rPr>
          <w:rStyle w:val="34"/>
          <w:rFonts w:ascii="宋体" w:hAnsi="宋体"/>
          <w:color w:val="auto"/>
          <w:sz w:val="24"/>
        </w:rPr>
        <w:t>招标文件的所有条款要求，遵照《中华人民共和国政府采购法》、《中华人民共和国政府采购法实施条例》等有关规定，我方承诺如下：</w:t>
      </w:r>
    </w:p>
    <w:p>
      <w:pPr>
        <w:numPr>
          <w:ilvl w:val="0"/>
          <w:numId w:val="21"/>
        </w:num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应提交和交付的货物和服务投标总价为：</w:t>
      </w:r>
      <w:r>
        <w:rPr>
          <w:rStyle w:val="34"/>
          <w:rFonts w:ascii="宋体" w:hAnsi="宋体"/>
          <w:color w:val="auto"/>
          <w:sz w:val="24"/>
          <w:u w:val="single"/>
        </w:rPr>
        <w:t xml:space="preserve">          元（小写）           </w:t>
      </w:r>
      <w:r>
        <w:rPr>
          <w:rStyle w:val="34"/>
          <w:rFonts w:ascii="宋体" w:hAnsi="宋体"/>
          <w:color w:val="auto"/>
          <w:sz w:val="24"/>
        </w:rPr>
        <w:t>(人民币大写)。</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2、我方将按招标文件的规定履行合同责任和义务。</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3、我方已详细审查全部招标文件。我们完全理解并同意放弃对这方面有不明及误解的权力。</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4、在投标有效期内我方同意遵守本投标文件中的承诺且在此期限期满之前投标文件对我方具有法律约束力。</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5、根据第二章“投标人须知”第1.4条规定，我方承诺：</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(1) 我们在参加本项目政府采购活动前三年内，在经营活动中没有违背法律的行为，并提供“参加政府采购活动前三年内在经营活动中没有重大违法记录的书面声明”；</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(2) 我们依照有关法律的规定，没有偷税、漏税的行为，没有逃避缴纳社会保险资金的行为；</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(3) 与采购人和采购代理机构</w:t>
      </w:r>
      <w:r>
        <w:rPr>
          <w:rStyle w:val="34"/>
          <w:rFonts w:ascii="宋体" w:hAnsi="宋体" w:cs="Times New Roman"/>
          <w:bCs/>
          <w:color w:val="auto"/>
          <w:sz w:val="24"/>
        </w:rPr>
        <w:t>无任何的隶属关系或者其他利害关系</w:t>
      </w:r>
      <w:r>
        <w:rPr>
          <w:rStyle w:val="34"/>
          <w:rFonts w:ascii="宋体" w:hAnsi="宋体"/>
          <w:color w:val="auto"/>
          <w:sz w:val="24"/>
        </w:rPr>
        <w:t>。</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 xml:space="preserve">6、同意提供贵方可能要求的与其投标有关的一切数据或资料。 </w:t>
      </w:r>
    </w:p>
    <w:p>
      <w:pPr>
        <w:snapToGrid w:val="0"/>
        <w:spacing w:before="120" w:line="360" w:lineRule="exact"/>
        <w:ind w:firstLine="480" w:firstLineChars="200"/>
        <w:rPr>
          <w:rStyle w:val="34"/>
          <w:rFonts w:ascii="宋体" w:hAnsi="宋体"/>
          <w:color w:val="auto"/>
          <w:sz w:val="24"/>
        </w:rPr>
      </w:pPr>
      <w:r>
        <w:rPr>
          <w:rStyle w:val="34"/>
          <w:rFonts w:ascii="宋体" w:hAnsi="宋体"/>
          <w:color w:val="auto"/>
          <w:sz w:val="24"/>
        </w:rPr>
        <w:t>7、我方所递交的投标文件及有关资料内容完整、真实和准确，且不存在第二章“投标人须知”第1.4.3项和1.4.4项规定的任何一种情形。</w:t>
      </w:r>
    </w:p>
    <w:p>
      <w:pPr>
        <w:snapToGrid w:val="0"/>
        <w:spacing w:before="120" w:line="360" w:lineRule="exact"/>
        <w:ind w:firstLine="482" w:firstLineChars="200"/>
        <w:rPr>
          <w:rStyle w:val="34"/>
          <w:rFonts w:ascii="宋体" w:hAnsi="宋体"/>
          <w:color w:val="auto"/>
          <w:sz w:val="24"/>
        </w:rPr>
      </w:pPr>
      <w:r>
        <w:rPr>
          <w:rStyle w:val="34"/>
          <w:rFonts w:hint="eastAsia" w:ascii="宋体" w:hAnsi="宋体"/>
          <w:b/>
          <w:color w:val="auto"/>
          <w:sz w:val="24"/>
          <w:lang w:val="en-US" w:eastAsia="zh-CN"/>
        </w:rPr>
        <w:t>8</w:t>
      </w:r>
      <w:r>
        <w:rPr>
          <w:rStyle w:val="34"/>
          <w:rFonts w:ascii="宋体" w:hAnsi="宋体"/>
          <w:b/>
          <w:color w:val="auto"/>
          <w:sz w:val="24"/>
        </w:rPr>
        <w:t>、本投标有效期为</w:t>
      </w:r>
      <w:r>
        <w:rPr>
          <w:rStyle w:val="34"/>
          <w:rFonts w:ascii="宋体" w:hAnsi="宋体"/>
          <w:b/>
          <w:color w:val="auto"/>
          <w:sz w:val="24"/>
          <w:u w:val="single" w:color="000000"/>
        </w:rPr>
        <w:t xml:space="preserve">   </w:t>
      </w:r>
      <w:r>
        <w:rPr>
          <w:rStyle w:val="34"/>
          <w:rFonts w:ascii="宋体" w:hAnsi="宋体"/>
          <w:b/>
          <w:color w:val="auto"/>
          <w:sz w:val="24"/>
        </w:rPr>
        <w:t>天。</w:t>
      </w:r>
    </w:p>
    <w:p>
      <w:pPr>
        <w:pStyle w:val="61"/>
        <w:snapToGrid w:val="0"/>
        <w:spacing w:before="120" w:line="360" w:lineRule="exact"/>
        <w:rPr>
          <w:rStyle w:val="34"/>
          <w:rFonts w:hAnsi="宋体"/>
          <w:color w:val="auto"/>
          <w:sz w:val="24"/>
          <w:szCs w:val="24"/>
          <w:u w:val="single"/>
        </w:rPr>
      </w:pPr>
    </w:p>
    <w:p>
      <w:pPr>
        <w:pStyle w:val="61"/>
        <w:snapToGrid w:val="0"/>
        <w:spacing w:before="120" w:line="360" w:lineRule="exact"/>
        <w:rPr>
          <w:rStyle w:val="34"/>
          <w:rFonts w:hAnsi="宋体"/>
          <w:color w:val="auto"/>
          <w:sz w:val="24"/>
          <w:szCs w:val="24"/>
        </w:rPr>
      </w:pPr>
      <w:r>
        <w:rPr>
          <w:rStyle w:val="34"/>
          <w:rFonts w:hAnsi="宋体"/>
          <w:color w:val="auto"/>
          <w:sz w:val="24"/>
          <w:szCs w:val="24"/>
        </w:rPr>
        <w:t>投标人名称(盖法人章)：</w:t>
      </w:r>
      <w:r>
        <w:rPr>
          <w:rStyle w:val="34"/>
          <w:rFonts w:hAnsi="宋体"/>
          <w:color w:val="auto"/>
          <w:sz w:val="24"/>
          <w:szCs w:val="24"/>
          <w:u w:val="single"/>
        </w:rPr>
        <w:t xml:space="preserve">                </w:t>
      </w:r>
    </w:p>
    <w:p>
      <w:pPr>
        <w:snapToGrid w:val="0"/>
        <w:spacing w:before="120" w:line="360" w:lineRule="exact"/>
        <w:rPr>
          <w:rStyle w:val="34"/>
          <w:rFonts w:ascii="宋体" w:hAnsi="宋体"/>
          <w:color w:val="auto"/>
          <w:sz w:val="24"/>
          <w:u w:val="single"/>
        </w:rPr>
      </w:pPr>
      <w:r>
        <w:rPr>
          <w:rStyle w:val="34"/>
          <w:rFonts w:ascii="宋体" w:hAnsi="宋体"/>
          <w:color w:val="auto"/>
          <w:sz w:val="24"/>
        </w:rPr>
        <w:t>法定代表人或其授权的代理人(签字或签章)：</w:t>
      </w:r>
      <w:r>
        <w:rPr>
          <w:rStyle w:val="34"/>
          <w:rFonts w:ascii="宋体" w:hAnsi="宋体"/>
          <w:color w:val="auto"/>
          <w:sz w:val="24"/>
          <w:u w:val="single"/>
        </w:rPr>
        <w:t xml:space="preserve">               </w:t>
      </w:r>
    </w:p>
    <w:p>
      <w:pPr>
        <w:snapToGrid w:val="0"/>
        <w:spacing w:before="120" w:line="360" w:lineRule="exact"/>
        <w:rPr>
          <w:rStyle w:val="34"/>
          <w:rFonts w:ascii="宋体" w:hAnsi="宋体"/>
          <w:color w:val="auto"/>
          <w:szCs w:val="21"/>
        </w:rPr>
      </w:pPr>
      <w:r>
        <w:rPr>
          <w:rStyle w:val="34"/>
          <w:rFonts w:ascii="宋体" w:hAnsi="宋体"/>
          <w:color w:val="auto"/>
          <w:sz w:val="24"/>
        </w:rPr>
        <w:t>日期：</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tabs>
          <w:tab w:val="left" w:pos="6315"/>
        </w:tabs>
        <w:snapToGrid w:val="0"/>
        <w:spacing w:line="400" w:lineRule="exact"/>
        <w:ind w:firstLine="480" w:firstLineChars="200"/>
        <w:rPr>
          <w:rStyle w:val="34"/>
          <w:rFonts w:ascii="宋体" w:hAnsi="宋体"/>
          <w:color w:val="auto"/>
          <w:kern w:val="0"/>
          <w:sz w:val="24"/>
        </w:rPr>
      </w:pPr>
    </w:p>
    <w:p>
      <w:pPr>
        <w:tabs>
          <w:tab w:val="left" w:pos="6315"/>
        </w:tabs>
        <w:snapToGrid w:val="0"/>
        <w:spacing w:line="400" w:lineRule="exact"/>
        <w:ind w:firstLine="480" w:firstLineChars="200"/>
        <w:rPr>
          <w:rStyle w:val="34"/>
          <w:rFonts w:ascii="宋体" w:hAnsi="宋体"/>
          <w:color w:val="auto"/>
          <w:sz w:val="24"/>
        </w:rPr>
      </w:pPr>
    </w:p>
    <w:p>
      <w:pPr>
        <w:snapToGrid w:val="0"/>
        <w:jc w:val="left"/>
        <w:rPr>
          <w:rStyle w:val="34"/>
          <w:rFonts w:ascii="宋体" w:hAnsi="宋体"/>
          <w:color w:val="auto"/>
          <w:sz w:val="28"/>
          <w:szCs w:val="28"/>
        </w:rPr>
      </w:pPr>
    </w:p>
    <w:p>
      <w:pPr>
        <w:snapToGrid w:val="0"/>
        <w:jc w:val="left"/>
        <w:rPr>
          <w:rStyle w:val="34"/>
          <w:rFonts w:ascii="宋体" w:hAnsi="宋体"/>
          <w:color w:val="auto"/>
          <w:sz w:val="28"/>
          <w:szCs w:val="28"/>
        </w:rPr>
      </w:pPr>
      <w:r>
        <w:rPr>
          <w:rStyle w:val="34"/>
          <w:rFonts w:ascii="宋体" w:hAnsi="宋体"/>
          <w:color w:val="auto"/>
          <w:sz w:val="28"/>
          <w:szCs w:val="28"/>
        </w:rPr>
        <w:t>3.4.2 法定代表人身份证明书</w:t>
      </w:r>
    </w:p>
    <w:p>
      <w:pPr>
        <w:pStyle w:val="141"/>
        <w:snapToGrid w:val="0"/>
        <w:spacing w:before="0" w:after="0" w:line="360" w:lineRule="exact"/>
        <w:ind w:firstLine="0"/>
        <w:rPr>
          <w:rStyle w:val="34"/>
          <w:rFonts w:ascii="宋体" w:hAnsi="宋体"/>
          <w:color w:val="auto"/>
        </w:rPr>
      </w:pPr>
    </w:p>
    <w:p>
      <w:pPr>
        <w:snapToGrid w:val="0"/>
        <w:spacing w:line="500" w:lineRule="exact"/>
        <w:jc w:val="center"/>
        <w:rPr>
          <w:rStyle w:val="34"/>
          <w:rFonts w:ascii="宋体" w:hAnsi="宋体"/>
          <w:color w:val="auto"/>
          <w:sz w:val="32"/>
          <w:szCs w:val="32"/>
        </w:rPr>
      </w:pPr>
      <w:r>
        <w:rPr>
          <w:rStyle w:val="34"/>
          <w:rFonts w:ascii="宋体" w:hAnsi="宋体"/>
          <w:color w:val="auto"/>
          <w:sz w:val="32"/>
          <w:szCs w:val="32"/>
        </w:rPr>
        <w:t>法定代表人身份证明书</w:t>
      </w:r>
    </w:p>
    <w:p>
      <w:pPr>
        <w:snapToGrid w:val="0"/>
        <w:spacing w:line="500" w:lineRule="exact"/>
        <w:rPr>
          <w:rStyle w:val="34"/>
          <w:rFonts w:ascii="宋体" w:hAnsi="宋体"/>
          <w:b/>
          <w:color w:val="auto"/>
          <w:szCs w:val="21"/>
        </w:rPr>
      </w:pPr>
    </w:p>
    <w:p>
      <w:pPr>
        <w:snapToGrid w:val="0"/>
        <w:spacing w:line="360" w:lineRule="auto"/>
        <w:ind w:firstLine="612"/>
        <w:rPr>
          <w:rStyle w:val="34"/>
          <w:rFonts w:ascii="宋体" w:hAnsi="宋体"/>
          <w:color w:val="auto"/>
          <w:sz w:val="24"/>
        </w:rPr>
      </w:pPr>
      <w:r>
        <w:rPr>
          <w:rStyle w:val="34"/>
          <w:rFonts w:ascii="宋体" w:hAnsi="宋体"/>
          <w:color w:val="auto"/>
          <w:sz w:val="24"/>
        </w:rPr>
        <w:t>单位名称：</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napToGrid w:val="0"/>
        <w:spacing w:line="360" w:lineRule="auto"/>
        <w:ind w:firstLine="610"/>
        <w:rPr>
          <w:rStyle w:val="34"/>
          <w:rFonts w:ascii="宋体" w:hAnsi="宋体"/>
          <w:color w:val="auto"/>
          <w:sz w:val="24"/>
          <w:u w:val="single"/>
        </w:rPr>
      </w:pPr>
      <w:r>
        <w:rPr>
          <w:rStyle w:val="34"/>
          <w:rFonts w:ascii="宋体" w:hAnsi="宋体"/>
          <w:color w:val="auto"/>
          <w:sz w:val="24"/>
        </w:rPr>
        <w:t>单位性质：</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napToGrid w:val="0"/>
        <w:spacing w:line="360" w:lineRule="auto"/>
        <w:ind w:firstLine="610"/>
        <w:rPr>
          <w:rStyle w:val="34"/>
          <w:rFonts w:ascii="宋体" w:hAnsi="宋体"/>
          <w:color w:val="auto"/>
          <w:sz w:val="24"/>
          <w:u w:val="single"/>
        </w:rPr>
      </w:pPr>
      <w:r>
        <w:rPr>
          <w:rStyle w:val="34"/>
          <w:rFonts w:ascii="宋体" w:hAnsi="宋体"/>
          <w:color w:val="auto"/>
          <w:sz w:val="24"/>
        </w:rPr>
        <w:t>地    址：</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r>
        <w:rPr>
          <w:rStyle w:val="34"/>
          <w:rFonts w:ascii="宋体" w:hAnsi="宋体"/>
          <w:color w:val="auto"/>
          <w:sz w:val="24"/>
          <w:u w:val="single"/>
        </w:rPr>
        <w:tab/>
      </w:r>
    </w:p>
    <w:p>
      <w:pPr>
        <w:snapToGrid w:val="0"/>
        <w:spacing w:line="360" w:lineRule="auto"/>
        <w:ind w:firstLine="610"/>
        <w:rPr>
          <w:rStyle w:val="34"/>
          <w:rFonts w:ascii="宋体" w:hAnsi="宋体"/>
          <w:color w:val="auto"/>
          <w:sz w:val="24"/>
        </w:rPr>
      </w:pPr>
      <w:r>
        <w:rPr>
          <w:rStyle w:val="34"/>
          <w:rFonts w:ascii="宋体" w:hAnsi="宋体"/>
          <w:color w:val="auto"/>
          <w:sz w:val="24"/>
        </w:rPr>
        <w:t>成立时间：</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snapToGrid w:val="0"/>
        <w:spacing w:line="360" w:lineRule="auto"/>
        <w:ind w:firstLine="610"/>
        <w:rPr>
          <w:rStyle w:val="34"/>
          <w:rFonts w:ascii="宋体" w:hAnsi="宋体"/>
          <w:color w:val="auto"/>
          <w:sz w:val="24"/>
          <w:u w:val="single"/>
        </w:rPr>
      </w:pPr>
      <w:r>
        <w:rPr>
          <w:rStyle w:val="34"/>
          <w:rFonts w:ascii="宋体" w:hAnsi="宋体"/>
          <w:color w:val="auto"/>
          <w:sz w:val="24"/>
        </w:rPr>
        <w:t>经营期限：</w:t>
      </w:r>
      <w:r>
        <w:rPr>
          <w:rStyle w:val="34"/>
          <w:rFonts w:ascii="宋体" w:hAnsi="宋体"/>
          <w:color w:val="auto"/>
          <w:sz w:val="24"/>
          <w:u w:val="single"/>
        </w:rPr>
        <w:tab/>
      </w:r>
      <w:r>
        <w:rPr>
          <w:rStyle w:val="34"/>
          <w:rFonts w:ascii="宋体" w:hAnsi="宋体"/>
          <w:color w:val="auto"/>
          <w:sz w:val="24"/>
          <w:u w:val="single"/>
        </w:rPr>
        <w:t xml:space="preserve">                                                </w:t>
      </w:r>
      <w:r>
        <w:rPr>
          <w:rStyle w:val="34"/>
          <w:rFonts w:ascii="宋体" w:hAnsi="宋体"/>
          <w:color w:val="auto"/>
          <w:sz w:val="24"/>
          <w:u w:val="single"/>
        </w:rPr>
        <w:tab/>
      </w:r>
    </w:p>
    <w:p>
      <w:pPr>
        <w:snapToGrid w:val="0"/>
        <w:spacing w:line="360" w:lineRule="auto"/>
        <w:ind w:firstLine="610"/>
        <w:rPr>
          <w:rStyle w:val="34"/>
          <w:rFonts w:ascii="宋体" w:hAnsi="宋体"/>
          <w:color w:val="auto"/>
          <w:sz w:val="24"/>
        </w:rPr>
      </w:pPr>
      <w:r>
        <w:rPr>
          <w:rStyle w:val="34"/>
          <w:rFonts w:ascii="宋体" w:hAnsi="宋体"/>
          <w:color w:val="auto"/>
          <w:sz w:val="24"/>
        </w:rPr>
        <w:t>姓    名：</w:t>
      </w:r>
      <w:r>
        <w:rPr>
          <w:rStyle w:val="34"/>
          <w:rFonts w:ascii="宋体" w:hAnsi="宋体"/>
          <w:color w:val="auto"/>
          <w:sz w:val="24"/>
          <w:u w:val="single"/>
        </w:rPr>
        <w:t xml:space="preserve">         </w:t>
      </w:r>
      <w:r>
        <w:rPr>
          <w:rStyle w:val="34"/>
          <w:rFonts w:ascii="宋体" w:hAnsi="宋体"/>
          <w:color w:val="auto"/>
          <w:sz w:val="24"/>
        </w:rPr>
        <w:t xml:space="preserve"> 性别：</w:t>
      </w:r>
      <w:r>
        <w:rPr>
          <w:rStyle w:val="34"/>
          <w:rFonts w:ascii="宋体" w:hAnsi="宋体"/>
          <w:color w:val="auto"/>
          <w:sz w:val="24"/>
          <w:u w:val="single"/>
        </w:rPr>
        <w:t xml:space="preserve">        </w:t>
      </w:r>
      <w:r>
        <w:rPr>
          <w:rStyle w:val="34"/>
          <w:rFonts w:ascii="宋体" w:hAnsi="宋体"/>
          <w:color w:val="auto"/>
          <w:sz w:val="24"/>
        </w:rPr>
        <w:t>年龄：</w:t>
      </w:r>
      <w:r>
        <w:rPr>
          <w:rStyle w:val="34"/>
          <w:rFonts w:ascii="宋体" w:hAnsi="宋体"/>
          <w:color w:val="auto"/>
          <w:sz w:val="24"/>
          <w:u w:val="single"/>
        </w:rPr>
        <w:t xml:space="preserve">          </w:t>
      </w:r>
      <w:r>
        <w:rPr>
          <w:rStyle w:val="34"/>
          <w:rFonts w:ascii="宋体" w:hAnsi="宋体"/>
          <w:color w:val="auto"/>
          <w:sz w:val="24"/>
        </w:rPr>
        <w:t xml:space="preserve"> </w:t>
      </w:r>
    </w:p>
    <w:p>
      <w:pPr>
        <w:snapToGrid w:val="0"/>
        <w:spacing w:line="360" w:lineRule="auto"/>
        <w:ind w:firstLine="610"/>
        <w:rPr>
          <w:rStyle w:val="34"/>
          <w:rFonts w:ascii="宋体" w:hAnsi="宋体"/>
          <w:color w:val="auto"/>
          <w:sz w:val="24"/>
          <w:u w:val="single"/>
        </w:rPr>
      </w:pPr>
      <w:r>
        <w:rPr>
          <w:rStyle w:val="34"/>
          <w:rFonts w:ascii="宋体" w:hAnsi="宋体"/>
          <w:color w:val="auto"/>
          <w:sz w:val="24"/>
        </w:rPr>
        <w:t>身份证号码</w:t>
      </w:r>
      <w:r>
        <w:rPr>
          <w:rStyle w:val="34"/>
          <w:rFonts w:ascii="宋体" w:hAnsi="宋体"/>
          <w:color w:val="auto"/>
          <w:sz w:val="24"/>
          <w:u w:val="single"/>
        </w:rPr>
        <w:t xml:space="preserve">                                 </w:t>
      </w:r>
    </w:p>
    <w:p>
      <w:pPr>
        <w:snapToGrid w:val="0"/>
        <w:spacing w:line="360" w:lineRule="auto"/>
        <w:ind w:firstLine="610"/>
        <w:rPr>
          <w:rStyle w:val="34"/>
          <w:rFonts w:ascii="宋体" w:hAnsi="宋体"/>
          <w:color w:val="auto"/>
          <w:sz w:val="24"/>
        </w:rPr>
      </w:pPr>
      <w:r>
        <w:rPr>
          <w:rStyle w:val="34"/>
          <w:rFonts w:ascii="宋体" w:hAnsi="宋体"/>
          <w:color w:val="auto"/>
          <w:sz w:val="24"/>
        </w:rPr>
        <w:t>系</w:t>
      </w:r>
      <w:r>
        <w:rPr>
          <w:rStyle w:val="34"/>
          <w:rFonts w:ascii="宋体" w:hAnsi="宋体"/>
          <w:color w:val="auto"/>
          <w:sz w:val="24"/>
          <w:u w:val="single"/>
        </w:rPr>
        <w:t xml:space="preserve">          （投标人单位名称）         </w:t>
      </w:r>
      <w:r>
        <w:rPr>
          <w:rStyle w:val="34"/>
          <w:rFonts w:ascii="宋体" w:hAnsi="宋体"/>
          <w:color w:val="auto"/>
          <w:sz w:val="24"/>
        </w:rPr>
        <w:t>的法定代表人。</w:t>
      </w:r>
    </w:p>
    <w:p>
      <w:pPr>
        <w:snapToGrid w:val="0"/>
        <w:spacing w:line="360" w:lineRule="auto"/>
        <w:ind w:firstLine="610"/>
        <w:rPr>
          <w:rStyle w:val="34"/>
          <w:rFonts w:ascii="宋体" w:hAnsi="宋体"/>
          <w:color w:val="auto"/>
          <w:sz w:val="24"/>
        </w:rPr>
      </w:pPr>
      <w:r>
        <w:rPr>
          <w:rStyle w:val="34"/>
          <w:rFonts w:ascii="宋体" w:hAnsi="宋体"/>
          <w:color w:val="auto"/>
          <w:sz w:val="24"/>
        </w:rPr>
        <w:t>特此证明。</w:t>
      </w:r>
    </w:p>
    <w:p>
      <w:pPr>
        <w:tabs>
          <w:tab w:val="left" w:pos="720"/>
          <w:tab w:val="left" w:pos="900"/>
        </w:tabs>
        <w:snapToGrid w:val="0"/>
        <w:spacing w:line="360" w:lineRule="auto"/>
        <w:ind w:firstLine="480" w:firstLineChars="200"/>
        <w:rPr>
          <w:rStyle w:val="34"/>
          <w:rFonts w:ascii="宋体" w:hAnsi="宋体"/>
          <w:color w:val="auto"/>
          <w:sz w:val="24"/>
          <w:u w:val="single"/>
        </w:rPr>
      </w:pPr>
      <w:r>
        <w:rPr>
          <w:rStyle w:val="34"/>
          <w:rFonts w:ascii="宋体" w:hAnsi="宋体"/>
          <w:color w:val="auto"/>
          <w:sz w:val="24"/>
          <w:u w:val="single"/>
        </w:rPr>
        <w:t xml:space="preserve">    （须附身份证复印件）                </w:t>
      </w:r>
    </w:p>
    <w:p>
      <w:pPr>
        <w:tabs>
          <w:tab w:val="left" w:pos="720"/>
          <w:tab w:val="left" w:pos="900"/>
        </w:tabs>
        <w:snapToGrid w:val="0"/>
        <w:spacing w:line="360" w:lineRule="auto"/>
        <w:ind w:firstLine="480" w:firstLineChars="200"/>
        <w:rPr>
          <w:rStyle w:val="34"/>
          <w:rFonts w:ascii="宋体" w:hAnsi="宋体"/>
          <w:color w:val="auto"/>
          <w:sz w:val="24"/>
        </w:rPr>
      </w:pPr>
    </w:p>
    <w:p>
      <w:pPr>
        <w:tabs>
          <w:tab w:val="left" w:pos="720"/>
          <w:tab w:val="left" w:pos="900"/>
        </w:tabs>
        <w:snapToGrid w:val="0"/>
        <w:spacing w:line="360" w:lineRule="auto"/>
        <w:ind w:firstLine="4440" w:firstLineChars="1850"/>
        <w:rPr>
          <w:rStyle w:val="34"/>
          <w:rFonts w:ascii="宋体" w:hAnsi="宋体"/>
          <w:color w:val="auto"/>
          <w:sz w:val="24"/>
          <w:u w:val="single"/>
        </w:rPr>
      </w:pPr>
      <w:r>
        <w:rPr>
          <w:rStyle w:val="34"/>
          <w:rFonts w:ascii="宋体" w:hAnsi="宋体"/>
          <w:color w:val="auto"/>
          <w:sz w:val="24"/>
        </w:rPr>
        <w:t>投标人：</w:t>
      </w:r>
      <w:r>
        <w:rPr>
          <w:rStyle w:val="34"/>
          <w:rFonts w:ascii="宋体" w:hAnsi="宋体"/>
          <w:color w:val="auto"/>
          <w:sz w:val="24"/>
          <w:u w:val="single"/>
        </w:rPr>
        <w:t xml:space="preserve">       （盖法人公章）</w:t>
      </w:r>
    </w:p>
    <w:p>
      <w:pPr>
        <w:tabs>
          <w:tab w:val="left" w:pos="720"/>
          <w:tab w:val="left" w:pos="900"/>
        </w:tabs>
        <w:snapToGrid w:val="0"/>
        <w:spacing w:line="360" w:lineRule="auto"/>
        <w:ind w:firstLine="4440" w:firstLineChars="1850"/>
        <w:rPr>
          <w:rStyle w:val="34"/>
          <w:rFonts w:ascii="宋体" w:hAnsi="宋体"/>
          <w:color w:val="auto"/>
          <w:sz w:val="24"/>
        </w:rPr>
      </w:pPr>
      <w:r>
        <w:rPr>
          <w:rStyle w:val="34"/>
          <w:rFonts w:ascii="宋体" w:hAnsi="宋体"/>
          <w:color w:val="auto"/>
          <w:sz w:val="24"/>
        </w:rPr>
        <w:t>法定代表人签名或盖章</w:t>
      </w:r>
      <w:r>
        <w:rPr>
          <w:rStyle w:val="34"/>
          <w:rFonts w:ascii="宋体" w:hAnsi="宋体"/>
          <w:color w:val="auto"/>
          <w:sz w:val="24"/>
          <w:u w:val="single"/>
        </w:rPr>
        <w:t xml:space="preserve">：            </w:t>
      </w:r>
    </w:p>
    <w:p>
      <w:pPr>
        <w:tabs>
          <w:tab w:val="left" w:pos="720"/>
          <w:tab w:val="left" w:pos="900"/>
        </w:tabs>
        <w:snapToGrid w:val="0"/>
        <w:spacing w:line="360" w:lineRule="auto"/>
        <w:ind w:firstLine="4440" w:firstLineChars="1850"/>
        <w:rPr>
          <w:rStyle w:val="34"/>
          <w:rFonts w:ascii="宋体" w:hAnsi="宋体"/>
          <w:color w:val="auto"/>
          <w:szCs w:val="21"/>
        </w:rPr>
      </w:pPr>
      <w:r>
        <w:rPr>
          <w:rStyle w:val="34"/>
          <w:rFonts w:ascii="宋体" w:hAnsi="宋体"/>
          <w:color w:val="auto"/>
          <w:sz w:val="24"/>
        </w:rPr>
        <w:t>日 期：</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w:t>
      </w:r>
    </w:p>
    <w:p>
      <w:pPr>
        <w:snapToGrid w:val="0"/>
        <w:jc w:val="left"/>
        <w:rPr>
          <w:rStyle w:val="34"/>
          <w:rFonts w:ascii="宋体" w:hAnsi="宋体"/>
          <w:color w:val="auto"/>
        </w:rPr>
      </w:pPr>
      <w:r>
        <w:rPr>
          <w:rStyle w:val="34"/>
          <w:rFonts w:ascii="宋体" w:hAnsi="宋体"/>
          <w:color w:val="auto"/>
        </w:rPr>
        <w:br w:type="page"/>
      </w:r>
    </w:p>
    <w:p>
      <w:pPr>
        <w:snapToGrid w:val="0"/>
        <w:jc w:val="left"/>
        <w:rPr>
          <w:rStyle w:val="34"/>
          <w:rFonts w:ascii="宋体" w:hAnsi="宋体"/>
          <w:color w:val="auto"/>
        </w:rPr>
      </w:pPr>
      <w:r>
        <w:rPr>
          <w:rStyle w:val="34"/>
          <w:rFonts w:ascii="宋体" w:hAnsi="宋体"/>
          <w:color w:val="auto"/>
          <w:sz w:val="24"/>
        </w:rPr>
        <w:t>3.4.3授权委托书</w:t>
      </w:r>
    </w:p>
    <w:p>
      <w:pPr>
        <w:snapToGrid w:val="0"/>
        <w:spacing w:before="240" w:after="312" w:afterAutospacing="1" w:line="360" w:lineRule="auto"/>
        <w:jc w:val="center"/>
        <w:rPr>
          <w:rStyle w:val="34"/>
          <w:rFonts w:ascii="宋体" w:hAnsi="宋体"/>
          <w:color w:val="auto"/>
          <w:sz w:val="32"/>
          <w:szCs w:val="32"/>
        </w:rPr>
      </w:pPr>
      <w:r>
        <w:rPr>
          <w:rStyle w:val="34"/>
          <w:rFonts w:ascii="宋体" w:hAnsi="宋体"/>
          <w:color w:val="auto"/>
          <w:sz w:val="32"/>
          <w:szCs w:val="32"/>
        </w:rPr>
        <w:t>授权委托书</w:t>
      </w:r>
    </w:p>
    <w:p>
      <w:pPr>
        <w:snapToGrid w:val="0"/>
        <w:spacing w:line="500" w:lineRule="exact"/>
        <w:ind w:firstLine="435"/>
        <w:rPr>
          <w:rStyle w:val="34"/>
          <w:rFonts w:ascii="宋体" w:hAnsi="宋体"/>
          <w:color w:val="auto"/>
          <w:sz w:val="24"/>
          <w:u w:val="single"/>
        </w:rPr>
      </w:pPr>
      <w:r>
        <w:rPr>
          <w:rStyle w:val="34"/>
          <w:rFonts w:ascii="宋体" w:hAnsi="宋体"/>
          <w:color w:val="auto"/>
          <w:sz w:val="24"/>
        </w:rPr>
        <w:t>委托人（投标人）：</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u w:val="single"/>
        </w:rPr>
      </w:pPr>
      <w:r>
        <w:rPr>
          <w:rStyle w:val="34"/>
          <w:rFonts w:ascii="宋体" w:hAnsi="宋体"/>
          <w:color w:val="auto"/>
          <w:sz w:val="24"/>
        </w:rPr>
        <w:t>地  址：</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u w:val="single"/>
        </w:rPr>
      </w:pPr>
      <w:r>
        <w:rPr>
          <w:rStyle w:val="34"/>
          <w:rFonts w:ascii="宋体" w:hAnsi="宋体"/>
          <w:color w:val="auto"/>
          <w:sz w:val="24"/>
        </w:rPr>
        <w:t>法定代表人：</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rPr>
      </w:pPr>
      <w:r>
        <w:rPr>
          <w:rStyle w:val="34"/>
          <w:rFonts w:ascii="宋体" w:hAnsi="宋体"/>
          <w:color w:val="auto"/>
          <w:sz w:val="24"/>
        </w:rPr>
        <w:t>受委托人：</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u w:val="single"/>
        </w:rPr>
      </w:pPr>
      <w:r>
        <w:rPr>
          <w:rStyle w:val="34"/>
          <w:rFonts w:ascii="宋体" w:hAnsi="宋体"/>
          <w:color w:val="auto"/>
          <w:sz w:val="24"/>
        </w:rPr>
        <w:t>受委托人身份证号码：</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rPr>
      </w:pPr>
      <w:r>
        <w:rPr>
          <w:rStyle w:val="34"/>
          <w:rFonts w:ascii="宋体" w:hAnsi="宋体"/>
          <w:color w:val="auto"/>
          <w:sz w:val="24"/>
        </w:rPr>
        <w:t>受委托人电话：</w:t>
      </w:r>
      <w:r>
        <w:rPr>
          <w:rStyle w:val="34"/>
          <w:rFonts w:ascii="宋体" w:hAnsi="宋体"/>
          <w:color w:val="auto"/>
          <w:sz w:val="24"/>
          <w:u w:val="single"/>
        </w:rPr>
        <w:t xml:space="preserve">                                         </w:t>
      </w:r>
    </w:p>
    <w:p>
      <w:pPr>
        <w:snapToGrid w:val="0"/>
        <w:spacing w:line="500" w:lineRule="exact"/>
        <w:ind w:firstLine="435"/>
        <w:rPr>
          <w:rStyle w:val="34"/>
          <w:rFonts w:ascii="宋体" w:hAnsi="宋体"/>
          <w:color w:val="auto"/>
          <w:sz w:val="24"/>
        </w:rPr>
      </w:pPr>
      <w:r>
        <w:rPr>
          <w:rStyle w:val="34"/>
          <w:rFonts w:ascii="宋体" w:hAnsi="宋体"/>
          <w:color w:val="auto"/>
          <w:sz w:val="24"/>
        </w:rPr>
        <w:t>现委托上述受委托人在</w:t>
      </w:r>
      <w:r>
        <w:rPr>
          <w:rStyle w:val="34"/>
          <w:rFonts w:ascii="宋体" w:hAnsi="宋体"/>
          <w:color w:val="auto"/>
          <w:sz w:val="24"/>
          <w:u w:val="single"/>
        </w:rPr>
        <w:t xml:space="preserve">  （采购项目名称）              </w:t>
      </w:r>
      <w:r>
        <w:rPr>
          <w:rStyle w:val="34"/>
          <w:rFonts w:ascii="宋体" w:hAnsi="宋体"/>
          <w:color w:val="auto"/>
          <w:sz w:val="24"/>
        </w:rPr>
        <w:t>招标投标活动中，作为委托人的授权委托人。</w:t>
      </w:r>
    </w:p>
    <w:p>
      <w:pPr>
        <w:snapToGrid w:val="0"/>
        <w:spacing w:line="500" w:lineRule="exact"/>
        <w:ind w:firstLine="435"/>
        <w:rPr>
          <w:rStyle w:val="34"/>
          <w:rFonts w:ascii="宋体" w:hAnsi="宋体"/>
          <w:color w:val="auto"/>
          <w:sz w:val="24"/>
          <w:u w:val="single"/>
        </w:rPr>
      </w:pPr>
      <w:r>
        <w:rPr>
          <w:rStyle w:val="34"/>
          <w:rFonts w:ascii="宋体" w:hAnsi="宋体"/>
          <w:color w:val="auto"/>
          <w:sz w:val="24"/>
        </w:rPr>
        <w:t>委托权限：领取招标文件、与招标人（采购代理机构）接洽各项投标事宜，编制、签署、递交、澄清、说明、补正投标文件，参加开标，签订合同和处理有关事宜等特别授权。受委托人联独立行使的委托权限，其法律后果由委托人承担。</w:t>
      </w:r>
    </w:p>
    <w:p>
      <w:pPr>
        <w:snapToGrid w:val="0"/>
        <w:spacing w:line="500" w:lineRule="exact"/>
        <w:ind w:firstLine="480" w:firstLineChars="200"/>
        <w:rPr>
          <w:rStyle w:val="34"/>
          <w:rFonts w:ascii="宋体" w:hAnsi="宋体"/>
          <w:color w:val="auto"/>
          <w:sz w:val="24"/>
        </w:rPr>
      </w:pPr>
      <w:r>
        <w:rPr>
          <w:rStyle w:val="34"/>
          <w:rFonts w:ascii="宋体" w:hAnsi="宋体"/>
          <w:color w:val="auto"/>
          <w:sz w:val="24"/>
        </w:rPr>
        <w:t>授权委托人无转委托权。招标人（采购代理机构）有权拒绝其他任何代表委托人行使的投标事宜，以及超出本授权范围的其他事宜。</w:t>
      </w:r>
    </w:p>
    <w:p>
      <w:pPr>
        <w:snapToGrid w:val="0"/>
        <w:spacing w:line="500" w:lineRule="exact"/>
        <w:ind w:firstLine="435"/>
        <w:rPr>
          <w:rStyle w:val="34"/>
          <w:rFonts w:ascii="宋体" w:hAnsi="宋体"/>
          <w:color w:val="auto"/>
          <w:sz w:val="24"/>
        </w:rPr>
      </w:pPr>
      <w:r>
        <w:rPr>
          <w:rStyle w:val="34"/>
          <w:rFonts w:ascii="宋体" w:hAnsi="宋体"/>
          <w:color w:val="auto"/>
          <w:sz w:val="24"/>
        </w:rPr>
        <w:t>委托期限自</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日起，至</w:t>
      </w:r>
      <w:r>
        <w:rPr>
          <w:rStyle w:val="34"/>
          <w:rFonts w:ascii="宋体" w:hAnsi="宋体"/>
          <w:color w:val="auto"/>
          <w:sz w:val="24"/>
          <w:u w:val="single"/>
        </w:rPr>
        <w:t xml:space="preserve">     </w:t>
      </w:r>
      <w:r>
        <w:rPr>
          <w:rStyle w:val="34"/>
          <w:rFonts w:ascii="宋体" w:hAnsi="宋体"/>
          <w:color w:val="auto"/>
          <w:sz w:val="24"/>
        </w:rPr>
        <w:t>年</w:t>
      </w:r>
      <w:r>
        <w:rPr>
          <w:rStyle w:val="34"/>
          <w:rFonts w:ascii="宋体" w:hAnsi="宋体"/>
          <w:color w:val="auto"/>
          <w:sz w:val="24"/>
          <w:u w:val="single"/>
        </w:rPr>
        <w:t xml:space="preserve">    </w:t>
      </w:r>
      <w:r>
        <w:rPr>
          <w:rStyle w:val="34"/>
          <w:rFonts w:ascii="宋体" w:hAnsi="宋体"/>
          <w:color w:val="auto"/>
          <w:sz w:val="24"/>
        </w:rPr>
        <w:t>月</w:t>
      </w:r>
      <w:r>
        <w:rPr>
          <w:rStyle w:val="34"/>
          <w:rFonts w:ascii="宋体" w:hAnsi="宋体"/>
          <w:color w:val="auto"/>
          <w:sz w:val="24"/>
          <w:u w:val="single"/>
        </w:rPr>
        <w:t xml:space="preserve">   </w:t>
      </w:r>
      <w:r>
        <w:rPr>
          <w:rStyle w:val="34"/>
          <w:rFonts w:ascii="宋体" w:hAnsi="宋体"/>
          <w:color w:val="auto"/>
          <w:sz w:val="24"/>
        </w:rPr>
        <w:t>日止。</w:t>
      </w:r>
    </w:p>
    <w:p>
      <w:pPr>
        <w:snapToGrid w:val="0"/>
        <w:spacing w:line="500" w:lineRule="exact"/>
        <w:ind w:firstLine="3290" w:firstLineChars="1371"/>
        <w:rPr>
          <w:rStyle w:val="34"/>
          <w:rFonts w:ascii="宋体" w:hAnsi="宋体"/>
          <w:color w:val="auto"/>
          <w:sz w:val="24"/>
        </w:rPr>
      </w:pPr>
    </w:p>
    <w:p>
      <w:pPr>
        <w:snapToGrid w:val="0"/>
        <w:spacing w:line="500" w:lineRule="exact"/>
        <w:ind w:firstLine="3290" w:firstLineChars="1371"/>
        <w:rPr>
          <w:rStyle w:val="34"/>
          <w:rFonts w:ascii="宋体" w:hAnsi="宋体"/>
          <w:color w:val="auto"/>
          <w:sz w:val="24"/>
        </w:rPr>
      </w:pPr>
    </w:p>
    <w:p>
      <w:pPr>
        <w:tabs>
          <w:tab w:val="left" w:pos="720"/>
          <w:tab w:val="left" w:pos="900"/>
        </w:tabs>
        <w:snapToGrid w:val="0"/>
        <w:spacing w:line="500" w:lineRule="exact"/>
        <w:ind w:firstLine="480" w:firstLineChars="200"/>
        <w:rPr>
          <w:rStyle w:val="34"/>
          <w:rFonts w:ascii="宋体" w:hAnsi="宋体"/>
          <w:color w:val="auto"/>
          <w:sz w:val="24"/>
          <w:u w:val="single"/>
        </w:rPr>
      </w:pPr>
      <w:r>
        <w:rPr>
          <w:rStyle w:val="34"/>
          <w:rFonts w:ascii="宋体" w:hAnsi="宋体"/>
          <w:color w:val="auto"/>
          <w:sz w:val="24"/>
          <w:u w:val="single"/>
        </w:rPr>
        <w:t xml:space="preserve">    （须附法定代表人、受委托人身份证复印件）                </w:t>
      </w:r>
    </w:p>
    <w:p>
      <w:pPr>
        <w:snapToGrid w:val="0"/>
        <w:spacing w:line="500" w:lineRule="exact"/>
        <w:ind w:firstLine="3290" w:firstLineChars="1371"/>
        <w:rPr>
          <w:rStyle w:val="34"/>
          <w:rFonts w:ascii="宋体" w:hAnsi="宋体"/>
          <w:color w:val="auto"/>
          <w:sz w:val="24"/>
        </w:rPr>
      </w:pPr>
    </w:p>
    <w:p>
      <w:pPr>
        <w:snapToGrid w:val="0"/>
        <w:spacing w:line="500" w:lineRule="exact"/>
        <w:ind w:firstLine="3290" w:firstLineChars="1371"/>
        <w:rPr>
          <w:rStyle w:val="34"/>
          <w:rFonts w:ascii="宋体" w:hAnsi="宋体"/>
          <w:color w:val="auto"/>
          <w:sz w:val="24"/>
        </w:rPr>
      </w:pPr>
      <w:r>
        <w:rPr>
          <w:rStyle w:val="34"/>
          <w:rFonts w:ascii="宋体" w:hAnsi="宋体"/>
          <w:color w:val="auto"/>
          <w:sz w:val="24"/>
        </w:rPr>
        <w:t>委托人：</w:t>
      </w:r>
      <w:r>
        <w:rPr>
          <w:rStyle w:val="34"/>
          <w:rFonts w:ascii="宋体" w:hAnsi="宋体"/>
          <w:color w:val="auto"/>
          <w:sz w:val="24"/>
          <w:u w:val="single"/>
        </w:rPr>
        <w:t xml:space="preserve">                      </w:t>
      </w:r>
      <w:r>
        <w:rPr>
          <w:rStyle w:val="34"/>
          <w:rFonts w:ascii="宋体" w:hAnsi="宋体"/>
          <w:color w:val="auto"/>
          <w:sz w:val="24"/>
        </w:rPr>
        <w:t>（盖法人公章）</w:t>
      </w:r>
    </w:p>
    <w:p>
      <w:pPr>
        <w:snapToGrid w:val="0"/>
        <w:spacing w:line="500" w:lineRule="exact"/>
        <w:ind w:firstLine="3290" w:firstLineChars="1371"/>
        <w:rPr>
          <w:rStyle w:val="34"/>
          <w:rFonts w:ascii="宋体" w:hAnsi="宋体"/>
          <w:color w:val="auto"/>
          <w:sz w:val="24"/>
        </w:rPr>
      </w:pPr>
      <w:r>
        <w:rPr>
          <w:rStyle w:val="34"/>
          <w:rFonts w:ascii="宋体" w:hAnsi="宋体"/>
          <w:color w:val="auto"/>
          <w:sz w:val="24"/>
        </w:rPr>
        <w:t>法定代表人：</w:t>
      </w:r>
      <w:r>
        <w:rPr>
          <w:rStyle w:val="34"/>
          <w:rFonts w:ascii="宋体" w:hAnsi="宋体"/>
          <w:color w:val="auto"/>
          <w:sz w:val="24"/>
          <w:u w:val="single"/>
        </w:rPr>
        <w:t xml:space="preserve">                      </w:t>
      </w:r>
      <w:r>
        <w:rPr>
          <w:rStyle w:val="34"/>
          <w:rFonts w:ascii="宋体" w:hAnsi="宋体"/>
          <w:color w:val="auto"/>
          <w:sz w:val="24"/>
        </w:rPr>
        <w:t>（签字）</w:t>
      </w:r>
    </w:p>
    <w:p>
      <w:pPr>
        <w:snapToGrid w:val="0"/>
        <w:spacing w:line="500" w:lineRule="exact"/>
        <w:ind w:firstLine="3290" w:firstLineChars="1371"/>
        <w:rPr>
          <w:rStyle w:val="34"/>
          <w:rFonts w:ascii="宋体" w:hAnsi="宋体"/>
          <w:color w:val="auto"/>
          <w:sz w:val="24"/>
        </w:rPr>
      </w:pPr>
      <w:r>
        <w:rPr>
          <w:rStyle w:val="34"/>
          <w:rFonts w:ascii="宋体" w:hAnsi="宋体"/>
          <w:color w:val="auto"/>
          <w:sz w:val="24"/>
        </w:rPr>
        <w:t>受委托人：</w:t>
      </w:r>
      <w:r>
        <w:rPr>
          <w:rStyle w:val="34"/>
          <w:rFonts w:ascii="宋体" w:hAnsi="宋体"/>
          <w:color w:val="auto"/>
          <w:sz w:val="24"/>
          <w:u w:val="single"/>
        </w:rPr>
        <w:t xml:space="preserve">                        </w:t>
      </w:r>
      <w:r>
        <w:rPr>
          <w:rStyle w:val="34"/>
          <w:rFonts w:ascii="宋体" w:hAnsi="宋体"/>
          <w:color w:val="auto"/>
          <w:sz w:val="24"/>
        </w:rPr>
        <w:t>（签字）</w:t>
      </w:r>
    </w:p>
    <w:p>
      <w:pPr>
        <w:snapToGrid w:val="0"/>
        <w:spacing w:line="500" w:lineRule="exact"/>
        <w:ind w:firstLine="3290" w:firstLineChars="1371"/>
        <w:rPr>
          <w:rStyle w:val="34"/>
          <w:rFonts w:ascii="宋体" w:hAnsi="宋体"/>
          <w:color w:val="auto"/>
          <w:sz w:val="24"/>
        </w:rPr>
      </w:pPr>
    </w:p>
    <w:p>
      <w:pPr>
        <w:snapToGrid w:val="0"/>
        <w:spacing w:line="500" w:lineRule="exact"/>
        <w:jc w:val="right"/>
        <w:rPr>
          <w:rStyle w:val="34"/>
          <w:rFonts w:ascii="宋体" w:hAnsi="宋体"/>
          <w:color w:val="auto"/>
          <w:szCs w:val="21"/>
        </w:rPr>
      </w:pPr>
      <w:r>
        <w:rPr>
          <w:rStyle w:val="34"/>
          <w:rFonts w:ascii="宋体" w:hAnsi="宋体"/>
          <w:color w:val="auto"/>
          <w:sz w:val="24"/>
        </w:rPr>
        <w:t>年     月     日</w:t>
      </w:r>
    </w:p>
    <w:p>
      <w:pPr>
        <w:pStyle w:val="26"/>
        <w:snapToGrid w:val="0"/>
        <w:spacing w:before="120" w:after="120" w:line="360" w:lineRule="auto"/>
        <w:rPr>
          <w:rStyle w:val="34"/>
          <w:rFonts w:ascii="宋体" w:hAnsi="宋体"/>
          <w:b w:val="0"/>
          <w:color w:val="auto"/>
          <w:kern w:val="2"/>
          <w:sz w:val="24"/>
          <w:szCs w:val="24"/>
        </w:rPr>
      </w:pPr>
      <w:r>
        <w:rPr>
          <w:rStyle w:val="34"/>
          <w:rFonts w:ascii="宋体" w:hAnsi="宋体"/>
          <w:b w:val="0"/>
          <w:color w:val="auto"/>
          <w:kern w:val="2"/>
          <w:sz w:val="24"/>
          <w:szCs w:val="24"/>
        </w:rPr>
        <w:t>3.5投标报价明细表及分析说明（含税）</w:t>
      </w:r>
    </w:p>
    <w:p>
      <w:pPr>
        <w:snapToGrid w:val="0"/>
        <w:spacing w:line="360" w:lineRule="auto"/>
        <w:jc w:val="center"/>
        <w:rPr>
          <w:rStyle w:val="34"/>
          <w:rFonts w:ascii="宋体" w:hAnsi="宋体"/>
          <w:color w:val="auto"/>
          <w:sz w:val="24"/>
        </w:rPr>
      </w:pPr>
    </w:p>
    <w:p>
      <w:pPr>
        <w:snapToGrid w:val="0"/>
        <w:spacing w:line="360" w:lineRule="auto"/>
        <w:jc w:val="center"/>
        <w:rPr>
          <w:rStyle w:val="34"/>
          <w:rFonts w:ascii="宋体" w:hAnsi="宋体"/>
          <w:color w:val="auto"/>
          <w:sz w:val="24"/>
        </w:rPr>
      </w:pPr>
      <w:r>
        <w:rPr>
          <w:rStyle w:val="34"/>
          <w:rFonts w:ascii="宋体" w:hAnsi="宋体"/>
          <w:color w:val="auto"/>
          <w:sz w:val="24"/>
        </w:rPr>
        <w:t>投标报价明细表及分析说明（含税）</w:t>
      </w:r>
    </w:p>
    <w:p>
      <w:pPr>
        <w:pStyle w:val="61"/>
        <w:snapToGrid w:val="0"/>
        <w:spacing w:before="120" w:line="360" w:lineRule="auto"/>
        <w:rPr>
          <w:rStyle w:val="34"/>
          <w:rFonts w:hAnsi="宋体"/>
          <w:color w:val="auto"/>
          <w:sz w:val="24"/>
          <w:szCs w:val="24"/>
        </w:rPr>
      </w:pPr>
      <w:r>
        <w:rPr>
          <w:rStyle w:val="34"/>
          <w:rFonts w:hAnsi="宋体"/>
          <w:color w:val="auto"/>
          <w:sz w:val="24"/>
          <w:szCs w:val="24"/>
        </w:rPr>
        <w:t>格式自拟</w:t>
      </w: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p>
    <w:p>
      <w:pPr>
        <w:pStyle w:val="61"/>
        <w:snapToGrid w:val="0"/>
        <w:spacing w:before="120" w:line="360" w:lineRule="auto"/>
        <w:rPr>
          <w:rStyle w:val="34"/>
          <w:rFonts w:hAnsi="宋体"/>
          <w:color w:val="auto"/>
          <w:sz w:val="24"/>
          <w:szCs w:val="24"/>
        </w:rPr>
      </w:pPr>
      <w:r>
        <w:rPr>
          <w:rStyle w:val="34"/>
          <w:rFonts w:hAnsi="宋体"/>
          <w:color w:val="auto"/>
          <w:sz w:val="24"/>
          <w:szCs w:val="24"/>
        </w:rPr>
        <w:t>投标人名称(盖法人章)：</w:t>
      </w:r>
    </w:p>
    <w:p>
      <w:pPr>
        <w:snapToGrid w:val="0"/>
        <w:spacing w:before="120" w:line="360" w:lineRule="auto"/>
        <w:rPr>
          <w:rStyle w:val="34"/>
          <w:rFonts w:ascii="宋体" w:hAnsi="宋体"/>
          <w:color w:val="auto"/>
          <w:sz w:val="24"/>
        </w:rPr>
      </w:pPr>
      <w:r>
        <w:rPr>
          <w:rStyle w:val="34"/>
          <w:rFonts w:ascii="宋体" w:hAnsi="宋体"/>
          <w:color w:val="auto"/>
          <w:sz w:val="24"/>
        </w:rPr>
        <w:t>法定代表人或其授权的代理人(签字或签章)：</w:t>
      </w:r>
    </w:p>
    <w:p>
      <w:pPr>
        <w:snapToGrid w:val="0"/>
        <w:spacing w:before="120" w:line="360" w:lineRule="auto"/>
        <w:rPr>
          <w:rStyle w:val="34"/>
          <w:rFonts w:ascii="宋体" w:hAnsi="宋体"/>
          <w:color w:val="auto"/>
          <w:sz w:val="24"/>
        </w:rPr>
      </w:pPr>
      <w:r>
        <w:rPr>
          <w:rStyle w:val="34"/>
          <w:rFonts w:ascii="宋体" w:hAnsi="宋体"/>
          <w:color w:val="auto"/>
          <w:sz w:val="24"/>
        </w:rPr>
        <w:t>日期：年月日</w:t>
      </w:r>
    </w:p>
    <w:p>
      <w:pPr>
        <w:snapToGrid w:val="0"/>
        <w:spacing w:line="360" w:lineRule="auto"/>
        <w:jc w:val="left"/>
        <w:rPr>
          <w:rStyle w:val="34"/>
          <w:rFonts w:ascii="宋体" w:hAnsi="宋体"/>
          <w:b/>
          <w:color w:val="auto"/>
          <w:kern w:val="0"/>
          <w:sz w:val="24"/>
        </w:rPr>
      </w:pPr>
    </w:p>
    <w:p>
      <w:pPr>
        <w:pStyle w:val="26"/>
        <w:snapToGrid w:val="0"/>
        <w:spacing w:before="120" w:after="120" w:line="360" w:lineRule="exact"/>
        <w:rPr>
          <w:rStyle w:val="34"/>
          <w:rFonts w:ascii="宋体" w:hAnsi="宋体"/>
          <w:color w:val="auto"/>
          <w:sz w:val="24"/>
        </w:rPr>
      </w:pPr>
      <w:r>
        <w:rPr>
          <w:rStyle w:val="34"/>
          <w:rFonts w:ascii="宋体" w:hAnsi="宋体"/>
          <w:color w:val="auto"/>
          <w:sz w:val="24"/>
        </w:rPr>
        <w:br w:type="page"/>
      </w:r>
    </w:p>
    <w:p>
      <w:pPr>
        <w:pStyle w:val="26"/>
        <w:snapToGrid w:val="0"/>
        <w:spacing w:before="120" w:after="120" w:line="360" w:lineRule="exact"/>
        <w:rPr>
          <w:rStyle w:val="34"/>
          <w:rFonts w:ascii="宋体" w:hAnsi="宋体" w:cs="Times New Roman"/>
          <w:bCs/>
          <w:color w:val="auto"/>
          <w:sz w:val="24"/>
          <w:szCs w:val="24"/>
        </w:rPr>
      </w:pPr>
      <w:r>
        <w:rPr>
          <w:rStyle w:val="34"/>
          <w:rFonts w:ascii="宋体" w:hAnsi="宋体"/>
          <w:color w:val="auto"/>
          <w:sz w:val="24"/>
          <w:szCs w:val="24"/>
        </w:rPr>
        <w:t>3.6</w:t>
      </w:r>
      <w:r>
        <w:rPr>
          <w:rStyle w:val="34"/>
          <w:rFonts w:ascii="宋体" w:hAnsi="宋体" w:cs="Times New Roman"/>
          <w:bCs/>
          <w:color w:val="auto"/>
          <w:sz w:val="24"/>
          <w:szCs w:val="24"/>
          <w:highlight w:val="white"/>
        </w:rPr>
        <w:t>资格及资信证明文件</w:t>
      </w:r>
    </w:p>
    <w:p>
      <w:pPr>
        <w:snapToGrid w:val="0"/>
        <w:spacing w:line="360" w:lineRule="exact"/>
        <w:ind w:firstLine="840" w:firstLineChars="350"/>
        <w:rPr>
          <w:rStyle w:val="34"/>
          <w:rFonts w:ascii="宋体" w:hAnsi="宋体" w:cs="Times New Roman"/>
          <w:bCs/>
          <w:color w:val="auto"/>
          <w:sz w:val="24"/>
          <w:highlight w:val="white"/>
        </w:rPr>
      </w:pPr>
      <w:r>
        <w:rPr>
          <w:rStyle w:val="34"/>
          <w:rFonts w:ascii="宋体" w:hAnsi="宋体" w:cs="Times New Roman"/>
          <w:bCs/>
          <w:color w:val="auto"/>
          <w:sz w:val="24"/>
          <w:highlight w:val="white"/>
        </w:rPr>
        <w:t>资格及资信证明文件应包括而不限于以下内容：</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（1）营业执照；</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2）供应商应具备健全的财务会计制度，已通过《全国企业信用信息公示系统》完成相应年度企业年报的申报，且企业未处于经营异常状态。供应商须提供《全国企业信用信息公示系统》“企业公示信息”（或“个体工商户公示信息”）栏的截图，评标委员会将通过《全国企业信用信息公示系统》对供应商提供的截图信息进行核实；</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（3）投标前一段时间内完税证明和缴纳社保证明；</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（4）按照招标文件第二章1.4.2项要求提供的证明材料（如有时）</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（5）参加本项目准备活动前三年内无重大违法记录声明（原件）</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（6）投标保证金票据证明复印件（如需）</w:t>
      </w:r>
    </w:p>
    <w:p>
      <w:pPr>
        <w:pStyle w:val="29"/>
        <w:snapToGrid w:val="0"/>
        <w:rPr>
          <w:rStyle w:val="34"/>
          <w:rFonts w:ascii="宋体" w:hAnsi="宋体" w:cs="Times New Roman"/>
          <w:bCs/>
          <w:color w:val="auto"/>
          <w:sz w:val="24"/>
          <w:szCs w:val="24"/>
        </w:rPr>
      </w:pPr>
      <w:r>
        <w:rPr>
          <w:rStyle w:val="34"/>
          <w:rFonts w:ascii="宋体" w:hAnsi="宋体" w:cs="Times New Roman"/>
          <w:bCs/>
          <w:color w:val="auto"/>
          <w:sz w:val="24"/>
          <w:szCs w:val="24"/>
        </w:rPr>
        <w:t>（7）投标人认为需要提供的其他资格及资信证明文件</w:t>
      </w:r>
    </w:p>
    <w:p>
      <w:pPr>
        <w:pStyle w:val="29"/>
        <w:snapToGrid w:val="0"/>
        <w:spacing w:line="400" w:lineRule="exact"/>
        <w:rPr>
          <w:rStyle w:val="34"/>
          <w:rFonts w:ascii="宋体" w:hAnsi="宋体" w:cs="Times New Roman"/>
          <w:bCs/>
          <w:color w:val="auto"/>
          <w:sz w:val="24"/>
          <w:szCs w:val="24"/>
        </w:rPr>
      </w:pPr>
    </w:p>
    <w:p>
      <w:pPr>
        <w:pStyle w:val="29"/>
        <w:snapToGrid w:val="0"/>
        <w:rPr>
          <w:rStyle w:val="34"/>
          <w:color w:val="auto"/>
          <w:sz w:val="24"/>
          <w:szCs w:val="24"/>
        </w:rPr>
      </w:pPr>
    </w:p>
    <w:p>
      <w:pPr>
        <w:pStyle w:val="29"/>
        <w:snapToGrid w:val="0"/>
        <w:rPr>
          <w:rStyle w:val="34"/>
          <w:rFonts w:cs="Times New Roman"/>
          <w:b/>
          <w:bCs/>
          <w:color w:val="auto"/>
          <w:sz w:val="24"/>
          <w:szCs w:val="24"/>
        </w:rPr>
      </w:pPr>
    </w:p>
    <w:p>
      <w:pPr>
        <w:pStyle w:val="29"/>
        <w:snapToGrid w:val="0"/>
        <w:rPr>
          <w:rStyle w:val="34"/>
          <w:rFonts w:cs="Times New Roman"/>
          <w:b/>
          <w:bCs/>
          <w:color w:val="auto"/>
          <w:sz w:val="24"/>
          <w:szCs w:val="24"/>
        </w:rPr>
      </w:pPr>
    </w:p>
    <w:p>
      <w:pPr>
        <w:pStyle w:val="29"/>
        <w:snapToGrid w:val="0"/>
        <w:rPr>
          <w:rStyle w:val="34"/>
          <w:rFonts w:cs="Times New Roman"/>
          <w:b/>
          <w:bCs/>
          <w:color w:val="auto"/>
          <w:sz w:val="24"/>
          <w:szCs w:val="24"/>
        </w:rPr>
      </w:pPr>
    </w:p>
    <w:p>
      <w:pPr>
        <w:pStyle w:val="29"/>
        <w:snapToGrid w:val="0"/>
        <w:rPr>
          <w:rStyle w:val="34"/>
          <w:rFonts w:cs="Times New Roman"/>
          <w:bCs/>
          <w:color w:val="auto"/>
          <w:sz w:val="24"/>
          <w:szCs w:val="24"/>
        </w:rPr>
      </w:pPr>
      <w:r>
        <w:rPr>
          <w:rStyle w:val="34"/>
          <w:rFonts w:cs="Times New Roman"/>
          <w:b/>
          <w:bCs/>
          <w:color w:val="auto"/>
          <w:sz w:val="24"/>
          <w:szCs w:val="24"/>
        </w:rPr>
        <w:t>参加政府采购活动前三年内在经营活动中无重大违法记录的书面声明（格式）</w:t>
      </w:r>
    </w:p>
    <w:p>
      <w:pPr>
        <w:pStyle w:val="29"/>
        <w:snapToGrid w:val="0"/>
        <w:rPr>
          <w:rStyle w:val="34"/>
          <w:rFonts w:cs="Times New Roman"/>
          <w:bCs/>
          <w:color w:val="auto"/>
          <w:sz w:val="24"/>
          <w:szCs w:val="24"/>
        </w:rPr>
      </w:pPr>
    </w:p>
    <w:p>
      <w:pPr>
        <w:pStyle w:val="29"/>
        <w:snapToGrid w:val="0"/>
        <w:spacing w:line="360" w:lineRule="auto"/>
        <w:rPr>
          <w:rStyle w:val="34"/>
          <w:color w:val="auto"/>
          <w:sz w:val="24"/>
          <w:szCs w:val="24"/>
        </w:rPr>
      </w:pPr>
      <w:r>
        <w:rPr>
          <w:rStyle w:val="34"/>
          <w:color w:val="auto"/>
          <w:sz w:val="24"/>
          <w:szCs w:val="24"/>
          <w:u w:val="single"/>
        </w:rPr>
        <w:t xml:space="preserve">（招标人名称）   </w:t>
      </w:r>
      <w:r>
        <w:rPr>
          <w:rStyle w:val="34"/>
          <w:color w:val="auto"/>
          <w:sz w:val="24"/>
          <w:szCs w:val="24"/>
        </w:rPr>
        <w:t>：</w:t>
      </w:r>
    </w:p>
    <w:p>
      <w:pPr>
        <w:pStyle w:val="29"/>
        <w:snapToGrid w:val="0"/>
        <w:spacing w:line="360" w:lineRule="auto"/>
        <w:ind w:firstLine="840" w:firstLineChars="350"/>
        <w:rPr>
          <w:rStyle w:val="34"/>
          <w:color w:val="auto"/>
          <w:sz w:val="24"/>
          <w:szCs w:val="24"/>
        </w:rPr>
      </w:pPr>
      <w:r>
        <w:rPr>
          <w:rStyle w:val="34"/>
          <w:color w:val="auto"/>
          <w:sz w:val="24"/>
          <w:szCs w:val="24"/>
        </w:rPr>
        <w:t>我公司参加</w:t>
      </w:r>
      <w:r>
        <w:rPr>
          <w:rStyle w:val="34"/>
          <w:color w:val="auto"/>
          <w:sz w:val="24"/>
          <w:szCs w:val="24"/>
          <w:u w:val="single"/>
        </w:rPr>
        <w:t xml:space="preserve">     （采购项目名称）                  的</w:t>
      </w:r>
      <w:r>
        <w:rPr>
          <w:rStyle w:val="34"/>
          <w:color w:val="auto"/>
          <w:sz w:val="24"/>
          <w:szCs w:val="24"/>
        </w:rPr>
        <w:t>采购项目，在此郑重声明：</w:t>
      </w:r>
    </w:p>
    <w:p>
      <w:pPr>
        <w:pStyle w:val="29"/>
        <w:snapToGrid w:val="0"/>
        <w:spacing w:line="360" w:lineRule="auto"/>
        <w:ind w:firstLine="840" w:firstLineChars="350"/>
        <w:rPr>
          <w:rStyle w:val="34"/>
          <w:color w:val="auto"/>
          <w:sz w:val="24"/>
          <w:szCs w:val="24"/>
        </w:rPr>
      </w:pPr>
      <w:r>
        <w:rPr>
          <w:rStyle w:val="34"/>
          <w:color w:val="auto"/>
          <w:sz w:val="24"/>
          <w:szCs w:val="24"/>
        </w:rPr>
        <w:t>我公司近三年经营活动中未因违法经营受到刑事处罚或者责令停产停业、吊销许可证或者执照、较大数额罚款等行政处罚。</w:t>
      </w:r>
    </w:p>
    <w:p>
      <w:pPr>
        <w:pStyle w:val="29"/>
        <w:snapToGrid w:val="0"/>
        <w:spacing w:line="360" w:lineRule="auto"/>
        <w:rPr>
          <w:rStyle w:val="34"/>
          <w:color w:val="auto"/>
          <w:sz w:val="24"/>
          <w:szCs w:val="24"/>
        </w:rPr>
      </w:pPr>
    </w:p>
    <w:p>
      <w:pPr>
        <w:pStyle w:val="29"/>
        <w:snapToGrid w:val="0"/>
        <w:spacing w:line="360" w:lineRule="auto"/>
        <w:rPr>
          <w:rStyle w:val="34"/>
          <w:color w:val="auto"/>
          <w:sz w:val="24"/>
          <w:szCs w:val="24"/>
        </w:rPr>
      </w:pPr>
    </w:p>
    <w:p>
      <w:pPr>
        <w:pStyle w:val="29"/>
        <w:snapToGrid w:val="0"/>
        <w:spacing w:line="360" w:lineRule="auto"/>
        <w:rPr>
          <w:rStyle w:val="34"/>
          <w:color w:val="auto"/>
          <w:sz w:val="24"/>
          <w:szCs w:val="24"/>
        </w:rPr>
      </w:pPr>
      <w:r>
        <w:rPr>
          <w:rStyle w:val="34"/>
          <w:color w:val="auto"/>
          <w:sz w:val="24"/>
          <w:szCs w:val="24"/>
        </w:rPr>
        <w:t>特此声明！</w:t>
      </w:r>
    </w:p>
    <w:p>
      <w:pPr>
        <w:pStyle w:val="29"/>
        <w:snapToGrid w:val="0"/>
        <w:rPr>
          <w:rStyle w:val="34"/>
          <w:color w:val="auto"/>
          <w:sz w:val="24"/>
          <w:szCs w:val="24"/>
        </w:rPr>
      </w:pPr>
    </w:p>
    <w:p>
      <w:pPr>
        <w:pStyle w:val="29"/>
        <w:snapToGrid w:val="0"/>
        <w:rPr>
          <w:rStyle w:val="34"/>
          <w:color w:val="auto"/>
          <w:sz w:val="24"/>
          <w:szCs w:val="24"/>
        </w:rPr>
      </w:pPr>
    </w:p>
    <w:p>
      <w:pPr>
        <w:pStyle w:val="29"/>
        <w:snapToGrid w:val="0"/>
        <w:rPr>
          <w:rStyle w:val="34"/>
          <w:color w:val="auto"/>
          <w:sz w:val="24"/>
          <w:szCs w:val="24"/>
        </w:rPr>
      </w:pPr>
    </w:p>
    <w:p>
      <w:pPr>
        <w:pStyle w:val="29"/>
        <w:snapToGrid w:val="0"/>
        <w:ind w:firstLine="3600" w:firstLineChars="1500"/>
        <w:rPr>
          <w:rStyle w:val="34"/>
          <w:color w:val="auto"/>
          <w:sz w:val="24"/>
          <w:szCs w:val="24"/>
          <w:u w:val="single"/>
        </w:rPr>
      </w:pPr>
      <w:r>
        <w:rPr>
          <w:rStyle w:val="34"/>
          <w:color w:val="auto"/>
          <w:sz w:val="24"/>
          <w:szCs w:val="24"/>
        </w:rPr>
        <w:t>投标人名称（盖法人公章）：</w:t>
      </w:r>
      <w:r>
        <w:rPr>
          <w:rStyle w:val="34"/>
          <w:color w:val="auto"/>
          <w:sz w:val="24"/>
          <w:szCs w:val="24"/>
          <w:u w:val="single"/>
        </w:rPr>
        <w:t xml:space="preserve">                          </w:t>
      </w:r>
    </w:p>
    <w:p>
      <w:pPr>
        <w:pStyle w:val="29"/>
        <w:snapToGrid w:val="0"/>
        <w:rPr>
          <w:rStyle w:val="34"/>
          <w:color w:val="auto"/>
          <w:sz w:val="24"/>
          <w:szCs w:val="24"/>
        </w:rPr>
      </w:pPr>
      <w:r>
        <w:rPr>
          <w:rStyle w:val="34"/>
          <w:color w:val="auto"/>
          <w:sz w:val="24"/>
          <w:szCs w:val="24"/>
        </w:rPr>
        <w:t> </w:t>
      </w:r>
    </w:p>
    <w:p>
      <w:pPr>
        <w:pStyle w:val="29"/>
        <w:snapToGrid w:val="0"/>
        <w:ind w:firstLine="3600" w:firstLineChars="1500"/>
        <w:rPr>
          <w:rStyle w:val="34"/>
          <w:color w:val="auto"/>
          <w:sz w:val="24"/>
          <w:szCs w:val="24"/>
          <w:u w:val="single"/>
        </w:rPr>
      </w:pPr>
      <w:r>
        <w:rPr>
          <w:rStyle w:val="34"/>
          <w:color w:val="auto"/>
          <w:sz w:val="24"/>
          <w:szCs w:val="24"/>
        </w:rPr>
        <w:t>法定代表人（签章或签字）：</w:t>
      </w:r>
      <w:r>
        <w:rPr>
          <w:rStyle w:val="34"/>
          <w:color w:val="auto"/>
          <w:sz w:val="24"/>
          <w:szCs w:val="24"/>
          <w:u w:val="single"/>
        </w:rPr>
        <w:t xml:space="preserve">                          </w:t>
      </w:r>
    </w:p>
    <w:p>
      <w:pPr>
        <w:pStyle w:val="29"/>
        <w:snapToGrid w:val="0"/>
        <w:rPr>
          <w:rStyle w:val="34"/>
          <w:color w:val="auto"/>
          <w:sz w:val="24"/>
          <w:szCs w:val="24"/>
        </w:rPr>
      </w:pPr>
    </w:p>
    <w:p>
      <w:pPr>
        <w:pStyle w:val="29"/>
        <w:snapToGrid w:val="0"/>
        <w:rPr>
          <w:rStyle w:val="34"/>
          <w:color w:val="auto"/>
          <w:sz w:val="24"/>
          <w:szCs w:val="24"/>
          <w:u w:val="single"/>
        </w:rPr>
      </w:pPr>
      <w:r>
        <w:rPr>
          <w:rStyle w:val="34"/>
          <w:color w:val="auto"/>
          <w:sz w:val="24"/>
          <w:szCs w:val="24"/>
        </w:rPr>
        <w:t xml:space="preserve">                          日期：</w:t>
      </w:r>
      <w:r>
        <w:rPr>
          <w:rStyle w:val="34"/>
          <w:color w:val="auto"/>
          <w:sz w:val="24"/>
          <w:szCs w:val="24"/>
          <w:u w:val="single"/>
        </w:rPr>
        <w:t xml:space="preserve">                                            </w:t>
      </w:r>
    </w:p>
    <w:p>
      <w:pPr>
        <w:snapToGrid w:val="0"/>
        <w:jc w:val="left"/>
        <w:rPr>
          <w:rStyle w:val="34"/>
          <w:rFonts w:ascii="宋体" w:hAnsi="宋体"/>
          <w:color w:val="auto"/>
          <w:sz w:val="24"/>
        </w:rPr>
      </w:pPr>
      <w:r>
        <w:rPr>
          <w:rStyle w:val="34"/>
          <w:rFonts w:ascii="宋体" w:hAnsi="宋体"/>
          <w:color w:val="auto"/>
          <w:sz w:val="24"/>
        </w:rPr>
        <w:br w:type="page"/>
      </w:r>
    </w:p>
    <w:p>
      <w:pPr>
        <w:snapToGrid w:val="0"/>
        <w:jc w:val="left"/>
        <w:rPr>
          <w:rStyle w:val="34"/>
          <w:rFonts w:ascii="宋体" w:hAnsi="宋体"/>
          <w:color w:val="auto"/>
          <w:sz w:val="24"/>
        </w:rPr>
      </w:pPr>
      <w:r>
        <w:rPr>
          <w:rStyle w:val="34"/>
          <w:rFonts w:ascii="宋体" w:hAnsi="宋体"/>
          <w:color w:val="auto"/>
          <w:sz w:val="24"/>
        </w:rPr>
        <w:t>3.7技术标准和要求响应表</w:t>
      </w:r>
    </w:p>
    <w:p>
      <w:pPr>
        <w:snapToGrid w:val="0"/>
        <w:jc w:val="center"/>
        <w:rPr>
          <w:rStyle w:val="34"/>
          <w:rFonts w:ascii="宋体" w:hAnsi="宋体"/>
          <w:color w:val="auto"/>
          <w:sz w:val="28"/>
          <w:szCs w:val="28"/>
        </w:rPr>
      </w:pPr>
      <w:r>
        <w:rPr>
          <w:rStyle w:val="34"/>
          <w:rFonts w:ascii="宋体" w:hAnsi="宋体"/>
          <w:color w:val="auto"/>
          <w:sz w:val="28"/>
          <w:szCs w:val="28"/>
        </w:rPr>
        <w:t>响应表</w:t>
      </w:r>
    </w:p>
    <w:tbl>
      <w:tblPr>
        <w:tblStyle w:val="13"/>
        <w:tblW w:w="10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539"/>
        <w:gridCol w:w="3650"/>
        <w:gridCol w:w="2513"/>
        <w:gridCol w:w="1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color w:val="auto"/>
                <w:sz w:val="24"/>
                <w:lang w:val="zh-CN"/>
              </w:rPr>
              <w:t>序</w:t>
            </w:r>
          </w:p>
          <w:p>
            <w:pPr>
              <w:snapToGrid w:val="0"/>
              <w:jc w:val="center"/>
              <w:rPr>
                <w:rStyle w:val="34"/>
                <w:color w:val="auto"/>
                <w:sz w:val="24"/>
                <w:lang w:val="zh-CN"/>
              </w:rPr>
            </w:pPr>
            <w:r>
              <w:rPr>
                <w:rStyle w:val="34"/>
                <w:color w:val="auto"/>
                <w:sz w:val="24"/>
                <w:lang w:val="zh-CN"/>
              </w:rPr>
              <w:t>号</w:t>
            </w: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color w:val="auto"/>
                <w:sz w:val="24"/>
                <w:lang w:val="zh-CN"/>
              </w:rPr>
              <w:t>项目名称</w:t>
            </w:r>
          </w:p>
        </w:tc>
        <w:tc>
          <w:tcPr>
            <w:tcW w:w="3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rFonts w:ascii="宋体" w:hAnsi="宋体"/>
                <w:color w:val="auto"/>
                <w:sz w:val="24"/>
              </w:rPr>
              <w:t>配 置 要 求</w:t>
            </w: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color w:val="auto"/>
                <w:sz w:val="24"/>
                <w:lang w:val="zh-CN"/>
              </w:rPr>
              <w:t>投标人响应方案</w:t>
            </w:r>
          </w:p>
          <w:p>
            <w:pPr>
              <w:snapToGrid w:val="0"/>
              <w:jc w:val="center"/>
              <w:rPr>
                <w:rStyle w:val="34"/>
                <w:color w:val="auto"/>
                <w:sz w:val="24"/>
                <w:lang w:val="zh-CN"/>
              </w:rPr>
            </w:pPr>
            <w:r>
              <w:rPr>
                <w:rStyle w:val="34"/>
                <w:color w:val="auto"/>
                <w:sz w:val="24"/>
                <w:lang w:val="zh-CN"/>
              </w:rPr>
              <w:t>（包括配置优化与偏离）</w:t>
            </w: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rFonts w:ascii="宋体" w:hAnsi="宋体"/>
                <w:color w:val="auto"/>
                <w:sz w:val="24"/>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4"/>
                <w:color w:val="auto"/>
                <w:sz w:val="24"/>
                <w:lang w:val="zh-CN"/>
              </w:rPr>
            </w:pPr>
            <w:r>
              <w:rPr>
                <w:rStyle w:val="34"/>
                <w:rFonts w:ascii="宋体" w:hAnsi="宋体"/>
                <w:color w:val="auto"/>
                <w:sz w:val="24"/>
              </w:rPr>
              <w:t>详见招标文件第五章技术标准和要求</w:t>
            </w: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539"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36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c>
          <w:tcPr>
            <w:tcW w:w="188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rPr>
                <w:rStyle w:val="34"/>
                <w:color w:val="auto"/>
                <w:sz w:val="24"/>
                <w:lang w:val="zh-CN"/>
              </w:rPr>
            </w:pPr>
          </w:p>
        </w:tc>
      </w:tr>
    </w:tbl>
    <w:p>
      <w:pPr>
        <w:pStyle w:val="26"/>
        <w:snapToGrid w:val="0"/>
        <w:spacing w:before="120" w:after="120" w:line="360" w:lineRule="exact"/>
        <w:rPr>
          <w:rStyle w:val="34"/>
          <w:rFonts w:ascii="宋体" w:hAnsi="宋体"/>
          <w:color w:val="auto"/>
          <w:sz w:val="24"/>
          <w:szCs w:val="24"/>
        </w:rPr>
      </w:pPr>
      <w:r>
        <w:rPr>
          <w:rStyle w:val="34"/>
          <w:rFonts w:ascii="宋体" w:hAnsi="宋体"/>
          <w:color w:val="auto"/>
          <w:sz w:val="24"/>
          <w:szCs w:val="24"/>
        </w:rPr>
        <w:t>3.8售后服务承诺</w:t>
      </w:r>
    </w:p>
    <w:p>
      <w:pPr>
        <w:pStyle w:val="26"/>
        <w:snapToGrid w:val="0"/>
        <w:spacing w:before="120" w:after="120" w:line="360" w:lineRule="exact"/>
        <w:rPr>
          <w:rStyle w:val="34"/>
          <w:rFonts w:ascii="宋体" w:hAnsi="宋体"/>
          <w:color w:val="auto"/>
          <w:sz w:val="24"/>
          <w:szCs w:val="24"/>
        </w:rPr>
      </w:pPr>
      <w:r>
        <w:rPr>
          <w:rStyle w:val="34"/>
          <w:rFonts w:ascii="宋体" w:hAnsi="宋体"/>
          <w:color w:val="auto"/>
          <w:sz w:val="24"/>
          <w:szCs w:val="24"/>
        </w:rPr>
        <w:t>3.9企业综合实力证明材料</w:t>
      </w:r>
    </w:p>
    <w:p>
      <w:pPr>
        <w:pStyle w:val="26"/>
        <w:snapToGrid w:val="0"/>
        <w:spacing w:before="120" w:after="120" w:line="360" w:lineRule="exact"/>
        <w:rPr>
          <w:rStyle w:val="34"/>
          <w:rFonts w:ascii="宋体" w:hAnsi="宋体"/>
          <w:color w:val="auto"/>
          <w:sz w:val="24"/>
          <w:szCs w:val="24"/>
          <w:highlight w:val="white"/>
        </w:rPr>
      </w:pPr>
      <w:r>
        <w:rPr>
          <w:rStyle w:val="34"/>
          <w:rFonts w:ascii="宋体" w:hAnsi="宋体"/>
          <w:color w:val="auto"/>
          <w:sz w:val="24"/>
          <w:szCs w:val="24"/>
        </w:rPr>
        <w:t>3.10</w:t>
      </w:r>
      <w:r>
        <w:rPr>
          <w:rStyle w:val="34"/>
          <w:rFonts w:ascii="宋体" w:hAnsi="宋体"/>
          <w:color w:val="auto"/>
          <w:sz w:val="24"/>
          <w:szCs w:val="24"/>
          <w:highlight w:val="white"/>
        </w:rPr>
        <w:t>根据评标办法应列入投标文件的其他材料</w:t>
      </w:r>
    </w:p>
    <w:p>
      <w:pPr>
        <w:pStyle w:val="26"/>
        <w:snapToGrid w:val="0"/>
        <w:spacing w:before="120" w:after="120" w:line="360" w:lineRule="exact"/>
        <w:rPr>
          <w:rStyle w:val="34"/>
          <w:rFonts w:ascii="宋体" w:hAnsi="宋体"/>
          <w:color w:val="auto"/>
          <w:sz w:val="24"/>
          <w:szCs w:val="24"/>
        </w:rPr>
      </w:pPr>
      <w:r>
        <w:rPr>
          <w:rStyle w:val="34"/>
          <w:rFonts w:ascii="宋体" w:hAnsi="宋体"/>
          <w:color w:val="auto"/>
          <w:sz w:val="24"/>
          <w:szCs w:val="24"/>
          <w:highlight w:val="white"/>
        </w:rPr>
        <w:br w:type="page"/>
      </w:r>
    </w:p>
    <w:p>
      <w:pPr>
        <w:autoSpaceDE w:val="0"/>
        <w:autoSpaceDN w:val="0"/>
        <w:adjustRightInd w:val="0"/>
        <w:jc w:val="both"/>
        <w:rPr>
          <w:rFonts w:ascii="宋体" w:hAnsi="宋体" w:eastAsia="宋体" w:cs="宋体"/>
          <w:b/>
          <w:color w:val="auto"/>
          <w:kern w:val="0"/>
          <w:sz w:val="36"/>
          <w:szCs w:val="28"/>
        </w:rPr>
      </w:pPr>
      <w:r>
        <w:rPr>
          <w:rStyle w:val="34"/>
          <w:b/>
          <w:color w:val="auto"/>
          <w:sz w:val="24"/>
        </w:rPr>
        <w:t xml:space="preserve">附：                        </w:t>
      </w:r>
      <w:r>
        <w:rPr>
          <w:rFonts w:hint="eastAsia" w:ascii="宋体" w:hAnsi="宋体" w:eastAsia="宋体" w:cs="宋体"/>
          <w:b/>
          <w:color w:val="auto"/>
          <w:kern w:val="0"/>
          <w:sz w:val="24"/>
          <w:szCs w:val="24"/>
        </w:rPr>
        <w:t>中小企业声明函（工程、服务）</w:t>
      </w:r>
    </w:p>
    <w:p>
      <w:pPr>
        <w:autoSpaceDE w:val="0"/>
        <w:autoSpaceDN w:val="0"/>
        <w:adjustRightInd w:val="0"/>
        <w:ind w:firstLine="565" w:firstLineChars="202"/>
        <w:jc w:val="left"/>
        <w:rPr>
          <w:rFonts w:hint="eastAsia" w:ascii="宋体" w:hAnsi="宋体" w:eastAsia="宋体" w:cs="仿宋"/>
          <w:color w:val="auto"/>
          <w:kern w:val="0"/>
          <w:sz w:val="28"/>
          <w:szCs w:val="28"/>
        </w:rPr>
      </w:pP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万元1，属于（中型企业、小型企业、微型企业）；</w:t>
      </w: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u w:val="single"/>
        </w:rPr>
        <w:t xml:space="preserve"> （标的名称）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万元，属于（中型企业、小型企业、微型企业）；</w:t>
      </w: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20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pPr>
        <w:autoSpaceDE w:val="0"/>
        <w:autoSpaceDN w:val="0"/>
        <w:adjustRightInd w:val="0"/>
        <w:spacing w:line="500" w:lineRule="exact"/>
        <w:ind w:firstLine="3721" w:firstLineChars="177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企业名称（盖章）：</w:t>
      </w:r>
    </w:p>
    <w:p>
      <w:pPr>
        <w:autoSpaceDE w:val="0"/>
        <w:autoSpaceDN w:val="0"/>
        <w:adjustRightInd w:val="0"/>
        <w:spacing w:line="500" w:lineRule="exact"/>
        <w:ind w:firstLine="3721" w:firstLineChars="177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日期：</w:t>
      </w:r>
    </w:p>
    <w:p>
      <w:pPr>
        <w:spacing w:line="500" w:lineRule="exact"/>
        <w:ind w:firstLine="444" w:firstLineChars="202"/>
        <w:rPr>
          <w:rFonts w:hint="eastAsia" w:ascii="宋体" w:hAnsi="宋体" w:eastAsia="宋体" w:cs="TimesNewRomanPSMT"/>
          <w:color w:val="auto"/>
          <w:kern w:val="0"/>
          <w:sz w:val="22"/>
          <w:szCs w:val="28"/>
        </w:rPr>
      </w:pPr>
    </w:p>
    <w:p>
      <w:pPr>
        <w:spacing w:line="500" w:lineRule="exact"/>
        <w:ind w:firstLine="444" w:firstLineChars="202"/>
        <w:rPr>
          <w:rFonts w:hint="eastAsia" w:ascii="宋体" w:hAnsi="宋体" w:eastAsia="宋体" w:cs="TimesNewRomanPSMT"/>
          <w:color w:val="auto"/>
          <w:kern w:val="0"/>
          <w:sz w:val="22"/>
          <w:szCs w:val="28"/>
        </w:rPr>
      </w:pPr>
    </w:p>
    <w:p>
      <w:pPr>
        <w:rPr>
          <w:color w:val="auto"/>
          <w:sz w:val="21"/>
          <w:szCs w:val="21"/>
        </w:rPr>
      </w:pPr>
      <w:r>
        <w:rPr>
          <w:rFonts w:ascii="宋体" w:hAnsi="宋体" w:eastAsia="宋体" w:cs="TimesNewRomanPSMT"/>
          <w:color w:val="auto"/>
          <w:kern w:val="0"/>
          <w:sz w:val="22"/>
          <w:szCs w:val="28"/>
        </w:rPr>
        <w:t xml:space="preserve">1 </w:t>
      </w:r>
      <w:r>
        <w:rPr>
          <w:rFonts w:hint="eastAsia" w:ascii="宋体" w:hAnsi="宋体" w:eastAsia="宋体" w:cs="TimesNewRomanPSMT"/>
          <w:color w:val="auto"/>
          <w:kern w:val="0"/>
          <w:sz w:val="22"/>
          <w:szCs w:val="28"/>
        </w:rPr>
        <w:t>从业人员、营业收入、资产总额填报上一年度数据，无上一年度数据的新成立企业可不填报。</w:t>
      </w:r>
    </w:p>
    <w:p>
      <w:pPr>
        <w:snapToGrid w:val="0"/>
        <w:rPr>
          <w:rStyle w:val="34"/>
          <w:color w:val="auto"/>
          <w:sz w:val="24"/>
        </w:rPr>
      </w:pPr>
    </w:p>
    <w:sectPr>
      <w:headerReference r:id="rId9" w:type="first"/>
      <w:headerReference r:id="rId8" w:type="default"/>
      <w:footerReference r:id="rId10" w:type="default"/>
      <w:footerReference r:id="rId11" w:type="even"/>
      <w:pgSz w:w="11907" w:h="16840"/>
      <w:pgMar w:top="1440" w:right="1474" w:bottom="1134"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Malgun Gothic Semilight">
    <w:altName w:val="宋体"/>
    <w:panose1 w:val="020B0502040204020203"/>
    <w:charset w:val="86"/>
    <w:family w:val="swiss"/>
    <w:pitch w:val="default"/>
    <w:sig w:usb0="00000000" w:usb1="00000000" w:usb2="00000012" w:usb3="00000000" w:csb0="203E01BD" w:csb1="D7FF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4"/>
      </w:rPr>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p>
    <w:pPr>
      <w:pStyle w:val="8"/>
      <w:rPr>
        <w:rStyle w:val="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4"/>
      </w:rPr>
    </w:pPr>
    <w: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p>
    <w:pPr>
      <w:pStyle w:val="8"/>
      <w:rPr>
        <w:rStyle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4"/>
      </w:rPr>
    </w:pPr>
    <w:r>
      <w:pict>
        <v:shape id="_x0000_s3078" o:spid="_x0000_s307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r>
      <w:rPr>
        <w:rStyle w:val="34"/>
      </w:rPr>
      <w:pict>
        <v:shape id="_x0000_s3073" o:spid="_x0000_s3073"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joinstyle="miter"/>
          <v:imagedata o:title=""/>
          <o:lock v:ext="edit"/>
          <v:textbox inset="0mm,0mm,0mm,0mm">
            <w:txbxContent>
              <w:p>
                <w:pPr>
                  <w:pStyle w:val="8"/>
                  <w:rPr>
                    <w:rStyle w:val="34"/>
                  </w:rPr>
                </w:pPr>
              </w:p>
              <w:p>
                <w:pPr>
                  <w:rPr>
                    <w:rStyle w:val="34"/>
                  </w:rPr>
                </w:pPr>
              </w:p>
            </w:txbxContent>
          </v:textbox>
        </v:shape>
      </w:pict>
    </w:r>
  </w:p>
  <w:p>
    <w:pPr>
      <w:pStyle w:val="8"/>
      <w:rPr>
        <w:rStyle w:val="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4"/>
      </w:rPr>
    </w:pPr>
    <w:r>
      <w:pict>
        <v:shape id="_x0000_s3079" o:spid="_x0000_s307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w:r>
    <w:r>
      <w:rPr>
        <w:rStyle w:val="34"/>
      </w:rPr>
      <w:pict>
        <v:shape id="_x0000_s3074" o:spid="_x0000_s3074"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8"/>
                  <w:jc w:val="center"/>
                  <w:rPr>
                    <w:rStyle w:val="34"/>
                  </w:rPr>
                </w:pPr>
              </w:p>
              <w:p>
                <w:pPr>
                  <w:rPr>
                    <w:rStyle w:val="34"/>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34"/>
      </w:rPr>
    </w:pPr>
    <w:r>
      <w:pict>
        <v:shape id="_x0000_s3080" o:spid="_x0000_s308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w:r>
    <w:r>
      <w:rPr>
        <w:rStyle w:val="34"/>
      </w:rPr>
      <w:pict>
        <v:shape id="_x0000_s3075" o:spid="_x0000_s3075" o:spt="202" type="#_x0000_t202" style="position:absolute;left:0pt;margin-top:0pt;height:144pt;width:144pt;mso-position-horizontal:center;mso-position-horizontal-relative:margin;z-index:251661312;mso-width-relative:page;mso-height-relative:page;" filled="f" stroked="f" coordsize="21600,21600">
          <v:path/>
          <v:fill on="f" focussize="0,0"/>
          <v:stroke on="f" joinstyle="miter"/>
          <v:imagedata o:title=""/>
          <o:lock v:ext="edit"/>
          <v:textbox inset="0mm,0mm,0mm,0mm">
            <w:txbxContent>
              <w:p>
                <w:pPr>
                  <w:pStyle w:val="8"/>
                  <w:rPr>
                    <w:rStyle w:val="87"/>
                  </w:rPr>
                </w:pPr>
              </w:p>
              <w:p>
                <w:pPr>
                  <w:rPr>
                    <w:rStyle w:val="34"/>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center" w:y="1"/>
      <w:rPr>
        <w:rStyle w:val="87"/>
      </w:rPr>
    </w:pPr>
  </w:p>
  <w:p>
    <w:pPr>
      <w:pStyle w:val="8"/>
      <w:rPr>
        <w:rStyle w:val="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Style w:val="3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Style w:val="3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5365"/>
      </w:tabs>
      <w:jc w:val="both"/>
      <w:rPr>
        <w:rStyle w:val="34"/>
      </w:rPr>
    </w:pPr>
    <w:r>
      <w:rPr>
        <w:rStyle w:val="3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523F5"/>
    <w:multiLevelType w:val="singleLevel"/>
    <w:tmpl w:val="9E4523F5"/>
    <w:lvl w:ilvl="0" w:tentative="0">
      <w:start w:val="1"/>
      <w:numFmt w:val="decimal"/>
      <w:suff w:val="nothing"/>
      <w:lvlText w:val="%1、"/>
      <w:lvlJc w:val="left"/>
      <w:pPr>
        <w:widowControl/>
        <w:textAlignment w:val="baseline"/>
      </w:pPr>
    </w:lvl>
  </w:abstractNum>
  <w:abstractNum w:abstractNumId="1">
    <w:nsid w:val="D9AA8D3B"/>
    <w:multiLevelType w:val="singleLevel"/>
    <w:tmpl w:val="D9AA8D3B"/>
    <w:lvl w:ilvl="0" w:tentative="0">
      <w:start w:val="7"/>
      <w:numFmt w:val="chineseCounting"/>
      <w:suff w:val="nothing"/>
      <w:lvlText w:val="%1、"/>
      <w:lvlJc w:val="left"/>
      <w:pPr>
        <w:widowControl/>
        <w:textAlignment w:val="baseline"/>
      </w:pPr>
    </w:lvl>
  </w:abstractNum>
  <w:abstractNum w:abstractNumId="2">
    <w:nsid w:val="F78F9346"/>
    <w:multiLevelType w:val="singleLevel"/>
    <w:tmpl w:val="F78F9346"/>
    <w:lvl w:ilvl="0" w:tentative="0">
      <w:start w:val="1"/>
      <w:numFmt w:val="chineseCounting"/>
      <w:suff w:val="space"/>
      <w:lvlText w:val="第%1条"/>
      <w:lvlJc w:val="left"/>
      <w:rPr>
        <w:rFonts w:hint="eastAsia"/>
      </w:rPr>
    </w:lvl>
  </w:abstractNum>
  <w:abstractNum w:abstractNumId="3">
    <w:nsid w:val="FFFFFF88"/>
    <w:multiLevelType w:val="singleLevel"/>
    <w:tmpl w:val="FFFFFF88"/>
    <w:lvl w:ilvl="0" w:tentative="0">
      <w:start w:val="1"/>
      <w:numFmt w:val="decimal"/>
      <w:pStyle w:val="251"/>
      <w:lvlText w:val="%1."/>
      <w:lvlJc w:val="left"/>
      <w:pPr>
        <w:widowControl/>
        <w:ind w:left="360" w:hanging="360"/>
        <w:textAlignment w:val="baseline"/>
      </w:pPr>
    </w:lvl>
  </w:abstractNum>
  <w:abstractNum w:abstractNumId="4">
    <w:nsid w:val="0A0C2485"/>
    <w:multiLevelType w:val="multilevel"/>
    <w:tmpl w:val="0A0C2485"/>
    <w:lvl w:ilvl="0" w:tentative="0">
      <w:start w:val="1"/>
      <w:numFmt w:val="decimal"/>
      <w:pStyle w:val="291"/>
      <w:lvlText w:val="%1、"/>
      <w:lvlJc w:val="left"/>
      <w:pPr>
        <w:widowControl/>
        <w:ind w:left="375" w:hanging="375"/>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5">
    <w:nsid w:val="1ECC32CE"/>
    <w:multiLevelType w:val="multilevel"/>
    <w:tmpl w:val="1ECC32CE"/>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6">
    <w:nsid w:val="1FDA22CB"/>
    <w:multiLevelType w:val="multilevel"/>
    <w:tmpl w:val="1FDA22CB"/>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7">
    <w:nsid w:val="240D3E5A"/>
    <w:multiLevelType w:val="singleLevel"/>
    <w:tmpl w:val="240D3E5A"/>
    <w:lvl w:ilvl="0" w:tentative="0">
      <w:start w:val="1"/>
      <w:numFmt w:val="decimal"/>
      <w:pStyle w:val="290"/>
      <w:lvlText w:val="%1、"/>
      <w:lvlJc w:val="left"/>
      <w:pPr>
        <w:widowControl/>
        <w:ind w:left="480" w:hanging="480"/>
        <w:textAlignment w:val="baseline"/>
      </w:pPr>
    </w:lvl>
  </w:abstractNum>
  <w:abstractNum w:abstractNumId="8">
    <w:nsid w:val="39F36922"/>
    <w:multiLevelType w:val="multilevel"/>
    <w:tmpl w:val="39F36922"/>
    <w:lvl w:ilvl="0" w:tentative="0">
      <w:start w:val="1"/>
      <w:numFmt w:val="bullet"/>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9">
    <w:nsid w:val="420C153B"/>
    <w:multiLevelType w:val="multilevel"/>
    <w:tmpl w:val="420C153B"/>
    <w:lvl w:ilvl="0" w:tentative="0">
      <w:start w:val="1"/>
      <w:numFmt w:val="decimal"/>
      <w:pStyle w:val="279"/>
      <w:lvlText w:val="%1."/>
      <w:lvlJc w:val="left"/>
      <w:pPr>
        <w:widowControl/>
        <w:ind w:left="709" w:hanging="709"/>
        <w:textAlignment w:val="baseline"/>
      </w:pPr>
    </w:lvl>
    <w:lvl w:ilvl="1" w:tentative="0">
      <w:start w:val="1"/>
      <w:numFmt w:val="decimal"/>
      <w:lvlText w:val="%1.%2"/>
      <w:lvlJc w:val="left"/>
      <w:pPr>
        <w:widowControl/>
        <w:ind w:left="709" w:hanging="709"/>
        <w:textAlignment w:val="baseline"/>
      </w:pPr>
      <w:rPr>
        <w:color w:val="000000"/>
      </w:rPr>
    </w:lvl>
    <w:lvl w:ilvl="2" w:tentative="0">
      <w:start w:val="1"/>
      <w:numFmt w:val="decimal"/>
      <w:lvlText w:val="%1.%2.%3."/>
      <w:lvlJc w:val="left"/>
      <w:pPr>
        <w:widowControl/>
        <w:ind w:left="425" w:hanging="425"/>
        <w:textAlignment w:val="baseline"/>
      </w:p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10">
    <w:nsid w:val="4AA029FE"/>
    <w:multiLevelType w:val="multilevel"/>
    <w:tmpl w:val="4AA029FE"/>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11">
    <w:nsid w:val="592B164C"/>
    <w:multiLevelType w:val="multilevel"/>
    <w:tmpl w:val="592B164C"/>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12">
    <w:nsid w:val="5A6157AA"/>
    <w:multiLevelType w:val="singleLevel"/>
    <w:tmpl w:val="5A6157AA"/>
    <w:lvl w:ilvl="0" w:tentative="0">
      <w:start w:val="1"/>
      <w:numFmt w:val="bullet"/>
      <w:lvlText w:val=""/>
      <w:lvlJc w:val="left"/>
      <w:pPr>
        <w:widowControl/>
        <w:ind w:left="420" w:hanging="420"/>
        <w:textAlignment w:val="baseline"/>
      </w:pPr>
      <w:rPr>
        <w:rFonts w:ascii="Wingdings" w:hAnsi="Wingdings"/>
      </w:rPr>
    </w:lvl>
  </w:abstractNum>
  <w:abstractNum w:abstractNumId="13">
    <w:nsid w:val="5A86200B"/>
    <w:multiLevelType w:val="multilevel"/>
    <w:tmpl w:val="5A86200B"/>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14">
    <w:nsid w:val="5B1B5B88"/>
    <w:multiLevelType w:val="multilevel"/>
    <w:tmpl w:val="5B1B5B88"/>
    <w:lvl w:ilvl="0" w:tentative="0">
      <w:start w:val="1"/>
      <w:numFmt w:val="bullet"/>
      <w:pStyle w:val="298"/>
      <w:lvlText w:val="o"/>
      <w:lvlJc w:val="left"/>
      <w:pPr>
        <w:widowControl/>
        <w:ind w:left="420" w:hanging="420"/>
        <w:textAlignment w:val="baseline"/>
      </w:pPr>
      <w:rPr>
        <w:rFonts w:ascii="Malgun Gothic Semilight" w:hAnsi="Malgun Gothic Semilight" w:eastAsia="Malgun Gothic Semilight"/>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5">
    <w:nsid w:val="5DD873C3"/>
    <w:multiLevelType w:val="multilevel"/>
    <w:tmpl w:val="5DD873C3"/>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16">
    <w:nsid w:val="5E220757"/>
    <w:multiLevelType w:val="multilevel"/>
    <w:tmpl w:val="5E220757"/>
    <w:lvl w:ilvl="0" w:tentative="0">
      <w:start w:val="1"/>
      <w:numFmt w:val="bullet"/>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7">
    <w:nsid w:val="6D1643C8"/>
    <w:multiLevelType w:val="multilevel"/>
    <w:tmpl w:val="6D1643C8"/>
    <w:lvl w:ilvl="0" w:tentative="0">
      <w:start w:val="1"/>
      <w:numFmt w:val="bullet"/>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8">
    <w:nsid w:val="77A95C94"/>
    <w:multiLevelType w:val="multilevel"/>
    <w:tmpl w:val="77A95C94"/>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19">
    <w:nsid w:val="7B890851"/>
    <w:multiLevelType w:val="multilevel"/>
    <w:tmpl w:val="7B890851"/>
    <w:lvl w:ilvl="0" w:tentative="0">
      <w:start w:val="1"/>
      <w:numFmt w:val="bullet"/>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0">
    <w:nsid w:val="7C047813"/>
    <w:multiLevelType w:val="multilevel"/>
    <w:tmpl w:val="7C047813"/>
    <w:lvl w:ilvl="0" w:tentative="0">
      <w:start w:val="1"/>
      <w:numFmt w:val="bullet"/>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num w:numId="1">
    <w:abstractNumId w:val="3"/>
  </w:num>
  <w:num w:numId="2">
    <w:abstractNumId w:val="9"/>
  </w:num>
  <w:num w:numId="3">
    <w:abstractNumId w:val="7"/>
  </w:num>
  <w:num w:numId="4">
    <w:abstractNumId w:val="4"/>
  </w:num>
  <w:num w:numId="5">
    <w:abstractNumId w:val="14"/>
  </w:num>
  <w:num w:numId="6">
    <w:abstractNumId w:val="1"/>
  </w:num>
  <w:num w:numId="7">
    <w:abstractNumId w:val="2"/>
  </w:num>
  <w:num w:numId="8">
    <w:abstractNumId w:val="10"/>
  </w:num>
  <w:num w:numId="9">
    <w:abstractNumId w:val="18"/>
  </w:num>
  <w:num w:numId="10">
    <w:abstractNumId w:val="19"/>
  </w:num>
  <w:num w:numId="11">
    <w:abstractNumId w:val="11"/>
  </w:num>
  <w:num w:numId="12">
    <w:abstractNumId w:val="12"/>
  </w:num>
  <w:num w:numId="13">
    <w:abstractNumId w:val="8"/>
  </w:num>
  <w:num w:numId="14">
    <w:abstractNumId w:val="17"/>
  </w:num>
  <w:num w:numId="15">
    <w:abstractNumId w:val="16"/>
  </w:num>
  <w:num w:numId="16">
    <w:abstractNumId w:val="20"/>
  </w:num>
  <w:num w:numId="17">
    <w:abstractNumId w:val="6"/>
  </w:num>
  <w:num w:numId="18">
    <w:abstractNumId w:val="5"/>
  </w:num>
  <w:num w:numId="19">
    <w:abstractNumId w:val="15"/>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27664"/>
    <w:rsid w:val="0007434B"/>
    <w:rsid w:val="000A3B4D"/>
    <w:rsid w:val="000B3C17"/>
    <w:rsid w:val="000C2C72"/>
    <w:rsid w:val="000F629B"/>
    <w:rsid w:val="000F7BF1"/>
    <w:rsid w:val="00105868"/>
    <w:rsid w:val="001568B6"/>
    <w:rsid w:val="001A1788"/>
    <w:rsid w:val="001A77BD"/>
    <w:rsid w:val="001C0A36"/>
    <w:rsid w:val="001C21FE"/>
    <w:rsid w:val="001D3389"/>
    <w:rsid w:val="001E111E"/>
    <w:rsid w:val="001F0AF5"/>
    <w:rsid w:val="002133C8"/>
    <w:rsid w:val="00216AFB"/>
    <w:rsid w:val="00223043"/>
    <w:rsid w:val="002377C7"/>
    <w:rsid w:val="00256529"/>
    <w:rsid w:val="002A1DDD"/>
    <w:rsid w:val="002A2641"/>
    <w:rsid w:val="002C0E75"/>
    <w:rsid w:val="002C5EBB"/>
    <w:rsid w:val="002E7815"/>
    <w:rsid w:val="00311B5D"/>
    <w:rsid w:val="00321697"/>
    <w:rsid w:val="00333CDB"/>
    <w:rsid w:val="003728F2"/>
    <w:rsid w:val="003A7792"/>
    <w:rsid w:val="003D287A"/>
    <w:rsid w:val="003F274A"/>
    <w:rsid w:val="003F6BC6"/>
    <w:rsid w:val="003F76B0"/>
    <w:rsid w:val="00400929"/>
    <w:rsid w:val="00400F78"/>
    <w:rsid w:val="00450EB4"/>
    <w:rsid w:val="00456B86"/>
    <w:rsid w:val="00464E27"/>
    <w:rsid w:val="004725E7"/>
    <w:rsid w:val="00495164"/>
    <w:rsid w:val="004C0980"/>
    <w:rsid w:val="004D3C8B"/>
    <w:rsid w:val="00513CC3"/>
    <w:rsid w:val="00514086"/>
    <w:rsid w:val="00514B54"/>
    <w:rsid w:val="00523206"/>
    <w:rsid w:val="00527664"/>
    <w:rsid w:val="005636CD"/>
    <w:rsid w:val="00586791"/>
    <w:rsid w:val="005913AA"/>
    <w:rsid w:val="005A6513"/>
    <w:rsid w:val="005B45AB"/>
    <w:rsid w:val="005B7237"/>
    <w:rsid w:val="005B7386"/>
    <w:rsid w:val="005B7904"/>
    <w:rsid w:val="005C2D72"/>
    <w:rsid w:val="005D7C07"/>
    <w:rsid w:val="005E5681"/>
    <w:rsid w:val="005F1904"/>
    <w:rsid w:val="00640569"/>
    <w:rsid w:val="0065321C"/>
    <w:rsid w:val="00654EBD"/>
    <w:rsid w:val="00662D98"/>
    <w:rsid w:val="00680E6F"/>
    <w:rsid w:val="00694DB0"/>
    <w:rsid w:val="006B1811"/>
    <w:rsid w:val="006B4109"/>
    <w:rsid w:val="006F45FF"/>
    <w:rsid w:val="007107B2"/>
    <w:rsid w:val="00756D53"/>
    <w:rsid w:val="00782D70"/>
    <w:rsid w:val="00783A54"/>
    <w:rsid w:val="007A2A23"/>
    <w:rsid w:val="007B4FD1"/>
    <w:rsid w:val="007B5121"/>
    <w:rsid w:val="007F17C7"/>
    <w:rsid w:val="0080602B"/>
    <w:rsid w:val="008218B8"/>
    <w:rsid w:val="00824FB6"/>
    <w:rsid w:val="00830D7A"/>
    <w:rsid w:val="0083670F"/>
    <w:rsid w:val="00842D70"/>
    <w:rsid w:val="008576ED"/>
    <w:rsid w:val="00872141"/>
    <w:rsid w:val="00874855"/>
    <w:rsid w:val="00880945"/>
    <w:rsid w:val="00897D86"/>
    <w:rsid w:val="008B32A7"/>
    <w:rsid w:val="008D0129"/>
    <w:rsid w:val="008F3F6B"/>
    <w:rsid w:val="0090027D"/>
    <w:rsid w:val="00906CB0"/>
    <w:rsid w:val="00921FEC"/>
    <w:rsid w:val="00942D5E"/>
    <w:rsid w:val="00990A34"/>
    <w:rsid w:val="00A47B6C"/>
    <w:rsid w:val="00A51B0F"/>
    <w:rsid w:val="00A54C8E"/>
    <w:rsid w:val="00A61680"/>
    <w:rsid w:val="00A61FD1"/>
    <w:rsid w:val="00A833DA"/>
    <w:rsid w:val="00AA783D"/>
    <w:rsid w:val="00AA79AF"/>
    <w:rsid w:val="00AD04B2"/>
    <w:rsid w:val="00AF118F"/>
    <w:rsid w:val="00B12F88"/>
    <w:rsid w:val="00B26E02"/>
    <w:rsid w:val="00B26E6E"/>
    <w:rsid w:val="00B50C1F"/>
    <w:rsid w:val="00B530A5"/>
    <w:rsid w:val="00B618C5"/>
    <w:rsid w:val="00B70F49"/>
    <w:rsid w:val="00B80EF0"/>
    <w:rsid w:val="00B83DEC"/>
    <w:rsid w:val="00BB164D"/>
    <w:rsid w:val="00BB1E26"/>
    <w:rsid w:val="00BB5535"/>
    <w:rsid w:val="00BD1B4D"/>
    <w:rsid w:val="00BD4ACE"/>
    <w:rsid w:val="00BD64B1"/>
    <w:rsid w:val="00BE044A"/>
    <w:rsid w:val="00C23952"/>
    <w:rsid w:val="00C25BF9"/>
    <w:rsid w:val="00C35BB7"/>
    <w:rsid w:val="00C669E8"/>
    <w:rsid w:val="00C71805"/>
    <w:rsid w:val="00C91BF5"/>
    <w:rsid w:val="00CA2797"/>
    <w:rsid w:val="00CD0709"/>
    <w:rsid w:val="00D0486F"/>
    <w:rsid w:val="00D11542"/>
    <w:rsid w:val="00D27919"/>
    <w:rsid w:val="00D35A65"/>
    <w:rsid w:val="00D37444"/>
    <w:rsid w:val="00D57243"/>
    <w:rsid w:val="00D85866"/>
    <w:rsid w:val="00DA1B4E"/>
    <w:rsid w:val="00DB70D7"/>
    <w:rsid w:val="00E16342"/>
    <w:rsid w:val="00E27B45"/>
    <w:rsid w:val="00E32F3E"/>
    <w:rsid w:val="00E37500"/>
    <w:rsid w:val="00ED4C96"/>
    <w:rsid w:val="00ED62AB"/>
    <w:rsid w:val="00F0064D"/>
    <w:rsid w:val="00F32C6E"/>
    <w:rsid w:val="00F759FC"/>
    <w:rsid w:val="00F82FE5"/>
    <w:rsid w:val="00FC77CF"/>
    <w:rsid w:val="00FE7366"/>
    <w:rsid w:val="00FF0E03"/>
    <w:rsid w:val="00FF0F26"/>
    <w:rsid w:val="033A5930"/>
    <w:rsid w:val="043D0F15"/>
    <w:rsid w:val="08BE22DF"/>
    <w:rsid w:val="0A7A472B"/>
    <w:rsid w:val="0D567AA9"/>
    <w:rsid w:val="0DEF6D0A"/>
    <w:rsid w:val="0E9F10EF"/>
    <w:rsid w:val="10365B6D"/>
    <w:rsid w:val="10CB0F83"/>
    <w:rsid w:val="120E509A"/>
    <w:rsid w:val="1381353E"/>
    <w:rsid w:val="14F15ED6"/>
    <w:rsid w:val="15627332"/>
    <w:rsid w:val="1A1323A6"/>
    <w:rsid w:val="1A1C4CD1"/>
    <w:rsid w:val="1B002867"/>
    <w:rsid w:val="1E4562CA"/>
    <w:rsid w:val="22086F98"/>
    <w:rsid w:val="23901331"/>
    <w:rsid w:val="26475862"/>
    <w:rsid w:val="26BE3A8B"/>
    <w:rsid w:val="2A2B337D"/>
    <w:rsid w:val="2BB9538C"/>
    <w:rsid w:val="2C57157B"/>
    <w:rsid w:val="2D652737"/>
    <w:rsid w:val="31DE3BF8"/>
    <w:rsid w:val="35010FAB"/>
    <w:rsid w:val="389A06DF"/>
    <w:rsid w:val="3F095CF3"/>
    <w:rsid w:val="414B7ABC"/>
    <w:rsid w:val="43077CA5"/>
    <w:rsid w:val="44117C3C"/>
    <w:rsid w:val="44E85DEA"/>
    <w:rsid w:val="45913135"/>
    <w:rsid w:val="459C2D84"/>
    <w:rsid w:val="463B655F"/>
    <w:rsid w:val="486F61C1"/>
    <w:rsid w:val="4ADB30BA"/>
    <w:rsid w:val="4EF10E84"/>
    <w:rsid w:val="50445E26"/>
    <w:rsid w:val="50B615F0"/>
    <w:rsid w:val="50F01E46"/>
    <w:rsid w:val="52A27C98"/>
    <w:rsid w:val="53852E23"/>
    <w:rsid w:val="564345D9"/>
    <w:rsid w:val="57D663EF"/>
    <w:rsid w:val="5AA87C06"/>
    <w:rsid w:val="5BC626BF"/>
    <w:rsid w:val="5BD94AF9"/>
    <w:rsid w:val="5CCE511D"/>
    <w:rsid w:val="5D674BAA"/>
    <w:rsid w:val="62123FB3"/>
    <w:rsid w:val="673B6C4A"/>
    <w:rsid w:val="69D158ED"/>
    <w:rsid w:val="6BE73625"/>
    <w:rsid w:val="6F981C3F"/>
    <w:rsid w:val="6FC56DDB"/>
    <w:rsid w:val="72641EE3"/>
    <w:rsid w:val="72D771B2"/>
    <w:rsid w:val="73015A0B"/>
    <w:rsid w:val="773572D6"/>
    <w:rsid w:val="77715DA5"/>
    <w:rsid w:val="7FF7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ocked="1"/>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ocked="1"/>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ocked="1"/>
    <w:lsdException w:qFormat="1" w:unhideWhenUsed="0" w:uiPriority="0" w:semiHidden="0" w:name="FollowedHyperlink" w:locked="1"/>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hAnsi="Arial" w:eastAsia="仿宋_GB2312"/>
      <w:sz w:val="30"/>
      <w:szCs w:val="30"/>
    </w:rPr>
  </w:style>
  <w:style w:type="paragraph" w:styleId="3">
    <w:name w:val="Body Text"/>
    <w:basedOn w:val="1"/>
    <w:next w:val="4"/>
    <w:unhideWhenUsed/>
    <w:qFormat/>
    <w:uiPriority w:val="0"/>
    <w:pPr>
      <w:spacing w:after="120"/>
    </w:pPr>
  </w:style>
  <w:style w:type="paragraph" w:styleId="4">
    <w:name w:val="toc 2"/>
    <w:basedOn w:val="1"/>
    <w:next w:val="1"/>
    <w:qFormat/>
    <w:uiPriority w:val="39"/>
    <w:pPr>
      <w:ind w:left="210"/>
      <w:jc w:val="left"/>
    </w:pPr>
    <w:rPr>
      <w:rFonts w:ascii="Times New Roman" w:hAnsi="Times New Roman"/>
      <w:smallCaps/>
      <w:sz w:val="20"/>
      <w:szCs w:val="20"/>
    </w:rPr>
  </w:style>
  <w:style w:type="paragraph" w:styleId="5">
    <w:name w:val="caption"/>
    <w:basedOn w:val="1"/>
    <w:next w:val="1"/>
    <w:qFormat/>
    <w:uiPriority w:val="0"/>
    <w:pPr>
      <w:spacing w:line="360" w:lineRule="auto"/>
      <w:jc w:val="center"/>
    </w:pPr>
    <w:rPr>
      <w:rFonts w:ascii="Arial Unicode MS" w:hAnsi="Arial Unicode MS"/>
      <w:szCs w:val="21"/>
    </w:rPr>
  </w:style>
  <w:style w:type="paragraph" w:styleId="6">
    <w:name w:val="annotation text"/>
    <w:basedOn w:val="1"/>
    <w:semiHidden/>
    <w:unhideWhenUsed/>
    <w:qFormat/>
    <w:uiPriority w:val="0"/>
    <w:pPr>
      <w:jc w:val="left"/>
    </w:pPr>
  </w:style>
  <w:style w:type="paragraph" w:styleId="7">
    <w:name w:val="Date"/>
    <w:basedOn w:val="1"/>
    <w:next w:val="1"/>
    <w:link w:val="64"/>
    <w:qFormat/>
    <w:locked/>
    <w:uiPriority w:val="0"/>
    <w:rPr>
      <w:sz w:val="24"/>
    </w:rPr>
  </w:style>
  <w:style w:type="paragraph" w:styleId="8">
    <w:name w:val="footer"/>
    <w:basedOn w:val="1"/>
    <w:link w:val="69"/>
    <w:qFormat/>
    <w:uiPriority w:val="0"/>
    <w:pPr>
      <w:tabs>
        <w:tab w:val="center" w:pos="4153"/>
        <w:tab w:val="right" w:pos="8306"/>
      </w:tabs>
      <w:snapToGrid w:val="0"/>
      <w:jc w:val="left"/>
    </w:pPr>
    <w:rPr>
      <w:rFonts w:ascii="Times New Roman" w:hAnsi="Times New Roman"/>
      <w:kern w:val="0"/>
      <w:sz w:val="18"/>
      <w:szCs w:val="20"/>
    </w:rPr>
  </w:style>
  <w:style w:type="paragraph" w:styleId="9">
    <w:name w:val="header"/>
    <w:basedOn w:val="1"/>
    <w:link w:val="70"/>
    <w:qFormat/>
    <w:uiPriority w:val="0"/>
    <w:pPr>
      <w:pBdr>
        <w:bottom w:val="single" w:color="000000" w:sz="6" w:space="1"/>
      </w:pBdr>
      <w:tabs>
        <w:tab w:val="center" w:pos="4153"/>
        <w:tab w:val="right" w:pos="8306"/>
      </w:tabs>
      <w:snapToGrid w:val="0"/>
      <w:jc w:val="center"/>
    </w:pPr>
    <w:rPr>
      <w:rFonts w:ascii="Times New Roman" w:hAnsi="Times New Roman"/>
      <w:kern w:val="0"/>
      <w:sz w:val="18"/>
      <w:szCs w:val="20"/>
    </w:rPr>
  </w:style>
  <w:style w:type="paragraph" w:styleId="10">
    <w:name w:val="Signature"/>
    <w:basedOn w:val="1"/>
    <w:link w:val="239"/>
    <w:qFormat/>
    <w:locked/>
    <w:uiPriority w:val="0"/>
    <w:pPr>
      <w:spacing w:after="600" w:line="312" w:lineRule="atLeast"/>
      <w:jc w:val="center"/>
    </w:pPr>
    <w:rPr>
      <w:rFonts w:ascii="Times New Roman" w:hAnsi="Times New Roman" w:eastAsia="仿宋_GB2312"/>
      <w:kern w:val="0"/>
      <w:sz w:val="24"/>
      <w:szCs w:val="20"/>
    </w:rPr>
  </w:style>
  <w:style w:type="paragraph" w:styleId="11">
    <w:name w:val="Subtitle"/>
    <w:basedOn w:val="1"/>
    <w:next w:val="1"/>
    <w:link w:val="73"/>
    <w:qFormat/>
    <w:uiPriority w:val="0"/>
    <w:pPr>
      <w:spacing w:line="360" w:lineRule="auto"/>
      <w:ind w:firstLine="200" w:firstLineChars="200"/>
      <w:jc w:val="left"/>
    </w:pPr>
    <w:rPr>
      <w:rFonts w:ascii="Cambria" w:hAnsi="Cambria" w:cs="Times New Roman"/>
      <w:b/>
      <w:bCs/>
      <w:kern w:val="28"/>
      <w:sz w:val="24"/>
      <w:szCs w:val="32"/>
    </w:rPr>
  </w:style>
  <w:style w:type="paragraph" w:styleId="12">
    <w:name w:val="Title"/>
    <w:basedOn w:val="1"/>
    <w:next w:val="1"/>
    <w:link w:val="81"/>
    <w:qFormat/>
    <w:uiPriority w:val="0"/>
    <w:pPr>
      <w:spacing w:before="240" w:after="60"/>
      <w:jc w:val="center"/>
    </w:pPr>
    <w:rPr>
      <w:rFonts w:ascii="Calibri Light" w:hAnsi="Calibri Light" w:cs="Times New Roman"/>
      <w:b/>
      <w:bCs/>
      <w:sz w:val="32"/>
      <w:szCs w:val="32"/>
    </w:rPr>
  </w:style>
  <w:style w:type="character" w:styleId="15">
    <w:name w:val="Strong"/>
    <w:qFormat/>
    <w:uiPriority w:val="0"/>
    <w:rPr>
      <w:rFonts w:cs="Times New Roman"/>
      <w:b/>
      <w:bCs/>
    </w:rPr>
  </w:style>
  <w:style w:type="character" w:styleId="16">
    <w:name w:val="page number"/>
    <w:qFormat/>
    <w:uiPriority w:val="0"/>
    <w:rPr>
      <w:rFonts w:cs="Times New Roman"/>
    </w:rPr>
  </w:style>
  <w:style w:type="character" w:styleId="17">
    <w:name w:val="FollowedHyperlink"/>
    <w:qFormat/>
    <w:locked/>
    <w:uiPriority w:val="0"/>
    <w:rPr>
      <w:color w:val="333333"/>
    </w:rPr>
  </w:style>
  <w:style w:type="character" w:styleId="18">
    <w:name w:val="Emphasis"/>
    <w:qFormat/>
    <w:uiPriority w:val="0"/>
    <w:rPr>
      <w:color w:val="CC0000"/>
    </w:rPr>
  </w:style>
  <w:style w:type="character" w:styleId="19">
    <w:name w:val="Hyperlink"/>
    <w:qFormat/>
    <w:locked/>
    <w:uiPriority w:val="0"/>
    <w:rPr>
      <w:color w:val="336699"/>
      <w:sz w:val="18"/>
      <w:szCs w:val="18"/>
    </w:rPr>
  </w:style>
  <w:style w:type="character" w:styleId="20">
    <w:name w:val="annotation reference"/>
    <w:basedOn w:val="14"/>
    <w:semiHidden/>
    <w:unhideWhenUsed/>
    <w:qFormat/>
    <w:uiPriority w:val="0"/>
    <w:rPr>
      <w:sz w:val="21"/>
      <w:szCs w:val="21"/>
    </w:rPr>
  </w:style>
  <w:style w:type="paragraph" w:customStyle="1" w:styleId="21">
    <w:name w:val="BodyText1I"/>
    <w:basedOn w:val="22"/>
    <w:link w:val="37"/>
    <w:qFormat/>
    <w:locked/>
    <w:uiPriority w:val="0"/>
    <w:pPr>
      <w:spacing w:line="360" w:lineRule="auto"/>
      <w:ind w:firstLine="200" w:firstLineChars="200"/>
    </w:pPr>
    <w:rPr>
      <w:rFonts w:ascii="仿宋_GB2312" w:hAnsi="Arial" w:eastAsia="仿宋_GB2312"/>
      <w:sz w:val="30"/>
      <w:szCs w:val="30"/>
    </w:rPr>
  </w:style>
  <w:style w:type="paragraph" w:customStyle="1" w:styleId="22">
    <w:name w:val="BodyText"/>
    <w:basedOn w:val="1"/>
    <w:next w:val="23"/>
    <w:link w:val="36"/>
    <w:qFormat/>
    <w:locked/>
    <w:uiPriority w:val="0"/>
    <w:pPr>
      <w:spacing w:after="120"/>
    </w:pPr>
  </w:style>
  <w:style w:type="paragraph" w:customStyle="1" w:styleId="23">
    <w:name w:val="TOC2"/>
    <w:basedOn w:val="1"/>
    <w:next w:val="1"/>
    <w:qFormat/>
    <w:uiPriority w:val="0"/>
    <w:pPr>
      <w:ind w:left="210"/>
      <w:jc w:val="left"/>
    </w:pPr>
    <w:rPr>
      <w:rFonts w:ascii="Times New Roman" w:hAnsi="Times New Roman"/>
      <w:smallCaps/>
      <w:sz w:val="20"/>
      <w:szCs w:val="20"/>
    </w:rPr>
  </w:style>
  <w:style w:type="paragraph" w:customStyle="1" w:styleId="24">
    <w:name w:val="Heading1"/>
    <w:basedOn w:val="1"/>
    <w:next w:val="1"/>
    <w:link w:val="38"/>
    <w:qFormat/>
    <w:uiPriority w:val="0"/>
    <w:pPr>
      <w:keepNext/>
      <w:keepLines/>
      <w:spacing w:before="340" w:after="330" w:line="578" w:lineRule="auto"/>
    </w:pPr>
    <w:rPr>
      <w:rFonts w:ascii="Times New Roman" w:hAnsi="Times New Roman"/>
      <w:b/>
      <w:kern w:val="44"/>
      <w:sz w:val="44"/>
      <w:szCs w:val="20"/>
    </w:rPr>
  </w:style>
  <w:style w:type="paragraph" w:customStyle="1" w:styleId="25">
    <w:name w:val="Heading2"/>
    <w:basedOn w:val="1"/>
    <w:next w:val="1"/>
    <w:link w:val="39"/>
    <w:qFormat/>
    <w:uiPriority w:val="0"/>
    <w:pPr>
      <w:keepNext/>
      <w:keepLines/>
      <w:spacing w:before="260" w:after="260" w:line="415" w:lineRule="auto"/>
      <w:jc w:val="left"/>
    </w:pPr>
    <w:rPr>
      <w:rFonts w:ascii="Cambria" w:hAnsi="Cambria"/>
      <w:b/>
      <w:kern w:val="0"/>
      <w:sz w:val="32"/>
      <w:szCs w:val="20"/>
    </w:rPr>
  </w:style>
  <w:style w:type="paragraph" w:customStyle="1" w:styleId="26">
    <w:name w:val="Heading3"/>
    <w:basedOn w:val="1"/>
    <w:next w:val="1"/>
    <w:link w:val="40"/>
    <w:qFormat/>
    <w:uiPriority w:val="0"/>
    <w:pPr>
      <w:keepNext/>
      <w:keepLines/>
      <w:spacing w:before="260" w:after="260" w:line="415" w:lineRule="auto"/>
    </w:pPr>
    <w:rPr>
      <w:rFonts w:ascii="Times New Roman" w:hAnsi="Times New Roman"/>
      <w:b/>
      <w:kern w:val="0"/>
      <w:sz w:val="32"/>
      <w:szCs w:val="20"/>
    </w:rPr>
  </w:style>
  <w:style w:type="paragraph" w:customStyle="1" w:styleId="27">
    <w:name w:val="Heading4"/>
    <w:basedOn w:val="1"/>
    <w:next w:val="1"/>
    <w:link w:val="41"/>
    <w:qFormat/>
    <w:uiPriority w:val="0"/>
    <w:pPr>
      <w:keepNext/>
      <w:keepLines/>
      <w:spacing w:before="280" w:after="290" w:line="374" w:lineRule="auto"/>
    </w:pPr>
    <w:rPr>
      <w:rFonts w:ascii="Arial" w:hAnsi="Arial" w:eastAsia="黑体"/>
      <w:sz w:val="28"/>
      <w:szCs w:val="28"/>
    </w:rPr>
  </w:style>
  <w:style w:type="paragraph" w:customStyle="1" w:styleId="28">
    <w:name w:val="Heading5"/>
    <w:basedOn w:val="1"/>
    <w:next w:val="29"/>
    <w:link w:val="42"/>
    <w:qFormat/>
    <w:uiPriority w:val="0"/>
    <w:pPr>
      <w:keepNext/>
    </w:pPr>
    <w:rPr>
      <w:rFonts w:ascii="宋体" w:hAnsi="Times New Roman"/>
      <w:color w:val="000000"/>
      <w:kern w:val="0"/>
      <w:sz w:val="28"/>
      <w:szCs w:val="28"/>
    </w:rPr>
  </w:style>
  <w:style w:type="paragraph" w:customStyle="1" w:styleId="29">
    <w:name w:val="NormalIndent"/>
    <w:basedOn w:val="1"/>
    <w:link w:val="220"/>
    <w:qFormat/>
    <w:uiPriority w:val="0"/>
    <w:pPr>
      <w:ind w:firstLine="420"/>
    </w:pPr>
    <w:rPr>
      <w:szCs w:val="21"/>
    </w:rPr>
  </w:style>
  <w:style w:type="paragraph" w:customStyle="1" w:styleId="30">
    <w:name w:val="Heading6"/>
    <w:basedOn w:val="1"/>
    <w:next w:val="1"/>
    <w:link w:val="43"/>
    <w:qFormat/>
    <w:uiPriority w:val="0"/>
    <w:pPr>
      <w:keepNext/>
      <w:keepLines/>
      <w:spacing w:before="240" w:after="64" w:line="319" w:lineRule="auto"/>
    </w:pPr>
    <w:rPr>
      <w:rFonts w:ascii="Arial" w:hAnsi="Arial" w:eastAsia="黑体" w:cs="Times New Roman"/>
      <w:b/>
      <w:bCs/>
      <w:sz w:val="24"/>
    </w:rPr>
  </w:style>
  <w:style w:type="paragraph" w:customStyle="1" w:styleId="31">
    <w:name w:val="Heading7"/>
    <w:basedOn w:val="1"/>
    <w:next w:val="1"/>
    <w:link w:val="44"/>
    <w:qFormat/>
    <w:uiPriority w:val="0"/>
    <w:pPr>
      <w:keepNext/>
      <w:keepLines/>
      <w:spacing w:before="240" w:after="64" w:line="319" w:lineRule="auto"/>
    </w:pPr>
    <w:rPr>
      <w:rFonts w:ascii="Times New Roman" w:hAnsi="Times New Roman" w:cs="Times New Roman"/>
      <w:b/>
      <w:bCs/>
      <w:sz w:val="24"/>
    </w:rPr>
  </w:style>
  <w:style w:type="paragraph" w:customStyle="1" w:styleId="32">
    <w:name w:val="Heading8"/>
    <w:basedOn w:val="1"/>
    <w:next w:val="1"/>
    <w:link w:val="45"/>
    <w:qFormat/>
    <w:uiPriority w:val="0"/>
    <w:pPr>
      <w:keepNext/>
      <w:keepLines/>
      <w:spacing w:before="240" w:after="64" w:line="319" w:lineRule="auto"/>
    </w:pPr>
    <w:rPr>
      <w:rFonts w:ascii="Arial" w:hAnsi="Arial" w:eastAsia="黑体"/>
      <w:sz w:val="24"/>
    </w:rPr>
  </w:style>
  <w:style w:type="paragraph" w:customStyle="1" w:styleId="33">
    <w:name w:val="Heading9"/>
    <w:basedOn w:val="1"/>
    <w:next w:val="1"/>
    <w:link w:val="46"/>
    <w:qFormat/>
    <w:uiPriority w:val="0"/>
    <w:pPr>
      <w:keepNext/>
      <w:keepLines/>
      <w:spacing w:before="240" w:after="64" w:line="319" w:lineRule="auto"/>
    </w:pPr>
    <w:rPr>
      <w:rFonts w:ascii="Arial" w:hAnsi="Arial" w:eastAsia="黑体"/>
      <w:szCs w:val="21"/>
    </w:rPr>
  </w:style>
  <w:style w:type="character" w:customStyle="1" w:styleId="34">
    <w:name w:val="NormalCharacter"/>
    <w:qFormat/>
    <w:uiPriority w:val="0"/>
  </w:style>
  <w:style w:type="table" w:customStyle="1" w:styleId="35">
    <w:name w:val="TableNormal"/>
    <w:qFormat/>
    <w:uiPriority w:val="0"/>
    <w:tblPr>
      <w:tblCellMar>
        <w:top w:w="0" w:type="dxa"/>
        <w:left w:w="0" w:type="dxa"/>
        <w:bottom w:w="0" w:type="dxa"/>
        <w:right w:w="0" w:type="dxa"/>
      </w:tblCellMar>
    </w:tblPr>
  </w:style>
  <w:style w:type="character" w:customStyle="1" w:styleId="36">
    <w:name w:val="UserStyle_0"/>
    <w:link w:val="22"/>
    <w:qFormat/>
    <w:uiPriority w:val="0"/>
    <w:rPr>
      <w:rFonts w:ascii="Calibri" w:hAnsi="Calibri"/>
      <w:kern w:val="2"/>
      <w:sz w:val="21"/>
      <w:szCs w:val="24"/>
    </w:rPr>
  </w:style>
  <w:style w:type="character" w:customStyle="1" w:styleId="37">
    <w:name w:val="UserStyle_1"/>
    <w:link w:val="21"/>
    <w:semiHidden/>
    <w:qFormat/>
    <w:uiPriority w:val="0"/>
  </w:style>
  <w:style w:type="character" w:customStyle="1" w:styleId="38">
    <w:name w:val="UserStyle_2"/>
    <w:link w:val="24"/>
    <w:qFormat/>
    <w:locked/>
    <w:uiPriority w:val="0"/>
    <w:rPr>
      <w:b/>
      <w:kern w:val="44"/>
      <w:sz w:val="44"/>
    </w:rPr>
  </w:style>
  <w:style w:type="character" w:customStyle="1" w:styleId="39">
    <w:name w:val="UserStyle_3"/>
    <w:link w:val="25"/>
    <w:qFormat/>
    <w:locked/>
    <w:uiPriority w:val="0"/>
    <w:rPr>
      <w:rFonts w:ascii="Cambria" w:hAnsi="Cambria" w:eastAsia="宋体"/>
      <w:b/>
      <w:sz w:val="32"/>
    </w:rPr>
  </w:style>
  <w:style w:type="character" w:customStyle="1" w:styleId="40">
    <w:name w:val="UserStyle_4"/>
    <w:link w:val="26"/>
    <w:qFormat/>
    <w:locked/>
    <w:uiPriority w:val="0"/>
    <w:rPr>
      <w:b/>
      <w:sz w:val="32"/>
    </w:rPr>
  </w:style>
  <w:style w:type="character" w:customStyle="1" w:styleId="41">
    <w:name w:val="UserStyle_5"/>
    <w:link w:val="27"/>
    <w:qFormat/>
    <w:uiPriority w:val="0"/>
    <w:rPr>
      <w:rFonts w:ascii="Arial" w:hAnsi="Arial" w:eastAsia="黑体"/>
      <w:kern w:val="2"/>
      <w:sz w:val="28"/>
      <w:szCs w:val="28"/>
    </w:rPr>
  </w:style>
  <w:style w:type="character" w:customStyle="1" w:styleId="42">
    <w:name w:val="UserStyle_6"/>
    <w:link w:val="28"/>
    <w:qFormat/>
    <w:uiPriority w:val="0"/>
    <w:rPr>
      <w:rFonts w:ascii="宋体"/>
      <w:color w:val="000000"/>
      <w:sz w:val="28"/>
      <w:szCs w:val="28"/>
    </w:rPr>
  </w:style>
  <w:style w:type="character" w:customStyle="1" w:styleId="43">
    <w:name w:val="UserStyle_8"/>
    <w:link w:val="30"/>
    <w:qFormat/>
    <w:uiPriority w:val="0"/>
    <w:rPr>
      <w:rFonts w:ascii="Arial" w:hAnsi="Arial" w:eastAsia="黑体" w:cs="Times New Roman"/>
      <w:b/>
      <w:bCs/>
      <w:kern w:val="2"/>
      <w:sz w:val="24"/>
      <w:szCs w:val="24"/>
    </w:rPr>
  </w:style>
  <w:style w:type="character" w:customStyle="1" w:styleId="44">
    <w:name w:val="UserStyle_9"/>
    <w:link w:val="31"/>
    <w:qFormat/>
    <w:uiPriority w:val="0"/>
    <w:rPr>
      <w:rFonts w:cs="Times New Roman"/>
      <w:b/>
      <w:bCs/>
      <w:kern w:val="2"/>
      <w:sz w:val="24"/>
      <w:szCs w:val="24"/>
    </w:rPr>
  </w:style>
  <w:style w:type="character" w:customStyle="1" w:styleId="45">
    <w:name w:val="UserStyle_10"/>
    <w:link w:val="32"/>
    <w:qFormat/>
    <w:uiPriority w:val="0"/>
    <w:rPr>
      <w:rFonts w:ascii="Arial" w:hAnsi="Arial" w:eastAsia="黑体"/>
      <w:kern w:val="2"/>
      <w:sz w:val="24"/>
      <w:szCs w:val="24"/>
    </w:rPr>
  </w:style>
  <w:style w:type="character" w:customStyle="1" w:styleId="46">
    <w:name w:val="UserStyle_11"/>
    <w:link w:val="33"/>
    <w:qFormat/>
    <w:uiPriority w:val="0"/>
    <w:rPr>
      <w:rFonts w:ascii="Arial" w:hAnsi="Arial" w:eastAsia="黑体"/>
      <w:kern w:val="2"/>
      <w:sz w:val="21"/>
      <w:szCs w:val="21"/>
    </w:rPr>
  </w:style>
  <w:style w:type="paragraph" w:customStyle="1" w:styleId="47">
    <w:name w:val="TOC7"/>
    <w:basedOn w:val="1"/>
    <w:next w:val="1"/>
    <w:qFormat/>
    <w:uiPriority w:val="0"/>
    <w:pPr>
      <w:ind w:left="1260"/>
      <w:jc w:val="left"/>
    </w:pPr>
    <w:rPr>
      <w:rFonts w:ascii="Times New Roman" w:hAnsi="Times New Roman"/>
      <w:sz w:val="18"/>
      <w:szCs w:val="18"/>
    </w:rPr>
  </w:style>
  <w:style w:type="paragraph" w:customStyle="1" w:styleId="48">
    <w:name w:val="Index5"/>
    <w:basedOn w:val="1"/>
    <w:next w:val="1"/>
    <w:semiHidden/>
    <w:qFormat/>
    <w:locked/>
    <w:uiPriority w:val="0"/>
    <w:pPr>
      <w:ind w:left="800" w:leftChars="800"/>
    </w:pPr>
  </w:style>
  <w:style w:type="paragraph" w:customStyle="1" w:styleId="49">
    <w:name w:val="NavPane"/>
    <w:basedOn w:val="1"/>
    <w:link w:val="50"/>
    <w:semiHidden/>
    <w:qFormat/>
    <w:locked/>
    <w:uiPriority w:val="0"/>
    <w:pPr>
      <w:shd w:val="clear" w:color="auto" w:fill="000080"/>
    </w:pPr>
  </w:style>
  <w:style w:type="character" w:customStyle="1" w:styleId="50">
    <w:name w:val="UserStyle_12"/>
    <w:link w:val="49"/>
    <w:semiHidden/>
    <w:qFormat/>
    <w:uiPriority w:val="0"/>
    <w:rPr>
      <w:rFonts w:ascii="宋体" w:hAnsi="Calibri"/>
      <w:kern w:val="2"/>
      <w:sz w:val="18"/>
      <w:szCs w:val="18"/>
    </w:rPr>
  </w:style>
  <w:style w:type="paragraph" w:customStyle="1" w:styleId="51">
    <w:name w:val="AnnotationText"/>
    <w:basedOn w:val="1"/>
    <w:link w:val="52"/>
    <w:qFormat/>
    <w:uiPriority w:val="0"/>
    <w:pPr>
      <w:jc w:val="left"/>
    </w:pPr>
    <w:rPr>
      <w:rFonts w:ascii="Times New Roman" w:hAnsi="Times New Roman"/>
      <w:kern w:val="0"/>
      <w:sz w:val="24"/>
      <w:szCs w:val="20"/>
    </w:rPr>
  </w:style>
  <w:style w:type="character" w:customStyle="1" w:styleId="52">
    <w:name w:val="UserStyle_13"/>
    <w:link w:val="51"/>
    <w:semiHidden/>
    <w:qFormat/>
    <w:locked/>
    <w:uiPriority w:val="0"/>
    <w:rPr>
      <w:sz w:val="24"/>
    </w:rPr>
  </w:style>
  <w:style w:type="paragraph" w:customStyle="1" w:styleId="53">
    <w:name w:val="BodyText3"/>
    <w:basedOn w:val="1"/>
    <w:link w:val="54"/>
    <w:qFormat/>
    <w:locked/>
    <w:uiPriority w:val="0"/>
    <w:rPr>
      <w:rFonts w:ascii="仿宋_GB2312" w:hAnsi="Arial" w:eastAsia="仿宋_GB2312"/>
      <w:sz w:val="32"/>
      <w:szCs w:val="32"/>
    </w:rPr>
  </w:style>
  <w:style w:type="character" w:customStyle="1" w:styleId="54">
    <w:name w:val="UserStyle_14"/>
    <w:link w:val="53"/>
    <w:semiHidden/>
    <w:qFormat/>
    <w:uiPriority w:val="0"/>
    <w:rPr>
      <w:rFonts w:ascii="Calibri" w:hAnsi="Calibri"/>
      <w:kern w:val="2"/>
      <w:sz w:val="16"/>
      <w:szCs w:val="16"/>
    </w:rPr>
  </w:style>
  <w:style w:type="paragraph" w:customStyle="1" w:styleId="55">
    <w:name w:val="BodyTextIndent"/>
    <w:basedOn w:val="1"/>
    <w:next w:val="56"/>
    <w:link w:val="57"/>
    <w:qFormat/>
    <w:locked/>
    <w:uiPriority w:val="0"/>
    <w:pPr>
      <w:spacing w:after="120"/>
      <w:ind w:left="420" w:leftChars="200"/>
    </w:pPr>
  </w:style>
  <w:style w:type="paragraph" w:customStyle="1" w:styleId="56">
    <w:name w:val="EnvelopeReturn"/>
    <w:basedOn w:val="1"/>
    <w:qFormat/>
    <w:locked/>
    <w:uiPriority w:val="0"/>
    <w:pPr>
      <w:snapToGrid w:val="0"/>
    </w:pPr>
    <w:rPr>
      <w:rFonts w:ascii="Arial" w:hAnsi="Arial"/>
    </w:rPr>
  </w:style>
  <w:style w:type="character" w:customStyle="1" w:styleId="57">
    <w:name w:val="UserStyle_15"/>
    <w:link w:val="55"/>
    <w:qFormat/>
    <w:uiPriority w:val="0"/>
    <w:rPr>
      <w:rFonts w:ascii="Calibri" w:hAnsi="Calibri"/>
      <w:kern w:val="2"/>
      <w:sz w:val="21"/>
      <w:szCs w:val="24"/>
    </w:rPr>
  </w:style>
  <w:style w:type="paragraph" w:customStyle="1" w:styleId="58">
    <w:name w:val="BlockQuote"/>
    <w:basedOn w:val="1"/>
    <w:qFormat/>
    <w:locked/>
    <w:uiPriority w:val="0"/>
    <w:pPr>
      <w:spacing w:after="120"/>
      <w:ind w:left="1440" w:leftChars="700" w:right="1440" w:rightChars="700"/>
    </w:pPr>
  </w:style>
  <w:style w:type="paragraph" w:customStyle="1" w:styleId="59">
    <w:name w:val="TOC5"/>
    <w:basedOn w:val="1"/>
    <w:next w:val="1"/>
    <w:qFormat/>
    <w:uiPriority w:val="0"/>
    <w:pPr>
      <w:ind w:left="840"/>
      <w:jc w:val="left"/>
    </w:pPr>
    <w:rPr>
      <w:rFonts w:ascii="Times New Roman" w:hAnsi="Times New Roman"/>
      <w:sz w:val="18"/>
      <w:szCs w:val="18"/>
    </w:rPr>
  </w:style>
  <w:style w:type="paragraph" w:customStyle="1" w:styleId="60">
    <w:name w:val="TOC3"/>
    <w:basedOn w:val="1"/>
    <w:next w:val="1"/>
    <w:qFormat/>
    <w:uiPriority w:val="0"/>
    <w:pPr>
      <w:ind w:left="420"/>
      <w:jc w:val="left"/>
    </w:pPr>
    <w:rPr>
      <w:rFonts w:ascii="Times New Roman" w:hAnsi="Times New Roman"/>
      <w:i/>
      <w:iCs/>
      <w:sz w:val="20"/>
      <w:szCs w:val="20"/>
    </w:rPr>
  </w:style>
  <w:style w:type="paragraph" w:customStyle="1" w:styleId="61">
    <w:name w:val="PlainText"/>
    <w:basedOn w:val="1"/>
    <w:link w:val="62"/>
    <w:qFormat/>
    <w:locked/>
    <w:uiPriority w:val="0"/>
    <w:rPr>
      <w:rFonts w:ascii="宋体" w:hAnsi="Courier New"/>
      <w:szCs w:val="22"/>
    </w:rPr>
  </w:style>
  <w:style w:type="character" w:customStyle="1" w:styleId="62">
    <w:name w:val="UserStyle_16"/>
    <w:link w:val="61"/>
    <w:semiHidden/>
    <w:qFormat/>
    <w:uiPriority w:val="0"/>
    <w:rPr>
      <w:rFonts w:ascii="宋体" w:hAnsi="Courier New"/>
      <w:kern w:val="2"/>
      <w:sz w:val="21"/>
      <w:szCs w:val="21"/>
    </w:rPr>
  </w:style>
  <w:style w:type="paragraph" w:customStyle="1" w:styleId="63">
    <w:name w:val="TOC8"/>
    <w:basedOn w:val="1"/>
    <w:next w:val="1"/>
    <w:qFormat/>
    <w:uiPriority w:val="0"/>
    <w:pPr>
      <w:ind w:left="1470"/>
      <w:jc w:val="left"/>
    </w:pPr>
    <w:rPr>
      <w:rFonts w:ascii="Times New Roman" w:hAnsi="Times New Roman"/>
      <w:sz w:val="18"/>
      <w:szCs w:val="18"/>
    </w:rPr>
  </w:style>
  <w:style w:type="character" w:customStyle="1" w:styleId="64">
    <w:name w:val="日期 字符"/>
    <w:link w:val="7"/>
    <w:semiHidden/>
    <w:qFormat/>
    <w:uiPriority w:val="0"/>
    <w:rPr>
      <w:rFonts w:ascii="Calibri" w:hAnsi="Calibri"/>
      <w:kern w:val="2"/>
      <w:sz w:val="21"/>
      <w:szCs w:val="24"/>
    </w:rPr>
  </w:style>
  <w:style w:type="paragraph" w:customStyle="1" w:styleId="65">
    <w:name w:val="BodyTextIndent2"/>
    <w:basedOn w:val="1"/>
    <w:link w:val="66"/>
    <w:qFormat/>
    <w:locked/>
    <w:uiPriority w:val="0"/>
    <w:pPr>
      <w:ind w:left="630" w:firstLine="645"/>
    </w:pPr>
    <w:rPr>
      <w:rFonts w:ascii="Arial" w:hAnsi="Arial" w:eastAsia="仿宋_GB2312"/>
      <w:sz w:val="32"/>
      <w:szCs w:val="32"/>
    </w:rPr>
  </w:style>
  <w:style w:type="character" w:customStyle="1" w:styleId="66">
    <w:name w:val="UserStyle_18"/>
    <w:link w:val="65"/>
    <w:semiHidden/>
    <w:qFormat/>
    <w:uiPriority w:val="0"/>
    <w:rPr>
      <w:rFonts w:ascii="Calibri" w:hAnsi="Calibri"/>
      <w:kern w:val="2"/>
      <w:sz w:val="21"/>
      <w:szCs w:val="24"/>
    </w:rPr>
  </w:style>
  <w:style w:type="paragraph" w:customStyle="1" w:styleId="67">
    <w:name w:val="Acetate"/>
    <w:basedOn w:val="1"/>
    <w:link w:val="68"/>
    <w:qFormat/>
    <w:uiPriority w:val="0"/>
    <w:rPr>
      <w:rFonts w:ascii="Times New Roman" w:hAnsi="Times New Roman"/>
      <w:sz w:val="18"/>
      <w:szCs w:val="20"/>
    </w:rPr>
  </w:style>
  <w:style w:type="character" w:customStyle="1" w:styleId="68">
    <w:name w:val="UserStyle_19"/>
    <w:link w:val="67"/>
    <w:qFormat/>
    <w:locked/>
    <w:uiPriority w:val="0"/>
    <w:rPr>
      <w:kern w:val="2"/>
      <w:sz w:val="18"/>
    </w:rPr>
  </w:style>
  <w:style w:type="character" w:customStyle="1" w:styleId="69">
    <w:name w:val="页脚 字符"/>
    <w:link w:val="8"/>
    <w:qFormat/>
    <w:locked/>
    <w:uiPriority w:val="0"/>
    <w:rPr>
      <w:sz w:val="18"/>
    </w:rPr>
  </w:style>
  <w:style w:type="character" w:customStyle="1" w:styleId="70">
    <w:name w:val="页眉 字符"/>
    <w:link w:val="9"/>
    <w:qFormat/>
    <w:locked/>
    <w:uiPriority w:val="0"/>
    <w:rPr>
      <w:sz w:val="18"/>
    </w:rPr>
  </w:style>
  <w:style w:type="paragraph" w:customStyle="1" w:styleId="71">
    <w:name w:val="TOC1"/>
    <w:basedOn w:val="1"/>
    <w:next w:val="1"/>
    <w:qFormat/>
    <w:uiPriority w:val="0"/>
    <w:pPr>
      <w:spacing w:before="120" w:after="120"/>
      <w:jc w:val="left"/>
    </w:pPr>
    <w:rPr>
      <w:rFonts w:ascii="Times New Roman" w:hAnsi="Times New Roman" w:cs="Times New Roman"/>
      <w:b/>
      <w:bCs/>
      <w:caps/>
      <w:sz w:val="20"/>
      <w:szCs w:val="20"/>
    </w:rPr>
  </w:style>
  <w:style w:type="paragraph" w:customStyle="1" w:styleId="72">
    <w:name w:val="TOC4"/>
    <w:basedOn w:val="1"/>
    <w:next w:val="1"/>
    <w:qFormat/>
    <w:uiPriority w:val="0"/>
    <w:pPr>
      <w:ind w:left="630"/>
      <w:jc w:val="left"/>
    </w:pPr>
    <w:rPr>
      <w:rFonts w:ascii="Times New Roman" w:hAnsi="Times New Roman"/>
      <w:sz w:val="18"/>
      <w:szCs w:val="18"/>
    </w:rPr>
  </w:style>
  <w:style w:type="character" w:customStyle="1" w:styleId="73">
    <w:name w:val="副标题 字符"/>
    <w:link w:val="11"/>
    <w:qFormat/>
    <w:uiPriority w:val="0"/>
    <w:rPr>
      <w:rFonts w:ascii="Cambria" w:hAnsi="Cambria" w:cs="Times New Roman"/>
      <w:b/>
      <w:bCs/>
      <w:kern w:val="28"/>
      <w:sz w:val="24"/>
      <w:szCs w:val="32"/>
    </w:rPr>
  </w:style>
  <w:style w:type="paragraph" w:customStyle="1" w:styleId="74">
    <w:name w:val="TOC6"/>
    <w:basedOn w:val="1"/>
    <w:next w:val="1"/>
    <w:qFormat/>
    <w:uiPriority w:val="0"/>
    <w:pPr>
      <w:ind w:left="1050"/>
      <w:jc w:val="left"/>
    </w:pPr>
    <w:rPr>
      <w:rFonts w:ascii="Times New Roman" w:hAnsi="Times New Roman"/>
      <w:sz w:val="18"/>
      <w:szCs w:val="18"/>
    </w:rPr>
  </w:style>
  <w:style w:type="paragraph" w:customStyle="1" w:styleId="75">
    <w:name w:val="BodyTextIndent3"/>
    <w:basedOn w:val="1"/>
    <w:link w:val="76"/>
    <w:qFormat/>
    <w:locked/>
    <w:uiPriority w:val="0"/>
    <w:pPr>
      <w:ind w:left="645" w:firstLine="645"/>
    </w:pPr>
    <w:rPr>
      <w:rFonts w:ascii="Arial" w:hAnsi="Arial" w:eastAsia="仿宋_GB2312"/>
      <w:color w:val="FFFF00"/>
      <w:sz w:val="32"/>
      <w:szCs w:val="32"/>
    </w:rPr>
  </w:style>
  <w:style w:type="character" w:customStyle="1" w:styleId="76">
    <w:name w:val="UserStyle_23"/>
    <w:link w:val="75"/>
    <w:semiHidden/>
    <w:qFormat/>
    <w:uiPriority w:val="0"/>
    <w:rPr>
      <w:rFonts w:ascii="Calibri" w:hAnsi="Calibri"/>
      <w:kern w:val="2"/>
      <w:sz w:val="16"/>
      <w:szCs w:val="16"/>
    </w:rPr>
  </w:style>
  <w:style w:type="paragraph" w:customStyle="1" w:styleId="77">
    <w:name w:val="TOC9"/>
    <w:basedOn w:val="1"/>
    <w:next w:val="1"/>
    <w:qFormat/>
    <w:uiPriority w:val="0"/>
    <w:pPr>
      <w:ind w:left="1680"/>
      <w:jc w:val="left"/>
    </w:pPr>
    <w:rPr>
      <w:rFonts w:ascii="Times New Roman" w:hAnsi="Times New Roman"/>
      <w:sz w:val="18"/>
      <w:szCs w:val="18"/>
    </w:rPr>
  </w:style>
  <w:style w:type="paragraph" w:customStyle="1" w:styleId="78">
    <w:name w:val="BodyText2"/>
    <w:basedOn w:val="1"/>
    <w:link w:val="79"/>
    <w:qFormat/>
    <w:locked/>
    <w:uiPriority w:val="0"/>
    <w:pPr>
      <w:jc w:val="center"/>
    </w:pPr>
    <w:rPr>
      <w:rFonts w:ascii="楷体_GB2312" w:eastAsia="楷体_GB2312"/>
      <w:sz w:val="28"/>
      <w:szCs w:val="28"/>
    </w:rPr>
  </w:style>
  <w:style w:type="character" w:customStyle="1" w:styleId="79">
    <w:name w:val="UserStyle_24"/>
    <w:link w:val="78"/>
    <w:semiHidden/>
    <w:qFormat/>
    <w:uiPriority w:val="0"/>
    <w:rPr>
      <w:rFonts w:ascii="Calibri" w:hAnsi="Calibri"/>
      <w:kern w:val="2"/>
      <w:sz w:val="21"/>
      <w:szCs w:val="24"/>
    </w:rPr>
  </w:style>
  <w:style w:type="paragraph" w:customStyle="1" w:styleId="80">
    <w:name w:val="HtmlNormal"/>
    <w:basedOn w:val="1"/>
    <w:qFormat/>
    <w:uiPriority w:val="0"/>
    <w:pPr>
      <w:spacing w:before="100" w:beforeAutospacing="1" w:after="100" w:afterAutospacing="1"/>
      <w:jc w:val="left"/>
    </w:pPr>
    <w:rPr>
      <w:kern w:val="0"/>
      <w:sz w:val="24"/>
    </w:rPr>
  </w:style>
  <w:style w:type="character" w:customStyle="1" w:styleId="81">
    <w:name w:val="标题 字符"/>
    <w:link w:val="12"/>
    <w:qFormat/>
    <w:uiPriority w:val="0"/>
    <w:rPr>
      <w:rFonts w:ascii="Cambria" w:hAnsi="Cambria" w:cs="Times New Roman"/>
      <w:b/>
      <w:bCs/>
      <w:kern w:val="2"/>
      <w:sz w:val="32"/>
      <w:szCs w:val="32"/>
    </w:rPr>
  </w:style>
  <w:style w:type="paragraph" w:customStyle="1" w:styleId="82">
    <w:name w:val="AnnotationSubject"/>
    <w:basedOn w:val="51"/>
    <w:next w:val="51"/>
    <w:link w:val="83"/>
    <w:qFormat/>
    <w:locked/>
    <w:uiPriority w:val="0"/>
    <w:rPr>
      <w:b/>
      <w:kern w:val="2"/>
    </w:rPr>
  </w:style>
  <w:style w:type="character" w:customStyle="1" w:styleId="83">
    <w:name w:val="UserStyle_26"/>
    <w:link w:val="82"/>
    <w:qFormat/>
    <w:locked/>
    <w:uiPriority w:val="0"/>
    <w:rPr>
      <w:b/>
      <w:kern w:val="2"/>
      <w:sz w:val="24"/>
    </w:rPr>
  </w:style>
  <w:style w:type="paragraph" w:customStyle="1" w:styleId="84">
    <w:name w:val="BodyText1I2"/>
    <w:basedOn w:val="55"/>
    <w:link w:val="85"/>
    <w:qFormat/>
    <w:locked/>
    <w:uiPriority w:val="0"/>
    <w:pPr>
      <w:spacing w:after="0" w:line="360" w:lineRule="auto"/>
      <w:ind w:left="0" w:leftChars="0" w:firstLine="420" w:firstLineChars="200"/>
    </w:pPr>
    <w:rPr>
      <w:rFonts w:ascii="宋体" w:hAnsi="宋体" w:eastAsia="楷体_GB2312"/>
      <w:szCs w:val="32"/>
    </w:rPr>
  </w:style>
  <w:style w:type="character" w:customStyle="1" w:styleId="85">
    <w:name w:val="UserStyle_27"/>
    <w:link w:val="84"/>
    <w:semiHidden/>
    <w:qFormat/>
    <w:uiPriority w:val="0"/>
  </w:style>
  <w:style w:type="table" w:customStyle="1" w:styleId="86">
    <w:name w:val="TableGrid"/>
    <w:basedOn w:val="35"/>
    <w:qFormat/>
    <w:uiPriority w:val="0"/>
  </w:style>
  <w:style w:type="character" w:customStyle="1" w:styleId="87">
    <w:name w:val="PageNumber"/>
    <w:qFormat/>
    <w:uiPriority w:val="0"/>
  </w:style>
  <w:style w:type="character" w:customStyle="1" w:styleId="88">
    <w:name w:val="AnnotationReference"/>
    <w:qFormat/>
    <w:locked/>
    <w:uiPriority w:val="0"/>
    <w:rPr>
      <w:sz w:val="21"/>
    </w:rPr>
  </w:style>
  <w:style w:type="character" w:customStyle="1" w:styleId="89">
    <w:name w:val="UserStyle_28"/>
    <w:qFormat/>
    <w:uiPriority w:val="0"/>
    <w:rPr>
      <w:rFonts w:ascii="宋体" w:hAnsi="Courier New" w:eastAsia="宋体"/>
      <w:kern w:val="2"/>
      <w:sz w:val="21"/>
      <w:lang w:val="en-US" w:eastAsia="zh-CN" w:bidi="ar-SA"/>
    </w:rPr>
  </w:style>
  <w:style w:type="character" w:customStyle="1" w:styleId="90">
    <w:name w:val="UserStyle_29"/>
    <w:qFormat/>
    <w:uiPriority w:val="0"/>
    <w:rPr>
      <w:sz w:val="18"/>
      <w:szCs w:val="18"/>
    </w:rPr>
  </w:style>
  <w:style w:type="character" w:customStyle="1" w:styleId="91">
    <w:name w:val="UserStyle_30"/>
    <w:qFormat/>
    <w:locked/>
    <w:uiPriority w:val="0"/>
    <w:rPr>
      <w:rFonts w:ascii="仿宋_GB2312" w:hAnsi="Arial" w:eastAsia="仿宋_GB2312"/>
      <w:sz w:val="30"/>
      <w:szCs w:val="30"/>
    </w:rPr>
  </w:style>
  <w:style w:type="character" w:customStyle="1" w:styleId="92">
    <w:name w:val="UserStyle_31"/>
    <w:qFormat/>
    <w:locked/>
    <w:uiPriority w:val="0"/>
    <w:rPr>
      <w:rFonts w:ascii="宋体" w:hAnsi="宋体" w:eastAsia="宋体"/>
      <w:szCs w:val="24"/>
    </w:rPr>
  </w:style>
  <w:style w:type="character" w:customStyle="1" w:styleId="93">
    <w:name w:val="UserStyle_32"/>
    <w:qFormat/>
    <w:uiPriority w:val="0"/>
    <w:rPr>
      <w:rFonts w:ascii="Calibri Light" w:hAnsi="Calibri Light" w:cs="Times New Roman"/>
      <w:b/>
      <w:bCs/>
      <w:kern w:val="2"/>
      <w:sz w:val="28"/>
      <w:szCs w:val="28"/>
    </w:rPr>
  </w:style>
  <w:style w:type="character" w:customStyle="1" w:styleId="94">
    <w:name w:val="UserStyle_33"/>
    <w:link w:val="95"/>
    <w:qFormat/>
    <w:locked/>
    <w:uiPriority w:val="0"/>
    <w:rPr>
      <w:rFonts w:ascii="宋体" w:hAnsi="Courier New"/>
      <w:kern w:val="2"/>
      <w:sz w:val="21"/>
      <w:szCs w:val="22"/>
    </w:rPr>
  </w:style>
  <w:style w:type="paragraph" w:customStyle="1" w:styleId="95">
    <w:name w:val="UserStyle_34"/>
    <w:basedOn w:val="1"/>
    <w:link w:val="94"/>
    <w:qFormat/>
    <w:uiPriority w:val="0"/>
    <w:rPr>
      <w:rFonts w:ascii="宋体" w:hAnsi="Courier New"/>
      <w:szCs w:val="22"/>
    </w:rPr>
  </w:style>
  <w:style w:type="character" w:customStyle="1" w:styleId="96">
    <w:name w:val="UserStyle_35"/>
    <w:qFormat/>
    <w:locked/>
    <w:uiPriority w:val="0"/>
    <w:rPr>
      <w:rFonts w:ascii="Arial" w:hAnsi="Arial" w:eastAsia="仿宋_GB2312"/>
      <w:color w:val="FFFF00"/>
      <w:kern w:val="2"/>
      <w:sz w:val="32"/>
      <w:szCs w:val="32"/>
    </w:rPr>
  </w:style>
  <w:style w:type="character" w:customStyle="1" w:styleId="97">
    <w:name w:val="UserStyle_36"/>
    <w:qFormat/>
    <w:locked/>
    <w:uiPriority w:val="0"/>
    <w:rPr>
      <w:rFonts w:ascii="仿宋_GB2312" w:hAnsi="Arial" w:eastAsia="仿宋_GB2312"/>
      <w:kern w:val="2"/>
      <w:sz w:val="30"/>
      <w:szCs w:val="30"/>
    </w:rPr>
  </w:style>
  <w:style w:type="character" w:customStyle="1" w:styleId="98">
    <w:name w:val="UserStyle_37"/>
    <w:qFormat/>
    <w:uiPriority w:val="0"/>
    <w:rPr>
      <w:rFonts w:cs="Times New Roman"/>
      <w:b/>
      <w:bCs/>
      <w:kern w:val="2"/>
      <w:sz w:val="24"/>
      <w:szCs w:val="24"/>
    </w:rPr>
  </w:style>
  <w:style w:type="character" w:customStyle="1" w:styleId="99">
    <w:name w:val="UserStyle_38"/>
    <w:link w:val="100"/>
    <w:qFormat/>
    <w:locked/>
    <w:uiPriority w:val="0"/>
    <w:rPr>
      <w:rFonts w:ascii="Calibri" w:hAnsi="Calibri"/>
      <w:kern w:val="2"/>
      <w:sz w:val="21"/>
      <w:szCs w:val="22"/>
    </w:rPr>
  </w:style>
  <w:style w:type="paragraph" w:customStyle="1" w:styleId="100">
    <w:name w:val="UserStyle_39"/>
    <w:basedOn w:val="1"/>
    <w:link w:val="99"/>
    <w:qFormat/>
    <w:uiPriority w:val="0"/>
    <w:pPr>
      <w:ind w:firstLine="420" w:firstLineChars="200"/>
    </w:pPr>
    <w:rPr>
      <w:szCs w:val="22"/>
    </w:rPr>
  </w:style>
  <w:style w:type="character" w:customStyle="1" w:styleId="101">
    <w:name w:val="UserStyle_40"/>
    <w:qFormat/>
    <w:uiPriority w:val="0"/>
    <w:rPr>
      <w:rFonts w:cs="Times New Roman"/>
      <w:b/>
      <w:bCs/>
      <w:kern w:val="2"/>
      <w:sz w:val="32"/>
      <w:szCs w:val="32"/>
    </w:rPr>
  </w:style>
  <w:style w:type="character" w:customStyle="1" w:styleId="102">
    <w:name w:val="UserStyle_41"/>
    <w:qFormat/>
    <w:uiPriority w:val="0"/>
    <w:rPr>
      <w:rFonts w:ascii="Times New Roman" w:hAnsi="Times New Roman"/>
      <w:kern w:val="2"/>
      <w:sz w:val="21"/>
      <w:szCs w:val="24"/>
    </w:rPr>
  </w:style>
  <w:style w:type="character" w:customStyle="1" w:styleId="103">
    <w:name w:val="UserStyle_42"/>
    <w:qFormat/>
    <w:uiPriority w:val="0"/>
    <w:rPr>
      <w:rFonts w:ascii="Arial" w:hAnsi="Arial" w:eastAsia="黑体" w:cs="Arial"/>
      <w:b/>
      <w:bCs/>
      <w:kern w:val="2"/>
      <w:sz w:val="28"/>
      <w:szCs w:val="28"/>
      <w:lang w:val="en-US" w:eastAsia="zh-CN" w:bidi="ar-SA"/>
    </w:rPr>
  </w:style>
  <w:style w:type="character" w:customStyle="1" w:styleId="104">
    <w:name w:val="UserStyle_43"/>
    <w:link w:val="105"/>
    <w:qFormat/>
    <w:uiPriority w:val="0"/>
    <w:rPr>
      <w:kern w:val="2"/>
      <w:sz w:val="21"/>
      <w:szCs w:val="21"/>
    </w:rPr>
  </w:style>
  <w:style w:type="paragraph" w:customStyle="1" w:styleId="105">
    <w:name w:val="UserStyle_44"/>
    <w:basedOn w:val="1"/>
    <w:link w:val="104"/>
    <w:qFormat/>
    <w:uiPriority w:val="0"/>
    <w:pPr>
      <w:ind w:firstLine="420" w:firstLineChars="200"/>
    </w:pPr>
    <w:rPr>
      <w:rFonts w:ascii="Times New Roman" w:hAnsi="Times New Roman"/>
      <w:szCs w:val="21"/>
    </w:rPr>
  </w:style>
  <w:style w:type="character" w:customStyle="1" w:styleId="106">
    <w:name w:val="UserStyle_45"/>
    <w:qFormat/>
    <w:uiPriority w:val="0"/>
    <w:rPr>
      <w:rFonts w:ascii="Calibri Light" w:hAnsi="Calibri Light" w:cs="Times New Roman"/>
      <w:b/>
      <w:bCs/>
      <w:kern w:val="2"/>
      <w:sz w:val="32"/>
      <w:szCs w:val="32"/>
    </w:rPr>
  </w:style>
  <w:style w:type="character" w:customStyle="1" w:styleId="107">
    <w:name w:val="UserStyle_46"/>
    <w:semiHidden/>
    <w:qFormat/>
    <w:locked/>
    <w:uiPriority w:val="0"/>
    <w:rPr>
      <w:rFonts w:ascii="Calibri" w:hAnsi="Calibri"/>
      <w:kern w:val="2"/>
      <w:sz w:val="21"/>
      <w:szCs w:val="24"/>
      <w:shd w:val="clear" w:color="auto" w:fill="000080"/>
    </w:rPr>
  </w:style>
  <w:style w:type="character" w:customStyle="1" w:styleId="108">
    <w:name w:val="UserStyle_47"/>
    <w:qFormat/>
    <w:uiPriority w:val="0"/>
  </w:style>
  <w:style w:type="character" w:customStyle="1" w:styleId="109">
    <w:name w:val="UserStyle_48"/>
    <w:qFormat/>
    <w:locked/>
    <w:uiPriority w:val="0"/>
    <w:rPr>
      <w:rFonts w:ascii="楷体_GB2312" w:eastAsia="楷体_GB2312"/>
      <w:sz w:val="28"/>
      <w:szCs w:val="28"/>
    </w:rPr>
  </w:style>
  <w:style w:type="character" w:customStyle="1" w:styleId="110">
    <w:name w:val="UserStyle_49"/>
    <w:qFormat/>
    <w:uiPriority w:val="0"/>
    <w:rPr>
      <w:rFonts w:ascii="宋体" w:hAnsi="宋体" w:eastAsia="宋体"/>
      <w:color w:val="000000"/>
      <w:sz w:val="22"/>
      <w:szCs w:val="22"/>
    </w:rPr>
  </w:style>
  <w:style w:type="character" w:customStyle="1" w:styleId="111">
    <w:name w:val="UserStyle_50"/>
    <w:qFormat/>
    <w:locked/>
    <w:uiPriority w:val="0"/>
    <w:rPr>
      <w:rFonts w:ascii="宋体" w:hAnsi="宋体" w:eastAsia="楷体_GB2312"/>
      <w:kern w:val="2"/>
      <w:sz w:val="21"/>
      <w:szCs w:val="32"/>
    </w:rPr>
  </w:style>
  <w:style w:type="character" w:customStyle="1" w:styleId="112">
    <w:name w:val="UserStyle_51"/>
    <w:qFormat/>
    <w:locked/>
    <w:uiPriority w:val="0"/>
    <w:rPr>
      <w:rFonts w:ascii="Arial" w:hAnsi="Arial" w:eastAsia="仿宋_GB2312"/>
      <w:kern w:val="2"/>
      <w:sz w:val="32"/>
      <w:szCs w:val="32"/>
    </w:rPr>
  </w:style>
  <w:style w:type="character" w:customStyle="1" w:styleId="113">
    <w:name w:val="UserStyle_52"/>
    <w:qFormat/>
    <w:uiPriority w:val="0"/>
    <w:rPr>
      <w:rFonts w:ascii="Calibri" w:hAnsi="Calibri" w:eastAsia="宋体"/>
      <w:kern w:val="2"/>
      <w:sz w:val="18"/>
      <w:szCs w:val="18"/>
    </w:rPr>
  </w:style>
  <w:style w:type="character" w:customStyle="1" w:styleId="114">
    <w:name w:val="UserStyle_53"/>
    <w:qFormat/>
    <w:locked/>
    <w:uiPriority w:val="0"/>
    <w:rPr>
      <w:rFonts w:ascii="Calibri" w:hAnsi="Calibri"/>
      <w:kern w:val="2"/>
      <w:sz w:val="24"/>
      <w:szCs w:val="24"/>
    </w:rPr>
  </w:style>
  <w:style w:type="character" w:customStyle="1" w:styleId="115">
    <w:name w:val="UserStyle_54"/>
    <w:qFormat/>
    <w:uiPriority w:val="0"/>
    <w:rPr>
      <w:rFonts w:cs="Times New Roman"/>
      <w:b/>
      <w:bCs/>
      <w:kern w:val="44"/>
      <w:sz w:val="44"/>
      <w:szCs w:val="44"/>
    </w:rPr>
  </w:style>
  <w:style w:type="character" w:customStyle="1" w:styleId="116">
    <w:name w:val="UserStyle_55"/>
    <w:qFormat/>
    <w:locked/>
    <w:uiPriority w:val="0"/>
    <w:rPr>
      <w:rFonts w:ascii="宋体" w:hAnsi="宋体" w:eastAsia="楷体_GB2312"/>
      <w:szCs w:val="32"/>
    </w:rPr>
  </w:style>
  <w:style w:type="character" w:customStyle="1" w:styleId="117">
    <w:name w:val="UserStyle_56"/>
    <w:qFormat/>
    <w:uiPriority w:val="0"/>
    <w:rPr>
      <w:rFonts w:ascii="Calibri Light" w:hAnsi="Calibri Light" w:cs="Times New Roman"/>
      <w:b/>
      <w:bCs/>
      <w:kern w:val="2"/>
      <w:sz w:val="32"/>
      <w:szCs w:val="32"/>
    </w:rPr>
  </w:style>
  <w:style w:type="character" w:customStyle="1" w:styleId="118">
    <w:name w:val="UserStyle_57"/>
    <w:qFormat/>
    <w:uiPriority w:val="0"/>
    <w:rPr>
      <w:i/>
      <w:iCs/>
      <w:color w:val="404040"/>
    </w:rPr>
  </w:style>
  <w:style w:type="character" w:customStyle="1" w:styleId="119">
    <w:name w:val="UserStyle_58"/>
    <w:qFormat/>
    <w:locked/>
    <w:uiPriority w:val="0"/>
    <w:rPr>
      <w:sz w:val="24"/>
      <w:szCs w:val="24"/>
    </w:rPr>
  </w:style>
  <w:style w:type="character" w:customStyle="1" w:styleId="120">
    <w:name w:val="UserStyle_59"/>
    <w:qFormat/>
    <w:uiPriority w:val="0"/>
    <w:rPr>
      <w:rFonts w:ascii="Calibri Light" w:hAnsi="Calibri Light" w:cs="Times New Roman"/>
      <w:b/>
      <w:bCs/>
      <w:kern w:val="2"/>
      <w:sz w:val="24"/>
      <w:szCs w:val="24"/>
    </w:rPr>
  </w:style>
  <w:style w:type="character" w:customStyle="1" w:styleId="121">
    <w:name w:val="UserStyle_60"/>
    <w:qFormat/>
    <w:locked/>
    <w:uiPriority w:val="0"/>
    <w:rPr>
      <w:rFonts w:ascii="仿宋_GB2312" w:hAnsi="Arial" w:eastAsia="仿宋_GB2312"/>
      <w:sz w:val="32"/>
      <w:szCs w:val="32"/>
    </w:rPr>
  </w:style>
  <w:style w:type="character" w:customStyle="1" w:styleId="122">
    <w:name w:val="UserStyle_61"/>
    <w:qFormat/>
    <w:locked/>
    <w:uiPriority w:val="0"/>
    <w:rPr>
      <w:rFonts w:ascii="楷体_GB2312" w:hAnsi="Calibri" w:eastAsia="楷体_GB2312"/>
      <w:kern w:val="2"/>
      <w:sz w:val="28"/>
      <w:szCs w:val="28"/>
    </w:rPr>
  </w:style>
  <w:style w:type="character" w:customStyle="1" w:styleId="123">
    <w:name w:val="UserStyle_62"/>
    <w:qFormat/>
    <w:uiPriority w:val="0"/>
    <w:rPr>
      <w:rFonts w:cs="Times New Roman"/>
      <w:b/>
      <w:bCs/>
      <w:kern w:val="2"/>
      <w:sz w:val="28"/>
      <w:szCs w:val="28"/>
    </w:rPr>
  </w:style>
  <w:style w:type="character" w:customStyle="1" w:styleId="124">
    <w:name w:val="UserStyle_63"/>
    <w:link w:val="125"/>
    <w:qFormat/>
    <w:locked/>
    <w:uiPriority w:val="0"/>
    <w:rPr>
      <w:rFonts w:ascii="宋体" w:hAnsi="宋体"/>
      <w:color w:val="000000"/>
      <w:szCs w:val="21"/>
    </w:rPr>
  </w:style>
  <w:style w:type="paragraph" w:customStyle="1" w:styleId="125">
    <w:name w:val="UserStyle_64"/>
    <w:basedOn w:val="1"/>
    <w:link w:val="124"/>
    <w:qFormat/>
    <w:uiPriority w:val="0"/>
    <w:pPr>
      <w:ind w:firstLine="420" w:firstLineChars="200"/>
    </w:pPr>
    <w:rPr>
      <w:rFonts w:ascii="宋体" w:hAnsi="宋体"/>
      <w:color w:val="000000"/>
      <w:kern w:val="0"/>
      <w:sz w:val="20"/>
      <w:szCs w:val="21"/>
    </w:rPr>
  </w:style>
  <w:style w:type="character" w:customStyle="1" w:styleId="126">
    <w:name w:val="UserStyle_65"/>
    <w:qFormat/>
    <w:uiPriority w:val="0"/>
    <w:rPr>
      <w:rFonts w:ascii="Tahoma" w:hAnsi="Tahoma" w:eastAsia="Tahoma"/>
      <w:color w:val="000000"/>
      <w:sz w:val="20"/>
      <w:szCs w:val="20"/>
    </w:rPr>
  </w:style>
  <w:style w:type="character" w:customStyle="1" w:styleId="127">
    <w:name w:val="UserStyle_66"/>
    <w:qFormat/>
    <w:uiPriority w:val="0"/>
    <w:rPr>
      <w:rFonts w:ascii="Arial" w:hAnsi="Arial" w:eastAsia="仿宋_GB2312" w:cs="Arial"/>
      <w:b/>
      <w:bCs/>
      <w:kern w:val="2"/>
      <w:sz w:val="28"/>
      <w:szCs w:val="44"/>
      <w:lang w:val="en-US" w:eastAsia="zh-CN" w:bidi="ar-SA"/>
    </w:rPr>
  </w:style>
  <w:style w:type="character" w:customStyle="1" w:styleId="128">
    <w:name w:val="UserStyle_67"/>
    <w:link w:val="129"/>
    <w:qFormat/>
    <w:uiPriority w:val="0"/>
    <w:rPr>
      <w:rFonts w:ascii="Calibri" w:hAnsi="Calibri"/>
      <w:sz w:val="22"/>
      <w:szCs w:val="22"/>
    </w:rPr>
  </w:style>
  <w:style w:type="paragraph" w:customStyle="1" w:styleId="129">
    <w:name w:val="Null"/>
    <w:link w:val="128"/>
    <w:qFormat/>
    <w:uiPriority w:val="0"/>
    <w:pPr>
      <w:textAlignment w:val="baseline"/>
    </w:pPr>
    <w:rPr>
      <w:rFonts w:ascii="Calibri" w:hAnsi="Calibri" w:eastAsia="宋体" w:cstheme="minorBidi"/>
      <w:sz w:val="22"/>
      <w:szCs w:val="22"/>
      <w:lang w:val="en-US" w:eastAsia="zh-CN" w:bidi="ar-SA"/>
    </w:rPr>
  </w:style>
  <w:style w:type="character" w:customStyle="1" w:styleId="130">
    <w:name w:val="UserStyle_68"/>
    <w:qFormat/>
    <w:uiPriority w:val="0"/>
    <w:rPr>
      <w:rFonts w:ascii="宋体" w:hAnsi="宋体" w:eastAsia="宋体" w:cs="Times New Roman"/>
      <w:b/>
      <w:bCs/>
      <w:kern w:val="2"/>
      <w:sz w:val="32"/>
      <w:szCs w:val="32"/>
      <w:lang w:val="en-US" w:eastAsia="zh-CN" w:bidi="ar-SA"/>
    </w:rPr>
  </w:style>
  <w:style w:type="character" w:customStyle="1" w:styleId="131">
    <w:name w:val="UserStyle_69"/>
    <w:qFormat/>
    <w:uiPriority w:val="0"/>
    <w:rPr>
      <w:rFonts w:ascii="ˎ̥" w:hAnsi="ˎ̥"/>
      <w:color w:val="1C3B7B"/>
      <w:sz w:val="17"/>
      <w:szCs w:val="17"/>
    </w:rPr>
  </w:style>
  <w:style w:type="character" w:customStyle="1" w:styleId="132">
    <w:name w:val="UserStyle_70"/>
    <w:qFormat/>
    <w:uiPriority w:val="0"/>
    <w:rPr>
      <w:rFonts w:ascii="宋体" w:hAnsi="宋体" w:eastAsia="宋体"/>
      <w:color w:val="000000"/>
      <w:sz w:val="22"/>
      <w:szCs w:val="22"/>
    </w:rPr>
  </w:style>
  <w:style w:type="character" w:customStyle="1" w:styleId="133">
    <w:name w:val="UserStyle_71"/>
    <w:qFormat/>
    <w:locked/>
    <w:uiPriority w:val="0"/>
    <w:rPr>
      <w:rFonts w:ascii="Arial" w:hAnsi="Arial" w:eastAsia="仿宋_GB2312"/>
      <w:color w:val="FFFF00"/>
      <w:sz w:val="32"/>
      <w:szCs w:val="32"/>
    </w:rPr>
  </w:style>
  <w:style w:type="character" w:customStyle="1" w:styleId="134">
    <w:name w:val="UserStyle_72"/>
    <w:qFormat/>
    <w:locked/>
    <w:uiPriority w:val="0"/>
    <w:rPr>
      <w:rFonts w:ascii="宋体" w:hAnsi="Courier New" w:eastAsia="宋体"/>
    </w:rPr>
  </w:style>
  <w:style w:type="character" w:customStyle="1" w:styleId="135">
    <w:name w:val="UserStyle_73"/>
    <w:qFormat/>
    <w:locked/>
    <w:uiPriority w:val="0"/>
    <w:rPr>
      <w:rFonts w:ascii="仿宋_GB2312" w:hAnsi="Arial" w:eastAsia="仿宋_GB2312"/>
      <w:kern w:val="2"/>
      <w:sz w:val="32"/>
      <w:szCs w:val="32"/>
    </w:rPr>
  </w:style>
  <w:style w:type="character" w:customStyle="1" w:styleId="136">
    <w:name w:val="UserStyle_74"/>
    <w:link w:val="137"/>
    <w:qFormat/>
    <w:locked/>
    <w:uiPriority w:val="0"/>
    <w:rPr>
      <w:rFonts w:ascii="楷体_GB2312" w:eastAsia="楷体_GB2312"/>
      <w:sz w:val="24"/>
    </w:rPr>
  </w:style>
  <w:style w:type="paragraph" w:customStyle="1" w:styleId="137">
    <w:name w:val="UserStyle_75"/>
    <w:basedOn w:val="1"/>
    <w:link w:val="136"/>
    <w:qFormat/>
    <w:uiPriority w:val="0"/>
    <w:pPr>
      <w:ind w:firstLine="420"/>
      <w:jc w:val="left"/>
    </w:pPr>
    <w:rPr>
      <w:rFonts w:ascii="楷体_GB2312" w:hAnsi="Times New Roman" w:eastAsia="楷体_GB2312"/>
      <w:kern w:val="0"/>
      <w:sz w:val="24"/>
      <w:szCs w:val="20"/>
    </w:rPr>
  </w:style>
  <w:style w:type="character" w:customStyle="1" w:styleId="138">
    <w:name w:val="UserStyle_76"/>
    <w:qFormat/>
    <w:uiPriority w:val="0"/>
  </w:style>
  <w:style w:type="character" w:customStyle="1" w:styleId="139">
    <w:name w:val="UserStyle_77"/>
    <w:qFormat/>
    <w:locked/>
    <w:uiPriority w:val="0"/>
    <w:rPr>
      <w:rFonts w:ascii="Arial" w:hAnsi="Arial" w:eastAsia="仿宋_GB2312"/>
      <w:sz w:val="32"/>
      <w:szCs w:val="32"/>
    </w:rPr>
  </w:style>
  <w:style w:type="paragraph" w:customStyle="1" w:styleId="140">
    <w:name w:val="UserStyle_78"/>
    <w:basedOn w:val="1"/>
    <w:next w:val="1"/>
    <w:qFormat/>
    <w:uiPriority w:val="0"/>
    <w:pPr>
      <w:ind w:left="420" w:leftChars="200"/>
    </w:pPr>
    <w:rPr>
      <w:szCs w:val="22"/>
    </w:rPr>
  </w:style>
  <w:style w:type="paragraph" w:customStyle="1" w:styleId="141">
    <w:name w:val="UserStyle_79"/>
    <w:basedOn w:val="1"/>
    <w:qFormat/>
    <w:uiPriority w:val="0"/>
    <w:pPr>
      <w:spacing w:before="120" w:after="120" w:line="360" w:lineRule="auto"/>
      <w:ind w:firstLine="480"/>
      <w:jc w:val="left"/>
    </w:pPr>
    <w:rPr>
      <w:rFonts w:ascii="Arial" w:hAnsi="Arial"/>
      <w:kern w:val="0"/>
      <w:sz w:val="24"/>
    </w:rPr>
  </w:style>
  <w:style w:type="paragraph" w:customStyle="1" w:styleId="142">
    <w:name w:val="UserStyle_80"/>
    <w:basedOn w:val="1"/>
    <w:next w:val="48"/>
    <w:qFormat/>
    <w:uiPriority w:val="0"/>
    <w:pPr>
      <w:spacing w:line="360" w:lineRule="exact"/>
      <w:jc w:val="left"/>
    </w:pPr>
    <w:rPr>
      <w:szCs w:val="20"/>
    </w:rPr>
  </w:style>
  <w:style w:type="paragraph" w:customStyle="1" w:styleId="143">
    <w:name w:val="UserStyle_81"/>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Cs w:val="21"/>
    </w:rPr>
  </w:style>
  <w:style w:type="paragraph" w:customStyle="1" w:styleId="144">
    <w:name w:val="UserStyle_82"/>
    <w:basedOn w:val="1"/>
    <w:next w:val="145"/>
    <w:qFormat/>
    <w:uiPriority w:val="0"/>
    <w:pPr>
      <w:spacing w:line="360" w:lineRule="auto"/>
      <w:jc w:val="left"/>
    </w:pPr>
    <w:rPr>
      <w:rFonts w:ascii="宋体" w:hAnsi="宋体"/>
      <w:kern w:val="0"/>
      <w:sz w:val="32"/>
      <w:szCs w:val="32"/>
    </w:rPr>
  </w:style>
  <w:style w:type="paragraph" w:customStyle="1" w:styleId="145">
    <w:name w:val="UserStyle_83"/>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146">
    <w:name w:val="UserStyle_84"/>
    <w:basedOn w:val="24"/>
    <w:next w:val="1"/>
    <w:qFormat/>
    <w:uiPriority w:val="0"/>
    <w:pPr>
      <w:spacing w:before="240" w:after="0" w:line="259" w:lineRule="auto"/>
      <w:jc w:val="left"/>
    </w:pPr>
    <w:rPr>
      <w:rFonts w:ascii="Calibri Light" w:hAnsi="Calibri Light"/>
      <w:b w:val="0"/>
      <w:color w:val="2E74B5"/>
      <w:kern w:val="0"/>
      <w:sz w:val="32"/>
      <w:szCs w:val="32"/>
    </w:rPr>
  </w:style>
  <w:style w:type="paragraph" w:customStyle="1" w:styleId="147">
    <w:name w:val="UserStyle_85"/>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left"/>
      <w:textAlignment w:val="center"/>
    </w:pPr>
    <w:rPr>
      <w:rFonts w:ascii="宋体" w:hAnsi="宋体"/>
      <w:kern w:val="0"/>
      <w:szCs w:val="21"/>
    </w:rPr>
  </w:style>
  <w:style w:type="paragraph" w:customStyle="1" w:styleId="148">
    <w:name w:val="UserStyle_86"/>
    <w:qFormat/>
    <w:uiPriority w:val="0"/>
    <w:pPr>
      <w:ind w:left="200" w:leftChars="200"/>
      <w:textAlignment w:val="baseline"/>
    </w:pPr>
    <w:rPr>
      <w:rFonts w:ascii="Times New Roman" w:hAnsi="Times New Roman" w:eastAsia="宋体" w:cstheme="minorBidi"/>
      <w:lang w:val="en-US" w:eastAsia="zh-CN" w:bidi="ar-SA"/>
    </w:rPr>
  </w:style>
  <w:style w:type="paragraph" w:customStyle="1" w:styleId="149">
    <w:name w:val="UserStyle_87"/>
    <w:basedOn w:val="1"/>
    <w:next w:val="1"/>
    <w:qFormat/>
    <w:uiPriority w:val="0"/>
    <w:pPr>
      <w:tabs>
        <w:tab w:val="left" w:pos="9193"/>
        <w:tab w:val="left" w:pos="9827"/>
      </w:tabs>
      <w:snapToGrid w:val="0"/>
      <w:spacing w:line="700" w:lineRule="atLeast"/>
      <w:jc w:val="center"/>
    </w:pPr>
    <w:rPr>
      <w:rFonts w:ascii="方正小标宋_GBK" w:hAnsi="Times New Roman" w:eastAsia="方正小标宋_GBK"/>
      <w:kern w:val="0"/>
      <w:sz w:val="44"/>
      <w:szCs w:val="20"/>
    </w:rPr>
  </w:style>
  <w:style w:type="paragraph" w:customStyle="1" w:styleId="150">
    <w:name w:val="UserStyle_88"/>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left"/>
      <w:textAlignment w:val="center"/>
    </w:pPr>
    <w:rPr>
      <w:rFonts w:ascii="宋体" w:hAnsi="宋体"/>
      <w:kern w:val="0"/>
      <w:szCs w:val="21"/>
    </w:rPr>
  </w:style>
  <w:style w:type="paragraph" w:customStyle="1" w:styleId="151">
    <w:name w:val="UserStyle_89"/>
    <w:basedOn w:val="1"/>
    <w:next w:val="142"/>
    <w:qFormat/>
    <w:uiPriority w:val="0"/>
    <w:pPr>
      <w:spacing w:line="500" w:lineRule="exact"/>
      <w:ind w:firstLine="315" w:firstLineChars="150"/>
      <w:jc w:val="left"/>
    </w:pPr>
    <w:rPr>
      <w:szCs w:val="20"/>
    </w:rPr>
  </w:style>
  <w:style w:type="paragraph" w:customStyle="1" w:styleId="152">
    <w:name w:val="UserStyle_90"/>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left"/>
    </w:pPr>
    <w:rPr>
      <w:rFonts w:ascii="宋体" w:hAnsi="宋体"/>
      <w:kern w:val="0"/>
      <w:sz w:val="24"/>
    </w:rPr>
  </w:style>
  <w:style w:type="paragraph" w:customStyle="1" w:styleId="153">
    <w:name w:val="UserStyle_91"/>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textAlignment w:val="center"/>
    </w:pPr>
    <w:rPr>
      <w:rFonts w:ascii="宋体" w:hAnsi="宋体"/>
      <w:color w:val="000000"/>
      <w:kern w:val="0"/>
      <w:szCs w:val="21"/>
    </w:rPr>
  </w:style>
  <w:style w:type="paragraph" w:customStyle="1" w:styleId="154">
    <w:name w:val="UserStyle_92"/>
    <w:qFormat/>
    <w:uiPriority w:val="0"/>
    <w:pPr>
      <w:textAlignment w:val="baseline"/>
    </w:pPr>
    <w:rPr>
      <w:rFonts w:ascii="Times New Roman" w:hAnsi="Times New Roman" w:eastAsia="宋体" w:cstheme="minorBidi"/>
      <w:lang w:val="en-US" w:eastAsia="zh-CN" w:bidi="ar-SA"/>
    </w:rPr>
  </w:style>
  <w:style w:type="paragraph" w:customStyle="1" w:styleId="155">
    <w:name w:val="UserStyle_93"/>
    <w:qFormat/>
    <w:uiPriority w:val="0"/>
    <w:pPr>
      <w:textAlignment w:val="baseline"/>
    </w:pPr>
    <w:rPr>
      <w:rFonts w:ascii="Times New Roman" w:hAnsi="Times New Roman" w:eastAsia="宋体" w:cstheme="minorBidi"/>
      <w:lang w:val="en-US" w:eastAsia="zh-CN" w:bidi="ar-SA"/>
    </w:rPr>
  </w:style>
  <w:style w:type="paragraph" w:customStyle="1" w:styleId="156">
    <w:name w:val="UserStyle_94"/>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Cs w:val="21"/>
    </w:rPr>
  </w:style>
  <w:style w:type="paragraph" w:customStyle="1" w:styleId="157">
    <w:name w:val="UserStyle_95"/>
    <w:basedOn w:val="1"/>
    <w:next w:val="1"/>
    <w:qFormat/>
    <w:uiPriority w:val="0"/>
    <w:pPr>
      <w:spacing w:line="360" w:lineRule="atLeast"/>
    </w:pPr>
    <w:rPr>
      <w:rFonts w:ascii="Times New Roman" w:hAnsi="Times New Roman"/>
      <w:kern w:val="0"/>
      <w:sz w:val="28"/>
      <w:szCs w:val="28"/>
    </w:rPr>
  </w:style>
  <w:style w:type="paragraph" w:customStyle="1" w:styleId="158">
    <w:name w:val="UserStyle_96"/>
    <w:basedOn w:val="1"/>
    <w:qFormat/>
    <w:uiPriority w:val="0"/>
    <w:pPr>
      <w:spacing w:before="100" w:beforeAutospacing="1" w:after="100" w:afterAutospacing="1"/>
      <w:jc w:val="left"/>
    </w:pPr>
    <w:rPr>
      <w:rFonts w:ascii="宋体" w:hAnsi="宋体"/>
      <w:kern w:val="0"/>
      <w:sz w:val="24"/>
    </w:rPr>
  </w:style>
  <w:style w:type="paragraph" w:customStyle="1" w:styleId="159">
    <w:name w:val="UserStyle_97"/>
    <w:basedOn w:val="1"/>
    <w:next w:val="1"/>
    <w:qFormat/>
    <w:uiPriority w:val="0"/>
    <w:pPr>
      <w:keepNext/>
      <w:keepLines/>
      <w:spacing w:line="400" w:lineRule="atLeast"/>
      <w:ind w:left="840" w:hanging="420"/>
      <w:jc w:val="left"/>
    </w:pPr>
    <w:rPr>
      <w:rFonts w:ascii="Times New Roman" w:hAnsi="Times New Roman" w:eastAsia="黑体"/>
      <w:b/>
      <w:kern w:val="0"/>
      <w:sz w:val="24"/>
      <w:szCs w:val="20"/>
    </w:rPr>
  </w:style>
  <w:style w:type="paragraph" w:customStyle="1" w:styleId="160">
    <w:name w:val="UserStyle_98"/>
    <w:basedOn w:val="1"/>
    <w:next w:val="1"/>
    <w:qFormat/>
    <w:uiPriority w:val="0"/>
    <w:pPr>
      <w:jc w:val="center"/>
    </w:pPr>
  </w:style>
  <w:style w:type="paragraph" w:customStyle="1" w:styleId="161">
    <w:name w:val="UserStyle_99"/>
    <w:basedOn w:val="1"/>
    <w:qFormat/>
    <w:uiPriority w:val="0"/>
    <w:pPr>
      <w:shd w:val="clear" w:color="auto" w:fill="FFFFFF"/>
      <w:spacing w:before="100" w:beforeAutospacing="1" w:after="100" w:afterAutospacing="1"/>
      <w:jc w:val="left"/>
    </w:pPr>
    <w:rPr>
      <w:rFonts w:ascii="宋体" w:hAnsi="宋体"/>
      <w:kern w:val="0"/>
      <w:sz w:val="24"/>
    </w:rPr>
  </w:style>
  <w:style w:type="paragraph" w:customStyle="1" w:styleId="162">
    <w:name w:val="UserStyle_100"/>
    <w:qFormat/>
    <w:uiPriority w:val="0"/>
    <w:pPr>
      <w:textAlignment w:val="baseline"/>
    </w:pPr>
    <w:rPr>
      <w:rFonts w:ascii="宋体" w:hAnsi="Times New Roman" w:eastAsia="宋体" w:cstheme="minorBidi"/>
      <w:sz w:val="24"/>
      <w:szCs w:val="24"/>
      <w:lang w:val="en-US" w:eastAsia="zh-CN" w:bidi="ar-SA"/>
    </w:rPr>
  </w:style>
  <w:style w:type="paragraph" w:customStyle="1" w:styleId="163">
    <w:name w:val="UserStyle_101"/>
    <w:basedOn w:val="1"/>
    <w:qFormat/>
    <w:uiPriority w:val="0"/>
    <w:pPr>
      <w:spacing w:before="120" w:after="120" w:line="360" w:lineRule="auto"/>
      <w:jc w:val="center"/>
    </w:pPr>
    <w:rPr>
      <w:rFonts w:ascii="Times New Roman" w:hAnsi="Times New Roman" w:eastAsia="仿宋_GB2312" w:cs="Times New Roman"/>
      <w:b/>
      <w:bCs/>
      <w:sz w:val="24"/>
    </w:rPr>
  </w:style>
  <w:style w:type="paragraph" w:customStyle="1" w:styleId="164">
    <w:name w:val="UserStyle_102"/>
    <w:basedOn w:val="1"/>
    <w:qFormat/>
    <w:uiPriority w:val="0"/>
    <w:pPr>
      <w:shd w:val="clear" w:color="auto" w:fill="FFFFFF"/>
      <w:spacing w:before="100" w:beforeAutospacing="1" w:after="100" w:afterAutospacing="1"/>
      <w:jc w:val="center"/>
    </w:pPr>
    <w:rPr>
      <w:rFonts w:ascii="宋体" w:hAnsi="宋体" w:cs="宋体"/>
      <w:b/>
      <w:bCs/>
      <w:kern w:val="0"/>
      <w:sz w:val="40"/>
      <w:szCs w:val="40"/>
    </w:rPr>
  </w:style>
  <w:style w:type="paragraph" w:customStyle="1" w:styleId="165">
    <w:name w:val="UserStyle_103"/>
    <w:basedOn w:val="1"/>
    <w:qFormat/>
    <w:uiPriority w:val="0"/>
  </w:style>
  <w:style w:type="paragraph" w:customStyle="1" w:styleId="166">
    <w:name w:val="UserStyle_104"/>
    <w:basedOn w:val="1"/>
    <w:qFormat/>
    <w:uiPriority w:val="0"/>
    <w:pPr>
      <w:spacing w:before="100" w:beforeAutospacing="1" w:after="100" w:afterAutospacing="1"/>
      <w:jc w:val="center"/>
    </w:pPr>
    <w:rPr>
      <w:rFonts w:ascii="Arial Unicode MS" w:hAnsi="Arial Unicode MS" w:eastAsia="Arial Unicode MS"/>
      <w:kern w:val="0"/>
      <w:sz w:val="24"/>
    </w:rPr>
  </w:style>
  <w:style w:type="paragraph" w:customStyle="1" w:styleId="167">
    <w:name w:val="UserStyle_105"/>
    <w:basedOn w:val="1"/>
    <w:qFormat/>
    <w:uiPriority w:val="0"/>
    <w:rPr>
      <w:kern w:val="0"/>
      <w:szCs w:val="21"/>
    </w:rPr>
  </w:style>
  <w:style w:type="paragraph" w:customStyle="1" w:styleId="168">
    <w:name w:val="UserStyle_106"/>
    <w:basedOn w:val="1"/>
    <w:qFormat/>
    <w:uiPriority w:val="0"/>
    <w:pPr>
      <w:spacing w:before="100" w:beforeAutospacing="1" w:after="100" w:afterAutospacing="1"/>
      <w:jc w:val="left"/>
    </w:pPr>
    <w:rPr>
      <w:rFonts w:ascii="宋体" w:hAnsi="宋体"/>
      <w:kern w:val="0"/>
      <w:sz w:val="24"/>
    </w:rPr>
  </w:style>
  <w:style w:type="paragraph" w:customStyle="1" w:styleId="169">
    <w:name w:val="UserStyle_107"/>
    <w:basedOn w:val="1"/>
    <w:qFormat/>
    <w:uiPriority w:val="0"/>
    <w:pPr>
      <w:ind w:firstLine="420" w:firstLineChars="200"/>
    </w:pPr>
    <w:rPr>
      <w:rFonts w:ascii="Times New Roman" w:hAnsi="Times New Roman"/>
      <w:sz w:val="28"/>
      <w:szCs w:val="28"/>
    </w:rPr>
  </w:style>
  <w:style w:type="paragraph" w:customStyle="1" w:styleId="170">
    <w:name w:val="179"/>
    <w:basedOn w:val="1"/>
    <w:qFormat/>
    <w:uiPriority w:val="0"/>
    <w:pPr>
      <w:ind w:firstLine="420" w:firstLineChars="200"/>
    </w:pPr>
    <w:rPr>
      <w:rFonts w:ascii="等线" w:hAnsi="等线" w:eastAsia="等线"/>
      <w:szCs w:val="22"/>
    </w:rPr>
  </w:style>
  <w:style w:type="paragraph" w:customStyle="1" w:styleId="171">
    <w:name w:val="UserStyle_108"/>
    <w:basedOn w:val="1"/>
    <w:qFormat/>
    <w:uiPriority w:val="0"/>
    <w:pPr>
      <w:spacing w:line="560" w:lineRule="exact"/>
      <w:ind w:firstLine="425" w:firstLineChars="177"/>
    </w:pPr>
    <w:rPr>
      <w:rFonts w:ascii="楷体" w:hAnsi="楷体"/>
      <w:color w:val="000000"/>
    </w:rPr>
  </w:style>
  <w:style w:type="paragraph" w:customStyle="1" w:styleId="172">
    <w:name w:val="UserStyle_109"/>
    <w:basedOn w:val="160"/>
    <w:qFormat/>
    <w:uiPriority w:val="0"/>
    <w:pPr>
      <w:jc w:val="left"/>
    </w:pPr>
    <w:rPr>
      <w:rFonts w:ascii="宋体" w:hAnsi="宋体"/>
    </w:rPr>
  </w:style>
  <w:style w:type="paragraph" w:customStyle="1" w:styleId="173">
    <w:name w:val="UserStyle_110"/>
    <w:basedOn w:val="1"/>
    <w:qFormat/>
    <w:uiPriority w:val="0"/>
    <w:pPr>
      <w:shd w:val="clear" w:color="auto" w:fill="FFFFFF"/>
      <w:spacing w:before="100" w:beforeAutospacing="1" w:after="100" w:afterAutospacing="1"/>
      <w:jc w:val="left"/>
    </w:pPr>
    <w:rPr>
      <w:rFonts w:ascii="宋体" w:hAnsi="宋体"/>
      <w:color w:val="FF0000"/>
      <w:kern w:val="0"/>
      <w:sz w:val="24"/>
    </w:rPr>
  </w:style>
  <w:style w:type="paragraph" w:customStyle="1" w:styleId="174">
    <w:name w:val="UserStyle_111"/>
    <w:basedOn w:val="1"/>
    <w:qFormat/>
    <w:uiPriority w:val="0"/>
    <w:pPr>
      <w:spacing w:before="100" w:beforeAutospacing="1" w:after="100" w:afterAutospacing="1"/>
      <w:jc w:val="left"/>
    </w:pPr>
    <w:rPr>
      <w:rFonts w:ascii="宋体" w:hAnsi="宋体"/>
      <w:kern w:val="0"/>
      <w:sz w:val="24"/>
    </w:rPr>
  </w:style>
  <w:style w:type="paragraph" w:customStyle="1" w:styleId="175">
    <w:name w:val="UserStyle_112"/>
    <w:basedOn w:val="1"/>
    <w:qFormat/>
    <w:uiPriority w:val="0"/>
    <w:pPr>
      <w:spacing w:before="100" w:beforeAutospacing="1" w:after="100" w:afterAutospacing="1"/>
      <w:jc w:val="left"/>
    </w:pPr>
    <w:rPr>
      <w:rFonts w:ascii="宋体" w:hAnsi="宋体"/>
      <w:kern w:val="0"/>
      <w:sz w:val="24"/>
    </w:rPr>
  </w:style>
  <w:style w:type="paragraph" w:customStyle="1" w:styleId="176">
    <w:name w:val="UserStyle_113"/>
    <w:next w:val="1"/>
    <w:qFormat/>
    <w:uiPriority w:val="0"/>
    <w:pPr>
      <w:textAlignment w:val="baseline"/>
    </w:pPr>
    <w:rPr>
      <w:rFonts w:ascii="Times New Roman" w:hAnsi="Times New Roman" w:eastAsia="Times New Roman" w:cstheme="minorBidi"/>
      <w:sz w:val="24"/>
      <w:szCs w:val="24"/>
      <w:lang w:val="en-US" w:eastAsia="zh-CN" w:bidi="ar-SA"/>
    </w:rPr>
  </w:style>
  <w:style w:type="paragraph" w:customStyle="1" w:styleId="177">
    <w:name w:val="UserStyle_114"/>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textAlignment w:val="center"/>
    </w:pPr>
    <w:rPr>
      <w:rFonts w:ascii="宋体" w:hAnsi="宋体"/>
      <w:kern w:val="0"/>
      <w:szCs w:val="21"/>
    </w:rPr>
  </w:style>
  <w:style w:type="paragraph" w:customStyle="1" w:styleId="178">
    <w:name w:val="UserStyle_115"/>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Cs w:val="21"/>
    </w:rPr>
  </w:style>
  <w:style w:type="paragraph" w:customStyle="1" w:styleId="179">
    <w:name w:val="UserStyle_116"/>
    <w:qFormat/>
    <w:uiPriority w:val="0"/>
    <w:pPr>
      <w:textAlignment w:val="baseline"/>
    </w:pPr>
    <w:rPr>
      <w:rFonts w:ascii="方正仿宋简体" w:hAnsi="方正仿宋简体" w:eastAsia="方正仿宋简体" w:cstheme="minorBidi"/>
      <w:sz w:val="24"/>
      <w:szCs w:val="22"/>
      <w:lang w:val="zh-CN" w:eastAsia="zh-CN" w:bidi="ar-SA"/>
    </w:rPr>
  </w:style>
  <w:style w:type="paragraph" w:customStyle="1" w:styleId="180">
    <w:name w:val="UserStyle_117"/>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textAlignment w:val="center"/>
    </w:pPr>
    <w:rPr>
      <w:rFonts w:ascii="宋体" w:hAnsi="宋体"/>
      <w:kern w:val="0"/>
      <w:szCs w:val="21"/>
    </w:rPr>
  </w:style>
  <w:style w:type="paragraph" w:customStyle="1" w:styleId="181">
    <w:name w:val="UserStyle_118"/>
    <w:basedOn w:val="1"/>
    <w:qFormat/>
    <w:uiPriority w:val="0"/>
    <w:pPr>
      <w:spacing w:before="100" w:beforeAutospacing="1" w:after="100" w:afterAutospacing="1"/>
      <w:jc w:val="left"/>
    </w:pPr>
    <w:rPr>
      <w:rFonts w:ascii="宋体" w:hAnsi="宋体"/>
      <w:kern w:val="0"/>
      <w:sz w:val="24"/>
    </w:rPr>
  </w:style>
  <w:style w:type="paragraph" w:customStyle="1" w:styleId="182">
    <w:name w:val="UserStyle_119"/>
    <w:basedOn w:val="1"/>
    <w:qFormat/>
    <w:uiPriority w:val="0"/>
    <w:pPr>
      <w:spacing w:line="440" w:lineRule="exact"/>
      <w:ind w:firstLine="200" w:firstLineChars="200"/>
      <w:jc w:val="left"/>
    </w:pPr>
    <w:rPr>
      <w:rFonts w:ascii="Times New Roman" w:hAnsi="Times New Roman"/>
      <w:sz w:val="24"/>
    </w:rPr>
  </w:style>
  <w:style w:type="paragraph" w:customStyle="1" w:styleId="183">
    <w:name w:val="UserStyle_120"/>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color w:val="0070C0"/>
      <w:kern w:val="0"/>
      <w:szCs w:val="21"/>
    </w:rPr>
  </w:style>
  <w:style w:type="paragraph" w:customStyle="1" w:styleId="184">
    <w:name w:val="UserStyle_121"/>
    <w:basedOn w:val="1"/>
    <w:next w:val="1"/>
    <w:qFormat/>
    <w:uiPriority w:val="0"/>
    <w:pPr>
      <w:keepNext/>
      <w:keepLines/>
      <w:spacing w:line="400" w:lineRule="atLeast"/>
      <w:ind w:left="1155" w:hanging="420"/>
    </w:pPr>
    <w:rPr>
      <w:rFonts w:ascii="Times New Roman" w:hAnsi="Times New Roman" w:eastAsia="黑体"/>
      <w:kern w:val="0"/>
      <w:sz w:val="24"/>
      <w:szCs w:val="20"/>
    </w:rPr>
  </w:style>
  <w:style w:type="paragraph" w:customStyle="1" w:styleId="185">
    <w:name w:val="UserStyle_122"/>
    <w:basedOn w:val="1"/>
    <w:qFormat/>
    <w:uiPriority w:val="0"/>
    <w:pPr>
      <w:spacing w:before="100" w:beforeAutospacing="1" w:after="100" w:afterAutospacing="1" w:line="360" w:lineRule="auto"/>
      <w:ind w:left="420" w:hanging="420"/>
    </w:pPr>
    <w:rPr>
      <w:rFonts w:ascii="宋体" w:hAnsi="宋体" w:cs="Times New Roman"/>
      <w:b/>
      <w:bCs/>
    </w:rPr>
  </w:style>
  <w:style w:type="paragraph" w:customStyle="1" w:styleId="186">
    <w:name w:val="UserStyle_123"/>
    <w:basedOn w:val="1"/>
    <w:qFormat/>
    <w:uiPriority w:val="0"/>
    <w:pPr>
      <w:shd w:val="clear" w:color="auto" w:fill="FFFFFF"/>
      <w:spacing w:before="100" w:beforeAutospacing="1" w:after="100" w:afterAutospacing="1"/>
      <w:jc w:val="center"/>
      <w:textAlignment w:val="center"/>
    </w:pPr>
    <w:rPr>
      <w:rFonts w:ascii="宋体" w:hAnsi="宋体" w:cs="宋体"/>
      <w:b/>
      <w:bCs/>
      <w:kern w:val="0"/>
      <w:sz w:val="40"/>
      <w:szCs w:val="40"/>
    </w:rPr>
  </w:style>
  <w:style w:type="paragraph" w:customStyle="1" w:styleId="187">
    <w:name w:val="UserStyle_124"/>
    <w:basedOn w:val="1"/>
    <w:qFormat/>
    <w:uiPriority w:val="0"/>
    <w:pPr>
      <w:shd w:val="clear" w:color="auto" w:fill="FFFFFF"/>
      <w:spacing w:before="100" w:beforeAutospacing="1" w:after="100" w:afterAutospacing="1"/>
      <w:jc w:val="left"/>
    </w:pPr>
    <w:rPr>
      <w:rFonts w:ascii="宋体" w:hAnsi="宋体"/>
      <w:color w:val="0070C0"/>
      <w:kern w:val="0"/>
      <w:sz w:val="24"/>
    </w:rPr>
  </w:style>
  <w:style w:type="paragraph" w:customStyle="1" w:styleId="188">
    <w:name w:val="UserStyle_125"/>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Cs w:val="21"/>
    </w:rPr>
  </w:style>
  <w:style w:type="paragraph" w:customStyle="1" w:styleId="189">
    <w:name w:val="UserStyle_126"/>
    <w:basedOn w:val="1"/>
    <w:qFormat/>
    <w:uiPriority w:val="0"/>
    <w:pPr>
      <w:shd w:val="clear" w:color="auto" w:fill="FFFFFF"/>
      <w:spacing w:before="100" w:beforeAutospacing="1" w:after="100" w:afterAutospacing="1"/>
      <w:jc w:val="left"/>
    </w:pPr>
    <w:rPr>
      <w:rFonts w:ascii="宋体" w:hAnsi="宋体"/>
      <w:kern w:val="0"/>
      <w:sz w:val="24"/>
    </w:rPr>
  </w:style>
  <w:style w:type="paragraph" w:customStyle="1" w:styleId="190">
    <w:name w:val="UserStyle_127"/>
    <w:basedOn w:val="1"/>
    <w:qFormat/>
    <w:uiPriority w:val="0"/>
    <w:rPr>
      <w:rFonts w:eastAsia="仿宋"/>
      <w:sz w:val="28"/>
      <w:lang w:val="zh-CN"/>
    </w:rPr>
  </w:style>
  <w:style w:type="paragraph" w:customStyle="1" w:styleId="191">
    <w:name w:val="UserStyle_128"/>
    <w:basedOn w:val="1"/>
    <w:qFormat/>
    <w:uiPriority w:val="0"/>
    <w:pPr>
      <w:spacing w:before="100" w:beforeAutospacing="1" w:after="100" w:afterAutospacing="1"/>
      <w:jc w:val="left"/>
    </w:pPr>
    <w:rPr>
      <w:rFonts w:ascii="等线" w:hAnsi="等线" w:eastAsia="等线"/>
      <w:kern w:val="0"/>
      <w:sz w:val="18"/>
      <w:szCs w:val="18"/>
    </w:rPr>
  </w:style>
  <w:style w:type="paragraph" w:customStyle="1" w:styleId="192">
    <w:name w:val="UserStyle_129"/>
    <w:qFormat/>
    <w:uiPriority w:val="0"/>
    <w:pPr>
      <w:textAlignment w:val="baseline"/>
    </w:pPr>
    <w:rPr>
      <w:rFonts w:ascii="仿宋" w:hAnsi="Times New Roman" w:eastAsia="仿宋" w:cstheme="minorBidi"/>
      <w:color w:val="000000"/>
      <w:sz w:val="24"/>
      <w:szCs w:val="24"/>
      <w:lang w:val="en-US" w:eastAsia="zh-CN" w:bidi="ar-SA"/>
    </w:rPr>
  </w:style>
  <w:style w:type="paragraph" w:customStyle="1" w:styleId="193">
    <w:name w:val="UserStyle_130"/>
    <w:qFormat/>
    <w:uiPriority w:val="0"/>
    <w:pPr>
      <w:textAlignment w:val="baseline"/>
    </w:pPr>
    <w:rPr>
      <w:rFonts w:ascii="Times New Roman" w:hAnsi="Times New Roman" w:eastAsia="Times New Roman" w:cstheme="minorBidi"/>
      <w:sz w:val="24"/>
      <w:szCs w:val="24"/>
      <w:lang w:val="en-US" w:eastAsia="zh-CN" w:bidi="ar-SA"/>
    </w:rPr>
  </w:style>
  <w:style w:type="paragraph" w:customStyle="1" w:styleId="194">
    <w:name w:val="UserStyle_131"/>
    <w:basedOn w:val="1"/>
    <w:qFormat/>
    <w:uiPriority w:val="0"/>
    <w:pPr>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Cs w:val="21"/>
    </w:rPr>
  </w:style>
  <w:style w:type="paragraph" w:customStyle="1" w:styleId="195">
    <w:name w:val="UserStyle_132"/>
    <w:basedOn w:val="1"/>
    <w:qFormat/>
    <w:uiPriority w:val="0"/>
    <w:pPr>
      <w:spacing w:line="360" w:lineRule="auto"/>
      <w:ind w:firstLine="420" w:firstLineChars="200"/>
    </w:pPr>
    <w:rPr>
      <w:szCs w:val="22"/>
    </w:rPr>
  </w:style>
  <w:style w:type="table" w:customStyle="1" w:styleId="196">
    <w:name w:val="UserStyle_133"/>
    <w:basedOn w:val="35"/>
    <w:qFormat/>
    <w:uiPriority w:val="0"/>
  </w:style>
  <w:style w:type="character" w:customStyle="1" w:styleId="197">
    <w:name w:val="UserStyle_134"/>
    <w:qFormat/>
    <w:locked/>
    <w:uiPriority w:val="0"/>
    <w:rPr>
      <w:rFonts w:ascii="Cambria" w:hAnsi="Cambria" w:eastAsia="宋体"/>
      <w:b/>
      <w:sz w:val="32"/>
    </w:rPr>
  </w:style>
  <w:style w:type="character" w:customStyle="1" w:styleId="198">
    <w:name w:val="UserStyle_135"/>
    <w:qFormat/>
    <w:uiPriority w:val="0"/>
    <w:rPr>
      <w:sz w:val="18"/>
    </w:rPr>
  </w:style>
  <w:style w:type="character" w:customStyle="1" w:styleId="199">
    <w:name w:val="UserStyle_136"/>
    <w:qFormat/>
    <w:locked/>
    <w:uiPriority w:val="0"/>
    <w:rPr>
      <w:rFonts w:eastAsia="楷体_GB2312" w:cs="Times New Roman"/>
      <w:b/>
      <w:bCs/>
      <w:kern w:val="2"/>
      <w:sz w:val="28"/>
      <w:szCs w:val="28"/>
    </w:rPr>
  </w:style>
  <w:style w:type="character" w:customStyle="1" w:styleId="200">
    <w:name w:val="UserStyle_137"/>
    <w:qFormat/>
    <w:uiPriority w:val="0"/>
    <w:rPr>
      <w:rFonts w:ascii="楷体_GB2312" w:hAnsi="Arial" w:eastAsia="楷体_GB2312"/>
      <w:sz w:val="20"/>
    </w:rPr>
  </w:style>
  <w:style w:type="character" w:customStyle="1" w:styleId="201">
    <w:name w:val="UserStyle_138"/>
    <w:qFormat/>
    <w:locked/>
    <w:uiPriority w:val="0"/>
    <w:rPr>
      <w:rFonts w:ascii="楷体_GB2312" w:hAnsi="Arial" w:eastAsia="楷体_GB2312"/>
      <w:sz w:val="28"/>
    </w:rPr>
  </w:style>
  <w:style w:type="character" w:customStyle="1" w:styleId="202">
    <w:name w:val="UserStyle_139"/>
    <w:link w:val="203"/>
    <w:qFormat/>
    <w:uiPriority w:val="0"/>
    <w:rPr>
      <w:rFonts w:ascii="Arial" w:hAnsi="Arial"/>
      <w:sz w:val="24"/>
      <w:szCs w:val="24"/>
    </w:rPr>
  </w:style>
  <w:style w:type="paragraph" w:customStyle="1" w:styleId="203">
    <w:name w:val="HtmlPre"/>
    <w:basedOn w:val="1"/>
    <w:link w:val="202"/>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204">
    <w:name w:val="UserStyle_140"/>
    <w:semiHidden/>
    <w:qFormat/>
    <w:locked/>
    <w:uiPriority w:val="0"/>
    <w:rPr>
      <w:rFonts w:ascii="Times New Roman" w:hAnsi="Times New Roman" w:eastAsia="宋体"/>
      <w:sz w:val="20"/>
      <w:szCs w:val="20"/>
    </w:rPr>
  </w:style>
  <w:style w:type="character" w:customStyle="1" w:styleId="205">
    <w:name w:val="UserStyle_141"/>
    <w:qFormat/>
    <w:uiPriority w:val="0"/>
    <w:rPr>
      <w:rFonts w:ascii="宋体" w:hAnsi="宋体"/>
      <w:b/>
      <w:kern w:val="2"/>
      <w:sz w:val="36"/>
    </w:rPr>
  </w:style>
  <w:style w:type="character" w:customStyle="1" w:styleId="206">
    <w:name w:val="UserStyle_142"/>
    <w:qFormat/>
    <w:locked/>
    <w:uiPriority w:val="0"/>
    <w:rPr>
      <w:rFonts w:eastAsia="仿宋_GB2312"/>
      <w:sz w:val="24"/>
    </w:rPr>
  </w:style>
  <w:style w:type="character" w:customStyle="1" w:styleId="207">
    <w:name w:val="UserStyle_143"/>
    <w:qFormat/>
    <w:locked/>
    <w:uiPriority w:val="0"/>
    <w:rPr>
      <w:rFonts w:cs="Times New Roman"/>
      <w:b/>
      <w:bCs/>
      <w:kern w:val="2"/>
      <w:sz w:val="18"/>
    </w:rPr>
  </w:style>
  <w:style w:type="character" w:customStyle="1" w:styleId="208">
    <w:name w:val="UserStyle_144"/>
    <w:qFormat/>
    <w:locked/>
    <w:uiPriority w:val="0"/>
    <w:rPr>
      <w:rFonts w:ascii="宋体"/>
      <w:sz w:val="28"/>
    </w:rPr>
  </w:style>
  <w:style w:type="character" w:customStyle="1" w:styleId="209">
    <w:name w:val="UserStyle_145"/>
    <w:qFormat/>
    <w:locked/>
    <w:uiPriority w:val="0"/>
    <w:rPr>
      <w:sz w:val="24"/>
    </w:rPr>
  </w:style>
  <w:style w:type="character" w:customStyle="1" w:styleId="210">
    <w:name w:val="UserStyle_146"/>
    <w:qFormat/>
    <w:locked/>
    <w:uiPriority w:val="0"/>
    <w:rPr>
      <w:kern w:val="2"/>
      <w:sz w:val="18"/>
    </w:rPr>
  </w:style>
  <w:style w:type="character" w:customStyle="1" w:styleId="211">
    <w:name w:val="UserStyle_147"/>
    <w:qFormat/>
    <w:uiPriority w:val="0"/>
    <w:rPr>
      <w:rFonts w:cs="Times New Roman"/>
      <w:b/>
      <w:bCs/>
      <w:kern w:val="2"/>
      <w:sz w:val="21"/>
    </w:rPr>
  </w:style>
  <w:style w:type="character" w:customStyle="1" w:styleId="212">
    <w:name w:val="UserStyle_148"/>
    <w:qFormat/>
    <w:locked/>
    <w:uiPriority w:val="0"/>
    <w:rPr>
      <w:rFonts w:cs="Times New Roman"/>
      <w:b/>
      <w:bCs/>
      <w:kern w:val="2"/>
      <w:sz w:val="18"/>
    </w:rPr>
  </w:style>
  <w:style w:type="character" w:customStyle="1" w:styleId="213">
    <w:name w:val="UserStyle_149"/>
    <w:qFormat/>
    <w:uiPriority w:val="0"/>
    <w:rPr>
      <w:rFonts w:ascii="Cambria" w:hAnsi="Cambria" w:cs="Times New Roman"/>
      <w:b/>
      <w:bCs/>
      <w:kern w:val="28"/>
      <w:sz w:val="32"/>
      <w:szCs w:val="32"/>
    </w:rPr>
  </w:style>
  <w:style w:type="character" w:customStyle="1" w:styleId="214">
    <w:name w:val="UserStyle_150"/>
    <w:qFormat/>
    <w:locked/>
    <w:uiPriority w:val="0"/>
    <w:rPr>
      <w:b/>
      <w:sz w:val="28"/>
      <w:u w:val="single"/>
    </w:rPr>
  </w:style>
  <w:style w:type="character" w:customStyle="1" w:styleId="215">
    <w:name w:val="UserStyle_151"/>
    <w:qFormat/>
    <w:uiPriority w:val="0"/>
    <w:rPr>
      <w:kern w:val="2"/>
      <w:sz w:val="21"/>
    </w:rPr>
  </w:style>
  <w:style w:type="character" w:customStyle="1" w:styleId="216">
    <w:name w:val="UserStyle_152"/>
    <w:link w:val="217"/>
    <w:qFormat/>
    <w:locked/>
    <w:uiPriority w:val="0"/>
    <w:rPr>
      <w:b/>
      <w:sz w:val="24"/>
    </w:rPr>
  </w:style>
  <w:style w:type="paragraph" w:customStyle="1" w:styleId="217">
    <w:name w:val="UserStyle_153"/>
    <w:basedOn w:val="1"/>
    <w:next w:val="1"/>
    <w:link w:val="216"/>
    <w:qFormat/>
    <w:uiPriority w:val="0"/>
    <w:pPr>
      <w:spacing w:line="360" w:lineRule="auto"/>
    </w:pPr>
    <w:rPr>
      <w:rFonts w:ascii="Times New Roman" w:hAnsi="Times New Roman"/>
      <w:b/>
      <w:kern w:val="0"/>
      <w:sz w:val="24"/>
      <w:szCs w:val="20"/>
    </w:rPr>
  </w:style>
  <w:style w:type="character" w:customStyle="1" w:styleId="218">
    <w:name w:val="UserStyle_154"/>
    <w:qFormat/>
    <w:locked/>
    <w:uiPriority w:val="0"/>
    <w:rPr>
      <w:rFonts w:ascii="宋体" w:eastAsia="宋体"/>
      <w:sz w:val="28"/>
    </w:rPr>
  </w:style>
  <w:style w:type="character" w:customStyle="1" w:styleId="219">
    <w:name w:val="UserStyle_155"/>
    <w:qFormat/>
    <w:uiPriority w:val="0"/>
    <w:rPr>
      <w:rFonts w:ascii="宋体"/>
      <w:sz w:val="28"/>
    </w:rPr>
  </w:style>
  <w:style w:type="character" w:customStyle="1" w:styleId="220">
    <w:name w:val="UserStyle_7"/>
    <w:link w:val="29"/>
    <w:qFormat/>
    <w:uiPriority w:val="0"/>
    <w:rPr>
      <w:rFonts w:ascii="Calibri" w:hAnsi="Calibri"/>
      <w:kern w:val="2"/>
      <w:sz w:val="21"/>
      <w:szCs w:val="21"/>
    </w:rPr>
  </w:style>
  <w:style w:type="character" w:customStyle="1" w:styleId="221">
    <w:name w:val="UserStyle_156"/>
    <w:qFormat/>
    <w:uiPriority w:val="0"/>
    <w:rPr>
      <w:kern w:val="2"/>
      <w:sz w:val="18"/>
      <w:szCs w:val="18"/>
    </w:rPr>
  </w:style>
  <w:style w:type="character" w:customStyle="1" w:styleId="222">
    <w:name w:val="UserStyle_157"/>
    <w:link w:val="223"/>
    <w:qFormat/>
    <w:locked/>
    <w:uiPriority w:val="0"/>
    <w:rPr>
      <w:b/>
      <w:sz w:val="24"/>
    </w:rPr>
  </w:style>
  <w:style w:type="paragraph" w:customStyle="1" w:styleId="223">
    <w:name w:val="UserStyle_158"/>
    <w:basedOn w:val="1"/>
    <w:next w:val="1"/>
    <w:link w:val="222"/>
    <w:qFormat/>
    <w:uiPriority w:val="0"/>
    <w:pPr>
      <w:spacing w:line="360" w:lineRule="auto"/>
      <w:ind w:left="846" w:hanging="420"/>
      <w:jc w:val="left"/>
    </w:pPr>
    <w:rPr>
      <w:rFonts w:ascii="Times New Roman" w:hAnsi="Times New Roman"/>
      <w:b/>
      <w:kern w:val="0"/>
      <w:sz w:val="24"/>
      <w:szCs w:val="20"/>
    </w:rPr>
  </w:style>
  <w:style w:type="character" w:customStyle="1" w:styleId="224">
    <w:name w:val="UserStyle_159"/>
    <w:qFormat/>
    <w:locked/>
    <w:uiPriority w:val="0"/>
    <w:rPr>
      <w:rFonts w:eastAsia="仿宋_GB2312"/>
      <w:sz w:val="24"/>
    </w:rPr>
  </w:style>
  <w:style w:type="character" w:customStyle="1" w:styleId="225">
    <w:name w:val="UserStyle_160"/>
    <w:qFormat/>
    <w:locked/>
    <w:uiPriority w:val="0"/>
    <w:rPr>
      <w:kern w:val="2"/>
      <w:sz w:val="18"/>
    </w:rPr>
  </w:style>
  <w:style w:type="character" w:customStyle="1" w:styleId="226">
    <w:name w:val="UserStyle_161"/>
    <w:qFormat/>
    <w:locked/>
    <w:uiPriority w:val="0"/>
    <w:rPr>
      <w:rFonts w:ascii="宋体" w:hAnsi="宋体"/>
      <w:kern w:val="2"/>
      <w:sz w:val="28"/>
    </w:rPr>
  </w:style>
  <w:style w:type="character" w:customStyle="1" w:styleId="227">
    <w:name w:val="UserStyle_162"/>
    <w:qFormat/>
    <w:locked/>
    <w:uiPriority w:val="0"/>
    <w:rPr>
      <w:rFonts w:ascii="等线 Light" w:hAnsi="等线 Light" w:eastAsia="等线 Light"/>
      <w:sz w:val="24"/>
      <w:szCs w:val="24"/>
    </w:rPr>
  </w:style>
  <w:style w:type="character" w:customStyle="1" w:styleId="228">
    <w:name w:val="UserStyle_163"/>
    <w:qFormat/>
    <w:locked/>
    <w:uiPriority w:val="0"/>
    <w:rPr>
      <w:rFonts w:ascii="Calibri" w:hAnsi="Calibri" w:eastAsia="宋体"/>
      <w:sz w:val="18"/>
    </w:rPr>
  </w:style>
  <w:style w:type="character" w:customStyle="1" w:styleId="229">
    <w:name w:val="UserStyle_164"/>
    <w:qFormat/>
    <w:uiPriority w:val="0"/>
    <w:rPr>
      <w:rFonts w:ascii="Cambria" w:hAnsi="Cambria"/>
      <w:b/>
      <w:sz w:val="32"/>
    </w:rPr>
  </w:style>
  <w:style w:type="character" w:customStyle="1" w:styleId="230">
    <w:name w:val="UserStyle_165"/>
    <w:qFormat/>
    <w:uiPriority w:val="0"/>
    <w:rPr>
      <w:rFonts w:ascii="Cambria" w:hAnsi="Cambria" w:eastAsia="宋体"/>
      <w:kern w:val="2"/>
      <w:sz w:val="24"/>
      <w:szCs w:val="24"/>
    </w:rPr>
  </w:style>
  <w:style w:type="character" w:customStyle="1" w:styleId="231">
    <w:name w:val="UserStyle_166"/>
    <w:qFormat/>
    <w:locked/>
    <w:uiPriority w:val="0"/>
  </w:style>
  <w:style w:type="character" w:customStyle="1" w:styleId="232">
    <w:name w:val="UserStyle_167"/>
    <w:qFormat/>
    <w:uiPriority w:val="0"/>
    <w:rPr>
      <w:rFonts w:ascii="楷体_GB2312" w:hAnsi="Arial" w:eastAsia="楷体_GB2312"/>
      <w:kern w:val="2"/>
      <w:sz w:val="28"/>
    </w:rPr>
  </w:style>
  <w:style w:type="character" w:customStyle="1" w:styleId="233">
    <w:name w:val="UserStyle_168"/>
    <w:qFormat/>
    <w:locked/>
    <w:uiPriority w:val="0"/>
    <w:rPr>
      <w:rFonts w:ascii="Cambria" w:hAnsi="Cambria" w:eastAsia="宋体"/>
      <w:b/>
      <w:kern w:val="28"/>
      <w:sz w:val="32"/>
    </w:rPr>
  </w:style>
  <w:style w:type="character" w:customStyle="1" w:styleId="234">
    <w:name w:val="UserStyle_169"/>
    <w:qFormat/>
    <w:uiPriority w:val="0"/>
    <w:rPr>
      <w:rFonts w:ascii="宋体" w:eastAsia="宋体"/>
      <w:b/>
      <w:kern w:val="2"/>
      <w:sz w:val="36"/>
    </w:rPr>
  </w:style>
  <w:style w:type="character" w:customStyle="1" w:styleId="235">
    <w:name w:val="UserStyle_170"/>
    <w:qFormat/>
    <w:locked/>
    <w:uiPriority w:val="0"/>
    <w:rPr>
      <w:rFonts w:ascii="宋体" w:hAnsi="宋体" w:eastAsia="宋体"/>
      <w:b/>
      <w:sz w:val="20"/>
      <w:szCs w:val="20"/>
    </w:rPr>
  </w:style>
  <w:style w:type="character" w:customStyle="1" w:styleId="236">
    <w:name w:val="UserStyle_171"/>
    <w:link w:val="237"/>
    <w:qFormat/>
    <w:locked/>
    <w:uiPriority w:val="0"/>
    <w:rPr>
      <w:sz w:val="24"/>
    </w:rPr>
  </w:style>
  <w:style w:type="paragraph" w:customStyle="1" w:styleId="237">
    <w:name w:val="UserStyle_172"/>
    <w:basedOn w:val="29"/>
    <w:link w:val="236"/>
    <w:qFormat/>
    <w:uiPriority w:val="0"/>
    <w:pPr>
      <w:spacing w:line="360" w:lineRule="auto"/>
      <w:ind w:firstLine="200" w:firstLineChars="200"/>
    </w:pPr>
    <w:rPr>
      <w:rFonts w:ascii="Times New Roman" w:hAnsi="Times New Roman"/>
      <w:kern w:val="0"/>
      <w:sz w:val="24"/>
      <w:szCs w:val="20"/>
    </w:rPr>
  </w:style>
  <w:style w:type="character" w:customStyle="1" w:styleId="238">
    <w:name w:val="UserStyle_173"/>
    <w:qFormat/>
    <w:uiPriority w:val="0"/>
    <w:rPr>
      <w:kern w:val="2"/>
      <w:sz w:val="21"/>
    </w:rPr>
  </w:style>
  <w:style w:type="character" w:customStyle="1" w:styleId="239">
    <w:name w:val="签名 字符"/>
    <w:link w:val="10"/>
    <w:qFormat/>
    <w:locked/>
    <w:uiPriority w:val="0"/>
    <w:rPr>
      <w:rFonts w:eastAsia="仿宋_GB2312"/>
      <w:sz w:val="24"/>
    </w:rPr>
  </w:style>
  <w:style w:type="character" w:customStyle="1" w:styleId="240">
    <w:name w:val="UserStyle_175"/>
    <w:qFormat/>
    <w:uiPriority w:val="0"/>
  </w:style>
  <w:style w:type="character" w:customStyle="1" w:styleId="241">
    <w:name w:val="UserStyle_176"/>
    <w:qFormat/>
    <w:uiPriority w:val="0"/>
    <w:rPr>
      <w:rFonts w:ascii="Cambria" w:hAnsi="Cambria" w:eastAsia="黑体" w:cs="Times New Roman"/>
      <w:b/>
      <w:bCs/>
      <w:sz w:val="28"/>
      <w:szCs w:val="24"/>
    </w:rPr>
  </w:style>
  <w:style w:type="character" w:customStyle="1" w:styleId="242">
    <w:name w:val="UserStyle_177"/>
    <w:qFormat/>
    <w:uiPriority w:val="0"/>
    <w:rPr>
      <w:rFonts w:ascii="楷体_GB2312" w:hAnsi="Arial" w:eastAsia="楷体_GB2312"/>
      <w:kern w:val="2"/>
      <w:sz w:val="20"/>
    </w:rPr>
  </w:style>
  <w:style w:type="character" w:customStyle="1" w:styleId="243">
    <w:name w:val="UserStyle_178"/>
    <w:qFormat/>
    <w:uiPriority w:val="0"/>
    <w:rPr>
      <w:rFonts w:ascii="Cambria" w:hAnsi="Cambria"/>
      <w:b/>
      <w:kern w:val="28"/>
      <w:sz w:val="32"/>
    </w:rPr>
  </w:style>
  <w:style w:type="character" w:customStyle="1" w:styleId="244">
    <w:name w:val="UserStyle_179"/>
    <w:qFormat/>
    <w:uiPriority w:val="0"/>
    <w:rPr>
      <w:sz w:val="18"/>
    </w:rPr>
  </w:style>
  <w:style w:type="character" w:customStyle="1" w:styleId="245">
    <w:name w:val="UserStyle_180"/>
    <w:qFormat/>
    <w:uiPriority w:val="0"/>
    <w:rPr>
      <w:rFonts w:ascii="Cambria" w:hAnsi="Cambria" w:cs="Times New Roman"/>
      <w:b/>
      <w:bCs/>
      <w:kern w:val="2"/>
      <w:sz w:val="32"/>
      <w:szCs w:val="32"/>
    </w:rPr>
  </w:style>
  <w:style w:type="character" w:customStyle="1" w:styleId="246">
    <w:name w:val="UserStyle_181"/>
    <w:link w:val="247"/>
    <w:qFormat/>
    <w:locked/>
    <w:uiPriority w:val="0"/>
    <w:rPr>
      <w:kern w:val="2"/>
      <w:sz w:val="22"/>
      <w:szCs w:val="22"/>
    </w:rPr>
  </w:style>
  <w:style w:type="paragraph" w:customStyle="1" w:styleId="247">
    <w:name w:val="UserStyle_182"/>
    <w:link w:val="246"/>
    <w:qFormat/>
    <w:uiPriority w:val="0"/>
    <w:pPr>
      <w:textAlignment w:val="baseline"/>
    </w:pPr>
    <w:rPr>
      <w:rFonts w:ascii="Times New Roman" w:hAnsi="Times New Roman" w:eastAsia="宋体" w:cstheme="minorBidi"/>
      <w:kern w:val="2"/>
      <w:sz w:val="22"/>
      <w:szCs w:val="22"/>
      <w:lang w:val="en-US" w:eastAsia="zh-CN" w:bidi="ar-SA"/>
    </w:rPr>
  </w:style>
  <w:style w:type="character" w:customStyle="1" w:styleId="248">
    <w:name w:val="UserStyle_183"/>
    <w:qFormat/>
    <w:locked/>
    <w:uiPriority w:val="0"/>
    <w:rPr>
      <w:rFonts w:ascii="宋体" w:hAnsi="Courier New" w:eastAsia="宋体"/>
    </w:rPr>
  </w:style>
  <w:style w:type="paragraph" w:customStyle="1" w:styleId="249">
    <w:name w:val="Index8"/>
    <w:basedOn w:val="1"/>
    <w:next w:val="1"/>
    <w:semiHidden/>
    <w:qFormat/>
    <w:locked/>
    <w:uiPriority w:val="0"/>
    <w:pPr>
      <w:ind w:left="1400" w:leftChars="1400"/>
    </w:pPr>
    <w:rPr>
      <w:szCs w:val="20"/>
    </w:rPr>
  </w:style>
  <w:style w:type="paragraph" w:customStyle="1" w:styleId="250">
    <w:name w:val="Index6"/>
    <w:basedOn w:val="1"/>
    <w:next w:val="1"/>
    <w:semiHidden/>
    <w:qFormat/>
    <w:locked/>
    <w:uiPriority w:val="0"/>
    <w:pPr>
      <w:ind w:left="1000" w:leftChars="1000"/>
    </w:pPr>
    <w:rPr>
      <w:szCs w:val="20"/>
    </w:rPr>
  </w:style>
  <w:style w:type="paragraph" w:customStyle="1" w:styleId="251">
    <w:name w:val="ListNumber"/>
    <w:basedOn w:val="1"/>
    <w:qFormat/>
    <w:locked/>
    <w:uiPriority w:val="0"/>
    <w:pPr>
      <w:numPr>
        <w:ilvl w:val="0"/>
        <w:numId w:val="1"/>
      </w:numPr>
      <w:tabs>
        <w:tab w:val="left" w:pos="2134"/>
      </w:tabs>
      <w:spacing w:line="360" w:lineRule="auto"/>
      <w:ind w:left="2134" w:right="240" w:rightChars="100" w:hanging="454"/>
    </w:pPr>
    <w:rPr>
      <w:rFonts w:ascii="宋体" w:hAnsi="宋体"/>
      <w:kern w:val="0"/>
      <w:sz w:val="24"/>
      <w:szCs w:val="20"/>
    </w:rPr>
  </w:style>
  <w:style w:type="paragraph" w:customStyle="1" w:styleId="252">
    <w:name w:val="Index4"/>
    <w:basedOn w:val="1"/>
    <w:next w:val="1"/>
    <w:semiHidden/>
    <w:qFormat/>
    <w:locked/>
    <w:uiPriority w:val="0"/>
    <w:pPr>
      <w:ind w:left="600" w:leftChars="600"/>
    </w:pPr>
    <w:rPr>
      <w:szCs w:val="20"/>
    </w:rPr>
  </w:style>
  <w:style w:type="character" w:customStyle="1" w:styleId="253">
    <w:name w:val="UserStyle_184"/>
    <w:semiHidden/>
    <w:qFormat/>
    <w:uiPriority w:val="0"/>
    <w:rPr>
      <w:rFonts w:ascii="Courier New" w:hAnsi="Courier New"/>
      <w:kern w:val="2"/>
    </w:rPr>
  </w:style>
  <w:style w:type="paragraph" w:customStyle="1" w:styleId="254">
    <w:name w:val="Index7"/>
    <w:basedOn w:val="1"/>
    <w:next w:val="1"/>
    <w:semiHidden/>
    <w:qFormat/>
    <w:locked/>
    <w:uiPriority w:val="0"/>
    <w:pPr>
      <w:ind w:left="1200" w:leftChars="1200"/>
    </w:pPr>
    <w:rPr>
      <w:szCs w:val="20"/>
    </w:rPr>
  </w:style>
  <w:style w:type="paragraph" w:customStyle="1" w:styleId="255">
    <w:name w:val="Index1"/>
    <w:basedOn w:val="1"/>
    <w:next w:val="1"/>
    <w:semiHidden/>
    <w:qFormat/>
    <w:locked/>
    <w:uiPriority w:val="0"/>
    <w:rPr>
      <w:szCs w:val="20"/>
    </w:rPr>
  </w:style>
  <w:style w:type="character" w:customStyle="1" w:styleId="256">
    <w:name w:val="UserStyle_185"/>
    <w:semiHidden/>
    <w:qFormat/>
    <w:uiPriority w:val="0"/>
    <w:rPr>
      <w:rFonts w:ascii="Calibri" w:hAnsi="Calibri"/>
      <w:kern w:val="2"/>
      <w:sz w:val="21"/>
      <w:szCs w:val="24"/>
    </w:rPr>
  </w:style>
  <w:style w:type="paragraph" w:customStyle="1" w:styleId="257">
    <w:name w:val="Index3"/>
    <w:basedOn w:val="1"/>
    <w:next w:val="1"/>
    <w:semiHidden/>
    <w:qFormat/>
    <w:locked/>
    <w:uiPriority w:val="0"/>
    <w:pPr>
      <w:ind w:left="400" w:leftChars="400"/>
    </w:pPr>
    <w:rPr>
      <w:szCs w:val="20"/>
    </w:rPr>
  </w:style>
  <w:style w:type="paragraph" w:customStyle="1" w:styleId="258">
    <w:name w:val="Index2"/>
    <w:basedOn w:val="1"/>
    <w:next w:val="1"/>
    <w:semiHidden/>
    <w:qFormat/>
    <w:locked/>
    <w:uiPriority w:val="0"/>
    <w:pPr>
      <w:ind w:left="200" w:leftChars="200"/>
    </w:pPr>
    <w:rPr>
      <w:szCs w:val="20"/>
    </w:rPr>
  </w:style>
  <w:style w:type="paragraph" w:customStyle="1" w:styleId="259">
    <w:name w:val="Index9"/>
    <w:basedOn w:val="1"/>
    <w:next w:val="1"/>
    <w:semiHidden/>
    <w:qFormat/>
    <w:locked/>
    <w:uiPriority w:val="0"/>
    <w:pPr>
      <w:ind w:left="1600" w:leftChars="1600"/>
    </w:pPr>
    <w:rPr>
      <w:szCs w:val="20"/>
    </w:rPr>
  </w:style>
  <w:style w:type="paragraph" w:customStyle="1" w:styleId="260">
    <w:name w:val="IndexHeading"/>
    <w:basedOn w:val="1"/>
    <w:next w:val="255"/>
    <w:semiHidden/>
    <w:qFormat/>
    <w:locked/>
    <w:uiPriority w:val="0"/>
    <w:rPr>
      <w:szCs w:val="20"/>
    </w:rPr>
  </w:style>
  <w:style w:type="paragraph" w:customStyle="1" w:styleId="261">
    <w:name w:val="ToCaption"/>
    <w:basedOn w:val="1"/>
    <w:next w:val="1"/>
    <w:semiHidden/>
    <w:qFormat/>
    <w:locked/>
    <w:uiPriority w:val="0"/>
    <w:pPr>
      <w:ind w:left="840" w:leftChars="200" w:hanging="420" w:hangingChars="200"/>
    </w:pPr>
    <w:rPr>
      <w:szCs w:val="20"/>
    </w:rPr>
  </w:style>
  <w:style w:type="paragraph" w:customStyle="1" w:styleId="262">
    <w:name w:val="UserStyle_186"/>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63">
    <w:name w:val="UserStyle_187"/>
    <w:basedOn w:val="1"/>
    <w:qFormat/>
    <w:uiPriority w:val="0"/>
    <w:rPr>
      <w:rFonts w:ascii="Tahoma" w:hAnsi="Tahoma"/>
      <w:sz w:val="24"/>
      <w:szCs w:val="20"/>
    </w:rPr>
  </w:style>
  <w:style w:type="paragraph" w:customStyle="1" w:styleId="264">
    <w:name w:val="UserStyle_188"/>
    <w:basedOn w:val="1"/>
    <w:next w:val="1"/>
    <w:qFormat/>
    <w:uiPriority w:val="0"/>
    <w:pPr>
      <w:tabs>
        <w:tab w:val="left" w:pos="840"/>
      </w:tabs>
      <w:ind w:left="840" w:hanging="420"/>
      <w:jc w:val="left"/>
    </w:pPr>
    <w:rPr>
      <w:kern w:val="0"/>
      <w:sz w:val="18"/>
    </w:rPr>
  </w:style>
  <w:style w:type="paragraph" w:customStyle="1" w:styleId="265">
    <w:name w:val="UserStyle_189"/>
    <w:basedOn w:val="1"/>
    <w:qFormat/>
    <w:uiPriority w:val="0"/>
    <w:pPr>
      <w:jc w:val="left"/>
    </w:pPr>
    <w:rPr>
      <w:rFonts w:ascii="宋体" w:hAnsi="Courier New" w:eastAsia="楷体_GB2312"/>
      <w:kern w:val="0"/>
      <w:sz w:val="26"/>
      <w:szCs w:val="20"/>
    </w:rPr>
  </w:style>
  <w:style w:type="paragraph" w:customStyle="1" w:styleId="266">
    <w:name w:val="UserStyle_190"/>
    <w:basedOn w:val="1"/>
    <w:qFormat/>
    <w:uiPriority w:val="0"/>
    <w:pPr>
      <w:spacing w:before="100" w:beforeAutospacing="1" w:after="100" w:afterAutospacing="1"/>
      <w:jc w:val="left"/>
    </w:pPr>
    <w:rPr>
      <w:rFonts w:ascii="宋体" w:hAnsi="宋体"/>
      <w:kern w:val="0"/>
      <w:sz w:val="24"/>
    </w:rPr>
  </w:style>
  <w:style w:type="paragraph" w:customStyle="1" w:styleId="267">
    <w:name w:val="UserStyle_1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68">
    <w:name w:val="UserStyle_192"/>
    <w:basedOn w:val="1"/>
    <w:qFormat/>
    <w:uiPriority w:val="0"/>
    <w:pPr>
      <w:spacing w:line="360" w:lineRule="auto"/>
      <w:ind w:firstLine="480" w:firstLineChars="200"/>
    </w:pPr>
    <w:rPr>
      <w:rFonts w:ascii="Arial" w:hAnsi="Arial" w:eastAsia="仿宋_GB2312"/>
      <w:color w:val="000000"/>
      <w:sz w:val="24"/>
      <w:szCs w:val="20"/>
    </w:rPr>
  </w:style>
  <w:style w:type="paragraph" w:customStyle="1" w:styleId="269">
    <w:name w:val="UserStyle_193"/>
    <w:basedOn w:val="55"/>
    <w:qFormat/>
    <w:uiPriority w:val="0"/>
    <w:pPr>
      <w:spacing w:after="0"/>
      <w:ind w:left="0" w:leftChars="0" w:firstLine="200" w:firstLineChars="200"/>
    </w:pPr>
    <w:rPr>
      <w:rFonts w:ascii="仿宋_GB2312" w:hAnsi="宋体" w:eastAsia="仿宋_GB2312"/>
      <w:kern w:val="28"/>
      <w:sz w:val="28"/>
    </w:rPr>
  </w:style>
  <w:style w:type="paragraph" w:customStyle="1" w:styleId="270">
    <w:name w:val="UserStyle_194"/>
    <w:basedOn w:val="1"/>
    <w:qFormat/>
    <w:uiPriority w:val="0"/>
    <w:pPr>
      <w:tabs>
        <w:tab w:val="left" w:pos="839"/>
      </w:tabs>
      <w:spacing w:before="60"/>
      <w:ind w:left="839" w:hanging="419"/>
    </w:pPr>
  </w:style>
  <w:style w:type="paragraph" w:customStyle="1" w:styleId="271">
    <w:name w:val="UserStyle_195"/>
    <w:basedOn w:val="1"/>
    <w:qFormat/>
    <w:uiPriority w:val="0"/>
    <w:rPr>
      <w:rFonts w:ascii="宋体" w:hAnsi="Courier New" w:eastAsia="楷体_GB2312"/>
      <w:sz w:val="28"/>
      <w:szCs w:val="20"/>
    </w:rPr>
  </w:style>
  <w:style w:type="paragraph" w:customStyle="1" w:styleId="272">
    <w:name w:val="UserStyle_196"/>
    <w:basedOn w:val="1"/>
    <w:qFormat/>
    <w:uiPriority w:val="0"/>
    <w:rPr>
      <w:szCs w:val="21"/>
    </w:rPr>
  </w:style>
  <w:style w:type="paragraph" w:customStyle="1" w:styleId="273">
    <w:name w:val="UserStyle_197"/>
    <w:basedOn w:val="1"/>
    <w:qFormat/>
    <w:uiPriority w:val="0"/>
    <w:pPr>
      <w:tabs>
        <w:tab w:val="left" w:pos="1259"/>
      </w:tabs>
      <w:spacing w:before="60"/>
      <w:ind w:left="1259" w:hanging="420"/>
    </w:pPr>
  </w:style>
  <w:style w:type="paragraph" w:customStyle="1" w:styleId="274">
    <w:name w:val="UserStyle_198"/>
    <w:basedOn w:val="49"/>
    <w:qFormat/>
    <w:uiPriority w:val="0"/>
    <w:pPr>
      <w:snapToGrid w:val="0"/>
      <w:spacing w:line="360" w:lineRule="auto"/>
    </w:pPr>
    <w:rPr>
      <w:rFonts w:ascii="Tahoma" w:hAnsi="Tahoma"/>
      <w:sz w:val="24"/>
    </w:rPr>
  </w:style>
  <w:style w:type="paragraph" w:customStyle="1" w:styleId="275">
    <w:name w:val="UserStyle_199"/>
    <w:basedOn w:val="1"/>
    <w:qFormat/>
    <w:uiPriority w:val="0"/>
    <w:pPr>
      <w:tabs>
        <w:tab w:val="left" w:pos="375"/>
        <w:tab w:val="left" w:pos="1545"/>
      </w:tabs>
      <w:ind w:left="375" w:hanging="375"/>
    </w:pPr>
    <w:rPr>
      <w:szCs w:val="20"/>
    </w:rPr>
  </w:style>
  <w:style w:type="paragraph" w:customStyle="1" w:styleId="276">
    <w:name w:val="266"/>
    <w:basedOn w:val="24"/>
    <w:next w:val="1"/>
    <w:qFormat/>
    <w:uiPriority w:val="0"/>
    <w:pPr>
      <w:spacing w:before="480" w:after="0" w:line="276" w:lineRule="auto"/>
      <w:jc w:val="left"/>
    </w:pPr>
    <w:rPr>
      <w:rFonts w:ascii="Cambria" w:hAnsi="Cambria" w:cs="Times New Roman"/>
      <w:bCs/>
      <w:color w:val="365F91"/>
      <w:kern w:val="0"/>
      <w:sz w:val="28"/>
      <w:szCs w:val="28"/>
    </w:rPr>
  </w:style>
  <w:style w:type="paragraph" w:customStyle="1" w:styleId="277">
    <w:name w:val="UserStyle_200"/>
    <w:basedOn w:val="1"/>
    <w:next w:val="1"/>
    <w:qFormat/>
    <w:uiPriority w:val="0"/>
    <w:pPr>
      <w:spacing w:line="360" w:lineRule="auto"/>
    </w:pPr>
    <w:rPr>
      <w:rFonts w:ascii="仿宋_GB2312" w:eastAsia="仿宋_GB2312"/>
      <w:sz w:val="24"/>
      <w:szCs w:val="20"/>
    </w:rPr>
  </w:style>
  <w:style w:type="paragraph" w:customStyle="1" w:styleId="278">
    <w:name w:val="UserStyle_201"/>
    <w:basedOn w:val="1"/>
    <w:qFormat/>
    <w:uiPriority w:val="0"/>
    <w:pPr>
      <w:spacing w:before="100" w:beforeAutospacing="1" w:after="100" w:afterAutospacing="1"/>
      <w:jc w:val="left"/>
    </w:pPr>
    <w:rPr>
      <w:rFonts w:ascii="宋体" w:hAnsi="宋体" w:cs="宋体"/>
      <w:b/>
      <w:bCs/>
      <w:color w:val="000000"/>
      <w:kern w:val="0"/>
      <w:sz w:val="24"/>
    </w:rPr>
  </w:style>
  <w:style w:type="paragraph" w:customStyle="1" w:styleId="279">
    <w:name w:val="UserStyle_202"/>
    <w:basedOn w:val="1"/>
    <w:qFormat/>
    <w:uiPriority w:val="0"/>
    <w:pPr>
      <w:numPr>
        <w:ilvl w:val="0"/>
        <w:numId w:val="2"/>
      </w:numPr>
      <w:tabs>
        <w:tab w:val="left" w:pos="709"/>
      </w:tabs>
    </w:pPr>
    <w:rPr>
      <w:rFonts w:ascii="宋体" w:hAnsi="宋体"/>
      <w:kern w:val="0"/>
      <w:szCs w:val="21"/>
    </w:rPr>
  </w:style>
  <w:style w:type="paragraph" w:customStyle="1" w:styleId="280">
    <w:name w:val="UserStyle_203"/>
    <w:basedOn w:val="1"/>
    <w:qFormat/>
    <w:uiPriority w:val="0"/>
    <w:rPr>
      <w:rFonts w:ascii="Calibri Light" w:hAnsi="Calibri Light"/>
      <w:sz w:val="24"/>
      <w:szCs w:val="20"/>
    </w:rPr>
  </w:style>
  <w:style w:type="paragraph" w:customStyle="1" w:styleId="281">
    <w:name w:val="UserStyle_204"/>
    <w:basedOn w:val="1"/>
    <w:qFormat/>
    <w:uiPriority w:val="0"/>
    <w:pPr>
      <w:spacing w:before="100" w:beforeAutospacing="1" w:after="100" w:afterAutospacing="1"/>
      <w:jc w:val="left"/>
    </w:pPr>
    <w:rPr>
      <w:rFonts w:ascii="PMingLiU" w:hAnsi="PMingLiU" w:eastAsia="PMingLiU"/>
      <w:kern w:val="0"/>
      <w:sz w:val="24"/>
    </w:rPr>
  </w:style>
  <w:style w:type="paragraph" w:customStyle="1" w:styleId="282">
    <w:name w:val="UserStyle_205"/>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83">
    <w:name w:val="UserStyle_206"/>
    <w:basedOn w:val="1"/>
    <w:qFormat/>
    <w:uiPriority w:val="0"/>
    <w:rPr>
      <w:rFonts w:ascii="Tahoma" w:hAnsi="Tahoma"/>
      <w:sz w:val="24"/>
      <w:szCs w:val="20"/>
    </w:rPr>
  </w:style>
  <w:style w:type="paragraph" w:customStyle="1" w:styleId="284">
    <w:name w:val="UserStyle_207"/>
    <w:basedOn w:val="1"/>
    <w:qFormat/>
    <w:uiPriority w:val="0"/>
    <w:pPr>
      <w:snapToGrid w:val="0"/>
      <w:spacing w:line="360" w:lineRule="atLeast"/>
      <w:jc w:val="left"/>
    </w:pPr>
    <w:rPr>
      <w:rFonts w:ascii="宋体" w:eastAsia="仿宋_GB2312"/>
      <w:sz w:val="24"/>
    </w:rPr>
  </w:style>
  <w:style w:type="paragraph" w:customStyle="1" w:styleId="285">
    <w:name w:val="UserStyle_208"/>
    <w:basedOn w:val="1"/>
    <w:qFormat/>
    <w:uiPriority w:val="0"/>
    <w:rPr>
      <w:rFonts w:ascii="Tahoma" w:hAnsi="Tahoma"/>
      <w:sz w:val="24"/>
      <w:szCs w:val="20"/>
    </w:rPr>
  </w:style>
  <w:style w:type="paragraph" w:customStyle="1" w:styleId="286">
    <w:name w:val="UserStyle_209"/>
    <w:basedOn w:val="1"/>
    <w:qFormat/>
    <w:uiPriority w:val="0"/>
    <w:pPr>
      <w:tabs>
        <w:tab w:val="left" w:pos="1049"/>
      </w:tabs>
      <w:spacing w:before="60"/>
      <w:ind w:left="1049" w:hanging="420"/>
    </w:pPr>
  </w:style>
  <w:style w:type="paragraph" w:customStyle="1" w:styleId="287">
    <w:name w:val="UserStyle_210"/>
    <w:basedOn w:val="49"/>
    <w:qFormat/>
    <w:uiPriority w:val="0"/>
    <w:pPr>
      <w:snapToGrid w:val="0"/>
      <w:spacing w:line="360" w:lineRule="auto"/>
      <w:jc w:val="left"/>
    </w:pPr>
    <w:rPr>
      <w:kern w:val="0"/>
      <w:sz w:val="24"/>
    </w:rPr>
  </w:style>
  <w:style w:type="paragraph" w:customStyle="1" w:styleId="288">
    <w:name w:val="UserStyle_211"/>
    <w:basedOn w:val="1"/>
    <w:qFormat/>
    <w:uiPriority w:val="0"/>
    <w:pPr>
      <w:tabs>
        <w:tab w:val="left" w:pos="375"/>
        <w:tab w:val="left" w:pos="1545"/>
      </w:tabs>
      <w:ind w:left="375" w:hanging="375"/>
    </w:pPr>
    <w:rPr>
      <w:szCs w:val="20"/>
    </w:rPr>
  </w:style>
  <w:style w:type="paragraph" w:customStyle="1" w:styleId="289">
    <w:name w:val="UserStyle_212"/>
    <w:basedOn w:val="1"/>
    <w:qFormat/>
    <w:uiPriority w:val="0"/>
    <w:pPr>
      <w:tabs>
        <w:tab w:val="left" w:pos="480"/>
      </w:tabs>
      <w:ind w:left="480" w:hanging="480"/>
    </w:pPr>
    <w:rPr>
      <w:sz w:val="24"/>
    </w:rPr>
  </w:style>
  <w:style w:type="paragraph" w:customStyle="1" w:styleId="290">
    <w:name w:val="UserStyle_213"/>
    <w:basedOn w:val="1"/>
    <w:qFormat/>
    <w:uiPriority w:val="0"/>
    <w:pPr>
      <w:numPr>
        <w:ilvl w:val="0"/>
        <w:numId w:val="3"/>
      </w:numPr>
      <w:tabs>
        <w:tab w:val="left" w:pos="480"/>
      </w:tabs>
    </w:pPr>
    <w:rPr>
      <w:sz w:val="24"/>
    </w:rPr>
  </w:style>
  <w:style w:type="paragraph" w:customStyle="1" w:styleId="291">
    <w:name w:val="UserStyle_214"/>
    <w:basedOn w:val="1"/>
    <w:qFormat/>
    <w:uiPriority w:val="0"/>
    <w:pPr>
      <w:numPr>
        <w:ilvl w:val="0"/>
        <w:numId w:val="4"/>
      </w:numPr>
      <w:tabs>
        <w:tab w:val="left" w:pos="375"/>
        <w:tab w:val="left" w:pos="1545"/>
      </w:tabs>
    </w:pPr>
    <w:rPr>
      <w:szCs w:val="20"/>
    </w:rPr>
  </w:style>
  <w:style w:type="paragraph" w:customStyle="1" w:styleId="292">
    <w:name w:val="UserStyle_215"/>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93">
    <w:name w:val="UserStyle_216"/>
    <w:next w:val="1"/>
    <w:qFormat/>
    <w:uiPriority w:val="0"/>
    <w:pPr>
      <w:spacing w:line="360" w:lineRule="auto"/>
      <w:textAlignment w:val="baseline"/>
    </w:pPr>
    <w:rPr>
      <w:rFonts w:ascii="Calibri" w:hAnsi="Calibri" w:eastAsia="宋体" w:cstheme="minorBidi"/>
      <w:b/>
      <w:kern w:val="44"/>
      <w:sz w:val="28"/>
      <w:szCs w:val="44"/>
      <w:lang w:val="en-US" w:eastAsia="zh-CN" w:bidi="ar-SA"/>
    </w:rPr>
  </w:style>
  <w:style w:type="paragraph" w:customStyle="1" w:styleId="294">
    <w:name w:val="UserStyle_217"/>
    <w:basedOn w:val="1"/>
    <w:qFormat/>
    <w:uiPriority w:val="0"/>
    <w:pPr>
      <w:tabs>
        <w:tab w:val="left" w:pos="480"/>
      </w:tabs>
      <w:ind w:left="480" w:hanging="480"/>
    </w:pPr>
    <w:rPr>
      <w:sz w:val="24"/>
    </w:rPr>
  </w:style>
  <w:style w:type="paragraph" w:customStyle="1" w:styleId="295">
    <w:name w:val="UserStyle_218"/>
    <w:basedOn w:val="1"/>
    <w:qFormat/>
    <w:uiPriority w:val="0"/>
    <w:pPr>
      <w:spacing w:after="160" w:line="240" w:lineRule="exact"/>
      <w:jc w:val="left"/>
    </w:pPr>
    <w:rPr>
      <w:szCs w:val="20"/>
    </w:rPr>
  </w:style>
  <w:style w:type="paragraph" w:customStyle="1" w:styleId="296">
    <w:name w:val="UserStyle_219"/>
    <w:link w:val="297"/>
    <w:qFormat/>
    <w:uiPriority w:val="0"/>
    <w:pPr>
      <w:spacing w:line="360" w:lineRule="auto"/>
      <w:ind w:firstLine="420" w:firstLineChars="200"/>
      <w:textAlignment w:val="baseline"/>
    </w:pPr>
    <w:rPr>
      <w:rFonts w:ascii="仿宋" w:hAnsi="仿宋" w:eastAsia="宋体" w:cstheme="minorBidi"/>
      <w:sz w:val="24"/>
      <w:szCs w:val="32"/>
      <w:lang w:val="en-US" w:eastAsia="zh-CN" w:bidi="ar-SA"/>
    </w:rPr>
  </w:style>
  <w:style w:type="character" w:customStyle="1" w:styleId="297">
    <w:name w:val="UserStyle_220"/>
    <w:link w:val="296"/>
    <w:qFormat/>
    <w:uiPriority w:val="0"/>
    <w:rPr>
      <w:rFonts w:ascii="仿宋" w:hAnsi="仿宋"/>
      <w:sz w:val="24"/>
      <w:szCs w:val="32"/>
    </w:rPr>
  </w:style>
  <w:style w:type="paragraph" w:customStyle="1" w:styleId="298">
    <w:name w:val="UserStyle_221"/>
    <w:basedOn w:val="170"/>
    <w:link w:val="299"/>
    <w:qFormat/>
    <w:uiPriority w:val="0"/>
    <w:pPr>
      <w:numPr>
        <w:ilvl w:val="0"/>
        <w:numId w:val="5"/>
      </w:numPr>
      <w:spacing w:line="360" w:lineRule="auto"/>
      <w:ind w:firstLine="0" w:firstLineChars="0"/>
    </w:pPr>
    <w:rPr>
      <w:rFonts w:eastAsia="宋体"/>
      <w:sz w:val="24"/>
    </w:rPr>
  </w:style>
  <w:style w:type="character" w:customStyle="1" w:styleId="299">
    <w:name w:val="UserStyle_222"/>
    <w:link w:val="298"/>
    <w:qFormat/>
    <w:uiPriority w:val="0"/>
    <w:rPr>
      <w:rFonts w:ascii="等线" w:hAnsi="等线"/>
      <w:kern w:val="2"/>
      <w:sz w:val="24"/>
      <w:szCs w:val="22"/>
    </w:rPr>
  </w:style>
  <w:style w:type="paragraph" w:customStyle="1" w:styleId="300">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4"/>
    </w:rPr>
  </w:style>
  <w:style w:type="paragraph" w:customStyle="1" w:styleId="301">
    <w:name w:val="UserStyle_2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302">
    <w:name w:val="UserStyle_225"/>
    <w:basedOn w:val="1"/>
    <w:qFormat/>
    <w:uiPriority w:val="0"/>
    <w:pPr>
      <w:pBdr>
        <w:top w:val="single" w:color="000000" w:sz="4" w:space="0"/>
        <w:left w:val="single" w:color="000000" w:sz="4" w:space="0"/>
        <w:bottom w:val="single" w:color="000000" w:sz="4" w:space="0"/>
      </w:pBdr>
      <w:shd w:val="clear" w:color="auto" w:fill="D9D9D9"/>
      <w:spacing w:before="100" w:beforeAutospacing="1" w:after="100" w:afterAutospacing="1"/>
      <w:jc w:val="left"/>
      <w:textAlignment w:val="center"/>
    </w:pPr>
    <w:rPr>
      <w:rFonts w:ascii="宋体" w:hAnsi="宋体"/>
      <w:kern w:val="0"/>
      <w:sz w:val="24"/>
    </w:rPr>
  </w:style>
  <w:style w:type="paragraph" w:customStyle="1" w:styleId="303">
    <w:name w:val="UserStyle_226"/>
    <w:basedOn w:val="1"/>
    <w:qFormat/>
    <w:uiPriority w:val="0"/>
    <w:pPr>
      <w:pBdr>
        <w:top w:val="single" w:color="000000" w:sz="4" w:space="0"/>
        <w:bottom w:val="single" w:color="000000" w:sz="4" w:space="0"/>
      </w:pBdr>
      <w:shd w:val="clear" w:color="auto" w:fill="D9D9D9"/>
      <w:spacing w:before="100" w:beforeAutospacing="1" w:after="100" w:afterAutospacing="1"/>
      <w:jc w:val="left"/>
      <w:textAlignment w:val="center"/>
    </w:pPr>
    <w:rPr>
      <w:rFonts w:ascii="宋体" w:hAnsi="宋体"/>
      <w:kern w:val="0"/>
      <w:sz w:val="24"/>
    </w:rPr>
  </w:style>
  <w:style w:type="paragraph" w:customStyle="1" w:styleId="304">
    <w:name w:val="UserStyle_227"/>
    <w:basedOn w:val="1"/>
    <w:qFormat/>
    <w:uiPriority w:val="0"/>
    <w:pPr>
      <w:pBdr>
        <w:top w:val="single" w:color="000000" w:sz="4" w:space="0"/>
        <w:bottom w:val="single" w:color="000000" w:sz="4" w:space="0"/>
        <w:right w:val="single" w:color="000000" w:sz="4" w:space="0"/>
      </w:pBdr>
      <w:shd w:val="clear" w:color="auto" w:fill="D9D9D9"/>
      <w:spacing w:before="100" w:beforeAutospacing="1" w:after="100" w:afterAutospacing="1"/>
      <w:jc w:val="left"/>
      <w:textAlignment w:val="center"/>
    </w:pPr>
    <w:rPr>
      <w:rFonts w:ascii="宋体" w:hAnsi="宋体"/>
      <w:kern w:val="0"/>
      <w:sz w:val="24"/>
    </w:rPr>
  </w:style>
  <w:style w:type="paragraph" w:customStyle="1" w:styleId="305">
    <w:name w:val="UserStyle_22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306">
    <w:name w:val="UserStyle_22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307">
    <w:name w:val="UserStyle_2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4"/>
    </w:rPr>
  </w:style>
  <w:style w:type="paragraph" w:customStyle="1" w:styleId="308">
    <w:name w:val="UserStyle_231"/>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309">
    <w:name w:val="UserStyle_232"/>
    <w:basedOn w:val="1"/>
    <w:qFormat/>
    <w:uiPriority w:val="0"/>
    <w:pPr>
      <w:pBdr>
        <w:left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310">
    <w:name w:val="UserStyle_233"/>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311">
    <w:name w:val="UserStyle_234"/>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kern w:val="0"/>
      <w:sz w:val="24"/>
    </w:rPr>
  </w:style>
  <w:style w:type="paragraph" w:customStyle="1" w:styleId="312">
    <w:name w:val="UserStyle_235"/>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4"/>
    </w:rPr>
  </w:style>
  <w:style w:type="paragraph" w:customStyle="1" w:styleId="313">
    <w:name w:val="UserStyle_2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14">
    <w:name w:val="UserStyle_23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rPr>
  </w:style>
  <w:style w:type="paragraph" w:customStyle="1" w:styleId="315">
    <w:name w:val="[Normal]"/>
    <w:qFormat/>
    <w:uiPriority w:val="0"/>
    <w:rPr>
      <w:rFonts w:ascii="方正仿宋简体" w:hAnsi="方正仿宋简体" w:eastAsia="方正仿宋简体" w:cs="Courier New"/>
      <w:kern w:val="0"/>
      <w:sz w:val="24"/>
      <w:szCs w:val="22"/>
      <w:lang w:val="zh-CN" w:eastAsia="zh-CN" w:bidi="ar-SA"/>
    </w:rPr>
  </w:style>
  <w:style w:type="paragraph" w:customStyle="1" w:styleId="31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7">
    <w:name w:val="WPS Plain"/>
    <w:qFormat/>
    <w:uiPriority w:val="0"/>
    <w:rPr>
      <w:rFonts w:ascii="Times New Roman" w:hAnsi="Times New Roman" w:eastAsia="宋体" w:cs="Times New Roman"/>
      <w:lang w:val="en-US" w:eastAsia="zh-CN" w:bidi="ar-SA"/>
    </w:rPr>
  </w:style>
  <w:style w:type="paragraph" w:customStyle="1" w:styleId="31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6"/>
    <customShpInfo spid="_x0000_s3077"/>
    <customShpInfo spid="_x0000_s3078"/>
    <customShpInfo spid="_x0000_s3073"/>
    <customShpInfo spid="_x0000_s3079"/>
    <customShpInfo spid="_x0000_s3074"/>
    <customShpInfo spid="_x0000_s3080"/>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7747</Words>
  <Characters>44159</Characters>
  <Lines>367</Lines>
  <Paragraphs>103</Paragraphs>
  <TotalTime>13</TotalTime>
  <ScaleCrop>false</ScaleCrop>
  <LinksUpToDate>false</LinksUpToDate>
  <CharactersWithSpaces>51803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2021-04-23T06:18:00Z</dcterms:created>
  <dc:creator>Administrator.USER-20200409DY</dc:creator>
  <cp:lastModifiedBy>国兴代理</cp:lastModifiedBy>
  <dcterms:modified xsi:type="dcterms:W3CDTF">2021-05-26T11:17:38Z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5DDAFA599E9E47978ACDA337AD17BEE7</vt:lpwstr>
  </property>
</Properties>
</file>