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80"/>
        </w:tabs>
        <w:autoSpaceDE w:val="0"/>
        <w:autoSpaceDN w:val="0"/>
        <w:adjustRightInd w:val="0"/>
        <w:rPr>
          <w:rFonts w:hint="eastAsia" w:ascii="宋体" w:hAnsi="宋体"/>
          <w:caps/>
          <w:sz w:val="44"/>
        </w:rPr>
      </w:pPr>
      <w:bookmarkStart w:id="0" w:name="_Hlt401304115"/>
      <w:bookmarkEnd w:id="0"/>
      <w:r>
        <w:rPr>
          <w:rFonts w:hint="eastAsia" w:ascii="宋体" w:hAnsi="宋体"/>
          <w:caps/>
          <w:sz w:val="44"/>
        </w:rPr>
        <w:t xml:space="preserve">                                                                                                                                                                                                                                                                                                                                                                                                                                                                                                                                                                                                                                                                                                    </w:t>
      </w:r>
    </w:p>
    <w:p>
      <w:pPr>
        <w:autoSpaceDE w:val="0"/>
        <w:autoSpaceDN w:val="0"/>
        <w:adjustRightInd w:val="0"/>
        <w:jc w:val="center"/>
        <w:rPr>
          <w:rFonts w:hint="eastAsia" w:ascii="宋体" w:hAnsi="宋体"/>
          <w:sz w:val="100"/>
          <w:lang w:val="zh-CN"/>
        </w:rPr>
      </w:pPr>
    </w:p>
    <w:p>
      <w:pPr>
        <w:pStyle w:val="10"/>
        <w:rPr>
          <w:rFonts w:hint="eastAsia"/>
          <w:lang w:val="zh-CN"/>
        </w:rPr>
      </w:pPr>
    </w:p>
    <w:p>
      <w:pPr>
        <w:pStyle w:val="10"/>
        <w:rPr>
          <w:rFonts w:hint="eastAsia"/>
          <w:lang w:val="zh-CN"/>
        </w:rPr>
      </w:pPr>
    </w:p>
    <w:p>
      <w:pPr>
        <w:autoSpaceDE w:val="0"/>
        <w:autoSpaceDN w:val="0"/>
        <w:adjustRightInd w:val="0"/>
        <w:jc w:val="center"/>
        <w:rPr>
          <w:rFonts w:ascii="宋体" w:hAnsi="宋体"/>
          <w:b/>
          <w:sz w:val="100"/>
          <w:lang w:val="zh-CN"/>
        </w:rPr>
      </w:pPr>
      <w:r>
        <w:rPr>
          <w:rFonts w:hint="eastAsia" w:ascii="宋体" w:hAnsi="宋体"/>
          <w:b/>
          <w:sz w:val="100"/>
          <w:lang w:val="zh-CN"/>
        </w:rPr>
        <w:t>公开招标文件</w:t>
      </w:r>
    </w:p>
    <w:p>
      <w:pPr>
        <w:autoSpaceDE w:val="0"/>
        <w:autoSpaceDN w:val="0"/>
        <w:adjustRightInd w:val="0"/>
        <w:rPr>
          <w:rFonts w:hint="eastAsia" w:ascii="宋体" w:hAnsi="宋体"/>
          <w:sz w:val="32"/>
          <w:lang w:val="zh-CN"/>
        </w:rPr>
      </w:pPr>
    </w:p>
    <w:p>
      <w:pPr>
        <w:autoSpaceDE w:val="0"/>
        <w:autoSpaceDN w:val="0"/>
        <w:adjustRightInd w:val="0"/>
        <w:rPr>
          <w:rFonts w:hint="eastAsia" w:ascii="宋体" w:hAnsi="宋体"/>
          <w:sz w:val="32"/>
          <w:lang w:val="zh-CN"/>
        </w:rPr>
      </w:pPr>
    </w:p>
    <w:p>
      <w:pPr>
        <w:autoSpaceDE w:val="0"/>
        <w:autoSpaceDN w:val="0"/>
        <w:adjustRightInd w:val="0"/>
        <w:rPr>
          <w:rFonts w:hint="eastAsia" w:ascii="宋体" w:hAnsi="宋体"/>
          <w:sz w:val="32"/>
          <w:lang w:val="zh-CN"/>
        </w:rPr>
      </w:pPr>
    </w:p>
    <w:p>
      <w:pPr>
        <w:autoSpaceDE w:val="0"/>
        <w:autoSpaceDN w:val="0"/>
        <w:adjustRightInd w:val="0"/>
        <w:ind w:firstLine="1542" w:firstLineChars="349"/>
        <w:rPr>
          <w:rFonts w:hint="eastAsia" w:ascii="宋体" w:hAnsi="宋体" w:eastAsia="宋体"/>
          <w:b/>
          <w:sz w:val="44"/>
          <w:lang w:eastAsia="zh-CN"/>
        </w:rPr>
      </w:pPr>
      <w:r>
        <w:rPr>
          <w:rFonts w:hint="eastAsia" w:ascii="宋体" w:hAnsi="宋体"/>
          <w:b/>
          <w:sz w:val="44"/>
          <w:lang w:val="zh-CN"/>
        </w:rPr>
        <w:t>项目编号：</w:t>
      </w:r>
      <w:r>
        <w:rPr>
          <w:rFonts w:hint="eastAsia" w:ascii="宋体" w:hAnsi="宋体"/>
          <w:b/>
          <w:sz w:val="44"/>
          <w:lang w:eastAsia="zh-CN"/>
        </w:rPr>
        <w:t>NJCG-2021ZC-0068</w:t>
      </w:r>
    </w:p>
    <w:p>
      <w:pPr>
        <w:autoSpaceDE w:val="0"/>
        <w:autoSpaceDN w:val="0"/>
        <w:adjustRightInd w:val="0"/>
        <w:ind w:firstLine="1542" w:firstLineChars="349"/>
        <w:rPr>
          <w:rFonts w:hint="eastAsia" w:ascii="宋体" w:hAnsi="宋体"/>
          <w:b/>
          <w:sz w:val="44"/>
        </w:rPr>
      </w:pPr>
    </w:p>
    <w:p>
      <w:pPr>
        <w:autoSpaceDE w:val="0"/>
        <w:autoSpaceDN w:val="0"/>
        <w:adjustRightInd w:val="0"/>
        <w:ind w:left="670" w:leftChars="319"/>
        <w:jc w:val="center"/>
        <w:rPr>
          <w:rFonts w:hint="eastAsia" w:ascii="宋体" w:hAnsi="宋体"/>
          <w:b/>
          <w:sz w:val="40"/>
        </w:rPr>
      </w:pPr>
      <w:r>
        <w:rPr>
          <w:rFonts w:hint="eastAsia" w:ascii="宋体" w:hAnsi="宋体"/>
          <w:b/>
          <w:sz w:val="44"/>
          <w:lang w:val="zh-CN"/>
        </w:rPr>
        <w:t>项目名称：</w:t>
      </w:r>
      <w:r>
        <w:rPr>
          <w:rFonts w:hint="eastAsia" w:ascii="宋体" w:hAnsi="宋体"/>
          <w:b/>
          <w:sz w:val="40"/>
          <w:lang w:val="zh-CN"/>
        </w:rPr>
        <w:t>竹山桥泵站等12座泵站设施管养服务外包</w:t>
      </w:r>
    </w:p>
    <w:p>
      <w:pPr>
        <w:autoSpaceDE w:val="0"/>
        <w:autoSpaceDN w:val="0"/>
        <w:adjustRightInd w:val="0"/>
        <w:rPr>
          <w:rFonts w:hint="eastAsia" w:ascii="宋体" w:hAnsi="宋体"/>
          <w:sz w:val="32"/>
          <w:lang w:val="zh-CN"/>
        </w:rPr>
      </w:pPr>
    </w:p>
    <w:p>
      <w:pPr>
        <w:autoSpaceDE w:val="0"/>
        <w:autoSpaceDN w:val="0"/>
        <w:adjustRightInd w:val="0"/>
        <w:rPr>
          <w:rFonts w:hint="eastAsia" w:ascii="宋体" w:hAnsi="宋体"/>
          <w:sz w:val="32"/>
          <w:lang w:val="zh-CN"/>
        </w:rPr>
      </w:pPr>
    </w:p>
    <w:p>
      <w:pPr>
        <w:autoSpaceDE w:val="0"/>
        <w:autoSpaceDN w:val="0"/>
        <w:adjustRightInd w:val="0"/>
        <w:rPr>
          <w:rFonts w:hint="eastAsia" w:ascii="宋体" w:hAnsi="宋体"/>
          <w:sz w:val="32"/>
          <w:lang w:val="zh-CN"/>
        </w:rPr>
      </w:pPr>
    </w:p>
    <w:p>
      <w:pPr>
        <w:autoSpaceDE w:val="0"/>
        <w:autoSpaceDN w:val="0"/>
        <w:adjustRightInd w:val="0"/>
        <w:rPr>
          <w:rFonts w:hint="eastAsia" w:ascii="宋体" w:hAnsi="宋体"/>
          <w:sz w:val="32"/>
          <w:lang w:val="zh-CN"/>
        </w:rPr>
      </w:pPr>
    </w:p>
    <w:p>
      <w:pPr>
        <w:pStyle w:val="10"/>
        <w:rPr>
          <w:rFonts w:hint="eastAsia"/>
          <w:lang w:val="zh-CN"/>
        </w:rPr>
      </w:pPr>
    </w:p>
    <w:p>
      <w:pPr>
        <w:pStyle w:val="10"/>
        <w:rPr>
          <w:rFonts w:hint="eastAsia"/>
          <w:lang w:val="zh-CN"/>
        </w:rPr>
      </w:pPr>
    </w:p>
    <w:p>
      <w:pPr>
        <w:autoSpaceDE w:val="0"/>
        <w:autoSpaceDN w:val="0"/>
        <w:adjustRightInd w:val="0"/>
        <w:rPr>
          <w:rFonts w:hint="eastAsia" w:ascii="宋体" w:hAnsi="宋体"/>
          <w:sz w:val="32"/>
          <w:lang w:val="zh-CN"/>
        </w:rPr>
      </w:pPr>
    </w:p>
    <w:p>
      <w:pPr>
        <w:autoSpaceDE w:val="0"/>
        <w:autoSpaceDN w:val="0"/>
        <w:adjustRightInd w:val="0"/>
        <w:jc w:val="center"/>
        <w:rPr>
          <w:rFonts w:hint="eastAsia" w:ascii="宋体" w:hAnsi="宋体"/>
          <w:sz w:val="36"/>
          <w:szCs w:val="22"/>
          <w:lang w:val="zh-CN"/>
        </w:rPr>
      </w:pPr>
      <w:r>
        <w:rPr>
          <w:rFonts w:hint="eastAsia" w:ascii="宋体" w:hAnsi="宋体"/>
          <w:sz w:val="36"/>
          <w:szCs w:val="22"/>
          <w:lang w:val="zh-CN"/>
        </w:rPr>
        <w:t xml:space="preserve"> </w:t>
      </w:r>
      <w:r>
        <w:rPr>
          <w:rFonts w:ascii="宋体" w:hAnsi="宋体"/>
          <w:sz w:val="36"/>
          <w:szCs w:val="22"/>
          <w:lang w:val="zh-CN"/>
        </w:rPr>
        <w:t xml:space="preserve">    </w:t>
      </w:r>
      <w:r>
        <w:rPr>
          <w:rFonts w:hint="eastAsia" w:ascii="宋体" w:hAnsi="宋体"/>
          <w:sz w:val="36"/>
          <w:szCs w:val="22"/>
          <w:lang w:val="zh-CN"/>
        </w:rPr>
        <w:t>采  购  人：南京市江宁区人民政府东山街道办事处</w:t>
      </w:r>
    </w:p>
    <w:p>
      <w:pPr>
        <w:autoSpaceDE w:val="0"/>
        <w:autoSpaceDN w:val="0"/>
        <w:adjustRightInd w:val="0"/>
        <w:jc w:val="center"/>
        <w:rPr>
          <w:rFonts w:hint="eastAsia" w:ascii="宋体" w:hAnsi="宋体"/>
          <w:sz w:val="36"/>
          <w:lang w:val="zh-CN"/>
        </w:rPr>
      </w:pPr>
      <w:r>
        <w:rPr>
          <w:rFonts w:hint="eastAsia" w:ascii="宋体" w:hAnsi="宋体"/>
          <w:sz w:val="36"/>
          <w:szCs w:val="22"/>
          <w:lang w:val="zh-CN"/>
        </w:rPr>
        <w:t xml:space="preserve">   招标代理机构：江苏志诚工程咨询管理有限公司</w:t>
      </w:r>
    </w:p>
    <w:p>
      <w:pPr>
        <w:autoSpaceDE w:val="0"/>
        <w:autoSpaceDN w:val="0"/>
        <w:adjustRightInd w:val="0"/>
        <w:jc w:val="center"/>
        <w:rPr>
          <w:rFonts w:ascii="宋体" w:hAnsi="宋体"/>
          <w:sz w:val="36"/>
          <w:lang w:val="zh-CN"/>
        </w:rPr>
      </w:pPr>
      <w:r>
        <w:rPr>
          <w:rFonts w:hint="eastAsia" w:ascii="宋体" w:hAnsi="宋体"/>
          <w:sz w:val="36"/>
          <w:lang w:val="zh-CN"/>
        </w:rPr>
        <w:t xml:space="preserve"> 二0二一年五月</w:t>
      </w:r>
    </w:p>
    <w:p>
      <w:pPr>
        <w:snapToGrid w:val="0"/>
        <w:spacing w:line="240" w:lineRule="atLeast"/>
        <w:ind w:firstLine="420"/>
        <w:jc w:val="center"/>
        <w:rPr>
          <w:rFonts w:ascii="宋体" w:hAnsi="宋体"/>
          <w:b/>
          <w:sz w:val="30"/>
        </w:rPr>
      </w:pPr>
      <w:r>
        <w:rPr>
          <w:rFonts w:ascii="宋体" w:hAnsi="宋体"/>
          <w:sz w:val="36"/>
          <w:lang w:val="zh-CN"/>
        </w:rPr>
        <w:br w:type="page"/>
      </w:r>
      <w:r>
        <w:rPr>
          <w:rFonts w:hint="eastAsia" w:ascii="宋体" w:hAnsi="宋体"/>
          <w:b/>
          <w:sz w:val="30"/>
        </w:rPr>
        <w:t>目    录</w:t>
      </w:r>
      <w:r>
        <w:rPr>
          <w:rFonts w:ascii="宋体" w:hAnsi="宋体"/>
          <w:b/>
          <w:sz w:val="30"/>
        </w:rPr>
        <w:fldChar w:fldCharType="begin"/>
      </w:r>
      <w:r>
        <w:rPr>
          <w:rFonts w:ascii="宋体" w:hAnsi="宋体"/>
          <w:b/>
          <w:sz w:val="30"/>
        </w:rPr>
        <w:instrText xml:space="preserve"> </w:instrText>
      </w:r>
      <w:r>
        <w:rPr>
          <w:rFonts w:hint="eastAsia" w:ascii="宋体" w:hAnsi="宋体"/>
          <w:b/>
          <w:sz w:val="30"/>
        </w:rPr>
        <w:instrText xml:space="preserve">TOC  \* MERGEFORMAT</w:instrText>
      </w:r>
      <w:r>
        <w:rPr>
          <w:rFonts w:ascii="宋体" w:hAnsi="宋体"/>
          <w:b/>
          <w:sz w:val="30"/>
        </w:rPr>
        <w:instrText xml:space="preserve"> </w:instrText>
      </w:r>
      <w:r>
        <w:rPr>
          <w:rFonts w:ascii="宋体" w:hAnsi="宋体"/>
          <w:b/>
          <w:sz w:val="30"/>
        </w:rPr>
        <w:fldChar w:fldCharType="separate"/>
      </w:r>
      <w:r>
        <w:rPr>
          <w:rFonts w:ascii="宋体" w:hAnsi="宋体"/>
          <w:b/>
          <w:sz w:val="30"/>
        </w:rPr>
        <w:fldChar w:fldCharType="end"/>
      </w:r>
    </w:p>
    <w:p>
      <w:pPr>
        <w:snapToGrid w:val="0"/>
        <w:spacing w:line="240" w:lineRule="atLeast"/>
        <w:ind w:firstLine="420"/>
        <w:jc w:val="center"/>
        <w:rPr>
          <w:rFonts w:ascii="宋体" w:hAnsi="宋体"/>
        </w:rPr>
      </w:pPr>
    </w:p>
    <w:p>
      <w:pPr>
        <w:pStyle w:val="19"/>
        <w:tabs>
          <w:tab w:val="right" w:leader="dot" w:pos="8306"/>
        </w:tabs>
      </w:pPr>
      <w:r>
        <w:rPr>
          <w:rFonts w:ascii="宋体" w:hAnsi="宋体" w:cs="黑体"/>
          <w:b/>
          <w:bCs/>
          <w:sz w:val="36"/>
          <w:szCs w:val="36"/>
          <w:highlight w:val="yellow"/>
          <w:lang w:val="zh-CN"/>
        </w:rPr>
        <w:fldChar w:fldCharType="begin"/>
      </w:r>
      <w:r>
        <w:rPr>
          <w:rFonts w:ascii="宋体" w:hAnsi="宋体" w:cs="黑体"/>
          <w:b/>
          <w:bCs/>
          <w:sz w:val="36"/>
          <w:szCs w:val="36"/>
          <w:highlight w:val="yellow"/>
          <w:lang w:val="zh-CN"/>
        </w:rPr>
        <w:instrText xml:space="preserve"> </w:instrText>
      </w:r>
      <w:r>
        <w:rPr>
          <w:rFonts w:hint="eastAsia" w:ascii="宋体" w:hAnsi="宋体" w:cs="黑体"/>
          <w:b/>
          <w:bCs/>
          <w:sz w:val="36"/>
          <w:szCs w:val="36"/>
          <w:highlight w:val="yellow"/>
          <w:lang w:val="zh-CN"/>
        </w:rPr>
        <w:instrText xml:space="preserve">TOC \o "1-3" \h \z \u</w:instrText>
      </w:r>
      <w:r>
        <w:rPr>
          <w:rFonts w:ascii="宋体" w:hAnsi="宋体" w:cs="黑体"/>
          <w:b/>
          <w:bCs/>
          <w:sz w:val="36"/>
          <w:szCs w:val="36"/>
          <w:highlight w:val="yellow"/>
          <w:lang w:val="zh-CN"/>
        </w:rPr>
        <w:instrText xml:space="preserve"> </w:instrText>
      </w:r>
      <w:r>
        <w:rPr>
          <w:rFonts w:ascii="宋体" w:hAnsi="宋体" w:cs="黑体"/>
          <w:b/>
          <w:bCs/>
          <w:sz w:val="36"/>
          <w:szCs w:val="36"/>
          <w:highlight w:val="yellow"/>
          <w:lang w:val="zh-CN"/>
        </w:rPr>
        <w:fldChar w:fldCharType="separate"/>
      </w: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_Toc12030 </w:instrText>
      </w:r>
      <w:r>
        <w:rPr>
          <w:rFonts w:ascii="宋体" w:hAnsi="宋体" w:cs="黑体"/>
          <w:bCs/>
          <w:szCs w:val="36"/>
          <w:highlight w:val="yellow"/>
          <w:lang w:val="zh-CN"/>
        </w:rPr>
        <w:fldChar w:fldCharType="separate"/>
      </w:r>
      <w:r>
        <w:rPr>
          <w:rFonts w:ascii="宋体" w:hAnsi="宋体"/>
          <w:szCs w:val="36"/>
          <w:lang w:val="zh-CN"/>
        </w:rPr>
        <w:t xml:space="preserve">第一章 </w:t>
      </w:r>
      <w:r>
        <w:rPr>
          <w:rFonts w:hint="eastAsia" w:ascii="宋体" w:hAnsi="宋体"/>
          <w:szCs w:val="36"/>
          <w:lang w:val="zh-CN"/>
        </w:rPr>
        <w:t>投标</w:t>
      </w:r>
      <w:r>
        <w:rPr>
          <w:rFonts w:ascii="宋体" w:hAnsi="宋体"/>
          <w:szCs w:val="36"/>
          <w:lang w:val="zh-CN"/>
        </w:rPr>
        <w:t>邀请</w:t>
      </w:r>
      <w:r>
        <w:tab/>
      </w:r>
      <w:r>
        <w:fldChar w:fldCharType="begin"/>
      </w:r>
      <w:r>
        <w:instrText xml:space="preserve"> PAGEREF _Toc12030 </w:instrText>
      </w:r>
      <w:r>
        <w:fldChar w:fldCharType="separate"/>
      </w:r>
      <w:r>
        <w:t>3</w:t>
      </w:r>
      <w:r>
        <w:fldChar w:fldCharType="end"/>
      </w:r>
      <w:r>
        <w:rPr>
          <w:rFonts w:ascii="宋体" w:hAnsi="宋体" w:cs="黑体"/>
          <w:bCs/>
          <w:szCs w:val="36"/>
          <w:highlight w:val="yellow"/>
          <w:lang w:val="zh-CN"/>
        </w:rPr>
        <w:fldChar w:fldCharType="end"/>
      </w:r>
    </w:p>
    <w:p>
      <w:pPr>
        <w:pStyle w:val="19"/>
        <w:tabs>
          <w:tab w:val="right" w:leader="dot" w:pos="8306"/>
        </w:tabs>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_Toc14488 </w:instrText>
      </w:r>
      <w:r>
        <w:rPr>
          <w:rFonts w:ascii="宋体" w:hAnsi="宋体" w:cs="黑体"/>
          <w:bCs/>
          <w:szCs w:val="36"/>
          <w:highlight w:val="yellow"/>
          <w:lang w:val="zh-CN"/>
        </w:rPr>
        <w:fldChar w:fldCharType="separate"/>
      </w:r>
      <w:r>
        <w:rPr>
          <w:rFonts w:hint="eastAsia" w:ascii="宋体" w:hAnsi="宋体"/>
          <w:szCs w:val="36"/>
          <w:lang w:val="zh-CN"/>
        </w:rPr>
        <w:t>第二章</w:t>
      </w:r>
      <w:r>
        <w:rPr>
          <w:rFonts w:ascii="宋体" w:hAnsi="宋体"/>
          <w:szCs w:val="36"/>
          <w:lang w:val="zh-CN"/>
        </w:rPr>
        <w:t xml:space="preserve">  </w:t>
      </w:r>
      <w:r>
        <w:rPr>
          <w:rFonts w:hint="eastAsia" w:ascii="宋体" w:hAnsi="宋体"/>
          <w:szCs w:val="36"/>
          <w:lang w:val="zh-CN"/>
        </w:rPr>
        <w:t>投标人须知</w:t>
      </w:r>
      <w:r>
        <w:tab/>
      </w:r>
      <w:r>
        <w:fldChar w:fldCharType="begin"/>
      </w:r>
      <w:r>
        <w:instrText xml:space="preserve"> PAGEREF _Toc14488 </w:instrText>
      </w:r>
      <w:r>
        <w:fldChar w:fldCharType="separate"/>
      </w:r>
      <w:r>
        <w:t>5</w:t>
      </w:r>
      <w:r>
        <w:fldChar w:fldCharType="end"/>
      </w:r>
      <w:r>
        <w:rPr>
          <w:rFonts w:ascii="宋体" w:hAnsi="宋体" w:cs="黑体"/>
          <w:bCs/>
          <w:szCs w:val="36"/>
          <w:highlight w:val="yellow"/>
          <w:lang w:val="zh-CN"/>
        </w:rPr>
        <w:fldChar w:fldCharType="end"/>
      </w:r>
    </w:p>
    <w:p>
      <w:pPr>
        <w:pStyle w:val="19"/>
        <w:tabs>
          <w:tab w:val="right" w:leader="dot" w:pos="8306"/>
        </w:tabs>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_Toc6788 </w:instrText>
      </w:r>
      <w:r>
        <w:rPr>
          <w:rFonts w:ascii="宋体" w:hAnsi="宋体" w:cs="黑体"/>
          <w:bCs/>
          <w:szCs w:val="36"/>
          <w:highlight w:val="yellow"/>
          <w:lang w:val="zh-CN"/>
        </w:rPr>
        <w:fldChar w:fldCharType="separate"/>
      </w:r>
      <w:r>
        <w:rPr>
          <w:rFonts w:hint="eastAsia" w:hAnsi="宋体"/>
          <w:szCs w:val="36"/>
          <w:lang w:val="zh-CN"/>
        </w:rPr>
        <w:t>第三章 招标项目的服务范围、</w:t>
      </w:r>
      <w:r>
        <w:rPr>
          <w:rFonts w:hint="eastAsia" w:hAnsi="宋体"/>
          <w:szCs w:val="36"/>
        </w:rPr>
        <w:t>技术要求</w:t>
      </w:r>
      <w:r>
        <w:tab/>
      </w:r>
      <w:r>
        <w:fldChar w:fldCharType="begin"/>
      </w:r>
      <w:r>
        <w:instrText xml:space="preserve"> PAGEREF _Toc6788 </w:instrText>
      </w:r>
      <w:r>
        <w:fldChar w:fldCharType="separate"/>
      </w:r>
      <w:r>
        <w:t>14</w:t>
      </w:r>
      <w:r>
        <w:fldChar w:fldCharType="end"/>
      </w:r>
      <w:r>
        <w:rPr>
          <w:rFonts w:ascii="宋体" w:hAnsi="宋体" w:cs="黑体"/>
          <w:bCs/>
          <w:szCs w:val="36"/>
          <w:highlight w:val="yellow"/>
          <w:lang w:val="zh-CN"/>
        </w:rPr>
        <w:fldChar w:fldCharType="end"/>
      </w:r>
    </w:p>
    <w:p>
      <w:pPr>
        <w:pStyle w:val="19"/>
        <w:tabs>
          <w:tab w:val="right" w:leader="dot" w:pos="8306"/>
        </w:tabs>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_Toc9758 </w:instrText>
      </w:r>
      <w:r>
        <w:rPr>
          <w:rFonts w:ascii="宋体" w:hAnsi="宋体" w:cs="黑体"/>
          <w:bCs/>
          <w:szCs w:val="36"/>
          <w:highlight w:val="yellow"/>
          <w:lang w:val="zh-CN"/>
        </w:rPr>
        <w:fldChar w:fldCharType="separate"/>
      </w:r>
      <w:r>
        <w:rPr>
          <w:rFonts w:hint="eastAsia" w:ascii="宋体" w:hAnsi="宋体" w:cs="黑体"/>
          <w:bCs/>
          <w:szCs w:val="36"/>
          <w:lang w:val="zh-CN"/>
        </w:rPr>
        <w:t>第四章、合同主要条款及格式</w:t>
      </w:r>
      <w:r>
        <w:tab/>
      </w:r>
      <w:r>
        <w:fldChar w:fldCharType="begin"/>
      </w:r>
      <w:r>
        <w:instrText xml:space="preserve"> PAGEREF _Toc9758 </w:instrText>
      </w:r>
      <w:r>
        <w:fldChar w:fldCharType="separate"/>
      </w:r>
      <w:r>
        <w:t>14</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_Toc18551 </w:instrText>
      </w:r>
      <w:r>
        <w:rPr>
          <w:rFonts w:ascii="宋体" w:hAnsi="宋体" w:cs="黑体"/>
          <w:bCs/>
          <w:szCs w:val="36"/>
          <w:highlight w:val="yellow"/>
          <w:lang w:val="zh-CN"/>
        </w:rPr>
        <w:fldChar w:fldCharType="separate"/>
      </w:r>
      <w:r>
        <w:rPr>
          <w:rFonts w:hint="eastAsia" w:ascii="宋体" w:hAnsi="宋体"/>
          <w:szCs w:val="21"/>
          <w:lang w:val="zh-CN"/>
        </w:rPr>
        <w:t>附件一、投标函（投标申请及声明格式）</w:t>
      </w:r>
      <w:r>
        <w:tab/>
      </w:r>
      <w:r>
        <w:fldChar w:fldCharType="begin"/>
      </w:r>
      <w:r>
        <w:instrText xml:space="preserve"> PAGEREF _Toc18551 </w:instrText>
      </w:r>
      <w:r>
        <w:fldChar w:fldCharType="separate"/>
      </w:r>
      <w:r>
        <w:t>33</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_Toc30526 </w:instrText>
      </w:r>
      <w:r>
        <w:rPr>
          <w:rFonts w:ascii="宋体" w:hAnsi="宋体" w:cs="黑体"/>
          <w:bCs/>
          <w:szCs w:val="36"/>
          <w:highlight w:val="yellow"/>
          <w:lang w:val="zh-CN"/>
        </w:rPr>
        <w:fldChar w:fldCharType="separate"/>
      </w:r>
      <w:r>
        <w:rPr>
          <w:rFonts w:hint="eastAsia" w:ascii="宋体" w:hAnsi="宋体"/>
          <w:szCs w:val="21"/>
          <w:lang w:val="zh-CN"/>
        </w:rPr>
        <w:t>附件二、法定代表人授权书格式</w:t>
      </w:r>
      <w:r>
        <w:tab/>
      </w:r>
      <w:r>
        <w:fldChar w:fldCharType="begin"/>
      </w:r>
      <w:r>
        <w:instrText xml:space="preserve"> PAGEREF _Toc30526 </w:instrText>
      </w:r>
      <w:r>
        <w:fldChar w:fldCharType="separate"/>
      </w:r>
      <w:r>
        <w:t>34</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_Toc3512 </w:instrText>
      </w:r>
      <w:r>
        <w:rPr>
          <w:rFonts w:ascii="宋体" w:hAnsi="宋体" w:cs="黑体"/>
          <w:bCs/>
          <w:szCs w:val="36"/>
          <w:highlight w:val="yellow"/>
          <w:lang w:val="zh-CN"/>
        </w:rPr>
        <w:fldChar w:fldCharType="separate"/>
      </w:r>
      <w:r>
        <w:rPr>
          <w:rFonts w:hint="eastAsia" w:ascii="宋体" w:hAnsi="宋体"/>
          <w:szCs w:val="21"/>
          <w:lang w:val="zh-CN"/>
        </w:rPr>
        <w:t>附件三、开标一览表格式</w:t>
      </w:r>
      <w:r>
        <w:tab/>
      </w:r>
      <w:r>
        <w:fldChar w:fldCharType="begin"/>
      </w:r>
      <w:r>
        <w:instrText xml:space="preserve"> PAGEREF _Toc3512 </w:instrText>
      </w:r>
      <w:r>
        <w:fldChar w:fldCharType="separate"/>
      </w:r>
      <w:r>
        <w:t>35</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_Toc29387 </w:instrText>
      </w:r>
      <w:r>
        <w:rPr>
          <w:rFonts w:ascii="宋体" w:hAnsi="宋体" w:cs="黑体"/>
          <w:bCs/>
          <w:szCs w:val="36"/>
          <w:highlight w:val="yellow"/>
          <w:lang w:val="zh-CN"/>
        </w:rPr>
        <w:fldChar w:fldCharType="separate"/>
      </w:r>
      <w:r>
        <w:rPr>
          <w:rFonts w:hint="eastAsia" w:ascii="宋体" w:hAnsi="宋体"/>
          <w:szCs w:val="21"/>
          <w:lang w:val="zh-CN"/>
        </w:rPr>
        <w:t>附件四、分项报价表</w:t>
      </w:r>
      <w:r>
        <w:tab/>
      </w:r>
      <w:r>
        <w:fldChar w:fldCharType="begin"/>
      </w:r>
      <w:r>
        <w:instrText xml:space="preserve"> PAGEREF _Toc29387 </w:instrText>
      </w:r>
      <w:r>
        <w:fldChar w:fldCharType="separate"/>
      </w:r>
      <w:r>
        <w:t>36</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_Toc22334 </w:instrText>
      </w:r>
      <w:r>
        <w:rPr>
          <w:rFonts w:ascii="宋体" w:hAnsi="宋体" w:cs="黑体"/>
          <w:bCs/>
          <w:szCs w:val="36"/>
          <w:highlight w:val="yellow"/>
          <w:lang w:val="zh-CN"/>
        </w:rPr>
        <w:fldChar w:fldCharType="separate"/>
      </w:r>
      <w:r>
        <w:rPr>
          <w:rFonts w:hint="eastAsia" w:ascii="宋体" w:hAnsi="宋体"/>
          <w:szCs w:val="21"/>
          <w:lang w:val="zh-CN"/>
        </w:rPr>
        <w:t>附件五、技术规格偏离表格式</w:t>
      </w:r>
      <w:r>
        <w:tab/>
      </w:r>
      <w:r>
        <w:fldChar w:fldCharType="begin"/>
      </w:r>
      <w:r>
        <w:instrText xml:space="preserve"> PAGEREF _Toc22334 </w:instrText>
      </w:r>
      <w:r>
        <w:fldChar w:fldCharType="separate"/>
      </w:r>
      <w:r>
        <w:t>44</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_Toc1875 </w:instrText>
      </w:r>
      <w:r>
        <w:rPr>
          <w:rFonts w:ascii="宋体" w:hAnsi="宋体" w:cs="黑体"/>
          <w:bCs/>
          <w:szCs w:val="36"/>
          <w:highlight w:val="yellow"/>
          <w:lang w:val="zh-CN"/>
        </w:rPr>
        <w:fldChar w:fldCharType="separate"/>
      </w:r>
      <w:r>
        <w:rPr>
          <w:rFonts w:hint="eastAsia" w:ascii="宋体" w:hAnsi="宋体"/>
          <w:szCs w:val="21"/>
          <w:lang w:val="zh-CN"/>
        </w:rPr>
        <w:t>附件六、商务条款响应表格式</w:t>
      </w:r>
      <w:r>
        <w:tab/>
      </w:r>
      <w:r>
        <w:fldChar w:fldCharType="begin"/>
      </w:r>
      <w:r>
        <w:instrText xml:space="preserve"> PAGEREF _Toc1875 </w:instrText>
      </w:r>
      <w:r>
        <w:fldChar w:fldCharType="separate"/>
      </w:r>
      <w:r>
        <w:t>44</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_Toc21881 </w:instrText>
      </w:r>
      <w:r>
        <w:rPr>
          <w:rFonts w:ascii="宋体" w:hAnsi="宋体" w:cs="黑体"/>
          <w:bCs/>
          <w:szCs w:val="36"/>
          <w:highlight w:val="yellow"/>
          <w:lang w:val="zh-CN"/>
        </w:rPr>
        <w:fldChar w:fldCharType="separate"/>
      </w:r>
      <w:r>
        <w:rPr>
          <w:rFonts w:hint="eastAsia" w:ascii="宋体" w:hAnsi="宋体"/>
          <w:szCs w:val="21"/>
          <w:lang w:val="zh-CN"/>
        </w:rPr>
        <w:t>附件</w:t>
      </w:r>
      <w:r>
        <w:rPr>
          <w:rFonts w:hint="eastAsia" w:ascii="宋体" w:hAnsi="宋体"/>
          <w:szCs w:val="21"/>
        </w:rPr>
        <w:t>七</w:t>
      </w:r>
      <w:r>
        <w:rPr>
          <w:rFonts w:hint="eastAsia" w:ascii="宋体" w:hAnsi="宋体"/>
          <w:szCs w:val="21"/>
          <w:lang w:val="zh-CN"/>
        </w:rPr>
        <w:t>、项目组人员一览表</w:t>
      </w:r>
      <w:r>
        <w:tab/>
      </w:r>
      <w:r>
        <w:fldChar w:fldCharType="begin"/>
      </w:r>
      <w:r>
        <w:instrText xml:space="preserve"> PAGEREF _Toc21881 </w:instrText>
      </w:r>
      <w:r>
        <w:fldChar w:fldCharType="separate"/>
      </w:r>
      <w:r>
        <w:t>45</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_Toc11205 </w:instrText>
      </w:r>
      <w:r>
        <w:rPr>
          <w:rFonts w:ascii="宋体" w:hAnsi="宋体" w:cs="黑体"/>
          <w:bCs/>
          <w:szCs w:val="36"/>
          <w:highlight w:val="yellow"/>
          <w:lang w:val="zh-CN"/>
        </w:rPr>
        <w:fldChar w:fldCharType="separate"/>
      </w:r>
      <w:r>
        <w:rPr>
          <w:rFonts w:hint="eastAsia" w:ascii="宋体" w:hAnsi="宋体"/>
          <w:szCs w:val="21"/>
          <w:lang w:val="zh-CN"/>
        </w:rPr>
        <w:t>附件</w:t>
      </w:r>
      <w:r>
        <w:rPr>
          <w:rFonts w:hint="eastAsia" w:ascii="宋体" w:hAnsi="宋体"/>
          <w:szCs w:val="21"/>
        </w:rPr>
        <w:t>八、</w:t>
      </w:r>
      <w:r>
        <w:rPr>
          <w:rFonts w:hint="eastAsia" w:ascii="宋体" w:hAnsi="宋体"/>
          <w:szCs w:val="21"/>
          <w:lang w:val="zh-CN"/>
        </w:rPr>
        <w:t>供应商案例情况表</w:t>
      </w:r>
      <w:r>
        <w:tab/>
      </w:r>
      <w:r>
        <w:fldChar w:fldCharType="begin"/>
      </w:r>
      <w:r>
        <w:instrText xml:space="preserve"> PAGEREF _Toc11205 </w:instrText>
      </w:r>
      <w:r>
        <w:fldChar w:fldCharType="separate"/>
      </w:r>
      <w:r>
        <w:t>45</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_Toc4824 </w:instrText>
      </w:r>
      <w:r>
        <w:rPr>
          <w:rFonts w:ascii="宋体" w:hAnsi="宋体" w:cs="黑体"/>
          <w:bCs/>
          <w:szCs w:val="36"/>
          <w:highlight w:val="yellow"/>
          <w:lang w:val="zh-CN"/>
        </w:rPr>
        <w:fldChar w:fldCharType="separate"/>
      </w:r>
      <w:r>
        <w:rPr>
          <w:rFonts w:hint="eastAsia" w:ascii="宋体" w:hAnsi="宋体"/>
          <w:szCs w:val="21"/>
          <w:lang w:val="zh-CN"/>
        </w:rPr>
        <w:t>附件</w:t>
      </w:r>
      <w:r>
        <w:rPr>
          <w:rFonts w:hint="eastAsia" w:ascii="宋体" w:hAnsi="宋体"/>
          <w:szCs w:val="21"/>
        </w:rPr>
        <w:t>九、技术</w:t>
      </w:r>
      <w:r>
        <w:rPr>
          <w:rFonts w:hint="eastAsia" w:ascii="宋体" w:hAnsi="宋体"/>
          <w:szCs w:val="21"/>
          <w:lang w:val="zh-CN"/>
        </w:rPr>
        <w:t>方案</w:t>
      </w:r>
      <w:r>
        <w:rPr>
          <w:rFonts w:hint="eastAsia" w:ascii="宋体" w:hAnsi="宋体"/>
          <w:szCs w:val="21"/>
        </w:rPr>
        <w:t>与工作思路</w:t>
      </w:r>
      <w:r>
        <w:tab/>
      </w:r>
      <w:r>
        <w:fldChar w:fldCharType="begin"/>
      </w:r>
      <w:r>
        <w:instrText xml:space="preserve"> PAGEREF _Toc4824 </w:instrText>
      </w:r>
      <w:r>
        <w:fldChar w:fldCharType="separate"/>
      </w:r>
      <w:r>
        <w:t>46</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_Toc23336 </w:instrText>
      </w:r>
      <w:r>
        <w:rPr>
          <w:rFonts w:ascii="宋体" w:hAnsi="宋体" w:cs="黑体"/>
          <w:bCs/>
          <w:szCs w:val="36"/>
          <w:highlight w:val="yellow"/>
          <w:lang w:val="zh-CN"/>
        </w:rPr>
        <w:fldChar w:fldCharType="separate"/>
      </w:r>
      <w:r>
        <w:rPr>
          <w:rFonts w:hint="eastAsia" w:ascii="宋体" w:hAnsi="宋体"/>
          <w:szCs w:val="21"/>
          <w:lang w:val="zh-CN"/>
        </w:rPr>
        <w:t>附件十、中小企业声明函</w:t>
      </w:r>
      <w:r>
        <w:tab/>
      </w:r>
      <w:r>
        <w:fldChar w:fldCharType="begin"/>
      </w:r>
      <w:r>
        <w:instrText xml:space="preserve"> PAGEREF _Toc23336 </w:instrText>
      </w:r>
      <w:r>
        <w:fldChar w:fldCharType="separate"/>
      </w:r>
      <w:r>
        <w:t>46</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_Toc5969 </w:instrText>
      </w:r>
      <w:r>
        <w:rPr>
          <w:rFonts w:ascii="宋体" w:hAnsi="宋体" w:cs="黑体"/>
          <w:bCs/>
          <w:szCs w:val="36"/>
          <w:highlight w:val="yellow"/>
          <w:lang w:val="zh-CN"/>
        </w:rPr>
        <w:fldChar w:fldCharType="separate"/>
      </w:r>
      <w:r>
        <w:rPr>
          <w:rFonts w:hint="eastAsia" w:ascii="宋体" w:hAnsi="宋体"/>
          <w:szCs w:val="21"/>
          <w:lang w:val="zh-CN"/>
        </w:rPr>
        <w:t>附件十</w:t>
      </w:r>
      <w:r>
        <w:rPr>
          <w:rFonts w:hint="eastAsia" w:ascii="宋体" w:hAnsi="宋体"/>
          <w:szCs w:val="21"/>
        </w:rPr>
        <w:t>一、</w:t>
      </w:r>
      <w:r>
        <w:t>资格证明</w:t>
      </w:r>
      <w:r>
        <w:tab/>
      </w:r>
      <w:r>
        <w:fldChar w:fldCharType="begin"/>
      </w:r>
      <w:r>
        <w:instrText xml:space="preserve"> PAGEREF _Toc5969 </w:instrText>
      </w:r>
      <w:r>
        <w:fldChar w:fldCharType="separate"/>
      </w:r>
      <w:r>
        <w:t>46</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_Toc14972 </w:instrText>
      </w:r>
      <w:r>
        <w:rPr>
          <w:rFonts w:ascii="宋体" w:hAnsi="宋体" w:cs="黑体"/>
          <w:bCs/>
          <w:szCs w:val="36"/>
          <w:highlight w:val="yellow"/>
          <w:lang w:val="zh-CN"/>
        </w:rPr>
        <w:fldChar w:fldCharType="separate"/>
      </w:r>
      <w:r>
        <w:rPr>
          <w:rFonts w:hint="eastAsia" w:ascii="宋体" w:hAnsi="宋体" w:cs="宋体"/>
          <w:bCs/>
          <w:szCs w:val="21"/>
        </w:rPr>
        <w:t>附件十二、残疾人福利性单位声明函</w:t>
      </w:r>
      <w:r>
        <w:tab/>
      </w:r>
      <w:r>
        <w:fldChar w:fldCharType="begin"/>
      </w:r>
      <w:r>
        <w:instrText xml:space="preserve"> PAGEREF _Toc14972 </w:instrText>
      </w:r>
      <w:r>
        <w:fldChar w:fldCharType="separate"/>
      </w:r>
      <w:r>
        <w:t>47</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_Toc17723 </w:instrText>
      </w:r>
      <w:r>
        <w:rPr>
          <w:rFonts w:ascii="宋体" w:hAnsi="宋体" w:cs="黑体"/>
          <w:bCs/>
          <w:szCs w:val="36"/>
          <w:highlight w:val="yellow"/>
          <w:lang w:val="zh-CN"/>
        </w:rPr>
        <w:fldChar w:fldCharType="separate"/>
      </w:r>
      <w:r>
        <w:rPr>
          <w:rFonts w:hint="eastAsia" w:ascii="宋体" w:hAnsi="宋体" w:cs="宋体"/>
          <w:bCs/>
          <w:szCs w:val="21"/>
        </w:rPr>
        <w:t>附件十三、近3年内在经营活动中没有重大违法记录的书面声明</w:t>
      </w:r>
      <w:r>
        <w:tab/>
      </w:r>
      <w:r>
        <w:fldChar w:fldCharType="begin"/>
      </w:r>
      <w:r>
        <w:instrText xml:space="preserve"> PAGEREF _Toc17723 </w:instrText>
      </w:r>
      <w:r>
        <w:fldChar w:fldCharType="separate"/>
      </w:r>
      <w:r>
        <w:t>47</w:t>
      </w:r>
      <w:r>
        <w:fldChar w:fldCharType="end"/>
      </w:r>
      <w:r>
        <w:rPr>
          <w:rFonts w:ascii="宋体" w:hAnsi="宋体" w:cs="黑体"/>
          <w:bCs/>
          <w:szCs w:val="36"/>
          <w:highlight w:val="yellow"/>
          <w:lang w:val="zh-CN"/>
        </w:rPr>
        <w:fldChar w:fldCharType="end"/>
      </w:r>
    </w:p>
    <w:p>
      <w:pPr>
        <w:pStyle w:val="23"/>
        <w:tabs>
          <w:tab w:val="right" w:leader="dot" w:pos="8306"/>
          <w:tab w:val="clear" w:pos="1050"/>
          <w:tab w:val="clear" w:pos="8296"/>
        </w:tabs>
        <w:ind w:left="420"/>
      </w:pPr>
      <w:r>
        <w:rPr>
          <w:rFonts w:ascii="宋体" w:hAnsi="宋体" w:cs="黑体"/>
          <w:bCs/>
          <w:szCs w:val="36"/>
          <w:highlight w:val="yellow"/>
          <w:lang w:val="zh-CN"/>
        </w:rPr>
        <w:fldChar w:fldCharType="begin"/>
      </w:r>
      <w:r>
        <w:rPr>
          <w:rFonts w:ascii="宋体" w:hAnsi="宋体" w:cs="黑体"/>
          <w:bCs/>
          <w:szCs w:val="36"/>
          <w:highlight w:val="yellow"/>
          <w:lang w:val="zh-CN"/>
        </w:rPr>
        <w:instrText xml:space="preserve"> HYPERLINK \l _Toc8711 </w:instrText>
      </w:r>
      <w:r>
        <w:rPr>
          <w:rFonts w:ascii="宋体" w:hAnsi="宋体" w:cs="黑体"/>
          <w:bCs/>
          <w:szCs w:val="36"/>
          <w:highlight w:val="yellow"/>
          <w:lang w:val="zh-CN"/>
        </w:rPr>
        <w:fldChar w:fldCharType="separate"/>
      </w:r>
      <w:r>
        <w:rPr>
          <w:rFonts w:hint="eastAsia" w:ascii="宋体" w:hAnsi="宋体" w:cs="宋体"/>
          <w:bCs/>
          <w:szCs w:val="21"/>
        </w:rPr>
        <w:t>附件十四、南京市政府采购供应商信用记录表</w:t>
      </w:r>
      <w:r>
        <w:tab/>
      </w:r>
      <w:r>
        <w:fldChar w:fldCharType="begin"/>
      </w:r>
      <w:r>
        <w:instrText xml:space="preserve"> PAGEREF _Toc8711 </w:instrText>
      </w:r>
      <w:r>
        <w:fldChar w:fldCharType="separate"/>
      </w:r>
      <w:r>
        <w:t>48</w:t>
      </w:r>
      <w:r>
        <w:fldChar w:fldCharType="end"/>
      </w:r>
      <w:r>
        <w:rPr>
          <w:rFonts w:ascii="宋体" w:hAnsi="宋体" w:cs="黑体"/>
          <w:bCs/>
          <w:szCs w:val="36"/>
          <w:highlight w:val="yellow"/>
          <w:lang w:val="zh-CN"/>
        </w:rPr>
        <w:fldChar w:fldCharType="end"/>
      </w:r>
    </w:p>
    <w:p>
      <w:pPr>
        <w:tabs>
          <w:tab w:val="center" w:pos="4567"/>
        </w:tabs>
        <w:autoSpaceDE w:val="0"/>
        <w:autoSpaceDN w:val="0"/>
        <w:adjustRightInd w:val="0"/>
        <w:spacing w:line="400" w:lineRule="exact"/>
        <w:jc w:val="center"/>
        <w:rPr>
          <w:rFonts w:ascii="宋体" w:hAnsi="宋体" w:cs="黑体"/>
          <w:b/>
          <w:bCs/>
          <w:sz w:val="36"/>
          <w:szCs w:val="36"/>
          <w:lang w:val="zh-CN"/>
        </w:rPr>
      </w:pPr>
      <w:r>
        <w:rPr>
          <w:rFonts w:ascii="宋体" w:hAnsi="宋体" w:cs="黑体"/>
          <w:bCs/>
          <w:szCs w:val="36"/>
          <w:highlight w:val="yellow"/>
          <w:lang w:val="zh-CN"/>
        </w:rPr>
        <w:fldChar w:fldCharType="end"/>
      </w:r>
    </w:p>
    <w:p>
      <w:pPr>
        <w:snapToGrid w:val="0"/>
        <w:spacing w:line="360" w:lineRule="auto"/>
        <w:ind w:firstLine="420"/>
        <w:jc w:val="left"/>
        <w:rPr>
          <w:rFonts w:hint="eastAsia" w:ascii="宋体" w:hAnsi="宋体"/>
          <w:b/>
          <w:sz w:val="30"/>
        </w:rPr>
      </w:pPr>
    </w:p>
    <w:p>
      <w:pPr>
        <w:numPr>
          <w:ilvl w:val="0"/>
          <w:numId w:val="6"/>
        </w:numPr>
        <w:autoSpaceDE w:val="0"/>
        <w:autoSpaceDN w:val="0"/>
        <w:adjustRightInd w:val="0"/>
        <w:spacing w:line="360" w:lineRule="exact"/>
        <w:jc w:val="center"/>
        <w:outlineLvl w:val="0"/>
        <w:rPr>
          <w:rFonts w:hint="eastAsia" w:ascii="宋体" w:hAnsi="宋体"/>
          <w:sz w:val="36"/>
          <w:szCs w:val="36"/>
          <w:lang w:val="zh-CN"/>
        </w:rPr>
      </w:pPr>
      <w:r>
        <w:rPr>
          <w:rFonts w:ascii="宋体" w:hAnsi="宋体"/>
          <w:b/>
          <w:sz w:val="30"/>
        </w:rPr>
        <w:br w:type="page"/>
      </w:r>
      <w:bookmarkStart w:id="1" w:name="_Toc338684359"/>
      <w:bookmarkStart w:id="2" w:name="_Toc401304065"/>
      <w:bookmarkStart w:id="3" w:name="_Toc274907012"/>
      <w:bookmarkStart w:id="4" w:name="_Toc12030"/>
      <w:r>
        <w:rPr>
          <w:rFonts w:hint="eastAsia" w:ascii="宋体" w:hAnsi="宋体"/>
          <w:sz w:val="36"/>
          <w:szCs w:val="36"/>
          <w:lang w:val="zh-CN"/>
        </w:rPr>
        <w:t>投标</w:t>
      </w:r>
      <w:r>
        <w:rPr>
          <w:rFonts w:ascii="宋体" w:hAnsi="宋体"/>
          <w:sz w:val="36"/>
          <w:szCs w:val="36"/>
          <w:lang w:val="zh-CN"/>
        </w:rPr>
        <w:t>邀请</w:t>
      </w:r>
      <w:bookmarkEnd w:id="1"/>
      <w:bookmarkEnd w:id="2"/>
      <w:bookmarkEnd w:id="3"/>
      <w:bookmarkEnd w:id="4"/>
    </w:p>
    <w:p>
      <w:pPr>
        <w:rPr>
          <w:rFonts w:hint="eastAsia"/>
          <w:lang w:val="zh-CN"/>
        </w:rPr>
      </w:pPr>
    </w:p>
    <w:p>
      <w:pPr>
        <w:adjustRightInd w:val="0"/>
        <w:snapToGrid w:val="0"/>
        <w:ind w:firstLine="527" w:firstLineChars="250"/>
        <w:rPr>
          <w:rFonts w:ascii="宋体" w:hAnsi="宋体"/>
          <w:szCs w:val="21"/>
          <w:lang w:val="zh-CN"/>
        </w:rPr>
      </w:pPr>
      <w:r>
        <w:rPr>
          <w:rFonts w:ascii="宋体" w:hAnsi="宋体"/>
          <w:b/>
          <w:color w:val="000000"/>
          <w:szCs w:val="21"/>
          <w:lang w:val="zh-CN"/>
        </w:rPr>
        <w:t>江苏志诚工程咨询管理有限公司</w:t>
      </w:r>
      <w:r>
        <w:rPr>
          <w:rFonts w:ascii="宋体" w:hAnsi="宋体"/>
          <w:color w:val="000000"/>
          <w:szCs w:val="21"/>
          <w:lang w:val="zh-CN"/>
        </w:rPr>
        <w:t>（以下简称“招标代理机构”）受</w:t>
      </w:r>
      <w:r>
        <w:rPr>
          <w:rFonts w:hint="eastAsia" w:ascii="宋体" w:hAnsi="宋体"/>
          <w:b/>
          <w:color w:val="000000"/>
          <w:szCs w:val="21"/>
          <w:lang w:eastAsia="zh-CN"/>
        </w:rPr>
        <w:t>南京市江宁区人民政府东山街道办事处</w:t>
      </w:r>
      <w:r>
        <w:rPr>
          <w:rFonts w:ascii="宋体" w:hAnsi="宋体"/>
          <w:color w:val="000000"/>
          <w:szCs w:val="21"/>
          <w:lang w:val="zh-CN"/>
        </w:rPr>
        <w:t>(单位名称，以下简称“招标人”）委托</w:t>
      </w:r>
      <w:r>
        <w:rPr>
          <w:rFonts w:ascii="宋体" w:hAnsi="宋体"/>
          <w:szCs w:val="21"/>
          <w:lang w:val="zh-CN"/>
        </w:rPr>
        <w:t>，对本项目进行公开招标</w:t>
      </w:r>
      <w:r>
        <w:rPr>
          <w:rFonts w:hint="eastAsia" w:ascii="宋体" w:hAnsi="宋体"/>
          <w:szCs w:val="21"/>
          <w:lang w:val="zh-CN"/>
        </w:rPr>
        <w:t>，兹邀请符合资格条件的供应商投标。</w:t>
      </w:r>
      <w:r>
        <w:rPr>
          <w:rFonts w:ascii="宋体" w:hAnsi="宋体"/>
          <w:szCs w:val="21"/>
          <w:lang w:val="zh-CN"/>
        </w:rPr>
        <w:t xml:space="preserve"> </w:t>
      </w:r>
    </w:p>
    <w:p>
      <w:pPr>
        <w:autoSpaceDE w:val="0"/>
        <w:autoSpaceDN w:val="0"/>
        <w:adjustRightInd w:val="0"/>
        <w:snapToGrid w:val="0"/>
        <w:ind w:left="420"/>
        <w:rPr>
          <w:rFonts w:hint="eastAsia" w:ascii="宋体" w:hAnsi="宋体" w:eastAsia="宋体"/>
          <w:b/>
          <w:szCs w:val="21"/>
          <w:lang w:eastAsia="zh-CN"/>
        </w:rPr>
      </w:pPr>
      <w:r>
        <w:rPr>
          <w:rFonts w:ascii="宋体" w:hAnsi="宋体"/>
          <w:b/>
          <w:szCs w:val="21"/>
        </w:rPr>
        <w:t>1、项目编号：</w:t>
      </w:r>
      <w:r>
        <w:rPr>
          <w:rFonts w:hint="eastAsia" w:ascii="宋体" w:hAnsi="宋体"/>
          <w:b/>
          <w:szCs w:val="21"/>
          <w:lang w:eastAsia="zh-CN"/>
        </w:rPr>
        <w:t>NJCG-2021ZC-0068</w:t>
      </w:r>
    </w:p>
    <w:p>
      <w:pPr>
        <w:widowControl/>
        <w:tabs>
          <w:tab w:val="left" w:pos="3189"/>
          <w:tab w:val="left" w:pos="3567"/>
          <w:tab w:val="left" w:pos="3938"/>
          <w:tab w:val="left" w:pos="4300"/>
          <w:tab w:val="left" w:pos="4655"/>
          <w:tab w:val="left" w:pos="6903"/>
          <w:tab w:val="left" w:pos="7445"/>
          <w:tab w:val="left" w:pos="7926"/>
        </w:tabs>
        <w:spacing w:line="400" w:lineRule="exact"/>
        <w:ind w:firstLine="422" w:firstLineChars="200"/>
        <w:jc w:val="left"/>
        <w:rPr>
          <w:rFonts w:ascii="宋体" w:hAnsi="宋体" w:cs="宋体"/>
          <w:b/>
          <w:bCs/>
          <w:kern w:val="0"/>
          <w:sz w:val="22"/>
          <w:szCs w:val="22"/>
        </w:rPr>
      </w:pPr>
      <w:r>
        <w:rPr>
          <w:rFonts w:hint="eastAsia" w:ascii="宋体" w:hAnsi="宋体"/>
          <w:b/>
          <w:bCs/>
          <w:color w:val="000000"/>
          <w:szCs w:val="21"/>
        </w:rPr>
        <w:t>2、</w:t>
      </w:r>
      <w:r>
        <w:rPr>
          <w:rFonts w:hint="eastAsia" w:ascii="宋体" w:hAnsi="宋体" w:cs="宋体"/>
          <w:b/>
          <w:bCs/>
          <w:kern w:val="0"/>
          <w:sz w:val="22"/>
          <w:szCs w:val="22"/>
        </w:rPr>
        <w:t>招标条件</w:t>
      </w:r>
    </w:p>
    <w:p>
      <w:pPr>
        <w:widowControl/>
        <w:tabs>
          <w:tab w:val="left" w:pos="528"/>
          <w:tab w:val="left" w:pos="3189"/>
          <w:tab w:val="left" w:pos="3567"/>
          <w:tab w:val="left" w:pos="3938"/>
          <w:tab w:val="left" w:pos="4300"/>
          <w:tab w:val="left" w:pos="4655"/>
          <w:tab w:val="left" w:pos="6903"/>
          <w:tab w:val="left" w:pos="7445"/>
          <w:tab w:val="left" w:pos="7926"/>
        </w:tabs>
        <w:ind w:firstLine="420" w:firstLineChars="200"/>
        <w:jc w:val="left"/>
        <w:rPr>
          <w:rFonts w:hint="eastAsia" w:ascii="宋体" w:hAnsi="宋体"/>
          <w:szCs w:val="21"/>
          <w:lang w:val="zh-CN"/>
        </w:rPr>
      </w:pPr>
      <w:r>
        <w:rPr>
          <w:rFonts w:hint="eastAsia" w:ascii="宋体" w:hAnsi="宋体"/>
          <w:szCs w:val="21"/>
          <w:lang w:val="zh-CN"/>
        </w:rPr>
        <w:t>竹山桥泵站等12座泵站设施管养服务外包</w:t>
      </w:r>
      <w:r>
        <w:rPr>
          <w:rFonts w:ascii="宋体" w:hAnsi="宋体"/>
          <w:szCs w:val="21"/>
          <w:lang w:val="zh-CN"/>
        </w:rPr>
        <w:t>已由</w:t>
      </w:r>
      <w:r>
        <w:rPr>
          <w:rFonts w:hint="eastAsia" w:ascii="宋体" w:hAnsi="宋体"/>
          <w:szCs w:val="21"/>
        </w:rPr>
        <w:t>江苏省</w:t>
      </w:r>
      <w:r>
        <w:rPr>
          <w:rFonts w:ascii="宋体" w:hAnsi="宋体"/>
          <w:szCs w:val="21"/>
          <w:lang w:val="zh-CN"/>
        </w:rPr>
        <w:t>政府批准实施</w:t>
      </w:r>
      <w:r>
        <w:rPr>
          <w:rFonts w:hint="eastAsia" w:ascii="宋体" w:hAnsi="宋体"/>
          <w:szCs w:val="21"/>
          <w:lang w:val="zh-CN"/>
        </w:rPr>
        <w:t>，建设资金来自财政。</w:t>
      </w:r>
      <w:r>
        <w:rPr>
          <w:szCs w:val="24"/>
        </w:rPr>
        <w:t>项目已具备招标条件，现对该项目进行国内公开招标。</w:t>
      </w:r>
    </w:p>
    <w:p>
      <w:pPr>
        <w:widowControl/>
        <w:tabs>
          <w:tab w:val="left" w:pos="3189"/>
          <w:tab w:val="left" w:pos="3567"/>
          <w:tab w:val="left" w:pos="3938"/>
          <w:tab w:val="left" w:pos="4300"/>
          <w:tab w:val="left" w:pos="4655"/>
          <w:tab w:val="left" w:pos="6903"/>
          <w:tab w:val="left" w:pos="7445"/>
          <w:tab w:val="left" w:pos="7926"/>
        </w:tabs>
        <w:ind w:firstLine="422" w:firstLineChars="200"/>
        <w:jc w:val="left"/>
        <w:rPr>
          <w:rFonts w:hint="eastAsia" w:ascii="宋体" w:hAnsi="宋体" w:eastAsia="宋体" w:cs="Times New Roman"/>
          <w:szCs w:val="21"/>
          <w:lang w:val="zh-CN"/>
        </w:rPr>
      </w:pPr>
      <w:r>
        <w:rPr>
          <w:rFonts w:hint="eastAsia" w:ascii="宋体" w:hAnsi="宋体"/>
          <w:b/>
          <w:bCs/>
          <w:color w:val="000000"/>
          <w:szCs w:val="21"/>
        </w:rPr>
        <w:t>3、采购需求：</w:t>
      </w:r>
      <w:r>
        <w:rPr>
          <w:rFonts w:hint="eastAsia" w:ascii="宋体" w:hAnsi="宋体" w:eastAsia="宋体" w:cs="Times New Roman"/>
          <w:szCs w:val="21"/>
          <w:lang w:val="zh-CN"/>
        </w:rPr>
        <w:t>为保证东山老城区泵站设施的正常运行，确保在汛期顺利应对汛情，对陵里泵站、竹山桥泵站（一期）、竹山桥泵站（二期）、新河村泵站、商城泵站、杨家圩泵站、中前泵站、鞭鞍河泵站、城北泵站（一期）、城北泵站（二期）、城北泵站（三期）、孙家头泵站、东沟溢流坝、外港河溢流坝、大桥机械厂泵站的运维服务实行公开招标，选取泵站运维服务单位。</w:t>
      </w:r>
    </w:p>
    <w:p>
      <w:pPr>
        <w:widowControl/>
        <w:tabs>
          <w:tab w:val="left" w:pos="528"/>
          <w:tab w:val="left" w:pos="3567"/>
          <w:tab w:val="left" w:pos="3938"/>
          <w:tab w:val="left" w:pos="4300"/>
          <w:tab w:val="left" w:pos="4655"/>
          <w:tab w:val="left" w:pos="6903"/>
          <w:tab w:val="left" w:pos="7445"/>
          <w:tab w:val="left" w:pos="7926"/>
        </w:tabs>
        <w:ind w:firstLine="420" w:firstLineChars="200"/>
        <w:jc w:val="left"/>
        <w:rPr>
          <w:rFonts w:hint="eastAsia" w:ascii="宋体" w:hAnsi="宋体" w:cs="宋体"/>
          <w:kern w:val="0"/>
          <w:szCs w:val="21"/>
        </w:rPr>
      </w:pPr>
      <w:r>
        <w:rPr>
          <w:rFonts w:hint="eastAsia" w:ascii="宋体" w:hAnsi="宋体" w:cs="宋体"/>
          <w:kern w:val="0"/>
          <w:szCs w:val="21"/>
        </w:rPr>
        <w:t>采购预</w:t>
      </w:r>
      <w:r>
        <w:rPr>
          <w:rFonts w:hint="eastAsia" w:ascii="宋体" w:hAnsi="宋体" w:eastAsia="宋体" w:cs="宋体"/>
          <w:kern w:val="0"/>
          <w:szCs w:val="21"/>
        </w:rPr>
        <w:t>算：735万元</w:t>
      </w:r>
      <w:r>
        <w:rPr>
          <w:rFonts w:hint="eastAsia" w:ascii="宋体" w:hAnsi="宋体" w:eastAsia="宋体" w:cs="宋体"/>
          <w:kern w:val="0"/>
          <w:szCs w:val="21"/>
          <w:lang w:val="en-US" w:eastAsia="zh-CN"/>
        </w:rPr>
        <w:t>/年。其中包一：380万元/年，包二:355万元/年</w:t>
      </w:r>
      <w:r>
        <w:rPr>
          <w:rFonts w:hint="eastAsia" w:ascii="宋体" w:hAnsi="宋体" w:eastAsia="宋体" w:cs="宋体"/>
          <w:kern w:val="0"/>
          <w:szCs w:val="21"/>
        </w:rPr>
        <w:t>。</w:t>
      </w:r>
    </w:p>
    <w:p>
      <w:pPr>
        <w:spacing w:line="360" w:lineRule="auto"/>
        <w:ind w:firstLine="422" w:firstLineChars="200"/>
        <w:rPr>
          <w:rFonts w:ascii="宋体" w:hAnsi="宋体"/>
          <w:b/>
          <w:szCs w:val="21"/>
          <w:lang w:val="zh-CN"/>
        </w:rPr>
      </w:pPr>
      <w:r>
        <w:rPr>
          <w:rFonts w:hint="eastAsia" w:ascii="宋体" w:hAnsi="宋体"/>
          <w:b/>
          <w:bCs w:val="0"/>
          <w:szCs w:val="21"/>
        </w:rPr>
        <w:t>4、</w:t>
      </w:r>
      <w:r>
        <w:rPr>
          <w:rFonts w:hint="eastAsia" w:ascii="宋体" w:hAnsi="宋体"/>
          <w:b/>
          <w:bCs w:val="0"/>
          <w:color w:val="000000"/>
          <w:szCs w:val="21"/>
        </w:rPr>
        <w:t>服务期：</w:t>
      </w:r>
      <w:r>
        <w:rPr>
          <w:rFonts w:hint="eastAsia" w:ascii="宋体" w:hAnsi="宋体"/>
          <w:color w:val="000000"/>
          <w:szCs w:val="21"/>
        </w:rPr>
        <w:t>3年。</w:t>
      </w:r>
    </w:p>
    <w:p>
      <w:pPr>
        <w:numPr>
          <w:ilvl w:val="0"/>
          <w:numId w:val="7"/>
        </w:numPr>
        <w:autoSpaceDE w:val="0"/>
        <w:autoSpaceDN w:val="0"/>
        <w:adjustRightInd w:val="0"/>
        <w:rPr>
          <w:rFonts w:ascii="宋体" w:hAnsi="宋体"/>
          <w:b/>
          <w:szCs w:val="21"/>
          <w:lang w:val="zh-CN"/>
        </w:rPr>
      </w:pPr>
      <w:r>
        <w:rPr>
          <w:rFonts w:ascii="宋体" w:hAnsi="宋体"/>
          <w:b/>
          <w:szCs w:val="21"/>
          <w:lang w:val="zh-CN"/>
        </w:rPr>
        <w:t>供应商应具备下列资格条件,并提供证明材料(包括但不限于):</w:t>
      </w:r>
    </w:p>
    <w:p>
      <w:pPr>
        <w:autoSpaceDE w:val="0"/>
        <w:autoSpaceDN w:val="0"/>
        <w:adjustRightInd w:val="0"/>
        <w:ind w:left="420"/>
        <w:rPr>
          <w:rFonts w:ascii="宋体" w:hAnsi="宋体"/>
          <w:b/>
          <w:color w:val="000000"/>
          <w:szCs w:val="21"/>
          <w:lang w:val="zh-CN"/>
        </w:rPr>
      </w:pPr>
      <w:r>
        <w:rPr>
          <w:rFonts w:hint="eastAsia" w:ascii="宋体" w:hAnsi="宋体"/>
          <w:b/>
          <w:color w:val="000000"/>
          <w:szCs w:val="21"/>
        </w:rPr>
        <w:t>5</w:t>
      </w:r>
      <w:r>
        <w:rPr>
          <w:rFonts w:ascii="宋体" w:hAnsi="宋体"/>
          <w:b/>
          <w:color w:val="000000"/>
          <w:szCs w:val="21"/>
          <w:lang w:val="zh-CN"/>
        </w:rPr>
        <w:t xml:space="preserve">.1 </w:t>
      </w:r>
      <w:r>
        <w:rPr>
          <w:rFonts w:ascii="宋体" w:hAnsi="宋体"/>
          <w:b/>
          <w:bCs/>
          <w:szCs w:val="21"/>
        </w:rPr>
        <w:t>参加政府采购活动的供应商应当具备政府采购法第二十二条第一款规定的条件，并依照政府采购法实施条例第十七条规定提供材料：</w:t>
      </w:r>
    </w:p>
    <w:p>
      <w:pPr>
        <w:autoSpaceDE w:val="0"/>
        <w:autoSpaceDN w:val="0"/>
        <w:adjustRightInd w:val="0"/>
        <w:ind w:firstLine="420" w:firstLineChars="200"/>
        <w:rPr>
          <w:rFonts w:ascii="宋体" w:hAnsi="宋体"/>
          <w:color w:val="000000"/>
          <w:szCs w:val="21"/>
        </w:rPr>
      </w:pPr>
      <w:r>
        <w:rPr>
          <w:rFonts w:ascii="宋体" w:hAnsi="宋体"/>
          <w:color w:val="000000"/>
          <w:szCs w:val="21"/>
        </w:rPr>
        <w:t>（1）具有独立承担民事责任的能力（提供法人或者其他组织的营业执照,自然人的身份证）；</w:t>
      </w:r>
    </w:p>
    <w:p>
      <w:pPr>
        <w:autoSpaceDE w:val="0"/>
        <w:autoSpaceDN w:val="0"/>
        <w:adjustRightInd w:val="0"/>
        <w:ind w:firstLine="420" w:firstLineChars="200"/>
        <w:rPr>
          <w:rFonts w:ascii="宋体" w:hAnsi="宋体"/>
          <w:color w:val="000000"/>
          <w:szCs w:val="21"/>
        </w:rPr>
      </w:pPr>
      <w:r>
        <w:rPr>
          <w:rFonts w:hint="eastAsia" w:ascii="宋体" w:hAnsi="宋体"/>
          <w:color w:val="000000"/>
          <w:szCs w:val="21"/>
        </w:rPr>
        <w:t>（2）</w:t>
      </w:r>
      <w:r>
        <w:rPr>
          <w:rFonts w:ascii="宋体" w:hAnsi="宋体"/>
          <w:color w:val="000000"/>
          <w:szCs w:val="21"/>
        </w:rPr>
        <w:t>具有良好的商业信誉和健全的财务会计制度（提供参加本次政府采购活动前</w:t>
      </w:r>
      <w:r>
        <w:rPr>
          <w:rFonts w:ascii="宋体" w:hAnsi="宋体"/>
          <w:szCs w:val="21"/>
        </w:rPr>
        <w:t>的会计报表）</w:t>
      </w:r>
      <w:r>
        <w:rPr>
          <w:rFonts w:ascii="宋体" w:hAnsi="宋体"/>
          <w:color w:val="000000"/>
          <w:szCs w:val="21"/>
        </w:rPr>
        <w:t>；</w:t>
      </w:r>
    </w:p>
    <w:p>
      <w:pPr>
        <w:autoSpaceDE w:val="0"/>
        <w:autoSpaceDN w:val="0"/>
        <w:adjustRightInd w:val="0"/>
        <w:ind w:left="105" w:firstLine="315" w:firstLineChars="150"/>
        <w:rPr>
          <w:rFonts w:ascii="宋体" w:hAnsi="宋体"/>
          <w:color w:val="000000"/>
          <w:szCs w:val="21"/>
        </w:rPr>
      </w:pPr>
      <w:r>
        <w:rPr>
          <w:rFonts w:ascii="宋体" w:hAnsi="宋体"/>
          <w:color w:val="000000"/>
          <w:szCs w:val="21"/>
        </w:rPr>
        <w:t xml:space="preserve">（3）具有履行合同所必需的设备和专业技术能力（根据项目需求提供履行合同所必需的设备和专业技术能力的声明及证明材料）； </w:t>
      </w:r>
    </w:p>
    <w:p>
      <w:pPr>
        <w:autoSpaceDE w:val="0"/>
        <w:autoSpaceDN w:val="0"/>
        <w:adjustRightInd w:val="0"/>
        <w:ind w:firstLine="420" w:firstLineChars="200"/>
        <w:rPr>
          <w:rFonts w:ascii="宋体" w:hAnsi="宋体"/>
          <w:color w:val="000000"/>
          <w:szCs w:val="21"/>
        </w:rPr>
      </w:pPr>
      <w:r>
        <w:rPr>
          <w:rFonts w:ascii="宋体" w:hAnsi="宋体"/>
          <w:color w:val="000000"/>
          <w:szCs w:val="21"/>
        </w:rPr>
        <w:t>（4）有依法缴纳税收和社会保障资金的良好记录（提供参加本次政府采购活动前一年内（至少一个月）依法缴纳税收和社会保障资金的相关材料）；</w:t>
      </w:r>
    </w:p>
    <w:p>
      <w:pPr>
        <w:autoSpaceDE w:val="0"/>
        <w:autoSpaceDN w:val="0"/>
        <w:adjustRightInd w:val="0"/>
        <w:ind w:firstLine="420" w:firstLineChars="200"/>
        <w:rPr>
          <w:rFonts w:ascii="宋体" w:hAnsi="宋体"/>
          <w:color w:val="000000"/>
          <w:szCs w:val="21"/>
        </w:rPr>
      </w:pPr>
      <w:r>
        <w:rPr>
          <w:rFonts w:ascii="宋体" w:hAnsi="宋体"/>
          <w:color w:val="000000"/>
          <w:szCs w:val="21"/>
        </w:rPr>
        <w:t>（5）参加政府采购活动前三年内，在经营活动中没</w:t>
      </w:r>
      <w:bookmarkStart w:id="155" w:name="_GoBack"/>
      <w:bookmarkEnd w:id="155"/>
      <w:r>
        <w:rPr>
          <w:rFonts w:ascii="宋体" w:hAnsi="宋体"/>
          <w:color w:val="000000"/>
          <w:szCs w:val="21"/>
        </w:rPr>
        <w:t>有重大违法记录（提供参加本次政府采购活动前3年内在经营活动中没有重大违法记录的书面声明）（格式见后附件）；</w:t>
      </w:r>
    </w:p>
    <w:p>
      <w:pPr>
        <w:numPr>
          <w:ilvl w:val="0"/>
          <w:numId w:val="0"/>
        </w:numPr>
        <w:autoSpaceDE w:val="0"/>
        <w:autoSpaceDN w:val="0"/>
        <w:adjustRightInd w:val="0"/>
        <w:ind w:left="420" w:leftChars="0"/>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lang w:val="en-US" w:eastAsia="zh-CN"/>
        </w:rPr>
        <w:t>6</w:t>
      </w:r>
      <w:r>
        <w:rPr>
          <w:rFonts w:hint="eastAsia" w:ascii="宋体" w:hAnsi="宋体"/>
          <w:color w:val="000000"/>
          <w:szCs w:val="21"/>
          <w:lang w:eastAsia="zh-CN"/>
        </w:rPr>
        <w:t>）</w:t>
      </w:r>
      <w:r>
        <w:rPr>
          <w:rFonts w:ascii="宋体" w:hAnsi="宋体"/>
          <w:color w:val="000000"/>
          <w:szCs w:val="21"/>
        </w:rPr>
        <w:t>法律、行政法规规定的其他条件（提供项目实施所必须的许可资质证明材料）。</w:t>
      </w:r>
    </w:p>
    <w:p>
      <w:pPr>
        <w:ind w:firstLine="422" w:firstLineChars="200"/>
        <w:rPr>
          <w:rFonts w:ascii="宋体" w:hAnsi="宋体"/>
          <w:b/>
          <w:color w:val="000000"/>
          <w:kern w:val="0"/>
          <w:szCs w:val="21"/>
        </w:rPr>
      </w:pPr>
      <w:r>
        <w:rPr>
          <w:rFonts w:hint="eastAsia" w:ascii="宋体" w:hAnsi="宋体"/>
          <w:b/>
          <w:color w:val="000000"/>
          <w:kern w:val="0"/>
          <w:szCs w:val="21"/>
        </w:rPr>
        <w:t>5</w:t>
      </w:r>
      <w:r>
        <w:rPr>
          <w:rFonts w:ascii="宋体" w:hAnsi="宋体"/>
          <w:b/>
          <w:color w:val="000000"/>
          <w:kern w:val="0"/>
          <w:szCs w:val="21"/>
        </w:rPr>
        <w:t>.2招标人根据采购项目的特殊要求规定的特定条件：</w:t>
      </w:r>
    </w:p>
    <w:p>
      <w:pPr>
        <w:autoSpaceDE w:val="0"/>
        <w:autoSpaceDN w:val="0"/>
        <w:adjustRightInd w:val="0"/>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投标人必须具有机电工程施工总承包三级及以上资质或建筑机电安装工程专业承包三级及以上资质或电力工程施工总承包三级及以上资质或输变电工程专业承包三级及以上资质。（提供资质证书复印件加盖公章，原件备查）</w:t>
      </w:r>
    </w:p>
    <w:p>
      <w:pPr>
        <w:autoSpaceDE w:val="0"/>
        <w:autoSpaceDN w:val="0"/>
        <w:adjustRightInd w:val="0"/>
        <w:ind w:firstLine="420" w:firstLineChars="200"/>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（2）投标人具备有效的安全生产许可证。（提供证书复印件加盖公章，原件备查）</w:t>
      </w:r>
    </w:p>
    <w:p>
      <w:pPr>
        <w:ind w:firstLine="422" w:firstLineChars="200"/>
        <w:rPr>
          <w:rFonts w:ascii="宋体" w:hAnsi="宋体"/>
          <w:color w:val="000000"/>
          <w:szCs w:val="21"/>
        </w:rPr>
      </w:pPr>
      <w:r>
        <w:rPr>
          <w:rFonts w:hint="eastAsia" w:ascii="宋体" w:hAnsi="宋体"/>
          <w:b/>
          <w:color w:val="000000"/>
          <w:kern w:val="0"/>
          <w:szCs w:val="21"/>
        </w:rPr>
        <w:t>5</w:t>
      </w:r>
      <w:r>
        <w:rPr>
          <w:rFonts w:ascii="宋体" w:hAnsi="宋体"/>
          <w:b/>
          <w:color w:val="000000"/>
          <w:kern w:val="0"/>
          <w:szCs w:val="21"/>
        </w:rPr>
        <w:t>.3拒绝下述供应商参加本次采购活动：</w:t>
      </w:r>
      <w:r>
        <w:rPr>
          <w:rFonts w:hint="eastAsia" w:ascii="宋体" w:hAnsi="宋体"/>
          <w:b/>
          <w:color w:val="000000"/>
          <w:kern w:val="0"/>
          <w:szCs w:val="21"/>
        </w:rPr>
        <w:t xml:space="preserve"> </w:t>
      </w:r>
    </w:p>
    <w:p>
      <w:pPr>
        <w:ind w:firstLine="420" w:firstLineChars="200"/>
        <w:rPr>
          <w:rFonts w:ascii="宋体" w:hAnsi="宋体"/>
          <w:color w:val="000000"/>
          <w:szCs w:val="21"/>
        </w:rPr>
      </w:pPr>
      <w:r>
        <w:rPr>
          <w:rFonts w:ascii="宋体" w:hAnsi="宋体"/>
          <w:color w:val="000000"/>
          <w:szCs w:val="21"/>
        </w:rPr>
        <w:t>（1）供应商单位负责人为同一人或者存在直接控股、管理关系的不同供应商，不得参加同一合同项下的政府采购活动。</w:t>
      </w:r>
    </w:p>
    <w:p>
      <w:pPr>
        <w:autoSpaceDE w:val="0"/>
        <w:autoSpaceDN w:val="0"/>
        <w:adjustRightInd w:val="0"/>
        <w:ind w:firstLine="420" w:firstLineChars="200"/>
        <w:rPr>
          <w:rFonts w:ascii="宋体" w:hAnsi="宋体"/>
          <w:color w:val="000000"/>
          <w:szCs w:val="21"/>
        </w:rPr>
      </w:pPr>
      <w:r>
        <w:rPr>
          <w:rFonts w:ascii="宋体" w:hAnsi="宋体"/>
          <w:color w:val="000000"/>
          <w:szCs w:val="21"/>
        </w:rPr>
        <w:t>（2）凡为采购项目提供整体设计、规范编制或者项目管理、监理、检测等服务的供应商，不得再参加本项目的采购活动。</w:t>
      </w:r>
    </w:p>
    <w:p>
      <w:pPr>
        <w:autoSpaceDE w:val="0"/>
        <w:autoSpaceDN w:val="0"/>
        <w:adjustRightInd w:val="0"/>
        <w:snapToGrid w:val="0"/>
        <w:ind w:firstLine="420" w:firstLineChars="200"/>
        <w:rPr>
          <w:rFonts w:hint="eastAsia" w:ascii="宋体" w:hAnsi="宋体"/>
          <w:color w:val="000000"/>
          <w:szCs w:val="21"/>
        </w:rPr>
      </w:pPr>
      <w:r>
        <w:rPr>
          <w:rFonts w:ascii="宋体" w:hAnsi="宋体"/>
          <w:color w:val="000000"/>
          <w:szCs w:val="21"/>
        </w:rPr>
        <w:t>（3）拒绝列入失信被执行人、重大税收违法案件当事人名单、政府采购严重违法失信行为记录名单中的供应商参加本项目的采购活动。招标人或招标代理机构通过“信用中国”网站（www.creditchina.gov.cn）、“中国政府采购网”网站（www.ccgp.gov.cn）等渠道查询供应商信用记录并保存，如供应商组成联合体且联合体成员存在不良信用记录的，视同联合体存在不良信用记录。</w:t>
      </w:r>
    </w:p>
    <w:p>
      <w:pPr>
        <w:ind w:firstLine="420" w:firstLineChars="200"/>
        <w:jc w:val="left"/>
        <w:rPr>
          <w:rFonts w:hint="eastAsia" w:ascii="宋体" w:hAnsi="宋体"/>
          <w:color w:val="000000"/>
          <w:szCs w:val="21"/>
        </w:rPr>
      </w:pPr>
      <w:r>
        <w:rPr>
          <w:rFonts w:hint="eastAsia" w:ascii="宋体" w:hAnsi="宋体"/>
          <w:color w:val="000000"/>
          <w:szCs w:val="21"/>
        </w:rPr>
        <w:t>5.4供应商诚信档案注册登记</w:t>
      </w:r>
    </w:p>
    <w:p>
      <w:pPr>
        <w:autoSpaceDE w:val="0"/>
        <w:autoSpaceDN w:val="0"/>
        <w:adjustRightInd w:val="0"/>
        <w:snapToGrid w:val="0"/>
        <w:ind w:firstLine="420" w:firstLineChars="200"/>
        <w:rPr>
          <w:rFonts w:ascii="宋体" w:hAnsi="宋体"/>
          <w:color w:val="000000"/>
          <w:szCs w:val="21"/>
        </w:rPr>
      </w:pPr>
      <w:r>
        <w:rPr>
          <w:rFonts w:hint="eastAsia" w:ascii="宋体" w:hAnsi="宋体"/>
          <w:color w:val="000000"/>
          <w:szCs w:val="21"/>
        </w:rPr>
        <w:t>凡在南京地区参加政府采购活动的供应商，在参加政府采购活动前应当在“南京政府采购供应商诚信档案管理系统”内进行注册登记。由于特殊原因未及时注册的供应商可先行获取采购文件，但必须在提交投标（响应）文件截止日2天前办理登记注册手续。供应商应在递交投标（响应）文件的同时，提交供应商诚信档案管理系统中打印的“南京市政府采购供应商信用记录表”。（网站客服联系电话025-52718366-607）</w:t>
      </w:r>
    </w:p>
    <w:p>
      <w:pPr>
        <w:autoSpaceDE w:val="0"/>
        <w:autoSpaceDN w:val="0"/>
        <w:adjustRightInd w:val="0"/>
        <w:ind w:firstLine="422" w:firstLineChars="200"/>
        <w:rPr>
          <w:rFonts w:ascii="宋体" w:hAnsi="宋体"/>
          <w:szCs w:val="21"/>
          <w:lang w:val="zh-CN"/>
        </w:rPr>
      </w:pPr>
      <w:r>
        <w:rPr>
          <w:rFonts w:hint="eastAsia" w:ascii="宋体" w:hAnsi="宋体"/>
          <w:b/>
          <w:bCs/>
          <w:szCs w:val="21"/>
        </w:rPr>
        <w:t>6</w:t>
      </w:r>
      <w:r>
        <w:rPr>
          <w:rFonts w:hint="eastAsia" w:ascii="宋体" w:hAnsi="宋体"/>
          <w:b/>
          <w:bCs/>
          <w:szCs w:val="21"/>
          <w:lang w:val="zh-CN"/>
        </w:rPr>
        <w:t>、</w:t>
      </w:r>
      <w:r>
        <w:rPr>
          <w:rFonts w:ascii="宋体" w:hAnsi="宋体"/>
          <w:b/>
          <w:bCs/>
          <w:szCs w:val="21"/>
          <w:lang w:val="zh-CN"/>
        </w:rPr>
        <w:t>是否接受联合体投标：不接受。</w:t>
      </w:r>
    </w:p>
    <w:p>
      <w:pPr>
        <w:widowControl/>
        <w:shd w:val="clear" w:color="auto" w:fill="FFFFFF"/>
        <w:jc w:val="left"/>
        <w:rPr>
          <w:rFonts w:ascii="宋体" w:hAnsi="宋体"/>
          <w:kern w:val="0"/>
          <w:szCs w:val="21"/>
        </w:rPr>
      </w:pPr>
      <w:r>
        <w:rPr>
          <w:rFonts w:ascii="宋体" w:hAnsi="宋体"/>
          <w:kern w:val="0"/>
          <w:szCs w:val="21"/>
        </w:rPr>
        <w:t xml:space="preserve">    </w:t>
      </w:r>
      <w:r>
        <w:rPr>
          <w:rFonts w:hint="eastAsia" w:ascii="宋体" w:hAnsi="宋体"/>
          <w:kern w:val="0"/>
          <w:szCs w:val="21"/>
        </w:rPr>
        <w:t>7</w:t>
      </w:r>
      <w:r>
        <w:rPr>
          <w:rFonts w:ascii="宋体" w:hAnsi="宋体"/>
          <w:kern w:val="0"/>
          <w:szCs w:val="21"/>
        </w:rPr>
        <w:t>、</w:t>
      </w:r>
      <w:r>
        <w:rPr>
          <w:rFonts w:hint="eastAsia" w:ascii="宋体" w:hAnsi="宋体"/>
          <w:kern w:val="0"/>
          <w:szCs w:val="21"/>
        </w:rPr>
        <w:t>招标</w:t>
      </w:r>
      <w:r>
        <w:rPr>
          <w:rFonts w:ascii="宋体" w:hAnsi="宋体"/>
          <w:kern w:val="0"/>
          <w:szCs w:val="21"/>
        </w:rPr>
        <w:t>有效期：</w:t>
      </w:r>
      <w:r>
        <w:rPr>
          <w:rFonts w:hint="eastAsia" w:ascii="宋体" w:hAnsi="宋体"/>
          <w:kern w:val="0"/>
          <w:szCs w:val="21"/>
        </w:rPr>
        <w:t>投标</w:t>
      </w:r>
      <w:r>
        <w:rPr>
          <w:rFonts w:ascii="宋体" w:hAnsi="宋体"/>
          <w:kern w:val="0"/>
          <w:szCs w:val="21"/>
        </w:rPr>
        <w:t>之日起60天</w:t>
      </w:r>
    </w:p>
    <w:p>
      <w:pPr>
        <w:ind w:firstLine="420" w:firstLineChars="200"/>
        <w:rPr>
          <w:rFonts w:ascii="宋体" w:hAnsi="宋体"/>
          <w:szCs w:val="21"/>
          <w:lang w:val="zh-CN"/>
        </w:rPr>
      </w:pPr>
      <w:r>
        <w:rPr>
          <w:rFonts w:hint="eastAsia" w:ascii="宋体" w:hAnsi="宋体"/>
          <w:szCs w:val="21"/>
        </w:rPr>
        <w:t>8</w:t>
      </w:r>
      <w:r>
        <w:rPr>
          <w:rFonts w:ascii="宋体" w:hAnsi="宋体"/>
          <w:szCs w:val="21"/>
          <w:lang w:val="zh-CN"/>
        </w:rPr>
        <w:t>、投标文件份数：一式</w:t>
      </w:r>
      <w:r>
        <w:rPr>
          <w:rFonts w:hint="eastAsia" w:ascii="宋体" w:hAnsi="宋体"/>
          <w:szCs w:val="21"/>
        </w:rPr>
        <w:t>叁</w:t>
      </w:r>
      <w:r>
        <w:rPr>
          <w:rFonts w:ascii="宋体" w:hAnsi="宋体"/>
          <w:szCs w:val="21"/>
          <w:lang w:val="zh-CN"/>
        </w:rPr>
        <w:t>份（壹份正本、</w:t>
      </w:r>
      <w:r>
        <w:rPr>
          <w:rFonts w:hint="eastAsia" w:ascii="宋体" w:hAnsi="宋体"/>
          <w:szCs w:val="21"/>
        </w:rPr>
        <w:t>贰</w:t>
      </w:r>
      <w:r>
        <w:rPr>
          <w:rFonts w:ascii="宋体" w:hAnsi="宋体"/>
          <w:szCs w:val="21"/>
          <w:lang w:val="zh-CN"/>
        </w:rPr>
        <w:t>份</w:t>
      </w:r>
      <w:r>
        <w:rPr>
          <w:rFonts w:hint="eastAsia" w:ascii="宋体" w:hAnsi="宋体"/>
          <w:szCs w:val="21"/>
          <w:lang w:val="zh-CN"/>
        </w:rPr>
        <w:t>副</w:t>
      </w:r>
      <w:r>
        <w:rPr>
          <w:rFonts w:ascii="宋体" w:hAnsi="宋体"/>
          <w:szCs w:val="21"/>
          <w:lang w:val="zh-CN"/>
        </w:rPr>
        <w:t>本），</w:t>
      </w:r>
      <w:r>
        <w:rPr>
          <w:rFonts w:ascii="宋体" w:hAnsi="宋体"/>
          <w:bCs/>
          <w:kern w:val="0"/>
          <w:szCs w:val="21"/>
        </w:rPr>
        <w:t>电子版投标文件壹份，</w:t>
      </w:r>
      <w:r>
        <w:rPr>
          <w:rFonts w:ascii="宋体" w:hAnsi="宋体"/>
          <w:szCs w:val="21"/>
          <w:lang w:val="zh-CN"/>
        </w:rPr>
        <w:t>每份投标文件须清楚标明“正本”或“副本”字样。</w:t>
      </w:r>
    </w:p>
    <w:p>
      <w:pPr>
        <w:adjustRightInd w:val="0"/>
        <w:snapToGrid w:val="0"/>
        <w:ind w:firstLine="420" w:firstLineChars="200"/>
        <w:rPr>
          <w:rFonts w:ascii="宋体" w:hAnsi="宋体"/>
          <w:b/>
          <w:szCs w:val="21"/>
        </w:rPr>
      </w:pPr>
      <w:r>
        <w:rPr>
          <w:rFonts w:hint="eastAsia" w:ascii="宋体" w:hAnsi="宋体"/>
          <w:szCs w:val="21"/>
        </w:rPr>
        <w:t>9</w:t>
      </w:r>
      <w:r>
        <w:rPr>
          <w:rFonts w:ascii="宋体" w:hAnsi="宋体"/>
          <w:szCs w:val="21"/>
        </w:rPr>
        <w:t>、</w:t>
      </w:r>
      <w:r>
        <w:rPr>
          <w:rFonts w:ascii="宋体" w:hAnsi="宋体"/>
          <w:szCs w:val="21"/>
          <w:lang w:val="zh-CN"/>
        </w:rPr>
        <w:t>提交投标文件地点：</w:t>
      </w:r>
      <w:r>
        <w:rPr>
          <w:rFonts w:ascii="宋体" w:hAnsi="宋体"/>
          <w:snapToGrid w:val="0"/>
          <w:szCs w:val="21"/>
        </w:rPr>
        <w:t>江苏志诚工程咨询管理有限公司会议室（</w:t>
      </w:r>
      <w:r>
        <w:rPr>
          <w:rFonts w:hint="eastAsia" w:ascii="宋体" w:hAnsi="宋体"/>
          <w:snapToGrid w:val="0"/>
          <w:szCs w:val="21"/>
        </w:rPr>
        <w:t>南京市江宁区龙眠大道568号生命科技小镇融创科研中心21幢101四楼</w:t>
      </w:r>
      <w:r>
        <w:rPr>
          <w:rFonts w:ascii="宋体" w:hAnsi="宋体"/>
          <w:snapToGrid w:val="0"/>
          <w:szCs w:val="21"/>
        </w:rPr>
        <w:t>）</w:t>
      </w:r>
      <w:r>
        <w:rPr>
          <w:rFonts w:ascii="宋体" w:hAnsi="宋体"/>
          <w:b/>
          <w:szCs w:val="21"/>
        </w:rPr>
        <w:t>；</w:t>
      </w:r>
    </w:p>
    <w:p>
      <w:pPr>
        <w:adjustRightInd w:val="0"/>
        <w:snapToGrid w:val="0"/>
        <w:ind w:firstLine="420" w:firstLineChars="200"/>
        <w:rPr>
          <w:rFonts w:ascii="宋体" w:hAnsi="宋体"/>
          <w:snapToGrid w:val="0"/>
          <w:szCs w:val="21"/>
        </w:rPr>
      </w:pPr>
      <w:r>
        <w:rPr>
          <w:rFonts w:ascii="宋体" w:hAnsi="宋体"/>
          <w:szCs w:val="21"/>
        </w:rPr>
        <w:t>1</w:t>
      </w:r>
      <w:r>
        <w:rPr>
          <w:rFonts w:hint="eastAsia" w:ascii="宋体" w:hAnsi="宋体"/>
          <w:szCs w:val="21"/>
        </w:rPr>
        <w:t>0</w:t>
      </w:r>
      <w:r>
        <w:rPr>
          <w:rFonts w:ascii="宋体" w:hAnsi="宋体"/>
          <w:b/>
          <w:szCs w:val="21"/>
        </w:rPr>
        <w:t>、</w:t>
      </w:r>
      <w:r>
        <w:rPr>
          <w:rFonts w:ascii="宋体" w:hAnsi="宋体"/>
          <w:szCs w:val="21"/>
          <w:lang w:val="zh-CN"/>
        </w:rPr>
        <w:t>提交投标文件时间：</w:t>
      </w:r>
      <w:r>
        <w:rPr>
          <w:rFonts w:hint="eastAsia" w:ascii="宋体" w:hAnsi="宋体"/>
          <w:b/>
          <w:snapToGrid w:val="0"/>
          <w:szCs w:val="21"/>
          <w:u w:val="none"/>
        </w:rPr>
        <w:t>2021年</w:t>
      </w:r>
      <w:r>
        <w:rPr>
          <w:rFonts w:hint="eastAsia" w:ascii="宋体" w:hAnsi="宋体"/>
          <w:b/>
          <w:snapToGrid w:val="0"/>
          <w:szCs w:val="21"/>
          <w:u w:val="none"/>
          <w:lang w:val="en-US" w:eastAsia="zh-CN"/>
        </w:rPr>
        <w:t>6</w:t>
      </w:r>
      <w:r>
        <w:rPr>
          <w:rFonts w:hint="eastAsia" w:ascii="宋体" w:hAnsi="宋体"/>
          <w:b/>
          <w:snapToGrid w:val="0"/>
          <w:szCs w:val="21"/>
          <w:u w:val="none"/>
        </w:rPr>
        <w:t>月</w:t>
      </w:r>
      <w:r>
        <w:rPr>
          <w:rFonts w:hint="eastAsia" w:ascii="宋体" w:hAnsi="宋体"/>
          <w:b/>
          <w:snapToGrid w:val="0"/>
          <w:szCs w:val="21"/>
          <w:u w:val="none"/>
          <w:lang w:val="en-US" w:eastAsia="zh-CN"/>
        </w:rPr>
        <w:t>9</w:t>
      </w:r>
      <w:r>
        <w:rPr>
          <w:rFonts w:hint="eastAsia" w:ascii="宋体" w:hAnsi="宋体"/>
          <w:b/>
          <w:snapToGrid w:val="0"/>
          <w:szCs w:val="21"/>
          <w:u w:val="none"/>
        </w:rPr>
        <w:t>日14</w:t>
      </w:r>
      <w:r>
        <w:rPr>
          <w:rFonts w:ascii="宋体" w:hAnsi="宋体"/>
          <w:b/>
          <w:snapToGrid w:val="0"/>
          <w:szCs w:val="21"/>
          <w:u w:val="none"/>
        </w:rPr>
        <w:t>时</w:t>
      </w:r>
      <w:r>
        <w:rPr>
          <w:rFonts w:hint="eastAsia" w:ascii="宋体" w:hAnsi="宋体"/>
          <w:b/>
          <w:snapToGrid w:val="0"/>
          <w:szCs w:val="21"/>
          <w:u w:val="none"/>
        </w:rPr>
        <w:t>0</w:t>
      </w:r>
      <w:r>
        <w:rPr>
          <w:rFonts w:hint="eastAsia" w:ascii="宋体" w:hAnsi="宋体"/>
          <w:b/>
          <w:snapToGrid w:val="0"/>
          <w:szCs w:val="21"/>
          <w:u w:val="single"/>
        </w:rPr>
        <w:t>0</w:t>
      </w:r>
      <w:r>
        <w:rPr>
          <w:rFonts w:ascii="宋体" w:hAnsi="宋体"/>
          <w:b/>
          <w:snapToGrid w:val="0"/>
          <w:szCs w:val="21"/>
        </w:rPr>
        <w:t>分</w:t>
      </w:r>
      <w:r>
        <w:rPr>
          <w:rFonts w:ascii="宋体" w:hAnsi="宋体"/>
          <w:b/>
          <w:szCs w:val="21"/>
        </w:rPr>
        <w:t>，投标截止时间及开标时间：</w:t>
      </w:r>
      <w:r>
        <w:rPr>
          <w:rFonts w:ascii="宋体" w:hAnsi="宋体"/>
          <w:b/>
          <w:snapToGrid w:val="0"/>
          <w:szCs w:val="21"/>
          <w:u w:val="none"/>
        </w:rPr>
        <w:t>2</w:t>
      </w:r>
      <w:r>
        <w:rPr>
          <w:rFonts w:hint="eastAsia" w:ascii="宋体" w:hAnsi="宋体"/>
          <w:b/>
          <w:snapToGrid w:val="0"/>
          <w:szCs w:val="21"/>
          <w:u w:val="none"/>
        </w:rPr>
        <w:t>021</w:t>
      </w:r>
      <w:r>
        <w:rPr>
          <w:rFonts w:ascii="宋体" w:hAnsi="宋体"/>
          <w:b/>
          <w:snapToGrid w:val="0"/>
          <w:szCs w:val="21"/>
          <w:u w:val="none"/>
        </w:rPr>
        <w:t>年</w:t>
      </w:r>
      <w:r>
        <w:rPr>
          <w:rFonts w:hint="eastAsia" w:ascii="宋体" w:hAnsi="宋体"/>
          <w:b/>
          <w:snapToGrid w:val="0"/>
          <w:szCs w:val="21"/>
          <w:u w:val="none"/>
          <w:lang w:val="en-US" w:eastAsia="zh-CN"/>
        </w:rPr>
        <w:t>6</w:t>
      </w:r>
      <w:r>
        <w:rPr>
          <w:rFonts w:ascii="宋体" w:hAnsi="宋体"/>
          <w:b/>
          <w:snapToGrid w:val="0"/>
          <w:szCs w:val="21"/>
          <w:u w:val="none"/>
        </w:rPr>
        <w:t>月</w:t>
      </w:r>
      <w:r>
        <w:rPr>
          <w:rFonts w:hint="eastAsia" w:ascii="宋体" w:hAnsi="宋体"/>
          <w:b/>
          <w:snapToGrid w:val="0"/>
          <w:szCs w:val="21"/>
          <w:u w:val="none"/>
          <w:lang w:val="en-US" w:eastAsia="zh-CN"/>
        </w:rPr>
        <w:t>9</w:t>
      </w:r>
      <w:r>
        <w:rPr>
          <w:rFonts w:ascii="宋体" w:hAnsi="宋体"/>
          <w:b/>
          <w:snapToGrid w:val="0"/>
          <w:szCs w:val="21"/>
          <w:u w:val="none"/>
        </w:rPr>
        <w:t>日</w:t>
      </w:r>
      <w:r>
        <w:rPr>
          <w:rFonts w:hint="eastAsia" w:ascii="宋体" w:hAnsi="宋体"/>
          <w:b/>
          <w:snapToGrid w:val="0"/>
          <w:szCs w:val="21"/>
          <w:u w:val="none"/>
        </w:rPr>
        <w:t>14</w:t>
      </w:r>
      <w:r>
        <w:rPr>
          <w:rFonts w:ascii="宋体" w:hAnsi="宋体"/>
          <w:b/>
          <w:snapToGrid w:val="0"/>
          <w:szCs w:val="21"/>
          <w:u w:val="none"/>
        </w:rPr>
        <w:t>时</w:t>
      </w:r>
      <w:r>
        <w:rPr>
          <w:rFonts w:hint="eastAsia" w:ascii="宋体" w:hAnsi="宋体"/>
          <w:b/>
          <w:snapToGrid w:val="0"/>
          <w:szCs w:val="21"/>
          <w:u w:val="none"/>
        </w:rPr>
        <w:t>30</w:t>
      </w:r>
      <w:r>
        <w:rPr>
          <w:rFonts w:ascii="宋体" w:hAnsi="宋体"/>
          <w:b/>
          <w:snapToGrid w:val="0"/>
          <w:szCs w:val="21"/>
          <w:u w:val="none"/>
        </w:rPr>
        <w:t>分</w:t>
      </w:r>
      <w:r>
        <w:rPr>
          <w:rFonts w:ascii="宋体" w:hAnsi="宋体"/>
          <w:b/>
          <w:szCs w:val="21"/>
        </w:rPr>
        <w:t>。</w:t>
      </w:r>
      <w:r>
        <w:rPr>
          <w:rFonts w:ascii="宋体" w:hAnsi="宋体"/>
          <w:snapToGrid w:val="0"/>
          <w:szCs w:val="21"/>
        </w:rPr>
        <w:t>供应商有关人员参加开标会的要求：供应商的法定代表人（或其委托代理人）持身份证参加开标会，否则招标人将其投标文件按无效处理；供应商未参加开标的，视同认可开标结果。</w:t>
      </w:r>
    </w:p>
    <w:p>
      <w:pPr>
        <w:autoSpaceDE w:val="0"/>
        <w:autoSpaceDN w:val="0"/>
        <w:adjustRightInd w:val="0"/>
        <w:snapToGrid w:val="0"/>
        <w:ind w:firstLine="420"/>
        <w:rPr>
          <w:rFonts w:ascii="宋体" w:hAnsi="宋体"/>
          <w:b/>
          <w:szCs w:val="21"/>
        </w:rPr>
      </w:pPr>
      <w:r>
        <w:rPr>
          <w:rFonts w:ascii="宋体" w:hAnsi="宋体"/>
          <w:szCs w:val="21"/>
          <w:lang w:val="zh-CN"/>
        </w:rPr>
        <w:t>1</w:t>
      </w:r>
      <w:r>
        <w:rPr>
          <w:rFonts w:hint="eastAsia" w:ascii="宋体" w:hAnsi="宋体"/>
          <w:szCs w:val="21"/>
        </w:rPr>
        <w:t>1</w:t>
      </w:r>
      <w:r>
        <w:rPr>
          <w:rFonts w:ascii="宋体" w:hAnsi="宋体"/>
          <w:szCs w:val="21"/>
          <w:lang w:val="zh-CN"/>
        </w:rPr>
        <w:t>、招标人联系方式：</w:t>
      </w:r>
      <w:r>
        <w:rPr>
          <w:rFonts w:hint="eastAsia" w:ascii="宋体" w:hAnsi="宋体" w:eastAsia="宋体" w:cs="Times New Roman"/>
          <w:szCs w:val="21"/>
          <w:lang w:val="en-US" w:eastAsia="zh-CN"/>
        </w:rPr>
        <w:t>杜</w:t>
      </w:r>
      <w:r>
        <w:rPr>
          <w:rFonts w:hint="eastAsia" w:ascii="宋体" w:hAnsi="宋体" w:eastAsia="宋体" w:cs="Times New Roman"/>
          <w:szCs w:val="21"/>
          <w:lang w:val="zh-CN"/>
        </w:rPr>
        <w:t xml:space="preserve"> 工  </w:t>
      </w:r>
      <w:r>
        <w:rPr>
          <w:rFonts w:ascii="宋体" w:hAnsi="宋体"/>
          <w:szCs w:val="21"/>
          <w:lang w:val="zh-CN"/>
        </w:rPr>
        <w:t>联系电话：</w:t>
      </w:r>
      <w:r>
        <w:rPr>
          <w:rFonts w:hint="eastAsia" w:ascii="宋体" w:hAnsi="宋体" w:eastAsia="宋体" w:cs="Times New Roman"/>
          <w:szCs w:val="21"/>
          <w:lang w:val="zh-CN"/>
        </w:rPr>
        <w:t>025-52198088</w:t>
      </w:r>
    </w:p>
    <w:p>
      <w:pPr>
        <w:autoSpaceDE w:val="0"/>
        <w:autoSpaceDN w:val="0"/>
        <w:adjustRightInd w:val="0"/>
        <w:ind w:firstLine="420"/>
        <w:rPr>
          <w:rFonts w:ascii="宋体" w:hAnsi="宋体"/>
          <w:szCs w:val="21"/>
          <w:lang w:val="zh-CN"/>
        </w:rPr>
      </w:pPr>
      <w:r>
        <w:rPr>
          <w:rFonts w:ascii="宋体" w:hAnsi="宋体"/>
          <w:szCs w:val="21"/>
          <w:lang w:val="zh-CN"/>
        </w:rPr>
        <w:t>1</w:t>
      </w:r>
      <w:r>
        <w:rPr>
          <w:rFonts w:hint="eastAsia" w:ascii="宋体" w:hAnsi="宋体"/>
          <w:szCs w:val="21"/>
        </w:rPr>
        <w:t>2</w:t>
      </w:r>
      <w:r>
        <w:rPr>
          <w:rFonts w:ascii="宋体" w:hAnsi="宋体"/>
          <w:szCs w:val="21"/>
          <w:lang w:val="zh-CN"/>
        </w:rPr>
        <w:t>、</w:t>
      </w:r>
      <w:r>
        <w:rPr>
          <w:rFonts w:hint="eastAsia" w:ascii="宋体" w:hAnsi="宋体"/>
          <w:szCs w:val="21"/>
          <w:lang w:val="zh-CN"/>
        </w:rPr>
        <w:t>招标</w:t>
      </w:r>
      <w:r>
        <w:rPr>
          <w:rFonts w:ascii="宋体" w:hAnsi="宋体"/>
          <w:szCs w:val="21"/>
          <w:lang w:val="zh-CN"/>
        </w:rPr>
        <w:t>文件编制：</w:t>
      </w:r>
      <w:r>
        <w:rPr>
          <w:rFonts w:hint="eastAsia" w:ascii="宋体" w:hAnsi="宋体"/>
          <w:szCs w:val="21"/>
          <w:lang w:val="en-US" w:eastAsia="zh-CN"/>
        </w:rPr>
        <w:t>褚</w:t>
      </w:r>
      <w:r>
        <w:rPr>
          <w:rFonts w:hint="eastAsia" w:ascii="宋体" w:hAnsi="宋体"/>
          <w:szCs w:val="21"/>
        </w:rPr>
        <w:t>工</w:t>
      </w:r>
      <w:r>
        <w:rPr>
          <w:rFonts w:ascii="宋体" w:hAnsi="宋体"/>
          <w:szCs w:val="21"/>
          <w:lang w:val="zh-CN"/>
        </w:rPr>
        <w:t xml:space="preserve"> 联系电话：025-</w:t>
      </w:r>
      <w:r>
        <w:rPr>
          <w:rFonts w:hint="eastAsia" w:ascii="宋体" w:hAnsi="宋体"/>
          <w:szCs w:val="21"/>
          <w:lang w:val="zh-CN"/>
        </w:rPr>
        <w:t>52289866</w:t>
      </w:r>
      <w:r>
        <w:rPr>
          <w:rFonts w:ascii="宋体" w:hAnsi="宋体"/>
          <w:szCs w:val="21"/>
          <w:lang w:val="zh-CN"/>
        </w:rPr>
        <w:t xml:space="preserve">  </w:t>
      </w:r>
    </w:p>
    <w:p>
      <w:pPr>
        <w:ind w:firstLine="420" w:firstLineChars="200"/>
        <w:rPr>
          <w:rFonts w:ascii="宋体" w:hAnsi="宋体"/>
        </w:rPr>
      </w:pPr>
      <w:r>
        <w:rPr>
          <w:rFonts w:ascii="宋体" w:hAnsi="宋体"/>
          <w:bCs/>
          <w:color w:val="000000"/>
          <w:szCs w:val="21"/>
        </w:rPr>
        <w:t>地    址：</w:t>
      </w:r>
      <w:r>
        <w:rPr>
          <w:rFonts w:hint="eastAsia" w:ascii="宋体" w:hAnsi="宋体"/>
          <w:snapToGrid w:val="0"/>
          <w:szCs w:val="21"/>
        </w:rPr>
        <w:t>南京市江宁区龙眠大道568号生命科技小镇融创科研中心21幢101</w:t>
      </w:r>
    </w:p>
    <w:p>
      <w:pPr>
        <w:rPr>
          <w:rFonts w:hint="eastAsia"/>
        </w:rPr>
      </w:pPr>
    </w:p>
    <w:p>
      <w:pPr>
        <w:rPr>
          <w:rFonts w:hint="eastAsia"/>
        </w:rPr>
      </w:pPr>
      <w:r>
        <w:br w:type="page"/>
      </w:r>
      <w:bookmarkStart w:id="5" w:name="_Toc338684360"/>
      <w:bookmarkStart w:id="6" w:name="_Toc274907013"/>
      <w:bookmarkStart w:id="7" w:name="_Toc401304066"/>
      <w:r>
        <w:tab/>
      </w:r>
    </w:p>
    <w:p>
      <w:pPr>
        <w:autoSpaceDE w:val="0"/>
        <w:autoSpaceDN w:val="0"/>
        <w:adjustRightInd w:val="0"/>
        <w:ind w:firstLine="420"/>
        <w:jc w:val="center"/>
        <w:outlineLvl w:val="0"/>
        <w:rPr>
          <w:rFonts w:ascii="宋体" w:hAnsi="宋体"/>
          <w:sz w:val="36"/>
          <w:szCs w:val="36"/>
          <w:lang w:val="zh-CN"/>
        </w:rPr>
      </w:pPr>
      <w:bookmarkStart w:id="8" w:name="_Toc14488"/>
      <w:r>
        <w:rPr>
          <w:rFonts w:hint="eastAsia" w:ascii="宋体" w:hAnsi="宋体"/>
          <w:sz w:val="36"/>
          <w:szCs w:val="36"/>
          <w:lang w:val="zh-CN"/>
        </w:rPr>
        <w:t>第二章</w:t>
      </w:r>
      <w:r>
        <w:rPr>
          <w:rFonts w:ascii="宋体" w:hAnsi="宋体"/>
          <w:sz w:val="36"/>
          <w:szCs w:val="36"/>
          <w:lang w:val="zh-CN"/>
        </w:rPr>
        <w:t xml:space="preserve">  </w:t>
      </w:r>
      <w:r>
        <w:rPr>
          <w:rFonts w:hint="eastAsia" w:ascii="宋体" w:hAnsi="宋体"/>
          <w:sz w:val="36"/>
          <w:szCs w:val="36"/>
          <w:lang w:val="zh-CN"/>
        </w:rPr>
        <w:t>投标人须知</w:t>
      </w:r>
      <w:bookmarkEnd w:id="5"/>
      <w:bookmarkEnd w:id="6"/>
      <w:bookmarkEnd w:id="7"/>
      <w:bookmarkEnd w:id="8"/>
    </w:p>
    <w:p>
      <w:pPr>
        <w:autoSpaceDE w:val="0"/>
        <w:autoSpaceDN w:val="0"/>
        <w:adjustRightInd w:val="0"/>
        <w:ind w:firstLine="420"/>
        <w:outlineLvl w:val="1"/>
        <w:rPr>
          <w:rFonts w:ascii="宋体" w:hAnsi="宋体"/>
          <w:b/>
          <w:lang w:val="zh-CN"/>
        </w:rPr>
      </w:pPr>
      <w:bookmarkStart w:id="9" w:name="_Toc10720973"/>
      <w:bookmarkStart w:id="10" w:name="_Toc11051708"/>
      <w:bookmarkStart w:id="11" w:name="_Toc401304067"/>
      <w:bookmarkStart w:id="12" w:name="_Toc18987"/>
      <w:bookmarkStart w:id="13" w:name="_Toc338684361"/>
      <w:bookmarkStart w:id="14" w:name="_Toc274907014"/>
      <w:r>
        <w:rPr>
          <w:rFonts w:hint="eastAsia" w:ascii="宋体" w:hAnsi="宋体"/>
          <w:b/>
          <w:lang w:val="zh-CN"/>
        </w:rPr>
        <w:t>一、总</w:t>
      </w:r>
      <w:r>
        <w:rPr>
          <w:rFonts w:ascii="宋体" w:hAnsi="宋体"/>
          <w:b/>
          <w:lang w:val="zh-CN"/>
        </w:rPr>
        <w:t xml:space="preserve">    </w:t>
      </w:r>
      <w:r>
        <w:rPr>
          <w:rFonts w:hint="eastAsia" w:ascii="宋体" w:hAnsi="宋体"/>
          <w:b/>
          <w:lang w:val="zh-CN"/>
        </w:rPr>
        <w:t>则</w:t>
      </w:r>
      <w:bookmarkEnd w:id="9"/>
      <w:bookmarkEnd w:id="10"/>
      <w:bookmarkEnd w:id="11"/>
      <w:bookmarkEnd w:id="12"/>
      <w:bookmarkEnd w:id="13"/>
      <w:bookmarkEnd w:id="14"/>
    </w:p>
    <w:p>
      <w:pPr>
        <w:autoSpaceDE w:val="0"/>
        <w:autoSpaceDN w:val="0"/>
        <w:adjustRightInd w:val="0"/>
        <w:ind w:firstLine="420"/>
        <w:rPr>
          <w:rFonts w:ascii="宋体" w:hAnsi="宋体"/>
          <w:b/>
          <w:lang w:val="zh-CN"/>
        </w:rPr>
      </w:pPr>
      <w:r>
        <w:rPr>
          <w:rFonts w:ascii="宋体" w:hAnsi="宋体"/>
          <w:b/>
          <w:lang w:val="zh-CN"/>
        </w:rPr>
        <w:t>1</w:t>
      </w:r>
      <w:r>
        <w:rPr>
          <w:rFonts w:hint="eastAsia" w:ascii="宋体" w:hAnsi="宋体"/>
          <w:b/>
          <w:lang w:val="zh-CN"/>
        </w:rPr>
        <w:t>、适用范围</w:t>
      </w:r>
    </w:p>
    <w:p>
      <w:pPr>
        <w:autoSpaceDE w:val="0"/>
        <w:autoSpaceDN w:val="0"/>
        <w:adjustRightInd w:val="0"/>
        <w:ind w:firstLine="420"/>
        <w:rPr>
          <w:rFonts w:ascii="宋体" w:hAnsi="宋体"/>
          <w:lang w:val="zh-CN"/>
        </w:rPr>
      </w:pPr>
      <w:r>
        <w:rPr>
          <w:rFonts w:ascii="宋体" w:hAnsi="宋体"/>
          <w:lang w:val="zh-CN"/>
        </w:rPr>
        <w:t>1.1</w:t>
      </w:r>
      <w:r>
        <w:rPr>
          <w:rFonts w:hint="eastAsia" w:ascii="宋体" w:hAnsi="宋体"/>
          <w:lang w:val="zh-CN"/>
        </w:rPr>
        <w:t xml:space="preserve"> 本招标文件适用于本投标邀请中所述服务及相关内容的招标投标。</w:t>
      </w:r>
    </w:p>
    <w:p>
      <w:pPr>
        <w:autoSpaceDE w:val="0"/>
        <w:autoSpaceDN w:val="0"/>
        <w:adjustRightInd w:val="0"/>
        <w:ind w:firstLine="420"/>
        <w:rPr>
          <w:rFonts w:ascii="宋体" w:hAnsi="宋体"/>
          <w:b/>
          <w:lang w:val="zh-CN"/>
        </w:rPr>
      </w:pPr>
      <w:r>
        <w:rPr>
          <w:rFonts w:ascii="宋体" w:hAnsi="宋体"/>
          <w:b/>
          <w:lang w:val="zh-CN"/>
        </w:rPr>
        <w:t>2</w:t>
      </w:r>
      <w:r>
        <w:rPr>
          <w:rFonts w:hint="eastAsia" w:ascii="宋体" w:hAnsi="宋体"/>
          <w:b/>
          <w:lang w:val="zh-CN"/>
        </w:rPr>
        <w:t>、定义</w:t>
      </w:r>
    </w:p>
    <w:p>
      <w:pPr>
        <w:autoSpaceDE w:val="0"/>
        <w:autoSpaceDN w:val="0"/>
        <w:adjustRightInd w:val="0"/>
        <w:ind w:firstLine="420"/>
        <w:rPr>
          <w:rFonts w:hint="eastAsia" w:ascii="宋体" w:hAnsi="宋体"/>
          <w:lang w:val="zh-CN"/>
        </w:rPr>
      </w:pPr>
      <w:r>
        <w:rPr>
          <w:rFonts w:ascii="宋体" w:hAnsi="宋体"/>
          <w:lang w:val="zh-CN"/>
        </w:rPr>
        <w:t>2.</w:t>
      </w:r>
      <w:r>
        <w:rPr>
          <w:rFonts w:hint="eastAsia" w:ascii="宋体" w:hAnsi="宋体"/>
          <w:lang w:val="zh-CN"/>
        </w:rPr>
        <w:t>1 “招标货物”指本招标文件中所述</w:t>
      </w:r>
      <w:r>
        <w:rPr>
          <w:rFonts w:hint="eastAsia" w:ascii="宋体" w:hAnsi="宋体"/>
          <w:b/>
          <w:lang w:val="zh-CN"/>
        </w:rPr>
        <w:t>非进口产品</w:t>
      </w:r>
      <w:r>
        <w:rPr>
          <w:rFonts w:hint="eastAsia" w:ascii="宋体" w:hAnsi="宋体"/>
          <w:lang w:val="zh-CN"/>
        </w:rPr>
        <w:t>及相关服务</w:t>
      </w:r>
      <w:r>
        <w:rPr>
          <w:rFonts w:hint="eastAsia" w:ascii="宋体" w:hAnsi="宋体"/>
          <w:b/>
          <w:lang w:val="zh-CN"/>
        </w:rPr>
        <w:t>。本次采购不接受进口产品。</w:t>
      </w:r>
    </w:p>
    <w:p>
      <w:pPr>
        <w:autoSpaceDE w:val="0"/>
        <w:autoSpaceDN w:val="0"/>
        <w:adjustRightInd w:val="0"/>
        <w:ind w:firstLine="420"/>
        <w:rPr>
          <w:rFonts w:hint="eastAsia" w:ascii="宋体" w:hAnsi="宋体"/>
          <w:b/>
          <w:lang w:val="zh-CN"/>
        </w:rPr>
      </w:pPr>
      <w:r>
        <w:rPr>
          <w:rFonts w:hint="eastAsia" w:ascii="宋体" w:hAnsi="宋体"/>
          <w:lang w:val="zh-CN"/>
        </w:rPr>
        <w:t xml:space="preserve">2.2 </w:t>
      </w:r>
      <w:r>
        <w:rPr>
          <w:rFonts w:hint="eastAsia" w:ascii="宋体" w:hAnsi="宋体"/>
          <w:b/>
          <w:lang w:val="zh-CN"/>
        </w:rPr>
        <w:t>进口产品是指通过中国海关报关验放进入中国境内且产自关境外的产品。</w:t>
      </w:r>
    </w:p>
    <w:p>
      <w:pPr>
        <w:autoSpaceDE w:val="0"/>
        <w:autoSpaceDN w:val="0"/>
        <w:adjustRightInd w:val="0"/>
        <w:ind w:firstLine="420"/>
        <w:rPr>
          <w:rFonts w:ascii="宋体" w:hAnsi="宋体"/>
          <w:lang w:val="zh-CN"/>
        </w:rPr>
      </w:pPr>
      <w:r>
        <w:rPr>
          <w:rFonts w:hint="eastAsia" w:ascii="宋体" w:hAnsi="宋体"/>
          <w:b/>
          <w:lang w:val="zh-CN"/>
        </w:rPr>
        <w:t>2.3 政府采购优先采购节能产品和环境标志产品。节能产品是指列入财政部、国家发展和改革委员会制定的《节能产品政府采购清单》，且经过认定的节能产品。环境标志产品是指财政部、国家环保总局制定的《环境标志产品政府采购清单》，且经过认证的环境标志产品。</w:t>
      </w:r>
    </w:p>
    <w:p>
      <w:pPr>
        <w:autoSpaceDE w:val="0"/>
        <w:autoSpaceDN w:val="0"/>
        <w:adjustRightInd w:val="0"/>
        <w:ind w:firstLine="420"/>
        <w:rPr>
          <w:rFonts w:ascii="宋体" w:hAnsi="宋体"/>
          <w:lang w:val="zh-CN"/>
        </w:rPr>
      </w:pPr>
      <w:r>
        <w:rPr>
          <w:rFonts w:ascii="宋体" w:hAnsi="宋体"/>
          <w:lang w:val="zh-CN"/>
        </w:rPr>
        <w:t>2.</w:t>
      </w:r>
      <w:r>
        <w:rPr>
          <w:rFonts w:hint="eastAsia" w:ascii="宋体" w:hAnsi="宋体"/>
          <w:lang w:val="zh-CN"/>
        </w:rPr>
        <w:t>4 “投标供应商”指响应招标并且符合招标文件规定资格条件和参加投标竞争的法人、其他组织或者自然人。</w:t>
      </w:r>
      <w:r>
        <w:rPr>
          <w:rFonts w:hint="eastAsia" w:ascii="宋体" w:hAnsi="宋体"/>
          <w:b/>
          <w:lang w:val="zh-CN"/>
        </w:rPr>
        <w:t>投标供应商</w:t>
      </w:r>
      <w:r>
        <w:rPr>
          <w:rFonts w:hint="eastAsia" w:ascii="宋体" w:hAnsi="宋体"/>
          <w:b/>
        </w:rPr>
        <w:t>应当是提供本招标文件所述货物的供应商。</w:t>
      </w:r>
    </w:p>
    <w:p>
      <w:pPr>
        <w:autoSpaceDE w:val="0"/>
        <w:autoSpaceDN w:val="0"/>
        <w:adjustRightInd w:val="0"/>
        <w:ind w:firstLine="420"/>
        <w:rPr>
          <w:rFonts w:ascii="宋体" w:hAnsi="宋体"/>
          <w:b/>
          <w:lang w:val="zh-CN"/>
        </w:rPr>
      </w:pPr>
      <w:r>
        <w:rPr>
          <w:rFonts w:ascii="宋体" w:hAnsi="宋体"/>
          <w:b/>
          <w:lang w:val="zh-CN"/>
        </w:rPr>
        <w:t>3</w:t>
      </w:r>
      <w:r>
        <w:rPr>
          <w:rFonts w:hint="eastAsia" w:ascii="宋体" w:hAnsi="宋体"/>
          <w:b/>
          <w:lang w:val="zh-CN"/>
        </w:rPr>
        <w:t>、投标供应商应具备的资格条件：</w:t>
      </w:r>
    </w:p>
    <w:p>
      <w:pPr>
        <w:autoSpaceDE w:val="0"/>
        <w:autoSpaceDN w:val="0"/>
        <w:adjustRightInd w:val="0"/>
        <w:ind w:firstLine="422" w:firstLineChars="200"/>
        <w:rPr>
          <w:rFonts w:hint="eastAsia" w:ascii="宋体" w:hAnsi="宋体"/>
          <w:b/>
          <w:lang w:val="zh-CN"/>
        </w:rPr>
      </w:pPr>
      <w:r>
        <w:rPr>
          <w:rFonts w:ascii="宋体" w:hAnsi="宋体"/>
          <w:b/>
          <w:lang w:val="zh-CN"/>
        </w:rPr>
        <w:t>3.1</w:t>
      </w:r>
      <w:r>
        <w:rPr>
          <w:rFonts w:hint="eastAsia" w:ascii="宋体" w:hAnsi="宋体"/>
          <w:b/>
          <w:lang w:val="zh-CN"/>
        </w:rPr>
        <w:t xml:space="preserve"> 应具备《中华人民共和国政府采购法》规定的条件：</w:t>
      </w:r>
    </w:p>
    <w:p>
      <w:pPr>
        <w:widowControl/>
        <w:shd w:val="clear" w:color="auto" w:fill="FFFFFF"/>
        <w:spacing w:before="75" w:after="75"/>
        <w:ind w:firstLine="315" w:firstLineChars="150"/>
        <w:jc w:val="left"/>
        <w:rPr>
          <w:rFonts w:ascii="宋体" w:hAnsi="宋体"/>
          <w:color w:val="000000"/>
          <w:szCs w:val="21"/>
        </w:rPr>
      </w:pPr>
      <w:r>
        <w:rPr>
          <w:rFonts w:hint="eastAsia" w:ascii="宋体" w:hAnsi="宋体"/>
          <w:color w:val="000000"/>
          <w:szCs w:val="21"/>
        </w:rPr>
        <w:t>（1）具有独立承担民事责任的能力（提供法人或者其他组织的营业执照，自然人的身份证明）；</w:t>
      </w:r>
    </w:p>
    <w:p>
      <w:pPr>
        <w:widowControl/>
        <w:shd w:val="clear" w:color="auto" w:fill="FFFFFF"/>
        <w:spacing w:before="75" w:after="75"/>
        <w:ind w:firstLine="315" w:firstLineChars="150"/>
        <w:jc w:val="left"/>
        <w:rPr>
          <w:rFonts w:ascii="宋体" w:hAnsi="宋体"/>
          <w:color w:val="000000"/>
          <w:szCs w:val="21"/>
        </w:rPr>
      </w:pPr>
      <w:r>
        <w:rPr>
          <w:rFonts w:hint="eastAsia" w:ascii="宋体" w:hAnsi="宋体"/>
          <w:color w:val="000000"/>
          <w:szCs w:val="21"/>
        </w:rPr>
        <w:t>（2）具有良好的商业信誉和健全的财务会计制度（提供参加本次政府采购活动前的会计报表）；</w:t>
      </w:r>
    </w:p>
    <w:p>
      <w:pPr>
        <w:widowControl/>
        <w:shd w:val="clear" w:color="auto" w:fill="FFFFFF"/>
        <w:spacing w:before="75" w:after="75"/>
        <w:ind w:firstLine="315" w:firstLineChars="150"/>
        <w:jc w:val="left"/>
        <w:rPr>
          <w:rFonts w:ascii="宋体" w:hAnsi="宋体"/>
          <w:color w:val="000000"/>
          <w:szCs w:val="21"/>
        </w:rPr>
      </w:pPr>
      <w:r>
        <w:rPr>
          <w:rFonts w:hint="eastAsia" w:ascii="宋体" w:hAnsi="宋体"/>
          <w:color w:val="000000"/>
          <w:szCs w:val="21"/>
        </w:rPr>
        <w:t>（3）具有履行合同所必需的设备和专业技术能力（根据项目需求提供履行合同所必需的设备和专业技术能力的证明材料）；</w:t>
      </w:r>
    </w:p>
    <w:p>
      <w:pPr>
        <w:widowControl/>
        <w:shd w:val="clear" w:color="auto" w:fill="FFFFFF"/>
        <w:spacing w:before="75" w:after="75"/>
        <w:ind w:firstLine="315" w:firstLineChars="150"/>
        <w:jc w:val="left"/>
        <w:rPr>
          <w:rFonts w:ascii="宋体" w:hAnsi="宋体"/>
          <w:color w:val="000000"/>
          <w:szCs w:val="21"/>
        </w:rPr>
      </w:pPr>
      <w:r>
        <w:rPr>
          <w:rFonts w:hint="eastAsia" w:ascii="宋体" w:hAnsi="宋体"/>
          <w:color w:val="000000"/>
          <w:szCs w:val="21"/>
        </w:rPr>
        <w:t>（4）有依法缴纳税收和社会保障资金的良好记录（提供参加本次政府采购活动前半年内（至少一个月）依法缴纳税收和社会保障资金的相关资料）；</w:t>
      </w:r>
    </w:p>
    <w:p>
      <w:pPr>
        <w:widowControl/>
        <w:shd w:val="clear" w:color="auto" w:fill="FFFFFF"/>
        <w:spacing w:before="75" w:after="75"/>
        <w:ind w:firstLine="315" w:firstLineChars="150"/>
        <w:jc w:val="left"/>
        <w:rPr>
          <w:rFonts w:ascii="宋体" w:hAnsi="宋体"/>
          <w:color w:val="000000"/>
          <w:szCs w:val="21"/>
        </w:rPr>
      </w:pPr>
      <w:r>
        <w:rPr>
          <w:rFonts w:hint="eastAsia" w:ascii="宋体" w:hAnsi="宋体"/>
          <w:color w:val="000000"/>
          <w:szCs w:val="21"/>
        </w:rPr>
        <w:t>（5）参加政府采购活动前三年内，在经营活动中没有重大违法记录（提供参加本次政府采购活动前3年内在经营活动中没有重大违法记录的书面声明）（格式见后附件）；</w:t>
      </w:r>
    </w:p>
    <w:p>
      <w:pPr>
        <w:autoSpaceDE w:val="0"/>
        <w:autoSpaceDN w:val="0"/>
        <w:adjustRightInd w:val="0"/>
        <w:ind w:firstLine="420" w:firstLineChars="200"/>
        <w:rPr>
          <w:rFonts w:hint="eastAsia" w:ascii="宋体" w:hAnsi="宋体"/>
          <w:szCs w:val="21"/>
        </w:rPr>
      </w:pPr>
      <w:r>
        <w:rPr>
          <w:rFonts w:hint="eastAsia" w:ascii="宋体" w:hAnsi="宋体"/>
          <w:szCs w:val="21"/>
        </w:rPr>
        <w:t>（6）法律、行政法规规定的其他条件（项目实施所必需的许可资质证明材料）。</w:t>
      </w:r>
    </w:p>
    <w:p>
      <w:pPr>
        <w:ind w:firstLine="422" w:firstLineChars="200"/>
        <w:rPr>
          <w:rFonts w:ascii="宋体" w:hAnsi="宋体"/>
          <w:b/>
          <w:color w:val="000000"/>
          <w:kern w:val="0"/>
          <w:szCs w:val="21"/>
        </w:rPr>
      </w:pPr>
      <w:bookmarkStart w:id="15" w:name="VorReq"/>
      <w:r>
        <w:rPr>
          <w:rFonts w:hint="eastAsia" w:ascii="宋体" w:hAnsi="宋体"/>
          <w:b/>
          <w:lang w:val="zh-CN"/>
        </w:rPr>
        <w:t>3.2</w:t>
      </w:r>
      <w:bookmarkEnd w:id="15"/>
      <w:r>
        <w:rPr>
          <w:rFonts w:hint="eastAsia" w:ascii="宋体" w:hAnsi="宋体"/>
          <w:b/>
          <w:lang w:val="zh-CN"/>
        </w:rPr>
        <w:t xml:space="preserve"> </w:t>
      </w:r>
      <w:r>
        <w:rPr>
          <w:rFonts w:ascii="宋体" w:hAnsi="宋体"/>
          <w:b/>
          <w:color w:val="000000"/>
          <w:kern w:val="0"/>
          <w:szCs w:val="21"/>
        </w:rPr>
        <w:t>招标人根据采购项目的特殊要求规定的特定条件：</w:t>
      </w:r>
    </w:p>
    <w:p>
      <w:pPr>
        <w:autoSpaceDE w:val="0"/>
        <w:autoSpaceDN w:val="0"/>
        <w:adjustRightInd w:val="0"/>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投标人必须具有机电工程施工总承包三级及以上资质或建筑机电安装工程专业承包三级及以上资质或电力工程施工总承包三级及以上资质或输变电工程专业承包三级及以上资质。（提供资质证书复印件加盖公章，原件备查）</w:t>
      </w:r>
    </w:p>
    <w:p>
      <w:pPr>
        <w:autoSpaceDE w:val="0"/>
        <w:autoSpaceDN w:val="0"/>
        <w:adjustRightInd w:val="0"/>
        <w:ind w:firstLine="420" w:firstLineChars="200"/>
        <w:rPr>
          <w:rFonts w:hint="eastAsia" w:ascii="宋体" w:hAnsi="宋体"/>
          <w:szCs w:val="21"/>
        </w:rPr>
      </w:pPr>
      <w:r>
        <w:rPr>
          <w:rFonts w:hint="eastAsia" w:ascii="宋体" w:hAnsi="宋体" w:eastAsia="宋体" w:cs="Times New Roman"/>
          <w:color w:val="000000"/>
          <w:szCs w:val="21"/>
        </w:rPr>
        <w:t>（2）投标人具备有效的安全生产许可证。（提供证书复印件加盖公章，原件备查）</w:t>
      </w:r>
    </w:p>
    <w:p>
      <w:pPr>
        <w:widowControl/>
        <w:shd w:val="clear" w:color="auto" w:fill="FFFFFF"/>
        <w:spacing w:before="75" w:after="75"/>
        <w:ind w:firstLine="420" w:firstLineChars="200"/>
        <w:jc w:val="left"/>
        <w:rPr>
          <w:rFonts w:ascii="宋体" w:hAnsi="宋体"/>
          <w:szCs w:val="21"/>
        </w:rPr>
      </w:pPr>
      <w:r>
        <w:rPr>
          <w:rFonts w:hint="eastAsia" w:ascii="宋体" w:hAnsi="宋体"/>
          <w:szCs w:val="21"/>
        </w:rPr>
        <w:t>3.3拒绝下述供应商参加本次采购活动：</w:t>
      </w:r>
    </w:p>
    <w:p>
      <w:pPr>
        <w:widowControl/>
        <w:shd w:val="clear" w:color="auto" w:fill="FFFFFF"/>
        <w:spacing w:before="75" w:after="75"/>
        <w:ind w:firstLine="315" w:firstLineChars="150"/>
        <w:jc w:val="left"/>
        <w:rPr>
          <w:rFonts w:ascii="宋体" w:hAnsi="宋体"/>
          <w:color w:val="000000"/>
          <w:szCs w:val="21"/>
        </w:rPr>
      </w:pPr>
      <w:r>
        <w:rPr>
          <w:rFonts w:hint="eastAsia" w:ascii="宋体" w:hAnsi="宋体"/>
          <w:color w:val="000000"/>
          <w:szCs w:val="21"/>
        </w:rPr>
        <w:t>（1）供应商单位负责人为同一人或者存在直接控股、管理关系的不同供应商，不得参加同一合同项下的政府采购活动。</w:t>
      </w:r>
    </w:p>
    <w:p>
      <w:pPr>
        <w:widowControl/>
        <w:shd w:val="clear" w:color="auto" w:fill="FFFFFF"/>
        <w:spacing w:before="75" w:after="75"/>
        <w:ind w:firstLine="420" w:firstLineChars="200"/>
        <w:jc w:val="left"/>
        <w:rPr>
          <w:rFonts w:ascii="宋体" w:hAnsi="宋体"/>
          <w:color w:val="000000"/>
          <w:szCs w:val="21"/>
        </w:rPr>
      </w:pPr>
      <w:r>
        <w:rPr>
          <w:rFonts w:hint="eastAsia" w:ascii="宋体" w:hAnsi="宋体"/>
          <w:color w:val="000000"/>
          <w:szCs w:val="21"/>
        </w:rPr>
        <w:t>（2）凡为采购项目提供整体设计、规范编制或者项目管理、监理、检测等服务的供应商，不得再参加本项目的采购活动。</w:t>
      </w:r>
    </w:p>
    <w:p>
      <w:pPr>
        <w:widowControl/>
        <w:shd w:val="clear" w:color="auto" w:fill="FFFFFF"/>
        <w:spacing w:before="75" w:after="75"/>
        <w:ind w:firstLine="420" w:firstLineChars="200"/>
        <w:jc w:val="left"/>
        <w:rPr>
          <w:rFonts w:hint="eastAsia" w:ascii="宋体" w:hAnsi="宋体"/>
          <w:color w:val="000000"/>
          <w:szCs w:val="21"/>
        </w:rPr>
      </w:pPr>
      <w:r>
        <w:rPr>
          <w:rFonts w:hint="eastAsia" w:ascii="宋体" w:hAnsi="宋体"/>
          <w:color w:val="000000"/>
          <w:szCs w:val="21"/>
        </w:rPr>
        <w:t>（3）拒绝列入失信被执行人、重大税收违法案件当事人名单、政府采购严重违法失信行为记录名单中的供应商参加本项目的采购活动。招标人或招标代理机构通过“信用中国”网站（www.creditchina.gov.cn）、“中国政府采购网”网站（www.ccgp.gov.cn）等渠道查询供应商信用记录并保存，如供应商组成联合体且联合体成员存在不良信用记录的，视同联合体存在不良信用记录。</w:t>
      </w:r>
    </w:p>
    <w:p>
      <w:pPr>
        <w:widowControl/>
        <w:shd w:val="clear" w:color="auto" w:fill="FFFFFF"/>
        <w:spacing w:before="75" w:after="75"/>
        <w:ind w:firstLine="315" w:firstLineChars="150"/>
        <w:jc w:val="left"/>
        <w:rPr>
          <w:rFonts w:ascii="宋体" w:hAnsi="宋体"/>
          <w:color w:val="000000"/>
          <w:szCs w:val="21"/>
        </w:rPr>
      </w:pPr>
      <w:r>
        <w:rPr>
          <w:rFonts w:hint="eastAsia" w:ascii="宋体" w:hAnsi="宋体"/>
          <w:color w:val="000000"/>
          <w:szCs w:val="21"/>
        </w:rPr>
        <w:t>3.4 供应商诚信档案注册登记：</w:t>
      </w:r>
    </w:p>
    <w:p>
      <w:pPr>
        <w:autoSpaceDE w:val="0"/>
        <w:autoSpaceDN w:val="0"/>
        <w:adjustRightInd w:val="0"/>
        <w:ind w:firstLine="422" w:firstLineChars="200"/>
        <w:rPr>
          <w:rFonts w:hint="eastAsia" w:ascii="宋体"/>
          <w:szCs w:val="21"/>
        </w:rPr>
      </w:pPr>
      <w:r>
        <w:rPr>
          <w:rFonts w:hint="eastAsia" w:ascii="宋体"/>
          <w:b/>
          <w:bCs/>
          <w:szCs w:val="21"/>
        </w:rPr>
        <w:t>凡在南京地区参加政府采购活动的供应商，在参加政府采购活动前应当在“南京政府采购供应商诚信档案管理系统”内进行注册登记。由于特殊原因未及时注册的供应商可先行获取采购文件，但必须在提交投标（响应）文件截止日2天前办理登记注册手续。（供应商应在递交投标（响应）文件的同时，提交供应商诚信档案管理系统中打印的“南京市政府采购供应商信用记录表”。）</w:t>
      </w:r>
    </w:p>
    <w:p>
      <w:pPr>
        <w:autoSpaceDE w:val="0"/>
        <w:autoSpaceDN w:val="0"/>
        <w:adjustRightInd w:val="0"/>
        <w:ind w:firstLine="420" w:firstLineChars="200"/>
        <w:rPr>
          <w:rFonts w:hint="eastAsia" w:ascii="宋体"/>
          <w:szCs w:val="21"/>
        </w:rPr>
      </w:pPr>
      <w:r>
        <w:rPr>
          <w:rFonts w:hint="eastAsia" w:ascii="宋体"/>
          <w:szCs w:val="21"/>
        </w:rPr>
        <w:t xml:space="preserve">（1）供应商诚信档案注册登记，按以下程序进行： </w:t>
      </w:r>
    </w:p>
    <w:p>
      <w:pPr>
        <w:autoSpaceDE w:val="0"/>
        <w:autoSpaceDN w:val="0"/>
        <w:adjustRightInd w:val="0"/>
        <w:ind w:left="218" w:leftChars="104" w:firstLine="417" w:firstLineChars="199"/>
        <w:rPr>
          <w:rFonts w:hint="eastAsia" w:ascii="宋体" w:hAnsi="宋体" w:cs="宋体"/>
          <w:szCs w:val="21"/>
        </w:rPr>
      </w:pPr>
      <w:r>
        <w:rPr>
          <w:rFonts w:hint="eastAsia" w:ascii="宋体" w:hAnsi="宋体" w:cs="宋体"/>
          <w:szCs w:val="21"/>
        </w:rPr>
        <w:t xml:space="preserve">①登陆“信用南京”（www.njcredit.gov.cn ）或“南京市政府采购网”（www.njgp.gov.cn ）网站，点击“南京政府采购供应商诚信档案管理系统”链接图标，或直接输入访问地址（http://222.190.243.84:8280/hodeframe2018_cxda ），在用户登录界面点击“新用户注册”； </w:t>
      </w:r>
    </w:p>
    <w:p>
      <w:pPr>
        <w:autoSpaceDE w:val="0"/>
        <w:autoSpaceDN w:val="0"/>
        <w:adjustRightInd w:val="0"/>
        <w:ind w:left="218" w:leftChars="104" w:firstLine="417" w:firstLineChars="199"/>
        <w:rPr>
          <w:rFonts w:hint="eastAsia" w:ascii="宋体" w:hAnsi="宋体" w:cs="宋体"/>
          <w:szCs w:val="21"/>
        </w:rPr>
      </w:pPr>
      <w:r>
        <w:rPr>
          <w:rFonts w:hint="eastAsia" w:ascii="宋体" w:hAnsi="宋体" w:cs="宋体"/>
          <w:szCs w:val="21"/>
        </w:rPr>
        <w:t xml:space="preserve">②在“新用户注册”界面，供应商自行设置用户名、登录密码，如实填写《南京市政府采购供应商诚信档案注册登记表》，并进行信用承诺确认后，提交注册申请； </w:t>
      </w:r>
    </w:p>
    <w:p>
      <w:pPr>
        <w:autoSpaceDE w:val="0"/>
        <w:autoSpaceDN w:val="0"/>
        <w:adjustRightInd w:val="0"/>
        <w:ind w:left="218" w:leftChars="104" w:firstLine="417" w:firstLineChars="199"/>
        <w:rPr>
          <w:rFonts w:hint="eastAsia" w:ascii="宋体" w:hAnsi="宋体" w:cs="宋体"/>
          <w:szCs w:val="21"/>
        </w:rPr>
      </w:pPr>
      <w:r>
        <w:rPr>
          <w:rFonts w:hint="eastAsia" w:ascii="宋体" w:hAnsi="宋体" w:cs="宋体"/>
          <w:szCs w:val="21"/>
        </w:rPr>
        <w:t>③系统审核后，供应商即可登录系统进行相关功能操作。</w:t>
      </w:r>
    </w:p>
    <w:p>
      <w:pPr>
        <w:autoSpaceDE w:val="0"/>
        <w:autoSpaceDN w:val="0"/>
        <w:adjustRightInd w:val="0"/>
        <w:ind w:firstLine="420" w:firstLineChars="200"/>
        <w:rPr>
          <w:szCs w:val="21"/>
          <w:lang w:val="zh-CN"/>
        </w:rPr>
      </w:pPr>
      <w:r>
        <w:rPr>
          <w:rFonts w:hint="eastAsia" w:ascii="宋体" w:hAnsi="宋体" w:cs="宋体"/>
          <w:szCs w:val="21"/>
        </w:rPr>
        <w:t>（2）注册成功后，供应商参加政府采购活动投标（响应）截至日2天前，应先登录“信用南京”在线打印其“南京市政府采购供应商信用记录表”，经法定代表人签名盖章后作为投标（响应）文件的组成部分提交给采购代理机构或招标人。“南京市政府采购供应商信用记录表”是其参加政府采购活动的必备材料。</w:t>
      </w:r>
    </w:p>
    <w:p>
      <w:pPr>
        <w:autoSpaceDE w:val="0"/>
        <w:autoSpaceDN w:val="0"/>
        <w:adjustRightInd w:val="0"/>
        <w:ind w:firstLine="420" w:firstLineChars="200"/>
        <w:rPr>
          <w:rFonts w:hint="eastAsia" w:ascii="宋体" w:hAnsi="宋体"/>
          <w:color w:val="000000"/>
          <w:szCs w:val="21"/>
        </w:rPr>
      </w:pPr>
      <w:r>
        <w:rPr>
          <w:rFonts w:hint="eastAsia" w:ascii="宋体" w:hAnsi="宋体"/>
          <w:color w:val="000000"/>
          <w:szCs w:val="21"/>
        </w:rPr>
        <w:t>3.5、是否接受联合体投标：不接受。</w:t>
      </w:r>
    </w:p>
    <w:p>
      <w:pPr>
        <w:widowControl/>
        <w:adjustRightInd w:val="0"/>
        <w:ind w:firstLine="420" w:firstLineChars="200"/>
        <w:jc w:val="left"/>
        <w:rPr>
          <w:rFonts w:hint="eastAsia" w:ascii="宋体" w:hAnsi="宋体"/>
        </w:rPr>
      </w:pPr>
      <w:r>
        <w:rPr>
          <w:rFonts w:hint="eastAsia" w:ascii="宋体" w:hAnsi="宋体"/>
        </w:rPr>
        <w:t>3.6注意事项：</w:t>
      </w:r>
    </w:p>
    <w:p>
      <w:pPr>
        <w:autoSpaceDE w:val="0"/>
        <w:autoSpaceDN w:val="0"/>
        <w:adjustRightInd w:val="0"/>
        <w:ind w:firstLine="420"/>
        <w:rPr>
          <w:b/>
        </w:rPr>
      </w:pPr>
      <w:r>
        <w:rPr>
          <w:szCs w:val="21"/>
        </w:rPr>
        <w:t>现场考察、答疑时间：</w:t>
      </w:r>
      <w:r>
        <w:rPr>
          <w:b/>
          <w:bCs/>
          <w:szCs w:val="21"/>
          <w:lang w:val="zh-CN"/>
        </w:rPr>
        <w:t>招标人不组织，投标人可自行联系招标人。未考察现场或考察工作不详细的投标人成交后，不得以不完全了解现场情况为理由而向招标人提出任何索赔或其他要求，对此招标人不承担任何责任并将不作任何答复。</w:t>
      </w:r>
    </w:p>
    <w:p>
      <w:pPr>
        <w:autoSpaceDE w:val="0"/>
        <w:autoSpaceDN w:val="0"/>
        <w:adjustRightInd w:val="0"/>
        <w:ind w:firstLine="420"/>
        <w:rPr>
          <w:rFonts w:ascii="宋体" w:hAnsi="宋体"/>
          <w:b/>
          <w:lang w:val="zh-CN"/>
        </w:rPr>
      </w:pPr>
      <w:r>
        <w:rPr>
          <w:rFonts w:ascii="宋体" w:hAnsi="宋体"/>
          <w:b/>
          <w:lang w:val="zh-CN"/>
        </w:rPr>
        <w:t>4</w:t>
      </w:r>
      <w:r>
        <w:rPr>
          <w:rFonts w:hint="eastAsia" w:ascii="宋体" w:hAnsi="宋体"/>
          <w:b/>
          <w:lang w:val="zh-CN"/>
        </w:rPr>
        <w:t>、招标文件构成</w:t>
      </w:r>
    </w:p>
    <w:p>
      <w:pPr>
        <w:autoSpaceDE w:val="0"/>
        <w:autoSpaceDN w:val="0"/>
        <w:adjustRightInd w:val="0"/>
        <w:ind w:firstLine="420"/>
        <w:rPr>
          <w:rFonts w:ascii="宋体" w:hAnsi="宋体"/>
        </w:rPr>
      </w:pPr>
      <w:r>
        <w:rPr>
          <w:rFonts w:ascii="宋体" w:hAnsi="宋体"/>
          <w:lang w:val="zh-CN"/>
        </w:rPr>
        <w:t>4.1</w:t>
      </w:r>
      <w:r>
        <w:rPr>
          <w:rFonts w:hint="eastAsia" w:ascii="宋体" w:hAnsi="宋体"/>
          <w:lang w:val="zh-CN"/>
        </w:rPr>
        <w:t xml:space="preserve"> 招标文件组成：投标邀请、投标供应商须知、投标供应商应当提交的资格和资信证明文件、投标报价要求、投标文件编制要求、招标项目的技术规格、要求和数量、合同主要条款及合同签订方式、交货和提供服务的时间、评标方法、评标标准、无效投标和废标条款、附件等。</w:t>
      </w:r>
    </w:p>
    <w:p>
      <w:pPr>
        <w:autoSpaceDE w:val="0"/>
        <w:autoSpaceDN w:val="0"/>
        <w:adjustRightInd w:val="0"/>
        <w:ind w:firstLine="420"/>
        <w:rPr>
          <w:rFonts w:ascii="宋体" w:hAnsi="宋体"/>
          <w:lang w:val="zh-CN"/>
        </w:rPr>
      </w:pPr>
      <w:r>
        <w:rPr>
          <w:rFonts w:ascii="宋体" w:hAnsi="宋体"/>
          <w:lang w:val="zh-CN"/>
        </w:rPr>
        <w:t>4.2</w:t>
      </w:r>
      <w:r>
        <w:rPr>
          <w:rFonts w:hint="eastAsia" w:ascii="宋体" w:hAnsi="宋体"/>
          <w:lang w:val="zh-CN"/>
        </w:rPr>
        <w:t xml:space="preserve"> 招标的最小单位是包。招标货物数量及技术要求中未分包的，投标供应商对要求提供的货物和服务不得部分投标；招标货物数量及技术要求中已经分包的，可以以包为单位投标。</w:t>
      </w:r>
    </w:p>
    <w:p>
      <w:pPr>
        <w:autoSpaceDE w:val="0"/>
        <w:autoSpaceDN w:val="0"/>
        <w:adjustRightInd w:val="0"/>
        <w:ind w:firstLine="420"/>
        <w:rPr>
          <w:rFonts w:hint="eastAsia" w:ascii="宋体" w:hAnsi="宋体"/>
          <w:lang w:val="zh-CN"/>
        </w:rPr>
      </w:pPr>
      <w:r>
        <w:rPr>
          <w:rFonts w:ascii="宋体" w:hAnsi="宋体"/>
          <w:lang w:val="zh-CN"/>
        </w:rPr>
        <w:t>4.</w:t>
      </w:r>
      <w:r>
        <w:rPr>
          <w:rFonts w:hint="eastAsia" w:ascii="宋体" w:hAnsi="宋体"/>
          <w:lang w:val="zh-CN"/>
        </w:rPr>
        <w:t>3 招标文件如果要求投标供应商按照招标文件规定提交备选投标方案的，投标供应商可以提交备选方案；否则，备选方案将被拒绝。</w:t>
      </w:r>
    </w:p>
    <w:p>
      <w:pPr>
        <w:autoSpaceDE w:val="0"/>
        <w:autoSpaceDN w:val="0"/>
        <w:adjustRightInd w:val="0"/>
        <w:ind w:firstLine="420"/>
        <w:rPr>
          <w:rFonts w:ascii="宋体" w:hAnsi="宋体"/>
          <w:b/>
          <w:lang w:val="zh-CN"/>
        </w:rPr>
      </w:pPr>
      <w:r>
        <w:rPr>
          <w:rFonts w:ascii="宋体" w:hAnsi="宋体"/>
          <w:b/>
          <w:lang w:val="zh-CN"/>
        </w:rPr>
        <w:t>5</w:t>
      </w:r>
      <w:r>
        <w:rPr>
          <w:rFonts w:hint="eastAsia" w:ascii="宋体" w:hAnsi="宋体"/>
          <w:b/>
          <w:lang w:val="zh-CN"/>
        </w:rPr>
        <w:t>、招标文件的澄清、修改</w:t>
      </w:r>
      <w:r>
        <w:rPr>
          <w:rFonts w:hint="eastAsia" w:ascii="宋体" w:hAnsi="宋体"/>
          <w:b/>
          <w:lang w:val="zh-CN"/>
        </w:rPr>
        <w:tab/>
      </w:r>
      <w:r>
        <w:rPr>
          <w:rFonts w:hint="eastAsia" w:ascii="宋体" w:hAnsi="宋体"/>
          <w:b/>
          <w:lang w:val="zh-CN"/>
        </w:rPr>
        <w:tab/>
      </w:r>
      <w:r>
        <w:rPr>
          <w:rFonts w:hint="eastAsia" w:ascii="宋体" w:hAnsi="宋体"/>
          <w:b/>
          <w:lang w:val="zh-CN"/>
        </w:rPr>
        <w:tab/>
      </w:r>
      <w:r>
        <w:rPr>
          <w:rFonts w:hint="eastAsia" w:ascii="宋体" w:hAnsi="宋体"/>
          <w:b/>
          <w:lang w:val="zh-CN"/>
        </w:rPr>
        <w:tab/>
      </w:r>
      <w:r>
        <w:rPr>
          <w:rFonts w:hint="eastAsia" w:ascii="宋体" w:hAnsi="宋体"/>
          <w:b/>
          <w:lang w:val="zh-CN"/>
        </w:rPr>
        <w:tab/>
      </w:r>
      <w:r>
        <w:rPr>
          <w:rFonts w:hint="eastAsia" w:ascii="宋体" w:hAnsi="宋体"/>
          <w:b/>
          <w:lang w:val="zh-CN"/>
        </w:rPr>
        <w:tab/>
      </w:r>
      <w:r>
        <w:rPr>
          <w:rFonts w:hint="eastAsia" w:ascii="宋体" w:hAnsi="宋体"/>
          <w:b/>
          <w:lang w:val="zh-CN"/>
        </w:rPr>
        <w:tab/>
      </w:r>
      <w:r>
        <w:rPr>
          <w:rFonts w:hint="eastAsia" w:ascii="宋体" w:hAnsi="宋体"/>
          <w:b/>
          <w:lang w:val="zh-CN"/>
        </w:rPr>
        <w:tab/>
      </w:r>
      <w:r>
        <w:rPr>
          <w:rFonts w:hint="eastAsia" w:ascii="宋体" w:hAnsi="宋体"/>
          <w:b/>
          <w:lang w:val="zh-CN"/>
        </w:rPr>
        <w:tab/>
      </w:r>
      <w:r>
        <w:rPr>
          <w:rFonts w:hint="eastAsia" w:ascii="宋体" w:hAnsi="宋体"/>
          <w:b/>
          <w:lang w:val="zh-CN"/>
        </w:rPr>
        <w:tab/>
      </w:r>
      <w:r>
        <w:rPr>
          <w:rFonts w:hint="eastAsia" w:ascii="宋体" w:hAnsi="宋体"/>
          <w:b/>
          <w:lang w:val="zh-CN"/>
        </w:rPr>
        <w:tab/>
      </w:r>
      <w:r>
        <w:rPr>
          <w:rFonts w:hint="eastAsia" w:ascii="宋体" w:hAnsi="宋体"/>
          <w:b/>
          <w:lang w:val="zh-CN"/>
        </w:rPr>
        <w:tab/>
      </w:r>
      <w:r>
        <w:rPr>
          <w:rFonts w:hint="eastAsia" w:ascii="宋体" w:hAnsi="宋体"/>
          <w:b/>
          <w:lang w:val="zh-CN"/>
        </w:rPr>
        <w:tab/>
      </w:r>
    </w:p>
    <w:p>
      <w:pPr>
        <w:autoSpaceDE w:val="0"/>
        <w:autoSpaceDN w:val="0"/>
        <w:adjustRightInd w:val="0"/>
        <w:ind w:firstLine="420"/>
        <w:rPr>
          <w:rFonts w:hint="eastAsia" w:ascii="宋体" w:hAnsi="宋体"/>
          <w:lang w:val="zh-CN"/>
        </w:rPr>
      </w:pPr>
      <w:r>
        <w:rPr>
          <w:rFonts w:ascii="宋体" w:hAnsi="宋体"/>
          <w:lang w:val="zh-CN"/>
        </w:rPr>
        <w:t>5.1</w:t>
      </w:r>
      <w:r>
        <w:rPr>
          <w:rFonts w:hint="eastAsia" w:ascii="宋体" w:hAnsi="宋体"/>
          <w:lang w:val="zh-CN"/>
        </w:rPr>
        <w:t xml:space="preserve"> 招标代理机构对已发出的招标文件进行必要澄清或者修改的，将在招标文件要求提交投标文件截止时间</w:t>
      </w:r>
      <w:r>
        <w:rPr>
          <w:rFonts w:ascii="宋体" w:hAnsi="宋体"/>
          <w:b/>
          <w:i/>
          <w:u w:val="single"/>
          <w:lang w:val="zh-CN"/>
        </w:rPr>
        <w:t>15</w:t>
      </w:r>
      <w:r>
        <w:rPr>
          <w:rFonts w:hint="eastAsia" w:ascii="宋体" w:hAnsi="宋体"/>
          <w:b/>
          <w:i/>
          <w:u w:val="single"/>
          <w:lang w:val="zh-CN"/>
        </w:rPr>
        <w:t>日</w:t>
      </w:r>
      <w:r>
        <w:rPr>
          <w:rFonts w:hint="eastAsia" w:ascii="宋体" w:hAnsi="宋体"/>
          <w:lang w:val="zh-CN"/>
        </w:rPr>
        <w:t>前，在原招标公告媒体发布更正公告，该澄清或者修改的内容为招标文件的组成部分。</w:t>
      </w:r>
    </w:p>
    <w:p>
      <w:pPr>
        <w:autoSpaceDE w:val="0"/>
        <w:autoSpaceDN w:val="0"/>
        <w:adjustRightInd w:val="0"/>
        <w:ind w:firstLine="420"/>
        <w:rPr>
          <w:rFonts w:ascii="宋体" w:hAnsi="宋体"/>
          <w:lang w:val="zh-CN"/>
        </w:rPr>
      </w:pPr>
      <w:r>
        <w:rPr>
          <w:rFonts w:ascii="宋体" w:hAnsi="宋体"/>
          <w:lang w:val="zh-CN"/>
        </w:rPr>
        <w:t>5.</w:t>
      </w:r>
      <w:r>
        <w:rPr>
          <w:rFonts w:hint="eastAsia" w:ascii="宋体" w:hAnsi="宋体"/>
          <w:lang w:val="zh-CN"/>
        </w:rPr>
        <w:t>2 招标人根据采购项目的具体情况，视情组织潜在投标供应商现场考察或者召开标前答疑会。如果组织潜在投标供应商现场考察或者召开标前答疑会的，将在招标文件或招标公告中确定时间和地点。</w:t>
      </w:r>
    </w:p>
    <w:p>
      <w:pPr>
        <w:autoSpaceDE w:val="0"/>
        <w:autoSpaceDN w:val="0"/>
        <w:adjustRightInd w:val="0"/>
        <w:ind w:firstLine="420"/>
        <w:rPr>
          <w:rFonts w:ascii="宋体" w:hAnsi="宋体"/>
          <w:lang w:val="zh-CN"/>
        </w:rPr>
      </w:pPr>
      <w:r>
        <w:rPr>
          <w:rFonts w:ascii="宋体" w:hAnsi="宋体"/>
          <w:lang w:val="zh-CN"/>
        </w:rPr>
        <w:t>5.</w:t>
      </w:r>
      <w:r>
        <w:rPr>
          <w:rFonts w:hint="eastAsia" w:ascii="宋体" w:hAnsi="宋体"/>
          <w:lang w:val="zh-CN"/>
        </w:rPr>
        <w:t>3 招标代理机构可以视采购具体情况，在招标文件要求提交投标文件截止时间</w:t>
      </w:r>
      <w:r>
        <w:rPr>
          <w:rFonts w:ascii="宋体" w:hAnsi="宋体"/>
          <w:b/>
          <w:i/>
          <w:u w:val="single"/>
          <w:lang w:val="zh-CN"/>
        </w:rPr>
        <w:t>3</w:t>
      </w:r>
      <w:r>
        <w:rPr>
          <w:rFonts w:hint="eastAsia" w:ascii="宋体" w:hAnsi="宋体"/>
          <w:b/>
          <w:i/>
          <w:u w:val="single"/>
          <w:lang w:val="zh-CN"/>
        </w:rPr>
        <w:t>日</w:t>
      </w:r>
      <w:r>
        <w:rPr>
          <w:rFonts w:hint="eastAsia" w:ascii="宋体" w:hAnsi="宋体"/>
          <w:lang w:val="zh-CN"/>
        </w:rPr>
        <w:t>前，有权决定延长投标截止时间和开标时间，并</w:t>
      </w:r>
      <w:r>
        <w:rPr>
          <w:rFonts w:hint="eastAsia" w:ascii="宋体" w:hAnsi="宋体"/>
        </w:rPr>
        <w:t>在原采购信息发布媒体上发布变更公告。</w:t>
      </w:r>
    </w:p>
    <w:p>
      <w:pPr>
        <w:autoSpaceDE w:val="0"/>
        <w:autoSpaceDN w:val="0"/>
        <w:adjustRightInd w:val="0"/>
        <w:ind w:firstLine="420"/>
        <w:rPr>
          <w:rFonts w:ascii="宋体" w:hAnsi="宋体"/>
          <w:b/>
          <w:lang w:val="zh-CN"/>
        </w:rPr>
      </w:pPr>
      <w:r>
        <w:rPr>
          <w:rFonts w:ascii="宋体" w:hAnsi="宋体"/>
          <w:b/>
          <w:lang w:val="zh-CN"/>
        </w:rPr>
        <w:t>6</w:t>
      </w:r>
      <w:r>
        <w:rPr>
          <w:rFonts w:hint="eastAsia" w:ascii="宋体" w:hAnsi="宋体"/>
          <w:b/>
          <w:lang w:val="zh-CN"/>
        </w:rPr>
        <w:t>、投标费用</w:t>
      </w:r>
    </w:p>
    <w:p>
      <w:pPr>
        <w:autoSpaceDE w:val="0"/>
        <w:autoSpaceDN w:val="0"/>
        <w:adjustRightInd w:val="0"/>
        <w:ind w:firstLine="420"/>
        <w:rPr>
          <w:rFonts w:hint="eastAsia" w:ascii="宋体" w:hAnsi="宋体"/>
          <w:lang w:val="zh-CN"/>
        </w:rPr>
      </w:pPr>
      <w:r>
        <w:rPr>
          <w:rFonts w:ascii="宋体" w:hAnsi="宋体"/>
          <w:lang w:val="zh-CN"/>
        </w:rPr>
        <w:t>6.1</w:t>
      </w:r>
      <w:r>
        <w:rPr>
          <w:rFonts w:hint="eastAsia" w:ascii="宋体" w:hAnsi="宋体"/>
          <w:lang w:val="zh-CN"/>
        </w:rPr>
        <w:t xml:space="preserve"> 投标供应商应承担所有与准备和参加投标有关的费用，无论采购结果如何，招标人和招标代理机构在任何情况下均无义务和责任承担这些费用。</w:t>
      </w:r>
    </w:p>
    <w:p>
      <w:pPr>
        <w:autoSpaceDE w:val="0"/>
        <w:autoSpaceDN w:val="0"/>
        <w:adjustRightInd w:val="0"/>
        <w:ind w:firstLine="420"/>
        <w:rPr>
          <w:rFonts w:hint="eastAsia" w:ascii="宋体" w:hAnsi="宋体"/>
          <w:b/>
          <w:szCs w:val="21"/>
        </w:rPr>
      </w:pPr>
      <w:r>
        <w:rPr>
          <w:rFonts w:hint="eastAsia" w:ascii="宋体" w:hAnsi="宋体" w:cs="宋体"/>
          <w:b/>
          <w:kern w:val="0"/>
          <w:szCs w:val="21"/>
          <w:lang w:val="zh-CN"/>
        </w:rPr>
        <w:t>6.2</w:t>
      </w:r>
      <w:r>
        <w:rPr>
          <w:rFonts w:hint="eastAsia" w:ascii="宋体" w:hAnsi="宋体"/>
          <w:b/>
          <w:szCs w:val="21"/>
        </w:rPr>
        <w:t>开评标过程中评标专家费用由中标人承担。</w:t>
      </w:r>
    </w:p>
    <w:p>
      <w:pPr>
        <w:autoSpaceDE w:val="0"/>
        <w:autoSpaceDN w:val="0"/>
        <w:adjustRightInd w:val="0"/>
        <w:ind w:firstLine="420"/>
        <w:outlineLvl w:val="1"/>
        <w:rPr>
          <w:rFonts w:ascii="宋体" w:hAnsi="宋体"/>
          <w:b/>
          <w:lang w:val="zh-CN"/>
        </w:rPr>
      </w:pPr>
      <w:bookmarkStart w:id="16" w:name="_Toc338684362"/>
      <w:bookmarkStart w:id="17" w:name="_Toc274907015"/>
      <w:bookmarkStart w:id="18" w:name="_Toc11051709"/>
      <w:bookmarkStart w:id="19" w:name="_Toc401304068"/>
      <w:bookmarkStart w:id="20" w:name="_Toc24062"/>
      <w:bookmarkStart w:id="21" w:name="_Toc10720974"/>
      <w:r>
        <w:rPr>
          <w:rFonts w:hint="eastAsia" w:ascii="宋体" w:hAnsi="宋体"/>
          <w:b/>
          <w:lang w:val="zh-CN"/>
        </w:rPr>
        <w:t>二、投标文件的编制</w:t>
      </w:r>
      <w:bookmarkEnd w:id="16"/>
      <w:bookmarkEnd w:id="17"/>
      <w:bookmarkEnd w:id="18"/>
      <w:bookmarkEnd w:id="19"/>
      <w:bookmarkEnd w:id="20"/>
      <w:bookmarkEnd w:id="21"/>
    </w:p>
    <w:p>
      <w:pPr>
        <w:autoSpaceDE w:val="0"/>
        <w:autoSpaceDN w:val="0"/>
        <w:adjustRightInd w:val="0"/>
        <w:ind w:firstLine="420"/>
        <w:rPr>
          <w:rFonts w:ascii="宋体" w:hAnsi="宋体"/>
          <w:b/>
          <w:lang w:val="zh-CN"/>
        </w:rPr>
      </w:pPr>
      <w:r>
        <w:rPr>
          <w:rFonts w:ascii="宋体" w:hAnsi="宋体"/>
          <w:b/>
          <w:lang w:val="zh-CN"/>
        </w:rPr>
        <w:t>7</w:t>
      </w:r>
      <w:r>
        <w:rPr>
          <w:rFonts w:hint="eastAsia" w:ascii="宋体" w:hAnsi="宋体"/>
          <w:b/>
          <w:lang w:val="zh-CN"/>
        </w:rPr>
        <w:t xml:space="preserve">、投标文件的语言、计量单位、货币和编制 </w:t>
      </w:r>
    </w:p>
    <w:p>
      <w:pPr>
        <w:autoSpaceDE w:val="0"/>
        <w:autoSpaceDN w:val="0"/>
        <w:adjustRightInd w:val="0"/>
        <w:ind w:firstLine="420"/>
        <w:rPr>
          <w:rFonts w:ascii="宋体" w:hAnsi="宋体"/>
          <w:lang w:val="zh-CN"/>
        </w:rPr>
      </w:pPr>
      <w:r>
        <w:rPr>
          <w:rFonts w:ascii="宋体" w:hAnsi="宋体"/>
          <w:lang w:val="zh-CN"/>
        </w:rPr>
        <w:t>7.1</w:t>
      </w:r>
      <w:r>
        <w:rPr>
          <w:rFonts w:hint="eastAsia" w:ascii="宋体" w:hAnsi="宋体"/>
          <w:lang w:val="zh-CN"/>
        </w:rPr>
        <w:t xml:space="preserve"> 投标供应商提交的投标文件、技术文件和资料，包括图纸中的说明，以及投标供应商与招标人或招标代理机构就有关投标的所有来往函电均应使用中文。投标文件中若有英文或其他语言文字的资料，应提供相应的中文翻译资料。对不同文本投标文件的解释发生异议的，以中文文本为准。</w:t>
      </w:r>
    </w:p>
    <w:p>
      <w:pPr>
        <w:autoSpaceDE w:val="0"/>
        <w:autoSpaceDN w:val="0"/>
        <w:adjustRightInd w:val="0"/>
        <w:ind w:firstLine="420"/>
        <w:rPr>
          <w:rFonts w:ascii="宋体" w:hAnsi="宋体"/>
          <w:lang w:val="zh-CN"/>
        </w:rPr>
      </w:pPr>
      <w:r>
        <w:rPr>
          <w:rFonts w:ascii="宋体" w:hAnsi="宋体"/>
          <w:lang w:val="zh-CN"/>
        </w:rPr>
        <w:t>7.2</w:t>
      </w:r>
      <w:r>
        <w:rPr>
          <w:rFonts w:hint="eastAsia" w:ascii="宋体" w:hAnsi="宋体"/>
          <w:lang w:val="zh-CN"/>
        </w:rPr>
        <w:t xml:space="preserve"> 投标供应商所使用的计量单位应为国家法定计量单位。</w:t>
      </w:r>
    </w:p>
    <w:p>
      <w:pPr>
        <w:autoSpaceDE w:val="0"/>
        <w:autoSpaceDN w:val="0"/>
        <w:adjustRightInd w:val="0"/>
        <w:ind w:firstLine="420"/>
        <w:rPr>
          <w:rFonts w:ascii="宋体" w:hAnsi="宋体"/>
          <w:lang w:val="zh-CN"/>
        </w:rPr>
      </w:pPr>
      <w:r>
        <w:rPr>
          <w:rFonts w:ascii="宋体" w:hAnsi="宋体"/>
          <w:lang w:val="zh-CN"/>
        </w:rPr>
        <w:t>7.3</w:t>
      </w:r>
      <w:r>
        <w:rPr>
          <w:rFonts w:hint="eastAsia" w:ascii="宋体" w:hAnsi="宋体"/>
          <w:lang w:val="zh-CN"/>
        </w:rPr>
        <w:t xml:space="preserve"> </w:t>
      </w:r>
      <w:r>
        <w:rPr>
          <w:rFonts w:hint="eastAsia" w:ascii="宋体" w:hAnsi="宋体"/>
          <w:b/>
          <w:lang w:val="zh-CN"/>
        </w:rPr>
        <w:t>如无特别说明外，投标供应商应用人民币报价。</w:t>
      </w:r>
    </w:p>
    <w:p>
      <w:pPr>
        <w:autoSpaceDE w:val="0"/>
        <w:autoSpaceDN w:val="0"/>
        <w:adjustRightInd w:val="0"/>
        <w:ind w:firstLine="420"/>
        <w:rPr>
          <w:rFonts w:ascii="宋体" w:hAnsi="宋体"/>
          <w:lang w:val="zh-CN"/>
        </w:rPr>
      </w:pPr>
      <w:r>
        <w:rPr>
          <w:rFonts w:ascii="宋体" w:hAnsi="宋体"/>
          <w:lang w:val="zh-CN"/>
        </w:rPr>
        <w:t>7.4</w:t>
      </w:r>
      <w:r>
        <w:rPr>
          <w:rFonts w:hint="eastAsia" w:ascii="宋体" w:hAnsi="宋体"/>
          <w:lang w:val="zh-CN"/>
        </w:rPr>
        <w:t xml:space="preserve"> 投标文件应字迹清楚、内容齐全、不得涂改。</w:t>
      </w:r>
      <w:r>
        <w:rPr>
          <w:rFonts w:hint="eastAsia" w:ascii="宋体" w:hAnsi="宋体"/>
          <w:b/>
          <w:lang w:val="zh-CN"/>
        </w:rPr>
        <w:t>凡要求签字的，必须签字，凡要求签字或盖章的，二者择其一。</w:t>
      </w:r>
      <w:r>
        <w:rPr>
          <w:rFonts w:hint="eastAsia" w:ascii="宋体" w:hAnsi="宋体"/>
          <w:lang w:val="zh-CN"/>
        </w:rPr>
        <w:t>如有修改，修改处须有投标供应商公章或投标专用章和法定代表人或其授权的投标供应商代表签字。</w:t>
      </w:r>
    </w:p>
    <w:p>
      <w:pPr>
        <w:autoSpaceDE w:val="0"/>
        <w:autoSpaceDN w:val="0"/>
        <w:adjustRightInd w:val="0"/>
        <w:ind w:firstLine="420"/>
        <w:rPr>
          <w:rFonts w:ascii="宋体" w:hAnsi="宋体"/>
          <w:lang w:val="zh-CN"/>
        </w:rPr>
      </w:pPr>
      <w:r>
        <w:rPr>
          <w:rFonts w:ascii="宋体" w:hAnsi="宋体"/>
          <w:lang w:val="zh-CN"/>
        </w:rPr>
        <w:t>7.5</w:t>
      </w:r>
      <w:r>
        <w:rPr>
          <w:rFonts w:hint="eastAsia" w:ascii="宋体" w:hAnsi="宋体"/>
          <w:lang w:val="zh-CN"/>
        </w:rPr>
        <w:t xml:space="preserve"> 投标文件应按照招标文件规定的顺序，统一用</w:t>
      </w:r>
      <w:r>
        <w:rPr>
          <w:rFonts w:ascii="宋体" w:hAnsi="宋体"/>
          <w:lang w:val="zh-CN"/>
        </w:rPr>
        <w:t>A4</w:t>
      </w:r>
      <w:r>
        <w:rPr>
          <w:rFonts w:hint="eastAsia" w:ascii="宋体" w:hAnsi="宋体"/>
          <w:lang w:val="zh-CN"/>
        </w:rPr>
        <w:t>规格幅面打印、装订成册并编制目录，由于编排混乱导致投标文件被误读或查找不到，责任由投标供应商承担。</w:t>
      </w:r>
    </w:p>
    <w:p>
      <w:pPr>
        <w:autoSpaceDE w:val="0"/>
        <w:autoSpaceDN w:val="0"/>
        <w:adjustRightInd w:val="0"/>
        <w:ind w:firstLine="420"/>
        <w:rPr>
          <w:rFonts w:ascii="宋体" w:hAnsi="宋体"/>
          <w:lang w:val="zh-CN"/>
        </w:rPr>
      </w:pPr>
      <w:r>
        <w:rPr>
          <w:rFonts w:ascii="宋体" w:hAnsi="宋体"/>
          <w:lang w:val="zh-CN"/>
        </w:rPr>
        <w:t>7.6</w:t>
      </w:r>
      <w:r>
        <w:rPr>
          <w:rFonts w:hint="eastAsia" w:ascii="宋体" w:hAnsi="宋体"/>
          <w:lang w:val="zh-CN"/>
        </w:rPr>
        <w:t xml:space="preserve"> 投标供应商应在投标文件中写清相应的项目编号、项目名称、投标供应商全称、地址、电话、传真等。</w:t>
      </w:r>
    </w:p>
    <w:p>
      <w:pPr>
        <w:autoSpaceDE w:val="0"/>
        <w:autoSpaceDN w:val="0"/>
        <w:adjustRightInd w:val="0"/>
        <w:ind w:firstLine="420"/>
        <w:rPr>
          <w:rFonts w:ascii="宋体" w:hAnsi="宋体"/>
          <w:b/>
          <w:lang w:val="zh-CN"/>
        </w:rPr>
      </w:pPr>
      <w:r>
        <w:rPr>
          <w:rFonts w:hint="eastAsia" w:ascii="宋体" w:hAnsi="宋体"/>
          <w:b/>
          <w:lang w:val="zh-CN"/>
        </w:rPr>
        <w:t>8、投标文件的组成</w:t>
      </w:r>
    </w:p>
    <w:p>
      <w:pPr>
        <w:autoSpaceDE w:val="0"/>
        <w:autoSpaceDN w:val="0"/>
        <w:adjustRightInd w:val="0"/>
        <w:spacing w:line="300" w:lineRule="exact"/>
        <w:ind w:firstLine="420"/>
        <w:rPr>
          <w:rFonts w:ascii="宋体" w:cs="宋体"/>
          <w:szCs w:val="21"/>
          <w:lang w:val="zh-CN"/>
        </w:rPr>
      </w:pPr>
      <w:r>
        <w:rPr>
          <w:rFonts w:hint="eastAsia" w:ascii="宋体" w:cs="宋体"/>
          <w:szCs w:val="21"/>
        </w:rPr>
        <w:t>8</w:t>
      </w:r>
      <w:r>
        <w:rPr>
          <w:rFonts w:ascii="宋体" w:cs="宋体"/>
          <w:szCs w:val="21"/>
          <w:lang w:val="zh-CN"/>
        </w:rPr>
        <w:t xml:space="preserve">.1 </w:t>
      </w:r>
      <w:r>
        <w:rPr>
          <w:rFonts w:hint="eastAsia" w:ascii="宋体" w:cs="宋体"/>
          <w:szCs w:val="21"/>
          <w:lang w:val="zh-CN"/>
        </w:rPr>
        <w:t>投标供应商应当根据招标文件要求编制投标文件，并根据自己的商务能力、技术水平对招标文件提出的要求和条件在《商务条款响应表》和《技术规格偏离表》等处逐条标明满足与否。</w:t>
      </w:r>
    </w:p>
    <w:p>
      <w:pPr>
        <w:autoSpaceDE w:val="0"/>
        <w:autoSpaceDN w:val="0"/>
        <w:adjustRightInd w:val="0"/>
        <w:spacing w:line="300" w:lineRule="exact"/>
        <w:ind w:firstLine="420"/>
        <w:rPr>
          <w:rFonts w:ascii="宋体" w:cs="宋体"/>
          <w:szCs w:val="21"/>
          <w:lang w:val="zh-CN"/>
        </w:rPr>
      </w:pPr>
      <w:r>
        <w:rPr>
          <w:rFonts w:hint="eastAsia" w:ascii="宋体" w:cs="宋体"/>
          <w:szCs w:val="21"/>
        </w:rPr>
        <w:t>8</w:t>
      </w:r>
      <w:r>
        <w:rPr>
          <w:rFonts w:ascii="宋体" w:cs="宋体"/>
          <w:szCs w:val="21"/>
          <w:lang w:val="zh-CN"/>
        </w:rPr>
        <w:t xml:space="preserve">.2 </w:t>
      </w:r>
      <w:r>
        <w:rPr>
          <w:rFonts w:hint="eastAsia" w:ascii="宋体" w:cs="宋体"/>
          <w:szCs w:val="21"/>
          <w:lang w:val="zh-CN"/>
        </w:rPr>
        <w:t>投标文件由商务部分、技术部分、价格部分，以及其他部分组成。</w:t>
      </w:r>
    </w:p>
    <w:p>
      <w:pPr>
        <w:autoSpaceDE w:val="0"/>
        <w:autoSpaceDN w:val="0"/>
        <w:adjustRightInd w:val="0"/>
        <w:ind w:firstLine="420"/>
        <w:rPr>
          <w:rFonts w:ascii="宋体" w:cs="宋体"/>
          <w:szCs w:val="21"/>
          <w:lang w:val="zh-CN"/>
        </w:rPr>
      </w:pPr>
      <w:r>
        <w:rPr>
          <w:rFonts w:hint="eastAsia" w:ascii="宋体" w:cs="宋体"/>
          <w:szCs w:val="21"/>
        </w:rPr>
        <w:t>9</w:t>
      </w:r>
      <w:r>
        <w:rPr>
          <w:rFonts w:ascii="宋体" w:cs="宋体"/>
          <w:szCs w:val="21"/>
          <w:lang w:val="zh-CN"/>
        </w:rPr>
        <w:t xml:space="preserve">.1 </w:t>
      </w:r>
      <w:r>
        <w:rPr>
          <w:rFonts w:hint="eastAsia" w:ascii="宋体" w:cs="宋体"/>
          <w:szCs w:val="21"/>
          <w:lang w:val="zh-CN"/>
        </w:rPr>
        <w:t>商务部分是证明投标供应商有资格参加投标和中标后有能力履行合同的文件，这些文件应能满足招标的要求，包括但不限于下列文件，其中加</w:t>
      </w:r>
      <w:r>
        <w:rPr>
          <w:rFonts w:hint="eastAsia" w:ascii="宋体" w:hAnsi="宋体" w:cs="宋体"/>
          <w:b/>
          <w:szCs w:val="21"/>
          <w:lang w:val="zh-CN"/>
        </w:rPr>
        <w:t>★</w:t>
      </w:r>
      <w:r>
        <w:rPr>
          <w:rFonts w:hint="eastAsia" w:ascii="宋体" w:cs="宋体"/>
          <w:szCs w:val="21"/>
          <w:lang w:val="zh-CN"/>
        </w:rPr>
        <w:t>项目如有缺失将作无效投标处理。</w:t>
      </w:r>
    </w:p>
    <w:p>
      <w:pPr>
        <w:widowControl/>
        <w:ind w:firstLine="420" w:firstLineChars="200"/>
        <w:rPr>
          <w:rFonts w:ascii="宋体"/>
          <w:szCs w:val="21"/>
          <w:lang w:val="zh-CN"/>
        </w:rPr>
      </w:pPr>
      <w:r>
        <w:rPr>
          <w:rFonts w:hint="eastAsia" w:ascii="宋体" w:hAnsi="宋体"/>
          <w:szCs w:val="21"/>
        </w:rPr>
        <w:t>（</w:t>
      </w:r>
      <w:r>
        <w:rPr>
          <w:rFonts w:ascii="宋体" w:hAnsi="宋体"/>
          <w:szCs w:val="21"/>
        </w:rPr>
        <w:t>1</w:t>
      </w:r>
      <w:r>
        <w:rPr>
          <w:rFonts w:hint="eastAsia" w:ascii="宋体" w:hAnsi="宋体"/>
          <w:szCs w:val="21"/>
        </w:rPr>
        <w:t>）</w:t>
      </w:r>
      <w:r>
        <w:rPr>
          <w:rFonts w:hint="eastAsia" w:ascii="宋体"/>
          <w:szCs w:val="21"/>
        </w:rPr>
        <w:t>★</w:t>
      </w:r>
      <w:r>
        <w:rPr>
          <w:rFonts w:hint="eastAsia" w:ascii="宋体" w:hAnsi="宋体"/>
          <w:szCs w:val="21"/>
        </w:rPr>
        <w:t>本文件</w:t>
      </w:r>
      <w:r>
        <w:rPr>
          <w:rFonts w:hint="eastAsia" w:ascii="宋体" w:hAnsi="宋体"/>
          <w:szCs w:val="21"/>
          <w:lang w:val="zh-CN"/>
        </w:rPr>
        <w:t>第一章5</w:t>
      </w:r>
      <w:r>
        <w:rPr>
          <w:rFonts w:ascii="宋体" w:hAnsi="宋体"/>
          <w:szCs w:val="21"/>
          <w:lang w:val="zh-CN"/>
        </w:rPr>
        <w:t>.1</w:t>
      </w:r>
      <w:r>
        <w:rPr>
          <w:rFonts w:hint="eastAsia" w:ascii="宋体" w:hAnsi="宋体"/>
          <w:szCs w:val="21"/>
          <w:lang w:val="zh-CN"/>
        </w:rPr>
        <w:t>条《中华人民共和国政府采购法》规定的条件证明文件（复印件）并加盖公章；</w:t>
      </w:r>
    </w:p>
    <w:p>
      <w:pPr>
        <w:autoSpaceDE w:val="0"/>
        <w:autoSpaceDN w:val="0"/>
        <w:adjustRightInd w:val="0"/>
        <w:ind w:firstLine="420"/>
        <w:jc w:val="left"/>
        <w:rPr>
          <w:rFonts w:ascii="宋体" w:cs="宋体"/>
          <w:szCs w:val="21"/>
          <w:lang w:val="zh-CN"/>
        </w:rPr>
      </w:pPr>
      <w:r>
        <w:rPr>
          <w:rFonts w:hint="eastAsia" w:ascii="宋体" w:cs="宋体"/>
          <w:szCs w:val="21"/>
          <w:lang w:val="zh-CN"/>
        </w:rPr>
        <w:t>（</w:t>
      </w:r>
      <w:r>
        <w:rPr>
          <w:rFonts w:hint="eastAsia" w:ascii="宋体" w:cs="宋体"/>
          <w:szCs w:val="21"/>
        </w:rPr>
        <w:t>2</w:t>
      </w:r>
      <w:r>
        <w:rPr>
          <w:rFonts w:hint="eastAsia" w:ascii="宋体" w:cs="宋体"/>
          <w:szCs w:val="21"/>
          <w:lang w:val="zh-CN"/>
        </w:rPr>
        <w:t>）</w:t>
      </w:r>
      <w:r>
        <w:rPr>
          <w:rFonts w:hint="eastAsia" w:ascii="宋体" w:hAnsi="宋体" w:cs="宋体"/>
          <w:szCs w:val="21"/>
          <w:lang w:val="zh-CN"/>
        </w:rPr>
        <w:t>★</w:t>
      </w:r>
      <w:r>
        <w:rPr>
          <w:rFonts w:hint="eastAsia" w:ascii="宋体" w:cs="宋体"/>
          <w:szCs w:val="21"/>
          <w:lang w:val="zh-CN"/>
        </w:rPr>
        <w:t>投标函；</w:t>
      </w:r>
    </w:p>
    <w:p>
      <w:pPr>
        <w:autoSpaceDE w:val="0"/>
        <w:autoSpaceDN w:val="0"/>
        <w:adjustRightInd w:val="0"/>
        <w:ind w:firstLine="420"/>
        <w:jc w:val="left"/>
        <w:rPr>
          <w:rFonts w:ascii="宋体" w:cs="宋体"/>
          <w:szCs w:val="21"/>
          <w:lang w:val="zh-CN"/>
        </w:rPr>
      </w:pPr>
      <w:r>
        <w:rPr>
          <w:rFonts w:hint="eastAsia" w:ascii="宋体" w:cs="宋体"/>
          <w:szCs w:val="21"/>
          <w:lang w:val="zh-CN"/>
        </w:rPr>
        <w:t>（</w:t>
      </w:r>
      <w:r>
        <w:rPr>
          <w:rFonts w:hint="eastAsia" w:ascii="宋体" w:cs="宋体"/>
          <w:szCs w:val="21"/>
        </w:rPr>
        <w:t>3</w:t>
      </w:r>
      <w:r>
        <w:rPr>
          <w:rFonts w:hint="eastAsia" w:ascii="宋体" w:cs="宋体"/>
          <w:szCs w:val="21"/>
          <w:lang w:val="zh-CN"/>
        </w:rPr>
        <w:t>）</w:t>
      </w:r>
      <w:r>
        <w:rPr>
          <w:rFonts w:hint="eastAsia" w:ascii="宋体" w:hAnsi="宋体" w:cs="宋体"/>
          <w:szCs w:val="21"/>
          <w:lang w:val="zh-CN"/>
        </w:rPr>
        <w:t>★</w:t>
      </w:r>
      <w:r>
        <w:rPr>
          <w:rFonts w:hint="eastAsia" w:ascii="宋体" w:cs="宋体"/>
          <w:szCs w:val="21"/>
          <w:lang w:val="zh-CN"/>
        </w:rPr>
        <w:t>法定代表人授权委托书原件及身份证复印件；</w:t>
      </w:r>
    </w:p>
    <w:p>
      <w:pPr>
        <w:autoSpaceDE w:val="0"/>
        <w:autoSpaceDN w:val="0"/>
        <w:adjustRightInd w:val="0"/>
        <w:ind w:firstLine="420"/>
        <w:jc w:val="left"/>
        <w:rPr>
          <w:rFonts w:ascii="宋体"/>
          <w:szCs w:val="21"/>
        </w:rPr>
      </w:pPr>
      <w:r>
        <w:rPr>
          <w:rFonts w:hint="eastAsia" w:ascii="宋体" w:cs="宋体"/>
          <w:szCs w:val="21"/>
          <w:lang w:val="zh-CN"/>
        </w:rPr>
        <w:t>（</w:t>
      </w:r>
      <w:r>
        <w:rPr>
          <w:rFonts w:hint="eastAsia" w:ascii="宋体" w:cs="宋体"/>
          <w:szCs w:val="21"/>
        </w:rPr>
        <w:t>4</w:t>
      </w:r>
      <w:r>
        <w:rPr>
          <w:rFonts w:hint="eastAsia" w:ascii="宋体" w:cs="宋体"/>
          <w:szCs w:val="21"/>
          <w:lang w:val="zh-CN"/>
        </w:rPr>
        <w:t>）</w:t>
      </w:r>
      <w:r>
        <w:rPr>
          <w:rFonts w:hint="eastAsia" w:ascii="宋体" w:hAnsi="宋体" w:cs="宋体"/>
          <w:szCs w:val="21"/>
          <w:lang w:val="zh-CN"/>
        </w:rPr>
        <w:t>★</w:t>
      </w:r>
      <w:r>
        <w:rPr>
          <w:rFonts w:hint="eastAsia" w:ascii="宋体" w:hAnsi="宋体"/>
          <w:szCs w:val="21"/>
        </w:rPr>
        <w:t>授权代表身份证复印件；</w:t>
      </w:r>
    </w:p>
    <w:p>
      <w:pPr>
        <w:autoSpaceDE w:val="0"/>
        <w:autoSpaceDN w:val="0"/>
        <w:adjustRightInd w:val="0"/>
        <w:ind w:firstLine="420"/>
        <w:jc w:val="left"/>
        <w:rPr>
          <w:rFonts w:ascii="宋体" w:cs="宋体"/>
          <w:szCs w:val="21"/>
          <w:lang w:val="zh-CN"/>
        </w:rPr>
      </w:pPr>
      <w:r>
        <w:rPr>
          <w:rFonts w:hint="eastAsia" w:ascii="宋体" w:cs="宋体"/>
          <w:szCs w:val="21"/>
          <w:lang w:val="zh-CN"/>
        </w:rPr>
        <w:t>（</w:t>
      </w:r>
      <w:r>
        <w:rPr>
          <w:rFonts w:hint="eastAsia" w:ascii="宋体" w:cs="宋体"/>
          <w:szCs w:val="21"/>
        </w:rPr>
        <w:t>5</w:t>
      </w:r>
      <w:r>
        <w:rPr>
          <w:rFonts w:hint="eastAsia" w:ascii="宋体" w:cs="宋体"/>
          <w:szCs w:val="21"/>
          <w:lang w:val="zh-CN"/>
        </w:rPr>
        <w:t>）</w:t>
      </w:r>
      <w:r>
        <w:rPr>
          <w:rFonts w:hint="eastAsia" w:ascii="宋体" w:hAnsi="宋体" w:cs="宋体"/>
          <w:szCs w:val="21"/>
          <w:lang w:val="zh-CN"/>
        </w:rPr>
        <w:t>★</w:t>
      </w:r>
      <w:r>
        <w:rPr>
          <w:rFonts w:hint="eastAsia" w:ascii="宋体" w:cs="宋体"/>
          <w:szCs w:val="21"/>
          <w:lang w:val="zh-CN"/>
        </w:rPr>
        <w:t>《开标一览表》、《分项报价表》；</w:t>
      </w:r>
    </w:p>
    <w:p>
      <w:pPr>
        <w:pStyle w:val="10"/>
        <w:snapToGrid w:val="0"/>
        <w:spacing w:after="0"/>
        <w:ind w:firstLine="420" w:firstLineChars="200"/>
        <w:jc w:val="left"/>
        <w:rPr>
          <w:rFonts w:ascii="宋体"/>
          <w:szCs w:val="21"/>
          <w:lang w:val="zh-CN"/>
        </w:rPr>
      </w:pPr>
      <w:r>
        <w:rPr>
          <w:rFonts w:hint="eastAsia"/>
          <w:lang w:val="zh-CN"/>
        </w:rPr>
        <w:t>（</w:t>
      </w:r>
      <w:r>
        <w:rPr>
          <w:rFonts w:hint="eastAsia"/>
        </w:rPr>
        <w:t>6</w:t>
      </w:r>
      <w:r>
        <w:rPr>
          <w:rFonts w:hint="eastAsia"/>
          <w:lang w:val="zh-CN"/>
        </w:rPr>
        <w:t>）</w:t>
      </w:r>
      <w:r>
        <w:rPr>
          <w:rFonts w:hint="eastAsia" w:ascii="宋体" w:hAnsi="宋体" w:cs="宋体"/>
          <w:szCs w:val="21"/>
          <w:lang w:val="zh-CN"/>
        </w:rPr>
        <w:t>★</w:t>
      </w:r>
      <w:r>
        <w:rPr>
          <w:rFonts w:hint="eastAsia" w:ascii="宋体"/>
          <w:szCs w:val="21"/>
          <w:lang w:val="zh-CN"/>
        </w:rPr>
        <w:t>《商务条款</w:t>
      </w:r>
      <w:r>
        <w:rPr>
          <w:rFonts w:hint="eastAsia" w:ascii="宋体"/>
          <w:szCs w:val="21"/>
        </w:rPr>
        <w:t>响应</w:t>
      </w:r>
      <w:r>
        <w:rPr>
          <w:rFonts w:hint="eastAsia" w:ascii="宋体"/>
          <w:szCs w:val="21"/>
          <w:lang w:val="zh-CN"/>
        </w:rPr>
        <w:t>表》；</w:t>
      </w:r>
    </w:p>
    <w:p>
      <w:pPr>
        <w:pStyle w:val="10"/>
        <w:snapToGrid w:val="0"/>
        <w:spacing w:after="0"/>
        <w:ind w:firstLine="420" w:firstLineChars="200"/>
        <w:jc w:val="left"/>
      </w:pPr>
      <w:r>
        <w:rPr>
          <w:rFonts w:hint="eastAsia" w:ascii="宋体"/>
          <w:szCs w:val="21"/>
          <w:lang w:val="zh-CN"/>
        </w:rPr>
        <w:t>（</w:t>
      </w:r>
      <w:r>
        <w:rPr>
          <w:rFonts w:hint="eastAsia" w:ascii="宋体"/>
          <w:szCs w:val="21"/>
        </w:rPr>
        <w:t>7</w:t>
      </w:r>
      <w:r>
        <w:rPr>
          <w:rFonts w:hint="eastAsia" w:ascii="宋体"/>
          <w:szCs w:val="21"/>
          <w:lang w:val="zh-CN"/>
        </w:rPr>
        <w:t>）</w:t>
      </w:r>
      <w:r>
        <w:rPr>
          <w:rFonts w:hint="eastAsia"/>
        </w:rPr>
        <w:t>招标文件要求提供的其他资格证明文件和商务资料；</w:t>
      </w:r>
    </w:p>
    <w:p>
      <w:pPr>
        <w:autoSpaceDE w:val="0"/>
        <w:autoSpaceDN w:val="0"/>
        <w:adjustRightInd w:val="0"/>
        <w:ind w:firstLine="420"/>
        <w:rPr>
          <w:rFonts w:ascii="宋体" w:cs="宋体"/>
          <w:b/>
          <w:bCs/>
          <w:szCs w:val="21"/>
          <w:lang w:val="zh-CN"/>
        </w:rPr>
      </w:pPr>
      <w:r>
        <w:rPr>
          <w:rFonts w:ascii="宋体" w:cs="宋体"/>
          <w:b/>
          <w:bCs/>
          <w:szCs w:val="21"/>
          <w:lang w:val="zh-CN"/>
        </w:rPr>
        <w:t>1</w:t>
      </w:r>
      <w:r>
        <w:rPr>
          <w:rFonts w:hint="eastAsia" w:ascii="宋体" w:cs="宋体"/>
          <w:b/>
          <w:bCs/>
          <w:szCs w:val="21"/>
        </w:rPr>
        <w:t>0</w:t>
      </w:r>
      <w:r>
        <w:rPr>
          <w:rFonts w:hint="eastAsia" w:ascii="宋体" w:cs="宋体"/>
          <w:b/>
          <w:bCs/>
          <w:szCs w:val="21"/>
          <w:lang w:val="zh-CN"/>
        </w:rPr>
        <w:t>．投标文件的技术部分</w:t>
      </w:r>
    </w:p>
    <w:p>
      <w:pPr>
        <w:autoSpaceDE w:val="0"/>
        <w:autoSpaceDN w:val="0"/>
        <w:adjustRightInd w:val="0"/>
        <w:ind w:firstLine="420"/>
        <w:rPr>
          <w:rFonts w:ascii="宋体" w:cs="宋体"/>
          <w:szCs w:val="21"/>
          <w:lang w:val="zh-CN"/>
        </w:rPr>
      </w:pPr>
      <w:r>
        <w:rPr>
          <w:rFonts w:ascii="宋体" w:cs="宋体"/>
          <w:szCs w:val="21"/>
          <w:lang w:val="zh-CN"/>
        </w:rPr>
        <w:t>1</w:t>
      </w:r>
      <w:r>
        <w:rPr>
          <w:rFonts w:hint="eastAsia" w:ascii="宋体" w:cs="宋体"/>
          <w:szCs w:val="21"/>
        </w:rPr>
        <w:t>0</w:t>
      </w:r>
      <w:r>
        <w:rPr>
          <w:rFonts w:ascii="宋体" w:cs="宋体"/>
          <w:szCs w:val="21"/>
          <w:lang w:val="zh-CN"/>
        </w:rPr>
        <w:t xml:space="preserve">.1 </w:t>
      </w:r>
      <w:r>
        <w:rPr>
          <w:rFonts w:hint="eastAsia" w:ascii="宋体" w:cs="宋体"/>
          <w:szCs w:val="21"/>
          <w:lang w:val="zh-CN"/>
        </w:rPr>
        <w:t>技术部分是</w:t>
      </w:r>
      <w:r>
        <w:rPr>
          <w:rFonts w:hint="eastAsia" w:ascii="宋体" w:hAnsi="宋体"/>
          <w:szCs w:val="21"/>
          <w:lang w:val="zh-CN"/>
        </w:rPr>
        <w:t>证明</w:t>
      </w:r>
      <w:r>
        <w:rPr>
          <w:rFonts w:hint="eastAsia" w:ascii="宋体" w:hAnsi="宋体"/>
          <w:szCs w:val="21"/>
        </w:rPr>
        <w:t>供应商提供的服务是合格的、并符合招标文件要求的证明文件，以及</w:t>
      </w:r>
      <w:r>
        <w:rPr>
          <w:rFonts w:hint="eastAsia" w:ascii="宋体" w:hAnsi="宋体"/>
          <w:szCs w:val="21"/>
          <w:lang w:val="zh-CN"/>
        </w:rPr>
        <w:t>对服务的详细说明</w:t>
      </w:r>
      <w:r>
        <w:rPr>
          <w:rFonts w:hint="eastAsia" w:ascii="宋体" w:cs="宋体"/>
          <w:szCs w:val="21"/>
          <w:lang w:val="zh-CN"/>
        </w:rPr>
        <w:t>，这些文件可以是文字资料、图纸和数据等。</w:t>
      </w:r>
      <w:r>
        <w:rPr>
          <w:rFonts w:hint="eastAsia" w:ascii="宋体" w:hAnsi="宋体"/>
          <w:szCs w:val="21"/>
          <w:lang w:val="zh-CN"/>
        </w:rPr>
        <w:t>提供的服务如与招标文件要求有不符之处，应说明其差别之所在，技术标准应当符合国家强制性标准。</w:t>
      </w:r>
      <w:r>
        <w:rPr>
          <w:rFonts w:hint="eastAsia" w:ascii="宋体" w:cs="宋体"/>
          <w:szCs w:val="21"/>
          <w:lang w:val="zh-CN"/>
        </w:rPr>
        <w:t>招标文件中技术要求所提供的质量标准，投标供应商可以在投标文件中提出不同的标准，但替代品的质量和性能相同于或优于原技术要求，并且使招标方和买方满意。包括但不限于下列文件，</w:t>
      </w:r>
      <w:r>
        <w:rPr>
          <w:rFonts w:hint="eastAsia" w:ascii="宋体" w:cs="宋体"/>
          <w:b/>
          <w:bCs/>
          <w:szCs w:val="21"/>
          <w:lang w:val="zh-CN"/>
        </w:rPr>
        <w:t>其中加</w:t>
      </w:r>
      <w:r>
        <w:rPr>
          <w:rFonts w:hint="eastAsia" w:ascii="宋体" w:hAnsi="宋体" w:cs="宋体"/>
          <w:b/>
          <w:szCs w:val="21"/>
          <w:lang w:val="zh-CN"/>
        </w:rPr>
        <w:t>★</w:t>
      </w:r>
      <w:r>
        <w:rPr>
          <w:rFonts w:hint="eastAsia" w:ascii="宋体" w:cs="宋体"/>
          <w:b/>
          <w:bCs/>
          <w:szCs w:val="21"/>
          <w:lang w:val="zh-CN"/>
        </w:rPr>
        <w:t>项目不得有缺失或无效。</w:t>
      </w:r>
    </w:p>
    <w:p>
      <w:pPr>
        <w:autoSpaceDE w:val="0"/>
        <w:autoSpaceDN w:val="0"/>
        <w:adjustRightInd w:val="0"/>
        <w:ind w:firstLine="420"/>
        <w:jc w:val="left"/>
        <w:rPr>
          <w:rFonts w:ascii="宋体"/>
          <w:szCs w:val="21"/>
          <w:lang w:val="zh-CN"/>
        </w:rPr>
      </w:pPr>
      <w:r>
        <w:rPr>
          <w:rFonts w:hint="eastAsia" w:ascii="宋体"/>
          <w:szCs w:val="21"/>
          <w:lang w:val="zh-CN"/>
        </w:rPr>
        <w:t>（</w:t>
      </w:r>
      <w:r>
        <w:rPr>
          <w:rFonts w:ascii="宋体"/>
          <w:szCs w:val="21"/>
          <w:lang w:val="zh-CN"/>
        </w:rPr>
        <w:t>1</w:t>
      </w:r>
      <w:r>
        <w:rPr>
          <w:rFonts w:hint="eastAsia" w:ascii="宋体"/>
          <w:szCs w:val="21"/>
          <w:lang w:val="zh-CN"/>
        </w:rPr>
        <w:t>）★</w:t>
      </w:r>
      <w:r>
        <w:rPr>
          <w:rFonts w:hint="eastAsia" w:ascii="宋体"/>
          <w:szCs w:val="21"/>
        </w:rPr>
        <w:t>维护工作方案</w:t>
      </w:r>
    </w:p>
    <w:p>
      <w:pPr>
        <w:autoSpaceDE w:val="0"/>
        <w:autoSpaceDN w:val="0"/>
        <w:adjustRightInd w:val="0"/>
        <w:ind w:firstLine="420"/>
        <w:jc w:val="left"/>
        <w:rPr>
          <w:rFonts w:hint="eastAsia" w:ascii="宋体"/>
          <w:szCs w:val="21"/>
          <w:lang w:val="zh-CN"/>
        </w:rPr>
      </w:pPr>
      <w:r>
        <w:rPr>
          <w:rFonts w:hint="eastAsia" w:ascii="宋体"/>
          <w:szCs w:val="21"/>
          <w:lang w:val="zh-CN"/>
        </w:rPr>
        <w:t>（</w:t>
      </w:r>
      <w:r>
        <w:rPr>
          <w:rFonts w:hint="eastAsia" w:ascii="宋体"/>
          <w:szCs w:val="21"/>
        </w:rPr>
        <w:t>2</w:t>
      </w:r>
      <w:r>
        <w:rPr>
          <w:rFonts w:hint="eastAsia" w:ascii="宋体"/>
          <w:szCs w:val="21"/>
          <w:lang w:val="zh-CN"/>
        </w:rPr>
        <w:t>）项目组</w:t>
      </w:r>
      <w:r>
        <w:rPr>
          <w:rFonts w:hint="eastAsia" w:ascii="宋体"/>
          <w:szCs w:val="21"/>
        </w:rPr>
        <w:t>人员一览表</w:t>
      </w:r>
      <w:r>
        <w:rPr>
          <w:rFonts w:hint="eastAsia" w:ascii="宋体"/>
          <w:szCs w:val="21"/>
          <w:lang w:val="zh-CN"/>
        </w:rPr>
        <w:t>；</w:t>
      </w:r>
    </w:p>
    <w:p>
      <w:pPr>
        <w:autoSpaceDE w:val="0"/>
        <w:autoSpaceDN w:val="0"/>
        <w:adjustRightInd w:val="0"/>
        <w:ind w:firstLine="420"/>
        <w:jc w:val="left"/>
        <w:rPr>
          <w:rFonts w:hint="eastAsia" w:ascii="宋体"/>
          <w:szCs w:val="21"/>
        </w:rPr>
      </w:pPr>
      <w:r>
        <w:rPr>
          <w:rFonts w:hint="eastAsia" w:ascii="宋体"/>
          <w:szCs w:val="21"/>
        </w:rPr>
        <w:t>（3）供应商案例情况表；</w:t>
      </w:r>
    </w:p>
    <w:p>
      <w:pPr>
        <w:autoSpaceDE w:val="0"/>
        <w:autoSpaceDN w:val="0"/>
        <w:adjustRightInd w:val="0"/>
        <w:ind w:firstLine="420"/>
        <w:rPr>
          <w:rFonts w:hint="eastAsia" w:ascii="宋体"/>
          <w:color w:val="000000"/>
          <w:szCs w:val="21"/>
          <w:lang w:val="zh-CN"/>
        </w:rPr>
      </w:pPr>
      <w:r>
        <w:rPr>
          <w:rFonts w:hint="eastAsia" w:ascii="宋体" w:hAnsi="宋体"/>
          <w:szCs w:val="21"/>
          <w:lang w:val="zh-CN"/>
        </w:rPr>
        <w:t>（</w:t>
      </w:r>
      <w:r>
        <w:rPr>
          <w:rFonts w:hint="eastAsia" w:ascii="宋体" w:hAnsi="宋体"/>
          <w:szCs w:val="21"/>
        </w:rPr>
        <w:t>4</w:t>
      </w:r>
      <w:r>
        <w:rPr>
          <w:rFonts w:hint="eastAsia" w:ascii="宋体" w:hAnsi="宋体"/>
          <w:szCs w:val="21"/>
          <w:lang w:val="zh-CN"/>
        </w:rPr>
        <w:t>）</w:t>
      </w:r>
      <w:r>
        <w:rPr>
          <w:rFonts w:hint="eastAsia" w:ascii="宋体" w:hAnsi="宋体" w:cs="宋体"/>
          <w:color w:val="000000"/>
          <w:szCs w:val="21"/>
          <w:lang w:val="zh-CN"/>
        </w:rPr>
        <w:t>★</w:t>
      </w:r>
      <w:r>
        <w:rPr>
          <w:rFonts w:hint="eastAsia" w:ascii="宋体"/>
          <w:color w:val="000000"/>
          <w:szCs w:val="21"/>
          <w:lang w:val="zh-CN"/>
        </w:rPr>
        <w:t>《技术规格偏离表》；</w:t>
      </w:r>
    </w:p>
    <w:p>
      <w:pPr>
        <w:pStyle w:val="89"/>
        <w:rPr>
          <w:rFonts w:hint="eastAsia" w:ascii="宋体"/>
          <w:color w:val="000000"/>
          <w:szCs w:val="21"/>
          <w:lang w:val="zh-CN"/>
        </w:rPr>
      </w:pPr>
      <w:r>
        <w:rPr>
          <w:rFonts w:hint="eastAsia" w:ascii="宋体"/>
          <w:color w:val="000000"/>
          <w:szCs w:val="21"/>
          <w:lang w:val="zh-CN"/>
        </w:rPr>
        <w:t>（</w:t>
      </w:r>
      <w:r>
        <w:rPr>
          <w:rFonts w:hint="eastAsia" w:ascii="宋体"/>
          <w:color w:val="000000"/>
          <w:szCs w:val="21"/>
        </w:rPr>
        <w:t>5</w:t>
      </w:r>
      <w:r>
        <w:rPr>
          <w:rFonts w:hint="eastAsia" w:ascii="宋体"/>
          <w:color w:val="000000"/>
          <w:szCs w:val="21"/>
          <w:lang w:val="zh-CN"/>
        </w:rPr>
        <w:t>）</w:t>
      </w:r>
      <w:r>
        <w:rPr>
          <w:rFonts w:hint="eastAsia" w:ascii="宋体" w:hAnsi="宋体" w:cs="宋体"/>
          <w:color w:val="000000"/>
          <w:szCs w:val="21"/>
          <w:lang w:val="zh-CN"/>
        </w:rPr>
        <w:t>★</w:t>
      </w:r>
      <w:r>
        <w:rPr>
          <w:rFonts w:hint="eastAsia" w:ascii="宋体"/>
          <w:color w:val="000000"/>
          <w:szCs w:val="21"/>
          <w:lang w:val="zh-CN"/>
        </w:rPr>
        <w:t>南京市政府采购供应商信用记录表</w:t>
      </w:r>
    </w:p>
    <w:p>
      <w:pPr>
        <w:autoSpaceDE w:val="0"/>
        <w:autoSpaceDN w:val="0"/>
        <w:adjustRightInd w:val="0"/>
        <w:ind w:firstLine="420"/>
        <w:rPr>
          <w:rFonts w:ascii="宋体"/>
          <w:color w:val="000000"/>
          <w:szCs w:val="21"/>
          <w:lang w:val="zh-CN"/>
        </w:rPr>
      </w:pPr>
      <w:r>
        <w:rPr>
          <w:rFonts w:hint="eastAsia" w:ascii="宋体" w:hAnsi="宋体"/>
          <w:color w:val="000000"/>
          <w:szCs w:val="21"/>
        </w:rPr>
        <w:t>（5）</w:t>
      </w:r>
      <w:r>
        <w:rPr>
          <w:rFonts w:hint="eastAsia" w:ascii="宋体"/>
          <w:color w:val="000000"/>
          <w:szCs w:val="21"/>
          <w:lang w:val="zh-CN"/>
        </w:rPr>
        <w:t>投标供应商认为需要提供的其他技术文件或资料等。</w:t>
      </w:r>
    </w:p>
    <w:p>
      <w:pPr>
        <w:autoSpaceDE w:val="0"/>
        <w:autoSpaceDN w:val="0"/>
        <w:adjustRightInd w:val="0"/>
        <w:ind w:firstLine="420"/>
        <w:rPr>
          <w:rFonts w:ascii="宋体" w:cs="宋体"/>
          <w:b/>
          <w:bCs/>
          <w:szCs w:val="21"/>
          <w:lang w:val="zh-CN"/>
        </w:rPr>
      </w:pPr>
      <w:r>
        <w:rPr>
          <w:rFonts w:ascii="宋体" w:cs="宋体"/>
          <w:b/>
          <w:bCs/>
          <w:szCs w:val="21"/>
          <w:lang w:val="zh-CN"/>
        </w:rPr>
        <w:t>1</w:t>
      </w:r>
      <w:r>
        <w:rPr>
          <w:rFonts w:hint="eastAsia" w:ascii="宋体" w:cs="宋体"/>
          <w:b/>
          <w:bCs/>
          <w:szCs w:val="21"/>
        </w:rPr>
        <w:t>1</w:t>
      </w:r>
      <w:r>
        <w:rPr>
          <w:rFonts w:hint="eastAsia" w:ascii="宋体" w:cs="宋体"/>
          <w:b/>
          <w:bCs/>
          <w:szCs w:val="21"/>
          <w:lang w:val="zh-CN"/>
        </w:rPr>
        <w:t>．投标文件的价格部分</w:t>
      </w:r>
    </w:p>
    <w:p>
      <w:pPr>
        <w:autoSpaceDE w:val="0"/>
        <w:autoSpaceDN w:val="0"/>
        <w:adjustRightInd w:val="0"/>
        <w:ind w:firstLine="420"/>
        <w:rPr>
          <w:rFonts w:ascii="宋体" w:cs="宋体"/>
          <w:szCs w:val="21"/>
          <w:lang w:val="zh-CN"/>
        </w:rPr>
      </w:pPr>
      <w:r>
        <w:rPr>
          <w:rFonts w:ascii="宋体" w:cs="宋体"/>
          <w:szCs w:val="21"/>
          <w:lang w:val="zh-CN"/>
        </w:rPr>
        <w:t>1</w:t>
      </w:r>
      <w:r>
        <w:rPr>
          <w:rFonts w:hint="eastAsia" w:ascii="宋体" w:cs="宋体"/>
          <w:szCs w:val="21"/>
        </w:rPr>
        <w:t>1</w:t>
      </w:r>
      <w:r>
        <w:rPr>
          <w:rFonts w:ascii="宋体" w:cs="宋体"/>
          <w:szCs w:val="21"/>
          <w:lang w:val="zh-CN"/>
        </w:rPr>
        <w:t>.1</w:t>
      </w:r>
      <w:r>
        <w:rPr>
          <w:rFonts w:hint="eastAsia"/>
          <w:szCs w:val="21"/>
          <w:lang w:val="zh-CN"/>
        </w:rPr>
        <w:t>供应商应按招标人提供的报价清单填报价格。填写的项目名称、项目特征、计量单位、工程量必须与招标人提供的一致。</w:t>
      </w:r>
    </w:p>
    <w:p>
      <w:pPr>
        <w:autoSpaceDE w:val="0"/>
        <w:autoSpaceDN w:val="0"/>
        <w:adjustRightInd w:val="0"/>
        <w:ind w:firstLine="420"/>
        <w:jc w:val="left"/>
        <w:rPr>
          <w:rFonts w:ascii="宋体" w:hAnsi="宋体"/>
          <w:szCs w:val="21"/>
        </w:rPr>
      </w:pPr>
      <w:r>
        <w:rPr>
          <w:rFonts w:ascii="宋体" w:cs="宋体"/>
          <w:szCs w:val="21"/>
          <w:lang w:val="zh-CN"/>
        </w:rPr>
        <w:t>1</w:t>
      </w:r>
      <w:r>
        <w:rPr>
          <w:rFonts w:hint="eastAsia" w:ascii="宋体" w:cs="宋体"/>
          <w:szCs w:val="21"/>
        </w:rPr>
        <w:t>1</w:t>
      </w:r>
      <w:r>
        <w:rPr>
          <w:rFonts w:ascii="宋体" w:cs="宋体"/>
          <w:szCs w:val="21"/>
          <w:lang w:val="zh-CN"/>
        </w:rPr>
        <w:t>.2</w:t>
      </w:r>
      <w:r>
        <w:rPr>
          <w:rFonts w:hint="eastAsia" w:ascii="宋体" w:hAnsi="宋体"/>
          <w:color w:val="000000"/>
          <w:kern w:val="0"/>
          <w:szCs w:val="21"/>
        </w:rPr>
        <w:t>报价应包含本次招标项目有关的所有费用</w:t>
      </w:r>
      <w:r>
        <w:rPr>
          <w:rFonts w:hint="eastAsia" w:ascii="宋体" w:hAnsi="宋体" w:cs="宋体"/>
          <w:color w:val="000000"/>
          <w:kern w:val="0"/>
          <w:szCs w:val="21"/>
          <w:lang w:val="zh-CN"/>
        </w:rPr>
        <w:t>，以及技术资料、后期成果专家评审费、支付给员工的工资和国家强制缴纳的各种社会保障资金</w:t>
      </w:r>
      <w:r>
        <w:rPr>
          <w:rFonts w:hint="eastAsia" w:ascii="宋体" w:hAnsi="宋体"/>
          <w:bCs/>
          <w:color w:val="000000"/>
          <w:szCs w:val="21"/>
        </w:rPr>
        <w:t>，以</w:t>
      </w:r>
      <w:r>
        <w:rPr>
          <w:rFonts w:hint="eastAsia" w:ascii="宋体" w:hAnsi="宋体"/>
          <w:color w:val="000000"/>
          <w:szCs w:val="21"/>
        </w:rPr>
        <w:t>及投标人认为需要的其他费用等</w:t>
      </w:r>
      <w:r>
        <w:rPr>
          <w:rFonts w:hint="eastAsia" w:ascii="宋体" w:hAnsi="宋体"/>
          <w:b/>
          <w:szCs w:val="21"/>
        </w:rPr>
        <w:t>。</w:t>
      </w:r>
    </w:p>
    <w:p>
      <w:pPr>
        <w:autoSpaceDE w:val="0"/>
        <w:autoSpaceDN w:val="0"/>
        <w:adjustRightInd w:val="0"/>
        <w:ind w:firstLine="420"/>
        <w:jc w:val="left"/>
        <w:rPr>
          <w:rFonts w:ascii="宋体" w:hAnsi="宋体" w:cs="宋体"/>
          <w:color w:val="000000"/>
          <w:kern w:val="0"/>
          <w:szCs w:val="21"/>
          <w:lang w:val="zh-CN"/>
        </w:rPr>
      </w:pPr>
      <w:r>
        <w:rPr>
          <w:rFonts w:hint="eastAsia" w:ascii="宋体" w:hAnsi="宋体" w:cs="宋体"/>
          <w:color w:val="000000"/>
          <w:kern w:val="0"/>
          <w:szCs w:val="21"/>
          <w:lang w:val="zh-CN"/>
        </w:rPr>
        <w:t>11.3政府采购倡导公平竞争，反对低于成本恶意竞争，不得串通报价、哄抬价格。</w:t>
      </w:r>
    </w:p>
    <w:p>
      <w:pPr>
        <w:autoSpaceDE w:val="0"/>
        <w:autoSpaceDN w:val="0"/>
        <w:adjustRightInd w:val="0"/>
        <w:ind w:firstLine="420"/>
        <w:jc w:val="left"/>
        <w:rPr>
          <w:rFonts w:ascii="宋体" w:cs="宋体"/>
          <w:b/>
          <w:bCs/>
          <w:szCs w:val="21"/>
          <w:lang w:val="zh-CN"/>
        </w:rPr>
      </w:pPr>
      <w:r>
        <w:rPr>
          <w:rFonts w:ascii="宋体" w:cs="宋体"/>
          <w:szCs w:val="21"/>
          <w:lang w:val="zh-CN"/>
        </w:rPr>
        <w:t>1</w:t>
      </w:r>
      <w:r>
        <w:rPr>
          <w:rFonts w:hint="eastAsia" w:ascii="宋体" w:cs="宋体"/>
          <w:szCs w:val="21"/>
        </w:rPr>
        <w:t>1</w:t>
      </w:r>
      <w:r>
        <w:rPr>
          <w:rFonts w:ascii="宋体" w:cs="宋体"/>
          <w:szCs w:val="21"/>
          <w:lang w:val="zh-CN"/>
        </w:rPr>
        <w:t>.</w:t>
      </w:r>
      <w:r>
        <w:rPr>
          <w:rFonts w:hint="eastAsia" w:ascii="宋体" w:cs="宋体"/>
          <w:szCs w:val="21"/>
          <w:lang w:val="zh-CN"/>
        </w:rPr>
        <w:t>4投标供应商的任何错漏、优惠、竞争性报价不得作为减轻责任、减少服务、降低质量的理由。</w:t>
      </w:r>
    </w:p>
    <w:p>
      <w:pPr>
        <w:autoSpaceDE w:val="0"/>
        <w:autoSpaceDN w:val="0"/>
        <w:adjustRightInd w:val="0"/>
        <w:ind w:firstLine="420"/>
        <w:jc w:val="left"/>
        <w:rPr>
          <w:rFonts w:ascii="宋体" w:cs="宋体"/>
          <w:szCs w:val="21"/>
          <w:lang w:val="zh-CN"/>
        </w:rPr>
      </w:pPr>
      <w:r>
        <w:rPr>
          <w:rFonts w:ascii="宋体" w:cs="宋体"/>
          <w:szCs w:val="21"/>
          <w:lang w:val="zh-CN"/>
        </w:rPr>
        <w:t>1</w:t>
      </w:r>
      <w:r>
        <w:rPr>
          <w:rFonts w:hint="eastAsia" w:ascii="宋体" w:cs="宋体"/>
          <w:szCs w:val="21"/>
        </w:rPr>
        <w:t>1</w:t>
      </w:r>
      <w:r>
        <w:rPr>
          <w:rFonts w:ascii="宋体" w:cs="宋体"/>
          <w:szCs w:val="21"/>
          <w:lang w:val="zh-CN"/>
        </w:rPr>
        <w:t>.</w:t>
      </w:r>
      <w:r>
        <w:rPr>
          <w:rFonts w:hint="eastAsia" w:ascii="宋体" w:cs="宋体"/>
          <w:szCs w:val="21"/>
          <w:lang w:val="zh-CN"/>
        </w:rPr>
        <w:t>5投标供应商应在《开标一览表》、《投标分项报价表》等标明投标货物和服务的单价、总价以及分项报价。</w:t>
      </w:r>
    </w:p>
    <w:p>
      <w:pPr>
        <w:autoSpaceDE w:val="0"/>
        <w:autoSpaceDN w:val="0"/>
        <w:adjustRightInd w:val="0"/>
        <w:spacing w:line="300" w:lineRule="exact"/>
        <w:ind w:firstLine="420"/>
        <w:rPr>
          <w:rFonts w:ascii="宋体" w:cs="宋体"/>
          <w:b/>
          <w:szCs w:val="21"/>
          <w:lang w:val="zh-CN"/>
        </w:rPr>
      </w:pPr>
      <w:r>
        <w:rPr>
          <w:rFonts w:ascii="宋体" w:cs="宋体"/>
          <w:b/>
          <w:szCs w:val="21"/>
          <w:lang w:val="zh-CN"/>
        </w:rPr>
        <w:t>1</w:t>
      </w:r>
      <w:r>
        <w:rPr>
          <w:rFonts w:hint="eastAsia" w:ascii="宋体" w:cs="宋体"/>
          <w:b/>
          <w:szCs w:val="21"/>
        </w:rPr>
        <w:t>1</w:t>
      </w:r>
      <w:r>
        <w:rPr>
          <w:rFonts w:ascii="宋体" w:cs="宋体"/>
          <w:b/>
          <w:szCs w:val="21"/>
          <w:lang w:val="zh-CN"/>
        </w:rPr>
        <w:t>.</w:t>
      </w:r>
      <w:r>
        <w:rPr>
          <w:rFonts w:hint="eastAsia" w:ascii="宋体" w:cs="宋体"/>
          <w:b/>
          <w:szCs w:val="21"/>
          <w:lang w:val="zh-CN"/>
        </w:rPr>
        <w:t>6《开标一览表》必须一式两份，一份装订在投标文件中，一份单独密封封装，并标明“开标一览表”字样，随投标文件一并递交，未按此要求提供的将被拒绝接收。</w:t>
      </w:r>
    </w:p>
    <w:p>
      <w:pPr>
        <w:autoSpaceDE w:val="0"/>
        <w:autoSpaceDN w:val="0"/>
        <w:adjustRightInd w:val="0"/>
        <w:spacing w:line="300" w:lineRule="exact"/>
        <w:ind w:firstLine="420"/>
        <w:rPr>
          <w:rFonts w:ascii="宋体" w:cs="宋体"/>
          <w:szCs w:val="21"/>
          <w:lang w:val="zh-CN"/>
        </w:rPr>
      </w:pPr>
      <w:r>
        <w:rPr>
          <w:rFonts w:ascii="宋体" w:cs="宋体"/>
          <w:b/>
          <w:bCs/>
          <w:szCs w:val="21"/>
          <w:lang w:val="zh-CN"/>
        </w:rPr>
        <w:t>1</w:t>
      </w:r>
      <w:r>
        <w:rPr>
          <w:rFonts w:hint="eastAsia" w:ascii="宋体" w:cs="宋体"/>
          <w:b/>
          <w:bCs/>
          <w:szCs w:val="21"/>
        </w:rPr>
        <w:t>1</w:t>
      </w:r>
      <w:r>
        <w:rPr>
          <w:rFonts w:ascii="宋体" w:cs="宋体"/>
          <w:b/>
          <w:bCs/>
          <w:szCs w:val="21"/>
          <w:lang w:val="zh-CN"/>
        </w:rPr>
        <w:t>.</w:t>
      </w:r>
      <w:r>
        <w:rPr>
          <w:rFonts w:hint="eastAsia" w:ascii="宋体" w:cs="宋体"/>
          <w:b/>
          <w:bCs/>
          <w:szCs w:val="21"/>
          <w:lang w:val="zh-CN"/>
        </w:rPr>
        <w:t>7</w:t>
      </w:r>
      <w:r>
        <w:rPr>
          <w:rFonts w:ascii="宋体" w:cs="宋体"/>
          <w:b/>
          <w:bCs/>
          <w:szCs w:val="21"/>
          <w:lang w:val="zh-CN"/>
        </w:rPr>
        <w:t xml:space="preserve"> </w:t>
      </w:r>
      <w:r>
        <w:rPr>
          <w:rFonts w:hint="eastAsia" w:ascii="宋体" w:cs="宋体"/>
          <w:b/>
          <w:bCs/>
          <w:szCs w:val="21"/>
          <w:lang w:val="zh-CN"/>
        </w:rPr>
        <w:t>投标供应商的投标报价不得高于招标文件规定的最高限价（或预算），超过招标文件规定的最高限价的投标文件，将否决其投标。</w:t>
      </w:r>
    </w:p>
    <w:p>
      <w:pPr>
        <w:autoSpaceDE w:val="0"/>
        <w:autoSpaceDN w:val="0"/>
        <w:adjustRightInd w:val="0"/>
        <w:spacing w:line="300" w:lineRule="exact"/>
        <w:ind w:firstLine="420"/>
        <w:rPr>
          <w:rFonts w:hint="eastAsia" w:ascii="宋体" w:cs="宋体"/>
          <w:szCs w:val="21"/>
          <w:lang w:val="zh-CN"/>
        </w:rPr>
      </w:pPr>
      <w:r>
        <w:rPr>
          <w:rFonts w:ascii="宋体" w:cs="宋体"/>
          <w:szCs w:val="21"/>
        </w:rPr>
        <w:t>1</w:t>
      </w:r>
      <w:r>
        <w:rPr>
          <w:rFonts w:hint="eastAsia" w:ascii="宋体" w:cs="宋体"/>
          <w:szCs w:val="21"/>
        </w:rPr>
        <w:t>1</w:t>
      </w:r>
      <w:r>
        <w:rPr>
          <w:rFonts w:ascii="宋体" w:cs="宋体"/>
          <w:szCs w:val="21"/>
        </w:rPr>
        <w:t>.</w:t>
      </w:r>
      <w:r>
        <w:rPr>
          <w:rFonts w:hint="eastAsia" w:ascii="宋体" w:cs="宋体"/>
          <w:szCs w:val="21"/>
        </w:rPr>
        <w:t>8</w:t>
      </w:r>
      <w:r>
        <w:rPr>
          <w:rFonts w:hint="eastAsia" w:ascii="宋体" w:cs="宋体"/>
          <w:szCs w:val="21"/>
          <w:lang w:val="zh-CN"/>
        </w:rPr>
        <w:t>开标一览表须按填表说明详细填写；如有优惠条件须注明，但不得影响投标报价，并由授权代表签署并盖章。</w:t>
      </w:r>
    </w:p>
    <w:p>
      <w:pPr>
        <w:autoSpaceDE w:val="0"/>
        <w:autoSpaceDN w:val="0"/>
        <w:adjustRightInd w:val="0"/>
        <w:ind w:firstLine="211" w:firstLineChars="100"/>
        <w:rPr>
          <w:rFonts w:hint="eastAsia" w:ascii="宋体" w:hAnsi="宋体"/>
          <w:b/>
          <w:lang w:val="zh-CN"/>
        </w:rPr>
      </w:pPr>
      <w:r>
        <w:rPr>
          <w:rFonts w:hint="eastAsia" w:ascii="宋体" w:hAnsi="宋体"/>
          <w:b/>
          <w:lang w:val="zh-CN"/>
        </w:rPr>
        <w:t xml:space="preserve"> </w:t>
      </w:r>
      <w:r>
        <w:rPr>
          <w:rFonts w:ascii="宋体" w:hAnsi="宋体"/>
          <w:b/>
          <w:lang w:val="zh-CN"/>
        </w:rPr>
        <w:t xml:space="preserve"> </w:t>
      </w:r>
      <w:r>
        <w:rPr>
          <w:rFonts w:hint="eastAsia" w:ascii="宋体" w:hAnsi="宋体"/>
          <w:b/>
          <w:lang w:val="zh-CN"/>
        </w:rPr>
        <w:t>12、投标文件的其他部分</w:t>
      </w:r>
    </w:p>
    <w:p>
      <w:pPr>
        <w:autoSpaceDE w:val="0"/>
        <w:autoSpaceDN w:val="0"/>
        <w:adjustRightInd w:val="0"/>
        <w:ind w:firstLine="420"/>
        <w:rPr>
          <w:rFonts w:hint="eastAsia" w:ascii="宋体" w:hAnsi="宋体"/>
          <w:lang w:val="zh-CN"/>
        </w:rPr>
      </w:pPr>
      <w:r>
        <w:rPr>
          <w:rFonts w:hint="eastAsia" w:ascii="宋体" w:hAnsi="宋体"/>
          <w:lang w:val="zh-CN"/>
        </w:rPr>
        <w:t>12.1 其他部分由投标供应商根据编制投标文件需要提供的其他相关文件。</w:t>
      </w:r>
    </w:p>
    <w:p>
      <w:pPr>
        <w:autoSpaceDE w:val="0"/>
        <w:autoSpaceDN w:val="0"/>
        <w:adjustRightInd w:val="0"/>
        <w:ind w:firstLine="420"/>
        <w:rPr>
          <w:rFonts w:ascii="宋体" w:hAnsi="宋体"/>
          <w:b/>
          <w:lang w:val="zh-CN"/>
        </w:rPr>
      </w:pPr>
      <w:r>
        <w:rPr>
          <w:rFonts w:ascii="宋体" w:hAnsi="宋体"/>
          <w:b/>
          <w:lang w:val="zh-CN"/>
        </w:rPr>
        <w:t>1</w:t>
      </w:r>
      <w:r>
        <w:rPr>
          <w:rFonts w:hint="eastAsia" w:ascii="宋体" w:hAnsi="宋体"/>
          <w:b/>
          <w:lang w:val="zh-CN"/>
        </w:rPr>
        <w:t>3、投标有效期</w:t>
      </w:r>
    </w:p>
    <w:p>
      <w:pPr>
        <w:autoSpaceDE w:val="0"/>
        <w:autoSpaceDN w:val="0"/>
        <w:adjustRightInd w:val="0"/>
        <w:ind w:firstLine="420"/>
        <w:rPr>
          <w:rFonts w:ascii="宋体" w:hAnsi="宋体"/>
          <w:lang w:val="zh-CN"/>
        </w:rPr>
      </w:pPr>
      <w:r>
        <w:rPr>
          <w:rFonts w:ascii="宋体" w:hAnsi="宋体"/>
          <w:lang w:val="zh-CN"/>
        </w:rPr>
        <w:t>1</w:t>
      </w:r>
      <w:r>
        <w:rPr>
          <w:rFonts w:hint="eastAsia" w:ascii="宋体" w:hAnsi="宋体"/>
          <w:lang w:val="zh-CN"/>
        </w:rPr>
        <w:t>3</w:t>
      </w:r>
      <w:r>
        <w:rPr>
          <w:rFonts w:ascii="宋体" w:hAnsi="宋体"/>
          <w:lang w:val="zh-CN"/>
        </w:rPr>
        <w:t>.1</w:t>
      </w:r>
      <w:r>
        <w:rPr>
          <w:rFonts w:hint="eastAsia" w:ascii="宋体" w:hAnsi="宋体"/>
          <w:lang w:val="zh-CN"/>
        </w:rPr>
        <w:t xml:space="preserve"> 自开标之日起</w:t>
      </w:r>
      <w:r>
        <w:rPr>
          <w:rFonts w:ascii="宋体" w:hAnsi="宋体"/>
          <w:lang w:val="zh-CN"/>
        </w:rPr>
        <w:t>30</w:t>
      </w:r>
      <w:r>
        <w:rPr>
          <w:rFonts w:hint="eastAsia" w:ascii="宋体" w:hAnsi="宋体"/>
          <w:lang w:val="zh-CN"/>
        </w:rPr>
        <w:t>天内投标有效。</w:t>
      </w:r>
    </w:p>
    <w:p>
      <w:pPr>
        <w:autoSpaceDE w:val="0"/>
        <w:autoSpaceDN w:val="0"/>
        <w:adjustRightInd w:val="0"/>
        <w:ind w:firstLine="420"/>
        <w:rPr>
          <w:rFonts w:ascii="宋体" w:hAnsi="宋体"/>
          <w:lang w:val="zh-CN"/>
        </w:rPr>
      </w:pPr>
      <w:r>
        <w:rPr>
          <w:rFonts w:ascii="宋体" w:hAnsi="宋体"/>
          <w:lang w:val="zh-CN"/>
        </w:rPr>
        <w:t>1</w:t>
      </w:r>
      <w:r>
        <w:rPr>
          <w:rFonts w:hint="eastAsia" w:ascii="宋体" w:hAnsi="宋体"/>
          <w:lang w:val="zh-CN"/>
        </w:rPr>
        <w:t>3</w:t>
      </w:r>
      <w:r>
        <w:rPr>
          <w:rFonts w:ascii="宋体" w:hAnsi="宋体"/>
          <w:lang w:val="zh-CN"/>
        </w:rPr>
        <w:t>.2</w:t>
      </w:r>
      <w:r>
        <w:rPr>
          <w:rFonts w:hint="eastAsia" w:ascii="宋体" w:hAnsi="宋体"/>
          <w:lang w:val="zh-CN"/>
        </w:rPr>
        <w:t xml:space="preserve"> 在特殊情况下，在原投标有效期截止之前，招标人或招标代理机构可要求投标供应商同意延长投标有效期，这种要求与答复均以书面形式提交。投标供应商可拒绝这种要求。接收延长投标有效期的投标供应商将不会要求和允许修正其投标。</w:t>
      </w:r>
    </w:p>
    <w:p>
      <w:pPr>
        <w:autoSpaceDE w:val="0"/>
        <w:autoSpaceDN w:val="0"/>
        <w:adjustRightInd w:val="0"/>
        <w:ind w:firstLine="420"/>
        <w:rPr>
          <w:rFonts w:ascii="宋体" w:hAnsi="宋体"/>
          <w:b/>
          <w:lang w:val="zh-CN"/>
        </w:rPr>
      </w:pPr>
      <w:r>
        <w:rPr>
          <w:rFonts w:ascii="宋体" w:hAnsi="宋体"/>
          <w:b/>
          <w:lang w:val="zh-CN"/>
        </w:rPr>
        <w:t>1</w:t>
      </w:r>
      <w:r>
        <w:rPr>
          <w:rFonts w:hint="eastAsia" w:ascii="宋体" w:hAnsi="宋体"/>
          <w:b/>
          <w:lang w:val="zh-CN"/>
        </w:rPr>
        <w:t>4、投标文件份数和签署</w:t>
      </w:r>
    </w:p>
    <w:p>
      <w:pPr>
        <w:autoSpaceDE w:val="0"/>
        <w:autoSpaceDN w:val="0"/>
        <w:adjustRightInd w:val="0"/>
        <w:ind w:firstLine="420"/>
        <w:rPr>
          <w:rFonts w:ascii="宋体" w:hAnsi="宋体"/>
          <w:lang w:val="zh-CN"/>
        </w:rPr>
      </w:pPr>
      <w:r>
        <w:rPr>
          <w:rFonts w:ascii="宋体" w:hAnsi="宋体"/>
          <w:lang w:val="zh-CN"/>
        </w:rPr>
        <w:t>1</w:t>
      </w:r>
      <w:r>
        <w:rPr>
          <w:rFonts w:hint="eastAsia" w:ascii="宋体" w:hAnsi="宋体"/>
          <w:lang w:val="zh-CN"/>
        </w:rPr>
        <w:t>4</w:t>
      </w:r>
      <w:r>
        <w:rPr>
          <w:rFonts w:ascii="宋体" w:hAnsi="宋体"/>
          <w:lang w:val="zh-CN"/>
        </w:rPr>
        <w:t xml:space="preserve">.1 </w:t>
      </w:r>
      <w:r>
        <w:rPr>
          <w:rFonts w:hint="eastAsia" w:ascii="宋体" w:hAnsi="宋体"/>
          <w:lang w:val="zh-CN"/>
        </w:rPr>
        <w:t>投标供应商应提交</w:t>
      </w:r>
      <w:r>
        <w:rPr>
          <w:rFonts w:hint="eastAsia" w:ascii="宋体" w:hAnsi="宋体"/>
          <w:b/>
          <w:lang w:val="zh-CN"/>
        </w:rPr>
        <w:t>壹</w:t>
      </w:r>
      <w:r>
        <w:rPr>
          <w:rFonts w:hint="eastAsia" w:ascii="宋体" w:hAnsi="宋体"/>
          <w:lang w:val="zh-CN"/>
        </w:rPr>
        <w:t>式</w:t>
      </w:r>
      <w:r>
        <w:rPr>
          <w:rFonts w:hint="eastAsia" w:ascii="宋体" w:hAnsi="宋体"/>
          <w:b/>
        </w:rPr>
        <w:t>叁</w:t>
      </w:r>
      <w:r>
        <w:rPr>
          <w:rFonts w:hint="eastAsia" w:ascii="宋体" w:hAnsi="宋体"/>
          <w:lang w:val="zh-CN"/>
        </w:rPr>
        <w:t>份投标文件（</w:t>
      </w:r>
      <w:r>
        <w:rPr>
          <w:rFonts w:hint="eastAsia" w:ascii="宋体" w:hAnsi="宋体"/>
          <w:b/>
          <w:lang w:val="zh-CN"/>
        </w:rPr>
        <w:t>壹</w:t>
      </w:r>
      <w:r>
        <w:rPr>
          <w:rFonts w:hint="eastAsia" w:ascii="宋体" w:hAnsi="宋体"/>
          <w:lang w:val="zh-CN"/>
        </w:rPr>
        <w:t>份正本、</w:t>
      </w:r>
      <w:r>
        <w:rPr>
          <w:rFonts w:hint="eastAsia" w:ascii="宋体" w:hAnsi="宋体"/>
          <w:b/>
        </w:rPr>
        <w:t>贰</w:t>
      </w:r>
      <w:r>
        <w:rPr>
          <w:rFonts w:hint="eastAsia" w:ascii="宋体" w:hAnsi="宋体"/>
          <w:lang w:val="zh-CN"/>
        </w:rPr>
        <w:t>份副本），每份投标文件须清楚地标明“正本”或“副本”字样。一旦正本和副本不符，以正本为准。</w:t>
      </w:r>
    </w:p>
    <w:p>
      <w:pPr>
        <w:autoSpaceDE w:val="0"/>
        <w:autoSpaceDN w:val="0"/>
        <w:adjustRightInd w:val="0"/>
        <w:ind w:firstLine="420"/>
        <w:rPr>
          <w:rFonts w:ascii="宋体" w:hAnsi="宋体"/>
          <w:lang w:val="zh-CN"/>
        </w:rPr>
      </w:pPr>
      <w:r>
        <w:rPr>
          <w:rFonts w:ascii="宋体" w:hAnsi="宋体"/>
          <w:lang w:val="zh-CN"/>
        </w:rPr>
        <w:t>1</w:t>
      </w:r>
      <w:r>
        <w:rPr>
          <w:rFonts w:hint="eastAsia" w:ascii="宋体" w:hAnsi="宋体"/>
          <w:lang w:val="zh-CN"/>
        </w:rPr>
        <w:t>4</w:t>
      </w:r>
      <w:r>
        <w:rPr>
          <w:rFonts w:ascii="宋体" w:hAnsi="宋体"/>
          <w:lang w:val="zh-CN"/>
        </w:rPr>
        <w:t xml:space="preserve">.2 </w:t>
      </w:r>
      <w:r>
        <w:rPr>
          <w:rFonts w:hint="eastAsia" w:ascii="宋体" w:hAnsi="宋体"/>
          <w:lang w:val="zh-CN"/>
        </w:rPr>
        <w:t>投标文件的正本和副本均由投标供应商法人代表或经正式授权并对投标供应商有约束力的代表签字。</w:t>
      </w:r>
    </w:p>
    <w:p>
      <w:pPr>
        <w:autoSpaceDE w:val="0"/>
        <w:autoSpaceDN w:val="0"/>
        <w:adjustRightInd w:val="0"/>
        <w:ind w:firstLine="420"/>
        <w:outlineLvl w:val="1"/>
        <w:rPr>
          <w:rFonts w:ascii="宋体" w:hAnsi="宋体"/>
          <w:b/>
          <w:lang w:val="zh-CN"/>
        </w:rPr>
      </w:pPr>
      <w:bookmarkStart w:id="22" w:name="_Toc401304069"/>
      <w:bookmarkStart w:id="23" w:name="_Toc338684363"/>
      <w:bookmarkStart w:id="24" w:name="_Toc274907016"/>
      <w:bookmarkStart w:id="25" w:name="_Toc11051710"/>
      <w:bookmarkStart w:id="26" w:name="_Toc3537"/>
      <w:bookmarkStart w:id="27" w:name="_Toc10720975"/>
      <w:r>
        <w:rPr>
          <w:rFonts w:hint="eastAsia" w:ascii="宋体" w:hAnsi="宋体"/>
          <w:b/>
          <w:lang w:val="zh-CN"/>
        </w:rPr>
        <w:t>三、投标文件的递交</w:t>
      </w:r>
      <w:bookmarkEnd w:id="22"/>
      <w:bookmarkEnd w:id="23"/>
      <w:bookmarkEnd w:id="24"/>
      <w:bookmarkEnd w:id="25"/>
      <w:bookmarkEnd w:id="26"/>
      <w:bookmarkEnd w:id="27"/>
    </w:p>
    <w:p>
      <w:pPr>
        <w:autoSpaceDE w:val="0"/>
        <w:autoSpaceDN w:val="0"/>
        <w:adjustRightInd w:val="0"/>
        <w:ind w:firstLine="420"/>
        <w:rPr>
          <w:rFonts w:ascii="宋体" w:hAnsi="宋体"/>
          <w:b/>
          <w:lang w:val="zh-CN"/>
        </w:rPr>
      </w:pPr>
      <w:r>
        <w:rPr>
          <w:rFonts w:ascii="宋体" w:hAnsi="宋体"/>
          <w:b/>
          <w:lang w:val="zh-CN"/>
        </w:rPr>
        <w:t>1</w:t>
      </w:r>
      <w:r>
        <w:rPr>
          <w:rFonts w:hint="eastAsia" w:ascii="宋体" w:hAnsi="宋体"/>
          <w:b/>
          <w:lang w:val="zh-CN"/>
        </w:rPr>
        <w:t>5、投标文件的密封和递交</w:t>
      </w:r>
    </w:p>
    <w:p>
      <w:pPr>
        <w:autoSpaceDE w:val="0"/>
        <w:autoSpaceDN w:val="0"/>
        <w:adjustRightInd w:val="0"/>
        <w:ind w:firstLine="420"/>
        <w:rPr>
          <w:rFonts w:ascii="宋体" w:hAnsi="宋体"/>
          <w:lang w:val="zh-CN"/>
        </w:rPr>
      </w:pPr>
      <w:r>
        <w:rPr>
          <w:rFonts w:ascii="宋体" w:hAnsi="宋体"/>
          <w:lang w:val="zh-CN"/>
        </w:rPr>
        <w:t>1</w:t>
      </w:r>
      <w:r>
        <w:rPr>
          <w:rFonts w:hint="eastAsia" w:ascii="宋体" w:hAnsi="宋体"/>
          <w:lang w:val="zh-CN"/>
        </w:rPr>
        <w:t>5</w:t>
      </w:r>
      <w:r>
        <w:rPr>
          <w:rFonts w:ascii="宋体" w:hAnsi="宋体"/>
          <w:lang w:val="zh-CN"/>
        </w:rPr>
        <w:t xml:space="preserve">.1 </w:t>
      </w:r>
      <w:r>
        <w:rPr>
          <w:rFonts w:hint="eastAsia" w:ascii="宋体" w:hAnsi="宋体"/>
          <w:lang w:val="zh-CN"/>
        </w:rPr>
        <w:t>投标供应商应当在招标文件要求提交投标文件的截止时间前，将投标文件密封送达投标地点。</w:t>
      </w:r>
    </w:p>
    <w:p>
      <w:pPr>
        <w:autoSpaceDE w:val="0"/>
        <w:autoSpaceDN w:val="0"/>
        <w:adjustRightInd w:val="0"/>
        <w:ind w:firstLine="420"/>
        <w:rPr>
          <w:rFonts w:ascii="宋体" w:hAnsi="宋体"/>
          <w:b/>
          <w:lang w:val="zh-CN"/>
        </w:rPr>
      </w:pPr>
      <w:r>
        <w:rPr>
          <w:rFonts w:ascii="宋体" w:hAnsi="宋体"/>
          <w:b/>
          <w:lang w:val="zh-CN"/>
        </w:rPr>
        <w:t>1</w:t>
      </w:r>
      <w:r>
        <w:rPr>
          <w:rFonts w:hint="eastAsia" w:ascii="宋体" w:hAnsi="宋体"/>
          <w:b/>
          <w:lang w:val="zh-CN"/>
        </w:rPr>
        <w:t>6、有下列情形之一的投标文件将拒收：</w:t>
      </w:r>
    </w:p>
    <w:p>
      <w:pPr>
        <w:autoSpaceDE w:val="0"/>
        <w:autoSpaceDN w:val="0"/>
        <w:adjustRightInd w:val="0"/>
        <w:ind w:firstLine="420"/>
        <w:rPr>
          <w:rFonts w:ascii="宋体" w:hAnsi="宋体"/>
          <w:lang w:val="zh-CN"/>
        </w:rPr>
      </w:pPr>
      <w:r>
        <w:rPr>
          <w:rFonts w:ascii="宋体" w:hAnsi="宋体"/>
          <w:lang w:val="zh-CN"/>
        </w:rPr>
        <w:t>1</w:t>
      </w:r>
      <w:r>
        <w:rPr>
          <w:rFonts w:hint="eastAsia" w:ascii="宋体" w:hAnsi="宋体"/>
          <w:lang w:val="zh-CN"/>
        </w:rPr>
        <w:t>6</w:t>
      </w:r>
      <w:r>
        <w:rPr>
          <w:rFonts w:ascii="宋体" w:hAnsi="宋体"/>
          <w:lang w:val="zh-CN"/>
        </w:rPr>
        <w:t>.</w:t>
      </w:r>
      <w:r>
        <w:rPr>
          <w:rFonts w:hint="eastAsia" w:ascii="宋体" w:hAnsi="宋体"/>
          <w:lang w:val="zh-CN"/>
        </w:rPr>
        <w:t>1 在招标文件要求提交投标文件的截止时间之后送达的等。</w:t>
      </w:r>
    </w:p>
    <w:p>
      <w:pPr>
        <w:autoSpaceDE w:val="0"/>
        <w:autoSpaceDN w:val="0"/>
        <w:adjustRightInd w:val="0"/>
        <w:ind w:firstLine="420"/>
        <w:rPr>
          <w:rFonts w:ascii="宋体" w:hAnsi="宋体"/>
          <w:b/>
          <w:lang w:val="zh-CN"/>
        </w:rPr>
      </w:pPr>
      <w:r>
        <w:rPr>
          <w:rFonts w:hint="eastAsia" w:ascii="宋体" w:hAnsi="宋体"/>
          <w:b/>
          <w:lang w:val="zh-CN"/>
        </w:rPr>
        <w:t>17、投标文件的修改和撤回</w:t>
      </w:r>
    </w:p>
    <w:p>
      <w:pPr>
        <w:autoSpaceDE w:val="0"/>
        <w:autoSpaceDN w:val="0"/>
        <w:adjustRightInd w:val="0"/>
        <w:ind w:firstLine="420"/>
        <w:rPr>
          <w:rFonts w:ascii="宋体" w:hAnsi="宋体"/>
          <w:lang w:val="zh-CN"/>
        </w:rPr>
      </w:pPr>
      <w:r>
        <w:rPr>
          <w:rFonts w:hint="eastAsia" w:ascii="宋体" w:hAnsi="宋体"/>
          <w:lang w:val="zh-CN"/>
        </w:rPr>
        <w:t>17</w:t>
      </w:r>
      <w:r>
        <w:rPr>
          <w:rFonts w:ascii="宋体" w:hAnsi="宋体"/>
          <w:lang w:val="zh-CN"/>
        </w:rPr>
        <w:t xml:space="preserve">.1 </w:t>
      </w:r>
      <w:r>
        <w:rPr>
          <w:rFonts w:hint="eastAsia" w:ascii="宋体" w:hAnsi="宋体"/>
          <w:lang w:val="zh-CN"/>
        </w:rPr>
        <w:t>投标供应商在投标截止时间前，可以对所递交的投标文件进行补充、修改或撤回，并书面通知招标人或招标代理机构。补充、修改的内容应当按照招标文件要求签署、盖章，并作为投标文件的组成部分。</w:t>
      </w:r>
    </w:p>
    <w:p>
      <w:pPr>
        <w:autoSpaceDE w:val="0"/>
        <w:autoSpaceDN w:val="0"/>
        <w:adjustRightInd w:val="0"/>
        <w:ind w:firstLine="420"/>
        <w:rPr>
          <w:rFonts w:ascii="宋体" w:hAnsi="宋体"/>
          <w:lang w:val="zh-CN"/>
        </w:rPr>
      </w:pPr>
      <w:r>
        <w:rPr>
          <w:rFonts w:hint="eastAsia" w:ascii="宋体" w:hAnsi="宋体"/>
          <w:lang w:val="zh-CN"/>
        </w:rPr>
        <w:t>17</w:t>
      </w:r>
      <w:r>
        <w:rPr>
          <w:rFonts w:ascii="宋体" w:hAnsi="宋体"/>
          <w:lang w:val="zh-CN"/>
        </w:rPr>
        <w:t>.2</w:t>
      </w:r>
      <w:r>
        <w:rPr>
          <w:rFonts w:hint="eastAsia" w:ascii="宋体" w:hAnsi="宋体"/>
          <w:lang w:val="zh-CN"/>
        </w:rPr>
        <w:t xml:space="preserve"> 投标供应商根据招标文件载明的标的采购项目实际情况，拟在中标后将中标项目的非主体、非关键性工作交由他人完成的，应当在投标文件中载明。</w:t>
      </w:r>
    </w:p>
    <w:p>
      <w:pPr>
        <w:autoSpaceDE w:val="0"/>
        <w:autoSpaceDN w:val="0"/>
        <w:adjustRightInd w:val="0"/>
        <w:ind w:firstLine="420"/>
        <w:rPr>
          <w:rFonts w:ascii="宋体" w:hAnsi="宋体"/>
          <w:b/>
          <w:lang w:val="zh-CN"/>
        </w:rPr>
      </w:pPr>
      <w:r>
        <w:rPr>
          <w:rFonts w:hint="eastAsia" w:ascii="宋体" w:hAnsi="宋体"/>
          <w:b/>
          <w:lang w:val="zh-CN"/>
        </w:rPr>
        <w:t>18、联合投标</w:t>
      </w:r>
    </w:p>
    <w:p>
      <w:pPr>
        <w:autoSpaceDE w:val="0"/>
        <w:autoSpaceDN w:val="0"/>
        <w:adjustRightInd w:val="0"/>
        <w:ind w:firstLine="420"/>
        <w:rPr>
          <w:rFonts w:hint="eastAsia" w:ascii="宋体" w:hAnsi="宋体"/>
          <w:lang w:val="zh-CN"/>
        </w:rPr>
      </w:pPr>
      <w:r>
        <w:rPr>
          <w:rFonts w:hint="eastAsia" w:ascii="宋体" w:hAnsi="宋体"/>
          <w:b/>
          <w:lang w:val="zh-CN"/>
        </w:rPr>
        <w:t>18</w:t>
      </w:r>
      <w:r>
        <w:rPr>
          <w:rFonts w:ascii="宋体" w:hAnsi="宋体"/>
          <w:b/>
          <w:lang w:val="zh-CN"/>
        </w:rPr>
        <w:t>.1</w:t>
      </w:r>
      <w:r>
        <w:rPr>
          <w:rFonts w:hint="eastAsia" w:ascii="宋体" w:hAnsi="宋体"/>
          <w:lang w:val="zh-CN"/>
        </w:rPr>
        <w:t>本项目不接受联合投标</w:t>
      </w:r>
      <w:r>
        <w:rPr>
          <w:rFonts w:ascii="宋体" w:hAnsi="宋体"/>
        </w:rPr>
        <w:t>。</w:t>
      </w:r>
    </w:p>
    <w:p>
      <w:pPr>
        <w:autoSpaceDE w:val="0"/>
        <w:autoSpaceDN w:val="0"/>
        <w:adjustRightInd w:val="0"/>
        <w:ind w:firstLine="420"/>
        <w:rPr>
          <w:rFonts w:ascii="宋体" w:hAnsi="宋体"/>
          <w:b/>
          <w:lang w:val="zh-CN"/>
        </w:rPr>
      </w:pPr>
      <w:r>
        <w:rPr>
          <w:rFonts w:hint="eastAsia" w:ascii="宋体" w:hAnsi="宋体"/>
          <w:b/>
          <w:lang w:val="zh-CN"/>
        </w:rPr>
        <w:t>19、诚实信用</w:t>
      </w:r>
    </w:p>
    <w:p>
      <w:pPr>
        <w:autoSpaceDE w:val="0"/>
        <w:autoSpaceDN w:val="0"/>
        <w:adjustRightInd w:val="0"/>
        <w:ind w:firstLine="420"/>
        <w:rPr>
          <w:rFonts w:ascii="宋体" w:hAnsi="宋体"/>
          <w:lang w:val="zh-CN"/>
        </w:rPr>
      </w:pPr>
      <w:r>
        <w:rPr>
          <w:rFonts w:hint="eastAsia" w:ascii="宋体" w:hAnsi="宋体"/>
          <w:lang w:val="zh-CN"/>
        </w:rPr>
        <w:t>19</w:t>
      </w:r>
      <w:r>
        <w:rPr>
          <w:rFonts w:ascii="宋体" w:hAnsi="宋体"/>
          <w:lang w:val="zh-CN"/>
        </w:rPr>
        <w:t>.1</w:t>
      </w:r>
      <w:r>
        <w:rPr>
          <w:rFonts w:hint="eastAsia" w:ascii="宋体" w:hAnsi="宋体"/>
          <w:lang w:val="zh-CN"/>
        </w:rPr>
        <w:t xml:space="preserve"> 投标供应商之间不得相互串通投标报价，不得妨碍其他投标供应商的公平竞争，不得损害招标人和其他投标供应商的合法权益。</w:t>
      </w:r>
    </w:p>
    <w:p>
      <w:pPr>
        <w:autoSpaceDE w:val="0"/>
        <w:autoSpaceDN w:val="0"/>
        <w:adjustRightInd w:val="0"/>
        <w:ind w:firstLine="420"/>
        <w:rPr>
          <w:rFonts w:hint="eastAsia" w:ascii="宋体" w:hAnsi="宋体"/>
          <w:i/>
          <w:lang w:val="zh-CN"/>
        </w:rPr>
      </w:pPr>
      <w:r>
        <w:rPr>
          <w:rFonts w:hint="eastAsia" w:ascii="宋体" w:hAnsi="宋体"/>
          <w:lang w:val="zh-CN"/>
        </w:rPr>
        <w:t>19.2 投标供应商不得以低于成本报价竞标，也不得以他人名义投标或者以其他方式弄虚作假，骗取中标。</w:t>
      </w:r>
    </w:p>
    <w:p>
      <w:pPr>
        <w:autoSpaceDE w:val="0"/>
        <w:autoSpaceDN w:val="0"/>
        <w:adjustRightInd w:val="0"/>
        <w:ind w:firstLine="420"/>
        <w:rPr>
          <w:rFonts w:ascii="宋体" w:hAnsi="宋体"/>
          <w:lang w:val="zh-CN"/>
        </w:rPr>
      </w:pPr>
      <w:r>
        <w:rPr>
          <w:rFonts w:hint="eastAsia" w:ascii="宋体" w:hAnsi="宋体"/>
          <w:lang w:val="zh-CN"/>
        </w:rPr>
        <w:t>19</w:t>
      </w:r>
      <w:r>
        <w:rPr>
          <w:rFonts w:ascii="宋体" w:hAnsi="宋体"/>
          <w:lang w:val="zh-CN"/>
        </w:rPr>
        <w:t>.</w:t>
      </w:r>
      <w:r>
        <w:rPr>
          <w:rFonts w:hint="eastAsia" w:ascii="宋体" w:hAnsi="宋体"/>
          <w:lang w:val="zh-CN"/>
        </w:rPr>
        <w:t>3 投标供应商不得以向招标代理机构工作人员、评标委员会成员行贿或者采取其他不正当手段谋取中标。经查实投标供应商有此行为的，将在南京市政府采购中心网站公告，提请政府采购管理部门将投标供应商列入不良行为记录名单，按照《政府采购法》有关规定处理。</w:t>
      </w:r>
    </w:p>
    <w:p>
      <w:pPr>
        <w:autoSpaceDE w:val="0"/>
        <w:autoSpaceDN w:val="0"/>
        <w:adjustRightInd w:val="0"/>
        <w:ind w:firstLine="420"/>
        <w:outlineLvl w:val="1"/>
        <w:rPr>
          <w:rFonts w:ascii="宋体" w:hAnsi="宋体"/>
          <w:b/>
          <w:lang w:val="zh-CN"/>
        </w:rPr>
      </w:pPr>
      <w:bookmarkStart w:id="28" w:name="_Toc10720976"/>
      <w:bookmarkStart w:id="29" w:name="_Toc11051711"/>
      <w:bookmarkStart w:id="30" w:name="_Toc11687"/>
      <w:bookmarkStart w:id="31" w:name="_Toc401304070"/>
      <w:bookmarkStart w:id="32" w:name="_Toc338684364"/>
      <w:bookmarkStart w:id="33" w:name="_Toc274907017"/>
      <w:r>
        <w:rPr>
          <w:rFonts w:hint="eastAsia" w:ascii="宋体" w:hAnsi="宋体"/>
          <w:b/>
          <w:lang w:val="zh-CN"/>
        </w:rPr>
        <w:t>四、开标、评标与定标</w:t>
      </w:r>
      <w:bookmarkEnd w:id="28"/>
      <w:bookmarkEnd w:id="29"/>
      <w:bookmarkEnd w:id="30"/>
      <w:bookmarkEnd w:id="31"/>
      <w:bookmarkEnd w:id="32"/>
      <w:bookmarkEnd w:id="33"/>
    </w:p>
    <w:p>
      <w:pPr>
        <w:autoSpaceDE w:val="0"/>
        <w:autoSpaceDN w:val="0"/>
        <w:adjustRightInd w:val="0"/>
        <w:ind w:firstLine="420"/>
        <w:rPr>
          <w:rFonts w:ascii="宋体" w:hAnsi="宋体"/>
          <w:b/>
          <w:lang w:val="zh-CN"/>
        </w:rPr>
      </w:pPr>
      <w:r>
        <w:rPr>
          <w:rFonts w:hint="eastAsia" w:ascii="宋体" w:hAnsi="宋体"/>
          <w:b/>
          <w:lang w:val="zh-CN"/>
        </w:rPr>
        <w:t>20、开标</w:t>
      </w:r>
    </w:p>
    <w:p>
      <w:pPr>
        <w:autoSpaceDE w:val="0"/>
        <w:autoSpaceDN w:val="0"/>
        <w:adjustRightInd w:val="0"/>
        <w:ind w:firstLine="420"/>
        <w:rPr>
          <w:rFonts w:ascii="宋体" w:hAnsi="宋体"/>
          <w:lang w:val="zh-CN"/>
        </w:rPr>
      </w:pPr>
      <w:r>
        <w:rPr>
          <w:rFonts w:ascii="宋体" w:hAnsi="宋体"/>
          <w:lang w:val="zh-CN"/>
        </w:rPr>
        <w:t>2</w:t>
      </w:r>
      <w:r>
        <w:rPr>
          <w:rFonts w:hint="eastAsia" w:ascii="宋体" w:hAnsi="宋体"/>
          <w:lang w:val="zh-CN"/>
        </w:rPr>
        <w:t>0</w:t>
      </w:r>
      <w:r>
        <w:rPr>
          <w:rFonts w:ascii="宋体" w:hAnsi="宋体"/>
          <w:lang w:val="zh-CN"/>
        </w:rPr>
        <w:t xml:space="preserve">.1 </w:t>
      </w:r>
      <w:r>
        <w:rPr>
          <w:rFonts w:hint="eastAsia" w:ascii="宋体" w:hAnsi="宋体"/>
          <w:lang w:val="zh-CN"/>
        </w:rPr>
        <w:t>招标代理机构将在招标文件确定的时间和地点进行公开开标。投标供应商应委派代表准时参加，参加开标的代表须签名报到以证明其出席。</w:t>
      </w:r>
    </w:p>
    <w:p>
      <w:pPr>
        <w:autoSpaceDE w:val="0"/>
        <w:autoSpaceDN w:val="0"/>
        <w:adjustRightInd w:val="0"/>
        <w:ind w:firstLine="420"/>
        <w:rPr>
          <w:rFonts w:hint="eastAsia" w:ascii="宋体" w:hAnsi="宋体"/>
        </w:rPr>
      </w:pPr>
      <w:r>
        <w:rPr>
          <w:rFonts w:ascii="宋体" w:hAnsi="宋体"/>
          <w:lang w:val="zh-CN"/>
        </w:rPr>
        <w:t>2</w:t>
      </w:r>
      <w:r>
        <w:rPr>
          <w:rFonts w:hint="eastAsia" w:ascii="宋体" w:hAnsi="宋体"/>
          <w:lang w:val="zh-CN"/>
        </w:rPr>
        <w:t>0</w:t>
      </w:r>
      <w:r>
        <w:rPr>
          <w:rFonts w:ascii="宋体" w:hAnsi="宋体"/>
          <w:lang w:val="zh-CN"/>
        </w:rPr>
        <w:t xml:space="preserve">.2 </w:t>
      </w:r>
      <w:r>
        <w:rPr>
          <w:rFonts w:hint="eastAsia" w:ascii="宋体" w:hAnsi="宋体"/>
          <w:lang w:val="zh-CN"/>
        </w:rPr>
        <w:t>开标时，招标代理机构将邀请公证机构或</w:t>
      </w:r>
      <w:r>
        <w:rPr>
          <w:rFonts w:hint="eastAsia" w:ascii="宋体" w:hAnsi="宋体"/>
        </w:rPr>
        <w:t>投标供应商代表检查投标文件的密封情况，经确认无误后，由</w:t>
      </w:r>
      <w:r>
        <w:rPr>
          <w:rFonts w:hint="eastAsia" w:ascii="宋体" w:hAnsi="宋体"/>
          <w:lang w:val="zh-CN"/>
        </w:rPr>
        <w:t>招标代理机构</w:t>
      </w:r>
      <w:r>
        <w:rPr>
          <w:rFonts w:hint="eastAsia" w:ascii="宋体" w:hAnsi="宋体"/>
        </w:rPr>
        <w:t>工作人员当众拆封，宣读投标供应商名称、投标价格、价格折扣、招标文件允许提供的备选投标方案和投标文件的其他主要内容。</w:t>
      </w:r>
    </w:p>
    <w:p>
      <w:pPr>
        <w:autoSpaceDE w:val="0"/>
        <w:autoSpaceDN w:val="0"/>
        <w:adjustRightInd w:val="0"/>
        <w:ind w:firstLine="420"/>
        <w:rPr>
          <w:rFonts w:ascii="宋体" w:hAnsi="宋体"/>
          <w:lang w:val="zh-CN"/>
        </w:rPr>
      </w:pPr>
      <w:r>
        <w:rPr>
          <w:rFonts w:ascii="宋体" w:hAnsi="宋体"/>
          <w:lang w:val="zh-CN"/>
        </w:rPr>
        <w:t>2</w:t>
      </w:r>
      <w:r>
        <w:rPr>
          <w:rFonts w:hint="eastAsia" w:ascii="宋体" w:hAnsi="宋体"/>
          <w:lang w:val="zh-CN"/>
        </w:rPr>
        <w:t>0</w:t>
      </w:r>
      <w:r>
        <w:rPr>
          <w:rFonts w:ascii="宋体" w:hAnsi="宋体"/>
          <w:lang w:val="zh-CN"/>
        </w:rPr>
        <w:t>.3</w:t>
      </w:r>
      <w:r>
        <w:rPr>
          <w:rFonts w:hint="eastAsia" w:ascii="宋体" w:hAnsi="宋体"/>
          <w:lang w:val="zh-CN"/>
        </w:rPr>
        <w:t xml:space="preserve"> 未宣读的投标价格、价格折扣和招标文件允许提供的备选投标方案等实质性内容，评标时不予承认。</w:t>
      </w:r>
    </w:p>
    <w:p>
      <w:pPr>
        <w:autoSpaceDE w:val="0"/>
        <w:autoSpaceDN w:val="0"/>
        <w:adjustRightInd w:val="0"/>
        <w:ind w:firstLine="420"/>
        <w:rPr>
          <w:rFonts w:ascii="宋体" w:hAnsi="宋体"/>
          <w:lang w:val="zh-CN"/>
        </w:rPr>
      </w:pPr>
      <w:r>
        <w:rPr>
          <w:rFonts w:ascii="宋体" w:hAnsi="宋体"/>
          <w:lang w:val="zh-CN"/>
        </w:rPr>
        <w:t>2</w:t>
      </w:r>
      <w:r>
        <w:rPr>
          <w:rFonts w:hint="eastAsia" w:ascii="宋体" w:hAnsi="宋体"/>
          <w:lang w:val="zh-CN"/>
        </w:rPr>
        <w:t>0</w:t>
      </w:r>
      <w:r>
        <w:rPr>
          <w:rFonts w:ascii="宋体" w:hAnsi="宋体"/>
          <w:lang w:val="zh-CN"/>
        </w:rPr>
        <w:t>.4</w:t>
      </w:r>
      <w:r>
        <w:rPr>
          <w:rFonts w:hint="eastAsia" w:ascii="宋体" w:hAnsi="宋体"/>
          <w:lang w:val="zh-CN"/>
        </w:rPr>
        <w:t xml:space="preserve"> 开标时，《开标一览表》内容与投标文件中明细表内容不一致的，以《开标一览表》为准。</w:t>
      </w:r>
    </w:p>
    <w:p>
      <w:pPr>
        <w:autoSpaceDE w:val="0"/>
        <w:autoSpaceDN w:val="0"/>
        <w:adjustRightInd w:val="0"/>
        <w:ind w:firstLine="420"/>
        <w:rPr>
          <w:rFonts w:ascii="宋体" w:hAnsi="宋体"/>
          <w:lang w:val="zh-CN"/>
        </w:rPr>
      </w:pPr>
      <w:r>
        <w:rPr>
          <w:rFonts w:ascii="宋体" w:hAnsi="宋体"/>
          <w:lang w:val="zh-CN"/>
        </w:rPr>
        <w:t>2</w:t>
      </w:r>
      <w:r>
        <w:rPr>
          <w:rFonts w:hint="eastAsia" w:ascii="宋体" w:hAnsi="宋体"/>
          <w:lang w:val="zh-CN"/>
        </w:rPr>
        <w:t>0</w:t>
      </w:r>
      <w:r>
        <w:rPr>
          <w:rFonts w:ascii="宋体" w:hAnsi="宋体"/>
          <w:lang w:val="zh-CN"/>
        </w:rPr>
        <w:t>.5</w:t>
      </w:r>
      <w:r>
        <w:rPr>
          <w:rFonts w:hint="eastAsia" w:ascii="宋体" w:hAnsi="宋体"/>
          <w:lang w:val="zh-CN"/>
        </w:rPr>
        <w:t xml:space="preserve"> 投标文件的大写金额与小写金额不一致的，以大写金额为准；总价金额与按单价金额不一致的，以单价金额计算为准；单价金额小数点有明显错位的，应以总价为准，并修改单价；对不同文字文本投标文件的解释发生异议的，以中文文本为准。</w:t>
      </w:r>
    </w:p>
    <w:p>
      <w:pPr>
        <w:autoSpaceDE w:val="0"/>
        <w:autoSpaceDN w:val="0"/>
        <w:adjustRightInd w:val="0"/>
        <w:ind w:firstLine="420"/>
        <w:rPr>
          <w:rFonts w:hint="eastAsia" w:ascii="宋体" w:hAnsi="宋体"/>
          <w:lang w:val="zh-CN"/>
        </w:rPr>
      </w:pPr>
      <w:r>
        <w:rPr>
          <w:rFonts w:hint="eastAsia" w:ascii="宋体" w:hAnsi="宋体"/>
          <w:lang w:val="zh-CN"/>
        </w:rPr>
        <w:t>20</w:t>
      </w:r>
      <w:r>
        <w:rPr>
          <w:rFonts w:ascii="宋体" w:hAnsi="宋体"/>
          <w:lang w:val="zh-CN"/>
        </w:rPr>
        <w:t xml:space="preserve">.6 </w:t>
      </w:r>
      <w:r>
        <w:rPr>
          <w:rFonts w:hint="eastAsia" w:ascii="宋体" w:hAnsi="宋体"/>
          <w:lang w:val="zh-CN"/>
        </w:rPr>
        <w:t>投标截止时间结束后参加投标的供应商不足三家的，除采购任务取消情形外，招标代理机构视情当场变更为竞争性谈判或者单一来源方式采购。本次招标文件中对供应商资格条件要求、技术要求和商务等要求，将作为竞争性谈判或者单一来源方式采购的基本要求和谈判依据。原评标委员会改为谈判小组，并根据政府采购法等法律法规进行谈判，按照“符合采购需求，质量服务相等且报价最低”的原则确定成交供应商。参加公开招标投标的供应商，根据自愿原则，选择参加竞争性谈判或单一来源方式采购。</w:t>
      </w:r>
    </w:p>
    <w:p>
      <w:pPr>
        <w:autoSpaceDE w:val="0"/>
        <w:autoSpaceDN w:val="0"/>
        <w:adjustRightInd w:val="0"/>
        <w:ind w:firstLine="420"/>
        <w:rPr>
          <w:rFonts w:ascii="宋体" w:hAnsi="宋体"/>
          <w:b/>
          <w:lang w:val="zh-CN"/>
        </w:rPr>
      </w:pPr>
      <w:r>
        <w:rPr>
          <w:rFonts w:ascii="宋体" w:hAnsi="宋体"/>
          <w:b/>
          <w:lang w:val="zh-CN"/>
        </w:rPr>
        <w:t>2</w:t>
      </w:r>
      <w:r>
        <w:rPr>
          <w:rFonts w:hint="eastAsia" w:ascii="宋体" w:hAnsi="宋体"/>
          <w:b/>
          <w:lang w:val="zh-CN"/>
        </w:rPr>
        <w:t>1、评标</w:t>
      </w:r>
    </w:p>
    <w:p>
      <w:pPr>
        <w:autoSpaceDE w:val="0"/>
        <w:autoSpaceDN w:val="0"/>
        <w:adjustRightInd w:val="0"/>
        <w:ind w:firstLine="420"/>
        <w:rPr>
          <w:rFonts w:ascii="宋体" w:hAnsi="宋体"/>
          <w:b/>
          <w:lang w:val="zh-CN"/>
        </w:rPr>
      </w:pPr>
      <w:r>
        <w:rPr>
          <w:rFonts w:ascii="宋体" w:hAnsi="宋体"/>
          <w:b/>
          <w:lang w:val="zh-CN"/>
        </w:rPr>
        <w:t>2</w:t>
      </w:r>
      <w:r>
        <w:rPr>
          <w:rFonts w:hint="eastAsia" w:ascii="宋体" w:hAnsi="宋体"/>
          <w:b/>
          <w:lang w:val="zh-CN"/>
        </w:rPr>
        <w:t>1</w:t>
      </w:r>
      <w:r>
        <w:rPr>
          <w:rFonts w:ascii="宋体" w:hAnsi="宋体"/>
          <w:b/>
          <w:lang w:val="zh-CN"/>
        </w:rPr>
        <w:t>.1</w:t>
      </w:r>
      <w:r>
        <w:rPr>
          <w:rFonts w:hint="eastAsia" w:ascii="宋体" w:hAnsi="宋体"/>
          <w:b/>
          <w:lang w:val="zh-CN"/>
        </w:rPr>
        <w:t xml:space="preserve"> 评标组织</w:t>
      </w:r>
    </w:p>
    <w:p>
      <w:pPr>
        <w:ind w:firstLine="422" w:firstLineChars="200"/>
        <w:rPr>
          <w:rFonts w:ascii="宋体" w:hAnsi="宋体"/>
        </w:rPr>
      </w:pPr>
      <w:r>
        <w:rPr>
          <w:rFonts w:ascii="宋体" w:hAnsi="宋体"/>
          <w:b/>
          <w:lang w:val="zh-CN"/>
        </w:rPr>
        <w:t>2</w:t>
      </w:r>
      <w:r>
        <w:rPr>
          <w:rFonts w:hint="eastAsia" w:ascii="宋体" w:hAnsi="宋体"/>
          <w:b/>
          <w:lang w:val="zh-CN"/>
        </w:rPr>
        <w:t>1</w:t>
      </w:r>
      <w:r>
        <w:rPr>
          <w:rFonts w:ascii="宋体" w:hAnsi="宋体"/>
          <w:b/>
          <w:lang w:val="zh-CN"/>
        </w:rPr>
        <w:t>.1</w:t>
      </w:r>
      <w:r>
        <w:rPr>
          <w:rFonts w:hint="eastAsia" w:ascii="宋体" w:hAnsi="宋体"/>
          <w:b/>
          <w:lang w:val="zh-CN"/>
        </w:rPr>
        <w:t>.1</w:t>
      </w:r>
      <w:r>
        <w:rPr>
          <w:rFonts w:hint="eastAsia" w:ascii="宋体" w:hAnsi="宋体"/>
          <w:lang w:val="zh-CN"/>
        </w:rPr>
        <w:t>评标工作在有关行政监督管理部门的监督下，由招标人负责组织，具体评标事务由依法组建的评标委员会负责，并独立履行</w:t>
      </w:r>
      <w:r>
        <w:rPr>
          <w:rFonts w:hint="eastAsia" w:ascii="宋体" w:hAnsi="宋体"/>
        </w:rPr>
        <w:t>下列职责：</w:t>
      </w:r>
    </w:p>
    <w:p>
      <w:pPr>
        <w:rPr>
          <w:rFonts w:ascii="宋体" w:hAnsi="宋体"/>
        </w:rPr>
      </w:pPr>
      <w:r>
        <w:rPr>
          <w:rFonts w:hint="eastAsia" w:ascii="宋体" w:hAnsi="宋体"/>
        </w:rPr>
        <w:t xml:space="preserve">    （1）审查投标文件是否符合招标文件要求，并作出评价；</w:t>
      </w:r>
    </w:p>
    <w:p>
      <w:pPr>
        <w:rPr>
          <w:rFonts w:ascii="宋体" w:hAnsi="宋体"/>
        </w:rPr>
      </w:pPr>
      <w:r>
        <w:rPr>
          <w:rFonts w:hint="eastAsia" w:ascii="宋体" w:hAnsi="宋体"/>
        </w:rPr>
        <w:t xml:space="preserve">    （2）要求投标供应商对投标文件有关事项作出解释或者澄清；</w:t>
      </w:r>
    </w:p>
    <w:p>
      <w:pPr>
        <w:rPr>
          <w:rFonts w:ascii="宋体" w:hAnsi="宋体"/>
        </w:rPr>
      </w:pPr>
      <w:r>
        <w:rPr>
          <w:rFonts w:hint="eastAsia" w:ascii="宋体" w:hAnsi="宋体"/>
        </w:rPr>
        <w:t xml:space="preserve">    （3）推荐中标候选供应商名单，或者按照招标文件规定直接确定中标供应商；</w:t>
      </w:r>
    </w:p>
    <w:p>
      <w:pPr>
        <w:rPr>
          <w:rFonts w:ascii="宋体" w:hAnsi="宋体"/>
        </w:rPr>
      </w:pPr>
      <w:r>
        <w:rPr>
          <w:rFonts w:hint="eastAsia" w:ascii="宋体" w:hAnsi="宋体"/>
        </w:rPr>
        <w:t xml:space="preserve">    （4）向招标人或者有关部门报告非法干预评标工作的行为。</w:t>
      </w:r>
    </w:p>
    <w:p>
      <w:pPr>
        <w:autoSpaceDE w:val="0"/>
        <w:autoSpaceDN w:val="0"/>
        <w:adjustRightInd w:val="0"/>
        <w:ind w:firstLine="420"/>
        <w:rPr>
          <w:rFonts w:ascii="宋体" w:hAnsi="宋体"/>
          <w:lang w:val="zh-CN"/>
        </w:rPr>
      </w:pPr>
      <w:r>
        <w:rPr>
          <w:rFonts w:ascii="宋体" w:hAnsi="宋体"/>
          <w:b/>
          <w:lang w:val="zh-CN"/>
        </w:rPr>
        <w:t>2</w:t>
      </w:r>
      <w:r>
        <w:rPr>
          <w:rFonts w:hint="eastAsia" w:ascii="宋体" w:hAnsi="宋体"/>
          <w:b/>
          <w:lang w:val="zh-CN"/>
        </w:rPr>
        <w:t>1</w:t>
      </w:r>
      <w:r>
        <w:rPr>
          <w:rFonts w:ascii="宋体" w:hAnsi="宋体"/>
          <w:b/>
          <w:lang w:val="zh-CN"/>
        </w:rPr>
        <w:t>.1</w:t>
      </w:r>
      <w:r>
        <w:rPr>
          <w:rFonts w:hint="eastAsia" w:ascii="宋体" w:hAnsi="宋体"/>
          <w:b/>
          <w:lang w:val="zh-CN"/>
        </w:rPr>
        <w:t xml:space="preserve">.2 </w:t>
      </w:r>
      <w:r>
        <w:rPr>
          <w:rFonts w:hint="eastAsia" w:ascii="宋体" w:hAnsi="宋体"/>
          <w:lang w:val="zh-CN"/>
        </w:rPr>
        <w:t>评标委员会由招标人代表和有关技术、经济等方面的专家组成，独立开展评审工作。</w:t>
      </w:r>
    </w:p>
    <w:p>
      <w:pPr>
        <w:autoSpaceDE w:val="0"/>
        <w:autoSpaceDN w:val="0"/>
        <w:adjustRightInd w:val="0"/>
        <w:ind w:firstLine="422" w:firstLineChars="200"/>
        <w:rPr>
          <w:rFonts w:ascii="宋体" w:hAnsi="宋体"/>
          <w:b/>
          <w:lang w:val="zh-CN"/>
        </w:rPr>
      </w:pPr>
      <w:r>
        <w:rPr>
          <w:rFonts w:hint="eastAsia" w:ascii="宋体" w:hAnsi="宋体"/>
          <w:b/>
          <w:lang w:val="zh-CN"/>
        </w:rPr>
        <w:t>21</w:t>
      </w:r>
      <w:r>
        <w:rPr>
          <w:rFonts w:ascii="宋体" w:hAnsi="宋体"/>
          <w:b/>
          <w:lang w:val="zh-CN"/>
        </w:rPr>
        <w:t>.</w:t>
      </w:r>
      <w:r>
        <w:rPr>
          <w:rFonts w:hint="eastAsia" w:ascii="宋体" w:hAnsi="宋体"/>
          <w:b/>
          <w:lang w:val="zh-CN"/>
        </w:rPr>
        <w:t>2 评标程序</w:t>
      </w:r>
    </w:p>
    <w:p>
      <w:pPr>
        <w:autoSpaceDE w:val="0"/>
        <w:autoSpaceDN w:val="0"/>
        <w:adjustRightInd w:val="0"/>
        <w:ind w:firstLine="422" w:firstLineChars="200"/>
        <w:rPr>
          <w:rFonts w:ascii="宋体" w:hAnsi="宋体"/>
          <w:lang w:val="zh-CN"/>
        </w:rPr>
      </w:pPr>
      <w:r>
        <w:rPr>
          <w:rFonts w:hint="eastAsia" w:ascii="宋体" w:hAnsi="宋体"/>
          <w:b/>
          <w:lang w:val="zh-CN"/>
        </w:rPr>
        <w:t>21.2.1</w:t>
      </w:r>
      <w:r>
        <w:rPr>
          <w:rFonts w:hint="eastAsia" w:ascii="宋体" w:hAnsi="宋体"/>
          <w:lang w:val="zh-CN"/>
        </w:rPr>
        <w:t xml:space="preserve"> </w:t>
      </w:r>
      <w:r>
        <w:rPr>
          <w:rFonts w:hint="eastAsia" w:ascii="宋体" w:hAnsi="宋体"/>
          <w:b/>
          <w:lang w:val="zh-CN"/>
        </w:rPr>
        <w:t>投标文件的资格性检查。</w:t>
      </w:r>
      <w:r>
        <w:rPr>
          <w:rFonts w:hint="eastAsia" w:ascii="宋体" w:hAnsi="宋体"/>
          <w:lang w:val="zh-CN"/>
        </w:rPr>
        <w:t>依据法律法规和招标文件的规定，对投标文件中资格证明等进行审查，以确定供应商是否具备投标资格。投标文件有下列情况之一的，在资格性、符合性检查时按照无效投标处理：</w:t>
      </w:r>
    </w:p>
    <w:p>
      <w:pPr>
        <w:autoSpaceDE w:val="0"/>
        <w:autoSpaceDN w:val="0"/>
        <w:adjustRightInd w:val="0"/>
        <w:ind w:firstLine="420" w:firstLineChars="200"/>
        <w:rPr>
          <w:rFonts w:hint="eastAsia" w:ascii="宋体" w:hAnsi="宋体"/>
          <w:lang w:val="zh-CN"/>
        </w:rPr>
      </w:pPr>
      <w:r>
        <w:rPr>
          <w:rFonts w:hint="eastAsia" w:ascii="宋体" w:hAnsi="宋体"/>
          <w:lang w:val="zh-CN"/>
        </w:rPr>
        <w:t>（1）</w:t>
      </w:r>
      <w:r>
        <w:rPr>
          <w:rFonts w:hint="eastAsia" w:ascii="宋体" w:hAnsi="宋体"/>
        </w:rPr>
        <w:t>未按照招标文件规定要求密封、签署、盖章的；</w:t>
      </w:r>
    </w:p>
    <w:p>
      <w:pPr>
        <w:autoSpaceDE w:val="0"/>
        <w:autoSpaceDN w:val="0"/>
        <w:adjustRightInd w:val="0"/>
        <w:ind w:firstLine="420" w:firstLineChars="200"/>
        <w:rPr>
          <w:rFonts w:hint="eastAsia" w:ascii="宋体" w:hAnsi="宋体"/>
          <w:lang w:val="zh-CN"/>
        </w:rPr>
      </w:pPr>
      <w:r>
        <w:rPr>
          <w:rFonts w:hint="eastAsia" w:ascii="宋体" w:hAnsi="宋体"/>
          <w:lang w:val="zh-CN"/>
        </w:rPr>
        <w:t>（2）不具备招标文件中规定资格要求的；</w:t>
      </w:r>
    </w:p>
    <w:p>
      <w:pPr>
        <w:autoSpaceDE w:val="0"/>
        <w:autoSpaceDN w:val="0"/>
        <w:adjustRightInd w:val="0"/>
        <w:ind w:firstLine="420" w:firstLineChars="200"/>
        <w:rPr>
          <w:rFonts w:hint="eastAsia" w:ascii="宋体" w:hAnsi="宋体"/>
          <w:lang w:val="zh-CN"/>
        </w:rPr>
      </w:pPr>
      <w:r>
        <w:rPr>
          <w:rFonts w:hint="eastAsia" w:ascii="宋体" w:hAnsi="宋体"/>
          <w:lang w:val="zh-CN"/>
        </w:rPr>
        <w:t>（3）非实质性指标负偏离超过允许最大数量的；</w:t>
      </w:r>
    </w:p>
    <w:p>
      <w:pPr>
        <w:autoSpaceDE w:val="0"/>
        <w:autoSpaceDN w:val="0"/>
        <w:adjustRightInd w:val="0"/>
        <w:ind w:firstLine="420" w:firstLineChars="200"/>
        <w:rPr>
          <w:rFonts w:ascii="宋体" w:hAnsi="宋体"/>
        </w:rPr>
      </w:pPr>
      <w:r>
        <w:rPr>
          <w:rFonts w:hint="eastAsia" w:ascii="宋体" w:hAnsi="宋体"/>
          <w:lang w:val="zh-CN"/>
        </w:rPr>
        <w:t>（4）标准配置或标准要求有漏项的；</w:t>
      </w:r>
    </w:p>
    <w:p>
      <w:pPr>
        <w:ind w:firstLine="420" w:firstLineChars="200"/>
        <w:rPr>
          <w:rFonts w:ascii="宋体" w:hAnsi="宋体"/>
        </w:rPr>
      </w:pPr>
      <w:r>
        <w:rPr>
          <w:rFonts w:hint="eastAsia" w:ascii="宋体" w:hAnsi="宋体"/>
        </w:rPr>
        <w:t>（5）不同投标供应商的投标文件的分部分项报价错漏一致，且没有合理解释的；</w:t>
      </w:r>
    </w:p>
    <w:p>
      <w:pPr>
        <w:ind w:firstLine="420" w:firstLineChars="200"/>
        <w:rPr>
          <w:rFonts w:ascii="宋体" w:hAnsi="宋体"/>
        </w:rPr>
      </w:pPr>
      <w:r>
        <w:rPr>
          <w:rFonts w:hint="eastAsia" w:ascii="宋体" w:hAnsi="宋体"/>
        </w:rPr>
        <w:t>（6）不同投标供应商的投标文件载明的项目管理班子成员出现同一人的；</w:t>
      </w:r>
    </w:p>
    <w:p>
      <w:pPr>
        <w:ind w:firstLine="420" w:firstLineChars="200"/>
        <w:rPr>
          <w:rFonts w:ascii="宋体" w:hAnsi="宋体"/>
        </w:rPr>
      </w:pPr>
      <w:r>
        <w:rPr>
          <w:rFonts w:hint="eastAsia" w:ascii="宋体" w:hAnsi="宋体"/>
        </w:rPr>
        <w:t>（7）不同投标供应商的投标文件相互混装的；</w:t>
      </w:r>
    </w:p>
    <w:p>
      <w:pPr>
        <w:ind w:firstLine="420" w:firstLineChars="200"/>
        <w:rPr>
          <w:rFonts w:ascii="宋体" w:hAnsi="宋体"/>
        </w:rPr>
      </w:pPr>
      <w:r>
        <w:rPr>
          <w:rFonts w:hint="eastAsia" w:ascii="宋体" w:hAnsi="宋体"/>
        </w:rPr>
        <w:t>（8）不同投标供应商使用同一个人或者企业资金交纳投标保函的反担保的；</w:t>
      </w:r>
    </w:p>
    <w:p>
      <w:pPr>
        <w:ind w:firstLine="420" w:firstLineChars="200"/>
        <w:rPr>
          <w:rFonts w:ascii="宋体" w:hAnsi="宋体"/>
        </w:rPr>
      </w:pPr>
      <w:r>
        <w:rPr>
          <w:rFonts w:hint="eastAsia" w:ascii="宋体" w:hAnsi="宋体"/>
        </w:rPr>
        <w:t>（9）不同投标供应商聘请同一人为其投标提供技术或者经济咨询服务的；</w:t>
      </w:r>
    </w:p>
    <w:p>
      <w:pPr>
        <w:autoSpaceDE w:val="0"/>
        <w:autoSpaceDN w:val="0"/>
        <w:adjustRightInd w:val="0"/>
        <w:ind w:firstLine="420" w:firstLineChars="200"/>
        <w:rPr>
          <w:rFonts w:ascii="宋体" w:hAnsi="宋体"/>
          <w:lang w:val="zh-CN"/>
        </w:rPr>
      </w:pPr>
      <w:r>
        <w:rPr>
          <w:rFonts w:hint="eastAsia" w:ascii="宋体" w:hAnsi="宋体"/>
          <w:lang w:val="zh-CN"/>
        </w:rPr>
        <w:t>（10）不符合法律、法规和招标文件规定的其他实质性要求的。</w:t>
      </w:r>
    </w:p>
    <w:p>
      <w:pPr>
        <w:autoSpaceDE w:val="0"/>
        <w:autoSpaceDN w:val="0"/>
        <w:adjustRightInd w:val="0"/>
        <w:ind w:firstLine="422" w:firstLineChars="200"/>
        <w:rPr>
          <w:rFonts w:ascii="宋体" w:hAnsi="宋体"/>
          <w:lang w:val="zh-CN"/>
        </w:rPr>
      </w:pPr>
      <w:r>
        <w:rPr>
          <w:rFonts w:hint="eastAsia" w:ascii="宋体" w:hAnsi="宋体"/>
          <w:b/>
          <w:lang w:val="zh-CN"/>
        </w:rPr>
        <w:t>22.2.2</w:t>
      </w:r>
      <w:r>
        <w:rPr>
          <w:rFonts w:hint="eastAsia" w:ascii="宋体" w:hAnsi="宋体"/>
          <w:lang w:val="zh-CN"/>
        </w:rPr>
        <w:t xml:space="preserve"> </w:t>
      </w:r>
      <w:r>
        <w:rPr>
          <w:rFonts w:hint="eastAsia" w:ascii="宋体" w:hAnsi="宋体"/>
          <w:b/>
          <w:lang w:val="zh-CN"/>
        </w:rPr>
        <w:t>投标文件的符合性检查</w:t>
      </w:r>
      <w:r>
        <w:rPr>
          <w:rFonts w:hint="eastAsia" w:ascii="宋体" w:hAnsi="宋体"/>
          <w:lang w:val="zh-CN"/>
        </w:rPr>
        <w:t>。依据招标文件规定，从投标文件的有效性、完整性和对招标文件的响应程度进行审查，以确定是否对招标文件的实质性要求作出响应。</w:t>
      </w:r>
      <w:r>
        <w:rPr>
          <w:rFonts w:hint="eastAsia" w:ascii="宋体" w:hAnsi="宋体"/>
          <w:b/>
          <w:lang w:val="zh-CN"/>
        </w:rPr>
        <w:t>实质性要求是指本招标文件中用</w:t>
      </w:r>
      <w:r>
        <w:rPr>
          <w:rFonts w:hint="eastAsia" w:ascii="宋体" w:hAnsi="宋体"/>
          <w:b/>
        </w:rPr>
        <w:t>带星号（“</w:t>
      </w:r>
      <w:r>
        <w:rPr>
          <w:rFonts w:hint="eastAsia" w:ascii="宋体"/>
          <w:szCs w:val="21"/>
          <w:lang w:val="zh-CN"/>
        </w:rPr>
        <w:t>★</w:t>
      </w:r>
      <w:r>
        <w:rPr>
          <w:rFonts w:hint="eastAsia" w:ascii="宋体" w:hAnsi="宋体"/>
          <w:b/>
        </w:rPr>
        <w:t>”）用“必须”等其他文字说明的商务和技术要求</w:t>
      </w:r>
      <w:r>
        <w:rPr>
          <w:rFonts w:hint="eastAsia" w:ascii="宋体" w:hAnsi="宋体"/>
        </w:rPr>
        <w:t>。</w:t>
      </w:r>
      <w:r>
        <w:rPr>
          <w:rFonts w:hint="eastAsia" w:ascii="宋体" w:hAnsi="宋体"/>
          <w:lang w:val="zh-CN"/>
        </w:rPr>
        <w:t>有下列情形之一的予以废标，同时将废标理由通知所有投标供应商：</w:t>
      </w:r>
    </w:p>
    <w:p>
      <w:pPr>
        <w:autoSpaceDE w:val="0"/>
        <w:autoSpaceDN w:val="0"/>
        <w:adjustRightInd w:val="0"/>
        <w:ind w:firstLine="420" w:firstLineChars="200"/>
        <w:rPr>
          <w:rFonts w:ascii="宋体" w:hAnsi="宋体"/>
          <w:lang w:val="zh-CN"/>
        </w:rPr>
      </w:pPr>
      <w:r>
        <w:rPr>
          <w:rFonts w:hint="eastAsia" w:ascii="宋体" w:hAnsi="宋体"/>
          <w:lang w:val="zh-CN"/>
        </w:rPr>
        <w:t>（</w:t>
      </w:r>
      <w:r>
        <w:rPr>
          <w:rFonts w:ascii="宋体" w:hAnsi="宋体"/>
          <w:lang w:val="zh-CN"/>
        </w:rPr>
        <w:t>1</w:t>
      </w:r>
      <w:r>
        <w:rPr>
          <w:rFonts w:hint="eastAsia" w:ascii="宋体" w:hAnsi="宋体"/>
          <w:lang w:val="zh-CN"/>
        </w:rPr>
        <w:t>）符合专业条件的供应商或者对招标文件作实质性响应的供应商不足三家的；</w:t>
      </w:r>
    </w:p>
    <w:p>
      <w:pPr>
        <w:autoSpaceDE w:val="0"/>
        <w:autoSpaceDN w:val="0"/>
        <w:adjustRightInd w:val="0"/>
        <w:ind w:firstLine="420" w:firstLineChars="200"/>
        <w:rPr>
          <w:rFonts w:ascii="宋体" w:hAnsi="宋体"/>
          <w:lang w:val="zh-CN"/>
        </w:rPr>
      </w:pPr>
      <w:r>
        <w:rPr>
          <w:rFonts w:hint="eastAsia" w:ascii="宋体" w:hAnsi="宋体"/>
          <w:lang w:val="zh-CN"/>
        </w:rPr>
        <w:t>（</w:t>
      </w:r>
      <w:r>
        <w:rPr>
          <w:rFonts w:ascii="宋体" w:hAnsi="宋体"/>
          <w:lang w:val="zh-CN"/>
        </w:rPr>
        <w:t>2</w:t>
      </w:r>
      <w:r>
        <w:rPr>
          <w:rFonts w:hint="eastAsia" w:ascii="宋体" w:hAnsi="宋体"/>
          <w:lang w:val="zh-CN"/>
        </w:rPr>
        <w:t>）出现影响采购公正的违法、违规行为的；</w:t>
      </w:r>
    </w:p>
    <w:p>
      <w:pPr>
        <w:autoSpaceDE w:val="0"/>
        <w:autoSpaceDN w:val="0"/>
        <w:adjustRightInd w:val="0"/>
        <w:ind w:firstLine="420" w:firstLineChars="200"/>
        <w:rPr>
          <w:rFonts w:ascii="宋体" w:hAnsi="宋体"/>
          <w:lang w:val="zh-CN"/>
        </w:rPr>
      </w:pPr>
      <w:r>
        <w:rPr>
          <w:rFonts w:hint="eastAsia" w:ascii="宋体" w:hAnsi="宋体"/>
          <w:lang w:val="zh-CN"/>
        </w:rPr>
        <w:t>（</w:t>
      </w:r>
      <w:r>
        <w:rPr>
          <w:rFonts w:ascii="宋体" w:hAnsi="宋体"/>
          <w:lang w:val="zh-CN"/>
        </w:rPr>
        <w:t>3</w:t>
      </w:r>
      <w:r>
        <w:rPr>
          <w:rFonts w:hint="eastAsia" w:ascii="宋体" w:hAnsi="宋体"/>
          <w:lang w:val="zh-CN"/>
        </w:rPr>
        <w:t>）投标供应商的报价均超过了采购预算，招标人不能支付的；</w:t>
      </w:r>
    </w:p>
    <w:p>
      <w:pPr>
        <w:autoSpaceDE w:val="0"/>
        <w:autoSpaceDN w:val="0"/>
        <w:adjustRightInd w:val="0"/>
        <w:ind w:firstLine="420" w:firstLineChars="200"/>
        <w:rPr>
          <w:rFonts w:hint="eastAsia" w:ascii="宋体" w:hAnsi="宋体"/>
          <w:lang w:val="zh-CN"/>
        </w:rPr>
      </w:pPr>
      <w:r>
        <w:rPr>
          <w:rFonts w:hint="eastAsia" w:ascii="宋体" w:hAnsi="宋体"/>
          <w:lang w:val="zh-CN"/>
        </w:rPr>
        <w:t>（</w:t>
      </w:r>
      <w:r>
        <w:rPr>
          <w:rFonts w:ascii="宋体" w:hAnsi="宋体"/>
          <w:lang w:val="zh-CN"/>
        </w:rPr>
        <w:t>4</w:t>
      </w:r>
      <w:r>
        <w:rPr>
          <w:rFonts w:hint="eastAsia" w:ascii="宋体" w:hAnsi="宋体"/>
          <w:lang w:val="zh-CN"/>
        </w:rPr>
        <w:t>）因重大变故，采购任务取消的。</w:t>
      </w:r>
    </w:p>
    <w:p>
      <w:pPr>
        <w:autoSpaceDE w:val="0"/>
        <w:autoSpaceDN w:val="0"/>
        <w:adjustRightInd w:val="0"/>
        <w:ind w:firstLine="422" w:firstLineChars="200"/>
        <w:rPr>
          <w:rFonts w:ascii="宋体" w:hAnsi="宋体"/>
          <w:lang w:val="zh-CN"/>
        </w:rPr>
      </w:pPr>
      <w:r>
        <w:rPr>
          <w:rFonts w:hint="eastAsia" w:ascii="宋体" w:hAnsi="宋体"/>
          <w:b/>
          <w:lang w:val="zh-CN"/>
        </w:rPr>
        <w:t>22.2.3</w:t>
      </w:r>
      <w:r>
        <w:rPr>
          <w:rFonts w:hint="eastAsia" w:ascii="宋体" w:hAnsi="宋体"/>
          <w:lang w:val="zh-CN"/>
        </w:rPr>
        <w:t xml:space="preserve"> </w:t>
      </w:r>
      <w:r>
        <w:rPr>
          <w:rFonts w:hint="eastAsia" w:ascii="宋体" w:hAnsi="宋体"/>
          <w:b/>
          <w:lang w:val="zh-CN"/>
        </w:rPr>
        <w:t>澄清有关问题</w:t>
      </w:r>
      <w:r>
        <w:rPr>
          <w:rFonts w:hint="eastAsia" w:ascii="宋体" w:hAnsi="宋体"/>
          <w:lang w:val="zh-CN"/>
        </w:rPr>
        <w:t>。对投标文件中含义不明确、同类问题表述不一致或者明显文字和计算错误的内容，评标委员会可以要求投标供应商作出必要的澄清、说明或者补正。投标供应商的澄清、说明、补正应当采用书面形式，由其授权代表签字，但不得超出投标文件的范围或者改变投标文件的实质性内容。</w:t>
      </w:r>
    </w:p>
    <w:p>
      <w:pPr>
        <w:autoSpaceDE w:val="0"/>
        <w:autoSpaceDN w:val="0"/>
        <w:adjustRightInd w:val="0"/>
        <w:ind w:firstLine="422" w:firstLineChars="200"/>
        <w:rPr>
          <w:rFonts w:hint="eastAsia" w:ascii="宋体" w:hAnsi="宋体"/>
          <w:b/>
          <w:lang w:val="zh-CN"/>
        </w:rPr>
      </w:pPr>
      <w:r>
        <w:rPr>
          <w:rFonts w:hint="eastAsia" w:ascii="宋体" w:hAnsi="宋体"/>
          <w:b/>
          <w:lang w:val="zh-CN"/>
        </w:rPr>
        <w:t>22.2.4</w:t>
      </w:r>
      <w:r>
        <w:rPr>
          <w:rFonts w:hint="eastAsia" w:ascii="宋体" w:hAnsi="宋体"/>
          <w:lang w:val="zh-CN"/>
        </w:rPr>
        <w:t xml:space="preserve"> </w:t>
      </w:r>
      <w:r>
        <w:rPr>
          <w:rFonts w:hint="eastAsia" w:ascii="宋体" w:hAnsi="宋体"/>
          <w:b/>
          <w:lang w:val="zh-CN"/>
        </w:rPr>
        <w:t>比较与评价。</w:t>
      </w:r>
      <w:r>
        <w:rPr>
          <w:rFonts w:hint="eastAsia" w:ascii="宋体" w:hAnsi="宋体"/>
          <w:lang w:val="zh-CN"/>
        </w:rPr>
        <w:t>按照招标文件中规定的评标方法和标准，对资格性检查和符合性检查合格的投标文件进行商务和技术评估，综合比较与评价。</w:t>
      </w:r>
    </w:p>
    <w:p>
      <w:pPr>
        <w:ind w:firstLine="420"/>
        <w:rPr>
          <w:rFonts w:hint="eastAsia" w:ascii="宋体" w:hAnsi="宋体"/>
          <w:b/>
          <w:color w:val="000000"/>
        </w:rPr>
      </w:pPr>
      <w:r>
        <w:rPr>
          <w:rFonts w:ascii="宋体" w:hAnsi="宋体"/>
          <w:b/>
          <w:color w:val="000000"/>
        </w:rPr>
        <w:t>2</w:t>
      </w:r>
      <w:r>
        <w:rPr>
          <w:rFonts w:hint="eastAsia" w:ascii="宋体" w:hAnsi="宋体"/>
          <w:b/>
          <w:color w:val="000000"/>
        </w:rPr>
        <w:t>2</w:t>
      </w:r>
      <w:r>
        <w:rPr>
          <w:rFonts w:ascii="宋体" w:hAnsi="宋体"/>
          <w:b/>
          <w:color w:val="000000"/>
        </w:rPr>
        <w:t>.</w:t>
      </w:r>
      <w:r>
        <w:rPr>
          <w:rFonts w:hint="eastAsia" w:ascii="宋体" w:hAnsi="宋体"/>
          <w:b/>
          <w:color w:val="000000"/>
        </w:rPr>
        <w:t>3 评标方法</w:t>
      </w:r>
    </w:p>
    <w:p>
      <w:pPr>
        <w:ind w:firstLine="420" w:firstLineChars="200"/>
        <w:rPr>
          <w:rFonts w:hint="eastAsia" w:ascii="宋体" w:hAnsi="宋体"/>
          <w:color w:val="000000"/>
        </w:rPr>
      </w:pPr>
      <w:r>
        <w:rPr>
          <w:rFonts w:hint="eastAsia" w:ascii="宋体" w:hAnsi="宋体"/>
          <w:color w:val="000000"/>
        </w:rPr>
        <w:t>22.3.1采用综合评分法。综合评分法是指在最大限度地满足招标文件实质性要求前提下，按照招标文件中规定的各项因素进行综合评审后，以评标总得分最高的投标供应商作为中标供应商的评标方法。</w:t>
      </w:r>
    </w:p>
    <w:p>
      <w:pPr>
        <w:widowControl/>
        <w:ind w:firstLine="420" w:firstLineChars="200"/>
        <w:jc w:val="left"/>
        <w:rPr>
          <w:rFonts w:hint="eastAsia" w:ascii="宋体" w:hAnsi="宋体"/>
          <w:b/>
          <w:color w:val="000000"/>
          <w:szCs w:val="21"/>
        </w:rPr>
      </w:pPr>
      <w:r>
        <w:rPr>
          <w:rFonts w:ascii="宋体"/>
          <w:bCs/>
          <w:color w:val="000000"/>
          <w:szCs w:val="21"/>
          <w:lang w:val="zh-CN"/>
        </w:rPr>
        <w:t>2</w:t>
      </w:r>
      <w:r>
        <w:rPr>
          <w:rFonts w:hint="eastAsia" w:ascii="宋体"/>
          <w:bCs/>
          <w:color w:val="000000"/>
          <w:szCs w:val="21"/>
          <w:lang w:val="zh-CN"/>
        </w:rPr>
        <w:t>2</w:t>
      </w:r>
      <w:r>
        <w:rPr>
          <w:rFonts w:ascii="宋体"/>
          <w:bCs/>
          <w:color w:val="000000"/>
          <w:szCs w:val="21"/>
          <w:lang w:val="zh-CN"/>
        </w:rPr>
        <w:t>.</w:t>
      </w:r>
      <w:r>
        <w:rPr>
          <w:rFonts w:hint="eastAsia" w:ascii="宋体"/>
          <w:bCs/>
          <w:color w:val="000000"/>
          <w:szCs w:val="21"/>
          <w:lang w:val="zh-CN"/>
        </w:rPr>
        <w:t>3.2</w:t>
      </w:r>
      <w:r>
        <w:rPr>
          <w:rFonts w:hint="eastAsia" w:ascii="宋体"/>
          <w:b/>
          <w:bCs/>
          <w:color w:val="000000"/>
          <w:szCs w:val="21"/>
          <w:lang w:val="zh-CN"/>
        </w:rPr>
        <w:t xml:space="preserve"> </w:t>
      </w:r>
      <w:r>
        <w:rPr>
          <w:rFonts w:hint="eastAsia"/>
          <w:color w:val="000000"/>
        </w:rPr>
        <w:t>综合评分的</w:t>
      </w:r>
      <w:r>
        <w:rPr>
          <w:rFonts w:hint="eastAsia" w:ascii="宋体"/>
          <w:color w:val="000000"/>
          <w:szCs w:val="21"/>
          <w:lang w:val="zh-CN"/>
        </w:rPr>
        <w:t>主要因素是：</w:t>
      </w:r>
      <w:r>
        <w:rPr>
          <w:rFonts w:hint="eastAsia" w:ascii="宋体" w:hAnsi="宋体"/>
          <w:b/>
          <w:color w:val="000000"/>
          <w:szCs w:val="21"/>
        </w:rPr>
        <w:t>价格</w:t>
      </w:r>
      <w:r>
        <w:rPr>
          <w:rFonts w:hint="eastAsia" w:ascii="宋体" w:hAnsi="宋体"/>
          <w:b/>
          <w:color w:val="000000"/>
        </w:rPr>
        <w:t>、</w:t>
      </w:r>
      <w:r>
        <w:rPr>
          <w:rFonts w:hint="eastAsia" w:cs="宋体"/>
          <w:b/>
          <w:color w:val="000000"/>
          <w:kern w:val="0"/>
          <w:szCs w:val="21"/>
          <w:lang w:val="en-US" w:eastAsia="zh-CN"/>
        </w:rPr>
        <w:t>技术方案</w:t>
      </w:r>
      <w:r>
        <w:rPr>
          <w:rFonts w:hint="eastAsia" w:ascii="宋体" w:hAnsi="宋体"/>
          <w:b/>
          <w:color w:val="000000"/>
          <w:szCs w:val="21"/>
        </w:rPr>
        <w:t>、</w:t>
      </w:r>
      <w:r>
        <w:rPr>
          <w:rFonts w:hint="eastAsia" w:ascii="宋体" w:hAnsi="宋体"/>
          <w:b/>
          <w:color w:val="000000"/>
          <w:szCs w:val="21"/>
          <w:lang w:val="en-US" w:eastAsia="zh-CN"/>
        </w:rPr>
        <w:t>服务能力</w:t>
      </w:r>
      <w:r>
        <w:rPr>
          <w:rFonts w:hint="eastAsia" w:ascii="宋体" w:hAnsi="宋体"/>
          <w:b/>
          <w:color w:val="000000"/>
          <w:szCs w:val="21"/>
        </w:rPr>
        <w:t>、</w:t>
      </w:r>
      <w:r>
        <w:rPr>
          <w:rFonts w:hint="eastAsia" w:ascii="宋体" w:hAnsi="宋体"/>
          <w:b/>
          <w:color w:val="000000"/>
          <w:szCs w:val="21"/>
          <w:lang w:val="en-US" w:eastAsia="zh-CN"/>
        </w:rPr>
        <w:t>综合实力</w:t>
      </w:r>
      <w:r>
        <w:rPr>
          <w:rFonts w:hint="eastAsia" w:ascii="宋体" w:hAnsi="宋体"/>
          <w:b/>
          <w:color w:val="000000"/>
          <w:szCs w:val="21"/>
        </w:rPr>
        <w:t>、</w:t>
      </w:r>
      <w:r>
        <w:rPr>
          <w:rFonts w:hint="eastAsia" w:ascii="宋体" w:hAnsi="宋体"/>
          <w:b/>
          <w:color w:val="000000"/>
          <w:szCs w:val="21"/>
          <w:lang w:val="en-US" w:eastAsia="zh-CN"/>
        </w:rPr>
        <w:t>其他</w:t>
      </w:r>
      <w:r>
        <w:rPr>
          <w:rFonts w:hint="eastAsia" w:ascii="宋体" w:hAnsi="宋体"/>
          <w:b/>
          <w:color w:val="000000"/>
          <w:szCs w:val="21"/>
        </w:rPr>
        <w:t>。</w:t>
      </w:r>
    </w:p>
    <w:p>
      <w:pPr>
        <w:pStyle w:val="10"/>
        <w:rPr>
          <w:rFonts w:hint="eastAsia" w:ascii="宋体" w:hAnsi="宋体"/>
          <w:b/>
          <w:color w:val="000000"/>
          <w:szCs w:val="21"/>
        </w:rPr>
      </w:pPr>
    </w:p>
    <w:p>
      <w:pPr>
        <w:pStyle w:val="10"/>
        <w:rPr>
          <w:rFonts w:hint="eastAsia" w:ascii="宋体" w:hAnsi="宋体"/>
          <w:b/>
          <w:color w:val="000000"/>
          <w:szCs w:val="21"/>
        </w:rPr>
      </w:pPr>
    </w:p>
    <w:p>
      <w:pPr>
        <w:pStyle w:val="10"/>
        <w:rPr>
          <w:rFonts w:hint="eastAsia" w:ascii="宋体" w:hAnsi="宋体"/>
          <w:b/>
          <w:color w:val="000000"/>
          <w:szCs w:val="21"/>
        </w:rPr>
      </w:pPr>
    </w:p>
    <w:p>
      <w:pPr>
        <w:ind w:firstLine="422" w:firstLineChars="200"/>
        <w:rPr>
          <w:rFonts w:hint="eastAsia" w:ascii="宋体" w:hAnsi="宋体"/>
          <w:b/>
          <w:color w:val="000000"/>
          <w:kern w:val="0"/>
        </w:rPr>
      </w:pPr>
      <w:r>
        <w:rPr>
          <w:rFonts w:hint="eastAsia" w:ascii="宋体" w:hAnsi="宋体"/>
          <w:b/>
          <w:color w:val="000000"/>
          <w:kern w:val="0"/>
        </w:rPr>
        <w:t>22.4评分标准</w:t>
      </w:r>
    </w:p>
    <w:tbl>
      <w:tblPr>
        <w:tblStyle w:val="30"/>
        <w:tblW w:w="50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419"/>
        <w:gridCol w:w="6829"/>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blHeader/>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cs="宋体"/>
                <w:b/>
                <w:color w:val="000000"/>
                <w:kern w:val="0"/>
                <w:szCs w:val="21"/>
              </w:rPr>
            </w:pPr>
            <w:r>
              <w:rPr>
                <w:rFonts w:hint="eastAsia" w:cs="宋体"/>
                <w:b/>
                <w:color w:val="000000"/>
                <w:kern w:val="0"/>
                <w:szCs w:val="21"/>
              </w:rPr>
              <w:t>序号</w:t>
            </w:r>
          </w:p>
        </w:tc>
        <w:tc>
          <w:tcPr>
            <w:tcW w:w="725"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cs="宋体"/>
                <w:b/>
                <w:color w:val="000000"/>
                <w:kern w:val="0"/>
                <w:szCs w:val="21"/>
              </w:rPr>
            </w:pPr>
            <w:r>
              <w:rPr>
                <w:rFonts w:hint="eastAsia" w:cs="宋体"/>
                <w:b/>
                <w:color w:val="000000"/>
                <w:kern w:val="0"/>
                <w:szCs w:val="21"/>
              </w:rPr>
              <w:t>评分因素</w:t>
            </w:r>
          </w:p>
        </w:tc>
        <w:tc>
          <w:tcPr>
            <w:tcW w:w="348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cs="宋体"/>
                <w:b/>
                <w:color w:val="000000"/>
                <w:kern w:val="0"/>
                <w:szCs w:val="21"/>
              </w:rPr>
            </w:pPr>
            <w:r>
              <w:rPr>
                <w:rFonts w:hint="eastAsia" w:cs="宋体"/>
                <w:b/>
                <w:color w:val="000000"/>
                <w:kern w:val="0"/>
                <w:szCs w:val="21"/>
              </w:rPr>
              <w:t>评审标准</w:t>
            </w:r>
          </w:p>
        </w:tc>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exact"/>
              <w:jc w:val="center"/>
              <w:rPr>
                <w:rFonts w:cs="宋体"/>
                <w:b/>
                <w:color w:val="000000"/>
                <w:kern w:val="0"/>
                <w:szCs w:val="21"/>
              </w:rPr>
            </w:pPr>
            <w:r>
              <w:rPr>
                <w:rFonts w:hint="eastAsia" w:cs="宋体"/>
                <w:b/>
                <w:color w:val="000000"/>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s="宋体"/>
                <w:b/>
                <w:color w:val="000000"/>
                <w:kern w:val="0"/>
                <w:szCs w:val="21"/>
                <w:lang w:eastAsia="zh-CN"/>
              </w:rPr>
            </w:pPr>
            <w:bookmarkStart w:id="34" w:name="_Hlk371345930"/>
            <w:r>
              <w:rPr>
                <w:rFonts w:hint="eastAsia"/>
                <w:lang w:val="en-US" w:eastAsia="zh-CN"/>
              </w:rPr>
              <w:t>1</w:t>
            </w:r>
          </w:p>
        </w:tc>
        <w:tc>
          <w:tcPr>
            <w:tcW w:w="725" w:type="pct"/>
            <w:tcBorders>
              <w:top w:val="single" w:color="auto" w:sz="4" w:space="0"/>
              <w:left w:val="single" w:color="auto" w:sz="4" w:space="0"/>
              <w:bottom w:val="single" w:color="auto" w:sz="4" w:space="0"/>
              <w:right w:val="single" w:color="auto" w:sz="4" w:space="0"/>
            </w:tcBorders>
            <w:noWrap w:val="0"/>
            <w:vAlign w:val="center"/>
          </w:tcPr>
          <w:p>
            <w:pPr>
              <w:jc w:val="center"/>
              <w:rPr>
                <w:rFonts w:cs="宋体"/>
                <w:b/>
                <w:color w:val="000000"/>
                <w:kern w:val="0"/>
                <w:szCs w:val="21"/>
              </w:rPr>
            </w:pPr>
            <w:r>
              <w:rPr>
                <w:rFonts w:hint="eastAsia"/>
              </w:rPr>
              <w:t>价格</w:t>
            </w:r>
            <w:r>
              <w:rPr>
                <w:rFonts w:hint="eastAsia"/>
                <w:lang w:val="en-US" w:eastAsia="zh-CN"/>
              </w:rPr>
              <w:t xml:space="preserve">      （</w:t>
            </w:r>
            <w:r>
              <w:rPr>
                <w:rFonts w:hint="eastAsia"/>
              </w:rPr>
              <w:t>1</w:t>
            </w:r>
            <w:r>
              <w:rPr>
                <w:rFonts w:hint="eastAsia"/>
                <w:lang w:val="en-US" w:eastAsia="zh-CN"/>
              </w:rPr>
              <w:t>4</w:t>
            </w:r>
            <w:r>
              <w:rPr>
                <w:rFonts w:hint="eastAsia"/>
              </w:rPr>
              <w:t>分）</w:t>
            </w:r>
          </w:p>
        </w:tc>
        <w:tc>
          <w:tcPr>
            <w:tcW w:w="3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cs="宋体"/>
                <w:color w:val="000000"/>
                <w:kern w:val="0"/>
                <w:szCs w:val="21"/>
              </w:rPr>
            </w:pPr>
            <w:r>
              <w:rPr>
                <w:rFonts w:hint="eastAsia"/>
              </w:rPr>
              <w:t>日常养护的报价：采用低价优先法计算，即满足招标文件要求且投标价格最低的投标报价为评标基准价，其价格分为满分。其他投标人的价格分按照下列公式计算：投标报价得分=(评标基准价／投标报价)×1</w:t>
            </w:r>
            <w:r>
              <w:rPr>
                <w:rFonts w:hint="eastAsia"/>
                <w:lang w:val="en-US" w:eastAsia="zh-CN"/>
              </w:rPr>
              <w:t>4</w:t>
            </w:r>
            <w:r>
              <w:rPr>
                <w:rFonts w:hint="eastAsia"/>
              </w:rPr>
              <w:t>（小数点后保留</w:t>
            </w:r>
            <w:r>
              <w:rPr>
                <w:rFonts w:hint="eastAsia"/>
                <w:lang w:val="en-US" w:eastAsia="zh-CN"/>
              </w:rPr>
              <w:t>二</w:t>
            </w:r>
            <w:r>
              <w:rPr>
                <w:rFonts w:hint="eastAsia"/>
              </w:rPr>
              <w:t>位）</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cs="宋体"/>
                <w:color w:val="000000"/>
                <w:kern w:val="0"/>
                <w:szCs w:val="21"/>
                <w:lang w:val="en-US"/>
              </w:rPr>
            </w:pPr>
            <w:r>
              <w:rPr>
                <w:rFonts w:hint="eastAsia"/>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330" w:type="pct"/>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280" w:lineRule="exact"/>
              <w:jc w:val="center"/>
              <w:rPr>
                <w:rFonts w:hint="eastAsia" w:eastAsia="宋体" w:cs="宋体"/>
                <w:b/>
                <w:color w:val="000000"/>
                <w:kern w:val="0"/>
                <w:szCs w:val="21"/>
                <w:lang w:val="en-US" w:eastAsia="zh-CN"/>
              </w:rPr>
            </w:pPr>
            <w:r>
              <w:rPr>
                <w:rFonts w:hint="eastAsia" w:cs="宋体"/>
                <w:b/>
                <w:color w:val="000000"/>
                <w:kern w:val="0"/>
                <w:szCs w:val="21"/>
                <w:lang w:val="en-US" w:eastAsia="zh-CN"/>
              </w:rPr>
              <w:t>2</w:t>
            </w:r>
          </w:p>
        </w:tc>
        <w:tc>
          <w:tcPr>
            <w:tcW w:w="725" w:type="pct"/>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280" w:lineRule="exact"/>
              <w:jc w:val="center"/>
              <w:rPr>
                <w:rFonts w:cs="宋体"/>
                <w:color w:val="000000"/>
                <w:kern w:val="0"/>
                <w:szCs w:val="21"/>
              </w:rPr>
            </w:pPr>
            <w:r>
              <w:rPr>
                <w:rFonts w:hint="eastAsia"/>
              </w:rPr>
              <w:t>技术方案</w:t>
            </w:r>
            <w:r>
              <w:rPr>
                <w:rFonts w:hint="eastAsia"/>
                <w:lang w:val="en-US" w:eastAsia="zh-CN"/>
              </w:rPr>
              <w:t xml:space="preserve">    </w:t>
            </w:r>
            <w:r>
              <w:rPr>
                <w:rFonts w:hint="eastAsia"/>
              </w:rPr>
              <w:t>（</w:t>
            </w:r>
            <w:r>
              <w:rPr>
                <w:rFonts w:hint="eastAsia"/>
                <w:lang w:val="en-US" w:eastAsia="zh-CN"/>
              </w:rPr>
              <w:t>42</w:t>
            </w:r>
            <w:r>
              <w:rPr>
                <w:rFonts w:hint="eastAsia"/>
              </w:rPr>
              <w:t>分）</w:t>
            </w:r>
          </w:p>
        </w:tc>
        <w:tc>
          <w:tcPr>
            <w:tcW w:w="3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kern w:val="2"/>
                <w:sz w:val="21"/>
                <w:vertAlign w:val="baseline"/>
                <w:lang w:val="en-US" w:eastAsia="zh-CN" w:bidi="ar-SA"/>
              </w:rPr>
            </w:pPr>
            <w:r>
              <w:rPr>
                <w:rFonts w:hint="eastAsia"/>
              </w:rPr>
              <w:t>针对本项目泵站、溢流坝的设施、设备完好状况和管养重点提供有针对性的日常值守、巡查方案。评委根据投标人提供的方案综合评比，方案针对性强得10分，较强得</w:t>
            </w:r>
            <w:r>
              <w:rPr>
                <w:rFonts w:hint="eastAsia"/>
                <w:lang w:val="en-US" w:eastAsia="zh-CN"/>
              </w:rPr>
              <w:t>7</w:t>
            </w:r>
            <w:r>
              <w:rPr>
                <w:rFonts w:hint="eastAsia"/>
              </w:rPr>
              <w:t>分，针对性一般得</w:t>
            </w:r>
            <w:r>
              <w:rPr>
                <w:rFonts w:hint="eastAsia"/>
                <w:lang w:val="en-US" w:eastAsia="zh-CN"/>
              </w:rPr>
              <w:t>4</w:t>
            </w:r>
            <w:r>
              <w:rPr>
                <w:rFonts w:hint="eastAsia"/>
              </w:rPr>
              <w:t>分，没有方案不得分。</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2"/>
                <w:sz w:val="21"/>
                <w:vertAlign w:val="baseline"/>
                <w:lang w:val="en-US" w:eastAsia="zh-CN" w:bidi="ar-SA"/>
              </w:rPr>
            </w:pPr>
            <w:r>
              <w:rPr>
                <w:rFonts w:hint="eastAsia"/>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330" w:type="pct"/>
            <w:vMerge w:val="continue"/>
            <w:tcBorders>
              <w:left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vMerge w:val="continue"/>
            <w:tcBorders>
              <w:left w:val="single" w:color="auto" w:sz="4" w:space="0"/>
              <w:right w:val="single" w:color="auto" w:sz="4" w:space="0"/>
            </w:tcBorders>
            <w:noWrap w:val="0"/>
            <w:vAlign w:val="center"/>
          </w:tcPr>
          <w:p>
            <w:pPr>
              <w:widowControl/>
              <w:spacing w:line="280" w:lineRule="exact"/>
              <w:jc w:val="left"/>
              <w:rPr>
                <w:rFonts w:cs="宋体"/>
                <w:color w:val="000000"/>
                <w:kern w:val="0"/>
                <w:szCs w:val="21"/>
              </w:rPr>
            </w:pPr>
          </w:p>
        </w:tc>
        <w:tc>
          <w:tcPr>
            <w:tcW w:w="3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kern w:val="2"/>
                <w:sz w:val="21"/>
                <w:vertAlign w:val="baseline"/>
                <w:lang w:val="en-US" w:eastAsia="zh-CN" w:bidi="ar-SA"/>
              </w:rPr>
            </w:pPr>
            <w:r>
              <w:rPr>
                <w:rFonts w:hint="eastAsia"/>
              </w:rPr>
              <w:t>针对本项目泵站、溢流坝的设施、设备完好状况和管养重点提供有针对性的日常管养方案。评委根据投标人提供的方案综合评比，方案针对性强得10分，较强得</w:t>
            </w:r>
            <w:r>
              <w:rPr>
                <w:rFonts w:hint="eastAsia"/>
                <w:lang w:val="en-US" w:eastAsia="zh-CN"/>
              </w:rPr>
              <w:t>7</w:t>
            </w:r>
            <w:r>
              <w:rPr>
                <w:rFonts w:hint="eastAsia"/>
              </w:rPr>
              <w:t>分，针对性一般得</w:t>
            </w:r>
            <w:r>
              <w:rPr>
                <w:rFonts w:hint="eastAsia"/>
                <w:lang w:val="en-US" w:eastAsia="zh-CN"/>
              </w:rPr>
              <w:t>4</w:t>
            </w:r>
            <w:r>
              <w:rPr>
                <w:rFonts w:hint="eastAsia"/>
              </w:rPr>
              <w:t>分，没有方案不得分。</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2"/>
                <w:sz w:val="21"/>
                <w:vertAlign w:val="baseline"/>
                <w:lang w:val="en-US" w:eastAsia="zh-CN" w:bidi="ar-SA"/>
              </w:rPr>
            </w:pPr>
            <w:r>
              <w:rPr>
                <w:rFonts w:hint="eastAsia"/>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330" w:type="pct"/>
            <w:vMerge w:val="continue"/>
            <w:tcBorders>
              <w:left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vMerge w:val="continue"/>
            <w:tcBorders>
              <w:left w:val="single" w:color="auto" w:sz="4" w:space="0"/>
              <w:right w:val="single" w:color="auto" w:sz="4" w:space="0"/>
            </w:tcBorders>
            <w:noWrap w:val="0"/>
            <w:vAlign w:val="center"/>
          </w:tcPr>
          <w:p>
            <w:pPr>
              <w:widowControl/>
              <w:spacing w:line="280" w:lineRule="exact"/>
              <w:jc w:val="left"/>
              <w:rPr>
                <w:rFonts w:cs="宋体"/>
                <w:b/>
                <w:color w:val="000000"/>
                <w:kern w:val="0"/>
                <w:szCs w:val="21"/>
              </w:rPr>
            </w:pPr>
          </w:p>
        </w:tc>
        <w:tc>
          <w:tcPr>
            <w:tcW w:w="3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kern w:val="2"/>
                <w:sz w:val="21"/>
                <w:vertAlign w:val="baseline"/>
                <w:lang w:val="en-US" w:eastAsia="zh-CN" w:bidi="ar-SA"/>
              </w:rPr>
            </w:pPr>
            <w:r>
              <w:rPr>
                <w:rFonts w:hint="eastAsia"/>
              </w:rPr>
              <w:t>针对本项目泵站、溢流坝的设施、设备完好状况和管养重点提供有针对性的汛期应急方案。评委根据投标人提供的方案综合评比，方案针对性强得10分，较强得</w:t>
            </w:r>
            <w:r>
              <w:rPr>
                <w:rFonts w:hint="eastAsia"/>
                <w:lang w:val="en-US" w:eastAsia="zh-CN"/>
              </w:rPr>
              <w:t>7</w:t>
            </w:r>
            <w:r>
              <w:rPr>
                <w:rFonts w:hint="eastAsia"/>
              </w:rPr>
              <w:t>分，针对性一般得</w:t>
            </w:r>
            <w:r>
              <w:rPr>
                <w:rFonts w:hint="eastAsia"/>
                <w:lang w:val="en-US" w:eastAsia="zh-CN"/>
              </w:rPr>
              <w:t>4</w:t>
            </w:r>
            <w:r>
              <w:rPr>
                <w:rFonts w:hint="eastAsia"/>
              </w:rPr>
              <w:t>分，没有方案不得分。</w:t>
            </w:r>
          </w:p>
        </w:tc>
        <w:tc>
          <w:tcPr>
            <w:tcW w:w="455" w:type="pct"/>
            <w:tcBorders>
              <w:top w:val="single" w:color="auto" w:sz="4" w:space="0"/>
              <w:left w:val="single" w:color="auto" w:sz="4" w:space="0"/>
              <w:right w:val="single" w:color="auto" w:sz="4" w:space="0"/>
            </w:tcBorders>
            <w:noWrap w:val="0"/>
            <w:vAlign w:val="center"/>
          </w:tcPr>
          <w:p>
            <w:pPr>
              <w:jc w:val="center"/>
              <w:rPr>
                <w:rFonts w:hint="default" w:eastAsia="宋体"/>
                <w:kern w:val="2"/>
                <w:sz w:val="21"/>
                <w:vertAlign w:val="baseline"/>
                <w:lang w:val="en-US" w:eastAsia="zh-CN" w:bidi="ar-SA"/>
              </w:rPr>
            </w:pPr>
            <w:r>
              <w:rPr>
                <w:rFonts w:hint="eastAsia"/>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330" w:type="pct"/>
            <w:vMerge w:val="continue"/>
            <w:tcBorders>
              <w:left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vMerge w:val="continue"/>
            <w:tcBorders>
              <w:left w:val="single" w:color="auto" w:sz="4" w:space="0"/>
              <w:right w:val="single" w:color="auto" w:sz="4" w:space="0"/>
            </w:tcBorders>
            <w:noWrap w:val="0"/>
            <w:vAlign w:val="center"/>
          </w:tcPr>
          <w:p>
            <w:pPr>
              <w:widowControl/>
              <w:spacing w:line="280" w:lineRule="exact"/>
              <w:jc w:val="left"/>
              <w:rPr>
                <w:rFonts w:cs="宋体"/>
                <w:b/>
                <w:color w:val="000000"/>
                <w:kern w:val="0"/>
                <w:szCs w:val="21"/>
              </w:rPr>
            </w:pPr>
          </w:p>
        </w:tc>
        <w:tc>
          <w:tcPr>
            <w:tcW w:w="3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kern w:val="2"/>
                <w:sz w:val="21"/>
                <w:vertAlign w:val="baseline"/>
                <w:lang w:val="en-US" w:eastAsia="zh-CN" w:bidi="ar-SA"/>
              </w:rPr>
            </w:pPr>
            <w:r>
              <w:rPr>
                <w:rFonts w:hint="eastAsia"/>
              </w:rPr>
              <w:t>项目负责人答辩：由评委根据项目需求、重点难点、组织实施等方面提问，投标人针对本项目拟委派的项目负责人进行答辩。答辩思路清晰、重点突出者得</w:t>
            </w:r>
            <w:r>
              <w:rPr>
                <w:rFonts w:hint="eastAsia"/>
                <w:lang w:val="en-US" w:eastAsia="zh-CN"/>
              </w:rPr>
              <w:t>12</w:t>
            </w:r>
            <w:r>
              <w:rPr>
                <w:rFonts w:hint="eastAsia"/>
              </w:rPr>
              <w:t>分，思路</w:t>
            </w:r>
            <w:r>
              <w:rPr>
                <w:rFonts w:hint="eastAsia"/>
                <w:lang w:val="en-US" w:eastAsia="zh-CN"/>
              </w:rPr>
              <w:t>较为</w:t>
            </w:r>
            <w:r>
              <w:rPr>
                <w:rFonts w:hint="eastAsia"/>
              </w:rPr>
              <w:t>清晰、重点</w:t>
            </w:r>
            <w:r>
              <w:rPr>
                <w:rFonts w:hint="eastAsia"/>
                <w:lang w:val="en-US" w:eastAsia="zh-CN"/>
              </w:rPr>
              <w:t>较</w:t>
            </w:r>
            <w:r>
              <w:rPr>
                <w:rFonts w:hint="eastAsia"/>
              </w:rPr>
              <w:t>突出者得</w:t>
            </w:r>
            <w:r>
              <w:rPr>
                <w:rFonts w:hint="eastAsia"/>
                <w:lang w:val="en-US" w:eastAsia="zh-CN"/>
              </w:rPr>
              <w:t>8分</w:t>
            </w:r>
            <w:r>
              <w:rPr>
                <w:rFonts w:hint="eastAsia"/>
              </w:rPr>
              <w:t>；思路</w:t>
            </w:r>
            <w:r>
              <w:rPr>
                <w:rFonts w:hint="eastAsia"/>
                <w:lang w:val="en-US" w:eastAsia="zh-CN"/>
              </w:rPr>
              <w:t>基本</w:t>
            </w:r>
            <w:r>
              <w:rPr>
                <w:rFonts w:hint="eastAsia"/>
              </w:rPr>
              <w:t>清晰、重点</w:t>
            </w:r>
            <w:r>
              <w:rPr>
                <w:rFonts w:hint="eastAsia"/>
                <w:lang w:val="en-US" w:eastAsia="zh-CN"/>
              </w:rPr>
              <w:t>基本</w:t>
            </w:r>
            <w:r>
              <w:rPr>
                <w:rFonts w:hint="eastAsia"/>
              </w:rPr>
              <w:t>突出者得</w:t>
            </w:r>
            <w:r>
              <w:rPr>
                <w:rFonts w:hint="eastAsia"/>
                <w:lang w:val="en-US" w:eastAsia="zh-CN"/>
              </w:rPr>
              <w:t>4分</w:t>
            </w:r>
            <w:r>
              <w:rPr>
                <w:rFonts w:hint="eastAsia"/>
              </w:rPr>
              <w:t>；未委派项目负责人答辩或答辩时项目负责人未提供身份证原件者，视为弃权，得0分。</w:t>
            </w:r>
          </w:p>
        </w:tc>
        <w:tc>
          <w:tcPr>
            <w:tcW w:w="455" w:type="pct"/>
            <w:tcBorders>
              <w:left w:val="single" w:color="auto" w:sz="4" w:space="0"/>
              <w:right w:val="single" w:color="auto" w:sz="4" w:space="0"/>
            </w:tcBorders>
            <w:noWrap w:val="0"/>
            <w:vAlign w:val="center"/>
          </w:tcPr>
          <w:p>
            <w:pPr>
              <w:jc w:val="center"/>
              <w:rPr>
                <w:rFonts w:hint="default" w:eastAsia="宋体"/>
                <w:kern w:val="2"/>
                <w:sz w:val="21"/>
                <w:vertAlign w:val="baseline"/>
                <w:lang w:val="en-US" w:eastAsia="zh-CN" w:bidi="ar-SA"/>
              </w:rPr>
            </w:pPr>
            <w:r>
              <w:rPr>
                <w:rFonts w:hint="eastAsia"/>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30" w:type="pct"/>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280" w:lineRule="exact"/>
              <w:jc w:val="center"/>
              <w:rPr>
                <w:rFonts w:hint="eastAsia" w:eastAsia="宋体" w:cs="宋体"/>
                <w:b/>
                <w:color w:val="000000"/>
                <w:kern w:val="0"/>
                <w:szCs w:val="21"/>
                <w:lang w:val="en-US" w:eastAsia="zh-CN"/>
              </w:rPr>
            </w:pPr>
            <w:r>
              <w:rPr>
                <w:rFonts w:hint="eastAsia" w:cs="宋体"/>
                <w:b/>
                <w:color w:val="000000"/>
                <w:kern w:val="0"/>
                <w:szCs w:val="21"/>
                <w:lang w:val="en-US" w:eastAsia="zh-CN"/>
              </w:rPr>
              <w:t>3</w:t>
            </w:r>
          </w:p>
        </w:tc>
        <w:tc>
          <w:tcPr>
            <w:tcW w:w="725" w:type="pct"/>
            <w:vMerge w:val="restart"/>
            <w:tcBorders>
              <w:top w:val="single" w:color="auto" w:sz="4" w:space="0"/>
              <w:left w:val="single" w:color="auto" w:sz="4" w:space="0"/>
              <w:right w:val="single" w:color="auto" w:sz="4" w:space="0"/>
            </w:tcBorders>
            <w:noWrap w:val="0"/>
            <w:vAlign w:val="center"/>
          </w:tcPr>
          <w:p>
            <w:pPr>
              <w:widowControl/>
              <w:spacing w:line="280" w:lineRule="exact"/>
              <w:jc w:val="left"/>
              <w:rPr>
                <w:rFonts w:cs="宋体"/>
                <w:b/>
                <w:color w:val="000000"/>
                <w:kern w:val="0"/>
                <w:szCs w:val="21"/>
              </w:rPr>
            </w:pPr>
            <w:r>
              <w:rPr>
                <w:rFonts w:hint="eastAsia"/>
              </w:rPr>
              <w:t>服务能力（</w:t>
            </w:r>
            <w:r>
              <w:rPr>
                <w:rFonts w:hint="eastAsia"/>
                <w:lang w:val="en-US" w:eastAsia="zh-CN"/>
              </w:rPr>
              <w:t>27</w:t>
            </w:r>
            <w:r>
              <w:rPr>
                <w:rFonts w:hint="eastAsia"/>
              </w:rPr>
              <w:t>分）</w:t>
            </w:r>
          </w:p>
        </w:tc>
        <w:tc>
          <w:tcPr>
            <w:tcW w:w="3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kern w:val="2"/>
                <w:sz w:val="21"/>
                <w:vertAlign w:val="baseline"/>
                <w:lang w:val="en-US" w:eastAsia="zh-CN" w:bidi="ar-SA"/>
              </w:rPr>
            </w:pPr>
            <w:r>
              <w:rPr>
                <w:rFonts w:hint="eastAsia"/>
              </w:rPr>
              <w:t>评委根据各投标文件的质量保证及服务承诺评比，是否具备完善可靠的服务体系，在响应时间、技术人员以及服务车辆等方面作出的承诺情况，</w:t>
            </w:r>
            <w:r>
              <w:rPr>
                <w:rFonts w:hint="eastAsia"/>
                <w:lang w:val="en-US" w:eastAsia="zh-CN"/>
              </w:rPr>
              <w:t>服务体系完善可靠</w:t>
            </w:r>
            <w:r>
              <w:rPr>
                <w:rFonts w:hint="eastAsia"/>
              </w:rPr>
              <w:t>得</w:t>
            </w:r>
            <w:r>
              <w:rPr>
                <w:rFonts w:hint="eastAsia"/>
                <w:lang w:val="en-US" w:eastAsia="zh-CN"/>
              </w:rPr>
              <w:t>10</w:t>
            </w:r>
            <w:r>
              <w:rPr>
                <w:rFonts w:hint="eastAsia"/>
              </w:rPr>
              <w:t>分，</w:t>
            </w:r>
            <w:r>
              <w:rPr>
                <w:rFonts w:hint="eastAsia"/>
                <w:lang w:val="en-US" w:eastAsia="zh-CN"/>
              </w:rPr>
              <w:t>较为完善可靠</w:t>
            </w:r>
            <w:r>
              <w:rPr>
                <w:rFonts w:hint="eastAsia"/>
              </w:rPr>
              <w:t>得</w:t>
            </w:r>
            <w:r>
              <w:rPr>
                <w:rFonts w:hint="eastAsia"/>
                <w:lang w:val="en-US" w:eastAsia="zh-CN"/>
              </w:rPr>
              <w:t>7</w:t>
            </w:r>
            <w:r>
              <w:rPr>
                <w:rFonts w:hint="eastAsia"/>
              </w:rPr>
              <w:t>分，</w:t>
            </w:r>
            <w:r>
              <w:rPr>
                <w:rFonts w:hint="eastAsia"/>
                <w:lang w:val="en-US" w:eastAsia="zh-CN"/>
              </w:rPr>
              <w:t>体系漏洞较得4</w:t>
            </w:r>
            <w:r>
              <w:rPr>
                <w:rFonts w:hint="eastAsia"/>
              </w:rPr>
              <w:t>分</w:t>
            </w:r>
            <w:r>
              <w:rPr>
                <w:rFonts w:hint="eastAsia"/>
                <w:lang w:eastAsia="zh-CN"/>
              </w:rPr>
              <w:t>，没有不得分</w:t>
            </w:r>
            <w:r>
              <w:rPr>
                <w:rFonts w:hint="eastAsia"/>
              </w:rPr>
              <w:t>。</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2"/>
                <w:sz w:val="21"/>
                <w:vertAlign w:val="baseline"/>
                <w:lang w:val="en-US" w:eastAsia="zh-CN" w:bidi="ar-SA"/>
              </w:rPr>
            </w:pPr>
            <w:r>
              <w:rPr>
                <w:rFonts w:hint="eastAsia"/>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30" w:type="pct"/>
            <w:vMerge w:val="continue"/>
            <w:tcBorders>
              <w:left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vMerge w:val="continue"/>
            <w:tcBorders>
              <w:left w:val="single" w:color="auto" w:sz="4" w:space="0"/>
              <w:right w:val="single" w:color="auto" w:sz="4" w:space="0"/>
            </w:tcBorders>
            <w:noWrap w:val="0"/>
            <w:vAlign w:val="center"/>
          </w:tcPr>
          <w:p>
            <w:pPr>
              <w:widowControl/>
              <w:spacing w:line="280" w:lineRule="exact"/>
              <w:jc w:val="left"/>
              <w:rPr>
                <w:rFonts w:cs="宋体"/>
                <w:b/>
                <w:color w:val="000000"/>
                <w:kern w:val="0"/>
                <w:szCs w:val="21"/>
              </w:rPr>
            </w:pPr>
          </w:p>
        </w:tc>
        <w:tc>
          <w:tcPr>
            <w:tcW w:w="3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kern w:val="2"/>
                <w:sz w:val="21"/>
                <w:vertAlign w:val="baseline"/>
                <w:lang w:val="en-US" w:eastAsia="zh-CN" w:bidi="ar-SA"/>
              </w:rPr>
            </w:pPr>
            <w:r>
              <w:rPr>
                <w:rFonts w:hint="eastAsia"/>
              </w:rPr>
              <w:t>项目负责人：具有机电工程专业二级及以上注册建造师资格的并有建筑施工企业安全生产管理B类证，同时具备得</w:t>
            </w:r>
            <w:r>
              <w:rPr>
                <w:rFonts w:hint="eastAsia"/>
                <w:lang w:val="en-US" w:eastAsia="zh-CN"/>
              </w:rPr>
              <w:t>2</w:t>
            </w:r>
            <w:r>
              <w:rPr>
                <w:rFonts w:hint="eastAsia"/>
              </w:rPr>
              <w:t>分，缺项均不得分。（提供证书复印件加盖公章，原件备查；提供投标人为其缴纳的</w:t>
            </w:r>
            <w:r>
              <w:rPr>
                <w:rFonts w:hint="eastAsia"/>
                <w:lang w:eastAsia="zh-CN"/>
              </w:rPr>
              <w:t>半</w:t>
            </w:r>
            <w:r>
              <w:rPr>
                <w:rFonts w:hint="eastAsia"/>
              </w:rPr>
              <w:t>年的社保证明材料复印件加盖公章）</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2"/>
                <w:sz w:val="21"/>
                <w:vertAlign w:val="baseline"/>
                <w:lang w:val="en-US" w:eastAsia="zh-CN" w:bidi="ar-SA"/>
              </w:rPr>
            </w:pPr>
            <w:r>
              <w:rPr>
                <w:rFonts w:hint="eastAsia"/>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30" w:type="pct"/>
            <w:vMerge w:val="continue"/>
            <w:tcBorders>
              <w:left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vMerge w:val="continue"/>
            <w:tcBorders>
              <w:left w:val="single" w:color="auto" w:sz="4" w:space="0"/>
              <w:right w:val="single" w:color="auto" w:sz="4" w:space="0"/>
            </w:tcBorders>
            <w:noWrap w:val="0"/>
            <w:vAlign w:val="center"/>
          </w:tcPr>
          <w:p>
            <w:pPr>
              <w:widowControl/>
              <w:spacing w:line="280" w:lineRule="exact"/>
              <w:jc w:val="left"/>
              <w:rPr>
                <w:rFonts w:cs="宋体"/>
                <w:b/>
                <w:color w:val="000000"/>
                <w:kern w:val="0"/>
                <w:szCs w:val="21"/>
              </w:rPr>
            </w:pPr>
          </w:p>
        </w:tc>
        <w:tc>
          <w:tcPr>
            <w:tcW w:w="3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eastAsia="宋体"/>
                <w:kern w:val="2"/>
                <w:sz w:val="21"/>
                <w:lang w:val="en-US" w:eastAsia="zh-CN" w:bidi="ar-SA"/>
              </w:rPr>
            </w:pPr>
            <w:r>
              <w:rPr>
                <w:rFonts w:hint="eastAsia"/>
                <w:lang w:val="en-US" w:eastAsia="zh-CN"/>
              </w:rPr>
              <w:t>项目负责人：除具有</w:t>
            </w:r>
            <w:r>
              <w:rPr>
                <w:rFonts w:hint="eastAsia"/>
              </w:rPr>
              <w:t>机电工程专业二级及以上注册建造师资格</w:t>
            </w:r>
            <w:r>
              <w:rPr>
                <w:rFonts w:hint="eastAsia"/>
                <w:lang w:val="en-US" w:eastAsia="zh-CN"/>
              </w:rPr>
              <w:t>和</w:t>
            </w:r>
            <w:r>
              <w:rPr>
                <w:rFonts w:hint="eastAsia"/>
              </w:rPr>
              <w:t>建筑施工企业安全生产管理B类证</w:t>
            </w:r>
            <w:r>
              <w:rPr>
                <w:rFonts w:hint="eastAsia"/>
                <w:lang w:val="en-US" w:eastAsia="zh-CN"/>
              </w:rPr>
              <w:t>外，同时备具有工程师证书得2分。</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kern w:val="2"/>
                <w:sz w:val="21"/>
                <w:vertAlign w:val="baseline"/>
                <w:lang w:val="en-US" w:eastAsia="zh-CN" w:bidi="ar-SA"/>
              </w:rPr>
            </w:pPr>
            <w:r>
              <w:rPr>
                <w:rFonts w:hint="eastAsia"/>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30" w:type="pct"/>
            <w:vMerge w:val="continue"/>
            <w:tcBorders>
              <w:left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vMerge w:val="continue"/>
            <w:tcBorders>
              <w:left w:val="single" w:color="auto" w:sz="4" w:space="0"/>
              <w:right w:val="single" w:color="auto" w:sz="4" w:space="0"/>
            </w:tcBorders>
            <w:noWrap w:val="0"/>
            <w:vAlign w:val="center"/>
          </w:tcPr>
          <w:p>
            <w:pPr>
              <w:widowControl/>
              <w:spacing w:line="280" w:lineRule="exact"/>
              <w:jc w:val="left"/>
              <w:rPr>
                <w:rFonts w:cs="宋体"/>
                <w:b/>
                <w:color w:val="000000"/>
                <w:kern w:val="0"/>
                <w:szCs w:val="21"/>
              </w:rPr>
            </w:pPr>
          </w:p>
        </w:tc>
        <w:tc>
          <w:tcPr>
            <w:tcW w:w="3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kern w:val="2"/>
                <w:sz w:val="21"/>
                <w:vertAlign w:val="baseline"/>
                <w:lang w:val="en-US" w:eastAsia="zh-CN" w:bidi="ar-SA"/>
              </w:rPr>
            </w:pPr>
            <w:r>
              <w:rPr>
                <w:rFonts w:hint="eastAsia"/>
              </w:rPr>
              <w:t>项目组成员中具有高压电工资格证书的，在5人基础上每增加1人加</w:t>
            </w:r>
            <w:r>
              <w:rPr>
                <w:rFonts w:hint="eastAsia"/>
                <w:lang w:val="en-US" w:eastAsia="zh-CN"/>
              </w:rPr>
              <w:t>1</w:t>
            </w:r>
            <w:r>
              <w:rPr>
                <w:rFonts w:hint="eastAsia"/>
              </w:rPr>
              <w:t>分，最高得</w:t>
            </w:r>
            <w:r>
              <w:rPr>
                <w:rFonts w:hint="eastAsia"/>
                <w:lang w:val="en-US" w:eastAsia="zh-CN"/>
              </w:rPr>
              <w:t>5</w:t>
            </w:r>
            <w:r>
              <w:rPr>
                <w:rFonts w:hint="eastAsia"/>
              </w:rPr>
              <w:t>分；具有特种作业操作证书（电工</w:t>
            </w:r>
            <w:r>
              <w:rPr>
                <w:rFonts w:hint="eastAsia"/>
                <w:lang w:eastAsia="zh-CN"/>
              </w:rPr>
              <w:t>或焊工</w:t>
            </w:r>
            <w:r>
              <w:rPr>
                <w:rFonts w:hint="eastAsia"/>
              </w:rPr>
              <w:t>）的，有1人加</w:t>
            </w:r>
            <w:r>
              <w:rPr>
                <w:rFonts w:hint="eastAsia"/>
                <w:lang w:val="en-US" w:eastAsia="zh-CN"/>
              </w:rPr>
              <w:t>1</w:t>
            </w:r>
            <w:r>
              <w:rPr>
                <w:rFonts w:hint="eastAsia"/>
              </w:rPr>
              <w:t>分，最高</w:t>
            </w:r>
            <w:r>
              <w:rPr>
                <w:rFonts w:hint="eastAsia"/>
                <w:lang w:val="en-US" w:eastAsia="zh-CN"/>
              </w:rPr>
              <w:t>3</w:t>
            </w:r>
            <w:r>
              <w:rPr>
                <w:rFonts w:hint="eastAsia"/>
              </w:rPr>
              <w:t>分。（提供证书复印件，原件备查；提供投标人为其缴纳的近</w:t>
            </w:r>
            <w:r>
              <w:rPr>
                <w:rFonts w:hint="eastAsia"/>
                <w:lang w:eastAsia="zh-CN"/>
              </w:rPr>
              <w:t>半</w:t>
            </w:r>
            <w:r>
              <w:rPr>
                <w:rFonts w:hint="eastAsia"/>
              </w:rPr>
              <w:t>年的社保证明材料复印件加盖公章）</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2"/>
                <w:sz w:val="21"/>
                <w:vertAlign w:val="baseline"/>
                <w:lang w:val="en-US" w:eastAsia="zh-CN" w:bidi="ar-SA"/>
              </w:rPr>
            </w:pPr>
            <w:r>
              <w:rPr>
                <w:rFonts w:hint="eastAsia"/>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330"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vMerge w:val="continue"/>
            <w:tcBorders>
              <w:left w:val="single" w:color="auto" w:sz="4" w:space="0"/>
              <w:bottom w:val="single" w:color="auto" w:sz="4" w:space="0"/>
              <w:right w:val="single" w:color="auto" w:sz="4" w:space="0"/>
            </w:tcBorders>
            <w:noWrap w:val="0"/>
            <w:vAlign w:val="center"/>
          </w:tcPr>
          <w:p>
            <w:pPr>
              <w:widowControl/>
              <w:spacing w:line="280" w:lineRule="exact"/>
              <w:jc w:val="left"/>
              <w:rPr>
                <w:rFonts w:cs="宋体"/>
                <w:b/>
                <w:color w:val="000000"/>
                <w:kern w:val="0"/>
                <w:szCs w:val="21"/>
              </w:rPr>
            </w:pPr>
          </w:p>
        </w:tc>
        <w:tc>
          <w:tcPr>
            <w:tcW w:w="3489" w:type="pc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kern w:val="2"/>
                <w:sz w:val="21"/>
                <w:vertAlign w:val="baseline"/>
                <w:lang w:val="en-US" w:eastAsia="zh-CN" w:bidi="ar-SA"/>
              </w:rPr>
            </w:pPr>
            <w:r>
              <w:rPr>
                <w:rFonts w:hint="eastAsia"/>
                <w:highlight w:val="none"/>
              </w:rPr>
              <w:t>投标人拟为本项目配置的设备：1、移动发电机，加1分/台，最高得</w:t>
            </w:r>
            <w:r>
              <w:rPr>
                <w:rFonts w:hint="eastAsia"/>
                <w:highlight w:val="none"/>
                <w:lang w:val="en-US" w:eastAsia="zh-CN"/>
              </w:rPr>
              <w:t>2</w:t>
            </w:r>
            <w:r>
              <w:rPr>
                <w:rFonts w:hint="eastAsia"/>
                <w:highlight w:val="none"/>
              </w:rPr>
              <w:t>分；2、</w:t>
            </w:r>
            <w:r>
              <w:rPr>
                <w:rFonts w:hint="eastAsia"/>
                <w:highlight w:val="none"/>
                <w:lang w:eastAsia="zh-CN"/>
              </w:rPr>
              <w:t>功率在</w:t>
            </w:r>
            <w:r>
              <w:rPr>
                <w:rFonts w:hint="eastAsia"/>
                <w:highlight w:val="none"/>
                <w:lang w:val="en-US" w:eastAsia="zh-CN"/>
              </w:rPr>
              <w:t>5.5kw及以上</w:t>
            </w:r>
            <w:r>
              <w:rPr>
                <w:rFonts w:hint="eastAsia"/>
                <w:highlight w:val="none"/>
              </w:rPr>
              <w:t>水泵，加0.5分/台，最高得</w:t>
            </w:r>
            <w:r>
              <w:rPr>
                <w:rFonts w:hint="eastAsia"/>
                <w:highlight w:val="none"/>
                <w:lang w:val="en-US" w:eastAsia="zh-CN"/>
              </w:rPr>
              <w:t>2</w:t>
            </w:r>
            <w:r>
              <w:rPr>
                <w:rFonts w:hint="eastAsia"/>
                <w:highlight w:val="none"/>
              </w:rPr>
              <w:t>分；6、电焊机，加0.5分/台，最高得</w:t>
            </w:r>
            <w:r>
              <w:rPr>
                <w:rFonts w:hint="eastAsia"/>
                <w:highlight w:val="none"/>
                <w:lang w:val="en-US" w:eastAsia="zh-CN"/>
              </w:rPr>
              <w:t>1</w:t>
            </w:r>
            <w:r>
              <w:rPr>
                <w:rFonts w:hint="eastAsia"/>
                <w:highlight w:val="none"/>
              </w:rPr>
              <w:t>分。备注：以上设备须为投标供应商自有设备，投标文件中提供购置发票扫描件或影印件（工程货车另须提供行驶证扫描件或影印件），原件进场服务前交采购人核查，如有虚假，将取消中标资格并按有关规定处理。</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2"/>
                <w:sz w:val="21"/>
                <w:vertAlign w:val="baseline"/>
                <w:lang w:val="en-US" w:eastAsia="zh-CN" w:bidi="ar-SA"/>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330" w:type="pct"/>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280" w:lineRule="exact"/>
              <w:jc w:val="center"/>
              <w:rPr>
                <w:rFonts w:hint="eastAsia" w:eastAsia="宋体" w:cs="宋体"/>
                <w:b/>
                <w:color w:val="000000"/>
                <w:kern w:val="0"/>
                <w:szCs w:val="21"/>
                <w:lang w:val="en-US" w:eastAsia="zh-CN"/>
              </w:rPr>
            </w:pPr>
            <w:r>
              <w:rPr>
                <w:rFonts w:hint="eastAsia" w:cs="宋体"/>
                <w:b/>
                <w:color w:val="000000"/>
                <w:kern w:val="0"/>
                <w:szCs w:val="21"/>
                <w:lang w:val="en-US" w:eastAsia="zh-CN"/>
              </w:rPr>
              <w:t>4</w:t>
            </w:r>
          </w:p>
        </w:tc>
        <w:tc>
          <w:tcPr>
            <w:tcW w:w="725" w:type="pct"/>
            <w:vMerge w:val="restart"/>
            <w:tcBorders>
              <w:top w:val="single" w:color="auto" w:sz="4" w:space="0"/>
              <w:left w:val="single" w:color="auto" w:sz="4" w:space="0"/>
              <w:right w:val="single" w:color="auto" w:sz="4" w:space="0"/>
            </w:tcBorders>
            <w:noWrap w:val="0"/>
            <w:vAlign w:val="center"/>
          </w:tcPr>
          <w:p>
            <w:pPr>
              <w:jc w:val="center"/>
              <w:rPr>
                <w:kern w:val="2"/>
                <w:sz w:val="21"/>
                <w:vertAlign w:val="baseline"/>
                <w:lang w:val="en-US" w:eastAsia="zh-CN" w:bidi="ar-SA"/>
              </w:rPr>
            </w:pPr>
            <w:r>
              <w:rPr>
                <w:rFonts w:hint="eastAsia"/>
              </w:rPr>
              <w:t>综合实力（</w:t>
            </w:r>
            <w:r>
              <w:rPr>
                <w:rFonts w:hint="eastAsia"/>
                <w:lang w:val="en-US" w:eastAsia="zh-CN"/>
              </w:rPr>
              <w:t>13</w:t>
            </w:r>
            <w:r>
              <w:rPr>
                <w:rFonts w:hint="eastAsia"/>
              </w:rPr>
              <w:t>分）</w:t>
            </w:r>
          </w:p>
        </w:tc>
        <w:tc>
          <w:tcPr>
            <w:tcW w:w="3489" w:type="pct"/>
            <w:tcBorders>
              <w:top w:val="single" w:color="auto" w:sz="4" w:space="0"/>
              <w:left w:val="single" w:color="auto" w:sz="4" w:space="0"/>
              <w:bottom w:val="single" w:color="auto" w:sz="4" w:space="0"/>
              <w:right w:val="single" w:color="auto" w:sz="4" w:space="0"/>
            </w:tcBorders>
            <w:noWrap w:val="0"/>
            <w:vAlign w:val="center"/>
          </w:tcPr>
          <w:p>
            <w:pPr>
              <w:jc w:val="left"/>
              <w:rPr>
                <w:kern w:val="2"/>
                <w:sz w:val="21"/>
                <w:vertAlign w:val="baseline"/>
                <w:lang w:val="en-US" w:eastAsia="zh-CN" w:bidi="ar-SA"/>
              </w:rPr>
            </w:pPr>
            <w:r>
              <w:rPr>
                <w:rFonts w:hint="eastAsia"/>
              </w:rPr>
              <w:t>20</w:t>
            </w:r>
            <w:r>
              <w:rPr>
                <w:rFonts w:hint="eastAsia"/>
                <w:lang w:val="en-US" w:eastAsia="zh-CN"/>
              </w:rPr>
              <w:t>19</w:t>
            </w:r>
            <w:r>
              <w:rPr>
                <w:rFonts w:hint="eastAsia"/>
              </w:rPr>
              <w:t> 年</w:t>
            </w:r>
            <w:r>
              <w:rPr>
                <w:rFonts w:hint="eastAsia"/>
                <w:lang w:val="en-US" w:eastAsia="zh-CN"/>
              </w:rPr>
              <w:t>5</w:t>
            </w:r>
            <w:r>
              <w:rPr>
                <w:rFonts w:hint="eastAsia"/>
              </w:rPr>
              <w:t>月1日以来（以合同签订时间为准），投标人承担过类似项目成功案例业绩</w:t>
            </w:r>
            <w:r>
              <w:rPr>
                <w:rFonts w:hint="eastAsia"/>
                <w:lang w:val="en-US" w:eastAsia="zh-CN"/>
              </w:rPr>
              <w:t>的</w:t>
            </w:r>
            <w:r>
              <w:rPr>
                <w:rFonts w:hint="eastAsia"/>
              </w:rPr>
              <w:t>有一项加2分，最高得</w:t>
            </w:r>
            <w:r>
              <w:rPr>
                <w:rFonts w:hint="eastAsia"/>
                <w:lang w:val="en-US" w:eastAsia="zh-CN"/>
              </w:rPr>
              <w:t>4</w:t>
            </w:r>
            <w:r>
              <w:rPr>
                <w:rFonts w:hint="eastAsia"/>
              </w:rPr>
              <w:t>分。（提供合同复印件加盖公章，原件备查）</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2"/>
                <w:sz w:val="21"/>
                <w:vertAlign w:val="baseline"/>
                <w:lang w:val="en-US" w:eastAsia="zh-CN" w:bidi="ar-SA"/>
              </w:rPr>
            </w:pPr>
            <w:r>
              <w:rPr>
                <w:rFonts w:hint="eastAsia"/>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30" w:type="pct"/>
            <w:vMerge w:val="continue"/>
            <w:tcBorders>
              <w:left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vMerge w:val="continue"/>
            <w:tcBorders>
              <w:left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3489" w:type="pct"/>
            <w:tcBorders>
              <w:top w:val="single" w:color="auto" w:sz="4" w:space="0"/>
              <w:left w:val="single" w:color="auto" w:sz="4" w:space="0"/>
              <w:bottom w:val="single" w:color="auto" w:sz="4" w:space="0"/>
              <w:right w:val="single" w:color="auto" w:sz="4" w:space="0"/>
            </w:tcBorders>
            <w:noWrap w:val="0"/>
            <w:vAlign w:val="center"/>
          </w:tcPr>
          <w:p>
            <w:pPr>
              <w:jc w:val="center"/>
              <w:rPr>
                <w:kern w:val="2"/>
                <w:sz w:val="21"/>
                <w:vertAlign w:val="baseline"/>
                <w:lang w:val="en-US" w:eastAsia="zh-CN" w:bidi="ar-SA"/>
              </w:rPr>
            </w:pPr>
            <w:r>
              <w:rPr>
                <w:rFonts w:hint="eastAsia"/>
              </w:rPr>
              <w:t>投标人同时具有质量管理体系、环境管理体系、职业健康安全管理体系认证的（有效期内），得</w:t>
            </w:r>
            <w:r>
              <w:rPr>
                <w:rFonts w:hint="eastAsia"/>
                <w:lang w:val="en-US" w:eastAsia="zh-CN"/>
              </w:rPr>
              <w:t>3</w:t>
            </w:r>
            <w:r>
              <w:rPr>
                <w:rFonts w:hint="eastAsia"/>
              </w:rPr>
              <w:t>分。（提供证书复印件加盖公章，原件备查）</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eastAsia="宋体"/>
                <w:kern w:val="2"/>
                <w:sz w:val="21"/>
                <w:vertAlign w:val="baseline"/>
                <w:lang w:val="en-US" w:eastAsia="zh-CN" w:bidi="ar-SA"/>
              </w:rPr>
            </w:pPr>
            <w:r>
              <w:rPr>
                <w:rFonts w:hint="eastAsia"/>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30" w:type="pct"/>
            <w:vMerge w:val="continue"/>
            <w:tcBorders>
              <w:left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vMerge w:val="continue"/>
            <w:tcBorders>
              <w:left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3489" w:type="pct"/>
            <w:tcBorders>
              <w:top w:val="single" w:color="auto" w:sz="4" w:space="0"/>
              <w:left w:val="single" w:color="auto" w:sz="4" w:space="0"/>
              <w:bottom w:val="single" w:color="auto" w:sz="4" w:space="0"/>
              <w:right w:val="single" w:color="auto" w:sz="4" w:space="0"/>
            </w:tcBorders>
            <w:noWrap w:val="0"/>
            <w:vAlign w:val="center"/>
          </w:tcPr>
          <w:p>
            <w:pPr>
              <w:jc w:val="center"/>
              <w:rPr>
                <w:kern w:val="2"/>
                <w:sz w:val="21"/>
                <w:vertAlign w:val="baseline"/>
                <w:lang w:val="en-US" w:eastAsia="zh-CN" w:bidi="ar-SA"/>
              </w:rPr>
            </w:pPr>
            <w:r>
              <w:rPr>
                <w:rFonts w:hint="eastAsia"/>
              </w:rPr>
              <w:t>投标人提供信用评级机构或银行出具的信用评级报告为AAA级及以上的得</w:t>
            </w:r>
            <w:r>
              <w:rPr>
                <w:rFonts w:hint="eastAsia"/>
                <w:lang w:val="en-US" w:eastAsia="zh-CN"/>
              </w:rPr>
              <w:t>3</w:t>
            </w:r>
            <w:r>
              <w:rPr>
                <w:rFonts w:hint="eastAsia"/>
              </w:rPr>
              <w:t>分，AA级及以下不得分。（提供证书复印件加盖公章，原件备查）</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2"/>
                <w:sz w:val="21"/>
                <w:vertAlign w:val="baseline"/>
                <w:lang w:val="en-US" w:eastAsia="zh-CN" w:bidi="ar-SA"/>
              </w:rPr>
            </w:pPr>
            <w:r>
              <w:rPr>
                <w:rFonts w:hint="eastAsia"/>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30"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3489" w:type="pct"/>
            <w:tcBorders>
              <w:top w:val="single" w:color="auto" w:sz="4" w:space="0"/>
              <w:left w:val="single" w:color="auto" w:sz="4" w:space="0"/>
              <w:bottom w:val="single" w:color="auto" w:sz="4" w:space="0"/>
              <w:right w:val="single" w:color="auto" w:sz="4" w:space="0"/>
            </w:tcBorders>
            <w:noWrap w:val="0"/>
            <w:vAlign w:val="center"/>
          </w:tcPr>
          <w:p>
            <w:pPr>
              <w:jc w:val="left"/>
              <w:rPr>
                <w:rFonts w:hint="default" w:eastAsia="宋体"/>
                <w:kern w:val="2"/>
                <w:sz w:val="21"/>
                <w:lang w:val="en-US" w:eastAsia="zh-CN" w:bidi="ar-SA"/>
              </w:rPr>
            </w:pPr>
            <w:r>
              <w:rPr>
                <w:rFonts w:hint="eastAsia"/>
                <w:lang w:val="en-US" w:eastAsia="zh-CN"/>
              </w:rPr>
              <w:t>南京市政府采购信用记录表：星级为五星级得3分，星级为四星级得2分，星级为三星级得1分，没有星级不得分。</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kern w:val="2"/>
                <w:sz w:val="21"/>
                <w:vertAlign w:val="baseline"/>
                <w:lang w:val="en-US" w:eastAsia="zh-CN" w:bidi="ar-SA"/>
              </w:rPr>
            </w:pPr>
            <w:r>
              <w:rPr>
                <w:rFonts w:hint="eastAsia"/>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30" w:type="pct"/>
            <w:vMerge w:val="restart"/>
            <w:tcBorders>
              <w:left w:val="single" w:color="auto" w:sz="4" w:space="0"/>
              <w:right w:val="single" w:color="auto" w:sz="4" w:space="0"/>
            </w:tcBorders>
            <w:noWrap w:val="0"/>
            <w:vAlign w:val="center"/>
          </w:tcPr>
          <w:p>
            <w:pPr>
              <w:widowControl/>
              <w:adjustRightInd w:val="0"/>
              <w:snapToGrid w:val="0"/>
              <w:spacing w:line="280" w:lineRule="exact"/>
              <w:jc w:val="center"/>
              <w:rPr>
                <w:rFonts w:hint="eastAsia" w:eastAsia="宋体" w:cs="宋体"/>
                <w:b/>
                <w:color w:val="000000"/>
                <w:kern w:val="0"/>
                <w:szCs w:val="21"/>
                <w:lang w:val="en-US" w:eastAsia="zh-CN"/>
              </w:rPr>
            </w:pPr>
            <w:r>
              <w:rPr>
                <w:rFonts w:hint="eastAsia" w:cs="宋体"/>
                <w:b/>
                <w:color w:val="000000"/>
                <w:kern w:val="0"/>
                <w:szCs w:val="21"/>
                <w:lang w:val="en-US" w:eastAsia="zh-CN"/>
              </w:rPr>
              <w:t>5</w:t>
            </w:r>
          </w:p>
        </w:tc>
        <w:tc>
          <w:tcPr>
            <w:tcW w:w="725" w:type="pct"/>
            <w:vMerge w:val="restart"/>
            <w:tcBorders>
              <w:left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r>
              <w:rPr>
                <w:rFonts w:hint="eastAsia"/>
              </w:rPr>
              <w:t>其他（4分）</w:t>
            </w:r>
          </w:p>
        </w:tc>
        <w:tc>
          <w:tcPr>
            <w:tcW w:w="3489"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kern w:val="2"/>
                <w:sz w:val="21"/>
                <w:vertAlign w:val="baseline"/>
                <w:lang w:val="en-US" w:eastAsia="zh-CN" w:bidi="ar-SA"/>
              </w:rPr>
            </w:pPr>
            <w:r>
              <w:rPr>
                <w:rFonts w:hint="eastAsia"/>
              </w:rPr>
              <w:t>根据投标人提供的会计师事务所出具的证明其财务状况的上一年度财务报告评分，综合最优得2分，其他酌情给分。（提供财务报告复印件加盖公章，原件备查）</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2"/>
                <w:sz w:val="21"/>
                <w:vertAlign w:val="baseline"/>
                <w:lang w:val="en-US" w:eastAsia="zh-CN" w:bidi="ar-SA"/>
              </w:rPr>
            </w:pPr>
            <w:r>
              <w:rPr>
                <w:rFonts w:hint="eastAsia"/>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330"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3489" w:type="pct"/>
            <w:tcBorders>
              <w:top w:val="single" w:color="auto" w:sz="4" w:space="0"/>
              <w:left w:val="single" w:color="auto" w:sz="4" w:space="0"/>
              <w:bottom w:val="single" w:color="auto" w:sz="4" w:space="0"/>
              <w:right w:val="single" w:color="auto" w:sz="4" w:space="0"/>
            </w:tcBorders>
            <w:noWrap w:val="0"/>
            <w:vAlign w:val="center"/>
          </w:tcPr>
          <w:p>
            <w:pPr>
              <w:jc w:val="left"/>
              <w:rPr>
                <w:rFonts w:hint="eastAsia" w:eastAsia="宋体"/>
                <w:kern w:val="2"/>
                <w:sz w:val="21"/>
                <w:vertAlign w:val="baseline"/>
                <w:lang w:val="en-US" w:eastAsia="zh-CN" w:bidi="ar-SA"/>
              </w:rPr>
            </w:pPr>
            <w:r>
              <w:rPr>
                <w:rFonts w:hint="eastAsia"/>
              </w:rPr>
              <w:t>根据投标文件整体响应程度评比，包括投标文件编制完整、格式规范、有无详细目录并</w:t>
            </w:r>
            <w:r>
              <w:rPr>
                <w:rFonts w:hint="eastAsia"/>
                <w:lang w:val="en-US" w:eastAsia="zh-CN"/>
              </w:rPr>
              <w:t>逐页连续页码等，最优者得2分，其他酌情给分。</w:t>
            </w:r>
          </w:p>
        </w:tc>
        <w:tc>
          <w:tcPr>
            <w:tcW w:w="455"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kern w:val="2"/>
                <w:sz w:val="21"/>
                <w:vertAlign w:val="baseline"/>
                <w:lang w:val="en-US" w:eastAsia="zh-CN" w:bidi="ar-SA"/>
              </w:rPr>
            </w:pPr>
            <w:r>
              <w:rPr>
                <w:rFonts w:hint="eastAsia"/>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30"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80" w:lineRule="exact"/>
              <w:jc w:val="center"/>
              <w:rPr>
                <w:rFonts w:cs="宋体"/>
                <w:b/>
                <w:color w:val="000000"/>
                <w:kern w:val="0"/>
                <w:szCs w:val="21"/>
              </w:rPr>
            </w:pPr>
          </w:p>
        </w:tc>
        <w:tc>
          <w:tcPr>
            <w:tcW w:w="725"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80" w:lineRule="exact"/>
              <w:jc w:val="center"/>
              <w:rPr>
                <w:b/>
                <w:color w:val="000000"/>
                <w:szCs w:val="21"/>
              </w:rPr>
            </w:pPr>
            <w:r>
              <w:rPr>
                <w:rFonts w:hint="eastAsia"/>
                <w:b/>
                <w:color w:val="000000"/>
                <w:szCs w:val="21"/>
              </w:rPr>
              <w:t>合计</w:t>
            </w:r>
          </w:p>
        </w:tc>
        <w:tc>
          <w:tcPr>
            <w:tcW w:w="3489"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80" w:lineRule="exact"/>
              <w:ind w:firstLine="210" w:firstLineChars="100"/>
              <w:jc w:val="center"/>
              <w:rPr>
                <w:rFonts w:cs="宋体"/>
                <w:color w:val="000000"/>
                <w:kern w:val="0"/>
                <w:szCs w:val="21"/>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80" w:lineRule="exact"/>
              <w:jc w:val="center"/>
              <w:rPr>
                <w:rFonts w:cs="宋体"/>
                <w:color w:val="000000"/>
                <w:kern w:val="0"/>
                <w:szCs w:val="21"/>
              </w:rPr>
            </w:pPr>
            <w:r>
              <w:rPr>
                <w:rFonts w:hint="eastAsia" w:cs="宋体"/>
                <w:color w:val="000000"/>
                <w:kern w:val="0"/>
                <w:szCs w:val="21"/>
              </w:rPr>
              <w:t>100</w:t>
            </w:r>
          </w:p>
        </w:tc>
      </w:tr>
      <w:bookmarkEnd w:id="34"/>
    </w:tbl>
    <w:p>
      <w:pPr>
        <w:rPr>
          <w:rFonts w:hint="eastAsia" w:ascii="宋体" w:hAnsi="宋体"/>
          <w:b/>
        </w:rPr>
      </w:pPr>
    </w:p>
    <w:p>
      <w:pPr>
        <w:spacing w:line="360" w:lineRule="auto"/>
        <w:rPr>
          <w:rFonts w:ascii="宋体" w:hAnsi="宋体" w:cs="Calibri"/>
          <w:color w:val="000000"/>
          <w:kern w:val="0"/>
          <w:sz w:val="24"/>
        </w:rPr>
      </w:pPr>
      <w:r>
        <w:rPr>
          <w:rFonts w:hint="eastAsia" w:ascii="宋体" w:hAnsi="宋体"/>
          <w:b/>
          <w:color w:val="000000"/>
        </w:rPr>
        <w:t>说明：</w:t>
      </w:r>
    </w:p>
    <w:p>
      <w:pPr>
        <w:numPr>
          <w:ilvl w:val="0"/>
          <w:numId w:val="8"/>
        </w:numPr>
        <w:spacing w:line="360" w:lineRule="auto"/>
        <w:ind w:left="210" w:leftChars="100"/>
        <w:rPr>
          <w:rFonts w:hint="eastAsia" w:ascii="宋体" w:hAnsi="宋体"/>
        </w:rPr>
      </w:pPr>
      <w:r>
        <w:rPr>
          <w:rFonts w:hint="eastAsia" w:ascii="宋体" w:hAnsi="宋体"/>
        </w:rPr>
        <w:t>对小型、微型企业产品（限货物）的价格给予10%的扣除，用扣除后的价格参与评审。</w:t>
      </w:r>
      <w:r>
        <w:rPr>
          <w:rFonts w:hint="eastAsia" w:ascii="宋体" w:hAnsi="宋体"/>
        </w:rPr>
        <w:br w:type="textWrapping"/>
      </w:r>
      <w:r>
        <w:rPr>
          <w:rFonts w:hint="eastAsia" w:ascii="宋体" w:hAnsi="宋体"/>
        </w:rPr>
        <w:t>2、对监狱企业产品（限货物）的价格给予6%的扣除，用扣除后的价格参与评审。</w:t>
      </w:r>
      <w:r>
        <w:rPr>
          <w:rFonts w:hint="eastAsia" w:ascii="宋体" w:hAnsi="宋体"/>
        </w:rPr>
        <w:br w:type="textWrapping"/>
      </w:r>
      <w:r>
        <w:rPr>
          <w:rFonts w:hint="eastAsia" w:ascii="宋体" w:hAnsi="宋体"/>
        </w:rPr>
        <w:t>3、残疾人福利性单位提供本单位制造的货物、承担的工程或服务，或提供其他残疾人福利性单位制造的货物（不包括使用非残疾人福利性单位注册商标的货物），对相应货物、工程或服务的价格给予6%的扣除，用扣除后的价格参与评审。</w:t>
      </w:r>
      <w:r>
        <w:rPr>
          <w:rFonts w:hint="eastAsia" w:ascii="宋体" w:hAnsi="宋体"/>
        </w:rPr>
        <w:br w:type="textWrapping"/>
      </w:r>
      <w:r>
        <w:rPr>
          <w:rFonts w:hint="eastAsia" w:ascii="宋体" w:hAnsi="宋体"/>
        </w:rPr>
        <w:t>小企业（含小型、微型企业）应当同时符合以下条件：</w:t>
      </w:r>
      <w:r>
        <w:rPr>
          <w:rFonts w:hint="eastAsia" w:ascii="宋体" w:hAnsi="宋体"/>
        </w:rPr>
        <w:br w:type="textWrapping"/>
      </w:r>
      <w:r>
        <w:rPr>
          <w:rFonts w:hint="eastAsia" w:ascii="宋体" w:hAnsi="宋体"/>
        </w:rPr>
        <w:t>（1）供应商为小企业，且符合中小企业划分标准；</w:t>
      </w:r>
      <w:r>
        <w:rPr>
          <w:rFonts w:hint="eastAsia" w:ascii="宋体" w:hAnsi="宋体"/>
        </w:rPr>
        <w:br w:type="textWrapping"/>
      </w:r>
      <w:r>
        <w:rPr>
          <w:rFonts w:hint="eastAsia" w:ascii="宋体" w:hAnsi="宋体"/>
        </w:rPr>
        <w:t>（2）提供本企业制造的货物、承担的工程或者服务，或者提供其他小企业制造的货物。如果提供的货物为大中型企业注册商标的货物，视同大中型企业。</w:t>
      </w:r>
    </w:p>
    <w:p>
      <w:pPr>
        <w:numPr>
          <w:ilvl w:val="0"/>
          <w:numId w:val="9"/>
        </w:numPr>
        <w:spacing w:line="360" w:lineRule="auto"/>
        <w:rPr>
          <w:rFonts w:hint="eastAsia" w:ascii="宋体" w:hAnsi="宋体"/>
        </w:rPr>
      </w:pPr>
      <w:r>
        <w:rPr>
          <w:rFonts w:hint="eastAsia" w:ascii="宋体" w:hAnsi="宋体"/>
        </w:rPr>
        <w:t>监狱和戒毒企业的价格扣除</w:t>
      </w:r>
      <w:r>
        <w:rPr>
          <w:rFonts w:hint="eastAsia" w:ascii="宋体" w:hAnsi="宋体"/>
        </w:rPr>
        <w:br w:type="textWrapping"/>
      </w:r>
      <w:r>
        <w:rPr>
          <w:rFonts w:hint="eastAsia" w:ascii="宋体" w:hAnsi="宋体"/>
        </w:rPr>
        <w:t>（1）本项目对监狱和戒毒企业(简称监狱企业),给予6%的价格扣除，用扣除后的价格参与评审。</w:t>
      </w:r>
      <w:r>
        <w:rPr>
          <w:rFonts w:hint="eastAsia" w:ascii="宋体" w:hAnsi="宋体"/>
        </w:rPr>
        <w:br w:type="textWrapping"/>
      </w:r>
      <w:r>
        <w:rPr>
          <w:rFonts w:hint="eastAsia" w:ascii="宋体" w:hAnsi="宋体"/>
        </w:rPr>
        <w:t>（2）监狱企业需提供由省级以上监狱管理局、戒毒管理局(含新疆生产建设兵团)出具的属于监狱企业的证明文件。</w:t>
      </w:r>
      <w:r>
        <w:rPr>
          <w:rFonts w:hint="eastAsia" w:ascii="宋体" w:hAnsi="宋体"/>
        </w:rPr>
        <w:br w:type="textWrapping"/>
      </w:r>
      <w:r>
        <w:rPr>
          <w:rFonts w:hint="eastAsia" w:ascii="宋体" w:hAnsi="宋体"/>
        </w:rPr>
        <w:t>（3）监狱企业标准请参照《关于政府采购支持监狱企业发展有关问题的通知》(财库[2014]68号)。</w:t>
      </w:r>
      <w:r>
        <w:rPr>
          <w:rFonts w:hint="eastAsia" w:ascii="宋体" w:hAnsi="宋体"/>
        </w:rPr>
        <w:br w:type="textWrapping"/>
      </w:r>
      <w:r>
        <w:rPr>
          <w:rFonts w:hint="eastAsia" w:ascii="宋体" w:hAnsi="宋体"/>
        </w:rPr>
        <w:t>5、残疾人福利性单位的价格扣除</w:t>
      </w:r>
      <w:r>
        <w:rPr>
          <w:rFonts w:hint="eastAsia" w:ascii="宋体" w:hAnsi="宋体"/>
        </w:rPr>
        <w:br w:type="textWrapping"/>
      </w:r>
      <w:r>
        <w:rPr>
          <w:rFonts w:hint="eastAsia" w:ascii="宋体" w:hAnsi="宋体"/>
        </w:rPr>
        <w:t>（1）本项目对残疾人福利单位,给予6%的价格扣除,用扣除后的价格参与评审。</w:t>
      </w:r>
    </w:p>
    <w:p>
      <w:pPr>
        <w:spacing w:line="360" w:lineRule="auto"/>
        <w:rPr>
          <w:rFonts w:hint="eastAsia" w:ascii="宋体" w:hAnsi="宋体"/>
        </w:rPr>
      </w:pPr>
      <w:r>
        <w:rPr>
          <w:rFonts w:hint="eastAsia" w:ascii="宋体" w:hAnsi="宋体"/>
        </w:rPr>
        <w:t>（2）残疾人福利性单位需按照采购文件的要求提供《残疾人福利性单位声明函》。</w:t>
      </w:r>
    </w:p>
    <w:p>
      <w:pPr>
        <w:spacing w:line="360" w:lineRule="auto"/>
        <w:rPr>
          <w:rFonts w:hint="eastAsia" w:ascii="宋体" w:hAnsi="宋体"/>
        </w:rPr>
      </w:pPr>
      <w:r>
        <w:rPr>
          <w:rFonts w:hint="eastAsia" w:ascii="宋体" w:hAnsi="宋体"/>
        </w:rPr>
        <w:t>（3）残疾人福利性单位标准参照《关于促进残疾人就业政府采购政策的通知》(财库[2017]141号)。</w:t>
      </w:r>
    </w:p>
    <w:p>
      <w:pPr>
        <w:spacing w:line="360" w:lineRule="auto"/>
        <w:rPr>
          <w:rFonts w:hint="eastAsia" w:ascii="宋体" w:hAnsi="宋体"/>
        </w:rPr>
      </w:pPr>
      <w:r>
        <w:rPr>
          <w:rFonts w:hint="eastAsia" w:ascii="宋体" w:hAnsi="宋体"/>
        </w:rPr>
        <w:t>6、监狱企业、残疾人福利单位属于小型、微型企业的，不重复享受政策。</w:t>
      </w:r>
    </w:p>
    <w:p>
      <w:pPr>
        <w:spacing w:line="360" w:lineRule="auto"/>
        <w:rPr>
          <w:rFonts w:hint="eastAsia" w:ascii="宋体" w:hAnsi="宋体"/>
        </w:rPr>
      </w:pPr>
      <w:r>
        <w:rPr>
          <w:rFonts w:hint="eastAsia" w:ascii="宋体" w:hAnsi="宋体"/>
        </w:rPr>
        <w:t>7、所有认证、证明和业绩均以有效的复印件为依据，原件备查。</w:t>
      </w:r>
    </w:p>
    <w:p>
      <w:pPr>
        <w:spacing w:line="360" w:lineRule="auto"/>
        <w:rPr>
          <w:rFonts w:hint="eastAsia" w:ascii="宋体" w:hAnsi="宋体"/>
        </w:rPr>
      </w:pPr>
      <w:r>
        <w:rPr>
          <w:rFonts w:hint="eastAsia" w:ascii="宋体" w:hAnsi="宋体"/>
        </w:rPr>
        <w:t>8、根据南京政府采购供应商诚信档案管理系统中供应商诚信档案记录，凡三星级以上的供应商参加政府采购活动时，采购代理机构在政府采购评审中应当给予一定的鼓励。被评为南京市政府采购“重诚信政府采购供应商”的加</w:t>
      </w:r>
      <w:r>
        <w:rPr>
          <w:rFonts w:hint="eastAsia" w:ascii="宋体" w:hAnsi="宋体"/>
          <w:lang w:val="en-US" w:eastAsia="zh-CN"/>
        </w:rPr>
        <w:t>2</w:t>
      </w:r>
      <w:r>
        <w:rPr>
          <w:rFonts w:hint="eastAsia" w:ascii="宋体" w:hAnsi="宋体"/>
        </w:rPr>
        <w:t>分。诚信指数在40-30分的扣2分；诚信指数在29-20分的扣3分；诚信指数在19-10分的扣4分；诚信指数在9分以下的扣10分。</w:t>
      </w:r>
    </w:p>
    <w:p>
      <w:pPr>
        <w:pStyle w:val="10"/>
        <w:rPr>
          <w:rFonts w:hint="eastAsia"/>
        </w:rPr>
      </w:pPr>
      <w:r>
        <w:rPr>
          <w:rStyle w:val="36"/>
          <w:rFonts w:hint="eastAsia"/>
          <w:b/>
          <w:bCs/>
        </w:rPr>
        <w:t>（特别说明：以供应商提供其在线打印的《南京市政府采购供应商信誉记录表》原件为依据）</w:t>
      </w:r>
    </w:p>
    <w:p>
      <w:pPr>
        <w:spacing w:line="360" w:lineRule="auto"/>
        <w:rPr>
          <w:rFonts w:ascii="宋体" w:hAnsi="宋体"/>
        </w:rPr>
      </w:pPr>
      <w:r>
        <w:rPr>
          <w:rFonts w:hint="eastAsia" w:ascii="宋体" w:hAnsi="宋体"/>
        </w:rPr>
        <w:t>9、所有认证、证明和业绩均需提供有效的复印件（扫描件），原件备查。</w:t>
      </w:r>
    </w:p>
    <w:p>
      <w:pPr>
        <w:rPr>
          <w:rStyle w:val="36"/>
        </w:rPr>
      </w:pPr>
      <w:r>
        <w:rPr>
          <w:rFonts w:hint="eastAsia" w:ascii="宋体" w:hAnsi="宋体"/>
        </w:rPr>
        <w:t>10</w:t>
      </w:r>
      <w:r>
        <w:rPr>
          <w:rFonts w:ascii="宋体" w:hAnsi="宋体"/>
        </w:rPr>
        <w:t>、</w:t>
      </w:r>
      <w:r>
        <w:rPr>
          <w:rFonts w:hint="eastAsia" w:ascii="宋体" w:hAnsi="宋体"/>
        </w:rPr>
        <w:t>如果评审分数畸高、畸低的，应详细说明理由。</w:t>
      </w:r>
    </w:p>
    <w:p>
      <w:pPr>
        <w:autoSpaceDE w:val="0"/>
        <w:autoSpaceDN w:val="0"/>
        <w:adjustRightInd w:val="0"/>
        <w:ind w:firstLine="200"/>
        <w:rPr>
          <w:rFonts w:ascii="宋体" w:hAnsi="宋体"/>
          <w:b/>
          <w:lang w:val="zh-CN"/>
        </w:rPr>
      </w:pPr>
      <w:r>
        <w:rPr>
          <w:rFonts w:hint="eastAsia" w:ascii="宋体" w:hAnsi="宋体"/>
          <w:b/>
          <w:lang w:val="zh-CN"/>
        </w:rPr>
        <w:t>23、定标</w:t>
      </w:r>
    </w:p>
    <w:p>
      <w:pPr>
        <w:autoSpaceDE w:val="0"/>
        <w:autoSpaceDN w:val="0"/>
        <w:adjustRightInd w:val="0"/>
        <w:ind w:firstLine="200"/>
        <w:rPr>
          <w:rFonts w:hint="eastAsia" w:ascii="宋体" w:hAnsi="宋体"/>
          <w:lang w:val="zh-CN"/>
        </w:rPr>
      </w:pPr>
      <w:r>
        <w:rPr>
          <w:rFonts w:hint="eastAsia" w:ascii="宋体" w:hAnsi="宋体"/>
        </w:rPr>
        <w:t xml:space="preserve">  </w:t>
      </w:r>
      <w:r>
        <w:rPr>
          <w:rFonts w:ascii="宋体" w:hAnsi="宋体"/>
          <w:lang w:val="zh-CN"/>
        </w:rPr>
        <w:t>2</w:t>
      </w:r>
      <w:r>
        <w:rPr>
          <w:rFonts w:hint="eastAsia" w:ascii="宋体" w:hAnsi="宋体"/>
          <w:lang w:val="zh-CN"/>
        </w:rPr>
        <w:t>3.</w:t>
      </w:r>
      <w:r>
        <w:rPr>
          <w:rFonts w:hint="eastAsia" w:ascii="宋体" w:hAnsi="宋体"/>
        </w:rPr>
        <w:t xml:space="preserve"> </w:t>
      </w:r>
      <w:r>
        <w:rPr>
          <w:rFonts w:hint="eastAsia" w:ascii="宋体" w:hAnsi="宋体"/>
          <w:lang w:val="zh-CN"/>
        </w:rPr>
        <w:t>1 在评标期间，出现符合专业条件的供应商或者对招标文件作出实质性响应的供应商不足三家情形的，比照21</w:t>
      </w:r>
      <w:r>
        <w:rPr>
          <w:rFonts w:ascii="宋体" w:hAnsi="宋体"/>
          <w:lang w:val="zh-CN"/>
        </w:rPr>
        <w:t>.6</w:t>
      </w:r>
      <w:r>
        <w:rPr>
          <w:rFonts w:hint="eastAsia" w:ascii="宋体" w:hAnsi="宋体"/>
          <w:lang w:val="zh-CN"/>
        </w:rPr>
        <w:t>款执行。</w:t>
      </w:r>
    </w:p>
    <w:p>
      <w:pPr>
        <w:autoSpaceDE w:val="0"/>
        <w:autoSpaceDN w:val="0"/>
        <w:adjustRightInd w:val="0"/>
        <w:ind w:firstLine="420"/>
        <w:rPr>
          <w:rFonts w:hint="eastAsia" w:ascii="宋体" w:hAnsi="宋体"/>
          <w:lang w:val="zh-CN"/>
        </w:rPr>
      </w:pPr>
      <w:r>
        <w:rPr>
          <w:rFonts w:hint="eastAsia" w:ascii="宋体" w:hAnsi="宋体"/>
          <w:lang w:val="zh-CN"/>
        </w:rPr>
        <w:t>23. 2 综合比较与评价后，按得分由高到低顺序排列。得分相同的，按投标报价由低到高顺序排列。得分且投标报价相同的，按技术指标优劣顺序排列。</w:t>
      </w:r>
    </w:p>
    <w:p>
      <w:pPr>
        <w:autoSpaceDE w:val="0"/>
        <w:autoSpaceDN w:val="0"/>
        <w:adjustRightInd w:val="0"/>
        <w:ind w:firstLine="420"/>
        <w:rPr>
          <w:rFonts w:ascii="宋体" w:hAnsi="宋体"/>
          <w:lang w:val="zh-CN"/>
        </w:rPr>
      </w:pPr>
      <w:r>
        <w:rPr>
          <w:rFonts w:hint="eastAsia" w:ascii="宋体" w:hAnsi="宋体"/>
          <w:lang w:val="zh-CN"/>
        </w:rPr>
        <w:t>23. 3 综合比较与评价后，评标委员会将综合得分最高、价格最低、技术指标最优的供应商确定为中标供应商。</w:t>
      </w:r>
    </w:p>
    <w:p>
      <w:pPr>
        <w:autoSpaceDE w:val="0"/>
        <w:autoSpaceDN w:val="0"/>
        <w:adjustRightInd w:val="0"/>
        <w:ind w:firstLine="420"/>
        <w:rPr>
          <w:rFonts w:ascii="宋体" w:hAnsi="宋体"/>
          <w:lang w:val="zh-CN"/>
        </w:rPr>
      </w:pPr>
      <w:r>
        <w:rPr>
          <w:rFonts w:hint="eastAsia" w:ascii="宋体" w:hAnsi="宋体"/>
          <w:lang w:val="zh-CN"/>
        </w:rPr>
        <w:t>23</w:t>
      </w:r>
      <w:r>
        <w:rPr>
          <w:rFonts w:ascii="宋体" w:hAnsi="宋体"/>
          <w:lang w:val="zh-CN"/>
        </w:rPr>
        <w:t>.</w:t>
      </w:r>
      <w:r>
        <w:rPr>
          <w:rFonts w:hint="eastAsia" w:ascii="宋体" w:hAnsi="宋体"/>
        </w:rPr>
        <w:t xml:space="preserve"> </w:t>
      </w:r>
      <w:r>
        <w:rPr>
          <w:rFonts w:hint="eastAsia" w:ascii="宋体" w:hAnsi="宋体"/>
          <w:lang w:val="zh-CN"/>
        </w:rPr>
        <w:t>4 中标供应商确定后，将在原招标公告发布媒体上发布公告，并同时向中标供应商发出中标通知书。</w:t>
      </w:r>
    </w:p>
    <w:p>
      <w:pPr>
        <w:autoSpaceDE w:val="0"/>
        <w:autoSpaceDN w:val="0"/>
        <w:adjustRightInd w:val="0"/>
        <w:ind w:firstLine="420"/>
        <w:rPr>
          <w:rFonts w:hint="eastAsia" w:ascii="宋体" w:hAnsi="宋体"/>
          <w:lang w:val="zh-CN"/>
        </w:rPr>
      </w:pPr>
      <w:r>
        <w:rPr>
          <w:rFonts w:ascii="宋体" w:hAnsi="宋体"/>
          <w:lang w:val="zh-CN"/>
        </w:rPr>
        <w:t>2</w:t>
      </w:r>
      <w:r>
        <w:rPr>
          <w:rFonts w:hint="eastAsia" w:ascii="宋体" w:hAnsi="宋体"/>
          <w:lang w:val="zh-CN"/>
        </w:rPr>
        <w:t>3</w:t>
      </w:r>
      <w:r>
        <w:rPr>
          <w:rFonts w:ascii="宋体" w:hAnsi="宋体"/>
          <w:lang w:val="zh-CN"/>
        </w:rPr>
        <w:t>.</w:t>
      </w:r>
      <w:r>
        <w:rPr>
          <w:rFonts w:hint="eastAsia" w:ascii="宋体" w:hAnsi="宋体"/>
        </w:rPr>
        <w:t xml:space="preserve"> </w:t>
      </w:r>
      <w:r>
        <w:rPr>
          <w:rFonts w:hint="eastAsia" w:ascii="宋体" w:hAnsi="宋体"/>
          <w:lang w:val="zh-CN"/>
        </w:rPr>
        <w:t>5 中标通知书对招标人和中标供应商具有同等法律效力。</w:t>
      </w:r>
    </w:p>
    <w:p>
      <w:pPr>
        <w:autoSpaceDE w:val="0"/>
        <w:autoSpaceDN w:val="0"/>
        <w:adjustRightInd w:val="0"/>
        <w:ind w:firstLine="420"/>
        <w:rPr>
          <w:rFonts w:hint="eastAsia" w:ascii="宋体" w:hAnsi="宋体"/>
          <w:lang w:val="zh-CN"/>
        </w:rPr>
      </w:pPr>
      <w:bookmarkStart w:id="35" w:name="OLE_LINK2"/>
      <w:r>
        <w:rPr>
          <w:rFonts w:hint="eastAsia" w:ascii="宋体" w:hAnsi="宋体"/>
          <w:lang w:val="zh-CN"/>
        </w:rPr>
        <w:t>23.</w:t>
      </w:r>
      <w:r>
        <w:rPr>
          <w:rFonts w:hint="eastAsia" w:ascii="宋体" w:hAnsi="宋体"/>
        </w:rPr>
        <w:t xml:space="preserve"> </w:t>
      </w:r>
      <w:r>
        <w:rPr>
          <w:rFonts w:hint="eastAsia" w:ascii="宋体" w:hAnsi="宋体"/>
          <w:lang w:val="zh-CN"/>
        </w:rPr>
        <w:t>6 中标通知书发出后，招标人改变中标结果或拒绝签订合同的，应向中标供应商支付一定的补偿金，以及供应商为招标、投标所发生的有关费用和双方商定的其他补偿，并承担相应的法律责任。</w:t>
      </w:r>
    </w:p>
    <w:p>
      <w:pPr>
        <w:autoSpaceDE w:val="0"/>
        <w:autoSpaceDN w:val="0"/>
        <w:adjustRightInd w:val="0"/>
        <w:ind w:firstLine="420"/>
        <w:rPr>
          <w:rFonts w:hint="eastAsia" w:ascii="宋体" w:hAnsi="宋体"/>
          <w:lang w:val="zh-CN"/>
        </w:rPr>
      </w:pPr>
      <w:r>
        <w:rPr>
          <w:rFonts w:hint="eastAsia" w:ascii="宋体" w:hAnsi="宋体"/>
          <w:lang w:val="zh-CN"/>
        </w:rPr>
        <w:t>23.</w:t>
      </w:r>
      <w:r>
        <w:rPr>
          <w:rFonts w:hint="eastAsia" w:ascii="宋体" w:hAnsi="宋体"/>
        </w:rPr>
        <w:t xml:space="preserve"> </w:t>
      </w:r>
      <w:r>
        <w:rPr>
          <w:rFonts w:hint="eastAsia" w:ascii="宋体" w:hAnsi="宋体"/>
          <w:lang w:val="zh-CN"/>
        </w:rPr>
        <w:t>7 中标通知书发出后，中标供应商除发生法律规定的</w:t>
      </w:r>
      <w:r>
        <w:rPr>
          <w:rFonts w:ascii="宋体" w:hAnsi="宋体"/>
          <w:lang w:val="zh-CN"/>
        </w:rPr>
        <w:t>不能预见、不能避免并不能克服的客观情况</w:t>
      </w:r>
      <w:r>
        <w:rPr>
          <w:rFonts w:hint="eastAsia" w:ascii="宋体" w:hAnsi="宋体"/>
          <w:lang w:val="zh-CN"/>
        </w:rPr>
        <w:t>外不得放弃或拒绝签订合同的。放弃或拒绝签订合同的，在三年内不得参加南京市江宁区政府采购中心组织的政府采购活动。</w:t>
      </w:r>
      <w:bookmarkEnd w:id="35"/>
    </w:p>
    <w:p>
      <w:pPr>
        <w:autoSpaceDE w:val="0"/>
        <w:autoSpaceDN w:val="0"/>
        <w:adjustRightInd w:val="0"/>
        <w:ind w:firstLine="420"/>
        <w:rPr>
          <w:rFonts w:hint="eastAsia" w:ascii="宋体" w:hAnsi="宋体"/>
          <w:b/>
        </w:rPr>
      </w:pPr>
      <w:r>
        <w:rPr>
          <w:rFonts w:hint="eastAsia" w:ascii="宋体" w:hAnsi="宋体"/>
          <w:b/>
          <w:lang w:val="zh-CN"/>
        </w:rPr>
        <w:t>24、</w:t>
      </w:r>
      <w:r>
        <w:rPr>
          <w:rFonts w:ascii="宋体" w:hAnsi="宋体"/>
          <w:b/>
        </w:rPr>
        <w:t>编写评标报告</w:t>
      </w:r>
    </w:p>
    <w:p>
      <w:pPr>
        <w:autoSpaceDE w:val="0"/>
        <w:autoSpaceDN w:val="0"/>
        <w:adjustRightInd w:val="0"/>
        <w:ind w:firstLine="420"/>
        <w:rPr>
          <w:rFonts w:hint="eastAsia" w:ascii="宋体" w:hAnsi="宋体"/>
          <w:lang w:val="zh-CN"/>
        </w:rPr>
      </w:pPr>
      <w:r>
        <w:rPr>
          <w:rFonts w:ascii="宋体" w:hAnsi="宋体"/>
        </w:rPr>
        <w:t>评标委员会根据全体评标成员签字的原始评标记录和评标结果编写</w:t>
      </w:r>
      <w:r>
        <w:rPr>
          <w:rFonts w:hint="eastAsia" w:ascii="宋体" w:hAnsi="宋体"/>
        </w:rPr>
        <w:t>评标</w:t>
      </w:r>
      <w:r>
        <w:rPr>
          <w:rFonts w:ascii="宋体" w:hAnsi="宋体"/>
        </w:rPr>
        <w:t>报告</w:t>
      </w:r>
      <w:r>
        <w:rPr>
          <w:rFonts w:hint="eastAsia" w:ascii="宋体" w:hAnsi="宋体"/>
        </w:rPr>
        <w:t>。</w:t>
      </w:r>
    </w:p>
    <w:p>
      <w:pPr>
        <w:autoSpaceDE w:val="0"/>
        <w:autoSpaceDN w:val="0"/>
        <w:adjustRightInd w:val="0"/>
        <w:ind w:firstLine="420"/>
        <w:outlineLvl w:val="1"/>
        <w:rPr>
          <w:rFonts w:ascii="宋体" w:hAnsi="宋体"/>
          <w:b/>
          <w:lang w:val="zh-CN"/>
        </w:rPr>
      </w:pPr>
      <w:bookmarkStart w:id="36" w:name="_Toc10720977"/>
      <w:bookmarkStart w:id="37" w:name="_Toc11051712"/>
      <w:bookmarkStart w:id="38" w:name="_Toc274907018"/>
      <w:bookmarkStart w:id="39" w:name="_Toc11428"/>
      <w:bookmarkStart w:id="40" w:name="_Toc338684365"/>
      <w:bookmarkStart w:id="41" w:name="_Toc401304071"/>
      <w:r>
        <w:rPr>
          <w:rFonts w:hint="eastAsia" w:ascii="宋体" w:hAnsi="宋体"/>
          <w:b/>
          <w:lang w:val="zh-CN"/>
        </w:rPr>
        <w:t>五、签订合同</w:t>
      </w:r>
      <w:bookmarkEnd w:id="36"/>
      <w:bookmarkEnd w:id="37"/>
      <w:bookmarkEnd w:id="38"/>
      <w:bookmarkEnd w:id="39"/>
      <w:bookmarkEnd w:id="40"/>
      <w:bookmarkEnd w:id="41"/>
    </w:p>
    <w:p>
      <w:pPr>
        <w:autoSpaceDE w:val="0"/>
        <w:autoSpaceDN w:val="0"/>
        <w:adjustRightInd w:val="0"/>
        <w:ind w:firstLine="420"/>
        <w:rPr>
          <w:rFonts w:ascii="宋体" w:hAnsi="宋体"/>
          <w:b/>
          <w:color w:val="000000"/>
          <w:lang w:val="zh-CN"/>
        </w:rPr>
      </w:pPr>
      <w:r>
        <w:rPr>
          <w:rFonts w:ascii="宋体" w:hAnsi="宋体"/>
          <w:b/>
          <w:color w:val="000000"/>
          <w:lang w:val="zh-CN"/>
        </w:rPr>
        <w:t>2</w:t>
      </w:r>
      <w:r>
        <w:rPr>
          <w:rFonts w:hint="eastAsia" w:ascii="宋体" w:hAnsi="宋体"/>
          <w:b/>
          <w:color w:val="000000"/>
          <w:lang w:val="zh-CN"/>
        </w:rPr>
        <w:t>5、签订合同</w:t>
      </w:r>
    </w:p>
    <w:p>
      <w:pPr>
        <w:autoSpaceDE w:val="0"/>
        <w:autoSpaceDN w:val="0"/>
        <w:adjustRightInd w:val="0"/>
        <w:ind w:firstLine="420"/>
        <w:rPr>
          <w:rFonts w:ascii="宋体" w:hAnsi="宋体"/>
          <w:color w:val="000000"/>
          <w:lang w:val="zh-CN"/>
        </w:rPr>
      </w:pPr>
      <w:r>
        <w:rPr>
          <w:rFonts w:ascii="宋体" w:hAnsi="宋体"/>
          <w:color w:val="000000"/>
          <w:lang w:val="zh-CN"/>
        </w:rPr>
        <w:t>2</w:t>
      </w:r>
      <w:r>
        <w:rPr>
          <w:rFonts w:hint="eastAsia" w:ascii="宋体" w:hAnsi="宋体"/>
          <w:color w:val="000000"/>
          <w:lang w:val="zh-CN"/>
        </w:rPr>
        <w:t>5</w:t>
      </w:r>
      <w:r>
        <w:rPr>
          <w:rFonts w:ascii="宋体" w:hAnsi="宋体"/>
          <w:color w:val="000000"/>
          <w:lang w:val="zh-CN"/>
        </w:rPr>
        <w:t>.1</w:t>
      </w:r>
      <w:r>
        <w:rPr>
          <w:rFonts w:hint="eastAsia" w:ascii="宋体" w:hAnsi="宋体"/>
          <w:color w:val="000000"/>
          <w:szCs w:val="21"/>
          <w:lang w:val="zh-CN"/>
        </w:rPr>
        <w:t>中标供应商应当自中标通知书发出之日起三十日内，按照招标文件和中标供应商投标文件的约定与招标人签订政府采购合同</w:t>
      </w:r>
      <w:r>
        <w:rPr>
          <w:rFonts w:hint="eastAsia" w:ascii="宋体" w:hAnsi="宋体" w:cs="仿宋_GB2312"/>
          <w:color w:val="000000"/>
          <w:szCs w:val="21"/>
          <w:lang w:val="zh-CN"/>
        </w:rPr>
        <w:t>，</w:t>
      </w:r>
      <w:r>
        <w:rPr>
          <w:rFonts w:hint="eastAsia" w:ascii="宋体" w:hAnsi="宋体"/>
          <w:color w:val="000000"/>
          <w:szCs w:val="21"/>
          <w:lang w:val="zh-CN"/>
        </w:rPr>
        <w:t>所签订的合同不得对招标文件和中标供应商投标文件作实质性修改。</w:t>
      </w:r>
      <w:r>
        <w:rPr>
          <w:rFonts w:hint="eastAsia" w:ascii="宋体" w:hAnsi="宋体"/>
          <w:color w:val="000000"/>
          <w:lang w:val="zh-CN"/>
        </w:rPr>
        <w:t xml:space="preserve"> </w:t>
      </w:r>
    </w:p>
    <w:p>
      <w:pPr>
        <w:ind w:firstLine="420" w:firstLineChars="200"/>
        <w:rPr>
          <w:rFonts w:hint="eastAsia" w:ascii="宋体" w:hAnsi="宋体"/>
          <w:color w:val="000000"/>
        </w:rPr>
      </w:pPr>
      <w:r>
        <w:rPr>
          <w:rFonts w:ascii="宋体" w:hAnsi="宋体"/>
          <w:color w:val="000000"/>
          <w:lang w:val="zh-CN"/>
        </w:rPr>
        <w:t>2</w:t>
      </w:r>
      <w:r>
        <w:rPr>
          <w:rFonts w:hint="eastAsia" w:ascii="宋体" w:hAnsi="宋体"/>
          <w:color w:val="000000"/>
          <w:lang w:val="zh-CN"/>
        </w:rPr>
        <w:t>5</w:t>
      </w:r>
      <w:r>
        <w:rPr>
          <w:rFonts w:ascii="宋体" w:hAnsi="宋体"/>
          <w:color w:val="000000"/>
          <w:lang w:val="zh-CN"/>
        </w:rPr>
        <w:t>.2</w:t>
      </w:r>
      <w:r>
        <w:rPr>
          <w:rFonts w:hint="eastAsia" w:ascii="宋体" w:hAnsi="宋体"/>
          <w:color w:val="000000"/>
        </w:rPr>
        <w:t>招标人不得向中标供应商提出任何不合理的要求作为签订合同的条件，不得与中标供应商私下订立背离合同实质性内容的协议。</w:t>
      </w:r>
    </w:p>
    <w:p>
      <w:pPr>
        <w:autoSpaceDE w:val="0"/>
        <w:autoSpaceDN w:val="0"/>
        <w:adjustRightInd w:val="0"/>
        <w:ind w:firstLine="420"/>
        <w:rPr>
          <w:rFonts w:hint="eastAsia" w:ascii="宋体" w:hAnsi="宋体"/>
          <w:color w:val="000000"/>
          <w:lang w:val="zh-CN"/>
        </w:rPr>
      </w:pPr>
      <w:r>
        <w:rPr>
          <w:rFonts w:hint="eastAsia" w:ascii="宋体" w:hAnsi="宋体"/>
          <w:color w:val="000000"/>
        </w:rPr>
        <w:t xml:space="preserve">25.3 </w:t>
      </w:r>
      <w:r>
        <w:rPr>
          <w:rFonts w:hint="eastAsia" w:ascii="宋体" w:hAnsi="宋体"/>
          <w:color w:val="000000"/>
          <w:lang w:val="zh-CN"/>
        </w:rPr>
        <w:t>中标供应商因不可抗力或者自身原因不能履行政府采购合同的，招标人可以视情与排位在中标供应商之后第一位的中标候选供应商签订政府采购合同，以此类推。</w:t>
      </w:r>
    </w:p>
    <w:p>
      <w:pPr>
        <w:autoSpaceDE w:val="0"/>
        <w:autoSpaceDN w:val="0"/>
        <w:adjustRightInd w:val="0"/>
        <w:ind w:firstLine="420"/>
        <w:rPr>
          <w:rFonts w:hint="eastAsia" w:ascii="宋体" w:hAnsi="宋体"/>
          <w:color w:val="000000"/>
          <w:lang w:val="zh-CN"/>
        </w:rPr>
      </w:pPr>
      <w:r>
        <w:rPr>
          <w:rFonts w:hint="eastAsia" w:ascii="宋体" w:hAnsi="宋体"/>
          <w:color w:val="000000"/>
          <w:lang w:val="zh-CN"/>
        </w:rPr>
        <w:t>25.4 政府采购合同履行中，招标人需追加与合同标的相同的货物的，在不改变合同其他条款的前提下，可以与供应商协商签订补充合同，但所有补充合同的采购金额不得超过原合同采购金额的百分之十。</w:t>
      </w:r>
    </w:p>
    <w:p>
      <w:pPr>
        <w:autoSpaceDE w:val="0"/>
        <w:autoSpaceDN w:val="0"/>
        <w:adjustRightInd w:val="0"/>
        <w:ind w:firstLine="420"/>
        <w:outlineLvl w:val="1"/>
        <w:rPr>
          <w:rFonts w:ascii="宋体" w:hAnsi="宋体"/>
          <w:b/>
          <w:lang w:val="zh-CN"/>
        </w:rPr>
      </w:pPr>
      <w:bookmarkStart w:id="42" w:name="_Toc401304072"/>
      <w:bookmarkStart w:id="43" w:name="_Toc10720978"/>
      <w:bookmarkStart w:id="44" w:name="_Toc3807"/>
      <w:bookmarkStart w:id="45" w:name="_Toc274907019"/>
      <w:bookmarkStart w:id="46" w:name="_Toc11051713"/>
      <w:bookmarkStart w:id="47" w:name="_Toc338684366"/>
      <w:r>
        <w:rPr>
          <w:rFonts w:hint="eastAsia" w:ascii="宋体" w:hAnsi="宋体"/>
          <w:b/>
          <w:lang w:val="zh-CN"/>
        </w:rPr>
        <w:t>六、质疑和投诉</w:t>
      </w:r>
      <w:bookmarkEnd w:id="42"/>
      <w:bookmarkEnd w:id="43"/>
      <w:bookmarkEnd w:id="44"/>
      <w:bookmarkEnd w:id="45"/>
      <w:bookmarkEnd w:id="46"/>
      <w:bookmarkEnd w:id="47"/>
    </w:p>
    <w:p>
      <w:pPr>
        <w:autoSpaceDE w:val="0"/>
        <w:autoSpaceDN w:val="0"/>
        <w:adjustRightInd w:val="0"/>
        <w:ind w:firstLine="420"/>
        <w:rPr>
          <w:rFonts w:ascii="宋体" w:hAnsi="宋体"/>
          <w:b/>
          <w:lang w:val="zh-CN"/>
        </w:rPr>
      </w:pPr>
      <w:r>
        <w:rPr>
          <w:rFonts w:ascii="宋体" w:hAnsi="宋体"/>
          <w:b/>
          <w:lang w:val="zh-CN"/>
        </w:rPr>
        <w:t>2</w:t>
      </w:r>
      <w:r>
        <w:rPr>
          <w:rFonts w:hint="eastAsia" w:ascii="宋体" w:hAnsi="宋体"/>
          <w:b/>
          <w:lang w:val="zh-CN"/>
        </w:rPr>
        <w:t>6、质疑和投诉</w:t>
      </w:r>
    </w:p>
    <w:p>
      <w:pPr>
        <w:autoSpaceDE w:val="0"/>
        <w:autoSpaceDN w:val="0"/>
        <w:adjustRightInd w:val="0"/>
        <w:ind w:firstLine="420"/>
        <w:rPr>
          <w:rFonts w:ascii="宋体" w:hAnsi="宋体"/>
          <w:b/>
          <w:lang w:val="zh-CN"/>
        </w:rPr>
      </w:pPr>
      <w:r>
        <w:rPr>
          <w:rFonts w:ascii="宋体" w:hAnsi="宋体"/>
          <w:lang w:val="zh-CN"/>
        </w:rPr>
        <w:t>2</w:t>
      </w:r>
      <w:r>
        <w:rPr>
          <w:rFonts w:hint="eastAsia" w:ascii="宋体" w:hAnsi="宋体"/>
          <w:lang w:val="zh-CN"/>
        </w:rPr>
        <w:t>6</w:t>
      </w:r>
      <w:r>
        <w:rPr>
          <w:rFonts w:ascii="宋体" w:hAnsi="宋体"/>
          <w:lang w:val="zh-CN"/>
        </w:rPr>
        <w:t>.1</w:t>
      </w:r>
      <w:r>
        <w:rPr>
          <w:rFonts w:hint="eastAsia" w:ascii="宋体" w:hAnsi="宋体"/>
          <w:lang w:val="zh-CN"/>
        </w:rPr>
        <w:t xml:space="preserve"> 投标供应商对招标活动事项有疑问的，可以向</w:t>
      </w:r>
      <w:r>
        <w:rPr>
          <w:rFonts w:hint="eastAsia" w:ascii="宋体" w:hAnsi="宋体"/>
          <w:szCs w:val="21"/>
          <w:lang w:val="zh-CN"/>
        </w:rPr>
        <w:t>招标代理机构或招标人</w:t>
      </w:r>
      <w:r>
        <w:rPr>
          <w:rFonts w:hint="eastAsia" w:ascii="宋体" w:hAnsi="宋体"/>
          <w:lang w:val="zh-CN"/>
        </w:rPr>
        <w:t>提出询问，</w:t>
      </w:r>
      <w:r>
        <w:rPr>
          <w:rFonts w:hint="eastAsia" w:ascii="宋体" w:hAnsi="宋体"/>
          <w:szCs w:val="21"/>
          <w:lang w:val="zh-CN"/>
        </w:rPr>
        <w:t>招标代理机构或招标人</w:t>
      </w:r>
      <w:r>
        <w:rPr>
          <w:rFonts w:hint="eastAsia" w:ascii="宋体" w:hAnsi="宋体"/>
          <w:lang w:val="zh-CN"/>
        </w:rPr>
        <w:t>将依法作出答复，但答复的内容不涉及商业秘密</w:t>
      </w:r>
      <w:r>
        <w:rPr>
          <w:rFonts w:hint="eastAsia" w:ascii="宋体" w:hAnsi="宋体"/>
          <w:b/>
          <w:lang w:val="zh-CN"/>
        </w:rPr>
        <w:t>。</w:t>
      </w:r>
    </w:p>
    <w:p>
      <w:pPr>
        <w:autoSpaceDE w:val="0"/>
        <w:autoSpaceDN w:val="0"/>
        <w:adjustRightInd w:val="0"/>
        <w:ind w:firstLine="420"/>
        <w:rPr>
          <w:rFonts w:hint="eastAsia" w:ascii="宋体" w:hAnsi="宋体"/>
          <w:lang w:val="zh-CN"/>
        </w:rPr>
      </w:pPr>
      <w:r>
        <w:rPr>
          <w:rFonts w:ascii="宋体" w:hAnsi="宋体"/>
          <w:lang w:val="zh-CN"/>
        </w:rPr>
        <w:t>2</w:t>
      </w:r>
      <w:r>
        <w:rPr>
          <w:rFonts w:hint="eastAsia" w:ascii="宋体" w:hAnsi="宋体"/>
          <w:lang w:val="zh-CN"/>
        </w:rPr>
        <w:t>6</w:t>
      </w:r>
      <w:r>
        <w:rPr>
          <w:rFonts w:ascii="宋体" w:hAnsi="宋体"/>
          <w:lang w:val="zh-CN"/>
        </w:rPr>
        <w:t>.2</w:t>
      </w:r>
      <w:r>
        <w:rPr>
          <w:rFonts w:hint="eastAsia" w:ascii="宋体" w:hAnsi="宋体"/>
          <w:lang w:val="zh-CN"/>
        </w:rPr>
        <w:t xml:space="preserve"> 投标供应商认为招标文件、招标过程和中标结果使自己的合法权益受到损害的，可以在知道或者应当知道其权益受到损害之日起</w:t>
      </w:r>
      <w:r>
        <w:rPr>
          <w:rFonts w:ascii="宋体" w:hAnsi="宋体"/>
          <w:lang w:val="zh-CN"/>
        </w:rPr>
        <w:t>7</w:t>
      </w:r>
      <w:r>
        <w:rPr>
          <w:rFonts w:hint="eastAsia" w:ascii="宋体" w:hAnsi="宋体"/>
          <w:lang w:val="zh-CN"/>
        </w:rPr>
        <w:t>个工作日内，以书面形式向</w:t>
      </w:r>
      <w:r>
        <w:rPr>
          <w:rFonts w:hint="eastAsia" w:ascii="宋体" w:hAnsi="宋体"/>
          <w:szCs w:val="21"/>
          <w:lang w:val="zh-CN"/>
        </w:rPr>
        <w:t>招标代理机构或招标人</w:t>
      </w:r>
      <w:r>
        <w:rPr>
          <w:rFonts w:hint="eastAsia" w:ascii="宋体" w:hAnsi="宋体"/>
          <w:lang w:val="zh-CN"/>
        </w:rPr>
        <w:t>提出质疑。</w:t>
      </w:r>
    </w:p>
    <w:p>
      <w:pPr>
        <w:autoSpaceDE w:val="0"/>
        <w:autoSpaceDN w:val="0"/>
        <w:adjustRightInd w:val="0"/>
        <w:ind w:firstLine="420" w:firstLineChars="200"/>
        <w:rPr>
          <w:rFonts w:hint="eastAsia" w:ascii="宋体" w:hAnsi="宋体"/>
        </w:rPr>
      </w:pPr>
      <w:r>
        <w:rPr>
          <w:rFonts w:hint="eastAsia" w:ascii="宋体" w:hAnsi="宋体"/>
          <w:lang w:val="zh-CN"/>
        </w:rPr>
        <w:t>26.3 质疑文件应包括以下主要内容，并</w:t>
      </w:r>
      <w:r>
        <w:rPr>
          <w:rFonts w:hint="eastAsia" w:ascii="宋体" w:hAnsi="宋体"/>
        </w:rPr>
        <w:t>按照</w:t>
      </w:r>
      <w:r>
        <w:rPr>
          <w:rFonts w:ascii="宋体" w:hAnsi="宋体"/>
        </w:rPr>
        <w:t>“</w:t>
      </w:r>
      <w:r>
        <w:rPr>
          <w:rFonts w:hint="eastAsia" w:ascii="宋体" w:hAnsi="宋体"/>
        </w:rPr>
        <w:t>谁主张、谁举证</w:t>
      </w:r>
      <w:r>
        <w:rPr>
          <w:rFonts w:ascii="宋体" w:hAnsi="宋体"/>
        </w:rPr>
        <w:t>”</w:t>
      </w:r>
      <w:r>
        <w:rPr>
          <w:rFonts w:hint="eastAsia" w:ascii="宋体" w:hAnsi="宋体"/>
        </w:rPr>
        <w:t>的原则，附上相关证明材料。否则，</w:t>
      </w:r>
      <w:r>
        <w:rPr>
          <w:rFonts w:hint="eastAsia" w:ascii="宋体" w:hAnsi="宋体"/>
          <w:szCs w:val="21"/>
          <w:lang w:val="zh-CN"/>
        </w:rPr>
        <w:t>招标代理机构或招标人</w:t>
      </w:r>
      <w:r>
        <w:rPr>
          <w:rFonts w:hint="eastAsia" w:ascii="宋体" w:hAnsi="宋体"/>
        </w:rPr>
        <w:t>不予受理：</w:t>
      </w:r>
    </w:p>
    <w:p>
      <w:pPr>
        <w:autoSpaceDE w:val="0"/>
        <w:autoSpaceDN w:val="0"/>
        <w:adjustRightInd w:val="0"/>
        <w:ind w:left="420" w:leftChars="200"/>
        <w:rPr>
          <w:rFonts w:hint="eastAsia" w:ascii="宋体" w:hAnsi="宋体"/>
          <w:lang w:val="zh-CN"/>
        </w:rPr>
      </w:pPr>
      <w:r>
        <w:rPr>
          <w:rFonts w:hint="eastAsia" w:ascii="宋体" w:hAnsi="宋体"/>
        </w:rPr>
        <w:t>（1）质疑项目名称、项目编号、招标公告发布时间、开标时间；</w:t>
      </w:r>
    </w:p>
    <w:p>
      <w:pPr>
        <w:autoSpaceDE w:val="0"/>
        <w:autoSpaceDN w:val="0"/>
        <w:adjustRightInd w:val="0"/>
        <w:ind w:firstLine="420"/>
        <w:rPr>
          <w:rFonts w:hint="eastAsia" w:ascii="宋体" w:hAnsi="宋体"/>
          <w:lang w:val="zh-CN"/>
        </w:rPr>
      </w:pPr>
      <w:r>
        <w:rPr>
          <w:rFonts w:hint="eastAsia" w:ascii="宋体" w:hAnsi="宋体"/>
          <w:lang w:val="zh-CN"/>
        </w:rPr>
        <w:t>（2）具体的质疑事项及法律依据（具体条款）；</w:t>
      </w:r>
    </w:p>
    <w:p>
      <w:pPr>
        <w:autoSpaceDE w:val="0"/>
        <w:autoSpaceDN w:val="0"/>
        <w:adjustRightInd w:val="0"/>
        <w:ind w:firstLine="420"/>
        <w:rPr>
          <w:rFonts w:hint="eastAsia" w:ascii="宋体" w:hAnsi="宋体"/>
          <w:lang w:val="zh-CN"/>
        </w:rPr>
      </w:pPr>
      <w:r>
        <w:rPr>
          <w:rFonts w:hint="eastAsia" w:ascii="宋体" w:hAnsi="宋体"/>
          <w:lang w:val="zh-CN"/>
        </w:rPr>
        <w:t>（3）质疑相关证明文件或证明材料，如果涉及到产品功能或技术指标的，应出具相关制造商的证明文件；</w:t>
      </w:r>
    </w:p>
    <w:p>
      <w:pPr>
        <w:autoSpaceDE w:val="0"/>
        <w:autoSpaceDN w:val="0"/>
        <w:adjustRightInd w:val="0"/>
        <w:ind w:firstLine="420"/>
        <w:rPr>
          <w:rFonts w:hint="eastAsia" w:ascii="宋体" w:hAnsi="宋体"/>
          <w:lang w:val="zh-CN"/>
        </w:rPr>
      </w:pPr>
      <w:r>
        <w:rPr>
          <w:rFonts w:hint="eastAsia" w:ascii="宋体" w:hAnsi="宋体"/>
          <w:lang w:val="zh-CN"/>
        </w:rPr>
        <w:t>（4）质疑供应商名称、地址、联系方式</w:t>
      </w:r>
      <w:r>
        <w:rPr>
          <w:rFonts w:hint="eastAsia" w:ascii="宋体" w:hAnsi="宋体"/>
        </w:rPr>
        <w:t>（包括手机、传真号码）</w:t>
      </w:r>
      <w:r>
        <w:rPr>
          <w:rFonts w:hint="eastAsia" w:ascii="宋体" w:hAnsi="宋体"/>
          <w:lang w:val="zh-CN"/>
        </w:rPr>
        <w:t>；</w:t>
      </w:r>
    </w:p>
    <w:p>
      <w:pPr>
        <w:autoSpaceDE w:val="0"/>
        <w:autoSpaceDN w:val="0"/>
        <w:adjustRightInd w:val="0"/>
        <w:ind w:firstLine="420"/>
        <w:rPr>
          <w:rFonts w:hint="eastAsia" w:ascii="宋体" w:hAnsi="宋体"/>
          <w:lang w:val="zh-CN"/>
        </w:rPr>
      </w:pPr>
      <w:r>
        <w:rPr>
          <w:rFonts w:hint="eastAsia" w:ascii="宋体" w:hAnsi="宋体"/>
          <w:lang w:val="zh-CN"/>
        </w:rPr>
        <w:t>（5）法定代表人</w:t>
      </w:r>
      <w:r>
        <w:rPr>
          <w:rFonts w:hint="eastAsia" w:ascii="宋体" w:hAnsi="宋体"/>
        </w:rPr>
        <w:t>签署本人姓名或印盖本人姓名章并加盖单位公章，</w:t>
      </w:r>
      <w:r>
        <w:rPr>
          <w:rFonts w:hint="eastAsia" w:ascii="宋体" w:hAnsi="宋体"/>
          <w:lang w:val="zh-CN"/>
        </w:rPr>
        <w:t>或</w:t>
      </w:r>
      <w:r>
        <w:rPr>
          <w:rFonts w:hint="eastAsia" w:ascii="宋体" w:hAnsi="宋体"/>
        </w:rPr>
        <w:t>法定代表人特别授权加盖单位公章，并由参加采购项目的</w:t>
      </w:r>
      <w:r>
        <w:rPr>
          <w:rFonts w:hint="eastAsia" w:ascii="宋体" w:hAnsi="宋体"/>
          <w:lang w:val="zh-CN"/>
        </w:rPr>
        <w:t>授权代表</w:t>
      </w:r>
      <w:r>
        <w:rPr>
          <w:rFonts w:hint="eastAsia" w:ascii="宋体" w:hAnsi="宋体"/>
        </w:rPr>
        <w:t>签署本人姓名或印盖本人姓名章</w:t>
      </w:r>
      <w:r>
        <w:rPr>
          <w:rFonts w:hint="eastAsia" w:ascii="宋体" w:hAnsi="宋体"/>
          <w:lang w:val="zh-CN"/>
        </w:rPr>
        <w:t>等。</w:t>
      </w:r>
    </w:p>
    <w:p>
      <w:pPr>
        <w:autoSpaceDE w:val="0"/>
        <w:autoSpaceDN w:val="0"/>
        <w:adjustRightInd w:val="0"/>
        <w:ind w:firstLine="420"/>
        <w:rPr>
          <w:rFonts w:hint="eastAsia" w:ascii="宋体" w:hAnsi="宋体"/>
        </w:rPr>
      </w:pPr>
      <w:r>
        <w:rPr>
          <w:rFonts w:hint="eastAsia" w:ascii="宋体" w:hAnsi="宋体"/>
          <w:lang w:val="zh-CN"/>
        </w:rPr>
        <w:t>26.4 投标供应商不得虚假质疑和恶意质疑，并对质疑内容的真实性承担责任。</w:t>
      </w:r>
      <w:r>
        <w:rPr>
          <w:rFonts w:hint="eastAsia" w:ascii="宋体" w:hAnsi="宋体"/>
        </w:rPr>
        <w:t>投标供应商或者其他利害关系人通过捏造事实、伪造证明材料等方式提出异议或投诉，阻碍招投标活动正常进行的，属于严重不良行为，</w:t>
      </w:r>
      <w:r>
        <w:rPr>
          <w:rFonts w:hint="eastAsia" w:ascii="宋体" w:hAnsi="宋体"/>
          <w:szCs w:val="21"/>
          <w:lang w:val="zh-CN"/>
        </w:rPr>
        <w:t>招标代理机构或招标人</w:t>
      </w:r>
      <w:r>
        <w:rPr>
          <w:rFonts w:hint="eastAsia" w:ascii="宋体" w:hAnsi="宋体"/>
        </w:rPr>
        <w:t>将提请财政部门列入不良行为记录名单，并依法予以处罚。</w:t>
      </w:r>
    </w:p>
    <w:p>
      <w:pPr>
        <w:autoSpaceDE w:val="0"/>
        <w:autoSpaceDN w:val="0"/>
        <w:adjustRightInd w:val="0"/>
        <w:ind w:firstLine="420"/>
        <w:rPr>
          <w:rFonts w:ascii="宋体" w:hAnsi="宋体"/>
          <w:lang w:val="zh-CN"/>
        </w:rPr>
      </w:pPr>
      <w:r>
        <w:rPr>
          <w:rFonts w:hint="eastAsia" w:ascii="宋体" w:hAnsi="宋体"/>
        </w:rPr>
        <w:t xml:space="preserve">26.5 </w:t>
      </w:r>
      <w:r>
        <w:rPr>
          <w:rFonts w:hint="eastAsia" w:ascii="宋体" w:hAnsi="宋体"/>
          <w:szCs w:val="21"/>
          <w:lang w:val="zh-CN"/>
        </w:rPr>
        <w:t>招标代理机构或招标人</w:t>
      </w:r>
      <w:r>
        <w:rPr>
          <w:rFonts w:hint="eastAsia" w:ascii="宋体" w:hAnsi="宋体"/>
        </w:rPr>
        <w:t>在收到投标供应商的书面质疑后将及时组织调查核实，在</w:t>
      </w:r>
      <w:r>
        <w:rPr>
          <w:rFonts w:ascii="宋体" w:hAnsi="宋体"/>
          <w:b/>
          <w:lang w:val="zh-CN"/>
        </w:rPr>
        <w:t>7</w:t>
      </w:r>
      <w:r>
        <w:rPr>
          <w:rFonts w:hint="eastAsia" w:ascii="宋体" w:hAnsi="宋体"/>
          <w:b/>
          <w:lang w:val="zh-CN"/>
        </w:rPr>
        <w:t>个工作日内</w:t>
      </w:r>
      <w:r>
        <w:rPr>
          <w:rFonts w:hint="eastAsia" w:ascii="宋体" w:hAnsi="宋体"/>
          <w:lang w:val="zh-CN"/>
        </w:rPr>
        <w:t>作出答复，并以书面或在网站公告形式通知质疑投标供应商和其他有关投标供应商，答复的内容不涉及商业秘密。</w:t>
      </w:r>
      <w:r>
        <w:rPr>
          <w:rFonts w:hint="eastAsia" w:ascii="宋体" w:hAnsi="宋体"/>
          <w:szCs w:val="21"/>
          <w:lang w:val="zh-CN"/>
        </w:rPr>
        <w:t>招标代理机构或招标人</w:t>
      </w:r>
      <w:r>
        <w:rPr>
          <w:rFonts w:hint="eastAsia" w:ascii="宋体" w:hAnsi="宋体"/>
        </w:rPr>
        <w:t>遵循“谁</w:t>
      </w:r>
      <w:r>
        <w:rPr>
          <w:rFonts w:ascii="宋体" w:hAnsi="宋体"/>
        </w:rPr>
        <w:t>过错</w:t>
      </w:r>
      <w:r>
        <w:rPr>
          <w:rFonts w:hint="eastAsia" w:ascii="宋体" w:hAnsi="宋体"/>
        </w:rPr>
        <w:t>谁负担”的</w:t>
      </w:r>
      <w:r>
        <w:rPr>
          <w:rFonts w:ascii="宋体" w:hAnsi="宋体"/>
        </w:rPr>
        <w:t>原则</w:t>
      </w:r>
      <w:r>
        <w:rPr>
          <w:rFonts w:hint="eastAsia" w:ascii="宋体" w:hAnsi="宋体"/>
        </w:rPr>
        <w:t>，有过错的一方承担调查论证费用。</w:t>
      </w:r>
    </w:p>
    <w:p>
      <w:pPr>
        <w:ind w:firstLine="420" w:firstLineChars="200"/>
        <w:rPr>
          <w:rFonts w:ascii="宋体" w:hAnsi="宋体"/>
          <w:lang w:val="zh-CN"/>
        </w:rPr>
      </w:pPr>
      <w:r>
        <w:rPr>
          <w:rFonts w:ascii="宋体" w:hAnsi="宋体"/>
          <w:lang w:val="zh-CN"/>
        </w:rPr>
        <w:t>2</w:t>
      </w:r>
      <w:r>
        <w:rPr>
          <w:rFonts w:hint="eastAsia" w:ascii="宋体" w:hAnsi="宋体"/>
          <w:lang w:val="zh-CN"/>
        </w:rPr>
        <w:t>6.6</w:t>
      </w:r>
      <w:r>
        <w:rPr>
          <w:rFonts w:ascii="宋体" w:hAnsi="宋体"/>
          <w:lang w:val="zh-CN"/>
        </w:rPr>
        <w:t xml:space="preserve"> </w:t>
      </w:r>
      <w:r>
        <w:rPr>
          <w:rFonts w:hint="eastAsia" w:ascii="宋体" w:hAnsi="宋体"/>
          <w:lang w:val="zh-CN"/>
        </w:rPr>
        <w:t>质疑投标供应商对</w:t>
      </w:r>
      <w:r>
        <w:rPr>
          <w:rFonts w:hint="eastAsia" w:ascii="宋体" w:hAnsi="宋体"/>
          <w:szCs w:val="21"/>
          <w:lang w:val="zh-CN"/>
        </w:rPr>
        <w:t>招标代理机构或招标人</w:t>
      </w:r>
      <w:r>
        <w:rPr>
          <w:rFonts w:hint="eastAsia" w:ascii="宋体" w:hAnsi="宋体"/>
          <w:lang w:val="zh-CN"/>
        </w:rPr>
        <w:t>的答复不满意，或</w:t>
      </w:r>
      <w:r>
        <w:rPr>
          <w:rFonts w:hint="eastAsia" w:ascii="宋体" w:hAnsi="宋体"/>
          <w:szCs w:val="21"/>
          <w:lang w:val="zh-CN"/>
        </w:rPr>
        <w:t>招标代理机构或招标人</w:t>
      </w:r>
      <w:r>
        <w:rPr>
          <w:rFonts w:hint="eastAsia" w:ascii="宋体" w:hAnsi="宋体"/>
          <w:lang w:val="zh-CN"/>
        </w:rPr>
        <w:t>未在规定的时间内作出答复的，可以在答复期满后</w:t>
      </w:r>
      <w:r>
        <w:rPr>
          <w:rFonts w:ascii="宋体" w:hAnsi="宋体"/>
          <w:b/>
          <w:lang w:val="zh-CN"/>
        </w:rPr>
        <w:t>15</w:t>
      </w:r>
      <w:r>
        <w:rPr>
          <w:rFonts w:hint="eastAsia" w:ascii="宋体" w:hAnsi="宋体"/>
          <w:b/>
          <w:lang w:val="zh-CN"/>
        </w:rPr>
        <w:t>个工作日内</w:t>
      </w:r>
      <w:r>
        <w:rPr>
          <w:rFonts w:hint="eastAsia" w:ascii="宋体" w:hAnsi="宋体"/>
          <w:lang w:val="zh-CN"/>
        </w:rPr>
        <w:t>向南京市江宁区财政局投诉。</w:t>
      </w:r>
    </w:p>
    <w:p>
      <w:pPr>
        <w:spacing w:line="360" w:lineRule="auto"/>
        <w:jc w:val="center"/>
        <w:rPr>
          <w:rFonts w:ascii="宋体" w:hAnsi="宋体"/>
          <w:sz w:val="36"/>
          <w:szCs w:val="36"/>
        </w:rPr>
      </w:pPr>
      <w:r>
        <w:rPr>
          <w:rFonts w:ascii="宋体" w:hAnsi="宋体"/>
          <w:lang w:val="zh-CN"/>
        </w:rPr>
        <w:br w:type="page"/>
      </w:r>
      <w:bookmarkStart w:id="48" w:name="_Toc274907020"/>
      <w:bookmarkStart w:id="49" w:name="_Toc6788"/>
      <w:bookmarkStart w:id="50" w:name="_Toc401304073"/>
      <w:bookmarkStart w:id="51" w:name="_Toc338684367"/>
      <w:r>
        <w:rPr>
          <w:rStyle w:val="38"/>
          <w:rFonts w:hint="eastAsia" w:hAnsi="宋体" w:eastAsia="宋体"/>
          <w:szCs w:val="36"/>
          <w:lang w:val="zh-CN"/>
        </w:rPr>
        <w:t>第三章 招标项目</w:t>
      </w:r>
      <w:r>
        <w:rPr>
          <w:rStyle w:val="38"/>
          <w:rFonts w:hint="eastAsia" w:hAnsi="宋体" w:eastAsia="宋体"/>
          <w:szCs w:val="36"/>
        </w:rPr>
        <w:t>主要内容</w:t>
      </w:r>
      <w:r>
        <w:rPr>
          <w:rStyle w:val="38"/>
          <w:rFonts w:hint="eastAsia" w:hAnsi="宋体" w:eastAsia="宋体"/>
          <w:szCs w:val="36"/>
          <w:lang w:val="zh-CN"/>
        </w:rPr>
        <w:t>、</w:t>
      </w:r>
      <w:bookmarkEnd w:id="48"/>
      <w:bookmarkEnd w:id="49"/>
      <w:bookmarkEnd w:id="50"/>
      <w:bookmarkEnd w:id="51"/>
      <w:r>
        <w:rPr>
          <w:rStyle w:val="38"/>
          <w:rFonts w:hint="eastAsia" w:hAnsi="宋体" w:eastAsia="宋体"/>
          <w:szCs w:val="36"/>
        </w:rPr>
        <w:t>招标需求</w:t>
      </w:r>
    </w:p>
    <w:p>
      <w:pPr>
        <w:tabs>
          <w:tab w:val="center" w:pos="4567"/>
        </w:tabs>
        <w:autoSpaceDE w:val="0"/>
        <w:autoSpaceDN w:val="0"/>
        <w:adjustRightInd w:val="0"/>
        <w:snapToGrid w:val="0"/>
        <w:spacing w:line="360" w:lineRule="auto"/>
        <w:outlineLvl w:val="1"/>
        <w:rPr>
          <w:rFonts w:ascii="黑体" w:hAnsi="宋体" w:eastAsia="黑体"/>
          <w:b/>
          <w:sz w:val="28"/>
          <w:szCs w:val="32"/>
        </w:rPr>
      </w:pPr>
      <w:bookmarkStart w:id="52" w:name="_Toc498764744"/>
      <w:bookmarkStart w:id="53" w:name="_Toc506209112"/>
      <w:bookmarkStart w:id="54" w:name="_Toc513644723"/>
      <w:bookmarkStart w:id="55" w:name="_Toc401449730"/>
      <w:bookmarkStart w:id="56" w:name="_Toc402076311"/>
      <w:bookmarkStart w:id="57" w:name="_Toc9758"/>
      <w:bookmarkStart w:id="58" w:name="_Toc422907291"/>
      <w:r>
        <w:rPr>
          <w:rFonts w:hint="eastAsia" w:ascii="黑体" w:hAnsi="宋体" w:eastAsia="黑体"/>
          <w:b/>
          <w:sz w:val="28"/>
          <w:szCs w:val="32"/>
        </w:rPr>
        <w:t>一、</w:t>
      </w:r>
      <w:r>
        <w:rPr>
          <w:rFonts w:ascii="黑体" w:hAnsi="宋体" w:eastAsia="黑体"/>
          <w:b/>
          <w:sz w:val="28"/>
          <w:szCs w:val="32"/>
        </w:rPr>
        <w:t>项目概述</w:t>
      </w:r>
      <w:bookmarkEnd w:id="52"/>
      <w:bookmarkEnd w:id="53"/>
      <w:bookmarkEnd w:id="54"/>
    </w:p>
    <w:p>
      <w:pPr>
        <w:ind w:firstLine="420" w:firstLineChars="200"/>
        <w:rPr>
          <w:rFonts w:hint="eastAsia" w:ascii="宋体" w:hAnsi="宋体"/>
          <w:szCs w:val="21"/>
          <w:lang w:val="zh-CN"/>
        </w:rPr>
      </w:pPr>
      <w:r>
        <w:rPr>
          <w:rFonts w:hint="eastAsia" w:ascii="宋体" w:hAnsi="宋体"/>
          <w:szCs w:val="21"/>
          <w:lang w:val="zh-CN"/>
        </w:rPr>
        <w:t>为保证东山老城区泵站设施的正常运行，确保在汛期顺利应对汛情，</w:t>
      </w:r>
      <w:r>
        <w:rPr>
          <w:rFonts w:ascii="宋体" w:hAnsi="宋体"/>
          <w:szCs w:val="21"/>
          <w:lang w:val="zh-CN"/>
        </w:rPr>
        <w:t>对</w:t>
      </w:r>
      <w:r>
        <w:rPr>
          <w:rFonts w:hint="eastAsia" w:ascii="宋体" w:hAnsi="宋体"/>
          <w:szCs w:val="21"/>
          <w:lang w:val="zh-CN"/>
        </w:rPr>
        <w:t>陵里泵站、竹山桥泵站（一期）、竹山桥泵站（二期）、新河村泵站、商城泵站、杨家圩泵站、中前泵站、鞭鞍河泵站、城北泵站（一期）、城北泵站（二期）、城北泵站（三期）、孙家头泵站、东沟溢流坝、外港河溢流坝、大桥机械厂泵站</w:t>
      </w:r>
      <w:r>
        <w:rPr>
          <w:rFonts w:ascii="宋体" w:hAnsi="宋体"/>
          <w:szCs w:val="21"/>
          <w:lang w:val="zh-CN"/>
        </w:rPr>
        <w:t>的运维服务实行公开招标，选取泵站运维服务单位。</w:t>
      </w:r>
    </w:p>
    <w:p>
      <w:pPr>
        <w:ind w:firstLine="420" w:firstLineChars="200"/>
        <w:rPr>
          <w:rFonts w:hint="eastAsia" w:ascii="宋体" w:hAnsi="宋体"/>
          <w:szCs w:val="21"/>
          <w:lang w:val="zh-CN"/>
        </w:rPr>
      </w:pPr>
      <w:r>
        <w:rPr>
          <w:rFonts w:hint="eastAsia" w:ascii="宋体" w:hAnsi="宋体"/>
          <w:szCs w:val="21"/>
          <w:lang w:val="zh-CN"/>
        </w:rPr>
        <w:t>本工程分一标（包一，下同）、二标（包二，下同）两个标段招标。投标人可对一标、二标任何一个标段进行投标，也可以对两个标段进行投标，但只能成为其中一个标段的中标人。当投标人同时参与一标和二标的投标，按评分标准计算后，同为两个标段的第一中标候选人，则投标人只能自动成为一标的第一中标候选人，二标的原第二中标候选人自动成为第一中标候选人、原第三候选人自动成为第二中标候选人，如此类推。</w:t>
      </w:r>
    </w:p>
    <w:p>
      <w:pPr>
        <w:ind w:firstLine="420" w:firstLineChars="200"/>
        <w:rPr>
          <w:rFonts w:hint="eastAsia" w:ascii="宋体" w:hAnsi="宋体"/>
          <w:szCs w:val="21"/>
          <w:lang w:val="zh-CN"/>
        </w:rPr>
      </w:pPr>
      <w:r>
        <w:rPr>
          <w:rFonts w:hint="eastAsia" w:ascii="宋体" w:hAnsi="宋体"/>
          <w:szCs w:val="21"/>
          <w:lang w:val="zh-CN"/>
        </w:rPr>
        <w:t>该项目范围：陵里泵站、竹山桥泵站（一期）、竹山桥泵站（二期）、新河村泵站、商城泵站、杨家圩泵站、中前泵站、鞭鞍河泵站、城北泵站（一期）、城北泵站（二期）、城北泵站（三期）、孙家头泵站、东沟溢流坝、外港河溢流坝、大桥机械厂泵站。此次发包分为两个标段。</w:t>
      </w:r>
    </w:p>
    <w:p>
      <w:pPr>
        <w:jc w:val="left"/>
        <w:rPr>
          <w:rFonts w:hint="eastAsia" w:hAnsi="宋体"/>
          <w:b/>
          <w:bCs/>
          <w:kern w:val="0"/>
          <w:szCs w:val="21"/>
        </w:rPr>
      </w:pPr>
      <w:r>
        <w:rPr>
          <w:rFonts w:hint="eastAsia" w:ascii="宋体" w:hAnsi="宋体"/>
          <w:b/>
          <w:bCs/>
          <w:szCs w:val="21"/>
          <w:lang w:val="zh-CN"/>
        </w:rPr>
        <w:t>第一标段（包一）：</w:t>
      </w:r>
    </w:p>
    <w:p>
      <w:pPr>
        <w:jc w:val="left"/>
        <w:rPr>
          <w:rFonts w:hint="eastAsia" w:hAnsi="宋体"/>
          <w:kern w:val="0"/>
          <w:szCs w:val="21"/>
        </w:rPr>
      </w:pPr>
      <w:r>
        <w:rPr>
          <w:rFonts w:hint="eastAsia" w:hAnsi="宋体"/>
          <w:kern w:val="0"/>
          <w:szCs w:val="21"/>
        </w:rPr>
        <w:t>1、泵站概况</w:t>
      </w:r>
    </w:p>
    <w:tbl>
      <w:tblPr>
        <w:tblStyle w:val="30"/>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485"/>
        <w:gridCol w:w="1200"/>
        <w:gridCol w:w="1170"/>
        <w:gridCol w:w="1065"/>
        <w:gridCol w:w="1065"/>
        <w:gridCol w:w="2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76" w:type="dxa"/>
            <w:noWrap w:val="0"/>
            <w:vAlign w:val="center"/>
          </w:tcPr>
          <w:p>
            <w:pPr>
              <w:jc w:val="center"/>
              <w:rPr>
                <w:rFonts w:hint="eastAsia" w:hAnsi="宋体"/>
                <w:kern w:val="0"/>
                <w:szCs w:val="21"/>
              </w:rPr>
            </w:pPr>
            <w:r>
              <w:rPr>
                <w:rFonts w:hint="eastAsia" w:hAnsi="宋体"/>
                <w:kern w:val="0"/>
                <w:szCs w:val="21"/>
              </w:rPr>
              <w:t>序号</w:t>
            </w:r>
          </w:p>
        </w:tc>
        <w:tc>
          <w:tcPr>
            <w:tcW w:w="1485" w:type="dxa"/>
            <w:noWrap w:val="0"/>
            <w:vAlign w:val="center"/>
          </w:tcPr>
          <w:p>
            <w:pPr>
              <w:jc w:val="center"/>
              <w:rPr>
                <w:rFonts w:hint="eastAsia" w:hAnsi="宋体"/>
                <w:kern w:val="0"/>
                <w:szCs w:val="21"/>
              </w:rPr>
            </w:pPr>
            <w:r>
              <w:rPr>
                <w:rFonts w:hint="eastAsia" w:hAnsi="宋体"/>
                <w:kern w:val="0"/>
                <w:szCs w:val="21"/>
              </w:rPr>
              <w:t>泵站名称</w:t>
            </w:r>
          </w:p>
        </w:tc>
        <w:tc>
          <w:tcPr>
            <w:tcW w:w="1200" w:type="dxa"/>
            <w:noWrap w:val="0"/>
            <w:vAlign w:val="center"/>
          </w:tcPr>
          <w:p>
            <w:pPr>
              <w:jc w:val="center"/>
              <w:rPr>
                <w:rFonts w:hint="eastAsia" w:hAnsi="宋体"/>
                <w:kern w:val="0"/>
                <w:szCs w:val="21"/>
              </w:rPr>
            </w:pPr>
            <w:r>
              <w:rPr>
                <w:rFonts w:hint="eastAsia" w:hAnsi="宋体"/>
                <w:kern w:val="0"/>
                <w:szCs w:val="21"/>
              </w:rPr>
              <w:t>院内面积m</w:t>
            </w:r>
            <w:r>
              <w:rPr>
                <w:rFonts w:hint="eastAsia" w:hAnsi="宋体"/>
                <w:kern w:val="0"/>
                <w:szCs w:val="21"/>
                <w:vertAlign w:val="superscript"/>
              </w:rPr>
              <w:t>2</w:t>
            </w:r>
          </w:p>
        </w:tc>
        <w:tc>
          <w:tcPr>
            <w:tcW w:w="1170" w:type="dxa"/>
            <w:noWrap w:val="0"/>
            <w:vAlign w:val="center"/>
          </w:tcPr>
          <w:p>
            <w:pPr>
              <w:jc w:val="center"/>
              <w:rPr>
                <w:rFonts w:hint="eastAsia" w:hAnsi="宋体"/>
                <w:kern w:val="0"/>
                <w:szCs w:val="21"/>
              </w:rPr>
            </w:pPr>
            <w:r>
              <w:rPr>
                <w:rFonts w:hint="eastAsia" w:hAnsi="宋体"/>
                <w:kern w:val="0"/>
                <w:szCs w:val="21"/>
              </w:rPr>
              <w:t>建筑面积m</w:t>
            </w:r>
            <w:r>
              <w:rPr>
                <w:rFonts w:hint="eastAsia" w:hAnsi="宋体"/>
                <w:kern w:val="0"/>
                <w:szCs w:val="21"/>
                <w:vertAlign w:val="superscript"/>
              </w:rPr>
              <w:t>2</w:t>
            </w:r>
          </w:p>
        </w:tc>
        <w:tc>
          <w:tcPr>
            <w:tcW w:w="1065" w:type="dxa"/>
            <w:noWrap w:val="0"/>
            <w:vAlign w:val="center"/>
          </w:tcPr>
          <w:p>
            <w:pPr>
              <w:jc w:val="center"/>
              <w:rPr>
                <w:rFonts w:hint="eastAsia" w:hAnsi="宋体"/>
                <w:kern w:val="0"/>
                <w:szCs w:val="21"/>
              </w:rPr>
            </w:pPr>
            <w:r>
              <w:rPr>
                <w:rFonts w:hint="eastAsia" w:hAnsi="宋体"/>
                <w:kern w:val="0"/>
                <w:szCs w:val="21"/>
              </w:rPr>
              <w:t>绿化面积m</w:t>
            </w:r>
            <w:r>
              <w:rPr>
                <w:rFonts w:hint="eastAsia" w:hAnsi="宋体"/>
                <w:kern w:val="0"/>
                <w:szCs w:val="21"/>
                <w:vertAlign w:val="superscript"/>
              </w:rPr>
              <w:t>2</w:t>
            </w:r>
          </w:p>
        </w:tc>
        <w:tc>
          <w:tcPr>
            <w:tcW w:w="1065" w:type="dxa"/>
            <w:noWrap w:val="0"/>
            <w:vAlign w:val="center"/>
          </w:tcPr>
          <w:p>
            <w:pPr>
              <w:jc w:val="center"/>
              <w:rPr>
                <w:rFonts w:hint="eastAsia" w:hAnsi="宋体"/>
                <w:kern w:val="0"/>
                <w:szCs w:val="21"/>
              </w:rPr>
            </w:pPr>
            <w:r>
              <w:rPr>
                <w:rFonts w:hint="eastAsia" w:hAnsi="宋体"/>
                <w:kern w:val="0"/>
                <w:szCs w:val="21"/>
              </w:rPr>
              <w:t>前池面积m</w:t>
            </w:r>
            <w:r>
              <w:rPr>
                <w:rFonts w:hint="eastAsia" w:hAnsi="宋体"/>
                <w:kern w:val="0"/>
                <w:szCs w:val="21"/>
                <w:vertAlign w:val="superscript"/>
              </w:rPr>
              <w:t>2</w:t>
            </w:r>
          </w:p>
        </w:tc>
        <w:tc>
          <w:tcPr>
            <w:tcW w:w="2805" w:type="dxa"/>
            <w:noWrap w:val="0"/>
            <w:vAlign w:val="center"/>
          </w:tcPr>
          <w:p>
            <w:pPr>
              <w:jc w:val="center"/>
              <w:rPr>
                <w:rFonts w:hint="eastAsia" w:hAnsi="宋体"/>
                <w:kern w:val="0"/>
                <w:szCs w:val="21"/>
              </w:rPr>
            </w:pPr>
            <w:r>
              <w:rPr>
                <w:rFonts w:hint="eastAsia" w:ascii="宋体" w:hAnsi="宋体"/>
                <w:szCs w:val="21"/>
              </w:rPr>
              <w:t>泵站院落内配套设施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jc w:val="center"/>
              <w:rPr>
                <w:rFonts w:hint="eastAsia" w:hAnsi="宋体"/>
                <w:kern w:val="0"/>
                <w:szCs w:val="21"/>
              </w:rPr>
            </w:pPr>
            <w:r>
              <w:rPr>
                <w:rFonts w:hint="eastAsia" w:hAnsi="宋体"/>
                <w:kern w:val="0"/>
                <w:szCs w:val="21"/>
              </w:rPr>
              <w:t>1</w:t>
            </w:r>
          </w:p>
        </w:tc>
        <w:tc>
          <w:tcPr>
            <w:tcW w:w="1485" w:type="dxa"/>
            <w:noWrap w:val="0"/>
            <w:vAlign w:val="center"/>
          </w:tcPr>
          <w:p>
            <w:pPr>
              <w:jc w:val="center"/>
              <w:rPr>
                <w:rFonts w:hint="eastAsia" w:hAnsi="宋体"/>
                <w:kern w:val="0"/>
                <w:szCs w:val="21"/>
              </w:rPr>
            </w:pPr>
            <w:r>
              <w:rPr>
                <w:rFonts w:hint="eastAsia" w:hAnsi="宋体"/>
                <w:kern w:val="0"/>
                <w:szCs w:val="21"/>
              </w:rPr>
              <w:t>新河村泵站</w:t>
            </w:r>
          </w:p>
        </w:tc>
        <w:tc>
          <w:tcPr>
            <w:tcW w:w="1200" w:type="dxa"/>
            <w:noWrap w:val="0"/>
            <w:vAlign w:val="center"/>
          </w:tcPr>
          <w:p>
            <w:pPr>
              <w:jc w:val="center"/>
              <w:rPr>
                <w:rFonts w:hint="eastAsia" w:hAnsi="宋体"/>
                <w:kern w:val="0"/>
                <w:szCs w:val="21"/>
              </w:rPr>
            </w:pPr>
            <w:r>
              <w:rPr>
                <w:rFonts w:hAnsi="宋体"/>
                <w:kern w:val="0"/>
                <w:szCs w:val="21"/>
              </w:rPr>
              <w:t>300</w:t>
            </w:r>
          </w:p>
        </w:tc>
        <w:tc>
          <w:tcPr>
            <w:tcW w:w="1170" w:type="dxa"/>
            <w:noWrap w:val="0"/>
            <w:vAlign w:val="center"/>
          </w:tcPr>
          <w:p>
            <w:pPr>
              <w:jc w:val="center"/>
              <w:rPr>
                <w:rFonts w:hint="eastAsia" w:hAnsi="宋体"/>
                <w:kern w:val="0"/>
                <w:szCs w:val="21"/>
              </w:rPr>
            </w:pPr>
            <w:r>
              <w:rPr>
                <w:rFonts w:hint="eastAsia" w:hAnsi="宋体"/>
                <w:kern w:val="0"/>
                <w:szCs w:val="21"/>
              </w:rPr>
              <w:t>504</w:t>
            </w:r>
          </w:p>
        </w:tc>
        <w:tc>
          <w:tcPr>
            <w:tcW w:w="1065" w:type="dxa"/>
            <w:noWrap w:val="0"/>
            <w:vAlign w:val="center"/>
          </w:tcPr>
          <w:p>
            <w:pPr>
              <w:jc w:val="center"/>
              <w:rPr>
                <w:rFonts w:hint="eastAsia" w:hAnsi="宋体"/>
                <w:kern w:val="0"/>
                <w:szCs w:val="21"/>
              </w:rPr>
            </w:pPr>
            <w:r>
              <w:rPr>
                <w:rFonts w:hint="eastAsia" w:hAnsi="宋体"/>
                <w:kern w:val="0"/>
                <w:szCs w:val="21"/>
              </w:rPr>
              <w:t>65</w:t>
            </w:r>
          </w:p>
        </w:tc>
        <w:tc>
          <w:tcPr>
            <w:tcW w:w="1065" w:type="dxa"/>
            <w:noWrap w:val="0"/>
            <w:vAlign w:val="center"/>
          </w:tcPr>
          <w:p>
            <w:pPr>
              <w:jc w:val="center"/>
              <w:rPr>
                <w:rFonts w:hint="eastAsia" w:hAnsi="宋体"/>
                <w:kern w:val="0"/>
                <w:szCs w:val="21"/>
              </w:rPr>
            </w:pPr>
            <w:r>
              <w:rPr>
                <w:rFonts w:hint="eastAsia" w:hAnsi="宋体"/>
                <w:kern w:val="0"/>
                <w:szCs w:val="21"/>
              </w:rPr>
              <w:t>3300</w:t>
            </w:r>
          </w:p>
        </w:tc>
        <w:tc>
          <w:tcPr>
            <w:tcW w:w="2805" w:type="dxa"/>
            <w:vMerge w:val="restart"/>
            <w:noWrap w:val="0"/>
            <w:vAlign w:val="center"/>
          </w:tcPr>
          <w:p>
            <w:pPr>
              <w:jc w:val="center"/>
              <w:rPr>
                <w:rFonts w:hint="eastAsia" w:hAnsi="宋体"/>
                <w:kern w:val="0"/>
                <w:szCs w:val="21"/>
              </w:rPr>
            </w:pPr>
            <w:r>
              <w:rPr>
                <w:rFonts w:hint="eastAsia" w:hAnsi="宋体"/>
                <w:kern w:val="0"/>
                <w:szCs w:val="21"/>
              </w:rPr>
              <w:t>以泵站目前现场实际设施为准（包括道路、排水、挡墙、护栏、出水口、</w:t>
            </w:r>
            <w:r>
              <w:rPr>
                <w:rFonts w:hint="eastAsia" w:ascii="宋体" w:hAnsi="宋体"/>
                <w:szCs w:val="21"/>
              </w:rPr>
              <w:t>绿化、房屋、路灯、室外景观灯、室内照明、自来水、空调、卷帘门、电动伸缩大门、垃圾打捞清运工具等</w:t>
            </w:r>
            <w:r>
              <w:rPr>
                <w:rFonts w:hint="eastAsia" w:ascii="宋体" w:hAnsi="宋体"/>
                <w:szCs w:val="21"/>
                <w:lang w:val="zh-CN"/>
              </w:rPr>
              <w:t>设施</w:t>
            </w:r>
            <w:r>
              <w:rPr>
                <w:rFonts w:hint="eastAsia"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jc w:val="center"/>
              <w:rPr>
                <w:rFonts w:hint="eastAsia" w:hAnsi="宋体"/>
                <w:kern w:val="0"/>
                <w:szCs w:val="21"/>
              </w:rPr>
            </w:pPr>
            <w:r>
              <w:rPr>
                <w:rFonts w:hint="eastAsia" w:hAnsi="宋体"/>
                <w:kern w:val="0"/>
                <w:szCs w:val="21"/>
              </w:rPr>
              <w:t>2</w:t>
            </w:r>
          </w:p>
        </w:tc>
        <w:tc>
          <w:tcPr>
            <w:tcW w:w="1485" w:type="dxa"/>
            <w:noWrap w:val="0"/>
            <w:vAlign w:val="center"/>
          </w:tcPr>
          <w:p>
            <w:pPr>
              <w:jc w:val="center"/>
              <w:rPr>
                <w:rFonts w:hint="eastAsia" w:hAnsi="宋体"/>
                <w:kern w:val="0"/>
                <w:szCs w:val="21"/>
              </w:rPr>
            </w:pPr>
            <w:r>
              <w:rPr>
                <w:rFonts w:hint="eastAsia" w:hAnsi="宋体"/>
                <w:kern w:val="0"/>
                <w:szCs w:val="21"/>
              </w:rPr>
              <w:t>杨家圩泵站</w:t>
            </w:r>
          </w:p>
        </w:tc>
        <w:tc>
          <w:tcPr>
            <w:tcW w:w="1200" w:type="dxa"/>
            <w:noWrap w:val="0"/>
            <w:vAlign w:val="center"/>
          </w:tcPr>
          <w:p>
            <w:pPr>
              <w:jc w:val="center"/>
              <w:rPr>
                <w:rFonts w:hint="eastAsia" w:hAnsi="宋体"/>
                <w:kern w:val="0"/>
                <w:szCs w:val="21"/>
              </w:rPr>
            </w:pPr>
            <w:r>
              <w:rPr>
                <w:rFonts w:hint="eastAsia" w:hAnsi="宋体"/>
                <w:kern w:val="0"/>
                <w:szCs w:val="21"/>
              </w:rPr>
              <w:t>3388</w:t>
            </w:r>
          </w:p>
        </w:tc>
        <w:tc>
          <w:tcPr>
            <w:tcW w:w="1170" w:type="dxa"/>
            <w:noWrap w:val="0"/>
            <w:vAlign w:val="center"/>
          </w:tcPr>
          <w:p>
            <w:pPr>
              <w:jc w:val="center"/>
              <w:rPr>
                <w:rFonts w:hint="eastAsia" w:hAnsi="宋体"/>
                <w:kern w:val="0"/>
                <w:szCs w:val="21"/>
              </w:rPr>
            </w:pPr>
            <w:r>
              <w:rPr>
                <w:rFonts w:hint="eastAsia" w:hAnsi="宋体"/>
                <w:kern w:val="0"/>
                <w:szCs w:val="21"/>
              </w:rPr>
              <w:t>537</w:t>
            </w:r>
          </w:p>
        </w:tc>
        <w:tc>
          <w:tcPr>
            <w:tcW w:w="1065" w:type="dxa"/>
            <w:noWrap w:val="0"/>
            <w:vAlign w:val="center"/>
          </w:tcPr>
          <w:p>
            <w:pPr>
              <w:jc w:val="center"/>
              <w:rPr>
                <w:rFonts w:hint="eastAsia" w:hAnsi="宋体"/>
                <w:kern w:val="0"/>
                <w:szCs w:val="21"/>
              </w:rPr>
            </w:pPr>
            <w:r>
              <w:rPr>
                <w:rFonts w:hint="eastAsia" w:hAnsi="宋体"/>
                <w:kern w:val="0"/>
                <w:szCs w:val="21"/>
              </w:rPr>
              <w:t>1064</w:t>
            </w:r>
          </w:p>
        </w:tc>
        <w:tc>
          <w:tcPr>
            <w:tcW w:w="1065" w:type="dxa"/>
            <w:noWrap w:val="0"/>
            <w:vAlign w:val="center"/>
          </w:tcPr>
          <w:p>
            <w:pPr>
              <w:jc w:val="center"/>
              <w:rPr>
                <w:rFonts w:hint="eastAsia" w:hAnsi="宋体"/>
                <w:kern w:val="0"/>
                <w:szCs w:val="21"/>
              </w:rPr>
            </w:pPr>
            <w:r>
              <w:rPr>
                <w:rFonts w:hint="eastAsia" w:hAnsi="宋体"/>
                <w:kern w:val="0"/>
                <w:szCs w:val="21"/>
              </w:rPr>
              <w:t>5100</w:t>
            </w:r>
          </w:p>
        </w:tc>
        <w:tc>
          <w:tcPr>
            <w:tcW w:w="280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jc w:val="center"/>
              <w:rPr>
                <w:rFonts w:hint="eastAsia" w:hAnsi="宋体"/>
                <w:kern w:val="0"/>
                <w:szCs w:val="21"/>
              </w:rPr>
            </w:pPr>
            <w:r>
              <w:rPr>
                <w:rFonts w:hint="eastAsia" w:hAnsi="宋体"/>
                <w:kern w:val="0"/>
                <w:szCs w:val="21"/>
              </w:rPr>
              <w:t>3</w:t>
            </w:r>
          </w:p>
        </w:tc>
        <w:tc>
          <w:tcPr>
            <w:tcW w:w="1485" w:type="dxa"/>
            <w:noWrap w:val="0"/>
            <w:vAlign w:val="center"/>
          </w:tcPr>
          <w:p>
            <w:pPr>
              <w:jc w:val="center"/>
              <w:rPr>
                <w:rFonts w:hint="eastAsia" w:hAnsi="宋体"/>
                <w:kern w:val="0"/>
                <w:szCs w:val="21"/>
              </w:rPr>
            </w:pPr>
            <w:r>
              <w:rPr>
                <w:rFonts w:hint="eastAsia" w:hAnsi="宋体"/>
                <w:kern w:val="0"/>
                <w:szCs w:val="21"/>
              </w:rPr>
              <w:t>中前泵站</w:t>
            </w:r>
          </w:p>
        </w:tc>
        <w:tc>
          <w:tcPr>
            <w:tcW w:w="1200" w:type="dxa"/>
            <w:noWrap w:val="0"/>
            <w:vAlign w:val="center"/>
          </w:tcPr>
          <w:p>
            <w:pPr>
              <w:jc w:val="center"/>
              <w:rPr>
                <w:rFonts w:hint="eastAsia" w:hAnsi="宋体"/>
                <w:kern w:val="0"/>
                <w:szCs w:val="21"/>
              </w:rPr>
            </w:pPr>
            <w:r>
              <w:rPr>
                <w:rFonts w:hint="eastAsia" w:hAnsi="宋体"/>
                <w:kern w:val="0"/>
                <w:szCs w:val="21"/>
              </w:rPr>
              <w:t>1500</w:t>
            </w:r>
          </w:p>
        </w:tc>
        <w:tc>
          <w:tcPr>
            <w:tcW w:w="1170" w:type="dxa"/>
            <w:noWrap w:val="0"/>
            <w:vAlign w:val="center"/>
          </w:tcPr>
          <w:p>
            <w:pPr>
              <w:jc w:val="center"/>
              <w:rPr>
                <w:rFonts w:hint="eastAsia" w:hAnsi="宋体"/>
                <w:kern w:val="0"/>
                <w:szCs w:val="21"/>
              </w:rPr>
            </w:pPr>
            <w:r>
              <w:rPr>
                <w:rFonts w:hint="eastAsia" w:hAnsi="宋体"/>
                <w:kern w:val="0"/>
                <w:szCs w:val="21"/>
              </w:rPr>
              <w:t>476</w:t>
            </w:r>
          </w:p>
        </w:tc>
        <w:tc>
          <w:tcPr>
            <w:tcW w:w="1065" w:type="dxa"/>
            <w:noWrap w:val="0"/>
            <w:vAlign w:val="center"/>
          </w:tcPr>
          <w:p>
            <w:pPr>
              <w:jc w:val="center"/>
              <w:rPr>
                <w:rFonts w:hint="eastAsia" w:hAnsi="宋体"/>
                <w:kern w:val="0"/>
                <w:szCs w:val="21"/>
              </w:rPr>
            </w:pPr>
            <w:r>
              <w:rPr>
                <w:rFonts w:hint="eastAsia" w:hAnsi="宋体"/>
                <w:kern w:val="0"/>
                <w:szCs w:val="21"/>
              </w:rPr>
              <w:t>4200</w:t>
            </w:r>
          </w:p>
        </w:tc>
        <w:tc>
          <w:tcPr>
            <w:tcW w:w="1065" w:type="dxa"/>
            <w:noWrap w:val="0"/>
            <w:vAlign w:val="center"/>
          </w:tcPr>
          <w:p>
            <w:pPr>
              <w:jc w:val="center"/>
              <w:rPr>
                <w:rFonts w:hint="eastAsia" w:hAnsi="宋体"/>
                <w:kern w:val="0"/>
                <w:szCs w:val="21"/>
              </w:rPr>
            </w:pPr>
            <w:r>
              <w:rPr>
                <w:rFonts w:hint="eastAsia" w:hAnsi="宋体"/>
                <w:kern w:val="0"/>
                <w:szCs w:val="21"/>
              </w:rPr>
              <w:t>357</w:t>
            </w:r>
          </w:p>
        </w:tc>
        <w:tc>
          <w:tcPr>
            <w:tcW w:w="280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jc w:val="center"/>
              <w:rPr>
                <w:rFonts w:hint="eastAsia" w:hAnsi="宋体"/>
                <w:kern w:val="0"/>
                <w:szCs w:val="21"/>
              </w:rPr>
            </w:pPr>
            <w:r>
              <w:rPr>
                <w:rFonts w:hint="eastAsia" w:hAnsi="宋体"/>
                <w:kern w:val="0"/>
                <w:szCs w:val="21"/>
              </w:rPr>
              <w:t>4</w:t>
            </w:r>
          </w:p>
        </w:tc>
        <w:tc>
          <w:tcPr>
            <w:tcW w:w="1485" w:type="dxa"/>
            <w:noWrap w:val="0"/>
            <w:vAlign w:val="center"/>
          </w:tcPr>
          <w:p>
            <w:pPr>
              <w:jc w:val="center"/>
              <w:rPr>
                <w:rFonts w:hint="eastAsia" w:hAnsi="宋体"/>
                <w:kern w:val="0"/>
                <w:szCs w:val="21"/>
              </w:rPr>
            </w:pPr>
            <w:r>
              <w:rPr>
                <w:rFonts w:hint="eastAsia" w:hAnsi="宋体"/>
                <w:kern w:val="0"/>
                <w:szCs w:val="21"/>
              </w:rPr>
              <w:t>商城泵站</w:t>
            </w:r>
          </w:p>
        </w:tc>
        <w:tc>
          <w:tcPr>
            <w:tcW w:w="1200" w:type="dxa"/>
            <w:noWrap w:val="0"/>
            <w:vAlign w:val="center"/>
          </w:tcPr>
          <w:p>
            <w:pPr>
              <w:jc w:val="center"/>
              <w:rPr>
                <w:rFonts w:hint="eastAsia" w:hAnsi="宋体"/>
                <w:kern w:val="0"/>
                <w:szCs w:val="21"/>
              </w:rPr>
            </w:pPr>
            <w:r>
              <w:rPr>
                <w:rFonts w:hint="eastAsia" w:hAnsi="宋体"/>
                <w:kern w:val="0"/>
                <w:szCs w:val="21"/>
              </w:rPr>
              <w:t>504</w:t>
            </w:r>
          </w:p>
        </w:tc>
        <w:tc>
          <w:tcPr>
            <w:tcW w:w="1170" w:type="dxa"/>
            <w:noWrap w:val="0"/>
            <w:vAlign w:val="center"/>
          </w:tcPr>
          <w:p>
            <w:pPr>
              <w:jc w:val="center"/>
              <w:rPr>
                <w:rFonts w:hint="eastAsia" w:hAnsi="宋体"/>
                <w:kern w:val="0"/>
                <w:szCs w:val="21"/>
              </w:rPr>
            </w:pPr>
            <w:r>
              <w:rPr>
                <w:rFonts w:hint="eastAsia" w:hAnsi="宋体"/>
                <w:kern w:val="0"/>
                <w:szCs w:val="21"/>
              </w:rPr>
              <w:t>150</w:t>
            </w:r>
          </w:p>
        </w:tc>
        <w:tc>
          <w:tcPr>
            <w:tcW w:w="1065" w:type="dxa"/>
            <w:noWrap w:val="0"/>
            <w:vAlign w:val="center"/>
          </w:tcPr>
          <w:p>
            <w:pPr>
              <w:jc w:val="center"/>
              <w:rPr>
                <w:rFonts w:hint="eastAsia" w:hAnsi="宋体"/>
                <w:kern w:val="0"/>
                <w:szCs w:val="21"/>
              </w:rPr>
            </w:pPr>
            <w:r>
              <w:rPr>
                <w:rFonts w:hint="eastAsia" w:hAnsi="宋体"/>
                <w:kern w:val="0"/>
                <w:szCs w:val="21"/>
              </w:rPr>
              <w:t>78</w:t>
            </w:r>
          </w:p>
        </w:tc>
        <w:tc>
          <w:tcPr>
            <w:tcW w:w="1065" w:type="dxa"/>
            <w:noWrap w:val="0"/>
            <w:vAlign w:val="center"/>
          </w:tcPr>
          <w:p>
            <w:pPr>
              <w:jc w:val="center"/>
              <w:rPr>
                <w:rFonts w:hint="eastAsia" w:hAnsi="宋体"/>
                <w:kern w:val="0"/>
                <w:szCs w:val="21"/>
              </w:rPr>
            </w:pPr>
            <w:r>
              <w:rPr>
                <w:rFonts w:hint="eastAsia" w:hAnsi="宋体"/>
                <w:kern w:val="0"/>
                <w:szCs w:val="21"/>
              </w:rPr>
              <w:t>48</w:t>
            </w:r>
          </w:p>
        </w:tc>
        <w:tc>
          <w:tcPr>
            <w:tcW w:w="280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jc w:val="center"/>
              <w:rPr>
                <w:rFonts w:hint="eastAsia" w:hAnsi="宋体"/>
                <w:kern w:val="0"/>
                <w:szCs w:val="21"/>
              </w:rPr>
            </w:pPr>
            <w:r>
              <w:rPr>
                <w:rFonts w:hint="eastAsia" w:hAnsi="宋体"/>
                <w:kern w:val="0"/>
                <w:szCs w:val="21"/>
              </w:rPr>
              <w:t>5</w:t>
            </w:r>
          </w:p>
        </w:tc>
        <w:tc>
          <w:tcPr>
            <w:tcW w:w="1485" w:type="dxa"/>
            <w:noWrap w:val="0"/>
            <w:vAlign w:val="center"/>
          </w:tcPr>
          <w:p>
            <w:pPr>
              <w:jc w:val="center"/>
              <w:rPr>
                <w:rFonts w:hint="eastAsia" w:hAnsi="宋体"/>
                <w:kern w:val="0"/>
                <w:szCs w:val="21"/>
              </w:rPr>
            </w:pPr>
            <w:r>
              <w:rPr>
                <w:rFonts w:hint="eastAsia" w:hAnsi="宋体"/>
                <w:kern w:val="0"/>
                <w:szCs w:val="21"/>
              </w:rPr>
              <w:t>鞭鞍河泵站</w:t>
            </w:r>
          </w:p>
        </w:tc>
        <w:tc>
          <w:tcPr>
            <w:tcW w:w="1200" w:type="dxa"/>
            <w:noWrap w:val="0"/>
            <w:vAlign w:val="center"/>
          </w:tcPr>
          <w:p>
            <w:pPr>
              <w:jc w:val="center"/>
              <w:rPr>
                <w:rFonts w:hint="eastAsia" w:hAnsi="宋体"/>
                <w:kern w:val="0"/>
                <w:szCs w:val="21"/>
              </w:rPr>
            </w:pPr>
            <w:r>
              <w:rPr>
                <w:rFonts w:hint="eastAsia" w:hAnsi="宋体"/>
                <w:kern w:val="0"/>
                <w:szCs w:val="21"/>
              </w:rPr>
              <w:t>8240</w:t>
            </w:r>
          </w:p>
        </w:tc>
        <w:tc>
          <w:tcPr>
            <w:tcW w:w="1170" w:type="dxa"/>
            <w:noWrap w:val="0"/>
            <w:vAlign w:val="center"/>
          </w:tcPr>
          <w:p>
            <w:pPr>
              <w:jc w:val="center"/>
              <w:rPr>
                <w:rFonts w:hint="eastAsia" w:hAnsi="宋体"/>
                <w:kern w:val="0"/>
                <w:szCs w:val="21"/>
              </w:rPr>
            </w:pPr>
            <w:r>
              <w:rPr>
                <w:rFonts w:hint="eastAsia" w:hAnsi="宋体"/>
                <w:kern w:val="0"/>
                <w:szCs w:val="21"/>
              </w:rPr>
              <w:t>1100</w:t>
            </w:r>
          </w:p>
        </w:tc>
        <w:tc>
          <w:tcPr>
            <w:tcW w:w="1065" w:type="dxa"/>
            <w:noWrap w:val="0"/>
            <w:vAlign w:val="center"/>
          </w:tcPr>
          <w:p>
            <w:pPr>
              <w:jc w:val="center"/>
              <w:rPr>
                <w:rFonts w:hint="eastAsia" w:hAnsi="宋体"/>
                <w:kern w:val="0"/>
                <w:szCs w:val="21"/>
              </w:rPr>
            </w:pPr>
            <w:r>
              <w:rPr>
                <w:rFonts w:hint="eastAsia" w:hAnsi="宋体"/>
                <w:kern w:val="0"/>
                <w:szCs w:val="21"/>
              </w:rPr>
              <w:t>840</w:t>
            </w:r>
          </w:p>
        </w:tc>
        <w:tc>
          <w:tcPr>
            <w:tcW w:w="1065" w:type="dxa"/>
            <w:noWrap w:val="0"/>
            <w:vAlign w:val="center"/>
          </w:tcPr>
          <w:p>
            <w:pPr>
              <w:jc w:val="center"/>
              <w:rPr>
                <w:rFonts w:hint="eastAsia" w:hAnsi="宋体"/>
                <w:kern w:val="0"/>
                <w:szCs w:val="21"/>
              </w:rPr>
            </w:pPr>
            <w:r>
              <w:rPr>
                <w:rFonts w:hint="eastAsia" w:hAnsi="宋体"/>
                <w:kern w:val="0"/>
                <w:szCs w:val="21"/>
              </w:rPr>
              <w:t>2650</w:t>
            </w:r>
          </w:p>
        </w:tc>
        <w:tc>
          <w:tcPr>
            <w:tcW w:w="280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6" w:type="dxa"/>
            <w:noWrap w:val="0"/>
            <w:vAlign w:val="center"/>
          </w:tcPr>
          <w:p>
            <w:pPr>
              <w:jc w:val="center"/>
              <w:rPr>
                <w:rFonts w:hint="eastAsia" w:hAnsi="宋体"/>
                <w:kern w:val="0"/>
                <w:szCs w:val="21"/>
                <w:highlight w:val="none"/>
              </w:rPr>
            </w:pPr>
            <w:r>
              <w:rPr>
                <w:rFonts w:hint="eastAsia" w:hAnsi="宋体"/>
                <w:kern w:val="0"/>
                <w:szCs w:val="21"/>
                <w:highlight w:val="none"/>
              </w:rPr>
              <w:t>6</w:t>
            </w:r>
          </w:p>
        </w:tc>
        <w:tc>
          <w:tcPr>
            <w:tcW w:w="1485" w:type="dxa"/>
            <w:noWrap w:val="0"/>
            <w:vAlign w:val="center"/>
          </w:tcPr>
          <w:p>
            <w:pPr>
              <w:jc w:val="center"/>
              <w:rPr>
                <w:rFonts w:hint="eastAsia" w:hAnsi="宋体"/>
                <w:kern w:val="0"/>
                <w:szCs w:val="21"/>
                <w:highlight w:val="none"/>
              </w:rPr>
            </w:pPr>
            <w:r>
              <w:rPr>
                <w:rFonts w:hint="eastAsia" w:hAnsi="宋体"/>
                <w:kern w:val="0"/>
                <w:szCs w:val="21"/>
                <w:highlight w:val="none"/>
              </w:rPr>
              <w:t>东沟</w:t>
            </w:r>
            <w:r>
              <w:rPr>
                <w:rFonts w:hint="eastAsia"/>
                <w:b/>
                <w:highlight w:val="none"/>
              </w:rPr>
              <w:t>溢流坝</w:t>
            </w:r>
          </w:p>
        </w:tc>
        <w:tc>
          <w:tcPr>
            <w:tcW w:w="1200" w:type="dxa"/>
            <w:noWrap w:val="0"/>
            <w:vAlign w:val="center"/>
          </w:tcPr>
          <w:p>
            <w:pPr>
              <w:jc w:val="center"/>
              <w:rPr>
                <w:rFonts w:hint="eastAsia" w:hAnsi="宋体"/>
                <w:kern w:val="0"/>
                <w:szCs w:val="21"/>
                <w:highlight w:val="none"/>
              </w:rPr>
            </w:pPr>
          </w:p>
        </w:tc>
        <w:tc>
          <w:tcPr>
            <w:tcW w:w="1170" w:type="dxa"/>
            <w:noWrap w:val="0"/>
            <w:vAlign w:val="center"/>
          </w:tcPr>
          <w:p>
            <w:pPr>
              <w:jc w:val="center"/>
              <w:rPr>
                <w:rFonts w:hint="eastAsia" w:hAnsi="宋体"/>
                <w:kern w:val="0"/>
                <w:szCs w:val="21"/>
                <w:highlight w:val="none"/>
              </w:rPr>
            </w:pPr>
          </w:p>
        </w:tc>
        <w:tc>
          <w:tcPr>
            <w:tcW w:w="1065" w:type="dxa"/>
            <w:noWrap w:val="0"/>
            <w:vAlign w:val="center"/>
          </w:tcPr>
          <w:p>
            <w:pPr>
              <w:jc w:val="center"/>
              <w:rPr>
                <w:rFonts w:hint="eastAsia" w:hAnsi="宋体"/>
                <w:kern w:val="0"/>
                <w:szCs w:val="21"/>
                <w:highlight w:val="none"/>
              </w:rPr>
            </w:pPr>
          </w:p>
        </w:tc>
        <w:tc>
          <w:tcPr>
            <w:tcW w:w="1065" w:type="dxa"/>
            <w:noWrap w:val="0"/>
            <w:vAlign w:val="center"/>
          </w:tcPr>
          <w:p>
            <w:pPr>
              <w:jc w:val="center"/>
              <w:rPr>
                <w:rFonts w:hint="eastAsia" w:hAnsi="宋体"/>
                <w:kern w:val="0"/>
                <w:szCs w:val="21"/>
                <w:highlight w:val="none"/>
              </w:rPr>
            </w:pPr>
            <w:r>
              <w:rPr>
                <w:rFonts w:hAnsi="宋体"/>
                <w:kern w:val="0"/>
                <w:szCs w:val="21"/>
                <w:highlight w:val="none"/>
              </w:rPr>
              <w:t>45</w:t>
            </w:r>
            <w:r>
              <w:rPr>
                <w:rFonts w:hint="eastAsia" w:hAnsi="宋体"/>
                <w:kern w:val="0"/>
                <w:szCs w:val="21"/>
                <w:highlight w:val="none"/>
              </w:rPr>
              <w:t>0</w:t>
            </w:r>
          </w:p>
        </w:tc>
        <w:tc>
          <w:tcPr>
            <w:tcW w:w="2805" w:type="dxa"/>
            <w:vMerge w:val="continue"/>
            <w:noWrap w:val="0"/>
            <w:vAlign w:val="center"/>
          </w:tcPr>
          <w:p>
            <w:pPr>
              <w:jc w:val="center"/>
              <w:rPr>
                <w:rFonts w:hint="eastAsia"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6" w:type="dxa"/>
            <w:noWrap w:val="0"/>
            <w:vAlign w:val="center"/>
          </w:tcPr>
          <w:p>
            <w:pPr>
              <w:jc w:val="center"/>
              <w:rPr>
                <w:rFonts w:hint="eastAsia" w:hAnsi="宋体"/>
                <w:kern w:val="0"/>
                <w:szCs w:val="21"/>
                <w:highlight w:val="none"/>
              </w:rPr>
            </w:pPr>
          </w:p>
        </w:tc>
        <w:tc>
          <w:tcPr>
            <w:tcW w:w="1485" w:type="dxa"/>
            <w:noWrap w:val="0"/>
            <w:vAlign w:val="center"/>
          </w:tcPr>
          <w:p>
            <w:pPr>
              <w:jc w:val="center"/>
              <w:rPr>
                <w:rFonts w:hint="default" w:hAnsi="宋体" w:eastAsia="宋体"/>
                <w:kern w:val="0"/>
                <w:szCs w:val="21"/>
                <w:highlight w:val="none"/>
                <w:lang w:val="en-US" w:eastAsia="zh-CN"/>
              </w:rPr>
            </w:pPr>
            <w:r>
              <w:rPr>
                <w:rFonts w:hint="eastAsia" w:hAnsi="宋体"/>
                <w:kern w:val="0"/>
                <w:szCs w:val="21"/>
                <w:highlight w:val="none"/>
              </w:rPr>
              <w:t>外港河</w:t>
            </w:r>
            <w:r>
              <w:rPr>
                <w:rFonts w:hint="eastAsia"/>
                <w:b/>
                <w:highlight w:val="none"/>
              </w:rPr>
              <w:t>溢流</w:t>
            </w:r>
            <w:r>
              <w:rPr>
                <w:rFonts w:hint="eastAsia"/>
                <w:b/>
                <w:highlight w:val="none"/>
                <w:lang w:eastAsia="zh-CN"/>
              </w:rPr>
              <w:t>坝</w:t>
            </w:r>
            <w:r>
              <w:rPr>
                <w:rFonts w:hint="eastAsia"/>
                <w:b/>
                <w:highlight w:val="none"/>
                <w:lang w:val="en-US" w:eastAsia="zh-CN"/>
              </w:rPr>
              <w:t>3座</w:t>
            </w:r>
          </w:p>
        </w:tc>
        <w:tc>
          <w:tcPr>
            <w:tcW w:w="1200" w:type="dxa"/>
            <w:noWrap w:val="0"/>
            <w:vAlign w:val="center"/>
          </w:tcPr>
          <w:p>
            <w:pPr>
              <w:jc w:val="center"/>
              <w:rPr>
                <w:rFonts w:hAnsi="宋体"/>
                <w:kern w:val="0"/>
                <w:szCs w:val="21"/>
                <w:highlight w:val="none"/>
              </w:rPr>
            </w:pPr>
          </w:p>
        </w:tc>
        <w:tc>
          <w:tcPr>
            <w:tcW w:w="1170" w:type="dxa"/>
            <w:noWrap w:val="0"/>
            <w:vAlign w:val="center"/>
          </w:tcPr>
          <w:p>
            <w:pPr>
              <w:jc w:val="center"/>
              <w:rPr>
                <w:rFonts w:hAnsi="宋体"/>
                <w:kern w:val="0"/>
                <w:szCs w:val="21"/>
                <w:highlight w:val="none"/>
              </w:rPr>
            </w:pPr>
          </w:p>
        </w:tc>
        <w:tc>
          <w:tcPr>
            <w:tcW w:w="1065" w:type="dxa"/>
            <w:noWrap w:val="0"/>
            <w:vAlign w:val="center"/>
          </w:tcPr>
          <w:p>
            <w:pPr>
              <w:jc w:val="center"/>
              <w:rPr>
                <w:rFonts w:hint="eastAsia" w:hAnsi="宋体"/>
                <w:kern w:val="0"/>
                <w:szCs w:val="21"/>
                <w:highlight w:val="none"/>
              </w:rPr>
            </w:pPr>
          </w:p>
        </w:tc>
        <w:tc>
          <w:tcPr>
            <w:tcW w:w="1065" w:type="dxa"/>
            <w:noWrap w:val="0"/>
            <w:vAlign w:val="center"/>
          </w:tcPr>
          <w:p>
            <w:pPr>
              <w:jc w:val="center"/>
              <w:rPr>
                <w:rFonts w:hAnsi="宋体"/>
                <w:kern w:val="0"/>
                <w:szCs w:val="21"/>
                <w:highlight w:val="none"/>
              </w:rPr>
            </w:pPr>
          </w:p>
        </w:tc>
        <w:tc>
          <w:tcPr>
            <w:tcW w:w="2805" w:type="dxa"/>
            <w:vMerge w:val="continue"/>
            <w:noWrap w:val="0"/>
            <w:vAlign w:val="center"/>
          </w:tcPr>
          <w:p>
            <w:pPr>
              <w:jc w:val="center"/>
              <w:rPr>
                <w:rFonts w:hint="eastAsia"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1485" w:type="dxa"/>
            <w:noWrap w:val="0"/>
            <w:vAlign w:val="center"/>
          </w:tcPr>
          <w:p>
            <w:pPr>
              <w:jc w:val="center"/>
              <w:rPr>
                <w:rFonts w:hint="eastAsia" w:ascii="宋体" w:hAnsi="宋体" w:cs="宋体"/>
                <w:kern w:val="0"/>
                <w:szCs w:val="21"/>
                <w:highlight w:val="none"/>
              </w:rPr>
            </w:pPr>
            <w:r>
              <w:rPr>
                <w:rFonts w:hint="eastAsia" w:ascii="宋体" w:hAnsi="宋体" w:cs="宋体"/>
                <w:kern w:val="0"/>
                <w:szCs w:val="21"/>
                <w:highlight w:val="none"/>
              </w:rPr>
              <w:t>大桥机械厂泵站</w:t>
            </w:r>
          </w:p>
        </w:tc>
        <w:tc>
          <w:tcPr>
            <w:tcW w:w="4500" w:type="dxa"/>
            <w:gridSpan w:val="4"/>
            <w:noWrap w:val="0"/>
            <w:vAlign w:val="center"/>
          </w:tcPr>
          <w:p>
            <w:pPr>
              <w:tabs>
                <w:tab w:val="left" w:pos="410"/>
              </w:tabs>
              <w:jc w:val="left"/>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ab/>
            </w:r>
            <w:r>
              <w:rPr>
                <w:rFonts w:hint="eastAsia" w:ascii="宋体" w:hAnsi="宋体" w:cs="宋体"/>
                <w:kern w:val="0"/>
                <w:szCs w:val="21"/>
                <w:highlight w:val="none"/>
                <w:lang w:eastAsia="zh-CN"/>
              </w:rPr>
              <w:t>只考虑临时抢修</w:t>
            </w:r>
          </w:p>
        </w:tc>
        <w:tc>
          <w:tcPr>
            <w:tcW w:w="2805" w:type="dxa"/>
            <w:vMerge w:val="continue"/>
            <w:noWrap w:val="0"/>
            <w:vAlign w:val="center"/>
          </w:tcPr>
          <w:p>
            <w:pPr>
              <w:jc w:val="center"/>
              <w:rPr>
                <w:rFonts w:hint="eastAsia" w:hAnsi="宋体"/>
                <w:kern w:val="0"/>
                <w:szCs w:val="21"/>
                <w:highlight w:val="none"/>
              </w:rPr>
            </w:pPr>
          </w:p>
        </w:tc>
      </w:tr>
    </w:tbl>
    <w:p>
      <w:pPr>
        <w:jc w:val="left"/>
        <w:rPr>
          <w:rFonts w:hint="eastAsia" w:hAnsi="宋体"/>
          <w:kern w:val="0"/>
          <w:szCs w:val="21"/>
          <w:highlight w:val="none"/>
        </w:rPr>
      </w:pPr>
      <w:r>
        <w:rPr>
          <w:rFonts w:hint="eastAsia" w:hAnsi="宋体"/>
          <w:kern w:val="0"/>
          <w:szCs w:val="21"/>
          <w:highlight w:val="none"/>
        </w:rPr>
        <w:t>2、泵站设备概况</w:t>
      </w:r>
    </w:p>
    <w:tbl>
      <w:tblPr>
        <w:tblStyle w:val="30"/>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305"/>
        <w:gridCol w:w="603"/>
        <w:gridCol w:w="794"/>
        <w:gridCol w:w="868"/>
        <w:gridCol w:w="634"/>
        <w:gridCol w:w="970"/>
        <w:gridCol w:w="512"/>
        <w:gridCol w:w="97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kern w:val="0"/>
                <w:szCs w:val="21"/>
                <w:highlight w:val="none"/>
              </w:rPr>
            </w:pPr>
            <w:r>
              <w:rPr>
                <w:rFonts w:hint="eastAsia" w:hAnsi="宋体"/>
                <w:kern w:val="0"/>
                <w:szCs w:val="21"/>
                <w:highlight w:val="none"/>
              </w:rPr>
              <w:t>序号</w:t>
            </w:r>
          </w:p>
        </w:tc>
        <w:tc>
          <w:tcPr>
            <w:tcW w:w="130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kern w:val="0"/>
                <w:szCs w:val="21"/>
                <w:highlight w:val="none"/>
              </w:rPr>
            </w:pPr>
            <w:r>
              <w:rPr>
                <w:rFonts w:hint="eastAsia" w:hAnsi="宋体"/>
                <w:kern w:val="0"/>
                <w:szCs w:val="21"/>
                <w:highlight w:val="none"/>
              </w:rPr>
              <w:t>泵站名称</w:t>
            </w:r>
          </w:p>
        </w:tc>
        <w:tc>
          <w:tcPr>
            <w:tcW w:w="13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kern w:val="0"/>
                <w:szCs w:val="21"/>
                <w:highlight w:val="none"/>
              </w:rPr>
            </w:pPr>
            <w:r>
              <w:rPr>
                <w:rFonts w:hint="eastAsia" w:hAnsi="宋体"/>
                <w:kern w:val="0"/>
                <w:szCs w:val="21"/>
                <w:highlight w:val="none"/>
              </w:rPr>
              <w:t>变压器</w:t>
            </w:r>
          </w:p>
        </w:tc>
        <w:tc>
          <w:tcPr>
            <w:tcW w:w="86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kern w:val="0"/>
                <w:szCs w:val="21"/>
                <w:highlight w:val="none"/>
              </w:rPr>
            </w:pPr>
            <w:r>
              <w:rPr>
                <w:rFonts w:hint="eastAsia" w:hAnsi="宋体"/>
                <w:kern w:val="0"/>
                <w:szCs w:val="21"/>
                <w:highlight w:val="none"/>
              </w:rPr>
              <w:t>总功率KW</w:t>
            </w:r>
          </w:p>
        </w:tc>
        <w:tc>
          <w:tcPr>
            <w:tcW w:w="16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kern w:val="0"/>
                <w:szCs w:val="21"/>
                <w:highlight w:val="none"/>
              </w:rPr>
            </w:pPr>
            <w:r>
              <w:rPr>
                <w:rFonts w:hint="eastAsia" w:hAnsi="宋体"/>
                <w:kern w:val="0"/>
                <w:szCs w:val="21"/>
                <w:highlight w:val="none"/>
              </w:rPr>
              <w:t>雨水泵</w:t>
            </w:r>
          </w:p>
        </w:tc>
        <w:tc>
          <w:tcPr>
            <w:tcW w:w="148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kern w:val="0"/>
                <w:szCs w:val="21"/>
                <w:highlight w:val="none"/>
              </w:rPr>
            </w:pPr>
            <w:r>
              <w:rPr>
                <w:rFonts w:hint="eastAsia" w:hAnsi="宋体"/>
                <w:kern w:val="0"/>
                <w:szCs w:val="21"/>
                <w:highlight w:val="none"/>
              </w:rPr>
              <w:t>污水泵</w:t>
            </w:r>
          </w:p>
        </w:tc>
        <w:tc>
          <w:tcPr>
            <w:tcW w:w="214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kern w:val="0"/>
                <w:szCs w:val="21"/>
                <w:highlight w:val="none"/>
              </w:rPr>
            </w:pPr>
            <w:r>
              <w:rPr>
                <w:rFonts w:hint="eastAsia" w:hAnsi="宋体"/>
                <w:kern w:val="0"/>
                <w:szCs w:val="21"/>
                <w:highlight w:val="none"/>
              </w:rPr>
              <w:t>泵站附属设备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vMerge w:val="continue"/>
            <w:noWrap w:val="0"/>
            <w:vAlign w:val="center"/>
          </w:tcPr>
          <w:p>
            <w:pPr>
              <w:jc w:val="center"/>
              <w:rPr>
                <w:rFonts w:hint="eastAsia" w:hAnsi="宋体"/>
                <w:kern w:val="0"/>
                <w:szCs w:val="21"/>
                <w:highlight w:val="none"/>
              </w:rPr>
            </w:pPr>
          </w:p>
        </w:tc>
        <w:tc>
          <w:tcPr>
            <w:tcW w:w="1305" w:type="dxa"/>
            <w:vMerge w:val="continue"/>
            <w:noWrap w:val="0"/>
            <w:vAlign w:val="center"/>
          </w:tcPr>
          <w:p>
            <w:pPr>
              <w:jc w:val="center"/>
              <w:rPr>
                <w:rFonts w:hint="eastAsia" w:hAnsi="宋体"/>
                <w:kern w:val="0"/>
                <w:szCs w:val="21"/>
                <w:highlight w:val="none"/>
              </w:rPr>
            </w:pPr>
          </w:p>
        </w:tc>
        <w:tc>
          <w:tcPr>
            <w:tcW w:w="603" w:type="dxa"/>
            <w:noWrap w:val="0"/>
            <w:vAlign w:val="center"/>
          </w:tcPr>
          <w:p>
            <w:pPr>
              <w:jc w:val="center"/>
              <w:rPr>
                <w:rFonts w:hint="eastAsia" w:hAnsi="宋体"/>
                <w:kern w:val="0"/>
                <w:szCs w:val="21"/>
                <w:highlight w:val="none"/>
              </w:rPr>
            </w:pPr>
            <w:r>
              <w:rPr>
                <w:rFonts w:hint="eastAsia" w:hAnsi="宋体"/>
                <w:kern w:val="0"/>
                <w:szCs w:val="21"/>
                <w:highlight w:val="none"/>
              </w:rPr>
              <w:t>台</w:t>
            </w:r>
          </w:p>
        </w:tc>
        <w:tc>
          <w:tcPr>
            <w:tcW w:w="794" w:type="dxa"/>
            <w:noWrap w:val="0"/>
            <w:vAlign w:val="center"/>
          </w:tcPr>
          <w:p>
            <w:pPr>
              <w:jc w:val="center"/>
              <w:rPr>
                <w:rFonts w:hint="eastAsia" w:hAnsi="宋体"/>
                <w:kern w:val="0"/>
                <w:szCs w:val="21"/>
                <w:highlight w:val="none"/>
              </w:rPr>
            </w:pPr>
            <w:r>
              <w:rPr>
                <w:rFonts w:hint="eastAsia" w:hAnsi="宋体"/>
                <w:kern w:val="0"/>
                <w:szCs w:val="21"/>
                <w:highlight w:val="none"/>
              </w:rPr>
              <w:t>容量KVA</w:t>
            </w:r>
          </w:p>
        </w:tc>
        <w:tc>
          <w:tcPr>
            <w:tcW w:w="868" w:type="dxa"/>
            <w:vMerge w:val="continue"/>
            <w:noWrap w:val="0"/>
            <w:vAlign w:val="center"/>
          </w:tcPr>
          <w:p>
            <w:pPr>
              <w:jc w:val="center"/>
              <w:rPr>
                <w:rFonts w:hint="eastAsia" w:hAnsi="宋体"/>
                <w:kern w:val="0"/>
                <w:szCs w:val="21"/>
                <w:highlight w:val="none"/>
              </w:rPr>
            </w:pPr>
          </w:p>
        </w:tc>
        <w:tc>
          <w:tcPr>
            <w:tcW w:w="634" w:type="dxa"/>
            <w:noWrap w:val="0"/>
            <w:vAlign w:val="center"/>
          </w:tcPr>
          <w:p>
            <w:pPr>
              <w:jc w:val="center"/>
              <w:rPr>
                <w:rFonts w:hint="eastAsia" w:hAnsi="宋体"/>
                <w:kern w:val="0"/>
                <w:szCs w:val="21"/>
                <w:highlight w:val="none"/>
              </w:rPr>
            </w:pPr>
            <w:r>
              <w:rPr>
                <w:rFonts w:hint="eastAsia" w:hAnsi="宋体"/>
                <w:kern w:val="0"/>
                <w:szCs w:val="21"/>
                <w:highlight w:val="none"/>
              </w:rPr>
              <w:t>台</w:t>
            </w:r>
          </w:p>
        </w:tc>
        <w:tc>
          <w:tcPr>
            <w:tcW w:w="970" w:type="dxa"/>
            <w:noWrap w:val="0"/>
            <w:vAlign w:val="center"/>
          </w:tcPr>
          <w:p>
            <w:pPr>
              <w:jc w:val="center"/>
              <w:rPr>
                <w:rFonts w:hint="eastAsia" w:hAnsi="宋体"/>
                <w:kern w:val="0"/>
                <w:szCs w:val="21"/>
                <w:highlight w:val="none"/>
              </w:rPr>
            </w:pPr>
            <w:r>
              <w:rPr>
                <w:rFonts w:hint="eastAsia" w:hAnsi="宋体"/>
                <w:kern w:val="0"/>
                <w:szCs w:val="21"/>
                <w:highlight w:val="none"/>
              </w:rPr>
              <w:t>流量m</w:t>
            </w:r>
            <w:r>
              <w:rPr>
                <w:rFonts w:hint="eastAsia" w:hAnsi="宋体"/>
                <w:kern w:val="0"/>
                <w:szCs w:val="21"/>
                <w:highlight w:val="none"/>
                <w:vertAlign w:val="superscript"/>
              </w:rPr>
              <w:t>3</w:t>
            </w:r>
            <w:r>
              <w:rPr>
                <w:rFonts w:hint="eastAsia" w:hAnsi="宋体"/>
                <w:kern w:val="0"/>
                <w:szCs w:val="21"/>
                <w:highlight w:val="none"/>
              </w:rPr>
              <w:t>/s台</w:t>
            </w:r>
          </w:p>
        </w:tc>
        <w:tc>
          <w:tcPr>
            <w:tcW w:w="512" w:type="dxa"/>
            <w:noWrap w:val="0"/>
            <w:vAlign w:val="center"/>
          </w:tcPr>
          <w:p>
            <w:pPr>
              <w:jc w:val="center"/>
              <w:rPr>
                <w:rFonts w:hint="eastAsia" w:hAnsi="宋体"/>
                <w:kern w:val="0"/>
                <w:szCs w:val="21"/>
                <w:highlight w:val="none"/>
              </w:rPr>
            </w:pPr>
            <w:r>
              <w:rPr>
                <w:rFonts w:hint="eastAsia" w:hAnsi="宋体"/>
                <w:kern w:val="0"/>
                <w:szCs w:val="21"/>
                <w:highlight w:val="none"/>
              </w:rPr>
              <w:t>台</w:t>
            </w:r>
          </w:p>
        </w:tc>
        <w:tc>
          <w:tcPr>
            <w:tcW w:w="975" w:type="dxa"/>
            <w:noWrap w:val="0"/>
            <w:vAlign w:val="center"/>
          </w:tcPr>
          <w:p>
            <w:pPr>
              <w:jc w:val="center"/>
              <w:rPr>
                <w:rFonts w:hint="eastAsia" w:hAnsi="宋体"/>
                <w:kern w:val="0"/>
                <w:szCs w:val="21"/>
                <w:highlight w:val="none"/>
              </w:rPr>
            </w:pPr>
            <w:r>
              <w:rPr>
                <w:rFonts w:hint="eastAsia" w:hAnsi="宋体"/>
                <w:kern w:val="0"/>
                <w:szCs w:val="21"/>
                <w:highlight w:val="none"/>
              </w:rPr>
              <w:t>流量m</w:t>
            </w:r>
            <w:r>
              <w:rPr>
                <w:rFonts w:hint="eastAsia" w:hAnsi="宋体"/>
                <w:kern w:val="0"/>
                <w:szCs w:val="21"/>
                <w:highlight w:val="none"/>
                <w:vertAlign w:val="superscript"/>
              </w:rPr>
              <w:t>3</w:t>
            </w:r>
            <w:r>
              <w:rPr>
                <w:rFonts w:hint="eastAsia" w:hAnsi="宋体"/>
                <w:kern w:val="0"/>
                <w:szCs w:val="21"/>
                <w:highlight w:val="none"/>
              </w:rPr>
              <w:t>/s台</w:t>
            </w:r>
          </w:p>
        </w:tc>
        <w:tc>
          <w:tcPr>
            <w:tcW w:w="2145" w:type="dxa"/>
            <w:vMerge w:val="continue"/>
            <w:noWrap w:val="0"/>
            <w:vAlign w:val="center"/>
          </w:tcPr>
          <w:p>
            <w:pPr>
              <w:jc w:val="center"/>
              <w:rPr>
                <w:rFonts w:hint="eastAsia"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highlight w:val="none"/>
              </w:rPr>
            </w:pPr>
            <w:r>
              <w:rPr>
                <w:rFonts w:hint="eastAsia" w:hAnsi="宋体"/>
                <w:kern w:val="0"/>
                <w:szCs w:val="21"/>
                <w:highlight w:val="none"/>
              </w:rPr>
              <w:t>1</w:t>
            </w:r>
          </w:p>
        </w:tc>
        <w:tc>
          <w:tcPr>
            <w:tcW w:w="1305" w:type="dxa"/>
            <w:noWrap w:val="0"/>
            <w:vAlign w:val="center"/>
          </w:tcPr>
          <w:p>
            <w:pPr>
              <w:jc w:val="center"/>
              <w:rPr>
                <w:rFonts w:hint="eastAsia" w:hAnsi="宋体"/>
                <w:kern w:val="0"/>
                <w:szCs w:val="21"/>
                <w:highlight w:val="none"/>
              </w:rPr>
            </w:pPr>
            <w:r>
              <w:rPr>
                <w:rFonts w:hint="eastAsia" w:hAnsi="宋体"/>
                <w:kern w:val="0"/>
                <w:szCs w:val="21"/>
                <w:highlight w:val="none"/>
              </w:rPr>
              <w:t>新河村泵站</w:t>
            </w:r>
          </w:p>
        </w:tc>
        <w:tc>
          <w:tcPr>
            <w:tcW w:w="603" w:type="dxa"/>
            <w:noWrap w:val="0"/>
            <w:vAlign w:val="center"/>
          </w:tcPr>
          <w:p>
            <w:pPr>
              <w:jc w:val="center"/>
              <w:rPr>
                <w:rFonts w:hint="eastAsia" w:hAnsi="宋体"/>
                <w:kern w:val="0"/>
                <w:szCs w:val="21"/>
                <w:highlight w:val="none"/>
              </w:rPr>
            </w:pPr>
            <w:r>
              <w:rPr>
                <w:rFonts w:hint="eastAsia" w:hAnsi="宋体"/>
                <w:kern w:val="0"/>
                <w:szCs w:val="21"/>
                <w:highlight w:val="none"/>
              </w:rPr>
              <w:t>2</w:t>
            </w:r>
          </w:p>
        </w:tc>
        <w:tc>
          <w:tcPr>
            <w:tcW w:w="794" w:type="dxa"/>
            <w:noWrap w:val="0"/>
            <w:vAlign w:val="center"/>
          </w:tcPr>
          <w:p>
            <w:pPr>
              <w:jc w:val="center"/>
              <w:rPr>
                <w:rFonts w:hint="eastAsia" w:hAnsi="宋体"/>
                <w:kern w:val="0"/>
                <w:szCs w:val="21"/>
                <w:highlight w:val="none"/>
              </w:rPr>
            </w:pPr>
            <w:r>
              <w:rPr>
                <w:rFonts w:hint="eastAsia" w:hAnsi="宋体"/>
                <w:kern w:val="0"/>
                <w:szCs w:val="21"/>
                <w:highlight w:val="none"/>
              </w:rPr>
              <w:t>1000</w:t>
            </w:r>
          </w:p>
        </w:tc>
        <w:tc>
          <w:tcPr>
            <w:tcW w:w="868" w:type="dxa"/>
            <w:noWrap w:val="0"/>
            <w:vAlign w:val="center"/>
          </w:tcPr>
          <w:p>
            <w:pPr>
              <w:jc w:val="center"/>
              <w:rPr>
                <w:rFonts w:hint="eastAsia" w:hAnsi="宋体"/>
                <w:kern w:val="0"/>
                <w:szCs w:val="21"/>
                <w:highlight w:val="none"/>
              </w:rPr>
            </w:pPr>
            <w:r>
              <w:rPr>
                <w:rFonts w:hint="eastAsia" w:hAnsi="宋体"/>
                <w:kern w:val="0"/>
                <w:szCs w:val="21"/>
                <w:highlight w:val="none"/>
              </w:rPr>
              <w:t>1100</w:t>
            </w:r>
          </w:p>
        </w:tc>
        <w:tc>
          <w:tcPr>
            <w:tcW w:w="634" w:type="dxa"/>
            <w:noWrap w:val="0"/>
            <w:vAlign w:val="center"/>
          </w:tcPr>
          <w:p>
            <w:pPr>
              <w:jc w:val="center"/>
              <w:rPr>
                <w:rFonts w:hint="eastAsia" w:hAnsi="宋体"/>
                <w:kern w:val="0"/>
                <w:szCs w:val="21"/>
                <w:highlight w:val="none"/>
              </w:rPr>
            </w:pPr>
            <w:r>
              <w:rPr>
                <w:rFonts w:hint="eastAsia" w:hAnsi="宋体"/>
                <w:kern w:val="0"/>
                <w:szCs w:val="21"/>
                <w:highlight w:val="none"/>
              </w:rPr>
              <w:t>4</w:t>
            </w:r>
          </w:p>
        </w:tc>
        <w:tc>
          <w:tcPr>
            <w:tcW w:w="970" w:type="dxa"/>
            <w:noWrap w:val="0"/>
            <w:vAlign w:val="center"/>
          </w:tcPr>
          <w:p>
            <w:pPr>
              <w:jc w:val="center"/>
              <w:rPr>
                <w:rFonts w:hint="eastAsia" w:hAnsi="宋体"/>
                <w:kern w:val="0"/>
                <w:szCs w:val="21"/>
                <w:highlight w:val="none"/>
              </w:rPr>
            </w:pPr>
            <w:r>
              <w:rPr>
                <w:rFonts w:hint="eastAsia" w:hAnsi="宋体"/>
                <w:kern w:val="0"/>
                <w:szCs w:val="21"/>
                <w:highlight w:val="none"/>
              </w:rPr>
              <w:t>2</w:t>
            </w:r>
          </w:p>
        </w:tc>
        <w:tc>
          <w:tcPr>
            <w:tcW w:w="512" w:type="dxa"/>
            <w:noWrap w:val="0"/>
            <w:vAlign w:val="center"/>
          </w:tcPr>
          <w:p>
            <w:pPr>
              <w:jc w:val="center"/>
              <w:rPr>
                <w:rFonts w:hint="eastAsia" w:hAnsi="宋体"/>
                <w:kern w:val="0"/>
                <w:szCs w:val="21"/>
                <w:highlight w:val="none"/>
              </w:rPr>
            </w:pPr>
            <w:r>
              <w:rPr>
                <w:rFonts w:hint="eastAsia" w:hAnsi="宋体"/>
                <w:kern w:val="0"/>
                <w:szCs w:val="21"/>
                <w:highlight w:val="none"/>
              </w:rPr>
              <w:t>4</w:t>
            </w:r>
          </w:p>
        </w:tc>
        <w:tc>
          <w:tcPr>
            <w:tcW w:w="975" w:type="dxa"/>
            <w:noWrap w:val="0"/>
            <w:vAlign w:val="center"/>
          </w:tcPr>
          <w:p>
            <w:pPr>
              <w:jc w:val="center"/>
              <w:rPr>
                <w:rFonts w:hint="eastAsia" w:hAnsi="宋体"/>
                <w:kern w:val="0"/>
                <w:szCs w:val="21"/>
                <w:highlight w:val="none"/>
              </w:rPr>
            </w:pPr>
            <w:r>
              <w:rPr>
                <w:rFonts w:hint="eastAsia" w:hAnsi="宋体"/>
                <w:kern w:val="0"/>
                <w:szCs w:val="21"/>
                <w:highlight w:val="none"/>
              </w:rPr>
              <w:t>0.1</w:t>
            </w:r>
          </w:p>
        </w:tc>
        <w:tc>
          <w:tcPr>
            <w:tcW w:w="2145" w:type="dxa"/>
            <w:vMerge w:val="restart"/>
            <w:noWrap w:val="0"/>
            <w:vAlign w:val="center"/>
          </w:tcPr>
          <w:p>
            <w:pPr>
              <w:jc w:val="center"/>
              <w:rPr>
                <w:rFonts w:hAnsi="宋体"/>
                <w:kern w:val="0"/>
                <w:szCs w:val="21"/>
                <w:highlight w:val="none"/>
              </w:rPr>
            </w:pPr>
          </w:p>
          <w:p>
            <w:pPr>
              <w:jc w:val="center"/>
              <w:rPr>
                <w:rFonts w:hint="eastAsia" w:hAnsi="宋体"/>
                <w:kern w:val="0"/>
                <w:szCs w:val="21"/>
                <w:highlight w:val="none"/>
              </w:rPr>
            </w:pPr>
            <w:r>
              <w:rPr>
                <w:rFonts w:hint="eastAsia" w:hAnsi="宋体"/>
                <w:kern w:val="0"/>
                <w:szCs w:val="21"/>
                <w:highlight w:val="none"/>
              </w:rPr>
              <w:t>以泵站目前现场实际设备为准（包括</w:t>
            </w:r>
            <w:r>
              <w:rPr>
                <w:rFonts w:hint="eastAsia" w:ascii="宋体" w:hAnsi="宋体"/>
                <w:szCs w:val="21"/>
                <w:highlight w:val="none"/>
              </w:rPr>
              <w:t>蝶阀、止回阀、输送带、捞脏机、栏污栅、格栅、行车等</w:t>
            </w:r>
            <w:r>
              <w:rPr>
                <w:rFonts w:hint="eastAsia" w:hAnsi="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highlight w:val="none"/>
              </w:rPr>
            </w:pPr>
            <w:r>
              <w:rPr>
                <w:rFonts w:hint="eastAsia" w:hAnsi="宋体"/>
                <w:kern w:val="0"/>
                <w:szCs w:val="21"/>
                <w:highlight w:val="none"/>
              </w:rPr>
              <w:t>2</w:t>
            </w:r>
          </w:p>
        </w:tc>
        <w:tc>
          <w:tcPr>
            <w:tcW w:w="1305" w:type="dxa"/>
            <w:noWrap w:val="0"/>
            <w:vAlign w:val="center"/>
          </w:tcPr>
          <w:p>
            <w:pPr>
              <w:jc w:val="center"/>
              <w:rPr>
                <w:rFonts w:hint="eastAsia" w:hAnsi="宋体"/>
                <w:kern w:val="0"/>
                <w:szCs w:val="21"/>
                <w:highlight w:val="none"/>
              </w:rPr>
            </w:pPr>
            <w:r>
              <w:rPr>
                <w:rFonts w:hint="eastAsia" w:hAnsi="宋体"/>
                <w:kern w:val="0"/>
                <w:szCs w:val="21"/>
                <w:highlight w:val="none"/>
              </w:rPr>
              <w:t>杨家圩泵站</w:t>
            </w:r>
          </w:p>
        </w:tc>
        <w:tc>
          <w:tcPr>
            <w:tcW w:w="603" w:type="dxa"/>
            <w:noWrap w:val="0"/>
            <w:vAlign w:val="center"/>
          </w:tcPr>
          <w:p>
            <w:pPr>
              <w:jc w:val="center"/>
              <w:rPr>
                <w:rFonts w:hint="eastAsia" w:hAnsi="宋体"/>
                <w:kern w:val="0"/>
                <w:szCs w:val="21"/>
                <w:highlight w:val="none"/>
              </w:rPr>
            </w:pPr>
            <w:r>
              <w:rPr>
                <w:rFonts w:hint="eastAsia" w:hAnsi="宋体"/>
                <w:kern w:val="0"/>
                <w:szCs w:val="21"/>
                <w:highlight w:val="none"/>
              </w:rPr>
              <w:t>2</w:t>
            </w:r>
          </w:p>
        </w:tc>
        <w:tc>
          <w:tcPr>
            <w:tcW w:w="794" w:type="dxa"/>
            <w:noWrap w:val="0"/>
            <w:vAlign w:val="center"/>
          </w:tcPr>
          <w:p>
            <w:pPr>
              <w:jc w:val="center"/>
              <w:rPr>
                <w:rFonts w:hint="eastAsia" w:hAnsi="宋体"/>
                <w:kern w:val="0"/>
                <w:szCs w:val="21"/>
                <w:highlight w:val="none"/>
              </w:rPr>
            </w:pPr>
            <w:r>
              <w:rPr>
                <w:rFonts w:hint="eastAsia" w:hAnsi="宋体"/>
                <w:kern w:val="0"/>
                <w:szCs w:val="21"/>
                <w:highlight w:val="none"/>
              </w:rPr>
              <w:t>800</w:t>
            </w:r>
          </w:p>
        </w:tc>
        <w:tc>
          <w:tcPr>
            <w:tcW w:w="868" w:type="dxa"/>
            <w:noWrap w:val="0"/>
            <w:vAlign w:val="center"/>
          </w:tcPr>
          <w:p>
            <w:pPr>
              <w:jc w:val="center"/>
              <w:rPr>
                <w:rFonts w:hint="eastAsia" w:hAnsi="宋体"/>
                <w:kern w:val="0"/>
                <w:szCs w:val="21"/>
                <w:highlight w:val="none"/>
              </w:rPr>
            </w:pPr>
            <w:r>
              <w:rPr>
                <w:rFonts w:hint="eastAsia" w:hAnsi="宋体"/>
                <w:kern w:val="0"/>
                <w:szCs w:val="21"/>
                <w:highlight w:val="none"/>
              </w:rPr>
              <w:t>1110</w:t>
            </w:r>
          </w:p>
        </w:tc>
        <w:tc>
          <w:tcPr>
            <w:tcW w:w="634" w:type="dxa"/>
            <w:noWrap w:val="0"/>
            <w:vAlign w:val="center"/>
          </w:tcPr>
          <w:p>
            <w:pPr>
              <w:jc w:val="center"/>
              <w:rPr>
                <w:rFonts w:hint="eastAsia" w:hAnsi="宋体"/>
                <w:kern w:val="0"/>
                <w:szCs w:val="21"/>
                <w:highlight w:val="none"/>
              </w:rPr>
            </w:pPr>
            <w:r>
              <w:rPr>
                <w:rFonts w:hint="eastAsia" w:hAnsi="宋体"/>
                <w:kern w:val="0"/>
                <w:szCs w:val="21"/>
                <w:highlight w:val="none"/>
              </w:rPr>
              <w:t>5</w:t>
            </w:r>
          </w:p>
        </w:tc>
        <w:tc>
          <w:tcPr>
            <w:tcW w:w="970" w:type="dxa"/>
            <w:noWrap w:val="0"/>
            <w:vAlign w:val="center"/>
          </w:tcPr>
          <w:p>
            <w:pPr>
              <w:jc w:val="center"/>
              <w:rPr>
                <w:rFonts w:hint="eastAsia" w:hAnsi="宋体"/>
                <w:kern w:val="0"/>
                <w:szCs w:val="21"/>
                <w:highlight w:val="none"/>
              </w:rPr>
            </w:pPr>
            <w:r>
              <w:rPr>
                <w:rFonts w:hint="eastAsia" w:hAnsi="宋体"/>
                <w:kern w:val="0"/>
                <w:szCs w:val="21"/>
                <w:highlight w:val="none"/>
              </w:rPr>
              <w:t>2</w:t>
            </w:r>
          </w:p>
        </w:tc>
        <w:tc>
          <w:tcPr>
            <w:tcW w:w="512" w:type="dxa"/>
            <w:noWrap w:val="0"/>
            <w:vAlign w:val="center"/>
          </w:tcPr>
          <w:p>
            <w:pPr>
              <w:jc w:val="center"/>
              <w:rPr>
                <w:rFonts w:hint="eastAsia" w:hAnsi="宋体"/>
                <w:kern w:val="0"/>
                <w:szCs w:val="21"/>
                <w:highlight w:val="none"/>
              </w:rPr>
            </w:pPr>
          </w:p>
        </w:tc>
        <w:tc>
          <w:tcPr>
            <w:tcW w:w="975" w:type="dxa"/>
            <w:noWrap w:val="0"/>
            <w:vAlign w:val="center"/>
          </w:tcPr>
          <w:p>
            <w:pPr>
              <w:jc w:val="center"/>
              <w:rPr>
                <w:rFonts w:hint="eastAsia" w:hAnsi="宋体"/>
                <w:kern w:val="0"/>
                <w:szCs w:val="21"/>
                <w:highlight w:val="none"/>
              </w:rPr>
            </w:pPr>
          </w:p>
        </w:tc>
        <w:tc>
          <w:tcPr>
            <w:tcW w:w="2145" w:type="dxa"/>
            <w:vMerge w:val="continue"/>
            <w:noWrap w:val="0"/>
            <w:vAlign w:val="center"/>
          </w:tcPr>
          <w:p>
            <w:pPr>
              <w:jc w:val="center"/>
              <w:rPr>
                <w:rFonts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highlight w:val="none"/>
              </w:rPr>
            </w:pPr>
            <w:r>
              <w:rPr>
                <w:rFonts w:hint="eastAsia" w:hAnsi="宋体"/>
                <w:kern w:val="0"/>
                <w:szCs w:val="21"/>
                <w:highlight w:val="none"/>
              </w:rPr>
              <w:t>3</w:t>
            </w:r>
          </w:p>
        </w:tc>
        <w:tc>
          <w:tcPr>
            <w:tcW w:w="1305" w:type="dxa"/>
            <w:noWrap w:val="0"/>
            <w:vAlign w:val="center"/>
          </w:tcPr>
          <w:p>
            <w:pPr>
              <w:jc w:val="center"/>
              <w:rPr>
                <w:rFonts w:hint="eastAsia" w:hAnsi="宋体"/>
                <w:kern w:val="0"/>
                <w:szCs w:val="21"/>
                <w:highlight w:val="none"/>
              </w:rPr>
            </w:pPr>
            <w:r>
              <w:rPr>
                <w:rFonts w:hint="eastAsia" w:hAnsi="宋体"/>
                <w:kern w:val="0"/>
                <w:szCs w:val="21"/>
                <w:highlight w:val="none"/>
              </w:rPr>
              <w:t>商城泵站</w:t>
            </w:r>
          </w:p>
        </w:tc>
        <w:tc>
          <w:tcPr>
            <w:tcW w:w="603" w:type="dxa"/>
            <w:noWrap w:val="0"/>
            <w:vAlign w:val="center"/>
          </w:tcPr>
          <w:p>
            <w:pPr>
              <w:jc w:val="center"/>
              <w:rPr>
                <w:rFonts w:hint="eastAsia" w:hAnsi="宋体"/>
                <w:kern w:val="0"/>
                <w:szCs w:val="21"/>
                <w:highlight w:val="none"/>
              </w:rPr>
            </w:pPr>
            <w:r>
              <w:rPr>
                <w:rFonts w:hint="eastAsia" w:hAnsi="宋体"/>
                <w:kern w:val="0"/>
                <w:szCs w:val="21"/>
                <w:highlight w:val="none"/>
              </w:rPr>
              <w:t>2</w:t>
            </w:r>
          </w:p>
        </w:tc>
        <w:tc>
          <w:tcPr>
            <w:tcW w:w="794" w:type="dxa"/>
            <w:noWrap w:val="0"/>
            <w:vAlign w:val="center"/>
          </w:tcPr>
          <w:p>
            <w:pPr>
              <w:jc w:val="center"/>
              <w:rPr>
                <w:rFonts w:hint="eastAsia" w:hAnsi="宋体"/>
                <w:kern w:val="0"/>
                <w:szCs w:val="21"/>
                <w:highlight w:val="none"/>
              </w:rPr>
            </w:pPr>
            <w:r>
              <w:rPr>
                <w:rFonts w:hint="eastAsia" w:hAnsi="宋体"/>
                <w:kern w:val="0"/>
                <w:szCs w:val="21"/>
                <w:highlight w:val="none"/>
              </w:rPr>
              <w:t>1250</w:t>
            </w:r>
          </w:p>
        </w:tc>
        <w:tc>
          <w:tcPr>
            <w:tcW w:w="868" w:type="dxa"/>
            <w:noWrap w:val="0"/>
            <w:vAlign w:val="center"/>
          </w:tcPr>
          <w:p>
            <w:pPr>
              <w:jc w:val="center"/>
              <w:rPr>
                <w:rFonts w:hint="eastAsia" w:hAnsi="宋体"/>
                <w:kern w:val="0"/>
                <w:szCs w:val="21"/>
                <w:highlight w:val="none"/>
              </w:rPr>
            </w:pPr>
            <w:r>
              <w:rPr>
                <w:rFonts w:hint="eastAsia" w:hAnsi="宋体"/>
                <w:kern w:val="0"/>
                <w:szCs w:val="21"/>
                <w:highlight w:val="none"/>
              </w:rPr>
              <w:t>940</w:t>
            </w:r>
          </w:p>
        </w:tc>
        <w:tc>
          <w:tcPr>
            <w:tcW w:w="634" w:type="dxa"/>
            <w:noWrap w:val="0"/>
            <w:vAlign w:val="center"/>
          </w:tcPr>
          <w:p>
            <w:pPr>
              <w:jc w:val="center"/>
              <w:rPr>
                <w:rFonts w:hint="eastAsia" w:hAnsi="宋体"/>
                <w:kern w:val="0"/>
                <w:szCs w:val="21"/>
                <w:highlight w:val="none"/>
              </w:rPr>
            </w:pPr>
            <w:r>
              <w:rPr>
                <w:rFonts w:hint="eastAsia" w:hAnsi="宋体"/>
                <w:kern w:val="0"/>
                <w:szCs w:val="21"/>
                <w:highlight w:val="none"/>
              </w:rPr>
              <w:t>4</w:t>
            </w:r>
          </w:p>
        </w:tc>
        <w:tc>
          <w:tcPr>
            <w:tcW w:w="970" w:type="dxa"/>
            <w:noWrap w:val="0"/>
            <w:vAlign w:val="center"/>
          </w:tcPr>
          <w:p>
            <w:pPr>
              <w:jc w:val="center"/>
              <w:rPr>
                <w:rFonts w:hint="eastAsia" w:hAnsi="宋体"/>
                <w:kern w:val="0"/>
                <w:szCs w:val="21"/>
                <w:highlight w:val="none"/>
              </w:rPr>
            </w:pPr>
            <w:r>
              <w:rPr>
                <w:rFonts w:hint="eastAsia" w:hAnsi="宋体"/>
                <w:kern w:val="0"/>
                <w:szCs w:val="21"/>
                <w:highlight w:val="none"/>
              </w:rPr>
              <w:t>2</w:t>
            </w:r>
          </w:p>
        </w:tc>
        <w:tc>
          <w:tcPr>
            <w:tcW w:w="512" w:type="dxa"/>
            <w:noWrap w:val="0"/>
            <w:vAlign w:val="center"/>
          </w:tcPr>
          <w:p>
            <w:pPr>
              <w:jc w:val="center"/>
              <w:rPr>
                <w:rFonts w:hint="eastAsia" w:hAnsi="宋体"/>
                <w:kern w:val="0"/>
                <w:szCs w:val="21"/>
                <w:highlight w:val="none"/>
              </w:rPr>
            </w:pPr>
            <w:r>
              <w:rPr>
                <w:rFonts w:hint="eastAsia" w:hAnsi="宋体"/>
                <w:kern w:val="0"/>
                <w:szCs w:val="21"/>
                <w:highlight w:val="none"/>
              </w:rPr>
              <w:t>2</w:t>
            </w:r>
          </w:p>
        </w:tc>
        <w:tc>
          <w:tcPr>
            <w:tcW w:w="975" w:type="dxa"/>
            <w:noWrap w:val="0"/>
            <w:vAlign w:val="center"/>
          </w:tcPr>
          <w:p>
            <w:pPr>
              <w:jc w:val="center"/>
              <w:rPr>
                <w:rFonts w:hint="eastAsia" w:hAnsi="宋体"/>
                <w:kern w:val="0"/>
                <w:szCs w:val="21"/>
                <w:highlight w:val="none"/>
              </w:rPr>
            </w:pPr>
            <w:r>
              <w:rPr>
                <w:rFonts w:hint="eastAsia" w:hAnsi="宋体"/>
                <w:kern w:val="0"/>
                <w:szCs w:val="21"/>
                <w:highlight w:val="none"/>
              </w:rPr>
              <w:t>0.14</w:t>
            </w:r>
          </w:p>
        </w:tc>
        <w:tc>
          <w:tcPr>
            <w:tcW w:w="2145" w:type="dxa"/>
            <w:vMerge w:val="continue"/>
            <w:noWrap w:val="0"/>
            <w:vAlign w:val="center"/>
          </w:tcPr>
          <w:p>
            <w:pPr>
              <w:jc w:val="center"/>
              <w:rPr>
                <w:rFonts w:hint="eastAsia"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highlight w:val="none"/>
              </w:rPr>
            </w:pPr>
            <w:r>
              <w:rPr>
                <w:rFonts w:hint="eastAsia" w:hAnsi="宋体"/>
                <w:kern w:val="0"/>
                <w:szCs w:val="21"/>
                <w:highlight w:val="none"/>
              </w:rPr>
              <w:t>4</w:t>
            </w:r>
          </w:p>
        </w:tc>
        <w:tc>
          <w:tcPr>
            <w:tcW w:w="1305" w:type="dxa"/>
            <w:noWrap w:val="0"/>
            <w:vAlign w:val="center"/>
          </w:tcPr>
          <w:p>
            <w:pPr>
              <w:jc w:val="center"/>
              <w:rPr>
                <w:rFonts w:hint="eastAsia" w:hAnsi="宋体"/>
                <w:kern w:val="0"/>
                <w:szCs w:val="21"/>
                <w:highlight w:val="none"/>
              </w:rPr>
            </w:pPr>
            <w:r>
              <w:rPr>
                <w:rFonts w:hint="eastAsia" w:hAnsi="宋体"/>
                <w:kern w:val="0"/>
                <w:szCs w:val="21"/>
                <w:highlight w:val="none"/>
              </w:rPr>
              <w:t>中前泵站</w:t>
            </w:r>
          </w:p>
        </w:tc>
        <w:tc>
          <w:tcPr>
            <w:tcW w:w="603" w:type="dxa"/>
            <w:noWrap w:val="0"/>
            <w:vAlign w:val="center"/>
          </w:tcPr>
          <w:p>
            <w:pPr>
              <w:jc w:val="center"/>
              <w:rPr>
                <w:rFonts w:hint="eastAsia" w:hAnsi="宋体"/>
                <w:kern w:val="0"/>
                <w:szCs w:val="21"/>
                <w:highlight w:val="none"/>
              </w:rPr>
            </w:pPr>
            <w:r>
              <w:rPr>
                <w:rFonts w:hint="eastAsia" w:hAnsi="宋体"/>
                <w:kern w:val="0"/>
                <w:szCs w:val="21"/>
                <w:highlight w:val="none"/>
              </w:rPr>
              <w:t>2</w:t>
            </w:r>
          </w:p>
        </w:tc>
        <w:tc>
          <w:tcPr>
            <w:tcW w:w="794" w:type="dxa"/>
            <w:noWrap w:val="0"/>
            <w:vAlign w:val="center"/>
          </w:tcPr>
          <w:p>
            <w:pPr>
              <w:jc w:val="center"/>
              <w:rPr>
                <w:rFonts w:hint="eastAsia" w:hAnsi="宋体"/>
                <w:kern w:val="0"/>
                <w:szCs w:val="21"/>
                <w:highlight w:val="none"/>
              </w:rPr>
            </w:pPr>
            <w:r>
              <w:rPr>
                <w:rFonts w:hint="eastAsia" w:hAnsi="宋体"/>
                <w:kern w:val="0"/>
                <w:szCs w:val="21"/>
                <w:highlight w:val="none"/>
              </w:rPr>
              <w:t>1250</w:t>
            </w:r>
          </w:p>
        </w:tc>
        <w:tc>
          <w:tcPr>
            <w:tcW w:w="868" w:type="dxa"/>
            <w:noWrap w:val="0"/>
            <w:vAlign w:val="center"/>
          </w:tcPr>
          <w:p>
            <w:pPr>
              <w:jc w:val="center"/>
              <w:rPr>
                <w:rFonts w:hint="eastAsia" w:hAnsi="宋体"/>
                <w:kern w:val="0"/>
                <w:szCs w:val="21"/>
                <w:highlight w:val="none"/>
              </w:rPr>
            </w:pPr>
            <w:r>
              <w:rPr>
                <w:rFonts w:hint="eastAsia" w:hAnsi="宋体"/>
                <w:kern w:val="0"/>
                <w:szCs w:val="21"/>
                <w:highlight w:val="none"/>
              </w:rPr>
              <w:t>1488</w:t>
            </w:r>
          </w:p>
        </w:tc>
        <w:tc>
          <w:tcPr>
            <w:tcW w:w="634" w:type="dxa"/>
            <w:noWrap w:val="0"/>
            <w:vAlign w:val="center"/>
          </w:tcPr>
          <w:p>
            <w:pPr>
              <w:jc w:val="center"/>
              <w:rPr>
                <w:rFonts w:hint="eastAsia" w:hAnsi="宋体"/>
                <w:kern w:val="0"/>
                <w:szCs w:val="21"/>
                <w:highlight w:val="none"/>
              </w:rPr>
            </w:pPr>
            <w:r>
              <w:rPr>
                <w:rFonts w:hint="eastAsia" w:hAnsi="宋体"/>
                <w:kern w:val="0"/>
                <w:szCs w:val="21"/>
                <w:highlight w:val="none"/>
              </w:rPr>
              <w:t>4</w:t>
            </w:r>
          </w:p>
        </w:tc>
        <w:tc>
          <w:tcPr>
            <w:tcW w:w="970" w:type="dxa"/>
            <w:noWrap w:val="0"/>
            <w:vAlign w:val="center"/>
          </w:tcPr>
          <w:p>
            <w:pPr>
              <w:jc w:val="center"/>
              <w:rPr>
                <w:rFonts w:hint="eastAsia" w:hAnsi="宋体"/>
                <w:kern w:val="0"/>
                <w:szCs w:val="21"/>
                <w:highlight w:val="none"/>
              </w:rPr>
            </w:pPr>
            <w:r>
              <w:rPr>
                <w:rFonts w:hint="eastAsia" w:hAnsi="宋体"/>
                <w:kern w:val="0"/>
                <w:szCs w:val="21"/>
                <w:highlight w:val="none"/>
              </w:rPr>
              <w:t>2/4</w:t>
            </w:r>
          </w:p>
        </w:tc>
        <w:tc>
          <w:tcPr>
            <w:tcW w:w="512" w:type="dxa"/>
            <w:noWrap w:val="0"/>
            <w:vAlign w:val="center"/>
          </w:tcPr>
          <w:p>
            <w:pPr>
              <w:jc w:val="center"/>
              <w:rPr>
                <w:rFonts w:hint="eastAsia" w:hAnsi="宋体"/>
                <w:kern w:val="0"/>
                <w:szCs w:val="21"/>
                <w:highlight w:val="none"/>
              </w:rPr>
            </w:pPr>
            <w:r>
              <w:rPr>
                <w:rFonts w:hint="eastAsia" w:hAnsi="宋体"/>
                <w:kern w:val="0"/>
                <w:szCs w:val="21"/>
                <w:highlight w:val="none"/>
              </w:rPr>
              <w:t>2</w:t>
            </w:r>
          </w:p>
        </w:tc>
        <w:tc>
          <w:tcPr>
            <w:tcW w:w="975" w:type="dxa"/>
            <w:noWrap w:val="0"/>
            <w:vAlign w:val="center"/>
          </w:tcPr>
          <w:p>
            <w:pPr>
              <w:jc w:val="center"/>
              <w:rPr>
                <w:rFonts w:hint="eastAsia" w:hAnsi="宋体"/>
                <w:kern w:val="0"/>
                <w:szCs w:val="21"/>
                <w:highlight w:val="none"/>
              </w:rPr>
            </w:pPr>
            <w:r>
              <w:rPr>
                <w:rFonts w:hint="eastAsia" w:hAnsi="宋体"/>
                <w:kern w:val="0"/>
                <w:szCs w:val="21"/>
                <w:highlight w:val="none"/>
              </w:rPr>
              <w:t>0.18</w:t>
            </w:r>
          </w:p>
        </w:tc>
        <w:tc>
          <w:tcPr>
            <w:tcW w:w="2145" w:type="dxa"/>
            <w:vMerge w:val="continue"/>
            <w:noWrap w:val="0"/>
            <w:vAlign w:val="center"/>
          </w:tcPr>
          <w:p>
            <w:pPr>
              <w:jc w:val="center"/>
              <w:rPr>
                <w:rFonts w:hint="eastAsia"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highlight w:val="none"/>
              </w:rPr>
            </w:pPr>
            <w:r>
              <w:rPr>
                <w:rFonts w:hint="eastAsia" w:hAnsi="宋体"/>
                <w:kern w:val="0"/>
                <w:szCs w:val="21"/>
                <w:highlight w:val="none"/>
              </w:rPr>
              <w:t>5</w:t>
            </w:r>
          </w:p>
        </w:tc>
        <w:tc>
          <w:tcPr>
            <w:tcW w:w="1305" w:type="dxa"/>
            <w:noWrap w:val="0"/>
            <w:vAlign w:val="center"/>
          </w:tcPr>
          <w:p>
            <w:pPr>
              <w:jc w:val="center"/>
              <w:rPr>
                <w:rFonts w:hint="eastAsia" w:hAnsi="宋体"/>
                <w:kern w:val="0"/>
                <w:szCs w:val="21"/>
                <w:highlight w:val="none"/>
              </w:rPr>
            </w:pPr>
            <w:r>
              <w:rPr>
                <w:rFonts w:hint="eastAsia" w:hAnsi="宋体"/>
                <w:kern w:val="0"/>
                <w:szCs w:val="21"/>
                <w:highlight w:val="none"/>
              </w:rPr>
              <w:t>鞭鞍河泵站</w:t>
            </w:r>
          </w:p>
        </w:tc>
        <w:tc>
          <w:tcPr>
            <w:tcW w:w="603" w:type="dxa"/>
            <w:noWrap w:val="0"/>
            <w:vAlign w:val="center"/>
          </w:tcPr>
          <w:p>
            <w:pPr>
              <w:jc w:val="center"/>
              <w:rPr>
                <w:rFonts w:hint="eastAsia" w:hAnsi="宋体"/>
                <w:kern w:val="0"/>
                <w:szCs w:val="21"/>
                <w:highlight w:val="none"/>
              </w:rPr>
            </w:pPr>
            <w:r>
              <w:rPr>
                <w:rFonts w:hint="eastAsia" w:hAnsi="宋体"/>
                <w:kern w:val="0"/>
                <w:szCs w:val="21"/>
                <w:highlight w:val="none"/>
              </w:rPr>
              <w:t>2</w:t>
            </w:r>
          </w:p>
        </w:tc>
        <w:tc>
          <w:tcPr>
            <w:tcW w:w="794" w:type="dxa"/>
            <w:noWrap w:val="0"/>
            <w:vAlign w:val="center"/>
          </w:tcPr>
          <w:p>
            <w:pPr>
              <w:jc w:val="center"/>
              <w:rPr>
                <w:rFonts w:hint="eastAsia" w:hAnsi="宋体"/>
                <w:kern w:val="0"/>
                <w:szCs w:val="21"/>
                <w:highlight w:val="none"/>
              </w:rPr>
            </w:pPr>
            <w:r>
              <w:rPr>
                <w:rFonts w:hint="eastAsia" w:hAnsi="宋体"/>
                <w:kern w:val="0"/>
                <w:szCs w:val="21"/>
                <w:highlight w:val="none"/>
              </w:rPr>
              <w:t>1600</w:t>
            </w:r>
          </w:p>
        </w:tc>
        <w:tc>
          <w:tcPr>
            <w:tcW w:w="868" w:type="dxa"/>
            <w:noWrap w:val="0"/>
            <w:vAlign w:val="center"/>
          </w:tcPr>
          <w:p>
            <w:pPr>
              <w:jc w:val="center"/>
              <w:rPr>
                <w:rFonts w:hint="eastAsia" w:hAnsi="宋体"/>
                <w:kern w:val="0"/>
                <w:szCs w:val="21"/>
                <w:highlight w:val="none"/>
              </w:rPr>
            </w:pPr>
            <w:r>
              <w:rPr>
                <w:rFonts w:hint="eastAsia" w:hAnsi="宋体"/>
                <w:kern w:val="0"/>
                <w:szCs w:val="21"/>
                <w:highlight w:val="none"/>
              </w:rPr>
              <w:t>1485</w:t>
            </w:r>
          </w:p>
        </w:tc>
        <w:tc>
          <w:tcPr>
            <w:tcW w:w="634" w:type="dxa"/>
            <w:noWrap w:val="0"/>
            <w:vAlign w:val="center"/>
          </w:tcPr>
          <w:p>
            <w:pPr>
              <w:jc w:val="center"/>
              <w:rPr>
                <w:rFonts w:hint="eastAsia" w:hAnsi="宋体"/>
                <w:kern w:val="0"/>
                <w:szCs w:val="21"/>
                <w:highlight w:val="none"/>
              </w:rPr>
            </w:pPr>
            <w:r>
              <w:rPr>
                <w:rFonts w:hint="eastAsia" w:hAnsi="宋体"/>
                <w:kern w:val="0"/>
                <w:szCs w:val="21"/>
                <w:highlight w:val="none"/>
              </w:rPr>
              <w:t>6</w:t>
            </w:r>
          </w:p>
        </w:tc>
        <w:tc>
          <w:tcPr>
            <w:tcW w:w="970" w:type="dxa"/>
            <w:noWrap w:val="0"/>
            <w:vAlign w:val="center"/>
          </w:tcPr>
          <w:p>
            <w:pPr>
              <w:jc w:val="center"/>
              <w:rPr>
                <w:rFonts w:hint="eastAsia" w:hAnsi="宋体"/>
                <w:kern w:val="0"/>
                <w:szCs w:val="21"/>
                <w:highlight w:val="none"/>
              </w:rPr>
            </w:pPr>
            <w:r>
              <w:rPr>
                <w:rFonts w:hint="eastAsia" w:hAnsi="宋体"/>
                <w:kern w:val="0"/>
                <w:szCs w:val="21"/>
                <w:highlight w:val="none"/>
              </w:rPr>
              <w:t>2.2</w:t>
            </w:r>
          </w:p>
        </w:tc>
        <w:tc>
          <w:tcPr>
            <w:tcW w:w="512" w:type="dxa"/>
            <w:noWrap w:val="0"/>
            <w:vAlign w:val="center"/>
          </w:tcPr>
          <w:p>
            <w:pPr>
              <w:jc w:val="center"/>
              <w:rPr>
                <w:rFonts w:hint="eastAsia" w:hAnsi="宋体"/>
                <w:kern w:val="0"/>
                <w:szCs w:val="21"/>
                <w:highlight w:val="none"/>
              </w:rPr>
            </w:pPr>
            <w:r>
              <w:rPr>
                <w:rFonts w:hint="eastAsia" w:hAnsi="宋体"/>
                <w:kern w:val="0"/>
                <w:szCs w:val="21"/>
                <w:highlight w:val="none"/>
              </w:rPr>
              <w:t>3</w:t>
            </w:r>
          </w:p>
        </w:tc>
        <w:tc>
          <w:tcPr>
            <w:tcW w:w="975" w:type="dxa"/>
            <w:noWrap w:val="0"/>
            <w:vAlign w:val="center"/>
          </w:tcPr>
          <w:p>
            <w:pPr>
              <w:jc w:val="center"/>
              <w:rPr>
                <w:rFonts w:hint="eastAsia" w:hAnsi="宋体"/>
                <w:kern w:val="0"/>
                <w:szCs w:val="21"/>
                <w:highlight w:val="none"/>
              </w:rPr>
            </w:pPr>
            <w:r>
              <w:rPr>
                <w:rFonts w:hint="eastAsia" w:hAnsi="宋体"/>
                <w:kern w:val="0"/>
                <w:szCs w:val="21"/>
                <w:highlight w:val="none"/>
              </w:rPr>
              <w:t>0.17</w:t>
            </w:r>
          </w:p>
        </w:tc>
        <w:tc>
          <w:tcPr>
            <w:tcW w:w="2145" w:type="dxa"/>
            <w:vMerge w:val="continue"/>
            <w:noWrap w:val="0"/>
            <w:vAlign w:val="center"/>
          </w:tcPr>
          <w:p>
            <w:pPr>
              <w:jc w:val="center"/>
              <w:rPr>
                <w:rFonts w:hint="eastAsia"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highlight w:val="none"/>
              </w:rPr>
            </w:pPr>
            <w:r>
              <w:rPr>
                <w:rFonts w:hint="eastAsia" w:hAnsi="宋体"/>
                <w:kern w:val="0"/>
                <w:szCs w:val="21"/>
                <w:highlight w:val="none"/>
              </w:rPr>
              <w:t>6</w:t>
            </w:r>
          </w:p>
        </w:tc>
        <w:tc>
          <w:tcPr>
            <w:tcW w:w="1305" w:type="dxa"/>
            <w:noWrap w:val="0"/>
            <w:vAlign w:val="center"/>
          </w:tcPr>
          <w:p>
            <w:pPr>
              <w:jc w:val="center"/>
              <w:rPr>
                <w:rFonts w:hint="eastAsia" w:hAnsi="宋体" w:eastAsia="宋体"/>
                <w:kern w:val="0"/>
                <w:szCs w:val="21"/>
                <w:highlight w:val="none"/>
                <w:lang w:eastAsia="zh-CN"/>
              </w:rPr>
            </w:pPr>
            <w:r>
              <w:rPr>
                <w:rFonts w:hint="eastAsia" w:hAnsi="宋体"/>
                <w:kern w:val="0"/>
                <w:szCs w:val="21"/>
                <w:highlight w:val="none"/>
                <w:lang w:eastAsia="zh-CN"/>
              </w:rPr>
              <w:t>东沟溢流坝</w:t>
            </w:r>
          </w:p>
        </w:tc>
        <w:tc>
          <w:tcPr>
            <w:tcW w:w="603" w:type="dxa"/>
            <w:noWrap w:val="0"/>
            <w:vAlign w:val="center"/>
          </w:tcPr>
          <w:p>
            <w:pPr>
              <w:jc w:val="center"/>
              <w:rPr>
                <w:rFonts w:hint="eastAsia" w:hAnsi="宋体"/>
                <w:kern w:val="0"/>
                <w:szCs w:val="21"/>
                <w:highlight w:val="none"/>
              </w:rPr>
            </w:pPr>
            <w:r>
              <w:rPr>
                <w:rFonts w:hint="eastAsia" w:hAnsi="宋体"/>
                <w:kern w:val="0"/>
                <w:szCs w:val="21"/>
                <w:highlight w:val="none"/>
              </w:rPr>
              <w:t>/</w:t>
            </w:r>
          </w:p>
        </w:tc>
        <w:tc>
          <w:tcPr>
            <w:tcW w:w="794" w:type="dxa"/>
            <w:noWrap w:val="0"/>
            <w:vAlign w:val="center"/>
          </w:tcPr>
          <w:p>
            <w:pPr>
              <w:jc w:val="center"/>
              <w:rPr>
                <w:rFonts w:hint="eastAsia" w:hAnsi="宋体"/>
                <w:kern w:val="0"/>
                <w:szCs w:val="21"/>
                <w:highlight w:val="none"/>
              </w:rPr>
            </w:pPr>
            <w:r>
              <w:rPr>
                <w:rFonts w:hint="eastAsia" w:hAnsi="宋体"/>
                <w:kern w:val="0"/>
                <w:szCs w:val="21"/>
                <w:highlight w:val="none"/>
              </w:rPr>
              <w:t>/</w:t>
            </w:r>
          </w:p>
        </w:tc>
        <w:tc>
          <w:tcPr>
            <w:tcW w:w="868" w:type="dxa"/>
            <w:noWrap w:val="0"/>
            <w:vAlign w:val="center"/>
          </w:tcPr>
          <w:p>
            <w:pPr>
              <w:jc w:val="center"/>
              <w:rPr>
                <w:rFonts w:hint="eastAsia" w:hAnsi="宋体"/>
                <w:kern w:val="0"/>
                <w:szCs w:val="21"/>
                <w:highlight w:val="none"/>
              </w:rPr>
            </w:pPr>
            <w:r>
              <w:rPr>
                <w:rFonts w:hint="eastAsia" w:hAnsi="宋体"/>
                <w:kern w:val="0"/>
                <w:szCs w:val="21"/>
                <w:highlight w:val="none"/>
              </w:rPr>
              <w:t>35</w:t>
            </w:r>
          </w:p>
        </w:tc>
        <w:tc>
          <w:tcPr>
            <w:tcW w:w="634" w:type="dxa"/>
            <w:noWrap w:val="0"/>
            <w:vAlign w:val="center"/>
          </w:tcPr>
          <w:p>
            <w:pPr>
              <w:jc w:val="center"/>
              <w:rPr>
                <w:rFonts w:hint="eastAsia" w:hAnsi="宋体"/>
                <w:kern w:val="0"/>
                <w:szCs w:val="21"/>
                <w:highlight w:val="none"/>
              </w:rPr>
            </w:pPr>
            <w:r>
              <w:rPr>
                <w:rFonts w:hint="eastAsia" w:hAnsi="宋体"/>
                <w:kern w:val="0"/>
                <w:szCs w:val="21"/>
                <w:highlight w:val="none"/>
              </w:rPr>
              <w:t>/</w:t>
            </w:r>
          </w:p>
        </w:tc>
        <w:tc>
          <w:tcPr>
            <w:tcW w:w="970" w:type="dxa"/>
            <w:noWrap w:val="0"/>
            <w:vAlign w:val="center"/>
          </w:tcPr>
          <w:p>
            <w:pPr>
              <w:jc w:val="center"/>
              <w:rPr>
                <w:rFonts w:hint="eastAsia" w:hAnsi="宋体"/>
                <w:kern w:val="0"/>
                <w:szCs w:val="21"/>
                <w:highlight w:val="none"/>
              </w:rPr>
            </w:pPr>
            <w:r>
              <w:rPr>
                <w:rFonts w:hint="eastAsia" w:hAnsi="宋体"/>
                <w:kern w:val="0"/>
                <w:szCs w:val="21"/>
                <w:highlight w:val="none"/>
              </w:rPr>
              <w:t>/</w:t>
            </w:r>
          </w:p>
        </w:tc>
        <w:tc>
          <w:tcPr>
            <w:tcW w:w="512" w:type="dxa"/>
            <w:noWrap w:val="0"/>
            <w:vAlign w:val="center"/>
          </w:tcPr>
          <w:p>
            <w:pPr>
              <w:jc w:val="center"/>
              <w:rPr>
                <w:rFonts w:hint="eastAsia" w:hAnsi="宋体"/>
                <w:kern w:val="0"/>
                <w:szCs w:val="21"/>
                <w:highlight w:val="none"/>
              </w:rPr>
            </w:pPr>
            <w:r>
              <w:rPr>
                <w:rFonts w:hint="eastAsia" w:hAnsi="宋体"/>
                <w:kern w:val="0"/>
                <w:szCs w:val="21"/>
                <w:highlight w:val="none"/>
              </w:rPr>
              <w:t>3</w:t>
            </w:r>
          </w:p>
        </w:tc>
        <w:tc>
          <w:tcPr>
            <w:tcW w:w="975" w:type="dxa"/>
            <w:noWrap w:val="0"/>
            <w:vAlign w:val="center"/>
          </w:tcPr>
          <w:p>
            <w:pPr>
              <w:jc w:val="center"/>
              <w:rPr>
                <w:rFonts w:hint="eastAsia" w:hAnsi="宋体"/>
                <w:kern w:val="0"/>
                <w:szCs w:val="21"/>
                <w:highlight w:val="none"/>
              </w:rPr>
            </w:pPr>
            <w:r>
              <w:rPr>
                <w:rFonts w:hint="eastAsia" w:hAnsi="宋体"/>
                <w:kern w:val="0"/>
                <w:szCs w:val="21"/>
                <w:highlight w:val="none"/>
              </w:rPr>
              <w:t>0.06</w:t>
            </w:r>
          </w:p>
        </w:tc>
        <w:tc>
          <w:tcPr>
            <w:tcW w:w="2145" w:type="dxa"/>
            <w:vMerge w:val="continue"/>
            <w:noWrap w:val="0"/>
            <w:vAlign w:val="center"/>
          </w:tcPr>
          <w:p>
            <w:pPr>
              <w:jc w:val="center"/>
              <w:rPr>
                <w:rFonts w:hint="eastAsia"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highlight w:val="none"/>
              </w:rPr>
            </w:pPr>
            <w:r>
              <w:rPr>
                <w:rFonts w:hint="eastAsia" w:hAnsi="宋体"/>
                <w:kern w:val="0"/>
                <w:szCs w:val="21"/>
                <w:highlight w:val="none"/>
              </w:rPr>
              <w:t>7</w:t>
            </w:r>
          </w:p>
        </w:tc>
        <w:tc>
          <w:tcPr>
            <w:tcW w:w="1305" w:type="dxa"/>
            <w:noWrap w:val="0"/>
            <w:vAlign w:val="center"/>
          </w:tcPr>
          <w:p>
            <w:pPr>
              <w:jc w:val="center"/>
              <w:rPr>
                <w:rFonts w:hint="eastAsia" w:hAnsi="宋体"/>
                <w:kern w:val="0"/>
                <w:szCs w:val="21"/>
                <w:highlight w:val="none"/>
              </w:rPr>
            </w:pPr>
            <w:r>
              <w:rPr>
                <w:rFonts w:hint="eastAsia" w:ascii="宋体" w:hAnsi="宋体" w:cs="宋体"/>
                <w:kern w:val="0"/>
                <w:szCs w:val="21"/>
                <w:highlight w:val="none"/>
              </w:rPr>
              <w:t>大桥机械厂泵站</w:t>
            </w:r>
          </w:p>
        </w:tc>
        <w:tc>
          <w:tcPr>
            <w:tcW w:w="603" w:type="dxa"/>
            <w:noWrap w:val="0"/>
            <w:vAlign w:val="center"/>
          </w:tcPr>
          <w:p>
            <w:pPr>
              <w:jc w:val="center"/>
              <w:rPr>
                <w:rFonts w:hint="eastAsia" w:hAnsi="宋体"/>
                <w:kern w:val="0"/>
                <w:szCs w:val="21"/>
                <w:highlight w:val="none"/>
              </w:rPr>
            </w:pPr>
          </w:p>
        </w:tc>
        <w:tc>
          <w:tcPr>
            <w:tcW w:w="794" w:type="dxa"/>
            <w:noWrap w:val="0"/>
            <w:vAlign w:val="center"/>
          </w:tcPr>
          <w:p>
            <w:pPr>
              <w:jc w:val="center"/>
              <w:rPr>
                <w:rFonts w:hint="eastAsia" w:hAnsi="宋体"/>
                <w:kern w:val="0"/>
                <w:szCs w:val="21"/>
                <w:highlight w:val="none"/>
              </w:rPr>
            </w:pPr>
          </w:p>
        </w:tc>
        <w:tc>
          <w:tcPr>
            <w:tcW w:w="868" w:type="dxa"/>
            <w:noWrap w:val="0"/>
            <w:vAlign w:val="center"/>
          </w:tcPr>
          <w:p>
            <w:pPr>
              <w:jc w:val="center"/>
              <w:rPr>
                <w:rFonts w:hint="eastAsia" w:hAnsi="宋体"/>
                <w:kern w:val="0"/>
                <w:szCs w:val="21"/>
                <w:highlight w:val="none"/>
              </w:rPr>
            </w:pPr>
          </w:p>
        </w:tc>
        <w:tc>
          <w:tcPr>
            <w:tcW w:w="634" w:type="dxa"/>
            <w:noWrap w:val="0"/>
            <w:vAlign w:val="center"/>
          </w:tcPr>
          <w:p>
            <w:pPr>
              <w:jc w:val="center"/>
              <w:rPr>
                <w:rFonts w:hint="eastAsia" w:hAnsi="宋体"/>
                <w:kern w:val="0"/>
                <w:szCs w:val="21"/>
                <w:highlight w:val="none"/>
              </w:rPr>
            </w:pPr>
          </w:p>
        </w:tc>
        <w:tc>
          <w:tcPr>
            <w:tcW w:w="970" w:type="dxa"/>
            <w:noWrap w:val="0"/>
            <w:vAlign w:val="center"/>
          </w:tcPr>
          <w:p>
            <w:pPr>
              <w:jc w:val="center"/>
              <w:rPr>
                <w:rFonts w:hint="eastAsia" w:hAnsi="宋体"/>
                <w:kern w:val="0"/>
                <w:szCs w:val="21"/>
                <w:highlight w:val="none"/>
              </w:rPr>
            </w:pPr>
          </w:p>
        </w:tc>
        <w:tc>
          <w:tcPr>
            <w:tcW w:w="512" w:type="dxa"/>
            <w:noWrap w:val="0"/>
            <w:vAlign w:val="center"/>
          </w:tcPr>
          <w:p>
            <w:pPr>
              <w:jc w:val="center"/>
              <w:rPr>
                <w:rFonts w:hint="eastAsia" w:hAnsi="宋体"/>
                <w:kern w:val="0"/>
                <w:szCs w:val="21"/>
                <w:highlight w:val="none"/>
              </w:rPr>
            </w:pPr>
          </w:p>
        </w:tc>
        <w:tc>
          <w:tcPr>
            <w:tcW w:w="975" w:type="dxa"/>
            <w:noWrap w:val="0"/>
            <w:vAlign w:val="center"/>
          </w:tcPr>
          <w:p>
            <w:pPr>
              <w:jc w:val="center"/>
              <w:rPr>
                <w:rFonts w:hint="eastAsia" w:hAnsi="宋体"/>
                <w:kern w:val="0"/>
                <w:szCs w:val="21"/>
                <w:highlight w:val="none"/>
              </w:rPr>
            </w:pPr>
          </w:p>
        </w:tc>
        <w:tc>
          <w:tcPr>
            <w:tcW w:w="2145" w:type="dxa"/>
            <w:vMerge w:val="continue"/>
            <w:noWrap w:val="0"/>
            <w:vAlign w:val="center"/>
          </w:tcPr>
          <w:p>
            <w:pPr>
              <w:jc w:val="center"/>
              <w:rPr>
                <w:rFonts w:hint="eastAsia" w:hAnsi="宋体"/>
                <w:kern w:val="0"/>
                <w:szCs w:val="21"/>
                <w:highlight w:val="none"/>
              </w:rPr>
            </w:pPr>
          </w:p>
        </w:tc>
      </w:tr>
    </w:tbl>
    <w:p>
      <w:pPr>
        <w:jc w:val="left"/>
        <w:rPr>
          <w:rFonts w:hint="eastAsia" w:hAnsi="宋体"/>
          <w:kern w:val="0"/>
          <w:szCs w:val="21"/>
        </w:rPr>
      </w:pPr>
      <w:r>
        <w:rPr>
          <w:rFonts w:hint="eastAsia" w:hAnsi="宋体"/>
          <w:kern w:val="0"/>
          <w:szCs w:val="21"/>
        </w:rPr>
        <w:t>3、河道溢流坝概况</w:t>
      </w:r>
    </w:p>
    <w:p>
      <w:pPr>
        <w:jc w:val="left"/>
        <w:rPr>
          <w:rFonts w:hint="eastAsia" w:hAnsi="宋体"/>
          <w:kern w:val="0"/>
          <w:szCs w:val="21"/>
        </w:rPr>
      </w:pPr>
      <w:r>
        <w:rPr>
          <w:rFonts w:hint="eastAsia" w:hAnsi="宋体"/>
          <w:kern w:val="0"/>
          <w:szCs w:val="21"/>
        </w:rPr>
        <w:t>3.</w:t>
      </w:r>
      <w:r>
        <w:rPr>
          <w:rFonts w:hint="eastAsia" w:hAnsi="宋体"/>
          <w:kern w:val="0"/>
          <w:szCs w:val="21"/>
          <w:lang w:val="en-US" w:eastAsia="zh-CN"/>
        </w:rPr>
        <w:t>1</w:t>
      </w:r>
      <w:r>
        <w:rPr>
          <w:rFonts w:hint="eastAsia" w:hAnsi="宋体"/>
          <w:kern w:val="0"/>
          <w:szCs w:val="21"/>
        </w:rPr>
        <w:t>东沟：钢坝闸室1个。</w:t>
      </w:r>
    </w:p>
    <w:p>
      <w:pPr>
        <w:jc w:val="left"/>
        <w:rPr>
          <w:rFonts w:hint="eastAsia" w:ascii="宋体" w:hAnsi="宋体"/>
          <w:b/>
          <w:bCs/>
          <w:szCs w:val="21"/>
          <w:lang w:val="zh-CN"/>
        </w:rPr>
      </w:pPr>
    </w:p>
    <w:p>
      <w:pPr>
        <w:jc w:val="left"/>
        <w:rPr>
          <w:rFonts w:hint="eastAsia" w:hAnsi="宋体"/>
          <w:b/>
          <w:bCs/>
          <w:kern w:val="0"/>
          <w:szCs w:val="21"/>
        </w:rPr>
      </w:pPr>
      <w:r>
        <w:rPr>
          <w:rFonts w:hint="eastAsia" w:ascii="宋体" w:hAnsi="宋体"/>
          <w:b/>
          <w:bCs/>
          <w:szCs w:val="21"/>
          <w:lang w:val="zh-CN"/>
        </w:rPr>
        <w:t>第二标段（包二）：</w:t>
      </w:r>
    </w:p>
    <w:p>
      <w:pPr>
        <w:jc w:val="left"/>
        <w:rPr>
          <w:rFonts w:hint="eastAsia" w:hAnsi="宋体"/>
          <w:kern w:val="0"/>
          <w:szCs w:val="21"/>
        </w:rPr>
      </w:pPr>
      <w:r>
        <w:rPr>
          <w:rFonts w:hint="eastAsia" w:hAnsi="宋体"/>
          <w:kern w:val="0"/>
          <w:szCs w:val="21"/>
        </w:rPr>
        <w:t>1、泵站概况</w:t>
      </w:r>
    </w:p>
    <w:tbl>
      <w:tblPr>
        <w:tblStyle w:val="30"/>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950"/>
        <w:gridCol w:w="1095"/>
        <w:gridCol w:w="1095"/>
        <w:gridCol w:w="1095"/>
        <w:gridCol w:w="1155"/>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61" w:type="dxa"/>
            <w:noWrap w:val="0"/>
            <w:vAlign w:val="center"/>
          </w:tcPr>
          <w:p>
            <w:pPr>
              <w:jc w:val="center"/>
              <w:rPr>
                <w:rFonts w:hint="eastAsia" w:hAnsi="宋体"/>
                <w:kern w:val="0"/>
                <w:szCs w:val="21"/>
              </w:rPr>
            </w:pPr>
            <w:r>
              <w:rPr>
                <w:rFonts w:hint="eastAsia" w:hAnsi="宋体"/>
                <w:kern w:val="0"/>
                <w:szCs w:val="21"/>
              </w:rPr>
              <w:t>序号</w:t>
            </w:r>
          </w:p>
        </w:tc>
        <w:tc>
          <w:tcPr>
            <w:tcW w:w="1950" w:type="dxa"/>
            <w:noWrap w:val="0"/>
            <w:vAlign w:val="center"/>
          </w:tcPr>
          <w:p>
            <w:pPr>
              <w:jc w:val="center"/>
              <w:rPr>
                <w:rFonts w:hint="eastAsia" w:hAnsi="宋体"/>
                <w:kern w:val="0"/>
                <w:szCs w:val="21"/>
              </w:rPr>
            </w:pPr>
            <w:r>
              <w:rPr>
                <w:rFonts w:hint="eastAsia" w:hAnsi="宋体"/>
                <w:kern w:val="0"/>
                <w:szCs w:val="21"/>
              </w:rPr>
              <w:t>泵站名称</w:t>
            </w:r>
          </w:p>
        </w:tc>
        <w:tc>
          <w:tcPr>
            <w:tcW w:w="1095" w:type="dxa"/>
            <w:noWrap w:val="0"/>
            <w:vAlign w:val="center"/>
          </w:tcPr>
          <w:p>
            <w:pPr>
              <w:jc w:val="center"/>
              <w:rPr>
                <w:rFonts w:hint="eastAsia" w:hAnsi="宋体"/>
                <w:kern w:val="0"/>
                <w:szCs w:val="21"/>
              </w:rPr>
            </w:pPr>
            <w:r>
              <w:rPr>
                <w:rFonts w:hint="eastAsia" w:hAnsi="宋体"/>
                <w:kern w:val="0"/>
                <w:szCs w:val="21"/>
              </w:rPr>
              <w:t>院内面积m</w:t>
            </w:r>
            <w:r>
              <w:rPr>
                <w:rFonts w:hint="eastAsia" w:hAnsi="宋体"/>
                <w:kern w:val="0"/>
                <w:szCs w:val="21"/>
                <w:vertAlign w:val="superscript"/>
              </w:rPr>
              <w:t>2</w:t>
            </w:r>
          </w:p>
        </w:tc>
        <w:tc>
          <w:tcPr>
            <w:tcW w:w="1095" w:type="dxa"/>
            <w:noWrap w:val="0"/>
            <w:vAlign w:val="center"/>
          </w:tcPr>
          <w:p>
            <w:pPr>
              <w:jc w:val="center"/>
              <w:rPr>
                <w:rFonts w:hint="eastAsia" w:hAnsi="宋体"/>
                <w:kern w:val="0"/>
                <w:szCs w:val="21"/>
              </w:rPr>
            </w:pPr>
            <w:r>
              <w:rPr>
                <w:rFonts w:hint="eastAsia" w:hAnsi="宋体"/>
                <w:kern w:val="0"/>
                <w:szCs w:val="21"/>
              </w:rPr>
              <w:t>建筑面积m</w:t>
            </w:r>
            <w:r>
              <w:rPr>
                <w:rFonts w:hint="eastAsia" w:hAnsi="宋体"/>
                <w:kern w:val="0"/>
                <w:szCs w:val="21"/>
                <w:vertAlign w:val="superscript"/>
              </w:rPr>
              <w:t>2</w:t>
            </w:r>
          </w:p>
        </w:tc>
        <w:tc>
          <w:tcPr>
            <w:tcW w:w="1095" w:type="dxa"/>
            <w:noWrap w:val="0"/>
            <w:vAlign w:val="center"/>
          </w:tcPr>
          <w:p>
            <w:pPr>
              <w:jc w:val="center"/>
              <w:rPr>
                <w:rFonts w:hint="eastAsia" w:hAnsi="宋体"/>
                <w:kern w:val="0"/>
                <w:szCs w:val="21"/>
              </w:rPr>
            </w:pPr>
            <w:r>
              <w:rPr>
                <w:rFonts w:hint="eastAsia" w:hAnsi="宋体"/>
                <w:kern w:val="0"/>
                <w:szCs w:val="21"/>
              </w:rPr>
              <w:t>绿化面积m</w:t>
            </w:r>
            <w:r>
              <w:rPr>
                <w:rFonts w:hint="eastAsia" w:hAnsi="宋体"/>
                <w:kern w:val="0"/>
                <w:szCs w:val="21"/>
                <w:vertAlign w:val="superscript"/>
              </w:rPr>
              <w:t>2</w:t>
            </w:r>
          </w:p>
        </w:tc>
        <w:tc>
          <w:tcPr>
            <w:tcW w:w="1155" w:type="dxa"/>
            <w:noWrap w:val="0"/>
            <w:vAlign w:val="center"/>
          </w:tcPr>
          <w:p>
            <w:pPr>
              <w:jc w:val="center"/>
              <w:rPr>
                <w:rFonts w:hint="eastAsia" w:hAnsi="宋体"/>
                <w:kern w:val="0"/>
                <w:szCs w:val="21"/>
              </w:rPr>
            </w:pPr>
            <w:r>
              <w:rPr>
                <w:rFonts w:hint="eastAsia" w:hAnsi="宋体"/>
                <w:kern w:val="0"/>
                <w:szCs w:val="21"/>
              </w:rPr>
              <w:t>前池面积m</w:t>
            </w:r>
            <w:r>
              <w:rPr>
                <w:rFonts w:hint="eastAsia" w:hAnsi="宋体"/>
                <w:kern w:val="0"/>
                <w:szCs w:val="21"/>
                <w:vertAlign w:val="superscript"/>
              </w:rPr>
              <w:t>2</w:t>
            </w:r>
          </w:p>
        </w:tc>
        <w:tc>
          <w:tcPr>
            <w:tcW w:w="2415" w:type="dxa"/>
            <w:noWrap w:val="0"/>
            <w:vAlign w:val="center"/>
          </w:tcPr>
          <w:p>
            <w:pPr>
              <w:jc w:val="center"/>
              <w:rPr>
                <w:rFonts w:hint="eastAsia" w:hAnsi="宋体"/>
                <w:kern w:val="0"/>
                <w:szCs w:val="21"/>
              </w:rPr>
            </w:pPr>
            <w:r>
              <w:rPr>
                <w:rFonts w:hint="eastAsia" w:ascii="宋体" w:hAnsi="宋体"/>
                <w:szCs w:val="21"/>
              </w:rPr>
              <w:t>泵站院落内配套设施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rPr>
            </w:pPr>
            <w:r>
              <w:rPr>
                <w:rFonts w:hint="eastAsia" w:hAnsi="宋体"/>
                <w:kern w:val="0"/>
                <w:szCs w:val="21"/>
              </w:rPr>
              <w:t>1</w:t>
            </w:r>
          </w:p>
        </w:tc>
        <w:tc>
          <w:tcPr>
            <w:tcW w:w="1950" w:type="dxa"/>
            <w:noWrap w:val="0"/>
            <w:vAlign w:val="center"/>
          </w:tcPr>
          <w:p>
            <w:pPr>
              <w:jc w:val="center"/>
              <w:rPr>
                <w:rFonts w:hint="eastAsia" w:hAnsi="宋体"/>
                <w:kern w:val="0"/>
                <w:szCs w:val="21"/>
              </w:rPr>
            </w:pPr>
            <w:r>
              <w:rPr>
                <w:rFonts w:hint="eastAsia" w:hAnsi="宋体"/>
                <w:kern w:val="0"/>
                <w:szCs w:val="21"/>
              </w:rPr>
              <w:t>陵里泵站</w:t>
            </w:r>
          </w:p>
        </w:tc>
        <w:tc>
          <w:tcPr>
            <w:tcW w:w="1095" w:type="dxa"/>
            <w:noWrap w:val="0"/>
            <w:vAlign w:val="center"/>
          </w:tcPr>
          <w:p>
            <w:pPr>
              <w:jc w:val="center"/>
              <w:rPr>
                <w:rFonts w:hint="eastAsia" w:hAnsi="宋体"/>
                <w:kern w:val="0"/>
                <w:szCs w:val="21"/>
              </w:rPr>
            </w:pPr>
            <w:r>
              <w:rPr>
                <w:rFonts w:hint="eastAsia" w:hAnsi="宋体"/>
                <w:kern w:val="0"/>
                <w:szCs w:val="21"/>
              </w:rPr>
              <w:t>3360</w:t>
            </w:r>
          </w:p>
        </w:tc>
        <w:tc>
          <w:tcPr>
            <w:tcW w:w="1095" w:type="dxa"/>
            <w:noWrap w:val="0"/>
            <w:vAlign w:val="center"/>
          </w:tcPr>
          <w:p>
            <w:pPr>
              <w:jc w:val="center"/>
              <w:rPr>
                <w:rFonts w:hint="eastAsia" w:hAnsi="宋体"/>
                <w:kern w:val="0"/>
                <w:szCs w:val="21"/>
              </w:rPr>
            </w:pPr>
            <w:r>
              <w:rPr>
                <w:rFonts w:hint="eastAsia" w:hAnsi="宋体"/>
                <w:kern w:val="0"/>
                <w:szCs w:val="21"/>
              </w:rPr>
              <w:t>143</w:t>
            </w:r>
          </w:p>
        </w:tc>
        <w:tc>
          <w:tcPr>
            <w:tcW w:w="1095" w:type="dxa"/>
            <w:noWrap w:val="0"/>
            <w:vAlign w:val="center"/>
          </w:tcPr>
          <w:p>
            <w:pPr>
              <w:jc w:val="center"/>
              <w:rPr>
                <w:rFonts w:hint="eastAsia" w:hAnsi="宋体"/>
                <w:kern w:val="0"/>
                <w:szCs w:val="21"/>
              </w:rPr>
            </w:pPr>
            <w:r>
              <w:rPr>
                <w:rFonts w:hint="eastAsia" w:hAnsi="宋体"/>
                <w:kern w:val="0"/>
                <w:szCs w:val="21"/>
              </w:rPr>
              <w:t>440</w:t>
            </w:r>
          </w:p>
        </w:tc>
        <w:tc>
          <w:tcPr>
            <w:tcW w:w="1155" w:type="dxa"/>
            <w:noWrap w:val="0"/>
            <w:vAlign w:val="center"/>
          </w:tcPr>
          <w:p>
            <w:pPr>
              <w:jc w:val="center"/>
              <w:rPr>
                <w:rFonts w:hint="eastAsia" w:hAnsi="宋体"/>
                <w:kern w:val="0"/>
                <w:szCs w:val="21"/>
              </w:rPr>
            </w:pPr>
            <w:r>
              <w:rPr>
                <w:rFonts w:hint="eastAsia" w:hAnsi="宋体"/>
                <w:kern w:val="0"/>
                <w:szCs w:val="21"/>
              </w:rPr>
              <w:t>1300</w:t>
            </w:r>
          </w:p>
        </w:tc>
        <w:tc>
          <w:tcPr>
            <w:tcW w:w="2415" w:type="dxa"/>
            <w:vMerge w:val="restart"/>
            <w:noWrap w:val="0"/>
            <w:vAlign w:val="center"/>
          </w:tcPr>
          <w:p>
            <w:pPr>
              <w:jc w:val="center"/>
              <w:rPr>
                <w:rFonts w:hint="eastAsia" w:hAnsi="宋体"/>
                <w:kern w:val="0"/>
                <w:szCs w:val="21"/>
              </w:rPr>
            </w:pPr>
            <w:r>
              <w:rPr>
                <w:rFonts w:hint="eastAsia" w:hAnsi="宋体"/>
                <w:kern w:val="0"/>
                <w:szCs w:val="21"/>
              </w:rPr>
              <w:t>以泵站目前现场实际设施为准（包括道路、排水、挡墙、护栏、出水口、</w:t>
            </w:r>
            <w:r>
              <w:rPr>
                <w:rFonts w:hint="eastAsia" w:ascii="宋体" w:hAnsi="宋体"/>
                <w:szCs w:val="21"/>
              </w:rPr>
              <w:t>绿化、房屋、路灯、室外景观灯、室内照明、自来水、空调、卷帘门、电动伸缩大门、垃圾打捞清运工具等</w:t>
            </w:r>
            <w:r>
              <w:rPr>
                <w:rFonts w:hint="eastAsia" w:ascii="宋体" w:hAnsi="宋体"/>
                <w:szCs w:val="21"/>
                <w:lang w:val="zh-CN"/>
              </w:rPr>
              <w:t>设施</w:t>
            </w:r>
            <w:r>
              <w:rPr>
                <w:rFonts w:hint="eastAsia"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rPr>
            </w:pPr>
            <w:r>
              <w:rPr>
                <w:rFonts w:hint="eastAsia" w:hAnsi="宋体"/>
                <w:kern w:val="0"/>
                <w:szCs w:val="21"/>
              </w:rPr>
              <w:t>2</w:t>
            </w:r>
          </w:p>
        </w:tc>
        <w:tc>
          <w:tcPr>
            <w:tcW w:w="1950" w:type="dxa"/>
            <w:noWrap w:val="0"/>
            <w:vAlign w:val="center"/>
          </w:tcPr>
          <w:p>
            <w:pPr>
              <w:jc w:val="center"/>
              <w:rPr>
                <w:rFonts w:hint="eastAsia" w:hAnsi="宋体"/>
                <w:kern w:val="0"/>
                <w:szCs w:val="21"/>
              </w:rPr>
            </w:pPr>
            <w:r>
              <w:rPr>
                <w:rFonts w:hint="eastAsia" w:hAnsi="宋体"/>
                <w:kern w:val="0"/>
                <w:szCs w:val="21"/>
              </w:rPr>
              <w:t>竹山桥泵站（一</w:t>
            </w:r>
            <w:r>
              <w:rPr>
                <w:rFonts w:hint="eastAsia" w:ascii="宋体" w:hAnsi="宋体"/>
                <w:szCs w:val="21"/>
              </w:rPr>
              <w:t>期</w:t>
            </w:r>
            <w:r>
              <w:rPr>
                <w:rFonts w:hint="eastAsia" w:hAnsi="宋体"/>
                <w:kern w:val="0"/>
                <w:szCs w:val="21"/>
              </w:rPr>
              <w:t>）</w:t>
            </w:r>
          </w:p>
        </w:tc>
        <w:tc>
          <w:tcPr>
            <w:tcW w:w="1095" w:type="dxa"/>
            <w:vMerge w:val="restart"/>
            <w:noWrap w:val="0"/>
            <w:vAlign w:val="center"/>
          </w:tcPr>
          <w:p>
            <w:pPr>
              <w:jc w:val="center"/>
              <w:rPr>
                <w:rFonts w:hint="eastAsia" w:hAnsi="宋体"/>
                <w:kern w:val="0"/>
                <w:szCs w:val="21"/>
              </w:rPr>
            </w:pPr>
            <w:r>
              <w:rPr>
                <w:rFonts w:hint="eastAsia" w:hAnsi="宋体"/>
                <w:kern w:val="0"/>
                <w:szCs w:val="21"/>
              </w:rPr>
              <w:t>8892</w:t>
            </w:r>
          </w:p>
        </w:tc>
        <w:tc>
          <w:tcPr>
            <w:tcW w:w="1095" w:type="dxa"/>
            <w:noWrap w:val="0"/>
            <w:vAlign w:val="center"/>
          </w:tcPr>
          <w:p>
            <w:pPr>
              <w:jc w:val="center"/>
              <w:rPr>
                <w:rFonts w:hint="eastAsia" w:hAnsi="宋体"/>
                <w:kern w:val="0"/>
                <w:szCs w:val="21"/>
              </w:rPr>
            </w:pPr>
            <w:r>
              <w:rPr>
                <w:rFonts w:hint="eastAsia" w:hAnsi="宋体"/>
                <w:kern w:val="0"/>
                <w:szCs w:val="21"/>
              </w:rPr>
              <w:t>396</w:t>
            </w:r>
          </w:p>
        </w:tc>
        <w:tc>
          <w:tcPr>
            <w:tcW w:w="1095" w:type="dxa"/>
            <w:vMerge w:val="restart"/>
            <w:noWrap w:val="0"/>
            <w:vAlign w:val="center"/>
          </w:tcPr>
          <w:p>
            <w:pPr>
              <w:jc w:val="center"/>
              <w:rPr>
                <w:rFonts w:hint="eastAsia" w:hAnsi="宋体"/>
                <w:kern w:val="0"/>
                <w:szCs w:val="21"/>
              </w:rPr>
            </w:pPr>
            <w:r>
              <w:rPr>
                <w:rFonts w:hint="eastAsia" w:hAnsi="宋体"/>
                <w:kern w:val="0"/>
                <w:szCs w:val="21"/>
              </w:rPr>
              <w:t>900</w:t>
            </w:r>
          </w:p>
        </w:tc>
        <w:tc>
          <w:tcPr>
            <w:tcW w:w="1155" w:type="dxa"/>
            <w:vMerge w:val="restart"/>
            <w:noWrap w:val="0"/>
            <w:vAlign w:val="center"/>
          </w:tcPr>
          <w:p>
            <w:pPr>
              <w:jc w:val="center"/>
              <w:rPr>
                <w:rFonts w:hint="eastAsia" w:hAnsi="宋体"/>
                <w:kern w:val="0"/>
                <w:szCs w:val="21"/>
              </w:rPr>
            </w:pPr>
            <w:r>
              <w:rPr>
                <w:rFonts w:hint="eastAsia" w:hAnsi="宋体"/>
                <w:kern w:val="0"/>
                <w:szCs w:val="21"/>
              </w:rPr>
              <w:t>900</w:t>
            </w:r>
          </w:p>
        </w:tc>
        <w:tc>
          <w:tcPr>
            <w:tcW w:w="241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rPr>
            </w:pPr>
            <w:r>
              <w:rPr>
                <w:rFonts w:hint="eastAsia" w:hAnsi="宋体"/>
                <w:kern w:val="0"/>
                <w:szCs w:val="21"/>
              </w:rPr>
              <w:t>3</w:t>
            </w:r>
          </w:p>
        </w:tc>
        <w:tc>
          <w:tcPr>
            <w:tcW w:w="1950" w:type="dxa"/>
            <w:noWrap w:val="0"/>
            <w:vAlign w:val="center"/>
          </w:tcPr>
          <w:p>
            <w:pPr>
              <w:jc w:val="center"/>
              <w:rPr>
                <w:rFonts w:hint="eastAsia" w:hAnsi="宋体"/>
                <w:kern w:val="0"/>
                <w:szCs w:val="21"/>
              </w:rPr>
            </w:pPr>
            <w:r>
              <w:rPr>
                <w:rFonts w:hint="eastAsia" w:hAnsi="宋体"/>
                <w:kern w:val="0"/>
                <w:szCs w:val="21"/>
              </w:rPr>
              <w:t>竹山桥泵站（二</w:t>
            </w:r>
            <w:r>
              <w:rPr>
                <w:rFonts w:hint="eastAsia" w:ascii="宋体" w:hAnsi="宋体"/>
                <w:szCs w:val="21"/>
              </w:rPr>
              <w:t>期</w:t>
            </w:r>
            <w:r>
              <w:rPr>
                <w:rFonts w:hint="eastAsia" w:hAnsi="宋体"/>
                <w:kern w:val="0"/>
                <w:szCs w:val="21"/>
              </w:rPr>
              <w:t>）</w:t>
            </w:r>
          </w:p>
        </w:tc>
        <w:tc>
          <w:tcPr>
            <w:tcW w:w="1095" w:type="dxa"/>
            <w:vMerge w:val="continue"/>
            <w:noWrap w:val="0"/>
            <w:vAlign w:val="center"/>
          </w:tcPr>
          <w:p>
            <w:pPr>
              <w:jc w:val="center"/>
              <w:rPr>
                <w:rFonts w:hint="eastAsia" w:hAnsi="宋体"/>
                <w:kern w:val="0"/>
                <w:szCs w:val="21"/>
              </w:rPr>
            </w:pPr>
          </w:p>
        </w:tc>
        <w:tc>
          <w:tcPr>
            <w:tcW w:w="1095" w:type="dxa"/>
            <w:noWrap w:val="0"/>
            <w:vAlign w:val="center"/>
          </w:tcPr>
          <w:p>
            <w:pPr>
              <w:jc w:val="center"/>
              <w:rPr>
                <w:rFonts w:hint="eastAsia" w:hAnsi="宋体"/>
                <w:kern w:val="0"/>
                <w:szCs w:val="21"/>
              </w:rPr>
            </w:pPr>
            <w:r>
              <w:rPr>
                <w:rFonts w:hint="eastAsia" w:hAnsi="宋体"/>
                <w:kern w:val="0"/>
                <w:szCs w:val="21"/>
              </w:rPr>
              <w:t>266</w:t>
            </w:r>
          </w:p>
        </w:tc>
        <w:tc>
          <w:tcPr>
            <w:tcW w:w="1095" w:type="dxa"/>
            <w:vMerge w:val="continue"/>
            <w:noWrap w:val="0"/>
            <w:vAlign w:val="center"/>
          </w:tcPr>
          <w:p>
            <w:pPr>
              <w:jc w:val="center"/>
              <w:rPr>
                <w:rFonts w:hint="eastAsia" w:hAnsi="宋体"/>
                <w:kern w:val="0"/>
                <w:szCs w:val="21"/>
              </w:rPr>
            </w:pPr>
          </w:p>
        </w:tc>
        <w:tc>
          <w:tcPr>
            <w:tcW w:w="1155" w:type="dxa"/>
            <w:vMerge w:val="continue"/>
            <w:noWrap w:val="0"/>
            <w:vAlign w:val="center"/>
          </w:tcPr>
          <w:p>
            <w:pPr>
              <w:jc w:val="center"/>
              <w:rPr>
                <w:rFonts w:hint="eastAsia" w:hAnsi="宋体"/>
                <w:kern w:val="0"/>
                <w:szCs w:val="21"/>
              </w:rPr>
            </w:pPr>
          </w:p>
        </w:tc>
        <w:tc>
          <w:tcPr>
            <w:tcW w:w="241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rPr>
            </w:pPr>
            <w:r>
              <w:rPr>
                <w:rFonts w:hint="eastAsia" w:hAnsi="宋体"/>
                <w:kern w:val="0"/>
                <w:szCs w:val="21"/>
              </w:rPr>
              <w:t>4</w:t>
            </w:r>
          </w:p>
        </w:tc>
        <w:tc>
          <w:tcPr>
            <w:tcW w:w="1950" w:type="dxa"/>
            <w:noWrap w:val="0"/>
            <w:vAlign w:val="center"/>
          </w:tcPr>
          <w:p>
            <w:pPr>
              <w:jc w:val="center"/>
              <w:rPr>
                <w:rFonts w:hint="eastAsia" w:hAnsi="宋体"/>
                <w:kern w:val="0"/>
                <w:szCs w:val="21"/>
              </w:rPr>
            </w:pPr>
            <w:r>
              <w:rPr>
                <w:rFonts w:hint="eastAsia" w:hAnsi="宋体"/>
                <w:kern w:val="0"/>
                <w:szCs w:val="21"/>
              </w:rPr>
              <w:t>城北泵站（一</w:t>
            </w:r>
            <w:r>
              <w:rPr>
                <w:rFonts w:hint="eastAsia" w:ascii="宋体" w:hAnsi="宋体"/>
                <w:szCs w:val="21"/>
              </w:rPr>
              <w:t>期</w:t>
            </w:r>
            <w:r>
              <w:rPr>
                <w:rFonts w:hint="eastAsia" w:hAnsi="宋体"/>
                <w:kern w:val="0"/>
                <w:szCs w:val="21"/>
              </w:rPr>
              <w:t>）</w:t>
            </w:r>
          </w:p>
        </w:tc>
        <w:tc>
          <w:tcPr>
            <w:tcW w:w="1095" w:type="dxa"/>
            <w:vMerge w:val="restart"/>
            <w:noWrap w:val="0"/>
            <w:vAlign w:val="center"/>
          </w:tcPr>
          <w:p>
            <w:pPr>
              <w:jc w:val="center"/>
              <w:rPr>
                <w:rFonts w:hint="eastAsia" w:hAnsi="宋体"/>
                <w:kern w:val="0"/>
                <w:szCs w:val="21"/>
              </w:rPr>
            </w:pPr>
            <w:r>
              <w:rPr>
                <w:rFonts w:hint="eastAsia" w:hAnsi="宋体"/>
                <w:kern w:val="0"/>
                <w:szCs w:val="21"/>
              </w:rPr>
              <w:t>20640</w:t>
            </w:r>
          </w:p>
        </w:tc>
        <w:tc>
          <w:tcPr>
            <w:tcW w:w="1095" w:type="dxa"/>
            <w:noWrap w:val="0"/>
            <w:vAlign w:val="center"/>
          </w:tcPr>
          <w:p>
            <w:pPr>
              <w:jc w:val="center"/>
              <w:rPr>
                <w:rFonts w:hint="eastAsia" w:hAnsi="宋体"/>
                <w:kern w:val="0"/>
                <w:szCs w:val="21"/>
              </w:rPr>
            </w:pPr>
            <w:r>
              <w:rPr>
                <w:rFonts w:hint="eastAsia" w:hAnsi="宋体"/>
                <w:kern w:val="0"/>
                <w:szCs w:val="21"/>
              </w:rPr>
              <w:t>864</w:t>
            </w:r>
          </w:p>
        </w:tc>
        <w:tc>
          <w:tcPr>
            <w:tcW w:w="1095" w:type="dxa"/>
            <w:vMerge w:val="restart"/>
            <w:noWrap w:val="0"/>
            <w:vAlign w:val="center"/>
          </w:tcPr>
          <w:p>
            <w:pPr>
              <w:jc w:val="center"/>
              <w:rPr>
                <w:rFonts w:hint="eastAsia" w:hAnsi="宋体"/>
                <w:kern w:val="0"/>
                <w:szCs w:val="21"/>
              </w:rPr>
            </w:pPr>
            <w:r>
              <w:rPr>
                <w:rFonts w:hAnsi="宋体"/>
                <w:kern w:val="0"/>
                <w:szCs w:val="21"/>
              </w:rPr>
              <w:t>3</w:t>
            </w:r>
            <w:r>
              <w:rPr>
                <w:rFonts w:hint="eastAsia" w:hAnsi="宋体"/>
                <w:kern w:val="0"/>
                <w:szCs w:val="21"/>
              </w:rPr>
              <w:t>00</w:t>
            </w:r>
          </w:p>
        </w:tc>
        <w:tc>
          <w:tcPr>
            <w:tcW w:w="1155" w:type="dxa"/>
            <w:vMerge w:val="restart"/>
            <w:noWrap w:val="0"/>
            <w:vAlign w:val="center"/>
          </w:tcPr>
          <w:p>
            <w:pPr>
              <w:jc w:val="center"/>
              <w:rPr>
                <w:rFonts w:hint="eastAsia" w:hAnsi="宋体"/>
                <w:kern w:val="0"/>
                <w:szCs w:val="21"/>
              </w:rPr>
            </w:pPr>
            <w:r>
              <w:rPr>
                <w:rFonts w:hint="eastAsia" w:hAnsi="宋体"/>
                <w:kern w:val="0"/>
                <w:szCs w:val="21"/>
              </w:rPr>
              <w:t>6175</w:t>
            </w:r>
          </w:p>
        </w:tc>
        <w:tc>
          <w:tcPr>
            <w:tcW w:w="241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rPr>
            </w:pPr>
            <w:r>
              <w:rPr>
                <w:rFonts w:hint="eastAsia" w:hAnsi="宋体"/>
                <w:kern w:val="0"/>
                <w:szCs w:val="21"/>
              </w:rPr>
              <w:t>5</w:t>
            </w:r>
          </w:p>
        </w:tc>
        <w:tc>
          <w:tcPr>
            <w:tcW w:w="1950" w:type="dxa"/>
            <w:noWrap w:val="0"/>
            <w:vAlign w:val="center"/>
          </w:tcPr>
          <w:p>
            <w:pPr>
              <w:jc w:val="center"/>
              <w:rPr>
                <w:rFonts w:hint="eastAsia" w:hAnsi="宋体"/>
                <w:kern w:val="0"/>
                <w:szCs w:val="21"/>
              </w:rPr>
            </w:pPr>
            <w:r>
              <w:rPr>
                <w:rFonts w:hint="eastAsia" w:hAnsi="宋体"/>
                <w:kern w:val="0"/>
                <w:szCs w:val="21"/>
              </w:rPr>
              <w:t>城北泵站（二</w:t>
            </w:r>
            <w:r>
              <w:rPr>
                <w:rFonts w:hint="eastAsia" w:ascii="宋体" w:hAnsi="宋体"/>
                <w:szCs w:val="21"/>
              </w:rPr>
              <w:t>期</w:t>
            </w:r>
            <w:r>
              <w:rPr>
                <w:rFonts w:hint="eastAsia" w:hAnsi="宋体"/>
                <w:kern w:val="0"/>
                <w:szCs w:val="21"/>
              </w:rPr>
              <w:t>）</w:t>
            </w:r>
          </w:p>
        </w:tc>
        <w:tc>
          <w:tcPr>
            <w:tcW w:w="1095" w:type="dxa"/>
            <w:vMerge w:val="continue"/>
            <w:noWrap w:val="0"/>
            <w:vAlign w:val="center"/>
          </w:tcPr>
          <w:p>
            <w:pPr>
              <w:jc w:val="center"/>
              <w:rPr>
                <w:rFonts w:hint="eastAsia" w:hAnsi="宋体"/>
                <w:kern w:val="0"/>
                <w:szCs w:val="21"/>
              </w:rPr>
            </w:pPr>
          </w:p>
        </w:tc>
        <w:tc>
          <w:tcPr>
            <w:tcW w:w="1095" w:type="dxa"/>
            <w:noWrap w:val="0"/>
            <w:vAlign w:val="center"/>
          </w:tcPr>
          <w:p>
            <w:pPr>
              <w:jc w:val="center"/>
              <w:rPr>
                <w:rFonts w:hint="eastAsia" w:hAnsi="宋体"/>
                <w:kern w:val="0"/>
                <w:szCs w:val="21"/>
              </w:rPr>
            </w:pPr>
            <w:r>
              <w:rPr>
                <w:rFonts w:hint="eastAsia" w:hAnsi="宋体"/>
                <w:kern w:val="0"/>
                <w:szCs w:val="21"/>
              </w:rPr>
              <w:t>814</w:t>
            </w:r>
          </w:p>
        </w:tc>
        <w:tc>
          <w:tcPr>
            <w:tcW w:w="1095" w:type="dxa"/>
            <w:vMerge w:val="continue"/>
            <w:noWrap w:val="0"/>
            <w:vAlign w:val="center"/>
          </w:tcPr>
          <w:p>
            <w:pPr>
              <w:jc w:val="center"/>
              <w:rPr>
                <w:rFonts w:hint="eastAsia" w:hAnsi="宋体"/>
                <w:kern w:val="0"/>
                <w:szCs w:val="21"/>
              </w:rPr>
            </w:pPr>
          </w:p>
        </w:tc>
        <w:tc>
          <w:tcPr>
            <w:tcW w:w="1155" w:type="dxa"/>
            <w:vMerge w:val="continue"/>
            <w:noWrap w:val="0"/>
            <w:vAlign w:val="center"/>
          </w:tcPr>
          <w:p>
            <w:pPr>
              <w:jc w:val="center"/>
              <w:rPr>
                <w:rFonts w:hint="eastAsia" w:hAnsi="宋体"/>
                <w:kern w:val="0"/>
                <w:szCs w:val="21"/>
              </w:rPr>
            </w:pPr>
          </w:p>
        </w:tc>
        <w:tc>
          <w:tcPr>
            <w:tcW w:w="241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rPr>
            </w:pPr>
            <w:r>
              <w:rPr>
                <w:rFonts w:hint="eastAsia" w:hAnsi="宋体"/>
                <w:kern w:val="0"/>
                <w:szCs w:val="21"/>
              </w:rPr>
              <w:t>6</w:t>
            </w:r>
          </w:p>
        </w:tc>
        <w:tc>
          <w:tcPr>
            <w:tcW w:w="1950" w:type="dxa"/>
            <w:noWrap w:val="0"/>
            <w:vAlign w:val="center"/>
          </w:tcPr>
          <w:p>
            <w:pPr>
              <w:jc w:val="center"/>
              <w:rPr>
                <w:rFonts w:hint="eastAsia" w:hAnsi="宋体"/>
                <w:kern w:val="0"/>
                <w:szCs w:val="21"/>
              </w:rPr>
            </w:pPr>
            <w:r>
              <w:rPr>
                <w:rFonts w:hint="eastAsia" w:hAnsi="宋体"/>
                <w:kern w:val="0"/>
                <w:szCs w:val="21"/>
              </w:rPr>
              <w:t>城北泵站（三期）</w:t>
            </w:r>
          </w:p>
        </w:tc>
        <w:tc>
          <w:tcPr>
            <w:tcW w:w="1095" w:type="dxa"/>
            <w:vMerge w:val="continue"/>
            <w:noWrap w:val="0"/>
            <w:vAlign w:val="center"/>
          </w:tcPr>
          <w:p>
            <w:pPr>
              <w:jc w:val="center"/>
              <w:rPr>
                <w:rFonts w:hint="eastAsia" w:hAnsi="宋体"/>
                <w:kern w:val="0"/>
                <w:szCs w:val="21"/>
              </w:rPr>
            </w:pPr>
          </w:p>
        </w:tc>
        <w:tc>
          <w:tcPr>
            <w:tcW w:w="1095" w:type="dxa"/>
            <w:noWrap w:val="0"/>
            <w:vAlign w:val="center"/>
          </w:tcPr>
          <w:p>
            <w:pPr>
              <w:jc w:val="center"/>
              <w:rPr>
                <w:rFonts w:hint="eastAsia" w:hAnsi="宋体"/>
                <w:kern w:val="0"/>
                <w:szCs w:val="21"/>
              </w:rPr>
            </w:pPr>
            <w:r>
              <w:rPr>
                <w:rFonts w:hint="eastAsia" w:hAnsi="宋体"/>
                <w:kern w:val="0"/>
                <w:szCs w:val="21"/>
              </w:rPr>
              <w:t>8</w:t>
            </w:r>
            <w:r>
              <w:rPr>
                <w:rFonts w:hAnsi="宋体"/>
                <w:kern w:val="0"/>
                <w:szCs w:val="21"/>
              </w:rPr>
              <w:t>02</w:t>
            </w:r>
          </w:p>
        </w:tc>
        <w:tc>
          <w:tcPr>
            <w:tcW w:w="1095" w:type="dxa"/>
            <w:vMerge w:val="continue"/>
            <w:noWrap w:val="0"/>
            <w:vAlign w:val="center"/>
          </w:tcPr>
          <w:p>
            <w:pPr>
              <w:jc w:val="center"/>
              <w:rPr>
                <w:rFonts w:hint="eastAsia" w:hAnsi="宋体"/>
                <w:kern w:val="0"/>
                <w:szCs w:val="21"/>
              </w:rPr>
            </w:pPr>
          </w:p>
        </w:tc>
        <w:tc>
          <w:tcPr>
            <w:tcW w:w="1155" w:type="dxa"/>
            <w:vMerge w:val="continue"/>
            <w:noWrap w:val="0"/>
            <w:vAlign w:val="center"/>
          </w:tcPr>
          <w:p>
            <w:pPr>
              <w:jc w:val="center"/>
              <w:rPr>
                <w:rFonts w:hint="eastAsia" w:hAnsi="宋体"/>
                <w:kern w:val="0"/>
                <w:szCs w:val="21"/>
              </w:rPr>
            </w:pPr>
          </w:p>
        </w:tc>
        <w:tc>
          <w:tcPr>
            <w:tcW w:w="241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1" w:type="dxa"/>
            <w:noWrap w:val="0"/>
            <w:vAlign w:val="center"/>
          </w:tcPr>
          <w:p>
            <w:pPr>
              <w:jc w:val="center"/>
              <w:rPr>
                <w:rFonts w:hint="eastAsia" w:hAnsi="宋体"/>
                <w:kern w:val="0"/>
                <w:szCs w:val="21"/>
              </w:rPr>
            </w:pPr>
            <w:r>
              <w:rPr>
                <w:rFonts w:hAnsi="宋体"/>
                <w:kern w:val="0"/>
                <w:szCs w:val="21"/>
              </w:rPr>
              <w:t>7</w:t>
            </w:r>
          </w:p>
        </w:tc>
        <w:tc>
          <w:tcPr>
            <w:tcW w:w="1950" w:type="dxa"/>
            <w:noWrap w:val="0"/>
            <w:vAlign w:val="center"/>
          </w:tcPr>
          <w:p>
            <w:pPr>
              <w:jc w:val="center"/>
              <w:rPr>
                <w:rFonts w:hint="eastAsia" w:hAnsi="宋体"/>
                <w:kern w:val="0"/>
                <w:szCs w:val="21"/>
              </w:rPr>
            </w:pPr>
            <w:r>
              <w:rPr>
                <w:rFonts w:hint="eastAsia" w:hAnsi="宋体"/>
                <w:kern w:val="0"/>
                <w:szCs w:val="21"/>
              </w:rPr>
              <w:t>孙家头泵站</w:t>
            </w:r>
          </w:p>
        </w:tc>
        <w:tc>
          <w:tcPr>
            <w:tcW w:w="1095" w:type="dxa"/>
            <w:noWrap w:val="0"/>
            <w:vAlign w:val="center"/>
          </w:tcPr>
          <w:p>
            <w:pPr>
              <w:jc w:val="center"/>
              <w:rPr>
                <w:rFonts w:hint="eastAsia" w:hAnsi="宋体"/>
                <w:kern w:val="0"/>
                <w:szCs w:val="21"/>
              </w:rPr>
            </w:pPr>
            <w:r>
              <w:rPr>
                <w:rFonts w:hint="eastAsia" w:hAnsi="宋体"/>
                <w:kern w:val="0"/>
                <w:szCs w:val="21"/>
              </w:rPr>
              <w:t>4620</w:t>
            </w:r>
          </w:p>
        </w:tc>
        <w:tc>
          <w:tcPr>
            <w:tcW w:w="1095" w:type="dxa"/>
            <w:noWrap w:val="0"/>
            <w:vAlign w:val="center"/>
          </w:tcPr>
          <w:p>
            <w:pPr>
              <w:jc w:val="center"/>
              <w:rPr>
                <w:rFonts w:hint="eastAsia" w:hAnsi="宋体"/>
                <w:kern w:val="0"/>
                <w:szCs w:val="21"/>
              </w:rPr>
            </w:pPr>
            <w:r>
              <w:rPr>
                <w:rFonts w:hint="eastAsia" w:hAnsi="宋体"/>
                <w:kern w:val="0"/>
                <w:szCs w:val="21"/>
              </w:rPr>
              <w:t>445</w:t>
            </w:r>
          </w:p>
        </w:tc>
        <w:tc>
          <w:tcPr>
            <w:tcW w:w="1095" w:type="dxa"/>
            <w:noWrap w:val="0"/>
            <w:vAlign w:val="center"/>
          </w:tcPr>
          <w:p>
            <w:pPr>
              <w:jc w:val="center"/>
              <w:rPr>
                <w:rFonts w:hint="eastAsia" w:hAnsi="宋体"/>
                <w:kern w:val="0"/>
                <w:szCs w:val="21"/>
              </w:rPr>
            </w:pPr>
            <w:r>
              <w:rPr>
                <w:rFonts w:hint="eastAsia" w:hAnsi="宋体"/>
                <w:kern w:val="0"/>
                <w:szCs w:val="21"/>
              </w:rPr>
              <w:t>9315</w:t>
            </w:r>
          </w:p>
        </w:tc>
        <w:tc>
          <w:tcPr>
            <w:tcW w:w="1155" w:type="dxa"/>
            <w:noWrap w:val="0"/>
            <w:vAlign w:val="center"/>
          </w:tcPr>
          <w:p>
            <w:pPr>
              <w:jc w:val="center"/>
              <w:rPr>
                <w:rFonts w:hint="eastAsia" w:hAnsi="宋体"/>
                <w:kern w:val="0"/>
                <w:szCs w:val="21"/>
              </w:rPr>
            </w:pPr>
            <w:r>
              <w:rPr>
                <w:rFonts w:hint="eastAsia" w:hAnsi="宋体"/>
                <w:kern w:val="0"/>
                <w:szCs w:val="21"/>
              </w:rPr>
              <w:t>756</w:t>
            </w:r>
          </w:p>
        </w:tc>
        <w:tc>
          <w:tcPr>
            <w:tcW w:w="241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61" w:type="dxa"/>
            <w:noWrap w:val="0"/>
            <w:vAlign w:val="center"/>
          </w:tcPr>
          <w:p>
            <w:pPr>
              <w:jc w:val="center"/>
              <w:rPr>
                <w:rFonts w:hint="eastAsia" w:hAnsi="宋体" w:eastAsia="宋体"/>
                <w:kern w:val="0"/>
                <w:szCs w:val="21"/>
                <w:lang w:val="en-US" w:eastAsia="zh-CN"/>
              </w:rPr>
            </w:pPr>
            <w:r>
              <w:rPr>
                <w:rFonts w:hint="eastAsia" w:hAnsi="宋体"/>
                <w:kern w:val="0"/>
                <w:szCs w:val="21"/>
                <w:lang w:val="en-US" w:eastAsia="zh-CN"/>
              </w:rPr>
              <w:t>8</w:t>
            </w:r>
          </w:p>
        </w:tc>
        <w:tc>
          <w:tcPr>
            <w:tcW w:w="1950" w:type="dxa"/>
            <w:noWrap w:val="0"/>
            <w:vAlign w:val="center"/>
          </w:tcPr>
          <w:p>
            <w:pPr>
              <w:jc w:val="center"/>
              <w:rPr>
                <w:rFonts w:hint="eastAsia" w:hAnsi="宋体"/>
                <w:kern w:val="0"/>
                <w:szCs w:val="21"/>
              </w:rPr>
            </w:pPr>
            <w:r>
              <w:rPr>
                <w:rFonts w:hint="eastAsia" w:hAnsi="宋体"/>
                <w:kern w:val="0"/>
                <w:szCs w:val="21"/>
                <w:highlight w:val="none"/>
                <w:lang w:eastAsia="zh-CN"/>
              </w:rPr>
              <w:t>外港河溢流坝</w:t>
            </w:r>
          </w:p>
        </w:tc>
        <w:tc>
          <w:tcPr>
            <w:tcW w:w="1095" w:type="dxa"/>
            <w:noWrap w:val="0"/>
            <w:vAlign w:val="center"/>
          </w:tcPr>
          <w:p>
            <w:pPr>
              <w:jc w:val="center"/>
              <w:rPr>
                <w:rFonts w:hint="eastAsia" w:hAnsi="宋体"/>
                <w:kern w:val="0"/>
                <w:szCs w:val="21"/>
              </w:rPr>
            </w:pPr>
          </w:p>
        </w:tc>
        <w:tc>
          <w:tcPr>
            <w:tcW w:w="1095" w:type="dxa"/>
            <w:noWrap w:val="0"/>
            <w:vAlign w:val="center"/>
          </w:tcPr>
          <w:p>
            <w:pPr>
              <w:jc w:val="center"/>
              <w:rPr>
                <w:rFonts w:hint="eastAsia" w:hAnsi="宋体"/>
                <w:kern w:val="0"/>
                <w:szCs w:val="21"/>
              </w:rPr>
            </w:pPr>
          </w:p>
        </w:tc>
        <w:tc>
          <w:tcPr>
            <w:tcW w:w="1095" w:type="dxa"/>
            <w:noWrap w:val="0"/>
            <w:vAlign w:val="center"/>
          </w:tcPr>
          <w:p>
            <w:pPr>
              <w:jc w:val="center"/>
              <w:rPr>
                <w:rFonts w:hint="eastAsia" w:hAnsi="宋体"/>
                <w:kern w:val="0"/>
                <w:szCs w:val="21"/>
              </w:rPr>
            </w:pPr>
          </w:p>
        </w:tc>
        <w:tc>
          <w:tcPr>
            <w:tcW w:w="1155" w:type="dxa"/>
            <w:noWrap w:val="0"/>
            <w:vAlign w:val="center"/>
          </w:tcPr>
          <w:p>
            <w:pPr>
              <w:jc w:val="center"/>
              <w:rPr>
                <w:rFonts w:hint="eastAsia" w:hAnsi="宋体"/>
                <w:kern w:val="0"/>
                <w:szCs w:val="21"/>
              </w:rPr>
            </w:pPr>
          </w:p>
        </w:tc>
        <w:tc>
          <w:tcPr>
            <w:tcW w:w="2415" w:type="dxa"/>
            <w:vMerge w:val="continue"/>
            <w:noWrap w:val="0"/>
            <w:vAlign w:val="center"/>
          </w:tcPr>
          <w:p>
            <w:pPr>
              <w:jc w:val="center"/>
              <w:rPr>
                <w:rFonts w:hint="eastAsia" w:hAnsi="宋体"/>
                <w:kern w:val="0"/>
                <w:szCs w:val="21"/>
              </w:rPr>
            </w:pPr>
          </w:p>
        </w:tc>
      </w:tr>
    </w:tbl>
    <w:p>
      <w:pPr>
        <w:jc w:val="left"/>
        <w:rPr>
          <w:rFonts w:hint="eastAsia" w:hAnsi="宋体"/>
          <w:kern w:val="0"/>
          <w:szCs w:val="21"/>
        </w:rPr>
      </w:pPr>
      <w:r>
        <w:rPr>
          <w:rFonts w:hint="eastAsia" w:hAnsi="宋体"/>
          <w:kern w:val="0"/>
          <w:szCs w:val="21"/>
        </w:rPr>
        <w:t>2、泵站设备概况</w:t>
      </w:r>
    </w:p>
    <w:tbl>
      <w:tblPr>
        <w:tblStyle w:val="30"/>
        <w:tblW w:w="9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02"/>
        <w:gridCol w:w="690"/>
        <w:gridCol w:w="1065"/>
        <w:gridCol w:w="877"/>
        <w:gridCol w:w="630"/>
        <w:gridCol w:w="960"/>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restart"/>
            <w:noWrap w:val="0"/>
            <w:vAlign w:val="center"/>
          </w:tcPr>
          <w:p>
            <w:pPr>
              <w:jc w:val="center"/>
              <w:rPr>
                <w:rFonts w:hint="eastAsia" w:hAnsi="宋体"/>
                <w:kern w:val="0"/>
                <w:szCs w:val="21"/>
              </w:rPr>
            </w:pPr>
            <w:r>
              <w:rPr>
                <w:rFonts w:hint="eastAsia" w:hAnsi="宋体"/>
                <w:kern w:val="0"/>
                <w:szCs w:val="21"/>
              </w:rPr>
              <w:t>序号</w:t>
            </w:r>
          </w:p>
        </w:tc>
        <w:tc>
          <w:tcPr>
            <w:tcW w:w="1902" w:type="dxa"/>
            <w:vMerge w:val="restart"/>
            <w:noWrap w:val="0"/>
            <w:vAlign w:val="center"/>
          </w:tcPr>
          <w:p>
            <w:pPr>
              <w:jc w:val="center"/>
              <w:rPr>
                <w:rFonts w:hint="eastAsia" w:hAnsi="宋体"/>
                <w:kern w:val="0"/>
                <w:szCs w:val="21"/>
              </w:rPr>
            </w:pPr>
            <w:r>
              <w:rPr>
                <w:rFonts w:hint="eastAsia" w:hAnsi="宋体"/>
                <w:kern w:val="0"/>
                <w:szCs w:val="21"/>
              </w:rPr>
              <w:t>泵站名称</w:t>
            </w:r>
          </w:p>
        </w:tc>
        <w:tc>
          <w:tcPr>
            <w:tcW w:w="1755" w:type="dxa"/>
            <w:gridSpan w:val="2"/>
            <w:noWrap w:val="0"/>
            <w:vAlign w:val="center"/>
          </w:tcPr>
          <w:p>
            <w:pPr>
              <w:jc w:val="center"/>
              <w:rPr>
                <w:rFonts w:hint="eastAsia" w:hAnsi="宋体"/>
                <w:kern w:val="0"/>
                <w:szCs w:val="21"/>
              </w:rPr>
            </w:pPr>
            <w:r>
              <w:rPr>
                <w:rFonts w:hint="eastAsia" w:hAnsi="宋体"/>
                <w:kern w:val="0"/>
                <w:szCs w:val="21"/>
              </w:rPr>
              <w:t>变压器</w:t>
            </w:r>
          </w:p>
        </w:tc>
        <w:tc>
          <w:tcPr>
            <w:tcW w:w="877" w:type="dxa"/>
            <w:vMerge w:val="restart"/>
            <w:noWrap w:val="0"/>
            <w:vAlign w:val="center"/>
          </w:tcPr>
          <w:p>
            <w:pPr>
              <w:jc w:val="center"/>
              <w:rPr>
                <w:rFonts w:hint="eastAsia" w:hAnsi="宋体"/>
                <w:kern w:val="0"/>
                <w:szCs w:val="21"/>
              </w:rPr>
            </w:pPr>
            <w:r>
              <w:rPr>
                <w:rFonts w:hint="eastAsia" w:hAnsi="宋体"/>
                <w:kern w:val="0"/>
                <w:szCs w:val="21"/>
              </w:rPr>
              <w:t>总功率KW</w:t>
            </w:r>
          </w:p>
        </w:tc>
        <w:tc>
          <w:tcPr>
            <w:tcW w:w="1590" w:type="dxa"/>
            <w:gridSpan w:val="2"/>
            <w:noWrap w:val="0"/>
            <w:vAlign w:val="center"/>
          </w:tcPr>
          <w:p>
            <w:pPr>
              <w:jc w:val="center"/>
              <w:rPr>
                <w:rFonts w:hint="eastAsia" w:hAnsi="宋体"/>
                <w:kern w:val="0"/>
                <w:szCs w:val="21"/>
              </w:rPr>
            </w:pPr>
            <w:r>
              <w:rPr>
                <w:rFonts w:hint="eastAsia" w:hAnsi="宋体"/>
                <w:kern w:val="0"/>
                <w:szCs w:val="21"/>
              </w:rPr>
              <w:t>雨水泵</w:t>
            </w:r>
          </w:p>
        </w:tc>
        <w:tc>
          <w:tcPr>
            <w:tcW w:w="2475" w:type="dxa"/>
            <w:vMerge w:val="restart"/>
            <w:noWrap w:val="0"/>
            <w:vAlign w:val="center"/>
          </w:tcPr>
          <w:p>
            <w:pPr>
              <w:jc w:val="center"/>
              <w:rPr>
                <w:rFonts w:hint="eastAsia" w:hAnsi="宋体"/>
                <w:kern w:val="0"/>
                <w:szCs w:val="21"/>
              </w:rPr>
            </w:pPr>
            <w:r>
              <w:rPr>
                <w:rFonts w:hint="eastAsia" w:hAnsi="宋体"/>
                <w:kern w:val="0"/>
                <w:szCs w:val="21"/>
              </w:rPr>
              <w:t>泵站附属设备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Merge w:val="continue"/>
            <w:noWrap w:val="0"/>
            <w:vAlign w:val="center"/>
          </w:tcPr>
          <w:p>
            <w:pPr>
              <w:jc w:val="center"/>
              <w:rPr>
                <w:rFonts w:hint="eastAsia" w:hAnsi="宋体"/>
                <w:kern w:val="0"/>
                <w:szCs w:val="21"/>
              </w:rPr>
            </w:pPr>
          </w:p>
        </w:tc>
        <w:tc>
          <w:tcPr>
            <w:tcW w:w="1902" w:type="dxa"/>
            <w:vMerge w:val="continue"/>
            <w:noWrap w:val="0"/>
            <w:vAlign w:val="center"/>
          </w:tcPr>
          <w:p>
            <w:pPr>
              <w:jc w:val="center"/>
              <w:rPr>
                <w:rFonts w:hint="eastAsia" w:hAnsi="宋体"/>
                <w:kern w:val="0"/>
                <w:szCs w:val="21"/>
              </w:rPr>
            </w:pPr>
          </w:p>
        </w:tc>
        <w:tc>
          <w:tcPr>
            <w:tcW w:w="690" w:type="dxa"/>
            <w:noWrap w:val="0"/>
            <w:vAlign w:val="center"/>
          </w:tcPr>
          <w:p>
            <w:pPr>
              <w:jc w:val="center"/>
              <w:rPr>
                <w:rFonts w:hint="eastAsia" w:hAnsi="宋体"/>
                <w:kern w:val="0"/>
                <w:szCs w:val="21"/>
              </w:rPr>
            </w:pPr>
            <w:r>
              <w:rPr>
                <w:rFonts w:hint="eastAsia" w:hAnsi="宋体"/>
                <w:kern w:val="0"/>
                <w:szCs w:val="21"/>
              </w:rPr>
              <w:t>台</w:t>
            </w:r>
          </w:p>
        </w:tc>
        <w:tc>
          <w:tcPr>
            <w:tcW w:w="1065" w:type="dxa"/>
            <w:noWrap w:val="0"/>
            <w:vAlign w:val="center"/>
          </w:tcPr>
          <w:p>
            <w:pPr>
              <w:jc w:val="center"/>
              <w:rPr>
                <w:rFonts w:hint="eastAsia" w:hAnsi="宋体"/>
                <w:kern w:val="0"/>
                <w:szCs w:val="21"/>
              </w:rPr>
            </w:pPr>
            <w:r>
              <w:rPr>
                <w:rFonts w:hint="eastAsia" w:hAnsi="宋体"/>
                <w:kern w:val="0"/>
                <w:szCs w:val="21"/>
              </w:rPr>
              <w:t>容量KVA</w:t>
            </w:r>
          </w:p>
        </w:tc>
        <w:tc>
          <w:tcPr>
            <w:tcW w:w="877" w:type="dxa"/>
            <w:vMerge w:val="continue"/>
            <w:noWrap w:val="0"/>
            <w:vAlign w:val="center"/>
          </w:tcPr>
          <w:p>
            <w:pPr>
              <w:jc w:val="center"/>
              <w:rPr>
                <w:rFonts w:hint="eastAsia" w:hAnsi="宋体"/>
                <w:kern w:val="0"/>
                <w:szCs w:val="21"/>
              </w:rPr>
            </w:pPr>
          </w:p>
        </w:tc>
        <w:tc>
          <w:tcPr>
            <w:tcW w:w="630" w:type="dxa"/>
            <w:noWrap w:val="0"/>
            <w:vAlign w:val="center"/>
          </w:tcPr>
          <w:p>
            <w:pPr>
              <w:jc w:val="center"/>
              <w:rPr>
                <w:rFonts w:hint="eastAsia" w:hAnsi="宋体"/>
                <w:kern w:val="0"/>
                <w:szCs w:val="21"/>
              </w:rPr>
            </w:pPr>
            <w:r>
              <w:rPr>
                <w:rFonts w:hint="eastAsia" w:hAnsi="宋体"/>
                <w:kern w:val="0"/>
                <w:szCs w:val="21"/>
              </w:rPr>
              <w:t>台</w:t>
            </w:r>
          </w:p>
        </w:tc>
        <w:tc>
          <w:tcPr>
            <w:tcW w:w="960" w:type="dxa"/>
            <w:noWrap w:val="0"/>
            <w:vAlign w:val="center"/>
          </w:tcPr>
          <w:p>
            <w:pPr>
              <w:jc w:val="center"/>
              <w:rPr>
                <w:rFonts w:hint="eastAsia" w:hAnsi="宋体"/>
                <w:kern w:val="0"/>
                <w:szCs w:val="21"/>
              </w:rPr>
            </w:pPr>
            <w:r>
              <w:rPr>
                <w:rFonts w:hint="eastAsia" w:hAnsi="宋体"/>
                <w:kern w:val="0"/>
                <w:szCs w:val="21"/>
              </w:rPr>
              <w:t>流量m</w:t>
            </w:r>
            <w:r>
              <w:rPr>
                <w:rFonts w:hint="eastAsia" w:hAnsi="宋体"/>
                <w:kern w:val="0"/>
                <w:szCs w:val="21"/>
                <w:vertAlign w:val="superscript"/>
              </w:rPr>
              <w:t>3</w:t>
            </w:r>
            <w:r>
              <w:rPr>
                <w:rFonts w:hint="eastAsia" w:hAnsi="宋体"/>
                <w:kern w:val="0"/>
                <w:szCs w:val="21"/>
              </w:rPr>
              <w:t>/s/台</w:t>
            </w:r>
          </w:p>
        </w:tc>
        <w:tc>
          <w:tcPr>
            <w:tcW w:w="247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hAnsi="宋体"/>
                <w:kern w:val="0"/>
                <w:szCs w:val="21"/>
              </w:rPr>
            </w:pPr>
            <w:r>
              <w:rPr>
                <w:rFonts w:hint="eastAsia" w:hAnsi="宋体"/>
                <w:kern w:val="0"/>
                <w:szCs w:val="21"/>
              </w:rPr>
              <w:t>1</w:t>
            </w:r>
          </w:p>
        </w:tc>
        <w:tc>
          <w:tcPr>
            <w:tcW w:w="1902" w:type="dxa"/>
            <w:noWrap w:val="0"/>
            <w:vAlign w:val="center"/>
          </w:tcPr>
          <w:p>
            <w:pPr>
              <w:jc w:val="center"/>
              <w:rPr>
                <w:rFonts w:hint="eastAsia" w:hAnsi="宋体"/>
                <w:kern w:val="0"/>
                <w:szCs w:val="21"/>
              </w:rPr>
            </w:pPr>
            <w:r>
              <w:rPr>
                <w:rFonts w:hint="eastAsia" w:hAnsi="宋体"/>
                <w:kern w:val="0"/>
                <w:szCs w:val="21"/>
              </w:rPr>
              <w:t>陵里泵站</w:t>
            </w:r>
          </w:p>
        </w:tc>
        <w:tc>
          <w:tcPr>
            <w:tcW w:w="690" w:type="dxa"/>
            <w:noWrap w:val="0"/>
            <w:vAlign w:val="center"/>
          </w:tcPr>
          <w:p>
            <w:pPr>
              <w:jc w:val="center"/>
              <w:rPr>
                <w:rFonts w:hint="eastAsia" w:hAnsi="宋体"/>
                <w:kern w:val="0"/>
                <w:szCs w:val="21"/>
              </w:rPr>
            </w:pPr>
            <w:r>
              <w:rPr>
                <w:rFonts w:hint="eastAsia" w:hAnsi="宋体"/>
                <w:kern w:val="0"/>
                <w:szCs w:val="21"/>
              </w:rPr>
              <w:t>2</w:t>
            </w:r>
          </w:p>
        </w:tc>
        <w:tc>
          <w:tcPr>
            <w:tcW w:w="1065" w:type="dxa"/>
            <w:noWrap w:val="0"/>
            <w:vAlign w:val="center"/>
          </w:tcPr>
          <w:p>
            <w:pPr>
              <w:jc w:val="center"/>
              <w:rPr>
                <w:rFonts w:hint="eastAsia" w:hAnsi="宋体"/>
                <w:kern w:val="0"/>
                <w:szCs w:val="21"/>
              </w:rPr>
            </w:pPr>
            <w:r>
              <w:rPr>
                <w:rFonts w:hint="eastAsia" w:hAnsi="宋体"/>
                <w:kern w:val="0"/>
                <w:szCs w:val="21"/>
              </w:rPr>
              <w:t>1250</w:t>
            </w:r>
          </w:p>
        </w:tc>
        <w:tc>
          <w:tcPr>
            <w:tcW w:w="877" w:type="dxa"/>
            <w:noWrap w:val="0"/>
            <w:vAlign w:val="center"/>
          </w:tcPr>
          <w:p>
            <w:pPr>
              <w:jc w:val="center"/>
              <w:rPr>
                <w:rFonts w:hint="eastAsia" w:hAnsi="宋体"/>
                <w:kern w:val="0"/>
                <w:szCs w:val="21"/>
              </w:rPr>
            </w:pPr>
            <w:r>
              <w:rPr>
                <w:rFonts w:hint="eastAsia" w:hAnsi="宋体"/>
                <w:kern w:val="0"/>
                <w:szCs w:val="21"/>
              </w:rPr>
              <w:t>1120</w:t>
            </w:r>
          </w:p>
        </w:tc>
        <w:tc>
          <w:tcPr>
            <w:tcW w:w="630" w:type="dxa"/>
            <w:noWrap w:val="0"/>
            <w:vAlign w:val="center"/>
          </w:tcPr>
          <w:p>
            <w:pPr>
              <w:jc w:val="center"/>
              <w:rPr>
                <w:rFonts w:hint="eastAsia" w:hAnsi="宋体"/>
                <w:kern w:val="0"/>
                <w:szCs w:val="21"/>
              </w:rPr>
            </w:pPr>
            <w:r>
              <w:rPr>
                <w:rFonts w:hint="eastAsia" w:hAnsi="宋体"/>
                <w:kern w:val="0"/>
                <w:szCs w:val="21"/>
              </w:rPr>
              <w:t>4</w:t>
            </w:r>
          </w:p>
        </w:tc>
        <w:tc>
          <w:tcPr>
            <w:tcW w:w="960" w:type="dxa"/>
            <w:noWrap w:val="0"/>
            <w:vAlign w:val="center"/>
          </w:tcPr>
          <w:p>
            <w:pPr>
              <w:jc w:val="center"/>
              <w:rPr>
                <w:rFonts w:hint="eastAsia" w:hAnsi="宋体"/>
                <w:kern w:val="0"/>
                <w:szCs w:val="21"/>
              </w:rPr>
            </w:pPr>
            <w:r>
              <w:rPr>
                <w:rFonts w:hint="eastAsia" w:hAnsi="宋体"/>
                <w:kern w:val="0"/>
                <w:szCs w:val="21"/>
              </w:rPr>
              <w:t>3.33</w:t>
            </w:r>
          </w:p>
        </w:tc>
        <w:tc>
          <w:tcPr>
            <w:tcW w:w="2475" w:type="dxa"/>
            <w:vMerge w:val="restart"/>
            <w:noWrap w:val="0"/>
            <w:vAlign w:val="center"/>
          </w:tcPr>
          <w:p>
            <w:pPr>
              <w:jc w:val="center"/>
              <w:rPr>
                <w:rFonts w:hint="eastAsia" w:hAnsi="宋体"/>
                <w:kern w:val="0"/>
                <w:szCs w:val="21"/>
              </w:rPr>
            </w:pPr>
            <w:r>
              <w:rPr>
                <w:rFonts w:hint="eastAsia" w:hAnsi="宋体"/>
                <w:kern w:val="0"/>
                <w:szCs w:val="21"/>
              </w:rPr>
              <w:t>以泵站目前现场实际设备为准（包括</w:t>
            </w:r>
            <w:r>
              <w:rPr>
                <w:rFonts w:hint="eastAsia" w:ascii="宋体" w:hAnsi="宋体"/>
                <w:szCs w:val="21"/>
              </w:rPr>
              <w:t>蝶阀、止回阀、输送带、捞脏机、栏污栅、格栅、行车等</w:t>
            </w:r>
            <w:r>
              <w:rPr>
                <w:rFonts w:hint="eastAsia" w:hAnsi="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hAnsi="宋体"/>
                <w:kern w:val="0"/>
                <w:szCs w:val="21"/>
              </w:rPr>
            </w:pPr>
            <w:r>
              <w:rPr>
                <w:rFonts w:hint="eastAsia" w:hAnsi="宋体"/>
                <w:kern w:val="0"/>
                <w:szCs w:val="21"/>
              </w:rPr>
              <w:t>2</w:t>
            </w:r>
          </w:p>
        </w:tc>
        <w:tc>
          <w:tcPr>
            <w:tcW w:w="1902" w:type="dxa"/>
            <w:noWrap w:val="0"/>
            <w:vAlign w:val="center"/>
          </w:tcPr>
          <w:p>
            <w:pPr>
              <w:jc w:val="center"/>
              <w:rPr>
                <w:rFonts w:hint="eastAsia" w:hAnsi="宋体"/>
                <w:kern w:val="0"/>
                <w:szCs w:val="21"/>
              </w:rPr>
            </w:pPr>
            <w:r>
              <w:rPr>
                <w:rFonts w:hint="eastAsia" w:hAnsi="宋体"/>
                <w:kern w:val="0"/>
                <w:szCs w:val="21"/>
              </w:rPr>
              <w:t>竹山桥泵站（一</w:t>
            </w:r>
            <w:r>
              <w:rPr>
                <w:rFonts w:hint="eastAsia" w:ascii="宋体" w:hAnsi="宋体"/>
                <w:szCs w:val="21"/>
              </w:rPr>
              <w:t>期</w:t>
            </w:r>
            <w:r>
              <w:rPr>
                <w:rFonts w:hint="eastAsia" w:hAnsi="宋体"/>
                <w:kern w:val="0"/>
                <w:szCs w:val="21"/>
              </w:rPr>
              <w:t>）</w:t>
            </w:r>
          </w:p>
        </w:tc>
        <w:tc>
          <w:tcPr>
            <w:tcW w:w="690" w:type="dxa"/>
            <w:noWrap w:val="0"/>
            <w:vAlign w:val="center"/>
          </w:tcPr>
          <w:p>
            <w:pPr>
              <w:jc w:val="center"/>
              <w:rPr>
                <w:rFonts w:hint="eastAsia" w:hAnsi="宋体"/>
                <w:kern w:val="0"/>
                <w:szCs w:val="21"/>
              </w:rPr>
            </w:pPr>
            <w:r>
              <w:rPr>
                <w:rFonts w:hint="eastAsia" w:hAnsi="宋体"/>
                <w:kern w:val="0"/>
                <w:szCs w:val="21"/>
              </w:rPr>
              <w:t>2</w:t>
            </w:r>
          </w:p>
        </w:tc>
        <w:tc>
          <w:tcPr>
            <w:tcW w:w="1065" w:type="dxa"/>
            <w:noWrap w:val="0"/>
            <w:vAlign w:val="center"/>
          </w:tcPr>
          <w:p>
            <w:pPr>
              <w:jc w:val="center"/>
              <w:rPr>
                <w:rFonts w:hint="eastAsia" w:hAnsi="宋体"/>
                <w:kern w:val="0"/>
                <w:szCs w:val="21"/>
              </w:rPr>
            </w:pPr>
            <w:r>
              <w:rPr>
                <w:rFonts w:hint="eastAsia" w:hAnsi="宋体"/>
                <w:kern w:val="0"/>
                <w:szCs w:val="21"/>
              </w:rPr>
              <w:t>630</w:t>
            </w:r>
          </w:p>
        </w:tc>
        <w:tc>
          <w:tcPr>
            <w:tcW w:w="877" w:type="dxa"/>
            <w:noWrap w:val="0"/>
            <w:vAlign w:val="center"/>
          </w:tcPr>
          <w:p>
            <w:pPr>
              <w:jc w:val="center"/>
              <w:rPr>
                <w:rFonts w:hint="eastAsia" w:hAnsi="宋体"/>
                <w:kern w:val="0"/>
                <w:szCs w:val="21"/>
              </w:rPr>
            </w:pPr>
            <w:r>
              <w:rPr>
                <w:rFonts w:hint="eastAsia" w:hAnsi="宋体"/>
                <w:kern w:val="0"/>
                <w:szCs w:val="21"/>
              </w:rPr>
              <w:t>660</w:t>
            </w:r>
          </w:p>
        </w:tc>
        <w:tc>
          <w:tcPr>
            <w:tcW w:w="630" w:type="dxa"/>
            <w:noWrap w:val="0"/>
            <w:vAlign w:val="center"/>
          </w:tcPr>
          <w:p>
            <w:pPr>
              <w:jc w:val="center"/>
              <w:rPr>
                <w:rFonts w:hint="eastAsia" w:hAnsi="宋体"/>
                <w:kern w:val="0"/>
                <w:szCs w:val="21"/>
              </w:rPr>
            </w:pPr>
            <w:r>
              <w:rPr>
                <w:rFonts w:hint="eastAsia" w:hAnsi="宋体"/>
                <w:kern w:val="0"/>
                <w:szCs w:val="21"/>
              </w:rPr>
              <w:t>3</w:t>
            </w:r>
          </w:p>
        </w:tc>
        <w:tc>
          <w:tcPr>
            <w:tcW w:w="960" w:type="dxa"/>
            <w:noWrap w:val="0"/>
            <w:vAlign w:val="center"/>
          </w:tcPr>
          <w:p>
            <w:pPr>
              <w:jc w:val="center"/>
              <w:rPr>
                <w:rFonts w:hint="eastAsia" w:hAnsi="宋体"/>
                <w:kern w:val="0"/>
                <w:szCs w:val="21"/>
              </w:rPr>
            </w:pPr>
            <w:r>
              <w:rPr>
                <w:rFonts w:hAnsi="宋体"/>
                <w:kern w:val="0"/>
                <w:szCs w:val="21"/>
              </w:rPr>
              <w:t>2</w:t>
            </w:r>
          </w:p>
        </w:tc>
        <w:tc>
          <w:tcPr>
            <w:tcW w:w="247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hAnsi="宋体"/>
                <w:kern w:val="0"/>
                <w:szCs w:val="21"/>
              </w:rPr>
            </w:pPr>
            <w:r>
              <w:rPr>
                <w:rFonts w:hint="eastAsia" w:hAnsi="宋体"/>
                <w:kern w:val="0"/>
                <w:szCs w:val="21"/>
              </w:rPr>
              <w:t>3</w:t>
            </w:r>
          </w:p>
        </w:tc>
        <w:tc>
          <w:tcPr>
            <w:tcW w:w="1902" w:type="dxa"/>
            <w:noWrap w:val="0"/>
            <w:vAlign w:val="center"/>
          </w:tcPr>
          <w:p>
            <w:pPr>
              <w:jc w:val="center"/>
              <w:rPr>
                <w:rFonts w:hint="eastAsia" w:hAnsi="宋体"/>
                <w:kern w:val="0"/>
                <w:szCs w:val="21"/>
              </w:rPr>
            </w:pPr>
            <w:r>
              <w:rPr>
                <w:rFonts w:hint="eastAsia" w:hAnsi="宋体"/>
                <w:kern w:val="0"/>
                <w:szCs w:val="21"/>
              </w:rPr>
              <w:t>竹山桥泵站（二</w:t>
            </w:r>
            <w:r>
              <w:rPr>
                <w:rFonts w:hint="eastAsia" w:ascii="宋体" w:hAnsi="宋体"/>
                <w:szCs w:val="21"/>
              </w:rPr>
              <w:t>期</w:t>
            </w:r>
            <w:r>
              <w:rPr>
                <w:rFonts w:hint="eastAsia" w:hAnsi="宋体"/>
                <w:kern w:val="0"/>
                <w:szCs w:val="21"/>
              </w:rPr>
              <w:t>）</w:t>
            </w:r>
          </w:p>
        </w:tc>
        <w:tc>
          <w:tcPr>
            <w:tcW w:w="690" w:type="dxa"/>
            <w:noWrap w:val="0"/>
            <w:vAlign w:val="center"/>
          </w:tcPr>
          <w:p>
            <w:pPr>
              <w:jc w:val="center"/>
              <w:rPr>
                <w:rFonts w:hint="eastAsia" w:hAnsi="宋体"/>
                <w:kern w:val="0"/>
                <w:szCs w:val="21"/>
              </w:rPr>
            </w:pPr>
            <w:r>
              <w:rPr>
                <w:rFonts w:hint="eastAsia" w:hAnsi="宋体"/>
                <w:kern w:val="0"/>
                <w:szCs w:val="21"/>
              </w:rPr>
              <w:t>2</w:t>
            </w:r>
          </w:p>
        </w:tc>
        <w:tc>
          <w:tcPr>
            <w:tcW w:w="1065" w:type="dxa"/>
            <w:noWrap w:val="0"/>
            <w:vAlign w:val="center"/>
          </w:tcPr>
          <w:p>
            <w:pPr>
              <w:jc w:val="center"/>
              <w:rPr>
                <w:rFonts w:hint="eastAsia" w:hAnsi="宋体"/>
                <w:kern w:val="0"/>
                <w:szCs w:val="21"/>
              </w:rPr>
            </w:pPr>
            <w:r>
              <w:rPr>
                <w:rFonts w:hint="eastAsia" w:hAnsi="宋体"/>
                <w:kern w:val="0"/>
                <w:szCs w:val="21"/>
              </w:rPr>
              <w:t>1000</w:t>
            </w:r>
          </w:p>
        </w:tc>
        <w:tc>
          <w:tcPr>
            <w:tcW w:w="877" w:type="dxa"/>
            <w:noWrap w:val="0"/>
            <w:vAlign w:val="center"/>
          </w:tcPr>
          <w:p>
            <w:pPr>
              <w:jc w:val="center"/>
              <w:rPr>
                <w:rFonts w:hint="eastAsia" w:hAnsi="宋体"/>
                <w:kern w:val="0"/>
                <w:szCs w:val="21"/>
              </w:rPr>
            </w:pPr>
            <w:r>
              <w:rPr>
                <w:rFonts w:hint="eastAsia" w:hAnsi="宋体"/>
                <w:kern w:val="0"/>
                <w:szCs w:val="21"/>
              </w:rPr>
              <w:t>840</w:t>
            </w:r>
          </w:p>
        </w:tc>
        <w:tc>
          <w:tcPr>
            <w:tcW w:w="630" w:type="dxa"/>
            <w:noWrap w:val="0"/>
            <w:vAlign w:val="center"/>
          </w:tcPr>
          <w:p>
            <w:pPr>
              <w:jc w:val="center"/>
              <w:rPr>
                <w:rFonts w:hint="eastAsia" w:hAnsi="宋体"/>
                <w:kern w:val="0"/>
                <w:szCs w:val="21"/>
              </w:rPr>
            </w:pPr>
            <w:r>
              <w:rPr>
                <w:rFonts w:hint="eastAsia" w:hAnsi="宋体"/>
                <w:kern w:val="0"/>
                <w:szCs w:val="21"/>
              </w:rPr>
              <w:t>3</w:t>
            </w:r>
          </w:p>
        </w:tc>
        <w:tc>
          <w:tcPr>
            <w:tcW w:w="960" w:type="dxa"/>
            <w:noWrap w:val="0"/>
            <w:vAlign w:val="center"/>
          </w:tcPr>
          <w:p>
            <w:pPr>
              <w:jc w:val="center"/>
              <w:rPr>
                <w:rFonts w:hint="eastAsia" w:hAnsi="宋体"/>
                <w:kern w:val="0"/>
                <w:szCs w:val="21"/>
              </w:rPr>
            </w:pPr>
            <w:r>
              <w:rPr>
                <w:rFonts w:hint="eastAsia" w:hAnsi="宋体"/>
                <w:kern w:val="0"/>
                <w:szCs w:val="21"/>
              </w:rPr>
              <w:t>3.33</w:t>
            </w:r>
          </w:p>
        </w:tc>
        <w:tc>
          <w:tcPr>
            <w:tcW w:w="247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hAnsi="宋体"/>
                <w:kern w:val="0"/>
                <w:szCs w:val="21"/>
              </w:rPr>
            </w:pPr>
            <w:r>
              <w:rPr>
                <w:rFonts w:hint="eastAsia" w:hAnsi="宋体"/>
                <w:kern w:val="0"/>
                <w:szCs w:val="21"/>
              </w:rPr>
              <w:t>4</w:t>
            </w:r>
          </w:p>
        </w:tc>
        <w:tc>
          <w:tcPr>
            <w:tcW w:w="1902" w:type="dxa"/>
            <w:noWrap w:val="0"/>
            <w:vAlign w:val="center"/>
          </w:tcPr>
          <w:p>
            <w:pPr>
              <w:jc w:val="center"/>
              <w:rPr>
                <w:rFonts w:hint="eastAsia" w:hAnsi="宋体"/>
                <w:kern w:val="0"/>
                <w:szCs w:val="21"/>
              </w:rPr>
            </w:pPr>
            <w:r>
              <w:rPr>
                <w:rFonts w:hint="eastAsia" w:hAnsi="宋体"/>
                <w:kern w:val="0"/>
                <w:szCs w:val="21"/>
              </w:rPr>
              <w:t>城北泵站（一</w:t>
            </w:r>
            <w:r>
              <w:rPr>
                <w:rFonts w:hint="eastAsia" w:ascii="宋体" w:hAnsi="宋体"/>
                <w:szCs w:val="21"/>
              </w:rPr>
              <w:t>期</w:t>
            </w:r>
            <w:r>
              <w:rPr>
                <w:rFonts w:hint="eastAsia" w:hAnsi="宋体"/>
                <w:kern w:val="0"/>
                <w:szCs w:val="21"/>
              </w:rPr>
              <w:t>）</w:t>
            </w:r>
          </w:p>
        </w:tc>
        <w:tc>
          <w:tcPr>
            <w:tcW w:w="690" w:type="dxa"/>
            <w:noWrap w:val="0"/>
            <w:vAlign w:val="center"/>
          </w:tcPr>
          <w:p>
            <w:pPr>
              <w:jc w:val="center"/>
              <w:rPr>
                <w:rFonts w:hint="eastAsia" w:hAnsi="宋体"/>
                <w:kern w:val="0"/>
                <w:szCs w:val="21"/>
              </w:rPr>
            </w:pPr>
            <w:r>
              <w:rPr>
                <w:rFonts w:hint="eastAsia" w:hAnsi="宋体"/>
                <w:kern w:val="0"/>
                <w:szCs w:val="21"/>
              </w:rPr>
              <w:t>2</w:t>
            </w:r>
          </w:p>
        </w:tc>
        <w:tc>
          <w:tcPr>
            <w:tcW w:w="1065" w:type="dxa"/>
            <w:noWrap w:val="0"/>
            <w:vAlign w:val="center"/>
          </w:tcPr>
          <w:p>
            <w:pPr>
              <w:jc w:val="center"/>
              <w:rPr>
                <w:rFonts w:hint="eastAsia" w:hAnsi="宋体"/>
                <w:kern w:val="0"/>
                <w:szCs w:val="21"/>
              </w:rPr>
            </w:pPr>
            <w:r>
              <w:rPr>
                <w:rFonts w:hint="eastAsia" w:hAnsi="宋体"/>
                <w:kern w:val="0"/>
                <w:szCs w:val="21"/>
              </w:rPr>
              <w:t>800</w:t>
            </w:r>
          </w:p>
        </w:tc>
        <w:tc>
          <w:tcPr>
            <w:tcW w:w="877" w:type="dxa"/>
            <w:noWrap w:val="0"/>
            <w:vAlign w:val="center"/>
          </w:tcPr>
          <w:p>
            <w:pPr>
              <w:jc w:val="center"/>
              <w:rPr>
                <w:rFonts w:hint="eastAsia" w:hAnsi="宋体"/>
                <w:kern w:val="0"/>
                <w:szCs w:val="21"/>
              </w:rPr>
            </w:pPr>
            <w:r>
              <w:rPr>
                <w:rFonts w:hint="eastAsia" w:hAnsi="宋体"/>
                <w:kern w:val="0"/>
                <w:szCs w:val="21"/>
              </w:rPr>
              <w:t>792</w:t>
            </w:r>
          </w:p>
        </w:tc>
        <w:tc>
          <w:tcPr>
            <w:tcW w:w="630" w:type="dxa"/>
            <w:noWrap w:val="0"/>
            <w:vAlign w:val="center"/>
          </w:tcPr>
          <w:p>
            <w:pPr>
              <w:jc w:val="center"/>
              <w:rPr>
                <w:rFonts w:hint="eastAsia" w:hAnsi="宋体"/>
                <w:kern w:val="0"/>
                <w:szCs w:val="21"/>
              </w:rPr>
            </w:pPr>
            <w:r>
              <w:rPr>
                <w:rFonts w:hint="eastAsia" w:hAnsi="宋体"/>
                <w:kern w:val="0"/>
                <w:szCs w:val="21"/>
              </w:rPr>
              <w:t>6</w:t>
            </w:r>
          </w:p>
        </w:tc>
        <w:tc>
          <w:tcPr>
            <w:tcW w:w="960" w:type="dxa"/>
            <w:noWrap w:val="0"/>
            <w:vAlign w:val="center"/>
          </w:tcPr>
          <w:p>
            <w:pPr>
              <w:jc w:val="center"/>
              <w:rPr>
                <w:rFonts w:hint="eastAsia" w:hAnsi="宋体"/>
                <w:kern w:val="0"/>
                <w:szCs w:val="21"/>
              </w:rPr>
            </w:pPr>
            <w:r>
              <w:rPr>
                <w:rFonts w:hAnsi="宋体"/>
                <w:kern w:val="0"/>
                <w:szCs w:val="21"/>
              </w:rPr>
              <w:t>1</w:t>
            </w:r>
          </w:p>
        </w:tc>
        <w:tc>
          <w:tcPr>
            <w:tcW w:w="247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hAnsi="宋体"/>
                <w:kern w:val="0"/>
                <w:szCs w:val="21"/>
              </w:rPr>
            </w:pPr>
            <w:r>
              <w:rPr>
                <w:rFonts w:hint="eastAsia" w:hAnsi="宋体"/>
                <w:kern w:val="0"/>
                <w:szCs w:val="21"/>
              </w:rPr>
              <w:t>5</w:t>
            </w:r>
          </w:p>
        </w:tc>
        <w:tc>
          <w:tcPr>
            <w:tcW w:w="1902" w:type="dxa"/>
            <w:noWrap w:val="0"/>
            <w:vAlign w:val="center"/>
          </w:tcPr>
          <w:p>
            <w:pPr>
              <w:jc w:val="center"/>
              <w:rPr>
                <w:rFonts w:hint="eastAsia" w:hAnsi="宋体"/>
                <w:kern w:val="0"/>
                <w:szCs w:val="21"/>
              </w:rPr>
            </w:pPr>
            <w:r>
              <w:rPr>
                <w:rFonts w:hint="eastAsia" w:hAnsi="宋体"/>
                <w:kern w:val="0"/>
                <w:szCs w:val="21"/>
              </w:rPr>
              <w:t>城北泵站（二</w:t>
            </w:r>
            <w:r>
              <w:rPr>
                <w:rFonts w:hint="eastAsia" w:ascii="宋体" w:hAnsi="宋体"/>
                <w:szCs w:val="21"/>
              </w:rPr>
              <w:t>期</w:t>
            </w:r>
            <w:r>
              <w:rPr>
                <w:rFonts w:hint="eastAsia" w:hAnsi="宋体"/>
                <w:kern w:val="0"/>
                <w:szCs w:val="21"/>
              </w:rPr>
              <w:t>）</w:t>
            </w:r>
          </w:p>
        </w:tc>
        <w:tc>
          <w:tcPr>
            <w:tcW w:w="690" w:type="dxa"/>
            <w:noWrap w:val="0"/>
            <w:vAlign w:val="center"/>
          </w:tcPr>
          <w:p>
            <w:pPr>
              <w:jc w:val="center"/>
              <w:rPr>
                <w:rFonts w:hint="eastAsia" w:hAnsi="宋体"/>
                <w:kern w:val="0"/>
                <w:szCs w:val="21"/>
              </w:rPr>
            </w:pPr>
            <w:r>
              <w:rPr>
                <w:rFonts w:hint="eastAsia" w:hAnsi="宋体"/>
                <w:kern w:val="0"/>
                <w:szCs w:val="21"/>
              </w:rPr>
              <w:t>2</w:t>
            </w:r>
          </w:p>
        </w:tc>
        <w:tc>
          <w:tcPr>
            <w:tcW w:w="1065" w:type="dxa"/>
            <w:noWrap w:val="0"/>
            <w:vAlign w:val="center"/>
          </w:tcPr>
          <w:p>
            <w:pPr>
              <w:jc w:val="center"/>
              <w:rPr>
                <w:rFonts w:hint="eastAsia" w:hAnsi="宋体"/>
                <w:kern w:val="0"/>
                <w:szCs w:val="21"/>
              </w:rPr>
            </w:pPr>
            <w:r>
              <w:rPr>
                <w:rFonts w:hint="eastAsia" w:hAnsi="宋体"/>
                <w:kern w:val="0"/>
                <w:szCs w:val="21"/>
              </w:rPr>
              <w:t>800</w:t>
            </w:r>
          </w:p>
        </w:tc>
        <w:tc>
          <w:tcPr>
            <w:tcW w:w="877" w:type="dxa"/>
            <w:noWrap w:val="0"/>
            <w:vAlign w:val="center"/>
          </w:tcPr>
          <w:p>
            <w:pPr>
              <w:jc w:val="center"/>
              <w:rPr>
                <w:rFonts w:hint="eastAsia" w:hAnsi="宋体"/>
                <w:kern w:val="0"/>
                <w:szCs w:val="21"/>
              </w:rPr>
            </w:pPr>
            <w:r>
              <w:rPr>
                <w:rFonts w:hint="eastAsia" w:hAnsi="宋体"/>
                <w:kern w:val="0"/>
                <w:szCs w:val="21"/>
              </w:rPr>
              <w:t>1100</w:t>
            </w:r>
          </w:p>
        </w:tc>
        <w:tc>
          <w:tcPr>
            <w:tcW w:w="630" w:type="dxa"/>
            <w:noWrap w:val="0"/>
            <w:vAlign w:val="center"/>
          </w:tcPr>
          <w:p>
            <w:pPr>
              <w:jc w:val="center"/>
              <w:rPr>
                <w:rFonts w:hint="eastAsia" w:hAnsi="宋体"/>
                <w:kern w:val="0"/>
                <w:szCs w:val="21"/>
              </w:rPr>
            </w:pPr>
            <w:r>
              <w:rPr>
                <w:rFonts w:hint="eastAsia" w:hAnsi="宋体"/>
                <w:kern w:val="0"/>
                <w:szCs w:val="21"/>
              </w:rPr>
              <w:t>5</w:t>
            </w:r>
          </w:p>
        </w:tc>
        <w:tc>
          <w:tcPr>
            <w:tcW w:w="960" w:type="dxa"/>
            <w:noWrap w:val="0"/>
            <w:vAlign w:val="center"/>
          </w:tcPr>
          <w:p>
            <w:pPr>
              <w:jc w:val="center"/>
              <w:rPr>
                <w:rFonts w:hint="eastAsia" w:hAnsi="宋体"/>
                <w:kern w:val="0"/>
                <w:szCs w:val="21"/>
              </w:rPr>
            </w:pPr>
            <w:r>
              <w:rPr>
                <w:rFonts w:hAnsi="宋体"/>
                <w:kern w:val="0"/>
                <w:szCs w:val="21"/>
              </w:rPr>
              <w:t>2</w:t>
            </w:r>
          </w:p>
        </w:tc>
        <w:tc>
          <w:tcPr>
            <w:tcW w:w="247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noWrap w:val="0"/>
            <w:vAlign w:val="center"/>
          </w:tcPr>
          <w:p>
            <w:pPr>
              <w:jc w:val="center"/>
              <w:rPr>
                <w:rFonts w:hint="eastAsia" w:hAnsi="宋体"/>
                <w:kern w:val="0"/>
                <w:szCs w:val="21"/>
              </w:rPr>
            </w:pPr>
            <w:r>
              <w:rPr>
                <w:rFonts w:hint="eastAsia" w:hAnsi="宋体"/>
                <w:kern w:val="0"/>
                <w:szCs w:val="21"/>
              </w:rPr>
              <w:t>6</w:t>
            </w:r>
          </w:p>
        </w:tc>
        <w:tc>
          <w:tcPr>
            <w:tcW w:w="1902" w:type="dxa"/>
            <w:noWrap w:val="0"/>
            <w:vAlign w:val="center"/>
          </w:tcPr>
          <w:p>
            <w:pPr>
              <w:jc w:val="center"/>
              <w:rPr>
                <w:rFonts w:hint="eastAsia" w:hAnsi="宋体"/>
                <w:kern w:val="0"/>
                <w:szCs w:val="21"/>
              </w:rPr>
            </w:pPr>
            <w:r>
              <w:rPr>
                <w:rFonts w:hint="eastAsia" w:hAnsi="宋体"/>
                <w:kern w:val="0"/>
                <w:szCs w:val="21"/>
              </w:rPr>
              <w:t>城北泵站（三</w:t>
            </w:r>
            <w:r>
              <w:rPr>
                <w:rFonts w:hint="eastAsia" w:ascii="宋体" w:hAnsi="宋体"/>
                <w:szCs w:val="21"/>
              </w:rPr>
              <w:t>期</w:t>
            </w:r>
            <w:r>
              <w:rPr>
                <w:rFonts w:hint="eastAsia" w:hAnsi="宋体"/>
                <w:kern w:val="0"/>
                <w:szCs w:val="21"/>
              </w:rPr>
              <w:t>）</w:t>
            </w:r>
          </w:p>
        </w:tc>
        <w:tc>
          <w:tcPr>
            <w:tcW w:w="690" w:type="dxa"/>
            <w:noWrap w:val="0"/>
            <w:vAlign w:val="center"/>
          </w:tcPr>
          <w:p>
            <w:pPr>
              <w:jc w:val="center"/>
              <w:rPr>
                <w:rFonts w:hint="eastAsia" w:hAnsi="宋体"/>
                <w:kern w:val="0"/>
                <w:szCs w:val="21"/>
              </w:rPr>
            </w:pPr>
            <w:r>
              <w:rPr>
                <w:rFonts w:hint="eastAsia" w:hAnsi="宋体"/>
                <w:kern w:val="0"/>
                <w:szCs w:val="21"/>
              </w:rPr>
              <w:t>2</w:t>
            </w:r>
          </w:p>
        </w:tc>
        <w:tc>
          <w:tcPr>
            <w:tcW w:w="1065" w:type="dxa"/>
            <w:noWrap w:val="0"/>
            <w:vAlign w:val="center"/>
          </w:tcPr>
          <w:p>
            <w:pPr>
              <w:jc w:val="center"/>
              <w:rPr>
                <w:rFonts w:hint="eastAsia" w:hAnsi="宋体"/>
                <w:kern w:val="0"/>
                <w:szCs w:val="21"/>
              </w:rPr>
            </w:pPr>
            <w:r>
              <w:rPr>
                <w:rFonts w:hint="eastAsia" w:hAnsi="宋体"/>
                <w:kern w:val="0"/>
                <w:szCs w:val="21"/>
              </w:rPr>
              <w:t>1250</w:t>
            </w:r>
          </w:p>
        </w:tc>
        <w:tc>
          <w:tcPr>
            <w:tcW w:w="877" w:type="dxa"/>
            <w:noWrap w:val="0"/>
            <w:vAlign w:val="center"/>
          </w:tcPr>
          <w:p>
            <w:pPr>
              <w:jc w:val="center"/>
              <w:rPr>
                <w:rFonts w:hint="eastAsia" w:hAnsi="宋体"/>
                <w:kern w:val="0"/>
                <w:szCs w:val="21"/>
              </w:rPr>
            </w:pPr>
            <w:r>
              <w:rPr>
                <w:rFonts w:hint="eastAsia" w:hAnsi="宋体"/>
                <w:kern w:val="0"/>
                <w:szCs w:val="21"/>
              </w:rPr>
              <w:t>2700</w:t>
            </w:r>
          </w:p>
        </w:tc>
        <w:tc>
          <w:tcPr>
            <w:tcW w:w="630" w:type="dxa"/>
            <w:noWrap w:val="0"/>
            <w:vAlign w:val="center"/>
          </w:tcPr>
          <w:p>
            <w:pPr>
              <w:jc w:val="center"/>
              <w:rPr>
                <w:rFonts w:hint="eastAsia" w:hAnsi="宋体"/>
                <w:kern w:val="0"/>
                <w:szCs w:val="21"/>
              </w:rPr>
            </w:pPr>
            <w:r>
              <w:rPr>
                <w:rFonts w:hint="eastAsia" w:hAnsi="宋体"/>
                <w:kern w:val="0"/>
                <w:szCs w:val="21"/>
              </w:rPr>
              <w:t>6</w:t>
            </w:r>
          </w:p>
        </w:tc>
        <w:tc>
          <w:tcPr>
            <w:tcW w:w="960" w:type="dxa"/>
            <w:noWrap w:val="0"/>
            <w:vAlign w:val="center"/>
          </w:tcPr>
          <w:p>
            <w:pPr>
              <w:jc w:val="center"/>
              <w:rPr>
                <w:rFonts w:hint="eastAsia" w:hAnsi="宋体"/>
                <w:kern w:val="0"/>
                <w:szCs w:val="21"/>
              </w:rPr>
            </w:pPr>
            <w:r>
              <w:rPr>
                <w:rFonts w:hint="eastAsia" w:hAnsi="宋体"/>
                <w:kern w:val="0"/>
                <w:szCs w:val="21"/>
              </w:rPr>
              <w:t>3.67</w:t>
            </w:r>
          </w:p>
        </w:tc>
        <w:tc>
          <w:tcPr>
            <w:tcW w:w="247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52" w:type="dxa"/>
            <w:noWrap w:val="0"/>
            <w:vAlign w:val="center"/>
          </w:tcPr>
          <w:p>
            <w:pPr>
              <w:jc w:val="center"/>
              <w:rPr>
                <w:rFonts w:hint="eastAsia" w:hAnsi="宋体"/>
                <w:kern w:val="0"/>
                <w:szCs w:val="21"/>
              </w:rPr>
            </w:pPr>
            <w:r>
              <w:rPr>
                <w:rFonts w:hAnsi="宋体"/>
                <w:kern w:val="0"/>
                <w:szCs w:val="21"/>
              </w:rPr>
              <w:t>7</w:t>
            </w:r>
          </w:p>
        </w:tc>
        <w:tc>
          <w:tcPr>
            <w:tcW w:w="1902" w:type="dxa"/>
            <w:noWrap w:val="0"/>
            <w:vAlign w:val="center"/>
          </w:tcPr>
          <w:p>
            <w:pPr>
              <w:jc w:val="center"/>
              <w:rPr>
                <w:rFonts w:hint="eastAsia" w:hAnsi="宋体"/>
                <w:kern w:val="0"/>
                <w:szCs w:val="21"/>
              </w:rPr>
            </w:pPr>
            <w:r>
              <w:rPr>
                <w:rFonts w:hint="eastAsia" w:hAnsi="宋体"/>
                <w:kern w:val="0"/>
                <w:szCs w:val="21"/>
              </w:rPr>
              <w:t>孙家头泵站</w:t>
            </w:r>
          </w:p>
        </w:tc>
        <w:tc>
          <w:tcPr>
            <w:tcW w:w="690" w:type="dxa"/>
            <w:noWrap w:val="0"/>
            <w:vAlign w:val="center"/>
          </w:tcPr>
          <w:p>
            <w:pPr>
              <w:jc w:val="center"/>
              <w:rPr>
                <w:rFonts w:hint="eastAsia" w:hAnsi="宋体"/>
                <w:kern w:val="0"/>
                <w:szCs w:val="21"/>
              </w:rPr>
            </w:pPr>
            <w:r>
              <w:rPr>
                <w:rFonts w:hint="eastAsia" w:hAnsi="宋体"/>
                <w:kern w:val="0"/>
                <w:szCs w:val="21"/>
              </w:rPr>
              <w:t>2</w:t>
            </w:r>
          </w:p>
        </w:tc>
        <w:tc>
          <w:tcPr>
            <w:tcW w:w="1065" w:type="dxa"/>
            <w:noWrap w:val="0"/>
            <w:vAlign w:val="center"/>
          </w:tcPr>
          <w:p>
            <w:pPr>
              <w:jc w:val="center"/>
              <w:rPr>
                <w:rFonts w:hint="eastAsia" w:hAnsi="宋体"/>
                <w:kern w:val="0"/>
                <w:szCs w:val="21"/>
              </w:rPr>
            </w:pPr>
            <w:r>
              <w:rPr>
                <w:rFonts w:hint="eastAsia" w:hAnsi="宋体"/>
                <w:kern w:val="0"/>
                <w:szCs w:val="21"/>
              </w:rPr>
              <w:t>2000</w:t>
            </w:r>
          </w:p>
        </w:tc>
        <w:tc>
          <w:tcPr>
            <w:tcW w:w="877" w:type="dxa"/>
            <w:noWrap w:val="0"/>
            <w:vAlign w:val="center"/>
          </w:tcPr>
          <w:p>
            <w:pPr>
              <w:jc w:val="center"/>
              <w:rPr>
                <w:rFonts w:hint="eastAsia" w:hAnsi="宋体"/>
                <w:kern w:val="0"/>
                <w:szCs w:val="21"/>
              </w:rPr>
            </w:pPr>
            <w:r>
              <w:rPr>
                <w:rFonts w:hint="eastAsia" w:hAnsi="宋体"/>
                <w:kern w:val="0"/>
                <w:szCs w:val="21"/>
              </w:rPr>
              <w:t>1680</w:t>
            </w:r>
          </w:p>
        </w:tc>
        <w:tc>
          <w:tcPr>
            <w:tcW w:w="630" w:type="dxa"/>
            <w:noWrap w:val="0"/>
            <w:vAlign w:val="center"/>
          </w:tcPr>
          <w:p>
            <w:pPr>
              <w:jc w:val="center"/>
              <w:rPr>
                <w:rFonts w:hint="eastAsia" w:hAnsi="宋体"/>
                <w:kern w:val="0"/>
                <w:szCs w:val="21"/>
              </w:rPr>
            </w:pPr>
            <w:r>
              <w:rPr>
                <w:rFonts w:hint="eastAsia" w:hAnsi="宋体"/>
                <w:kern w:val="0"/>
                <w:szCs w:val="21"/>
              </w:rPr>
              <w:t>6</w:t>
            </w:r>
          </w:p>
        </w:tc>
        <w:tc>
          <w:tcPr>
            <w:tcW w:w="960" w:type="dxa"/>
            <w:noWrap w:val="0"/>
            <w:vAlign w:val="center"/>
          </w:tcPr>
          <w:p>
            <w:pPr>
              <w:jc w:val="center"/>
              <w:rPr>
                <w:rFonts w:hint="eastAsia" w:hAnsi="宋体"/>
                <w:kern w:val="0"/>
                <w:szCs w:val="21"/>
              </w:rPr>
            </w:pPr>
            <w:r>
              <w:rPr>
                <w:rFonts w:hint="eastAsia" w:hAnsi="宋体"/>
                <w:kern w:val="0"/>
                <w:szCs w:val="21"/>
              </w:rPr>
              <w:t>3.33</w:t>
            </w:r>
          </w:p>
        </w:tc>
        <w:tc>
          <w:tcPr>
            <w:tcW w:w="2475" w:type="dxa"/>
            <w:vMerge w:val="continue"/>
            <w:noWrap w:val="0"/>
            <w:vAlign w:val="center"/>
          </w:tcPr>
          <w:p>
            <w:pPr>
              <w:jc w:val="center"/>
              <w:rPr>
                <w:rFonts w:hint="eastAsia"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2" w:type="dxa"/>
            <w:noWrap w:val="0"/>
            <w:vAlign w:val="center"/>
          </w:tcPr>
          <w:p>
            <w:pPr>
              <w:jc w:val="center"/>
              <w:rPr>
                <w:rFonts w:hint="eastAsia" w:hAnsi="宋体" w:eastAsia="宋体"/>
                <w:kern w:val="0"/>
                <w:szCs w:val="21"/>
                <w:lang w:val="en-US" w:eastAsia="zh-CN"/>
              </w:rPr>
            </w:pPr>
            <w:r>
              <w:rPr>
                <w:rFonts w:hint="eastAsia" w:hAnsi="宋体"/>
                <w:kern w:val="0"/>
                <w:szCs w:val="21"/>
                <w:lang w:val="en-US" w:eastAsia="zh-CN"/>
              </w:rPr>
              <w:t>8</w:t>
            </w:r>
          </w:p>
        </w:tc>
        <w:tc>
          <w:tcPr>
            <w:tcW w:w="1902" w:type="dxa"/>
            <w:noWrap w:val="0"/>
            <w:vAlign w:val="center"/>
          </w:tcPr>
          <w:p>
            <w:pPr>
              <w:jc w:val="center"/>
              <w:rPr>
                <w:rFonts w:hint="eastAsia" w:hAnsi="宋体"/>
                <w:kern w:val="0"/>
                <w:szCs w:val="21"/>
              </w:rPr>
            </w:pPr>
            <w:r>
              <w:rPr>
                <w:rFonts w:hint="eastAsia" w:hAnsi="宋体"/>
                <w:kern w:val="0"/>
                <w:szCs w:val="21"/>
                <w:highlight w:val="none"/>
                <w:lang w:eastAsia="zh-CN"/>
              </w:rPr>
              <w:t>外港河溢流坝</w:t>
            </w:r>
          </w:p>
        </w:tc>
        <w:tc>
          <w:tcPr>
            <w:tcW w:w="690" w:type="dxa"/>
            <w:noWrap w:val="0"/>
            <w:vAlign w:val="center"/>
          </w:tcPr>
          <w:p>
            <w:pPr>
              <w:jc w:val="center"/>
              <w:rPr>
                <w:rFonts w:hint="eastAsia" w:hAnsi="宋体"/>
                <w:kern w:val="0"/>
                <w:szCs w:val="21"/>
              </w:rPr>
            </w:pPr>
          </w:p>
        </w:tc>
        <w:tc>
          <w:tcPr>
            <w:tcW w:w="1065" w:type="dxa"/>
            <w:noWrap w:val="0"/>
            <w:vAlign w:val="center"/>
          </w:tcPr>
          <w:p>
            <w:pPr>
              <w:jc w:val="center"/>
              <w:rPr>
                <w:rFonts w:hint="eastAsia" w:hAnsi="宋体"/>
                <w:kern w:val="0"/>
                <w:szCs w:val="21"/>
              </w:rPr>
            </w:pPr>
          </w:p>
        </w:tc>
        <w:tc>
          <w:tcPr>
            <w:tcW w:w="877" w:type="dxa"/>
            <w:noWrap w:val="0"/>
            <w:vAlign w:val="center"/>
          </w:tcPr>
          <w:p>
            <w:pPr>
              <w:jc w:val="center"/>
              <w:rPr>
                <w:rFonts w:hint="eastAsia" w:hAnsi="宋体"/>
                <w:kern w:val="0"/>
                <w:szCs w:val="21"/>
              </w:rPr>
            </w:pPr>
          </w:p>
        </w:tc>
        <w:tc>
          <w:tcPr>
            <w:tcW w:w="630" w:type="dxa"/>
            <w:noWrap w:val="0"/>
            <w:vAlign w:val="center"/>
          </w:tcPr>
          <w:p>
            <w:pPr>
              <w:jc w:val="center"/>
              <w:rPr>
                <w:rFonts w:hint="eastAsia" w:hAnsi="宋体"/>
                <w:kern w:val="0"/>
                <w:szCs w:val="21"/>
              </w:rPr>
            </w:pPr>
          </w:p>
        </w:tc>
        <w:tc>
          <w:tcPr>
            <w:tcW w:w="960" w:type="dxa"/>
            <w:noWrap w:val="0"/>
            <w:vAlign w:val="center"/>
          </w:tcPr>
          <w:p>
            <w:pPr>
              <w:jc w:val="center"/>
              <w:rPr>
                <w:rFonts w:hint="eastAsia" w:hAnsi="宋体"/>
                <w:kern w:val="0"/>
                <w:szCs w:val="21"/>
              </w:rPr>
            </w:pPr>
          </w:p>
        </w:tc>
        <w:tc>
          <w:tcPr>
            <w:tcW w:w="2475" w:type="dxa"/>
            <w:vMerge w:val="continue"/>
            <w:noWrap w:val="0"/>
            <w:vAlign w:val="center"/>
          </w:tcPr>
          <w:p>
            <w:pPr>
              <w:jc w:val="center"/>
              <w:rPr>
                <w:rFonts w:hint="eastAsia" w:hAnsi="宋体"/>
                <w:kern w:val="0"/>
                <w:szCs w:val="21"/>
              </w:rPr>
            </w:pPr>
          </w:p>
        </w:tc>
      </w:tr>
    </w:tbl>
    <w:p>
      <w:pPr>
        <w:jc w:val="left"/>
        <w:rPr>
          <w:rFonts w:hint="eastAsia" w:hAnsi="宋体"/>
          <w:kern w:val="0"/>
          <w:szCs w:val="21"/>
        </w:rPr>
      </w:pPr>
    </w:p>
    <w:p>
      <w:pPr>
        <w:jc w:val="left"/>
        <w:rPr>
          <w:rFonts w:hint="eastAsia" w:hAnsi="宋体"/>
          <w:kern w:val="0"/>
          <w:szCs w:val="21"/>
        </w:rPr>
      </w:pPr>
      <w:bookmarkStart w:id="59" w:name="_Toc401304076"/>
      <w:bookmarkStart w:id="60" w:name="_Toc513644724"/>
      <w:bookmarkStart w:id="61" w:name="_Toc414548267"/>
      <w:r>
        <w:rPr>
          <w:rFonts w:hint="eastAsia" w:hAnsi="宋体"/>
          <w:kern w:val="0"/>
          <w:szCs w:val="21"/>
        </w:rPr>
        <w:t>3、河道溢流坝概况</w:t>
      </w:r>
    </w:p>
    <w:p>
      <w:pPr>
        <w:tabs>
          <w:tab w:val="center" w:pos="4567"/>
        </w:tabs>
        <w:autoSpaceDE w:val="0"/>
        <w:autoSpaceDN w:val="0"/>
        <w:adjustRightInd w:val="0"/>
        <w:snapToGrid w:val="0"/>
        <w:spacing w:line="360" w:lineRule="auto"/>
        <w:outlineLvl w:val="1"/>
        <w:rPr>
          <w:rFonts w:hint="eastAsia" w:ascii="黑体" w:hAnsi="宋体" w:eastAsia="黑体"/>
          <w:b/>
          <w:sz w:val="28"/>
          <w:szCs w:val="32"/>
        </w:rPr>
      </w:pPr>
      <w:r>
        <w:rPr>
          <w:rFonts w:hint="eastAsia" w:hAnsi="宋体"/>
          <w:kern w:val="0"/>
          <w:szCs w:val="21"/>
        </w:rPr>
        <w:t>3.1外港河：钢坝闸</w:t>
      </w:r>
      <w:r>
        <w:rPr>
          <w:rFonts w:hint="eastAsia" w:hAnsi="宋体"/>
          <w:kern w:val="0"/>
          <w:szCs w:val="21"/>
          <w:lang w:val="en-US" w:eastAsia="zh-CN"/>
        </w:rPr>
        <w:t>3</w:t>
      </w:r>
      <w:r>
        <w:rPr>
          <w:rFonts w:hint="eastAsia" w:hAnsi="宋体"/>
          <w:kern w:val="0"/>
          <w:szCs w:val="21"/>
        </w:rPr>
        <w:t>个，换水泵2台，配电室1间。</w:t>
      </w:r>
    </w:p>
    <w:p>
      <w:pPr>
        <w:tabs>
          <w:tab w:val="center" w:pos="4567"/>
        </w:tabs>
        <w:autoSpaceDE w:val="0"/>
        <w:autoSpaceDN w:val="0"/>
        <w:adjustRightInd w:val="0"/>
        <w:snapToGrid w:val="0"/>
        <w:spacing w:line="360" w:lineRule="auto"/>
        <w:outlineLvl w:val="1"/>
        <w:rPr>
          <w:rFonts w:hint="eastAsia" w:ascii="黑体" w:hAnsi="宋体" w:eastAsia="黑体"/>
          <w:b/>
          <w:sz w:val="28"/>
          <w:szCs w:val="32"/>
        </w:rPr>
      </w:pPr>
      <w:r>
        <w:rPr>
          <w:rFonts w:hint="eastAsia" w:ascii="黑体" w:hAnsi="宋体" w:eastAsia="黑体"/>
          <w:b/>
          <w:sz w:val="28"/>
          <w:szCs w:val="32"/>
        </w:rPr>
        <w:t>二、主要工作内容</w:t>
      </w:r>
      <w:bookmarkEnd w:id="59"/>
      <w:bookmarkEnd w:id="60"/>
      <w:bookmarkEnd w:id="61"/>
    </w:p>
    <w:p>
      <w:pPr>
        <w:autoSpaceDE w:val="0"/>
        <w:autoSpaceDN w:val="0"/>
        <w:adjustRightInd w:val="0"/>
        <w:snapToGrid w:val="0"/>
        <w:ind w:firstLine="462" w:firstLineChars="200"/>
        <w:jc w:val="left"/>
        <w:rPr>
          <w:rFonts w:hint="eastAsia" w:ascii="宋体" w:cs="宋体"/>
          <w:b/>
          <w:kern w:val="0"/>
          <w:sz w:val="23"/>
          <w:szCs w:val="23"/>
        </w:rPr>
      </w:pPr>
      <w:r>
        <w:rPr>
          <w:rFonts w:hint="eastAsia" w:ascii="宋体" w:cs="宋体"/>
          <w:b/>
          <w:kern w:val="0"/>
          <w:sz w:val="23"/>
          <w:szCs w:val="23"/>
        </w:rPr>
        <w:t>（一）每个标段均分为日常养护和专项维修</w:t>
      </w:r>
    </w:p>
    <w:p>
      <w:pPr>
        <w:ind w:firstLine="420" w:firstLineChars="200"/>
        <w:rPr>
          <w:rFonts w:hint="eastAsia" w:ascii="宋体" w:hAnsi="宋体"/>
          <w:szCs w:val="21"/>
          <w:lang w:val="zh-CN"/>
        </w:rPr>
      </w:pPr>
      <w:r>
        <w:rPr>
          <w:rFonts w:hint="eastAsia" w:ascii="宋体" w:hAnsi="宋体"/>
          <w:szCs w:val="21"/>
          <w:lang w:val="zh-CN"/>
        </w:rPr>
        <w:t>A 日常养护：区域内</w:t>
      </w:r>
      <w:r>
        <w:rPr>
          <w:rFonts w:hint="eastAsia" w:ascii="宋体" w:hAnsi="宋体"/>
          <w:szCs w:val="21"/>
        </w:rPr>
        <w:t>主要设施：高低压配电设备、水泵、控制系统设备</w:t>
      </w:r>
      <w:r>
        <w:rPr>
          <w:rFonts w:hint="eastAsia" w:ascii="宋体" w:hAnsi="宋体"/>
          <w:szCs w:val="21"/>
          <w:lang w:val="zh-CN"/>
        </w:rPr>
        <w:t>等；</w:t>
      </w:r>
      <w:r>
        <w:rPr>
          <w:rFonts w:hint="eastAsia" w:ascii="宋体" w:hAnsi="宋体"/>
          <w:szCs w:val="21"/>
        </w:rPr>
        <w:t>附属设施：蝶阀、止回阀、输送带、捞脏机、栏污栅、格栅、行车等；泵站院落内配套设施：绿化、房屋、路灯、室外景观灯、室内照明、自来水、空调、卷帘门、电动伸缩大门、垃圾打捞清运工具等</w:t>
      </w:r>
      <w:r>
        <w:rPr>
          <w:rFonts w:hint="eastAsia" w:ascii="宋体" w:hAnsi="宋体"/>
          <w:szCs w:val="21"/>
          <w:lang w:val="zh-CN"/>
        </w:rPr>
        <w:t>设施的巡查、日常养护及汛期应急抢修服务。</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079"/>
        <w:gridCol w:w="2965"/>
        <w:gridCol w:w="4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546" w:type="dxa"/>
            <w:noWrap w:val="0"/>
            <w:vAlign w:val="center"/>
          </w:tcPr>
          <w:p>
            <w:pPr>
              <w:tabs>
                <w:tab w:val="left" w:pos="105"/>
              </w:tabs>
              <w:ind w:firstLine="159" w:firstLineChars="76"/>
              <w:jc w:val="center"/>
              <w:rPr>
                <w:rFonts w:ascii="宋体" w:hAnsi="宋体"/>
                <w:bCs/>
                <w:szCs w:val="21"/>
              </w:rPr>
            </w:pPr>
            <w:r>
              <w:rPr>
                <w:rFonts w:hint="eastAsia" w:ascii="宋体" w:hAnsi="宋体"/>
                <w:bCs/>
                <w:szCs w:val="21"/>
              </w:rPr>
              <w:t>一</w:t>
            </w:r>
          </w:p>
        </w:tc>
        <w:tc>
          <w:tcPr>
            <w:tcW w:w="1079" w:type="dxa"/>
            <w:noWrap w:val="0"/>
            <w:vAlign w:val="center"/>
          </w:tcPr>
          <w:p>
            <w:pPr>
              <w:tabs>
                <w:tab w:val="left" w:pos="105"/>
              </w:tabs>
              <w:jc w:val="center"/>
              <w:rPr>
                <w:rFonts w:hint="eastAsia" w:ascii="宋体" w:hAnsi="宋体"/>
                <w:bCs/>
                <w:szCs w:val="21"/>
              </w:rPr>
            </w:pPr>
            <w:r>
              <w:rPr>
                <w:rFonts w:hint="eastAsia" w:ascii="宋体" w:hAnsi="宋体"/>
                <w:bCs/>
                <w:szCs w:val="21"/>
              </w:rPr>
              <w:t>高低压配电系统</w:t>
            </w:r>
          </w:p>
        </w:tc>
        <w:tc>
          <w:tcPr>
            <w:tcW w:w="7337" w:type="dxa"/>
            <w:gridSpan w:val="2"/>
            <w:noWrap w:val="0"/>
            <w:vAlign w:val="center"/>
          </w:tcPr>
          <w:p>
            <w:pPr>
              <w:numPr>
                <w:ilvl w:val="0"/>
                <w:numId w:val="10"/>
              </w:numPr>
              <w:tabs>
                <w:tab w:val="left" w:pos="105"/>
                <w:tab w:val="clear" w:pos="312"/>
              </w:tabs>
              <w:rPr>
                <w:rFonts w:hint="eastAsia" w:ascii="宋体" w:hAnsi="宋体"/>
                <w:szCs w:val="21"/>
              </w:rPr>
            </w:pPr>
            <w:r>
              <w:rPr>
                <w:rFonts w:hint="eastAsia" w:ascii="宋体" w:hAnsi="宋体"/>
                <w:szCs w:val="21"/>
              </w:rPr>
              <w:t>输配电力系统，按照行业规定的要求进行检测、检查、实验等相关工作，从环网柜高压进线线缆至变压器所有配电设备，1年1次（汛期前），</w:t>
            </w:r>
            <w:r>
              <w:rPr>
                <w:rFonts w:hint="eastAsia" w:ascii="宋体" w:hAnsi="宋体"/>
                <w:b/>
                <w:bCs/>
                <w:szCs w:val="21"/>
              </w:rPr>
              <w:t>并且提供有电力检查资质单位的检测报告。</w:t>
            </w:r>
          </w:p>
          <w:p>
            <w:pPr>
              <w:numPr>
                <w:ilvl w:val="0"/>
                <w:numId w:val="10"/>
              </w:numPr>
              <w:tabs>
                <w:tab w:val="left" w:pos="105"/>
                <w:tab w:val="clear" w:pos="312"/>
              </w:tabs>
              <w:rPr>
                <w:rFonts w:ascii="宋体" w:hAnsi="宋体"/>
                <w:bCs/>
                <w:szCs w:val="21"/>
              </w:rPr>
            </w:pPr>
            <w:r>
              <w:rPr>
                <w:rFonts w:hint="eastAsia" w:ascii="宋体" w:hAnsi="宋体"/>
                <w:szCs w:val="21"/>
              </w:rPr>
              <w:t>变压器至各设备控制柜所有低压配电设备及线缆，定期检查维修1月1次及不定期检查维修，</w:t>
            </w:r>
            <w:r>
              <w:rPr>
                <w:rFonts w:hint="eastAsia" w:ascii="宋体" w:hAnsi="宋体"/>
                <w:b/>
                <w:bCs/>
                <w:szCs w:val="21"/>
              </w:rPr>
              <w:t>并且提供检查维修台账</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 w:hRule="atLeast"/>
          <w:jc w:val="center"/>
        </w:trPr>
        <w:tc>
          <w:tcPr>
            <w:tcW w:w="546" w:type="dxa"/>
            <w:noWrap w:val="0"/>
            <w:vAlign w:val="center"/>
          </w:tcPr>
          <w:p>
            <w:pPr>
              <w:tabs>
                <w:tab w:val="left" w:pos="105"/>
              </w:tabs>
              <w:ind w:firstLine="159" w:firstLineChars="76"/>
              <w:jc w:val="center"/>
              <w:rPr>
                <w:rFonts w:ascii="宋体" w:hAnsi="宋体"/>
                <w:szCs w:val="21"/>
              </w:rPr>
            </w:pPr>
            <w:r>
              <w:rPr>
                <w:rFonts w:hint="eastAsia" w:ascii="宋体" w:hAnsi="宋体"/>
                <w:bCs/>
                <w:szCs w:val="21"/>
              </w:rPr>
              <w:t>二</w:t>
            </w:r>
          </w:p>
        </w:tc>
        <w:tc>
          <w:tcPr>
            <w:tcW w:w="1079" w:type="dxa"/>
            <w:noWrap w:val="0"/>
            <w:vAlign w:val="center"/>
          </w:tcPr>
          <w:p>
            <w:pPr>
              <w:tabs>
                <w:tab w:val="left" w:pos="105"/>
              </w:tabs>
              <w:jc w:val="center"/>
              <w:rPr>
                <w:rFonts w:hint="eastAsia" w:ascii="宋体" w:hAnsi="宋体"/>
                <w:bCs/>
                <w:szCs w:val="21"/>
              </w:rPr>
            </w:pPr>
            <w:r>
              <w:rPr>
                <w:rFonts w:hint="eastAsia" w:ascii="宋体" w:hAnsi="宋体"/>
                <w:bCs/>
                <w:szCs w:val="21"/>
              </w:rPr>
              <w:t>水泵</w:t>
            </w:r>
          </w:p>
        </w:tc>
        <w:tc>
          <w:tcPr>
            <w:tcW w:w="7337" w:type="dxa"/>
            <w:gridSpan w:val="2"/>
            <w:noWrap w:val="0"/>
            <w:vAlign w:val="center"/>
          </w:tcPr>
          <w:p>
            <w:pPr>
              <w:tabs>
                <w:tab w:val="left" w:pos="105"/>
              </w:tabs>
              <w:rPr>
                <w:rFonts w:ascii="宋体" w:hAnsi="宋体"/>
                <w:bCs/>
                <w:szCs w:val="21"/>
              </w:rPr>
            </w:pPr>
            <w:r>
              <w:rPr>
                <w:rFonts w:hint="eastAsia" w:ascii="宋体" w:hAnsi="宋体"/>
                <w:szCs w:val="21"/>
              </w:rPr>
              <w:t>水泵设备（包括水泵、控制柜内各种设备、线缆）1年2次（汛前、汛后）常规性的定期检测、检查、保养工作，</w:t>
            </w:r>
            <w:r>
              <w:rPr>
                <w:rFonts w:hint="eastAsia" w:ascii="宋体" w:hAnsi="宋体"/>
                <w:b/>
                <w:bCs/>
                <w:szCs w:val="21"/>
              </w:rPr>
              <w:t>并且提供检测报告、检查维修台账</w:t>
            </w:r>
            <w:r>
              <w:rPr>
                <w:rFonts w:hint="eastAsia" w:ascii="宋体" w:hAnsi="宋体"/>
                <w:szCs w:val="21"/>
              </w:rPr>
              <w:t>。确保设备100%完好。对设备在运行过程中出现的故障应判断准确、排除及时、处理不留后患。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546" w:type="dxa"/>
            <w:noWrap w:val="0"/>
            <w:vAlign w:val="center"/>
          </w:tcPr>
          <w:p>
            <w:pPr>
              <w:tabs>
                <w:tab w:val="left" w:pos="105"/>
              </w:tabs>
              <w:ind w:firstLine="159" w:firstLineChars="76"/>
              <w:jc w:val="center"/>
              <w:rPr>
                <w:rFonts w:ascii="宋体" w:hAnsi="宋体"/>
                <w:bCs/>
                <w:szCs w:val="21"/>
              </w:rPr>
            </w:pPr>
            <w:r>
              <w:rPr>
                <w:rFonts w:hint="eastAsia" w:ascii="宋体" w:hAnsi="宋体"/>
                <w:bCs/>
                <w:szCs w:val="21"/>
              </w:rPr>
              <w:t>三</w:t>
            </w:r>
          </w:p>
        </w:tc>
        <w:tc>
          <w:tcPr>
            <w:tcW w:w="1079" w:type="dxa"/>
            <w:noWrap w:val="0"/>
            <w:vAlign w:val="center"/>
          </w:tcPr>
          <w:p>
            <w:pPr>
              <w:tabs>
                <w:tab w:val="left" w:pos="105"/>
              </w:tabs>
              <w:jc w:val="center"/>
              <w:rPr>
                <w:rFonts w:ascii="宋体" w:hAnsi="宋体"/>
                <w:bCs/>
                <w:szCs w:val="21"/>
              </w:rPr>
            </w:pPr>
            <w:r>
              <w:rPr>
                <w:rFonts w:hint="eastAsia" w:ascii="宋体" w:hAnsi="宋体"/>
                <w:szCs w:val="21"/>
              </w:rPr>
              <w:t>附属设施</w:t>
            </w:r>
          </w:p>
        </w:tc>
        <w:tc>
          <w:tcPr>
            <w:tcW w:w="7337" w:type="dxa"/>
            <w:gridSpan w:val="2"/>
            <w:noWrap w:val="0"/>
            <w:vAlign w:val="center"/>
          </w:tcPr>
          <w:p>
            <w:pPr>
              <w:rPr>
                <w:rFonts w:ascii="宋体" w:hAnsi="宋体"/>
                <w:bCs/>
                <w:szCs w:val="21"/>
              </w:rPr>
            </w:pPr>
            <w:r>
              <w:rPr>
                <w:rFonts w:hint="eastAsia" w:ascii="宋体" w:hAnsi="宋体"/>
                <w:szCs w:val="21"/>
              </w:rPr>
              <w:t>附属设施：蝶阀、止回阀、输送带、捞脏机、栏污栅、格栅、行车等，在使用过程中出现故障及时修复，每年不少于2次保养工作。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546" w:type="dxa"/>
            <w:noWrap w:val="0"/>
            <w:vAlign w:val="center"/>
          </w:tcPr>
          <w:p>
            <w:pPr>
              <w:tabs>
                <w:tab w:val="left" w:pos="105"/>
              </w:tabs>
              <w:snapToGrid w:val="0"/>
              <w:spacing w:line="300" w:lineRule="auto"/>
              <w:ind w:firstLine="105" w:firstLineChars="50"/>
              <w:jc w:val="center"/>
              <w:rPr>
                <w:rFonts w:hint="eastAsia"/>
                <w:bCs/>
                <w:szCs w:val="21"/>
              </w:rPr>
            </w:pPr>
            <w:r>
              <w:rPr>
                <w:rFonts w:hint="eastAsia"/>
                <w:bCs/>
                <w:szCs w:val="21"/>
              </w:rPr>
              <w:t>四</w:t>
            </w:r>
          </w:p>
        </w:tc>
        <w:tc>
          <w:tcPr>
            <w:tcW w:w="1079" w:type="dxa"/>
            <w:noWrap w:val="0"/>
            <w:vAlign w:val="center"/>
          </w:tcPr>
          <w:p>
            <w:pPr>
              <w:tabs>
                <w:tab w:val="left" w:pos="105"/>
              </w:tabs>
              <w:snapToGrid w:val="0"/>
              <w:spacing w:line="300" w:lineRule="auto"/>
              <w:jc w:val="center"/>
              <w:rPr>
                <w:rFonts w:hint="eastAsia"/>
                <w:bCs/>
                <w:szCs w:val="21"/>
              </w:rPr>
            </w:pPr>
            <w:r>
              <w:rPr>
                <w:rFonts w:hint="eastAsia" w:ascii="宋体" w:hAnsi="宋体"/>
                <w:szCs w:val="21"/>
              </w:rPr>
              <w:t>泵站院落内配套设施</w:t>
            </w:r>
          </w:p>
        </w:tc>
        <w:tc>
          <w:tcPr>
            <w:tcW w:w="7337" w:type="dxa"/>
            <w:gridSpan w:val="2"/>
            <w:noWrap w:val="0"/>
            <w:vAlign w:val="center"/>
          </w:tcPr>
          <w:p>
            <w:pPr>
              <w:tabs>
                <w:tab w:val="left" w:pos="105"/>
              </w:tabs>
              <w:rPr>
                <w:rFonts w:hint="eastAsia" w:ascii="宋体" w:hAnsi="宋体"/>
                <w:szCs w:val="21"/>
              </w:rPr>
            </w:pPr>
            <w:r>
              <w:rPr>
                <w:rFonts w:hint="eastAsia" w:hAnsi="宋体"/>
                <w:kern w:val="0"/>
                <w:szCs w:val="21"/>
              </w:rPr>
              <w:t>道路、排水、挡墙、护栏、出水口、</w:t>
            </w:r>
            <w:r>
              <w:rPr>
                <w:rFonts w:hint="eastAsia" w:ascii="宋体" w:hAnsi="宋体"/>
                <w:szCs w:val="21"/>
              </w:rPr>
              <w:t>绿化、房屋、路灯、室外景观灯、室内照明、自来水、空调、卷帘门、电动伸缩大门、垃圾打捞清运工具等配套附属</w:t>
            </w:r>
            <w:r>
              <w:rPr>
                <w:rFonts w:hint="eastAsia" w:ascii="宋体" w:hAnsi="宋体"/>
                <w:szCs w:val="21"/>
                <w:lang w:val="zh-CN"/>
              </w:rPr>
              <w:t>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546" w:type="dxa"/>
            <w:noWrap w:val="0"/>
            <w:vAlign w:val="center"/>
          </w:tcPr>
          <w:p>
            <w:pPr>
              <w:tabs>
                <w:tab w:val="left" w:pos="105"/>
              </w:tabs>
              <w:snapToGrid w:val="0"/>
              <w:spacing w:line="300" w:lineRule="auto"/>
              <w:ind w:firstLine="105" w:firstLineChars="50"/>
              <w:jc w:val="center"/>
              <w:rPr>
                <w:rFonts w:hint="eastAsia" w:eastAsia="宋体"/>
                <w:bCs/>
                <w:szCs w:val="21"/>
                <w:lang w:eastAsia="zh-CN"/>
              </w:rPr>
            </w:pPr>
            <w:r>
              <w:rPr>
                <w:rFonts w:hint="eastAsia" w:ascii="宋体" w:hAnsi="宋体"/>
                <w:bCs/>
                <w:szCs w:val="21"/>
                <w:lang w:eastAsia="zh-CN"/>
              </w:rPr>
              <w:t>五</w:t>
            </w:r>
          </w:p>
        </w:tc>
        <w:tc>
          <w:tcPr>
            <w:tcW w:w="1079" w:type="dxa"/>
            <w:noWrap w:val="0"/>
            <w:vAlign w:val="center"/>
          </w:tcPr>
          <w:p>
            <w:pPr>
              <w:tabs>
                <w:tab w:val="left" w:pos="105"/>
              </w:tabs>
              <w:snapToGrid w:val="0"/>
              <w:spacing w:line="300" w:lineRule="auto"/>
              <w:jc w:val="center"/>
              <w:rPr>
                <w:rFonts w:hint="eastAsia" w:ascii="宋体" w:hAnsi="宋体"/>
                <w:szCs w:val="21"/>
              </w:rPr>
            </w:pPr>
            <w:r>
              <w:rPr>
                <w:rFonts w:hint="eastAsia" w:ascii="宋体" w:hAnsi="宋体"/>
                <w:bCs/>
                <w:szCs w:val="21"/>
              </w:rPr>
              <w:t>★</w:t>
            </w:r>
            <w:r>
              <w:rPr>
                <w:rFonts w:hint="eastAsia" w:ascii="宋体" w:hAnsi="宋体"/>
                <w:szCs w:val="21"/>
              </w:rPr>
              <w:t>人员配备</w:t>
            </w:r>
          </w:p>
        </w:tc>
        <w:tc>
          <w:tcPr>
            <w:tcW w:w="7337" w:type="dxa"/>
            <w:gridSpan w:val="2"/>
            <w:noWrap w:val="0"/>
            <w:vAlign w:val="center"/>
          </w:tcPr>
          <w:p>
            <w:pPr>
              <w:numPr>
                <w:ilvl w:val="0"/>
                <w:numId w:val="11"/>
              </w:numPr>
              <w:tabs>
                <w:tab w:val="left" w:pos="105"/>
              </w:tabs>
              <w:rPr>
                <w:rFonts w:hint="eastAsia" w:ascii="宋体" w:hAnsi="宋体"/>
                <w:szCs w:val="21"/>
              </w:rPr>
            </w:pPr>
            <w:r>
              <w:rPr>
                <w:rFonts w:hint="eastAsia" w:ascii="宋体" w:hAnsi="宋体"/>
                <w:szCs w:val="21"/>
              </w:rPr>
              <w:t>中标供应商应接收泵站现有临时工作人员22人（一标段：泵站值守人员6人、垃圾打捞人员6人，二标段：泵站值守人员4人、垃圾打捞人员6人），中标供应商应签订用工协议办理保险等手续，按期不低于现有标准（其中一标段接收临时工作人员目前工资及福利总额约80万元，二标段接收临时工作人员目前工资及福利总额约60万元）发放工资及福利待遇，一年后如上述临时工作人员出现不能胜任等特殊情况，经发包人确认后可以进行调整。投标供应商应在投标文件中做出明确承诺。</w:t>
            </w:r>
          </w:p>
          <w:p>
            <w:pPr>
              <w:numPr>
                <w:ilvl w:val="0"/>
                <w:numId w:val="11"/>
              </w:numPr>
              <w:tabs>
                <w:tab w:val="left" w:pos="105"/>
              </w:tabs>
              <w:rPr>
                <w:rFonts w:hint="eastAsia" w:ascii="宋体" w:hAnsi="宋体"/>
                <w:szCs w:val="21"/>
              </w:rPr>
            </w:pPr>
            <w:r>
              <w:rPr>
                <w:rFonts w:hint="eastAsia" w:ascii="宋体" w:hAnsi="宋体"/>
                <w:szCs w:val="21"/>
              </w:rPr>
              <w:t>各中标供应商应配备维修电工</w:t>
            </w:r>
            <w:r>
              <w:rPr>
                <w:rFonts w:ascii="宋体" w:hAnsi="宋体"/>
                <w:szCs w:val="21"/>
              </w:rPr>
              <w:t>5</w:t>
            </w:r>
            <w:r>
              <w:rPr>
                <w:rFonts w:hint="eastAsia" w:ascii="宋体" w:hAnsi="宋体"/>
                <w:szCs w:val="21"/>
              </w:rPr>
              <w:t>名及以上（持高压电工证）、水泵维修工1名及以上（持水泵类专业技术证明），机动排水操作人员</w:t>
            </w:r>
            <w:r>
              <w:rPr>
                <w:rFonts w:ascii="宋体" w:hAnsi="宋体"/>
                <w:szCs w:val="21"/>
              </w:rPr>
              <w:t>4</w:t>
            </w:r>
            <w:r>
              <w:rPr>
                <w:rFonts w:hint="eastAsia" w:ascii="宋体" w:hAnsi="宋体"/>
                <w:szCs w:val="21"/>
              </w:rPr>
              <w:t>名以上（其中持B2证以上驾驶员2名）。</w:t>
            </w:r>
          </w:p>
          <w:p>
            <w:pPr>
              <w:numPr>
                <w:ilvl w:val="0"/>
                <w:numId w:val="11"/>
              </w:numPr>
              <w:tabs>
                <w:tab w:val="left" w:pos="105"/>
              </w:tabs>
              <w:rPr>
                <w:rFonts w:hint="eastAsia" w:ascii="宋体" w:hAnsi="宋体"/>
                <w:szCs w:val="21"/>
              </w:rPr>
            </w:pPr>
            <w:r>
              <w:rPr>
                <w:rFonts w:hint="eastAsia" w:ascii="宋体" w:hAnsi="宋体"/>
                <w:szCs w:val="21"/>
              </w:rPr>
              <w:t>中标供应商应另派驻1名工作人员至城区防汛管理所（路灯管理所）参与泵站管理协调工作，要求大专以上学历50岁以下具有电力维修、水泵维修3年以上相关工作经验。</w:t>
            </w:r>
          </w:p>
          <w:p>
            <w:pPr>
              <w:numPr>
                <w:ilvl w:val="0"/>
                <w:numId w:val="11"/>
              </w:numPr>
              <w:tabs>
                <w:tab w:val="left" w:pos="105"/>
              </w:tabs>
              <w:rPr>
                <w:rFonts w:hint="eastAsia" w:ascii="宋体" w:hAnsi="宋体"/>
                <w:szCs w:val="21"/>
              </w:rPr>
            </w:pPr>
            <w:r>
              <w:rPr>
                <w:rFonts w:hint="eastAsia" w:ascii="宋体" w:hAnsi="宋体"/>
                <w:szCs w:val="21"/>
              </w:rPr>
              <w:t>汛期、非汛期中标供应商配备的上述人员均由招标人统一调度。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546" w:type="dxa"/>
            <w:noWrap w:val="0"/>
            <w:vAlign w:val="center"/>
          </w:tcPr>
          <w:p>
            <w:pPr>
              <w:tabs>
                <w:tab w:val="left" w:pos="105"/>
              </w:tabs>
              <w:jc w:val="center"/>
              <w:rPr>
                <w:rFonts w:hint="eastAsia" w:ascii="宋体" w:hAnsi="宋体" w:eastAsia="宋体"/>
                <w:bCs/>
                <w:szCs w:val="21"/>
                <w:lang w:eastAsia="zh-CN"/>
              </w:rPr>
            </w:pPr>
            <w:r>
              <w:rPr>
                <w:rFonts w:hint="eastAsia" w:ascii="宋体" w:hAnsi="宋体"/>
                <w:bCs/>
                <w:szCs w:val="21"/>
                <w:lang w:eastAsia="zh-CN"/>
              </w:rPr>
              <w:t>六</w:t>
            </w:r>
          </w:p>
        </w:tc>
        <w:tc>
          <w:tcPr>
            <w:tcW w:w="1079" w:type="dxa"/>
            <w:noWrap w:val="0"/>
            <w:vAlign w:val="center"/>
          </w:tcPr>
          <w:p>
            <w:pPr>
              <w:tabs>
                <w:tab w:val="left" w:pos="105"/>
              </w:tabs>
              <w:jc w:val="center"/>
              <w:rPr>
                <w:rFonts w:ascii="宋体" w:hAnsi="宋体"/>
                <w:bCs/>
                <w:szCs w:val="21"/>
              </w:rPr>
            </w:pPr>
            <w:r>
              <w:rPr>
                <w:rFonts w:hint="eastAsia" w:ascii="宋体" w:hAnsi="宋体"/>
                <w:bCs/>
                <w:szCs w:val="21"/>
              </w:rPr>
              <w:t>汛期及应急措施服务</w:t>
            </w:r>
          </w:p>
        </w:tc>
        <w:tc>
          <w:tcPr>
            <w:tcW w:w="2965" w:type="dxa"/>
            <w:noWrap w:val="0"/>
            <w:vAlign w:val="center"/>
          </w:tcPr>
          <w:p>
            <w:pPr>
              <w:tabs>
                <w:tab w:val="left" w:pos="105"/>
              </w:tabs>
              <w:rPr>
                <w:rFonts w:hint="eastAsia" w:ascii="宋体" w:hAnsi="宋体"/>
                <w:bCs/>
                <w:szCs w:val="21"/>
              </w:rPr>
            </w:pPr>
            <w:r>
              <w:rPr>
                <w:rFonts w:hint="eastAsia" w:ascii="宋体" w:hAnsi="宋体"/>
                <w:bCs/>
                <w:szCs w:val="21"/>
              </w:rPr>
              <w:t>建立健全应急、抢险突击队，随时服从业主调度。</w:t>
            </w:r>
          </w:p>
        </w:tc>
        <w:tc>
          <w:tcPr>
            <w:tcW w:w="4372" w:type="dxa"/>
            <w:noWrap w:val="0"/>
            <w:vAlign w:val="center"/>
          </w:tcPr>
          <w:p>
            <w:pPr>
              <w:tabs>
                <w:tab w:val="left" w:pos="105"/>
              </w:tabs>
              <w:rPr>
                <w:rFonts w:ascii="宋体" w:hAnsi="宋体"/>
                <w:bCs/>
                <w:szCs w:val="21"/>
              </w:rPr>
            </w:pPr>
            <w:r>
              <w:rPr>
                <w:szCs w:val="21"/>
              </w:rPr>
              <w:t>每年5月1日至9月30日汛期时，</w:t>
            </w:r>
            <w:r>
              <w:rPr>
                <w:rFonts w:hint="eastAsia" w:ascii="宋体" w:hAnsi="宋体"/>
                <w:szCs w:val="21"/>
              </w:rPr>
              <w:t>应急防汛工作人员8名及以上，</w:t>
            </w:r>
            <w:r>
              <w:rPr>
                <w:rFonts w:hint="eastAsia" w:ascii="宋体" w:hAnsi="宋体"/>
                <w:szCs w:val="21"/>
                <w:lang w:eastAsia="zh-CN"/>
              </w:rPr>
              <w:t>统一</w:t>
            </w:r>
            <w:r>
              <w:rPr>
                <w:rFonts w:hint="eastAsia" w:ascii="宋体" w:hAnsi="宋体"/>
                <w:szCs w:val="21"/>
              </w:rPr>
              <w:t>驻守</w:t>
            </w:r>
            <w:r>
              <w:rPr>
                <w:rFonts w:hint="eastAsia" w:ascii="宋体" w:hAnsi="宋体"/>
                <w:szCs w:val="21"/>
                <w:lang w:eastAsia="zh-CN"/>
              </w:rPr>
              <w:t>指定地点</w:t>
            </w:r>
            <w:r>
              <w:rPr>
                <w:rFonts w:hint="eastAsia" w:ascii="宋体" w:hAnsi="宋体"/>
                <w:szCs w:val="21"/>
              </w:rPr>
              <w:t>由招标人统一调度。</w:t>
            </w:r>
          </w:p>
        </w:tc>
      </w:tr>
    </w:tbl>
    <w:p>
      <w:pPr>
        <w:ind w:firstLine="420" w:firstLineChars="200"/>
        <w:rPr>
          <w:rFonts w:hint="eastAsia" w:ascii="宋体" w:hAnsi="宋体"/>
          <w:szCs w:val="21"/>
        </w:rPr>
      </w:pPr>
    </w:p>
    <w:p>
      <w:pPr>
        <w:ind w:firstLine="420" w:firstLineChars="200"/>
        <w:rPr>
          <w:rFonts w:hint="eastAsia" w:ascii="宋体" w:hAnsi="宋体"/>
          <w:szCs w:val="21"/>
        </w:rPr>
      </w:pPr>
      <w:r>
        <w:rPr>
          <w:rFonts w:hint="eastAsia" w:ascii="宋体" w:hAnsi="宋体"/>
          <w:szCs w:val="21"/>
        </w:rPr>
        <w:t>B专项维修范围：</w:t>
      </w:r>
    </w:p>
    <w:p>
      <w:pPr>
        <w:ind w:firstLine="420" w:firstLineChars="200"/>
        <w:rPr>
          <w:rFonts w:hint="eastAsia" w:ascii="宋体" w:hAnsi="宋体"/>
          <w:szCs w:val="21"/>
        </w:rPr>
      </w:pPr>
      <w:r>
        <w:rPr>
          <w:rFonts w:hint="eastAsia" w:ascii="宋体" w:hAnsi="宋体"/>
          <w:szCs w:val="21"/>
        </w:rPr>
        <w:t>1、中前泵站加装行车龙门吊：中前泵站水泵原安装于室外，不便于吊装维修，故增加安装1台套的12米电动葫芦10吨单轨吊。</w:t>
      </w:r>
    </w:p>
    <w:p>
      <w:pPr>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、泵站需增设</w:t>
      </w:r>
      <w:r>
        <w:rPr>
          <w:rFonts w:hint="eastAsia" w:ascii="宋体" w:hAnsi="宋体"/>
          <w:szCs w:val="21"/>
          <w:lang w:eastAsia="zh-CN"/>
        </w:rPr>
        <w:t>行车</w:t>
      </w:r>
      <w:r>
        <w:rPr>
          <w:rFonts w:hint="eastAsia" w:ascii="宋体" w:hAnsi="宋体"/>
          <w:szCs w:val="21"/>
        </w:rPr>
        <w:t>、更换水泵重要设备等泵站日常管养不能涵盖的设备更新。</w:t>
      </w:r>
    </w:p>
    <w:p>
      <w:pPr>
        <w:ind w:firstLine="420" w:firstLineChars="200"/>
        <w:rPr>
          <w:rFonts w:hint="eastAsia" w:ascii="宋体" w:hAnsi="宋体"/>
          <w:szCs w:val="21"/>
        </w:rPr>
      </w:pPr>
      <w:r>
        <w:rPr>
          <w:rFonts w:hint="eastAsia" w:ascii="宋体" w:hAnsi="宋体"/>
          <w:szCs w:val="21"/>
          <w:lang w:val="en-US" w:eastAsia="zh-CN"/>
        </w:rPr>
        <w:t>3</w:t>
      </w:r>
      <w:r>
        <w:rPr>
          <w:rFonts w:hint="eastAsia" w:ascii="宋体" w:hAnsi="宋体"/>
          <w:szCs w:val="21"/>
        </w:rPr>
        <w:t>、发包人指定的其他事项。</w:t>
      </w:r>
      <w:r>
        <w:rPr>
          <w:rFonts w:hint="eastAsia" w:ascii="宋体" w:hAnsi="宋体"/>
          <w:szCs w:val="21"/>
        </w:rPr>
        <w:tab/>
      </w:r>
    </w:p>
    <w:p>
      <w:pPr>
        <w:autoSpaceDE w:val="0"/>
        <w:autoSpaceDN w:val="0"/>
        <w:adjustRightInd w:val="0"/>
        <w:snapToGrid w:val="0"/>
        <w:ind w:firstLine="462" w:firstLineChars="200"/>
        <w:jc w:val="left"/>
        <w:rPr>
          <w:rFonts w:ascii="宋体" w:cs="宋体"/>
          <w:b/>
          <w:kern w:val="0"/>
          <w:sz w:val="23"/>
          <w:szCs w:val="23"/>
        </w:rPr>
      </w:pPr>
      <w:r>
        <w:rPr>
          <w:rFonts w:hint="eastAsia" w:ascii="宋体" w:cs="宋体"/>
          <w:b/>
          <w:kern w:val="0"/>
          <w:sz w:val="23"/>
          <w:szCs w:val="23"/>
        </w:rPr>
        <w:t>（二）服务内容：</w:t>
      </w:r>
    </w:p>
    <w:p>
      <w:pPr>
        <w:autoSpaceDE w:val="0"/>
        <w:autoSpaceDN w:val="0"/>
        <w:adjustRightInd w:val="0"/>
        <w:snapToGrid w:val="0"/>
        <w:ind w:firstLine="420" w:firstLineChars="200"/>
        <w:jc w:val="left"/>
        <w:rPr>
          <w:rFonts w:ascii="宋体" w:cs="宋体"/>
          <w:kern w:val="0"/>
          <w:szCs w:val="21"/>
        </w:rPr>
      </w:pPr>
      <w:r>
        <w:rPr>
          <w:rFonts w:hint="eastAsia" w:ascii="宋体" w:cs="宋体"/>
          <w:kern w:val="0"/>
          <w:szCs w:val="21"/>
        </w:rPr>
        <w:t>1、中标供应商安排人员按照采购人各泵站运行工艺、调度指令，严格遵守设备、设施管理操作规程，做好泵站开机排涝、污水输送、站容站貌等</w:t>
      </w:r>
      <w:r>
        <w:rPr>
          <w:rFonts w:ascii="宋体" w:cs="宋体"/>
          <w:kern w:val="0"/>
          <w:szCs w:val="21"/>
        </w:rPr>
        <w:t>24</w:t>
      </w:r>
      <w:r>
        <w:rPr>
          <w:rFonts w:hint="eastAsia" w:ascii="宋体" w:cs="宋体"/>
          <w:kern w:val="0"/>
          <w:szCs w:val="21"/>
        </w:rPr>
        <w:t>小时运维管理工作。在服务期间（包括法定节假日在内）负责采购人资产的安全运行管理；设备设施的日常清洁、保养；做好泵站、溢流坝设备设施的巡视，发现异常状况应立即采取有效措施，并即时报告。保证不人为损坏、不短少、不被盗。</w:t>
      </w:r>
    </w:p>
    <w:p>
      <w:pPr>
        <w:autoSpaceDE w:val="0"/>
        <w:autoSpaceDN w:val="0"/>
        <w:adjustRightInd w:val="0"/>
        <w:snapToGrid w:val="0"/>
        <w:ind w:firstLine="420" w:firstLineChars="200"/>
        <w:jc w:val="left"/>
        <w:rPr>
          <w:rFonts w:ascii="宋体" w:cs="宋体"/>
          <w:kern w:val="0"/>
          <w:szCs w:val="21"/>
        </w:rPr>
      </w:pPr>
      <w:r>
        <w:rPr>
          <w:rFonts w:hint="eastAsia" w:ascii="宋体" w:cs="宋体"/>
          <w:kern w:val="0"/>
          <w:szCs w:val="21"/>
        </w:rPr>
        <w:t>2、中标供应商必须服从采购人对泵站管理的统一安排，认真做好泵站所属区域内的管理。室内要保持整洁，每天清扫绝缘垫、地面、门窗等，做到无垃圾、纸屑、烟头等杂物。对各种控制柜柜面、设备外表面灰尘清理干净，各种工器具摆放整齐。</w:t>
      </w:r>
      <w:r>
        <w:rPr>
          <w:rFonts w:hint="eastAsia" w:ascii="宋体" w:hAnsi="宋体"/>
          <w:bCs/>
          <w:color w:val="auto"/>
          <w:highlight w:val="none"/>
          <w:lang w:val="en-US" w:eastAsia="zh-CN"/>
        </w:rPr>
        <w:t>雨后泵站各设备和前池要及时打扫，保证干净整洁。</w:t>
      </w:r>
      <w:r>
        <w:rPr>
          <w:rFonts w:hint="eastAsia" w:ascii="宋体" w:cs="宋体"/>
          <w:kern w:val="0"/>
          <w:szCs w:val="21"/>
        </w:rPr>
        <w:t>打扫环境卫生，及时清理垃圾、小广告等。泵站内严禁摆放与工作无关的物品，禁止种菜、饲养家禽、牲畜等。</w:t>
      </w:r>
    </w:p>
    <w:p>
      <w:pPr>
        <w:autoSpaceDE w:val="0"/>
        <w:autoSpaceDN w:val="0"/>
        <w:adjustRightInd w:val="0"/>
        <w:snapToGrid w:val="0"/>
        <w:ind w:firstLine="420" w:firstLineChars="200"/>
        <w:jc w:val="left"/>
        <w:rPr>
          <w:rFonts w:ascii="宋体" w:cs="宋体"/>
          <w:kern w:val="0"/>
          <w:szCs w:val="21"/>
        </w:rPr>
      </w:pPr>
      <w:r>
        <w:rPr>
          <w:rFonts w:hint="eastAsia" w:ascii="宋体" w:cs="宋体"/>
          <w:kern w:val="0"/>
          <w:szCs w:val="21"/>
        </w:rPr>
        <w:t>3、运维管理人员根据每天的设备操作情况、设施设备的日常巡视工作填写值班记录、机泵运行记录等；清扫泵站的环境卫生、设备设施的清理保养等填写日常保洁记录表，记录的填写必须做到内容清楚、详实，字迹工整、整洁。对发现的环境卫生、设备设施等问题、缺陷，不能处理的必须及时向业主报告并记录。</w:t>
      </w:r>
    </w:p>
    <w:p>
      <w:pPr>
        <w:autoSpaceDE w:val="0"/>
        <w:autoSpaceDN w:val="0"/>
        <w:adjustRightInd w:val="0"/>
        <w:snapToGrid w:val="0"/>
        <w:ind w:firstLine="420" w:firstLineChars="200"/>
        <w:jc w:val="left"/>
        <w:rPr>
          <w:rFonts w:hint="eastAsia" w:ascii="宋体"/>
          <w:kern w:val="0"/>
          <w:szCs w:val="21"/>
        </w:rPr>
      </w:pPr>
      <w:r>
        <w:rPr>
          <w:rFonts w:hint="eastAsia" w:ascii="宋体" w:cs="宋体"/>
          <w:kern w:val="0"/>
          <w:szCs w:val="21"/>
        </w:rPr>
        <w:t>4、中标供应商负责站区内集水坑、排水管道、泵站前池的清淤、疏通</w:t>
      </w:r>
      <w:r>
        <w:rPr>
          <w:rFonts w:ascii="宋体"/>
          <w:kern w:val="0"/>
          <w:szCs w:val="21"/>
        </w:rPr>
        <w:t>。</w:t>
      </w:r>
    </w:p>
    <w:p>
      <w:pPr>
        <w:adjustRightInd w:val="0"/>
        <w:snapToGrid w:val="0"/>
        <w:ind w:firstLine="420" w:firstLineChars="200"/>
        <w:rPr>
          <w:rFonts w:hint="eastAsia" w:ascii="宋体" w:hAnsi="宋体"/>
          <w:szCs w:val="21"/>
          <w:lang w:val="zh-CN"/>
        </w:rPr>
      </w:pPr>
      <w:r>
        <w:rPr>
          <w:rFonts w:hint="eastAsia" w:ascii="宋体" w:hAnsi="宋体"/>
          <w:szCs w:val="21"/>
          <w:lang w:val="zh-CN"/>
        </w:rPr>
        <w:t>5、中标供应商应及时发现</w:t>
      </w:r>
      <w:r>
        <w:rPr>
          <w:rFonts w:hint="eastAsia" w:ascii="宋体" w:hAnsi="宋体"/>
          <w:szCs w:val="21"/>
        </w:rPr>
        <w:t>泵站、溢流坝</w:t>
      </w:r>
      <w:r>
        <w:rPr>
          <w:rFonts w:hint="eastAsia" w:ascii="宋体" w:hAnsi="宋体"/>
          <w:szCs w:val="21"/>
          <w:lang w:val="zh-CN"/>
        </w:rPr>
        <w:t>内各类</w:t>
      </w:r>
      <w:r>
        <w:rPr>
          <w:rFonts w:hint="eastAsia" w:ascii="宋体" w:hAnsi="宋体"/>
          <w:szCs w:val="21"/>
        </w:rPr>
        <w:t>设备、</w:t>
      </w:r>
      <w:r>
        <w:rPr>
          <w:rFonts w:hint="eastAsia" w:ascii="宋体" w:hAnsi="宋体"/>
          <w:szCs w:val="21"/>
          <w:lang w:val="zh-CN"/>
        </w:rPr>
        <w:t>设施的损坏情况。对存在安全隐患的，第一时间做好安全防护措施，设立相应警示标志；</w:t>
      </w:r>
      <w:r>
        <w:rPr>
          <w:rFonts w:hint="eastAsia" w:ascii="宋体" w:hAnsi="宋体"/>
          <w:szCs w:val="21"/>
        </w:rPr>
        <w:t>积极组织维修</w:t>
      </w:r>
      <w:r>
        <w:rPr>
          <w:rFonts w:hint="eastAsia" w:ascii="宋体" w:hAnsi="宋体"/>
          <w:szCs w:val="21"/>
          <w:lang w:val="zh-CN"/>
        </w:rPr>
        <w:t>并及时上报业主。</w:t>
      </w:r>
    </w:p>
    <w:p>
      <w:pPr>
        <w:adjustRightInd w:val="0"/>
        <w:snapToGrid w:val="0"/>
        <w:ind w:firstLine="420" w:firstLineChars="200"/>
        <w:rPr>
          <w:rFonts w:hint="eastAsia" w:ascii="宋体" w:hAnsi="宋体"/>
          <w:szCs w:val="21"/>
        </w:rPr>
      </w:pPr>
      <w:r>
        <w:rPr>
          <w:rFonts w:hint="eastAsia" w:ascii="宋体" w:hAnsi="宋体"/>
          <w:szCs w:val="21"/>
        </w:rPr>
        <w:t>6、管养承包方式：中标供应商在养护期限内包工、包料、包质量、包安全、包文明施工、包维护设施完好及保洁，无缺损，风险自担。养护维修所需材料、成品、设备等，均由中标供应商自行解决，但必须符合原设计、甲方及有关养护技术规程、规范要求（替代品须符合原质量要求，经采购方认可）。</w:t>
      </w:r>
    </w:p>
    <w:p>
      <w:pPr>
        <w:ind w:firstLine="420" w:firstLineChars="200"/>
        <w:jc w:val="left"/>
        <w:rPr>
          <w:rFonts w:hint="eastAsia" w:ascii="宋体" w:hAnsi="宋体"/>
          <w:szCs w:val="21"/>
          <w:highlight w:val="none"/>
          <w:lang w:val="zh-CN"/>
        </w:rPr>
      </w:pPr>
      <w:r>
        <w:rPr>
          <w:rFonts w:hint="eastAsia" w:ascii="宋体" w:hAnsi="宋体"/>
          <w:szCs w:val="21"/>
          <w:lang w:val="zh-CN"/>
        </w:rPr>
        <w:t>7、中标供应商应系统掌握</w:t>
      </w:r>
      <w:r>
        <w:rPr>
          <w:rFonts w:hint="eastAsia" w:ascii="宋体" w:hAnsi="宋体"/>
          <w:szCs w:val="21"/>
        </w:rPr>
        <w:t>泵站设备、</w:t>
      </w:r>
      <w:r>
        <w:rPr>
          <w:rFonts w:hint="eastAsia" w:ascii="宋体" w:hAnsi="宋体"/>
          <w:szCs w:val="21"/>
          <w:lang w:val="zh-CN"/>
        </w:rPr>
        <w:t>设施具体情况，建立健全日常巡查养护及管理台账制</w:t>
      </w:r>
      <w:r>
        <w:rPr>
          <w:rFonts w:hint="eastAsia" w:ascii="宋体" w:hAnsi="宋体"/>
          <w:szCs w:val="21"/>
          <w:highlight w:val="none"/>
          <w:lang w:val="zh-CN"/>
        </w:rPr>
        <w:t>度，认真做好台账的整理和归档工作，按时报送相关周报、月报、管理养护计划、管理养护工作报表。</w:t>
      </w:r>
      <w:r>
        <w:rPr>
          <w:rFonts w:hint="eastAsia" w:ascii="宋体" w:hAnsi="宋体" w:eastAsia="宋体" w:cs="宋体"/>
          <w:b w:val="0"/>
          <w:bCs w:val="0"/>
          <w:sz w:val="21"/>
          <w:szCs w:val="21"/>
          <w:highlight w:val="none"/>
          <w:u w:val="single"/>
          <w:lang w:val="en-US" w:eastAsia="zh-CN"/>
        </w:rPr>
        <w:t>泵站值班人员签到表不得有人擅自代签或者跨日期补签、提前签到。泵站巡查记录表每日都要记录具体巡查日期、巡查地点、巡查具体内容和巡查人员情况。不得随意记录或者随意乱填、瞒报。中标供应方每一周都需有泵站运维周计划表，内容包括泵站名称、时间、具体计划工作内容以及具体完成情况。灭火器等安全设备必须每天检查，并记录在泵站安全设施检查表内，具体内容为灭火器是否存在超压、欠压、灭火器保险栓是否完好，绝缘用具年检证明是否完好等，设备检查表包括泵机检查表和电箱控制柜检查表。每周每座泵站至少检查3次，并做详细记录。</w:t>
      </w:r>
      <w:r>
        <w:rPr>
          <w:rFonts w:hint="eastAsia" w:ascii="宋体" w:hAnsi="宋体" w:cs="宋体"/>
          <w:b w:val="0"/>
          <w:bCs w:val="0"/>
          <w:sz w:val="21"/>
          <w:szCs w:val="21"/>
          <w:highlight w:val="none"/>
          <w:u w:val="single"/>
          <w:lang w:val="en-US" w:eastAsia="zh-CN"/>
        </w:rPr>
        <w:t>保养时必须有照片、记录留存，并编写保养记录。</w:t>
      </w:r>
    </w:p>
    <w:p>
      <w:pPr>
        <w:adjustRightInd w:val="0"/>
        <w:snapToGrid w:val="0"/>
        <w:ind w:firstLine="420" w:firstLineChars="200"/>
        <w:rPr>
          <w:rFonts w:hint="eastAsia" w:ascii="宋体" w:hAnsi="宋体"/>
          <w:szCs w:val="21"/>
          <w:lang w:val="zh-CN"/>
        </w:rPr>
      </w:pPr>
      <w:r>
        <w:rPr>
          <w:rFonts w:hint="eastAsia" w:ascii="宋体" w:hAnsi="宋体"/>
          <w:szCs w:val="21"/>
          <w:lang w:val="zh-CN"/>
        </w:rPr>
        <w:t>8、养护维修质量要求（包括但不限于以下）：</w:t>
      </w:r>
    </w:p>
    <w:p>
      <w:pPr>
        <w:adjustRightInd w:val="0"/>
        <w:snapToGrid w:val="0"/>
        <w:ind w:firstLine="420" w:firstLineChars="200"/>
        <w:rPr>
          <w:rFonts w:hint="eastAsia" w:ascii="宋体" w:hAnsi="宋体"/>
          <w:szCs w:val="21"/>
          <w:lang w:val="zh-CN"/>
        </w:rPr>
      </w:pPr>
      <w:r>
        <w:rPr>
          <w:rFonts w:hint="eastAsia" w:ascii="宋体" w:hAnsi="宋体"/>
          <w:szCs w:val="21"/>
          <w:lang w:val="zh-CN"/>
        </w:rPr>
        <w:t>（1）《城镇排水管渠及泵站养护技术规程》（CJJ/T68-96）</w:t>
      </w:r>
    </w:p>
    <w:p>
      <w:pPr>
        <w:adjustRightInd w:val="0"/>
        <w:snapToGrid w:val="0"/>
        <w:ind w:firstLine="420" w:firstLineChars="200"/>
        <w:rPr>
          <w:rFonts w:hint="eastAsia" w:ascii="宋体" w:hAnsi="宋体"/>
          <w:szCs w:val="21"/>
          <w:lang w:val="zh-CN"/>
        </w:rPr>
      </w:pPr>
      <w:r>
        <w:rPr>
          <w:rFonts w:hint="eastAsia" w:ascii="宋体" w:hAnsi="宋体"/>
          <w:szCs w:val="21"/>
          <w:lang w:val="zh-CN"/>
        </w:rPr>
        <w:t>（</w:t>
      </w:r>
      <w:r>
        <w:rPr>
          <w:rFonts w:ascii="宋体" w:hAnsi="宋体"/>
          <w:szCs w:val="21"/>
          <w:lang w:val="zh-CN"/>
        </w:rPr>
        <w:t>2</w:t>
      </w:r>
      <w:r>
        <w:rPr>
          <w:rFonts w:hint="eastAsia" w:ascii="宋体" w:hAnsi="宋体"/>
          <w:szCs w:val="21"/>
          <w:lang w:val="zh-CN"/>
        </w:rPr>
        <w:t>）《南京市城市排水管理条例》</w:t>
      </w:r>
    </w:p>
    <w:p>
      <w:pPr>
        <w:adjustRightInd w:val="0"/>
        <w:snapToGrid w:val="0"/>
        <w:ind w:firstLine="420" w:firstLineChars="200"/>
        <w:rPr>
          <w:rFonts w:hint="eastAsia" w:ascii="宋体" w:hAnsi="宋体"/>
          <w:szCs w:val="21"/>
        </w:rPr>
      </w:pPr>
      <w:r>
        <w:rPr>
          <w:rFonts w:hint="eastAsia" w:ascii="宋体" w:hAnsi="宋体"/>
          <w:szCs w:val="21"/>
        </w:rPr>
        <w:t>养护维修质量标准必须符合以上及国家、地方现行技术规程等标准要求，若不符合其质量要求，由中标供应商无偿返工。</w:t>
      </w:r>
    </w:p>
    <w:p>
      <w:pPr>
        <w:adjustRightInd w:val="0"/>
        <w:snapToGrid w:val="0"/>
        <w:ind w:firstLine="420" w:firstLineChars="200"/>
        <w:rPr>
          <w:rFonts w:hint="eastAsia" w:ascii="宋体" w:hAnsi="宋体"/>
          <w:szCs w:val="21"/>
        </w:rPr>
      </w:pPr>
      <w:r>
        <w:rPr>
          <w:rFonts w:hint="eastAsia" w:ascii="宋体" w:hAnsi="宋体"/>
          <w:szCs w:val="21"/>
        </w:rPr>
        <w:t>9、中标供应商应不定期检查及定期检查要认真检查泵站、溢流坝的设备、设施，做到及时发现及时报告及时处理，确保设备、设施100%完好和安全，若因中标供应商原因不能按时保质完成，则采购人有权另外安排单位维修，其相应费用将从中标供应商费用中扣除并由采购人安排。泵站、溢流坝设备、设施维修保修期不少于两年。</w:t>
      </w:r>
    </w:p>
    <w:p>
      <w:pPr>
        <w:adjustRightInd w:val="0"/>
        <w:snapToGrid w:val="0"/>
        <w:ind w:firstLine="420" w:firstLineChars="200"/>
        <w:rPr>
          <w:rFonts w:hint="eastAsia" w:ascii="宋体" w:hAnsi="宋体"/>
          <w:szCs w:val="21"/>
        </w:rPr>
      </w:pPr>
      <w:r>
        <w:rPr>
          <w:rFonts w:hint="eastAsia" w:ascii="宋体" w:hAnsi="宋体"/>
          <w:szCs w:val="21"/>
        </w:rPr>
        <w:t>10、中标人负责维护管理进程中的一切安全责任，其中包括万一发生的一切工伤事故及工作人员的作业或非作业性的人身安全等责任。</w:t>
      </w:r>
    </w:p>
    <w:p>
      <w:pPr>
        <w:pStyle w:val="2"/>
        <w:rPr>
          <w:rFonts w:hint="default" w:eastAsia="宋体"/>
          <w:highlight w:val="none"/>
          <w:lang w:val="en-US" w:eastAsia="zh-CN"/>
        </w:rPr>
      </w:pPr>
      <w:r>
        <w:rPr>
          <w:rFonts w:hint="eastAsia" w:ascii="宋体" w:hAnsi="宋体"/>
          <w:b w:val="0"/>
          <w:bCs/>
          <w:highlight w:val="none"/>
          <w:u w:val="single"/>
          <w:lang w:val="en-US" w:eastAsia="zh-CN"/>
        </w:rPr>
        <w:t>11、</w:t>
      </w:r>
      <w:r>
        <w:rPr>
          <w:rFonts w:hint="eastAsia" w:ascii="宋体" w:hAnsi="宋体" w:eastAsia="宋体" w:cs="宋体"/>
          <w:b w:val="0"/>
          <w:bCs/>
          <w:sz w:val="21"/>
          <w:szCs w:val="21"/>
          <w:highlight w:val="none"/>
          <w:u w:val="single"/>
          <w:lang w:val="en-US" w:eastAsia="zh-CN"/>
        </w:rPr>
        <w:t>中标供应方对泵站内乔灌木、绿篱、草本植物等的浇灌、施肥、草坪的杂草清除、植物（树木、绿篱、草坪等)修剪、浇水、灌溉、去除枯死植株、植物补植、树木扶正、病虫害防治和监测、植物防护（防寒、旱、台、涝、高温等）等工作。</w:t>
      </w:r>
    </w:p>
    <w:p>
      <w:pPr>
        <w:autoSpaceDE w:val="0"/>
        <w:autoSpaceDN w:val="0"/>
        <w:adjustRightInd w:val="0"/>
        <w:snapToGrid w:val="0"/>
        <w:ind w:firstLine="462" w:firstLineChars="200"/>
        <w:jc w:val="left"/>
        <w:rPr>
          <w:rFonts w:ascii="宋体"/>
          <w:b/>
          <w:kern w:val="0"/>
          <w:sz w:val="23"/>
          <w:szCs w:val="23"/>
        </w:rPr>
      </w:pPr>
      <w:r>
        <w:rPr>
          <w:rFonts w:hint="eastAsia" w:ascii="宋体"/>
          <w:b/>
          <w:kern w:val="0"/>
          <w:sz w:val="23"/>
          <w:szCs w:val="23"/>
        </w:rPr>
        <w:t>(三)</w:t>
      </w:r>
      <w:r>
        <w:rPr>
          <w:rFonts w:ascii="宋体"/>
          <w:b/>
          <w:kern w:val="0"/>
          <w:sz w:val="23"/>
          <w:szCs w:val="23"/>
        </w:rPr>
        <w:t>服务要求：</w:t>
      </w:r>
    </w:p>
    <w:p>
      <w:pPr>
        <w:autoSpaceDE w:val="0"/>
        <w:autoSpaceDN w:val="0"/>
        <w:adjustRightInd w:val="0"/>
        <w:snapToGrid w:val="0"/>
        <w:ind w:firstLine="420" w:firstLineChars="200"/>
        <w:jc w:val="left"/>
        <w:rPr>
          <w:rFonts w:ascii="宋体"/>
          <w:kern w:val="0"/>
          <w:szCs w:val="21"/>
        </w:rPr>
      </w:pPr>
      <w:r>
        <w:rPr>
          <w:rFonts w:ascii="宋体"/>
          <w:kern w:val="0"/>
          <w:szCs w:val="21"/>
        </w:rPr>
        <w:t>1、中标供应商在服务期内应成立项目部，负责对本项目的运行管理。组织机构、组织成员花名册、联系方式等报送采购人备存。建立、健全运维管理人员岗位职责、培训管理、考勤管理、交接班制度、绩效和奖惩考核、巡查上报、安全生产岗位责任制和定期安全检查制度等各种管理制度。</w:t>
      </w:r>
    </w:p>
    <w:p>
      <w:pPr>
        <w:autoSpaceDE w:val="0"/>
        <w:autoSpaceDN w:val="0"/>
        <w:adjustRightInd w:val="0"/>
        <w:snapToGrid w:val="0"/>
        <w:ind w:firstLine="420" w:firstLineChars="200"/>
        <w:jc w:val="left"/>
        <w:rPr>
          <w:rFonts w:ascii="宋体"/>
          <w:kern w:val="0"/>
          <w:szCs w:val="21"/>
        </w:rPr>
      </w:pPr>
      <w:r>
        <w:rPr>
          <w:rFonts w:ascii="宋体"/>
          <w:kern w:val="0"/>
          <w:szCs w:val="21"/>
        </w:rPr>
        <w:t>2、中标供应商运维</w:t>
      </w:r>
      <w:r>
        <w:rPr>
          <w:rFonts w:hint="eastAsia" w:ascii="宋体"/>
          <w:kern w:val="0"/>
          <w:szCs w:val="21"/>
        </w:rPr>
        <w:t>重点</w:t>
      </w:r>
      <w:r>
        <w:rPr>
          <w:rFonts w:ascii="宋体"/>
          <w:kern w:val="0"/>
          <w:szCs w:val="21"/>
        </w:rPr>
        <w:t>管理</w:t>
      </w:r>
      <w:r>
        <w:rPr>
          <w:rFonts w:hint="eastAsia" w:ascii="宋体"/>
          <w:kern w:val="0"/>
          <w:szCs w:val="21"/>
        </w:rPr>
        <w:t>岗位</w:t>
      </w:r>
      <w:r>
        <w:rPr>
          <w:rFonts w:ascii="宋体"/>
          <w:kern w:val="0"/>
          <w:szCs w:val="21"/>
        </w:rPr>
        <w:t>上岗前必须持证，并经过岗前技能、安全教育等培训，了解泵站设施、设备运行状况，熟悉泵站运行工艺规程。</w:t>
      </w:r>
    </w:p>
    <w:p>
      <w:pPr>
        <w:autoSpaceDE w:val="0"/>
        <w:autoSpaceDN w:val="0"/>
        <w:adjustRightInd w:val="0"/>
        <w:snapToGrid w:val="0"/>
        <w:ind w:firstLine="420" w:firstLineChars="200"/>
        <w:jc w:val="left"/>
        <w:rPr>
          <w:rFonts w:ascii="宋体"/>
          <w:kern w:val="0"/>
          <w:szCs w:val="21"/>
        </w:rPr>
      </w:pPr>
      <w:r>
        <w:rPr>
          <w:rFonts w:ascii="宋体"/>
          <w:kern w:val="0"/>
          <w:szCs w:val="21"/>
        </w:rPr>
        <w:t>3、中标供应商运维管理人员实行定人定岗，不得擅自和私自调整班次，因特殊情况需要调班的必须要经过中标供应商办理书面手续并报采购人备案。中标供应商运维管理人员要认真履行岗位职责，保证24小时人员在岗，且通讯畅通。</w:t>
      </w:r>
      <w:r>
        <w:rPr>
          <w:rFonts w:hint="eastAsia" w:ascii="宋体"/>
          <w:kern w:val="0"/>
          <w:szCs w:val="21"/>
        </w:rPr>
        <w:t>遇大雨、暴雨,中标供应商应增派人员到现场积极组织抢险。采购人要求配备的</w:t>
      </w:r>
      <w:r>
        <w:rPr>
          <w:rFonts w:ascii="宋体"/>
          <w:kern w:val="0"/>
          <w:szCs w:val="21"/>
        </w:rPr>
        <w:t>人员数量为最低数量</w:t>
      </w:r>
      <w:r>
        <w:rPr>
          <w:rFonts w:hint="eastAsia" w:ascii="宋体"/>
          <w:kern w:val="0"/>
          <w:szCs w:val="21"/>
        </w:rPr>
        <w:t>，</w:t>
      </w:r>
      <w:r>
        <w:rPr>
          <w:rFonts w:ascii="宋体"/>
          <w:kern w:val="0"/>
          <w:szCs w:val="21"/>
        </w:rPr>
        <w:t>不得减少，中标供应商可根据各泵站的实际工作情况合理增加人员，后期不得以任何理由要求增加费用。</w:t>
      </w:r>
    </w:p>
    <w:p>
      <w:pPr>
        <w:ind w:firstLine="420" w:firstLineChars="200"/>
        <w:rPr>
          <w:rFonts w:ascii="宋体"/>
          <w:kern w:val="0"/>
          <w:szCs w:val="21"/>
        </w:rPr>
      </w:pPr>
      <w:r>
        <w:rPr>
          <w:rFonts w:ascii="宋体"/>
          <w:kern w:val="0"/>
          <w:szCs w:val="21"/>
        </w:rPr>
        <w:t>4</w:t>
      </w:r>
      <w:r>
        <w:rPr>
          <w:rFonts w:ascii="宋体"/>
          <w:kern w:val="0"/>
          <w:szCs w:val="21"/>
          <w:highlight w:val="none"/>
        </w:rPr>
        <w:t>、</w:t>
      </w:r>
      <w:r>
        <w:rPr>
          <w:rFonts w:hint="eastAsia" w:ascii="宋体" w:hAnsi="宋体" w:eastAsia="宋体" w:cs="宋体"/>
          <w:sz w:val="21"/>
          <w:szCs w:val="21"/>
          <w:highlight w:val="none"/>
          <w:u w:val="single"/>
        </w:rPr>
        <w:t>泵站实行24小时值班制(每站每班不少于</w:t>
      </w:r>
      <w:r>
        <w:rPr>
          <w:rFonts w:hint="eastAsia" w:ascii="宋体" w:hAnsi="宋体" w:eastAsia="宋体" w:cs="宋体"/>
          <w:sz w:val="21"/>
          <w:szCs w:val="21"/>
          <w:highlight w:val="none"/>
          <w:u w:val="single"/>
          <w:lang w:val="en-US" w:eastAsia="zh-CN"/>
        </w:rPr>
        <w:t>2名电工</w:t>
      </w:r>
      <w:r>
        <w:rPr>
          <w:rFonts w:hint="eastAsia" w:ascii="宋体" w:hAnsi="宋体" w:eastAsia="宋体" w:cs="宋体"/>
          <w:sz w:val="21"/>
          <w:szCs w:val="21"/>
          <w:highlight w:val="none"/>
          <w:u w:val="single"/>
        </w:rPr>
        <w:t>) ;泵站实行24小时巡查制(巡查入员每班不少于2人)，巡查频率每个泵站每天不少于3次，雨天应适当增加</w:t>
      </w:r>
      <w:r>
        <w:rPr>
          <w:rFonts w:hint="eastAsia" w:ascii="宋体" w:hAnsi="宋体" w:eastAsia="宋体" w:cs="宋体"/>
          <w:sz w:val="21"/>
          <w:szCs w:val="21"/>
          <w:highlight w:val="none"/>
          <w:u w:val="single"/>
          <w:lang w:val="en-US" w:eastAsia="zh-CN"/>
        </w:rPr>
        <w:t>至4-5</w:t>
      </w:r>
      <w:r>
        <w:rPr>
          <w:rFonts w:hint="eastAsia" w:ascii="宋体" w:hAnsi="宋体" w:eastAsia="宋体" w:cs="宋体"/>
          <w:sz w:val="21"/>
          <w:szCs w:val="21"/>
          <w:highlight w:val="none"/>
          <w:u w:val="single"/>
        </w:rPr>
        <w:t>次。</w:t>
      </w:r>
      <w:r>
        <w:rPr>
          <w:rFonts w:hint="eastAsia" w:ascii="宋体" w:hAnsi="宋体" w:eastAsia="宋体" w:cs="宋体"/>
          <w:sz w:val="21"/>
          <w:szCs w:val="21"/>
          <w:highlight w:val="none"/>
          <w:u w:val="single"/>
          <w:lang w:val="en-US" w:eastAsia="zh-CN"/>
        </w:rPr>
        <w:t>汛期和雨天时应在每站值班两名电工的基础上再增加一名电工值班，各值班人员在汛期和雨天时不得以任何理由离岗脱岗。</w:t>
      </w:r>
    </w:p>
    <w:p>
      <w:pPr>
        <w:autoSpaceDE w:val="0"/>
        <w:autoSpaceDN w:val="0"/>
        <w:adjustRightInd w:val="0"/>
        <w:snapToGrid w:val="0"/>
        <w:ind w:firstLine="420" w:firstLineChars="200"/>
        <w:jc w:val="left"/>
        <w:rPr>
          <w:rFonts w:hint="eastAsia" w:ascii="宋体" w:hAnsi="宋体"/>
          <w:szCs w:val="21"/>
        </w:rPr>
      </w:pPr>
      <w:r>
        <w:rPr>
          <w:rFonts w:ascii="宋体"/>
          <w:kern w:val="0"/>
          <w:szCs w:val="21"/>
        </w:rPr>
        <w:t>5、</w:t>
      </w:r>
      <w:r>
        <w:rPr>
          <w:szCs w:val="21"/>
        </w:rPr>
        <w:t>每年5月1日至9月30日</w:t>
      </w:r>
      <w:r>
        <w:rPr>
          <w:rFonts w:hint="eastAsia"/>
          <w:szCs w:val="21"/>
          <w:lang w:eastAsia="zh-CN"/>
        </w:rPr>
        <w:t>为</w:t>
      </w:r>
      <w:r>
        <w:rPr>
          <w:szCs w:val="21"/>
        </w:rPr>
        <w:t>汛期，</w:t>
      </w:r>
    </w:p>
    <w:p>
      <w:pPr>
        <w:autoSpaceDE w:val="0"/>
        <w:autoSpaceDN w:val="0"/>
        <w:adjustRightInd w:val="0"/>
        <w:snapToGrid w:val="0"/>
        <w:ind w:firstLine="420" w:firstLineChars="200"/>
        <w:jc w:val="left"/>
        <w:rPr>
          <w:rFonts w:ascii="宋体"/>
          <w:kern w:val="0"/>
          <w:szCs w:val="21"/>
        </w:rPr>
      </w:pPr>
      <w:r>
        <w:rPr>
          <w:rFonts w:ascii="宋体"/>
          <w:kern w:val="0"/>
          <w:szCs w:val="21"/>
        </w:rPr>
        <w:t>6、中标供应商运维管理人员要做好防火、防盗、防破坏等安全防范工作，确保采购人设备正常运行和泵站财产安全；发现安全隐患、设备问题或异常情况(自来水漏水、水电门窗被盗等)，要及时向中标供应商管理人员和采购人汇报并记录。紧急情况下，中标供应商操作人员应按设备操作规程要求采取合理有效的方法（如立即停机、断电等措施），防止险情、故障扩大。同时立即上报采购人，在没有查清故障和排除故障的情况下，中标供应商运维管理人员不得盲目或擅自开机，做到不出人为设备、人身安全事故。</w:t>
      </w:r>
    </w:p>
    <w:p>
      <w:pPr>
        <w:autoSpaceDE w:val="0"/>
        <w:autoSpaceDN w:val="0"/>
        <w:adjustRightInd w:val="0"/>
        <w:snapToGrid w:val="0"/>
        <w:ind w:firstLine="420" w:firstLineChars="200"/>
        <w:jc w:val="left"/>
        <w:rPr>
          <w:rFonts w:ascii="宋体"/>
          <w:kern w:val="0"/>
          <w:szCs w:val="21"/>
        </w:rPr>
      </w:pPr>
      <w:r>
        <w:rPr>
          <w:rFonts w:ascii="宋体"/>
          <w:kern w:val="0"/>
          <w:szCs w:val="21"/>
        </w:rPr>
        <w:t>7、中标供应商必须每月对运维管理人员进行安全教育、安全培训工作，并保存记录。中标供应商对运维管理人员的安全负有全部责任，对泵站承包管理期间的各类安全事故等负全部责任。</w:t>
      </w:r>
    </w:p>
    <w:p>
      <w:pPr>
        <w:autoSpaceDE w:val="0"/>
        <w:autoSpaceDN w:val="0"/>
        <w:adjustRightInd w:val="0"/>
        <w:snapToGrid w:val="0"/>
        <w:ind w:firstLine="420" w:firstLineChars="200"/>
        <w:jc w:val="left"/>
        <w:rPr>
          <w:rFonts w:ascii="宋体"/>
          <w:kern w:val="0"/>
          <w:szCs w:val="21"/>
        </w:rPr>
      </w:pPr>
      <w:r>
        <w:rPr>
          <w:rFonts w:ascii="宋体"/>
          <w:kern w:val="0"/>
          <w:szCs w:val="21"/>
        </w:rPr>
        <w:t>8、除泵站正常生产用电外，未经采购人批准，中标供应商人员不得私自携带和使用与生产无关的电器设备。严禁私拉乱接电灯、电线等电器设备。泵站内配备的绝缘靴、绝缘手套、绝缘杆等劳动防护用品，除规定巡视配电设备穿戴使用外，中标供应商人员不得私自将其作为个人生活用品使用。</w:t>
      </w:r>
    </w:p>
    <w:p>
      <w:pPr>
        <w:ind w:firstLine="420" w:firstLineChars="200"/>
      </w:pPr>
      <w:r>
        <w:rPr>
          <w:rFonts w:hint="eastAsia" w:ascii="宋体" w:hAnsi="宋体" w:eastAsia="宋体"/>
          <w:bCs/>
          <w:highlight w:val="none"/>
          <w:lang w:val="en-US" w:eastAsia="zh-CN"/>
        </w:rPr>
        <w:t>9、</w:t>
      </w:r>
      <w:r>
        <w:rPr>
          <w:rFonts w:hint="eastAsia" w:ascii="宋体" w:hAnsi="宋体" w:eastAsia="宋体" w:cs="宋体"/>
          <w:sz w:val="21"/>
          <w:szCs w:val="21"/>
          <w:highlight w:val="none"/>
          <w:u w:val="single"/>
          <w:lang w:val="en-US" w:eastAsia="zh-CN"/>
        </w:rPr>
        <w:t>泵站内的绿化要做到</w:t>
      </w:r>
      <w:r>
        <w:rPr>
          <w:rFonts w:hint="eastAsia" w:ascii="宋体" w:hAnsi="宋体" w:eastAsia="宋体" w:cs="宋体"/>
          <w:sz w:val="21"/>
          <w:szCs w:val="21"/>
          <w:highlight w:val="none"/>
          <w:u w:val="single"/>
        </w:rPr>
        <w:t>草种正常生长,草坪无杂草:乔木、树木生长正常</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rPr>
        <w:t>无枯枝</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rPr>
        <w:t>灌木和花卉生长良好</w:t>
      </w:r>
      <w:r>
        <w:rPr>
          <w:rFonts w:hint="eastAsia" w:ascii="宋体" w:hAnsi="宋体" w:eastAsia="宋体" w:cs="宋体"/>
          <w:sz w:val="21"/>
          <w:szCs w:val="21"/>
          <w:highlight w:val="none"/>
          <w:u w:val="single"/>
          <w:lang w:eastAsia="zh-CN"/>
        </w:rPr>
        <w:t>，</w:t>
      </w:r>
      <w:r>
        <w:rPr>
          <w:rFonts w:hint="eastAsia" w:ascii="宋体" w:hAnsi="宋体" w:eastAsia="宋体" w:cs="宋体"/>
          <w:sz w:val="21"/>
          <w:szCs w:val="21"/>
          <w:highlight w:val="none"/>
          <w:u w:val="single"/>
        </w:rPr>
        <w:t>根据不同生长季节的天气情况,不同植物种类适当淋水，并做好雨季排水工作，每年对均对项目范围内的观花植物施肥至少一次。及时做好病虫害的防治工作,防止病虫害蔓延，每年冬季对树木刷白。针对项目范围内不同的植物进行修剪,对病虫枝、伤残枝、枯死枝等进行剪除，,每年最少绿篱修剪5次、草坪修剪5 次、荒草地修剪7次，经常除杂草和松土,做到基本无杂草。</w:t>
      </w:r>
    </w:p>
    <w:p>
      <w:pPr>
        <w:autoSpaceDE w:val="0"/>
        <w:autoSpaceDN w:val="0"/>
        <w:adjustRightInd w:val="0"/>
        <w:snapToGrid w:val="0"/>
        <w:ind w:firstLine="420" w:firstLineChars="200"/>
        <w:jc w:val="left"/>
        <w:rPr>
          <w:rFonts w:hint="eastAsia"/>
        </w:rPr>
      </w:pPr>
      <w:r>
        <w:rPr>
          <w:rFonts w:hint="eastAsia" w:ascii="宋体"/>
          <w:kern w:val="0"/>
          <w:szCs w:val="21"/>
          <w:lang w:val="en-US" w:eastAsia="zh-CN"/>
        </w:rPr>
        <w:t>10</w:t>
      </w:r>
      <w:r>
        <w:rPr>
          <w:rFonts w:ascii="宋体"/>
          <w:kern w:val="0"/>
          <w:szCs w:val="21"/>
        </w:rPr>
        <w:t>、</w:t>
      </w:r>
      <w:r>
        <w:rPr>
          <w:rFonts w:hint="eastAsia" w:ascii="宋体" w:hAnsi="宋体"/>
          <w:szCs w:val="21"/>
        </w:rPr>
        <w:t>本招标范围管养项目的报价应综合考虑目前现状（由投标人到现场察看）所有需维修项目的修复和管养期内的所有达到服务要求的费用，综合报价必须考虑自然的和人为的破坏、被盗等原因和风险，</w:t>
      </w:r>
      <w:r>
        <w:rPr>
          <w:rFonts w:ascii="宋体"/>
          <w:kern w:val="0"/>
          <w:szCs w:val="21"/>
        </w:rPr>
        <w:t>后期不得以任何理由要求增加费用。</w:t>
      </w:r>
    </w:p>
    <w:p>
      <w:pPr>
        <w:autoSpaceDE w:val="0"/>
        <w:autoSpaceDN w:val="0"/>
        <w:adjustRightInd w:val="0"/>
        <w:snapToGrid w:val="0"/>
        <w:ind w:firstLine="420" w:firstLineChars="200"/>
        <w:jc w:val="left"/>
        <w:rPr>
          <w:rFonts w:ascii="宋体"/>
          <w:kern w:val="0"/>
          <w:szCs w:val="21"/>
        </w:rPr>
      </w:pPr>
      <w:r>
        <w:rPr>
          <w:rFonts w:hint="eastAsia" w:ascii="宋体"/>
          <w:kern w:val="0"/>
          <w:szCs w:val="21"/>
        </w:rPr>
        <w:t>1</w:t>
      </w:r>
      <w:r>
        <w:rPr>
          <w:rFonts w:hint="eastAsia" w:ascii="宋体"/>
          <w:kern w:val="0"/>
          <w:szCs w:val="21"/>
          <w:lang w:val="en-US" w:eastAsia="zh-CN"/>
        </w:rPr>
        <w:t>1</w:t>
      </w:r>
      <w:r>
        <w:rPr>
          <w:rFonts w:hint="eastAsia" w:ascii="宋体"/>
          <w:kern w:val="0"/>
          <w:szCs w:val="21"/>
        </w:rPr>
        <w:t>、</w:t>
      </w:r>
      <w:r>
        <w:rPr>
          <w:rFonts w:ascii="宋体"/>
          <w:kern w:val="0"/>
          <w:szCs w:val="21"/>
        </w:rPr>
        <w:t>中标供应商必须为所管理的运维管理人员提供合适的工作条件、环境，中标后不得向招标人提出工作环境和条件改善的要求或以此要求增加费用。</w:t>
      </w:r>
    </w:p>
    <w:p>
      <w:pPr>
        <w:adjustRightInd w:val="0"/>
        <w:snapToGrid w:val="0"/>
        <w:ind w:firstLine="420" w:firstLineChars="200"/>
        <w:rPr>
          <w:rFonts w:hint="eastAsia" w:ascii="宋体" w:hAnsi="宋体"/>
          <w:szCs w:val="21"/>
        </w:rPr>
      </w:pPr>
      <w:r>
        <w:rPr>
          <w:rFonts w:ascii="宋体"/>
          <w:kern w:val="0"/>
          <w:szCs w:val="21"/>
        </w:rPr>
        <w:t>1</w:t>
      </w:r>
      <w:r>
        <w:rPr>
          <w:rFonts w:hint="eastAsia" w:ascii="宋体"/>
          <w:kern w:val="0"/>
          <w:szCs w:val="21"/>
          <w:lang w:val="en-US" w:eastAsia="zh-CN"/>
        </w:rPr>
        <w:t>2</w:t>
      </w:r>
      <w:r>
        <w:rPr>
          <w:rFonts w:ascii="宋体"/>
          <w:kern w:val="0"/>
          <w:szCs w:val="21"/>
        </w:rPr>
        <w:t>、中标供应商必须保证合法用工，按时支付人工工资，并不得低于</w:t>
      </w:r>
      <w:r>
        <w:rPr>
          <w:rFonts w:hint="eastAsia" w:ascii="宋体"/>
          <w:kern w:val="0"/>
          <w:szCs w:val="21"/>
        </w:rPr>
        <w:t>南京</w:t>
      </w:r>
      <w:r>
        <w:rPr>
          <w:rFonts w:ascii="宋体"/>
          <w:kern w:val="0"/>
          <w:szCs w:val="21"/>
        </w:rPr>
        <w:t>最低工资标准。</w:t>
      </w:r>
      <w:r>
        <w:rPr>
          <w:rFonts w:hint="eastAsia" w:ascii="宋体" w:hAnsi="宋体"/>
          <w:szCs w:val="21"/>
        </w:rPr>
        <w:t>任何劳资纠纷全由中标人负责，中标人的工作人员为招标人服务时产生的一切费用由中标人负责。</w:t>
      </w:r>
    </w:p>
    <w:p>
      <w:pPr>
        <w:adjustRightInd w:val="0"/>
        <w:snapToGrid w:val="0"/>
        <w:ind w:firstLine="420" w:firstLineChars="200"/>
        <w:rPr>
          <w:rFonts w:hint="eastAsia" w:ascii="宋体" w:hAnsi="宋体"/>
          <w:szCs w:val="21"/>
        </w:rPr>
      </w:pPr>
      <w:r>
        <w:rPr>
          <w:rFonts w:hint="eastAsia" w:ascii="宋体" w:hAnsi="宋体"/>
          <w:szCs w:val="21"/>
        </w:rPr>
        <w:t>中标人必须按法律、法规及有关政策规定为其服务人员购买社会保险、意外保险等相关保险。</w:t>
      </w:r>
    </w:p>
    <w:p>
      <w:pPr>
        <w:adjustRightInd w:val="0"/>
        <w:snapToGrid w:val="0"/>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3</w:t>
      </w:r>
      <w:r>
        <w:rPr>
          <w:rFonts w:hint="eastAsia" w:ascii="宋体" w:hAnsi="宋体"/>
          <w:szCs w:val="21"/>
        </w:rPr>
        <w:t>、中标人必须执行国家劳动法的相关规定。</w:t>
      </w:r>
    </w:p>
    <w:p>
      <w:pPr>
        <w:adjustRightInd w:val="0"/>
        <w:snapToGrid w:val="0"/>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4</w:t>
      </w:r>
      <w:r>
        <w:rPr>
          <w:rFonts w:hint="eastAsia" w:ascii="宋体" w:hAnsi="宋体"/>
          <w:szCs w:val="21"/>
        </w:rPr>
        <w:t>、中标人必须落实好安全生产的措施和配置安全作业的劳保用品。</w:t>
      </w:r>
    </w:p>
    <w:p>
      <w:pPr>
        <w:adjustRightInd w:val="0"/>
        <w:snapToGrid w:val="0"/>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、中标人的服务人员数量必须满足采购人的实际工作要求，且穿着统一标识、符合安全要求、有明显标志的工作服。</w:t>
      </w:r>
    </w:p>
    <w:p>
      <w:pPr>
        <w:adjustRightInd w:val="0"/>
        <w:snapToGrid w:val="0"/>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6</w:t>
      </w:r>
      <w:r>
        <w:rPr>
          <w:rFonts w:hint="eastAsia" w:ascii="宋体" w:hAnsi="宋体"/>
          <w:szCs w:val="21"/>
        </w:rPr>
        <w:t>、所有管养、维修人员的年龄均不得超过56岁。</w:t>
      </w:r>
    </w:p>
    <w:p>
      <w:pPr>
        <w:ind w:firstLine="420" w:firstLineChars="200"/>
        <w:rPr>
          <w:rFonts w:hint="eastAsia" w:ascii="宋体" w:hAnsi="宋体"/>
          <w:szCs w:val="21"/>
        </w:rPr>
      </w:pPr>
    </w:p>
    <w:p>
      <w:pPr>
        <w:tabs>
          <w:tab w:val="center" w:pos="4567"/>
        </w:tabs>
        <w:autoSpaceDE w:val="0"/>
        <w:autoSpaceDN w:val="0"/>
        <w:adjustRightInd w:val="0"/>
        <w:snapToGrid w:val="0"/>
        <w:spacing w:line="360" w:lineRule="auto"/>
        <w:outlineLvl w:val="1"/>
        <w:rPr>
          <w:rFonts w:hint="eastAsia" w:ascii="黑体" w:hAnsi="宋体" w:eastAsia="黑体"/>
          <w:b/>
          <w:sz w:val="28"/>
          <w:szCs w:val="32"/>
        </w:rPr>
      </w:pPr>
      <w:bookmarkStart w:id="62" w:name="_Toc414548268"/>
      <w:bookmarkStart w:id="63" w:name="_Toc513644725"/>
      <w:bookmarkStart w:id="64" w:name="_Toc401304077"/>
      <w:r>
        <w:rPr>
          <w:rFonts w:hint="eastAsia" w:ascii="黑体" w:hAnsi="宋体" w:eastAsia="黑体"/>
          <w:b/>
          <w:sz w:val="28"/>
          <w:szCs w:val="32"/>
        </w:rPr>
        <w:t>三、服务时间</w:t>
      </w:r>
      <w:bookmarkEnd w:id="62"/>
      <w:bookmarkEnd w:id="63"/>
      <w:bookmarkEnd w:id="64"/>
    </w:p>
    <w:p>
      <w:pPr>
        <w:ind w:firstLine="420" w:firstLineChars="200"/>
        <w:rPr>
          <w:rFonts w:hint="eastAsia" w:ascii="宋体" w:hAnsi="宋体"/>
          <w:szCs w:val="21"/>
        </w:rPr>
      </w:pPr>
      <w:r>
        <w:rPr>
          <w:rFonts w:hint="eastAsia" w:ascii="宋体" w:hAnsi="宋体"/>
          <w:bCs/>
        </w:rPr>
        <w:t>本项目一招三年，合同一年一签。</w:t>
      </w:r>
      <w:r>
        <w:rPr>
          <w:rFonts w:hint="eastAsia" w:ascii="宋体" w:hAnsi="宋体"/>
          <w:bCs/>
          <w:lang w:eastAsia="zh-CN"/>
        </w:rPr>
        <w:t>江宁区人民政府东山街道办事处</w:t>
      </w:r>
      <w:r>
        <w:rPr>
          <w:rFonts w:hint="eastAsia" w:ascii="宋体" w:hAnsi="宋体"/>
          <w:bCs/>
        </w:rPr>
        <w:t>先与中标供应商签订第一年的合同，其中：前三个月为试用期，试用期满经</w:t>
      </w:r>
      <w:r>
        <w:rPr>
          <w:rFonts w:hint="eastAsia" w:ascii="宋体" w:hAnsi="宋体"/>
          <w:bCs/>
          <w:lang w:eastAsia="zh-CN"/>
        </w:rPr>
        <w:t>江宁区人民政府东山街道办事处</w:t>
      </w:r>
      <w:r>
        <w:rPr>
          <w:rFonts w:hint="eastAsia" w:ascii="宋体" w:hAnsi="宋体"/>
          <w:bCs/>
        </w:rPr>
        <w:t>考核合格后，合同方为有效。合同期满后，由甲方根据考核决定下一年度合同</w:t>
      </w:r>
      <w:r>
        <w:rPr>
          <w:rFonts w:hint="eastAsia" w:ascii="宋体" w:hAnsi="宋体"/>
          <w:szCs w:val="21"/>
        </w:rPr>
        <w:t>续签与否，无需任何理由</w:t>
      </w:r>
      <w:r>
        <w:rPr>
          <w:rFonts w:hint="eastAsia" w:ascii="宋体" w:hAnsi="宋体"/>
          <w:bCs/>
        </w:rPr>
        <w:t>。政府采购合同履行中，采购人需追加与合同标的相同的服务的，在不改变合同其他条款的前提下，可以与供应商协商签订补充合同，但所有补充合同的采购金额不得超过原合同采购金额的百分</w:t>
      </w:r>
      <w:r>
        <w:rPr>
          <w:rFonts w:hint="eastAsia" w:ascii="宋体" w:hAnsi="宋体"/>
          <w:szCs w:val="21"/>
        </w:rPr>
        <w:t>之十。</w:t>
      </w:r>
    </w:p>
    <w:p>
      <w:pPr>
        <w:ind w:firstLine="420" w:firstLineChars="200"/>
        <w:rPr>
          <w:rFonts w:hint="eastAsia" w:ascii="宋体" w:hAnsi="宋体"/>
          <w:szCs w:val="21"/>
        </w:rPr>
      </w:pPr>
      <w:r>
        <w:rPr>
          <w:rFonts w:hint="eastAsia" w:ascii="宋体" w:hAnsi="宋体"/>
          <w:szCs w:val="21"/>
        </w:rPr>
        <w:t>实施每月养护考核制度，季度考核得分按当季度各月考核的</w:t>
      </w:r>
      <w:r>
        <w:rPr>
          <w:rFonts w:hint="eastAsia" w:ascii="宋体" w:hAnsi="宋体"/>
          <w:szCs w:val="21"/>
          <w:u w:val="none"/>
          <w:lang w:val="en-US" w:eastAsia="zh-CN"/>
        </w:rPr>
        <w:t>平均</w:t>
      </w:r>
      <w:r>
        <w:rPr>
          <w:rFonts w:hint="eastAsia" w:ascii="宋体" w:hAnsi="宋体"/>
          <w:szCs w:val="21"/>
        </w:rPr>
        <w:t>分，季度考核得分作为养护经费支付的依据。全年检查中超过三个月检查总分值低于70分，不再续签合同，视为不能正常履行合约。</w:t>
      </w:r>
    </w:p>
    <w:p>
      <w:pPr>
        <w:autoSpaceDE w:val="0"/>
        <w:autoSpaceDN w:val="0"/>
        <w:adjustRightInd w:val="0"/>
        <w:jc w:val="left"/>
        <w:rPr>
          <w:rFonts w:hint="eastAsia" w:ascii="宋体"/>
          <w:kern w:val="0"/>
          <w:sz w:val="23"/>
          <w:szCs w:val="23"/>
        </w:rPr>
      </w:pPr>
    </w:p>
    <w:p>
      <w:pPr>
        <w:tabs>
          <w:tab w:val="center" w:pos="4567"/>
        </w:tabs>
        <w:autoSpaceDE w:val="0"/>
        <w:autoSpaceDN w:val="0"/>
        <w:adjustRightInd w:val="0"/>
        <w:snapToGrid w:val="0"/>
        <w:spacing w:line="360" w:lineRule="auto"/>
        <w:outlineLvl w:val="1"/>
        <w:rPr>
          <w:rFonts w:ascii="黑体" w:hAnsi="宋体" w:eastAsia="黑体"/>
          <w:b/>
          <w:sz w:val="28"/>
          <w:szCs w:val="32"/>
        </w:rPr>
      </w:pPr>
      <w:bookmarkStart w:id="65" w:name="_Toc513644726"/>
      <w:r>
        <w:rPr>
          <w:rFonts w:hint="eastAsia" w:ascii="黑体" w:hAnsi="宋体" w:eastAsia="黑体"/>
          <w:b/>
          <w:sz w:val="28"/>
          <w:szCs w:val="32"/>
        </w:rPr>
        <w:t>四</w:t>
      </w:r>
      <w:r>
        <w:rPr>
          <w:rFonts w:ascii="黑体" w:hAnsi="宋体" w:eastAsia="黑体"/>
          <w:b/>
          <w:sz w:val="28"/>
          <w:szCs w:val="32"/>
        </w:rPr>
        <w:t>、违约责任</w:t>
      </w:r>
      <w:bookmarkEnd w:id="65"/>
    </w:p>
    <w:p>
      <w:pPr>
        <w:autoSpaceDE w:val="0"/>
        <w:autoSpaceDN w:val="0"/>
        <w:adjustRightInd w:val="0"/>
        <w:jc w:val="left"/>
        <w:rPr>
          <w:rFonts w:ascii="宋体"/>
          <w:kern w:val="0"/>
          <w:szCs w:val="21"/>
        </w:rPr>
      </w:pPr>
      <w:r>
        <w:rPr>
          <w:rFonts w:ascii="宋体"/>
          <w:kern w:val="0"/>
          <w:szCs w:val="21"/>
        </w:rPr>
        <w:t>（一）在服务期内，中标供应商未尽职责造成社会负面影响或损失的：</w:t>
      </w:r>
    </w:p>
    <w:p>
      <w:pPr>
        <w:autoSpaceDE w:val="0"/>
        <w:autoSpaceDN w:val="0"/>
        <w:adjustRightInd w:val="0"/>
        <w:jc w:val="left"/>
        <w:rPr>
          <w:rFonts w:ascii="宋体"/>
          <w:kern w:val="0"/>
          <w:szCs w:val="21"/>
        </w:rPr>
      </w:pPr>
      <w:r>
        <w:rPr>
          <w:rFonts w:ascii="宋体"/>
          <w:kern w:val="0"/>
          <w:szCs w:val="21"/>
        </w:rPr>
        <w:t>1、采购人有权单方解除与中标供应商签订的服务合同，履约保证金不予退还；</w:t>
      </w:r>
    </w:p>
    <w:p>
      <w:pPr>
        <w:autoSpaceDE w:val="0"/>
        <w:autoSpaceDN w:val="0"/>
        <w:adjustRightInd w:val="0"/>
        <w:jc w:val="left"/>
        <w:rPr>
          <w:rFonts w:ascii="宋体"/>
          <w:kern w:val="0"/>
          <w:szCs w:val="21"/>
        </w:rPr>
      </w:pPr>
      <w:r>
        <w:rPr>
          <w:rFonts w:ascii="宋体"/>
          <w:kern w:val="0"/>
          <w:szCs w:val="21"/>
        </w:rPr>
        <w:t>2、造成采购人设施、设备损坏的，或者被盗被抢的，责成中标供应商按质按价全额赔偿；</w:t>
      </w:r>
    </w:p>
    <w:p>
      <w:pPr>
        <w:autoSpaceDE w:val="0"/>
        <w:autoSpaceDN w:val="0"/>
        <w:adjustRightInd w:val="0"/>
        <w:jc w:val="left"/>
        <w:rPr>
          <w:rFonts w:ascii="宋体"/>
          <w:kern w:val="0"/>
          <w:szCs w:val="21"/>
        </w:rPr>
      </w:pPr>
      <w:r>
        <w:rPr>
          <w:rFonts w:ascii="宋体"/>
          <w:kern w:val="0"/>
          <w:szCs w:val="21"/>
        </w:rPr>
        <w:t>3、泵站服务区内如发生积漫水、污水漫溢等现象，造成损失和社会负面影响的，中标供应商依法承担所有赔偿责任。</w:t>
      </w:r>
    </w:p>
    <w:p>
      <w:pPr>
        <w:autoSpaceDE w:val="0"/>
        <w:autoSpaceDN w:val="0"/>
        <w:adjustRightInd w:val="0"/>
        <w:jc w:val="left"/>
        <w:rPr>
          <w:rFonts w:ascii="宋体"/>
          <w:kern w:val="0"/>
          <w:szCs w:val="21"/>
        </w:rPr>
      </w:pPr>
      <w:r>
        <w:rPr>
          <w:rFonts w:ascii="宋体"/>
          <w:kern w:val="0"/>
          <w:szCs w:val="21"/>
        </w:rPr>
        <w:t>（二）对中标供应商运维管理人员的违规行为，采购人出具通知单告知中标供应商，对中标供应商操作人员的罚款及直接损失费将一并从服务费中扣除，细则如下：</w:t>
      </w:r>
    </w:p>
    <w:p>
      <w:pPr>
        <w:autoSpaceDE w:val="0"/>
        <w:autoSpaceDN w:val="0"/>
        <w:adjustRightInd w:val="0"/>
        <w:jc w:val="left"/>
        <w:rPr>
          <w:rFonts w:ascii="宋体"/>
          <w:kern w:val="0"/>
          <w:szCs w:val="21"/>
        </w:rPr>
      </w:pPr>
      <w:r>
        <w:rPr>
          <w:rFonts w:ascii="宋体"/>
          <w:kern w:val="0"/>
          <w:szCs w:val="21"/>
        </w:rPr>
        <w:t>1、为保持泵站站容站貌干净整洁，达到文明创建要求，保证设施完好，对泵站工作人员日常管理工作，从劳动纪律、站容站貌、机电设备养护、安全生产四个方面进行管理。</w:t>
      </w:r>
    </w:p>
    <w:p>
      <w:pPr>
        <w:autoSpaceDE w:val="0"/>
        <w:autoSpaceDN w:val="0"/>
        <w:adjustRightInd w:val="0"/>
        <w:jc w:val="left"/>
        <w:rPr>
          <w:rFonts w:ascii="宋体"/>
          <w:kern w:val="0"/>
          <w:szCs w:val="21"/>
        </w:rPr>
      </w:pPr>
      <w:r>
        <w:rPr>
          <w:rFonts w:ascii="宋体"/>
          <w:kern w:val="0"/>
          <w:szCs w:val="21"/>
        </w:rPr>
        <w:t>1）劳动纪律：</w:t>
      </w:r>
    </w:p>
    <w:p>
      <w:pPr>
        <w:autoSpaceDE w:val="0"/>
        <w:autoSpaceDN w:val="0"/>
        <w:adjustRightInd w:val="0"/>
        <w:jc w:val="left"/>
        <w:rPr>
          <w:rFonts w:hint="eastAsia" w:ascii="宋体"/>
          <w:kern w:val="0"/>
          <w:szCs w:val="21"/>
        </w:rPr>
      </w:pPr>
      <w:r>
        <w:rPr>
          <w:rFonts w:hint="eastAsia" w:ascii="宋体" w:hAnsi="宋体" w:cs="宋体"/>
          <w:kern w:val="0"/>
          <w:szCs w:val="21"/>
        </w:rPr>
        <w:t>①</w:t>
      </w:r>
      <w:r>
        <w:rPr>
          <w:rFonts w:ascii="宋体"/>
          <w:kern w:val="0"/>
          <w:szCs w:val="21"/>
        </w:rPr>
        <w:t>运维管理人员值班时必须穿着统一的工作服，挂牌上岗,衣冠整洁，禁止赤膊、赤脚、穿拖鞋等不文明行为；上班迟到、早退；上班期间从事其他与工作无关的；睡岗、串岗等等，以上每发现一次扣200元；</w:t>
      </w:r>
    </w:p>
    <w:p>
      <w:pPr>
        <w:autoSpaceDE w:val="0"/>
        <w:autoSpaceDN w:val="0"/>
        <w:adjustRightInd w:val="0"/>
        <w:jc w:val="left"/>
        <w:rPr>
          <w:rFonts w:ascii="宋体"/>
          <w:kern w:val="0"/>
          <w:szCs w:val="21"/>
        </w:rPr>
      </w:pPr>
      <w:r>
        <w:rPr>
          <w:rFonts w:hint="eastAsia" w:ascii="宋体" w:hAnsi="宋体" w:cs="宋体"/>
          <w:kern w:val="0"/>
          <w:szCs w:val="21"/>
        </w:rPr>
        <w:t>②</w:t>
      </w:r>
      <w:r>
        <w:rPr>
          <w:rFonts w:ascii="宋体"/>
          <w:kern w:val="0"/>
          <w:szCs w:val="21"/>
        </w:rPr>
        <w:t>不按照制定的交接班时间、违反交接班制度的；未做好每天值班记录及开机记录的填报、记录不清楚、不按时、不按要求上报；不按照制定的定人定岗人员名单；替班、换班未按正常程序履行手续的；容留、聚集其他无关人员在泵站的；以及其他违反劳动纪律的行为；以上每发现一次扣500元；</w:t>
      </w:r>
    </w:p>
    <w:p>
      <w:pPr>
        <w:autoSpaceDE w:val="0"/>
        <w:autoSpaceDN w:val="0"/>
        <w:adjustRightInd w:val="0"/>
        <w:jc w:val="left"/>
        <w:rPr>
          <w:rFonts w:ascii="宋体"/>
          <w:kern w:val="0"/>
          <w:szCs w:val="21"/>
        </w:rPr>
      </w:pPr>
      <w:r>
        <w:rPr>
          <w:rFonts w:hint="eastAsia" w:ascii="宋体" w:hAnsi="宋体" w:cs="宋体"/>
          <w:kern w:val="0"/>
          <w:szCs w:val="21"/>
        </w:rPr>
        <w:t>③</w:t>
      </w:r>
      <w:r>
        <w:rPr>
          <w:rFonts w:ascii="宋体"/>
          <w:kern w:val="0"/>
          <w:szCs w:val="21"/>
        </w:rPr>
        <w:t>上班期间离岗、脱岗；上班期间饮酒、饮酒后上岗的；考勤、检查等记录弄虚作假的；未按照泵站运行工艺或采购人指令完成岗位职责但未造成后果的，一次扣1000元；</w:t>
      </w:r>
    </w:p>
    <w:p>
      <w:pPr>
        <w:autoSpaceDE w:val="0"/>
        <w:autoSpaceDN w:val="0"/>
        <w:adjustRightInd w:val="0"/>
        <w:jc w:val="left"/>
        <w:rPr>
          <w:rFonts w:ascii="宋体"/>
          <w:kern w:val="0"/>
          <w:szCs w:val="21"/>
        </w:rPr>
      </w:pPr>
      <w:r>
        <w:rPr>
          <w:rFonts w:ascii="宋体"/>
          <w:kern w:val="0"/>
          <w:szCs w:val="21"/>
        </w:rPr>
        <w:t>上述违规行为同一值班人再次发生，加倍处罚并责令中标供应商重新调换人员。</w:t>
      </w:r>
    </w:p>
    <w:p>
      <w:pPr>
        <w:autoSpaceDE w:val="0"/>
        <w:autoSpaceDN w:val="0"/>
        <w:adjustRightInd w:val="0"/>
        <w:jc w:val="left"/>
        <w:rPr>
          <w:rFonts w:ascii="宋体"/>
          <w:kern w:val="0"/>
          <w:szCs w:val="21"/>
        </w:rPr>
      </w:pPr>
      <w:r>
        <w:rPr>
          <w:rFonts w:ascii="宋体"/>
          <w:kern w:val="0"/>
          <w:szCs w:val="21"/>
        </w:rPr>
        <w:t>2）站容站貌：</w:t>
      </w:r>
    </w:p>
    <w:p>
      <w:pPr>
        <w:autoSpaceDE w:val="0"/>
        <w:autoSpaceDN w:val="0"/>
        <w:adjustRightInd w:val="0"/>
        <w:jc w:val="left"/>
        <w:rPr>
          <w:rFonts w:ascii="宋体"/>
          <w:kern w:val="0"/>
          <w:szCs w:val="21"/>
        </w:rPr>
      </w:pPr>
      <w:r>
        <w:rPr>
          <w:rFonts w:hint="eastAsia" w:ascii="宋体" w:hAnsi="宋体" w:cs="宋体"/>
          <w:kern w:val="0"/>
          <w:szCs w:val="21"/>
        </w:rPr>
        <w:t>①</w:t>
      </w:r>
      <w:r>
        <w:rPr>
          <w:rFonts w:ascii="宋体"/>
          <w:kern w:val="0"/>
          <w:szCs w:val="21"/>
        </w:rPr>
        <w:t>泵站内道路整洁，无散落枯枝败叶或垃圾杂物；围栏、大门功能完好，无损坏、锈蚀、无乱贴乱画；泵房、配电房检修工具及其他物品摆放整齐，无与工作无关的物品；门、窗、地面、栏杆、扶手、屋顶等无积尘、蜘蛛网等；设备外观有油渍、污垢；泵站内饲养家禽等；以上每发现一处不符扣200元；</w:t>
      </w:r>
    </w:p>
    <w:p>
      <w:pPr>
        <w:autoSpaceDE w:val="0"/>
        <w:autoSpaceDN w:val="0"/>
        <w:adjustRightInd w:val="0"/>
        <w:jc w:val="left"/>
        <w:rPr>
          <w:rFonts w:ascii="宋体"/>
          <w:kern w:val="0"/>
          <w:szCs w:val="21"/>
        </w:rPr>
      </w:pPr>
      <w:r>
        <w:rPr>
          <w:rFonts w:hint="eastAsia" w:ascii="宋体" w:hAnsi="宋体" w:cs="宋体"/>
          <w:kern w:val="0"/>
          <w:szCs w:val="21"/>
        </w:rPr>
        <w:t>②</w:t>
      </w:r>
      <w:r>
        <w:rPr>
          <w:rFonts w:ascii="宋体"/>
          <w:kern w:val="0"/>
          <w:szCs w:val="21"/>
        </w:rPr>
        <w:t>中标供应商对发现的泵站站容站貌存在的问题、缺陷没有及时上报、记录或没有发现泵站设施、站容站貌存在问题、缺陷的，发现一次扣500元。</w:t>
      </w:r>
    </w:p>
    <w:p>
      <w:pPr>
        <w:autoSpaceDE w:val="0"/>
        <w:autoSpaceDN w:val="0"/>
        <w:adjustRightInd w:val="0"/>
        <w:jc w:val="left"/>
        <w:rPr>
          <w:rFonts w:ascii="宋体"/>
          <w:kern w:val="0"/>
          <w:szCs w:val="21"/>
        </w:rPr>
      </w:pPr>
      <w:r>
        <w:rPr>
          <w:rFonts w:hint="eastAsia" w:ascii="宋体" w:hAnsi="宋体" w:cs="宋体"/>
          <w:kern w:val="0"/>
          <w:szCs w:val="21"/>
        </w:rPr>
        <w:t>③</w:t>
      </w:r>
      <w:r>
        <w:rPr>
          <w:rFonts w:ascii="宋体"/>
          <w:kern w:val="0"/>
          <w:szCs w:val="21"/>
        </w:rPr>
        <w:t>由于站容站貌原因造成文明创建检查失分；或上级单位检查中被发现问题；以上每次扣2000元，并视情节轻重、负面影响的大小，采购人有权单方面解除双方合同。</w:t>
      </w:r>
    </w:p>
    <w:p>
      <w:pPr>
        <w:autoSpaceDE w:val="0"/>
        <w:autoSpaceDN w:val="0"/>
        <w:adjustRightInd w:val="0"/>
        <w:jc w:val="left"/>
        <w:rPr>
          <w:rFonts w:ascii="宋体"/>
          <w:kern w:val="0"/>
          <w:szCs w:val="21"/>
        </w:rPr>
      </w:pPr>
      <w:r>
        <w:rPr>
          <w:rFonts w:ascii="宋体"/>
          <w:kern w:val="0"/>
          <w:szCs w:val="21"/>
        </w:rPr>
        <w:t>3）机电设备养护：</w:t>
      </w:r>
    </w:p>
    <w:p>
      <w:pPr>
        <w:autoSpaceDE w:val="0"/>
        <w:autoSpaceDN w:val="0"/>
        <w:adjustRightInd w:val="0"/>
        <w:jc w:val="left"/>
        <w:rPr>
          <w:rFonts w:ascii="宋体"/>
          <w:kern w:val="0"/>
          <w:szCs w:val="21"/>
        </w:rPr>
      </w:pPr>
      <w:r>
        <w:rPr>
          <w:rFonts w:hint="eastAsia" w:ascii="宋体" w:hAnsi="宋体" w:cs="宋体"/>
          <w:kern w:val="0"/>
          <w:szCs w:val="21"/>
        </w:rPr>
        <w:t>①</w:t>
      </w:r>
      <w:r>
        <w:rPr>
          <w:rFonts w:ascii="宋体"/>
          <w:kern w:val="0"/>
          <w:szCs w:val="21"/>
        </w:rPr>
        <w:t>低压柜外，绝缘地垫，高压房，变压器室内，机泵外观有明显积尘和蜘蛛网的按站容站貌相关条款规定进行处罚；</w:t>
      </w:r>
    </w:p>
    <w:p>
      <w:pPr>
        <w:autoSpaceDE w:val="0"/>
        <w:autoSpaceDN w:val="0"/>
        <w:adjustRightInd w:val="0"/>
        <w:jc w:val="left"/>
        <w:rPr>
          <w:rFonts w:ascii="宋体"/>
          <w:kern w:val="0"/>
          <w:szCs w:val="21"/>
        </w:rPr>
      </w:pPr>
      <w:r>
        <w:rPr>
          <w:rFonts w:hint="eastAsia" w:ascii="宋体" w:hAnsi="宋体" w:cs="宋体"/>
          <w:kern w:val="0"/>
          <w:szCs w:val="21"/>
        </w:rPr>
        <w:t>②</w:t>
      </w:r>
      <w:r>
        <w:rPr>
          <w:rFonts w:ascii="宋体"/>
          <w:kern w:val="0"/>
          <w:szCs w:val="21"/>
        </w:rPr>
        <w:t>设备设施发现锈蚀发现腐蚀、渗漏、开裂、损坏等情况要及时处理，不能处理的及时向监控中心汇报，并记录清楚；疏于巡视，未发现故障或发现故障不及时报修一次扣500元。</w:t>
      </w:r>
    </w:p>
    <w:p>
      <w:pPr>
        <w:autoSpaceDE w:val="0"/>
        <w:autoSpaceDN w:val="0"/>
        <w:adjustRightInd w:val="0"/>
        <w:jc w:val="left"/>
        <w:rPr>
          <w:rFonts w:ascii="宋体"/>
          <w:kern w:val="0"/>
          <w:szCs w:val="21"/>
        </w:rPr>
      </w:pPr>
      <w:r>
        <w:rPr>
          <w:rFonts w:ascii="宋体"/>
          <w:kern w:val="0"/>
          <w:szCs w:val="21"/>
        </w:rPr>
        <w:t>4）安全生产：</w:t>
      </w:r>
    </w:p>
    <w:p>
      <w:pPr>
        <w:autoSpaceDE w:val="0"/>
        <w:autoSpaceDN w:val="0"/>
        <w:adjustRightInd w:val="0"/>
        <w:jc w:val="left"/>
        <w:rPr>
          <w:rFonts w:ascii="宋体"/>
          <w:kern w:val="0"/>
          <w:szCs w:val="21"/>
        </w:rPr>
      </w:pPr>
      <w:r>
        <w:rPr>
          <w:rFonts w:hint="eastAsia" w:ascii="宋体" w:hAnsi="宋体" w:cs="宋体"/>
          <w:kern w:val="0"/>
          <w:szCs w:val="21"/>
        </w:rPr>
        <w:t>①</w:t>
      </w:r>
      <w:r>
        <w:rPr>
          <w:rFonts w:ascii="宋体"/>
          <w:kern w:val="0"/>
          <w:szCs w:val="21"/>
        </w:rPr>
        <w:t>违规使用泵站内配备的绝缘靴、绝缘手套、绝缘杆等劳动防护用品或擅自挪用当个人用品使用的；未按规定穿戴安全防护用具、不按操作规程操作且未造成后果的，一次扣1000元；如因运维管理人员的违规、疏忽大意等行为造成后果的，由中标供应商承担所有损失的赔偿责任；</w:t>
      </w:r>
    </w:p>
    <w:p>
      <w:pPr>
        <w:autoSpaceDE w:val="0"/>
        <w:autoSpaceDN w:val="0"/>
        <w:adjustRightInd w:val="0"/>
        <w:jc w:val="left"/>
        <w:rPr>
          <w:rFonts w:ascii="宋体"/>
          <w:kern w:val="0"/>
          <w:szCs w:val="21"/>
        </w:rPr>
      </w:pPr>
      <w:r>
        <w:rPr>
          <w:rFonts w:hint="eastAsia" w:ascii="宋体" w:hAnsi="宋体" w:cs="宋体"/>
          <w:kern w:val="0"/>
          <w:szCs w:val="21"/>
        </w:rPr>
        <w:t>②</w:t>
      </w:r>
      <w:r>
        <w:rPr>
          <w:rFonts w:ascii="宋体"/>
          <w:kern w:val="0"/>
          <w:szCs w:val="21"/>
        </w:rPr>
        <w:t>上款违规行为同一运维管理人员第二次发生加倍处罚并责令中标供应商重新调换人员。</w:t>
      </w:r>
    </w:p>
    <w:p>
      <w:pPr>
        <w:autoSpaceDE w:val="0"/>
        <w:autoSpaceDN w:val="0"/>
        <w:adjustRightInd w:val="0"/>
        <w:jc w:val="left"/>
        <w:rPr>
          <w:rFonts w:ascii="宋体"/>
          <w:kern w:val="0"/>
          <w:szCs w:val="21"/>
        </w:rPr>
      </w:pPr>
      <w:r>
        <w:rPr>
          <w:rFonts w:ascii="宋体"/>
          <w:kern w:val="0"/>
          <w:szCs w:val="21"/>
        </w:rPr>
        <w:t>2、泵站在降雨时或汛期中出现脱岗、缺岗行为的；未履行岗位职责，造成影响和后果的；未按操作规程，违规使用设备造成损失在5000元以下的；不服从采购人调度的等行为；要求调换的人员中标供应商不能在规定时间内配齐的；对存在上述行为之一的，责令中标供应商重新调换人员，每次罚款2000元并承担赔偿责任。</w:t>
      </w:r>
    </w:p>
    <w:p>
      <w:pPr>
        <w:autoSpaceDE w:val="0"/>
        <w:autoSpaceDN w:val="0"/>
        <w:adjustRightInd w:val="0"/>
        <w:jc w:val="left"/>
        <w:rPr>
          <w:rFonts w:ascii="宋体"/>
          <w:kern w:val="0"/>
          <w:szCs w:val="21"/>
        </w:rPr>
      </w:pPr>
      <w:r>
        <w:rPr>
          <w:rFonts w:ascii="宋体"/>
          <w:kern w:val="0"/>
          <w:szCs w:val="21"/>
        </w:rPr>
        <w:t>3、其它违规行为：</w:t>
      </w:r>
    </w:p>
    <w:p>
      <w:pPr>
        <w:autoSpaceDE w:val="0"/>
        <w:autoSpaceDN w:val="0"/>
        <w:adjustRightInd w:val="0"/>
        <w:jc w:val="left"/>
        <w:rPr>
          <w:rFonts w:ascii="宋体"/>
          <w:kern w:val="0"/>
          <w:szCs w:val="21"/>
        </w:rPr>
      </w:pPr>
      <w:r>
        <w:rPr>
          <w:rFonts w:hint="eastAsia" w:ascii="宋体" w:hAnsi="宋体" w:cs="宋体"/>
          <w:kern w:val="0"/>
          <w:szCs w:val="21"/>
        </w:rPr>
        <w:t>①</w:t>
      </w:r>
      <w:r>
        <w:rPr>
          <w:rFonts w:ascii="宋体"/>
          <w:kern w:val="0"/>
          <w:szCs w:val="21"/>
        </w:rPr>
        <w:t>不按安全技术要求操作规程操作，发生事故，造成直接损失达5000元以上，或不履行岗位职责，造成直接损失达5000元以上。</w:t>
      </w:r>
    </w:p>
    <w:p>
      <w:pPr>
        <w:autoSpaceDE w:val="0"/>
        <w:autoSpaceDN w:val="0"/>
        <w:adjustRightInd w:val="0"/>
        <w:jc w:val="left"/>
        <w:rPr>
          <w:rFonts w:ascii="宋体"/>
          <w:kern w:val="0"/>
          <w:szCs w:val="21"/>
        </w:rPr>
      </w:pPr>
      <w:r>
        <w:rPr>
          <w:rFonts w:hint="eastAsia" w:ascii="宋体" w:hAnsi="宋体" w:cs="宋体"/>
          <w:kern w:val="0"/>
          <w:szCs w:val="21"/>
        </w:rPr>
        <w:t>②</w:t>
      </w:r>
      <w:r>
        <w:rPr>
          <w:rFonts w:ascii="宋体"/>
          <w:kern w:val="0"/>
          <w:szCs w:val="21"/>
        </w:rPr>
        <w:t>设备非正常损坏造成停产或事故及损失的。</w:t>
      </w:r>
    </w:p>
    <w:p>
      <w:pPr>
        <w:autoSpaceDE w:val="0"/>
        <w:autoSpaceDN w:val="0"/>
        <w:adjustRightInd w:val="0"/>
        <w:jc w:val="left"/>
        <w:rPr>
          <w:rFonts w:ascii="宋体"/>
          <w:kern w:val="0"/>
          <w:szCs w:val="21"/>
        </w:rPr>
      </w:pPr>
      <w:r>
        <w:rPr>
          <w:rFonts w:hint="eastAsia" w:ascii="宋体" w:hAnsi="宋体" w:cs="宋体"/>
          <w:kern w:val="0"/>
          <w:szCs w:val="21"/>
        </w:rPr>
        <w:t>③</w:t>
      </w:r>
      <w:r>
        <w:rPr>
          <w:rFonts w:ascii="宋体"/>
          <w:kern w:val="0"/>
          <w:szCs w:val="21"/>
        </w:rPr>
        <w:t>因不履行岗位职责，严重影响采购人工作的。</w:t>
      </w:r>
    </w:p>
    <w:p>
      <w:pPr>
        <w:autoSpaceDE w:val="0"/>
        <w:autoSpaceDN w:val="0"/>
        <w:adjustRightInd w:val="0"/>
        <w:jc w:val="left"/>
        <w:rPr>
          <w:rFonts w:ascii="宋体"/>
          <w:kern w:val="0"/>
          <w:szCs w:val="21"/>
        </w:rPr>
      </w:pPr>
      <w:r>
        <w:rPr>
          <w:rFonts w:ascii="宋体"/>
          <w:kern w:val="0"/>
          <w:szCs w:val="21"/>
        </w:rPr>
        <w:t>对由上述行为造成的损失，中标供应商必须按价赔偿并依法承担赔偿责任，采购人有权单方解除合同。</w:t>
      </w:r>
    </w:p>
    <w:p>
      <w:pPr>
        <w:autoSpaceDE w:val="0"/>
        <w:autoSpaceDN w:val="0"/>
        <w:adjustRightInd w:val="0"/>
        <w:jc w:val="left"/>
        <w:rPr>
          <w:rFonts w:hint="eastAsia" w:ascii="宋体"/>
          <w:kern w:val="0"/>
          <w:sz w:val="23"/>
          <w:szCs w:val="23"/>
        </w:rPr>
      </w:pPr>
    </w:p>
    <w:p>
      <w:pPr>
        <w:tabs>
          <w:tab w:val="center" w:pos="4567"/>
        </w:tabs>
        <w:autoSpaceDE w:val="0"/>
        <w:autoSpaceDN w:val="0"/>
        <w:adjustRightInd w:val="0"/>
        <w:snapToGrid w:val="0"/>
        <w:spacing w:line="360" w:lineRule="auto"/>
        <w:outlineLvl w:val="1"/>
        <w:rPr>
          <w:rFonts w:ascii="黑体" w:hAnsi="宋体" w:eastAsia="黑体"/>
          <w:b/>
          <w:sz w:val="28"/>
          <w:szCs w:val="32"/>
        </w:rPr>
      </w:pPr>
      <w:bookmarkStart w:id="66" w:name="_Toc513644727"/>
      <w:r>
        <w:rPr>
          <w:rFonts w:ascii="黑体" w:hAnsi="宋体" w:eastAsia="黑体"/>
          <w:b/>
          <w:sz w:val="28"/>
          <w:szCs w:val="32"/>
        </w:rPr>
        <w:t>五、考核</w:t>
      </w:r>
      <w:bookmarkEnd w:id="66"/>
    </w:p>
    <w:p>
      <w:pPr>
        <w:autoSpaceDE w:val="0"/>
        <w:autoSpaceDN w:val="0"/>
        <w:adjustRightInd w:val="0"/>
        <w:jc w:val="left"/>
        <w:rPr>
          <w:rFonts w:ascii="宋体"/>
          <w:kern w:val="0"/>
          <w:szCs w:val="21"/>
        </w:rPr>
      </w:pPr>
      <w:r>
        <w:rPr>
          <w:rFonts w:ascii="宋体"/>
          <w:kern w:val="0"/>
          <w:szCs w:val="21"/>
        </w:rPr>
        <w:t>1、中标供应商应定期将泵站检查（巡查）记录、运行记录、维护记录、培训教育记录等运维台账汇总后报采购人，作为采购人考核中标供应商管理的指标之一。对采购人提出的问题，采取措施进行整改，将整改的结果在三天内向采购人汇报。特殊情况下应根据采购人的要求及时进行。</w:t>
      </w:r>
    </w:p>
    <w:p>
      <w:pPr>
        <w:pStyle w:val="101"/>
        <w:pageBreakBefore w:val="0"/>
        <w:widowControl w:val="0"/>
        <w:numPr>
          <w:ilvl w:val="1"/>
          <w:numId w:val="0"/>
        </w:numPr>
        <w:kinsoku/>
        <w:wordWrap/>
        <w:overflowPunct/>
        <w:topLinePunct w:val="0"/>
        <w:autoSpaceDE/>
        <w:autoSpaceDN/>
        <w:bidi w:val="0"/>
        <w:adjustRightInd/>
        <w:snapToGrid/>
        <w:spacing w:before="0" w:after="0" w:line="240" w:lineRule="auto"/>
        <w:ind w:firstLine="420" w:firstLineChars="200"/>
        <w:textAlignment w:val="auto"/>
        <w:outlineLvl w:val="9"/>
        <w:rPr>
          <w:rFonts w:hint="eastAsia" w:ascii="宋体" w:hAnsi="宋体" w:eastAsia="宋体" w:cs="宋体"/>
          <w:b w:val="0"/>
          <w:bCs w:val="0"/>
          <w:sz w:val="21"/>
          <w:szCs w:val="21"/>
          <w:highlight w:val="none"/>
          <w:u w:val="single"/>
          <w:lang w:val="en-US" w:eastAsia="zh-CN"/>
        </w:rPr>
      </w:pPr>
      <w:r>
        <w:rPr>
          <w:rFonts w:hint="eastAsia" w:ascii="宋体" w:eastAsia="宋体"/>
          <w:b w:val="0"/>
          <w:bCs/>
          <w:kern w:val="0"/>
          <w:sz w:val="21"/>
          <w:szCs w:val="15"/>
          <w:lang w:val="en-US" w:eastAsia="zh-CN"/>
        </w:rPr>
        <w:t>2</w:t>
      </w:r>
      <w:r>
        <w:rPr>
          <w:rFonts w:hint="eastAsia" w:ascii="宋体" w:hAnsi="宋体" w:eastAsia="宋体" w:cs="宋体"/>
          <w:b w:val="0"/>
          <w:bCs/>
          <w:kern w:val="0"/>
          <w:sz w:val="21"/>
          <w:szCs w:val="15"/>
        </w:rPr>
        <w:t>、</w:t>
      </w:r>
      <w:r>
        <w:rPr>
          <w:rFonts w:hint="eastAsia" w:ascii="宋体" w:hAnsi="宋体" w:eastAsia="宋体" w:cs="宋体"/>
          <w:b w:val="0"/>
          <w:bCs w:val="0"/>
          <w:sz w:val="21"/>
          <w:szCs w:val="21"/>
          <w:highlight w:val="none"/>
          <w:u w:val="single"/>
          <w:lang w:val="en-US" w:eastAsia="zh-CN"/>
        </w:rPr>
        <w:t>采购人或其指定第三方将对中标供应商履约情况进行考核。巡查及养护考核分为月、季度、年度考核。</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u w:val="single"/>
        </w:rPr>
      </w:pPr>
      <w:r>
        <w:rPr>
          <w:rFonts w:hint="eastAsia" w:ascii="宋体" w:hAnsi="宋体" w:eastAsia="宋体" w:cs="宋体"/>
          <w:b w:val="0"/>
          <w:bCs w:val="0"/>
          <w:sz w:val="21"/>
          <w:szCs w:val="21"/>
          <w:highlight w:val="none"/>
          <w:u w:val="single"/>
        </w:rPr>
        <w:t>1</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u w:val="single"/>
        </w:rPr>
        <w:t xml:space="preserve">月考核：得分大于等于 90 分核定为优，大于等于 </w:t>
      </w:r>
      <w:r>
        <w:rPr>
          <w:rFonts w:hint="eastAsia" w:ascii="宋体" w:hAnsi="宋体" w:eastAsia="宋体" w:cs="宋体"/>
          <w:b w:val="0"/>
          <w:bCs w:val="0"/>
          <w:sz w:val="21"/>
          <w:szCs w:val="21"/>
          <w:highlight w:val="none"/>
          <w:u w:val="single"/>
          <w:lang w:val="en-US" w:eastAsia="zh-CN"/>
        </w:rPr>
        <w:t>80</w:t>
      </w:r>
      <w:r>
        <w:rPr>
          <w:rFonts w:hint="eastAsia" w:ascii="宋体" w:hAnsi="宋体" w:eastAsia="宋体" w:cs="宋体"/>
          <w:b w:val="0"/>
          <w:bCs w:val="0"/>
          <w:sz w:val="21"/>
          <w:szCs w:val="21"/>
          <w:highlight w:val="none"/>
          <w:u w:val="single"/>
        </w:rPr>
        <w:t xml:space="preserve">分小于 90 分核定为良，大于等于 </w:t>
      </w:r>
      <w:r>
        <w:rPr>
          <w:rFonts w:hint="eastAsia" w:ascii="宋体" w:hAnsi="宋体" w:eastAsia="宋体" w:cs="宋体"/>
          <w:b w:val="0"/>
          <w:bCs w:val="0"/>
          <w:sz w:val="21"/>
          <w:szCs w:val="21"/>
          <w:highlight w:val="none"/>
          <w:u w:val="single"/>
          <w:lang w:val="en-US" w:eastAsia="zh-CN"/>
        </w:rPr>
        <w:t>70</w:t>
      </w:r>
      <w:r>
        <w:rPr>
          <w:rFonts w:hint="eastAsia" w:ascii="宋体" w:hAnsi="宋体" w:eastAsia="宋体" w:cs="宋体"/>
          <w:b w:val="0"/>
          <w:bCs w:val="0"/>
          <w:sz w:val="21"/>
          <w:szCs w:val="21"/>
          <w:highlight w:val="none"/>
          <w:u w:val="single"/>
        </w:rPr>
        <w:t xml:space="preserve"> 分小于 </w:t>
      </w:r>
      <w:r>
        <w:rPr>
          <w:rFonts w:hint="eastAsia" w:ascii="宋体" w:hAnsi="宋体" w:eastAsia="宋体" w:cs="宋体"/>
          <w:b w:val="0"/>
          <w:bCs w:val="0"/>
          <w:sz w:val="21"/>
          <w:szCs w:val="21"/>
          <w:highlight w:val="none"/>
          <w:u w:val="single"/>
          <w:lang w:val="en-US" w:eastAsia="zh-CN"/>
        </w:rPr>
        <w:t>8</w:t>
      </w:r>
      <w:r>
        <w:rPr>
          <w:rFonts w:hint="eastAsia" w:ascii="宋体" w:hAnsi="宋体" w:eastAsia="宋体" w:cs="宋体"/>
          <w:b w:val="0"/>
          <w:bCs w:val="0"/>
          <w:sz w:val="21"/>
          <w:szCs w:val="21"/>
          <w:highlight w:val="none"/>
          <w:u w:val="single"/>
        </w:rPr>
        <w:t xml:space="preserve">0 分核定为合格，小于 </w:t>
      </w:r>
      <w:r>
        <w:rPr>
          <w:rFonts w:hint="eastAsia" w:ascii="宋体" w:hAnsi="宋体" w:eastAsia="宋体" w:cs="宋体"/>
          <w:b w:val="0"/>
          <w:bCs w:val="0"/>
          <w:sz w:val="21"/>
          <w:szCs w:val="21"/>
          <w:highlight w:val="none"/>
          <w:u w:val="single"/>
          <w:lang w:val="en-US" w:eastAsia="zh-CN"/>
        </w:rPr>
        <w:t>7</w:t>
      </w:r>
      <w:r>
        <w:rPr>
          <w:rFonts w:hint="eastAsia" w:ascii="宋体" w:hAnsi="宋体" w:eastAsia="宋体" w:cs="宋体"/>
          <w:b w:val="0"/>
          <w:bCs w:val="0"/>
          <w:sz w:val="21"/>
          <w:szCs w:val="21"/>
          <w:highlight w:val="none"/>
          <w:u w:val="single"/>
        </w:rPr>
        <w:t xml:space="preserve">0 分为不合格。 </w:t>
      </w:r>
      <w:r>
        <w:rPr>
          <w:rFonts w:hint="eastAsia" w:ascii="宋体" w:hAnsi="宋体" w:eastAsia="宋体" w:cs="宋体"/>
          <w:b w:val="0"/>
          <w:bCs w:val="0"/>
          <w:sz w:val="21"/>
          <w:szCs w:val="21"/>
          <w:highlight w:val="none"/>
          <w:u w:val="single"/>
          <w:lang w:val="en-US" w:eastAsia="zh-CN"/>
        </w:rPr>
        <w:t>中标供应方月考核的分数为中标供应方维管泵站中的最低分计算，</w:t>
      </w:r>
      <w:r>
        <w:rPr>
          <w:rFonts w:ascii="宋体" w:hAnsi="宋体"/>
          <w:bCs/>
          <w:highlight w:val="none"/>
          <w:u w:val="single"/>
        </w:rPr>
        <w:t>每次</w:t>
      </w:r>
      <w:r>
        <w:rPr>
          <w:rFonts w:hint="eastAsia" w:ascii="宋体" w:hAnsi="宋体"/>
          <w:bCs/>
          <w:highlight w:val="none"/>
          <w:u w:val="single"/>
          <w:lang w:val="en-US" w:eastAsia="zh-CN"/>
        </w:rPr>
        <w:t>每个</w:t>
      </w:r>
      <w:r>
        <w:rPr>
          <w:rFonts w:ascii="宋体" w:hAnsi="宋体"/>
          <w:bCs/>
          <w:highlight w:val="none"/>
          <w:u w:val="single"/>
        </w:rPr>
        <w:t>考核分数在85以上（含85分），不核减中标供应商此泵站的当月的泵站管理服务费用；得分80（含80）～85分，每少1分核减此泵站当</w:t>
      </w:r>
      <w:r>
        <w:rPr>
          <w:rFonts w:hint="eastAsia" w:ascii="宋体" w:hAnsi="宋体"/>
          <w:bCs/>
          <w:highlight w:val="none"/>
          <w:u w:val="single"/>
        </w:rPr>
        <w:t>季</w:t>
      </w:r>
      <w:r>
        <w:rPr>
          <w:rFonts w:ascii="宋体" w:hAnsi="宋体"/>
          <w:bCs/>
          <w:highlight w:val="none"/>
          <w:u w:val="single"/>
        </w:rPr>
        <w:t>服务费用的0.5%；得分80以下的，每少1分核减此泵站当月服务费用的1%。</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u w:val="single"/>
        </w:rPr>
      </w:pPr>
      <w:r>
        <w:rPr>
          <w:rFonts w:hint="eastAsia" w:ascii="宋体" w:hAnsi="宋体" w:eastAsia="宋体" w:cs="宋体"/>
          <w:b w:val="0"/>
          <w:bCs w:val="0"/>
          <w:sz w:val="21"/>
          <w:szCs w:val="21"/>
          <w:highlight w:val="none"/>
          <w:u w:val="single"/>
        </w:rPr>
        <w:t>2</w:t>
      </w:r>
      <w:r>
        <w:rPr>
          <w:rFonts w:hint="eastAsia" w:ascii="宋体" w:hAnsi="宋体" w:eastAsia="宋体" w:cs="宋体"/>
          <w:b w:val="0"/>
          <w:bCs w:val="0"/>
          <w:sz w:val="21"/>
          <w:szCs w:val="21"/>
          <w:highlight w:val="none"/>
          <w:u w:val="single"/>
          <w:lang w:val="en-US" w:eastAsia="zh-CN"/>
        </w:rPr>
        <w:t xml:space="preserve">) </w:t>
      </w:r>
      <w:r>
        <w:rPr>
          <w:rFonts w:hint="eastAsia" w:ascii="宋体" w:hAnsi="宋体" w:eastAsia="宋体" w:cs="宋体"/>
          <w:b w:val="0"/>
          <w:bCs w:val="0"/>
          <w:sz w:val="21"/>
          <w:szCs w:val="21"/>
          <w:highlight w:val="none"/>
          <w:u w:val="single"/>
        </w:rPr>
        <w:t xml:space="preserve">季度考核：2个月为优 1个月为良或合格核定为优；2个月为良 1个月为优或合格，或一个月为优一个月为良一个月为合格考核定为良；一个月为优或良、两个月为合格或三个月均为合格核定为合格。 </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u w:val="single"/>
        </w:rPr>
      </w:pPr>
      <w:r>
        <w:rPr>
          <w:rFonts w:hint="eastAsia" w:ascii="宋体" w:hAnsi="宋体" w:eastAsia="宋体" w:cs="宋体"/>
          <w:b w:val="0"/>
          <w:bCs w:val="0"/>
          <w:sz w:val="21"/>
          <w:szCs w:val="21"/>
          <w:highlight w:val="none"/>
          <w:u w:val="single"/>
          <w:lang w:val="en-US" w:eastAsia="zh-CN"/>
        </w:rPr>
        <w:t xml:space="preserve">3) </w:t>
      </w:r>
      <w:r>
        <w:rPr>
          <w:rFonts w:hint="eastAsia" w:ascii="宋体" w:hAnsi="宋体" w:eastAsia="宋体" w:cs="宋体"/>
          <w:b w:val="0"/>
          <w:bCs w:val="0"/>
          <w:sz w:val="21"/>
          <w:szCs w:val="21"/>
          <w:highlight w:val="none"/>
          <w:u w:val="single"/>
        </w:rPr>
        <w:t>全年考核：</w:t>
      </w:r>
      <w:r>
        <w:rPr>
          <w:rFonts w:hint="eastAsia" w:ascii="宋体" w:hAnsi="宋体" w:eastAsia="宋体" w:cs="宋体"/>
          <w:b w:val="0"/>
          <w:bCs w:val="0"/>
          <w:sz w:val="21"/>
          <w:szCs w:val="21"/>
          <w:highlight w:val="none"/>
          <w:u w:val="single"/>
          <w:lang w:val="en-US" w:eastAsia="zh-CN"/>
        </w:rPr>
        <w:t>4个季度考核为优、</w:t>
      </w:r>
      <w:r>
        <w:rPr>
          <w:rFonts w:hint="eastAsia" w:ascii="宋体" w:hAnsi="宋体" w:eastAsia="宋体" w:cs="宋体"/>
          <w:b w:val="0"/>
          <w:bCs w:val="0"/>
          <w:sz w:val="21"/>
          <w:szCs w:val="21"/>
          <w:highlight w:val="none"/>
          <w:u w:val="single"/>
        </w:rPr>
        <w:t>12月考核为优，年度考核核定为优；</w:t>
      </w:r>
      <w:r>
        <w:rPr>
          <w:rFonts w:hint="eastAsia" w:ascii="宋体" w:hAnsi="宋体" w:eastAsia="宋体" w:cs="宋体"/>
          <w:b w:val="0"/>
          <w:bCs w:val="0"/>
          <w:sz w:val="21"/>
          <w:szCs w:val="21"/>
          <w:highlight w:val="none"/>
          <w:u w:val="single"/>
          <w:lang w:val="en-US" w:eastAsia="zh-CN"/>
        </w:rPr>
        <w:t>4个季度考核中有两个以上为良</w:t>
      </w:r>
      <w:r>
        <w:rPr>
          <w:rFonts w:hint="eastAsia" w:ascii="宋体" w:hAnsi="宋体" w:eastAsia="宋体" w:cs="宋体"/>
          <w:b w:val="0"/>
          <w:bCs w:val="0"/>
          <w:sz w:val="21"/>
          <w:szCs w:val="21"/>
          <w:highlight w:val="none"/>
          <w:u w:val="single"/>
        </w:rPr>
        <w:t>，年度考核核定为良；</w:t>
      </w:r>
      <w:r>
        <w:rPr>
          <w:rFonts w:hint="eastAsia" w:ascii="宋体" w:hAnsi="宋体" w:eastAsia="宋体" w:cs="宋体"/>
          <w:b w:val="0"/>
          <w:bCs w:val="0"/>
          <w:sz w:val="21"/>
          <w:szCs w:val="21"/>
          <w:highlight w:val="none"/>
          <w:u w:val="single"/>
          <w:lang w:val="en-US" w:eastAsia="zh-CN"/>
        </w:rPr>
        <w:t>4个季度考核中有1个以上为合格</w:t>
      </w:r>
      <w:r>
        <w:rPr>
          <w:rFonts w:hint="eastAsia" w:ascii="宋体" w:hAnsi="宋体" w:eastAsia="宋体" w:cs="宋体"/>
          <w:b w:val="0"/>
          <w:bCs w:val="0"/>
          <w:sz w:val="21"/>
          <w:szCs w:val="21"/>
          <w:highlight w:val="none"/>
          <w:u w:val="single"/>
        </w:rPr>
        <w:t xml:space="preserve">，年度考核核定为为合格。 </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sz w:val="21"/>
          <w:szCs w:val="21"/>
          <w:highlight w:val="none"/>
          <w:u w:val="single"/>
        </w:rPr>
      </w:pPr>
      <w:r>
        <w:rPr>
          <w:rFonts w:hint="eastAsia" w:ascii="宋体" w:hAnsi="宋体" w:eastAsia="宋体" w:cs="宋体"/>
          <w:b w:val="0"/>
          <w:bCs w:val="0"/>
          <w:sz w:val="21"/>
          <w:szCs w:val="21"/>
          <w:highlight w:val="none"/>
          <w:u w:val="single"/>
          <w:lang w:val="en-US" w:eastAsia="zh-CN"/>
        </w:rPr>
        <w:t xml:space="preserve">4) </w:t>
      </w:r>
      <w:r>
        <w:rPr>
          <w:rFonts w:hint="eastAsia" w:ascii="宋体" w:hAnsi="宋体" w:eastAsia="宋体" w:cs="宋体"/>
          <w:b w:val="0"/>
          <w:bCs w:val="0"/>
          <w:sz w:val="21"/>
          <w:szCs w:val="21"/>
          <w:highlight w:val="none"/>
          <w:u w:val="single"/>
        </w:rPr>
        <w:t xml:space="preserve">凡有一个月考核为不合格，年度考核即为不合格。凡考核不合格甲方有权立即解除养护合同，并扣除当月养护经费，另行选择其他养护队伍。 </w:t>
      </w:r>
    </w:p>
    <w:p>
      <w:pPr>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sz w:val="21"/>
          <w:szCs w:val="21"/>
          <w:highlight w:val="none"/>
          <w:u w:val="single"/>
        </w:rPr>
      </w:pPr>
      <w:r>
        <w:rPr>
          <w:rFonts w:hint="eastAsia" w:ascii="宋体" w:hAnsi="宋体" w:cs="宋体"/>
          <w:sz w:val="22"/>
          <w:szCs w:val="21"/>
          <w:highlight w:val="none"/>
          <w:u w:val="single"/>
          <w:lang w:val="en-US" w:eastAsia="zh-CN"/>
        </w:rPr>
        <w:t xml:space="preserve">5) </w:t>
      </w:r>
      <w:r>
        <w:rPr>
          <w:rFonts w:hint="eastAsia" w:ascii="宋体" w:hAnsi="宋体" w:eastAsia="宋体" w:cs="宋体"/>
          <w:sz w:val="21"/>
          <w:szCs w:val="21"/>
          <w:highlight w:val="none"/>
          <w:u w:val="single"/>
        </w:rPr>
        <w:t>年终考核为良，</w:t>
      </w:r>
      <w:r>
        <w:rPr>
          <w:rFonts w:hint="eastAsia" w:ascii="宋体" w:hAnsi="宋体" w:eastAsia="宋体" w:cs="宋体"/>
          <w:sz w:val="21"/>
          <w:szCs w:val="21"/>
          <w:highlight w:val="none"/>
          <w:u w:val="single"/>
          <w:lang w:val="en-US" w:eastAsia="zh-CN"/>
        </w:rPr>
        <w:t>扣除当期</w:t>
      </w:r>
      <w:r>
        <w:rPr>
          <w:rFonts w:hint="eastAsia" w:ascii="宋体" w:hAnsi="宋体" w:eastAsia="宋体" w:cs="宋体"/>
          <w:bCs/>
          <w:sz w:val="21"/>
          <w:szCs w:val="21"/>
          <w:highlight w:val="none"/>
          <w:u w:val="single"/>
        </w:rPr>
        <w:t>日常养护费用的</w:t>
      </w:r>
      <w:r>
        <w:rPr>
          <w:rFonts w:hint="eastAsia" w:ascii="宋体" w:hAnsi="宋体" w:eastAsia="宋体" w:cs="宋体"/>
          <w:bCs/>
          <w:sz w:val="21"/>
          <w:szCs w:val="21"/>
          <w:highlight w:val="none"/>
          <w:u w:val="single"/>
          <w:lang w:val="en-US" w:eastAsia="zh-CN"/>
        </w:rPr>
        <w:t>5</w:t>
      </w:r>
      <w:r>
        <w:rPr>
          <w:rFonts w:hint="eastAsia" w:ascii="宋体" w:hAnsi="宋体" w:eastAsia="宋体" w:cs="宋体"/>
          <w:bCs/>
          <w:sz w:val="21"/>
          <w:szCs w:val="21"/>
          <w:highlight w:val="none"/>
          <w:u w:val="single"/>
        </w:rPr>
        <w:t>%</w:t>
      </w:r>
      <w:r>
        <w:rPr>
          <w:rFonts w:hint="eastAsia" w:ascii="宋体" w:hAnsi="宋体" w:eastAsia="宋体" w:cs="宋体"/>
          <w:sz w:val="21"/>
          <w:szCs w:val="21"/>
          <w:highlight w:val="none"/>
          <w:u w:val="single"/>
        </w:rPr>
        <w:t>；年终考核为合格，</w:t>
      </w:r>
      <w:r>
        <w:rPr>
          <w:rFonts w:hint="eastAsia" w:ascii="宋体" w:hAnsi="宋体" w:eastAsia="宋体" w:cs="宋体"/>
          <w:sz w:val="21"/>
          <w:szCs w:val="21"/>
          <w:highlight w:val="none"/>
          <w:u w:val="single"/>
          <w:lang w:val="en-US" w:eastAsia="zh-CN"/>
        </w:rPr>
        <w:t>扣除当期</w:t>
      </w:r>
      <w:r>
        <w:rPr>
          <w:rFonts w:hint="eastAsia" w:ascii="宋体" w:hAnsi="宋体" w:eastAsia="宋体" w:cs="宋体"/>
          <w:bCs/>
          <w:sz w:val="21"/>
          <w:szCs w:val="21"/>
          <w:highlight w:val="none"/>
          <w:u w:val="single"/>
        </w:rPr>
        <w:t>日常养护费用的</w:t>
      </w:r>
      <w:r>
        <w:rPr>
          <w:rFonts w:hint="eastAsia" w:ascii="宋体" w:hAnsi="宋体" w:eastAsia="宋体" w:cs="宋体"/>
          <w:bCs/>
          <w:sz w:val="21"/>
          <w:szCs w:val="21"/>
          <w:highlight w:val="none"/>
          <w:u w:val="single"/>
          <w:lang w:val="en-US" w:eastAsia="zh-CN"/>
        </w:rPr>
        <w:t>10</w:t>
      </w:r>
      <w:r>
        <w:rPr>
          <w:rFonts w:hint="eastAsia" w:ascii="宋体" w:hAnsi="宋体" w:eastAsia="宋体" w:cs="宋体"/>
          <w:bCs/>
          <w:sz w:val="21"/>
          <w:szCs w:val="21"/>
          <w:highlight w:val="none"/>
          <w:u w:val="single"/>
        </w:rPr>
        <w:t>%</w:t>
      </w:r>
      <w:r>
        <w:rPr>
          <w:rFonts w:hint="eastAsia" w:ascii="宋体" w:hAnsi="宋体" w:eastAsia="宋体" w:cs="宋体"/>
          <w:sz w:val="21"/>
          <w:szCs w:val="21"/>
          <w:highlight w:val="none"/>
          <w:u w:val="single"/>
        </w:rPr>
        <w:t>；凡有一个月考核为不合格，年度考核即为不合格，甲方有权立即解除养护合同并扣除当月养护经费，另行选择其他养护队伍。</w:t>
      </w:r>
    </w:p>
    <w:tbl>
      <w:tblPr>
        <w:tblStyle w:val="30"/>
        <w:tblW w:w="9062" w:type="dxa"/>
        <w:jc w:val="center"/>
        <w:shd w:val="clear" w:color="auto" w:fill="auto"/>
        <w:tblLayout w:type="fixed"/>
        <w:tblCellMar>
          <w:top w:w="0" w:type="dxa"/>
          <w:left w:w="108" w:type="dxa"/>
          <w:bottom w:w="0" w:type="dxa"/>
          <w:right w:w="108" w:type="dxa"/>
        </w:tblCellMar>
      </w:tblPr>
      <w:tblGrid>
        <w:gridCol w:w="1284"/>
        <w:gridCol w:w="3274"/>
        <w:gridCol w:w="3654"/>
        <w:gridCol w:w="850"/>
      </w:tblGrid>
      <w:tr>
        <w:tblPrEx>
          <w:shd w:val="clear" w:color="auto" w:fill="auto"/>
          <w:tblCellMar>
            <w:top w:w="0" w:type="dxa"/>
            <w:left w:w="108" w:type="dxa"/>
            <w:bottom w:w="0" w:type="dxa"/>
            <w:right w:w="108" w:type="dxa"/>
          </w:tblCellMar>
        </w:tblPrEx>
        <w:trPr>
          <w:trHeight w:val="27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考核项目</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考核内容</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考核要求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得分</w:t>
            </w:r>
          </w:p>
        </w:tc>
      </w:tr>
      <w:tr>
        <w:tblPrEx>
          <w:shd w:val="clear" w:color="auto" w:fill="auto"/>
          <w:tblCellMar>
            <w:top w:w="0" w:type="dxa"/>
            <w:left w:w="108" w:type="dxa"/>
            <w:bottom w:w="0" w:type="dxa"/>
            <w:right w:w="108" w:type="dxa"/>
          </w:tblCellMar>
        </w:tblPrEx>
        <w:trPr>
          <w:trHeight w:val="1350" w:hRule="atLeast"/>
          <w:jc w:val="center"/>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台账资料</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（13分）</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泵站每日运维记录表、每周工作计划、灭火器检查表格、设备运行检查表格和打捞人员工作签到表都有相应记录 （5分）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一个表格记录不全扣1分、3个以上记录不全扣5分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rPr>
            </w:pPr>
          </w:p>
        </w:tc>
      </w:tr>
      <w:tr>
        <w:tblPrEx>
          <w:shd w:val="clear" w:color="auto" w:fill="auto"/>
          <w:tblCellMar>
            <w:top w:w="0" w:type="dxa"/>
            <w:left w:w="108" w:type="dxa"/>
            <w:bottom w:w="0" w:type="dxa"/>
            <w:right w:w="108" w:type="dxa"/>
          </w:tblCellMar>
        </w:tblPrEx>
        <w:trPr>
          <w:trHeight w:val="48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设备保养记录齐全 （3分）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记录不齐全的扣3分。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rPr>
            </w:pPr>
          </w:p>
        </w:tc>
      </w:tr>
      <w:tr>
        <w:tblPrEx>
          <w:shd w:val="clear" w:color="auto" w:fill="auto"/>
          <w:tblCellMar>
            <w:top w:w="0" w:type="dxa"/>
            <w:left w:w="108" w:type="dxa"/>
            <w:bottom w:w="0" w:type="dxa"/>
            <w:right w:w="108" w:type="dxa"/>
          </w:tblCellMar>
        </w:tblPrEx>
        <w:trPr>
          <w:trHeight w:val="81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泵站每月泵站运维台账送至采购方检查收录 （5分）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未及时送往采购方的扣2分，内容不完整扣3分。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1"/>
                <w:szCs w:val="21"/>
                <w:highlight w:val="none"/>
                <w:u w:val="single"/>
                <w:lang w:val="en-US" w:eastAsia="zh-CN"/>
              </w:rPr>
            </w:pPr>
          </w:p>
        </w:tc>
      </w:tr>
      <w:tr>
        <w:tblPrEx>
          <w:shd w:val="clear" w:color="auto" w:fill="auto"/>
          <w:tblCellMar>
            <w:top w:w="0" w:type="dxa"/>
            <w:left w:w="108" w:type="dxa"/>
            <w:bottom w:w="0" w:type="dxa"/>
            <w:right w:w="108" w:type="dxa"/>
          </w:tblCellMar>
        </w:tblPrEx>
        <w:trPr>
          <w:trHeight w:val="2580" w:hRule="atLeast"/>
          <w:jc w:val="center"/>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日常设备检查</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（30分）</w:t>
            </w:r>
          </w:p>
        </w:tc>
        <w:tc>
          <w:tcPr>
            <w:tcW w:w="327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设备完好，无损坏无运行隐患</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设备检查表必须填写完整，要求字迹工整，内容全面。 （20分）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泵机完好，无运行隐患8分；</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电房内设备完好，无运行隐患4分；</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格栅机等泵房外设备完好2分；</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泵站内生活照明等弱电设备完好2分</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设备检查表内容不完整的或未填写的扣4分.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rPr>
            </w:pPr>
          </w:p>
        </w:tc>
      </w:tr>
      <w:tr>
        <w:tblPrEx>
          <w:shd w:val="clear" w:color="auto" w:fill="auto"/>
          <w:tblCellMar>
            <w:top w:w="0" w:type="dxa"/>
            <w:left w:w="108" w:type="dxa"/>
            <w:bottom w:w="0" w:type="dxa"/>
            <w:right w:w="108" w:type="dxa"/>
          </w:tblCellMar>
        </w:tblPrEx>
        <w:trPr>
          <w:trHeight w:val="81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灭火器齐全、在年检时间范围内且无超压、欠压情况 （5分）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不在年检范围内的扣5分；超压扣3分；欠压扣2分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rPr>
            </w:pPr>
          </w:p>
        </w:tc>
      </w:tr>
      <w:tr>
        <w:tblPrEx>
          <w:shd w:val="clear" w:color="auto" w:fill="auto"/>
          <w:tblCellMar>
            <w:top w:w="0" w:type="dxa"/>
            <w:left w:w="108" w:type="dxa"/>
            <w:bottom w:w="0" w:type="dxa"/>
            <w:right w:w="108" w:type="dxa"/>
          </w:tblCellMar>
        </w:tblPrEx>
        <w:trPr>
          <w:trHeight w:val="136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绝缘用具完好无破损，且在年检时间范围内；安全设备每日必须检查并记录在安全设备检查表中 （5分）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不在年检范围内的扣2分；安全设备检查表记录不全的扣3分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1"/>
                <w:szCs w:val="21"/>
                <w:highlight w:val="none"/>
                <w:u w:val="single"/>
                <w:lang w:val="en-US" w:eastAsia="zh-CN"/>
              </w:rPr>
            </w:pPr>
          </w:p>
        </w:tc>
      </w:tr>
      <w:tr>
        <w:tblPrEx>
          <w:shd w:val="clear" w:color="auto" w:fill="auto"/>
          <w:tblCellMar>
            <w:top w:w="0" w:type="dxa"/>
            <w:left w:w="108" w:type="dxa"/>
            <w:bottom w:w="0" w:type="dxa"/>
            <w:right w:w="108" w:type="dxa"/>
          </w:tblCellMar>
        </w:tblPrEx>
        <w:trPr>
          <w:trHeight w:val="980" w:hRule="atLeast"/>
          <w:jc w:val="center"/>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故障处理</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（23分）</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故障检查到位，不留隐患 （6分）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未查出故障被采购方查出，如发现隐患较大（泵机运行异常、控制柜损坏等）扣6分；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rPr>
            </w:pPr>
          </w:p>
        </w:tc>
      </w:tr>
      <w:tr>
        <w:tblPrEx>
          <w:shd w:val="clear" w:color="auto" w:fill="auto"/>
          <w:tblCellMar>
            <w:top w:w="0" w:type="dxa"/>
            <w:left w:w="108" w:type="dxa"/>
            <w:bottom w:w="0" w:type="dxa"/>
            <w:right w:w="108" w:type="dxa"/>
          </w:tblCellMar>
        </w:tblPrEx>
        <w:trPr>
          <w:trHeight w:val="134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故障应急时间（6分）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应急时间超过原定时间15分钟的扣2分；超过30分钟的扣4分；超过45的扣6分。（汛期和雨天时间减半）</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rPr>
            </w:pPr>
          </w:p>
        </w:tc>
      </w:tr>
      <w:tr>
        <w:tblPrEx>
          <w:tblCellMar>
            <w:top w:w="0" w:type="dxa"/>
            <w:left w:w="108" w:type="dxa"/>
            <w:bottom w:w="0" w:type="dxa"/>
            <w:right w:w="108" w:type="dxa"/>
          </w:tblCellMar>
        </w:tblPrEx>
        <w:trPr>
          <w:trHeight w:val="138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故障处理时间 （6分）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故障处理超过原定时间1天的扣2分；超过3天的扣4分；超过一周的扣6分。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rPr>
            </w:pPr>
          </w:p>
        </w:tc>
      </w:tr>
      <w:tr>
        <w:tblPrEx>
          <w:shd w:val="clear" w:color="auto" w:fill="auto"/>
          <w:tblCellMar>
            <w:top w:w="0" w:type="dxa"/>
            <w:left w:w="108" w:type="dxa"/>
            <w:bottom w:w="0" w:type="dxa"/>
            <w:right w:w="108" w:type="dxa"/>
          </w:tblCellMar>
        </w:tblPrEx>
        <w:trPr>
          <w:trHeight w:val="135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故障处理完成后，须完好可用，无隐患 （5分）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故障处理留有隐患，使用替换设备，原件与原先的不对应或者质量不过关的扣3分，故障处理完全不能正常使用的扣5分。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1"/>
                <w:szCs w:val="21"/>
                <w:highlight w:val="none"/>
                <w:u w:val="single"/>
                <w:lang w:val="en-US" w:eastAsia="zh-CN"/>
              </w:rPr>
            </w:pPr>
          </w:p>
        </w:tc>
      </w:tr>
      <w:tr>
        <w:tblPrEx>
          <w:shd w:val="clear" w:color="auto" w:fill="auto"/>
          <w:tblCellMar>
            <w:top w:w="0" w:type="dxa"/>
            <w:left w:w="108" w:type="dxa"/>
            <w:bottom w:w="0" w:type="dxa"/>
            <w:right w:w="108" w:type="dxa"/>
          </w:tblCellMar>
        </w:tblPrEx>
        <w:trPr>
          <w:trHeight w:val="1080" w:hRule="atLeast"/>
          <w:jc w:val="center"/>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日常工作</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（10分）</w:t>
            </w:r>
          </w:p>
        </w:tc>
        <w:tc>
          <w:tcPr>
            <w:tcW w:w="3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泵站维管人员必须穿戴工作服，持工作证上岗，电工必须持有低压电工证以及高压电工证。 （4分）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未穿工作服的扣1分</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未持有电工证的操作低高压电气设备发现一次扣2分，发现两次此项不得分。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rPr>
            </w:pPr>
          </w:p>
        </w:tc>
      </w:tr>
      <w:tr>
        <w:tblPrEx>
          <w:shd w:val="clear" w:color="auto" w:fill="auto"/>
          <w:tblCellMar>
            <w:top w:w="0" w:type="dxa"/>
            <w:left w:w="108" w:type="dxa"/>
            <w:bottom w:w="0" w:type="dxa"/>
            <w:right w:w="108" w:type="dxa"/>
          </w:tblCellMar>
        </w:tblPrEx>
        <w:trPr>
          <w:trHeight w:val="81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1"/>
                <w:szCs w:val="21"/>
                <w:highlight w:val="none"/>
                <w:u w:val="single"/>
                <w:lang w:val="en-US" w:eastAsia="zh-CN" w:bidi="ar"/>
              </w:rPr>
            </w:pPr>
            <w:r>
              <w:rPr>
                <w:rFonts w:hint="eastAsia" w:ascii="宋体" w:hAnsi="宋体" w:eastAsia="宋体" w:cs="宋体"/>
                <w:i w:val="0"/>
                <w:iCs w:val="0"/>
                <w:color w:val="000000"/>
                <w:kern w:val="0"/>
                <w:sz w:val="21"/>
                <w:szCs w:val="21"/>
                <w:highlight w:val="none"/>
                <w:u w:val="single"/>
                <w:lang w:val="en-US" w:eastAsia="zh-CN" w:bidi="ar"/>
              </w:rPr>
              <w:t>泵站值班人员必须保持24小时通讯畅通，对采购方要求要第一时间完成。（4分）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1"/>
                <w:szCs w:val="21"/>
                <w:highlight w:val="none"/>
                <w:u w:val="single"/>
                <w:lang w:val="en-US" w:eastAsia="zh-CN" w:bidi="ar"/>
              </w:rPr>
            </w:pPr>
            <w:r>
              <w:rPr>
                <w:rFonts w:hint="eastAsia" w:ascii="宋体" w:hAnsi="宋体" w:eastAsia="宋体" w:cs="宋体"/>
                <w:i w:val="0"/>
                <w:iCs w:val="0"/>
                <w:color w:val="000000"/>
                <w:kern w:val="0"/>
                <w:sz w:val="21"/>
                <w:szCs w:val="21"/>
                <w:highlight w:val="none"/>
                <w:u w:val="single"/>
                <w:lang w:val="en-US" w:eastAsia="zh-CN" w:bidi="ar"/>
              </w:rPr>
              <w:t>20分钟内联系不到值班人员扣2分，（汛期和雨天时间减半）不听从采购方调派的扣4分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lang w:val="en-US" w:eastAsia="zh-CN"/>
              </w:rPr>
            </w:pPr>
          </w:p>
        </w:tc>
      </w:tr>
      <w:tr>
        <w:tblPrEx>
          <w:tblCellMar>
            <w:top w:w="0" w:type="dxa"/>
            <w:left w:w="108" w:type="dxa"/>
            <w:bottom w:w="0" w:type="dxa"/>
            <w:right w:w="108" w:type="dxa"/>
          </w:tblCellMar>
        </w:tblPrEx>
        <w:trPr>
          <w:trHeight w:val="81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泵站维管人员当天工作迟到、早退 （2分）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一次未签到扣1分，代签发现一次扣2分。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1"/>
                <w:szCs w:val="21"/>
                <w:highlight w:val="none"/>
                <w:u w:val="single"/>
                <w:lang w:val="en-US" w:eastAsia="zh-CN"/>
              </w:rPr>
            </w:pPr>
          </w:p>
        </w:tc>
      </w:tr>
      <w:tr>
        <w:tblPrEx>
          <w:tblCellMar>
            <w:top w:w="0" w:type="dxa"/>
            <w:left w:w="108" w:type="dxa"/>
            <w:bottom w:w="0" w:type="dxa"/>
            <w:right w:w="108" w:type="dxa"/>
          </w:tblCellMar>
        </w:tblPrEx>
        <w:trPr>
          <w:trHeight w:val="810" w:hRule="atLeast"/>
          <w:jc w:val="center"/>
        </w:trPr>
        <w:tc>
          <w:tcPr>
            <w:tcW w:w="128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泵站环境</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（24分）</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1"/>
                <w:szCs w:val="21"/>
                <w:highlight w:val="none"/>
                <w:u w:val="single"/>
                <w:lang w:val="en-US" w:eastAsia="zh-CN" w:bidi="ar"/>
              </w:rPr>
            </w:pPr>
            <w:r>
              <w:rPr>
                <w:rFonts w:hint="eastAsia" w:ascii="宋体" w:hAnsi="宋体" w:eastAsia="宋体" w:cs="宋体"/>
                <w:i w:val="0"/>
                <w:iCs w:val="0"/>
                <w:color w:val="000000"/>
                <w:kern w:val="0"/>
                <w:sz w:val="21"/>
                <w:szCs w:val="21"/>
                <w:highlight w:val="none"/>
                <w:u w:val="single"/>
                <w:lang w:val="en-US" w:eastAsia="zh-CN" w:bidi="ar"/>
              </w:rPr>
              <w:t>泵站绿化（7分）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lang w:val="en-US" w:eastAsia="zh-CN"/>
              </w:rPr>
            </w:pPr>
            <w:r>
              <w:rPr>
                <w:rFonts w:hint="eastAsia" w:ascii="宋体" w:hAnsi="宋体" w:eastAsia="宋体" w:cs="宋体"/>
                <w:i w:val="0"/>
                <w:iCs w:val="0"/>
                <w:color w:val="000000"/>
                <w:sz w:val="21"/>
                <w:szCs w:val="21"/>
                <w:highlight w:val="none"/>
                <w:u w:val="single"/>
                <w:lang w:val="en-US" w:eastAsia="zh-CN"/>
              </w:rPr>
              <w:t>泵站乔木、树木未修剪、有病枝的扣2分；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lang w:val="en-US" w:eastAsia="zh-CN"/>
              </w:rPr>
            </w:pPr>
            <w:r>
              <w:rPr>
                <w:rFonts w:hint="eastAsia" w:ascii="宋体" w:hAnsi="宋体" w:eastAsia="宋体" w:cs="宋体"/>
                <w:i w:val="0"/>
                <w:iCs w:val="0"/>
                <w:color w:val="000000"/>
                <w:sz w:val="21"/>
                <w:szCs w:val="21"/>
                <w:highlight w:val="none"/>
                <w:u w:val="single"/>
                <w:lang w:val="en-US" w:eastAsia="zh-CN"/>
              </w:rPr>
              <w:t>泵站草坪杂草过多扣2分</w:t>
            </w:r>
          </w:p>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eastAsia="zh-CN"/>
              </w:rPr>
            </w:pPr>
            <w:r>
              <w:rPr>
                <w:rFonts w:hint="eastAsia" w:ascii="宋体" w:hAnsi="宋体" w:eastAsia="宋体" w:cs="宋体"/>
                <w:i w:val="0"/>
                <w:iCs w:val="0"/>
                <w:color w:val="000000"/>
                <w:sz w:val="21"/>
                <w:szCs w:val="21"/>
                <w:highlight w:val="none"/>
                <w:u w:val="single"/>
                <w:lang w:val="en-US" w:eastAsia="zh-CN"/>
              </w:rPr>
              <w:t>泵站草坪围栏有损坏情况的扣3分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rPr>
            </w:pPr>
          </w:p>
        </w:tc>
      </w:tr>
      <w:tr>
        <w:tblPrEx>
          <w:shd w:val="clear" w:color="auto" w:fill="auto"/>
          <w:tblCellMar>
            <w:top w:w="0" w:type="dxa"/>
            <w:left w:w="108" w:type="dxa"/>
            <w:bottom w:w="0" w:type="dxa"/>
            <w:right w:w="108" w:type="dxa"/>
          </w:tblCellMar>
        </w:tblPrEx>
        <w:trPr>
          <w:trHeight w:val="810" w:hRule="atLeast"/>
          <w:jc w:val="center"/>
        </w:trPr>
        <w:tc>
          <w:tcPr>
            <w:tcW w:w="128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泵站内卫生 （6分）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lang w:val="en-US" w:eastAsia="zh-CN"/>
              </w:rPr>
            </w:pPr>
            <w:r>
              <w:rPr>
                <w:rFonts w:hint="eastAsia" w:ascii="宋体" w:hAnsi="宋体" w:eastAsia="宋体" w:cs="宋体"/>
                <w:i w:val="0"/>
                <w:iCs w:val="0"/>
                <w:color w:val="000000"/>
                <w:sz w:val="21"/>
                <w:szCs w:val="21"/>
                <w:highlight w:val="none"/>
                <w:u w:val="single"/>
                <w:lang w:val="en-US" w:eastAsia="zh-CN"/>
              </w:rPr>
              <w:t>泵站屋内设备有灰尘未清理扣2分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lang w:val="en-US" w:eastAsia="zh-CN"/>
              </w:rPr>
            </w:pPr>
            <w:r>
              <w:rPr>
                <w:rFonts w:hint="eastAsia" w:ascii="宋体" w:hAnsi="宋体" w:eastAsia="宋体" w:cs="宋体"/>
                <w:i w:val="0"/>
                <w:iCs w:val="0"/>
                <w:color w:val="000000"/>
                <w:sz w:val="21"/>
                <w:szCs w:val="21"/>
                <w:highlight w:val="none"/>
                <w:u w:val="single"/>
                <w:lang w:val="en-US" w:eastAsia="zh-CN"/>
              </w:rPr>
              <w:t>泵站内地面不干净、有垃圾未清理扣2分；</w:t>
            </w:r>
          </w:p>
          <w:p>
            <w:pPr>
              <w:keepNext w:val="0"/>
              <w:keepLines w:val="0"/>
              <w:widowControl/>
              <w:suppressLineNumbers w:val="0"/>
              <w:jc w:val="both"/>
              <w:textAlignment w:val="center"/>
              <w:rPr>
                <w:rFonts w:hint="default" w:ascii="宋体" w:hAnsi="宋体" w:eastAsia="宋体" w:cs="宋体"/>
                <w:i w:val="0"/>
                <w:iCs w:val="0"/>
                <w:color w:val="000000"/>
                <w:sz w:val="21"/>
                <w:szCs w:val="21"/>
                <w:highlight w:val="none"/>
                <w:u w:val="single"/>
                <w:lang w:val="en-US" w:eastAsia="zh-CN"/>
              </w:rPr>
            </w:pPr>
            <w:r>
              <w:rPr>
                <w:rFonts w:hint="eastAsia" w:ascii="宋体" w:hAnsi="宋体" w:eastAsia="宋体" w:cs="宋体"/>
                <w:i w:val="0"/>
                <w:iCs w:val="0"/>
                <w:color w:val="000000"/>
                <w:sz w:val="21"/>
                <w:szCs w:val="21"/>
                <w:highlight w:val="none"/>
                <w:u w:val="single"/>
                <w:lang w:val="en-US" w:eastAsia="zh-CN"/>
              </w:rPr>
              <w:t>泵站内胡乱摆放私人物品等杂物扣2分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rPr>
            </w:pPr>
          </w:p>
        </w:tc>
      </w:tr>
      <w:tr>
        <w:tblPrEx>
          <w:tblCellMar>
            <w:top w:w="0" w:type="dxa"/>
            <w:left w:w="108" w:type="dxa"/>
            <w:bottom w:w="0" w:type="dxa"/>
            <w:right w:w="108" w:type="dxa"/>
          </w:tblCellMar>
        </w:tblPrEx>
        <w:trPr>
          <w:trHeight w:val="1920" w:hRule="atLeast"/>
          <w:jc w:val="center"/>
        </w:trPr>
        <w:tc>
          <w:tcPr>
            <w:tcW w:w="1284"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泵站外卫生 （7分）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泵站外地面出现大量垃圾的扣3分；</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泵站内瓷砖损坏未及时修复扣2分；</w:t>
            </w:r>
            <w:r>
              <w:rPr>
                <w:rFonts w:hint="eastAsia" w:ascii="宋体" w:hAnsi="宋体" w:eastAsia="宋体" w:cs="宋体"/>
                <w:i w:val="0"/>
                <w:iCs w:val="0"/>
                <w:color w:val="000000"/>
                <w:kern w:val="0"/>
                <w:sz w:val="21"/>
                <w:szCs w:val="21"/>
                <w:highlight w:val="none"/>
                <w:u w:val="single"/>
                <w:lang w:val="en-US" w:eastAsia="zh-CN" w:bidi="ar"/>
              </w:rPr>
              <w:br w:type="textWrapping"/>
            </w:r>
            <w:r>
              <w:rPr>
                <w:rFonts w:hint="eastAsia" w:ascii="宋体" w:hAnsi="宋体" w:eastAsia="宋体" w:cs="宋体"/>
                <w:i w:val="0"/>
                <w:iCs w:val="0"/>
                <w:color w:val="000000"/>
                <w:kern w:val="0"/>
                <w:sz w:val="21"/>
                <w:szCs w:val="21"/>
                <w:highlight w:val="none"/>
                <w:u w:val="single"/>
                <w:lang w:val="en-US" w:eastAsia="zh-CN" w:bidi="ar"/>
              </w:rPr>
              <w:t>泵站玻璃破碎一块扣2分。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single"/>
              </w:rPr>
            </w:pPr>
          </w:p>
        </w:tc>
      </w:tr>
      <w:tr>
        <w:tblPrEx>
          <w:shd w:val="clear" w:color="auto" w:fill="auto"/>
          <w:tblCellMar>
            <w:top w:w="0" w:type="dxa"/>
            <w:left w:w="108" w:type="dxa"/>
            <w:bottom w:w="0" w:type="dxa"/>
            <w:right w:w="108" w:type="dxa"/>
          </w:tblCellMar>
        </w:tblPrEx>
        <w:trPr>
          <w:trHeight w:val="1540" w:hRule="atLeast"/>
          <w:jc w:val="center"/>
        </w:trPr>
        <w:tc>
          <w:tcPr>
            <w:tcW w:w="128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highlight w:val="none"/>
                <w:u w:val="single"/>
                <w:lang w:val="en-US"/>
              </w:rPr>
            </w:pPr>
            <w:r>
              <w:rPr>
                <w:rFonts w:hint="eastAsia" w:ascii="宋体" w:hAnsi="宋体" w:eastAsia="宋体" w:cs="宋体"/>
                <w:i w:val="0"/>
                <w:iCs w:val="0"/>
                <w:color w:val="000000"/>
                <w:kern w:val="0"/>
                <w:sz w:val="21"/>
                <w:szCs w:val="21"/>
                <w:highlight w:val="none"/>
                <w:u w:val="single"/>
                <w:lang w:val="en-US" w:eastAsia="zh-CN" w:bidi="ar"/>
              </w:rPr>
              <w:t>泵站前池 （4分）</w:t>
            </w: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泵站前池未打捞，前池有大量垃圾出现的扣2分，打捞后的垃圾未及时托运的扣2分。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1"/>
                <w:szCs w:val="21"/>
                <w:highlight w:val="none"/>
                <w:u w:val="single"/>
                <w:lang w:val="en-US" w:eastAsia="zh-CN"/>
              </w:rPr>
            </w:pPr>
            <w:r>
              <w:rPr>
                <w:rFonts w:hint="eastAsia" w:ascii="宋体" w:hAnsi="宋体" w:eastAsia="宋体" w:cs="宋体"/>
                <w:i w:val="0"/>
                <w:iCs w:val="0"/>
                <w:color w:val="000000"/>
                <w:sz w:val="21"/>
                <w:szCs w:val="21"/>
                <w:highlight w:val="none"/>
                <w:u w:val="single"/>
                <w:lang w:val="en-US" w:eastAsia="zh-CN"/>
              </w:rPr>
              <w:t>100</w:t>
            </w:r>
          </w:p>
        </w:tc>
      </w:tr>
      <w:tr>
        <w:tblPrEx>
          <w:tblCellMar>
            <w:top w:w="0" w:type="dxa"/>
            <w:left w:w="108" w:type="dxa"/>
            <w:bottom w:w="0" w:type="dxa"/>
            <w:right w:w="108" w:type="dxa"/>
          </w:tblCellMar>
        </w:tblPrEx>
        <w:trPr>
          <w:trHeight w:val="27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single"/>
              </w:rPr>
            </w:pP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总分：</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single"/>
              </w:rPr>
            </w:pPr>
          </w:p>
        </w:tc>
      </w:tr>
      <w:tr>
        <w:tblPrEx>
          <w:tblCellMar>
            <w:top w:w="0" w:type="dxa"/>
            <w:left w:w="108" w:type="dxa"/>
            <w:bottom w:w="0" w:type="dxa"/>
            <w:right w:w="108" w:type="dxa"/>
          </w:tblCellMar>
        </w:tblPrEx>
        <w:trPr>
          <w:trHeight w:val="27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考核人员：</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single"/>
              </w:rPr>
            </w:pP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负责人：</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single"/>
              </w:rPr>
            </w:pPr>
          </w:p>
        </w:tc>
      </w:tr>
      <w:tr>
        <w:tblPrEx>
          <w:shd w:val="clear" w:color="auto" w:fill="auto"/>
          <w:tblCellMar>
            <w:top w:w="0" w:type="dxa"/>
            <w:left w:w="108" w:type="dxa"/>
            <w:bottom w:w="0" w:type="dxa"/>
            <w:right w:w="108" w:type="dxa"/>
          </w:tblCellMar>
        </w:tblPrEx>
        <w:trPr>
          <w:trHeight w:val="270" w:hRule="atLeast"/>
          <w:jc w:val="center"/>
        </w:trPr>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管养单位：</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single"/>
              </w:rPr>
            </w:pPr>
          </w:p>
        </w:tc>
        <w:tc>
          <w:tcPr>
            <w:tcW w:w="3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single"/>
              </w:rPr>
            </w:pPr>
            <w:r>
              <w:rPr>
                <w:rFonts w:hint="eastAsia" w:ascii="宋体" w:hAnsi="宋体" w:eastAsia="宋体" w:cs="宋体"/>
                <w:i w:val="0"/>
                <w:iCs w:val="0"/>
                <w:color w:val="000000"/>
                <w:kern w:val="0"/>
                <w:sz w:val="21"/>
                <w:szCs w:val="21"/>
                <w:highlight w:val="none"/>
                <w:u w:val="single"/>
                <w:lang w:val="en-US" w:eastAsia="zh-CN" w:bidi="ar"/>
              </w:rPr>
              <w:t>日期：</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highlight w:val="none"/>
                <w:u w:val="single"/>
              </w:rPr>
            </w:pPr>
          </w:p>
        </w:tc>
      </w:tr>
    </w:tbl>
    <w:p>
      <w:pPr>
        <w:ind w:firstLine="420" w:firstLineChars="200"/>
        <w:rPr>
          <w:rFonts w:hint="eastAsia" w:ascii="宋体" w:hAnsi="宋体"/>
          <w:szCs w:val="21"/>
        </w:rPr>
      </w:pPr>
    </w:p>
    <w:p>
      <w:pPr>
        <w:outlineLvl w:val="1"/>
        <w:rPr>
          <w:rFonts w:hint="eastAsia" w:ascii="黑体" w:hAnsi="宋体" w:eastAsia="黑体"/>
          <w:b/>
          <w:sz w:val="28"/>
          <w:szCs w:val="32"/>
        </w:rPr>
      </w:pPr>
      <w:bookmarkStart w:id="67" w:name="_Toc513644728"/>
      <w:r>
        <w:rPr>
          <w:rFonts w:hint="eastAsia" w:ascii="黑体" w:hAnsi="宋体" w:eastAsia="黑体"/>
          <w:b/>
          <w:sz w:val="28"/>
          <w:szCs w:val="32"/>
        </w:rPr>
        <w:t>六、报价清单要求</w:t>
      </w:r>
      <w:bookmarkEnd w:id="67"/>
    </w:p>
    <w:p>
      <w:pPr>
        <w:autoSpaceDE w:val="0"/>
        <w:autoSpaceDN w:val="0"/>
        <w:adjustRightInd w:val="0"/>
        <w:ind w:firstLine="422" w:firstLineChars="200"/>
        <w:rPr>
          <w:rFonts w:hint="eastAsia" w:ascii="宋体" w:hAnsi="宋体"/>
          <w:b/>
          <w:szCs w:val="21"/>
          <w:lang w:val="zh-CN"/>
        </w:rPr>
      </w:pPr>
      <w:bookmarkStart w:id="68" w:name="_Toc401304083"/>
      <w:r>
        <w:rPr>
          <w:rFonts w:hint="eastAsia" w:ascii="宋体" w:hAnsi="宋体"/>
          <w:b/>
          <w:szCs w:val="21"/>
          <w:lang w:val="zh-CN"/>
        </w:rPr>
        <w:t>1、此次发包分为两个标段：</w:t>
      </w:r>
    </w:p>
    <w:p>
      <w:pPr>
        <w:rPr>
          <w:rFonts w:hint="eastAsia"/>
          <w:b/>
        </w:rPr>
      </w:pPr>
      <w:r>
        <w:rPr>
          <w:rFonts w:hint="eastAsia"/>
          <w:b/>
          <w:lang w:val="zh-CN"/>
        </w:rPr>
        <w:t xml:space="preserve">    </w:t>
      </w:r>
      <w:r>
        <w:rPr>
          <w:rFonts w:hint="eastAsia"/>
          <w:b/>
        </w:rPr>
        <w:t>一标段：新河村泵站、杨家圩泵站、中前泵站、商城泵站、鞭鞍河泵站、</w:t>
      </w:r>
      <w:r>
        <w:rPr>
          <w:rFonts w:hint="eastAsia"/>
          <w:b/>
          <w:lang w:eastAsia="zh-CN"/>
        </w:rPr>
        <w:t>东沟溢流坝</w:t>
      </w:r>
      <w:r>
        <w:rPr>
          <w:rFonts w:hint="eastAsia"/>
          <w:b/>
        </w:rPr>
        <w:t>溢流坝、外港河溢流坝</w:t>
      </w:r>
      <w:r>
        <w:rPr>
          <w:rFonts w:hint="eastAsia"/>
          <w:b/>
          <w:lang w:val="en-US" w:eastAsia="zh-CN"/>
        </w:rPr>
        <w:t>3处</w:t>
      </w:r>
      <w:r>
        <w:rPr>
          <w:rFonts w:hint="eastAsia"/>
          <w:b/>
        </w:rPr>
        <w:t>、</w:t>
      </w:r>
      <w:r>
        <w:rPr>
          <w:rFonts w:hint="eastAsia" w:ascii="宋体" w:hAnsi="宋体" w:cs="宋体"/>
          <w:b/>
          <w:kern w:val="0"/>
          <w:szCs w:val="21"/>
        </w:rPr>
        <w:t>大桥机械厂泵站</w:t>
      </w:r>
      <w:r>
        <w:rPr>
          <w:rFonts w:hint="eastAsia" w:ascii="宋体" w:hAnsi="宋体" w:cs="宋体"/>
          <w:b/>
          <w:kern w:val="0"/>
          <w:szCs w:val="21"/>
          <w:lang w:eastAsia="zh-CN"/>
        </w:rPr>
        <w:t>临时抢修</w:t>
      </w:r>
      <w:r>
        <w:rPr>
          <w:rFonts w:hint="eastAsia"/>
          <w:b/>
        </w:rPr>
        <w:t>，日常管养费用年度费用报价最高限价</w:t>
      </w:r>
      <w:r>
        <w:rPr>
          <w:rFonts w:hint="eastAsia"/>
          <w:b/>
          <w:lang w:val="en-US" w:eastAsia="zh-CN"/>
        </w:rPr>
        <w:t>320</w:t>
      </w:r>
      <w:r>
        <w:rPr>
          <w:rFonts w:hint="eastAsia"/>
          <w:b/>
        </w:rPr>
        <w:t xml:space="preserve"> 万元；专项维修费用60万元。</w:t>
      </w:r>
    </w:p>
    <w:p>
      <w:pPr>
        <w:ind w:firstLine="422" w:firstLineChars="200"/>
        <w:rPr>
          <w:rFonts w:hint="eastAsia" w:ascii="宋体" w:hAnsi="宋体"/>
          <w:b/>
          <w:szCs w:val="21"/>
        </w:rPr>
      </w:pPr>
    </w:p>
    <w:p>
      <w:pPr>
        <w:ind w:firstLine="422" w:firstLineChars="200"/>
        <w:rPr>
          <w:rFonts w:hint="eastAsia" w:ascii="宋体" w:hAnsi="宋体"/>
          <w:b/>
          <w:szCs w:val="21"/>
        </w:rPr>
      </w:pPr>
      <w:r>
        <w:rPr>
          <w:rFonts w:hint="eastAsia" w:ascii="宋体" w:hAnsi="宋体"/>
          <w:b/>
          <w:szCs w:val="21"/>
          <w:lang w:val="zh-CN"/>
        </w:rPr>
        <w:t>二标段：</w:t>
      </w:r>
      <w:r>
        <w:rPr>
          <w:rFonts w:hint="eastAsia" w:ascii="宋体" w:hAnsi="宋体"/>
          <w:b/>
          <w:szCs w:val="21"/>
        </w:rPr>
        <w:t>陵里泵站、竹山桥泵站（一期）、竹山桥泵站（二期）、城北泵站（一期）、城北泵站（二期）、城北泵站（三期）、孙家头泵站，日常管养费用年度费用报价最高限价</w:t>
      </w:r>
      <w:r>
        <w:rPr>
          <w:rFonts w:hint="eastAsia" w:ascii="宋体" w:hAnsi="宋体"/>
          <w:b/>
          <w:szCs w:val="21"/>
          <w:lang w:val="en-US" w:eastAsia="zh-CN"/>
        </w:rPr>
        <w:t>305</w:t>
      </w:r>
      <w:r>
        <w:rPr>
          <w:rFonts w:hint="eastAsia" w:ascii="宋体" w:hAnsi="宋体"/>
          <w:b/>
          <w:szCs w:val="21"/>
        </w:rPr>
        <w:t>万元；专项维修费用</w:t>
      </w:r>
      <w:r>
        <w:rPr>
          <w:rFonts w:hint="eastAsia" w:ascii="宋体" w:hAnsi="宋体"/>
          <w:b/>
          <w:szCs w:val="21"/>
          <w:lang w:val="en-US" w:eastAsia="zh-CN"/>
        </w:rPr>
        <w:t>50</w:t>
      </w:r>
      <w:r>
        <w:rPr>
          <w:rFonts w:hint="eastAsia" w:ascii="宋体" w:hAnsi="宋体"/>
          <w:b/>
          <w:szCs w:val="21"/>
        </w:rPr>
        <w:t>万元。</w:t>
      </w:r>
    </w:p>
    <w:p>
      <w:pPr>
        <w:ind w:firstLine="422" w:firstLineChars="200"/>
        <w:rPr>
          <w:rFonts w:hint="eastAsia" w:ascii="宋体" w:hAnsi="宋体"/>
          <w:b/>
          <w:szCs w:val="21"/>
        </w:rPr>
      </w:pPr>
    </w:p>
    <w:p>
      <w:pPr>
        <w:ind w:firstLine="422" w:firstLineChars="200"/>
        <w:rPr>
          <w:rFonts w:hint="eastAsia" w:ascii="宋体" w:hAnsi="宋体"/>
          <w:b/>
          <w:szCs w:val="21"/>
          <w:lang w:val="zh-CN"/>
        </w:rPr>
      </w:pPr>
      <w:r>
        <w:rPr>
          <w:rFonts w:hint="eastAsia" w:ascii="宋体" w:hAnsi="宋体"/>
          <w:b/>
        </w:rPr>
        <w:t>本工程分一标、二标两个标段招标。投标人可对一标、二标任何一个标段进行投标，也可以对两个标段进行投标，但只能成为其中一个标段的中标人。当投标人同时参与一标和二标的投标，按评分标准计算后，同为两个标段的第一中标候选人，则投标人只能自动成为一标的第一中标候选人，二标的原第二中标候选人自动成为第一中标候选人、原第三候选人自动成为第二中标候选人，如此类推。</w:t>
      </w:r>
    </w:p>
    <w:p>
      <w:pPr>
        <w:ind w:firstLine="420" w:firstLineChars="200"/>
        <w:rPr>
          <w:rFonts w:hint="eastAsia"/>
        </w:rPr>
      </w:pPr>
    </w:p>
    <w:p>
      <w:pPr>
        <w:ind w:firstLine="422" w:firstLineChars="200"/>
        <w:rPr>
          <w:rFonts w:hint="eastAsia"/>
          <w:b/>
        </w:rPr>
      </w:pPr>
      <w:r>
        <w:rPr>
          <w:rFonts w:hint="eastAsia"/>
          <w:b/>
        </w:rPr>
        <w:t>本项目总预算</w:t>
      </w:r>
      <w:r>
        <w:rPr>
          <w:rFonts w:hint="eastAsia"/>
          <w:b/>
          <w:lang w:val="en-US" w:eastAsia="zh-CN"/>
        </w:rPr>
        <w:t>735</w:t>
      </w:r>
      <w:r>
        <w:rPr>
          <w:rFonts w:hint="eastAsia"/>
          <w:b/>
        </w:rPr>
        <w:t>万元，其中一标段预算</w:t>
      </w:r>
      <w:r>
        <w:rPr>
          <w:rFonts w:hint="eastAsia"/>
          <w:b/>
          <w:lang w:val="en-US" w:eastAsia="zh-CN"/>
        </w:rPr>
        <w:t>380</w:t>
      </w:r>
      <w:r>
        <w:rPr>
          <w:rFonts w:hint="eastAsia"/>
          <w:b/>
        </w:rPr>
        <w:t>万元，二标段预算</w:t>
      </w:r>
      <w:r>
        <w:rPr>
          <w:rFonts w:hint="eastAsia"/>
          <w:b/>
          <w:lang w:val="en-US" w:eastAsia="zh-CN"/>
        </w:rPr>
        <w:t>355</w:t>
      </w:r>
      <w:r>
        <w:rPr>
          <w:rFonts w:hint="eastAsia"/>
          <w:b/>
        </w:rPr>
        <w:t>万元。</w:t>
      </w:r>
    </w:p>
    <w:p>
      <w:pPr>
        <w:ind w:firstLine="525" w:firstLineChars="250"/>
        <w:rPr>
          <w:rFonts w:hint="eastAsia" w:ascii="宋体" w:hAnsi="宋体"/>
          <w:szCs w:val="21"/>
        </w:rPr>
      </w:pPr>
    </w:p>
    <w:p>
      <w:pPr>
        <w:ind w:firstLine="315" w:firstLineChars="150"/>
        <w:rPr>
          <w:rFonts w:hint="eastAsia" w:ascii="宋体"/>
          <w:kern w:val="0"/>
          <w:szCs w:val="21"/>
        </w:rPr>
      </w:pPr>
      <w:r>
        <w:rPr>
          <w:rFonts w:hint="eastAsia" w:ascii="宋体" w:hAnsi="宋体"/>
          <w:szCs w:val="21"/>
        </w:rPr>
        <w:t>2、投标报价时，日常管养费用按照年度报总价，采用月度考核、按季计算；</w:t>
      </w:r>
      <w:r>
        <w:rPr>
          <w:rFonts w:hint="eastAsia" w:ascii="宋体"/>
          <w:kern w:val="0"/>
          <w:szCs w:val="21"/>
        </w:rPr>
        <w:t>专项维修费用报折扣率，按照下述定额等约定计价乘以折扣率计算结算价，并经审计作为最终结算价。</w:t>
      </w:r>
    </w:p>
    <w:p>
      <w:pPr>
        <w:ind w:firstLine="315" w:firstLineChars="150"/>
        <w:rPr>
          <w:rFonts w:hint="eastAsia" w:ascii="宋体"/>
          <w:kern w:val="0"/>
          <w:szCs w:val="21"/>
        </w:rPr>
      </w:pPr>
      <w:r>
        <w:rPr>
          <w:rFonts w:hint="eastAsia" w:ascii="宋体"/>
          <w:kern w:val="0"/>
          <w:szCs w:val="21"/>
        </w:rPr>
        <w:t>专项维修项目结算</w:t>
      </w:r>
      <w:r>
        <w:rPr>
          <w:rFonts w:ascii="宋体"/>
          <w:kern w:val="0"/>
          <w:szCs w:val="21"/>
        </w:rPr>
        <w:t>采用</w:t>
      </w:r>
      <w:r>
        <w:rPr>
          <w:rFonts w:hint="eastAsia" w:ascii="宋体"/>
          <w:kern w:val="0"/>
          <w:szCs w:val="21"/>
        </w:rPr>
        <w:t>折扣率结算。专项维修项目结算按照《江苏省市政工程计价定额》(2014)、 《江苏省建设工程费用定额》(2014)、《建设工程工程量清单计价规范》</w:t>
      </w:r>
      <w:r>
        <w:rPr>
          <w:rFonts w:ascii="宋体"/>
          <w:kern w:val="0"/>
          <w:szCs w:val="21"/>
        </w:rPr>
        <w:t>(GB50500-20</w:t>
      </w:r>
      <w:r>
        <w:rPr>
          <w:rFonts w:hint="eastAsia" w:ascii="宋体"/>
          <w:kern w:val="0"/>
          <w:szCs w:val="21"/>
        </w:rPr>
        <w:t>13</w:t>
      </w:r>
      <w:r>
        <w:rPr>
          <w:rFonts w:ascii="宋体"/>
          <w:kern w:val="0"/>
          <w:szCs w:val="21"/>
        </w:rPr>
        <w:t>)</w:t>
      </w:r>
      <w:r>
        <w:rPr>
          <w:rFonts w:hint="eastAsia" w:ascii="宋体"/>
          <w:kern w:val="0"/>
          <w:szCs w:val="21"/>
        </w:rPr>
        <w:t>、 《市政工程工程量计算规范》(GB50857-2013)等现行计价定额计价，按中标折扣率计算工程最终结算价。最终结算价=结算未让利价×中标折扣率。专项维修结算价以造价咨询单位最终审计价为准。人工费用按照文件执行，材料单价按施工同期建设工程造价信息公布的信息价，没有公布信息价的，按参建各方市场询价共同确定</w:t>
      </w:r>
      <w:r>
        <w:rPr>
          <w:rFonts w:hint="eastAsia" w:ascii="宋体"/>
          <w:kern w:val="0"/>
          <w:szCs w:val="21"/>
          <w:lang w:eastAsia="zh-CN"/>
        </w:rPr>
        <w:t>，</w:t>
      </w:r>
      <w:r>
        <w:rPr>
          <w:rFonts w:hint="eastAsia" w:ascii="宋体"/>
          <w:kern w:val="0"/>
          <w:szCs w:val="21"/>
        </w:rPr>
        <w:t>专项维修结算价以最终审计为准。中标供应商应保证竣工结算的准确性，中标供应商所报专项维修结算经审计后若审减额超过10%，超出部分的审计费全部由中标供应商承担。</w:t>
      </w:r>
    </w:p>
    <w:p>
      <w:pPr>
        <w:ind w:firstLine="315" w:firstLineChars="150"/>
        <w:rPr>
          <w:rFonts w:hint="eastAsia" w:ascii="宋体"/>
          <w:kern w:val="0"/>
          <w:szCs w:val="21"/>
        </w:rPr>
      </w:pPr>
    </w:p>
    <w:p>
      <w:pPr>
        <w:ind w:firstLine="345" w:firstLineChars="150"/>
        <w:rPr>
          <w:rFonts w:hint="eastAsia" w:ascii="宋体"/>
          <w:kern w:val="0"/>
          <w:sz w:val="23"/>
          <w:szCs w:val="23"/>
        </w:rPr>
      </w:pPr>
    </w:p>
    <w:p>
      <w:pPr>
        <w:outlineLvl w:val="1"/>
        <w:rPr>
          <w:rFonts w:hint="eastAsia" w:ascii="黑体" w:hAnsi="宋体" w:eastAsia="黑体"/>
          <w:b/>
          <w:sz w:val="28"/>
          <w:szCs w:val="32"/>
        </w:rPr>
      </w:pPr>
      <w:bookmarkStart w:id="69" w:name="_Toc414548271"/>
      <w:bookmarkStart w:id="70" w:name="_Toc401304079"/>
      <w:bookmarkStart w:id="71" w:name="_Toc513644729"/>
      <w:r>
        <w:rPr>
          <w:rFonts w:hint="eastAsia" w:ascii="黑体" w:hAnsi="宋体" w:eastAsia="黑体"/>
          <w:b/>
          <w:sz w:val="28"/>
          <w:szCs w:val="32"/>
        </w:rPr>
        <w:t>七、付款方式</w:t>
      </w:r>
      <w:bookmarkEnd w:id="69"/>
      <w:bookmarkEnd w:id="70"/>
      <w:bookmarkEnd w:id="71"/>
    </w:p>
    <w:p>
      <w:pPr>
        <w:ind w:firstLine="315" w:firstLineChars="150"/>
        <w:rPr>
          <w:rFonts w:hint="eastAsia" w:ascii="宋体"/>
          <w:kern w:val="0"/>
          <w:sz w:val="23"/>
          <w:szCs w:val="23"/>
        </w:rPr>
      </w:pPr>
      <w:r>
        <w:rPr>
          <w:rFonts w:hint="eastAsia" w:ascii="宋体" w:hAnsi="宋体"/>
          <w:bCs/>
        </w:rPr>
        <w:t>合同签订且管养工作实施三个月后，能达到服务要求，根据考核结果按季支付当期经审核日常养护费用的80%及专项维修</w:t>
      </w:r>
      <w:r>
        <w:rPr>
          <w:rFonts w:hint="eastAsia" w:ascii="宋体" w:hAnsi="宋体"/>
          <w:bCs/>
          <w:lang w:eastAsia="zh-CN"/>
        </w:rPr>
        <w:t>产生</w:t>
      </w:r>
      <w:r>
        <w:rPr>
          <w:rFonts w:hint="eastAsia" w:ascii="宋体" w:hAnsi="宋体"/>
          <w:bCs/>
        </w:rPr>
        <w:t>费用的60%；之后支付当期经审核日常养护费用的80%及专项维修</w:t>
      </w:r>
      <w:r>
        <w:rPr>
          <w:rFonts w:hint="eastAsia" w:ascii="宋体" w:hAnsi="宋体"/>
          <w:bCs/>
          <w:lang w:eastAsia="zh-CN"/>
        </w:rPr>
        <w:t>产生</w:t>
      </w:r>
      <w:r>
        <w:rPr>
          <w:rFonts w:hint="eastAsia" w:ascii="宋体" w:hAnsi="宋体"/>
          <w:bCs/>
        </w:rPr>
        <w:t>费用的60%；合同期满能达到服务要求，支付至经审核日常养护费用的</w:t>
      </w:r>
      <w:r>
        <w:rPr>
          <w:rFonts w:ascii="宋体" w:hAnsi="宋体"/>
          <w:bCs/>
        </w:rPr>
        <w:t>95</w:t>
      </w:r>
      <w:r>
        <w:rPr>
          <w:rFonts w:hint="eastAsia" w:ascii="宋体" w:hAnsi="宋体"/>
          <w:bCs/>
        </w:rPr>
        <w:t>%及专项维修</w:t>
      </w:r>
      <w:r>
        <w:rPr>
          <w:rFonts w:hint="eastAsia" w:ascii="宋体" w:hAnsi="宋体"/>
          <w:bCs/>
          <w:lang w:eastAsia="zh-CN"/>
        </w:rPr>
        <w:t>产生</w:t>
      </w:r>
      <w:r>
        <w:rPr>
          <w:rFonts w:hint="eastAsia" w:ascii="宋体" w:hAnsi="宋体"/>
          <w:bCs/>
        </w:rPr>
        <w:t>费用的70%,当年剩余的合同款，待专项维修费用审计后支付余款。第二年及第三年的采购合同（如签</w:t>
      </w:r>
      <w:r>
        <w:rPr>
          <w:rFonts w:ascii="宋体" w:hAnsi="宋体"/>
          <w:bCs/>
        </w:rPr>
        <w:t>）</w:t>
      </w:r>
      <w:r>
        <w:rPr>
          <w:rFonts w:hint="eastAsia" w:ascii="宋体" w:hAnsi="宋体"/>
          <w:bCs/>
        </w:rPr>
        <w:t>, 按季支付当期经审核日常养护费用的80%及专项维修费用的60%；合同期满后，能达到服务要求，支付至经审核当年日常养护费用的9</w:t>
      </w:r>
      <w:r>
        <w:rPr>
          <w:rFonts w:ascii="宋体" w:hAnsi="宋体"/>
          <w:bCs/>
        </w:rPr>
        <w:t>5</w:t>
      </w:r>
      <w:r>
        <w:rPr>
          <w:rFonts w:hint="eastAsia" w:ascii="宋体" w:hAnsi="宋体"/>
          <w:bCs/>
        </w:rPr>
        <w:t>%及专项维修费用的70%，当年剩余的合同款，待专项维修费用审计后审计后支付余款。</w:t>
      </w:r>
    </w:p>
    <w:p>
      <w:pPr>
        <w:autoSpaceDE w:val="0"/>
        <w:autoSpaceDN w:val="0"/>
        <w:adjustRightInd w:val="0"/>
        <w:ind w:firstLine="460" w:firstLineChars="200"/>
        <w:rPr>
          <w:rFonts w:hint="eastAsia" w:ascii="宋体"/>
          <w:kern w:val="0"/>
          <w:sz w:val="23"/>
          <w:szCs w:val="23"/>
        </w:rPr>
      </w:pPr>
    </w:p>
    <w:bookmarkEnd w:id="55"/>
    <w:bookmarkEnd w:id="56"/>
    <w:bookmarkEnd w:id="68"/>
    <w:p>
      <w:pPr>
        <w:jc w:val="center"/>
        <w:outlineLvl w:val="0"/>
        <w:rPr>
          <w:rFonts w:hint="eastAsia" w:ascii="宋体" w:hAnsi="宋体" w:cs="黑体"/>
          <w:bCs/>
          <w:sz w:val="36"/>
          <w:szCs w:val="36"/>
          <w:lang w:val="zh-CN"/>
        </w:rPr>
      </w:pPr>
      <w:r>
        <w:rPr>
          <w:rFonts w:hint="eastAsia" w:ascii="宋体" w:hAnsi="宋体" w:cs="黑体"/>
          <w:bCs/>
          <w:sz w:val="36"/>
          <w:szCs w:val="36"/>
          <w:lang w:val="zh-CN"/>
        </w:rPr>
        <w:t>第四章、合同主要条款及格式</w:t>
      </w:r>
      <w:bookmarkEnd w:id="57"/>
      <w:bookmarkEnd w:id="58"/>
    </w:p>
    <w:p>
      <w:pPr>
        <w:jc w:val="center"/>
        <w:rPr>
          <w:rFonts w:hint="eastAsia" w:ascii="黑体" w:hAnsi="Arial" w:eastAsia="黑体" w:cs="Arial"/>
          <w:color w:val="000000"/>
          <w:sz w:val="36"/>
          <w:szCs w:val="36"/>
          <w:lang w:val="zh-CN"/>
        </w:rPr>
      </w:pPr>
    </w:p>
    <w:p>
      <w:pPr>
        <w:jc w:val="center"/>
        <w:rPr>
          <w:rFonts w:hint="eastAsia" w:ascii="宋体" w:hAnsi="宋体"/>
          <w:sz w:val="52"/>
        </w:rPr>
      </w:pPr>
    </w:p>
    <w:p>
      <w:pPr>
        <w:jc w:val="center"/>
        <w:rPr>
          <w:rFonts w:hint="eastAsia" w:ascii="宋体" w:hAnsi="宋体"/>
          <w:sz w:val="52"/>
        </w:rPr>
      </w:pPr>
    </w:p>
    <w:p>
      <w:pPr>
        <w:jc w:val="center"/>
        <w:rPr>
          <w:rFonts w:hint="eastAsia" w:ascii="宋体" w:hAnsi="宋体"/>
          <w:sz w:val="52"/>
        </w:rPr>
      </w:pPr>
      <w:r>
        <w:rPr>
          <w:rFonts w:hint="eastAsia" w:ascii="宋体" w:hAnsi="宋体"/>
          <w:sz w:val="52"/>
        </w:rPr>
        <w:t>南京市政府采购合同</w:t>
      </w:r>
    </w:p>
    <w:p>
      <w:pPr>
        <w:ind w:firstLine="315"/>
        <w:jc w:val="center"/>
        <w:rPr>
          <w:rFonts w:hint="eastAsia" w:ascii="宋体" w:hAnsi="宋体"/>
          <w:sz w:val="32"/>
        </w:rPr>
      </w:pPr>
      <w:r>
        <w:rPr>
          <w:rFonts w:hint="eastAsia" w:ascii="宋体" w:hAnsi="宋体"/>
          <w:sz w:val="32"/>
        </w:rPr>
        <w:t>（供参考）</w:t>
      </w:r>
    </w:p>
    <w:p>
      <w:pPr>
        <w:ind w:firstLine="1600" w:firstLineChars="500"/>
        <w:rPr>
          <w:rFonts w:hint="eastAsia" w:ascii="宋体" w:hAnsi="宋体"/>
          <w:sz w:val="32"/>
        </w:rPr>
      </w:pPr>
    </w:p>
    <w:p>
      <w:pPr>
        <w:rPr>
          <w:rFonts w:hint="eastAsia" w:ascii="宋体" w:hAnsi="宋体"/>
          <w:sz w:val="32"/>
        </w:rPr>
      </w:pPr>
    </w:p>
    <w:p>
      <w:pPr>
        <w:rPr>
          <w:rFonts w:hint="eastAsia" w:ascii="宋体" w:hAnsi="宋体"/>
          <w:sz w:val="36"/>
        </w:rPr>
      </w:pPr>
    </w:p>
    <w:p>
      <w:pPr>
        <w:rPr>
          <w:rFonts w:hint="eastAsia" w:ascii="宋体" w:hAnsi="宋体"/>
          <w:sz w:val="36"/>
        </w:rPr>
      </w:pPr>
    </w:p>
    <w:p>
      <w:pPr>
        <w:ind w:firstLine="1080" w:firstLineChars="300"/>
        <w:rPr>
          <w:rFonts w:hint="eastAsia" w:ascii="宋体" w:hAnsi="宋体"/>
          <w:sz w:val="36"/>
          <w:u w:val="single"/>
        </w:rPr>
      </w:pPr>
      <w:r>
        <w:rPr>
          <w:rFonts w:hint="eastAsia" w:ascii="宋体" w:hAnsi="宋体"/>
          <w:sz w:val="36"/>
        </w:rPr>
        <w:t>项目编号 ：</w:t>
      </w:r>
      <w:r>
        <w:rPr>
          <w:rFonts w:hint="eastAsia" w:ascii="宋体" w:hAnsi="宋体"/>
          <w:sz w:val="36"/>
          <w:u w:val="single"/>
        </w:rPr>
        <w:t xml:space="preserve">  </w:t>
      </w:r>
      <w:r>
        <w:rPr>
          <w:rFonts w:hint="eastAsia" w:ascii="宋体" w:hAnsi="宋体" w:eastAsia="宋体" w:cs="Times New Roman"/>
          <w:b/>
          <w:bCs/>
          <w:sz w:val="28"/>
          <w:szCs w:val="28"/>
          <w:u w:val="single"/>
          <w:lang w:eastAsia="zh-CN"/>
        </w:rPr>
        <w:t xml:space="preserve">  NJCG-2021ZC-00</w:t>
      </w:r>
      <w:r>
        <w:rPr>
          <w:rFonts w:hint="eastAsia" w:ascii="宋体" w:hAnsi="宋体" w:eastAsia="宋体" w:cs="Times New Roman"/>
          <w:b/>
          <w:bCs/>
          <w:sz w:val="28"/>
          <w:szCs w:val="28"/>
          <w:u w:val="single"/>
          <w:lang w:val="en-US" w:eastAsia="zh-CN"/>
        </w:rPr>
        <w:t>68</w:t>
      </w:r>
      <w:r>
        <w:rPr>
          <w:rFonts w:hint="eastAsia" w:ascii="宋体" w:hAnsi="宋体" w:eastAsia="宋体" w:cs="Times New Roman"/>
          <w:b/>
          <w:bCs/>
          <w:sz w:val="28"/>
          <w:szCs w:val="28"/>
          <w:u w:val="single"/>
          <w:lang w:eastAsia="zh-CN"/>
        </w:rPr>
        <w:t xml:space="preserve">  </w:t>
      </w:r>
      <w:r>
        <w:rPr>
          <w:rFonts w:hint="eastAsia" w:ascii="宋体" w:hAnsi="宋体"/>
          <w:sz w:val="36"/>
          <w:u w:val="single"/>
        </w:rPr>
        <w:t xml:space="preserve">             </w:t>
      </w:r>
    </w:p>
    <w:p>
      <w:pPr>
        <w:ind w:firstLine="1080" w:firstLineChars="300"/>
        <w:rPr>
          <w:rFonts w:hint="default" w:ascii="宋体" w:hAnsi="宋体" w:eastAsia="宋体"/>
          <w:sz w:val="22"/>
          <w:u w:val="single"/>
          <w:lang w:val="en-US" w:eastAsia="zh-CN"/>
        </w:rPr>
      </w:pPr>
      <w:r>
        <w:rPr>
          <w:rFonts w:hint="eastAsia" w:ascii="宋体" w:hAnsi="宋体"/>
          <w:sz w:val="36"/>
        </w:rPr>
        <w:t>项目名称 ：</w:t>
      </w:r>
      <w:r>
        <w:rPr>
          <w:rFonts w:hint="eastAsia" w:ascii="宋体" w:hAnsi="宋体"/>
          <w:b/>
          <w:bCs/>
          <w:sz w:val="28"/>
          <w:szCs w:val="28"/>
          <w:u w:val="single"/>
          <w:lang w:eastAsia="zh-CN"/>
        </w:rPr>
        <w:t>竹山桥泵站等12座泵站设施管养服务外包</w:t>
      </w:r>
      <w:r>
        <w:rPr>
          <w:rFonts w:hint="eastAsia" w:ascii="宋体" w:hAnsi="宋体"/>
          <w:b/>
          <w:bCs/>
          <w:sz w:val="28"/>
          <w:szCs w:val="28"/>
          <w:u w:val="single"/>
          <w:lang w:val="en-US" w:eastAsia="zh-CN"/>
        </w:rPr>
        <w:t xml:space="preserve">   </w:t>
      </w:r>
    </w:p>
    <w:p>
      <w:pPr>
        <w:ind w:firstLine="1080" w:firstLineChars="300"/>
        <w:rPr>
          <w:rFonts w:hint="eastAsia" w:ascii="宋体" w:hAnsi="宋体"/>
          <w:sz w:val="28"/>
          <w:u w:val="single"/>
        </w:rPr>
      </w:pPr>
      <w:r>
        <w:rPr>
          <w:rFonts w:hint="eastAsia" w:ascii="宋体" w:hAnsi="宋体"/>
          <w:sz w:val="36"/>
        </w:rPr>
        <w:t>采购单位 ：</w:t>
      </w:r>
      <w:r>
        <w:rPr>
          <w:rFonts w:hint="eastAsia" w:ascii="宋体" w:hAnsi="宋体"/>
          <w:sz w:val="36"/>
          <w:u w:val="single"/>
        </w:rPr>
        <w:t xml:space="preserve">    </w:t>
      </w:r>
      <w:r>
        <w:rPr>
          <w:rFonts w:hint="eastAsia" w:ascii="宋体" w:hAnsi="宋体"/>
          <w:sz w:val="28"/>
          <w:u w:val="single"/>
        </w:rPr>
        <w:t xml:space="preserve">                                   </w:t>
      </w:r>
    </w:p>
    <w:p>
      <w:pPr>
        <w:ind w:firstLine="1080" w:firstLineChars="300"/>
        <w:rPr>
          <w:rFonts w:hint="eastAsia" w:ascii="宋体" w:hAnsi="宋体"/>
          <w:sz w:val="36"/>
        </w:rPr>
      </w:pPr>
      <w:r>
        <w:rPr>
          <w:rFonts w:hint="eastAsia" w:ascii="宋体" w:hAnsi="宋体"/>
          <w:sz w:val="36"/>
        </w:rPr>
        <w:t>服务单位 ：</w:t>
      </w:r>
      <w:r>
        <w:rPr>
          <w:rFonts w:hint="eastAsia" w:ascii="宋体" w:hAnsi="宋体"/>
          <w:sz w:val="36"/>
          <w:u w:val="single"/>
        </w:rPr>
        <w:t xml:space="preserve">                               </w:t>
      </w:r>
    </w:p>
    <w:p>
      <w:pPr>
        <w:ind w:firstLine="1080" w:firstLineChars="300"/>
        <w:rPr>
          <w:rFonts w:hint="eastAsia" w:ascii="宋体" w:hAnsi="宋体"/>
          <w:sz w:val="36"/>
        </w:rPr>
      </w:pPr>
      <w:r>
        <w:rPr>
          <w:rFonts w:hint="eastAsia" w:ascii="宋体" w:hAnsi="宋体"/>
          <w:sz w:val="36"/>
        </w:rPr>
        <w:t>签订日期 ：</w:t>
      </w:r>
      <w:r>
        <w:rPr>
          <w:rFonts w:hint="eastAsia" w:ascii="宋体" w:hAnsi="宋体"/>
          <w:sz w:val="36"/>
          <w:u w:val="single"/>
        </w:rPr>
        <w:t xml:space="preserve">                               </w:t>
      </w:r>
    </w:p>
    <w:p>
      <w:pPr>
        <w:jc w:val="center"/>
        <w:rPr>
          <w:rFonts w:hint="eastAsia" w:ascii="黑体" w:eastAsia="黑体"/>
          <w:b/>
          <w:sz w:val="32"/>
        </w:rPr>
      </w:pPr>
      <w:r>
        <w:rPr>
          <w:rFonts w:ascii="宋体" w:hAnsi="宋体"/>
          <w:w w:val="105"/>
          <w:sz w:val="36"/>
        </w:rPr>
        <w:br w:type="page"/>
      </w:r>
      <w:bookmarkStart w:id="72" w:name="_Toc401304086"/>
      <w:bookmarkStart w:id="73" w:name="_Toc338684377"/>
      <w:bookmarkStart w:id="74" w:name="_Toc422907292"/>
      <w:bookmarkStart w:id="75" w:name="_Toc274907022"/>
      <w:r>
        <w:rPr>
          <w:rFonts w:hint="eastAsia" w:ascii="黑体" w:eastAsia="黑体"/>
          <w:b/>
          <w:sz w:val="32"/>
        </w:rPr>
        <w:t>南京市江宁区政府采购合同</w:t>
      </w:r>
    </w:p>
    <w:p>
      <w:pPr>
        <w:jc w:val="center"/>
        <w:rPr>
          <w:rFonts w:hint="eastAsia" w:ascii="黑体" w:eastAsia="黑体"/>
          <w:szCs w:val="21"/>
        </w:rPr>
      </w:pPr>
      <w:r>
        <w:rPr>
          <w:rFonts w:hint="eastAsia" w:ascii="黑体" w:eastAsia="黑体"/>
          <w:szCs w:val="21"/>
        </w:rPr>
        <w:t>（供参考）</w:t>
      </w:r>
    </w:p>
    <w:p>
      <w:pPr>
        <w:rPr>
          <w:rFonts w:hint="default" w:ascii="宋体" w:hAnsi="宋体"/>
          <w:lang w:val="en-US" w:eastAsia="zh-CN"/>
        </w:rPr>
      </w:pPr>
      <w:r>
        <w:rPr>
          <w:rFonts w:hint="eastAsia" w:ascii="宋体" w:hAnsi="宋体"/>
          <w:lang w:val="en-US" w:eastAsia="zh-CN"/>
        </w:rPr>
        <w:t>项</w:t>
      </w:r>
      <w:r>
        <w:rPr>
          <w:rFonts w:hint="eastAsia" w:ascii="宋体" w:hAnsi="Calibri" w:eastAsia="宋体" w:cs="Times New Roman"/>
          <w:szCs w:val="21"/>
          <w:lang w:val="en-US" w:eastAsia="zh-CN"/>
        </w:rPr>
        <w:t>目编号</w:t>
      </w:r>
      <w:r>
        <w:rPr>
          <w:rFonts w:hint="eastAsia" w:ascii="宋体" w:hAnsi="Calibri" w:eastAsia="宋体" w:cs="Times New Roman"/>
          <w:szCs w:val="21"/>
          <w:lang w:val="zh-CN"/>
        </w:rPr>
        <w:t>：NJCG-2021ZC-00</w:t>
      </w:r>
      <w:r>
        <w:rPr>
          <w:rFonts w:hint="eastAsia" w:ascii="宋体" w:hAnsi="Calibri" w:eastAsia="宋体" w:cs="Times New Roman"/>
          <w:szCs w:val="21"/>
          <w:lang w:val="en-US" w:eastAsia="zh-CN"/>
        </w:rPr>
        <w:t>68</w:t>
      </w:r>
    </w:p>
    <w:p>
      <w:pPr>
        <w:rPr>
          <w:rFonts w:hint="eastAsia"/>
        </w:rPr>
      </w:pPr>
      <w:r>
        <w:rPr>
          <w:rFonts w:hint="eastAsia" w:ascii="宋体" w:hAnsi="宋体"/>
        </w:rPr>
        <w:t>项目名称：</w:t>
      </w:r>
      <w:r>
        <w:rPr>
          <w:rFonts w:hint="eastAsia" w:ascii="宋体"/>
          <w:szCs w:val="21"/>
          <w:lang w:val="zh-CN"/>
        </w:rPr>
        <w:t>竹山桥泵站等12座泵站设施管养服务</w:t>
      </w:r>
    </w:p>
    <w:p>
      <w:pPr>
        <w:rPr>
          <w:rFonts w:ascii="宋体" w:hAnsi="宋体"/>
          <w:bCs/>
        </w:rPr>
      </w:pPr>
      <w:r>
        <w:rPr>
          <w:rFonts w:hint="eastAsia" w:ascii="宋体" w:hAnsi="宋体"/>
          <w:bCs/>
        </w:rPr>
        <w:t>采购人：</w:t>
      </w:r>
      <w:r>
        <w:rPr>
          <w:rFonts w:hint="eastAsia" w:ascii="宋体"/>
        </w:rPr>
        <w:t xml:space="preserve">  </w:t>
      </w:r>
      <w:r>
        <w:rPr>
          <w:rFonts w:hint="eastAsia" w:ascii="宋体" w:hAnsi="宋体"/>
          <w:bCs/>
        </w:rPr>
        <w:t xml:space="preserve">                                          供应商：</w:t>
      </w:r>
    </w:p>
    <w:p>
      <w:pPr>
        <w:rPr>
          <w:rFonts w:ascii="宋体" w:hAnsi="宋体"/>
          <w:bCs/>
        </w:rPr>
      </w:pPr>
      <w:r>
        <w:rPr>
          <w:rFonts w:hint="eastAsia" w:ascii="宋体" w:hAnsi="宋体"/>
          <w:bCs/>
        </w:rPr>
        <w:t>（以下称甲方）                                    （以下称中标供应商）</w:t>
      </w:r>
    </w:p>
    <w:p>
      <w:pPr>
        <w:rPr>
          <w:rFonts w:ascii="宋体" w:hAnsi="宋体"/>
          <w:bCs/>
        </w:rPr>
      </w:pPr>
      <w:r>
        <w:rPr>
          <w:rFonts w:hint="eastAsia" w:ascii="宋体" w:hAnsi="宋体"/>
          <w:bCs/>
        </w:rPr>
        <w:t>住所地：                                            住所地：</w:t>
      </w:r>
    </w:p>
    <w:p>
      <w:pPr>
        <w:jc w:val="left"/>
        <w:rPr>
          <w:rFonts w:ascii="宋体" w:hAnsi="宋体"/>
          <w:bCs/>
        </w:rPr>
      </w:pPr>
    </w:p>
    <w:p>
      <w:pPr>
        <w:ind w:firstLine="420" w:firstLineChars="200"/>
        <w:jc w:val="left"/>
        <w:rPr>
          <w:rFonts w:ascii="宋体" w:hAnsi="宋体"/>
          <w:bCs/>
        </w:rPr>
      </w:pPr>
      <w:r>
        <w:rPr>
          <w:rFonts w:hint="eastAsia" w:ascii="宋体" w:hAnsi="宋体"/>
          <w:bCs/>
        </w:rPr>
        <w:t>根据《中华人民共和国政府采购法》、《中华人民共和国合同法》等法律法规的规定，甲、乙双方按照南京市江宁区政府采购</w:t>
      </w:r>
      <w:r>
        <w:rPr>
          <w:rFonts w:hint="eastAsia" w:ascii="宋体" w:hAnsi="宋体"/>
          <w:b/>
          <w:bCs/>
          <w:u w:val="single"/>
          <w:lang w:val="en-US" w:eastAsia="zh-CN"/>
        </w:rPr>
        <w:t xml:space="preserve">CGJH-2021-2127 </w:t>
      </w:r>
      <w:r>
        <w:rPr>
          <w:rFonts w:hint="eastAsia" w:ascii="宋体" w:hAnsi="宋体"/>
          <w:bCs/>
        </w:rPr>
        <w:t>号的采购结果签订本合同。</w:t>
      </w:r>
    </w:p>
    <w:p>
      <w:pPr>
        <w:ind w:firstLine="422" w:firstLineChars="200"/>
        <w:jc w:val="left"/>
        <w:rPr>
          <w:rFonts w:hint="eastAsia" w:ascii="宋体" w:hAnsi="宋体"/>
          <w:bCs/>
        </w:rPr>
      </w:pPr>
      <w:r>
        <w:rPr>
          <w:rFonts w:hint="eastAsia" w:ascii="宋体" w:hAnsi="宋体"/>
          <w:b/>
          <w:bCs/>
        </w:rPr>
        <w:t xml:space="preserve">第一条 合同标的  </w:t>
      </w:r>
      <w:r>
        <w:rPr>
          <w:rFonts w:hint="eastAsia" w:ascii="宋体" w:hAnsi="宋体"/>
          <w:bCs/>
        </w:rPr>
        <w:t>中标供应商根据甲方需求提供下列服务：</w:t>
      </w:r>
    </w:p>
    <w:p>
      <w:pPr>
        <w:jc w:val="center"/>
        <w:rPr>
          <w:rFonts w:ascii="宋体" w:hAnsi="宋体"/>
          <w:b/>
          <w:bCs/>
        </w:rPr>
      </w:pPr>
      <w:r>
        <w:rPr>
          <w:rFonts w:hint="eastAsia" w:ascii="宋体" w:hAnsi="宋体"/>
          <w:b/>
          <w:bCs/>
        </w:rPr>
        <w:t>投标分项报价表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45"/>
        <w:gridCol w:w="1108"/>
        <w:gridCol w:w="1393"/>
        <w:gridCol w:w="1867"/>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noWrap w:val="0"/>
            <w:vAlign w:val="center"/>
          </w:tcPr>
          <w:p>
            <w:pPr>
              <w:autoSpaceDE w:val="0"/>
              <w:autoSpaceDN w:val="0"/>
              <w:adjustRightInd w:val="0"/>
              <w:jc w:val="center"/>
              <w:rPr>
                <w:b/>
                <w:szCs w:val="21"/>
                <w:lang w:val="zh-CN"/>
              </w:rPr>
            </w:pPr>
            <w:r>
              <w:rPr>
                <w:b/>
                <w:szCs w:val="21"/>
                <w:lang w:val="zh-CN"/>
              </w:rPr>
              <w:t>序号</w:t>
            </w:r>
          </w:p>
        </w:tc>
        <w:tc>
          <w:tcPr>
            <w:tcW w:w="2445" w:type="dxa"/>
            <w:noWrap w:val="0"/>
            <w:vAlign w:val="center"/>
          </w:tcPr>
          <w:p>
            <w:pPr>
              <w:autoSpaceDE w:val="0"/>
              <w:autoSpaceDN w:val="0"/>
              <w:adjustRightInd w:val="0"/>
              <w:jc w:val="center"/>
              <w:rPr>
                <w:b/>
                <w:szCs w:val="21"/>
                <w:lang w:val="zh-CN"/>
              </w:rPr>
            </w:pPr>
            <w:r>
              <w:rPr>
                <w:b/>
                <w:szCs w:val="21"/>
                <w:lang w:val="zh-CN"/>
              </w:rPr>
              <w:t>项目名称</w:t>
            </w:r>
          </w:p>
        </w:tc>
        <w:tc>
          <w:tcPr>
            <w:tcW w:w="1108" w:type="dxa"/>
            <w:noWrap w:val="0"/>
            <w:vAlign w:val="center"/>
          </w:tcPr>
          <w:p>
            <w:pPr>
              <w:autoSpaceDE w:val="0"/>
              <w:autoSpaceDN w:val="0"/>
              <w:adjustRightInd w:val="0"/>
              <w:jc w:val="center"/>
              <w:rPr>
                <w:b/>
                <w:szCs w:val="21"/>
                <w:lang w:val="zh-CN"/>
              </w:rPr>
            </w:pPr>
            <w:r>
              <w:rPr>
                <w:b/>
                <w:szCs w:val="21"/>
                <w:lang w:val="zh-CN"/>
              </w:rPr>
              <w:t>单位</w:t>
            </w:r>
          </w:p>
        </w:tc>
        <w:tc>
          <w:tcPr>
            <w:tcW w:w="1393" w:type="dxa"/>
            <w:noWrap w:val="0"/>
            <w:vAlign w:val="center"/>
          </w:tcPr>
          <w:p>
            <w:pPr>
              <w:autoSpaceDE w:val="0"/>
              <w:autoSpaceDN w:val="0"/>
              <w:adjustRightInd w:val="0"/>
              <w:jc w:val="center"/>
              <w:rPr>
                <w:b/>
                <w:szCs w:val="21"/>
                <w:lang w:val="zh-CN"/>
              </w:rPr>
            </w:pPr>
            <w:r>
              <w:rPr>
                <w:b/>
                <w:szCs w:val="21"/>
                <w:lang w:val="zh-CN"/>
              </w:rPr>
              <w:t>单价</w:t>
            </w:r>
          </w:p>
        </w:tc>
        <w:tc>
          <w:tcPr>
            <w:tcW w:w="1867" w:type="dxa"/>
            <w:noWrap w:val="0"/>
            <w:vAlign w:val="center"/>
          </w:tcPr>
          <w:p>
            <w:pPr>
              <w:autoSpaceDE w:val="0"/>
              <w:autoSpaceDN w:val="0"/>
              <w:adjustRightInd w:val="0"/>
              <w:jc w:val="center"/>
              <w:rPr>
                <w:b/>
                <w:szCs w:val="21"/>
                <w:lang w:val="zh-CN"/>
              </w:rPr>
            </w:pPr>
            <w:r>
              <w:rPr>
                <w:b/>
                <w:szCs w:val="21"/>
                <w:lang w:val="zh-CN"/>
              </w:rPr>
              <w:t>小计</w:t>
            </w:r>
          </w:p>
        </w:tc>
        <w:tc>
          <w:tcPr>
            <w:tcW w:w="1858" w:type="dxa"/>
            <w:noWrap w:val="0"/>
            <w:vAlign w:val="center"/>
          </w:tcPr>
          <w:p>
            <w:pPr>
              <w:autoSpaceDE w:val="0"/>
              <w:autoSpaceDN w:val="0"/>
              <w:adjustRightInd w:val="0"/>
              <w:jc w:val="center"/>
              <w:rPr>
                <w:b/>
                <w:szCs w:val="21"/>
                <w:lang w:val="zh-CN"/>
              </w:rPr>
            </w:pPr>
            <w:r>
              <w:rPr>
                <w:b/>
                <w:szCs w:val="21"/>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noWrap w:val="0"/>
            <w:vAlign w:val="center"/>
          </w:tcPr>
          <w:p>
            <w:pPr>
              <w:autoSpaceDE w:val="0"/>
              <w:autoSpaceDN w:val="0"/>
              <w:adjustRightInd w:val="0"/>
              <w:jc w:val="center"/>
              <w:rPr>
                <w:szCs w:val="21"/>
                <w:lang w:val="zh-CN"/>
              </w:rPr>
            </w:pPr>
          </w:p>
        </w:tc>
        <w:tc>
          <w:tcPr>
            <w:tcW w:w="2445" w:type="dxa"/>
            <w:noWrap w:val="0"/>
            <w:vAlign w:val="center"/>
          </w:tcPr>
          <w:p>
            <w:pPr>
              <w:autoSpaceDE w:val="0"/>
              <w:autoSpaceDN w:val="0"/>
              <w:adjustRightInd w:val="0"/>
              <w:rPr>
                <w:szCs w:val="21"/>
                <w:lang w:val="zh-CN"/>
              </w:rPr>
            </w:pPr>
          </w:p>
        </w:tc>
        <w:tc>
          <w:tcPr>
            <w:tcW w:w="1108" w:type="dxa"/>
            <w:noWrap w:val="0"/>
            <w:vAlign w:val="center"/>
          </w:tcPr>
          <w:p>
            <w:pPr>
              <w:autoSpaceDE w:val="0"/>
              <w:autoSpaceDN w:val="0"/>
              <w:adjustRightInd w:val="0"/>
              <w:rPr>
                <w:szCs w:val="21"/>
                <w:lang w:val="zh-CN"/>
              </w:rPr>
            </w:pPr>
          </w:p>
        </w:tc>
        <w:tc>
          <w:tcPr>
            <w:tcW w:w="1393" w:type="dxa"/>
            <w:noWrap w:val="0"/>
            <w:vAlign w:val="center"/>
          </w:tcPr>
          <w:p>
            <w:pPr>
              <w:autoSpaceDE w:val="0"/>
              <w:autoSpaceDN w:val="0"/>
              <w:adjustRightInd w:val="0"/>
              <w:jc w:val="center"/>
              <w:rPr>
                <w:szCs w:val="21"/>
                <w:lang w:val="zh-CN"/>
              </w:rPr>
            </w:pPr>
          </w:p>
        </w:tc>
        <w:tc>
          <w:tcPr>
            <w:tcW w:w="1867" w:type="dxa"/>
            <w:noWrap w:val="0"/>
            <w:vAlign w:val="center"/>
          </w:tcPr>
          <w:p>
            <w:pPr>
              <w:autoSpaceDE w:val="0"/>
              <w:autoSpaceDN w:val="0"/>
              <w:adjustRightInd w:val="0"/>
              <w:jc w:val="center"/>
              <w:rPr>
                <w:szCs w:val="21"/>
                <w:lang w:val="zh-CN"/>
              </w:rPr>
            </w:pPr>
          </w:p>
        </w:tc>
        <w:tc>
          <w:tcPr>
            <w:tcW w:w="1858" w:type="dxa"/>
            <w:noWrap w:val="0"/>
            <w:vAlign w:val="center"/>
          </w:tcPr>
          <w:p>
            <w:pPr>
              <w:autoSpaceDE w:val="0"/>
              <w:autoSpaceDN w:val="0"/>
              <w:adjustRightInd w:val="0"/>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noWrap w:val="0"/>
            <w:vAlign w:val="center"/>
          </w:tcPr>
          <w:p>
            <w:pPr>
              <w:autoSpaceDE w:val="0"/>
              <w:autoSpaceDN w:val="0"/>
              <w:adjustRightInd w:val="0"/>
              <w:jc w:val="center"/>
              <w:rPr>
                <w:szCs w:val="21"/>
                <w:lang w:val="zh-CN"/>
              </w:rPr>
            </w:pPr>
          </w:p>
        </w:tc>
        <w:tc>
          <w:tcPr>
            <w:tcW w:w="2445" w:type="dxa"/>
            <w:noWrap w:val="0"/>
            <w:vAlign w:val="center"/>
          </w:tcPr>
          <w:p>
            <w:pPr>
              <w:autoSpaceDE w:val="0"/>
              <w:autoSpaceDN w:val="0"/>
              <w:adjustRightInd w:val="0"/>
              <w:jc w:val="center"/>
              <w:rPr>
                <w:szCs w:val="21"/>
                <w:lang w:val="zh-CN"/>
              </w:rPr>
            </w:pPr>
          </w:p>
        </w:tc>
        <w:tc>
          <w:tcPr>
            <w:tcW w:w="1108" w:type="dxa"/>
            <w:noWrap w:val="0"/>
            <w:vAlign w:val="center"/>
          </w:tcPr>
          <w:p>
            <w:pPr>
              <w:autoSpaceDE w:val="0"/>
              <w:autoSpaceDN w:val="0"/>
              <w:adjustRightInd w:val="0"/>
              <w:jc w:val="center"/>
              <w:rPr>
                <w:szCs w:val="21"/>
                <w:lang w:val="zh-CN"/>
              </w:rPr>
            </w:pPr>
          </w:p>
        </w:tc>
        <w:tc>
          <w:tcPr>
            <w:tcW w:w="1393" w:type="dxa"/>
            <w:noWrap w:val="0"/>
            <w:vAlign w:val="center"/>
          </w:tcPr>
          <w:p>
            <w:pPr>
              <w:autoSpaceDE w:val="0"/>
              <w:autoSpaceDN w:val="0"/>
              <w:adjustRightInd w:val="0"/>
              <w:jc w:val="center"/>
              <w:rPr>
                <w:szCs w:val="21"/>
                <w:lang w:val="zh-CN"/>
              </w:rPr>
            </w:pPr>
          </w:p>
        </w:tc>
        <w:tc>
          <w:tcPr>
            <w:tcW w:w="1867" w:type="dxa"/>
            <w:noWrap w:val="0"/>
            <w:vAlign w:val="center"/>
          </w:tcPr>
          <w:p>
            <w:pPr>
              <w:autoSpaceDE w:val="0"/>
              <w:autoSpaceDN w:val="0"/>
              <w:adjustRightInd w:val="0"/>
              <w:jc w:val="center"/>
              <w:rPr>
                <w:szCs w:val="21"/>
                <w:lang w:val="zh-CN"/>
              </w:rPr>
            </w:pPr>
          </w:p>
        </w:tc>
        <w:tc>
          <w:tcPr>
            <w:tcW w:w="1858" w:type="dxa"/>
            <w:noWrap w:val="0"/>
            <w:vAlign w:val="center"/>
          </w:tcPr>
          <w:p>
            <w:pPr>
              <w:autoSpaceDE w:val="0"/>
              <w:autoSpaceDN w:val="0"/>
              <w:adjustRightInd w:val="0"/>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noWrap w:val="0"/>
            <w:vAlign w:val="center"/>
          </w:tcPr>
          <w:p>
            <w:pPr>
              <w:autoSpaceDE w:val="0"/>
              <w:autoSpaceDN w:val="0"/>
              <w:adjustRightInd w:val="0"/>
              <w:jc w:val="center"/>
              <w:rPr>
                <w:szCs w:val="21"/>
                <w:lang w:val="zh-CN"/>
              </w:rPr>
            </w:pPr>
          </w:p>
        </w:tc>
        <w:tc>
          <w:tcPr>
            <w:tcW w:w="2445" w:type="dxa"/>
            <w:noWrap w:val="0"/>
            <w:vAlign w:val="center"/>
          </w:tcPr>
          <w:p>
            <w:pPr>
              <w:autoSpaceDE w:val="0"/>
              <w:autoSpaceDN w:val="0"/>
              <w:adjustRightInd w:val="0"/>
              <w:jc w:val="center"/>
              <w:rPr>
                <w:szCs w:val="21"/>
                <w:lang w:val="zh-CN"/>
              </w:rPr>
            </w:pPr>
          </w:p>
        </w:tc>
        <w:tc>
          <w:tcPr>
            <w:tcW w:w="1108" w:type="dxa"/>
            <w:noWrap w:val="0"/>
            <w:vAlign w:val="center"/>
          </w:tcPr>
          <w:p>
            <w:pPr>
              <w:autoSpaceDE w:val="0"/>
              <w:autoSpaceDN w:val="0"/>
              <w:adjustRightInd w:val="0"/>
              <w:jc w:val="center"/>
              <w:rPr>
                <w:szCs w:val="21"/>
                <w:lang w:val="zh-CN"/>
              </w:rPr>
            </w:pPr>
          </w:p>
        </w:tc>
        <w:tc>
          <w:tcPr>
            <w:tcW w:w="1393" w:type="dxa"/>
            <w:noWrap w:val="0"/>
            <w:vAlign w:val="center"/>
          </w:tcPr>
          <w:p>
            <w:pPr>
              <w:autoSpaceDE w:val="0"/>
              <w:autoSpaceDN w:val="0"/>
              <w:adjustRightInd w:val="0"/>
              <w:jc w:val="center"/>
              <w:rPr>
                <w:szCs w:val="21"/>
                <w:lang w:val="zh-CN"/>
              </w:rPr>
            </w:pPr>
          </w:p>
        </w:tc>
        <w:tc>
          <w:tcPr>
            <w:tcW w:w="1867" w:type="dxa"/>
            <w:noWrap w:val="0"/>
            <w:vAlign w:val="center"/>
          </w:tcPr>
          <w:p>
            <w:pPr>
              <w:autoSpaceDE w:val="0"/>
              <w:autoSpaceDN w:val="0"/>
              <w:adjustRightInd w:val="0"/>
              <w:jc w:val="center"/>
              <w:rPr>
                <w:szCs w:val="21"/>
                <w:lang w:val="zh-CN"/>
              </w:rPr>
            </w:pPr>
          </w:p>
        </w:tc>
        <w:tc>
          <w:tcPr>
            <w:tcW w:w="1858" w:type="dxa"/>
            <w:noWrap w:val="0"/>
            <w:vAlign w:val="center"/>
          </w:tcPr>
          <w:p>
            <w:pPr>
              <w:autoSpaceDE w:val="0"/>
              <w:autoSpaceDN w:val="0"/>
              <w:adjustRightInd w:val="0"/>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noWrap w:val="0"/>
            <w:vAlign w:val="center"/>
          </w:tcPr>
          <w:p>
            <w:pPr>
              <w:autoSpaceDE w:val="0"/>
              <w:autoSpaceDN w:val="0"/>
              <w:adjustRightInd w:val="0"/>
              <w:jc w:val="center"/>
              <w:rPr>
                <w:szCs w:val="21"/>
                <w:lang w:val="zh-CN"/>
              </w:rPr>
            </w:pPr>
          </w:p>
        </w:tc>
        <w:tc>
          <w:tcPr>
            <w:tcW w:w="2445" w:type="dxa"/>
            <w:noWrap w:val="0"/>
            <w:vAlign w:val="center"/>
          </w:tcPr>
          <w:p>
            <w:pPr>
              <w:autoSpaceDE w:val="0"/>
              <w:autoSpaceDN w:val="0"/>
              <w:adjustRightInd w:val="0"/>
              <w:jc w:val="center"/>
              <w:rPr>
                <w:szCs w:val="21"/>
                <w:lang w:val="zh-CN"/>
              </w:rPr>
            </w:pPr>
          </w:p>
        </w:tc>
        <w:tc>
          <w:tcPr>
            <w:tcW w:w="1108" w:type="dxa"/>
            <w:noWrap w:val="0"/>
            <w:vAlign w:val="center"/>
          </w:tcPr>
          <w:p>
            <w:pPr>
              <w:autoSpaceDE w:val="0"/>
              <w:autoSpaceDN w:val="0"/>
              <w:adjustRightInd w:val="0"/>
              <w:jc w:val="center"/>
              <w:rPr>
                <w:szCs w:val="21"/>
                <w:lang w:val="zh-CN"/>
              </w:rPr>
            </w:pPr>
          </w:p>
        </w:tc>
        <w:tc>
          <w:tcPr>
            <w:tcW w:w="1393" w:type="dxa"/>
            <w:noWrap w:val="0"/>
            <w:vAlign w:val="center"/>
          </w:tcPr>
          <w:p>
            <w:pPr>
              <w:autoSpaceDE w:val="0"/>
              <w:autoSpaceDN w:val="0"/>
              <w:adjustRightInd w:val="0"/>
              <w:jc w:val="center"/>
              <w:rPr>
                <w:szCs w:val="21"/>
                <w:lang w:val="zh-CN"/>
              </w:rPr>
            </w:pPr>
          </w:p>
        </w:tc>
        <w:tc>
          <w:tcPr>
            <w:tcW w:w="1867" w:type="dxa"/>
            <w:noWrap w:val="0"/>
            <w:vAlign w:val="center"/>
          </w:tcPr>
          <w:p>
            <w:pPr>
              <w:autoSpaceDE w:val="0"/>
              <w:autoSpaceDN w:val="0"/>
              <w:adjustRightInd w:val="0"/>
              <w:jc w:val="center"/>
              <w:rPr>
                <w:szCs w:val="21"/>
                <w:lang w:val="zh-CN"/>
              </w:rPr>
            </w:pPr>
          </w:p>
        </w:tc>
        <w:tc>
          <w:tcPr>
            <w:tcW w:w="1858" w:type="dxa"/>
            <w:noWrap w:val="0"/>
            <w:vAlign w:val="center"/>
          </w:tcPr>
          <w:p>
            <w:pPr>
              <w:autoSpaceDE w:val="0"/>
              <w:autoSpaceDN w:val="0"/>
              <w:adjustRightInd w:val="0"/>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noWrap w:val="0"/>
            <w:vAlign w:val="center"/>
          </w:tcPr>
          <w:p>
            <w:pPr>
              <w:autoSpaceDE w:val="0"/>
              <w:autoSpaceDN w:val="0"/>
              <w:adjustRightInd w:val="0"/>
              <w:jc w:val="center"/>
              <w:rPr>
                <w:szCs w:val="21"/>
                <w:lang w:val="zh-CN"/>
              </w:rPr>
            </w:pPr>
          </w:p>
        </w:tc>
        <w:tc>
          <w:tcPr>
            <w:tcW w:w="2445" w:type="dxa"/>
            <w:noWrap w:val="0"/>
            <w:vAlign w:val="center"/>
          </w:tcPr>
          <w:p>
            <w:pPr>
              <w:autoSpaceDE w:val="0"/>
              <w:autoSpaceDN w:val="0"/>
              <w:adjustRightInd w:val="0"/>
              <w:jc w:val="center"/>
              <w:rPr>
                <w:szCs w:val="21"/>
                <w:lang w:val="zh-CN"/>
              </w:rPr>
            </w:pPr>
          </w:p>
        </w:tc>
        <w:tc>
          <w:tcPr>
            <w:tcW w:w="1108" w:type="dxa"/>
            <w:noWrap w:val="0"/>
            <w:vAlign w:val="center"/>
          </w:tcPr>
          <w:p>
            <w:pPr>
              <w:autoSpaceDE w:val="0"/>
              <w:autoSpaceDN w:val="0"/>
              <w:adjustRightInd w:val="0"/>
              <w:jc w:val="center"/>
              <w:rPr>
                <w:szCs w:val="21"/>
                <w:lang w:val="zh-CN"/>
              </w:rPr>
            </w:pPr>
          </w:p>
        </w:tc>
        <w:tc>
          <w:tcPr>
            <w:tcW w:w="1393" w:type="dxa"/>
            <w:noWrap w:val="0"/>
            <w:vAlign w:val="center"/>
          </w:tcPr>
          <w:p>
            <w:pPr>
              <w:autoSpaceDE w:val="0"/>
              <w:autoSpaceDN w:val="0"/>
              <w:adjustRightInd w:val="0"/>
              <w:jc w:val="center"/>
              <w:rPr>
                <w:szCs w:val="21"/>
                <w:lang w:val="zh-CN"/>
              </w:rPr>
            </w:pPr>
          </w:p>
        </w:tc>
        <w:tc>
          <w:tcPr>
            <w:tcW w:w="1867" w:type="dxa"/>
            <w:noWrap w:val="0"/>
            <w:vAlign w:val="center"/>
          </w:tcPr>
          <w:p>
            <w:pPr>
              <w:autoSpaceDE w:val="0"/>
              <w:autoSpaceDN w:val="0"/>
              <w:adjustRightInd w:val="0"/>
              <w:jc w:val="center"/>
              <w:rPr>
                <w:szCs w:val="21"/>
                <w:lang w:val="zh-CN"/>
              </w:rPr>
            </w:pPr>
          </w:p>
        </w:tc>
        <w:tc>
          <w:tcPr>
            <w:tcW w:w="1858" w:type="dxa"/>
            <w:noWrap w:val="0"/>
            <w:vAlign w:val="center"/>
          </w:tcPr>
          <w:p>
            <w:pPr>
              <w:autoSpaceDE w:val="0"/>
              <w:autoSpaceDN w:val="0"/>
              <w:adjustRightInd w:val="0"/>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noWrap w:val="0"/>
            <w:vAlign w:val="center"/>
          </w:tcPr>
          <w:p>
            <w:pPr>
              <w:autoSpaceDE w:val="0"/>
              <w:autoSpaceDN w:val="0"/>
              <w:adjustRightInd w:val="0"/>
              <w:jc w:val="center"/>
              <w:rPr>
                <w:szCs w:val="21"/>
                <w:lang w:val="zh-CN"/>
              </w:rPr>
            </w:pPr>
          </w:p>
        </w:tc>
        <w:tc>
          <w:tcPr>
            <w:tcW w:w="2445" w:type="dxa"/>
            <w:noWrap w:val="0"/>
            <w:vAlign w:val="center"/>
          </w:tcPr>
          <w:p>
            <w:pPr>
              <w:autoSpaceDE w:val="0"/>
              <w:autoSpaceDN w:val="0"/>
              <w:adjustRightInd w:val="0"/>
              <w:jc w:val="center"/>
              <w:rPr>
                <w:szCs w:val="21"/>
                <w:lang w:val="zh-CN"/>
              </w:rPr>
            </w:pPr>
          </w:p>
        </w:tc>
        <w:tc>
          <w:tcPr>
            <w:tcW w:w="1108" w:type="dxa"/>
            <w:noWrap w:val="0"/>
            <w:vAlign w:val="center"/>
          </w:tcPr>
          <w:p>
            <w:pPr>
              <w:autoSpaceDE w:val="0"/>
              <w:autoSpaceDN w:val="0"/>
              <w:adjustRightInd w:val="0"/>
              <w:jc w:val="center"/>
              <w:rPr>
                <w:szCs w:val="21"/>
                <w:lang w:val="zh-CN"/>
              </w:rPr>
            </w:pPr>
          </w:p>
        </w:tc>
        <w:tc>
          <w:tcPr>
            <w:tcW w:w="1393" w:type="dxa"/>
            <w:noWrap w:val="0"/>
            <w:vAlign w:val="center"/>
          </w:tcPr>
          <w:p>
            <w:pPr>
              <w:autoSpaceDE w:val="0"/>
              <w:autoSpaceDN w:val="0"/>
              <w:adjustRightInd w:val="0"/>
              <w:jc w:val="center"/>
              <w:rPr>
                <w:szCs w:val="21"/>
                <w:lang w:val="zh-CN"/>
              </w:rPr>
            </w:pPr>
          </w:p>
        </w:tc>
        <w:tc>
          <w:tcPr>
            <w:tcW w:w="1867" w:type="dxa"/>
            <w:noWrap w:val="0"/>
            <w:vAlign w:val="center"/>
          </w:tcPr>
          <w:p>
            <w:pPr>
              <w:autoSpaceDE w:val="0"/>
              <w:autoSpaceDN w:val="0"/>
              <w:adjustRightInd w:val="0"/>
              <w:jc w:val="center"/>
              <w:rPr>
                <w:szCs w:val="21"/>
                <w:lang w:val="zh-CN"/>
              </w:rPr>
            </w:pPr>
          </w:p>
        </w:tc>
        <w:tc>
          <w:tcPr>
            <w:tcW w:w="1858" w:type="dxa"/>
            <w:noWrap w:val="0"/>
            <w:vAlign w:val="center"/>
          </w:tcPr>
          <w:p>
            <w:pPr>
              <w:autoSpaceDE w:val="0"/>
              <w:autoSpaceDN w:val="0"/>
              <w:adjustRightInd w:val="0"/>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noWrap w:val="0"/>
            <w:vAlign w:val="center"/>
          </w:tcPr>
          <w:p>
            <w:pPr>
              <w:autoSpaceDE w:val="0"/>
              <w:autoSpaceDN w:val="0"/>
              <w:adjustRightInd w:val="0"/>
              <w:jc w:val="center"/>
              <w:rPr>
                <w:szCs w:val="21"/>
                <w:lang w:val="zh-CN"/>
              </w:rPr>
            </w:pPr>
          </w:p>
        </w:tc>
        <w:tc>
          <w:tcPr>
            <w:tcW w:w="2445" w:type="dxa"/>
            <w:noWrap w:val="0"/>
            <w:vAlign w:val="center"/>
          </w:tcPr>
          <w:p>
            <w:pPr>
              <w:autoSpaceDE w:val="0"/>
              <w:autoSpaceDN w:val="0"/>
              <w:adjustRightInd w:val="0"/>
              <w:jc w:val="center"/>
              <w:rPr>
                <w:szCs w:val="21"/>
                <w:lang w:val="zh-CN"/>
              </w:rPr>
            </w:pPr>
          </w:p>
        </w:tc>
        <w:tc>
          <w:tcPr>
            <w:tcW w:w="1108" w:type="dxa"/>
            <w:noWrap w:val="0"/>
            <w:vAlign w:val="center"/>
          </w:tcPr>
          <w:p>
            <w:pPr>
              <w:autoSpaceDE w:val="0"/>
              <w:autoSpaceDN w:val="0"/>
              <w:adjustRightInd w:val="0"/>
              <w:jc w:val="center"/>
              <w:rPr>
                <w:szCs w:val="21"/>
                <w:lang w:val="zh-CN"/>
              </w:rPr>
            </w:pPr>
          </w:p>
        </w:tc>
        <w:tc>
          <w:tcPr>
            <w:tcW w:w="1393" w:type="dxa"/>
            <w:noWrap w:val="0"/>
            <w:vAlign w:val="center"/>
          </w:tcPr>
          <w:p>
            <w:pPr>
              <w:autoSpaceDE w:val="0"/>
              <w:autoSpaceDN w:val="0"/>
              <w:adjustRightInd w:val="0"/>
              <w:jc w:val="center"/>
              <w:rPr>
                <w:szCs w:val="21"/>
                <w:lang w:val="zh-CN"/>
              </w:rPr>
            </w:pPr>
          </w:p>
        </w:tc>
        <w:tc>
          <w:tcPr>
            <w:tcW w:w="1867" w:type="dxa"/>
            <w:noWrap w:val="0"/>
            <w:vAlign w:val="center"/>
          </w:tcPr>
          <w:p>
            <w:pPr>
              <w:autoSpaceDE w:val="0"/>
              <w:autoSpaceDN w:val="0"/>
              <w:adjustRightInd w:val="0"/>
              <w:jc w:val="center"/>
              <w:rPr>
                <w:szCs w:val="21"/>
                <w:lang w:val="zh-CN"/>
              </w:rPr>
            </w:pPr>
          </w:p>
        </w:tc>
        <w:tc>
          <w:tcPr>
            <w:tcW w:w="1858" w:type="dxa"/>
            <w:noWrap w:val="0"/>
            <w:vAlign w:val="center"/>
          </w:tcPr>
          <w:p>
            <w:pPr>
              <w:autoSpaceDE w:val="0"/>
              <w:autoSpaceDN w:val="0"/>
              <w:adjustRightInd w:val="0"/>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noWrap w:val="0"/>
            <w:vAlign w:val="center"/>
          </w:tcPr>
          <w:p>
            <w:pPr>
              <w:autoSpaceDE w:val="0"/>
              <w:autoSpaceDN w:val="0"/>
              <w:adjustRightInd w:val="0"/>
              <w:jc w:val="center"/>
              <w:rPr>
                <w:szCs w:val="21"/>
                <w:lang w:val="zh-CN"/>
              </w:rPr>
            </w:pPr>
          </w:p>
        </w:tc>
        <w:tc>
          <w:tcPr>
            <w:tcW w:w="2445" w:type="dxa"/>
            <w:noWrap w:val="0"/>
            <w:vAlign w:val="center"/>
          </w:tcPr>
          <w:p>
            <w:pPr>
              <w:autoSpaceDE w:val="0"/>
              <w:autoSpaceDN w:val="0"/>
              <w:adjustRightInd w:val="0"/>
              <w:jc w:val="center"/>
              <w:rPr>
                <w:szCs w:val="21"/>
                <w:lang w:val="zh-CN"/>
              </w:rPr>
            </w:pPr>
          </w:p>
        </w:tc>
        <w:tc>
          <w:tcPr>
            <w:tcW w:w="1108" w:type="dxa"/>
            <w:noWrap w:val="0"/>
            <w:vAlign w:val="center"/>
          </w:tcPr>
          <w:p>
            <w:pPr>
              <w:autoSpaceDE w:val="0"/>
              <w:autoSpaceDN w:val="0"/>
              <w:adjustRightInd w:val="0"/>
              <w:jc w:val="center"/>
              <w:rPr>
                <w:szCs w:val="21"/>
                <w:lang w:val="zh-CN"/>
              </w:rPr>
            </w:pPr>
          </w:p>
        </w:tc>
        <w:tc>
          <w:tcPr>
            <w:tcW w:w="1393" w:type="dxa"/>
            <w:noWrap w:val="0"/>
            <w:vAlign w:val="center"/>
          </w:tcPr>
          <w:p>
            <w:pPr>
              <w:autoSpaceDE w:val="0"/>
              <w:autoSpaceDN w:val="0"/>
              <w:adjustRightInd w:val="0"/>
              <w:jc w:val="center"/>
              <w:rPr>
                <w:szCs w:val="21"/>
                <w:lang w:val="zh-CN"/>
              </w:rPr>
            </w:pPr>
          </w:p>
        </w:tc>
        <w:tc>
          <w:tcPr>
            <w:tcW w:w="1867" w:type="dxa"/>
            <w:noWrap w:val="0"/>
            <w:vAlign w:val="center"/>
          </w:tcPr>
          <w:p>
            <w:pPr>
              <w:autoSpaceDE w:val="0"/>
              <w:autoSpaceDN w:val="0"/>
              <w:adjustRightInd w:val="0"/>
              <w:jc w:val="center"/>
              <w:rPr>
                <w:szCs w:val="21"/>
                <w:lang w:val="zh-CN"/>
              </w:rPr>
            </w:pPr>
          </w:p>
        </w:tc>
        <w:tc>
          <w:tcPr>
            <w:tcW w:w="1858" w:type="dxa"/>
            <w:noWrap w:val="0"/>
            <w:vAlign w:val="center"/>
          </w:tcPr>
          <w:p>
            <w:pPr>
              <w:autoSpaceDE w:val="0"/>
              <w:autoSpaceDN w:val="0"/>
              <w:adjustRightInd w:val="0"/>
              <w:jc w:val="cente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1" w:type="dxa"/>
            <w:noWrap w:val="0"/>
            <w:vAlign w:val="center"/>
          </w:tcPr>
          <w:p>
            <w:pPr>
              <w:autoSpaceDE w:val="0"/>
              <w:autoSpaceDN w:val="0"/>
              <w:adjustRightInd w:val="0"/>
              <w:jc w:val="center"/>
              <w:rPr>
                <w:szCs w:val="21"/>
                <w:lang w:val="zh-CN"/>
              </w:rPr>
            </w:pPr>
          </w:p>
        </w:tc>
        <w:tc>
          <w:tcPr>
            <w:tcW w:w="2445" w:type="dxa"/>
            <w:noWrap w:val="0"/>
            <w:vAlign w:val="center"/>
          </w:tcPr>
          <w:p>
            <w:pPr>
              <w:autoSpaceDE w:val="0"/>
              <w:autoSpaceDN w:val="0"/>
              <w:adjustRightInd w:val="0"/>
              <w:jc w:val="center"/>
              <w:rPr>
                <w:szCs w:val="21"/>
                <w:lang w:val="zh-CN"/>
              </w:rPr>
            </w:pPr>
          </w:p>
        </w:tc>
        <w:tc>
          <w:tcPr>
            <w:tcW w:w="1108" w:type="dxa"/>
            <w:noWrap w:val="0"/>
            <w:vAlign w:val="center"/>
          </w:tcPr>
          <w:p>
            <w:pPr>
              <w:autoSpaceDE w:val="0"/>
              <w:autoSpaceDN w:val="0"/>
              <w:adjustRightInd w:val="0"/>
              <w:jc w:val="center"/>
              <w:rPr>
                <w:szCs w:val="21"/>
                <w:lang w:val="zh-CN"/>
              </w:rPr>
            </w:pPr>
          </w:p>
        </w:tc>
        <w:tc>
          <w:tcPr>
            <w:tcW w:w="1393" w:type="dxa"/>
            <w:noWrap w:val="0"/>
            <w:vAlign w:val="center"/>
          </w:tcPr>
          <w:p>
            <w:pPr>
              <w:autoSpaceDE w:val="0"/>
              <w:autoSpaceDN w:val="0"/>
              <w:adjustRightInd w:val="0"/>
              <w:jc w:val="center"/>
              <w:rPr>
                <w:szCs w:val="21"/>
                <w:lang w:val="zh-CN"/>
              </w:rPr>
            </w:pPr>
          </w:p>
        </w:tc>
        <w:tc>
          <w:tcPr>
            <w:tcW w:w="1867" w:type="dxa"/>
            <w:noWrap w:val="0"/>
            <w:vAlign w:val="center"/>
          </w:tcPr>
          <w:p>
            <w:pPr>
              <w:autoSpaceDE w:val="0"/>
              <w:autoSpaceDN w:val="0"/>
              <w:adjustRightInd w:val="0"/>
              <w:jc w:val="center"/>
              <w:rPr>
                <w:szCs w:val="21"/>
                <w:lang w:val="zh-CN"/>
              </w:rPr>
            </w:pPr>
          </w:p>
        </w:tc>
        <w:tc>
          <w:tcPr>
            <w:tcW w:w="1858" w:type="dxa"/>
            <w:noWrap w:val="0"/>
            <w:vAlign w:val="center"/>
          </w:tcPr>
          <w:p>
            <w:pPr>
              <w:autoSpaceDE w:val="0"/>
              <w:autoSpaceDN w:val="0"/>
              <w:adjustRightInd w:val="0"/>
              <w:jc w:val="center"/>
              <w:rPr>
                <w:szCs w:val="21"/>
                <w:lang w:val="zh-CN"/>
              </w:rPr>
            </w:pPr>
          </w:p>
        </w:tc>
      </w:tr>
    </w:tbl>
    <w:p>
      <w:pPr>
        <w:ind w:firstLine="422" w:firstLineChars="200"/>
        <w:jc w:val="left"/>
        <w:rPr>
          <w:rFonts w:ascii="宋体" w:hAnsi="宋体"/>
          <w:bCs/>
        </w:rPr>
      </w:pPr>
      <w:r>
        <w:rPr>
          <w:rFonts w:hint="eastAsia" w:ascii="宋体" w:hAnsi="宋体"/>
          <w:b/>
          <w:bCs/>
        </w:rPr>
        <w:t xml:space="preserve">第二条 合同总价款 </w:t>
      </w:r>
      <w:r>
        <w:rPr>
          <w:rFonts w:hint="eastAsia" w:ascii="宋体" w:hAnsi="宋体"/>
          <w:bCs/>
        </w:rPr>
        <w:t xml:space="preserve"> 本合同项下人民币总价款为___________（大写），分项价款在“投标分项报价表”中有明确规定。</w:t>
      </w:r>
    </w:p>
    <w:p>
      <w:pPr>
        <w:ind w:firstLine="420" w:firstLineChars="200"/>
        <w:jc w:val="left"/>
        <w:rPr>
          <w:rFonts w:ascii="宋体" w:hAnsi="宋体"/>
          <w:bCs/>
        </w:rPr>
      </w:pPr>
      <w:r>
        <w:rPr>
          <w:rFonts w:hint="eastAsia" w:ascii="宋体" w:hAnsi="宋体"/>
          <w:bCs/>
        </w:rPr>
        <w:t>本合同总价款是项目验收合格前的所有含税费用。</w:t>
      </w:r>
    </w:p>
    <w:p>
      <w:pPr>
        <w:ind w:firstLine="420" w:firstLineChars="200"/>
        <w:jc w:val="left"/>
        <w:rPr>
          <w:rFonts w:hint="eastAsia" w:ascii="宋体" w:hAnsi="宋体"/>
          <w:bCs/>
        </w:rPr>
      </w:pPr>
      <w:r>
        <w:rPr>
          <w:rFonts w:hint="eastAsia" w:ascii="宋体" w:hAnsi="宋体"/>
          <w:bCs/>
        </w:rPr>
        <w:t>本合同执行期间合同总价款不变。</w:t>
      </w:r>
    </w:p>
    <w:p>
      <w:pPr>
        <w:ind w:firstLine="422" w:firstLineChars="200"/>
        <w:jc w:val="left"/>
        <w:rPr>
          <w:rFonts w:hint="eastAsia" w:ascii="宋体" w:hAnsi="宋体"/>
          <w:b/>
          <w:bCs/>
        </w:rPr>
      </w:pPr>
      <w:r>
        <w:rPr>
          <w:rFonts w:hint="eastAsia" w:ascii="宋体" w:hAnsi="宋体"/>
          <w:b/>
          <w:bCs/>
        </w:rPr>
        <w:t>第三条 服务时间</w:t>
      </w:r>
    </w:p>
    <w:p>
      <w:pPr>
        <w:ind w:firstLine="420" w:firstLineChars="200"/>
        <w:rPr>
          <w:rFonts w:hint="eastAsia" w:ascii="宋体" w:hAnsi="宋体"/>
          <w:szCs w:val="21"/>
        </w:rPr>
      </w:pPr>
      <w:r>
        <w:rPr>
          <w:rFonts w:hint="eastAsia" w:ascii="宋体" w:hAnsi="宋体"/>
          <w:bCs/>
        </w:rPr>
        <w:t>本项目一招三年，合同一年一签。</w:t>
      </w:r>
      <w:r>
        <w:rPr>
          <w:rFonts w:hint="eastAsia" w:ascii="宋体" w:hAnsi="宋体"/>
          <w:bCs/>
          <w:lang w:eastAsia="zh-CN"/>
        </w:rPr>
        <w:t>江宁区人民政府东山街道办事处</w:t>
      </w:r>
      <w:r>
        <w:rPr>
          <w:rFonts w:hint="eastAsia" w:ascii="宋体" w:hAnsi="宋体"/>
          <w:bCs/>
        </w:rPr>
        <w:t>先与中标供应商签订第一年的合同，其中：前三个月为试用期，试用期满经</w:t>
      </w:r>
      <w:r>
        <w:rPr>
          <w:rFonts w:hint="eastAsia" w:ascii="宋体" w:hAnsi="宋体"/>
          <w:bCs/>
          <w:lang w:eastAsia="zh-CN"/>
        </w:rPr>
        <w:t>江宁区人民政府东山街道办事处</w:t>
      </w:r>
      <w:r>
        <w:rPr>
          <w:rFonts w:hint="eastAsia" w:ascii="宋体" w:hAnsi="宋体"/>
          <w:bCs/>
        </w:rPr>
        <w:t>考核合格后，合同方为有效。合同期满后，由甲方根据考核决定下一年度合同</w:t>
      </w:r>
      <w:r>
        <w:rPr>
          <w:rFonts w:hint="eastAsia" w:ascii="宋体" w:hAnsi="宋体"/>
          <w:szCs w:val="21"/>
        </w:rPr>
        <w:t>续签与否，无需任何理由</w:t>
      </w:r>
      <w:r>
        <w:rPr>
          <w:rFonts w:hint="eastAsia" w:ascii="宋体" w:hAnsi="宋体"/>
          <w:bCs/>
        </w:rPr>
        <w:t>。政府采购合同履行中，采购人需追加与合同标的相同的服务的，在不改变合同其他条款的前提下，可以与供应商协商签订补充合同，但所有补充合同的采购金额不得超过原合同采购金额的百分</w:t>
      </w:r>
      <w:r>
        <w:rPr>
          <w:rFonts w:hint="eastAsia" w:ascii="宋体" w:hAnsi="宋体"/>
          <w:szCs w:val="21"/>
        </w:rPr>
        <w:t>之十。</w:t>
      </w:r>
    </w:p>
    <w:p>
      <w:pPr>
        <w:ind w:firstLine="420" w:firstLineChars="200"/>
        <w:jc w:val="left"/>
        <w:rPr>
          <w:rFonts w:ascii="宋体" w:hAnsi="宋体"/>
          <w:bCs/>
        </w:rPr>
      </w:pPr>
      <w:r>
        <w:rPr>
          <w:rFonts w:hint="eastAsia" w:ascii="宋体" w:hAnsi="宋体"/>
          <w:szCs w:val="21"/>
        </w:rPr>
        <w:t>实施每月养护考核制度，季度考核得分按当季度各月考核的</w:t>
      </w:r>
      <w:r>
        <w:rPr>
          <w:rFonts w:hint="eastAsia" w:ascii="宋体" w:hAnsi="宋体"/>
          <w:szCs w:val="21"/>
          <w:u w:val="none"/>
          <w:lang w:val="en-US" w:eastAsia="zh-CN"/>
        </w:rPr>
        <w:t>平均</w:t>
      </w:r>
      <w:r>
        <w:rPr>
          <w:rFonts w:hint="eastAsia" w:ascii="宋体" w:hAnsi="宋体"/>
          <w:szCs w:val="21"/>
        </w:rPr>
        <w:t>分，季度考核得分作为养护经费支付的依据。全年检查中超过三个月检查总分值低于70分，不再续签合同，视为不能正常履行合约。</w:t>
      </w:r>
    </w:p>
    <w:p>
      <w:pPr>
        <w:ind w:firstLine="422" w:firstLineChars="200"/>
        <w:jc w:val="left"/>
        <w:rPr>
          <w:rFonts w:ascii="宋体" w:hAnsi="宋体"/>
          <w:bCs/>
        </w:rPr>
      </w:pPr>
      <w:r>
        <w:rPr>
          <w:rFonts w:hint="eastAsia" w:ascii="宋体" w:hAnsi="宋体"/>
          <w:b/>
          <w:bCs/>
        </w:rPr>
        <w:t>第四条 组成本合同的有关文件</w:t>
      </w:r>
      <w:r>
        <w:rPr>
          <w:rFonts w:hint="eastAsia" w:ascii="宋体" w:hAnsi="宋体"/>
          <w:bCs/>
        </w:rPr>
        <w:t xml:space="preserve">  下列关于南京市江宁区政府采购</w:t>
      </w:r>
      <w:r>
        <w:rPr>
          <w:rFonts w:hint="eastAsia" w:ascii="宋体" w:hAnsi="宋体"/>
          <w:bCs/>
          <w:lang w:val="en-US" w:eastAsia="zh-CN"/>
        </w:rPr>
        <w:t xml:space="preserve"> </w:t>
      </w:r>
      <w:r>
        <w:rPr>
          <w:rFonts w:hint="eastAsia" w:ascii="宋体" w:hAnsi="宋体"/>
          <w:b/>
          <w:bCs/>
          <w:u w:val="single"/>
          <w:lang w:val="en-US" w:eastAsia="zh-CN"/>
        </w:rPr>
        <w:t xml:space="preserve">CGJH-2021-2127 </w:t>
      </w:r>
      <w:r>
        <w:rPr>
          <w:rFonts w:hint="eastAsia" w:ascii="宋体" w:hAnsi="宋体"/>
          <w:bCs/>
        </w:rPr>
        <w:t>号标的采购文件或与本次采购活动方式相适应的文件及有关附件是本合同不可分割的组成部分，与本合同具有同等法律效力，这些文件包括但不限于：</w:t>
      </w:r>
    </w:p>
    <w:p>
      <w:pPr>
        <w:ind w:firstLine="420" w:firstLineChars="200"/>
        <w:jc w:val="left"/>
        <w:rPr>
          <w:rFonts w:ascii="宋体" w:hAnsi="宋体"/>
          <w:bCs/>
        </w:rPr>
      </w:pPr>
      <w:r>
        <w:rPr>
          <w:rFonts w:hint="eastAsia" w:ascii="宋体" w:hAnsi="宋体"/>
          <w:bCs/>
        </w:rPr>
        <w:t>（1）中标供应商提供的投标文件和报价；</w:t>
      </w:r>
    </w:p>
    <w:p>
      <w:pPr>
        <w:ind w:firstLine="420" w:firstLineChars="200"/>
        <w:jc w:val="left"/>
        <w:rPr>
          <w:rFonts w:ascii="宋体" w:hAnsi="宋体"/>
          <w:bCs/>
        </w:rPr>
      </w:pPr>
      <w:r>
        <w:rPr>
          <w:rFonts w:hint="eastAsia" w:ascii="宋体" w:hAnsi="宋体"/>
          <w:bCs/>
        </w:rPr>
        <w:t>（2）供货一览表；</w:t>
      </w:r>
    </w:p>
    <w:p>
      <w:pPr>
        <w:ind w:firstLine="420" w:firstLineChars="200"/>
        <w:jc w:val="left"/>
        <w:rPr>
          <w:rFonts w:ascii="宋体" w:hAnsi="宋体"/>
          <w:bCs/>
        </w:rPr>
      </w:pPr>
      <w:r>
        <w:rPr>
          <w:rFonts w:hint="eastAsia" w:ascii="宋体" w:hAnsi="宋体"/>
          <w:bCs/>
        </w:rPr>
        <w:t>（3）交货地点一览表；</w:t>
      </w:r>
    </w:p>
    <w:p>
      <w:pPr>
        <w:ind w:firstLine="420" w:firstLineChars="200"/>
        <w:jc w:val="left"/>
        <w:rPr>
          <w:rFonts w:ascii="宋体" w:hAnsi="宋体"/>
          <w:bCs/>
        </w:rPr>
      </w:pPr>
      <w:r>
        <w:rPr>
          <w:rFonts w:hint="eastAsia" w:ascii="宋体" w:hAnsi="宋体"/>
          <w:bCs/>
        </w:rPr>
        <w:t>（4）投标承诺；</w:t>
      </w:r>
    </w:p>
    <w:p>
      <w:pPr>
        <w:ind w:firstLine="420" w:firstLineChars="200"/>
        <w:jc w:val="left"/>
        <w:rPr>
          <w:rFonts w:ascii="宋体" w:hAnsi="宋体"/>
          <w:bCs/>
        </w:rPr>
      </w:pPr>
      <w:r>
        <w:rPr>
          <w:rFonts w:hint="eastAsia" w:ascii="宋体" w:hAnsi="宋体"/>
          <w:bCs/>
        </w:rPr>
        <w:t>（5）服务承诺；</w:t>
      </w:r>
    </w:p>
    <w:p>
      <w:pPr>
        <w:ind w:firstLine="420" w:firstLineChars="200"/>
        <w:jc w:val="left"/>
        <w:rPr>
          <w:rFonts w:ascii="宋体" w:hAnsi="宋体"/>
          <w:bCs/>
        </w:rPr>
      </w:pPr>
      <w:r>
        <w:rPr>
          <w:rFonts w:hint="eastAsia" w:ascii="宋体" w:hAnsi="宋体"/>
          <w:bCs/>
        </w:rPr>
        <w:t>（7）甲乙双方商定的其他文件。</w:t>
      </w:r>
    </w:p>
    <w:p>
      <w:pPr>
        <w:ind w:firstLine="422" w:firstLineChars="200"/>
        <w:jc w:val="left"/>
        <w:rPr>
          <w:rFonts w:ascii="宋体" w:hAnsi="宋体"/>
          <w:b/>
          <w:bCs/>
        </w:rPr>
      </w:pPr>
      <w:r>
        <w:rPr>
          <w:rFonts w:hint="eastAsia" w:ascii="宋体" w:hAnsi="宋体"/>
          <w:b/>
          <w:bCs/>
        </w:rPr>
        <w:t xml:space="preserve">第五条 权利保证 </w:t>
      </w:r>
    </w:p>
    <w:p>
      <w:pPr>
        <w:ind w:firstLine="420" w:firstLineChars="200"/>
        <w:jc w:val="left"/>
        <w:rPr>
          <w:rFonts w:ascii="宋体" w:hAnsi="宋体"/>
          <w:bCs/>
        </w:rPr>
      </w:pPr>
      <w:r>
        <w:rPr>
          <w:rFonts w:hint="eastAsia" w:ascii="宋体" w:hAnsi="宋体"/>
          <w:bCs/>
        </w:rPr>
        <w:t>中标供应商应保证甲方在使用该货物和服务的任何一部分时不受第三方提出侵犯其专利权、版权、商标权或其他权利的起诉。一旦出现侵权，中标供应商应承担全部责任。</w:t>
      </w:r>
    </w:p>
    <w:p>
      <w:pPr>
        <w:ind w:firstLine="422" w:firstLineChars="200"/>
        <w:jc w:val="left"/>
        <w:rPr>
          <w:rFonts w:ascii="宋体" w:hAnsi="宋体"/>
          <w:b/>
          <w:bCs/>
        </w:rPr>
      </w:pPr>
      <w:r>
        <w:rPr>
          <w:rFonts w:hint="eastAsia" w:ascii="宋体" w:hAnsi="宋体"/>
          <w:b/>
          <w:bCs/>
        </w:rPr>
        <w:t>第六条 质量保证</w:t>
      </w:r>
    </w:p>
    <w:p>
      <w:pPr>
        <w:autoSpaceDE w:val="0"/>
        <w:autoSpaceDN w:val="0"/>
        <w:adjustRightInd w:val="0"/>
        <w:snapToGrid w:val="0"/>
        <w:ind w:firstLine="420" w:firstLineChars="200"/>
        <w:jc w:val="left"/>
        <w:rPr>
          <w:rFonts w:hint="eastAsia" w:ascii="宋体" w:hAnsi="宋体"/>
          <w:szCs w:val="21"/>
        </w:rPr>
      </w:pPr>
      <w:r>
        <w:rPr>
          <w:rFonts w:hint="eastAsia" w:ascii="宋体" w:hAnsi="宋体"/>
          <w:szCs w:val="21"/>
        </w:rPr>
        <w:t>中标供应商提供的服务必须全部达到采购文件各项要求及投标文件承诺，符合国家或行业有关规定。</w:t>
      </w:r>
    </w:p>
    <w:p>
      <w:pPr>
        <w:autoSpaceDE w:val="0"/>
        <w:autoSpaceDN w:val="0"/>
        <w:adjustRightInd w:val="0"/>
        <w:snapToGrid w:val="0"/>
        <w:ind w:firstLine="422" w:firstLineChars="200"/>
        <w:jc w:val="left"/>
        <w:rPr>
          <w:rFonts w:hint="eastAsia" w:ascii="宋体" w:cs="宋体"/>
          <w:b/>
          <w:kern w:val="0"/>
          <w:sz w:val="23"/>
          <w:szCs w:val="23"/>
        </w:rPr>
      </w:pPr>
      <w:r>
        <w:rPr>
          <w:rFonts w:hint="eastAsia" w:ascii="宋体" w:hAnsi="宋体"/>
          <w:b/>
          <w:bCs/>
        </w:rPr>
        <w:t>第七条 服务内容及服务要求</w:t>
      </w:r>
    </w:p>
    <w:p>
      <w:pPr>
        <w:autoSpaceDE w:val="0"/>
        <w:autoSpaceDN w:val="0"/>
        <w:adjustRightInd w:val="0"/>
        <w:snapToGrid w:val="0"/>
        <w:ind w:firstLine="462" w:firstLineChars="200"/>
        <w:jc w:val="left"/>
        <w:rPr>
          <w:rFonts w:ascii="宋体" w:cs="宋体"/>
          <w:b/>
          <w:kern w:val="0"/>
          <w:sz w:val="23"/>
          <w:szCs w:val="23"/>
        </w:rPr>
      </w:pPr>
      <w:r>
        <w:rPr>
          <w:rFonts w:hint="eastAsia" w:ascii="宋体" w:cs="宋体"/>
          <w:b/>
          <w:kern w:val="0"/>
          <w:sz w:val="23"/>
          <w:szCs w:val="23"/>
        </w:rPr>
        <w:t>服务内容：</w:t>
      </w:r>
    </w:p>
    <w:p>
      <w:pPr>
        <w:ind w:firstLine="420" w:firstLineChars="200"/>
        <w:jc w:val="left"/>
        <w:rPr>
          <w:rFonts w:ascii="宋体" w:hAnsi="宋体"/>
          <w:bCs/>
          <w:color w:val="auto"/>
          <w:highlight w:val="none"/>
        </w:rPr>
      </w:pPr>
      <w:r>
        <w:rPr>
          <w:rFonts w:hint="eastAsia" w:ascii="宋体" w:hAnsi="宋体"/>
          <w:bCs/>
          <w:color w:val="auto"/>
          <w:highlight w:val="none"/>
        </w:rPr>
        <w:t>1、中标供应商安排人员按照采购人各泵站运行工艺、调度指令，严格遵守设备、设施管理操作规程，做好泵站开机排涝、污水输送、站容站貌等</w:t>
      </w:r>
      <w:r>
        <w:rPr>
          <w:rFonts w:ascii="宋体" w:hAnsi="宋体"/>
          <w:bCs/>
          <w:color w:val="auto"/>
          <w:highlight w:val="none"/>
        </w:rPr>
        <w:t>24</w:t>
      </w:r>
      <w:r>
        <w:rPr>
          <w:rFonts w:hint="eastAsia" w:ascii="宋体" w:hAnsi="宋体"/>
          <w:bCs/>
          <w:color w:val="auto"/>
          <w:highlight w:val="none"/>
        </w:rPr>
        <w:t>小时运维管理工作。在服务期间（包括法定节假日在内）负责采购人资产的安全运行管理；设备设施的日常清洁、保养；做好泵站、溢流坝设备设施的巡视，发现异常状况应立即采取有效措施，并即时报告。保证不人为损坏、不短少、不被盗。</w:t>
      </w:r>
    </w:p>
    <w:p>
      <w:pPr>
        <w:ind w:firstLine="420" w:firstLineChars="200"/>
        <w:jc w:val="left"/>
        <w:rPr>
          <w:rFonts w:ascii="宋体" w:hAnsi="宋体"/>
          <w:bCs/>
          <w:color w:val="auto"/>
          <w:highlight w:val="none"/>
        </w:rPr>
      </w:pPr>
      <w:r>
        <w:rPr>
          <w:rFonts w:hint="eastAsia" w:ascii="宋体" w:hAnsi="宋体"/>
          <w:bCs/>
          <w:color w:val="auto"/>
          <w:highlight w:val="none"/>
        </w:rPr>
        <w:t>2、中标供应商必须服从采购人对泵站管理的统一安排，认真做好泵站所属区域内的管理。室内要保持整洁，每天清扫绝缘垫、地面、门窗等，做到无垃圾、纸屑、烟头等杂物。对各种控制柜柜面、设备外表面灰尘清理干净，各种工器具摆放整齐。</w:t>
      </w:r>
      <w:r>
        <w:rPr>
          <w:rFonts w:hint="eastAsia" w:ascii="宋体" w:hAnsi="宋体"/>
          <w:bCs/>
          <w:color w:val="auto"/>
          <w:highlight w:val="none"/>
          <w:lang w:val="en-US" w:eastAsia="zh-CN"/>
        </w:rPr>
        <w:t>雨后泵站各设备和前池要及时打扫，保证干净整洁。</w:t>
      </w:r>
      <w:r>
        <w:rPr>
          <w:rFonts w:hint="eastAsia" w:ascii="宋体" w:hAnsi="宋体"/>
          <w:bCs/>
          <w:color w:val="auto"/>
          <w:highlight w:val="none"/>
        </w:rPr>
        <w:t>打扫环境卫生，及时清理垃圾、小广告等。泵站内严禁摆放与工作无关的物品，禁止种菜、饲养家禽、牲畜等。</w:t>
      </w:r>
    </w:p>
    <w:p>
      <w:pPr>
        <w:ind w:firstLine="420" w:firstLineChars="200"/>
        <w:jc w:val="left"/>
        <w:rPr>
          <w:rFonts w:ascii="宋体" w:hAnsi="宋体"/>
          <w:bCs/>
          <w:color w:val="auto"/>
          <w:highlight w:val="none"/>
        </w:rPr>
      </w:pPr>
      <w:r>
        <w:rPr>
          <w:rFonts w:hint="eastAsia" w:ascii="宋体" w:hAnsi="宋体"/>
          <w:bCs/>
          <w:color w:val="auto"/>
          <w:highlight w:val="none"/>
        </w:rPr>
        <w:t>3、运维管理人员根据每天的设备操作情况、设施设备的日常巡视工作填写值班记录、机泵运行记录等；清扫泵站的环境卫生、设备设施的清理保养等填写日常保洁记录表，记录的填写必须做到内容清楚、详实，字迹工整、整洁。对发现的环境卫生、设备设施等问题、缺陷，不能处理的必须及时向业主报告并记录。</w:t>
      </w:r>
    </w:p>
    <w:p>
      <w:pPr>
        <w:ind w:firstLine="420" w:firstLineChars="200"/>
        <w:jc w:val="left"/>
        <w:rPr>
          <w:rFonts w:hint="eastAsia" w:ascii="宋体" w:hAnsi="宋体"/>
          <w:bCs/>
          <w:color w:val="auto"/>
          <w:highlight w:val="none"/>
        </w:rPr>
      </w:pPr>
      <w:r>
        <w:rPr>
          <w:rFonts w:hint="eastAsia" w:ascii="宋体" w:hAnsi="宋体"/>
          <w:bCs/>
          <w:color w:val="auto"/>
          <w:highlight w:val="none"/>
        </w:rPr>
        <w:t>4、中标供应商负责站区内集水坑、排水管道、泵站前池的清淤、疏通</w:t>
      </w:r>
      <w:r>
        <w:rPr>
          <w:rFonts w:ascii="宋体" w:hAnsi="宋体"/>
          <w:bCs/>
          <w:color w:val="auto"/>
          <w:highlight w:val="none"/>
        </w:rPr>
        <w:t>。</w:t>
      </w:r>
    </w:p>
    <w:p>
      <w:pPr>
        <w:ind w:firstLine="420" w:firstLineChars="200"/>
        <w:jc w:val="left"/>
        <w:rPr>
          <w:rFonts w:hint="eastAsia" w:ascii="宋体" w:hAnsi="宋体"/>
          <w:bCs/>
          <w:color w:val="auto"/>
          <w:highlight w:val="none"/>
        </w:rPr>
      </w:pPr>
      <w:r>
        <w:rPr>
          <w:rFonts w:hint="eastAsia" w:ascii="宋体" w:hAnsi="宋体"/>
          <w:bCs/>
          <w:color w:val="auto"/>
          <w:highlight w:val="none"/>
        </w:rPr>
        <w:t>5、中标供应商应及时发现泵站、溢流坝内各类设备、设施的损坏情况。对存在安全隐患的，第一时间做好安全防护措施，设立相应警示标志；积极组织维修并及时上报业主。</w:t>
      </w:r>
    </w:p>
    <w:p>
      <w:pPr>
        <w:ind w:firstLine="420" w:firstLineChars="200"/>
        <w:jc w:val="left"/>
        <w:rPr>
          <w:rFonts w:hint="eastAsia" w:ascii="宋体" w:hAnsi="宋体"/>
          <w:bCs/>
          <w:color w:val="auto"/>
          <w:highlight w:val="none"/>
        </w:rPr>
      </w:pPr>
      <w:r>
        <w:rPr>
          <w:rFonts w:hint="eastAsia" w:ascii="宋体" w:hAnsi="宋体"/>
          <w:bCs/>
          <w:color w:val="auto"/>
          <w:highlight w:val="none"/>
        </w:rPr>
        <w:t>6、管养承包方式：中标供应商在养护期限内包工、包料、包质量、包安全、包文明施工、包维护设施完好及保洁，无缺损，风险自担。养护维修所需材料、成品、设备等，均由中标供应商自行解决，但必须符合原设计、甲方及有关养护技术规程、规范要求（替代品须符合原质量要求，经采购方认可）。</w:t>
      </w:r>
    </w:p>
    <w:p>
      <w:pPr>
        <w:ind w:firstLine="420" w:firstLineChars="200"/>
        <w:jc w:val="left"/>
        <w:rPr>
          <w:rFonts w:hint="eastAsia" w:ascii="宋体" w:hAnsi="宋体"/>
          <w:bCs/>
          <w:color w:val="0000FF"/>
          <w:highlight w:val="none"/>
        </w:rPr>
      </w:pPr>
      <w:r>
        <w:rPr>
          <w:rFonts w:hint="eastAsia" w:ascii="宋体" w:hAnsi="宋体"/>
          <w:bCs/>
          <w:color w:val="auto"/>
          <w:highlight w:val="none"/>
        </w:rPr>
        <w:t>7、中标供应商应系统掌握泵站设备、设施具体情况，建立健全日常巡查养护及管理台账制度，认真做好台账的整理和归档工作，按时报送相关周报、月报、管理养护计划、管理养护工作报表。</w:t>
      </w:r>
      <w:r>
        <w:rPr>
          <w:rFonts w:hint="eastAsia" w:ascii="宋体" w:hAnsi="宋体" w:eastAsia="宋体" w:cs="宋体"/>
          <w:b w:val="0"/>
          <w:bCs w:val="0"/>
          <w:color w:val="auto"/>
          <w:sz w:val="21"/>
          <w:szCs w:val="21"/>
          <w:highlight w:val="none"/>
          <w:u w:val="single"/>
          <w:lang w:val="en-US" w:eastAsia="zh-CN"/>
        </w:rPr>
        <w:t>泵站值班人员签到表不得有人擅自代签或者跨日期补签、提前签到。泵站巡查记录表每日都要记录具体巡查日期、巡查地点、巡查具体内容和巡查人员情况。不得随意记录或者随意乱填、瞒报。中标供应方每一周都需有泵站运维周计划表，内容包括泵站名称、时间、具体计划工作内容以及具体完成情况。灭火器等安全设备必须每天检查，并记录在泵站安全设施检查表内，具体内容为灭火器是否存在超压、欠压、灭火器保险栓是否完好，绝缘用具年检证明是否完好等，设备检查表包括泵机检查表和电箱控</w:t>
      </w:r>
      <w:r>
        <w:rPr>
          <w:rFonts w:hint="eastAsia" w:ascii="宋体" w:hAnsi="宋体" w:eastAsia="宋体" w:cs="宋体"/>
          <w:b w:val="0"/>
          <w:bCs w:val="0"/>
          <w:sz w:val="21"/>
          <w:szCs w:val="21"/>
          <w:highlight w:val="none"/>
          <w:u w:val="single"/>
          <w:lang w:val="en-US" w:eastAsia="zh-CN"/>
        </w:rPr>
        <w:t>制柜检查表。每周每座泵站至少检查3次，并做详细记录。</w:t>
      </w:r>
      <w:r>
        <w:rPr>
          <w:rFonts w:hint="eastAsia" w:ascii="宋体" w:hAnsi="宋体" w:cs="宋体"/>
          <w:b w:val="0"/>
          <w:bCs w:val="0"/>
          <w:sz w:val="21"/>
          <w:szCs w:val="21"/>
          <w:highlight w:val="none"/>
          <w:u w:val="single"/>
          <w:lang w:val="en-US" w:eastAsia="zh-CN"/>
        </w:rPr>
        <w:t>保养时必须有照片、记录留存，并编写保养记录。</w:t>
      </w:r>
    </w:p>
    <w:p>
      <w:pPr>
        <w:ind w:firstLine="420" w:firstLineChars="200"/>
        <w:jc w:val="left"/>
        <w:rPr>
          <w:rFonts w:hint="eastAsia" w:ascii="宋体" w:hAnsi="宋体"/>
          <w:bCs/>
        </w:rPr>
      </w:pPr>
      <w:r>
        <w:rPr>
          <w:rFonts w:hint="eastAsia" w:ascii="宋体" w:hAnsi="宋体"/>
          <w:bCs/>
        </w:rPr>
        <w:t>8、养护维修质量要求（包括但不限于以下）：</w:t>
      </w:r>
    </w:p>
    <w:p>
      <w:pPr>
        <w:ind w:firstLine="420" w:firstLineChars="200"/>
        <w:jc w:val="left"/>
        <w:rPr>
          <w:rFonts w:hint="eastAsia" w:ascii="宋体" w:hAnsi="宋体"/>
          <w:bCs/>
        </w:rPr>
      </w:pPr>
      <w:r>
        <w:rPr>
          <w:rFonts w:hint="eastAsia" w:ascii="宋体" w:hAnsi="宋体"/>
          <w:bCs/>
        </w:rPr>
        <w:t>（1）《城镇排水管渠及泵站养护技术规程》（CJJ/T68-96）</w:t>
      </w:r>
    </w:p>
    <w:p>
      <w:pPr>
        <w:ind w:firstLine="420" w:firstLineChars="200"/>
        <w:jc w:val="left"/>
        <w:rPr>
          <w:rFonts w:hint="eastAsia" w:ascii="宋体" w:hAnsi="宋体"/>
          <w:bCs/>
        </w:rPr>
      </w:pPr>
      <w:r>
        <w:rPr>
          <w:rFonts w:hint="eastAsia" w:ascii="宋体" w:hAnsi="宋体"/>
          <w:bCs/>
        </w:rPr>
        <w:t>（</w:t>
      </w:r>
      <w:r>
        <w:rPr>
          <w:rFonts w:ascii="宋体" w:hAnsi="宋体"/>
          <w:bCs/>
        </w:rPr>
        <w:t>2</w:t>
      </w:r>
      <w:r>
        <w:rPr>
          <w:rFonts w:hint="eastAsia" w:ascii="宋体" w:hAnsi="宋体"/>
          <w:bCs/>
        </w:rPr>
        <w:t>）《南京市城市排水管理条例》</w:t>
      </w:r>
    </w:p>
    <w:p>
      <w:pPr>
        <w:ind w:firstLine="420" w:firstLineChars="200"/>
        <w:jc w:val="left"/>
        <w:rPr>
          <w:rFonts w:hint="eastAsia" w:ascii="宋体" w:hAnsi="宋体"/>
          <w:bCs/>
          <w:color w:val="auto"/>
          <w:highlight w:val="none"/>
        </w:rPr>
      </w:pPr>
      <w:r>
        <w:rPr>
          <w:rFonts w:hint="eastAsia" w:ascii="宋体" w:hAnsi="宋体"/>
          <w:bCs/>
        </w:rPr>
        <w:t>养护维修质量标准必须符合以上及国家、地方现行技术规程等标准要求，若不符合其质量要求，</w:t>
      </w:r>
      <w:r>
        <w:rPr>
          <w:rFonts w:hint="eastAsia" w:ascii="宋体" w:hAnsi="宋体"/>
          <w:bCs/>
          <w:color w:val="auto"/>
          <w:highlight w:val="none"/>
        </w:rPr>
        <w:t>由中标供应商无偿返工。</w:t>
      </w:r>
    </w:p>
    <w:p>
      <w:pPr>
        <w:ind w:firstLine="420" w:firstLineChars="200"/>
        <w:jc w:val="left"/>
        <w:rPr>
          <w:rFonts w:hint="eastAsia" w:ascii="宋体" w:hAnsi="宋体"/>
          <w:bCs/>
          <w:color w:val="auto"/>
          <w:highlight w:val="none"/>
        </w:rPr>
      </w:pPr>
      <w:r>
        <w:rPr>
          <w:rFonts w:hint="eastAsia" w:ascii="宋体" w:hAnsi="宋体"/>
          <w:bCs/>
          <w:color w:val="auto"/>
          <w:highlight w:val="none"/>
        </w:rPr>
        <w:t>9、中标供应商应不定期检查及定期检查要认真检查泵站、溢流坝的设备、设施，做到及时发现及时报告及时处理，确保设备、设施100%完好和安全，若因中标供应商原因不能按时保质完成，则采购人有权另外安排单位维修，其相应费用将从中标供应商费用中扣除并由采购人安排。泵站、溢流坝设备、设施维修保修期不少于两年。</w:t>
      </w:r>
    </w:p>
    <w:p>
      <w:pPr>
        <w:ind w:firstLine="420" w:firstLineChars="200"/>
        <w:jc w:val="left"/>
        <w:rPr>
          <w:rFonts w:hint="eastAsia" w:ascii="宋体" w:hAnsi="宋体"/>
          <w:bCs/>
          <w:color w:val="auto"/>
          <w:highlight w:val="none"/>
        </w:rPr>
      </w:pPr>
      <w:r>
        <w:rPr>
          <w:rFonts w:hint="eastAsia" w:ascii="宋体" w:hAnsi="宋体"/>
          <w:bCs/>
          <w:color w:val="auto"/>
          <w:highlight w:val="none"/>
        </w:rPr>
        <w:t>10、中标人负责维护管理进程中的一切安全责任，其中包括万一发生的一切工伤事故及工作人员的作业或非作业性的人身安全等责任。</w:t>
      </w:r>
    </w:p>
    <w:p>
      <w:pPr>
        <w:numPr>
          <w:ilvl w:val="0"/>
          <w:numId w:val="0"/>
        </w:numPr>
        <w:ind w:leftChars="0" w:firstLine="420" w:firstLineChars="200"/>
        <w:rPr>
          <w:rFonts w:hint="default" w:ascii="宋体" w:hAnsi="宋体" w:eastAsia="宋体"/>
          <w:b w:val="0"/>
          <w:bCs/>
          <w:color w:val="auto"/>
          <w:highlight w:val="none"/>
          <w:u w:val="single"/>
          <w:lang w:val="en-US" w:eastAsia="zh-CN"/>
        </w:rPr>
      </w:pPr>
      <w:r>
        <w:rPr>
          <w:rFonts w:hint="eastAsia" w:ascii="宋体" w:hAnsi="宋体"/>
          <w:b w:val="0"/>
          <w:bCs/>
          <w:color w:val="auto"/>
          <w:highlight w:val="none"/>
          <w:u w:val="single"/>
          <w:lang w:val="en-US" w:eastAsia="zh-CN"/>
        </w:rPr>
        <w:t>11、</w:t>
      </w:r>
      <w:r>
        <w:rPr>
          <w:rFonts w:hint="eastAsia" w:ascii="宋体" w:hAnsi="宋体" w:eastAsia="宋体" w:cs="宋体"/>
          <w:b w:val="0"/>
          <w:bCs/>
          <w:color w:val="auto"/>
          <w:sz w:val="21"/>
          <w:szCs w:val="21"/>
          <w:highlight w:val="none"/>
          <w:u w:val="single"/>
          <w:lang w:val="en-US" w:eastAsia="zh-CN"/>
        </w:rPr>
        <w:t>中标供应方对泵站内乔灌木、绿篱、草本植物等的浇灌、施肥、草坪的杂草清除、植物（树木、绿篱、草坪等)修剪、浇水、灌溉、去除枯死植株、植物补植、树木扶正、病虫害防治和监测、植物防护（防寒、旱、台、涝、高温等）等工作。</w:t>
      </w:r>
    </w:p>
    <w:p>
      <w:pPr>
        <w:ind w:firstLine="422" w:firstLineChars="200"/>
        <w:jc w:val="left"/>
        <w:rPr>
          <w:rFonts w:ascii="宋体" w:hAnsi="宋体"/>
          <w:b/>
          <w:bCs/>
          <w:color w:val="auto"/>
          <w:highlight w:val="none"/>
        </w:rPr>
      </w:pPr>
      <w:r>
        <w:rPr>
          <w:rFonts w:ascii="宋体" w:hAnsi="宋体"/>
          <w:b/>
          <w:bCs/>
          <w:color w:val="auto"/>
          <w:highlight w:val="none"/>
        </w:rPr>
        <w:t>服务要求：</w:t>
      </w:r>
    </w:p>
    <w:p>
      <w:pPr>
        <w:ind w:firstLine="420" w:firstLineChars="200"/>
        <w:jc w:val="left"/>
        <w:rPr>
          <w:rFonts w:ascii="宋体" w:hAnsi="宋体"/>
          <w:bCs/>
          <w:color w:val="auto"/>
          <w:highlight w:val="none"/>
        </w:rPr>
      </w:pPr>
      <w:r>
        <w:rPr>
          <w:rFonts w:ascii="宋体" w:hAnsi="宋体"/>
          <w:bCs/>
          <w:color w:val="auto"/>
          <w:highlight w:val="none"/>
        </w:rPr>
        <w:t>1、中标供应商在服务期内应成立项目部，负责对本项目的运行管理。组织机构、组织成员花名册、联系方式等报送采购人备存。建立、健全运维管理人员岗位职责、培训管理、考勤管理、交接班制度、绩效和奖惩考核、巡查上报、安全生产岗位责任制和定期安全检查制度等各种管理制度。</w:t>
      </w:r>
    </w:p>
    <w:p>
      <w:pPr>
        <w:ind w:firstLine="420" w:firstLineChars="200"/>
        <w:jc w:val="left"/>
        <w:rPr>
          <w:rFonts w:ascii="宋体" w:hAnsi="宋体"/>
          <w:bCs/>
          <w:color w:val="auto"/>
          <w:highlight w:val="none"/>
        </w:rPr>
      </w:pPr>
      <w:r>
        <w:rPr>
          <w:rFonts w:ascii="宋体" w:hAnsi="宋体"/>
          <w:bCs/>
          <w:color w:val="auto"/>
          <w:highlight w:val="none"/>
        </w:rPr>
        <w:t>2、中标供应商运维</w:t>
      </w:r>
      <w:r>
        <w:rPr>
          <w:rFonts w:hint="eastAsia" w:ascii="宋体" w:hAnsi="宋体"/>
          <w:bCs/>
          <w:color w:val="auto"/>
          <w:highlight w:val="none"/>
        </w:rPr>
        <w:t>重点</w:t>
      </w:r>
      <w:r>
        <w:rPr>
          <w:rFonts w:ascii="宋体" w:hAnsi="宋体"/>
          <w:bCs/>
          <w:color w:val="auto"/>
          <w:highlight w:val="none"/>
        </w:rPr>
        <w:t>管理</w:t>
      </w:r>
      <w:r>
        <w:rPr>
          <w:rFonts w:hint="eastAsia" w:ascii="宋体" w:hAnsi="宋体"/>
          <w:bCs/>
          <w:color w:val="auto"/>
          <w:highlight w:val="none"/>
        </w:rPr>
        <w:t>岗位</w:t>
      </w:r>
      <w:r>
        <w:rPr>
          <w:rFonts w:ascii="宋体" w:hAnsi="宋体"/>
          <w:bCs/>
          <w:color w:val="auto"/>
          <w:highlight w:val="none"/>
        </w:rPr>
        <w:t>上岗前必须持证，并经过岗前技能、安全教育等培训，了解泵站设施、设备运行状况，熟悉泵站运行工艺规程。</w:t>
      </w:r>
    </w:p>
    <w:p>
      <w:pPr>
        <w:ind w:firstLine="420" w:firstLineChars="200"/>
        <w:jc w:val="left"/>
        <w:rPr>
          <w:rFonts w:ascii="宋体" w:hAnsi="宋体"/>
          <w:bCs/>
          <w:color w:val="auto"/>
          <w:highlight w:val="none"/>
        </w:rPr>
      </w:pPr>
      <w:r>
        <w:rPr>
          <w:rFonts w:ascii="宋体" w:hAnsi="宋体"/>
          <w:bCs/>
          <w:color w:val="auto"/>
          <w:highlight w:val="none"/>
        </w:rPr>
        <w:t>3、中标供应商运维管理人员实行定人定岗，不得擅自和私自调整班次，因特殊情况需要调班的必须要经过中标供应商办理书面手续并报采购人备案。中标供应商运维管理人员要认真履行岗位职责，保证24小时人员在岗，且通讯畅通。</w:t>
      </w:r>
      <w:r>
        <w:rPr>
          <w:rFonts w:hint="eastAsia" w:ascii="宋体" w:hAnsi="宋体"/>
          <w:bCs/>
          <w:color w:val="auto"/>
          <w:highlight w:val="none"/>
        </w:rPr>
        <w:t>遇大雨、暴雨,中标供应商应增派人员到现场积极组织抢险。采购人要求配备的</w:t>
      </w:r>
      <w:r>
        <w:rPr>
          <w:rFonts w:ascii="宋体" w:hAnsi="宋体"/>
          <w:bCs/>
          <w:color w:val="auto"/>
          <w:highlight w:val="none"/>
        </w:rPr>
        <w:t>人员数量为最低数量</w:t>
      </w:r>
      <w:r>
        <w:rPr>
          <w:rFonts w:hint="eastAsia" w:ascii="宋体" w:hAnsi="宋体"/>
          <w:bCs/>
          <w:color w:val="auto"/>
          <w:highlight w:val="none"/>
        </w:rPr>
        <w:t>，</w:t>
      </w:r>
      <w:r>
        <w:rPr>
          <w:rFonts w:ascii="宋体" w:hAnsi="宋体"/>
          <w:bCs/>
          <w:color w:val="auto"/>
          <w:highlight w:val="none"/>
        </w:rPr>
        <w:t>不得减少，中标供应商可根据各泵站的实际工作情况合理增加人员，后期不得以任何理由要求增加费用。</w:t>
      </w:r>
    </w:p>
    <w:p>
      <w:pPr>
        <w:ind w:firstLine="420" w:firstLineChars="200"/>
        <w:rPr>
          <w:rFonts w:ascii="宋体" w:hAnsi="宋体"/>
          <w:bCs/>
          <w:color w:val="auto"/>
          <w:highlight w:val="none"/>
          <w:u w:val="single"/>
        </w:rPr>
      </w:pPr>
      <w:r>
        <w:rPr>
          <w:rFonts w:ascii="宋体" w:hAnsi="宋体"/>
          <w:bCs/>
          <w:color w:val="auto"/>
          <w:highlight w:val="none"/>
        </w:rPr>
        <w:t>4、</w:t>
      </w:r>
      <w:r>
        <w:rPr>
          <w:rFonts w:hint="eastAsia" w:ascii="宋体" w:hAnsi="宋体" w:eastAsia="宋体" w:cs="宋体"/>
          <w:color w:val="auto"/>
          <w:sz w:val="21"/>
          <w:szCs w:val="21"/>
          <w:highlight w:val="none"/>
          <w:u w:val="single"/>
        </w:rPr>
        <w:t>泵站实行24小时值班制(每站每班不少于</w:t>
      </w:r>
      <w:r>
        <w:rPr>
          <w:rFonts w:hint="eastAsia" w:ascii="宋体" w:hAnsi="宋体" w:eastAsia="宋体" w:cs="宋体"/>
          <w:color w:val="auto"/>
          <w:sz w:val="21"/>
          <w:szCs w:val="21"/>
          <w:highlight w:val="none"/>
          <w:u w:val="single"/>
          <w:lang w:val="en-US" w:eastAsia="zh-CN"/>
        </w:rPr>
        <w:t>2名电工</w:t>
      </w:r>
      <w:r>
        <w:rPr>
          <w:rFonts w:hint="eastAsia" w:ascii="宋体" w:hAnsi="宋体" w:eastAsia="宋体" w:cs="宋体"/>
          <w:color w:val="auto"/>
          <w:sz w:val="21"/>
          <w:szCs w:val="21"/>
          <w:highlight w:val="none"/>
          <w:u w:val="single"/>
        </w:rPr>
        <w:t>) ;泵站实行24小时巡查制(巡查入员每班不少于2人)，巡查频率每个泵站每天不少于3次，雨天应适当增加</w:t>
      </w:r>
      <w:r>
        <w:rPr>
          <w:rFonts w:hint="eastAsia" w:ascii="宋体" w:hAnsi="宋体" w:eastAsia="宋体" w:cs="宋体"/>
          <w:color w:val="auto"/>
          <w:sz w:val="21"/>
          <w:szCs w:val="21"/>
          <w:highlight w:val="none"/>
          <w:u w:val="single"/>
          <w:lang w:val="en-US" w:eastAsia="zh-CN"/>
        </w:rPr>
        <w:t>至4-5</w:t>
      </w:r>
      <w:r>
        <w:rPr>
          <w:rFonts w:hint="eastAsia" w:ascii="宋体" w:hAnsi="宋体" w:eastAsia="宋体" w:cs="宋体"/>
          <w:color w:val="auto"/>
          <w:sz w:val="21"/>
          <w:szCs w:val="21"/>
          <w:highlight w:val="none"/>
          <w:u w:val="single"/>
        </w:rPr>
        <w:t>次。</w:t>
      </w:r>
      <w:r>
        <w:rPr>
          <w:rFonts w:hint="eastAsia" w:ascii="宋体" w:hAnsi="宋体" w:eastAsia="宋体" w:cs="宋体"/>
          <w:color w:val="auto"/>
          <w:sz w:val="21"/>
          <w:szCs w:val="21"/>
          <w:highlight w:val="none"/>
          <w:u w:val="single"/>
          <w:lang w:val="en-US" w:eastAsia="zh-CN"/>
        </w:rPr>
        <w:t>汛期和雨天时应在每站值班两名电工的基础上再增加一名电工值班，各值班人员在汛期和雨天时不得以任何理由离岗脱岗。</w:t>
      </w:r>
    </w:p>
    <w:p>
      <w:pPr>
        <w:ind w:firstLine="420" w:firstLineChars="200"/>
        <w:jc w:val="left"/>
        <w:rPr>
          <w:rFonts w:hint="eastAsia" w:ascii="宋体" w:hAnsi="宋体"/>
          <w:bCs/>
          <w:color w:val="auto"/>
          <w:highlight w:val="none"/>
        </w:rPr>
      </w:pPr>
      <w:r>
        <w:rPr>
          <w:rFonts w:ascii="宋体" w:hAnsi="宋体"/>
          <w:bCs/>
          <w:color w:val="auto"/>
          <w:highlight w:val="none"/>
        </w:rPr>
        <w:t>5、每年5月1日至9月30日汛期时，</w:t>
      </w:r>
      <w:r>
        <w:rPr>
          <w:rFonts w:hint="eastAsia" w:ascii="宋体" w:hAnsi="宋体"/>
          <w:bCs/>
          <w:color w:val="auto"/>
          <w:highlight w:val="none"/>
        </w:rPr>
        <w:t>中标供应商配备应急工作人员持B证以上驾驶员2名及以上，其它应急工作人员8名及以上，驻守防汛指挥中心由招标人统一调度。</w:t>
      </w:r>
    </w:p>
    <w:p>
      <w:pPr>
        <w:ind w:firstLine="420" w:firstLineChars="200"/>
        <w:jc w:val="left"/>
        <w:rPr>
          <w:rFonts w:ascii="宋体" w:hAnsi="宋体"/>
          <w:bCs/>
          <w:color w:val="auto"/>
          <w:highlight w:val="none"/>
        </w:rPr>
      </w:pPr>
      <w:r>
        <w:rPr>
          <w:rFonts w:ascii="宋体" w:hAnsi="宋体"/>
          <w:bCs/>
          <w:color w:val="auto"/>
          <w:highlight w:val="none"/>
        </w:rPr>
        <w:t>6、中标供应商运维管理人员要做好防火、防盗、防破坏等安全防范工作，确保采购人设备正常运行和泵站财产安全；发现安全隐患、设备问题或异常情况(自来水漏水、水电门窗被盗等)，要及时向中标供应商管理人员和采购人汇报并记录。紧急情况下，中标供应商操作人员应按设备操作规程要求采取合理有效的方法（如立即停机、断电等措施），防止险情、故障扩大。同时立即上报采购人，在没有查清故障和排除故障的情况下，中标供应商运维管理人员不得盲目或擅自开机，做到不出人为设备、人身安全事故。</w:t>
      </w:r>
    </w:p>
    <w:p>
      <w:pPr>
        <w:ind w:firstLine="420" w:firstLineChars="200"/>
        <w:jc w:val="left"/>
        <w:rPr>
          <w:rFonts w:ascii="宋体" w:hAnsi="宋体"/>
          <w:bCs/>
          <w:color w:val="auto"/>
          <w:highlight w:val="none"/>
        </w:rPr>
      </w:pPr>
      <w:r>
        <w:rPr>
          <w:rFonts w:ascii="宋体" w:hAnsi="宋体"/>
          <w:bCs/>
          <w:color w:val="auto"/>
          <w:highlight w:val="none"/>
        </w:rPr>
        <w:t>7、中标供应商必须每月对运维管理人员进行安全教育、安全培训工作，并保存记录。中标供应商对运维管理人员的安全负有全部责任，对泵站承包管理期间的各类安全事故等负全部责任。</w:t>
      </w:r>
    </w:p>
    <w:p>
      <w:pPr>
        <w:ind w:firstLine="420" w:firstLineChars="200"/>
        <w:rPr>
          <w:rFonts w:ascii="宋体" w:hAnsi="宋体"/>
          <w:bCs/>
          <w:color w:val="auto"/>
          <w:highlight w:val="none"/>
        </w:rPr>
      </w:pPr>
      <w:r>
        <w:rPr>
          <w:rFonts w:ascii="宋体" w:hAnsi="宋体"/>
          <w:bCs/>
          <w:color w:val="auto"/>
          <w:highlight w:val="none"/>
        </w:rPr>
        <w:t>8、除泵站正常生产用电外，未经采购人批准，中标供应商人员不得私自携带和使用与生产无关的电器设备。严禁私拉乱接电灯、电线等电器设备。泵站内配备的绝缘靴、绝缘手套、绝缘杆等劳动防护用品，除规定巡视配电设备穿戴使用外，中标供应商人员不得私自将其作为个人生活用品使用。</w:t>
      </w:r>
    </w:p>
    <w:p>
      <w:pPr>
        <w:ind w:firstLine="420" w:firstLineChars="200"/>
        <w:rPr>
          <w:rFonts w:ascii="宋体" w:hAnsi="宋体"/>
          <w:bCs/>
          <w:color w:val="auto"/>
          <w:highlight w:val="none"/>
          <w:u w:val="single"/>
        </w:rPr>
      </w:pPr>
      <w:r>
        <w:rPr>
          <w:rFonts w:hint="eastAsia" w:ascii="宋体" w:hAnsi="宋体" w:eastAsia="宋体"/>
          <w:bCs/>
          <w:color w:val="auto"/>
          <w:highlight w:val="none"/>
          <w:lang w:val="en-US" w:eastAsia="zh-CN"/>
        </w:rPr>
        <w:t>9、</w:t>
      </w:r>
      <w:r>
        <w:rPr>
          <w:rFonts w:hint="eastAsia" w:ascii="宋体" w:hAnsi="宋体" w:eastAsia="宋体" w:cs="宋体"/>
          <w:color w:val="auto"/>
          <w:sz w:val="21"/>
          <w:szCs w:val="21"/>
          <w:highlight w:val="none"/>
          <w:u w:val="single"/>
          <w:lang w:val="en-US" w:eastAsia="zh-CN"/>
        </w:rPr>
        <w:t>泵站内的绿化要做到</w:t>
      </w:r>
      <w:r>
        <w:rPr>
          <w:rFonts w:hint="eastAsia" w:ascii="宋体" w:hAnsi="宋体" w:eastAsia="宋体" w:cs="宋体"/>
          <w:color w:val="auto"/>
          <w:sz w:val="21"/>
          <w:szCs w:val="21"/>
          <w:highlight w:val="none"/>
          <w:u w:val="single"/>
        </w:rPr>
        <w:t>草种正常生长,草坪无杂草:乔木、树木生长正常</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无枯枝</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灌木和花卉生长良好</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根据不同生长季节的天气情况,不同植物种类适当淋水，并做好雨季排水工作，每年对均对项目范围内的观花植物施肥至少一次。及时做好病虫害的防治工作,防止病虫害蔓延，每年冬季对树木刷白。针对项目范围内不同的植物进行修剪,对病虫枝、伤残枝、枯死枝等进行剪除，,每年最少绿篱修剪5次、草坪修剪5 次、荒草地修剪7次，经常除杂草和松土,做到基本无杂草。</w:t>
      </w:r>
    </w:p>
    <w:p>
      <w:pPr>
        <w:ind w:firstLine="420" w:firstLineChars="200"/>
        <w:jc w:val="left"/>
        <w:rPr>
          <w:rFonts w:hint="eastAsia" w:ascii="宋体" w:hAnsi="宋体"/>
          <w:bCs/>
          <w:color w:val="auto"/>
          <w:highlight w:val="none"/>
        </w:rPr>
      </w:pPr>
      <w:r>
        <w:rPr>
          <w:rFonts w:hint="eastAsia" w:ascii="宋体" w:hAnsi="宋体"/>
          <w:bCs/>
          <w:color w:val="auto"/>
          <w:highlight w:val="none"/>
          <w:lang w:val="en-US" w:eastAsia="zh-CN"/>
        </w:rPr>
        <w:t>10</w:t>
      </w:r>
      <w:r>
        <w:rPr>
          <w:rFonts w:ascii="宋体" w:hAnsi="宋体"/>
          <w:bCs/>
          <w:color w:val="auto"/>
          <w:highlight w:val="none"/>
        </w:rPr>
        <w:t>、</w:t>
      </w:r>
      <w:r>
        <w:rPr>
          <w:rFonts w:hint="eastAsia" w:ascii="宋体" w:hAnsi="宋体"/>
          <w:color w:val="auto"/>
          <w:szCs w:val="21"/>
          <w:highlight w:val="none"/>
        </w:rPr>
        <w:t>本招标范围管养项目的报价应综合考虑目前现状（由投标人到现场察看）所有需维修项目的修复和管养期内的所有达到服务要求的费用，综合报价必须考虑自然的和人为的破坏、被盗等原因和风险，</w:t>
      </w:r>
      <w:r>
        <w:rPr>
          <w:rFonts w:ascii="宋体"/>
          <w:color w:val="auto"/>
          <w:kern w:val="0"/>
          <w:szCs w:val="21"/>
          <w:highlight w:val="none"/>
        </w:rPr>
        <w:t>后期不得以任何理由要求增加费用。</w:t>
      </w:r>
    </w:p>
    <w:p>
      <w:pPr>
        <w:ind w:firstLine="420" w:firstLineChars="200"/>
        <w:jc w:val="left"/>
        <w:rPr>
          <w:rFonts w:ascii="宋体" w:hAnsi="宋体"/>
          <w:bCs/>
          <w:color w:val="auto"/>
          <w:highlight w:val="none"/>
        </w:rPr>
      </w:pPr>
      <w:r>
        <w:rPr>
          <w:rFonts w:hint="eastAsia" w:ascii="宋体" w:hAnsi="宋体"/>
          <w:bCs/>
          <w:color w:val="auto"/>
          <w:highlight w:val="none"/>
          <w:lang w:val="en-US" w:eastAsia="zh-CN"/>
        </w:rPr>
        <w:t>11</w:t>
      </w:r>
      <w:r>
        <w:rPr>
          <w:rFonts w:hint="eastAsia" w:ascii="宋体" w:hAnsi="宋体"/>
          <w:bCs/>
          <w:color w:val="auto"/>
          <w:highlight w:val="none"/>
        </w:rPr>
        <w:t>、</w:t>
      </w:r>
      <w:r>
        <w:rPr>
          <w:rFonts w:ascii="宋体" w:hAnsi="宋体"/>
          <w:bCs/>
          <w:color w:val="auto"/>
          <w:highlight w:val="none"/>
        </w:rPr>
        <w:t>中标供应商必须为所管理的运维管理人员提供合适的工作条件、环境，中标后不得向招标人提出工作环境和条件改善的要求或以此要求增加费用。</w:t>
      </w:r>
    </w:p>
    <w:p>
      <w:pPr>
        <w:ind w:firstLine="420" w:firstLineChars="200"/>
        <w:jc w:val="left"/>
        <w:rPr>
          <w:rFonts w:hint="eastAsia" w:ascii="宋体" w:hAnsi="宋体"/>
          <w:bCs/>
          <w:color w:val="auto"/>
          <w:highlight w:val="none"/>
        </w:rPr>
      </w:pPr>
      <w:r>
        <w:rPr>
          <w:rFonts w:ascii="宋体" w:hAnsi="宋体"/>
          <w:bCs/>
          <w:color w:val="auto"/>
          <w:highlight w:val="none"/>
        </w:rPr>
        <w:t>1</w:t>
      </w:r>
      <w:r>
        <w:rPr>
          <w:rFonts w:hint="eastAsia" w:ascii="宋体" w:hAnsi="宋体"/>
          <w:bCs/>
          <w:color w:val="auto"/>
          <w:highlight w:val="none"/>
          <w:lang w:val="en-US" w:eastAsia="zh-CN"/>
        </w:rPr>
        <w:t>2</w:t>
      </w:r>
      <w:r>
        <w:rPr>
          <w:rFonts w:ascii="宋体" w:hAnsi="宋体"/>
          <w:bCs/>
          <w:color w:val="auto"/>
          <w:highlight w:val="none"/>
        </w:rPr>
        <w:t>、中标供应商必须保证合法用工，按时支付人工工资，并不得低于</w:t>
      </w:r>
      <w:r>
        <w:rPr>
          <w:rFonts w:hint="eastAsia" w:ascii="宋体" w:hAnsi="宋体"/>
          <w:bCs/>
          <w:color w:val="auto"/>
          <w:highlight w:val="none"/>
        </w:rPr>
        <w:t>南京</w:t>
      </w:r>
      <w:r>
        <w:rPr>
          <w:rFonts w:ascii="宋体" w:hAnsi="宋体"/>
          <w:bCs/>
          <w:color w:val="auto"/>
          <w:highlight w:val="none"/>
        </w:rPr>
        <w:t>最低工资标准。</w:t>
      </w:r>
      <w:r>
        <w:rPr>
          <w:rFonts w:hint="eastAsia" w:ascii="宋体" w:hAnsi="宋体"/>
          <w:bCs/>
          <w:color w:val="auto"/>
          <w:highlight w:val="none"/>
        </w:rPr>
        <w:t>任何劳资纠纷全由中标人负责，中标人的工作人员为招标人服务时产生的一切费用由中标人负责。</w:t>
      </w:r>
    </w:p>
    <w:p>
      <w:pPr>
        <w:ind w:firstLine="420" w:firstLineChars="200"/>
        <w:jc w:val="left"/>
        <w:rPr>
          <w:rFonts w:hint="eastAsia" w:ascii="宋体" w:hAnsi="宋体"/>
          <w:bCs/>
          <w:color w:val="auto"/>
          <w:highlight w:val="none"/>
        </w:rPr>
      </w:pPr>
      <w:r>
        <w:rPr>
          <w:rFonts w:hint="eastAsia" w:ascii="宋体" w:hAnsi="宋体"/>
          <w:bCs/>
          <w:color w:val="auto"/>
          <w:highlight w:val="none"/>
        </w:rPr>
        <w:t>中标人必须按法律、法规及有关政策规定为其服务人员购买社会保险、意外保险等相关保险。</w:t>
      </w:r>
    </w:p>
    <w:p>
      <w:pPr>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3</w:t>
      </w:r>
      <w:r>
        <w:rPr>
          <w:rFonts w:hint="eastAsia" w:ascii="宋体" w:hAnsi="宋体"/>
          <w:bCs/>
          <w:color w:val="auto"/>
          <w:highlight w:val="none"/>
        </w:rPr>
        <w:t>、中标人必须执行国家劳动法的相关规定。</w:t>
      </w:r>
    </w:p>
    <w:p>
      <w:pPr>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4</w:t>
      </w:r>
      <w:r>
        <w:rPr>
          <w:rFonts w:hint="eastAsia" w:ascii="宋体" w:hAnsi="宋体"/>
          <w:bCs/>
          <w:color w:val="auto"/>
          <w:highlight w:val="none"/>
        </w:rPr>
        <w:t>、中标人必须落实好安全生产的措施和配置安全作业的劳保用品。</w:t>
      </w:r>
    </w:p>
    <w:p>
      <w:pPr>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5</w:t>
      </w:r>
      <w:r>
        <w:rPr>
          <w:rFonts w:hint="eastAsia" w:ascii="宋体" w:hAnsi="宋体"/>
          <w:bCs/>
          <w:color w:val="auto"/>
          <w:highlight w:val="none"/>
        </w:rPr>
        <w:t>、中标人的服务人员数量必须满足采购人的实际工作要求，且穿着统一标识、符合安全要求、有明显标志的工作服。</w:t>
      </w:r>
    </w:p>
    <w:p>
      <w:pPr>
        <w:ind w:firstLine="420" w:firstLineChars="200"/>
        <w:jc w:val="lef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val="en-US" w:eastAsia="zh-CN"/>
        </w:rPr>
        <w:t>6</w:t>
      </w:r>
      <w:r>
        <w:rPr>
          <w:rFonts w:hint="eastAsia" w:ascii="宋体" w:hAnsi="宋体"/>
          <w:bCs/>
          <w:color w:val="auto"/>
          <w:highlight w:val="none"/>
        </w:rPr>
        <w:t>、所有管养、维修人员的年龄均不得超过56岁。</w:t>
      </w:r>
    </w:p>
    <w:p>
      <w:pPr>
        <w:ind w:firstLine="422" w:firstLineChars="200"/>
        <w:jc w:val="left"/>
        <w:rPr>
          <w:rFonts w:hint="eastAsia" w:ascii="宋体" w:hAnsi="宋体"/>
          <w:b/>
          <w:bCs/>
          <w:color w:val="auto"/>
          <w:highlight w:val="none"/>
        </w:rPr>
      </w:pPr>
      <w:r>
        <w:rPr>
          <w:rFonts w:hint="eastAsia" w:ascii="宋体" w:hAnsi="宋体"/>
          <w:b/>
          <w:bCs/>
          <w:color w:val="auto"/>
          <w:highlight w:val="none"/>
        </w:rPr>
        <w:t>第八条 考核要求</w:t>
      </w:r>
    </w:p>
    <w:p>
      <w:pPr>
        <w:ind w:firstLine="420" w:firstLineChars="200"/>
        <w:jc w:val="left"/>
        <w:rPr>
          <w:rFonts w:ascii="宋体" w:hAnsi="宋体"/>
          <w:bCs/>
          <w:color w:val="auto"/>
          <w:sz w:val="21"/>
          <w:szCs w:val="21"/>
          <w:highlight w:val="none"/>
        </w:rPr>
      </w:pPr>
      <w:r>
        <w:rPr>
          <w:rFonts w:ascii="宋体" w:hAnsi="宋体"/>
          <w:bCs/>
          <w:color w:val="auto"/>
          <w:sz w:val="21"/>
          <w:szCs w:val="21"/>
          <w:highlight w:val="none"/>
        </w:rPr>
        <w:t>1、中标供应商应定期将泵站检查（巡查）记录、运行记录、维护记录、培训教育记录等运维台账汇总后报采购人，作为采购人考核中标供应商管理的指标之一。对采购人提出的问题，采取措施进行整改，将整改的结果在三天内向采购人汇报。特殊情况下应根据采购人的要求及时进行。</w:t>
      </w:r>
    </w:p>
    <w:p>
      <w:pPr>
        <w:pStyle w:val="101"/>
        <w:pageBreakBefore w:val="0"/>
        <w:widowControl w:val="0"/>
        <w:numPr>
          <w:ilvl w:val="1"/>
          <w:numId w:val="0"/>
        </w:numPr>
        <w:kinsoku/>
        <w:wordWrap/>
        <w:overflowPunct/>
        <w:topLinePunct w:val="0"/>
        <w:autoSpaceDE/>
        <w:autoSpaceDN/>
        <w:bidi w:val="0"/>
        <w:adjustRightInd/>
        <w:snapToGrid/>
        <w:spacing w:before="0" w:after="0" w:line="240" w:lineRule="auto"/>
        <w:ind w:firstLine="420" w:firstLineChars="200"/>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color w:val="auto"/>
          <w:sz w:val="21"/>
          <w:szCs w:val="21"/>
          <w:highlight w:val="none"/>
        </w:rPr>
        <w:t>2、采购人对中标供应商管理的泵站除进行日常检查、巡查外，还将不定期组织相关部门、人员对中标供应商提供服务管理的泵站进行检查，按照劳动纪律、站容站貌、机电设备养护、安全生产等方面进行检查并评分。采购人针对日常检查、巡查、考核的情况，对中标供应商的管理进行综合考核，同时将检查情况书面通知中标供应商。针对检查中发现的不足，向中标供应商提出整改要求，并依据合同约定进行处罚。</w:t>
      </w:r>
      <w:r>
        <w:rPr>
          <w:rFonts w:hint="eastAsia" w:ascii="宋体" w:hAnsi="宋体" w:eastAsia="宋体" w:cs="宋体"/>
          <w:b w:val="0"/>
          <w:bCs w:val="0"/>
          <w:color w:val="auto"/>
          <w:sz w:val="21"/>
          <w:szCs w:val="21"/>
          <w:highlight w:val="none"/>
          <w:u w:val="single"/>
          <w:lang w:val="en-US" w:eastAsia="zh-CN"/>
        </w:rPr>
        <w:t>采购人或其指定第三方将对中标供应商履约情况进行考核。巡查及养护考核分为月、季度、年度考核。</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u w:val="single"/>
        </w:rPr>
        <w:t>1</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月考核：得分大于等于 90 分核定为优，大于等于 </w:t>
      </w:r>
      <w:r>
        <w:rPr>
          <w:rFonts w:hint="eastAsia" w:ascii="宋体" w:hAnsi="宋体" w:eastAsia="宋体" w:cs="宋体"/>
          <w:b w:val="0"/>
          <w:bCs w:val="0"/>
          <w:color w:val="auto"/>
          <w:sz w:val="21"/>
          <w:szCs w:val="21"/>
          <w:highlight w:val="none"/>
          <w:u w:val="single"/>
          <w:lang w:val="en-US" w:eastAsia="zh-CN"/>
        </w:rPr>
        <w:t>80</w:t>
      </w:r>
      <w:r>
        <w:rPr>
          <w:rFonts w:hint="eastAsia" w:ascii="宋体" w:hAnsi="宋体" w:eastAsia="宋体" w:cs="宋体"/>
          <w:b w:val="0"/>
          <w:bCs w:val="0"/>
          <w:color w:val="auto"/>
          <w:sz w:val="21"/>
          <w:szCs w:val="21"/>
          <w:highlight w:val="none"/>
          <w:u w:val="single"/>
        </w:rPr>
        <w:t xml:space="preserve">分小于 90 分核定为良，大于等于 </w:t>
      </w:r>
      <w:r>
        <w:rPr>
          <w:rFonts w:hint="eastAsia" w:ascii="宋体" w:hAnsi="宋体" w:eastAsia="宋体" w:cs="宋体"/>
          <w:b w:val="0"/>
          <w:bCs w:val="0"/>
          <w:color w:val="auto"/>
          <w:sz w:val="21"/>
          <w:szCs w:val="21"/>
          <w:highlight w:val="none"/>
          <w:u w:val="single"/>
          <w:lang w:val="en-US" w:eastAsia="zh-CN"/>
        </w:rPr>
        <w:t>70</w:t>
      </w:r>
      <w:r>
        <w:rPr>
          <w:rFonts w:hint="eastAsia" w:ascii="宋体" w:hAnsi="宋体" w:eastAsia="宋体" w:cs="宋体"/>
          <w:b w:val="0"/>
          <w:bCs w:val="0"/>
          <w:color w:val="auto"/>
          <w:sz w:val="21"/>
          <w:szCs w:val="21"/>
          <w:highlight w:val="none"/>
          <w:u w:val="single"/>
        </w:rPr>
        <w:t xml:space="preserve"> 分小于 </w:t>
      </w:r>
      <w:r>
        <w:rPr>
          <w:rFonts w:hint="eastAsia" w:ascii="宋体" w:hAnsi="宋体" w:eastAsia="宋体" w:cs="宋体"/>
          <w:b w:val="0"/>
          <w:bCs w:val="0"/>
          <w:color w:val="auto"/>
          <w:sz w:val="21"/>
          <w:szCs w:val="21"/>
          <w:highlight w:val="none"/>
          <w:u w:val="single"/>
          <w:lang w:val="en-US" w:eastAsia="zh-CN"/>
        </w:rPr>
        <w:t>8</w:t>
      </w:r>
      <w:r>
        <w:rPr>
          <w:rFonts w:hint="eastAsia" w:ascii="宋体" w:hAnsi="宋体" w:eastAsia="宋体" w:cs="宋体"/>
          <w:b w:val="0"/>
          <w:bCs w:val="0"/>
          <w:color w:val="auto"/>
          <w:sz w:val="21"/>
          <w:szCs w:val="21"/>
          <w:highlight w:val="none"/>
          <w:u w:val="single"/>
        </w:rPr>
        <w:t xml:space="preserve">0 分核定为合格，小于 </w:t>
      </w:r>
      <w:r>
        <w:rPr>
          <w:rFonts w:hint="eastAsia" w:ascii="宋体" w:hAnsi="宋体" w:eastAsia="宋体" w:cs="宋体"/>
          <w:b w:val="0"/>
          <w:bCs w:val="0"/>
          <w:color w:val="auto"/>
          <w:sz w:val="21"/>
          <w:szCs w:val="21"/>
          <w:highlight w:val="none"/>
          <w:u w:val="single"/>
          <w:lang w:val="en-US" w:eastAsia="zh-CN"/>
        </w:rPr>
        <w:t>7</w:t>
      </w:r>
      <w:r>
        <w:rPr>
          <w:rFonts w:hint="eastAsia" w:ascii="宋体" w:hAnsi="宋体" w:eastAsia="宋体" w:cs="宋体"/>
          <w:b w:val="0"/>
          <w:bCs w:val="0"/>
          <w:color w:val="auto"/>
          <w:sz w:val="21"/>
          <w:szCs w:val="21"/>
          <w:highlight w:val="none"/>
          <w:u w:val="single"/>
        </w:rPr>
        <w:t xml:space="preserve">0 分为不合格。 </w:t>
      </w:r>
      <w:r>
        <w:rPr>
          <w:rFonts w:hint="eastAsia" w:ascii="宋体" w:hAnsi="宋体" w:eastAsia="宋体" w:cs="宋体"/>
          <w:b w:val="0"/>
          <w:bCs w:val="0"/>
          <w:color w:val="auto"/>
          <w:sz w:val="21"/>
          <w:szCs w:val="21"/>
          <w:highlight w:val="none"/>
          <w:u w:val="single"/>
          <w:lang w:val="en-US" w:eastAsia="zh-CN"/>
        </w:rPr>
        <w:t>中标供应方月考核的分数为中标供应方维管泵站中的最低分计算，</w:t>
      </w:r>
      <w:r>
        <w:rPr>
          <w:rFonts w:ascii="宋体" w:hAnsi="宋体"/>
          <w:bCs/>
          <w:color w:val="auto"/>
          <w:highlight w:val="none"/>
          <w:u w:val="single"/>
        </w:rPr>
        <w:t>每次</w:t>
      </w:r>
      <w:r>
        <w:rPr>
          <w:rFonts w:hint="eastAsia" w:ascii="宋体" w:hAnsi="宋体"/>
          <w:bCs/>
          <w:color w:val="auto"/>
          <w:highlight w:val="none"/>
          <w:u w:val="single"/>
          <w:lang w:val="en-US" w:eastAsia="zh-CN"/>
        </w:rPr>
        <w:t>每个</w:t>
      </w:r>
      <w:r>
        <w:rPr>
          <w:rFonts w:ascii="宋体" w:hAnsi="宋体"/>
          <w:bCs/>
          <w:color w:val="auto"/>
          <w:highlight w:val="none"/>
          <w:u w:val="single"/>
        </w:rPr>
        <w:t>考核分数在85以上（含85分），不核减中标供应商此泵站的当月的泵站管理服务费用；得分80（含80）～85分，每少1分核减此泵站当</w:t>
      </w:r>
      <w:r>
        <w:rPr>
          <w:rFonts w:hint="eastAsia" w:ascii="宋体" w:hAnsi="宋体"/>
          <w:bCs/>
          <w:color w:val="auto"/>
          <w:highlight w:val="none"/>
          <w:u w:val="single"/>
        </w:rPr>
        <w:t>季</w:t>
      </w:r>
      <w:r>
        <w:rPr>
          <w:rFonts w:ascii="宋体" w:hAnsi="宋体"/>
          <w:bCs/>
          <w:color w:val="auto"/>
          <w:highlight w:val="none"/>
          <w:u w:val="single"/>
        </w:rPr>
        <w:t>服务费用的0.5%；得分80以下的，每少1分核减此泵站当月服务费用的1%。</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u w:val="single"/>
        </w:rPr>
        <w:t>2</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rPr>
        <w:t xml:space="preserve">季度考核：2个月为优 1个月为良或合格核定为优；2个月为良 1个月为优或合格，或一个月为优一个月为良一个月为合格考核定为良；一个月为优或良、两个月为合格或三个月均为合格核定为合格。 </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u w:val="single"/>
          <w:lang w:val="en-US" w:eastAsia="zh-CN"/>
        </w:rPr>
        <w:t xml:space="preserve">3) </w:t>
      </w:r>
      <w:r>
        <w:rPr>
          <w:rFonts w:hint="eastAsia" w:ascii="宋体" w:hAnsi="宋体" w:eastAsia="宋体" w:cs="宋体"/>
          <w:b w:val="0"/>
          <w:bCs w:val="0"/>
          <w:color w:val="auto"/>
          <w:sz w:val="21"/>
          <w:szCs w:val="21"/>
          <w:highlight w:val="none"/>
          <w:u w:val="single"/>
        </w:rPr>
        <w:t>全年考核：</w:t>
      </w:r>
      <w:r>
        <w:rPr>
          <w:rFonts w:hint="eastAsia" w:ascii="宋体" w:hAnsi="宋体" w:eastAsia="宋体" w:cs="宋体"/>
          <w:b w:val="0"/>
          <w:bCs w:val="0"/>
          <w:color w:val="auto"/>
          <w:sz w:val="21"/>
          <w:szCs w:val="21"/>
          <w:highlight w:val="none"/>
          <w:u w:val="single"/>
          <w:lang w:val="en-US" w:eastAsia="zh-CN"/>
        </w:rPr>
        <w:t>4个季度考核为优、</w:t>
      </w:r>
      <w:r>
        <w:rPr>
          <w:rFonts w:hint="eastAsia" w:ascii="宋体" w:hAnsi="宋体" w:eastAsia="宋体" w:cs="宋体"/>
          <w:b w:val="0"/>
          <w:bCs w:val="0"/>
          <w:color w:val="auto"/>
          <w:sz w:val="21"/>
          <w:szCs w:val="21"/>
          <w:highlight w:val="none"/>
          <w:u w:val="single"/>
        </w:rPr>
        <w:t>12月考核为优，年度考核核定为优；</w:t>
      </w:r>
      <w:r>
        <w:rPr>
          <w:rFonts w:hint="eastAsia" w:ascii="宋体" w:hAnsi="宋体" w:eastAsia="宋体" w:cs="宋体"/>
          <w:b w:val="0"/>
          <w:bCs w:val="0"/>
          <w:color w:val="auto"/>
          <w:sz w:val="21"/>
          <w:szCs w:val="21"/>
          <w:highlight w:val="none"/>
          <w:u w:val="single"/>
          <w:lang w:val="en-US" w:eastAsia="zh-CN"/>
        </w:rPr>
        <w:t>4个季度考核中有两个以上为良</w:t>
      </w:r>
      <w:r>
        <w:rPr>
          <w:rFonts w:hint="eastAsia" w:ascii="宋体" w:hAnsi="宋体" w:eastAsia="宋体" w:cs="宋体"/>
          <w:b w:val="0"/>
          <w:bCs w:val="0"/>
          <w:color w:val="auto"/>
          <w:sz w:val="21"/>
          <w:szCs w:val="21"/>
          <w:highlight w:val="none"/>
          <w:u w:val="single"/>
        </w:rPr>
        <w:t>，年度考核核定为良；</w:t>
      </w:r>
      <w:r>
        <w:rPr>
          <w:rFonts w:hint="eastAsia" w:ascii="宋体" w:hAnsi="宋体" w:eastAsia="宋体" w:cs="宋体"/>
          <w:b w:val="0"/>
          <w:bCs w:val="0"/>
          <w:color w:val="auto"/>
          <w:sz w:val="21"/>
          <w:szCs w:val="21"/>
          <w:highlight w:val="none"/>
          <w:u w:val="single"/>
          <w:lang w:val="en-US" w:eastAsia="zh-CN"/>
        </w:rPr>
        <w:t>4个季度考核中有1个以上为合格</w:t>
      </w:r>
      <w:r>
        <w:rPr>
          <w:rFonts w:hint="eastAsia" w:ascii="宋体" w:hAnsi="宋体" w:eastAsia="宋体" w:cs="宋体"/>
          <w:b w:val="0"/>
          <w:bCs w:val="0"/>
          <w:color w:val="auto"/>
          <w:sz w:val="21"/>
          <w:szCs w:val="21"/>
          <w:highlight w:val="none"/>
          <w:u w:val="single"/>
        </w:rPr>
        <w:t xml:space="preserve">，年度考核核定为为合格。 </w:t>
      </w:r>
    </w:p>
    <w:p>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u w:val="single"/>
          <w:lang w:val="en-US" w:eastAsia="zh-CN"/>
        </w:rPr>
        <w:t xml:space="preserve">4) </w:t>
      </w:r>
      <w:r>
        <w:rPr>
          <w:rFonts w:hint="eastAsia" w:ascii="宋体" w:hAnsi="宋体" w:eastAsia="宋体" w:cs="宋体"/>
          <w:b w:val="0"/>
          <w:bCs w:val="0"/>
          <w:color w:val="auto"/>
          <w:sz w:val="21"/>
          <w:szCs w:val="21"/>
          <w:highlight w:val="none"/>
          <w:u w:val="single"/>
        </w:rPr>
        <w:t xml:space="preserve">凡有一个月考核为不合格，年度考核即为不合格。凡考核不合格甲方有权立即解除养护合同，并扣除当月养护经费，另行选择其他养护队伍。 </w:t>
      </w:r>
    </w:p>
    <w:p>
      <w:pPr>
        <w:pageBreakBefore w:val="0"/>
        <w:widowControl w:val="0"/>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1"/>
          <w:szCs w:val="21"/>
          <w:highlight w:val="none"/>
          <w:u w:val="single"/>
        </w:rPr>
      </w:pPr>
      <w:r>
        <w:rPr>
          <w:rFonts w:hint="eastAsia" w:ascii="宋体" w:hAnsi="宋体" w:cs="宋体"/>
          <w:color w:val="auto"/>
          <w:sz w:val="22"/>
          <w:szCs w:val="21"/>
          <w:highlight w:val="none"/>
          <w:u w:val="single"/>
          <w:lang w:val="en-US" w:eastAsia="zh-CN"/>
        </w:rPr>
        <w:t xml:space="preserve">5) </w:t>
      </w:r>
      <w:r>
        <w:rPr>
          <w:rFonts w:hint="eastAsia" w:ascii="宋体" w:hAnsi="宋体" w:eastAsia="宋体" w:cs="宋体"/>
          <w:color w:val="auto"/>
          <w:sz w:val="21"/>
          <w:szCs w:val="21"/>
          <w:highlight w:val="none"/>
          <w:u w:val="single"/>
        </w:rPr>
        <w:t>年终考核为良，</w:t>
      </w:r>
      <w:r>
        <w:rPr>
          <w:rFonts w:hint="eastAsia" w:ascii="宋体" w:hAnsi="宋体" w:eastAsia="宋体" w:cs="宋体"/>
          <w:color w:val="auto"/>
          <w:sz w:val="21"/>
          <w:szCs w:val="21"/>
          <w:highlight w:val="none"/>
          <w:u w:val="single"/>
          <w:lang w:val="en-US" w:eastAsia="zh-CN"/>
        </w:rPr>
        <w:t>扣除当期</w:t>
      </w:r>
      <w:r>
        <w:rPr>
          <w:rFonts w:hint="eastAsia" w:ascii="宋体" w:hAnsi="宋体" w:eastAsia="宋体" w:cs="宋体"/>
          <w:bCs/>
          <w:color w:val="auto"/>
          <w:sz w:val="21"/>
          <w:szCs w:val="21"/>
          <w:highlight w:val="none"/>
          <w:u w:val="single"/>
        </w:rPr>
        <w:t>日常养护费用的</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w:t>
      </w:r>
      <w:r>
        <w:rPr>
          <w:rFonts w:hint="eastAsia" w:ascii="宋体" w:hAnsi="宋体" w:eastAsia="宋体" w:cs="宋体"/>
          <w:color w:val="auto"/>
          <w:sz w:val="21"/>
          <w:szCs w:val="21"/>
          <w:highlight w:val="none"/>
          <w:u w:val="single"/>
        </w:rPr>
        <w:t>；年终考核为合格，</w:t>
      </w:r>
      <w:r>
        <w:rPr>
          <w:rFonts w:hint="eastAsia" w:ascii="宋体" w:hAnsi="宋体" w:eastAsia="宋体" w:cs="宋体"/>
          <w:color w:val="auto"/>
          <w:sz w:val="21"/>
          <w:szCs w:val="21"/>
          <w:highlight w:val="none"/>
          <w:u w:val="single"/>
          <w:lang w:val="en-US" w:eastAsia="zh-CN"/>
        </w:rPr>
        <w:t>扣除当期</w:t>
      </w:r>
      <w:r>
        <w:rPr>
          <w:rFonts w:hint="eastAsia" w:ascii="宋体" w:hAnsi="宋体" w:eastAsia="宋体" w:cs="宋体"/>
          <w:bCs/>
          <w:color w:val="auto"/>
          <w:sz w:val="21"/>
          <w:szCs w:val="21"/>
          <w:highlight w:val="none"/>
          <w:u w:val="single"/>
        </w:rPr>
        <w:t>日常养护费用的</w:t>
      </w:r>
      <w:r>
        <w:rPr>
          <w:rFonts w:hint="eastAsia" w:ascii="宋体" w:hAnsi="宋体" w:eastAsia="宋体" w:cs="宋体"/>
          <w:bCs/>
          <w:color w:val="auto"/>
          <w:sz w:val="21"/>
          <w:szCs w:val="21"/>
          <w:highlight w:val="none"/>
          <w:u w:val="single"/>
          <w:lang w:val="en-US" w:eastAsia="zh-CN"/>
        </w:rPr>
        <w:t>10</w:t>
      </w:r>
      <w:r>
        <w:rPr>
          <w:rFonts w:hint="eastAsia" w:ascii="宋体" w:hAnsi="宋体" w:eastAsia="宋体" w:cs="宋体"/>
          <w:bCs/>
          <w:color w:val="auto"/>
          <w:sz w:val="21"/>
          <w:szCs w:val="21"/>
          <w:highlight w:val="none"/>
          <w:u w:val="single"/>
        </w:rPr>
        <w:t>%</w:t>
      </w:r>
      <w:r>
        <w:rPr>
          <w:rFonts w:hint="eastAsia" w:ascii="宋体" w:hAnsi="宋体" w:eastAsia="宋体" w:cs="宋体"/>
          <w:color w:val="auto"/>
          <w:sz w:val="21"/>
          <w:szCs w:val="21"/>
          <w:highlight w:val="none"/>
          <w:u w:val="single"/>
        </w:rPr>
        <w:t>；凡有一个月考核为不合格，年度考核即为不合格，甲方有权立即解除养护合同并扣除当月养护经费，另行选择其他养护队伍。</w:t>
      </w:r>
    </w:p>
    <w:tbl>
      <w:tblPr>
        <w:tblStyle w:val="30"/>
        <w:tblW w:w="9062" w:type="dxa"/>
        <w:jc w:val="center"/>
        <w:tblLayout w:type="fixed"/>
        <w:tblCellMar>
          <w:top w:w="0" w:type="dxa"/>
          <w:left w:w="108" w:type="dxa"/>
          <w:bottom w:w="0" w:type="dxa"/>
          <w:right w:w="108" w:type="dxa"/>
        </w:tblCellMar>
      </w:tblPr>
      <w:tblGrid>
        <w:gridCol w:w="1284"/>
        <w:gridCol w:w="3274"/>
        <w:gridCol w:w="3654"/>
        <w:gridCol w:w="850"/>
      </w:tblGrid>
      <w:tr>
        <w:tblPrEx>
          <w:tblCellMar>
            <w:top w:w="0" w:type="dxa"/>
            <w:left w:w="108" w:type="dxa"/>
            <w:bottom w:w="0" w:type="dxa"/>
            <w:right w:w="108" w:type="dxa"/>
          </w:tblCellMar>
        </w:tblPrEx>
        <w:trPr>
          <w:trHeight w:val="270" w:hRule="atLeast"/>
          <w:jc w:val="center"/>
        </w:trPr>
        <w:tc>
          <w:tcPr>
            <w:tcW w:w="12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考核项目</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考核内容</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考核要求</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得分</w:t>
            </w:r>
          </w:p>
        </w:tc>
      </w:tr>
      <w:tr>
        <w:tblPrEx>
          <w:tblCellMar>
            <w:top w:w="0" w:type="dxa"/>
            <w:left w:w="108" w:type="dxa"/>
            <w:bottom w:w="0" w:type="dxa"/>
            <w:right w:w="108" w:type="dxa"/>
          </w:tblCellMar>
        </w:tblPrEx>
        <w:trPr>
          <w:trHeight w:val="1350" w:hRule="atLeast"/>
          <w:jc w:val="center"/>
        </w:trPr>
        <w:tc>
          <w:tcPr>
            <w:tcW w:w="12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台账资料</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（13分）</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泵站每日运维记录表、每周工作计划、灭火器检查表格、设备运行检查表格和打捞人员工作签到表都有相应记录 （5分）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一个表格记录不全扣1分、3个以上记录不全扣5分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48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设备保养记录齐全 （3分）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记录不齐全的扣3分。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81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泵站每月泵站运维台账送至采购方检查收录 （5分）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未及时送往采购方的扣2分，内容不完整扣3分。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single"/>
                <w:lang w:val="en-US" w:eastAsia="zh-CN"/>
              </w:rPr>
            </w:pPr>
          </w:p>
        </w:tc>
      </w:tr>
      <w:tr>
        <w:tblPrEx>
          <w:tblCellMar>
            <w:top w:w="0" w:type="dxa"/>
            <w:left w:w="108" w:type="dxa"/>
            <w:bottom w:w="0" w:type="dxa"/>
            <w:right w:w="108" w:type="dxa"/>
          </w:tblCellMar>
        </w:tblPrEx>
        <w:trPr>
          <w:trHeight w:val="2580" w:hRule="atLeast"/>
          <w:jc w:val="center"/>
        </w:trPr>
        <w:tc>
          <w:tcPr>
            <w:tcW w:w="12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日常设备检查</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（30分）</w:t>
            </w:r>
          </w:p>
        </w:tc>
        <w:tc>
          <w:tcPr>
            <w:tcW w:w="3274"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设备完好，无损坏无运行隐患</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设备检查表必须填写完整，要求字迹工整，内容全面。 （20分）</w:t>
            </w:r>
          </w:p>
        </w:tc>
        <w:tc>
          <w:tcPr>
            <w:tcW w:w="3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泵机完好，无运行隐患8分；</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电房内设备完好，无运行隐患4分；</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格栅机等泵房外设备完好2分；</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泵站内生活照明等弱电设备完好2分</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设备检查表内容不完整的或未填写的扣4分.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81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灭火器齐全、在年检时间范围内且无超压、欠压情况 （5分）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不在年检范围内的扣5分；超压扣3分；欠压扣2分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136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绝缘用具完好无破损，且在年检时间范围内；安全设备每日必须检查并记录在安全设备检查表中 （5分）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不在年检范围内的扣2分；安全设备检查表记录不全的扣3分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single"/>
                <w:lang w:val="en-US" w:eastAsia="zh-CN"/>
              </w:rPr>
            </w:pPr>
          </w:p>
        </w:tc>
      </w:tr>
      <w:tr>
        <w:tblPrEx>
          <w:tblCellMar>
            <w:top w:w="0" w:type="dxa"/>
            <w:left w:w="108" w:type="dxa"/>
            <w:bottom w:w="0" w:type="dxa"/>
            <w:right w:w="108" w:type="dxa"/>
          </w:tblCellMar>
        </w:tblPrEx>
        <w:trPr>
          <w:trHeight w:val="980" w:hRule="atLeast"/>
          <w:jc w:val="center"/>
        </w:trPr>
        <w:tc>
          <w:tcPr>
            <w:tcW w:w="12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故障处理</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（23分）</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故障检查到位，不留隐患 （6分）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未查出故障被采购方查出，如发现隐患较大（泵机运行异常、控制柜损坏等）扣6分；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134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故障应急时间（6分）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应急时间超过原定时间15分钟的扣2分；超过30分钟的扣4分；超过45的扣6分。（汛期和雨天时间减半）</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138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故障处理时间 （6分）</w:t>
            </w:r>
          </w:p>
        </w:tc>
        <w:tc>
          <w:tcPr>
            <w:tcW w:w="3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故障处理超过原定时间1天的扣2分；超过3天的扣4分；超过一周的扣6分。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135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故障处理完成后，须完好可用，无隐患 （5分）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故障处理留有隐患，使用替换设备，原件与原先的不对应或者质量不过关的扣3分，故障处理完全不能正常使用的扣5分。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single"/>
                <w:lang w:val="en-US" w:eastAsia="zh-CN"/>
              </w:rPr>
            </w:pPr>
          </w:p>
        </w:tc>
      </w:tr>
      <w:tr>
        <w:tblPrEx>
          <w:tblCellMar>
            <w:top w:w="0" w:type="dxa"/>
            <w:left w:w="108" w:type="dxa"/>
            <w:bottom w:w="0" w:type="dxa"/>
            <w:right w:w="108" w:type="dxa"/>
          </w:tblCellMar>
        </w:tblPrEx>
        <w:trPr>
          <w:trHeight w:val="1080" w:hRule="atLeast"/>
          <w:jc w:val="center"/>
        </w:trPr>
        <w:tc>
          <w:tcPr>
            <w:tcW w:w="12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日常工作</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（10分）</w:t>
            </w:r>
          </w:p>
        </w:tc>
        <w:tc>
          <w:tcPr>
            <w:tcW w:w="32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泵站维管人员必须穿戴工作服，持工作证上岗，电工必须持有低压电工证以及高压电工证（4分）</w:t>
            </w:r>
          </w:p>
        </w:tc>
        <w:tc>
          <w:tcPr>
            <w:tcW w:w="3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未穿工作服的扣1分</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未持有电工证的操作低高压电气设备发现一次扣2分，发现两次此项不得分。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81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泵站值班人员必须保持24小时通讯畅通，对采购方要求要第一时间完成。（4分）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20分钟内联系不到值班人员扣2分，（汛期和雨天时间减半）不听从采购方调派的扣4分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lang w:val="en-US" w:eastAsia="zh-CN"/>
              </w:rPr>
            </w:pPr>
          </w:p>
        </w:tc>
      </w:tr>
      <w:tr>
        <w:tblPrEx>
          <w:tblCellMar>
            <w:top w:w="0" w:type="dxa"/>
            <w:left w:w="108" w:type="dxa"/>
            <w:bottom w:w="0" w:type="dxa"/>
            <w:right w:w="108" w:type="dxa"/>
          </w:tblCellMar>
        </w:tblPrEx>
        <w:trPr>
          <w:trHeight w:val="810" w:hRule="atLeast"/>
          <w:jc w:val="center"/>
        </w:trPr>
        <w:tc>
          <w:tcPr>
            <w:tcW w:w="12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泵站维管人员当天工作迟到、早退 （2分）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一次未签到扣1分，代签发现一次扣2分。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single"/>
                <w:lang w:val="en-US" w:eastAsia="zh-CN"/>
              </w:rPr>
            </w:pPr>
          </w:p>
        </w:tc>
      </w:tr>
      <w:tr>
        <w:tblPrEx>
          <w:tblCellMar>
            <w:top w:w="0" w:type="dxa"/>
            <w:left w:w="108" w:type="dxa"/>
            <w:bottom w:w="0" w:type="dxa"/>
            <w:right w:w="108" w:type="dxa"/>
          </w:tblCellMar>
        </w:tblPrEx>
        <w:trPr>
          <w:trHeight w:val="810" w:hRule="atLeast"/>
          <w:jc w:val="center"/>
        </w:trPr>
        <w:tc>
          <w:tcPr>
            <w:tcW w:w="128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泵站环境</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（24分）</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highlight w:val="none"/>
                <w:u w:val="single"/>
                <w:lang w:val="en-US" w:eastAsia="zh-CN" w:bidi="ar"/>
              </w:rPr>
              <w:t>泵站绿化（7分）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u w:val="single"/>
                <w:lang w:val="en-US" w:eastAsia="zh-CN"/>
              </w:rPr>
              <w:t>泵站乔木、树木未修剪、有病枝的扣2分；</w:t>
            </w:r>
          </w:p>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u w:val="single"/>
                <w:lang w:val="en-US" w:eastAsia="zh-CN"/>
              </w:rPr>
              <w:t>泵站草坪杂草过多扣2分</w:t>
            </w:r>
          </w:p>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u w:val="single"/>
                <w:lang w:val="en-US" w:eastAsia="zh-CN"/>
              </w:rPr>
              <w:t>泵站草坪围栏有损坏情况的扣3分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810" w:hRule="atLeast"/>
          <w:jc w:val="center"/>
        </w:trPr>
        <w:tc>
          <w:tcPr>
            <w:tcW w:w="128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泵站内卫生 （6分）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u w:val="single"/>
                <w:lang w:val="en-US" w:eastAsia="zh-CN"/>
              </w:rPr>
              <w:t>泵站屋内设备有灰尘未清理扣2分</w:t>
            </w:r>
          </w:p>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u w:val="single"/>
                <w:lang w:val="en-US" w:eastAsia="zh-CN"/>
              </w:rPr>
              <w:t>泵站内地面不干净、有垃圾未清理扣2分；</w:t>
            </w:r>
          </w:p>
          <w:p>
            <w:pPr>
              <w:keepNext w:val="0"/>
              <w:keepLines w:val="0"/>
              <w:widowControl/>
              <w:suppressLineNumbers w:val="0"/>
              <w:jc w:val="both"/>
              <w:textAlignment w:val="center"/>
              <w:rPr>
                <w:rFonts w:hint="default" w:ascii="宋体" w:hAnsi="宋体" w:eastAsia="宋体" w:cs="宋体"/>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u w:val="single"/>
                <w:lang w:val="en-US" w:eastAsia="zh-CN"/>
              </w:rPr>
              <w:t>泵站内胡乱摆放私人物品等杂物扣2分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1920" w:hRule="atLeast"/>
          <w:jc w:val="center"/>
        </w:trPr>
        <w:tc>
          <w:tcPr>
            <w:tcW w:w="1284"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泵站外卫生 （7分）</w:t>
            </w:r>
          </w:p>
        </w:tc>
        <w:tc>
          <w:tcPr>
            <w:tcW w:w="3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泵站外地面出现大量垃圾的扣3分；</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泵站内瓷砖损坏未及时修复扣2分；</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eastAsia="宋体" w:cs="宋体"/>
                <w:i w:val="0"/>
                <w:iCs w:val="0"/>
                <w:color w:val="auto"/>
                <w:kern w:val="0"/>
                <w:sz w:val="21"/>
                <w:szCs w:val="21"/>
                <w:highlight w:val="none"/>
                <w:u w:val="single"/>
                <w:lang w:val="en-US" w:eastAsia="zh-CN" w:bidi="ar"/>
              </w:rPr>
              <w:t>泵站玻璃破碎一块扣2分。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1540" w:hRule="atLeast"/>
          <w:jc w:val="center"/>
        </w:trPr>
        <w:tc>
          <w:tcPr>
            <w:tcW w:w="128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auto"/>
                <w:sz w:val="21"/>
                <w:szCs w:val="21"/>
                <w:highlight w:val="none"/>
                <w:u w:val="single"/>
                <w:lang w:val="en-US"/>
              </w:rPr>
            </w:pPr>
            <w:r>
              <w:rPr>
                <w:rFonts w:hint="eastAsia" w:ascii="宋体" w:hAnsi="宋体" w:eastAsia="宋体" w:cs="宋体"/>
                <w:i w:val="0"/>
                <w:iCs w:val="0"/>
                <w:color w:val="auto"/>
                <w:kern w:val="0"/>
                <w:sz w:val="21"/>
                <w:szCs w:val="21"/>
                <w:highlight w:val="none"/>
                <w:u w:val="single"/>
                <w:lang w:val="en-US" w:eastAsia="zh-CN" w:bidi="ar"/>
              </w:rPr>
              <w:t>泵站前池 （4分）</w:t>
            </w: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泵站前池未打捞，前池有大量垃圾出现的扣2分，打捞后的垃圾未及时托运的扣2分。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auto"/>
                <w:sz w:val="21"/>
                <w:szCs w:val="21"/>
                <w:highlight w:val="none"/>
                <w:u w:val="single"/>
                <w:lang w:val="en-US" w:eastAsia="zh-CN"/>
              </w:rPr>
            </w:pPr>
          </w:p>
        </w:tc>
      </w:tr>
      <w:tr>
        <w:tblPrEx>
          <w:tblCellMar>
            <w:top w:w="0" w:type="dxa"/>
            <w:left w:w="108" w:type="dxa"/>
            <w:bottom w:w="0" w:type="dxa"/>
            <w:right w:w="108" w:type="dxa"/>
          </w:tblCellMar>
        </w:tblPrEx>
        <w:trPr>
          <w:trHeight w:val="270" w:hRule="atLeast"/>
          <w:jc w:val="center"/>
        </w:trPr>
        <w:tc>
          <w:tcPr>
            <w:tcW w:w="128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single"/>
              </w:rPr>
            </w:pPr>
          </w:p>
        </w:tc>
        <w:tc>
          <w:tcPr>
            <w:tcW w:w="327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single"/>
              </w:rPr>
            </w:pP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总分：</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270" w:hRule="atLeast"/>
          <w:jc w:val="center"/>
        </w:trPr>
        <w:tc>
          <w:tcPr>
            <w:tcW w:w="12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考核人员：</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single"/>
              </w:rPr>
            </w:pP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负责人：</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single"/>
              </w:rPr>
            </w:pPr>
          </w:p>
        </w:tc>
      </w:tr>
      <w:tr>
        <w:tblPrEx>
          <w:tblCellMar>
            <w:top w:w="0" w:type="dxa"/>
            <w:left w:w="108" w:type="dxa"/>
            <w:bottom w:w="0" w:type="dxa"/>
            <w:right w:w="108" w:type="dxa"/>
          </w:tblCellMar>
        </w:tblPrEx>
        <w:trPr>
          <w:trHeight w:val="270" w:hRule="atLeast"/>
          <w:jc w:val="center"/>
        </w:trPr>
        <w:tc>
          <w:tcPr>
            <w:tcW w:w="12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管养单位：</w:t>
            </w:r>
          </w:p>
        </w:tc>
        <w:tc>
          <w:tcPr>
            <w:tcW w:w="327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single"/>
              </w:rPr>
            </w:pPr>
          </w:p>
        </w:tc>
        <w:tc>
          <w:tcPr>
            <w:tcW w:w="36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single"/>
              </w:rPr>
            </w:pPr>
            <w:r>
              <w:rPr>
                <w:rFonts w:hint="eastAsia" w:ascii="宋体" w:hAnsi="宋体" w:eastAsia="宋体" w:cs="宋体"/>
                <w:i w:val="0"/>
                <w:iCs w:val="0"/>
                <w:color w:val="auto"/>
                <w:kern w:val="0"/>
                <w:sz w:val="21"/>
                <w:szCs w:val="21"/>
                <w:highlight w:val="none"/>
                <w:u w:val="single"/>
                <w:lang w:val="en-US" w:eastAsia="zh-CN" w:bidi="ar"/>
              </w:rPr>
              <w:t>日期：</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auto"/>
                <w:sz w:val="21"/>
                <w:szCs w:val="21"/>
                <w:highlight w:val="none"/>
                <w:u w:val="single"/>
              </w:rPr>
            </w:pPr>
          </w:p>
        </w:tc>
      </w:tr>
    </w:tbl>
    <w:p>
      <w:pPr>
        <w:ind w:firstLine="402" w:firstLineChars="200"/>
        <w:jc w:val="left"/>
        <w:rPr>
          <w:rFonts w:hint="eastAsia" w:ascii="宋体" w:hAnsi="宋体"/>
          <w:b/>
          <w:bCs/>
          <w:color w:val="auto"/>
          <w:highlight w:val="none"/>
        </w:rPr>
      </w:pPr>
      <w:r>
        <w:rPr>
          <w:rFonts w:hint="eastAsia" w:ascii="宋体" w:hAnsi="宋体"/>
          <w:b/>
          <w:bCs/>
          <w:color w:val="auto"/>
          <w:sz w:val="20"/>
          <w:szCs w:val="18"/>
          <w:highlight w:val="none"/>
        </w:rPr>
        <w:t>第九条  交付和验收</w:t>
      </w:r>
    </w:p>
    <w:p>
      <w:pPr>
        <w:ind w:firstLine="420" w:firstLineChars="200"/>
        <w:rPr>
          <w:rFonts w:hint="eastAsia" w:ascii="宋体" w:hAnsi="宋体"/>
          <w:color w:val="auto"/>
          <w:szCs w:val="21"/>
          <w:highlight w:val="none"/>
        </w:rPr>
      </w:pPr>
      <w:r>
        <w:rPr>
          <w:rFonts w:hint="eastAsia" w:ascii="宋体" w:hAnsi="宋体"/>
          <w:color w:val="auto"/>
          <w:szCs w:val="21"/>
          <w:highlight w:val="none"/>
        </w:rPr>
        <w:t>1.乙方交付的服务成果应当完全符合本合同或者招投标文件所规定的要求。乙方提供的服务成果不符合招投标文件和合同规定的，甲方有权拒收，由此引起的风险，由乙方承担。</w:t>
      </w:r>
    </w:p>
    <w:p>
      <w:pPr>
        <w:ind w:firstLine="420" w:firstLineChars="200"/>
        <w:rPr>
          <w:rFonts w:hint="eastAsia" w:ascii="宋体" w:hAnsi="宋体"/>
          <w:color w:val="auto"/>
          <w:szCs w:val="21"/>
          <w:highlight w:val="none"/>
        </w:rPr>
      </w:pPr>
      <w:r>
        <w:rPr>
          <w:rFonts w:hint="eastAsia" w:ascii="宋体" w:hAnsi="宋体"/>
          <w:color w:val="auto"/>
          <w:szCs w:val="21"/>
          <w:highlight w:val="none"/>
        </w:rPr>
        <w:t>2.甲方应在项目完工后的</w:t>
      </w:r>
      <w:r>
        <w:rPr>
          <w:rFonts w:hint="eastAsia" w:ascii="宋体" w:hAnsi="宋体"/>
          <w:color w:val="auto"/>
          <w:szCs w:val="21"/>
          <w:highlight w:val="none"/>
          <w:u w:val="single"/>
        </w:rPr>
        <w:t xml:space="preserve">    </w:t>
      </w:r>
      <w:r>
        <w:rPr>
          <w:rFonts w:hint="eastAsia" w:ascii="宋体" w:hAnsi="宋体"/>
          <w:color w:val="auto"/>
          <w:szCs w:val="21"/>
          <w:highlight w:val="none"/>
        </w:rPr>
        <w:t>个工作日内进行验收。验收合格的，由甲方签署验收单并加盖单位公章。招标文件对验收另有规定的，从其规定。</w:t>
      </w:r>
    </w:p>
    <w:p>
      <w:pPr>
        <w:ind w:firstLine="422" w:firstLineChars="200"/>
        <w:jc w:val="left"/>
        <w:rPr>
          <w:rFonts w:ascii="宋体" w:hAnsi="宋体"/>
          <w:b/>
          <w:bCs/>
          <w:color w:val="auto"/>
          <w:highlight w:val="none"/>
        </w:rPr>
      </w:pPr>
      <w:r>
        <w:rPr>
          <w:rFonts w:hint="eastAsia" w:ascii="宋体" w:hAnsi="宋体"/>
          <w:b/>
          <w:bCs/>
          <w:color w:val="auto"/>
          <w:highlight w:val="none"/>
        </w:rPr>
        <w:t>第十条 履约保证金</w:t>
      </w:r>
    </w:p>
    <w:p>
      <w:pPr>
        <w:ind w:firstLine="420" w:firstLineChars="200"/>
        <w:jc w:val="left"/>
        <w:rPr>
          <w:rFonts w:ascii="宋体"/>
          <w:bCs/>
          <w:color w:val="auto"/>
          <w:highlight w:val="none"/>
        </w:rPr>
      </w:pPr>
      <w:r>
        <w:rPr>
          <w:rFonts w:ascii="宋体" w:hAnsi="宋体"/>
          <w:bCs/>
          <w:color w:val="auto"/>
          <w:highlight w:val="none"/>
        </w:rPr>
        <w:t>1.</w:t>
      </w:r>
      <w:r>
        <w:rPr>
          <w:rFonts w:hint="eastAsia" w:ascii="宋体" w:hAnsi="宋体"/>
          <w:bCs/>
          <w:color w:val="auto"/>
          <w:highlight w:val="none"/>
        </w:rPr>
        <w:t>中标供应商在签订本合同之日，原投标保证金自动转为履约保证金。</w:t>
      </w:r>
    </w:p>
    <w:p>
      <w:pPr>
        <w:ind w:firstLine="420" w:firstLineChars="200"/>
        <w:jc w:val="left"/>
        <w:rPr>
          <w:rFonts w:ascii="宋体"/>
          <w:bCs/>
          <w:color w:val="auto"/>
          <w:highlight w:val="none"/>
        </w:rPr>
      </w:pPr>
      <w:r>
        <w:rPr>
          <w:rFonts w:ascii="宋体" w:hAnsi="宋体"/>
          <w:bCs/>
          <w:color w:val="auto"/>
          <w:highlight w:val="none"/>
        </w:rPr>
        <w:t>2.</w:t>
      </w:r>
      <w:r>
        <w:rPr>
          <w:rFonts w:hint="eastAsia" w:ascii="宋体" w:hAnsi="宋体"/>
          <w:bCs/>
          <w:color w:val="auto"/>
          <w:highlight w:val="none"/>
        </w:rPr>
        <w:t>如中标供应商未能履行合同规定的义务，甲方有权从履约保证金中取得补偿。</w:t>
      </w:r>
    </w:p>
    <w:p>
      <w:pPr>
        <w:ind w:firstLine="420" w:firstLineChars="200"/>
        <w:jc w:val="left"/>
        <w:rPr>
          <w:rFonts w:ascii="宋体"/>
          <w:bCs/>
          <w:color w:val="auto"/>
          <w:highlight w:val="none"/>
        </w:rPr>
      </w:pPr>
      <w:r>
        <w:rPr>
          <w:rFonts w:hint="eastAsia" w:ascii="宋体" w:hAnsi="宋体"/>
          <w:bCs/>
          <w:color w:val="auto"/>
          <w:highlight w:val="none"/>
        </w:rPr>
        <w:t>3.履约保证金扣除甲方应得的补偿后的余额在项目验收合格后</w:t>
      </w:r>
      <w:r>
        <w:rPr>
          <w:rFonts w:ascii="宋体" w:hAnsi="宋体"/>
          <w:bCs/>
          <w:color w:val="auto"/>
          <w:highlight w:val="none"/>
        </w:rPr>
        <w:t>10</w:t>
      </w:r>
      <w:r>
        <w:rPr>
          <w:rFonts w:hint="eastAsia" w:ascii="宋体" w:hAnsi="宋体"/>
          <w:bCs/>
          <w:color w:val="auto"/>
          <w:highlight w:val="none"/>
        </w:rPr>
        <w:t>个工作日内无息退还中标供应商。</w:t>
      </w:r>
    </w:p>
    <w:p>
      <w:pPr>
        <w:ind w:firstLine="422" w:firstLineChars="200"/>
        <w:jc w:val="left"/>
        <w:rPr>
          <w:rFonts w:ascii="宋体" w:hAnsi="宋体"/>
          <w:b/>
          <w:bCs/>
          <w:color w:val="auto"/>
          <w:highlight w:val="none"/>
        </w:rPr>
      </w:pPr>
      <w:r>
        <w:rPr>
          <w:rFonts w:hint="eastAsia" w:ascii="宋体" w:hAnsi="宋体"/>
          <w:b/>
          <w:bCs/>
          <w:color w:val="auto"/>
          <w:highlight w:val="none"/>
        </w:rPr>
        <w:t>第十一条 货款支付</w:t>
      </w:r>
    </w:p>
    <w:p>
      <w:pPr>
        <w:ind w:firstLine="420" w:firstLineChars="200"/>
        <w:jc w:val="left"/>
        <w:rPr>
          <w:rFonts w:ascii="宋体" w:hAnsi="宋体"/>
          <w:bCs/>
          <w:color w:val="auto"/>
          <w:highlight w:val="none"/>
        </w:rPr>
      </w:pPr>
      <w:r>
        <w:rPr>
          <w:rFonts w:hint="eastAsia" w:ascii="宋体" w:hAnsi="宋体"/>
          <w:bCs/>
          <w:color w:val="auto"/>
          <w:highlight w:val="none"/>
        </w:rPr>
        <w:t>1.本合同项下所有款项均以人民币支付。</w:t>
      </w:r>
    </w:p>
    <w:p>
      <w:pPr>
        <w:ind w:firstLine="420" w:firstLineChars="200"/>
        <w:rPr>
          <w:rFonts w:hint="eastAsia" w:ascii="宋体" w:hAnsi="宋体"/>
          <w:bCs/>
          <w:color w:val="auto"/>
          <w:highlight w:val="none"/>
        </w:rPr>
      </w:pPr>
      <w:r>
        <w:rPr>
          <w:rFonts w:hint="eastAsia" w:ascii="宋体" w:hAnsi="宋体"/>
          <w:bCs/>
          <w:color w:val="auto"/>
          <w:szCs w:val="21"/>
          <w:highlight w:val="none"/>
        </w:rPr>
        <w:t>2.</w:t>
      </w:r>
      <w:r>
        <w:rPr>
          <w:rFonts w:hint="eastAsia" w:ascii="宋体" w:hAnsi="宋体"/>
          <w:bCs/>
          <w:color w:val="auto"/>
          <w:highlight w:val="none"/>
        </w:rPr>
        <w:t>本合同项下的采购资金系由甲方支付。合同签订且管养工作实施三个月后，能达到服务要求，根据考核结果按季支付当期经审核日常养护费用的80%及专项维修</w:t>
      </w:r>
      <w:r>
        <w:rPr>
          <w:rFonts w:hint="eastAsia" w:ascii="宋体" w:hAnsi="宋体"/>
          <w:bCs/>
          <w:color w:val="auto"/>
          <w:highlight w:val="none"/>
          <w:lang w:eastAsia="zh-CN"/>
        </w:rPr>
        <w:t>产生</w:t>
      </w:r>
      <w:r>
        <w:rPr>
          <w:rFonts w:hint="eastAsia" w:ascii="宋体" w:hAnsi="宋体"/>
          <w:bCs/>
          <w:color w:val="auto"/>
          <w:highlight w:val="none"/>
        </w:rPr>
        <w:t>费用的60%；之后支付当期经审核日常养护费用的80%及专项维修</w:t>
      </w:r>
      <w:r>
        <w:rPr>
          <w:rFonts w:hint="eastAsia" w:ascii="宋体" w:hAnsi="宋体"/>
          <w:bCs/>
          <w:color w:val="auto"/>
          <w:highlight w:val="none"/>
          <w:lang w:eastAsia="zh-CN"/>
        </w:rPr>
        <w:t>产生</w:t>
      </w:r>
      <w:r>
        <w:rPr>
          <w:rFonts w:hint="eastAsia" w:ascii="宋体" w:hAnsi="宋体"/>
          <w:bCs/>
          <w:color w:val="auto"/>
          <w:highlight w:val="none"/>
        </w:rPr>
        <w:t>费用的60%；合同期满能达到服务要求，支付至经审核日常养护费用的</w:t>
      </w:r>
      <w:r>
        <w:rPr>
          <w:rFonts w:ascii="宋体" w:hAnsi="宋体"/>
          <w:bCs/>
          <w:color w:val="auto"/>
          <w:highlight w:val="none"/>
        </w:rPr>
        <w:t>95</w:t>
      </w:r>
      <w:r>
        <w:rPr>
          <w:rFonts w:hint="eastAsia" w:ascii="宋体" w:hAnsi="宋体"/>
          <w:bCs/>
          <w:color w:val="auto"/>
          <w:highlight w:val="none"/>
        </w:rPr>
        <w:t>%及专项维修</w:t>
      </w:r>
      <w:r>
        <w:rPr>
          <w:rFonts w:hint="eastAsia" w:ascii="宋体" w:hAnsi="宋体"/>
          <w:bCs/>
          <w:color w:val="auto"/>
          <w:highlight w:val="none"/>
          <w:lang w:eastAsia="zh-CN"/>
        </w:rPr>
        <w:t>产生</w:t>
      </w:r>
      <w:r>
        <w:rPr>
          <w:rFonts w:hint="eastAsia" w:ascii="宋体" w:hAnsi="宋体"/>
          <w:bCs/>
          <w:color w:val="auto"/>
          <w:highlight w:val="none"/>
        </w:rPr>
        <w:t>费用的70%,当年剩余的合同款，待专项维修费用审计后支付余款。第二年及第三年的采购合同（如签</w:t>
      </w:r>
      <w:r>
        <w:rPr>
          <w:rFonts w:ascii="宋体" w:hAnsi="宋体"/>
          <w:bCs/>
          <w:color w:val="auto"/>
          <w:highlight w:val="none"/>
        </w:rPr>
        <w:t>）</w:t>
      </w:r>
      <w:r>
        <w:rPr>
          <w:rFonts w:hint="eastAsia" w:ascii="宋体" w:hAnsi="宋体"/>
          <w:bCs/>
          <w:color w:val="auto"/>
          <w:highlight w:val="none"/>
        </w:rPr>
        <w:t>, 按季支付当期经审核日常养护费用的80%及专项维修费用的60%；合同期满后，能达到服务要求，支付至经审核当年日常养护费用的9</w:t>
      </w:r>
      <w:r>
        <w:rPr>
          <w:rFonts w:ascii="宋体" w:hAnsi="宋体"/>
          <w:bCs/>
          <w:color w:val="auto"/>
          <w:highlight w:val="none"/>
        </w:rPr>
        <w:t>5</w:t>
      </w:r>
      <w:r>
        <w:rPr>
          <w:rFonts w:hint="eastAsia" w:ascii="宋体" w:hAnsi="宋体"/>
          <w:bCs/>
          <w:color w:val="auto"/>
          <w:highlight w:val="none"/>
        </w:rPr>
        <w:t>%及专项维修费用的70%，当年剩余的合同款，待专项维修费用审计后审计后支付余款。</w:t>
      </w:r>
    </w:p>
    <w:p>
      <w:pPr>
        <w:ind w:firstLine="422" w:firstLineChars="200"/>
        <w:jc w:val="left"/>
        <w:rPr>
          <w:rFonts w:ascii="宋体" w:hAnsi="宋体"/>
          <w:b/>
          <w:bCs/>
          <w:color w:val="auto"/>
          <w:highlight w:val="none"/>
        </w:rPr>
      </w:pPr>
      <w:r>
        <w:rPr>
          <w:rFonts w:hint="eastAsia" w:ascii="宋体" w:hAnsi="宋体"/>
          <w:b/>
          <w:bCs/>
          <w:color w:val="auto"/>
          <w:highlight w:val="none"/>
        </w:rPr>
        <w:t>第十二条 违约责任</w:t>
      </w:r>
    </w:p>
    <w:p>
      <w:pPr>
        <w:ind w:firstLine="420" w:firstLineChars="200"/>
        <w:rPr>
          <w:rFonts w:ascii="宋体" w:hAnsi="宋体"/>
          <w:bCs/>
          <w:color w:val="auto"/>
          <w:szCs w:val="21"/>
          <w:highlight w:val="none"/>
        </w:rPr>
      </w:pPr>
      <w:r>
        <w:rPr>
          <w:rFonts w:ascii="宋体" w:hAnsi="宋体"/>
          <w:bCs/>
          <w:color w:val="auto"/>
          <w:szCs w:val="21"/>
          <w:highlight w:val="none"/>
        </w:rPr>
        <w:t>（一）在服务期内，中标供应商未尽职责造成社会负面影响或损失的：</w:t>
      </w:r>
    </w:p>
    <w:p>
      <w:pPr>
        <w:ind w:firstLine="420" w:firstLineChars="200"/>
        <w:rPr>
          <w:rFonts w:ascii="宋体" w:hAnsi="宋体"/>
          <w:bCs/>
          <w:szCs w:val="21"/>
        </w:rPr>
      </w:pPr>
      <w:r>
        <w:rPr>
          <w:rFonts w:ascii="宋体" w:hAnsi="宋体"/>
          <w:bCs/>
          <w:szCs w:val="21"/>
        </w:rPr>
        <w:t>1、采购人有权单方解除与中标供应商签订的服务合同，履约保证金不予退还；</w:t>
      </w:r>
    </w:p>
    <w:p>
      <w:pPr>
        <w:ind w:firstLine="420" w:firstLineChars="200"/>
        <w:rPr>
          <w:rFonts w:ascii="宋体" w:hAnsi="宋体"/>
          <w:bCs/>
          <w:szCs w:val="21"/>
        </w:rPr>
      </w:pPr>
      <w:r>
        <w:rPr>
          <w:rFonts w:ascii="宋体" w:hAnsi="宋体"/>
          <w:bCs/>
          <w:szCs w:val="21"/>
        </w:rPr>
        <w:t>2、造成采购人设施、设备损坏的，或者被盗被抢的，责成中标供应商按质按价全额赔偿；</w:t>
      </w:r>
    </w:p>
    <w:p>
      <w:pPr>
        <w:ind w:firstLine="420" w:firstLineChars="200"/>
        <w:rPr>
          <w:rFonts w:ascii="宋体" w:hAnsi="宋体"/>
          <w:bCs/>
          <w:szCs w:val="21"/>
        </w:rPr>
      </w:pPr>
      <w:r>
        <w:rPr>
          <w:rFonts w:ascii="宋体" w:hAnsi="宋体"/>
          <w:bCs/>
          <w:szCs w:val="21"/>
        </w:rPr>
        <w:t>3、泵站服务区内如发生积漫水、污水漫溢等现象，造成损失和社会负面影响的，中标供应商依法承担所有赔偿责任。</w:t>
      </w:r>
    </w:p>
    <w:p>
      <w:pPr>
        <w:ind w:firstLine="420" w:firstLineChars="200"/>
        <w:rPr>
          <w:rFonts w:ascii="宋体" w:hAnsi="宋体"/>
          <w:bCs/>
          <w:szCs w:val="21"/>
        </w:rPr>
      </w:pPr>
      <w:r>
        <w:rPr>
          <w:rFonts w:ascii="宋体" w:hAnsi="宋体"/>
          <w:bCs/>
          <w:szCs w:val="21"/>
        </w:rPr>
        <w:t>（二）对中标供应商运维管理人员的违规行为，采购人出具通知单告知中标供应商，对中标供应商操作人员的罚款及直接损失费将一并从服务费中扣除，细则如下：</w:t>
      </w:r>
    </w:p>
    <w:p>
      <w:pPr>
        <w:ind w:firstLine="420" w:firstLineChars="200"/>
        <w:rPr>
          <w:rFonts w:ascii="宋体" w:hAnsi="宋体"/>
          <w:bCs/>
          <w:szCs w:val="21"/>
        </w:rPr>
      </w:pPr>
      <w:r>
        <w:rPr>
          <w:rFonts w:ascii="宋体" w:hAnsi="宋体"/>
          <w:bCs/>
          <w:szCs w:val="21"/>
        </w:rPr>
        <w:t>1、为保持泵站站容站貌干净整洁，达到文明创建要求，保证设施完好，对泵站工作人员日常管理工作，从劳动纪律、站容站貌、机电设备养护、安全生产四个方面进行管理。</w:t>
      </w:r>
    </w:p>
    <w:p>
      <w:pPr>
        <w:ind w:firstLine="420" w:firstLineChars="200"/>
        <w:rPr>
          <w:rFonts w:ascii="宋体" w:hAnsi="宋体"/>
          <w:bCs/>
          <w:szCs w:val="21"/>
        </w:rPr>
      </w:pPr>
      <w:r>
        <w:rPr>
          <w:rFonts w:ascii="宋体" w:hAnsi="宋体"/>
          <w:bCs/>
          <w:szCs w:val="21"/>
        </w:rPr>
        <w:t>1）劳动纪律：</w:t>
      </w:r>
    </w:p>
    <w:p>
      <w:pPr>
        <w:ind w:firstLine="420" w:firstLineChars="200"/>
        <w:rPr>
          <w:rFonts w:hint="eastAsia" w:ascii="宋体" w:hAnsi="宋体"/>
          <w:bCs/>
          <w:szCs w:val="21"/>
        </w:rPr>
      </w:pPr>
      <w:r>
        <w:rPr>
          <w:rFonts w:hint="eastAsia" w:ascii="宋体" w:hAnsi="宋体"/>
          <w:bCs/>
          <w:szCs w:val="21"/>
        </w:rPr>
        <w:t>①</w:t>
      </w:r>
      <w:r>
        <w:rPr>
          <w:rFonts w:ascii="宋体" w:hAnsi="宋体"/>
          <w:bCs/>
          <w:szCs w:val="21"/>
        </w:rPr>
        <w:t>运维管理人员值班时必须穿着统一的工作服，挂牌上岗,衣冠整洁，禁止赤膊、赤脚、穿拖鞋等不文明行为；上班迟到、早退；上班期间从事其他与工作无关的；睡岗、串岗等等，以上每发现一次扣200元；</w:t>
      </w:r>
    </w:p>
    <w:p>
      <w:pPr>
        <w:ind w:firstLine="420" w:firstLineChars="200"/>
        <w:rPr>
          <w:rFonts w:ascii="宋体" w:hAnsi="宋体"/>
          <w:bCs/>
          <w:szCs w:val="21"/>
        </w:rPr>
      </w:pPr>
      <w:r>
        <w:rPr>
          <w:rFonts w:hint="eastAsia" w:ascii="宋体" w:hAnsi="宋体"/>
          <w:bCs/>
          <w:szCs w:val="21"/>
        </w:rPr>
        <w:t>②</w:t>
      </w:r>
      <w:r>
        <w:rPr>
          <w:rFonts w:ascii="宋体" w:hAnsi="宋体"/>
          <w:bCs/>
          <w:szCs w:val="21"/>
        </w:rPr>
        <w:t>不按照制定的交接班时间、违反交接班制度的；未做好每天值班记录及开机记录的填报、记录不清楚、不按时、不按要求上报；不按照制定的定人定岗人员名单；替班、换班未按正常程序履行手续的；容留、聚集其他无关人员在泵站的；以及其他违反劳动纪律的行为；以上每发现一次扣500元；</w:t>
      </w:r>
    </w:p>
    <w:p>
      <w:pPr>
        <w:ind w:firstLine="420" w:firstLineChars="200"/>
        <w:rPr>
          <w:rFonts w:ascii="宋体" w:hAnsi="宋体"/>
          <w:bCs/>
          <w:szCs w:val="21"/>
        </w:rPr>
      </w:pPr>
      <w:r>
        <w:rPr>
          <w:rFonts w:hint="eastAsia" w:ascii="宋体" w:hAnsi="宋体"/>
          <w:bCs/>
          <w:szCs w:val="21"/>
        </w:rPr>
        <w:t>③</w:t>
      </w:r>
      <w:r>
        <w:rPr>
          <w:rFonts w:ascii="宋体" w:hAnsi="宋体"/>
          <w:bCs/>
          <w:szCs w:val="21"/>
        </w:rPr>
        <w:t>上班期间离岗、脱岗；上班期间饮酒、饮酒后上岗的；考勤、检查等记录弄虚作假的；未按照泵站运行工艺或采购人指令完成岗位职责但未造成后果的，一次扣1000元；</w:t>
      </w:r>
    </w:p>
    <w:p>
      <w:pPr>
        <w:ind w:firstLine="420" w:firstLineChars="200"/>
        <w:rPr>
          <w:rFonts w:ascii="宋体" w:hAnsi="宋体"/>
          <w:bCs/>
          <w:szCs w:val="21"/>
        </w:rPr>
      </w:pPr>
      <w:r>
        <w:rPr>
          <w:rFonts w:ascii="宋体" w:hAnsi="宋体"/>
          <w:bCs/>
          <w:szCs w:val="21"/>
        </w:rPr>
        <w:t>上述违规行为同一值班人再次发生，加倍处罚并责令中标供应商重新调换人员。</w:t>
      </w:r>
    </w:p>
    <w:p>
      <w:pPr>
        <w:ind w:firstLine="420" w:firstLineChars="200"/>
        <w:rPr>
          <w:rFonts w:ascii="宋体" w:hAnsi="宋体"/>
          <w:bCs/>
          <w:szCs w:val="21"/>
        </w:rPr>
      </w:pPr>
      <w:r>
        <w:rPr>
          <w:rFonts w:ascii="宋体" w:hAnsi="宋体"/>
          <w:bCs/>
          <w:szCs w:val="21"/>
        </w:rPr>
        <w:t>2）站容站貌：</w:t>
      </w:r>
    </w:p>
    <w:p>
      <w:pPr>
        <w:ind w:firstLine="420" w:firstLineChars="200"/>
        <w:rPr>
          <w:rFonts w:ascii="宋体" w:hAnsi="宋体"/>
          <w:bCs/>
          <w:szCs w:val="21"/>
        </w:rPr>
      </w:pPr>
      <w:r>
        <w:rPr>
          <w:rFonts w:hint="eastAsia" w:ascii="宋体" w:hAnsi="宋体"/>
          <w:bCs/>
          <w:szCs w:val="21"/>
        </w:rPr>
        <w:t>①</w:t>
      </w:r>
      <w:r>
        <w:rPr>
          <w:rFonts w:ascii="宋体" w:hAnsi="宋体"/>
          <w:bCs/>
          <w:szCs w:val="21"/>
        </w:rPr>
        <w:t>泵站内道路整洁，无散落枯枝败叶或垃圾杂物；围栏、大门功能完好，无损坏、锈蚀、无乱贴乱画；泵房、配电房检修工具及其他物品摆放整齐，无与工作无关的物品；门、窗、地面、栏杆、扶手、屋顶等无积尘、蜘蛛网等；设备外观有油渍、污垢；泵站内饲养家禽等；以上每发现一处不符扣200元；</w:t>
      </w:r>
    </w:p>
    <w:p>
      <w:pPr>
        <w:ind w:firstLine="420" w:firstLineChars="200"/>
        <w:rPr>
          <w:rFonts w:ascii="宋体" w:hAnsi="宋体"/>
          <w:bCs/>
          <w:szCs w:val="21"/>
        </w:rPr>
      </w:pPr>
      <w:r>
        <w:rPr>
          <w:rFonts w:hint="eastAsia" w:ascii="宋体" w:hAnsi="宋体"/>
          <w:bCs/>
          <w:szCs w:val="21"/>
        </w:rPr>
        <w:t>②</w:t>
      </w:r>
      <w:r>
        <w:rPr>
          <w:rFonts w:ascii="宋体" w:hAnsi="宋体"/>
          <w:bCs/>
          <w:szCs w:val="21"/>
        </w:rPr>
        <w:t>中标供应商对发现的泵站站容站貌存在的问题、缺陷没有及时上报、记录或没有发现泵站设施、站容站貌存在问题、缺陷的，发现一次扣500元。</w:t>
      </w:r>
    </w:p>
    <w:p>
      <w:pPr>
        <w:ind w:firstLine="420" w:firstLineChars="200"/>
        <w:rPr>
          <w:rFonts w:ascii="宋体" w:hAnsi="宋体"/>
          <w:bCs/>
          <w:szCs w:val="21"/>
        </w:rPr>
      </w:pPr>
      <w:r>
        <w:rPr>
          <w:rFonts w:hint="eastAsia" w:ascii="宋体" w:hAnsi="宋体"/>
          <w:bCs/>
          <w:szCs w:val="21"/>
        </w:rPr>
        <w:t>③</w:t>
      </w:r>
      <w:r>
        <w:rPr>
          <w:rFonts w:ascii="宋体" w:hAnsi="宋体"/>
          <w:bCs/>
          <w:szCs w:val="21"/>
        </w:rPr>
        <w:t>由于站容站貌原因造成文明创建检查失分；或上级单位检查中被发现问题；以上每次扣2000元，并视情节轻重、负面影响的大小，采购人有权单方面解除双方合同。</w:t>
      </w:r>
    </w:p>
    <w:p>
      <w:pPr>
        <w:ind w:firstLine="420" w:firstLineChars="200"/>
        <w:rPr>
          <w:rFonts w:ascii="宋体" w:hAnsi="宋体"/>
          <w:bCs/>
          <w:szCs w:val="21"/>
        </w:rPr>
      </w:pPr>
      <w:r>
        <w:rPr>
          <w:rFonts w:ascii="宋体" w:hAnsi="宋体"/>
          <w:bCs/>
          <w:szCs w:val="21"/>
        </w:rPr>
        <w:t>3）机电设备养护：</w:t>
      </w:r>
    </w:p>
    <w:p>
      <w:pPr>
        <w:ind w:firstLine="420" w:firstLineChars="200"/>
        <w:rPr>
          <w:rFonts w:ascii="宋体" w:hAnsi="宋体"/>
          <w:bCs/>
          <w:szCs w:val="21"/>
        </w:rPr>
      </w:pPr>
      <w:r>
        <w:rPr>
          <w:rFonts w:hint="eastAsia" w:ascii="宋体" w:hAnsi="宋体"/>
          <w:bCs/>
          <w:szCs w:val="21"/>
        </w:rPr>
        <w:t>①</w:t>
      </w:r>
      <w:r>
        <w:rPr>
          <w:rFonts w:ascii="宋体" w:hAnsi="宋体"/>
          <w:bCs/>
          <w:szCs w:val="21"/>
        </w:rPr>
        <w:t>低压柜外，绝缘地垫，高压房，变压器室内，机泵外观有明显积尘和蜘蛛网的按站容站貌相关条款规定进行处罚；</w:t>
      </w:r>
    </w:p>
    <w:p>
      <w:pPr>
        <w:ind w:firstLine="420" w:firstLineChars="200"/>
        <w:rPr>
          <w:rFonts w:ascii="宋体" w:hAnsi="宋体"/>
          <w:bCs/>
          <w:szCs w:val="21"/>
        </w:rPr>
      </w:pPr>
      <w:r>
        <w:rPr>
          <w:rFonts w:hint="eastAsia" w:ascii="宋体" w:hAnsi="宋体"/>
          <w:bCs/>
          <w:szCs w:val="21"/>
        </w:rPr>
        <w:t>②</w:t>
      </w:r>
      <w:r>
        <w:rPr>
          <w:rFonts w:ascii="宋体" w:hAnsi="宋体"/>
          <w:bCs/>
          <w:szCs w:val="21"/>
        </w:rPr>
        <w:t>设备设施发现锈蚀发现腐蚀、渗漏、开裂、损坏等情况要及时处理，不能处理的及时向监控中心汇报，并记录清楚；疏于巡视，未发现故障或发现故障不及时报修一次扣500元。</w:t>
      </w:r>
    </w:p>
    <w:p>
      <w:pPr>
        <w:ind w:firstLine="420" w:firstLineChars="200"/>
        <w:rPr>
          <w:rFonts w:ascii="宋体" w:hAnsi="宋体"/>
          <w:bCs/>
          <w:szCs w:val="21"/>
        </w:rPr>
      </w:pPr>
      <w:r>
        <w:rPr>
          <w:rFonts w:ascii="宋体" w:hAnsi="宋体"/>
          <w:bCs/>
          <w:szCs w:val="21"/>
        </w:rPr>
        <w:t>4）安全生产：</w:t>
      </w:r>
    </w:p>
    <w:p>
      <w:pPr>
        <w:ind w:firstLine="420" w:firstLineChars="200"/>
        <w:rPr>
          <w:rFonts w:ascii="宋体" w:hAnsi="宋体"/>
          <w:bCs/>
          <w:szCs w:val="21"/>
        </w:rPr>
      </w:pPr>
      <w:r>
        <w:rPr>
          <w:rFonts w:hint="eastAsia" w:ascii="宋体" w:hAnsi="宋体"/>
          <w:bCs/>
          <w:szCs w:val="21"/>
        </w:rPr>
        <w:t>①</w:t>
      </w:r>
      <w:r>
        <w:rPr>
          <w:rFonts w:ascii="宋体" w:hAnsi="宋体"/>
          <w:bCs/>
          <w:szCs w:val="21"/>
        </w:rPr>
        <w:t>违规使用泵站内配备的绝缘靴、绝缘手套、绝缘杆等劳动防护用品或擅自挪用当个人用品使用的；未按规定穿戴安全防护用具、不按操作规程操作且未造成后果的，一次扣1000元；如因运维管理人员的违规、疏忽大意等行为造成后果的，由中标供应商承担所有损失的赔偿责任；</w:t>
      </w:r>
    </w:p>
    <w:p>
      <w:pPr>
        <w:ind w:firstLine="420" w:firstLineChars="200"/>
        <w:rPr>
          <w:rFonts w:ascii="宋体" w:hAnsi="宋体"/>
          <w:bCs/>
          <w:szCs w:val="21"/>
        </w:rPr>
      </w:pPr>
      <w:r>
        <w:rPr>
          <w:rFonts w:hint="eastAsia" w:ascii="宋体" w:hAnsi="宋体"/>
          <w:bCs/>
          <w:szCs w:val="21"/>
        </w:rPr>
        <w:t>②</w:t>
      </w:r>
      <w:r>
        <w:rPr>
          <w:rFonts w:ascii="宋体" w:hAnsi="宋体"/>
          <w:bCs/>
          <w:szCs w:val="21"/>
        </w:rPr>
        <w:t>上款违规行为同一运维管理人员第二次发生加倍处罚并责令中标供应商重新调换人员。</w:t>
      </w:r>
    </w:p>
    <w:p>
      <w:pPr>
        <w:ind w:firstLine="420" w:firstLineChars="200"/>
        <w:rPr>
          <w:rFonts w:ascii="宋体" w:hAnsi="宋体"/>
          <w:bCs/>
          <w:szCs w:val="21"/>
        </w:rPr>
      </w:pPr>
      <w:r>
        <w:rPr>
          <w:rFonts w:ascii="宋体" w:hAnsi="宋体"/>
          <w:bCs/>
          <w:szCs w:val="21"/>
        </w:rPr>
        <w:t>2、泵站在降雨时或汛期中出现脱岗、缺岗行为的；未履行岗位职责，造成影响和后果的；未按操作规程，违规使用设备造成损失在5000元以下的；不服从采购人调度的等行为；要求调换的人员中标供应商不能在规定时间内配齐的；对存在上述行为之一的，责令中标供应商重新调换人员，每次罚款2000元并承担赔偿责任。</w:t>
      </w:r>
    </w:p>
    <w:p>
      <w:pPr>
        <w:ind w:firstLine="420" w:firstLineChars="200"/>
        <w:rPr>
          <w:rFonts w:ascii="宋体" w:hAnsi="宋体"/>
          <w:bCs/>
          <w:szCs w:val="21"/>
        </w:rPr>
      </w:pPr>
      <w:r>
        <w:rPr>
          <w:rFonts w:ascii="宋体" w:hAnsi="宋体"/>
          <w:bCs/>
          <w:szCs w:val="21"/>
        </w:rPr>
        <w:t>3、其它违规行为：</w:t>
      </w:r>
    </w:p>
    <w:p>
      <w:pPr>
        <w:ind w:firstLine="420" w:firstLineChars="200"/>
        <w:rPr>
          <w:rFonts w:ascii="宋体" w:hAnsi="宋体"/>
          <w:bCs/>
          <w:szCs w:val="21"/>
        </w:rPr>
      </w:pPr>
      <w:r>
        <w:rPr>
          <w:rFonts w:hint="eastAsia" w:ascii="宋体" w:hAnsi="宋体"/>
          <w:bCs/>
          <w:szCs w:val="21"/>
        </w:rPr>
        <w:t>①</w:t>
      </w:r>
      <w:r>
        <w:rPr>
          <w:rFonts w:ascii="宋体" w:hAnsi="宋体"/>
          <w:bCs/>
          <w:szCs w:val="21"/>
        </w:rPr>
        <w:t>不按安全技术要求操作规程操作，发生事故，造成直接损失达5000元以上，或不履行岗位职责，造成直接损失达5000元以上。</w:t>
      </w:r>
    </w:p>
    <w:p>
      <w:pPr>
        <w:ind w:firstLine="420" w:firstLineChars="200"/>
        <w:rPr>
          <w:rFonts w:ascii="宋体" w:hAnsi="宋体"/>
          <w:bCs/>
          <w:szCs w:val="21"/>
        </w:rPr>
      </w:pPr>
      <w:r>
        <w:rPr>
          <w:rFonts w:hint="eastAsia" w:ascii="宋体" w:hAnsi="宋体"/>
          <w:bCs/>
          <w:szCs w:val="21"/>
        </w:rPr>
        <w:t>②</w:t>
      </w:r>
      <w:r>
        <w:rPr>
          <w:rFonts w:ascii="宋体" w:hAnsi="宋体"/>
          <w:bCs/>
          <w:szCs w:val="21"/>
        </w:rPr>
        <w:t>设备非正常损坏造成停产或事故及损失的。</w:t>
      </w:r>
    </w:p>
    <w:p>
      <w:pPr>
        <w:ind w:firstLine="420" w:firstLineChars="200"/>
        <w:rPr>
          <w:rFonts w:ascii="宋体" w:hAnsi="宋体"/>
          <w:bCs/>
          <w:szCs w:val="21"/>
        </w:rPr>
      </w:pPr>
      <w:r>
        <w:rPr>
          <w:rFonts w:hint="eastAsia" w:ascii="宋体" w:hAnsi="宋体"/>
          <w:bCs/>
          <w:szCs w:val="21"/>
        </w:rPr>
        <w:t>③</w:t>
      </w:r>
      <w:r>
        <w:rPr>
          <w:rFonts w:ascii="宋体" w:hAnsi="宋体"/>
          <w:bCs/>
          <w:szCs w:val="21"/>
        </w:rPr>
        <w:t>因不履行岗位职责，严重影响采购人工作的。</w:t>
      </w:r>
    </w:p>
    <w:p>
      <w:pPr>
        <w:ind w:firstLine="420" w:firstLineChars="200"/>
        <w:rPr>
          <w:rFonts w:hint="eastAsia" w:ascii="宋体" w:hAnsi="宋体"/>
          <w:bCs/>
          <w:szCs w:val="21"/>
        </w:rPr>
      </w:pPr>
      <w:r>
        <w:rPr>
          <w:rFonts w:hint="eastAsia" w:ascii="宋体" w:hAnsi="宋体"/>
          <w:bCs/>
          <w:szCs w:val="21"/>
        </w:rPr>
        <w:t>（三）如果甲方逾期付款，超过10日后,每日应向乙方偿付应付款项的0.5%作为违约金；</w:t>
      </w:r>
    </w:p>
    <w:p>
      <w:pPr>
        <w:ind w:firstLine="420" w:firstLineChars="200"/>
        <w:rPr>
          <w:rFonts w:ascii="宋体" w:hAnsi="宋体"/>
          <w:bCs/>
          <w:szCs w:val="21"/>
        </w:rPr>
      </w:pPr>
      <w:r>
        <w:rPr>
          <w:rFonts w:hint="eastAsia" w:ascii="宋体" w:hAnsi="宋体"/>
          <w:bCs/>
          <w:szCs w:val="21"/>
        </w:rPr>
        <w:t>（四）甲方未能及时追究中标供应商的任何一项违约责任并不表明甲方放弃追究中标供应商该项或其他违约责任。</w:t>
      </w:r>
    </w:p>
    <w:p>
      <w:pPr>
        <w:ind w:firstLine="422" w:firstLineChars="200"/>
        <w:jc w:val="left"/>
        <w:rPr>
          <w:rFonts w:ascii="宋体" w:hAnsi="宋体"/>
          <w:b/>
          <w:bCs/>
        </w:rPr>
      </w:pPr>
      <w:r>
        <w:rPr>
          <w:rFonts w:hint="eastAsia" w:ascii="宋体" w:hAnsi="宋体"/>
          <w:b/>
          <w:bCs/>
        </w:rPr>
        <w:t>第十三条 合同的变更和终止</w:t>
      </w:r>
    </w:p>
    <w:p>
      <w:pPr>
        <w:ind w:firstLine="420" w:firstLineChars="200"/>
        <w:jc w:val="left"/>
        <w:rPr>
          <w:rFonts w:ascii="宋体" w:hAnsi="宋体"/>
          <w:bCs/>
        </w:rPr>
      </w:pPr>
      <w:r>
        <w:rPr>
          <w:rFonts w:hint="eastAsia" w:ascii="宋体" w:hAnsi="宋体"/>
          <w:bCs/>
        </w:rPr>
        <w:t>除《政府采购法》第49条、第50条第二款规定的情形外，本合同一经签订，甲乙双方不得擅自变更、中止或终止合同。</w:t>
      </w:r>
    </w:p>
    <w:p>
      <w:pPr>
        <w:ind w:firstLine="422" w:firstLineChars="200"/>
        <w:jc w:val="left"/>
        <w:rPr>
          <w:rFonts w:ascii="宋体" w:hAnsi="宋体"/>
          <w:b/>
          <w:bCs/>
        </w:rPr>
      </w:pPr>
      <w:r>
        <w:rPr>
          <w:rFonts w:hint="eastAsia" w:ascii="宋体" w:hAnsi="宋体"/>
          <w:b/>
          <w:bCs/>
        </w:rPr>
        <w:t>第十四条 合同的转让</w:t>
      </w:r>
    </w:p>
    <w:p>
      <w:pPr>
        <w:ind w:firstLine="420" w:firstLineChars="200"/>
        <w:jc w:val="left"/>
        <w:rPr>
          <w:rFonts w:ascii="宋体" w:hAnsi="宋体"/>
          <w:bCs/>
        </w:rPr>
      </w:pPr>
      <w:r>
        <w:rPr>
          <w:rFonts w:hint="eastAsia" w:ascii="宋体" w:hAnsi="宋体"/>
          <w:bCs/>
        </w:rPr>
        <w:t>中标供应商不得擅自部分或全部转让其应履行的合同义务。</w:t>
      </w:r>
    </w:p>
    <w:p>
      <w:pPr>
        <w:ind w:firstLine="422" w:firstLineChars="200"/>
        <w:jc w:val="left"/>
        <w:rPr>
          <w:rFonts w:ascii="宋体" w:hAnsi="宋体"/>
          <w:b/>
          <w:bCs/>
        </w:rPr>
      </w:pPr>
      <w:r>
        <w:rPr>
          <w:rFonts w:hint="eastAsia" w:ascii="宋体" w:hAnsi="宋体"/>
          <w:b/>
          <w:bCs/>
        </w:rPr>
        <w:t>第十五条 争议的解决</w:t>
      </w:r>
    </w:p>
    <w:p>
      <w:pPr>
        <w:ind w:firstLine="420" w:firstLineChars="200"/>
        <w:jc w:val="left"/>
        <w:rPr>
          <w:rFonts w:ascii="宋体" w:hAnsi="宋体"/>
          <w:bCs/>
        </w:rPr>
      </w:pPr>
      <w:r>
        <w:rPr>
          <w:rFonts w:hint="eastAsia" w:ascii="宋体" w:hAnsi="宋体"/>
          <w:bCs/>
        </w:rPr>
        <w:t>1、因货物的质量问题发生争议的，应当邀请国家认可的质量检测机构对货物质量进行鉴定。货物符合标准的，鉴定费由甲方承担；货物不符合质量标准的，鉴定费由中标供应商承担。</w:t>
      </w:r>
    </w:p>
    <w:p>
      <w:pPr>
        <w:ind w:firstLine="420" w:firstLineChars="200"/>
        <w:jc w:val="left"/>
        <w:rPr>
          <w:rFonts w:ascii="宋体" w:hAnsi="宋体"/>
          <w:bCs/>
        </w:rPr>
      </w:pPr>
      <w:r>
        <w:rPr>
          <w:rFonts w:hint="eastAsia" w:ascii="宋体" w:hAnsi="宋体"/>
          <w:bCs/>
        </w:rPr>
        <w:t>2.因履行本合同引起的或与本合同有关的争议，甲、乙双方应首先通过友好协商解决，如果协商不能解决争议，则采取以下第（1）种方式解决争议：</w:t>
      </w:r>
    </w:p>
    <w:p>
      <w:pPr>
        <w:ind w:firstLine="560"/>
        <w:jc w:val="left"/>
        <w:rPr>
          <w:rFonts w:ascii="宋体" w:hAnsi="宋体"/>
          <w:bCs/>
        </w:rPr>
      </w:pPr>
      <w:r>
        <w:rPr>
          <w:rFonts w:hint="eastAsia" w:ascii="宋体" w:hAnsi="宋体"/>
          <w:bCs/>
        </w:rPr>
        <w:t>（1）向甲方所在地有管辖权的人民法院提起诉讼；</w:t>
      </w:r>
    </w:p>
    <w:p>
      <w:pPr>
        <w:ind w:firstLine="560"/>
        <w:jc w:val="left"/>
        <w:rPr>
          <w:rFonts w:ascii="宋体" w:hAnsi="宋体"/>
          <w:bCs/>
        </w:rPr>
      </w:pPr>
      <w:r>
        <w:rPr>
          <w:rFonts w:hint="eastAsia" w:ascii="宋体" w:hAnsi="宋体"/>
          <w:bCs/>
        </w:rPr>
        <w:t>（2）向南京市仲裁委员会按其仲裁规则申请仲裁。</w:t>
      </w:r>
    </w:p>
    <w:p>
      <w:pPr>
        <w:ind w:firstLine="420" w:firstLineChars="200"/>
        <w:jc w:val="left"/>
        <w:rPr>
          <w:rFonts w:ascii="宋体" w:hAnsi="宋体"/>
          <w:bCs/>
        </w:rPr>
      </w:pPr>
      <w:r>
        <w:rPr>
          <w:rFonts w:hint="eastAsia" w:ascii="宋体" w:hAnsi="宋体"/>
          <w:bCs/>
        </w:rPr>
        <w:t>3.在仲裁期间，本合同应继续履行。</w:t>
      </w:r>
    </w:p>
    <w:p>
      <w:pPr>
        <w:ind w:firstLine="422" w:firstLineChars="200"/>
        <w:jc w:val="left"/>
        <w:rPr>
          <w:rFonts w:ascii="宋体" w:hAnsi="宋体"/>
          <w:b/>
          <w:bCs/>
        </w:rPr>
      </w:pPr>
      <w:r>
        <w:rPr>
          <w:rFonts w:hint="eastAsia" w:ascii="宋体" w:hAnsi="宋体"/>
          <w:b/>
          <w:bCs/>
        </w:rPr>
        <w:t>第十六条 诚实信用</w:t>
      </w:r>
    </w:p>
    <w:p>
      <w:pPr>
        <w:ind w:firstLine="420" w:firstLineChars="200"/>
        <w:jc w:val="left"/>
        <w:rPr>
          <w:rFonts w:ascii="宋体" w:hAnsi="宋体"/>
          <w:bCs/>
        </w:rPr>
      </w:pPr>
      <w:r>
        <w:rPr>
          <w:rFonts w:hint="eastAsia" w:ascii="宋体" w:hAnsi="宋体"/>
          <w:bCs/>
        </w:rPr>
        <w:t>中标供应商应诚实信用，严格按照招标文件要求和投标承诺履行合同，不向甲方进行商业贿赂或者提供其他不正当利益。</w:t>
      </w:r>
    </w:p>
    <w:p>
      <w:pPr>
        <w:ind w:firstLine="422" w:firstLineChars="200"/>
        <w:jc w:val="left"/>
        <w:rPr>
          <w:rFonts w:ascii="宋体" w:hAnsi="宋体"/>
          <w:b/>
          <w:bCs/>
        </w:rPr>
      </w:pPr>
      <w:r>
        <w:rPr>
          <w:rFonts w:hint="eastAsia" w:ascii="宋体" w:hAnsi="宋体"/>
          <w:b/>
          <w:bCs/>
        </w:rPr>
        <w:t>第十七条 合同生效及其他</w:t>
      </w:r>
    </w:p>
    <w:p>
      <w:pPr>
        <w:ind w:firstLine="420" w:firstLineChars="200"/>
        <w:jc w:val="left"/>
        <w:rPr>
          <w:rFonts w:ascii="宋体" w:hAnsi="宋体"/>
          <w:bCs/>
        </w:rPr>
      </w:pPr>
      <w:r>
        <w:rPr>
          <w:rFonts w:hint="eastAsia" w:ascii="宋体" w:hAnsi="宋体"/>
          <w:bCs/>
        </w:rPr>
        <w:t>1.本合同自签订之日起生效。</w:t>
      </w:r>
    </w:p>
    <w:p>
      <w:pPr>
        <w:ind w:firstLine="420" w:firstLineChars="200"/>
        <w:jc w:val="left"/>
        <w:rPr>
          <w:rFonts w:ascii="宋体" w:hAnsi="宋体"/>
          <w:bCs/>
        </w:rPr>
      </w:pPr>
      <w:r>
        <w:rPr>
          <w:rFonts w:hint="eastAsia" w:ascii="宋体" w:hAnsi="宋体"/>
          <w:bCs/>
        </w:rPr>
        <w:t>2.本合同一式四份，甲乙双方各执一份，区政府采购中心一份，报区政府采购监管部门备案一份。</w:t>
      </w:r>
    </w:p>
    <w:p>
      <w:pPr>
        <w:spacing w:line="360" w:lineRule="auto"/>
        <w:ind w:firstLine="420" w:firstLineChars="200"/>
        <w:rPr>
          <w:rFonts w:ascii="宋体" w:hAnsi="宋体"/>
          <w:kern w:val="0"/>
          <w:szCs w:val="21"/>
          <w:lang w:val="zh-CN"/>
        </w:rPr>
      </w:pPr>
      <w:r>
        <w:rPr>
          <w:rFonts w:hint="eastAsia" w:ascii="宋体" w:hAnsi="宋体"/>
          <w:bCs/>
          <w:lang w:val="en-US" w:eastAsia="zh-CN"/>
        </w:rPr>
        <w:t>3</w:t>
      </w:r>
      <w:r>
        <w:rPr>
          <w:rFonts w:hint="eastAsia" w:ascii="宋体" w:hAnsi="宋体"/>
          <w:bCs/>
        </w:rPr>
        <w:t>.本合同应按照中华人民共和国现行法律进行解释。</w:t>
      </w:r>
    </w:p>
    <w:p>
      <w:pPr>
        <w:spacing w:line="360" w:lineRule="auto"/>
        <w:ind w:firstLine="420" w:firstLineChars="200"/>
        <w:rPr>
          <w:rFonts w:ascii="宋体" w:hAnsi="宋体"/>
          <w:kern w:val="0"/>
          <w:szCs w:val="21"/>
          <w:lang w:val="zh-CN"/>
        </w:rPr>
      </w:pPr>
    </w:p>
    <w:tbl>
      <w:tblPr>
        <w:tblStyle w:val="30"/>
        <w:tblW w:w="0" w:type="auto"/>
        <w:tblInd w:w="-108" w:type="dxa"/>
        <w:tblLayout w:type="fixed"/>
        <w:tblCellMar>
          <w:top w:w="0" w:type="dxa"/>
          <w:left w:w="0" w:type="dxa"/>
          <w:bottom w:w="0" w:type="dxa"/>
          <w:right w:w="0" w:type="dxa"/>
        </w:tblCellMar>
      </w:tblPr>
      <w:tblGrid>
        <w:gridCol w:w="4643"/>
        <w:gridCol w:w="4643"/>
      </w:tblGrid>
      <w:tr>
        <w:tblPrEx>
          <w:tblCellMar>
            <w:top w:w="0" w:type="dxa"/>
            <w:left w:w="0" w:type="dxa"/>
            <w:bottom w:w="0" w:type="dxa"/>
            <w:right w:w="0" w:type="dxa"/>
          </w:tblCellMar>
        </w:tblPrEx>
        <w:trPr>
          <w:trHeight w:val="1192" w:hRule="atLeast"/>
        </w:trPr>
        <w:tc>
          <w:tcPr>
            <w:tcW w:w="4643" w:type="dxa"/>
            <w:tcBorders>
              <w:top w:val="nil"/>
              <w:left w:val="nil"/>
              <w:bottom w:val="nil"/>
              <w:right w:val="nil"/>
            </w:tcBorders>
            <w:noWrap w:val="0"/>
            <w:vAlign w:val="top"/>
          </w:tcPr>
          <w:p>
            <w:pPr>
              <w:spacing w:line="360" w:lineRule="auto"/>
              <w:rPr>
                <w:rFonts w:ascii="宋体" w:hAnsi="宋体"/>
                <w:kern w:val="0"/>
                <w:szCs w:val="21"/>
                <w:lang w:val="zh-CN"/>
              </w:rPr>
            </w:pPr>
          </w:p>
          <w:p>
            <w:pPr>
              <w:spacing w:line="360" w:lineRule="auto"/>
              <w:ind w:firstLine="420" w:firstLineChars="200"/>
              <w:rPr>
                <w:rFonts w:ascii="宋体" w:hAnsi="宋体"/>
                <w:kern w:val="0"/>
                <w:szCs w:val="21"/>
                <w:lang w:val="zh-CN"/>
              </w:rPr>
            </w:pPr>
            <w:r>
              <w:rPr>
                <w:rFonts w:hint="eastAsia" w:ascii="宋体" w:hAnsi="宋体"/>
                <w:kern w:val="0"/>
                <w:szCs w:val="21"/>
                <w:lang w:val="zh-CN"/>
              </w:rPr>
              <w:t>甲方（</w:t>
            </w:r>
            <w:r>
              <w:rPr>
                <w:rFonts w:hint="eastAsia" w:ascii="宋体" w:hAnsi="宋体"/>
                <w:kern w:val="0"/>
                <w:szCs w:val="21"/>
                <w:lang w:val="en-US" w:eastAsia="zh-CN"/>
              </w:rPr>
              <w:t>采购人</w:t>
            </w:r>
            <w:r>
              <w:rPr>
                <w:rFonts w:hint="eastAsia" w:ascii="宋体" w:hAnsi="宋体"/>
                <w:kern w:val="0"/>
                <w:szCs w:val="21"/>
                <w:lang w:val="zh-CN"/>
              </w:rPr>
              <w:t>）：（盖章）</w:t>
            </w:r>
          </w:p>
        </w:tc>
        <w:tc>
          <w:tcPr>
            <w:tcW w:w="4643" w:type="dxa"/>
            <w:tcBorders>
              <w:top w:val="nil"/>
              <w:left w:val="nil"/>
              <w:bottom w:val="nil"/>
              <w:right w:val="nil"/>
            </w:tcBorders>
            <w:noWrap w:val="0"/>
            <w:vAlign w:val="top"/>
          </w:tcPr>
          <w:p>
            <w:pPr>
              <w:spacing w:line="360" w:lineRule="auto"/>
              <w:rPr>
                <w:rFonts w:ascii="宋体" w:hAnsi="宋体"/>
                <w:kern w:val="0"/>
                <w:szCs w:val="21"/>
                <w:lang w:val="zh-CN"/>
              </w:rPr>
            </w:pPr>
          </w:p>
          <w:p>
            <w:pPr>
              <w:spacing w:line="360" w:lineRule="auto"/>
              <w:ind w:firstLine="420" w:firstLineChars="200"/>
              <w:rPr>
                <w:rFonts w:ascii="宋体" w:hAnsi="宋体"/>
                <w:kern w:val="0"/>
                <w:szCs w:val="21"/>
                <w:lang w:val="zh-CN"/>
              </w:rPr>
            </w:pPr>
            <w:r>
              <w:rPr>
                <w:rFonts w:hint="eastAsia" w:ascii="宋体" w:hAnsi="宋体"/>
                <w:kern w:val="0"/>
                <w:szCs w:val="21"/>
                <w:lang w:val="zh-CN"/>
              </w:rPr>
              <w:t>乙方（</w:t>
            </w:r>
            <w:r>
              <w:rPr>
                <w:rFonts w:hint="eastAsia" w:ascii="宋体" w:hAnsi="宋体"/>
                <w:kern w:val="0"/>
                <w:szCs w:val="21"/>
                <w:lang w:val="en-US" w:eastAsia="zh-CN"/>
              </w:rPr>
              <w:t>供应商</w:t>
            </w:r>
            <w:r>
              <w:rPr>
                <w:rFonts w:hint="eastAsia" w:ascii="宋体" w:hAnsi="宋体"/>
                <w:kern w:val="0"/>
                <w:szCs w:val="21"/>
                <w:lang w:val="zh-CN"/>
              </w:rPr>
              <w:t>）：（盖章）</w:t>
            </w: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spacing w:line="360" w:lineRule="auto"/>
              <w:ind w:firstLine="420" w:firstLineChars="200"/>
              <w:rPr>
                <w:rFonts w:ascii="宋体" w:hAnsi="宋体"/>
                <w:kern w:val="0"/>
                <w:szCs w:val="21"/>
                <w:lang w:val="zh-CN"/>
              </w:rPr>
            </w:pPr>
            <w:r>
              <w:rPr>
                <w:rFonts w:hint="eastAsia" w:ascii="宋体" w:hAnsi="宋体"/>
                <w:kern w:val="0"/>
                <w:szCs w:val="21"/>
                <w:lang w:val="zh-CN"/>
              </w:rPr>
              <w:t>代表人：</w:t>
            </w:r>
          </w:p>
        </w:tc>
        <w:tc>
          <w:tcPr>
            <w:tcW w:w="4643" w:type="dxa"/>
            <w:tcBorders>
              <w:top w:val="nil"/>
              <w:left w:val="nil"/>
              <w:bottom w:val="nil"/>
              <w:right w:val="nil"/>
            </w:tcBorders>
            <w:noWrap w:val="0"/>
            <w:vAlign w:val="top"/>
          </w:tcPr>
          <w:p>
            <w:pPr>
              <w:spacing w:line="360" w:lineRule="auto"/>
              <w:ind w:firstLine="420" w:firstLineChars="200"/>
              <w:rPr>
                <w:rFonts w:ascii="宋体" w:hAnsi="宋体"/>
                <w:kern w:val="0"/>
                <w:szCs w:val="21"/>
                <w:lang w:val="zh-CN"/>
              </w:rPr>
            </w:pPr>
            <w:r>
              <w:rPr>
                <w:rFonts w:hint="eastAsia" w:ascii="宋体" w:hAnsi="宋体"/>
                <w:kern w:val="0"/>
                <w:szCs w:val="21"/>
                <w:lang w:val="zh-CN"/>
              </w:rPr>
              <w:t>代表人：</w:t>
            </w: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spacing w:line="360" w:lineRule="auto"/>
              <w:ind w:firstLine="420" w:firstLineChars="200"/>
              <w:rPr>
                <w:rFonts w:ascii="宋体" w:hAnsi="宋体"/>
                <w:kern w:val="0"/>
                <w:szCs w:val="21"/>
                <w:lang w:val="zh-CN"/>
              </w:rPr>
            </w:pPr>
            <w:r>
              <w:rPr>
                <w:rFonts w:hint="eastAsia" w:ascii="宋体" w:hAnsi="宋体"/>
                <w:kern w:val="0"/>
                <w:szCs w:val="21"/>
                <w:lang w:val="zh-CN"/>
              </w:rPr>
              <w:t>电    话：</w:t>
            </w:r>
          </w:p>
        </w:tc>
        <w:tc>
          <w:tcPr>
            <w:tcW w:w="4643" w:type="dxa"/>
            <w:tcBorders>
              <w:top w:val="nil"/>
              <w:left w:val="nil"/>
              <w:bottom w:val="nil"/>
              <w:right w:val="nil"/>
            </w:tcBorders>
            <w:noWrap w:val="0"/>
            <w:vAlign w:val="top"/>
          </w:tcPr>
          <w:p>
            <w:pPr>
              <w:spacing w:line="360" w:lineRule="auto"/>
              <w:ind w:firstLine="420" w:firstLineChars="200"/>
              <w:rPr>
                <w:rFonts w:ascii="宋体" w:hAnsi="宋体"/>
                <w:kern w:val="0"/>
                <w:szCs w:val="21"/>
                <w:lang w:val="zh-CN"/>
              </w:rPr>
            </w:pPr>
            <w:r>
              <w:rPr>
                <w:rFonts w:hint="eastAsia" w:ascii="宋体" w:hAnsi="宋体"/>
                <w:kern w:val="0"/>
                <w:szCs w:val="21"/>
                <w:lang w:val="zh-CN"/>
              </w:rPr>
              <w:t>电    话：</w:t>
            </w: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spacing w:line="360" w:lineRule="auto"/>
              <w:ind w:firstLine="420" w:firstLineChars="200"/>
              <w:rPr>
                <w:rFonts w:ascii="宋体" w:hAnsi="宋体"/>
                <w:kern w:val="0"/>
                <w:szCs w:val="21"/>
                <w:lang w:val="zh-CN"/>
              </w:rPr>
            </w:pPr>
            <w:r>
              <w:rPr>
                <w:rFonts w:hint="eastAsia" w:ascii="宋体" w:hAnsi="宋体"/>
                <w:kern w:val="0"/>
                <w:szCs w:val="21"/>
                <w:lang w:val="zh-CN"/>
              </w:rPr>
              <w:t>开户银行：</w:t>
            </w:r>
          </w:p>
        </w:tc>
        <w:tc>
          <w:tcPr>
            <w:tcW w:w="4643" w:type="dxa"/>
            <w:tcBorders>
              <w:top w:val="nil"/>
              <w:left w:val="nil"/>
              <w:bottom w:val="nil"/>
              <w:right w:val="nil"/>
            </w:tcBorders>
            <w:noWrap w:val="0"/>
            <w:vAlign w:val="top"/>
          </w:tcPr>
          <w:p>
            <w:pPr>
              <w:spacing w:line="360" w:lineRule="auto"/>
              <w:ind w:firstLine="420" w:firstLineChars="200"/>
              <w:rPr>
                <w:rFonts w:ascii="宋体" w:hAnsi="宋体"/>
                <w:kern w:val="0"/>
                <w:szCs w:val="21"/>
                <w:lang w:val="zh-CN"/>
              </w:rPr>
            </w:pPr>
            <w:r>
              <w:rPr>
                <w:rFonts w:hint="eastAsia" w:ascii="宋体" w:hAnsi="宋体"/>
                <w:kern w:val="0"/>
                <w:szCs w:val="21"/>
                <w:lang w:val="zh-CN"/>
              </w:rPr>
              <w:t>开户银行：</w:t>
            </w:r>
          </w:p>
        </w:tc>
      </w:tr>
      <w:tr>
        <w:tblPrEx>
          <w:tblCellMar>
            <w:top w:w="0" w:type="dxa"/>
            <w:left w:w="0" w:type="dxa"/>
            <w:bottom w:w="0" w:type="dxa"/>
            <w:right w:w="0" w:type="dxa"/>
          </w:tblCellMar>
        </w:tblPrEx>
        <w:tc>
          <w:tcPr>
            <w:tcW w:w="4643" w:type="dxa"/>
            <w:tcBorders>
              <w:top w:val="nil"/>
              <w:left w:val="nil"/>
              <w:bottom w:val="nil"/>
              <w:right w:val="nil"/>
            </w:tcBorders>
            <w:noWrap w:val="0"/>
            <w:vAlign w:val="top"/>
          </w:tcPr>
          <w:p>
            <w:pPr>
              <w:spacing w:line="360" w:lineRule="auto"/>
              <w:ind w:firstLine="420" w:firstLineChars="200"/>
              <w:rPr>
                <w:rFonts w:ascii="宋体" w:hAnsi="宋体"/>
                <w:kern w:val="0"/>
                <w:szCs w:val="21"/>
                <w:lang w:val="zh-CN"/>
              </w:rPr>
            </w:pPr>
            <w:r>
              <w:rPr>
                <w:rFonts w:hint="eastAsia" w:ascii="宋体" w:hAnsi="宋体"/>
                <w:kern w:val="0"/>
                <w:szCs w:val="21"/>
                <w:lang w:val="zh-CN"/>
              </w:rPr>
              <w:t>帐    号：</w:t>
            </w:r>
          </w:p>
        </w:tc>
        <w:tc>
          <w:tcPr>
            <w:tcW w:w="4643" w:type="dxa"/>
            <w:tcBorders>
              <w:top w:val="nil"/>
              <w:left w:val="nil"/>
              <w:bottom w:val="nil"/>
              <w:right w:val="nil"/>
            </w:tcBorders>
            <w:noWrap w:val="0"/>
            <w:vAlign w:val="top"/>
          </w:tcPr>
          <w:p>
            <w:pPr>
              <w:spacing w:line="360" w:lineRule="auto"/>
              <w:ind w:firstLine="420" w:firstLineChars="200"/>
              <w:rPr>
                <w:rFonts w:ascii="宋体" w:hAnsi="宋体"/>
                <w:kern w:val="0"/>
                <w:szCs w:val="21"/>
                <w:lang w:val="zh-CN"/>
              </w:rPr>
            </w:pPr>
            <w:r>
              <w:rPr>
                <w:rFonts w:hint="eastAsia" w:ascii="宋体" w:hAnsi="宋体"/>
                <w:kern w:val="0"/>
                <w:szCs w:val="21"/>
                <w:lang w:val="zh-CN"/>
              </w:rPr>
              <w:t>帐    号：</w:t>
            </w:r>
          </w:p>
          <w:p>
            <w:pPr>
              <w:spacing w:line="360" w:lineRule="auto"/>
              <w:ind w:firstLine="420" w:firstLineChars="200"/>
              <w:rPr>
                <w:rFonts w:ascii="宋体" w:hAnsi="宋体"/>
                <w:kern w:val="0"/>
                <w:szCs w:val="21"/>
                <w:lang w:val="zh-CN"/>
              </w:rPr>
            </w:pPr>
          </w:p>
        </w:tc>
      </w:tr>
      <w:tr>
        <w:tblPrEx>
          <w:tblCellMar>
            <w:top w:w="0" w:type="dxa"/>
            <w:left w:w="0" w:type="dxa"/>
            <w:bottom w:w="0" w:type="dxa"/>
            <w:right w:w="0" w:type="dxa"/>
          </w:tblCellMar>
        </w:tblPrEx>
        <w:trPr>
          <w:trHeight w:val="90" w:hRule="atLeast"/>
        </w:trPr>
        <w:tc>
          <w:tcPr>
            <w:tcW w:w="4643" w:type="dxa"/>
            <w:tcBorders>
              <w:top w:val="nil"/>
              <w:left w:val="nil"/>
              <w:bottom w:val="nil"/>
              <w:right w:val="nil"/>
            </w:tcBorders>
            <w:noWrap w:val="0"/>
            <w:vAlign w:val="top"/>
          </w:tcPr>
          <w:p>
            <w:pPr>
              <w:spacing w:line="360" w:lineRule="auto"/>
              <w:rPr>
                <w:rFonts w:ascii="宋体" w:hAnsi="宋体"/>
                <w:kern w:val="0"/>
                <w:szCs w:val="21"/>
                <w:lang w:val="zh-CN"/>
              </w:rPr>
            </w:pPr>
          </w:p>
        </w:tc>
        <w:tc>
          <w:tcPr>
            <w:tcW w:w="4643" w:type="dxa"/>
            <w:tcBorders>
              <w:top w:val="nil"/>
              <w:left w:val="nil"/>
              <w:bottom w:val="nil"/>
              <w:right w:val="nil"/>
            </w:tcBorders>
            <w:noWrap w:val="0"/>
            <w:vAlign w:val="top"/>
          </w:tcPr>
          <w:p>
            <w:pPr>
              <w:widowControl/>
              <w:adjustRightInd w:val="0"/>
              <w:spacing w:line="400" w:lineRule="exact"/>
              <w:jc w:val="left"/>
              <w:rPr>
                <w:rFonts w:ascii="仿宋" w:hAnsi="仿宋" w:eastAsia="仿宋" w:cs="仿宋"/>
                <w:color w:val="000000"/>
                <w:kern w:val="0"/>
                <w:szCs w:val="21"/>
                <w:lang w:val="zh-CN"/>
              </w:rPr>
            </w:pPr>
          </w:p>
        </w:tc>
      </w:tr>
      <w:tr>
        <w:tblPrEx>
          <w:tblCellMar>
            <w:top w:w="0" w:type="dxa"/>
            <w:left w:w="0" w:type="dxa"/>
            <w:bottom w:w="0" w:type="dxa"/>
            <w:right w:w="0" w:type="dxa"/>
          </w:tblCellMar>
        </w:tblPrEx>
        <w:trPr>
          <w:trHeight w:val="546" w:hRule="atLeast"/>
        </w:trPr>
        <w:tc>
          <w:tcPr>
            <w:tcW w:w="4643" w:type="dxa"/>
            <w:tcBorders>
              <w:top w:val="nil"/>
              <w:left w:val="nil"/>
              <w:bottom w:val="nil"/>
              <w:right w:val="nil"/>
            </w:tcBorders>
            <w:noWrap w:val="0"/>
            <w:vAlign w:val="top"/>
          </w:tcPr>
          <w:p>
            <w:pPr>
              <w:spacing w:line="360" w:lineRule="auto"/>
              <w:ind w:firstLine="420" w:firstLineChars="200"/>
              <w:rPr>
                <w:rFonts w:ascii="宋体" w:hAnsi="宋体"/>
                <w:kern w:val="0"/>
                <w:szCs w:val="21"/>
                <w:lang w:val="zh-CN"/>
              </w:rPr>
            </w:pPr>
            <w:r>
              <w:rPr>
                <w:rFonts w:hint="eastAsia" w:ascii="宋体" w:hAnsi="宋体"/>
                <w:kern w:val="0"/>
                <w:szCs w:val="21"/>
                <w:lang w:val="zh-CN"/>
              </w:rPr>
              <w:t>日      期：     年    月    日</w:t>
            </w:r>
          </w:p>
        </w:tc>
        <w:tc>
          <w:tcPr>
            <w:tcW w:w="4643" w:type="dxa"/>
            <w:tcBorders>
              <w:top w:val="nil"/>
              <w:left w:val="nil"/>
              <w:bottom w:val="nil"/>
              <w:right w:val="nil"/>
            </w:tcBorders>
            <w:noWrap w:val="0"/>
            <w:vAlign w:val="top"/>
          </w:tcPr>
          <w:p>
            <w:pPr>
              <w:widowControl/>
              <w:adjustRightInd w:val="0"/>
              <w:spacing w:line="400" w:lineRule="exact"/>
              <w:jc w:val="left"/>
              <w:rPr>
                <w:rFonts w:ascii="仿宋" w:hAnsi="仿宋" w:eastAsia="仿宋" w:cs="仿宋"/>
                <w:color w:val="000000"/>
                <w:kern w:val="0"/>
                <w:szCs w:val="21"/>
                <w:lang w:val="zh-CN"/>
              </w:rPr>
            </w:pPr>
          </w:p>
        </w:tc>
      </w:tr>
    </w:tbl>
    <w:p/>
    <w:p/>
    <w:p/>
    <w:p/>
    <w:p/>
    <w:p/>
    <w:p>
      <w:pPr>
        <w:numPr>
          <w:ilvl w:val="0"/>
          <w:numId w:val="0"/>
        </w:numPr>
        <w:spacing w:line="360" w:lineRule="auto"/>
        <w:jc w:val="both"/>
        <w:rPr>
          <w:rStyle w:val="38"/>
          <w:rFonts w:hint="eastAsia" w:hAnsi="宋体" w:eastAsia="宋体"/>
          <w:szCs w:val="36"/>
        </w:rPr>
      </w:pPr>
      <w:r>
        <w:br w:type="page"/>
      </w:r>
      <w:bookmarkEnd w:id="72"/>
      <w:bookmarkEnd w:id="73"/>
      <w:bookmarkEnd w:id="74"/>
      <w:bookmarkEnd w:id="75"/>
    </w:p>
    <w:p>
      <w:pPr>
        <w:tabs>
          <w:tab w:val="center" w:pos="4567"/>
        </w:tabs>
        <w:autoSpaceDE w:val="0"/>
        <w:autoSpaceDN w:val="0"/>
        <w:adjustRightInd w:val="0"/>
        <w:spacing w:line="480" w:lineRule="auto"/>
        <w:jc w:val="center"/>
        <w:outlineLvl w:val="0"/>
        <w:rPr>
          <w:rFonts w:hint="eastAsia" w:ascii="黑体" w:hAnsi="宋体" w:eastAsia="黑体"/>
          <w:b/>
          <w:sz w:val="32"/>
          <w:szCs w:val="32"/>
        </w:rPr>
      </w:pPr>
      <w:bookmarkStart w:id="76" w:name="_Toc484463040"/>
      <w:bookmarkStart w:id="77" w:name="_Toc513644730"/>
      <w:r>
        <w:rPr>
          <w:rFonts w:hint="eastAsia" w:ascii="黑体" w:hAnsi="宋体" w:eastAsia="黑体"/>
          <w:b/>
          <w:sz w:val="32"/>
          <w:szCs w:val="32"/>
        </w:rPr>
        <w:t>第</w:t>
      </w:r>
      <w:r>
        <w:rPr>
          <w:rFonts w:hint="eastAsia" w:ascii="黑体" w:hAnsi="宋体" w:eastAsia="黑体"/>
          <w:b/>
          <w:sz w:val="32"/>
          <w:szCs w:val="32"/>
          <w:lang w:val="en-US" w:eastAsia="zh-CN"/>
        </w:rPr>
        <w:t>五</w:t>
      </w:r>
      <w:r>
        <w:rPr>
          <w:rFonts w:hint="eastAsia" w:ascii="黑体" w:hAnsi="宋体" w:eastAsia="黑体"/>
          <w:b/>
          <w:sz w:val="32"/>
          <w:szCs w:val="32"/>
        </w:rPr>
        <w:t>章、投标书</w:t>
      </w:r>
      <w:bookmarkEnd w:id="76"/>
      <w:bookmarkEnd w:id="77"/>
    </w:p>
    <w:p>
      <w:pPr>
        <w:pStyle w:val="2"/>
        <w:numPr>
          <w:ilvl w:val="0"/>
          <w:numId w:val="0"/>
        </w:numPr>
        <w:rPr>
          <w:rFonts w:hint="eastAsia"/>
        </w:rPr>
      </w:pPr>
    </w:p>
    <w:p>
      <w:pPr>
        <w:pStyle w:val="102"/>
        <w:ind w:firstLine="420"/>
        <w:rPr>
          <w:rFonts w:hint="eastAsia" w:ascii="黑体" w:eastAsia="黑体"/>
          <w:sz w:val="30"/>
          <w:szCs w:val="30"/>
          <w:lang w:val="zh-CN"/>
        </w:rPr>
      </w:pPr>
      <w:r>
        <w:rPr>
          <w:rFonts w:hint="eastAsia" w:ascii="黑体" w:eastAsia="黑体"/>
          <w:sz w:val="30"/>
          <w:szCs w:val="30"/>
          <w:lang w:val="zh-CN"/>
        </w:rPr>
        <w:t>（此页为标书封面格式，制作标书时，删除本行文字）</w:t>
      </w:r>
    </w:p>
    <w:p>
      <w:pPr>
        <w:pStyle w:val="102"/>
        <w:ind w:firstLine="0" w:firstLineChars="0"/>
        <w:jc w:val="center"/>
        <w:rPr>
          <w:rFonts w:hint="eastAsia" w:ascii="黑体" w:eastAsia="黑体" w:cs="仿宋_GB2312"/>
          <w:sz w:val="30"/>
          <w:szCs w:val="30"/>
          <w:lang w:val="zh-CN"/>
        </w:rPr>
      </w:pPr>
    </w:p>
    <w:p>
      <w:pPr>
        <w:pStyle w:val="102"/>
        <w:ind w:firstLine="0" w:firstLineChars="0"/>
        <w:jc w:val="center"/>
        <w:rPr>
          <w:rFonts w:hint="eastAsia" w:ascii="黑体" w:eastAsia="黑体" w:cs="仿宋_GB2312"/>
          <w:sz w:val="30"/>
          <w:szCs w:val="30"/>
          <w:lang w:val="zh-CN"/>
        </w:rPr>
      </w:pPr>
    </w:p>
    <w:p>
      <w:pPr>
        <w:pStyle w:val="102"/>
        <w:ind w:firstLine="0" w:firstLineChars="0"/>
        <w:jc w:val="center"/>
        <w:rPr>
          <w:rFonts w:hint="eastAsia" w:ascii="黑体" w:eastAsia="黑体"/>
          <w:sz w:val="30"/>
          <w:szCs w:val="30"/>
          <w:lang w:val="zh-CN"/>
        </w:rPr>
      </w:pPr>
      <w:r>
        <w:rPr>
          <w:rFonts w:hint="eastAsia" w:ascii="黑体" w:eastAsia="黑体"/>
          <w:sz w:val="30"/>
          <w:szCs w:val="30"/>
          <w:lang w:val="zh-CN"/>
        </w:rPr>
        <w:t>投   标   书</w:t>
      </w:r>
    </w:p>
    <w:p>
      <w:pPr>
        <w:pStyle w:val="102"/>
        <w:ind w:firstLine="0" w:firstLineChars="0"/>
        <w:jc w:val="center"/>
        <w:rPr>
          <w:rFonts w:hint="eastAsia" w:ascii="黑体" w:eastAsia="黑体" w:cs="宋体"/>
          <w:sz w:val="30"/>
          <w:szCs w:val="30"/>
          <w:lang w:val="zh-CN"/>
        </w:rPr>
      </w:pPr>
      <w:r>
        <w:rPr>
          <w:rFonts w:hint="eastAsia" w:ascii="黑体" w:eastAsia="黑体" w:cs="宋体"/>
          <w:sz w:val="30"/>
          <w:szCs w:val="30"/>
          <w:lang w:val="zh-CN"/>
        </w:rPr>
        <w:t>（请在此位置标明“正本”或“副本”字样）</w:t>
      </w:r>
    </w:p>
    <w:p>
      <w:pPr>
        <w:pStyle w:val="102"/>
        <w:ind w:firstLine="0" w:firstLineChars="0"/>
        <w:jc w:val="center"/>
        <w:rPr>
          <w:rFonts w:hint="eastAsia" w:ascii="黑体" w:eastAsia="黑体"/>
          <w:sz w:val="30"/>
          <w:szCs w:val="30"/>
          <w:lang w:val="zh-CN"/>
        </w:rPr>
      </w:pPr>
    </w:p>
    <w:p>
      <w:pPr>
        <w:pStyle w:val="102"/>
        <w:ind w:firstLine="0" w:firstLineChars="0"/>
        <w:jc w:val="center"/>
        <w:rPr>
          <w:rFonts w:hint="eastAsia" w:ascii="黑体" w:eastAsia="黑体"/>
          <w:sz w:val="30"/>
          <w:szCs w:val="30"/>
          <w:lang w:val="zh-CN"/>
        </w:rPr>
      </w:pPr>
    </w:p>
    <w:p>
      <w:pPr>
        <w:pStyle w:val="102"/>
        <w:ind w:firstLine="1200" w:firstLineChars="400"/>
        <w:rPr>
          <w:rFonts w:hint="eastAsia" w:ascii="黑体" w:hAnsi="Arial" w:eastAsia="黑体"/>
          <w:sz w:val="30"/>
          <w:szCs w:val="30"/>
          <w:lang w:eastAsia="zh-CN"/>
        </w:rPr>
      </w:pPr>
      <w:r>
        <w:rPr>
          <w:rFonts w:hint="eastAsia" w:ascii="黑体" w:hAnsi="Arial" w:eastAsia="黑体"/>
          <w:sz w:val="30"/>
          <w:szCs w:val="30"/>
        </w:rPr>
        <w:t>项目编号：</w:t>
      </w:r>
    </w:p>
    <w:p>
      <w:pPr>
        <w:pStyle w:val="102"/>
        <w:ind w:firstLine="1200" w:firstLineChars="400"/>
        <w:jc w:val="left"/>
        <w:rPr>
          <w:rFonts w:hint="eastAsia" w:ascii="黑体" w:hAnsi="Arial" w:eastAsia="黑体"/>
          <w:sz w:val="30"/>
          <w:szCs w:val="30"/>
          <w:u w:val="single"/>
          <w:lang w:val="zh-CN"/>
        </w:rPr>
      </w:pPr>
      <w:r>
        <w:rPr>
          <w:rFonts w:hint="eastAsia" w:ascii="黑体" w:hAnsi="Arial" w:eastAsia="黑体"/>
          <w:sz w:val="30"/>
          <w:szCs w:val="30"/>
        </w:rPr>
        <w:t>项目名称：</w:t>
      </w:r>
    </w:p>
    <w:p>
      <w:pPr>
        <w:pStyle w:val="102"/>
        <w:ind w:firstLine="1230" w:firstLineChars="410"/>
        <w:rPr>
          <w:rFonts w:hint="eastAsia" w:ascii="黑体" w:eastAsia="黑体" w:cs="仿宋_GB2312"/>
          <w:sz w:val="30"/>
          <w:szCs w:val="30"/>
          <w:lang w:val="zh-CN"/>
        </w:rPr>
      </w:pPr>
      <w:r>
        <w:rPr>
          <w:rFonts w:hint="eastAsia" w:ascii="黑体" w:eastAsia="黑体"/>
          <w:sz w:val="30"/>
          <w:szCs w:val="30"/>
          <w:lang w:val="zh-CN"/>
        </w:rPr>
        <w:t>投</w:t>
      </w:r>
      <w:r>
        <w:rPr>
          <w:rFonts w:hint="eastAsia" w:ascii="黑体" w:eastAsia="黑体" w:cs="仿宋_GB2312"/>
          <w:sz w:val="30"/>
          <w:szCs w:val="30"/>
          <w:lang w:val="zh-CN"/>
        </w:rPr>
        <w:t xml:space="preserve"> </w:t>
      </w:r>
      <w:r>
        <w:rPr>
          <w:rFonts w:hint="eastAsia" w:ascii="黑体" w:eastAsia="黑体"/>
          <w:sz w:val="30"/>
          <w:szCs w:val="30"/>
          <w:lang w:val="zh-CN"/>
        </w:rPr>
        <w:t>标</w:t>
      </w:r>
      <w:r>
        <w:rPr>
          <w:rFonts w:hint="eastAsia" w:ascii="黑体" w:eastAsia="黑体" w:cs="仿宋_GB2312"/>
          <w:sz w:val="30"/>
          <w:szCs w:val="30"/>
          <w:lang w:val="zh-CN"/>
        </w:rPr>
        <w:t xml:space="preserve"> </w:t>
      </w:r>
      <w:r>
        <w:rPr>
          <w:rFonts w:hint="eastAsia" w:ascii="黑体" w:eastAsia="黑体"/>
          <w:sz w:val="30"/>
          <w:szCs w:val="30"/>
          <w:lang w:val="zh-CN"/>
        </w:rPr>
        <w:t>人（盖章）：</w:t>
      </w:r>
    </w:p>
    <w:p>
      <w:pPr>
        <w:pStyle w:val="102"/>
        <w:ind w:firstLine="1230" w:firstLineChars="410"/>
        <w:rPr>
          <w:rFonts w:hint="eastAsia" w:ascii="黑体" w:eastAsia="黑体" w:cs="仿宋_GB2312"/>
          <w:sz w:val="30"/>
          <w:szCs w:val="30"/>
          <w:lang w:val="zh-CN"/>
        </w:rPr>
      </w:pPr>
      <w:r>
        <w:rPr>
          <w:rFonts w:hint="eastAsia" w:ascii="黑体" w:eastAsia="黑体"/>
          <w:sz w:val="30"/>
          <w:szCs w:val="30"/>
          <w:lang w:val="zh-CN"/>
        </w:rPr>
        <w:t>投标人地址：</w:t>
      </w:r>
    </w:p>
    <w:p>
      <w:pPr>
        <w:pStyle w:val="102"/>
        <w:ind w:firstLine="0" w:firstLineChars="0"/>
        <w:jc w:val="center"/>
        <w:rPr>
          <w:rFonts w:hint="eastAsia" w:ascii="黑体" w:eastAsia="黑体" w:cs="仿宋_GB2312"/>
          <w:sz w:val="30"/>
          <w:szCs w:val="30"/>
          <w:lang w:val="zh-CN"/>
        </w:rPr>
      </w:pPr>
    </w:p>
    <w:p>
      <w:pPr>
        <w:pStyle w:val="102"/>
        <w:ind w:firstLine="0" w:firstLineChars="0"/>
        <w:jc w:val="center"/>
        <w:rPr>
          <w:rFonts w:hint="eastAsia" w:ascii="黑体" w:eastAsia="黑体" w:cs="仿宋_GB2312"/>
          <w:sz w:val="30"/>
          <w:szCs w:val="30"/>
          <w:lang w:val="zh-CN"/>
        </w:rPr>
      </w:pPr>
    </w:p>
    <w:p>
      <w:pPr>
        <w:pStyle w:val="102"/>
        <w:ind w:firstLine="0" w:firstLineChars="0"/>
        <w:jc w:val="center"/>
        <w:rPr>
          <w:rFonts w:hint="eastAsia" w:ascii="黑体" w:eastAsia="黑体" w:cs="仿宋_GB2312"/>
          <w:sz w:val="30"/>
          <w:szCs w:val="30"/>
          <w:lang w:val="zh-CN"/>
        </w:rPr>
      </w:pPr>
    </w:p>
    <w:p>
      <w:pPr>
        <w:pStyle w:val="102"/>
        <w:ind w:firstLine="0" w:firstLineChars="0"/>
        <w:jc w:val="center"/>
        <w:rPr>
          <w:rFonts w:hint="eastAsia" w:ascii="黑体" w:eastAsia="黑体" w:cs="仿宋_GB2312"/>
          <w:sz w:val="30"/>
          <w:szCs w:val="30"/>
          <w:lang w:val="zh-CN"/>
        </w:rPr>
      </w:pPr>
    </w:p>
    <w:p>
      <w:pPr>
        <w:pStyle w:val="102"/>
        <w:ind w:firstLine="0" w:firstLineChars="0"/>
        <w:jc w:val="center"/>
        <w:rPr>
          <w:rFonts w:hint="eastAsia" w:ascii="黑体" w:eastAsia="黑体" w:cs="仿宋_GB2312"/>
          <w:sz w:val="30"/>
          <w:szCs w:val="30"/>
          <w:lang w:val="zh-CN"/>
        </w:rPr>
      </w:pPr>
    </w:p>
    <w:p>
      <w:pPr>
        <w:pStyle w:val="102"/>
        <w:ind w:firstLine="0" w:firstLineChars="0"/>
        <w:jc w:val="center"/>
        <w:rPr>
          <w:rFonts w:hint="eastAsia" w:ascii="黑体" w:eastAsia="黑体" w:cs="宋体"/>
          <w:sz w:val="30"/>
          <w:szCs w:val="30"/>
          <w:lang w:val="zh-CN"/>
        </w:rPr>
      </w:pPr>
      <w:r>
        <w:rPr>
          <w:rFonts w:hint="eastAsia" w:ascii="黑体" w:eastAsia="黑体" w:cs="宋体"/>
          <w:sz w:val="30"/>
          <w:szCs w:val="30"/>
          <w:lang w:val="zh-CN"/>
        </w:rPr>
        <w:t>年</w:t>
      </w:r>
      <w:r>
        <w:rPr>
          <w:rFonts w:hint="eastAsia" w:ascii="黑体" w:eastAsia="黑体"/>
          <w:sz w:val="30"/>
          <w:szCs w:val="30"/>
        </w:rPr>
        <w:t xml:space="preserve">    </w:t>
      </w:r>
      <w:r>
        <w:rPr>
          <w:rFonts w:hint="eastAsia" w:ascii="黑体" w:eastAsia="黑体" w:cs="宋体"/>
          <w:sz w:val="30"/>
          <w:szCs w:val="30"/>
          <w:lang w:val="zh-CN"/>
        </w:rPr>
        <w:t>月</w:t>
      </w:r>
      <w:r>
        <w:rPr>
          <w:rFonts w:hint="eastAsia" w:ascii="黑体" w:eastAsia="黑体"/>
          <w:sz w:val="30"/>
          <w:szCs w:val="30"/>
        </w:rPr>
        <w:t xml:space="preserve">   </w:t>
      </w:r>
      <w:r>
        <w:rPr>
          <w:rFonts w:hint="eastAsia" w:ascii="黑体" w:eastAsia="黑体" w:cs="宋体"/>
          <w:sz w:val="30"/>
          <w:szCs w:val="30"/>
          <w:lang w:val="zh-CN"/>
        </w:rPr>
        <w:t>日</w:t>
      </w:r>
    </w:p>
    <w:p>
      <w:pPr>
        <w:spacing w:line="360" w:lineRule="auto"/>
        <w:jc w:val="both"/>
        <w:rPr>
          <w:rStyle w:val="38"/>
          <w:rFonts w:hint="eastAsia" w:hAnsi="宋体" w:eastAsia="宋体"/>
          <w:b w:val="0"/>
          <w:color w:val="auto"/>
          <w:kern w:val="2"/>
          <w:sz w:val="21"/>
          <w:szCs w:val="21"/>
        </w:rPr>
      </w:pPr>
    </w:p>
    <w:p>
      <w:pPr>
        <w:pStyle w:val="4"/>
        <w:rPr>
          <w:rFonts w:hint="eastAsia" w:ascii="宋体" w:hAnsi="宋体"/>
          <w:sz w:val="36"/>
          <w:lang w:val="zh-CN"/>
        </w:rPr>
      </w:pPr>
      <w:bookmarkStart w:id="78" w:name="_Toc18551"/>
      <w:bookmarkStart w:id="79" w:name="_Toc401304087"/>
      <w:bookmarkStart w:id="80" w:name="_Toc11051724"/>
      <w:bookmarkStart w:id="81" w:name="_Toc274907023"/>
      <w:bookmarkStart w:id="82" w:name="_Toc338684378"/>
      <w:bookmarkStart w:id="83" w:name="_Toc422907293"/>
      <w:r>
        <w:rPr>
          <w:rFonts w:hint="eastAsia" w:ascii="宋体" w:hAnsi="宋体" w:eastAsia="宋体"/>
          <w:sz w:val="21"/>
          <w:szCs w:val="21"/>
          <w:lang w:val="zh-CN"/>
        </w:rPr>
        <w:t>附件一、投标函（投标申请及声明格式）</w:t>
      </w:r>
      <w:bookmarkEnd w:id="78"/>
      <w:bookmarkEnd w:id="79"/>
      <w:bookmarkEnd w:id="80"/>
      <w:bookmarkEnd w:id="81"/>
      <w:bookmarkEnd w:id="82"/>
      <w:bookmarkEnd w:id="83"/>
    </w:p>
    <w:p>
      <w:pPr>
        <w:autoSpaceDE w:val="0"/>
        <w:autoSpaceDN w:val="0"/>
        <w:adjustRightInd w:val="0"/>
        <w:jc w:val="center"/>
        <w:rPr>
          <w:rFonts w:ascii="宋体" w:hAnsi="宋体"/>
          <w:sz w:val="36"/>
          <w:lang w:val="zh-CN"/>
        </w:rPr>
      </w:pPr>
      <w:r>
        <w:rPr>
          <w:rFonts w:hint="eastAsia" w:ascii="宋体" w:hAnsi="宋体"/>
          <w:sz w:val="36"/>
          <w:lang w:val="zh-CN"/>
        </w:rPr>
        <w:t>投标申请及声明</w:t>
      </w:r>
    </w:p>
    <w:p>
      <w:pPr>
        <w:autoSpaceDE w:val="0"/>
        <w:autoSpaceDN w:val="0"/>
        <w:adjustRightInd w:val="0"/>
        <w:rPr>
          <w:rFonts w:ascii="宋体" w:hAnsi="宋体"/>
          <w:lang w:val="zh-CN"/>
        </w:rPr>
      </w:pPr>
    </w:p>
    <w:p>
      <w:pPr>
        <w:autoSpaceDE w:val="0"/>
        <w:autoSpaceDN w:val="0"/>
        <w:adjustRightInd w:val="0"/>
        <w:rPr>
          <w:rFonts w:hint="eastAsia" w:ascii="宋体" w:hAnsi="宋体"/>
        </w:rPr>
      </w:pPr>
      <w:r>
        <w:rPr>
          <w:rFonts w:hint="eastAsia" w:ascii="宋体" w:hAnsi="宋体"/>
          <w:lang w:val="zh-CN"/>
        </w:rPr>
        <w:t>致：</w:t>
      </w:r>
      <w:r>
        <w:rPr>
          <w:rFonts w:hint="eastAsia" w:ascii="宋体" w:hAnsi="宋体"/>
        </w:rPr>
        <w:t xml:space="preserve"> </w:t>
      </w:r>
    </w:p>
    <w:p>
      <w:pPr>
        <w:autoSpaceDE w:val="0"/>
        <w:autoSpaceDN w:val="0"/>
        <w:adjustRightInd w:val="0"/>
        <w:ind w:firstLine="420"/>
        <w:rPr>
          <w:rFonts w:ascii="宋体" w:hAnsi="宋体"/>
          <w:lang w:val="zh-CN"/>
        </w:rPr>
      </w:pPr>
      <w:r>
        <w:rPr>
          <w:rFonts w:hint="eastAsia" w:ascii="宋体" w:hAnsi="宋体"/>
          <w:lang w:val="zh-CN"/>
        </w:rPr>
        <w:t>根据贵方</w:t>
      </w:r>
      <w:r>
        <w:rPr>
          <w:rFonts w:hint="eastAsia" w:ascii="宋体" w:hAnsi="宋体"/>
          <w:u w:val="single"/>
          <w:lang w:val="zh-CN"/>
        </w:rPr>
        <w:t xml:space="preserve">NJCG-2021ZC-0068 </w:t>
      </w:r>
      <w:r>
        <w:rPr>
          <w:rFonts w:hint="eastAsia" w:ascii="宋体" w:hAnsi="宋体"/>
          <w:lang w:val="zh-CN"/>
        </w:rPr>
        <w:t>号投标邀请，正式授权下述签字人</w:t>
      </w:r>
      <w:r>
        <w:rPr>
          <w:rFonts w:ascii="宋体" w:hAnsi="宋体"/>
          <w:u w:val="single"/>
          <w:lang w:val="zh-CN"/>
        </w:rPr>
        <w:t xml:space="preserve">                        </w:t>
      </w:r>
      <w:r>
        <w:rPr>
          <w:rFonts w:ascii="宋体" w:hAnsi="宋体"/>
          <w:lang w:val="zh-CN"/>
        </w:rPr>
        <w:t>(</w:t>
      </w:r>
      <w:r>
        <w:rPr>
          <w:rFonts w:hint="eastAsia" w:ascii="宋体" w:hAnsi="宋体"/>
          <w:lang w:val="zh-CN"/>
        </w:rPr>
        <w:t>姓名和职务</w:t>
      </w:r>
      <w:r>
        <w:rPr>
          <w:rFonts w:ascii="宋体" w:hAnsi="宋体"/>
          <w:lang w:val="zh-CN"/>
        </w:rPr>
        <w:t>)</w:t>
      </w:r>
      <w:r>
        <w:rPr>
          <w:rFonts w:hint="eastAsia" w:ascii="宋体" w:hAnsi="宋体"/>
          <w:lang w:val="zh-CN"/>
        </w:rPr>
        <w:t>代表投标供应商</w:t>
      </w:r>
      <w:r>
        <w:rPr>
          <w:rFonts w:ascii="宋体" w:hAnsi="宋体"/>
          <w:u w:val="single"/>
          <w:lang w:val="zh-CN"/>
        </w:rPr>
        <w:t xml:space="preserve">           </w:t>
      </w:r>
      <w:r>
        <w:rPr>
          <w:rFonts w:hint="eastAsia" w:ascii="宋体" w:hAnsi="宋体"/>
          <w:lang w:val="zh-CN"/>
        </w:rPr>
        <w:t>（投标供应商名称），提交投标文件正本壹份，副本</w:t>
      </w:r>
      <w:r>
        <w:rPr>
          <w:rFonts w:hint="eastAsia" w:ascii="宋体" w:hAnsi="宋体"/>
          <w:lang w:val="en-US" w:eastAsia="zh-CN"/>
        </w:rPr>
        <w:t>贰</w:t>
      </w:r>
      <w:r>
        <w:rPr>
          <w:rFonts w:hint="eastAsia" w:ascii="宋体" w:hAnsi="宋体"/>
          <w:lang w:val="zh-CN"/>
        </w:rPr>
        <w:t>份。</w:t>
      </w:r>
    </w:p>
    <w:p>
      <w:pPr>
        <w:autoSpaceDE w:val="0"/>
        <w:autoSpaceDN w:val="0"/>
        <w:adjustRightInd w:val="0"/>
        <w:ind w:firstLine="420"/>
        <w:rPr>
          <w:rFonts w:ascii="宋体" w:hAnsi="宋体"/>
          <w:lang w:val="zh-CN"/>
        </w:rPr>
      </w:pPr>
      <w:r>
        <w:rPr>
          <w:rFonts w:hint="eastAsia" w:ascii="宋体" w:hAnsi="宋体"/>
          <w:lang w:val="zh-CN"/>
        </w:rPr>
        <w:t>据此函，签字人兹宣布声明和承诺如下：</w:t>
      </w:r>
    </w:p>
    <w:p>
      <w:pPr>
        <w:autoSpaceDE w:val="0"/>
        <w:autoSpaceDN w:val="0"/>
        <w:adjustRightInd w:val="0"/>
        <w:ind w:firstLine="420"/>
        <w:rPr>
          <w:rFonts w:hint="eastAsia" w:ascii="宋体" w:hAnsi="宋体"/>
        </w:rPr>
      </w:pPr>
      <w:r>
        <w:rPr>
          <w:rFonts w:ascii="宋体" w:hAnsi="宋体"/>
          <w:lang w:val="zh-CN"/>
        </w:rPr>
        <w:t>1</w:t>
      </w:r>
      <w:r>
        <w:rPr>
          <w:rFonts w:hint="eastAsia" w:ascii="宋体" w:hAnsi="宋体"/>
          <w:lang w:val="zh-CN"/>
        </w:rPr>
        <w:t>、</w:t>
      </w:r>
      <w:r>
        <w:rPr>
          <w:rFonts w:hint="eastAsia" w:ascii="宋体" w:hAnsi="宋体"/>
          <w:b/>
          <w:lang w:val="zh-CN"/>
        </w:rPr>
        <w:t>我们的资格条件完全符合政府采购法和本次招标要求</w:t>
      </w:r>
      <w:r>
        <w:rPr>
          <w:rFonts w:hint="eastAsia" w:ascii="宋体" w:hAnsi="宋体"/>
          <w:lang w:val="zh-CN"/>
        </w:rPr>
        <w:t>，</w:t>
      </w:r>
      <w:r>
        <w:rPr>
          <w:rFonts w:hint="eastAsia" w:ascii="宋体" w:hAnsi="宋体"/>
        </w:rPr>
        <w:t>我们</w:t>
      </w:r>
      <w:r>
        <w:rPr>
          <w:rFonts w:hint="eastAsia" w:ascii="宋体" w:hAnsi="宋体"/>
          <w:lang w:val="zh-CN"/>
        </w:rPr>
        <w:t>同意并向贵方提供了与投标有关的所有证据和资料。</w:t>
      </w:r>
    </w:p>
    <w:p>
      <w:pPr>
        <w:autoSpaceDE w:val="0"/>
        <w:autoSpaceDN w:val="0"/>
        <w:adjustRightInd w:val="0"/>
        <w:ind w:firstLine="420"/>
        <w:rPr>
          <w:rFonts w:ascii="宋体" w:hAnsi="宋体"/>
          <w:b w:val="0"/>
          <w:bCs w:val="0"/>
          <w:lang w:val="zh-CN"/>
        </w:rPr>
      </w:pPr>
      <w:r>
        <w:rPr>
          <w:rFonts w:hint="eastAsia" w:ascii="宋体" w:hAnsi="宋体"/>
        </w:rPr>
        <w:t>2、</w:t>
      </w:r>
      <w:r>
        <w:rPr>
          <w:rFonts w:hint="eastAsia" w:ascii="宋体" w:hAnsi="宋体"/>
          <w:lang w:val="zh-CN"/>
        </w:rPr>
        <w:t>按招标要求，项目编号</w:t>
      </w:r>
      <w:r>
        <w:rPr>
          <w:rFonts w:hint="eastAsia" w:ascii="宋体" w:hAnsi="宋体"/>
          <w:u w:val="single"/>
          <w:lang w:val="zh-CN"/>
        </w:rPr>
        <w:t xml:space="preserve">        </w:t>
      </w:r>
      <w:r>
        <w:rPr>
          <w:rFonts w:hint="eastAsia" w:ascii="宋体" w:hAnsi="宋体"/>
          <w:lang w:val="zh-CN"/>
        </w:rPr>
        <w:t>，项目名</w:t>
      </w:r>
      <w:r>
        <w:rPr>
          <w:rFonts w:hint="eastAsia" w:ascii="宋体" w:hAnsi="宋体"/>
          <w:b w:val="0"/>
          <w:bCs w:val="0"/>
          <w:lang w:val="zh-CN"/>
        </w:rPr>
        <w:t>称：</w:t>
      </w:r>
      <w:r>
        <w:rPr>
          <w:rFonts w:ascii="宋体" w:hAnsi="宋体"/>
          <w:b w:val="0"/>
          <w:bCs w:val="0"/>
          <w:u w:val="single"/>
          <w:lang w:val="zh-CN"/>
        </w:rPr>
        <w:t xml:space="preserve">                          </w:t>
      </w:r>
      <w:r>
        <w:rPr>
          <w:rFonts w:hint="eastAsia" w:ascii="宋体" w:hAnsi="宋体"/>
          <w:b w:val="0"/>
          <w:bCs w:val="0"/>
          <w:u w:val="none"/>
          <w:lang w:val="zh-CN"/>
        </w:rPr>
        <w:t>（</w:t>
      </w:r>
      <w:r>
        <w:rPr>
          <w:rFonts w:hint="eastAsia" w:ascii="宋体" w:hAnsi="宋体"/>
          <w:b w:val="0"/>
          <w:bCs w:val="0"/>
          <w:u w:val="none"/>
          <w:lang w:val="en-US" w:eastAsia="zh-CN"/>
        </w:rPr>
        <w:t>包一</w:t>
      </w:r>
      <w:r>
        <w:rPr>
          <w:rFonts w:hint="eastAsia" w:ascii="宋体" w:hAnsi="宋体"/>
          <w:b w:val="0"/>
          <w:bCs w:val="0"/>
          <w:u w:val="none"/>
          <w:lang w:val="zh-CN"/>
        </w:rPr>
        <w:t>）</w:t>
      </w:r>
      <w:r>
        <w:rPr>
          <w:rFonts w:hint="eastAsia" w:ascii="宋体" w:hAnsi="宋体"/>
          <w:b w:val="0"/>
          <w:bCs w:val="0"/>
          <w:lang w:val="zh-CN"/>
        </w:rPr>
        <w:t>的投标总报价为（大写）</w:t>
      </w:r>
      <w:r>
        <w:rPr>
          <w:rFonts w:ascii="宋体" w:hAnsi="宋体"/>
          <w:b w:val="0"/>
          <w:bCs w:val="0"/>
          <w:u w:val="single"/>
          <w:lang w:val="zh-CN"/>
        </w:rPr>
        <w:t xml:space="preserve">             </w:t>
      </w:r>
      <w:r>
        <w:rPr>
          <w:rFonts w:hint="eastAsia" w:ascii="宋体" w:hAnsi="宋体"/>
          <w:b w:val="0"/>
          <w:bCs w:val="0"/>
          <w:lang w:val="zh-CN"/>
        </w:rPr>
        <w:t>元人民币</w:t>
      </w:r>
      <w:r>
        <w:rPr>
          <w:rFonts w:hint="eastAsia" w:ascii="宋体" w:hAnsi="宋体"/>
          <w:b w:val="0"/>
          <w:bCs w:val="0"/>
          <w:lang w:val="en-US" w:eastAsia="zh-CN"/>
        </w:rPr>
        <w:t>/年</w:t>
      </w:r>
      <w:r>
        <w:rPr>
          <w:rFonts w:hint="eastAsia" w:ascii="宋体" w:hAnsi="宋体"/>
          <w:b w:val="0"/>
          <w:bCs w:val="0"/>
          <w:lang w:val="zh-CN"/>
        </w:rPr>
        <w:t>（</w:t>
      </w:r>
      <w:r>
        <w:rPr>
          <w:rFonts w:hint="eastAsia" w:ascii="宋体" w:hAnsi="宋体"/>
          <w:b w:val="0"/>
          <w:bCs w:val="0"/>
        </w:rPr>
        <w:t>小写）</w:t>
      </w:r>
      <w:r>
        <w:rPr>
          <w:rFonts w:hint="eastAsia" w:ascii="宋体" w:hAnsi="宋体"/>
          <w:b w:val="0"/>
          <w:bCs w:val="0"/>
          <w:u w:val="single"/>
        </w:rPr>
        <w:t xml:space="preserve">              </w:t>
      </w:r>
      <w:r>
        <w:rPr>
          <w:rFonts w:hint="eastAsia" w:ascii="宋体" w:hAnsi="宋体"/>
          <w:b w:val="0"/>
          <w:bCs w:val="0"/>
        </w:rPr>
        <w:t xml:space="preserve"> 元人民币</w:t>
      </w:r>
      <w:r>
        <w:rPr>
          <w:rFonts w:hint="eastAsia" w:ascii="宋体" w:hAnsi="宋体"/>
          <w:b w:val="0"/>
          <w:bCs w:val="0"/>
          <w:lang w:val="en-US" w:eastAsia="zh-CN"/>
        </w:rPr>
        <w:t>/年；</w:t>
      </w:r>
      <w:r>
        <w:rPr>
          <w:rFonts w:hint="eastAsia" w:ascii="宋体" w:hAnsi="宋体"/>
          <w:b w:val="0"/>
          <w:bCs w:val="0"/>
          <w:lang w:val="zh-CN"/>
        </w:rPr>
        <w:t>项目名称：</w:t>
      </w:r>
      <w:r>
        <w:rPr>
          <w:rFonts w:ascii="宋体" w:hAnsi="宋体"/>
          <w:b w:val="0"/>
          <w:bCs w:val="0"/>
          <w:u w:val="single"/>
          <w:lang w:val="zh-CN"/>
        </w:rPr>
        <w:t xml:space="preserve">                          </w:t>
      </w:r>
      <w:r>
        <w:rPr>
          <w:rFonts w:hint="eastAsia" w:ascii="宋体" w:hAnsi="宋体"/>
          <w:b w:val="0"/>
          <w:bCs w:val="0"/>
          <w:u w:val="single"/>
          <w:lang w:val="en-US" w:eastAsia="zh-CN"/>
        </w:rPr>
        <w:t xml:space="preserve">     </w:t>
      </w:r>
      <w:r>
        <w:rPr>
          <w:rFonts w:hint="eastAsia" w:ascii="宋体" w:hAnsi="宋体"/>
          <w:b w:val="0"/>
          <w:bCs w:val="0"/>
          <w:u w:val="single"/>
          <w:lang w:val="zh-CN"/>
        </w:rPr>
        <w:t>（</w:t>
      </w:r>
      <w:r>
        <w:rPr>
          <w:rFonts w:hint="eastAsia" w:ascii="宋体" w:hAnsi="宋体"/>
          <w:b w:val="0"/>
          <w:bCs w:val="0"/>
          <w:u w:val="single"/>
          <w:lang w:val="en-US" w:eastAsia="zh-CN"/>
        </w:rPr>
        <w:t>包二</w:t>
      </w:r>
      <w:r>
        <w:rPr>
          <w:rFonts w:hint="eastAsia" w:ascii="宋体" w:hAnsi="宋体"/>
          <w:b w:val="0"/>
          <w:bCs w:val="0"/>
          <w:u w:val="single"/>
          <w:lang w:val="zh-CN"/>
        </w:rPr>
        <w:t>）</w:t>
      </w:r>
      <w:r>
        <w:rPr>
          <w:rFonts w:hint="eastAsia" w:ascii="宋体" w:hAnsi="宋体"/>
          <w:b w:val="0"/>
          <w:bCs w:val="0"/>
          <w:lang w:val="zh-CN"/>
        </w:rPr>
        <w:t>的投标总报价为（大写）</w:t>
      </w:r>
      <w:r>
        <w:rPr>
          <w:rFonts w:ascii="宋体" w:hAnsi="宋体"/>
          <w:b w:val="0"/>
          <w:bCs w:val="0"/>
          <w:u w:val="single"/>
          <w:lang w:val="zh-CN"/>
        </w:rPr>
        <w:t xml:space="preserve">             </w:t>
      </w:r>
      <w:r>
        <w:rPr>
          <w:rFonts w:hint="eastAsia" w:ascii="宋体" w:hAnsi="宋体"/>
          <w:b w:val="0"/>
          <w:bCs w:val="0"/>
          <w:lang w:val="zh-CN"/>
        </w:rPr>
        <w:t>元人民币</w:t>
      </w:r>
      <w:r>
        <w:rPr>
          <w:rFonts w:hint="eastAsia" w:ascii="宋体" w:hAnsi="宋体"/>
          <w:b w:val="0"/>
          <w:bCs w:val="0"/>
          <w:lang w:val="en-US" w:eastAsia="zh-CN"/>
        </w:rPr>
        <w:t>/年</w:t>
      </w:r>
      <w:r>
        <w:rPr>
          <w:rFonts w:hint="eastAsia" w:ascii="宋体" w:hAnsi="宋体"/>
          <w:b w:val="0"/>
          <w:bCs w:val="0"/>
          <w:lang w:val="zh-CN"/>
        </w:rPr>
        <w:t>（</w:t>
      </w:r>
      <w:r>
        <w:rPr>
          <w:rFonts w:hint="eastAsia" w:ascii="宋体" w:hAnsi="宋体"/>
          <w:b w:val="0"/>
          <w:bCs w:val="0"/>
        </w:rPr>
        <w:t>小写）</w:t>
      </w:r>
      <w:r>
        <w:rPr>
          <w:rFonts w:hint="eastAsia" w:ascii="宋体" w:hAnsi="宋体"/>
          <w:b w:val="0"/>
          <w:bCs w:val="0"/>
          <w:u w:val="single"/>
        </w:rPr>
        <w:t xml:space="preserve">              </w:t>
      </w:r>
      <w:r>
        <w:rPr>
          <w:rFonts w:hint="eastAsia" w:ascii="宋体" w:hAnsi="宋体"/>
          <w:b w:val="0"/>
          <w:bCs w:val="0"/>
        </w:rPr>
        <w:t xml:space="preserve"> 元人民币</w:t>
      </w:r>
      <w:r>
        <w:rPr>
          <w:rFonts w:hint="eastAsia" w:ascii="宋体" w:hAnsi="宋体"/>
          <w:b w:val="0"/>
          <w:bCs w:val="0"/>
          <w:lang w:val="en-US" w:eastAsia="zh-CN"/>
        </w:rPr>
        <w:t>/年</w:t>
      </w:r>
      <w:r>
        <w:rPr>
          <w:rFonts w:hint="eastAsia" w:ascii="宋体" w:hAnsi="宋体"/>
          <w:b w:val="0"/>
          <w:bCs w:val="0"/>
          <w:lang w:val="zh-CN"/>
        </w:rPr>
        <w:t>。</w:t>
      </w:r>
    </w:p>
    <w:p>
      <w:pPr>
        <w:autoSpaceDE w:val="0"/>
        <w:autoSpaceDN w:val="0"/>
        <w:adjustRightInd w:val="0"/>
        <w:ind w:firstLine="420"/>
        <w:rPr>
          <w:rFonts w:hint="eastAsia" w:ascii="宋体" w:hAnsi="宋体"/>
          <w:b w:val="0"/>
          <w:bCs w:val="0"/>
          <w:lang w:val="zh-CN"/>
        </w:rPr>
      </w:pPr>
      <w:r>
        <w:rPr>
          <w:rFonts w:hint="eastAsia" w:ascii="宋体" w:hAnsi="宋体"/>
          <w:b w:val="0"/>
          <w:bCs w:val="0"/>
          <w:lang w:val="zh-CN"/>
        </w:rPr>
        <w:t>3、</w:t>
      </w:r>
      <w:r>
        <w:rPr>
          <w:rFonts w:hint="eastAsia"/>
          <w:b w:val="0"/>
          <w:bCs w:val="0"/>
          <w:lang w:val="en-US" w:eastAsia="zh-CN"/>
        </w:rPr>
        <w:t>服务期3年</w:t>
      </w:r>
      <w:r>
        <w:rPr>
          <w:rFonts w:hint="eastAsia"/>
          <w:b w:val="0"/>
          <w:bCs w:val="0"/>
        </w:rPr>
        <w:t xml:space="preserve"> 。</w:t>
      </w:r>
    </w:p>
    <w:p>
      <w:pPr>
        <w:autoSpaceDE w:val="0"/>
        <w:autoSpaceDN w:val="0"/>
        <w:adjustRightInd w:val="0"/>
        <w:ind w:firstLine="420"/>
        <w:rPr>
          <w:rFonts w:ascii="宋体" w:hAnsi="宋体"/>
          <w:lang w:val="zh-CN"/>
        </w:rPr>
      </w:pPr>
      <w:r>
        <w:rPr>
          <w:rFonts w:hint="eastAsia" w:ascii="宋体" w:hAnsi="宋体"/>
          <w:lang w:val="zh-CN"/>
        </w:rPr>
        <w:t>4、我们已详细审核全部招标文件及其有效补充文件，我们放弃对招标文件任何误解的权利，无论招标结果如何，</w:t>
      </w:r>
      <w:r>
        <w:rPr>
          <w:rFonts w:hint="eastAsia" w:ascii="宋体" w:hAnsi="宋体"/>
          <w:b/>
          <w:u w:val="single"/>
          <w:lang w:val="zh-CN"/>
        </w:rPr>
        <w:t>我们不对招标文件本身提出质疑</w:t>
      </w:r>
      <w:r>
        <w:rPr>
          <w:rFonts w:hint="eastAsia" w:ascii="宋体" w:hAnsi="宋体"/>
          <w:lang w:val="zh-CN"/>
        </w:rPr>
        <w:t>。</w:t>
      </w:r>
    </w:p>
    <w:p>
      <w:pPr>
        <w:autoSpaceDE w:val="0"/>
        <w:autoSpaceDN w:val="0"/>
        <w:adjustRightInd w:val="0"/>
        <w:ind w:firstLine="420"/>
        <w:rPr>
          <w:rFonts w:ascii="宋体" w:hAnsi="宋体"/>
          <w:lang w:val="zh-CN"/>
        </w:rPr>
      </w:pPr>
      <w:r>
        <w:rPr>
          <w:rFonts w:hint="eastAsia" w:ascii="宋体" w:hAnsi="宋体"/>
          <w:lang w:val="zh-CN"/>
        </w:rPr>
        <w:t>5、我们同意从规定的开标日期起遵循本投标文件，并在规定的投标有效期期满之前均具有约束力。</w:t>
      </w:r>
    </w:p>
    <w:p>
      <w:pPr>
        <w:autoSpaceDE w:val="0"/>
        <w:autoSpaceDN w:val="0"/>
        <w:adjustRightInd w:val="0"/>
        <w:ind w:firstLine="420"/>
        <w:rPr>
          <w:rFonts w:hint="eastAsia" w:ascii="宋体" w:hAnsi="宋体"/>
          <w:lang w:val="zh-CN"/>
        </w:rPr>
      </w:pPr>
      <w:r>
        <w:rPr>
          <w:rFonts w:hint="eastAsia" w:ascii="宋体" w:hAnsi="宋体"/>
          <w:lang w:val="zh-CN"/>
        </w:rPr>
        <w:t>6、</w:t>
      </w:r>
      <w:r>
        <w:rPr>
          <w:rFonts w:hint="eastAsia" w:ascii="宋体" w:hAnsi="宋体"/>
        </w:rPr>
        <w:t>投标截止时间结束后参加投标的供应商不足三家的，或在评标期间出现符合专业条件的供应商或者对招标文件作出实质响应的供应商不足三家情形的，我们酌情决定是否参加当场变更的竞争性谈判或单一来源方式采购。</w:t>
      </w:r>
    </w:p>
    <w:p>
      <w:pPr>
        <w:autoSpaceDE w:val="0"/>
        <w:autoSpaceDN w:val="0"/>
        <w:adjustRightInd w:val="0"/>
        <w:ind w:firstLine="420"/>
        <w:rPr>
          <w:rFonts w:ascii="宋体" w:hAnsi="宋体"/>
          <w:lang w:val="zh-CN"/>
        </w:rPr>
      </w:pPr>
      <w:r>
        <w:rPr>
          <w:rFonts w:hint="eastAsia" w:ascii="宋体" w:hAnsi="宋体"/>
          <w:lang w:val="zh-CN"/>
        </w:rPr>
        <w:t>7、一旦我方中标，我方将根据招标文件的规定严格履行合同，并保证于承诺的时间完成货物的启动</w:t>
      </w:r>
      <w:r>
        <w:rPr>
          <w:rFonts w:ascii="宋体" w:hAnsi="宋体"/>
          <w:lang w:val="zh-CN"/>
        </w:rPr>
        <w:t>/</w:t>
      </w:r>
      <w:r>
        <w:rPr>
          <w:rFonts w:hint="eastAsia" w:ascii="宋体" w:hAnsi="宋体"/>
          <w:lang w:val="zh-CN"/>
        </w:rPr>
        <w:t>集成、调试等服务，交付招标人验收、使用。</w:t>
      </w:r>
    </w:p>
    <w:p>
      <w:pPr>
        <w:autoSpaceDE w:val="0"/>
        <w:autoSpaceDN w:val="0"/>
        <w:adjustRightInd w:val="0"/>
        <w:ind w:firstLine="420"/>
        <w:rPr>
          <w:rFonts w:ascii="宋体" w:hAnsi="宋体"/>
          <w:lang w:val="zh-CN"/>
        </w:rPr>
      </w:pPr>
      <w:r>
        <w:rPr>
          <w:rFonts w:hint="eastAsia" w:ascii="宋体" w:hAnsi="宋体"/>
          <w:lang w:val="zh-CN"/>
        </w:rPr>
        <w:t>8、我方决不提供虚假材料谋取中标、决不采取不正当手段诋毁、排挤其他供应商、决不与招标人、其它供应商或者招标代理机构恶意串通、决不向招标人、政府采购中心工作人员和评委进行商业贿赂、决不在采购过程中与招标人进行协商谈判、决不拒绝有关部门监督检查或提供虚假情况，如有违反，无条件接受贵方及相关管理部门的处罚。</w:t>
      </w:r>
    </w:p>
    <w:p>
      <w:pPr>
        <w:autoSpaceDE w:val="0"/>
        <w:autoSpaceDN w:val="0"/>
        <w:adjustRightInd w:val="0"/>
        <w:ind w:firstLine="420"/>
        <w:rPr>
          <w:rFonts w:ascii="宋体" w:hAnsi="宋体"/>
          <w:lang w:val="zh-CN"/>
        </w:rPr>
      </w:pPr>
      <w:r>
        <w:rPr>
          <w:rFonts w:hint="eastAsia" w:ascii="宋体" w:hAnsi="宋体"/>
          <w:lang w:val="zh-CN"/>
        </w:rPr>
        <w:t>9、与本投标有关的正式联系方式为：</w:t>
      </w:r>
    </w:p>
    <w:p>
      <w:pPr>
        <w:autoSpaceDE w:val="0"/>
        <w:autoSpaceDN w:val="0"/>
        <w:adjustRightInd w:val="0"/>
        <w:ind w:firstLine="420"/>
        <w:rPr>
          <w:rFonts w:ascii="宋体" w:hAnsi="宋体"/>
          <w:u w:val="single"/>
          <w:lang w:val="zh-CN"/>
        </w:rPr>
      </w:pPr>
      <w:r>
        <w:rPr>
          <w:rFonts w:hint="eastAsia" w:ascii="宋体" w:hAnsi="宋体"/>
          <w:lang w:val="zh-CN"/>
        </w:rPr>
        <w:t>地</w:t>
      </w:r>
      <w:r>
        <w:rPr>
          <w:rFonts w:ascii="宋体" w:hAnsi="宋体"/>
          <w:lang w:val="zh-CN"/>
        </w:rPr>
        <w:t xml:space="preserve">   </w:t>
      </w:r>
      <w:r>
        <w:rPr>
          <w:rFonts w:hint="eastAsia" w:ascii="宋体" w:hAnsi="宋体"/>
          <w:lang w:val="zh-CN"/>
        </w:rPr>
        <w:t>址：</w:t>
      </w:r>
      <w:r>
        <w:rPr>
          <w:rFonts w:ascii="宋体" w:hAnsi="宋体"/>
          <w:u w:val="single"/>
          <w:lang w:val="zh-CN"/>
        </w:rPr>
        <w:t xml:space="preserve">                       </w:t>
      </w:r>
    </w:p>
    <w:p>
      <w:pPr>
        <w:autoSpaceDE w:val="0"/>
        <w:autoSpaceDN w:val="0"/>
        <w:adjustRightInd w:val="0"/>
        <w:ind w:firstLine="420"/>
        <w:rPr>
          <w:rFonts w:ascii="宋体" w:hAnsi="宋体"/>
          <w:u w:val="single"/>
          <w:lang w:val="zh-CN"/>
        </w:rPr>
      </w:pPr>
      <w:r>
        <w:rPr>
          <w:rFonts w:hint="eastAsia" w:ascii="宋体" w:hAnsi="宋体"/>
          <w:lang w:val="zh-CN"/>
        </w:rPr>
        <w:t>电</w:t>
      </w:r>
      <w:r>
        <w:rPr>
          <w:rFonts w:ascii="宋体" w:hAnsi="宋体"/>
          <w:lang w:val="zh-CN"/>
        </w:rPr>
        <w:t xml:space="preserve">   </w:t>
      </w:r>
      <w:r>
        <w:rPr>
          <w:rFonts w:hint="eastAsia" w:ascii="宋体" w:hAnsi="宋体"/>
          <w:lang w:val="zh-CN"/>
        </w:rPr>
        <w:t>话：</w:t>
      </w:r>
      <w:r>
        <w:rPr>
          <w:rFonts w:ascii="宋体" w:hAnsi="宋体"/>
          <w:u w:val="single"/>
          <w:lang w:val="zh-CN"/>
        </w:rPr>
        <w:t xml:space="preserve">                       </w:t>
      </w:r>
    </w:p>
    <w:p>
      <w:pPr>
        <w:autoSpaceDE w:val="0"/>
        <w:autoSpaceDN w:val="0"/>
        <w:adjustRightInd w:val="0"/>
        <w:ind w:firstLine="420"/>
        <w:rPr>
          <w:rFonts w:ascii="宋体" w:hAnsi="宋体"/>
          <w:u w:val="single"/>
          <w:lang w:val="zh-CN"/>
        </w:rPr>
      </w:pPr>
      <w:r>
        <w:rPr>
          <w:rFonts w:hint="eastAsia" w:ascii="宋体" w:hAnsi="宋体"/>
          <w:lang w:val="zh-CN"/>
        </w:rPr>
        <w:t>传</w:t>
      </w:r>
      <w:r>
        <w:rPr>
          <w:rFonts w:ascii="宋体" w:hAnsi="宋体"/>
          <w:lang w:val="zh-CN"/>
        </w:rPr>
        <w:t xml:space="preserve">   </w:t>
      </w:r>
      <w:r>
        <w:rPr>
          <w:rFonts w:hint="eastAsia" w:ascii="宋体" w:hAnsi="宋体"/>
          <w:lang w:val="zh-CN"/>
        </w:rPr>
        <w:t>真：</w:t>
      </w:r>
      <w:r>
        <w:rPr>
          <w:rFonts w:ascii="宋体" w:hAnsi="宋体"/>
          <w:u w:val="single"/>
          <w:lang w:val="zh-CN"/>
        </w:rPr>
        <w:t xml:space="preserve">                       </w:t>
      </w:r>
    </w:p>
    <w:p>
      <w:pPr>
        <w:autoSpaceDE w:val="0"/>
        <w:autoSpaceDN w:val="0"/>
        <w:adjustRightInd w:val="0"/>
        <w:ind w:firstLine="420"/>
        <w:rPr>
          <w:rFonts w:hint="eastAsia" w:ascii="宋体" w:hAnsi="宋体"/>
          <w:lang w:val="zh-CN"/>
        </w:rPr>
      </w:pPr>
      <w:r>
        <w:rPr>
          <w:rFonts w:hint="eastAsia" w:ascii="宋体" w:hAnsi="宋体"/>
          <w:lang w:val="zh-CN"/>
        </w:rPr>
        <w:t>开户银行：</w:t>
      </w:r>
    </w:p>
    <w:p>
      <w:pPr>
        <w:autoSpaceDE w:val="0"/>
        <w:autoSpaceDN w:val="0"/>
        <w:adjustRightInd w:val="0"/>
        <w:ind w:firstLine="420"/>
        <w:rPr>
          <w:rFonts w:hint="eastAsia" w:ascii="宋体" w:hAnsi="宋体"/>
          <w:lang w:val="zh-CN"/>
        </w:rPr>
      </w:pPr>
      <w:r>
        <w:rPr>
          <w:rFonts w:hint="eastAsia" w:ascii="宋体" w:hAnsi="宋体"/>
          <w:lang w:val="zh-CN"/>
        </w:rPr>
        <w:t>银行账号：</w:t>
      </w:r>
    </w:p>
    <w:p>
      <w:pPr>
        <w:autoSpaceDE w:val="0"/>
        <w:autoSpaceDN w:val="0"/>
        <w:adjustRightInd w:val="0"/>
        <w:ind w:firstLine="420"/>
        <w:rPr>
          <w:rFonts w:ascii="宋体" w:hAnsi="宋体"/>
          <w:u w:val="single"/>
          <w:lang w:val="zh-CN"/>
        </w:rPr>
      </w:pPr>
      <w:r>
        <w:rPr>
          <w:rFonts w:hint="eastAsia" w:ascii="宋体" w:hAnsi="宋体"/>
          <w:lang w:val="zh-CN"/>
        </w:rPr>
        <w:t>投标供应商授权代表姓名（签字）：</w:t>
      </w:r>
      <w:r>
        <w:rPr>
          <w:rFonts w:ascii="宋体" w:hAnsi="宋体"/>
          <w:u w:val="single"/>
          <w:lang w:val="zh-CN"/>
        </w:rPr>
        <w:t xml:space="preserve">         </w:t>
      </w:r>
    </w:p>
    <w:p>
      <w:pPr>
        <w:autoSpaceDE w:val="0"/>
        <w:autoSpaceDN w:val="0"/>
        <w:adjustRightInd w:val="0"/>
        <w:ind w:firstLine="420"/>
        <w:rPr>
          <w:rFonts w:ascii="宋体" w:hAnsi="宋体"/>
          <w:lang w:val="zh-CN"/>
        </w:rPr>
      </w:pPr>
      <w:r>
        <w:rPr>
          <w:rFonts w:hint="eastAsia" w:ascii="宋体" w:hAnsi="宋体"/>
          <w:lang w:val="zh-CN"/>
        </w:rPr>
        <w:t>投标供应商名称（章）：</w:t>
      </w:r>
      <w:r>
        <w:rPr>
          <w:rFonts w:ascii="宋体" w:hAnsi="宋体"/>
          <w:u w:val="single"/>
          <w:lang w:val="zh-CN"/>
        </w:rPr>
        <w:t xml:space="preserve">                 </w:t>
      </w:r>
    </w:p>
    <w:p>
      <w:pPr>
        <w:autoSpaceDE w:val="0"/>
        <w:autoSpaceDN w:val="0"/>
        <w:adjustRightInd w:val="0"/>
        <w:ind w:firstLine="420"/>
        <w:rPr>
          <w:rFonts w:ascii="宋体" w:hAnsi="宋体"/>
          <w:lang w:val="zh-CN"/>
        </w:rPr>
      </w:pPr>
      <w:r>
        <w:rPr>
          <w:rFonts w:hint="eastAsia" w:ascii="宋体" w:hAnsi="宋体"/>
          <w:lang w:val="zh-CN"/>
        </w:rPr>
        <w:t>日</w:t>
      </w:r>
      <w:r>
        <w:rPr>
          <w:rFonts w:ascii="宋体" w:hAnsi="宋体"/>
          <w:lang w:val="zh-CN"/>
        </w:rPr>
        <w:t xml:space="preserve">    </w:t>
      </w:r>
      <w:r>
        <w:rPr>
          <w:rFonts w:hint="eastAsia" w:ascii="宋体" w:hAnsi="宋体"/>
          <w:lang w:val="zh-CN"/>
        </w:rPr>
        <w:t>期：</w:t>
      </w:r>
      <w:r>
        <w:rPr>
          <w:rFonts w:ascii="宋体" w:hAnsi="宋体"/>
          <w:u w:val="single"/>
          <w:lang w:val="zh-CN"/>
        </w:rPr>
        <w:t xml:space="preserve">       </w:t>
      </w:r>
      <w:r>
        <w:rPr>
          <w:rFonts w:hint="eastAsia" w:ascii="宋体" w:hAnsi="宋体"/>
          <w:lang w:val="zh-CN"/>
        </w:rPr>
        <w:t>年</w:t>
      </w:r>
      <w:r>
        <w:rPr>
          <w:rFonts w:ascii="宋体" w:hAnsi="宋体"/>
          <w:u w:val="single"/>
          <w:lang w:val="zh-CN"/>
        </w:rPr>
        <w:t xml:space="preserve">    </w:t>
      </w:r>
      <w:r>
        <w:rPr>
          <w:rFonts w:hint="eastAsia" w:ascii="宋体" w:hAnsi="宋体"/>
          <w:lang w:val="zh-CN"/>
        </w:rPr>
        <w:t>月</w:t>
      </w:r>
      <w:r>
        <w:rPr>
          <w:rFonts w:ascii="宋体" w:hAnsi="宋体"/>
          <w:u w:val="single"/>
          <w:lang w:val="zh-CN"/>
        </w:rPr>
        <w:t xml:space="preserve">    </w:t>
      </w:r>
      <w:r>
        <w:rPr>
          <w:rFonts w:hint="eastAsia" w:ascii="宋体" w:hAnsi="宋体"/>
          <w:lang w:val="zh-CN"/>
        </w:rPr>
        <w:t>日</w:t>
      </w:r>
    </w:p>
    <w:p>
      <w:pPr>
        <w:autoSpaceDE w:val="0"/>
        <w:autoSpaceDN w:val="0"/>
        <w:adjustRightInd w:val="0"/>
        <w:rPr>
          <w:rFonts w:hint="eastAsia" w:ascii="宋体" w:hAnsi="宋体"/>
          <w:lang w:val="zh-CN"/>
        </w:rPr>
      </w:pPr>
    </w:p>
    <w:p>
      <w:pPr>
        <w:autoSpaceDE w:val="0"/>
        <w:autoSpaceDN w:val="0"/>
        <w:adjustRightInd w:val="0"/>
        <w:rPr>
          <w:rFonts w:hint="eastAsia" w:ascii="宋体" w:hAnsi="宋体"/>
          <w:lang w:val="zh-CN"/>
        </w:rPr>
      </w:pPr>
    </w:p>
    <w:p>
      <w:pPr>
        <w:autoSpaceDE w:val="0"/>
        <w:autoSpaceDN w:val="0"/>
        <w:adjustRightInd w:val="0"/>
        <w:rPr>
          <w:rFonts w:hint="eastAsia" w:ascii="宋体" w:hAnsi="宋体"/>
          <w:lang w:val="zh-CN"/>
        </w:rPr>
      </w:pPr>
    </w:p>
    <w:p>
      <w:pPr>
        <w:pStyle w:val="89"/>
        <w:rPr>
          <w:rFonts w:hint="eastAsia" w:ascii="宋体" w:hAnsi="宋体"/>
          <w:lang w:val="zh-CN"/>
        </w:rPr>
      </w:pPr>
    </w:p>
    <w:p>
      <w:pPr>
        <w:pStyle w:val="89"/>
        <w:rPr>
          <w:rFonts w:hint="eastAsia" w:ascii="宋体" w:hAnsi="宋体"/>
          <w:lang w:val="zh-CN"/>
        </w:rPr>
      </w:pPr>
    </w:p>
    <w:p>
      <w:pPr>
        <w:pStyle w:val="89"/>
        <w:rPr>
          <w:rFonts w:hint="eastAsia" w:ascii="宋体" w:hAnsi="宋体"/>
          <w:lang w:val="zh-CN"/>
        </w:rPr>
      </w:pPr>
    </w:p>
    <w:p>
      <w:pPr>
        <w:pStyle w:val="4"/>
        <w:rPr>
          <w:rFonts w:ascii="宋体" w:hAnsi="宋体" w:eastAsia="宋体"/>
          <w:sz w:val="21"/>
          <w:szCs w:val="21"/>
          <w:lang w:val="zh-CN"/>
        </w:rPr>
      </w:pPr>
      <w:bookmarkStart w:id="84" w:name="_Toc338684379"/>
      <w:bookmarkStart w:id="85" w:name="_Toc422907294"/>
      <w:bookmarkStart w:id="86" w:name="_Toc11051725"/>
      <w:bookmarkStart w:id="87" w:name="_Toc401304088"/>
      <w:bookmarkStart w:id="88" w:name="_Toc274907024"/>
      <w:bookmarkStart w:id="89" w:name="_Toc30526"/>
      <w:r>
        <w:rPr>
          <w:rFonts w:hint="eastAsia" w:ascii="宋体" w:hAnsi="宋体" w:eastAsia="宋体"/>
          <w:sz w:val="21"/>
          <w:szCs w:val="21"/>
          <w:lang w:val="zh-CN"/>
        </w:rPr>
        <w:br w:type="page"/>
      </w:r>
      <w:r>
        <w:rPr>
          <w:rFonts w:hint="eastAsia" w:ascii="宋体" w:hAnsi="宋体" w:eastAsia="宋体"/>
          <w:sz w:val="21"/>
          <w:szCs w:val="21"/>
          <w:lang w:val="zh-CN"/>
        </w:rPr>
        <w:t>附件二、法定代表人授权书格式</w:t>
      </w:r>
      <w:bookmarkEnd w:id="84"/>
      <w:bookmarkEnd w:id="85"/>
      <w:bookmarkEnd w:id="86"/>
      <w:bookmarkEnd w:id="87"/>
      <w:bookmarkEnd w:id="88"/>
      <w:bookmarkEnd w:id="89"/>
    </w:p>
    <w:p>
      <w:pPr>
        <w:autoSpaceDE w:val="0"/>
        <w:autoSpaceDN w:val="0"/>
        <w:adjustRightInd w:val="0"/>
        <w:spacing w:line="360" w:lineRule="auto"/>
        <w:ind w:firstLine="720"/>
        <w:jc w:val="center"/>
        <w:rPr>
          <w:rFonts w:ascii="宋体" w:hAnsi="宋体"/>
          <w:sz w:val="36"/>
          <w:lang w:val="zh-CN"/>
        </w:rPr>
      </w:pPr>
      <w:r>
        <w:rPr>
          <w:rFonts w:hint="eastAsia" w:ascii="宋体" w:hAnsi="宋体"/>
          <w:sz w:val="36"/>
          <w:lang w:val="zh-CN"/>
        </w:rPr>
        <w:t>法定代表人授权书</w:t>
      </w:r>
    </w:p>
    <w:p>
      <w:pPr>
        <w:autoSpaceDE w:val="0"/>
        <w:autoSpaceDN w:val="0"/>
        <w:adjustRightInd w:val="0"/>
        <w:rPr>
          <w:rFonts w:ascii="宋体" w:hAnsi="宋体"/>
          <w:lang w:val="zh-CN"/>
        </w:rPr>
      </w:pPr>
      <w:r>
        <w:rPr>
          <w:rFonts w:hint="eastAsia" w:ascii="宋体" w:hAnsi="宋体"/>
          <w:lang w:val="zh-CN"/>
        </w:rPr>
        <w:t>致：</w:t>
      </w:r>
    </w:p>
    <w:p>
      <w:pPr>
        <w:autoSpaceDE w:val="0"/>
        <w:autoSpaceDN w:val="0"/>
        <w:adjustRightInd w:val="0"/>
        <w:rPr>
          <w:rFonts w:ascii="宋体" w:hAnsi="宋体"/>
          <w:lang w:val="zh-CN"/>
        </w:rPr>
      </w:pPr>
      <w:r>
        <w:rPr>
          <w:rFonts w:ascii="宋体" w:hAnsi="宋体"/>
          <w:lang w:val="zh-CN"/>
        </w:rPr>
        <w:t xml:space="preserve">    </w:t>
      </w:r>
      <w:r>
        <w:rPr>
          <w:rFonts w:hint="eastAsia" w:ascii="宋体" w:hAnsi="宋体"/>
          <w:lang w:val="zh-CN"/>
        </w:rPr>
        <w:t>本授权书声明：注册于</w:t>
      </w:r>
      <w:r>
        <w:rPr>
          <w:rFonts w:ascii="宋体" w:hAnsi="宋体"/>
          <w:u w:val="single"/>
          <w:lang w:val="zh-CN"/>
        </w:rPr>
        <w:t xml:space="preserve">                           </w:t>
      </w:r>
      <w:r>
        <w:rPr>
          <w:rFonts w:hint="eastAsia" w:ascii="宋体" w:hAnsi="宋体"/>
          <w:lang w:val="zh-CN"/>
        </w:rPr>
        <w:t>（投标供应商住址）的</w:t>
      </w:r>
      <w:r>
        <w:rPr>
          <w:rFonts w:ascii="宋体" w:hAnsi="宋体"/>
          <w:u w:val="single"/>
          <w:lang w:val="zh-CN"/>
        </w:rPr>
        <w:t xml:space="preserve">               </w:t>
      </w:r>
      <w:r>
        <w:rPr>
          <w:rFonts w:hint="eastAsia" w:ascii="宋体" w:hAnsi="宋体"/>
          <w:lang w:val="zh-CN"/>
        </w:rPr>
        <w:t>（投标供应商名称）法定代表人</w:t>
      </w:r>
      <w:r>
        <w:rPr>
          <w:rFonts w:ascii="宋体" w:hAnsi="宋体"/>
          <w:u w:val="single"/>
          <w:lang w:val="zh-CN"/>
        </w:rPr>
        <w:t xml:space="preserve">                      </w:t>
      </w:r>
      <w:r>
        <w:rPr>
          <w:rFonts w:hint="eastAsia" w:ascii="宋体" w:hAnsi="宋体"/>
          <w:lang w:val="zh-CN"/>
        </w:rPr>
        <w:t>（法定代表人姓名、职务）代表本公司授权在下面签字的</w:t>
      </w:r>
      <w:r>
        <w:rPr>
          <w:rFonts w:ascii="宋体" w:hAnsi="宋体"/>
          <w:u w:val="single"/>
          <w:lang w:val="zh-CN"/>
        </w:rPr>
        <w:t xml:space="preserve">                       </w:t>
      </w:r>
      <w:r>
        <w:rPr>
          <w:rFonts w:hint="eastAsia" w:ascii="宋体" w:hAnsi="宋体"/>
          <w:lang w:val="zh-CN"/>
        </w:rPr>
        <w:t>（投标供应商代表姓名、职务）为本公司的合法代理人，就贵方组织的项目名称</w:t>
      </w:r>
      <w:r>
        <w:rPr>
          <w:rFonts w:ascii="宋体" w:hAnsi="宋体"/>
          <w:b/>
          <w:u w:val="single"/>
          <w:lang w:val="zh-CN"/>
        </w:rPr>
        <w:t xml:space="preserve">                    </w:t>
      </w:r>
      <w:r>
        <w:rPr>
          <w:rFonts w:hint="eastAsia" w:ascii="宋体" w:hAnsi="宋体"/>
          <w:lang w:val="zh-CN"/>
        </w:rPr>
        <w:t>，项目编号：</w:t>
      </w:r>
      <w:r>
        <w:rPr>
          <w:rFonts w:hint="eastAsia" w:ascii="宋体" w:hAnsi="宋体"/>
          <w:u w:val="single"/>
          <w:lang w:val="zh-CN"/>
        </w:rPr>
        <w:t xml:space="preserve">NJCG-2021ZC-0068 </w:t>
      </w:r>
      <w:r>
        <w:rPr>
          <w:rFonts w:hint="eastAsia" w:ascii="宋体" w:hAnsi="宋体"/>
          <w:lang w:val="zh-CN"/>
        </w:rPr>
        <w:t>投标，以本公司名义处理一切与之有关的事务。</w:t>
      </w:r>
    </w:p>
    <w:p>
      <w:pPr>
        <w:autoSpaceDE w:val="0"/>
        <w:autoSpaceDN w:val="0"/>
        <w:adjustRightInd w:val="0"/>
        <w:rPr>
          <w:rFonts w:ascii="宋体" w:hAnsi="宋体"/>
          <w:lang w:val="zh-CN"/>
        </w:rPr>
      </w:pPr>
      <w:r>
        <w:rPr>
          <w:rFonts w:ascii="宋体" w:hAnsi="宋体"/>
          <w:lang w:val="zh-CN"/>
        </w:rPr>
        <w:t xml:space="preserve">    </w:t>
      </w:r>
      <w:r>
        <w:rPr>
          <w:rFonts w:hint="eastAsia" w:ascii="宋体" w:hAnsi="宋体"/>
          <w:lang w:val="zh-CN"/>
        </w:rPr>
        <w:t>本授权书于</w:t>
      </w:r>
      <w:r>
        <w:rPr>
          <w:rFonts w:ascii="宋体" w:hAnsi="宋体"/>
          <w:lang w:val="zh-CN"/>
        </w:rPr>
        <w:t xml:space="preserve">    </w:t>
      </w:r>
      <w:r>
        <w:rPr>
          <w:rFonts w:hint="eastAsia" w:ascii="宋体" w:hAnsi="宋体"/>
          <w:lang w:val="zh-CN"/>
        </w:rPr>
        <w:t>年</w:t>
      </w:r>
      <w:r>
        <w:rPr>
          <w:rFonts w:ascii="宋体" w:hAnsi="宋体"/>
          <w:lang w:val="zh-CN"/>
        </w:rPr>
        <w:t xml:space="preserve">  </w:t>
      </w:r>
      <w:r>
        <w:rPr>
          <w:rFonts w:hint="eastAsia" w:ascii="宋体" w:hAnsi="宋体"/>
          <w:lang w:val="zh-CN"/>
        </w:rPr>
        <w:t>月</w:t>
      </w:r>
      <w:r>
        <w:rPr>
          <w:rFonts w:ascii="宋体" w:hAnsi="宋体"/>
          <w:lang w:val="zh-CN"/>
        </w:rPr>
        <w:t xml:space="preserve">  </w:t>
      </w:r>
      <w:r>
        <w:rPr>
          <w:rFonts w:hint="eastAsia" w:ascii="宋体" w:hAnsi="宋体"/>
          <w:lang w:val="zh-CN"/>
        </w:rPr>
        <w:t>日签字生效，特此声明。</w:t>
      </w:r>
    </w:p>
    <w:p>
      <w:pPr>
        <w:autoSpaceDE w:val="0"/>
        <w:autoSpaceDN w:val="0"/>
        <w:adjustRightInd w:val="0"/>
        <w:rPr>
          <w:rFonts w:ascii="宋体" w:hAnsi="宋体"/>
          <w:lang w:val="zh-CN"/>
        </w:rPr>
      </w:pPr>
      <w:r>
        <w:rPr>
          <w:rFonts w:ascii="宋体" w:hAnsi="宋体"/>
          <w:lang w:val="zh-CN"/>
        </w:rPr>
        <w:t xml:space="preserve">    </w:t>
      </w:r>
      <w:r>
        <w:rPr>
          <w:rFonts w:hint="eastAsia" w:ascii="宋体" w:hAnsi="宋体"/>
          <w:lang w:val="zh-CN"/>
        </w:rPr>
        <w:t>法定代表人签字：</w:t>
      </w:r>
    </w:p>
    <w:p>
      <w:pPr>
        <w:autoSpaceDE w:val="0"/>
        <w:autoSpaceDN w:val="0"/>
        <w:adjustRightInd w:val="0"/>
        <w:rPr>
          <w:rFonts w:ascii="宋体" w:hAnsi="宋体"/>
          <w:lang w:val="zh-CN"/>
        </w:rPr>
      </w:pPr>
      <w:r>
        <w:rPr>
          <w:rFonts w:ascii="宋体" w:hAnsi="宋体"/>
          <w:lang w:val="zh-CN"/>
        </w:rPr>
        <w:t xml:space="preserve">    </w:t>
      </w:r>
      <w:r>
        <w:rPr>
          <w:rFonts w:hint="eastAsia" w:ascii="宋体" w:hAnsi="宋体"/>
          <w:lang w:val="zh-CN"/>
        </w:rPr>
        <w:t>被授权人签字：</w:t>
      </w:r>
      <w:r>
        <w:rPr>
          <w:rFonts w:ascii="宋体" w:hAnsi="宋体"/>
          <w:lang w:val="zh-CN"/>
        </w:rPr>
        <w:t xml:space="preserve">                    </w:t>
      </w:r>
    </w:p>
    <w:p>
      <w:pPr>
        <w:tabs>
          <w:tab w:val="left" w:pos="1440"/>
        </w:tabs>
        <w:autoSpaceDE w:val="0"/>
        <w:autoSpaceDN w:val="0"/>
        <w:adjustRightInd w:val="0"/>
        <w:ind w:firstLine="420"/>
        <w:rPr>
          <w:rFonts w:hint="eastAsia" w:ascii="宋体" w:hAnsi="宋体"/>
          <w:lang w:val="zh-CN"/>
        </w:rPr>
      </w:pPr>
      <w:r>
        <w:rPr>
          <w:rFonts w:hint="eastAsia" w:ascii="宋体" w:hAnsi="宋体"/>
          <w:lang w:val="zh-CN"/>
        </w:rPr>
        <w:t>日</w:t>
      </w:r>
      <w:r>
        <w:rPr>
          <w:rFonts w:ascii="宋体" w:hAnsi="宋体"/>
          <w:lang w:val="zh-CN"/>
        </w:rPr>
        <w:t xml:space="preserve">        </w:t>
      </w:r>
      <w:r>
        <w:rPr>
          <w:rFonts w:hint="eastAsia" w:ascii="宋体" w:hAnsi="宋体"/>
          <w:lang w:val="zh-CN"/>
        </w:rPr>
        <w:t>期：</w:t>
      </w:r>
      <w:r>
        <w:rPr>
          <w:rFonts w:ascii="宋体" w:hAnsi="宋体"/>
          <w:lang w:val="zh-CN"/>
        </w:rPr>
        <w:t xml:space="preserve">        </w:t>
      </w:r>
      <w:r>
        <w:rPr>
          <w:rFonts w:hint="eastAsia" w:ascii="宋体" w:hAnsi="宋体"/>
          <w:lang w:val="zh-CN"/>
        </w:rPr>
        <w:t>年</w:t>
      </w:r>
      <w:r>
        <w:rPr>
          <w:rFonts w:ascii="宋体" w:hAnsi="宋体"/>
          <w:lang w:val="zh-CN"/>
        </w:rPr>
        <w:t xml:space="preserve">    </w:t>
      </w:r>
      <w:r>
        <w:rPr>
          <w:rFonts w:hint="eastAsia" w:ascii="宋体" w:hAnsi="宋体"/>
          <w:lang w:val="zh-CN"/>
        </w:rPr>
        <w:t>月</w:t>
      </w:r>
      <w:r>
        <w:rPr>
          <w:rFonts w:ascii="宋体" w:hAnsi="宋体"/>
          <w:lang w:val="zh-CN"/>
        </w:rPr>
        <w:t xml:space="preserve">    </w:t>
      </w:r>
      <w:r>
        <w:rPr>
          <w:rFonts w:hint="eastAsia" w:ascii="宋体" w:hAnsi="宋体"/>
          <w:lang w:val="zh-CN"/>
        </w:rPr>
        <w:t>日</w:t>
      </w:r>
    </w:p>
    <w:p>
      <w:pPr>
        <w:tabs>
          <w:tab w:val="left" w:pos="1440"/>
        </w:tabs>
        <w:autoSpaceDE w:val="0"/>
        <w:autoSpaceDN w:val="0"/>
        <w:adjustRightInd w:val="0"/>
        <w:spacing w:line="360" w:lineRule="auto"/>
        <w:ind w:firstLine="420"/>
        <w:rPr>
          <w:rFonts w:hint="eastAsia" w:ascii="宋体" w:hAnsi="宋体"/>
          <w:color w:val="FF0000"/>
          <w:lang w:val="zh-CN"/>
        </w:rPr>
      </w:pPr>
    </w:p>
    <w:p>
      <w:pPr>
        <w:pStyle w:val="4"/>
        <w:rPr>
          <w:rFonts w:hint="eastAsia" w:ascii="宋体" w:hAnsi="宋体" w:eastAsia="宋体"/>
          <w:sz w:val="21"/>
          <w:szCs w:val="21"/>
          <w:lang w:val="zh-CN"/>
        </w:rPr>
      </w:pPr>
      <w:bookmarkStart w:id="90" w:name="_Toc422907295"/>
      <w:bookmarkStart w:id="91" w:name="_Toc401304089"/>
      <w:bookmarkStart w:id="92" w:name="_Toc338684380"/>
      <w:bookmarkStart w:id="93" w:name="_Toc3512"/>
      <w:bookmarkStart w:id="94" w:name="_Toc11051726"/>
      <w:bookmarkStart w:id="95" w:name="_Toc274907025"/>
      <w:r>
        <w:rPr>
          <w:rFonts w:hint="eastAsia" w:ascii="宋体" w:hAnsi="宋体" w:eastAsia="宋体"/>
          <w:sz w:val="21"/>
          <w:szCs w:val="21"/>
          <w:lang w:val="zh-CN"/>
        </w:rPr>
        <w:br w:type="page"/>
      </w:r>
      <w:r>
        <w:rPr>
          <w:rFonts w:hint="eastAsia" w:ascii="宋体" w:hAnsi="宋体" w:eastAsia="宋体"/>
          <w:sz w:val="21"/>
          <w:szCs w:val="21"/>
          <w:lang w:val="zh-CN"/>
        </w:rPr>
        <w:t>附件三、开标一览表格式</w:t>
      </w:r>
      <w:bookmarkEnd w:id="90"/>
      <w:bookmarkEnd w:id="91"/>
      <w:bookmarkEnd w:id="92"/>
      <w:bookmarkEnd w:id="93"/>
      <w:bookmarkEnd w:id="94"/>
      <w:bookmarkEnd w:id="95"/>
    </w:p>
    <w:p>
      <w:pPr>
        <w:autoSpaceDE w:val="0"/>
        <w:autoSpaceDN w:val="0"/>
        <w:adjustRightInd w:val="0"/>
        <w:spacing w:line="360" w:lineRule="auto"/>
        <w:ind w:firstLine="3960" w:firstLineChars="1100"/>
        <w:rPr>
          <w:rFonts w:hint="eastAsia" w:ascii="宋体" w:hAnsi="宋体"/>
          <w:sz w:val="36"/>
          <w:lang w:val="zh-CN"/>
        </w:rPr>
      </w:pPr>
      <w:r>
        <w:rPr>
          <w:rFonts w:hint="eastAsia" w:ascii="宋体" w:hAnsi="宋体"/>
          <w:sz w:val="36"/>
          <w:lang w:val="zh-CN"/>
        </w:rPr>
        <w:t>开标一览表</w:t>
      </w:r>
    </w:p>
    <w:tbl>
      <w:tblPr>
        <w:tblStyle w:val="30"/>
        <w:tblW w:w="8586"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7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9" w:hRule="atLeast"/>
        </w:trPr>
        <w:tc>
          <w:tcPr>
            <w:tcW w:w="1122" w:type="dxa"/>
            <w:vMerge w:val="restart"/>
            <w:noWrap w:val="0"/>
            <w:vAlign w:val="center"/>
          </w:tcPr>
          <w:p>
            <w:pPr>
              <w:pStyle w:val="10"/>
              <w:spacing w:after="0"/>
              <w:jc w:val="center"/>
              <w:rPr>
                <w:rFonts w:ascii="宋体" w:hAnsi="宋体"/>
                <w:bCs/>
                <w:szCs w:val="21"/>
                <w:lang w:val="en-US" w:eastAsia="zh-CN"/>
              </w:rPr>
            </w:pPr>
            <w:r>
              <w:rPr>
                <w:rFonts w:ascii="宋体" w:hAnsi="宋体"/>
                <w:bCs/>
                <w:szCs w:val="21"/>
                <w:lang w:val="en-US" w:eastAsia="zh-CN"/>
              </w:rPr>
              <w:t>投标报价</w:t>
            </w:r>
          </w:p>
        </w:tc>
        <w:tc>
          <w:tcPr>
            <w:tcW w:w="7464" w:type="dxa"/>
            <w:tcBorders>
              <w:bottom w:val="single" w:color="auto" w:sz="4" w:space="0"/>
            </w:tcBorders>
            <w:noWrap w:val="0"/>
            <w:vAlign w:val="center"/>
          </w:tcPr>
          <w:p>
            <w:pPr>
              <w:pStyle w:val="10"/>
              <w:spacing w:after="0"/>
              <w:rPr>
                <w:rFonts w:hint="eastAsia"/>
                <w:b/>
                <w:bCs/>
                <w:lang w:val="en-US" w:eastAsia="zh-CN"/>
              </w:rPr>
            </w:pPr>
            <w:r>
              <w:rPr>
                <w:rFonts w:hint="eastAsia"/>
                <w:b/>
                <w:bCs/>
                <w:lang w:val="en-US" w:eastAsia="zh-CN"/>
              </w:rPr>
              <w:t>一标段（包一）：</w:t>
            </w:r>
          </w:p>
          <w:p>
            <w:pPr>
              <w:pStyle w:val="10"/>
              <w:spacing w:after="0"/>
              <w:rPr>
                <w:rFonts w:hint="eastAsia"/>
                <w:b/>
                <w:bCs/>
                <w:lang w:val="en-US" w:eastAsia="zh-CN"/>
              </w:rPr>
            </w:pPr>
            <w:r>
              <w:rPr>
                <w:rFonts w:hint="eastAsia"/>
                <w:b/>
                <w:bCs/>
                <w:lang w:val="en-US" w:eastAsia="zh-CN"/>
              </w:rPr>
              <w:t>日常管养费用</w:t>
            </w:r>
            <w:r>
              <w:rPr>
                <w:b/>
                <w:bCs/>
                <w:lang w:val="en-US" w:eastAsia="zh-CN"/>
              </w:rPr>
              <w:t>：</w:t>
            </w:r>
          </w:p>
          <w:p>
            <w:pPr>
              <w:pStyle w:val="10"/>
              <w:spacing w:after="0"/>
              <w:ind w:left="360"/>
              <w:rPr>
                <w:rFonts w:hint="eastAsia"/>
                <w:b/>
                <w:bCs/>
                <w:u w:val="single"/>
                <w:lang w:val="en-US" w:eastAsia="zh-CN"/>
              </w:rPr>
            </w:pPr>
            <w:r>
              <w:rPr>
                <w:rFonts w:hint="eastAsia"/>
                <w:b/>
                <w:bCs/>
                <w:lang w:val="en-US" w:eastAsia="zh-CN"/>
              </w:rPr>
              <w:t xml:space="preserve">月度费用（大写）（元）：人民币 </w:t>
            </w:r>
            <w:r>
              <w:rPr>
                <w:rFonts w:hint="eastAsia"/>
                <w:b/>
                <w:bCs/>
                <w:u w:val="single"/>
                <w:lang w:val="en-US" w:eastAsia="zh-CN"/>
              </w:rPr>
              <w:t xml:space="preserve">                  </w:t>
            </w:r>
          </w:p>
          <w:p>
            <w:pPr>
              <w:pStyle w:val="10"/>
              <w:spacing w:after="0"/>
              <w:ind w:left="360"/>
              <w:rPr>
                <w:rFonts w:hint="eastAsia"/>
                <w:b/>
                <w:bCs/>
                <w:u w:val="single"/>
                <w:lang w:val="en-US" w:eastAsia="zh-CN"/>
              </w:rPr>
            </w:pPr>
            <w:r>
              <w:rPr>
                <w:rFonts w:hint="eastAsia"/>
                <w:b/>
                <w:bCs/>
                <w:lang w:val="en-US" w:eastAsia="zh-CN"/>
              </w:rPr>
              <w:t xml:space="preserve">      （小写）（元）人民币</w:t>
            </w:r>
            <w:r>
              <w:rPr>
                <w:rFonts w:hint="eastAsia"/>
                <w:b/>
                <w:bCs/>
                <w:u w:val="single"/>
                <w:lang w:val="en-US" w:eastAsia="zh-CN"/>
              </w:rPr>
              <w:t xml:space="preserve">                                   </w:t>
            </w:r>
          </w:p>
          <w:p>
            <w:pPr>
              <w:pStyle w:val="10"/>
              <w:spacing w:after="0"/>
              <w:ind w:left="360"/>
              <w:rPr>
                <w:rFonts w:hint="eastAsia"/>
                <w:b/>
                <w:bCs/>
                <w:lang w:val="en-US" w:eastAsia="zh-CN"/>
              </w:rPr>
            </w:pPr>
            <w:r>
              <w:rPr>
                <w:rFonts w:hint="eastAsia"/>
                <w:b/>
                <w:bCs/>
                <w:lang w:val="en-US" w:eastAsia="zh-CN"/>
              </w:rPr>
              <w:t xml:space="preserve">    </w:t>
            </w:r>
          </w:p>
          <w:p>
            <w:pPr>
              <w:pStyle w:val="10"/>
              <w:spacing w:after="0"/>
              <w:ind w:left="360"/>
              <w:rPr>
                <w:rFonts w:hint="eastAsia"/>
                <w:b/>
                <w:bCs/>
                <w:u w:val="single"/>
                <w:lang w:val="en-US" w:eastAsia="zh-CN"/>
              </w:rPr>
            </w:pPr>
            <w:r>
              <w:rPr>
                <w:rFonts w:hint="eastAsia"/>
                <w:b/>
                <w:bCs/>
                <w:lang w:val="en-US" w:eastAsia="zh-CN"/>
              </w:rPr>
              <w:t>年度费用（月度费用×12）（大写）（元）：人民币</w:t>
            </w:r>
            <w:r>
              <w:rPr>
                <w:rFonts w:hint="eastAsia"/>
                <w:b/>
                <w:bCs/>
                <w:u w:val="single"/>
                <w:lang w:val="en-US" w:eastAsia="zh-CN"/>
              </w:rPr>
              <w:t xml:space="preserve">  </w:t>
            </w:r>
          </w:p>
          <w:p>
            <w:pPr>
              <w:pStyle w:val="10"/>
              <w:spacing w:after="0"/>
              <w:ind w:left="360"/>
              <w:rPr>
                <w:rFonts w:hint="eastAsia"/>
                <w:b/>
                <w:bCs/>
                <w:u w:val="single"/>
                <w:lang w:val="en-US" w:eastAsia="zh-CN"/>
              </w:rPr>
            </w:pPr>
            <w:r>
              <w:rPr>
                <w:rFonts w:hint="eastAsia"/>
                <w:b/>
                <w:bCs/>
                <w:lang w:val="en-US" w:eastAsia="zh-CN"/>
              </w:rPr>
              <w:t xml:space="preserve">       （小写）（元）人民币</w:t>
            </w:r>
            <w:r>
              <w:rPr>
                <w:rFonts w:hint="eastAsia"/>
                <w:b/>
                <w:bCs/>
                <w:u w:val="single"/>
                <w:lang w:val="en-US" w:eastAsia="zh-CN"/>
              </w:rPr>
              <w:t xml:space="preserve">                                   </w:t>
            </w:r>
          </w:p>
          <w:p>
            <w:pPr>
              <w:pStyle w:val="10"/>
              <w:rPr>
                <w:rFonts w:hint="eastAsia"/>
                <w:b/>
                <w:bCs/>
                <w:lang w:val="en-US" w:eastAsia="zh-CN"/>
              </w:rPr>
            </w:pPr>
          </w:p>
          <w:p>
            <w:pPr>
              <w:pStyle w:val="10"/>
              <w:rPr>
                <w:rFonts w:hint="eastAsia" w:ascii="宋体" w:hAnsi="宋体"/>
                <w:bCs/>
                <w:szCs w:val="21"/>
                <w:u w:val="single"/>
                <w:lang w:val="en-US" w:eastAsia="zh-CN"/>
              </w:rPr>
            </w:pPr>
            <w:r>
              <w:rPr>
                <w:rFonts w:hint="eastAsia"/>
                <w:b/>
                <w:bCs/>
                <w:lang w:val="en-US" w:eastAsia="zh-CN"/>
              </w:rPr>
              <w:t>专项维修费用折扣率：</w:t>
            </w:r>
            <w:r>
              <w:rPr>
                <w:rFonts w:hint="eastAsia"/>
                <w:b/>
                <w:bCs/>
                <w:u w:val="single"/>
                <w:lang w:val="en-US" w:eastAsia="zh-CN"/>
              </w:rPr>
              <w:t xml:space="preserve">                    %</w:t>
            </w:r>
            <w:r>
              <w:rPr>
                <w:rFonts w:hint="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3" w:hRule="atLeast"/>
        </w:trPr>
        <w:tc>
          <w:tcPr>
            <w:tcW w:w="1122" w:type="dxa"/>
            <w:vMerge w:val="continue"/>
            <w:noWrap w:val="0"/>
            <w:vAlign w:val="center"/>
          </w:tcPr>
          <w:p>
            <w:pPr>
              <w:pStyle w:val="10"/>
              <w:spacing w:after="0"/>
              <w:jc w:val="center"/>
              <w:rPr>
                <w:rFonts w:ascii="宋体" w:hAnsi="宋体"/>
                <w:bCs/>
                <w:szCs w:val="21"/>
                <w:lang w:val="en-US" w:eastAsia="zh-CN"/>
              </w:rPr>
            </w:pPr>
          </w:p>
        </w:tc>
        <w:tc>
          <w:tcPr>
            <w:tcW w:w="7464" w:type="dxa"/>
            <w:noWrap w:val="0"/>
            <w:vAlign w:val="center"/>
          </w:tcPr>
          <w:p>
            <w:pPr>
              <w:pStyle w:val="10"/>
              <w:spacing w:after="0"/>
              <w:rPr>
                <w:rFonts w:hint="eastAsia"/>
                <w:b/>
                <w:bCs/>
                <w:lang w:val="en-US" w:eastAsia="zh-CN"/>
              </w:rPr>
            </w:pPr>
            <w:r>
              <w:rPr>
                <w:rFonts w:hint="eastAsia"/>
                <w:b/>
                <w:bCs/>
                <w:lang w:val="en-US" w:eastAsia="zh-CN"/>
              </w:rPr>
              <w:t>二标段（包二）：</w:t>
            </w:r>
          </w:p>
          <w:p>
            <w:pPr>
              <w:pStyle w:val="10"/>
              <w:spacing w:after="0"/>
              <w:rPr>
                <w:rFonts w:hint="eastAsia"/>
                <w:b/>
                <w:bCs/>
                <w:lang w:val="en-US" w:eastAsia="zh-CN"/>
              </w:rPr>
            </w:pPr>
            <w:r>
              <w:rPr>
                <w:rFonts w:hint="eastAsia"/>
                <w:b/>
                <w:bCs/>
                <w:lang w:val="en-US" w:eastAsia="zh-CN"/>
              </w:rPr>
              <w:t>日常管养费用</w:t>
            </w:r>
            <w:r>
              <w:rPr>
                <w:b/>
                <w:bCs/>
                <w:lang w:val="en-US" w:eastAsia="zh-CN"/>
              </w:rPr>
              <w:t>：</w:t>
            </w:r>
          </w:p>
          <w:p>
            <w:pPr>
              <w:pStyle w:val="10"/>
              <w:spacing w:after="0"/>
              <w:ind w:left="360"/>
              <w:rPr>
                <w:rFonts w:hint="eastAsia"/>
                <w:b/>
                <w:bCs/>
                <w:u w:val="single"/>
                <w:lang w:val="en-US" w:eastAsia="zh-CN"/>
              </w:rPr>
            </w:pPr>
            <w:r>
              <w:rPr>
                <w:rFonts w:hint="eastAsia"/>
                <w:b/>
                <w:bCs/>
                <w:lang w:val="en-US" w:eastAsia="zh-CN"/>
              </w:rPr>
              <w:t xml:space="preserve">月度费用（大写）（元）：人民币 </w:t>
            </w:r>
            <w:r>
              <w:rPr>
                <w:rFonts w:hint="eastAsia"/>
                <w:b/>
                <w:bCs/>
                <w:u w:val="single"/>
                <w:lang w:val="en-US" w:eastAsia="zh-CN"/>
              </w:rPr>
              <w:t xml:space="preserve">                  </w:t>
            </w:r>
          </w:p>
          <w:p>
            <w:pPr>
              <w:pStyle w:val="10"/>
              <w:spacing w:after="0"/>
              <w:ind w:left="360"/>
              <w:rPr>
                <w:rFonts w:hint="eastAsia"/>
                <w:b/>
                <w:bCs/>
                <w:u w:val="single"/>
                <w:lang w:val="en-US" w:eastAsia="zh-CN"/>
              </w:rPr>
            </w:pPr>
            <w:r>
              <w:rPr>
                <w:rFonts w:hint="eastAsia"/>
                <w:b/>
                <w:bCs/>
                <w:lang w:val="en-US" w:eastAsia="zh-CN"/>
              </w:rPr>
              <w:t xml:space="preserve">      （小写）（元）人民币</w:t>
            </w:r>
            <w:r>
              <w:rPr>
                <w:rFonts w:hint="eastAsia"/>
                <w:b/>
                <w:bCs/>
                <w:u w:val="single"/>
                <w:lang w:val="en-US" w:eastAsia="zh-CN"/>
              </w:rPr>
              <w:t xml:space="preserve">                                   </w:t>
            </w:r>
          </w:p>
          <w:p>
            <w:pPr>
              <w:pStyle w:val="10"/>
              <w:spacing w:after="0"/>
              <w:ind w:left="360"/>
              <w:rPr>
                <w:rFonts w:hint="eastAsia"/>
                <w:b/>
                <w:bCs/>
                <w:lang w:val="en-US" w:eastAsia="zh-CN"/>
              </w:rPr>
            </w:pPr>
            <w:r>
              <w:rPr>
                <w:rFonts w:hint="eastAsia"/>
                <w:b/>
                <w:bCs/>
                <w:lang w:val="en-US" w:eastAsia="zh-CN"/>
              </w:rPr>
              <w:t xml:space="preserve">    </w:t>
            </w:r>
          </w:p>
          <w:p>
            <w:pPr>
              <w:pStyle w:val="10"/>
              <w:spacing w:after="0"/>
              <w:ind w:left="360"/>
              <w:rPr>
                <w:rFonts w:hint="eastAsia"/>
                <w:b/>
                <w:bCs/>
                <w:u w:val="single"/>
                <w:lang w:val="en-US" w:eastAsia="zh-CN"/>
              </w:rPr>
            </w:pPr>
            <w:r>
              <w:rPr>
                <w:rFonts w:hint="eastAsia"/>
                <w:b/>
                <w:bCs/>
                <w:lang w:val="en-US" w:eastAsia="zh-CN"/>
              </w:rPr>
              <w:t>年度费用（月度费用×12）（大写）（元）：人民币</w:t>
            </w:r>
            <w:r>
              <w:rPr>
                <w:rFonts w:hint="eastAsia"/>
                <w:b/>
                <w:bCs/>
                <w:u w:val="single"/>
                <w:lang w:val="en-US" w:eastAsia="zh-CN"/>
              </w:rPr>
              <w:t xml:space="preserve">  </w:t>
            </w:r>
          </w:p>
          <w:p>
            <w:pPr>
              <w:pStyle w:val="10"/>
              <w:spacing w:after="0"/>
              <w:ind w:left="360"/>
              <w:rPr>
                <w:rFonts w:hint="eastAsia"/>
                <w:b/>
                <w:bCs/>
                <w:u w:val="single"/>
                <w:lang w:val="en-US" w:eastAsia="zh-CN"/>
              </w:rPr>
            </w:pPr>
            <w:r>
              <w:rPr>
                <w:rFonts w:hint="eastAsia"/>
                <w:b/>
                <w:bCs/>
                <w:lang w:val="en-US" w:eastAsia="zh-CN"/>
              </w:rPr>
              <w:t xml:space="preserve">       （小写）（元）人民币</w:t>
            </w:r>
            <w:r>
              <w:rPr>
                <w:rFonts w:hint="eastAsia"/>
                <w:b/>
                <w:bCs/>
                <w:u w:val="single"/>
                <w:lang w:val="en-US" w:eastAsia="zh-CN"/>
              </w:rPr>
              <w:t xml:space="preserve">                                   </w:t>
            </w:r>
          </w:p>
          <w:p>
            <w:pPr>
              <w:pStyle w:val="10"/>
              <w:rPr>
                <w:rFonts w:hint="eastAsia"/>
                <w:b/>
                <w:bCs/>
                <w:lang w:val="en-US" w:eastAsia="zh-CN"/>
              </w:rPr>
            </w:pPr>
          </w:p>
          <w:p>
            <w:pPr>
              <w:pStyle w:val="10"/>
              <w:rPr>
                <w:rFonts w:hint="eastAsia"/>
                <w:b/>
                <w:bCs/>
                <w:lang w:val="en-US" w:eastAsia="zh-CN"/>
              </w:rPr>
            </w:pPr>
            <w:r>
              <w:rPr>
                <w:rFonts w:hint="eastAsia"/>
                <w:b/>
                <w:bCs/>
                <w:lang w:val="en-US" w:eastAsia="zh-CN"/>
              </w:rPr>
              <w:t>专项维修费用折扣率：</w:t>
            </w:r>
            <w:r>
              <w:rPr>
                <w:rFonts w:hint="eastAsia"/>
                <w:b/>
                <w:bCs/>
                <w:u w:val="single"/>
                <w:lang w:val="en-US" w:eastAsia="zh-CN"/>
              </w:rPr>
              <w:t xml:space="preserve">                    %</w:t>
            </w:r>
            <w:r>
              <w:rPr>
                <w:rFonts w:hint="eastAsia"/>
                <w:b/>
                <w:b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122" w:type="dxa"/>
            <w:noWrap w:val="0"/>
            <w:vAlign w:val="center"/>
          </w:tcPr>
          <w:p>
            <w:pPr>
              <w:pStyle w:val="10"/>
              <w:spacing w:after="0"/>
              <w:jc w:val="center"/>
              <w:rPr>
                <w:rFonts w:ascii="宋体" w:hAnsi="宋体"/>
                <w:bCs/>
                <w:szCs w:val="21"/>
                <w:lang w:val="en-US" w:eastAsia="zh-CN"/>
              </w:rPr>
            </w:pPr>
            <w:r>
              <w:rPr>
                <w:rFonts w:ascii="宋体" w:hAnsi="宋体"/>
                <w:bCs/>
                <w:szCs w:val="21"/>
                <w:lang w:val="en-US" w:eastAsia="zh-CN"/>
              </w:rPr>
              <w:t>标书份数</w:t>
            </w:r>
          </w:p>
        </w:tc>
        <w:tc>
          <w:tcPr>
            <w:tcW w:w="7464" w:type="dxa"/>
            <w:noWrap w:val="0"/>
            <w:vAlign w:val="center"/>
          </w:tcPr>
          <w:p>
            <w:pPr>
              <w:pStyle w:val="10"/>
              <w:spacing w:after="0"/>
              <w:rPr>
                <w:rFonts w:ascii="宋体" w:hAnsi="宋体"/>
                <w:bCs/>
                <w:szCs w:val="21"/>
                <w:lang w:val="en-US" w:eastAsia="zh-CN"/>
              </w:rPr>
            </w:pPr>
            <w:r>
              <w:rPr>
                <w:rFonts w:ascii="宋体" w:hAnsi="宋体"/>
                <w:bCs/>
                <w:szCs w:val="21"/>
                <w:lang w:val="en-US" w:eastAsia="zh-CN"/>
              </w:rPr>
              <w:t>正本：</w:t>
            </w:r>
            <w:r>
              <w:rPr>
                <w:rFonts w:ascii="宋体" w:hAnsi="宋体"/>
                <w:bCs/>
                <w:szCs w:val="21"/>
                <w:u w:val="single"/>
                <w:lang w:val="en-US" w:eastAsia="zh-CN"/>
              </w:rPr>
              <w:t xml:space="preserve">       </w:t>
            </w:r>
            <w:r>
              <w:rPr>
                <w:rFonts w:ascii="宋体" w:hAnsi="宋体"/>
                <w:bCs/>
                <w:szCs w:val="21"/>
                <w:lang w:val="en-US" w:eastAsia="zh-CN"/>
              </w:rPr>
              <w:t>份、副本：</w:t>
            </w:r>
            <w:r>
              <w:rPr>
                <w:rFonts w:ascii="宋体" w:hAnsi="宋体"/>
                <w:bCs/>
                <w:szCs w:val="21"/>
                <w:u w:val="single"/>
                <w:lang w:val="en-US" w:eastAsia="zh-CN"/>
              </w:rPr>
              <w:t xml:space="preserve">      </w:t>
            </w:r>
            <w:r>
              <w:rPr>
                <w:rFonts w:ascii="宋体" w:hAnsi="宋体"/>
                <w:bCs/>
                <w:szCs w:val="21"/>
                <w:lang w:val="en-US" w:eastAsia="zh-CN"/>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22" w:type="dxa"/>
            <w:noWrap w:val="0"/>
            <w:vAlign w:val="center"/>
          </w:tcPr>
          <w:p>
            <w:pPr>
              <w:pStyle w:val="10"/>
              <w:spacing w:after="0"/>
              <w:jc w:val="center"/>
              <w:rPr>
                <w:rFonts w:ascii="宋体" w:hAnsi="宋体"/>
                <w:bCs/>
                <w:szCs w:val="21"/>
                <w:lang w:val="en-US" w:eastAsia="zh-CN"/>
              </w:rPr>
            </w:pPr>
            <w:r>
              <w:rPr>
                <w:rFonts w:ascii="宋体" w:hAnsi="宋体"/>
                <w:bCs/>
                <w:szCs w:val="21"/>
                <w:lang w:val="en-US" w:eastAsia="zh-CN"/>
              </w:rPr>
              <w:t>其它</w:t>
            </w:r>
          </w:p>
        </w:tc>
        <w:tc>
          <w:tcPr>
            <w:tcW w:w="7464" w:type="dxa"/>
            <w:noWrap w:val="0"/>
            <w:vAlign w:val="center"/>
          </w:tcPr>
          <w:p>
            <w:pPr>
              <w:pStyle w:val="10"/>
              <w:spacing w:after="0"/>
              <w:rPr>
                <w:rFonts w:ascii="宋体" w:hAnsi="宋体"/>
                <w:bCs/>
                <w:szCs w:val="21"/>
                <w:lang w:val="en-US" w:eastAsia="zh-CN"/>
              </w:rPr>
            </w:pPr>
            <w:r>
              <w:rPr>
                <w:rFonts w:ascii="宋体" w:hAnsi="宋体"/>
                <w:szCs w:val="21"/>
                <w:lang w:val="en-US" w:eastAsia="zh-CN"/>
              </w:rPr>
              <w:t>（如有优惠条件须在此注明）</w:t>
            </w:r>
          </w:p>
        </w:tc>
      </w:tr>
    </w:tbl>
    <w:p>
      <w:pPr>
        <w:autoSpaceDE w:val="0"/>
        <w:autoSpaceDN w:val="0"/>
        <w:adjustRightInd w:val="0"/>
        <w:ind w:firstLine="210" w:firstLineChars="100"/>
        <w:rPr>
          <w:rFonts w:hint="eastAsia" w:ascii="宋体" w:hAnsi="宋体"/>
          <w:lang w:val="zh-CN"/>
        </w:rPr>
      </w:pPr>
      <w:r>
        <w:rPr>
          <w:rFonts w:hint="eastAsia" w:ascii="宋体" w:hAnsi="宋体"/>
          <w:lang w:val="zh-CN"/>
        </w:rPr>
        <w:t>投标供应商</w:t>
      </w:r>
      <w:r>
        <w:rPr>
          <w:rFonts w:ascii="宋体" w:hAnsi="宋体"/>
          <w:lang w:val="zh-CN"/>
        </w:rPr>
        <w:t>:</w:t>
      </w:r>
      <w:r>
        <w:rPr>
          <w:rFonts w:hint="eastAsia" w:ascii="宋体" w:hAnsi="宋体"/>
          <w:lang w:val="zh-CN"/>
        </w:rPr>
        <w:t xml:space="preserve"> </w:t>
      </w:r>
      <w:r>
        <w:rPr>
          <w:rFonts w:hint="eastAsia" w:ascii="宋体" w:hAnsi="宋体"/>
          <w:u w:val="single"/>
          <w:lang w:val="zh-CN"/>
        </w:rPr>
        <w:t xml:space="preserve">                                                 </w:t>
      </w:r>
      <w:r>
        <w:rPr>
          <w:rFonts w:hint="eastAsia" w:ascii="宋体" w:hAnsi="宋体"/>
          <w:lang w:val="zh-CN"/>
        </w:rPr>
        <w:t>（盖章）</w:t>
      </w:r>
    </w:p>
    <w:p>
      <w:pPr>
        <w:autoSpaceDE w:val="0"/>
        <w:autoSpaceDN w:val="0"/>
        <w:adjustRightInd w:val="0"/>
        <w:ind w:firstLine="210" w:firstLineChars="100"/>
        <w:rPr>
          <w:rFonts w:hint="eastAsia" w:ascii="宋体" w:hAnsi="宋体"/>
          <w:lang w:val="zh-CN"/>
        </w:rPr>
      </w:pPr>
      <w:r>
        <w:rPr>
          <w:rFonts w:hint="eastAsia" w:ascii="宋体" w:hAnsi="宋体"/>
          <w:lang w:val="zh-CN"/>
        </w:rPr>
        <w:t>说明：《开标一览表》一式两份，一份装订在投标文件中，一份单独封装，并标明“开标一览表”字样，随投标文件一并递交，以便唱标时查找。</w:t>
      </w:r>
    </w:p>
    <w:p>
      <w:pPr>
        <w:autoSpaceDE w:val="0"/>
        <w:autoSpaceDN w:val="0"/>
        <w:adjustRightInd w:val="0"/>
        <w:spacing w:line="360" w:lineRule="auto"/>
        <w:rPr>
          <w:rFonts w:hint="eastAsia" w:ascii="宋体" w:hAnsi="宋体"/>
          <w:b/>
          <w:lang w:val="zh-CN"/>
        </w:rPr>
      </w:pPr>
      <w:bookmarkStart w:id="96" w:name="_Toc274907026"/>
      <w:bookmarkStart w:id="97" w:name="_Toc338684381"/>
    </w:p>
    <w:p>
      <w:pPr>
        <w:autoSpaceDE w:val="0"/>
        <w:autoSpaceDN w:val="0"/>
        <w:adjustRightInd w:val="0"/>
        <w:spacing w:line="360" w:lineRule="auto"/>
        <w:rPr>
          <w:rFonts w:hint="eastAsia" w:ascii="宋体" w:hAnsi="宋体"/>
          <w:b/>
          <w:lang w:val="zh-CN"/>
        </w:rPr>
      </w:pPr>
    </w:p>
    <w:p>
      <w:pPr>
        <w:rPr>
          <w:rFonts w:hint="eastAsia"/>
          <w:lang w:val="zh-CN"/>
        </w:rPr>
      </w:pPr>
      <w:bookmarkStart w:id="98" w:name="_Toc422907296"/>
      <w:bookmarkStart w:id="99" w:name="_Toc401304090"/>
    </w:p>
    <w:p>
      <w:pPr>
        <w:rPr>
          <w:rFonts w:hint="eastAsia"/>
          <w:lang w:val="zh-CN"/>
        </w:rPr>
      </w:pPr>
    </w:p>
    <w:p>
      <w:pPr>
        <w:pStyle w:val="4"/>
        <w:rPr>
          <w:rFonts w:hint="eastAsia" w:ascii="宋体" w:hAnsi="宋体" w:eastAsia="宋体"/>
          <w:sz w:val="21"/>
          <w:szCs w:val="21"/>
          <w:lang w:val="zh-CN"/>
        </w:rPr>
      </w:pPr>
      <w:bookmarkStart w:id="100" w:name="_Toc11051727"/>
      <w:bookmarkStart w:id="101" w:name="_Toc29387"/>
      <w:r>
        <w:rPr>
          <w:rFonts w:hint="eastAsia" w:ascii="宋体" w:hAnsi="宋体" w:eastAsia="宋体"/>
          <w:sz w:val="21"/>
          <w:szCs w:val="21"/>
          <w:lang w:val="zh-CN"/>
        </w:rPr>
        <w:br w:type="page"/>
      </w:r>
      <w:r>
        <w:rPr>
          <w:rFonts w:hint="eastAsia" w:ascii="宋体" w:hAnsi="宋体" w:eastAsia="宋体"/>
          <w:sz w:val="21"/>
          <w:szCs w:val="21"/>
          <w:lang w:val="zh-CN"/>
        </w:rPr>
        <w:t>附件四、分项报价表</w:t>
      </w:r>
      <w:bookmarkEnd w:id="96"/>
      <w:bookmarkEnd w:id="97"/>
      <w:bookmarkEnd w:id="98"/>
      <w:bookmarkEnd w:id="99"/>
      <w:bookmarkEnd w:id="100"/>
      <w:bookmarkEnd w:id="101"/>
    </w:p>
    <w:p>
      <w:pPr>
        <w:pStyle w:val="2"/>
        <w:ind w:firstLine="315" w:firstLineChars="150"/>
        <w:rPr>
          <w:rFonts w:hint="eastAsia" w:ascii="宋体" w:hAnsi="宋体"/>
          <w:u w:val="single"/>
        </w:rPr>
      </w:pPr>
      <w:r>
        <w:rPr>
          <w:rFonts w:hint="eastAsia" w:ascii="宋体" w:hAnsi="宋体"/>
        </w:rPr>
        <w:t>项目编号：</w:t>
      </w:r>
      <w:r>
        <w:rPr>
          <w:rFonts w:hint="eastAsia" w:ascii="宋体" w:hAnsi="宋体"/>
          <w:u w:val="single"/>
        </w:rPr>
        <w:t xml:space="preserve"> </w:t>
      </w:r>
      <w:r>
        <w:rPr>
          <w:rFonts w:ascii="宋体" w:hAnsi="宋体"/>
          <w:u w:val="single"/>
        </w:rPr>
        <w:t xml:space="preserve">                       </w:t>
      </w:r>
    </w:p>
    <w:p>
      <w:pPr>
        <w:pStyle w:val="2"/>
        <w:ind w:firstLine="315" w:firstLineChars="150"/>
        <w:rPr>
          <w:rFonts w:hint="eastAsia" w:ascii="宋体" w:hAnsi="宋体"/>
          <w:u w:val="single"/>
        </w:rPr>
      </w:pPr>
      <w:r>
        <w:rPr>
          <w:rFonts w:hint="eastAsia" w:ascii="宋体" w:hAnsi="宋体"/>
        </w:rPr>
        <w:t>项目名称：</w:t>
      </w:r>
      <w:r>
        <w:rPr>
          <w:rFonts w:hint="eastAsia" w:ascii="宋体" w:hAnsi="宋体"/>
          <w:u w:val="single"/>
        </w:rPr>
        <w:t xml:space="preserve">                        </w:t>
      </w:r>
    </w:p>
    <w:p>
      <w:pPr>
        <w:pStyle w:val="2"/>
        <w:ind w:firstLine="315" w:firstLineChars="150"/>
        <w:rPr>
          <w:rFonts w:hint="eastAsia" w:ascii="宋体" w:hAnsi="宋体"/>
          <w:u w:val="single"/>
        </w:rPr>
      </w:pPr>
    </w:p>
    <w:p>
      <w:pPr>
        <w:pStyle w:val="2"/>
        <w:ind w:firstLine="361" w:firstLineChars="150"/>
        <w:jc w:val="center"/>
        <w:rPr>
          <w:rFonts w:hint="eastAsia" w:eastAsia="宋体"/>
          <w:b/>
          <w:sz w:val="24"/>
          <w:szCs w:val="24"/>
          <w:lang w:eastAsia="zh-CN"/>
        </w:rPr>
      </w:pPr>
      <w:r>
        <w:rPr>
          <w:rFonts w:hint="eastAsia"/>
          <w:b/>
          <w:sz w:val="24"/>
          <w:szCs w:val="24"/>
          <w:lang w:eastAsia="zh-CN"/>
        </w:rPr>
        <w:t>竹山桥泵站等12座泵站设施管养服务外包</w:t>
      </w:r>
      <w:r>
        <w:rPr>
          <w:rFonts w:hint="eastAsia"/>
          <w:b/>
          <w:sz w:val="24"/>
          <w:szCs w:val="24"/>
        </w:rPr>
        <w:t>分项报价表</w:t>
      </w:r>
      <w:r>
        <w:rPr>
          <w:rFonts w:hint="eastAsia"/>
          <w:b/>
          <w:sz w:val="24"/>
          <w:szCs w:val="24"/>
          <w:lang w:eastAsia="zh-CN"/>
        </w:rPr>
        <w:t>（</w:t>
      </w:r>
      <w:r>
        <w:rPr>
          <w:rFonts w:hint="eastAsia"/>
          <w:b/>
          <w:sz w:val="24"/>
          <w:szCs w:val="24"/>
          <w:lang w:val="en-US" w:eastAsia="zh-CN"/>
        </w:rPr>
        <w:t>包一</w:t>
      </w:r>
      <w:r>
        <w:rPr>
          <w:rFonts w:hint="eastAsia"/>
          <w:b/>
          <w:sz w:val="24"/>
          <w:szCs w:val="24"/>
          <w:lang w:eastAsia="zh-CN"/>
        </w:rPr>
        <w:t>）</w:t>
      </w:r>
    </w:p>
    <w:p>
      <w:pPr>
        <w:pStyle w:val="2"/>
        <w:ind w:firstLine="361" w:firstLineChars="150"/>
        <w:jc w:val="center"/>
        <w:rPr>
          <w:rFonts w:hint="eastAsia"/>
          <w:b/>
          <w:sz w:val="24"/>
          <w:szCs w:val="24"/>
        </w:rPr>
      </w:pPr>
    </w:p>
    <w:tbl>
      <w:tblPr>
        <w:tblStyle w:val="30"/>
        <w:tblW w:w="4998" w:type="pct"/>
        <w:tblInd w:w="0" w:type="dxa"/>
        <w:tblLayout w:type="autofit"/>
        <w:tblCellMar>
          <w:top w:w="0" w:type="dxa"/>
          <w:left w:w="108" w:type="dxa"/>
          <w:bottom w:w="0" w:type="dxa"/>
          <w:right w:w="108" w:type="dxa"/>
        </w:tblCellMar>
      </w:tblPr>
      <w:tblGrid>
        <w:gridCol w:w="840"/>
        <w:gridCol w:w="2856"/>
        <w:gridCol w:w="766"/>
        <w:gridCol w:w="876"/>
        <w:gridCol w:w="1206"/>
        <w:gridCol w:w="1206"/>
        <w:gridCol w:w="1866"/>
      </w:tblGrid>
      <w:tr>
        <w:tblPrEx>
          <w:tblCellMar>
            <w:top w:w="0" w:type="dxa"/>
            <w:left w:w="108" w:type="dxa"/>
            <w:bottom w:w="0" w:type="dxa"/>
            <w:right w:w="108" w:type="dxa"/>
          </w:tblCellMar>
        </w:tblPrEx>
        <w:trPr>
          <w:trHeight w:val="555"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02"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58" w:type="pct"/>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单位</w:t>
            </w:r>
          </w:p>
        </w:tc>
        <w:tc>
          <w:tcPr>
            <w:tcW w:w="351" w:type="pct"/>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21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9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555"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402" w:type="pct"/>
            <w:vMerge w:val="continue"/>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358" w:type="pct"/>
            <w:vMerge w:val="continue"/>
            <w:tcBorders>
              <w:top w:val="single" w:color="000000" w:sz="4" w:space="0"/>
              <w:left w:val="single" w:color="000000" w:sz="4" w:space="0"/>
              <w:bottom w:val="nil"/>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351" w:type="pct"/>
            <w:vMerge w:val="continue"/>
            <w:tcBorders>
              <w:top w:val="single" w:color="000000" w:sz="4" w:space="0"/>
              <w:left w:val="single" w:color="000000" w:sz="4" w:space="0"/>
              <w:bottom w:val="nil"/>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p>
        </w:tc>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2"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A.日常养护</w:t>
            </w:r>
          </w:p>
        </w:tc>
        <w:tc>
          <w:tcPr>
            <w:tcW w:w="358"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2"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 新河村泵站</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8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配电设备检测、检查、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试验   2*1000KVA</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配电设备检查、维修 </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0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水泵设备检测、检查、保养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4台，每台2m3/S</w:t>
            </w:r>
          </w:p>
        </w:tc>
      </w:tr>
      <w:tr>
        <w:tblPrEx>
          <w:tblCellMar>
            <w:top w:w="0" w:type="dxa"/>
            <w:left w:w="108" w:type="dxa"/>
            <w:bottom w:w="0" w:type="dxa"/>
            <w:right w:w="108" w:type="dxa"/>
          </w:tblCellMar>
        </w:tblPrEx>
        <w:trPr>
          <w:trHeight w:val="182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附属设施保养（含碟阀、止回阀、输送带、捞脏机、栏污阀、格栅、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行车等，在使用过程中出现故障及时修复）</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35"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出水管道内部除锈刷漆</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6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内部零星维修、绿化管养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402"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2.杨家圩泵站</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4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配电设备检测、检查、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试验   2*800KVA</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6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配电设备检查、维修 </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水泵设备检测、检查、保养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5台，每台2m3/S</w:t>
            </w:r>
          </w:p>
        </w:tc>
      </w:tr>
      <w:tr>
        <w:tblPrEx>
          <w:tblCellMar>
            <w:top w:w="0" w:type="dxa"/>
            <w:left w:w="108" w:type="dxa"/>
            <w:bottom w:w="0" w:type="dxa"/>
            <w:right w:w="108" w:type="dxa"/>
          </w:tblCellMar>
        </w:tblPrEx>
        <w:trPr>
          <w:trHeight w:val="128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附属设施保养（含碟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阀、止回阀、输送带、捞脏机、栏污阀、格栅、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行车等，在使用过程中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出现故障及时修复）</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2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出水管道内部除锈刷漆</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2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内部零星维修、绿化管养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402"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 商城泵站</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配电设备检测、检查、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试验   2*1250KVA</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8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配电设备检查、维修 </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8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水泵设备检测、检查、保养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4台，每台2m3/S</w:t>
            </w:r>
          </w:p>
        </w:tc>
      </w:tr>
      <w:tr>
        <w:tblPrEx>
          <w:tblCellMar>
            <w:top w:w="0" w:type="dxa"/>
            <w:left w:w="108" w:type="dxa"/>
            <w:bottom w:w="0" w:type="dxa"/>
            <w:right w:w="108" w:type="dxa"/>
          </w:tblCellMar>
        </w:tblPrEx>
        <w:trPr>
          <w:trHeight w:val="138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附属设施保养（含碟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阀、止回阀、输送带、捞脏机、栏污阀、格栅、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行车等，在使用过程中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出现故障及时修复）</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2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出水管道内部除锈刷漆</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0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内部零星维修、绿化管养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402"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4.中前泵站</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8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配电设备检测、检查、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试验   2*1250KVA</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2"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配电设备检查、维修 </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4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水泵设备检测、检查、保养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4台，1、4#每台2m3/S；2、3#每台4m3/S</w:t>
            </w:r>
          </w:p>
        </w:tc>
      </w:tr>
      <w:tr>
        <w:tblPrEx>
          <w:tblCellMar>
            <w:top w:w="0" w:type="dxa"/>
            <w:left w:w="108" w:type="dxa"/>
            <w:bottom w:w="0" w:type="dxa"/>
            <w:right w:w="108" w:type="dxa"/>
          </w:tblCellMar>
        </w:tblPrEx>
        <w:trPr>
          <w:trHeight w:val="130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附属设施保养（含碟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阀、止回阀、输送带、捞脏机、栏污阀、格栅、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行车等，在使用过程中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出现故障及时修复）</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2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出水管道内部除锈刷漆</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4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0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内部零星维修、绿化管养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402"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5.鞭鞍河泵站</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配电设备检测、检查、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试验   2*1600KVA</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2"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0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配电设备检查、维修 </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36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水泵设备检测、检查、保养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6台，每台2m3/S</w:t>
            </w:r>
          </w:p>
        </w:tc>
      </w:tr>
      <w:tr>
        <w:tblPrEx>
          <w:tblCellMar>
            <w:top w:w="0" w:type="dxa"/>
            <w:left w:w="108" w:type="dxa"/>
            <w:bottom w:w="0" w:type="dxa"/>
            <w:right w:w="108" w:type="dxa"/>
          </w:tblCellMar>
        </w:tblPrEx>
        <w:trPr>
          <w:trHeight w:val="130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附属设施保养（含碟阀、止回阀、输送带、捞脏机、栏污阀、格栅、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行车等，在使用过程中出现故障及时修复）</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8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出水管道内部除锈刷漆</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内部零星维修、绿化管养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402"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6.东沟河泵站</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4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02" w:type="pc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东沟溢流坝管养</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设备维护及维修</w:t>
            </w:r>
          </w:p>
        </w:tc>
      </w:tr>
      <w:tr>
        <w:tblPrEx>
          <w:tblCellMar>
            <w:top w:w="0" w:type="dxa"/>
            <w:left w:w="108" w:type="dxa"/>
            <w:bottom w:w="0" w:type="dxa"/>
            <w:right w:w="108" w:type="dxa"/>
          </w:tblCellMar>
        </w:tblPrEx>
        <w:trPr>
          <w:trHeight w:val="402"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 大桥机械厂泵站</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汛期应急抢修</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150000</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50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8.其他</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0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泵站</w:t>
            </w:r>
            <w:r>
              <w:rPr>
                <w:rFonts w:hint="eastAsia" w:ascii="宋体" w:hAnsi="宋体" w:cs="宋体"/>
                <w:i w:val="0"/>
                <w:iCs w:val="0"/>
                <w:color w:val="000000"/>
                <w:kern w:val="0"/>
                <w:sz w:val="22"/>
                <w:szCs w:val="22"/>
                <w:u w:val="none"/>
                <w:lang w:val="en-US" w:eastAsia="zh-CN" w:bidi="ar"/>
              </w:rPr>
              <w:t>常期值班</w:t>
            </w:r>
            <w:r>
              <w:rPr>
                <w:rFonts w:hint="eastAsia" w:ascii="宋体" w:hAnsi="宋体" w:eastAsia="宋体" w:cs="宋体"/>
                <w:i w:val="0"/>
                <w:iCs w:val="0"/>
                <w:color w:val="000000"/>
                <w:kern w:val="0"/>
                <w:sz w:val="22"/>
                <w:szCs w:val="22"/>
                <w:u w:val="none"/>
                <w:lang w:val="en-US" w:eastAsia="zh-CN" w:bidi="ar"/>
              </w:rPr>
              <w:t>工作人员+打涝及拖垃圾+汛期值班电工</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泵站</w:t>
            </w:r>
            <w:r>
              <w:rPr>
                <w:rFonts w:hint="eastAsia" w:ascii="宋体" w:hAnsi="宋体" w:cs="宋体"/>
                <w:i w:val="0"/>
                <w:iCs w:val="0"/>
                <w:color w:val="000000"/>
                <w:kern w:val="0"/>
                <w:sz w:val="22"/>
                <w:szCs w:val="22"/>
                <w:u w:val="none"/>
                <w:lang w:val="en-US" w:eastAsia="zh-CN" w:bidi="ar"/>
              </w:rPr>
              <w:t>常期值班</w:t>
            </w:r>
            <w:r>
              <w:rPr>
                <w:rFonts w:hint="eastAsia" w:ascii="宋体" w:hAnsi="宋体" w:eastAsia="宋体" w:cs="宋体"/>
                <w:i w:val="0"/>
                <w:iCs w:val="0"/>
                <w:color w:val="000000"/>
                <w:kern w:val="0"/>
                <w:sz w:val="22"/>
                <w:szCs w:val="22"/>
                <w:u w:val="none"/>
                <w:lang w:val="en-US" w:eastAsia="zh-CN" w:bidi="ar"/>
              </w:rPr>
              <w:t>工作人员5</w:t>
            </w:r>
            <w:r>
              <w:rPr>
                <w:rFonts w:hint="eastAsia" w:ascii="宋体" w:hAnsi="宋体" w:cs="宋体"/>
                <w:i w:val="0"/>
                <w:iCs w:val="0"/>
                <w:color w:val="000000"/>
                <w:kern w:val="0"/>
                <w:sz w:val="22"/>
                <w:szCs w:val="22"/>
                <w:u w:val="none"/>
                <w:lang w:val="en-US" w:eastAsia="zh-CN" w:bidi="ar"/>
              </w:rPr>
              <w:t>名</w:t>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名</w:t>
            </w:r>
            <w:r>
              <w:rPr>
                <w:rFonts w:hint="eastAsia" w:ascii="宋体" w:hAnsi="宋体" w:eastAsia="宋体" w:cs="宋体"/>
                <w:i w:val="0"/>
                <w:iCs w:val="0"/>
                <w:color w:val="000000"/>
                <w:kern w:val="0"/>
                <w:sz w:val="22"/>
                <w:szCs w:val="22"/>
                <w:u w:val="none"/>
                <w:lang w:val="en-US" w:eastAsia="zh-CN" w:bidi="ar"/>
              </w:rPr>
              <w:t>打涝及拖垃圾+10</w:t>
            </w:r>
            <w:r>
              <w:rPr>
                <w:rFonts w:hint="eastAsia" w:ascii="宋体" w:hAnsi="宋体" w:cs="宋体"/>
                <w:i w:val="0"/>
                <w:iCs w:val="0"/>
                <w:color w:val="000000"/>
                <w:kern w:val="0"/>
                <w:sz w:val="22"/>
                <w:szCs w:val="22"/>
                <w:u w:val="none"/>
                <w:lang w:val="en-US" w:eastAsia="zh-CN" w:bidi="ar"/>
              </w:rPr>
              <w:t>名</w:t>
            </w:r>
            <w:r>
              <w:rPr>
                <w:rFonts w:hint="eastAsia" w:ascii="宋体" w:hAnsi="宋体" w:eastAsia="宋体" w:cs="宋体"/>
                <w:i w:val="0"/>
                <w:iCs w:val="0"/>
                <w:color w:val="000000"/>
                <w:kern w:val="0"/>
                <w:sz w:val="22"/>
                <w:szCs w:val="22"/>
                <w:u w:val="none"/>
                <w:lang w:val="en-US" w:eastAsia="zh-CN" w:bidi="ar"/>
              </w:rPr>
              <w:t>汛期值班电工</w:t>
            </w:r>
          </w:p>
        </w:tc>
      </w:tr>
      <w:tr>
        <w:tblPrEx>
          <w:tblCellMar>
            <w:top w:w="0" w:type="dxa"/>
            <w:left w:w="108" w:type="dxa"/>
            <w:bottom w:w="0" w:type="dxa"/>
            <w:right w:w="108" w:type="dxa"/>
          </w:tblCellMar>
        </w:tblPrEx>
        <w:trPr>
          <w:trHeight w:val="96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采购备用泵一台</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根据现场需要采购备用，暂列金额，投标不得让利</w:t>
            </w:r>
          </w:p>
        </w:tc>
      </w:tr>
      <w:tr>
        <w:tblPrEx>
          <w:tblCellMar>
            <w:top w:w="0" w:type="dxa"/>
            <w:left w:w="108" w:type="dxa"/>
            <w:bottom w:w="0" w:type="dxa"/>
            <w:right w:w="108" w:type="dxa"/>
          </w:tblCellMar>
        </w:tblPrEx>
        <w:trPr>
          <w:trHeight w:val="92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汛期及应急措施服务</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58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100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垃圾清运、处理费</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586"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nil"/>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2100"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b/>
                <w:bCs/>
                <w:i w:val="0"/>
                <w:iCs w:val="0"/>
                <w:color w:val="000000"/>
                <w:sz w:val="22"/>
                <w:szCs w:val="22"/>
                <w:u w:val="none"/>
              </w:rPr>
            </w:pPr>
          </w:p>
        </w:tc>
        <w:tc>
          <w:tcPr>
            <w:tcW w:w="1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B.专项维修</w:t>
            </w:r>
          </w:p>
        </w:tc>
        <w:tc>
          <w:tcPr>
            <w:tcW w:w="358" w:type="pct"/>
            <w:tcBorders>
              <w:top w:val="single" w:color="000000" w:sz="4" w:space="0"/>
              <w:left w:val="single" w:color="000000" w:sz="4" w:space="0"/>
              <w:bottom w:val="single" w:color="000000" w:sz="4" w:space="0"/>
              <w:right w:val="single" w:color="000000" w:sz="4" w:space="0"/>
            </w:tcBorders>
            <w:noWrap/>
            <w:vAlign w:val="center"/>
          </w:tcPr>
          <w:p>
            <w:pPr>
              <w:jc w:val="both"/>
              <w:rPr>
                <w:rFonts w:hint="eastAsia" w:ascii="宋体" w:hAnsi="宋体" w:eastAsia="宋体" w:cs="宋体"/>
                <w:b/>
                <w:bCs/>
                <w:i w:val="0"/>
                <w:iCs w:val="0"/>
                <w:color w:val="000000"/>
                <w:sz w:val="22"/>
                <w:szCs w:val="22"/>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600000</w:t>
            </w:r>
          </w:p>
        </w:tc>
        <w:tc>
          <w:tcPr>
            <w:tcW w:w="5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600000</w:t>
            </w:r>
          </w:p>
        </w:tc>
        <w:tc>
          <w:tcPr>
            <w:tcW w:w="9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全年专项维修资金，投标不得让利，结算根据现场实际发生金额签证确认</w:t>
            </w:r>
          </w:p>
        </w:tc>
      </w:tr>
      <w:tr>
        <w:tblPrEx>
          <w:tblCellMar>
            <w:top w:w="0" w:type="dxa"/>
            <w:left w:w="108" w:type="dxa"/>
            <w:bottom w:w="0" w:type="dxa"/>
            <w:right w:w="108" w:type="dxa"/>
          </w:tblCellMar>
        </w:tblPrEx>
        <w:trPr>
          <w:trHeight w:val="760" w:hRule="atLeast"/>
        </w:trPr>
        <w:tc>
          <w:tcPr>
            <w:tcW w:w="2881"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1210" w:type="pct"/>
            <w:gridSpan w:val="2"/>
            <w:tcBorders>
              <w:top w:val="single" w:color="000000" w:sz="4" w:space="0"/>
              <w:left w:val="nil"/>
              <w:bottom w:val="single" w:color="000000" w:sz="4" w:space="0"/>
              <w:right w:val="single" w:color="000000" w:sz="4" w:space="0"/>
            </w:tcBorders>
            <w:noWrap/>
            <w:vAlign w:val="center"/>
          </w:tcPr>
          <w:p>
            <w:pPr>
              <w:jc w:val="both"/>
              <w:rPr>
                <w:rFonts w:hint="eastAsia" w:ascii="宋体" w:hAnsi="宋体" w:eastAsia="宋体" w:cs="宋体"/>
                <w:i w:val="0"/>
                <w:iCs w:val="0"/>
                <w:color w:val="000000"/>
                <w:sz w:val="22"/>
                <w:szCs w:val="22"/>
                <w:u w:val="none"/>
              </w:rPr>
            </w:pPr>
          </w:p>
        </w:tc>
        <w:tc>
          <w:tcPr>
            <w:tcW w:w="90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r>
    </w:tbl>
    <w:p>
      <w:pPr>
        <w:pStyle w:val="2"/>
        <w:ind w:firstLine="0" w:firstLineChars="0"/>
        <w:rPr>
          <w:rFonts w:hint="eastAsia" w:ascii="宋体" w:hAnsi="宋体"/>
          <w:szCs w:val="21"/>
        </w:rPr>
      </w:pPr>
      <w:r>
        <w:rPr>
          <w:rFonts w:hint="eastAsia" w:ascii="宋体" w:hAnsi="宋体"/>
          <w:szCs w:val="21"/>
        </w:rPr>
        <w:t xml:space="preserve">    </w:t>
      </w:r>
    </w:p>
    <w:p>
      <w:pPr>
        <w:pStyle w:val="2"/>
        <w:ind w:firstLine="361" w:firstLineChars="150"/>
        <w:jc w:val="center"/>
        <w:rPr>
          <w:rFonts w:hint="eastAsia"/>
          <w:b/>
          <w:sz w:val="24"/>
          <w:szCs w:val="24"/>
          <w:lang w:eastAsia="zh-CN"/>
        </w:rPr>
      </w:pPr>
      <w:r>
        <w:rPr>
          <w:rFonts w:hint="eastAsia"/>
          <w:b/>
          <w:sz w:val="24"/>
          <w:szCs w:val="24"/>
          <w:lang w:eastAsia="zh-CN"/>
        </w:rPr>
        <w:t>竹山桥泵站等12座泵站设施管养服务外包</w:t>
      </w:r>
      <w:r>
        <w:rPr>
          <w:rFonts w:hint="eastAsia"/>
          <w:b/>
          <w:sz w:val="24"/>
          <w:szCs w:val="24"/>
        </w:rPr>
        <w:t>分项报价表</w:t>
      </w:r>
      <w:r>
        <w:rPr>
          <w:rFonts w:hint="eastAsia"/>
          <w:b/>
          <w:sz w:val="24"/>
          <w:szCs w:val="24"/>
          <w:lang w:eastAsia="zh-CN"/>
        </w:rPr>
        <w:t>（</w:t>
      </w:r>
      <w:r>
        <w:rPr>
          <w:rFonts w:hint="eastAsia"/>
          <w:b/>
          <w:sz w:val="24"/>
          <w:szCs w:val="24"/>
          <w:lang w:val="en-US" w:eastAsia="zh-CN"/>
        </w:rPr>
        <w:t>包二</w:t>
      </w:r>
      <w:r>
        <w:rPr>
          <w:rFonts w:hint="eastAsia"/>
          <w:b/>
          <w:sz w:val="24"/>
          <w:szCs w:val="24"/>
          <w:lang w:eastAsia="zh-CN"/>
        </w:rPr>
        <w:t>）</w:t>
      </w:r>
    </w:p>
    <w:tbl>
      <w:tblPr>
        <w:tblStyle w:val="30"/>
        <w:tblW w:w="4998" w:type="pct"/>
        <w:tblInd w:w="0" w:type="dxa"/>
        <w:tblLayout w:type="autofit"/>
        <w:tblCellMar>
          <w:top w:w="0" w:type="dxa"/>
          <w:left w:w="108" w:type="dxa"/>
          <w:bottom w:w="0" w:type="dxa"/>
          <w:right w:w="108" w:type="dxa"/>
        </w:tblCellMar>
      </w:tblPr>
      <w:tblGrid>
        <w:gridCol w:w="653"/>
        <w:gridCol w:w="3621"/>
        <w:gridCol w:w="763"/>
        <w:gridCol w:w="872"/>
        <w:gridCol w:w="1200"/>
        <w:gridCol w:w="1200"/>
        <w:gridCol w:w="1311"/>
      </w:tblGrid>
      <w:tr>
        <w:tblPrEx>
          <w:tblCellMar>
            <w:top w:w="0" w:type="dxa"/>
            <w:left w:w="108" w:type="dxa"/>
            <w:bottom w:w="0" w:type="dxa"/>
            <w:right w:w="108" w:type="dxa"/>
          </w:tblCellMar>
        </w:tblPrEx>
        <w:trPr>
          <w:trHeight w:val="420" w:hRule="atLeast"/>
        </w:trPr>
        <w:tc>
          <w:tcPr>
            <w:tcW w:w="26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69"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5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单位</w:t>
            </w:r>
          </w:p>
        </w:tc>
        <w:tc>
          <w:tcPr>
            <w:tcW w:w="371"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279"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9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CellMar>
            <w:top w:w="0" w:type="dxa"/>
            <w:left w:w="108" w:type="dxa"/>
            <w:bottom w:w="0" w:type="dxa"/>
            <w:right w:w="108" w:type="dxa"/>
          </w:tblCellMar>
        </w:tblPrEx>
        <w:trPr>
          <w:trHeight w:val="435" w:hRule="atLeast"/>
        </w:trPr>
        <w:tc>
          <w:tcPr>
            <w:tcW w:w="26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6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5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71"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p>
        </w:tc>
        <w:tc>
          <w:tcPr>
            <w:tcW w:w="6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p>
        </w:tc>
        <w:tc>
          <w:tcPr>
            <w:tcW w:w="9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402"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A.日常养护</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r>
      <w:tr>
        <w:tblPrEx>
          <w:tblCellMar>
            <w:top w:w="0" w:type="dxa"/>
            <w:left w:w="108" w:type="dxa"/>
            <w:bottom w:w="0" w:type="dxa"/>
            <w:right w:w="108" w:type="dxa"/>
          </w:tblCellMar>
        </w:tblPrEx>
        <w:trPr>
          <w:trHeight w:val="402"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 竹山桥泵站（一期、二期）</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变配电设备检查、检测、试验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调试 （2*630kVA+2*1000kVA）</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2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水泵设备检查清扫、检测、保养 </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6台，一期3台每台2m3/S，二期3台，每台3.33m3/S，</w:t>
            </w:r>
          </w:p>
        </w:tc>
      </w:tr>
      <w:tr>
        <w:tblPrEx>
          <w:tblCellMar>
            <w:top w:w="0" w:type="dxa"/>
            <w:left w:w="108" w:type="dxa"/>
            <w:bottom w:w="0" w:type="dxa"/>
            <w:right w:w="108" w:type="dxa"/>
          </w:tblCellMar>
        </w:tblPrEx>
        <w:trPr>
          <w:trHeight w:val="76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变配电设备检查维修、保养 </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附属设施保养（含碟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阀、止回阀、输送带、捞脏机、拦污阀、格栅、行车等，在使用过程中出现故障及时修复）</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出水管道内部除锈刷漆</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内部零星维修、绿化管养</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6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98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溢流坝管养</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秦淮河引水处对流泵维修、保养（含控制系统）</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56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 孙家头泵站</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变配电设备检查、检测、试验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调试 （2*2000kVA）</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2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水泵设备检查清扫、检测、保养 </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6台，每台3.33m3/S，</w:t>
            </w:r>
          </w:p>
        </w:tc>
      </w:tr>
      <w:tr>
        <w:tblPrEx>
          <w:tblCellMar>
            <w:top w:w="0" w:type="dxa"/>
            <w:left w:w="108" w:type="dxa"/>
            <w:bottom w:w="0" w:type="dxa"/>
            <w:right w:w="108" w:type="dxa"/>
          </w:tblCellMar>
        </w:tblPrEx>
        <w:trPr>
          <w:trHeight w:val="7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变配电设备检查维修、保养 </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7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附属设施保养（含碟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阀、止回阀、输送带、捞脏机、拦污阀、格栅、行车等，在使用过程中出现故障及时修复）</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2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出水管道内部除锈刷漆</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84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内部零星维修、绿化管养</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6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7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 陵里泵站</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变配电设备检查、检测、试验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调试 （2*1250kVA）</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72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水泵设备检查清扫、检测、保养 </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4台，每台3.33m3/S，</w:t>
            </w:r>
          </w:p>
        </w:tc>
      </w:tr>
      <w:tr>
        <w:tblPrEx>
          <w:tblCellMar>
            <w:top w:w="0" w:type="dxa"/>
            <w:left w:w="108" w:type="dxa"/>
            <w:bottom w:w="0" w:type="dxa"/>
            <w:right w:w="108" w:type="dxa"/>
          </w:tblCellMar>
        </w:tblPrEx>
        <w:trPr>
          <w:trHeight w:val="66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变配电设备检查维修、保养 </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7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附属设施保养（含碟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阀、止回阀、输送带、捞脏机、拦污阀、格栅、行车等，在使用过程中出现故障及时修复）</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6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出水管道内部除锈刷漆</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4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内部零星维修、绿化管养</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6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402"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 城北泵站（一期、二期、三期）</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变配电设备检查、检测、试验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调试 （2*800kVA+4*1000kVA）</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1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水泵设备检查清扫、检测、保养 </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17台，一期6台每台1m3/S，二期5台，每台2m3/S，三期6台，每台3.67m3/S，</w:t>
            </w:r>
          </w:p>
        </w:tc>
      </w:tr>
      <w:tr>
        <w:tblPrEx>
          <w:tblCellMar>
            <w:top w:w="0" w:type="dxa"/>
            <w:left w:w="108" w:type="dxa"/>
            <w:bottom w:w="0" w:type="dxa"/>
            <w:right w:w="108" w:type="dxa"/>
          </w:tblCellMar>
        </w:tblPrEx>
        <w:trPr>
          <w:trHeight w:val="76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变配电设备检查维修、保养 </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2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附属设施保养（含碟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阀、止回阀、输送带、捞脏机、拦污阀、格栅、行车等，在使用过程中出现故障及时修复）</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6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出水管道内部除锈刷漆</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9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内部零星维修、绿化管养</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6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54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5.其他</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2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泵站</w:t>
            </w:r>
            <w:r>
              <w:rPr>
                <w:rFonts w:hint="eastAsia" w:ascii="宋体" w:hAnsi="宋体" w:cs="宋体"/>
                <w:i w:val="0"/>
                <w:iCs w:val="0"/>
                <w:color w:val="000000"/>
                <w:kern w:val="0"/>
                <w:sz w:val="22"/>
                <w:szCs w:val="22"/>
                <w:u w:val="none"/>
                <w:lang w:val="en-US" w:eastAsia="zh-CN" w:bidi="ar"/>
              </w:rPr>
              <w:t>常期值班</w:t>
            </w:r>
            <w:r>
              <w:rPr>
                <w:rFonts w:hint="eastAsia" w:ascii="宋体" w:hAnsi="宋体" w:eastAsia="宋体" w:cs="宋体"/>
                <w:i w:val="0"/>
                <w:iCs w:val="0"/>
                <w:color w:val="000000"/>
                <w:kern w:val="0"/>
                <w:sz w:val="22"/>
                <w:szCs w:val="22"/>
                <w:u w:val="none"/>
                <w:lang w:val="en-US" w:eastAsia="zh-CN" w:bidi="ar"/>
              </w:rPr>
              <w:t>工作人员+打涝及拖垃圾+汛期值班电工</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泵站</w:t>
            </w:r>
            <w:r>
              <w:rPr>
                <w:rFonts w:hint="eastAsia" w:ascii="宋体" w:hAnsi="宋体" w:cs="宋体"/>
                <w:i w:val="0"/>
                <w:iCs w:val="0"/>
                <w:color w:val="000000"/>
                <w:kern w:val="0"/>
                <w:sz w:val="22"/>
                <w:szCs w:val="22"/>
                <w:u w:val="none"/>
                <w:lang w:val="en-US" w:eastAsia="zh-CN" w:bidi="ar"/>
              </w:rPr>
              <w:t>常期值班</w:t>
            </w:r>
            <w:r>
              <w:rPr>
                <w:rFonts w:hint="eastAsia" w:ascii="宋体" w:hAnsi="宋体" w:eastAsia="宋体" w:cs="宋体"/>
                <w:i w:val="0"/>
                <w:iCs w:val="0"/>
                <w:color w:val="000000"/>
                <w:kern w:val="0"/>
                <w:sz w:val="22"/>
                <w:szCs w:val="22"/>
                <w:u w:val="none"/>
                <w:lang w:val="en-US" w:eastAsia="zh-CN" w:bidi="ar"/>
              </w:rPr>
              <w:t>工作人员4</w:t>
            </w:r>
            <w:r>
              <w:rPr>
                <w:rFonts w:hint="eastAsia" w:ascii="宋体" w:hAnsi="宋体" w:cs="宋体"/>
                <w:i w:val="0"/>
                <w:iCs w:val="0"/>
                <w:color w:val="000000"/>
                <w:kern w:val="0"/>
                <w:sz w:val="22"/>
                <w:szCs w:val="22"/>
                <w:u w:val="none"/>
                <w:lang w:val="en-US" w:eastAsia="zh-CN" w:bidi="ar"/>
              </w:rPr>
              <w:t>名</w:t>
            </w:r>
            <w:r>
              <w:rPr>
                <w:rFonts w:hint="eastAsia" w:ascii="宋体" w:hAnsi="宋体" w:eastAsia="宋体" w:cs="宋体"/>
                <w:i w:val="0"/>
                <w:iCs w:val="0"/>
                <w:color w:val="000000"/>
                <w:kern w:val="0"/>
                <w:sz w:val="22"/>
                <w:szCs w:val="22"/>
                <w:u w:val="none"/>
                <w:lang w:val="en-US" w:eastAsia="zh-CN" w:bidi="ar"/>
              </w:rPr>
              <w:t>+4</w:t>
            </w:r>
            <w:r>
              <w:rPr>
                <w:rFonts w:hint="eastAsia" w:ascii="宋体" w:hAnsi="宋体" w:cs="宋体"/>
                <w:i w:val="0"/>
                <w:iCs w:val="0"/>
                <w:color w:val="000000"/>
                <w:kern w:val="0"/>
                <w:sz w:val="22"/>
                <w:szCs w:val="22"/>
                <w:u w:val="none"/>
                <w:lang w:val="en-US" w:eastAsia="zh-CN" w:bidi="ar"/>
              </w:rPr>
              <w:t>名</w:t>
            </w:r>
            <w:r>
              <w:rPr>
                <w:rFonts w:hint="eastAsia" w:ascii="宋体" w:hAnsi="宋体" w:eastAsia="宋体" w:cs="宋体"/>
                <w:i w:val="0"/>
                <w:iCs w:val="0"/>
                <w:color w:val="000000"/>
                <w:kern w:val="0"/>
                <w:sz w:val="22"/>
                <w:szCs w:val="22"/>
                <w:u w:val="none"/>
                <w:lang w:val="en-US" w:eastAsia="zh-CN" w:bidi="ar"/>
              </w:rPr>
              <w:t>打涝及拖垃圾+8</w:t>
            </w:r>
            <w:r>
              <w:rPr>
                <w:rFonts w:hint="eastAsia" w:ascii="宋体" w:hAnsi="宋体" w:cs="宋体"/>
                <w:i w:val="0"/>
                <w:iCs w:val="0"/>
                <w:color w:val="000000"/>
                <w:kern w:val="0"/>
                <w:sz w:val="22"/>
                <w:szCs w:val="22"/>
                <w:u w:val="none"/>
                <w:lang w:val="en-US" w:eastAsia="zh-CN" w:bidi="ar"/>
              </w:rPr>
              <w:t>名</w:t>
            </w:r>
            <w:r>
              <w:rPr>
                <w:rFonts w:hint="eastAsia" w:ascii="宋体" w:hAnsi="宋体" w:eastAsia="宋体" w:cs="宋体"/>
                <w:i w:val="0"/>
                <w:iCs w:val="0"/>
                <w:color w:val="000000"/>
                <w:kern w:val="0"/>
                <w:sz w:val="22"/>
                <w:szCs w:val="22"/>
                <w:u w:val="none"/>
                <w:lang w:val="en-US" w:eastAsia="zh-CN" w:bidi="ar"/>
              </w:rPr>
              <w:t>汛期值班电工</w:t>
            </w:r>
          </w:p>
        </w:tc>
      </w:tr>
      <w:tr>
        <w:tblPrEx>
          <w:tblCellMar>
            <w:top w:w="0" w:type="dxa"/>
            <w:left w:w="108" w:type="dxa"/>
            <w:bottom w:w="0" w:type="dxa"/>
            <w:right w:w="108" w:type="dxa"/>
          </w:tblCellMar>
        </w:tblPrEx>
        <w:trPr>
          <w:trHeight w:val="88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采购备用泵一台</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6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400000.00</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根据现场需要采购备用，暂列金额，投标不得让利</w:t>
            </w:r>
          </w:p>
        </w:tc>
      </w:tr>
      <w:tr>
        <w:tblPrEx>
          <w:tblCellMar>
            <w:top w:w="0" w:type="dxa"/>
            <w:left w:w="108" w:type="dxa"/>
            <w:bottom w:w="0" w:type="dxa"/>
            <w:right w:w="108" w:type="dxa"/>
          </w:tblCellMar>
        </w:tblPrEx>
        <w:trPr>
          <w:trHeight w:val="96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汛期及应急措施</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6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100000.00</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根据现场施工及实际发生的工程量签证计取</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投标不得让利</w:t>
            </w:r>
          </w:p>
        </w:tc>
      </w:tr>
      <w:tr>
        <w:tblPrEx>
          <w:tblCellMar>
            <w:top w:w="0" w:type="dxa"/>
            <w:left w:w="108" w:type="dxa"/>
            <w:bottom w:w="0" w:type="dxa"/>
            <w:right w:w="108" w:type="dxa"/>
          </w:tblCellMar>
        </w:tblPrEx>
        <w:trPr>
          <w:trHeight w:val="78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垃圾清运、处理费</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3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B.专项维修</w:t>
            </w:r>
          </w:p>
        </w:tc>
        <w:tc>
          <w:tcPr>
            <w:tcW w:w="352"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3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6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500000.00</w:t>
            </w:r>
          </w:p>
        </w:tc>
        <w:tc>
          <w:tcPr>
            <w:tcW w:w="9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全年专项维修资金，投标不得让利，结算根据现场实际发生金额签证确认</w:t>
            </w:r>
          </w:p>
        </w:tc>
      </w:tr>
      <w:tr>
        <w:tblPrEx>
          <w:tblCellMar>
            <w:top w:w="0" w:type="dxa"/>
            <w:left w:w="108" w:type="dxa"/>
            <w:bottom w:w="0" w:type="dxa"/>
            <w:right w:w="108" w:type="dxa"/>
          </w:tblCellMar>
        </w:tblPrEx>
        <w:trPr>
          <w:trHeight w:val="402" w:hRule="atLeast"/>
        </w:trPr>
        <w:tc>
          <w:tcPr>
            <w:tcW w:w="2754" w:type="pct"/>
            <w:gridSpan w:val="4"/>
            <w:vMerge w:val="restart"/>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      计</w:t>
            </w:r>
          </w:p>
        </w:tc>
        <w:tc>
          <w:tcPr>
            <w:tcW w:w="639"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r>
      <w:tr>
        <w:tblPrEx>
          <w:tblCellMar>
            <w:top w:w="0" w:type="dxa"/>
            <w:left w:w="108" w:type="dxa"/>
            <w:bottom w:w="0" w:type="dxa"/>
            <w:right w:w="108" w:type="dxa"/>
          </w:tblCellMar>
        </w:tblPrEx>
        <w:trPr>
          <w:trHeight w:val="402" w:hRule="atLeast"/>
        </w:trPr>
        <w:tc>
          <w:tcPr>
            <w:tcW w:w="2754" w:type="pct"/>
            <w:gridSpan w:val="4"/>
            <w:vMerge w:val="continue"/>
            <w:tcBorders>
              <w:top w:val="single" w:color="000000" w:sz="4" w:space="0"/>
              <w:left w:val="single" w:color="000000" w:sz="4" w:space="0"/>
              <w:bottom w:val="single" w:color="000000" w:sz="4" w:space="0"/>
              <w:right w:val="nil"/>
            </w:tcBorders>
            <w:noWrap/>
            <w:vAlign w:val="center"/>
          </w:tcPr>
          <w:p>
            <w:pPr>
              <w:jc w:val="center"/>
              <w:rPr>
                <w:rFonts w:hint="eastAsia" w:ascii="宋体" w:hAnsi="宋体" w:eastAsia="宋体" w:cs="宋体"/>
                <w:i w:val="0"/>
                <w:iCs w:val="0"/>
                <w:color w:val="000000"/>
                <w:sz w:val="22"/>
                <w:szCs w:val="22"/>
                <w:u w:val="none"/>
              </w:rPr>
            </w:pPr>
          </w:p>
        </w:tc>
        <w:tc>
          <w:tcPr>
            <w:tcW w:w="639"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40" w:type="pct"/>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9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bl>
    <w:p>
      <w:pPr>
        <w:pStyle w:val="2"/>
        <w:ind w:firstLine="361" w:firstLineChars="150"/>
        <w:jc w:val="center"/>
        <w:rPr>
          <w:rFonts w:hint="eastAsia"/>
          <w:b/>
          <w:sz w:val="24"/>
          <w:szCs w:val="24"/>
          <w:lang w:eastAsia="zh-CN"/>
        </w:rPr>
      </w:pPr>
    </w:p>
    <w:p>
      <w:pPr>
        <w:pStyle w:val="10"/>
        <w:spacing w:after="0"/>
        <w:ind w:firstLine="5670" w:firstLineChars="2700"/>
        <w:rPr>
          <w:rFonts w:hint="eastAsia" w:ascii="宋体" w:hAnsi="宋体"/>
          <w:szCs w:val="21"/>
        </w:rPr>
      </w:pPr>
    </w:p>
    <w:p>
      <w:pPr>
        <w:pStyle w:val="10"/>
        <w:spacing w:after="0"/>
        <w:ind w:firstLine="5670" w:firstLineChars="2700"/>
        <w:rPr>
          <w:rFonts w:ascii="宋体"/>
          <w:szCs w:val="21"/>
        </w:rPr>
      </w:pPr>
      <w:r>
        <w:rPr>
          <w:rFonts w:hint="eastAsia" w:ascii="宋体" w:hAnsi="宋体"/>
          <w:szCs w:val="21"/>
        </w:rPr>
        <w:t>投标供应商名称（盖章）：</w:t>
      </w:r>
    </w:p>
    <w:p>
      <w:pPr>
        <w:pStyle w:val="10"/>
        <w:spacing w:after="0"/>
        <w:ind w:firstLine="210" w:firstLineChars="100"/>
        <w:rPr>
          <w:rFonts w:ascii="宋体"/>
          <w:szCs w:val="21"/>
        </w:rPr>
      </w:pPr>
      <w:r>
        <w:rPr>
          <w:rFonts w:hint="eastAsia" w:ascii="宋体" w:hAnsi="宋体"/>
          <w:szCs w:val="21"/>
        </w:rPr>
        <w:t xml:space="preserve">                                                    授权代表（签字）：</w:t>
      </w:r>
    </w:p>
    <w:p>
      <w:pPr>
        <w:pStyle w:val="10"/>
        <w:spacing w:after="0"/>
        <w:ind w:firstLine="210" w:firstLineChars="100"/>
        <w:rPr>
          <w:rFonts w:ascii="宋体"/>
          <w:szCs w:val="21"/>
        </w:rPr>
      </w:pPr>
      <w:r>
        <w:rPr>
          <w:rFonts w:hint="eastAsia" w:ascii="宋体" w:hAnsi="宋体"/>
          <w:szCs w:val="21"/>
        </w:rPr>
        <w:t xml:space="preserve">                                                    日期：     年   月  日</w:t>
      </w:r>
    </w:p>
    <w:p>
      <w:pPr>
        <w:ind w:firstLine="420" w:firstLineChars="200"/>
        <w:rPr>
          <w:rFonts w:hint="eastAsia" w:ascii="宋体" w:hAnsi="宋体"/>
          <w:szCs w:val="21"/>
        </w:rPr>
      </w:pPr>
      <w:bookmarkStart w:id="102" w:name="_Toc422907297"/>
      <w:bookmarkStart w:id="103" w:name="_Toc401304091"/>
      <w:bookmarkStart w:id="104" w:name="_Toc274907028"/>
      <w:bookmarkStart w:id="105" w:name="_Toc338684382"/>
      <w:r>
        <w:rPr>
          <w:rFonts w:hint="eastAsia" w:ascii="宋体" w:hAnsi="宋体"/>
          <w:szCs w:val="21"/>
        </w:rPr>
        <w:t xml:space="preserve">说明:  </w:t>
      </w:r>
    </w:p>
    <w:p>
      <w:pPr>
        <w:ind w:firstLine="420" w:firstLineChars="200"/>
        <w:rPr>
          <w:rFonts w:hint="eastAsia" w:ascii="宋体" w:hAnsi="宋体"/>
          <w:szCs w:val="21"/>
        </w:rPr>
      </w:pPr>
      <w:r>
        <w:rPr>
          <w:rFonts w:hint="eastAsia" w:ascii="宋体" w:hAnsi="宋体"/>
          <w:szCs w:val="21"/>
        </w:rPr>
        <w:t>1.</w:t>
      </w:r>
      <w:r>
        <w:rPr>
          <w:rFonts w:hint="eastAsia" w:ascii="宋体" w:cs="宋体"/>
          <w:szCs w:val="21"/>
          <w:lang w:val="zh-CN"/>
        </w:rPr>
        <w:t xml:space="preserve"> 投标</w:t>
      </w:r>
      <w:r>
        <w:rPr>
          <w:rFonts w:hint="eastAsia" w:ascii="宋体"/>
          <w:szCs w:val="21"/>
          <w:lang w:val="zh-CN"/>
        </w:rPr>
        <w:t>报价</w:t>
      </w:r>
      <w:r>
        <w:rPr>
          <w:rFonts w:hint="eastAsia" w:ascii="宋体" w:cs="宋体"/>
          <w:szCs w:val="21"/>
          <w:lang w:val="zh-CN"/>
        </w:rPr>
        <w:t>应包含</w:t>
      </w:r>
      <w:r>
        <w:rPr>
          <w:rFonts w:hint="eastAsia" w:ascii="宋体" w:hAnsi="宋体"/>
          <w:szCs w:val="21"/>
          <w:lang w:val="zh-CN"/>
        </w:rPr>
        <w:t>项目验收前有关的所用费用，技术资料、</w:t>
      </w:r>
      <w:r>
        <w:rPr>
          <w:rFonts w:hint="eastAsia" w:ascii="宋体" w:cs="宋体"/>
          <w:szCs w:val="21"/>
          <w:lang w:val="zh-CN"/>
        </w:rPr>
        <w:t>支付给员工的工资和国家强制缴纳的各种社会保障资金、完成招标文件规定的管理工作所涉及到的一切相关费用等</w:t>
      </w:r>
      <w:r>
        <w:rPr>
          <w:rFonts w:hint="eastAsia" w:ascii="宋体"/>
          <w:szCs w:val="21"/>
          <w:lang w:val="zh-CN"/>
        </w:rPr>
        <w:t>各项应有费用，不论其在招标文件中是否有提及，投标供应商应根据上述因素自行考虑投标报价。</w:t>
      </w:r>
    </w:p>
    <w:p>
      <w:pPr>
        <w:ind w:firstLine="420"/>
        <w:rPr>
          <w:rFonts w:hint="eastAsia" w:ascii="宋体" w:hAnsi="宋体"/>
          <w:szCs w:val="21"/>
        </w:rPr>
      </w:pPr>
      <w:r>
        <w:rPr>
          <w:rFonts w:hint="eastAsia" w:ascii="宋体" w:hAnsi="宋体"/>
          <w:szCs w:val="21"/>
        </w:rPr>
        <w:t>2.采购中心对每一项货物和服务仅接受一个价格，</w:t>
      </w:r>
      <w:r>
        <w:rPr>
          <w:rFonts w:hint="eastAsia" w:ascii="宋体" w:hAnsi="宋体"/>
          <w:szCs w:val="21"/>
          <w:shd w:val="pct10" w:color="auto" w:fill="FFFFFF"/>
        </w:rPr>
        <w:t>不得填报有选择性报价方案</w:t>
      </w:r>
      <w:r>
        <w:rPr>
          <w:rFonts w:hint="eastAsia" w:ascii="宋体" w:hAnsi="宋体"/>
          <w:szCs w:val="21"/>
        </w:rPr>
        <w:t>。若有优惠条款须注明，但不得影响报价，影响产品整体功能。</w:t>
      </w:r>
    </w:p>
    <w:p>
      <w:pPr>
        <w:rPr>
          <w:rFonts w:hint="eastAsia"/>
        </w:rPr>
      </w:pPr>
    </w:p>
    <w:p>
      <w:pPr>
        <w:rPr>
          <w:rFonts w:hint="eastAsia"/>
        </w:rPr>
      </w:pPr>
      <w:r>
        <w:br w:type="page"/>
      </w:r>
    </w:p>
    <w:p>
      <w:pPr>
        <w:autoSpaceDE w:val="0"/>
        <w:autoSpaceDN w:val="0"/>
        <w:adjustRightInd w:val="0"/>
        <w:spacing w:line="360" w:lineRule="auto"/>
        <w:outlineLvl w:val="1"/>
        <w:rPr>
          <w:rFonts w:hint="eastAsia" w:ascii="宋体" w:hAnsi="宋体"/>
          <w:szCs w:val="21"/>
          <w:lang w:val="zh-CN"/>
        </w:rPr>
      </w:pPr>
      <w:bookmarkStart w:id="106" w:name="_Toc11051728"/>
      <w:bookmarkStart w:id="107" w:name="_Toc22334"/>
      <w:r>
        <w:rPr>
          <w:rFonts w:hint="eastAsia" w:ascii="宋体" w:hAnsi="宋体"/>
          <w:szCs w:val="21"/>
          <w:lang w:val="zh-CN"/>
        </w:rPr>
        <w:t>附件五、技术规格偏离表格式</w:t>
      </w:r>
      <w:bookmarkEnd w:id="102"/>
      <w:bookmarkEnd w:id="103"/>
      <w:bookmarkEnd w:id="104"/>
      <w:bookmarkEnd w:id="105"/>
      <w:bookmarkEnd w:id="106"/>
      <w:bookmarkEnd w:id="107"/>
    </w:p>
    <w:p>
      <w:pPr>
        <w:rPr>
          <w:rFonts w:hint="eastAsia"/>
          <w:lang w:val="zh-CN"/>
        </w:rPr>
      </w:pPr>
    </w:p>
    <w:p>
      <w:pPr>
        <w:autoSpaceDE w:val="0"/>
        <w:autoSpaceDN w:val="0"/>
        <w:adjustRightInd w:val="0"/>
        <w:ind w:left="420"/>
        <w:jc w:val="center"/>
        <w:rPr>
          <w:rFonts w:ascii="宋体" w:hAnsi="宋体"/>
          <w:sz w:val="36"/>
          <w:lang w:val="zh-CN"/>
        </w:rPr>
      </w:pPr>
      <w:r>
        <w:rPr>
          <w:rFonts w:hint="eastAsia" w:ascii="宋体" w:hAnsi="宋体"/>
          <w:sz w:val="36"/>
          <w:lang w:val="zh-CN"/>
        </w:rPr>
        <w:t>技术规格偏离表</w:t>
      </w:r>
    </w:p>
    <w:p>
      <w:pPr>
        <w:autoSpaceDE w:val="0"/>
        <w:autoSpaceDN w:val="0"/>
        <w:adjustRightInd w:val="0"/>
        <w:rPr>
          <w:rFonts w:hint="eastAsia" w:ascii="宋体" w:hAnsi="宋体"/>
          <w:lang w:val="zh-CN"/>
        </w:rPr>
      </w:pPr>
      <w:r>
        <w:rPr>
          <w:rFonts w:ascii="宋体" w:hAnsi="宋体"/>
          <w:lang w:val="zh-CN"/>
        </w:rPr>
        <w:t xml:space="preserve"> </w:t>
      </w:r>
      <w:r>
        <w:rPr>
          <w:rFonts w:hint="eastAsia" w:ascii="宋体" w:hAnsi="宋体"/>
          <w:lang w:val="zh-CN"/>
        </w:rPr>
        <w:t xml:space="preserve">                       </w:t>
      </w:r>
    </w:p>
    <w:tbl>
      <w:tblPr>
        <w:tblStyle w:val="30"/>
        <w:tblW w:w="0" w:type="auto"/>
        <w:jc w:val="center"/>
        <w:tblLayout w:type="fixed"/>
        <w:tblCellMar>
          <w:top w:w="0" w:type="dxa"/>
          <w:left w:w="10" w:type="dxa"/>
          <w:bottom w:w="0" w:type="dxa"/>
          <w:right w:w="10" w:type="dxa"/>
        </w:tblCellMar>
      </w:tblPr>
      <w:tblGrid>
        <w:gridCol w:w="758"/>
        <w:gridCol w:w="1620"/>
        <w:gridCol w:w="2700"/>
        <w:gridCol w:w="1620"/>
        <w:gridCol w:w="1620"/>
        <w:gridCol w:w="1106"/>
      </w:tblGrid>
      <w:tr>
        <w:tblPrEx>
          <w:tblCellMar>
            <w:top w:w="0" w:type="dxa"/>
            <w:left w:w="10" w:type="dxa"/>
            <w:bottom w:w="0" w:type="dxa"/>
            <w:right w:w="10" w:type="dxa"/>
          </w:tblCellMar>
        </w:tblPrEx>
        <w:trPr>
          <w:trHeight w:val="284" w:hRule="atLeast"/>
          <w:jc w:val="center"/>
        </w:trPr>
        <w:tc>
          <w:tcPr>
            <w:tcW w:w="6698" w:type="dxa"/>
            <w:gridSpan w:val="4"/>
            <w:tcBorders>
              <w:bottom w:val="single" w:color="auto" w:sz="6" w:space="0"/>
            </w:tcBorders>
            <w:noWrap w:val="0"/>
            <w:vAlign w:val="center"/>
          </w:tcPr>
          <w:p>
            <w:pPr>
              <w:autoSpaceDE w:val="0"/>
              <w:autoSpaceDN w:val="0"/>
              <w:adjustRightInd w:val="0"/>
              <w:jc w:val="left"/>
              <w:rPr>
                <w:rFonts w:hint="eastAsia" w:ascii="宋体" w:hAnsi="宋体"/>
                <w:lang w:val="zh-CN"/>
              </w:rPr>
            </w:pPr>
            <w:r>
              <w:rPr>
                <w:rFonts w:hint="eastAsia" w:ascii="宋体" w:hAnsi="宋体"/>
                <w:lang w:val="zh-CN"/>
              </w:rPr>
              <w:t>项目名称：</w:t>
            </w:r>
          </w:p>
        </w:tc>
        <w:tc>
          <w:tcPr>
            <w:tcW w:w="2726" w:type="dxa"/>
            <w:gridSpan w:val="2"/>
            <w:tcBorders>
              <w:bottom w:val="single" w:color="auto" w:sz="6" w:space="0"/>
            </w:tcBorders>
            <w:noWrap w:val="0"/>
            <w:vAlign w:val="center"/>
          </w:tcPr>
          <w:p>
            <w:pPr>
              <w:autoSpaceDE w:val="0"/>
              <w:autoSpaceDN w:val="0"/>
              <w:adjustRightInd w:val="0"/>
              <w:jc w:val="left"/>
              <w:rPr>
                <w:rFonts w:ascii="宋体" w:hAnsi="宋体"/>
              </w:rPr>
            </w:pPr>
            <w:r>
              <w:rPr>
                <w:rFonts w:hint="eastAsia" w:ascii="宋体" w:hAnsi="宋体"/>
                <w:lang w:val="zh-CN"/>
              </w:rPr>
              <w:t>项目编号：</w:t>
            </w:r>
            <w:r>
              <w:rPr>
                <w:rFonts w:hint="eastAsia" w:ascii="宋体" w:hAnsi="宋体"/>
                <w:u w:val="single"/>
                <w:lang w:val="zh-CN"/>
              </w:rPr>
              <w:t>NJCG-2021ZC-0068</w:t>
            </w: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招标文件条目号</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招标要求规格</w:t>
            </w: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投标响应</w:t>
            </w:r>
          </w:p>
        </w:tc>
        <w:tc>
          <w:tcPr>
            <w:tcW w:w="11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偏离</w:t>
            </w: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r>
      <w:tr>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32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10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r>
    </w:tbl>
    <w:p>
      <w:pPr>
        <w:autoSpaceDE w:val="0"/>
        <w:autoSpaceDN w:val="0"/>
        <w:adjustRightInd w:val="0"/>
        <w:spacing w:line="360" w:lineRule="auto"/>
        <w:rPr>
          <w:rFonts w:hint="eastAsia" w:ascii="宋体" w:hAnsi="宋体"/>
          <w:lang w:val="zh-CN"/>
        </w:rPr>
      </w:pPr>
      <w:r>
        <w:rPr>
          <w:rFonts w:hint="eastAsia" w:ascii="宋体" w:hAnsi="宋体"/>
          <w:lang w:val="zh-CN"/>
        </w:rPr>
        <w:t>说明：此表行数不够填写，请自行增加。</w:t>
      </w:r>
    </w:p>
    <w:p>
      <w:pPr>
        <w:autoSpaceDE w:val="0"/>
        <w:autoSpaceDN w:val="0"/>
        <w:adjustRightInd w:val="0"/>
        <w:rPr>
          <w:rFonts w:hint="eastAsia" w:ascii="宋体" w:hAnsi="宋体"/>
          <w:lang w:val="zh-CN"/>
        </w:rPr>
      </w:pPr>
      <w:r>
        <w:rPr>
          <w:rFonts w:hint="eastAsia" w:ascii="宋体" w:hAnsi="宋体"/>
          <w:lang w:val="zh-CN"/>
        </w:rPr>
        <w:t>投标供应商名称</w:t>
      </w:r>
      <w:r>
        <w:rPr>
          <w:rFonts w:ascii="宋体" w:hAnsi="宋体"/>
          <w:lang w:val="zh-CN"/>
        </w:rPr>
        <w:t>:</w:t>
      </w:r>
      <w:r>
        <w:rPr>
          <w:rFonts w:hint="eastAsia" w:ascii="宋体" w:hAnsi="宋体"/>
          <w:lang w:val="zh-CN"/>
        </w:rPr>
        <w:t xml:space="preserve"> </w:t>
      </w:r>
      <w:r>
        <w:rPr>
          <w:rFonts w:hint="eastAsia" w:ascii="宋体" w:hAnsi="宋体"/>
          <w:u w:val="single"/>
          <w:lang w:val="zh-CN"/>
        </w:rPr>
        <w:t xml:space="preserve">                                                 </w:t>
      </w:r>
      <w:r>
        <w:rPr>
          <w:rFonts w:hint="eastAsia" w:ascii="宋体" w:hAnsi="宋体"/>
          <w:lang w:val="zh-CN"/>
        </w:rPr>
        <w:t>（盖章）</w:t>
      </w:r>
    </w:p>
    <w:p>
      <w:pPr>
        <w:autoSpaceDE w:val="0"/>
        <w:autoSpaceDN w:val="0"/>
        <w:adjustRightInd w:val="0"/>
        <w:rPr>
          <w:rFonts w:hint="eastAsia" w:ascii="宋体" w:hAnsi="宋体"/>
          <w:lang w:val="zh-CN"/>
        </w:rPr>
      </w:pPr>
    </w:p>
    <w:p>
      <w:pPr>
        <w:pStyle w:val="4"/>
        <w:rPr>
          <w:rFonts w:ascii="宋体" w:hAnsi="宋体" w:eastAsia="宋体"/>
          <w:sz w:val="21"/>
          <w:szCs w:val="21"/>
          <w:lang w:val="zh-CN"/>
        </w:rPr>
      </w:pPr>
      <w:bookmarkStart w:id="108" w:name="_Toc422907298"/>
      <w:bookmarkStart w:id="109" w:name="_Toc1875"/>
      <w:bookmarkStart w:id="110" w:name="_Toc338684383"/>
      <w:bookmarkStart w:id="111" w:name="_Toc11051729"/>
      <w:bookmarkStart w:id="112" w:name="_Toc401304092"/>
      <w:r>
        <w:rPr>
          <w:rFonts w:hint="eastAsia" w:ascii="宋体" w:hAnsi="宋体" w:eastAsia="宋体"/>
          <w:sz w:val="21"/>
          <w:szCs w:val="21"/>
          <w:lang w:val="zh-CN"/>
        </w:rPr>
        <w:t>附件六、商务条款响应表格式</w:t>
      </w:r>
      <w:bookmarkEnd w:id="108"/>
      <w:bookmarkEnd w:id="109"/>
      <w:bookmarkEnd w:id="110"/>
      <w:bookmarkEnd w:id="111"/>
      <w:bookmarkEnd w:id="112"/>
    </w:p>
    <w:p>
      <w:pPr>
        <w:autoSpaceDE w:val="0"/>
        <w:autoSpaceDN w:val="0"/>
        <w:adjustRightInd w:val="0"/>
        <w:ind w:firstLine="420"/>
        <w:rPr>
          <w:rFonts w:ascii="宋体" w:hAnsi="宋体"/>
          <w:lang w:val="zh-CN"/>
        </w:rPr>
      </w:pPr>
    </w:p>
    <w:p>
      <w:pPr>
        <w:autoSpaceDE w:val="0"/>
        <w:autoSpaceDN w:val="0"/>
        <w:adjustRightInd w:val="0"/>
        <w:ind w:left="420"/>
        <w:jc w:val="center"/>
        <w:rPr>
          <w:rFonts w:ascii="宋体" w:hAnsi="宋体"/>
          <w:sz w:val="36"/>
          <w:lang w:val="zh-CN"/>
        </w:rPr>
      </w:pPr>
      <w:r>
        <w:rPr>
          <w:rFonts w:hint="eastAsia" w:ascii="宋体" w:hAnsi="宋体"/>
          <w:sz w:val="36"/>
          <w:lang w:val="zh-CN"/>
        </w:rPr>
        <w:t>商务条款响应表</w:t>
      </w:r>
    </w:p>
    <w:p>
      <w:pPr>
        <w:autoSpaceDE w:val="0"/>
        <w:autoSpaceDN w:val="0"/>
        <w:adjustRightInd w:val="0"/>
        <w:rPr>
          <w:rFonts w:hint="eastAsia" w:ascii="宋体" w:hAnsi="宋体"/>
          <w:lang w:val="zh-CN"/>
        </w:rPr>
      </w:pPr>
    </w:p>
    <w:tbl>
      <w:tblPr>
        <w:tblStyle w:val="30"/>
        <w:tblW w:w="0" w:type="auto"/>
        <w:jc w:val="center"/>
        <w:tblLayout w:type="fixed"/>
        <w:tblCellMar>
          <w:top w:w="0" w:type="dxa"/>
          <w:left w:w="10" w:type="dxa"/>
          <w:bottom w:w="0" w:type="dxa"/>
          <w:right w:w="10" w:type="dxa"/>
        </w:tblCellMar>
      </w:tblPr>
      <w:tblGrid>
        <w:gridCol w:w="651"/>
        <w:gridCol w:w="1620"/>
        <w:gridCol w:w="2700"/>
        <w:gridCol w:w="1620"/>
        <w:gridCol w:w="1603"/>
        <w:gridCol w:w="1016"/>
      </w:tblGrid>
      <w:tr>
        <w:tblPrEx>
          <w:tblCellMar>
            <w:top w:w="0" w:type="dxa"/>
            <w:left w:w="10" w:type="dxa"/>
            <w:bottom w:w="0" w:type="dxa"/>
            <w:right w:w="10" w:type="dxa"/>
          </w:tblCellMar>
        </w:tblPrEx>
        <w:trPr>
          <w:trHeight w:val="284" w:hRule="atLeast"/>
          <w:jc w:val="center"/>
        </w:trPr>
        <w:tc>
          <w:tcPr>
            <w:tcW w:w="6591" w:type="dxa"/>
            <w:gridSpan w:val="4"/>
            <w:tcBorders>
              <w:bottom w:val="single" w:color="auto" w:sz="6" w:space="0"/>
            </w:tcBorders>
            <w:noWrap w:val="0"/>
            <w:vAlign w:val="center"/>
          </w:tcPr>
          <w:p>
            <w:pPr>
              <w:autoSpaceDE w:val="0"/>
              <w:autoSpaceDN w:val="0"/>
              <w:adjustRightInd w:val="0"/>
              <w:jc w:val="left"/>
              <w:rPr>
                <w:rFonts w:hint="eastAsia" w:ascii="宋体" w:hAnsi="宋体"/>
                <w:lang w:val="zh-CN"/>
              </w:rPr>
            </w:pPr>
            <w:r>
              <w:rPr>
                <w:rFonts w:hint="eastAsia" w:ascii="宋体" w:hAnsi="宋体"/>
                <w:lang w:val="zh-CN"/>
              </w:rPr>
              <w:t>项目名称：</w:t>
            </w:r>
          </w:p>
        </w:tc>
        <w:tc>
          <w:tcPr>
            <w:tcW w:w="2619" w:type="dxa"/>
            <w:gridSpan w:val="2"/>
            <w:tcBorders>
              <w:bottom w:val="single" w:color="auto" w:sz="6" w:space="0"/>
            </w:tcBorders>
            <w:noWrap w:val="0"/>
            <w:vAlign w:val="center"/>
          </w:tcPr>
          <w:p>
            <w:pPr>
              <w:autoSpaceDE w:val="0"/>
              <w:autoSpaceDN w:val="0"/>
              <w:adjustRightInd w:val="0"/>
              <w:jc w:val="left"/>
              <w:rPr>
                <w:rFonts w:ascii="宋体" w:hAnsi="宋体"/>
              </w:rPr>
            </w:pPr>
            <w:r>
              <w:rPr>
                <w:rFonts w:hint="eastAsia" w:ascii="宋体" w:hAnsi="宋体"/>
                <w:lang w:val="zh-CN"/>
              </w:rPr>
              <w:t>项目编号：</w:t>
            </w:r>
            <w:r>
              <w:rPr>
                <w:rFonts w:hint="eastAsia" w:ascii="宋体" w:hAnsi="宋体"/>
                <w:u w:val="single"/>
                <w:lang w:val="zh-CN"/>
              </w:rPr>
              <w:t>NJCG-2021ZC-0068</w:t>
            </w: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序号</w:t>
            </w: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招标文件条目号</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招标文件要求的商务条款</w:t>
            </w: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投标响应</w:t>
            </w: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r>
              <w:rPr>
                <w:rFonts w:hint="eastAsia" w:ascii="宋体" w:hAnsi="宋体"/>
                <w:lang w:val="zh-CN"/>
              </w:rPr>
              <w:t>符合</w:t>
            </w: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r>
      <w:tr>
        <w:tblPrEx>
          <w:tblCellMar>
            <w:top w:w="0" w:type="dxa"/>
            <w:left w:w="10" w:type="dxa"/>
            <w:bottom w:w="0" w:type="dxa"/>
            <w:right w:w="10" w:type="dxa"/>
          </w:tblCellMar>
        </w:tblPrEx>
        <w:trPr>
          <w:trHeight w:val="284" w:hRule="atLeast"/>
          <w:jc w:val="center"/>
        </w:trPr>
        <w:tc>
          <w:tcPr>
            <w:tcW w:w="65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322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c>
          <w:tcPr>
            <w:tcW w:w="101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ascii="宋体" w:hAnsi="宋体"/>
                <w:lang w:val="zh-CN"/>
              </w:rPr>
            </w:pPr>
          </w:p>
        </w:tc>
      </w:tr>
    </w:tbl>
    <w:p>
      <w:pPr>
        <w:autoSpaceDE w:val="0"/>
        <w:autoSpaceDN w:val="0"/>
        <w:adjustRightInd w:val="0"/>
        <w:spacing w:line="360" w:lineRule="auto"/>
        <w:rPr>
          <w:rFonts w:hint="eastAsia" w:ascii="宋体" w:hAnsi="宋体"/>
          <w:lang w:val="zh-CN"/>
        </w:rPr>
      </w:pPr>
      <w:r>
        <w:rPr>
          <w:rFonts w:hint="eastAsia" w:ascii="宋体" w:hAnsi="宋体"/>
          <w:lang w:val="zh-CN"/>
        </w:rPr>
        <w:t>说明：此表行数不够填写，请自行增加。</w:t>
      </w:r>
    </w:p>
    <w:p>
      <w:pPr>
        <w:autoSpaceDE w:val="0"/>
        <w:autoSpaceDN w:val="0"/>
        <w:adjustRightInd w:val="0"/>
        <w:spacing w:line="360" w:lineRule="auto"/>
        <w:rPr>
          <w:rFonts w:hint="eastAsia" w:ascii="宋体" w:hAnsi="宋体"/>
          <w:lang w:val="zh-CN"/>
        </w:rPr>
      </w:pPr>
      <w:r>
        <w:rPr>
          <w:rFonts w:hint="eastAsia" w:ascii="宋体" w:hAnsi="宋体"/>
          <w:lang w:val="zh-CN"/>
        </w:rPr>
        <w:t>投标供应商名称</w:t>
      </w:r>
      <w:r>
        <w:rPr>
          <w:rFonts w:ascii="宋体" w:hAnsi="宋体"/>
          <w:lang w:val="zh-CN"/>
        </w:rPr>
        <w:t>:</w:t>
      </w:r>
      <w:r>
        <w:rPr>
          <w:rFonts w:hint="eastAsia" w:ascii="宋体" w:hAnsi="宋体"/>
          <w:lang w:val="zh-CN"/>
        </w:rPr>
        <w:t xml:space="preserve"> </w:t>
      </w:r>
      <w:r>
        <w:rPr>
          <w:rFonts w:hint="eastAsia" w:ascii="宋体" w:hAnsi="宋体"/>
          <w:u w:val="single"/>
          <w:lang w:val="zh-CN"/>
        </w:rPr>
        <w:t xml:space="preserve">                                                 </w:t>
      </w:r>
      <w:r>
        <w:rPr>
          <w:rFonts w:hint="eastAsia" w:ascii="宋体" w:hAnsi="宋体"/>
          <w:lang w:val="zh-CN"/>
        </w:rPr>
        <w:t>（盖章）</w:t>
      </w:r>
    </w:p>
    <w:p>
      <w:pPr>
        <w:autoSpaceDE w:val="0"/>
        <w:autoSpaceDN w:val="0"/>
        <w:adjustRightInd w:val="0"/>
        <w:rPr>
          <w:rFonts w:hint="eastAsia" w:ascii="宋体" w:hAnsi="宋体"/>
        </w:rPr>
      </w:pPr>
      <w:r>
        <w:rPr>
          <w:rFonts w:ascii="宋体" w:hAnsi="宋体"/>
        </w:rPr>
        <w:br w:type="page"/>
      </w:r>
    </w:p>
    <w:p>
      <w:pPr>
        <w:pStyle w:val="4"/>
        <w:rPr>
          <w:rFonts w:hint="eastAsia" w:ascii="宋体" w:hAnsi="宋体" w:eastAsia="宋体"/>
          <w:sz w:val="21"/>
          <w:szCs w:val="21"/>
          <w:lang w:val="zh-CN"/>
        </w:rPr>
      </w:pPr>
      <w:bookmarkStart w:id="113" w:name="_Toc274907029"/>
      <w:bookmarkStart w:id="114" w:name="_Toc401304094"/>
      <w:bookmarkStart w:id="115" w:name="_Toc422907300"/>
      <w:bookmarkStart w:id="116" w:name="_Toc11051731"/>
      <w:bookmarkStart w:id="117" w:name="_Toc338684385"/>
      <w:bookmarkStart w:id="118" w:name="_Toc21881"/>
      <w:r>
        <w:rPr>
          <w:rFonts w:hint="eastAsia" w:ascii="宋体" w:hAnsi="宋体" w:eastAsia="宋体"/>
          <w:sz w:val="21"/>
          <w:szCs w:val="21"/>
          <w:lang w:val="zh-CN"/>
        </w:rPr>
        <w:t>附件</w:t>
      </w:r>
      <w:r>
        <w:rPr>
          <w:rFonts w:hint="eastAsia" w:ascii="宋体" w:hAnsi="宋体" w:eastAsia="宋体"/>
          <w:sz w:val="21"/>
          <w:szCs w:val="21"/>
        </w:rPr>
        <w:t>七</w:t>
      </w:r>
      <w:r>
        <w:rPr>
          <w:rFonts w:hint="eastAsia" w:ascii="宋体" w:hAnsi="宋体" w:eastAsia="宋体"/>
          <w:sz w:val="21"/>
          <w:szCs w:val="21"/>
          <w:lang w:val="zh-CN"/>
        </w:rPr>
        <w:t>、</w:t>
      </w:r>
      <w:bookmarkEnd w:id="113"/>
      <w:r>
        <w:rPr>
          <w:rFonts w:hint="eastAsia" w:ascii="宋体" w:hAnsi="宋体" w:eastAsia="宋体"/>
          <w:sz w:val="21"/>
          <w:szCs w:val="21"/>
          <w:lang w:val="zh-CN"/>
        </w:rPr>
        <w:t>项目组人员一览表</w:t>
      </w:r>
      <w:bookmarkEnd w:id="114"/>
      <w:bookmarkEnd w:id="115"/>
      <w:bookmarkEnd w:id="116"/>
      <w:bookmarkEnd w:id="117"/>
      <w:bookmarkEnd w:id="118"/>
    </w:p>
    <w:p>
      <w:pPr>
        <w:autoSpaceDE w:val="0"/>
        <w:autoSpaceDN w:val="0"/>
        <w:adjustRightInd w:val="0"/>
        <w:spacing w:line="360" w:lineRule="auto"/>
        <w:jc w:val="center"/>
        <w:rPr>
          <w:rFonts w:hint="eastAsia" w:ascii="宋体" w:hAnsi="宋体"/>
          <w:sz w:val="36"/>
          <w:lang w:val="zh-CN"/>
        </w:rPr>
      </w:pPr>
      <w:r>
        <w:rPr>
          <w:rFonts w:hint="eastAsia" w:ascii="宋体" w:hAnsi="宋体"/>
          <w:sz w:val="36"/>
          <w:lang w:val="zh-CN"/>
        </w:rPr>
        <w:t>项目组人员一览表</w:t>
      </w:r>
    </w:p>
    <w:p>
      <w:pPr>
        <w:autoSpaceDE w:val="0"/>
        <w:autoSpaceDN w:val="0"/>
        <w:adjustRightInd w:val="0"/>
        <w:ind w:firstLine="420"/>
        <w:rPr>
          <w:rFonts w:hint="eastAsia" w:ascii="宋体" w:hAnsi="宋体"/>
          <w:lang w:val="zh-CN"/>
        </w:rPr>
      </w:pPr>
      <w:r>
        <w:rPr>
          <w:rFonts w:hint="eastAsia" w:ascii="宋体" w:hAnsi="宋体"/>
          <w:lang w:val="zh-CN"/>
        </w:rPr>
        <w:t xml:space="preserve">                            </w:t>
      </w:r>
    </w:p>
    <w:p>
      <w:pPr>
        <w:autoSpaceDE w:val="0"/>
        <w:autoSpaceDN w:val="0"/>
        <w:adjustRightInd w:val="0"/>
        <w:ind w:firstLine="420"/>
        <w:rPr>
          <w:rFonts w:hint="eastAsia" w:ascii="宋体" w:hAnsi="宋体"/>
          <w:lang w:val="zh-CN"/>
        </w:rPr>
      </w:pPr>
      <w:r>
        <w:rPr>
          <w:rFonts w:hint="eastAsia" w:ascii="宋体" w:hAnsi="宋体"/>
          <w:lang w:val="zh-CN"/>
        </w:rPr>
        <w:t>项目名称：</w:t>
      </w:r>
    </w:p>
    <w:p>
      <w:pPr>
        <w:autoSpaceDE w:val="0"/>
        <w:autoSpaceDN w:val="0"/>
        <w:adjustRightInd w:val="0"/>
        <w:ind w:firstLine="420"/>
        <w:rPr>
          <w:rFonts w:hint="eastAsia" w:ascii="宋体" w:hAnsi="宋体"/>
          <w:lang w:val="zh-CN"/>
        </w:rPr>
      </w:pPr>
      <w:r>
        <w:rPr>
          <w:rFonts w:hint="eastAsia" w:ascii="宋体" w:hAnsi="宋体"/>
          <w:lang w:val="zh-CN"/>
        </w:rPr>
        <w:t>项目编号：</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52"/>
        <w:gridCol w:w="1998"/>
        <w:gridCol w:w="840"/>
        <w:gridCol w:w="2212"/>
        <w:gridCol w:w="2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pPr>
              <w:autoSpaceDE w:val="0"/>
              <w:autoSpaceDN w:val="0"/>
              <w:adjustRightInd w:val="0"/>
              <w:ind w:firstLine="420"/>
              <w:jc w:val="center"/>
              <w:rPr>
                <w:rFonts w:hint="eastAsia" w:ascii="宋体" w:hAnsi="宋体"/>
                <w:lang w:val="zh-CN"/>
              </w:rPr>
            </w:pPr>
            <w:r>
              <w:rPr>
                <w:rFonts w:hint="eastAsia" w:ascii="宋体" w:hAnsi="宋体"/>
                <w:lang w:val="zh-CN"/>
              </w:rPr>
              <w:t>序序号</w:t>
            </w:r>
          </w:p>
        </w:tc>
        <w:tc>
          <w:tcPr>
            <w:tcW w:w="1152" w:type="dxa"/>
            <w:noWrap w:val="0"/>
            <w:vAlign w:val="center"/>
          </w:tcPr>
          <w:p>
            <w:pPr>
              <w:autoSpaceDE w:val="0"/>
              <w:autoSpaceDN w:val="0"/>
              <w:adjustRightInd w:val="0"/>
              <w:jc w:val="center"/>
              <w:rPr>
                <w:rFonts w:hint="eastAsia" w:ascii="宋体" w:hAnsi="宋体"/>
                <w:lang w:val="zh-CN"/>
              </w:rPr>
            </w:pPr>
            <w:r>
              <w:rPr>
                <w:rFonts w:hint="eastAsia" w:ascii="宋体" w:hAnsi="宋体"/>
                <w:lang w:val="zh-CN"/>
              </w:rPr>
              <w:t>姓名</w:t>
            </w:r>
          </w:p>
        </w:tc>
        <w:tc>
          <w:tcPr>
            <w:tcW w:w="1998" w:type="dxa"/>
            <w:noWrap w:val="0"/>
            <w:vAlign w:val="center"/>
          </w:tcPr>
          <w:p>
            <w:pPr>
              <w:autoSpaceDE w:val="0"/>
              <w:autoSpaceDN w:val="0"/>
              <w:adjustRightInd w:val="0"/>
              <w:jc w:val="center"/>
              <w:rPr>
                <w:rFonts w:hint="eastAsia" w:ascii="宋体" w:hAnsi="宋体"/>
                <w:lang w:val="zh-CN"/>
              </w:rPr>
            </w:pPr>
            <w:r>
              <w:rPr>
                <w:rFonts w:hint="eastAsia" w:ascii="宋体" w:hAnsi="宋体"/>
                <w:lang w:val="zh-CN"/>
              </w:rPr>
              <w:t>在本项目中担任的职务</w:t>
            </w:r>
          </w:p>
        </w:tc>
        <w:tc>
          <w:tcPr>
            <w:tcW w:w="840" w:type="dxa"/>
            <w:noWrap w:val="0"/>
            <w:vAlign w:val="center"/>
          </w:tcPr>
          <w:p>
            <w:pPr>
              <w:autoSpaceDE w:val="0"/>
              <w:autoSpaceDN w:val="0"/>
              <w:adjustRightInd w:val="0"/>
              <w:jc w:val="center"/>
              <w:rPr>
                <w:rFonts w:hint="eastAsia" w:ascii="宋体" w:hAnsi="宋体"/>
                <w:lang w:val="zh-CN"/>
              </w:rPr>
            </w:pPr>
            <w:r>
              <w:rPr>
                <w:rFonts w:hint="eastAsia" w:ascii="宋体" w:hAnsi="宋体"/>
                <w:lang w:val="zh-CN"/>
              </w:rPr>
              <w:t>职称</w:t>
            </w:r>
          </w:p>
        </w:tc>
        <w:tc>
          <w:tcPr>
            <w:tcW w:w="2212" w:type="dxa"/>
            <w:noWrap w:val="0"/>
            <w:vAlign w:val="center"/>
          </w:tcPr>
          <w:p>
            <w:pPr>
              <w:autoSpaceDE w:val="0"/>
              <w:autoSpaceDN w:val="0"/>
              <w:adjustRightInd w:val="0"/>
              <w:ind w:firstLine="420"/>
              <w:jc w:val="center"/>
              <w:rPr>
                <w:rFonts w:hint="eastAsia" w:ascii="宋体" w:hAnsi="宋体"/>
                <w:lang w:val="zh-CN"/>
              </w:rPr>
            </w:pPr>
            <w:r>
              <w:rPr>
                <w:rFonts w:hint="eastAsia" w:ascii="宋体" w:hAnsi="宋体"/>
                <w:lang w:val="zh-CN"/>
              </w:rPr>
              <w:t>身份证号码</w:t>
            </w:r>
          </w:p>
        </w:tc>
        <w:tc>
          <w:tcPr>
            <w:tcW w:w="2351" w:type="dxa"/>
            <w:noWrap w:val="0"/>
            <w:vAlign w:val="center"/>
          </w:tcPr>
          <w:p>
            <w:pPr>
              <w:autoSpaceDE w:val="0"/>
              <w:autoSpaceDN w:val="0"/>
              <w:adjustRightInd w:val="0"/>
              <w:ind w:firstLine="420"/>
              <w:jc w:val="center"/>
              <w:rPr>
                <w:rFonts w:hint="eastAsia" w:ascii="宋体" w:hAnsi="宋体"/>
                <w:lang w:val="zh-CN"/>
              </w:rPr>
            </w:pPr>
            <w:r>
              <w:rPr>
                <w:rFonts w:hint="eastAsia" w:ascii="宋体" w:hAnsi="宋体"/>
                <w:lang w:val="zh-CN"/>
              </w:rPr>
              <w:t>主要资历、经验</w:t>
            </w:r>
          </w:p>
          <w:p>
            <w:pPr>
              <w:autoSpaceDE w:val="0"/>
              <w:autoSpaceDN w:val="0"/>
              <w:adjustRightInd w:val="0"/>
              <w:ind w:firstLine="420"/>
              <w:jc w:val="center"/>
              <w:rPr>
                <w:rFonts w:hint="eastAsia" w:ascii="宋体" w:hAnsi="宋体"/>
                <w:lang w:val="zh-CN"/>
              </w:rPr>
            </w:pPr>
            <w:r>
              <w:rPr>
                <w:rFonts w:hint="eastAsia" w:ascii="宋体" w:hAnsi="宋体"/>
                <w:lang w:val="zh-CN"/>
              </w:rPr>
              <w:t>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autoSpaceDE w:val="0"/>
              <w:autoSpaceDN w:val="0"/>
              <w:adjustRightInd w:val="0"/>
              <w:ind w:firstLine="420"/>
              <w:rPr>
                <w:rFonts w:hint="eastAsia" w:ascii="宋体" w:hAnsi="宋体"/>
                <w:lang w:val="zh-CN"/>
              </w:rPr>
            </w:pPr>
            <w:r>
              <w:rPr>
                <w:rFonts w:hint="eastAsia" w:ascii="宋体" w:hAnsi="宋体"/>
                <w:lang w:val="zh-CN"/>
              </w:rPr>
              <w:t>1</w:t>
            </w:r>
          </w:p>
        </w:tc>
        <w:tc>
          <w:tcPr>
            <w:tcW w:w="1152" w:type="dxa"/>
            <w:noWrap w:val="0"/>
            <w:vAlign w:val="center"/>
          </w:tcPr>
          <w:p>
            <w:pPr>
              <w:autoSpaceDE w:val="0"/>
              <w:autoSpaceDN w:val="0"/>
              <w:adjustRightInd w:val="0"/>
              <w:ind w:firstLine="420"/>
              <w:rPr>
                <w:rFonts w:hint="eastAsia" w:ascii="宋体" w:hAnsi="宋体"/>
                <w:lang w:val="zh-CN"/>
              </w:rPr>
            </w:pPr>
          </w:p>
        </w:tc>
        <w:tc>
          <w:tcPr>
            <w:tcW w:w="1998" w:type="dxa"/>
            <w:noWrap w:val="0"/>
            <w:vAlign w:val="center"/>
          </w:tcPr>
          <w:p>
            <w:pPr>
              <w:autoSpaceDE w:val="0"/>
              <w:autoSpaceDN w:val="0"/>
              <w:adjustRightInd w:val="0"/>
              <w:ind w:firstLine="420"/>
              <w:rPr>
                <w:rFonts w:hint="eastAsia" w:ascii="宋体" w:hAnsi="宋体"/>
                <w:lang w:val="zh-CN"/>
              </w:rPr>
            </w:pPr>
            <w:r>
              <w:rPr>
                <w:rFonts w:hint="eastAsia" w:ascii="宋体" w:hAnsi="宋体"/>
                <w:lang w:val="zh-CN"/>
              </w:rPr>
              <w:t>项目负责人</w:t>
            </w:r>
          </w:p>
        </w:tc>
        <w:tc>
          <w:tcPr>
            <w:tcW w:w="840" w:type="dxa"/>
            <w:noWrap w:val="0"/>
            <w:vAlign w:val="center"/>
          </w:tcPr>
          <w:p>
            <w:pPr>
              <w:autoSpaceDE w:val="0"/>
              <w:autoSpaceDN w:val="0"/>
              <w:adjustRightInd w:val="0"/>
              <w:ind w:firstLine="420"/>
              <w:rPr>
                <w:rFonts w:hint="eastAsia" w:ascii="宋体" w:hAnsi="宋体"/>
                <w:lang w:val="zh-CN"/>
              </w:rPr>
            </w:pPr>
          </w:p>
        </w:tc>
        <w:tc>
          <w:tcPr>
            <w:tcW w:w="2212" w:type="dxa"/>
            <w:noWrap w:val="0"/>
            <w:vAlign w:val="center"/>
          </w:tcPr>
          <w:p>
            <w:pPr>
              <w:autoSpaceDE w:val="0"/>
              <w:autoSpaceDN w:val="0"/>
              <w:adjustRightInd w:val="0"/>
              <w:ind w:firstLine="420"/>
              <w:rPr>
                <w:rFonts w:hint="eastAsia" w:ascii="宋体" w:hAnsi="宋体"/>
                <w:lang w:val="zh-CN"/>
              </w:rPr>
            </w:pPr>
          </w:p>
        </w:tc>
        <w:tc>
          <w:tcPr>
            <w:tcW w:w="2351" w:type="dxa"/>
            <w:noWrap w:val="0"/>
            <w:vAlign w:val="center"/>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lang w:val="zh-CN"/>
              </w:rPr>
            </w:pPr>
          </w:p>
        </w:tc>
        <w:tc>
          <w:tcPr>
            <w:tcW w:w="1152" w:type="dxa"/>
            <w:noWrap w:val="0"/>
            <w:vAlign w:val="center"/>
          </w:tcPr>
          <w:p>
            <w:pPr>
              <w:autoSpaceDE w:val="0"/>
              <w:autoSpaceDN w:val="0"/>
              <w:adjustRightInd w:val="0"/>
              <w:ind w:firstLine="420"/>
              <w:rPr>
                <w:rFonts w:hint="eastAsia" w:ascii="宋体" w:hAnsi="宋体"/>
                <w:lang w:val="zh-CN"/>
              </w:rPr>
            </w:pPr>
          </w:p>
        </w:tc>
        <w:tc>
          <w:tcPr>
            <w:tcW w:w="1998" w:type="dxa"/>
            <w:noWrap w:val="0"/>
            <w:vAlign w:val="center"/>
          </w:tcPr>
          <w:p>
            <w:pPr>
              <w:autoSpaceDE w:val="0"/>
              <w:autoSpaceDN w:val="0"/>
              <w:adjustRightInd w:val="0"/>
              <w:ind w:firstLine="420"/>
              <w:rPr>
                <w:rFonts w:hint="eastAsia" w:ascii="宋体" w:hAnsi="宋体"/>
                <w:lang w:val="zh-CN"/>
              </w:rPr>
            </w:pPr>
            <w:r>
              <w:rPr>
                <w:rFonts w:hint="eastAsia" w:ascii="宋体" w:hAnsi="宋体"/>
                <w:lang w:val="zh-CN"/>
              </w:rPr>
              <w:t>……</w:t>
            </w:r>
          </w:p>
        </w:tc>
        <w:tc>
          <w:tcPr>
            <w:tcW w:w="840" w:type="dxa"/>
            <w:noWrap w:val="0"/>
            <w:vAlign w:val="center"/>
          </w:tcPr>
          <w:p>
            <w:pPr>
              <w:autoSpaceDE w:val="0"/>
              <w:autoSpaceDN w:val="0"/>
              <w:adjustRightInd w:val="0"/>
              <w:ind w:firstLine="420"/>
              <w:rPr>
                <w:rFonts w:hint="eastAsia" w:ascii="宋体" w:hAnsi="宋体"/>
                <w:lang w:val="zh-CN"/>
              </w:rPr>
            </w:pPr>
          </w:p>
        </w:tc>
        <w:tc>
          <w:tcPr>
            <w:tcW w:w="2212" w:type="dxa"/>
            <w:noWrap w:val="0"/>
            <w:vAlign w:val="center"/>
          </w:tcPr>
          <w:p>
            <w:pPr>
              <w:autoSpaceDE w:val="0"/>
              <w:autoSpaceDN w:val="0"/>
              <w:adjustRightInd w:val="0"/>
              <w:ind w:firstLine="420"/>
              <w:rPr>
                <w:rFonts w:hint="eastAsia" w:ascii="宋体" w:hAnsi="宋体"/>
                <w:lang w:val="zh-CN"/>
              </w:rPr>
            </w:pPr>
          </w:p>
        </w:tc>
        <w:tc>
          <w:tcPr>
            <w:tcW w:w="2351" w:type="dxa"/>
            <w:noWrap w:val="0"/>
            <w:vAlign w:val="center"/>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autoSpaceDE w:val="0"/>
              <w:autoSpaceDN w:val="0"/>
              <w:adjustRightInd w:val="0"/>
              <w:ind w:firstLine="420"/>
              <w:rPr>
                <w:rFonts w:hint="eastAsia" w:ascii="宋体" w:hAnsi="宋体"/>
                <w:lang w:val="zh-CN"/>
              </w:rPr>
            </w:pPr>
            <w:r>
              <w:rPr>
                <w:rFonts w:hint="eastAsia" w:ascii="宋体" w:hAnsi="宋体"/>
                <w:lang w:val="zh-CN"/>
              </w:rPr>
              <w:t>2</w:t>
            </w:r>
          </w:p>
        </w:tc>
        <w:tc>
          <w:tcPr>
            <w:tcW w:w="1152" w:type="dxa"/>
            <w:noWrap w:val="0"/>
            <w:vAlign w:val="center"/>
          </w:tcPr>
          <w:p>
            <w:pPr>
              <w:autoSpaceDE w:val="0"/>
              <w:autoSpaceDN w:val="0"/>
              <w:adjustRightInd w:val="0"/>
              <w:ind w:firstLine="420"/>
              <w:rPr>
                <w:rFonts w:hint="eastAsia" w:ascii="宋体" w:hAnsi="宋体"/>
                <w:lang w:val="zh-CN"/>
              </w:rPr>
            </w:pPr>
          </w:p>
        </w:tc>
        <w:tc>
          <w:tcPr>
            <w:tcW w:w="1998" w:type="dxa"/>
            <w:noWrap w:val="0"/>
            <w:vAlign w:val="center"/>
          </w:tcPr>
          <w:p>
            <w:pPr>
              <w:autoSpaceDE w:val="0"/>
              <w:autoSpaceDN w:val="0"/>
              <w:adjustRightInd w:val="0"/>
              <w:ind w:firstLine="420"/>
              <w:rPr>
                <w:rFonts w:hint="eastAsia" w:ascii="宋体" w:hAnsi="宋体"/>
                <w:lang w:val="zh-CN"/>
              </w:rPr>
            </w:pPr>
          </w:p>
        </w:tc>
        <w:tc>
          <w:tcPr>
            <w:tcW w:w="840" w:type="dxa"/>
            <w:noWrap w:val="0"/>
            <w:vAlign w:val="center"/>
          </w:tcPr>
          <w:p>
            <w:pPr>
              <w:autoSpaceDE w:val="0"/>
              <w:autoSpaceDN w:val="0"/>
              <w:adjustRightInd w:val="0"/>
              <w:ind w:firstLine="420"/>
              <w:rPr>
                <w:rFonts w:hint="eastAsia" w:ascii="宋体" w:hAnsi="宋体"/>
                <w:lang w:val="zh-CN"/>
              </w:rPr>
            </w:pPr>
          </w:p>
        </w:tc>
        <w:tc>
          <w:tcPr>
            <w:tcW w:w="2212" w:type="dxa"/>
            <w:noWrap w:val="0"/>
            <w:vAlign w:val="center"/>
          </w:tcPr>
          <w:p>
            <w:pPr>
              <w:autoSpaceDE w:val="0"/>
              <w:autoSpaceDN w:val="0"/>
              <w:adjustRightInd w:val="0"/>
              <w:ind w:firstLine="420"/>
              <w:rPr>
                <w:rFonts w:hint="eastAsia" w:ascii="宋体" w:hAnsi="宋体"/>
                <w:lang w:val="zh-CN"/>
              </w:rPr>
            </w:pPr>
          </w:p>
        </w:tc>
        <w:tc>
          <w:tcPr>
            <w:tcW w:w="2351" w:type="dxa"/>
            <w:noWrap w:val="0"/>
            <w:vAlign w:val="center"/>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lang w:val="zh-CN"/>
              </w:rPr>
            </w:pPr>
          </w:p>
        </w:tc>
        <w:tc>
          <w:tcPr>
            <w:tcW w:w="1152" w:type="dxa"/>
            <w:noWrap w:val="0"/>
            <w:vAlign w:val="center"/>
          </w:tcPr>
          <w:p>
            <w:pPr>
              <w:autoSpaceDE w:val="0"/>
              <w:autoSpaceDN w:val="0"/>
              <w:adjustRightInd w:val="0"/>
              <w:ind w:firstLine="420"/>
              <w:rPr>
                <w:rFonts w:hint="eastAsia" w:ascii="宋体" w:hAnsi="宋体"/>
                <w:lang w:val="zh-CN"/>
              </w:rPr>
            </w:pPr>
          </w:p>
        </w:tc>
        <w:tc>
          <w:tcPr>
            <w:tcW w:w="1998" w:type="dxa"/>
            <w:noWrap w:val="0"/>
            <w:vAlign w:val="center"/>
          </w:tcPr>
          <w:p>
            <w:pPr>
              <w:autoSpaceDE w:val="0"/>
              <w:autoSpaceDN w:val="0"/>
              <w:adjustRightInd w:val="0"/>
              <w:ind w:firstLine="420"/>
              <w:rPr>
                <w:rFonts w:hint="eastAsia" w:ascii="宋体" w:hAnsi="宋体"/>
                <w:lang w:val="zh-CN"/>
              </w:rPr>
            </w:pPr>
            <w:r>
              <w:rPr>
                <w:rFonts w:hint="eastAsia" w:ascii="宋体" w:hAnsi="宋体"/>
                <w:lang w:val="zh-CN"/>
              </w:rPr>
              <w:t>……</w:t>
            </w:r>
          </w:p>
        </w:tc>
        <w:tc>
          <w:tcPr>
            <w:tcW w:w="840" w:type="dxa"/>
            <w:noWrap w:val="0"/>
            <w:vAlign w:val="center"/>
          </w:tcPr>
          <w:p>
            <w:pPr>
              <w:autoSpaceDE w:val="0"/>
              <w:autoSpaceDN w:val="0"/>
              <w:adjustRightInd w:val="0"/>
              <w:ind w:firstLine="420"/>
              <w:rPr>
                <w:rFonts w:hint="eastAsia" w:ascii="宋体" w:hAnsi="宋体"/>
                <w:lang w:val="zh-CN"/>
              </w:rPr>
            </w:pPr>
          </w:p>
        </w:tc>
        <w:tc>
          <w:tcPr>
            <w:tcW w:w="2212" w:type="dxa"/>
            <w:noWrap w:val="0"/>
            <w:vAlign w:val="center"/>
          </w:tcPr>
          <w:p>
            <w:pPr>
              <w:autoSpaceDE w:val="0"/>
              <w:autoSpaceDN w:val="0"/>
              <w:adjustRightInd w:val="0"/>
              <w:ind w:firstLine="420"/>
              <w:rPr>
                <w:rFonts w:hint="eastAsia" w:ascii="宋体" w:hAnsi="宋体"/>
                <w:lang w:val="zh-CN"/>
              </w:rPr>
            </w:pPr>
          </w:p>
        </w:tc>
        <w:tc>
          <w:tcPr>
            <w:tcW w:w="2351" w:type="dxa"/>
            <w:noWrap w:val="0"/>
            <w:vAlign w:val="center"/>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autoSpaceDE w:val="0"/>
              <w:autoSpaceDN w:val="0"/>
              <w:adjustRightInd w:val="0"/>
              <w:ind w:firstLine="420"/>
              <w:rPr>
                <w:rFonts w:hint="eastAsia" w:ascii="宋体" w:hAnsi="宋体"/>
                <w:lang w:val="zh-CN"/>
              </w:rPr>
            </w:pPr>
            <w:r>
              <w:rPr>
                <w:rFonts w:hint="eastAsia" w:ascii="宋体" w:hAnsi="宋体"/>
                <w:lang w:val="zh-CN"/>
              </w:rPr>
              <w:t>3</w:t>
            </w:r>
          </w:p>
        </w:tc>
        <w:tc>
          <w:tcPr>
            <w:tcW w:w="1152" w:type="dxa"/>
            <w:noWrap w:val="0"/>
            <w:vAlign w:val="center"/>
          </w:tcPr>
          <w:p>
            <w:pPr>
              <w:autoSpaceDE w:val="0"/>
              <w:autoSpaceDN w:val="0"/>
              <w:adjustRightInd w:val="0"/>
              <w:ind w:firstLine="420"/>
              <w:rPr>
                <w:rFonts w:hint="eastAsia" w:ascii="宋体" w:hAnsi="宋体"/>
                <w:lang w:val="zh-CN"/>
              </w:rPr>
            </w:pPr>
          </w:p>
        </w:tc>
        <w:tc>
          <w:tcPr>
            <w:tcW w:w="1998" w:type="dxa"/>
            <w:noWrap w:val="0"/>
            <w:vAlign w:val="center"/>
          </w:tcPr>
          <w:p>
            <w:pPr>
              <w:autoSpaceDE w:val="0"/>
              <w:autoSpaceDN w:val="0"/>
              <w:adjustRightInd w:val="0"/>
              <w:ind w:firstLine="420"/>
              <w:rPr>
                <w:rFonts w:hint="eastAsia" w:ascii="宋体" w:hAnsi="宋体"/>
                <w:lang w:val="zh-CN"/>
              </w:rPr>
            </w:pPr>
          </w:p>
        </w:tc>
        <w:tc>
          <w:tcPr>
            <w:tcW w:w="840" w:type="dxa"/>
            <w:noWrap w:val="0"/>
            <w:vAlign w:val="center"/>
          </w:tcPr>
          <w:p>
            <w:pPr>
              <w:autoSpaceDE w:val="0"/>
              <w:autoSpaceDN w:val="0"/>
              <w:adjustRightInd w:val="0"/>
              <w:ind w:firstLine="420"/>
              <w:rPr>
                <w:rFonts w:hint="eastAsia" w:ascii="宋体" w:hAnsi="宋体"/>
                <w:lang w:val="zh-CN"/>
              </w:rPr>
            </w:pPr>
          </w:p>
        </w:tc>
        <w:tc>
          <w:tcPr>
            <w:tcW w:w="2212" w:type="dxa"/>
            <w:noWrap w:val="0"/>
            <w:vAlign w:val="center"/>
          </w:tcPr>
          <w:p>
            <w:pPr>
              <w:autoSpaceDE w:val="0"/>
              <w:autoSpaceDN w:val="0"/>
              <w:adjustRightInd w:val="0"/>
              <w:ind w:firstLine="420"/>
              <w:rPr>
                <w:rFonts w:hint="eastAsia" w:ascii="宋体" w:hAnsi="宋体"/>
                <w:lang w:val="zh-CN"/>
              </w:rPr>
            </w:pPr>
          </w:p>
        </w:tc>
        <w:tc>
          <w:tcPr>
            <w:tcW w:w="2351" w:type="dxa"/>
            <w:noWrap w:val="0"/>
            <w:vAlign w:val="center"/>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lang w:val="zh-CN"/>
              </w:rPr>
            </w:pPr>
          </w:p>
        </w:tc>
        <w:tc>
          <w:tcPr>
            <w:tcW w:w="1152" w:type="dxa"/>
            <w:noWrap w:val="0"/>
            <w:vAlign w:val="center"/>
          </w:tcPr>
          <w:p>
            <w:pPr>
              <w:autoSpaceDE w:val="0"/>
              <w:autoSpaceDN w:val="0"/>
              <w:adjustRightInd w:val="0"/>
              <w:ind w:firstLine="420"/>
              <w:rPr>
                <w:rFonts w:hint="eastAsia" w:ascii="宋体" w:hAnsi="宋体"/>
                <w:lang w:val="zh-CN"/>
              </w:rPr>
            </w:pPr>
          </w:p>
        </w:tc>
        <w:tc>
          <w:tcPr>
            <w:tcW w:w="1998" w:type="dxa"/>
            <w:noWrap w:val="0"/>
            <w:vAlign w:val="center"/>
          </w:tcPr>
          <w:p>
            <w:pPr>
              <w:autoSpaceDE w:val="0"/>
              <w:autoSpaceDN w:val="0"/>
              <w:adjustRightInd w:val="0"/>
              <w:ind w:firstLine="420"/>
              <w:rPr>
                <w:rFonts w:hint="eastAsia" w:ascii="宋体" w:hAnsi="宋体"/>
                <w:lang w:val="zh-CN"/>
              </w:rPr>
            </w:pPr>
          </w:p>
        </w:tc>
        <w:tc>
          <w:tcPr>
            <w:tcW w:w="840" w:type="dxa"/>
            <w:noWrap w:val="0"/>
            <w:vAlign w:val="center"/>
          </w:tcPr>
          <w:p>
            <w:pPr>
              <w:autoSpaceDE w:val="0"/>
              <w:autoSpaceDN w:val="0"/>
              <w:adjustRightInd w:val="0"/>
              <w:ind w:firstLine="420"/>
              <w:rPr>
                <w:rFonts w:hint="eastAsia" w:ascii="宋体" w:hAnsi="宋体"/>
                <w:lang w:val="zh-CN"/>
              </w:rPr>
            </w:pPr>
          </w:p>
        </w:tc>
        <w:tc>
          <w:tcPr>
            <w:tcW w:w="2212" w:type="dxa"/>
            <w:noWrap w:val="0"/>
            <w:vAlign w:val="center"/>
          </w:tcPr>
          <w:p>
            <w:pPr>
              <w:autoSpaceDE w:val="0"/>
              <w:autoSpaceDN w:val="0"/>
              <w:adjustRightInd w:val="0"/>
              <w:ind w:firstLine="420"/>
              <w:rPr>
                <w:rFonts w:hint="eastAsia" w:ascii="宋体" w:hAnsi="宋体"/>
                <w:lang w:val="zh-CN"/>
              </w:rPr>
            </w:pPr>
          </w:p>
        </w:tc>
        <w:tc>
          <w:tcPr>
            <w:tcW w:w="2351" w:type="dxa"/>
            <w:noWrap w:val="0"/>
            <w:vAlign w:val="center"/>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lang w:val="zh-CN"/>
              </w:rPr>
            </w:pPr>
          </w:p>
        </w:tc>
        <w:tc>
          <w:tcPr>
            <w:tcW w:w="1152" w:type="dxa"/>
            <w:noWrap w:val="0"/>
            <w:vAlign w:val="center"/>
          </w:tcPr>
          <w:p>
            <w:pPr>
              <w:autoSpaceDE w:val="0"/>
              <w:autoSpaceDN w:val="0"/>
              <w:adjustRightInd w:val="0"/>
              <w:ind w:firstLine="420"/>
              <w:rPr>
                <w:rFonts w:hint="eastAsia" w:ascii="宋体" w:hAnsi="宋体"/>
                <w:lang w:val="zh-CN"/>
              </w:rPr>
            </w:pPr>
          </w:p>
        </w:tc>
        <w:tc>
          <w:tcPr>
            <w:tcW w:w="1998" w:type="dxa"/>
            <w:noWrap w:val="0"/>
            <w:vAlign w:val="center"/>
          </w:tcPr>
          <w:p>
            <w:pPr>
              <w:autoSpaceDE w:val="0"/>
              <w:autoSpaceDN w:val="0"/>
              <w:adjustRightInd w:val="0"/>
              <w:ind w:firstLine="420"/>
              <w:rPr>
                <w:rFonts w:hint="eastAsia" w:ascii="宋体" w:hAnsi="宋体"/>
                <w:lang w:val="zh-CN"/>
              </w:rPr>
            </w:pPr>
          </w:p>
        </w:tc>
        <w:tc>
          <w:tcPr>
            <w:tcW w:w="840" w:type="dxa"/>
            <w:noWrap w:val="0"/>
            <w:vAlign w:val="center"/>
          </w:tcPr>
          <w:p>
            <w:pPr>
              <w:autoSpaceDE w:val="0"/>
              <w:autoSpaceDN w:val="0"/>
              <w:adjustRightInd w:val="0"/>
              <w:ind w:firstLine="420"/>
              <w:rPr>
                <w:rFonts w:hint="eastAsia" w:ascii="宋体" w:hAnsi="宋体"/>
                <w:lang w:val="zh-CN"/>
              </w:rPr>
            </w:pPr>
          </w:p>
        </w:tc>
        <w:tc>
          <w:tcPr>
            <w:tcW w:w="2212" w:type="dxa"/>
            <w:noWrap w:val="0"/>
            <w:vAlign w:val="center"/>
          </w:tcPr>
          <w:p>
            <w:pPr>
              <w:autoSpaceDE w:val="0"/>
              <w:autoSpaceDN w:val="0"/>
              <w:adjustRightInd w:val="0"/>
              <w:ind w:firstLine="420"/>
              <w:rPr>
                <w:rFonts w:hint="eastAsia" w:ascii="宋体" w:hAnsi="宋体"/>
                <w:lang w:val="zh-CN"/>
              </w:rPr>
            </w:pPr>
          </w:p>
        </w:tc>
        <w:tc>
          <w:tcPr>
            <w:tcW w:w="2351" w:type="dxa"/>
            <w:noWrap w:val="0"/>
            <w:vAlign w:val="center"/>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lang w:val="zh-CN"/>
              </w:rPr>
            </w:pPr>
          </w:p>
        </w:tc>
        <w:tc>
          <w:tcPr>
            <w:tcW w:w="1152" w:type="dxa"/>
            <w:noWrap w:val="0"/>
            <w:vAlign w:val="center"/>
          </w:tcPr>
          <w:p>
            <w:pPr>
              <w:autoSpaceDE w:val="0"/>
              <w:autoSpaceDN w:val="0"/>
              <w:adjustRightInd w:val="0"/>
              <w:ind w:firstLine="420"/>
              <w:rPr>
                <w:rFonts w:hint="eastAsia" w:ascii="宋体" w:hAnsi="宋体"/>
                <w:lang w:val="zh-CN"/>
              </w:rPr>
            </w:pPr>
          </w:p>
        </w:tc>
        <w:tc>
          <w:tcPr>
            <w:tcW w:w="1998" w:type="dxa"/>
            <w:noWrap w:val="0"/>
            <w:vAlign w:val="center"/>
          </w:tcPr>
          <w:p>
            <w:pPr>
              <w:autoSpaceDE w:val="0"/>
              <w:autoSpaceDN w:val="0"/>
              <w:adjustRightInd w:val="0"/>
              <w:ind w:firstLine="420"/>
              <w:rPr>
                <w:rFonts w:hint="eastAsia" w:ascii="宋体" w:hAnsi="宋体"/>
                <w:lang w:val="zh-CN"/>
              </w:rPr>
            </w:pPr>
          </w:p>
        </w:tc>
        <w:tc>
          <w:tcPr>
            <w:tcW w:w="840" w:type="dxa"/>
            <w:noWrap w:val="0"/>
            <w:vAlign w:val="center"/>
          </w:tcPr>
          <w:p>
            <w:pPr>
              <w:autoSpaceDE w:val="0"/>
              <w:autoSpaceDN w:val="0"/>
              <w:adjustRightInd w:val="0"/>
              <w:ind w:firstLine="420"/>
              <w:rPr>
                <w:rFonts w:hint="eastAsia" w:ascii="宋体" w:hAnsi="宋体"/>
                <w:lang w:val="zh-CN"/>
              </w:rPr>
            </w:pPr>
          </w:p>
        </w:tc>
        <w:tc>
          <w:tcPr>
            <w:tcW w:w="2212" w:type="dxa"/>
            <w:noWrap w:val="0"/>
            <w:vAlign w:val="center"/>
          </w:tcPr>
          <w:p>
            <w:pPr>
              <w:autoSpaceDE w:val="0"/>
              <w:autoSpaceDN w:val="0"/>
              <w:adjustRightInd w:val="0"/>
              <w:ind w:firstLine="420"/>
              <w:rPr>
                <w:rFonts w:hint="eastAsia" w:ascii="宋体" w:hAnsi="宋体"/>
                <w:lang w:val="zh-CN"/>
              </w:rPr>
            </w:pPr>
          </w:p>
        </w:tc>
        <w:tc>
          <w:tcPr>
            <w:tcW w:w="2351" w:type="dxa"/>
            <w:noWrap w:val="0"/>
            <w:vAlign w:val="center"/>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lang w:val="zh-CN"/>
              </w:rPr>
            </w:pPr>
          </w:p>
        </w:tc>
        <w:tc>
          <w:tcPr>
            <w:tcW w:w="1152" w:type="dxa"/>
            <w:noWrap w:val="0"/>
            <w:vAlign w:val="center"/>
          </w:tcPr>
          <w:p>
            <w:pPr>
              <w:autoSpaceDE w:val="0"/>
              <w:autoSpaceDN w:val="0"/>
              <w:adjustRightInd w:val="0"/>
              <w:ind w:firstLine="420"/>
              <w:rPr>
                <w:rFonts w:hint="eastAsia" w:ascii="宋体" w:hAnsi="宋体"/>
                <w:lang w:val="zh-CN"/>
              </w:rPr>
            </w:pPr>
          </w:p>
        </w:tc>
        <w:tc>
          <w:tcPr>
            <w:tcW w:w="1998" w:type="dxa"/>
            <w:noWrap w:val="0"/>
            <w:vAlign w:val="center"/>
          </w:tcPr>
          <w:p>
            <w:pPr>
              <w:autoSpaceDE w:val="0"/>
              <w:autoSpaceDN w:val="0"/>
              <w:adjustRightInd w:val="0"/>
              <w:ind w:firstLine="420"/>
              <w:rPr>
                <w:rFonts w:hint="eastAsia" w:ascii="宋体" w:hAnsi="宋体"/>
                <w:lang w:val="zh-CN"/>
              </w:rPr>
            </w:pPr>
            <w:r>
              <w:rPr>
                <w:rFonts w:hint="eastAsia" w:ascii="宋体" w:hAnsi="宋体"/>
                <w:lang w:val="zh-CN"/>
              </w:rPr>
              <w:t>……</w:t>
            </w:r>
          </w:p>
        </w:tc>
        <w:tc>
          <w:tcPr>
            <w:tcW w:w="840" w:type="dxa"/>
            <w:noWrap w:val="0"/>
            <w:vAlign w:val="center"/>
          </w:tcPr>
          <w:p>
            <w:pPr>
              <w:autoSpaceDE w:val="0"/>
              <w:autoSpaceDN w:val="0"/>
              <w:adjustRightInd w:val="0"/>
              <w:ind w:firstLine="420"/>
              <w:rPr>
                <w:rFonts w:hint="eastAsia" w:ascii="宋体" w:hAnsi="宋体"/>
                <w:lang w:val="zh-CN"/>
              </w:rPr>
            </w:pPr>
          </w:p>
        </w:tc>
        <w:tc>
          <w:tcPr>
            <w:tcW w:w="2212" w:type="dxa"/>
            <w:noWrap w:val="0"/>
            <w:vAlign w:val="center"/>
          </w:tcPr>
          <w:p>
            <w:pPr>
              <w:autoSpaceDE w:val="0"/>
              <w:autoSpaceDN w:val="0"/>
              <w:adjustRightInd w:val="0"/>
              <w:ind w:firstLine="420"/>
              <w:rPr>
                <w:rFonts w:hint="eastAsia" w:ascii="宋体" w:hAnsi="宋体"/>
                <w:lang w:val="zh-CN"/>
              </w:rPr>
            </w:pPr>
          </w:p>
        </w:tc>
        <w:tc>
          <w:tcPr>
            <w:tcW w:w="2351" w:type="dxa"/>
            <w:noWrap w:val="0"/>
            <w:vAlign w:val="center"/>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restart"/>
            <w:noWrap w:val="0"/>
            <w:vAlign w:val="center"/>
          </w:tcPr>
          <w:p>
            <w:pPr>
              <w:autoSpaceDE w:val="0"/>
              <w:autoSpaceDN w:val="0"/>
              <w:adjustRightInd w:val="0"/>
              <w:ind w:firstLine="420"/>
              <w:rPr>
                <w:rFonts w:hint="eastAsia" w:ascii="宋体" w:hAnsi="宋体"/>
                <w:lang w:val="zh-CN"/>
              </w:rPr>
            </w:pPr>
            <w:r>
              <w:rPr>
                <w:rFonts w:hint="eastAsia" w:ascii="宋体" w:hAnsi="宋体"/>
                <w:lang w:val="zh-CN"/>
              </w:rPr>
              <w:t>4</w:t>
            </w:r>
          </w:p>
        </w:tc>
        <w:tc>
          <w:tcPr>
            <w:tcW w:w="1152" w:type="dxa"/>
            <w:noWrap w:val="0"/>
            <w:vAlign w:val="center"/>
          </w:tcPr>
          <w:p>
            <w:pPr>
              <w:autoSpaceDE w:val="0"/>
              <w:autoSpaceDN w:val="0"/>
              <w:adjustRightInd w:val="0"/>
              <w:ind w:firstLine="420"/>
              <w:rPr>
                <w:rFonts w:hint="eastAsia" w:ascii="宋体" w:hAnsi="宋体"/>
                <w:lang w:val="zh-CN"/>
              </w:rPr>
            </w:pPr>
          </w:p>
        </w:tc>
        <w:tc>
          <w:tcPr>
            <w:tcW w:w="1998" w:type="dxa"/>
            <w:noWrap w:val="0"/>
            <w:vAlign w:val="center"/>
          </w:tcPr>
          <w:p>
            <w:pPr>
              <w:autoSpaceDE w:val="0"/>
              <w:autoSpaceDN w:val="0"/>
              <w:adjustRightInd w:val="0"/>
              <w:ind w:firstLine="420"/>
              <w:rPr>
                <w:rFonts w:hint="eastAsia" w:ascii="宋体" w:hAnsi="宋体"/>
                <w:lang w:val="zh-CN"/>
              </w:rPr>
            </w:pPr>
            <w:r>
              <w:rPr>
                <w:rFonts w:hint="eastAsia" w:ascii="宋体" w:hAnsi="宋体"/>
                <w:lang w:val="zh-CN"/>
              </w:rPr>
              <w:t>其他人员</w:t>
            </w:r>
          </w:p>
        </w:tc>
        <w:tc>
          <w:tcPr>
            <w:tcW w:w="840" w:type="dxa"/>
            <w:noWrap w:val="0"/>
            <w:vAlign w:val="center"/>
          </w:tcPr>
          <w:p>
            <w:pPr>
              <w:autoSpaceDE w:val="0"/>
              <w:autoSpaceDN w:val="0"/>
              <w:adjustRightInd w:val="0"/>
              <w:ind w:firstLine="420"/>
              <w:rPr>
                <w:rFonts w:hint="eastAsia" w:ascii="宋体" w:hAnsi="宋体"/>
                <w:lang w:val="zh-CN"/>
              </w:rPr>
            </w:pPr>
          </w:p>
        </w:tc>
        <w:tc>
          <w:tcPr>
            <w:tcW w:w="2212" w:type="dxa"/>
            <w:noWrap w:val="0"/>
            <w:vAlign w:val="center"/>
          </w:tcPr>
          <w:p>
            <w:pPr>
              <w:autoSpaceDE w:val="0"/>
              <w:autoSpaceDN w:val="0"/>
              <w:adjustRightInd w:val="0"/>
              <w:ind w:firstLine="420"/>
              <w:rPr>
                <w:rFonts w:hint="eastAsia" w:ascii="宋体" w:hAnsi="宋体"/>
                <w:lang w:val="zh-CN"/>
              </w:rPr>
            </w:pPr>
          </w:p>
        </w:tc>
        <w:tc>
          <w:tcPr>
            <w:tcW w:w="2351" w:type="dxa"/>
            <w:noWrap w:val="0"/>
            <w:vAlign w:val="center"/>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8" w:type="dxa"/>
            <w:vMerge w:val="continue"/>
            <w:noWrap w:val="0"/>
            <w:vAlign w:val="center"/>
          </w:tcPr>
          <w:p>
            <w:pPr>
              <w:autoSpaceDE w:val="0"/>
              <w:autoSpaceDN w:val="0"/>
              <w:adjustRightInd w:val="0"/>
              <w:ind w:firstLine="420"/>
              <w:rPr>
                <w:rFonts w:hint="eastAsia" w:ascii="宋体" w:hAnsi="宋体"/>
                <w:lang w:val="zh-CN"/>
              </w:rPr>
            </w:pPr>
          </w:p>
        </w:tc>
        <w:tc>
          <w:tcPr>
            <w:tcW w:w="1152" w:type="dxa"/>
            <w:noWrap w:val="0"/>
            <w:vAlign w:val="center"/>
          </w:tcPr>
          <w:p>
            <w:pPr>
              <w:autoSpaceDE w:val="0"/>
              <w:autoSpaceDN w:val="0"/>
              <w:adjustRightInd w:val="0"/>
              <w:ind w:firstLine="420"/>
              <w:rPr>
                <w:rFonts w:hint="eastAsia" w:ascii="宋体" w:hAnsi="宋体"/>
                <w:lang w:val="zh-CN"/>
              </w:rPr>
            </w:pPr>
          </w:p>
        </w:tc>
        <w:tc>
          <w:tcPr>
            <w:tcW w:w="1998" w:type="dxa"/>
            <w:noWrap w:val="0"/>
            <w:vAlign w:val="center"/>
          </w:tcPr>
          <w:p>
            <w:pPr>
              <w:autoSpaceDE w:val="0"/>
              <w:autoSpaceDN w:val="0"/>
              <w:adjustRightInd w:val="0"/>
              <w:ind w:firstLine="420"/>
              <w:rPr>
                <w:rFonts w:hint="eastAsia" w:ascii="宋体" w:hAnsi="宋体"/>
                <w:lang w:val="zh-CN"/>
              </w:rPr>
            </w:pPr>
            <w:r>
              <w:rPr>
                <w:rFonts w:hint="eastAsia" w:ascii="宋体" w:hAnsi="宋体"/>
                <w:lang w:val="zh-CN"/>
              </w:rPr>
              <w:t>……</w:t>
            </w:r>
          </w:p>
        </w:tc>
        <w:tc>
          <w:tcPr>
            <w:tcW w:w="840" w:type="dxa"/>
            <w:noWrap w:val="0"/>
            <w:vAlign w:val="center"/>
          </w:tcPr>
          <w:p>
            <w:pPr>
              <w:autoSpaceDE w:val="0"/>
              <w:autoSpaceDN w:val="0"/>
              <w:adjustRightInd w:val="0"/>
              <w:ind w:firstLine="420"/>
              <w:rPr>
                <w:rFonts w:hint="eastAsia" w:ascii="宋体" w:hAnsi="宋体"/>
                <w:lang w:val="zh-CN"/>
              </w:rPr>
            </w:pPr>
          </w:p>
        </w:tc>
        <w:tc>
          <w:tcPr>
            <w:tcW w:w="2212" w:type="dxa"/>
            <w:noWrap w:val="0"/>
            <w:vAlign w:val="center"/>
          </w:tcPr>
          <w:p>
            <w:pPr>
              <w:autoSpaceDE w:val="0"/>
              <w:autoSpaceDN w:val="0"/>
              <w:adjustRightInd w:val="0"/>
              <w:ind w:firstLine="420"/>
              <w:rPr>
                <w:rFonts w:hint="eastAsia" w:ascii="宋体" w:hAnsi="宋体"/>
                <w:lang w:val="zh-CN"/>
              </w:rPr>
            </w:pPr>
          </w:p>
        </w:tc>
        <w:tc>
          <w:tcPr>
            <w:tcW w:w="2351" w:type="dxa"/>
            <w:noWrap w:val="0"/>
            <w:vAlign w:val="center"/>
          </w:tcPr>
          <w:p>
            <w:pPr>
              <w:autoSpaceDE w:val="0"/>
              <w:autoSpaceDN w:val="0"/>
              <w:adjustRightInd w:val="0"/>
              <w:ind w:firstLine="420"/>
              <w:rPr>
                <w:rFonts w:hint="eastAsia" w:ascii="宋体" w:hAnsi="宋体"/>
                <w:lang w:val="zh-CN"/>
              </w:rPr>
            </w:pPr>
          </w:p>
        </w:tc>
      </w:tr>
    </w:tbl>
    <w:p>
      <w:pPr>
        <w:autoSpaceDE w:val="0"/>
        <w:autoSpaceDN w:val="0"/>
        <w:adjustRightInd w:val="0"/>
        <w:ind w:firstLine="420"/>
        <w:rPr>
          <w:rFonts w:hint="eastAsia" w:ascii="宋体" w:hAnsi="宋体"/>
          <w:lang w:val="zh-CN"/>
        </w:rPr>
      </w:pPr>
      <w:r>
        <w:rPr>
          <w:rFonts w:hint="eastAsia" w:ascii="宋体" w:hAnsi="宋体"/>
          <w:lang w:val="zh-CN"/>
        </w:rPr>
        <w:t>注：表中行数可自加。</w:t>
      </w:r>
    </w:p>
    <w:p>
      <w:pPr>
        <w:autoSpaceDE w:val="0"/>
        <w:autoSpaceDN w:val="0"/>
        <w:adjustRightInd w:val="0"/>
        <w:ind w:firstLine="5355" w:firstLineChars="2550"/>
        <w:rPr>
          <w:rFonts w:hint="eastAsia" w:ascii="宋体" w:hAnsi="宋体"/>
          <w:lang w:val="zh-CN"/>
        </w:rPr>
      </w:pPr>
      <w:r>
        <w:rPr>
          <w:rFonts w:hint="eastAsia" w:ascii="宋体" w:hAnsi="宋体"/>
          <w:lang w:val="zh-CN"/>
        </w:rPr>
        <w:t>投标供应商名称（盖章）：</w:t>
      </w:r>
    </w:p>
    <w:p>
      <w:pPr>
        <w:autoSpaceDE w:val="0"/>
        <w:autoSpaceDN w:val="0"/>
        <w:adjustRightInd w:val="0"/>
        <w:ind w:firstLine="5355" w:firstLineChars="2550"/>
        <w:rPr>
          <w:rFonts w:hint="eastAsia" w:ascii="宋体" w:hAnsi="宋体"/>
          <w:lang w:val="zh-CN"/>
        </w:rPr>
      </w:pPr>
      <w:r>
        <w:rPr>
          <w:rFonts w:hint="eastAsia" w:ascii="宋体" w:hAnsi="宋体"/>
          <w:lang w:val="zh-CN"/>
        </w:rPr>
        <w:t>授权代表（签字）：</w:t>
      </w:r>
    </w:p>
    <w:p>
      <w:pPr>
        <w:autoSpaceDE w:val="0"/>
        <w:autoSpaceDN w:val="0"/>
        <w:adjustRightInd w:val="0"/>
        <w:ind w:firstLine="5355" w:firstLineChars="2550"/>
        <w:rPr>
          <w:rFonts w:hint="eastAsia" w:ascii="宋体" w:hAnsi="宋体"/>
          <w:b/>
          <w:lang w:val="zh-CN"/>
        </w:rPr>
      </w:pPr>
      <w:r>
        <w:rPr>
          <w:rFonts w:hint="eastAsia" w:ascii="宋体" w:hAnsi="宋体"/>
          <w:lang w:val="zh-CN"/>
        </w:rPr>
        <w:t>日    期：</w:t>
      </w:r>
      <w:bookmarkStart w:id="119" w:name="_Toc139966836"/>
    </w:p>
    <w:p>
      <w:pPr>
        <w:pStyle w:val="4"/>
        <w:rPr>
          <w:rFonts w:hint="eastAsia" w:ascii="宋体" w:hAnsi="宋体"/>
          <w:lang w:val="zh-CN"/>
        </w:rPr>
      </w:pPr>
      <w:bookmarkStart w:id="120" w:name="_Toc422907302"/>
      <w:bookmarkStart w:id="121" w:name="_Toc401304096"/>
      <w:bookmarkStart w:id="122" w:name="_Toc274907032"/>
      <w:bookmarkStart w:id="123" w:name="_Toc11205"/>
      <w:bookmarkStart w:id="124" w:name="_Toc11051732"/>
      <w:bookmarkStart w:id="125" w:name="_Toc338684387"/>
      <w:r>
        <w:rPr>
          <w:rFonts w:hint="eastAsia" w:ascii="宋体" w:hAnsi="宋体" w:eastAsia="宋体"/>
          <w:sz w:val="21"/>
          <w:szCs w:val="21"/>
          <w:lang w:val="zh-CN"/>
        </w:rPr>
        <w:t>附件</w:t>
      </w:r>
      <w:r>
        <w:rPr>
          <w:rFonts w:hint="eastAsia" w:ascii="宋体" w:hAnsi="宋体" w:eastAsia="宋体"/>
          <w:sz w:val="21"/>
          <w:szCs w:val="21"/>
        </w:rPr>
        <w:t>八</w:t>
      </w:r>
      <w:r>
        <w:rPr>
          <w:rFonts w:hint="eastAsia" w:ascii="宋体" w:hAnsi="宋体" w:eastAsia="宋体"/>
          <w:sz w:val="21"/>
          <w:szCs w:val="21"/>
          <w:lang w:val="zh-CN"/>
        </w:rPr>
        <w:t>：供应商案例情况表</w:t>
      </w:r>
      <w:bookmarkEnd w:id="120"/>
      <w:bookmarkEnd w:id="121"/>
      <w:bookmarkEnd w:id="122"/>
      <w:bookmarkEnd w:id="123"/>
      <w:bookmarkEnd w:id="124"/>
      <w:bookmarkEnd w:id="125"/>
    </w:p>
    <w:p>
      <w:pPr>
        <w:autoSpaceDE w:val="0"/>
        <w:autoSpaceDN w:val="0"/>
        <w:adjustRightInd w:val="0"/>
        <w:spacing w:line="360" w:lineRule="auto"/>
        <w:jc w:val="center"/>
        <w:rPr>
          <w:rFonts w:hint="eastAsia" w:ascii="宋体" w:hAnsi="宋体"/>
          <w:sz w:val="36"/>
          <w:lang w:val="zh-CN"/>
        </w:rPr>
      </w:pPr>
      <w:r>
        <w:rPr>
          <w:rFonts w:hint="eastAsia" w:ascii="宋体" w:hAnsi="宋体"/>
          <w:sz w:val="36"/>
          <w:lang w:val="zh-CN"/>
        </w:rPr>
        <w:t>供应商案例情况表</w:t>
      </w:r>
    </w:p>
    <w:bookmarkEnd w:id="119"/>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649"/>
        <w:gridCol w:w="1322"/>
        <w:gridCol w:w="1179"/>
        <w:gridCol w:w="2848"/>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center"/>
          </w:tcPr>
          <w:p>
            <w:pPr>
              <w:autoSpaceDE w:val="0"/>
              <w:autoSpaceDN w:val="0"/>
              <w:adjustRightInd w:val="0"/>
              <w:jc w:val="center"/>
              <w:rPr>
                <w:rFonts w:hint="eastAsia" w:ascii="宋体" w:hAnsi="宋体"/>
                <w:lang w:val="zh-CN"/>
              </w:rPr>
            </w:pPr>
            <w:r>
              <w:rPr>
                <w:rFonts w:hint="eastAsia" w:ascii="宋体" w:hAnsi="宋体"/>
                <w:lang w:val="zh-CN"/>
              </w:rPr>
              <w:t>序号</w:t>
            </w:r>
          </w:p>
        </w:tc>
        <w:tc>
          <w:tcPr>
            <w:tcW w:w="1649" w:type="dxa"/>
            <w:noWrap w:val="0"/>
            <w:vAlign w:val="center"/>
          </w:tcPr>
          <w:p>
            <w:pPr>
              <w:autoSpaceDE w:val="0"/>
              <w:autoSpaceDN w:val="0"/>
              <w:adjustRightInd w:val="0"/>
              <w:jc w:val="center"/>
              <w:rPr>
                <w:rFonts w:hint="eastAsia" w:ascii="宋体" w:hAnsi="宋体"/>
                <w:lang w:val="zh-CN"/>
              </w:rPr>
            </w:pPr>
            <w:r>
              <w:rPr>
                <w:rFonts w:hint="eastAsia" w:ascii="宋体" w:hAnsi="宋体"/>
                <w:lang w:val="zh-CN"/>
              </w:rPr>
              <w:t>项目名称</w:t>
            </w:r>
          </w:p>
        </w:tc>
        <w:tc>
          <w:tcPr>
            <w:tcW w:w="1322" w:type="dxa"/>
            <w:noWrap w:val="0"/>
            <w:vAlign w:val="center"/>
          </w:tcPr>
          <w:p>
            <w:pPr>
              <w:autoSpaceDE w:val="0"/>
              <w:autoSpaceDN w:val="0"/>
              <w:adjustRightInd w:val="0"/>
              <w:jc w:val="center"/>
              <w:rPr>
                <w:rFonts w:hint="eastAsia" w:ascii="宋体" w:hAnsi="宋体"/>
                <w:lang w:val="zh-CN"/>
              </w:rPr>
            </w:pPr>
            <w:r>
              <w:rPr>
                <w:rFonts w:hint="eastAsia" w:ascii="宋体" w:hAnsi="宋体"/>
                <w:lang w:val="zh-CN"/>
              </w:rPr>
              <w:t>合同号</w:t>
            </w:r>
          </w:p>
        </w:tc>
        <w:tc>
          <w:tcPr>
            <w:tcW w:w="1179" w:type="dxa"/>
            <w:noWrap w:val="0"/>
            <w:vAlign w:val="center"/>
          </w:tcPr>
          <w:p>
            <w:pPr>
              <w:autoSpaceDE w:val="0"/>
              <w:autoSpaceDN w:val="0"/>
              <w:adjustRightInd w:val="0"/>
              <w:jc w:val="center"/>
              <w:rPr>
                <w:rFonts w:hint="eastAsia" w:ascii="宋体" w:hAnsi="宋体"/>
                <w:lang w:val="zh-CN"/>
              </w:rPr>
            </w:pPr>
            <w:r>
              <w:rPr>
                <w:rFonts w:hint="eastAsia" w:ascii="宋体" w:hAnsi="宋体"/>
                <w:lang w:val="zh-CN"/>
              </w:rPr>
              <w:t>签约日期</w:t>
            </w:r>
          </w:p>
        </w:tc>
        <w:tc>
          <w:tcPr>
            <w:tcW w:w="2848" w:type="dxa"/>
            <w:noWrap w:val="0"/>
            <w:vAlign w:val="center"/>
          </w:tcPr>
          <w:p>
            <w:pPr>
              <w:autoSpaceDE w:val="0"/>
              <w:autoSpaceDN w:val="0"/>
              <w:adjustRightInd w:val="0"/>
              <w:ind w:firstLine="420"/>
              <w:jc w:val="center"/>
              <w:rPr>
                <w:rFonts w:hint="eastAsia" w:ascii="宋体" w:hAnsi="宋体"/>
                <w:lang w:val="zh-CN"/>
              </w:rPr>
            </w:pPr>
            <w:r>
              <w:rPr>
                <w:rFonts w:hint="eastAsia" w:ascii="宋体" w:hAnsi="宋体"/>
                <w:lang w:val="zh-CN"/>
              </w:rPr>
              <w:t>项目简介</w:t>
            </w:r>
          </w:p>
        </w:tc>
        <w:tc>
          <w:tcPr>
            <w:tcW w:w="1250" w:type="dxa"/>
            <w:noWrap w:val="0"/>
            <w:vAlign w:val="center"/>
          </w:tcPr>
          <w:p>
            <w:pPr>
              <w:autoSpaceDE w:val="0"/>
              <w:autoSpaceDN w:val="0"/>
              <w:adjustRightInd w:val="0"/>
              <w:jc w:val="center"/>
              <w:rPr>
                <w:rFonts w:hint="eastAsia" w:ascii="宋体" w:hAnsi="宋体"/>
                <w:lang w:val="zh-CN"/>
              </w:rPr>
            </w:pPr>
            <w:r>
              <w:rPr>
                <w:rFonts w:hint="eastAsia" w:ascii="宋体" w:hAnsi="宋体"/>
                <w:lang w:val="zh-CN"/>
              </w:rPr>
              <w:t>项目金额（元）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top"/>
          </w:tcPr>
          <w:p>
            <w:pPr>
              <w:autoSpaceDE w:val="0"/>
              <w:autoSpaceDN w:val="0"/>
              <w:adjustRightInd w:val="0"/>
              <w:ind w:firstLine="420"/>
              <w:rPr>
                <w:rFonts w:hint="eastAsia" w:ascii="宋体" w:hAnsi="宋体"/>
                <w:lang w:val="zh-CN"/>
              </w:rPr>
            </w:pPr>
          </w:p>
        </w:tc>
        <w:tc>
          <w:tcPr>
            <w:tcW w:w="1649" w:type="dxa"/>
            <w:noWrap w:val="0"/>
            <w:vAlign w:val="top"/>
          </w:tcPr>
          <w:p>
            <w:pPr>
              <w:autoSpaceDE w:val="0"/>
              <w:autoSpaceDN w:val="0"/>
              <w:adjustRightInd w:val="0"/>
              <w:ind w:firstLine="420"/>
              <w:rPr>
                <w:rFonts w:hint="eastAsia" w:ascii="宋体" w:hAnsi="宋体"/>
                <w:lang w:val="zh-CN"/>
              </w:rPr>
            </w:pPr>
          </w:p>
        </w:tc>
        <w:tc>
          <w:tcPr>
            <w:tcW w:w="1322" w:type="dxa"/>
            <w:noWrap w:val="0"/>
            <w:vAlign w:val="top"/>
          </w:tcPr>
          <w:p>
            <w:pPr>
              <w:autoSpaceDE w:val="0"/>
              <w:autoSpaceDN w:val="0"/>
              <w:adjustRightInd w:val="0"/>
              <w:ind w:firstLine="420"/>
              <w:rPr>
                <w:rFonts w:hint="eastAsia" w:ascii="宋体" w:hAnsi="宋体"/>
                <w:lang w:val="zh-CN"/>
              </w:rPr>
            </w:pPr>
          </w:p>
        </w:tc>
        <w:tc>
          <w:tcPr>
            <w:tcW w:w="1179" w:type="dxa"/>
            <w:noWrap w:val="0"/>
            <w:vAlign w:val="top"/>
          </w:tcPr>
          <w:p>
            <w:pPr>
              <w:autoSpaceDE w:val="0"/>
              <w:autoSpaceDN w:val="0"/>
              <w:adjustRightInd w:val="0"/>
              <w:ind w:firstLine="420"/>
              <w:rPr>
                <w:rFonts w:hint="eastAsia" w:ascii="宋体" w:hAnsi="宋体"/>
                <w:lang w:val="zh-CN"/>
              </w:rPr>
            </w:pPr>
          </w:p>
        </w:tc>
        <w:tc>
          <w:tcPr>
            <w:tcW w:w="2848" w:type="dxa"/>
            <w:noWrap w:val="0"/>
            <w:vAlign w:val="top"/>
          </w:tcPr>
          <w:p>
            <w:pPr>
              <w:autoSpaceDE w:val="0"/>
              <w:autoSpaceDN w:val="0"/>
              <w:adjustRightInd w:val="0"/>
              <w:ind w:firstLine="420"/>
              <w:rPr>
                <w:rFonts w:hint="eastAsia" w:ascii="宋体" w:hAnsi="宋体"/>
                <w:lang w:val="zh-CN"/>
              </w:rPr>
            </w:pPr>
          </w:p>
        </w:tc>
        <w:tc>
          <w:tcPr>
            <w:tcW w:w="1250" w:type="dxa"/>
            <w:noWrap w:val="0"/>
            <w:vAlign w:val="top"/>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top"/>
          </w:tcPr>
          <w:p>
            <w:pPr>
              <w:autoSpaceDE w:val="0"/>
              <w:autoSpaceDN w:val="0"/>
              <w:adjustRightInd w:val="0"/>
              <w:ind w:firstLine="420"/>
              <w:rPr>
                <w:rFonts w:hint="eastAsia" w:ascii="宋体" w:hAnsi="宋体"/>
                <w:lang w:val="zh-CN"/>
              </w:rPr>
            </w:pPr>
          </w:p>
        </w:tc>
        <w:tc>
          <w:tcPr>
            <w:tcW w:w="1649" w:type="dxa"/>
            <w:noWrap w:val="0"/>
            <w:vAlign w:val="top"/>
          </w:tcPr>
          <w:p>
            <w:pPr>
              <w:autoSpaceDE w:val="0"/>
              <w:autoSpaceDN w:val="0"/>
              <w:adjustRightInd w:val="0"/>
              <w:ind w:firstLine="420"/>
              <w:rPr>
                <w:rFonts w:hint="eastAsia" w:ascii="宋体" w:hAnsi="宋体"/>
                <w:lang w:val="zh-CN"/>
              </w:rPr>
            </w:pPr>
          </w:p>
        </w:tc>
        <w:tc>
          <w:tcPr>
            <w:tcW w:w="1322" w:type="dxa"/>
            <w:noWrap w:val="0"/>
            <w:vAlign w:val="top"/>
          </w:tcPr>
          <w:p>
            <w:pPr>
              <w:autoSpaceDE w:val="0"/>
              <w:autoSpaceDN w:val="0"/>
              <w:adjustRightInd w:val="0"/>
              <w:ind w:firstLine="420"/>
              <w:rPr>
                <w:rFonts w:hint="eastAsia" w:ascii="宋体" w:hAnsi="宋体"/>
                <w:lang w:val="zh-CN"/>
              </w:rPr>
            </w:pPr>
          </w:p>
        </w:tc>
        <w:tc>
          <w:tcPr>
            <w:tcW w:w="1179" w:type="dxa"/>
            <w:noWrap w:val="0"/>
            <w:vAlign w:val="top"/>
          </w:tcPr>
          <w:p>
            <w:pPr>
              <w:autoSpaceDE w:val="0"/>
              <w:autoSpaceDN w:val="0"/>
              <w:adjustRightInd w:val="0"/>
              <w:ind w:firstLine="420"/>
              <w:rPr>
                <w:rFonts w:hint="eastAsia" w:ascii="宋体" w:hAnsi="宋体"/>
                <w:lang w:val="zh-CN"/>
              </w:rPr>
            </w:pPr>
          </w:p>
        </w:tc>
        <w:tc>
          <w:tcPr>
            <w:tcW w:w="2848" w:type="dxa"/>
            <w:noWrap w:val="0"/>
            <w:vAlign w:val="top"/>
          </w:tcPr>
          <w:p>
            <w:pPr>
              <w:autoSpaceDE w:val="0"/>
              <w:autoSpaceDN w:val="0"/>
              <w:adjustRightInd w:val="0"/>
              <w:ind w:firstLine="420"/>
              <w:rPr>
                <w:rFonts w:hint="eastAsia" w:ascii="宋体" w:hAnsi="宋体"/>
                <w:lang w:val="zh-CN"/>
              </w:rPr>
            </w:pPr>
          </w:p>
        </w:tc>
        <w:tc>
          <w:tcPr>
            <w:tcW w:w="1250" w:type="dxa"/>
            <w:noWrap w:val="0"/>
            <w:vAlign w:val="top"/>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top"/>
          </w:tcPr>
          <w:p>
            <w:pPr>
              <w:autoSpaceDE w:val="0"/>
              <w:autoSpaceDN w:val="0"/>
              <w:adjustRightInd w:val="0"/>
              <w:ind w:firstLine="420"/>
              <w:rPr>
                <w:rFonts w:hint="eastAsia" w:ascii="宋体" w:hAnsi="宋体"/>
                <w:lang w:val="zh-CN"/>
              </w:rPr>
            </w:pPr>
          </w:p>
        </w:tc>
        <w:tc>
          <w:tcPr>
            <w:tcW w:w="1649" w:type="dxa"/>
            <w:noWrap w:val="0"/>
            <w:vAlign w:val="top"/>
          </w:tcPr>
          <w:p>
            <w:pPr>
              <w:autoSpaceDE w:val="0"/>
              <w:autoSpaceDN w:val="0"/>
              <w:adjustRightInd w:val="0"/>
              <w:ind w:firstLine="420"/>
              <w:rPr>
                <w:rFonts w:hint="eastAsia" w:ascii="宋体" w:hAnsi="宋体"/>
                <w:lang w:val="zh-CN"/>
              </w:rPr>
            </w:pPr>
          </w:p>
        </w:tc>
        <w:tc>
          <w:tcPr>
            <w:tcW w:w="1322" w:type="dxa"/>
            <w:noWrap w:val="0"/>
            <w:vAlign w:val="top"/>
          </w:tcPr>
          <w:p>
            <w:pPr>
              <w:autoSpaceDE w:val="0"/>
              <w:autoSpaceDN w:val="0"/>
              <w:adjustRightInd w:val="0"/>
              <w:ind w:firstLine="420"/>
              <w:rPr>
                <w:rFonts w:hint="eastAsia" w:ascii="宋体" w:hAnsi="宋体"/>
                <w:lang w:val="zh-CN"/>
              </w:rPr>
            </w:pPr>
          </w:p>
        </w:tc>
        <w:tc>
          <w:tcPr>
            <w:tcW w:w="1179" w:type="dxa"/>
            <w:noWrap w:val="0"/>
            <w:vAlign w:val="top"/>
          </w:tcPr>
          <w:p>
            <w:pPr>
              <w:autoSpaceDE w:val="0"/>
              <w:autoSpaceDN w:val="0"/>
              <w:adjustRightInd w:val="0"/>
              <w:ind w:firstLine="420"/>
              <w:rPr>
                <w:rFonts w:hint="eastAsia" w:ascii="宋体" w:hAnsi="宋体"/>
                <w:lang w:val="zh-CN"/>
              </w:rPr>
            </w:pPr>
          </w:p>
        </w:tc>
        <w:tc>
          <w:tcPr>
            <w:tcW w:w="2848" w:type="dxa"/>
            <w:noWrap w:val="0"/>
            <w:vAlign w:val="top"/>
          </w:tcPr>
          <w:p>
            <w:pPr>
              <w:autoSpaceDE w:val="0"/>
              <w:autoSpaceDN w:val="0"/>
              <w:adjustRightInd w:val="0"/>
              <w:ind w:firstLine="420"/>
              <w:rPr>
                <w:rFonts w:hint="eastAsia" w:ascii="宋体" w:hAnsi="宋体"/>
                <w:lang w:val="zh-CN"/>
              </w:rPr>
            </w:pPr>
          </w:p>
        </w:tc>
        <w:tc>
          <w:tcPr>
            <w:tcW w:w="1250" w:type="dxa"/>
            <w:noWrap w:val="0"/>
            <w:vAlign w:val="top"/>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top"/>
          </w:tcPr>
          <w:p>
            <w:pPr>
              <w:autoSpaceDE w:val="0"/>
              <w:autoSpaceDN w:val="0"/>
              <w:adjustRightInd w:val="0"/>
              <w:ind w:firstLine="420"/>
              <w:rPr>
                <w:rFonts w:hint="eastAsia" w:ascii="宋体" w:hAnsi="宋体"/>
                <w:lang w:val="zh-CN"/>
              </w:rPr>
            </w:pPr>
          </w:p>
        </w:tc>
        <w:tc>
          <w:tcPr>
            <w:tcW w:w="1649" w:type="dxa"/>
            <w:noWrap w:val="0"/>
            <w:vAlign w:val="top"/>
          </w:tcPr>
          <w:p>
            <w:pPr>
              <w:autoSpaceDE w:val="0"/>
              <w:autoSpaceDN w:val="0"/>
              <w:adjustRightInd w:val="0"/>
              <w:ind w:firstLine="420"/>
              <w:rPr>
                <w:rFonts w:hint="eastAsia" w:ascii="宋体" w:hAnsi="宋体"/>
                <w:lang w:val="zh-CN"/>
              </w:rPr>
            </w:pPr>
          </w:p>
        </w:tc>
        <w:tc>
          <w:tcPr>
            <w:tcW w:w="1322" w:type="dxa"/>
            <w:noWrap w:val="0"/>
            <w:vAlign w:val="top"/>
          </w:tcPr>
          <w:p>
            <w:pPr>
              <w:autoSpaceDE w:val="0"/>
              <w:autoSpaceDN w:val="0"/>
              <w:adjustRightInd w:val="0"/>
              <w:ind w:firstLine="420"/>
              <w:rPr>
                <w:rFonts w:hint="eastAsia" w:ascii="宋体" w:hAnsi="宋体"/>
                <w:lang w:val="zh-CN"/>
              </w:rPr>
            </w:pPr>
          </w:p>
        </w:tc>
        <w:tc>
          <w:tcPr>
            <w:tcW w:w="1179" w:type="dxa"/>
            <w:noWrap w:val="0"/>
            <w:vAlign w:val="top"/>
          </w:tcPr>
          <w:p>
            <w:pPr>
              <w:autoSpaceDE w:val="0"/>
              <w:autoSpaceDN w:val="0"/>
              <w:adjustRightInd w:val="0"/>
              <w:ind w:firstLine="420"/>
              <w:rPr>
                <w:rFonts w:hint="eastAsia" w:ascii="宋体" w:hAnsi="宋体"/>
                <w:lang w:val="zh-CN"/>
              </w:rPr>
            </w:pPr>
          </w:p>
        </w:tc>
        <w:tc>
          <w:tcPr>
            <w:tcW w:w="2848" w:type="dxa"/>
            <w:noWrap w:val="0"/>
            <w:vAlign w:val="top"/>
          </w:tcPr>
          <w:p>
            <w:pPr>
              <w:autoSpaceDE w:val="0"/>
              <w:autoSpaceDN w:val="0"/>
              <w:adjustRightInd w:val="0"/>
              <w:ind w:firstLine="420"/>
              <w:rPr>
                <w:rFonts w:hint="eastAsia" w:ascii="宋体" w:hAnsi="宋体"/>
                <w:lang w:val="zh-CN"/>
              </w:rPr>
            </w:pPr>
          </w:p>
        </w:tc>
        <w:tc>
          <w:tcPr>
            <w:tcW w:w="1250" w:type="dxa"/>
            <w:noWrap w:val="0"/>
            <w:vAlign w:val="top"/>
          </w:tcPr>
          <w:p>
            <w:pPr>
              <w:autoSpaceDE w:val="0"/>
              <w:autoSpaceDN w:val="0"/>
              <w:adjustRightInd w:val="0"/>
              <w:ind w:firstLine="420"/>
              <w:rPr>
                <w:rFonts w:hint="eastAsia" w:ascii="宋体" w:hAnsi="宋体"/>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noWrap w:val="0"/>
            <w:vAlign w:val="top"/>
          </w:tcPr>
          <w:p>
            <w:pPr>
              <w:autoSpaceDE w:val="0"/>
              <w:autoSpaceDN w:val="0"/>
              <w:adjustRightInd w:val="0"/>
              <w:ind w:firstLine="420"/>
              <w:rPr>
                <w:rFonts w:hint="eastAsia" w:ascii="宋体" w:hAnsi="宋体"/>
                <w:lang w:val="zh-CN"/>
              </w:rPr>
            </w:pPr>
          </w:p>
        </w:tc>
        <w:tc>
          <w:tcPr>
            <w:tcW w:w="1649" w:type="dxa"/>
            <w:noWrap w:val="0"/>
            <w:vAlign w:val="top"/>
          </w:tcPr>
          <w:p>
            <w:pPr>
              <w:autoSpaceDE w:val="0"/>
              <w:autoSpaceDN w:val="0"/>
              <w:adjustRightInd w:val="0"/>
              <w:ind w:firstLine="420"/>
              <w:rPr>
                <w:rFonts w:hint="eastAsia" w:ascii="宋体" w:hAnsi="宋体"/>
                <w:lang w:val="zh-CN"/>
              </w:rPr>
            </w:pPr>
          </w:p>
        </w:tc>
        <w:tc>
          <w:tcPr>
            <w:tcW w:w="1322" w:type="dxa"/>
            <w:noWrap w:val="0"/>
            <w:vAlign w:val="top"/>
          </w:tcPr>
          <w:p>
            <w:pPr>
              <w:autoSpaceDE w:val="0"/>
              <w:autoSpaceDN w:val="0"/>
              <w:adjustRightInd w:val="0"/>
              <w:ind w:firstLine="420"/>
              <w:rPr>
                <w:rFonts w:hint="eastAsia" w:ascii="宋体" w:hAnsi="宋体"/>
                <w:lang w:val="zh-CN"/>
              </w:rPr>
            </w:pPr>
          </w:p>
        </w:tc>
        <w:tc>
          <w:tcPr>
            <w:tcW w:w="1179" w:type="dxa"/>
            <w:noWrap w:val="0"/>
            <w:vAlign w:val="top"/>
          </w:tcPr>
          <w:p>
            <w:pPr>
              <w:autoSpaceDE w:val="0"/>
              <w:autoSpaceDN w:val="0"/>
              <w:adjustRightInd w:val="0"/>
              <w:ind w:firstLine="420"/>
              <w:rPr>
                <w:rFonts w:hint="eastAsia" w:ascii="宋体" w:hAnsi="宋体"/>
                <w:lang w:val="zh-CN"/>
              </w:rPr>
            </w:pPr>
          </w:p>
        </w:tc>
        <w:tc>
          <w:tcPr>
            <w:tcW w:w="2848" w:type="dxa"/>
            <w:noWrap w:val="0"/>
            <w:vAlign w:val="top"/>
          </w:tcPr>
          <w:p>
            <w:pPr>
              <w:autoSpaceDE w:val="0"/>
              <w:autoSpaceDN w:val="0"/>
              <w:adjustRightInd w:val="0"/>
              <w:ind w:firstLine="420"/>
              <w:rPr>
                <w:rFonts w:hint="eastAsia" w:ascii="宋体" w:hAnsi="宋体"/>
                <w:lang w:val="zh-CN"/>
              </w:rPr>
            </w:pPr>
          </w:p>
        </w:tc>
        <w:tc>
          <w:tcPr>
            <w:tcW w:w="1250" w:type="dxa"/>
            <w:noWrap w:val="0"/>
            <w:vAlign w:val="top"/>
          </w:tcPr>
          <w:p>
            <w:pPr>
              <w:autoSpaceDE w:val="0"/>
              <w:autoSpaceDN w:val="0"/>
              <w:adjustRightInd w:val="0"/>
              <w:ind w:firstLine="420"/>
              <w:rPr>
                <w:rFonts w:hint="eastAsia" w:ascii="宋体" w:hAnsi="宋体"/>
                <w:lang w:val="zh-CN"/>
              </w:rPr>
            </w:pPr>
          </w:p>
        </w:tc>
      </w:tr>
    </w:tbl>
    <w:p>
      <w:pPr>
        <w:autoSpaceDE w:val="0"/>
        <w:autoSpaceDN w:val="0"/>
        <w:adjustRightInd w:val="0"/>
        <w:rPr>
          <w:rFonts w:hint="eastAsia" w:ascii="宋体" w:hAnsi="宋体"/>
          <w:lang w:val="zh-CN"/>
        </w:rPr>
      </w:pPr>
      <w:r>
        <w:rPr>
          <w:rFonts w:hint="eastAsia" w:ascii="宋体" w:hAnsi="宋体"/>
          <w:lang w:val="zh-CN"/>
        </w:rPr>
        <w:t>注：必须提供合同或中标通知书复印件。</w:t>
      </w:r>
    </w:p>
    <w:p>
      <w:pPr>
        <w:autoSpaceDE w:val="0"/>
        <w:autoSpaceDN w:val="0"/>
        <w:adjustRightInd w:val="0"/>
        <w:ind w:firstLine="5460" w:firstLineChars="2600"/>
        <w:rPr>
          <w:rFonts w:hint="eastAsia" w:ascii="宋体" w:hAnsi="宋体"/>
          <w:lang w:val="zh-CN"/>
        </w:rPr>
      </w:pPr>
    </w:p>
    <w:p>
      <w:pPr>
        <w:autoSpaceDE w:val="0"/>
        <w:autoSpaceDN w:val="0"/>
        <w:adjustRightInd w:val="0"/>
        <w:ind w:firstLine="5460" w:firstLineChars="2600"/>
        <w:rPr>
          <w:rFonts w:hint="eastAsia" w:ascii="宋体" w:hAnsi="宋体"/>
          <w:lang w:val="zh-CN"/>
        </w:rPr>
      </w:pPr>
      <w:r>
        <w:rPr>
          <w:rFonts w:hint="eastAsia" w:ascii="宋体" w:hAnsi="宋体"/>
          <w:lang w:val="zh-CN"/>
        </w:rPr>
        <w:t>投标供应商名称（盖章）：</w:t>
      </w:r>
    </w:p>
    <w:p>
      <w:pPr>
        <w:autoSpaceDE w:val="0"/>
        <w:autoSpaceDN w:val="0"/>
        <w:adjustRightInd w:val="0"/>
        <w:ind w:firstLine="5460" w:firstLineChars="2600"/>
        <w:rPr>
          <w:rFonts w:hint="eastAsia" w:ascii="宋体" w:hAnsi="宋体"/>
          <w:lang w:val="zh-CN"/>
        </w:rPr>
      </w:pPr>
      <w:r>
        <w:rPr>
          <w:rFonts w:hint="eastAsia" w:ascii="宋体" w:hAnsi="宋体"/>
          <w:lang w:val="zh-CN"/>
        </w:rPr>
        <w:t>授权代表（签字）：</w:t>
      </w:r>
    </w:p>
    <w:p>
      <w:pPr>
        <w:autoSpaceDE w:val="0"/>
        <w:autoSpaceDN w:val="0"/>
        <w:adjustRightInd w:val="0"/>
        <w:ind w:firstLine="5460" w:firstLineChars="2600"/>
        <w:rPr>
          <w:rFonts w:hint="eastAsia" w:ascii="宋体" w:hAnsi="宋体"/>
        </w:rPr>
      </w:pPr>
      <w:r>
        <w:rPr>
          <w:rFonts w:hint="eastAsia" w:ascii="宋体" w:hAnsi="宋体"/>
          <w:lang w:val="zh-CN"/>
        </w:rPr>
        <w:t>日    期：</w:t>
      </w:r>
    </w:p>
    <w:p>
      <w:pPr>
        <w:pStyle w:val="4"/>
        <w:rPr>
          <w:rFonts w:ascii="宋体" w:hAnsi="宋体" w:eastAsia="宋体"/>
          <w:sz w:val="21"/>
          <w:szCs w:val="21"/>
        </w:rPr>
      </w:pPr>
      <w:bookmarkStart w:id="126" w:name="_Toc422907303"/>
      <w:bookmarkStart w:id="127" w:name="_Toc401304097"/>
      <w:bookmarkStart w:id="128" w:name="_Toc4824"/>
      <w:bookmarkStart w:id="129" w:name="_Toc338684388"/>
      <w:bookmarkStart w:id="130" w:name="_Toc11051733"/>
      <w:r>
        <w:rPr>
          <w:rFonts w:hint="eastAsia" w:ascii="宋体" w:hAnsi="宋体" w:eastAsia="宋体"/>
          <w:sz w:val="21"/>
          <w:szCs w:val="21"/>
          <w:lang w:val="zh-CN"/>
        </w:rPr>
        <w:t>附件</w:t>
      </w:r>
      <w:r>
        <w:rPr>
          <w:rFonts w:hint="eastAsia" w:ascii="宋体" w:hAnsi="宋体" w:eastAsia="宋体"/>
          <w:sz w:val="21"/>
          <w:szCs w:val="21"/>
        </w:rPr>
        <w:t>九</w:t>
      </w:r>
      <w:r>
        <w:rPr>
          <w:rFonts w:hint="eastAsia" w:ascii="宋体" w:hAnsi="宋体" w:eastAsia="宋体"/>
          <w:sz w:val="21"/>
          <w:szCs w:val="21"/>
          <w:lang w:val="zh-CN"/>
        </w:rPr>
        <w:t>：</w:t>
      </w:r>
      <w:bookmarkEnd w:id="126"/>
      <w:bookmarkEnd w:id="127"/>
      <w:bookmarkEnd w:id="128"/>
      <w:bookmarkEnd w:id="129"/>
      <w:bookmarkEnd w:id="130"/>
      <w:r>
        <w:rPr>
          <w:rFonts w:hint="eastAsia" w:ascii="宋体" w:hAnsi="宋体" w:eastAsia="宋体"/>
          <w:sz w:val="21"/>
          <w:szCs w:val="21"/>
          <w:lang w:val="en-US" w:eastAsia="zh-CN"/>
        </w:rPr>
        <w:t>技术</w:t>
      </w:r>
      <w:r>
        <w:rPr>
          <w:rFonts w:hint="eastAsia" w:ascii="宋体" w:hAnsi="宋体" w:eastAsia="宋体"/>
          <w:sz w:val="21"/>
          <w:szCs w:val="21"/>
        </w:rPr>
        <w:t>方案</w:t>
      </w:r>
    </w:p>
    <w:p>
      <w:pPr>
        <w:ind w:firstLine="420" w:firstLineChars="200"/>
        <w:rPr>
          <w:rFonts w:hint="eastAsia"/>
          <w:b/>
          <w:lang w:val="zh-CN"/>
        </w:rPr>
      </w:pPr>
      <w:bookmarkStart w:id="131" w:name="_Toc401304098"/>
      <w:bookmarkStart w:id="132" w:name="_Toc338684389"/>
      <w:r>
        <w:rPr>
          <w:rFonts w:hint="eastAsia"/>
        </w:rPr>
        <w:t>（格式自行拟定）</w:t>
      </w:r>
    </w:p>
    <w:p>
      <w:pPr>
        <w:rPr>
          <w:rFonts w:hint="eastAsia"/>
          <w:lang w:val="zh-CN"/>
        </w:rPr>
      </w:pPr>
    </w:p>
    <w:bookmarkEnd w:id="131"/>
    <w:bookmarkEnd w:id="132"/>
    <w:p>
      <w:pPr>
        <w:rPr>
          <w:rFonts w:ascii="宋体" w:hAnsi="宋体"/>
        </w:rPr>
      </w:pPr>
    </w:p>
    <w:p>
      <w:pPr>
        <w:rPr>
          <w:rFonts w:ascii="宋体" w:hAnsi="宋体"/>
        </w:rPr>
      </w:pPr>
    </w:p>
    <w:p>
      <w:pPr>
        <w:rPr>
          <w:rFonts w:hint="eastAsia" w:ascii="宋体" w:hAnsi="宋体"/>
        </w:rPr>
      </w:pPr>
    </w:p>
    <w:p>
      <w:pPr>
        <w:pStyle w:val="4"/>
        <w:rPr>
          <w:rFonts w:hint="eastAsia" w:ascii="宋体" w:hAnsi="宋体" w:eastAsia="宋体"/>
          <w:sz w:val="21"/>
          <w:szCs w:val="21"/>
          <w:lang w:val="zh-CN"/>
        </w:rPr>
      </w:pPr>
      <w:bookmarkStart w:id="133" w:name="_Toc11051735"/>
      <w:bookmarkStart w:id="134" w:name="_Toc23336"/>
      <w:bookmarkStart w:id="135" w:name="_Toc422907305"/>
      <w:bookmarkStart w:id="136" w:name="_Toc401304099"/>
      <w:r>
        <w:rPr>
          <w:rFonts w:hint="eastAsia" w:ascii="宋体" w:hAnsi="宋体" w:eastAsia="宋体"/>
          <w:sz w:val="21"/>
          <w:szCs w:val="21"/>
          <w:lang w:val="zh-CN"/>
        </w:rPr>
        <w:t>附件十：中小企业声明函</w:t>
      </w:r>
      <w:bookmarkEnd w:id="133"/>
      <w:bookmarkEnd w:id="134"/>
      <w:bookmarkEnd w:id="135"/>
      <w:bookmarkEnd w:id="136"/>
    </w:p>
    <w:p>
      <w:pPr>
        <w:autoSpaceDE w:val="0"/>
        <w:autoSpaceDN w:val="0"/>
        <w:adjustRightInd w:val="0"/>
        <w:spacing w:line="288" w:lineRule="auto"/>
        <w:jc w:val="left"/>
        <w:rPr>
          <w:rFonts w:hint="eastAsia" w:ascii="宋体" w:hAnsi="宋体"/>
          <w:kern w:val="0"/>
        </w:rPr>
      </w:pPr>
    </w:p>
    <w:p>
      <w:pPr>
        <w:autoSpaceDE w:val="0"/>
        <w:autoSpaceDN w:val="0"/>
        <w:adjustRightInd w:val="0"/>
        <w:spacing w:line="460" w:lineRule="exact"/>
        <w:jc w:val="center"/>
        <w:rPr>
          <w:rFonts w:hint="eastAsia" w:ascii="宋体" w:hAnsi="宋体" w:cs="黑体"/>
          <w:b/>
          <w:bCs/>
          <w:szCs w:val="21"/>
          <w:lang w:val="zh-CN"/>
        </w:rPr>
      </w:pPr>
      <w:bookmarkStart w:id="137" w:name="_Toc374435591"/>
      <w:r>
        <w:rPr>
          <w:rFonts w:hint="eastAsia" w:ascii="宋体" w:hAnsi="宋体" w:cs="黑体"/>
          <w:b/>
          <w:bCs/>
          <w:szCs w:val="21"/>
          <w:lang w:val="zh-CN"/>
        </w:rPr>
        <w:t>十二、中小企业声明函</w:t>
      </w:r>
      <w:bookmarkEnd w:id="137"/>
    </w:p>
    <w:p>
      <w:pPr>
        <w:jc w:val="center"/>
        <w:rPr>
          <w:rFonts w:hint="eastAsia" w:ascii="宋体" w:hAnsi="宋体"/>
          <w:b/>
          <w:sz w:val="24"/>
        </w:rPr>
      </w:pPr>
    </w:p>
    <w:p>
      <w:pPr>
        <w:spacing w:line="588" w:lineRule="exact"/>
        <w:rPr>
          <w:rFonts w:ascii="宋体" w:hAnsi="宋体"/>
          <w:b/>
          <w:bCs/>
          <w:spacing w:val="6"/>
          <w:sz w:val="30"/>
          <w:szCs w:val="30"/>
        </w:rPr>
      </w:pPr>
    </w:p>
    <w:p>
      <w:pPr>
        <w:ind w:firstLine="444" w:firstLineChars="200"/>
        <w:rPr>
          <w:rFonts w:ascii="宋体" w:hAnsi="宋体"/>
          <w:spacing w:val="6"/>
          <w:szCs w:val="21"/>
        </w:rPr>
      </w:pPr>
      <w:r>
        <w:rPr>
          <w:rFonts w:hint="eastAsia" w:ascii="宋体" w:hAnsi="宋体" w:cs="仿宋_GB2312"/>
          <w:spacing w:val="6"/>
          <w:szCs w:val="21"/>
        </w:rPr>
        <w:t>本公司郑重声明，根据《政府采购促进中小企业发展暂行办法》（财库</w:t>
      </w:r>
      <w:r>
        <w:rPr>
          <w:rFonts w:ascii="宋体" w:hAnsi="宋体" w:cs="仿宋_GB2312"/>
          <w:spacing w:val="6"/>
          <w:szCs w:val="21"/>
        </w:rPr>
        <w:t>[2011]181</w:t>
      </w:r>
      <w:r>
        <w:rPr>
          <w:rFonts w:hint="eastAsia" w:ascii="宋体" w:hAnsi="宋体" w:cs="仿宋_GB2312"/>
          <w:spacing w:val="6"/>
          <w:szCs w:val="21"/>
        </w:rPr>
        <w:t>号）的规定，本公司为</w:t>
      </w:r>
      <w:bookmarkStart w:id="138" w:name="OLE_LINK5"/>
      <w:r>
        <w:rPr>
          <w:rFonts w:ascii="宋体" w:hAnsi="宋体" w:cs="仿宋_GB2312"/>
          <w:spacing w:val="6"/>
          <w:szCs w:val="21"/>
          <w:u w:val="single"/>
        </w:rPr>
        <w:t>______</w:t>
      </w:r>
      <w:r>
        <w:rPr>
          <w:rFonts w:hint="eastAsia" w:ascii="宋体" w:hAnsi="宋体" w:cs="仿宋_GB2312"/>
          <w:spacing w:val="6"/>
          <w:szCs w:val="21"/>
        </w:rPr>
        <w:t>（请填写：中型、小型、微型）企业</w:t>
      </w:r>
      <w:bookmarkEnd w:id="138"/>
      <w:r>
        <w:rPr>
          <w:rFonts w:hint="eastAsia" w:ascii="宋体" w:hAnsi="宋体" w:cs="仿宋_GB2312"/>
          <w:spacing w:val="6"/>
          <w:szCs w:val="21"/>
        </w:rPr>
        <w:t>。即，本公司同时满足以下条件：</w:t>
      </w:r>
    </w:p>
    <w:p>
      <w:pPr>
        <w:ind w:firstLine="444" w:firstLineChars="200"/>
        <w:rPr>
          <w:rFonts w:ascii="宋体" w:hAnsi="宋体"/>
          <w:spacing w:val="6"/>
          <w:szCs w:val="21"/>
        </w:rPr>
      </w:pPr>
      <w:r>
        <w:rPr>
          <w:rFonts w:ascii="宋体" w:hAnsi="宋体" w:cs="仿宋_GB2312"/>
          <w:spacing w:val="6"/>
          <w:szCs w:val="21"/>
        </w:rPr>
        <w:t>1.</w:t>
      </w:r>
      <w:r>
        <w:rPr>
          <w:rFonts w:hint="eastAsia" w:ascii="宋体" w:hAnsi="宋体" w:cs="仿宋_GB2312"/>
          <w:spacing w:val="6"/>
          <w:szCs w:val="21"/>
        </w:rPr>
        <w:t>根据《工业和信息化部、国家统计局、国家发展和改革委员会、财政部关于印发中小企业划型标准规定的通知》（工信部联企业</w:t>
      </w:r>
      <w:r>
        <w:rPr>
          <w:rFonts w:ascii="宋体" w:hAnsi="宋体" w:cs="仿宋_GB2312"/>
          <w:spacing w:val="6"/>
          <w:szCs w:val="21"/>
        </w:rPr>
        <w:t>[2011]300</w:t>
      </w:r>
      <w:r>
        <w:rPr>
          <w:rFonts w:hint="eastAsia" w:ascii="宋体" w:hAnsi="宋体" w:cs="仿宋_GB2312"/>
          <w:spacing w:val="6"/>
          <w:szCs w:val="21"/>
        </w:rPr>
        <w:t>号）规定的划分标准，本公司为</w:t>
      </w:r>
      <w:r>
        <w:rPr>
          <w:rFonts w:ascii="宋体" w:hAnsi="宋体" w:cs="仿宋_GB2312"/>
          <w:spacing w:val="6"/>
          <w:szCs w:val="21"/>
          <w:u w:val="single"/>
        </w:rPr>
        <w:t>______</w:t>
      </w:r>
      <w:r>
        <w:rPr>
          <w:rFonts w:hint="eastAsia" w:ascii="宋体" w:hAnsi="宋体" w:cs="仿宋_GB2312"/>
          <w:spacing w:val="6"/>
          <w:szCs w:val="21"/>
        </w:rPr>
        <w:t>（请填写：中型、小型、微型）企业。</w:t>
      </w:r>
    </w:p>
    <w:p>
      <w:pPr>
        <w:ind w:firstLine="444" w:firstLineChars="200"/>
        <w:rPr>
          <w:rFonts w:ascii="宋体" w:hAnsi="宋体"/>
          <w:spacing w:val="6"/>
          <w:szCs w:val="21"/>
        </w:rPr>
      </w:pPr>
      <w:r>
        <w:rPr>
          <w:rFonts w:ascii="宋体" w:hAnsi="宋体" w:cs="仿宋_GB2312"/>
          <w:spacing w:val="6"/>
          <w:szCs w:val="21"/>
        </w:rPr>
        <w:t>2.</w:t>
      </w:r>
      <w:r>
        <w:rPr>
          <w:rFonts w:hint="eastAsia" w:ascii="宋体" w:hAnsi="宋体" w:cs="仿宋_GB2312"/>
          <w:spacing w:val="6"/>
          <w:szCs w:val="21"/>
        </w:rPr>
        <w:t>本公司参加</w:t>
      </w:r>
      <w:r>
        <w:rPr>
          <w:rFonts w:ascii="宋体" w:hAnsi="宋体" w:cs="仿宋_GB2312"/>
          <w:spacing w:val="6"/>
          <w:szCs w:val="21"/>
          <w:u w:val="single"/>
        </w:rPr>
        <w:t>______</w:t>
      </w:r>
      <w:r>
        <w:rPr>
          <w:rFonts w:hint="eastAsia" w:ascii="宋体" w:hAnsi="宋体" w:cs="仿宋_GB2312"/>
          <w:spacing w:val="6"/>
          <w:szCs w:val="21"/>
        </w:rPr>
        <w:t>单位的</w:t>
      </w:r>
      <w:r>
        <w:rPr>
          <w:rFonts w:ascii="宋体" w:hAnsi="宋体" w:cs="仿宋_GB2312"/>
          <w:spacing w:val="6"/>
          <w:szCs w:val="21"/>
          <w:u w:val="single"/>
        </w:rPr>
        <w:t>______</w:t>
      </w:r>
      <w:r>
        <w:rPr>
          <w:rFonts w:hint="eastAsia" w:ascii="宋体" w:hAnsi="宋体" w:cs="仿宋_GB2312"/>
          <w:spacing w:val="6"/>
          <w:szCs w:val="21"/>
        </w:rPr>
        <w:t>项目采购活动提供本企业制造的货物，由本企业承担工程、提供服务，或者提供其他</w:t>
      </w:r>
      <w:r>
        <w:rPr>
          <w:rFonts w:ascii="宋体" w:hAnsi="宋体" w:cs="仿宋_GB2312"/>
          <w:spacing w:val="6"/>
          <w:szCs w:val="21"/>
          <w:u w:val="single"/>
        </w:rPr>
        <w:t>______</w:t>
      </w:r>
      <w:r>
        <w:rPr>
          <w:rFonts w:hint="eastAsia" w:ascii="宋体" w:hAnsi="宋体" w:cs="仿宋_GB2312"/>
          <w:spacing w:val="6"/>
          <w:szCs w:val="21"/>
        </w:rPr>
        <w:t>（请填写：中型、小型、微型）企业制造的货物。本条所称货物不包括使用大型企业注册商标的货物。</w:t>
      </w:r>
    </w:p>
    <w:p>
      <w:pPr>
        <w:ind w:firstLine="444" w:firstLineChars="200"/>
        <w:rPr>
          <w:rFonts w:ascii="宋体" w:hAnsi="宋体"/>
          <w:spacing w:val="6"/>
          <w:szCs w:val="21"/>
        </w:rPr>
      </w:pPr>
      <w:r>
        <w:rPr>
          <w:rFonts w:hint="eastAsia" w:ascii="宋体" w:hAnsi="宋体" w:cs="仿宋_GB2312"/>
          <w:spacing w:val="6"/>
          <w:szCs w:val="21"/>
        </w:rPr>
        <w:t>本公司对上述声明的真实性负责。如有虚假，将依法承担相应责任。</w:t>
      </w:r>
    </w:p>
    <w:p>
      <w:pPr>
        <w:ind w:firstLine="444" w:firstLineChars="200"/>
        <w:rPr>
          <w:rFonts w:ascii="宋体" w:hAnsi="宋体"/>
          <w:spacing w:val="6"/>
          <w:szCs w:val="21"/>
        </w:rPr>
      </w:pPr>
    </w:p>
    <w:p>
      <w:pPr>
        <w:ind w:firstLine="444" w:firstLineChars="200"/>
        <w:rPr>
          <w:rFonts w:ascii="宋体" w:hAnsi="宋体"/>
          <w:spacing w:val="6"/>
          <w:szCs w:val="21"/>
        </w:rPr>
      </w:pPr>
    </w:p>
    <w:p>
      <w:pPr>
        <w:tabs>
          <w:tab w:val="left" w:pos="4860"/>
        </w:tabs>
        <w:ind w:right="1560" w:firstLine="444" w:firstLineChars="200"/>
        <w:jc w:val="center"/>
        <w:rPr>
          <w:rFonts w:ascii="宋体" w:hAnsi="宋体" w:cs="仿宋_GB2312"/>
          <w:spacing w:val="6"/>
          <w:szCs w:val="21"/>
        </w:rPr>
      </w:pPr>
      <w:r>
        <w:rPr>
          <w:rFonts w:ascii="宋体" w:hAnsi="宋体" w:cs="仿宋_GB2312"/>
          <w:spacing w:val="6"/>
          <w:szCs w:val="21"/>
        </w:rPr>
        <w:t xml:space="preserve">               </w:t>
      </w:r>
      <w:r>
        <w:rPr>
          <w:rFonts w:hint="eastAsia" w:ascii="宋体" w:hAnsi="宋体" w:cs="仿宋_GB2312"/>
          <w:spacing w:val="6"/>
          <w:szCs w:val="21"/>
        </w:rPr>
        <w:t>企业名称（盖章）：</w:t>
      </w:r>
      <w:r>
        <w:rPr>
          <w:rFonts w:ascii="宋体" w:hAnsi="宋体" w:cs="仿宋_GB2312"/>
          <w:spacing w:val="6"/>
          <w:szCs w:val="21"/>
        </w:rPr>
        <w:t xml:space="preserve"> </w:t>
      </w:r>
    </w:p>
    <w:p>
      <w:pPr>
        <w:tabs>
          <w:tab w:val="left" w:pos="4860"/>
        </w:tabs>
        <w:ind w:right="1560" w:firstLine="444" w:firstLineChars="200"/>
        <w:jc w:val="center"/>
        <w:rPr>
          <w:rFonts w:hint="eastAsia" w:ascii="宋体" w:hAnsi="宋体" w:cs="仿宋_GB2312"/>
          <w:spacing w:val="6"/>
          <w:szCs w:val="21"/>
        </w:rPr>
      </w:pPr>
      <w:r>
        <w:rPr>
          <w:rFonts w:ascii="宋体" w:hAnsi="宋体" w:cs="仿宋_GB2312"/>
          <w:spacing w:val="6"/>
          <w:szCs w:val="21"/>
        </w:rPr>
        <w:t xml:space="preserve">       </w:t>
      </w:r>
      <w:r>
        <w:rPr>
          <w:rFonts w:hint="eastAsia" w:ascii="宋体" w:hAnsi="宋体" w:cs="仿宋_GB2312"/>
          <w:spacing w:val="6"/>
          <w:szCs w:val="21"/>
        </w:rPr>
        <w:t>日</w:t>
      </w:r>
      <w:r>
        <w:rPr>
          <w:rFonts w:ascii="宋体" w:hAnsi="宋体" w:cs="仿宋_GB2312"/>
          <w:spacing w:val="6"/>
          <w:szCs w:val="21"/>
        </w:rPr>
        <w:t xml:space="preserve">  </w:t>
      </w:r>
      <w:r>
        <w:rPr>
          <w:rFonts w:hint="eastAsia" w:ascii="宋体" w:hAnsi="宋体" w:cs="仿宋_GB2312"/>
          <w:spacing w:val="6"/>
          <w:szCs w:val="21"/>
        </w:rPr>
        <w:t>期：</w:t>
      </w:r>
    </w:p>
    <w:p>
      <w:pPr>
        <w:autoSpaceDE w:val="0"/>
        <w:autoSpaceDN w:val="0"/>
        <w:adjustRightInd w:val="0"/>
        <w:spacing w:line="288" w:lineRule="auto"/>
        <w:jc w:val="left"/>
        <w:rPr>
          <w:rFonts w:hint="eastAsia" w:ascii="宋体" w:hAnsi="宋体"/>
          <w:kern w:val="0"/>
        </w:rPr>
      </w:pPr>
    </w:p>
    <w:p>
      <w:pPr>
        <w:pStyle w:val="10"/>
        <w:rPr>
          <w:rFonts w:hint="eastAsia" w:ascii="宋体" w:hAnsi="宋体"/>
          <w:kern w:val="0"/>
        </w:rPr>
      </w:pPr>
    </w:p>
    <w:p>
      <w:pPr>
        <w:rPr>
          <w:rFonts w:hint="eastAsia"/>
          <w:lang w:val="zh-CN"/>
        </w:rPr>
      </w:pPr>
    </w:p>
    <w:p>
      <w:pPr>
        <w:jc w:val="left"/>
        <w:outlineLvl w:val="1"/>
        <w:rPr>
          <w:b/>
        </w:rPr>
      </w:pPr>
      <w:bookmarkStart w:id="139" w:name="_Toc338684390"/>
      <w:bookmarkStart w:id="140" w:name="_Toc401304100"/>
      <w:bookmarkStart w:id="141" w:name="_Toc422907306"/>
      <w:bookmarkStart w:id="142" w:name="_Toc11051736"/>
      <w:bookmarkStart w:id="143" w:name="_Toc5969"/>
      <w:r>
        <w:rPr>
          <w:rFonts w:hint="eastAsia" w:ascii="宋体" w:hAnsi="宋体"/>
          <w:b/>
          <w:szCs w:val="21"/>
          <w:lang w:val="zh-CN"/>
        </w:rPr>
        <w:t>附件十</w:t>
      </w:r>
      <w:r>
        <w:rPr>
          <w:rFonts w:hint="eastAsia" w:ascii="宋体" w:hAnsi="宋体"/>
          <w:b/>
          <w:szCs w:val="21"/>
        </w:rPr>
        <w:t>一</w:t>
      </w:r>
      <w:r>
        <w:rPr>
          <w:rFonts w:hint="eastAsia" w:ascii="宋体" w:hAnsi="宋体"/>
          <w:b/>
          <w:szCs w:val="21"/>
          <w:lang w:val="zh-CN"/>
        </w:rPr>
        <w:t>：</w:t>
      </w:r>
      <w:bookmarkEnd w:id="139"/>
      <w:bookmarkEnd w:id="140"/>
      <w:bookmarkEnd w:id="141"/>
      <w:bookmarkEnd w:id="142"/>
      <w:r>
        <w:rPr>
          <w:b/>
        </w:rPr>
        <w:t>资格证明</w:t>
      </w:r>
      <w:bookmarkEnd w:id="143"/>
    </w:p>
    <w:p/>
    <w:p>
      <w:pPr>
        <w:ind w:left="420" w:leftChars="200"/>
        <w:jc w:val="center"/>
      </w:pPr>
      <w:r>
        <w:rPr>
          <w:b/>
          <w:sz w:val="28"/>
          <w:szCs w:val="28"/>
        </w:rPr>
        <w:t>资格证明</w:t>
      </w:r>
    </w:p>
    <w:p>
      <w:pPr>
        <w:jc w:val="center"/>
        <w:rPr>
          <w:szCs w:val="21"/>
        </w:rPr>
      </w:pPr>
      <w:r>
        <w:rPr>
          <w:szCs w:val="21"/>
        </w:rPr>
        <w:t>（格式由投标人自定，据实提交，含公司各类资质及获奖情况）</w:t>
      </w:r>
    </w:p>
    <w:p>
      <w:pPr>
        <w:jc w:val="center"/>
        <w:rPr>
          <w:szCs w:val="21"/>
        </w:rPr>
      </w:pPr>
    </w:p>
    <w:p>
      <w:pPr>
        <w:jc w:val="center"/>
        <w:rPr>
          <w:szCs w:val="21"/>
        </w:rPr>
      </w:pPr>
    </w:p>
    <w:p>
      <w:pPr>
        <w:rPr>
          <w:szCs w:val="21"/>
        </w:rPr>
      </w:pPr>
    </w:p>
    <w:p>
      <w:pPr>
        <w:autoSpaceDE w:val="0"/>
        <w:autoSpaceDN w:val="0"/>
        <w:adjustRightInd w:val="0"/>
        <w:ind w:right="840"/>
        <w:jc w:val="center"/>
        <w:rPr>
          <w:szCs w:val="21"/>
          <w:lang w:val="zh-CN"/>
        </w:rPr>
      </w:pPr>
      <w:r>
        <w:rPr>
          <w:szCs w:val="21"/>
          <w:lang w:val="zh-CN"/>
        </w:rPr>
        <w:t xml:space="preserve">                                                             投标人</w:t>
      </w:r>
      <w:r>
        <w:rPr>
          <w:szCs w:val="21"/>
        </w:rPr>
        <w:t xml:space="preserve">（盖章）：            </w:t>
      </w:r>
    </w:p>
    <w:p>
      <w:pPr>
        <w:autoSpaceDE w:val="0"/>
        <w:autoSpaceDN w:val="0"/>
        <w:adjustRightInd w:val="0"/>
        <w:ind w:right="840"/>
        <w:jc w:val="center"/>
        <w:rPr>
          <w:szCs w:val="21"/>
          <w:lang w:val="zh-CN"/>
        </w:rPr>
      </w:pPr>
      <w:r>
        <w:rPr>
          <w:rFonts w:hint="eastAsia"/>
          <w:szCs w:val="21"/>
          <w:lang w:val="zh-CN"/>
        </w:rPr>
        <w:t xml:space="preserve"> </w:t>
      </w:r>
      <w:r>
        <w:rPr>
          <w:szCs w:val="21"/>
          <w:lang w:val="zh-CN"/>
        </w:rPr>
        <w:t xml:space="preserve">                                                          授权代表签字：             </w:t>
      </w:r>
    </w:p>
    <w:p>
      <w:pPr>
        <w:autoSpaceDE w:val="0"/>
        <w:autoSpaceDN w:val="0"/>
        <w:adjustRightInd w:val="0"/>
        <w:jc w:val="right"/>
        <w:rPr>
          <w:szCs w:val="21"/>
          <w:lang w:val="zh-CN"/>
        </w:rPr>
      </w:pPr>
      <w:r>
        <w:rPr>
          <w:szCs w:val="21"/>
          <w:lang w:val="zh-CN"/>
        </w:rPr>
        <w:t>日    期：    年    月   日</w:t>
      </w:r>
    </w:p>
    <w:p>
      <w:pPr>
        <w:autoSpaceDE w:val="0"/>
        <w:autoSpaceDN w:val="0"/>
        <w:adjustRightInd w:val="0"/>
        <w:outlineLvl w:val="1"/>
        <w:rPr>
          <w:rFonts w:ascii="宋体" w:hAnsi="宋体" w:cs="宋体"/>
          <w:b/>
          <w:bCs/>
          <w:szCs w:val="21"/>
        </w:rPr>
      </w:pPr>
      <w:bookmarkStart w:id="144" w:name="_Toc19408"/>
      <w:bookmarkStart w:id="145" w:name="_Toc3534"/>
      <w:bookmarkStart w:id="146" w:name="_Toc23056"/>
      <w:bookmarkStart w:id="147" w:name="_Toc5281"/>
      <w:bookmarkStart w:id="148" w:name="_Toc16589"/>
      <w:r>
        <w:rPr>
          <w:rFonts w:ascii="宋体" w:hAnsi="宋体" w:cs="宋体"/>
          <w:b/>
          <w:bCs/>
          <w:szCs w:val="21"/>
        </w:rPr>
        <w:br w:type="page"/>
      </w:r>
      <w:bookmarkStart w:id="149" w:name="_Toc14972"/>
      <w:r>
        <w:rPr>
          <w:rFonts w:hint="eastAsia" w:ascii="宋体" w:hAnsi="宋体" w:cs="宋体"/>
          <w:b/>
          <w:bCs/>
          <w:szCs w:val="21"/>
        </w:rPr>
        <w:t>附件十二、残疾人福利性单位声明函</w:t>
      </w:r>
      <w:bookmarkEnd w:id="144"/>
      <w:bookmarkEnd w:id="145"/>
      <w:bookmarkEnd w:id="146"/>
      <w:bookmarkEnd w:id="147"/>
      <w:bookmarkEnd w:id="148"/>
      <w:bookmarkEnd w:id="149"/>
    </w:p>
    <w:p>
      <w:pPr>
        <w:widowControl/>
        <w:ind w:firstLine="562" w:firstLineChars="200"/>
        <w:rPr>
          <w:rFonts w:ascii="宋体" w:hAnsi="宋体" w:cs="宋体"/>
          <w:b/>
          <w:bCs/>
          <w:sz w:val="28"/>
          <w:szCs w:val="28"/>
        </w:rPr>
      </w:pPr>
    </w:p>
    <w:p>
      <w:pPr>
        <w:widowControl/>
        <w:ind w:firstLine="562" w:firstLineChars="200"/>
        <w:jc w:val="center"/>
        <w:rPr>
          <w:rFonts w:ascii="宋体" w:hAnsi="宋体" w:cs="宋体"/>
        </w:rPr>
      </w:pPr>
      <w:r>
        <w:rPr>
          <w:rFonts w:hint="eastAsia" w:ascii="宋体" w:hAnsi="宋体" w:cs="宋体"/>
          <w:b/>
          <w:bCs/>
          <w:sz w:val="28"/>
          <w:szCs w:val="28"/>
        </w:rPr>
        <w:t>残疾人福利性单位声明函</w:t>
      </w:r>
    </w:p>
    <w:p>
      <w:pPr>
        <w:ind w:firstLine="444" w:firstLineChars="200"/>
        <w:rPr>
          <w:rFonts w:ascii="宋体" w:hAnsi="宋体" w:cs="宋体"/>
          <w:spacing w:val="6"/>
          <w:szCs w:val="21"/>
          <w:lang w:val="zh-CN"/>
        </w:rPr>
      </w:pPr>
      <w:r>
        <w:rPr>
          <w:rFonts w:hint="eastAsia" w:ascii="宋体" w:hAnsi="宋体" w:cs="宋体"/>
          <w:spacing w:val="6"/>
          <w:szCs w:val="21"/>
          <w:lang w:val="zh-CN"/>
        </w:rPr>
        <w:t>本单位郑重声明，根据《财政部 民政部 中国残疾人联合会关于促进残疾人就业政府采购政策的通知》（财库〔2017〕 141号）的规定，本单位为        （符合/不符合）   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444" w:firstLineChars="200"/>
        <w:rPr>
          <w:rFonts w:ascii="宋体" w:hAnsi="宋体" w:cs="宋体"/>
          <w:spacing w:val="6"/>
          <w:szCs w:val="21"/>
          <w:lang w:val="zh-CN"/>
        </w:rPr>
      </w:pPr>
      <w:r>
        <w:rPr>
          <w:rFonts w:hint="eastAsia" w:ascii="宋体" w:hAnsi="宋体" w:cs="宋体"/>
          <w:spacing w:val="6"/>
          <w:szCs w:val="21"/>
          <w:lang w:val="zh-CN"/>
        </w:rPr>
        <w:t>本单位对上述声明的真实性负责。如有虚假，将依法承担相应责任。</w:t>
      </w:r>
    </w:p>
    <w:p>
      <w:pPr>
        <w:autoSpaceDE w:val="0"/>
        <w:autoSpaceDN w:val="0"/>
        <w:adjustRightInd w:val="0"/>
        <w:rPr>
          <w:rFonts w:ascii="宋体" w:hAnsi="宋体" w:cs="宋体"/>
          <w:szCs w:val="21"/>
          <w:lang w:val="zh-CN"/>
        </w:rPr>
      </w:pPr>
    </w:p>
    <w:p>
      <w:pPr>
        <w:wordWrap w:val="0"/>
        <w:autoSpaceDE w:val="0"/>
        <w:autoSpaceDN w:val="0"/>
        <w:adjustRightInd w:val="0"/>
        <w:jc w:val="right"/>
        <w:rPr>
          <w:rFonts w:ascii="宋体" w:hAnsi="宋体" w:cs="宋体"/>
          <w:szCs w:val="21"/>
          <w:lang w:val="zh-CN"/>
        </w:rPr>
      </w:pPr>
      <w:r>
        <w:rPr>
          <w:rFonts w:hint="eastAsia" w:ascii="宋体" w:hAnsi="宋体" w:cs="宋体"/>
          <w:szCs w:val="21"/>
          <w:lang w:val="zh-CN"/>
        </w:rPr>
        <w:t>供应商</w:t>
      </w:r>
      <w:r>
        <w:rPr>
          <w:rFonts w:hint="eastAsia" w:ascii="宋体" w:hAnsi="宋体" w:cs="宋体"/>
          <w:szCs w:val="21"/>
        </w:rPr>
        <w:t xml:space="preserve">（盖章）：            </w:t>
      </w:r>
    </w:p>
    <w:p>
      <w:pPr>
        <w:wordWrap w:val="0"/>
        <w:autoSpaceDE w:val="0"/>
        <w:autoSpaceDN w:val="0"/>
        <w:adjustRightInd w:val="0"/>
        <w:jc w:val="right"/>
        <w:rPr>
          <w:rFonts w:ascii="宋体" w:hAnsi="宋体" w:cs="宋体"/>
          <w:szCs w:val="21"/>
          <w:lang w:val="zh-CN"/>
        </w:rPr>
      </w:pPr>
      <w:r>
        <w:rPr>
          <w:rFonts w:hint="eastAsia" w:ascii="宋体" w:hAnsi="宋体" w:cs="宋体"/>
          <w:szCs w:val="21"/>
          <w:lang w:val="zh-CN"/>
        </w:rPr>
        <w:t xml:space="preserve">授权代表签字：             </w:t>
      </w:r>
    </w:p>
    <w:p>
      <w:pPr>
        <w:autoSpaceDE w:val="0"/>
        <w:autoSpaceDN w:val="0"/>
        <w:adjustRightInd w:val="0"/>
        <w:jc w:val="right"/>
        <w:rPr>
          <w:rFonts w:ascii="宋体" w:hAnsi="宋体" w:cs="宋体"/>
          <w:szCs w:val="21"/>
          <w:lang w:val="zh-CN"/>
        </w:rPr>
      </w:pPr>
      <w:r>
        <w:rPr>
          <w:rFonts w:hint="eastAsia" w:ascii="宋体" w:hAnsi="宋体" w:cs="宋体"/>
          <w:szCs w:val="21"/>
          <w:lang w:val="zh-CN"/>
        </w:rPr>
        <w:t>日    期：    年    月   日</w:t>
      </w:r>
    </w:p>
    <w:p>
      <w:pPr>
        <w:autoSpaceDE w:val="0"/>
        <w:autoSpaceDN w:val="0"/>
        <w:adjustRightInd w:val="0"/>
        <w:spacing w:line="360" w:lineRule="auto"/>
        <w:outlineLvl w:val="1"/>
        <w:rPr>
          <w:rFonts w:hint="eastAsia" w:ascii="宋体" w:hAnsi="宋体" w:cs="宋体"/>
          <w:b/>
          <w:bCs/>
          <w:szCs w:val="21"/>
        </w:rPr>
      </w:pPr>
    </w:p>
    <w:p>
      <w:pPr>
        <w:autoSpaceDE w:val="0"/>
        <w:autoSpaceDN w:val="0"/>
        <w:adjustRightInd w:val="0"/>
        <w:outlineLvl w:val="1"/>
        <w:rPr>
          <w:rFonts w:hint="eastAsia" w:ascii="宋体" w:hAnsi="宋体" w:cs="宋体"/>
          <w:b/>
          <w:bCs/>
          <w:szCs w:val="21"/>
        </w:rPr>
      </w:pPr>
      <w:bookmarkStart w:id="150" w:name="_Toc17723"/>
      <w:r>
        <w:rPr>
          <w:rFonts w:hint="eastAsia" w:ascii="宋体" w:hAnsi="宋体" w:cs="宋体"/>
          <w:b/>
          <w:bCs/>
          <w:szCs w:val="21"/>
        </w:rPr>
        <w:t>附件十</w:t>
      </w:r>
      <w:bookmarkStart w:id="151" w:name="_Toc481604691"/>
      <w:bookmarkStart w:id="152" w:name="_Toc23869"/>
      <w:r>
        <w:rPr>
          <w:rFonts w:hint="eastAsia" w:ascii="宋体" w:hAnsi="宋体" w:cs="宋体"/>
          <w:b/>
          <w:bCs/>
          <w:szCs w:val="21"/>
        </w:rPr>
        <w:t>三、近3年内在经营活动中没有重大违法记录的书面声明</w:t>
      </w:r>
      <w:bookmarkEnd w:id="150"/>
      <w:bookmarkEnd w:id="151"/>
      <w:bookmarkEnd w:id="152"/>
    </w:p>
    <w:p>
      <w:pPr>
        <w:spacing w:line="360" w:lineRule="auto"/>
        <w:rPr>
          <w:rFonts w:ascii="宋体"/>
          <w:b/>
          <w:color w:val="000000"/>
          <w:sz w:val="24"/>
        </w:rPr>
      </w:pPr>
    </w:p>
    <w:p>
      <w:pPr>
        <w:widowControl/>
        <w:shd w:val="clear" w:color="auto" w:fill="FFFFFF"/>
        <w:spacing w:line="360" w:lineRule="auto"/>
        <w:rPr>
          <w:rFonts w:ascii="宋体"/>
          <w:color w:val="000000"/>
          <w:kern w:val="0"/>
          <w:szCs w:val="21"/>
        </w:rPr>
      </w:pPr>
      <w:r>
        <w:rPr>
          <w:rFonts w:hint="eastAsia" w:ascii="宋体" w:hAnsi="宋体"/>
          <w:color w:val="000000"/>
          <w:kern w:val="0"/>
          <w:szCs w:val="21"/>
        </w:rPr>
        <w:t>致：</w:t>
      </w:r>
    </w:p>
    <w:p>
      <w:pPr>
        <w:widowControl/>
        <w:shd w:val="clear" w:color="auto" w:fill="FFFFFF"/>
        <w:spacing w:line="360" w:lineRule="auto"/>
        <w:ind w:firstLine="420"/>
        <w:rPr>
          <w:rFonts w:ascii="宋体"/>
          <w:color w:val="000000"/>
          <w:kern w:val="0"/>
          <w:szCs w:val="21"/>
        </w:rPr>
      </w:pPr>
      <w:r>
        <w:rPr>
          <w:rFonts w:hint="eastAsia" w:ascii="宋体" w:hAnsi="宋体"/>
          <w:color w:val="000000"/>
          <w:kern w:val="0"/>
          <w:szCs w:val="21"/>
        </w:rPr>
        <w:t>根据贵方</w:t>
      </w:r>
      <w:r>
        <w:rPr>
          <w:rFonts w:ascii="宋体"/>
          <w:color w:val="000000"/>
          <w:kern w:val="0"/>
          <w:szCs w:val="21"/>
          <w:u w:val="single"/>
        </w:rPr>
        <w:t>                                   </w:t>
      </w:r>
      <w:r>
        <w:rPr>
          <w:rFonts w:hint="eastAsia" w:ascii="宋体" w:hAnsi="宋体"/>
          <w:b/>
          <w:bCs/>
          <w:color w:val="000000"/>
          <w:kern w:val="0"/>
          <w:szCs w:val="21"/>
          <w:u w:val="single"/>
        </w:rPr>
        <w:t>（</w:t>
      </w:r>
      <w:r>
        <w:rPr>
          <w:rFonts w:hint="eastAsia" w:ascii="宋体" w:hAnsi="宋体"/>
          <w:color w:val="000000"/>
          <w:kern w:val="0"/>
          <w:szCs w:val="21"/>
        </w:rPr>
        <w:t>项目名称）</w:t>
      </w:r>
      <w:r>
        <w:rPr>
          <w:rFonts w:ascii="宋体"/>
          <w:color w:val="000000"/>
          <w:kern w:val="0"/>
          <w:szCs w:val="21"/>
        </w:rPr>
        <w:t> </w:t>
      </w:r>
      <w:r>
        <w:rPr>
          <w:rFonts w:ascii="宋体"/>
          <w:color w:val="000000"/>
          <w:kern w:val="0"/>
          <w:szCs w:val="21"/>
          <w:u w:val="single"/>
        </w:rPr>
        <w:t>            </w:t>
      </w:r>
      <w:r>
        <w:rPr>
          <w:rFonts w:hint="eastAsia" w:ascii="宋体" w:hAnsi="宋体"/>
          <w:color w:val="000000"/>
          <w:kern w:val="0"/>
          <w:szCs w:val="21"/>
        </w:rPr>
        <w:t>（项目编号）投标，正式授权下述签字人</w:t>
      </w:r>
      <w:r>
        <w:rPr>
          <w:rFonts w:ascii="宋体"/>
          <w:color w:val="000000"/>
          <w:kern w:val="0"/>
          <w:szCs w:val="21"/>
          <w:u w:val="single"/>
        </w:rPr>
        <w:t>                        </w:t>
      </w:r>
      <w:r>
        <w:rPr>
          <w:rFonts w:ascii="宋体" w:hAnsi="宋体"/>
          <w:color w:val="000000"/>
          <w:kern w:val="0"/>
          <w:szCs w:val="21"/>
        </w:rPr>
        <w:t>(</w:t>
      </w:r>
      <w:r>
        <w:rPr>
          <w:rFonts w:hint="eastAsia" w:ascii="宋体" w:hAnsi="宋体"/>
          <w:color w:val="000000"/>
          <w:kern w:val="0"/>
          <w:szCs w:val="21"/>
        </w:rPr>
        <w:t>姓名和职务</w:t>
      </w:r>
      <w:r>
        <w:rPr>
          <w:rFonts w:ascii="宋体" w:hAnsi="宋体"/>
          <w:color w:val="000000"/>
          <w:kern w:val="0"/>
          <w:szCs w:val="21"/>
        </w:rPr>
        <w:t>)</w:t>
      </w:r>
      <w:r>
        <w:rPr>
          <w:rFonts w:hint="eastAsia" w:ascii="宋体" w:hAnsi="宋体"/>
          <w:color w:val="000000"/>
          <w:kern w:val="0"/>
          <w:szCs w:val="21"/>
        </w:rPr>
        <w:t>代表投标人</w:t>
      </w:r>
      <w:r>
        <w:rPr>
          <w:rFonts w:ascii="宋体"/>
          <w:color w:val="000000"/>
          <w:kern w:val="0"/>
          <w:szCs w:val="21"/>
          <w:u w:val="single"/>
        </w:rPr>
        <w:t>           </w:t>
      </w:r>
      <w:r>
        <w:rPr>
          <w:rFonts w:hint="eastAsia" w:ascii="宋体" w:hAnsi="宋体"/>
          <w:color w:val="000000"/>
          <w:kern w:val="0"/>
          <w:szCs w:val="21"/>
        </w:rPr>
        <w:t>（投标人名称），提交投标文件。</w:t>
      </w:r>
    </w:p>
    <w:p>
      <w:pPr>
        <w:widowControl/>
        <w:shd w:val="clear" w:color="auto" w:fill="FFFFFF"/>
        <w:spacing w:line="360" w:lineRule="auto"/>
        <w:ind w:firstLine="420"/>
        <w:rPr>
          <w:rFonts w:ascii="宋体"/>
          <w:color w:val="000000"/>
          <w:kern w:val="0"/>
          <w:szCs w:val="21"/>
        </w:rPr>
      </w:pPr>
      <w:r>
        <w:rPr>
          <w:rFonts w:hint="eastAsia" w:ascii="宋体" w:hAnsi="宋体"/>
          <w:color w:val="000000"/>
          <w:kern w:val="0"/>
          <w:szCs w:val="21"/>
        </w:rPr>
        <w:t>据此函，签字人兹宣布声明和承诺如下：</w:t>
      </w:r>
    </w:p>
    <w:p>
      <w:pPr>
        <w:widowControl/>
        <w:shd w:val="clear" w:color="auto" w:fill="FFFFFF"/>
        <w:spacing w:line="360" w:lineRule="auto"/>
        <w:ind w:firstLine="422" w:firstLineChars="200"/>
        <w:rPr>
          <w:rFonts w:ascii="宋体"/>
          <w:b/>
          <w:color w:val="000000"/>
          <w:kern w:val="0"/>
          <w:szCs w:val="21"/>
        </w:rPr>
      </w:pPr>
      <w:r>
        <w:rPr>
          <w:rFonts w:hint="eastAsia" w:ascii="宋体" w:hAnsi="宋体"/>
          <w:b/>
          <w:color w:val="000000"/>
          <w:kern w:val="0"/>
          <w:szCs w:val="21"/>
        </w:rPr>
        <w:t>我单位参加本次采购活动前</w:t>
      </w:r>
      <w:r>
        <w:rPr>
          <w:rFonts w:ascii="宋体" w:hAnsi="宋体"/>
          <w:b/>
          <w:color w:val="000000"/>
          <w:kern w:val="0"/>
          <w:szCs w:val="21"/>
        </w:rPr>
        <w:t>3</w:t>
      </w:r>
      <w:r>
        <w:rPr>
          <w:rFonts w:hint="eastAsia" w:ascii="宋体" w:hAnsi="宋体"/>
          <w:b/>
          <w:color w:val="000000"/>
          <w:kern w:val="0"/>
          <w:szCs w:val="21"/>
        </w:rPr>
        <w:t>年内在经营活动中没有重大违法记录，且不是失信被执行人、重大税收违法案件当事人名单、政府采购严重违法失信行为记录名单的供应商。</w:t>
      </w:r>
    </w:p>
    <w:p>
      <w:pPr>
        <w:widowControl/>
        <w:shd w:val="clear" w:color="auto" w:fill="FFFFFF"/>
        <w:spacing w:line="360" w:lineRule="auto"/>
        <w:ind w:firstLine="420" w:firstLineChars="200"/>
        <w:rPr>
          <w:rFonts w:ascii="宋体"/>
          <w:color w:val="000000"/>
          <w:kern w:val="0"/>
          <w:szCs w:val="21"/>
        </w:rPr>
      </w:pPr>
      <w:r>
        <w:rPr>
          <w:rFonts w:hint="eastAsia" w:ascii="宋体" w:hAnsi="宋体"/>
          <w:color w:val="000000"/>
          <w:kern w:val="0"/>
          <w:szCs w:val="21"/>
        </w:rPr>
        <w:t>特此声明。</w:t>
      </w:r>
    </w:p>
    <w:p>
      <w:pPr>
        <w:widowControl/>
        <w:shd w:val="clear" w:color="auto" w:fill="FFFFFF"/>
        <w:spacing w:line="360" w:lineRule="auto"/>
        <w:ind w:firstLine="420" w:firstLineChars="200"/>
        <w:rPr>
          <w:rFonts w:ascii="宋体"/>
          <w:color w:val="000000"/>
          <w:kern w:val="0"/>
          <w:szCs w:val="21"/>
        </w:rPr>
      </w:pPr>
    </w:p>
    <w:p>
      <w:pPr>
        <w:widowControl/>
        <w:shd w:val="clear" w:color="auto" w:fill="FFFFFF"/>
        <w:spacing w:line="360" w:lineRule="auto"/>
        <w:rPr>
          <w:rFonts w:ascii="宋体"/>
          <w:color w:val="000000"/>
          <w:kern w:val="0"/>
          <w:szCs w:val="21"/>
        </w:rPr>
      </w:pPr>
    </w:p>
    <w:p>
      <w:pPr>
        <w:widowControl/>
        <w:shd w:val="clear" w:color="auto" w:fill="FFFFFF"/>
        <w:spacing w:line="360" w:lineRule="auto"/>
        <w:jc w:val="left"/>
        <w:rPr>
          <w:rFonts w:ascii="宋体"/>
          <w:color w:val="000000"/>
          <w:kern w:val="0"/>
          <w:szCs w:val="21"/>
        </w:rPr>
      </w:pPr>
      <w:r>
        <w:rPr>
          <w:rFonts w:hint="eastAsia" w:ascii="宋体" w:hAnsi="宋体"/>
          <w:color w:val="000000"/>
          <w:kern w:val="0"/>
          <w:szCs w:val="21"/>
        </w:rPr>
        <w:t xml:space="preserve">        投标人名称（盖章）：</w:t>
      </w:r>
    </w:p>
    <w:p>
      <w:pPr>
        <w:widowControl/>
        <w:shd w:val="clear" w:color="auto" w:fill="FFFFFF"/>
        <w:spacing w:line="360" w:lineRule="auto"/>
        <w:ind w:firstLine="825"/>
        <w:jc w:val="left"/>
        <w:rPr>
          <w:rFonts w:ascii="宋体"/>
          <w:color w:val="000000"/>
          <w:kern w:val="0"/>
          <w:szCs w:val="21"/>
        </w:rPr>
      </w:pPr>
      <w:r>
        <w:rPr>
          <w:rFonts w:hint="eastAsia" w:ascii="宋体" w:hAnsi="宋体"/>
          <w:color w:val="000000"/>
          <w:kern w:val="0"/>
          <w:szCs w:val="21"/>
        </w:rPr>
        <w:t>授权委托人签字：</w:t>
      </w:r>
      <w:r>
        <w:rPr>
          <w:rFonts w:ascii="宋体"/>
          <w:color w:val="000000"/>
          <w:kern w:val="0"/>
          <w:szCs w:val="21"/>
        </w:rPr>
        <w:t>                   </w:t>
      </w:r>
    </w:p>
    <w:p>
      <w:pPr>
        <w:autoSpaceDE w:val="0"/>
        <w:autoSpaceDN w:val="0"/>
        <w:adjustRightInd w:val="0"/>
        <w:spacing w:line="360" w:lineRule="auto"/>
        <w:ind w:firstLine="840" w:firstLineChars="400"/>
        <w:outlineLvl w:val="1"/>
        <w:rPr>
          <w:rFonts w:hint="eastAsia" w:ascii="宋体" w:hAnsi="宋体" w:cs="宋体"/>
          <w:b/>
          <w:bCs/>
          <w:szCs w:val="21"/>
        </w:rPr>
      </w:pPr>
      <w:bookmarkStart w:id="153" w:name="_Toc5801"/>
      <w:r>
        <w:rPr>
          <w:rFonts w:hint="eastAsia" w:ascii="宋体" w:hAnsi="宋体"/>
          <w:color w:val="000000"/>
          <w:kern w:val="0"/>
          <w:szCs w:val="21"/>
        </w:rPr>
        <w:t>日</w:t>
      </w:r>
      <w:r>
        <w:rPr>
          <w:rFonts w:ascii="宋体"/>
          <w:color w:val="000000"/>
          <w:kern w:val="0"/>
          <w:szCs w:val="21"/>
        </w:rPr>
        <w:t>     </w:t>
      </w:r>
      <w:r>
        <w:rPr>
          <w:rFonts w:hint="eastAsia" w:ascii="宋体" w:hAnsi="宋体"/>
          <w:color w:val="000000"/>
          <w:kern w:val="0"/>
          <w:szCs w:val="21"/>
        </w:rPr>
        <w:t>期：</w:t>
      </w:r>
      <w:r>
        <w:rPr>
          <w:rFonts w:ascii="宋体"/>
          <w:color w:val="000000"/>
          <w:kern w:val="0"/>
          <w:szCs w:val="21"/>
        </w:rPr>
        <w:t>        </w:t>
      </w:r>
      <w:r>
        <w:rPr>
          <w:rFonts w:hint="eastAsia" w:ascii="宋体" w:hAnsi="宋体"/>
          <w:color w:val="000000"/>
          <w:kern w:val="0"/>
          <w:szCs w:val="21"/>
        </w:rPr>
        <w:t>年</w:t>
      </w:r>
      <w:r>
        <w:rPr>
          <w:rFonts w:ascii="宋体"/>
          <w:color w:val="000000"/>
          <w:kern w:val="0"/>
          <w:szCs w:val="21"/>
        </w:rPr>
        <w:t>    </w:t>
      </w:r>
      <w:r>
        <w:rPr>
          <w:rFonts w:hint="eastAsia" w:ascii="宋体" w:hAnsi="宋体"/>
          <w:color w:val="000000"/>
          <w:kern w:val="0"/>
          <w:szCs w:val="21"/>
        </w:rPr>
        <w:t>月</w:t>
      </w:r>
      <w:r>
        <w:rPr>
          <w:rFonts w:ascii="宋体"/>
          <w:color w:val="000000"/>
          <w:kern w:val="0"/>
          <w:szCs w:val="21"/>
        </w:rPr>
        <w:t>    </w:t>
      </w:r>
      <w:r>
        <w:rPr>
          <w:rFonts w:hint="eastAsia" w:ascii="宋体" w:hAnsi="宋体"/>
          <w:color w:val="000000"/>
          <w:kern w:val="0"/>
          <w:szCs w:val="21"/>
        </w:rPr>
        <w:t>日</w:t>
      </w:r>
      <w:bookmarkEnd w:id="153"/>
    </w:p>
    <w:p>
      <w:pPr>
        <w:autoSpaceDE w:val="0"/>
        <w:autoSpaceDN w:val="0"/>
        <w:adjustRightInd w:val="0"/>
        <w:spacing w:line="360" w:lineRule="auto"/>
        <w:outlineLvl w:val="1"/>
        <w:rPr>
          <w:rFonts w:hint="eastAsia" w:ascii="宋体" w:hAnsi="宋体" w:cs="宋体"/>
          <w:b/>
          <w:bCs/>
          <w:szCs w:val="21"/>
        </w:rPr>
      </w:pPr>
      <w:r>
        <w:rPr>
          <w:rFonts w:ascii="宋体" w:hAnsi="宋体" w:cs="宋体"/>
          <w:b/>
          <w:bCs/>
          <w:szCs w:val="21"/>
        </w:rPr>
        <w:br w:type="page"/>
      </w:r>
      <w:bookmarkStart w:id="154" w:name="_Toc8711"/>
      <w:r>
        <w:rPr>
          <w:rFonts w:hint="eastAsia" w:ascii="宋体" w:hAnsi="宋体" w:cs="宋体"/>
          <w:b/>
          <w:bCs/>
          <w:szCs w:val="21"/>
        </w:rPr>
        <w:t>附件十四、南京市政府采购供应商信用记录表</w:t>
      </w:r>
      <w:bookmarkEnd w:id="154"/>
    </w:p>
    <w:tbl>
      <w:tblPr>
        <w:tblStyle w:val="30"/>
        <w:tblW w:w="0" w:type="auto"/>
        <w:jc w:val="center"/>
        <w:tblLayout w:type="fixed"/>
        <w:tblCellMar>
          <w:top w:w="15" w:type="dxa"/>
          <w:left w:w="15" w:type="dxa"/>
          <w:bottom w:w="15" w:type="dxa"/>
          <w:right w:w="15" w:type="dxa"/>
        </w:tblCellMar>
      </w:tblPr>
      <w:tblGrid>
        <w:gridCol w:w="1843"/>
        <w:gridCol w:w="2396"/>
        <w:gridCol w:w="2610"/>
        <w:gridCol w:w="2649"/>
      </w:tblGrid>
      <w:tr>
        <w:tblPrEx>
          <w:tblCellMar>
            <w:top w:w="15" w:type="dxa"/>
            <w:left w:w="15" w:type="dxa"/>
            <w:bottom w:w="15" w:type="dxa"/>
            <w:right w:w="15" w:type="dxa"/>
          </w:tblCellMar>
        </w:tblPrEx>
        <w:trPr>
          <w:trHeight w:val="600" w:hRule="atLeast"/>
          <w:jc w:val="center"/>
        </w:trPr>
        <w:tc>
          <w:tcPr>
            <w:tcW w:w="9498" w:type="dxa"/>
            <w:gridSpan w:val="4"/>
            <w:noWrap w:val="0"/>
            <w:vAlign w:val="center"/>
          </w:tcPr>
          <w:p>
            <w:pPr>
              <w:widowControl/>
              <w:jc w:val="center"/>
              <w:textAlignment w:val="center"/>
              <w:rPr>
                <w:rFonts w:hint="eastAsia" w:ascii="宋体" w:hAnsi="宋体" w:cs="宋体"/>
                <w:sz w:val="40"/>
                <w:szCs w:val="40"/>
              </w:rPr>
            </w:pPr>
            <w:r>
              <w:rPr>
                <w:rFonts w:hint="eastAsia" w:ascii="宋体" w:hAnsi="宋体" w:cs="宋体"/>
                <w:kern w:val="0"/>
                <w:sz w:val="40"/>
                <w:szCs w:val="40"/>
              </w:rPr>
              <w:t>南京市政府采购供应商信用记录表</w:t>
            </w:r>
          </w:p>
        </w:tc>
      </w:tr>
      <w:tr>
        <w:tblPrEx>
          <w:tblCellMar>
            <w:top w:w="15" w:type="dxa"/>
            <w:left w:w="15" w:type="dxa"/>
            <w:bottom w:w="15" w:type="dxa"/>
            <w:right w:w="15" w:type="dxa"/>
          </w:tblCellMar>
        </w:tblPrEx>
        <w:trPr>
          <w:trHeight w:val="570" w:hRule="atLeast"/>
          <w:jc w:val="center"/>
        </w:trPr>
        <w:tc>
          <w:tcPr>
            <w:tcW w:w="9498" w:type="dxa"/>
            <w:gridSpan w:val="4"/>
            <w:noWrap w:val="0"/>
            <w:vAlign w:val="center"/>
          </w:tcPr>
          <w:p>
            <w:pPr>
              <w:jc w:val="center"/>
              <w:rPr>
                <w:rFonts w:hint="eastAsia" w:ascii="宋体" w:hAnsi="宋体" w:cs="宋体"/>
                <w:sz w:val="22"/>
                <w:szCs w:val="22"/>
              </w:rPr>
            </w:pPr>
            <w:r>
              <w:rPr>
                <w:rFonts w:hint="eastAsia" w:ascii="宋体" w:hAnsi="宋体" w:cs="宋体"/>
                <w:sz w:val="22"/>
                <w:szCs w:val="22"/>
              </w:rPr>
              <w:t>（仅为示范格式，直接填写无效，需至“南京政府采购供应商诚信档案管理系统”在线打印）</w:t>
            </w:r>
          </w:p>
        </w:tc>
      </w:tr>
      <w:tr>
        <w:tblPrEx>
          <w:tblCellMar>
            <w:top w:w="15" w:type="dxa"/>
            <w:left w:w="15" w:type="dxa"/>
            <w:bottom w:w="15" w:type="dxa"/>
            <w:right w:w="15" w:type="dxa"/>
          </w:tblCellMar>
        </w:tblPrEx>
        <w:trPr>
          <w:trHeight w:val="720" w:hRule="atLeast"/>
          <w:jc w:val="center"/>
        </w:trPr>
        <w:tc>
          <w:tcPr>
            <w:tcW w:w="1843" w:type="dxa"/>
            <w:tcBorders>
              <w:top w:val="single" w:color="000000" w:sz="18" w:space="0"/>
              <w:left w:val="single" w:color="000000" w:sz="18" w:space="0"/>
              <w:bottom w:val="single" w:color="000000" w:sz="4" w:space="0"/>
              <w:right w:val="single" w:color="000000" w:sz="4" w:space="0"/>
            </w:tcBorders>
            <w:noWrap w:val="0"/>
            <w:vAlign w:val="center"/>
          </w:tcPr>
          <w:p>
            <w:pPr>
              <w:widowControl/>
              <w:jc w:val="left"/>
              <w:textAlignment w:val="center"/>
              <w:rPr>
                <w:rFonts w:hint="eastAsia" w:ascii="宋体" w:hAnsi="宋体" w:cs="宋体"/>
                <w:b/>
                <w:sz w:val="22"/>
                <w:szCs w:val="22"/>
              </w:rPr>
            </w:pPr>
            <w:r>
              <w:rPr>
                <w:rFonts w:hint="eastAsia" w:ascii="宋体" w:hAnsi="宋体" w:cs="宋体"/>
                <w:b/>
                <w:kern w:val="0"/>
                <w:sz w:val="22"/>
                <w:szCs w:val="22"/>
              </w:rPr>
              <w:t>单位名称</w:t>
            </w:r>
          </w:p>
        </w:tc>
        <w:tc>
          <w:tcPr>
            <w:tcW w:w="2396" w:type="dxa"/>
            <w:tcBorders>
              <w:top w:val="single" w:color="000000" w:sz="18" w:space="0"/>
              <w:left w:val="single" w:color="000000" w:sz="4" w:space="0"/>
              <w:bottom w:val="single" w:color="000000" w:sz="4" w:space="0"/>
              <w:right w:val="single" w:color="000000" w:sz="4" w:space="0"/>
            </w:tcBorders>
            <w:noWrap w:val="0"/>
            <w:vAlign w:val="center"/>
          </w:tcPr>
          <w:p>
            <w:pPr>
              <w:rPr>
                <w:rFonts w:hint="eastAsia" w:ascii="宋体" w:hAnsi="宋体" w:cs="宋体"/>
                <w:sz w:val="22"/>
                <w:szCs w:val="22"/>
              </w:rPr>
            </w:pPr>
          </w:p>
        </w:tc>
        <w:tc>
          <w:tcPr>
            <w:tcW w:w="2610" w:type="dxa"/>
            <w:tcBorders>
              <w:top w:val="single" w:color="000000" w:sz="18"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sz w:val="22"/>
                <w:szCs w:val="22"/>
              </w:rPr>
            </w:pPr>
            <w:r>
              <w:rPr>
                <w:rFonts w:hint="eastAsia" w:ascii="宋体" w:hAnsi="宋体" w:cs="宋体"/>
                <w:b/>
                <w:kern w:val="0"/>
                <w:sz w:val="22"/>
                <w:szCs w:val="22"/>
              </w:rPr>
              <w:t>统一社会信用代码</w:t>
            </w:r>
          </w:p>
        </w:tc>
        <w:tc>
          <w:tcPr>
            <w:tcW w:w="2649" w:type="dxa"/>
            <w:tcBorders>
              <w:top w:val="single" w:color="000000" w:sz="18" w:space="0"/>
              <w:left w:val="single" w:color="000000" w:sz="4" w:space="0"/>
              <w:bottom w:val="single" w:color="000000" w:sz="4" w:space="0"/>
              <w:right w:val="single" w:color="000000" w:sz="18" w:space="0"/>
            </w:tcBorders>
            <w:noWrap w:val="0"/>
            <w:vAlign w:val="center"/>
          </w:tcPr>
          <w:p>
            <w:pPr>
              <w:rPr>
                <w:rFonts w:hint="eastAsia" w:ascii="宋体" w:hAnsi="宋体" w:cs="宋体"/>
                <w:sz w:val="22"/>
                <w:szCs w:val="22"/>
              </w:rPr>
            </w:pPr>
          </w:p>
        </w:tc>
      </w:tr>
      <w:tr>
        <w:tblPrEx>
          <w:tblCellMar>
            <w:top w:w="15" w:type="dxa"/>
            <w:left w:w="15" w:type="dxa"/>
            <w:bottom w:w="15" w:type="dxa"/>
            <w:right w:w="15" w:type="dxa"/>
          </w:tblCellMar>
        </w:tblPrEx>
        <w:trPr>
          <w:trHeight w:val="675" w:hRule="atLeast"/>
          <w:jc w:val="center"/>
        </w:trPr>
        <w:tc>
          <w:tcPr>
            <w:tcW w:w="1843" w:type="dxa"/>
            <w:tcBorders>
              <w:top w:val="single" w:color="000000" w:sz="4" w:space="0"/>
              <w:left w:val="single" w:color="000000" w:sz="18" w:space="0"/>
              <w:bottom w:val="single" w:color="000000" w:sz="4" w:space="0"/>
              <w:right w:val="single" w:color="000000" w:sz="4" w:space="0"/>
            </w:tcBorders>
            <w:noWrap w:val="0"/>
            <w:vAlign w:val="center"/>
          </w:tcPr>
          <w:p>
            <w:pPr>
              <w:widowControl/>
              <w:jc w:val="left"/>
              <w:textAlignment w:val="center"/>
              <w:rPr>
                <w:rFonts w:hint="eastAsia" w:ascii="宋体" w:hAnsi="宋体" w:cs="宋体"/>
                <w:b/>
                <w:sz w:val="22"/>
                <w:szCs w:val="22"/>
              </w:rPr>
            </w:pPr>
            <w:r>
              <w:rPr>
                <w:rFonts w:hint="eastAsia" w:ascii="宋体" w:hAnsi="宋体" w:cs="宋体"/>
                <w:b/>
                <w:kern w:val="0"/>
                <w:sz w:val="22"/>
                <w:szCs w:val="22"/>
              </w:rPr>
              <w:t>法定代表人</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sz w:val="22"/>
                <w:szCs w:val="22"/>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sz w:val="22"/>
                <w:szCs w:val="22"/>
              </w:rPr>
            </w:pPr>
            <w:r>
              <w:rPr>
                <w:rFonts w:hint="eastAsia" w:ascii="宋体" w:hAnsi="宋体" w:cs="宋体"/>
                <w:b/>
                <w:kern w:val="0"/>
                <w:sz w:val="22"/>
                <w:szCs w:val="22"/>
              </w:rPr>
              <w:t>联系人</w:t>
            </w:r>
          </w:p>
        </w:tc>
        <w:tc>
          <w:tcPr>
            <w:tcW w:w="2649" w:type="dxa"/>
            <w:tcBorders>
              <w:top w:val="single" w:color="000000" w:sz="4" w:space="0"/>
              <w:left w:val="single" w:color="000000" w:sz="4" w:space="0"/>
              <w:bottom w:val="single" w:color="000000" w:sz="4" w:space="0"/>
              <w:right w:val="single" w:color="000000" w:sz="18" w:space="0"/>
            </w:tcBorders>
            <w:noWrap w:val="0"/>
            <w:vAlign w:val="center"/>
          </w:tcPr>
          <w:p>
            <w:pPr>
              <w:rPr>
                <w:rFonts w:hint="eastAsia" w:ascii="宋体" w:hAnsi="宋体" w:cs="宋体"/>
                <w:sz w:val="22"/>
                <w:szCs w:val="22"/>
              </w:rPr>
            </w:pPr>
          </w:p>
        </w:tc>
      </w:tr>
      <w:tr>
        <w:tblPrEx>
          <w:tblCellMar>
            <w:top w:w="15" w:type="dxa"/>
            <w:left w:w="15" w:type="dxa"/>
            <w:bottom w:w="15" w:type="dxa"/>
            <w:right w:w="15" w:type="dxa"/>
          </w:tblCellMar>
        </w:tblPrEx>
        <w:trPr>
          <w:trHeight w:val="720" w:hRule="atLeast"/>
          <w:jc w:val="center"/>
        </w:trPr>
        <w:tc>
          <w:tcPr>
            <w:tcW w:w="1843" w:type="dxa"/>
            <w:tcBorders>
              <w:top w:val="single" w:color="000000" w:sz="4" w:space="0"/>
              <w:left w:val="single" w:color="000000" w:sz="18" w:space="0"/>
              <w:bottom w:val="single" w:color="000000" w:sz="4" w:space="0"/>
              <w:right w:val="single" w:color="000000" w:sz="4" w:space="0"/>
            </w:tcBorders>
            <w:noWrap w:val="0"/>
            <w:vAlign w:val="center"/>
          </w:tcPr>
          <w:p>
            <w:pPr>
              <w:widowControl/>
              <w:jc w:val="left"/>
              <w:textAlignment w:val="center"/>
              <w:rPr>
                <w:rFonts w:hint="eastAsia" w:ascii="宋体" w:hAnsi="宋体" w:cs="宋体"/>
                <w:b/>
                <w:sz w:val="22"/>
                <w:szCs w:val="22"/>
              </w:rPr>
            </w:pPr>
            <w:r>
              <w:rPr>
                <w:rFonts w:hint="eastAsia" w:ascii="宋体" w:hAnsi="宋体" w:cs="宋体"/>
                <w:b/>
                <w:kern w:val="0"/>
                <w:sz w:val="22"/>
                <w:szCs w:val="22"/>
              </w:rPr>
              <w:t>联系地址</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sz w:val="22"/>
                <w:szCs w:val="22"/>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sz w:val="22"/>
                <w:szCs w:val="22"/>
              </w:rPr>
            </w:pPr>
            <w:r>
              <w:rPr>
                <w:rFonts w:hint="eastAsia" w:ascii="宋体" w:hAnsi="宋体" w:cs="宋体"/>
                <w:b/>
                <w:kern w:val="0"/>
                <w:sz w:val="22"/>
                <w:szCs w:val="22"/>
              </w:rPr>
              <w:t>联系电话</w:t>
            </w:r>
          </w:p>
        </w:tc>
        <w:tc>
          <w:tcPr>
            <w:tcW w:w="2649" w:type="dxa"/>
            <w:tcBorders>
              <w:top w:val="single" w:color="000000" w:sz="4" w:space="0"/>
              <w:left w:val="single" w:color="000000" w:sz="4" w:space="0"/>
              <w:bottom w:val="single" w:color="000000" w:sz="4" w:space="0"/>
              <w:right w:val="single" w:color="000000" w:sz="18" w:space="0"/>
            </w:tcBorders>
            <w:noWrap w:val="0"/>
            <w:vAlign w:val="center"/>
          </w:tcPr>
          <w:p>
            <w:pPr>
              <w:rPr>
                <w:rFonts w:hint="eastAsia" w:ascii="宋体" w:hAnsi="宋体" w:cs="宋体"/>
                <w:sz w:val="22"/>
                <w:szCs w:val="22"/>
              </w:rPr>
            </w:pPr>
          </w:p>
        </w:tc>
      </w:tr>
      <w:tr>
        <w:tblPrEx>
          <w:tblCellMar>
            <w:top w:w="15" w:type="dxa"/>
            <w:left w:w="15" w:type="dxa"/>
            <w:bottom w:w="15" w:type="dxa"/>
            <w:right w:w="15" w:type="dxa"/>
          </w:tblCellMar>
        </w:tblPrEx>
        <w:trPr>
          <w:trHeight w:val="780" w:hRule="atLeast"/>
          <w:jc w:val="center"/>
        </w:trPr>
        <w:tc>
          <w:tcPr>
            <w:tcW w:w="1843" w:type="dxa"/>
            <w:tcBorders>
              <w:top w:val="single" w:color="000000" w:sz="4" w:space="0"/>
              <w:left w:val="single" w:color="000000" w:sz="18" w:space="0"/>
              <w:bottom w:val="single" w:color="000000" w:sz="4" w:space="0"/>
              <w:right w:val="single" w:color="000000" w:sz="4" w:space="0"/>
            </w:tcBorders>
            <w:noWrap w:val="0"/>
            <w:vAlign w:val="center"/>
          </w:tcPr>
          <w:p>
            <w:pPr>
              <w:widowControl/>
              <w:jc w:val="left"/>
              <w:textAlignment w:val="center"/>
              <w:rPr>
                <w:rFonts w:hint="eastAsia" w:ascii="宋体" w:hAnsi="宋体" w:cs="宋体"/>
                <w:b/>
                <w:sz w:val="22"/>
                <w:szCs w:val="22"/>
              </w:rPr>
            </w:pPr>
            <w:r>
              <w:rPr>
                <w:rFonts w:hint="eastAsia" w:ascii="宋体" w:hAnsi="宋体" w:cs="宋体"/>
                <w:b/>
                <w:kern w:val="0"/>
                <w:sz w:val="22"/>
                <w:szCs w:val="22"/>
              </w:rPr>
              <w:t>信用得分</w:t>
            </w:r>
          </w:p>
        </w:tc>
        <w:tc>
          <w:tcPr>
            <w:tcW w:w="23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sz w:val="22"/>
                <w:szCs w:val="22"/>
              </w:rPr>
            </w:pPr>
          </w:p>
        </w:tc>
        <w:tc>
          <w:tcPr>
            <w:tcW w:w="261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sz w:val="22"/>
                <w:szCs w:val="22"/>
              </w:rPr>
            </w:pPr>
            <w:r>
              <w:rPr>
                <w:rFonts w:hint="eastAsia" w:ascii="宋体" w:hAnsi="宋体" w:cs="宋体"/>
                <w:b/>
                <w:kern w:val="0"/>
                <w:sz w:val="22"/>
                <w:szCs w:val="22"/>
              </w:rPr>
              <w:t>星级</w:t>
            </w:r>
          </w:p>
        </w:tc>
        <w:tc>
          <w:tcPr>
            <w:tcW w:w="2649" w:type="dxa"/>
            <w:tcBorders>
              <w:top w:val="single" w:color="000000" w:sz="4" w:space="0"/>
              <w:left w:val="single" w:color="000000" w:sz="4" w:space="0"/>
              <w:bottom w:val="single" w:color="000000" w:sz="4" w:space="0"/>
              <w:right w:val="single" w:color="000000" w:sz="18" w:space="0"/>
            </w:tcBorders>
            <w:noWrap w:val="0"/>
            <w:vAlign w:val="center"/>
          </w:tcPr>
          <w:p>
            <w:pPr>
              <w:rPr>
                <w:rFonts w:hint="eastAsia" w:ascii="宋体" w:hAnsi="宋体" w:cs="宋体"/>
                <w:sz w:val="22"/>
                <w:szCs w:val="22"/>
              </w:rPr>
            </w:pPr>
          </w:p>
        </w:tc>
      </w:tr>
      <w:tr>
        <w:tblPrEx>
          <w:tblCellMar>
            <w:top w:w="15" w:type="dxa"/>
            <w:left w:w="15" w:type="dxa"/>
            <w:bottom w:w="15" w:type="dxa"/>
            <w:right w:w="15" w:type="dxa"/>
          </w:tblCellMar>
        </w:tblPrEx>
        <w:trPr>
          <w:trHeight w:val="1637" w:hRule="atLeast"/>
          <w:jc w:val="center"/>
        </w:trPr>
        <w:tc>
          <w:tcPr>
            <w:tcW w:w="1843" w:type="dxa"/>
            <w:tcBorders>
              <w:top w:val="single" w:color="000000" w:sz="4" w:space="0"/>
              <w:left w:val="single" w:color="000000" w:sz="18" w:space="0"/>
              <w:bottom w:val="single" w:color="000000" w:sz="4" w:space="0"/>
              <w:right w:val="single" w:color="000000" w:sz="4" w:space="0"/>
            </w:tcBorders>
            <w:noWrap w:val="0"/>
            <w:vAlign w:val="center"/>
          </w:tcPr>
          <w:p>
            <w:pPr>
              <w:widowControl/>
              <w:jc w:val="left"/>
              <w:textAlignment w:val="center"/>
              <w:rPr>
                <w:rFonts w:hint="eastAsia" w:ascii="宋体" w:hAnsi="宋体" w:cs="宋体"/>
                <w:b/>
                <w:sz w:val="22"/>
                <w:szCs w:val="22"/>
              </w:rPr>
            </w:pPr>
            <w:r>
              <w:rPr>
                <w:rFonts w:hint="eastAsia" w:ascii="宋体" w:hAnsi="宋体" w:cs="宋体"/>
                <w:b/>
                <w:kern w:val="0"/>
                <w:sz w:val="22"/>
                <w:szCs w:val="22"/>
              </w:rPr>
              <w:t>诚信档案记录情况</w:t>
            </w:r>
          </w:p>
        </w:tc>
        <w:tc>
          <w:tcPr>
            <w:tcW w:w="7655" w:type="dxa"/>
            <w:gridSpan w:val="3"/>
            <w:tcBorders>
              <w:top w:val="single" w:color="000000" w:sz="4" w:space="0"/>
              <w:left w:val="single" w:color="000000" w:sz="4" w:space="0"/>
              <w:bottom w:val="single" w:color="000000" w:sz="4" w:space="0"/>
              <w:right w:val="single" w:color="000000" w:sz="18" w:space="0"/>
            </w:tcBorders>
            <w:noWrap w:val="0"/>
            <w:vAlign w:val="center"/>
          </w:tcPr>
          <w:p>
            <w:pPr>
              <w:rPr>
                <w:rFonts w:hint="eastAsia" w:ascii="宋体" w:hAnsi="宋体" w:cs="宋体"/>
                <w:sz w:val="22"/>
                <w:szCs w:val="22"/>
              </w:rPr>
            </w:pPr>
          </w:p>
        </w:tc>
      </w:tr>
      <w:tr>
        <w:tblPrEx>
          <w:tblCellMar>
            <w:top w:w="15" w:type="dxa"/>
            <w:left w:w="15" w:type="dxa"/>
            <w:bottom w:w="15" w:type="dxa"/>
            <w:right w:w="15" w:type="dxa"/>
          </w:tblCellMar>
        </w:tblPrEx>
        <w:trPr>
          <w:trHeight w:val="5654" w:hRule="atLeast"/>
          <w:jc w:val="center"/>
        </w:trPr>
        <w:tc>
          <w:tcPr>
            <w:tcW w:w="1843" w:type="dxa"/>
            <w:tcBorders>
              <w:top w:val="single" w:color="000000" w:sz="4" w:space="0"/>
              <w:left w:val="single" w:color="000000" w:sz="18" w:space="0"/>
              <w:bottom w:val="single" w:color="000000" w:sz="18" w:space="0"/>
              <w:right w:val="single" w:color="000000" w:sz="4" w:space="0"/>
            </w:tcBorders>
            <w:noWrap w:val="0"/>
            <w:vAlign w:val="center"/>
          </w:tcPr>
          <w:p>
            <w:pPr>
              <w:widowControl/>
              <w:jc w:val="left"/>
              <w:textAlignment w:val="center"/>
              <w:rPr>
                <w:rFonts w:hint="eastAsia" w:ascii="宋体" w:hAnsi="宋体" w:cs="宋体"/>
                <w:b/>
                <w:sz w:val="22"/>
                <w:szCs w:val="22"/>
              </w:rPr>
            </w:pPr>
            <w:r>
              <w:rPr>
                <w:rFonts w:hint="eastAsia" w:ascii="宋体" w:hAnsi="宋体" w:cs="宋体"/>
                <w:b/>
                <w:kern w:val="0"/>
                <w:sz w:val="22"/>
                <w:szCs w:val="22"/>
              </w:rPr>
              <w:t>信用承诺</w:t>
            </w:r>
          </w:p>
        </w:tc>
        <w:tc>
          <w:tcPr>
            <w:tcW w:w="7655" w:type="dxa"/>
            <w:gridSpan w:val="3"/>
            <w:tcBorders>
              <w:top w:val="single" w:color="000000" w:sz="4" w:space="0"/>
              <w:left w:val="single" w:color="000000" w:sz="4" w:space="0"/>
              <w:bottom w:val="single" w:color="000000" w:sz="18" w:space="0"/>
              <w:right w:val="single" w:color="000000" w:sz="18" w:space="0"/>
            </w:tcBorders>
            <w:noWrap w:val="0"/>
            <w:vAlign w:val="center"/>
          </w:tcPr>
          <w:p>
            <w:pPr>
              <w:widowControl/>
              <w:jc w:val="left"/>
              <w:textAlignment w:val="center"/>
              <w:rPr>
                <w:rFonts w:hint="eastAsia" w:ascii="宋体" w:hAnsi="宋体" w:cs="宋体"/>
                <w:sz w:val="24"/>
              </w:rPr>
            </w:pPr>
            <w:r>
              <w:rPr>
                <w:rFonts w:hint="eastAsia" w:ascii="宋体" w:hAnsi="宋体" w:cs="宋体"/>
                <w:kern w:val="0"/>
                <w:sz w:val="24"/>
              </w:rPr>
              <w:t xml:space="preserve">    我公司自愿参加本次政府采购活动，严格遵守《中华人民政府采购法》及相关法律法规，坚守公开、公平、公正和诚实信用的原则，依法诚信经营，无条件遵守本次政府采购活动的各项规定。我们郑重承诺，如有弄虚作假或其他违法违规行为，愿承担一切法律责任，接受各级政府采购监管部门和有权机关的审查和处罚。</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 xml:space="preserve">               </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 xml:space="preserve">                      供应商名称（盖章）：</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 xml:space="preserve">                      法定代表人（签字）：</w:t>
            </w:r>
            <w:r>
              <w:rPr>
                <w:rFonts w:hint="eastAsia" w:ascii="宋体" w:hAnsi="宋体" w:cs="宋体"/>
                <w:kern w:val="0"/>
                <w:sz w:val="24"/>
              </w:rPr>
              <w:br w:type="textWrapping"/>
            </w:r>
            <w:r>
              <w:rPr>
                <w:rFonts w:hint="eastAsia" w:ascii="宋体" w:hAnsi="宋体" w:cs="宋体"/>
                <w:kern w:val="0"/>
                <w:sz w:val="24"/>
              </w:rPr>
              <w:br w:type="textWrapping"/>
            </w:r>
            <w:r>
              <w:rPr>
                <w:rFonts w:hint="eastAsia" w:ascii="宋体" w:hAnsi="宋体" w:cs="宋体"/>
                <w:kern w:val="0"/>
                <w:sz w:val="24"/>
              </w:rPr>
              <w:t xml:space="preserve">                      二〇    年  月    日</w:t>
            </w:r>
          </w:p>
        </w:tc>
      </w:tr>
    </w:tbl>
    <w:p>
      <w:pPr>
        <w:tabs>
          <w:tab w:val="left" w:pos="2670"/>
        </w:tabs>
        <w:rPr>
          <w:szCs w:val="21"/>
        </w:rPr>
        <w:sectPr>
          <w:headerReference r:id="rId3" w:type="default"/>
          <w:footerReference r:id="rId4" w:type="default"/>
          <w:pgSz w:w="12240" w:h="15840"/>
          <w:pgMar w:top="1418" w:right="1418" w:bottom="1418" w:left="1418" w:header="720" w:footer="720" w:gutter="0"/>
          <w:cols w:space="720" w:num="1"/>
        </w:sectPr>
      </w:pPr>
      <w:r>
        <w:rPr>
          <w:szCs w:val="21"/>
        </w:rPr>
        <w:tab/>
      </w:r>
    </w:p>
    <w:p>
      <w:pPr>
        <w:rPr>
          <w:rFonts w:hint="eastAsia" w:ascii="方正仿宋简体" w:hAnsi="宋体" w:eastAsia="方正仿宋简体" w:cs="宋体"/>
          <w:sz w:val="32"/>
          <w:szCs w:val="32"/>
        </w:rPr>
      </w:pPr>
    </w:p>
    <w:sectPr>
      <w:headerReference r:id="rId6" w:type="first"/>
      <w:headerReference r:id="rId5" w:type="default"/>
      <w:footerReference r:id="rId7" w:type="default"/>
      <w:type w:val="continuous"/>
      <w:pgSz w:w="12240" w:h="15840"/>
      <w:pgMar w:top="1418" w:right="1418" w:bottom="141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ヒラギノ角ゴ Pro W3">
    <w:altName w:val="MS Gothic"/>
    <w:panose1 w:val="00000000000000000000"/>
    <w:charset w:val="80"/>
    <w:family w:val="swiss"/>
    <w:pitch w:val="default"/>
    <w:sig w:usb0="00000000" w:usb1="00000000" w:usb2="00000012" w:usb3="00000000" w:csb0="0002000D"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Fonts w:hint="eastAsia"/>
        <w:kern w:val="0"/>
      </w:rPr>
      <w:t xml:space="preserve">第 </w:t>
    </w:r>
    <w:r>
      <w:rPr>
        <w:kern w:val="0"/>
      </w:rPr>
      <w:fldChar w:fldCharType="begin"/>
    </w:r>
    <w:r>
      <w:rPr>
        <w:kern w:val="0"/>
      </w:rPr>
      <w:instrText xml:space="preserve"> PAGE </w:instrText>
    </w:r>
    <w:r>
      <w:rPr>
        <w:kern w:val="0"/>
      </w:rPr>
      <w:fldChar w:fldCharType="separate"/>
    </w:r>
    <w:r>
      <w:rPr>
        <w:kern w:val="0"/>
      </w:rPr>
      <w:t>56</w:t>
    </w:r>
    <w:r>
      <w:rPr>
        <w:kern w:val="0"/>
      </w:rPr>
      <w:fldChar w:fldCharType="end"/>
    </w:r>
    <w:r>
      <w:rPr>
        <w:rFonts w:hint="eastAsia"/>
        <w:kern w:val="0"/>
      </w:rPr>
      <w:t xml:space="preserve"> 页 共 </w:t>
    </w:r>
    <w:r>
      <w:rPr>
        <w:kern w:val="0"/>
      </w:rPr>
      <w:fldChar w:fldCharType="begin"/>
    </w:r>
    <w:r>
      <w:rPr>
        <w:kern w:val="0"/>
      </w:rPr>
      <w:instrText xml:space="preserve"> NUMPAGES </w:instrText>
    </w:r>
    <w:r>
      <w:rPr>
        <w:kern w:val="0"/>
      </w:rPr>
      <w:fldChar w:fldCharType="separate"/>
    </w:r>
    <w:r>
      <w:rPr>
        <w:kern w:val="0"/>
      </w:rPr>
      <w:t>32</w:t>
    </w:r>
    <w:r>
      <w:rPr>
        <w:kern w:val="0"/>
      </w:rPr>
      <w:fldChar w:fldCharType="end"/>
    </w:r>
    <w:r>
      <w:rPr>
        <w:rFonts w:hint="eastAsia"/>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rPr>
    </w:pPr>
    <w:r>
      <w:rPr>
        <w:rFonts w:hint="eastAsia"/>
      </w:rPr>
      <w:t>《</w:t>
    </w:r>
    <w:r>
      <w:rPr>
        <w:rFonts w:hint="eastAsia"/>
        <w:lang w:eastAsia="zh-CN"/>
      </w:rPr>
      <w:t>竹山桥泵站等12座泵站设施管养服务外包</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rPr>
    </w:pPr>
    <w:r>
      <w:rPr>
        <w:rFonts w:hint="eastAsia"/>
      </w:rPr>
      <w:t>JD-0151 江宁区小型水库和中型水闸工程划界采购招标文件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rPr>
    </w:pPr>
    <w:r>
      <w:rPr>
        <w:rFonts w:hint="eastAsia"/>
      </w:rPr>
      <w:t>JD-0151 江宁区小型水库和中型水闸工程划界招标文件</w:t>
    </w:r>
  </w:p>
  <w:p>
    <w:pPr>
      <w:pStyle w:val="18"/>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9C638E"/>
    <w:multiLevelType w:val="multilevel"/>
    <w:tmpl w:val="E89C638E"/>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F4323B95"/>
    <w:multiLevelType w:val="singleLevel"/>
    <w:tmpl w:val="F4323B95"/>
    <w:lvl w:ilvl="0" w:tentative="0">
      <w:start w:val="4"/>
      <w:numFmt w:val="decimal"/>
      <w:suff w:val="nothing"/>
      <w:lvlText w:val="%1、"/>
      <w:lvlJc w:val="left"/>
    </w:lvl>
  </w:abstractNum>
  <w:abstractNum w:abstractNumId="2">
    <w:nsid w:val="FA069ABA"/>
    <w:multiLevelType w:val="singleLevel"/>
    <w:tmpl w:val="FA069ABA"/>
    <w:lvl w:ilvl="0" w:tentative="0">
      <w:start w:val="1"/>
      <w:numFmt w:val="decimal"/>
      <w:lvlText w:val="%1."/>
      <w:lvlJc w:val="left"/>
      <w:pPr>
        <w:tabs>
          <w:tab w:val="left" w:pos="312"/>
        </w:tabs>
      </w:pPr>
    </w:lvl>
  </w:abstractNum>
  <w:abstractNum w:abstractNumId="3">
    <w:nsid w:val="00000004"/>
    <w:multiLevelType w:val="multilevel"/>
    <w:tmpl w:val="00000004"/>
    <w:lvl w:ilvl="0" w:tentative="0">
      <w:start w:val="1"/>
      <w:numFmt w:val="chineseCountingThousand"/>
      <w:lvlText w:val="第%1章"/>
      <w:legacy w:legacy="1" w:legacySpace="454" w:legacyIndent="0"/>
      <w:lvlJc w:val="center"/>
    </w:lvl>
    <w:lvl w:ilvl="1" w:tentative="0">
      <w:start w:val="1"/>
      <w:numFmt w:val="chineseCountingThousand"/>
      <w:pStyle w:val="101"/>
      <w:lvlText w:val="第%2节"/>
      <w:legacy w:legacy="1" w:legacySpace="340" w:legacyIndent="0"/>
      <w:lvlJc w:val="center"/>
    </w:lvl>
    <w:lvl w:ilvl="2" w:tentative="0">
      <w:start w:val="1"/>
      <w:numFmt w:val="chineseCountingThousand"/>
      <w:lvlText w:val="%3"/>
      <w:legacy w:legacy="1" w:legacySpace="227" w:legacyIndent="0"/>
      <w:lvlJc w:val="left"/>
    </w:lvl>
    <w:lvl w:ilvl="3" w:tentative="0">
      <w:start w:val="1"/>
      <w:numFmt w:val="chineseCountingThousand"/>
      <w:lvlText w:val="(%4)"/>
      <w:legacy w:legacy="1" w:legacySpace="113" w:legacyIndent="0"/>
      <w:lvlJc w:val="left"/>
    </w:lvl>
    <w:lvl w:ilvl="4" w:tentative="0">
      <w:start w:val="1"/>
      <w:numFmt w:val="decimal"/>
      <w:lvlText w:val="%5."/>
      <w:legacy w:legacy="1" w:legacySpace="113" w:legacyIndent="0"/>
      <w:lvlJc w:val="left"/>
      <w:pPr>
        <w:ind w:left="0" w:firstLine="0"/>
      </w:pPr>
    </w:lvl>
    <w:lvl w:ilvl="5" w:tentative="0">
      <w:start w:val="1"/>
      <w:numFmt w:val="decimal"/>
      <w:lvlText w:val="(%6)"/>
      <w:legacy w:legacy="1" w:legacySpace="113" w:legacyIndent="0"/>
      <w:lvlJc w:val="left"/>
    </w:lvl>
    <w:lvl w:ilvl="6" w:tentative="0">
      <w:start w:val="1"/>
      <w:numFmt w:val="lowerRoman"/>
      <w:lvlText w:val="%7"/>
      <w:legacy w:legacy="1" w:legacySpace="113" w:legacyIndent="0"/>
      <w:lvlJc w:val="left"/>
      <w:pPr>
        <w:ind w:left="0" w:firstLine="0"/>
      </w:pPr>
    </w:lvl>
    <w:lvl w:ilvl="7" w:tentative="0">
      <w:start w:val="1"/>
      <w:numFmt w:val="lowerRoman"/>
      <w:lvlText w:val="(%8)"/>
      <w:legacy w:legacy="1" w:legacySpace="113" w:legacyIndent="0"/>
      <w:lvlJc w:val="left"/>
      <w:pPr>
        <w:ind w:left="0" w:firstLine="0"/>
      </w:pPr>
    </w:lvl>
    <w:lvl w:ilvl="8" w:tentative="0">
      <w:start w:val="1"/>
      <w:numFmt w:val="lowerLetter"/>
      <w:lvlText w:val="%9)"/>
      <w:legacy w:legacy="1" w:legacySpace="113" w:legacyIndent="0"/>
      <w:lvlJc w:val="left"/>
      <w:pPr>
        <w:ind w:left="0" w:firstLine="0"/>
      </w:pPr>
    </w:lvl>
  </w:abstractNum>
  <w:abstractNum w:abstractNumId="4">
    <w:nsid w:val="1BF426F2"/>
    <w:multiLevelType w:val="multilevel"/>
    <w:tmpl w:val="1BF426F2"/>
    <w:lvl w:ilvl="0" w:tentative="0">
      <w:start w:val="5"/>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81100B5"/>
    <w:multiLevelType w:val="multilevel"/>
    <w:tmpl w:val="481100B5"/>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5127C62"/>
    <w:multiLevelType w:val="singleLevel"/>
    <w:tmpl w:val="55127C62"/>
    <w:lvl w:ilvl="0" w:tentative="0">
      <w:start w:val="1"/>
      <w:numFmt w:val="decimal"/>
      <w:pStyle w:val="79"/>
      <w:suff w:val="nothing"/>
      <w:lvlText w:val="（%1）"/>
      <w:lvlJc w:val="left"/>
    </w:lvl>
  </w:abstractNum>
  <w:abstractNum w:abstractNumId="7">
    <w:nsid w:val="55127D14"/>
    <w:multiLevelType w:val="singleLevel"/>
    <w:tmpl w:val="55127D14"/>
    <w:lvl w:ilvl="0" w:tentative="0">
      <w:start w:val="3"/>
      <w:numFmt w:val="decimal"/>
      <w:pStyle w:val="76"/>
      <w:suff w:val="nothing"/>
      <w:lvlText w:val="（%1）"/>
      <w:lvlJc w:val="left"/>
      <w:rPr>
        <w:color w:val="0000FF"/>
      </w:rPr>
    </w:lvl>
  </w:abstractNum>
  <w:abstractNum w:abstractNumId="8">
    <w:nsid w:val="581D2BC5"/>
    <w:multiLevelType w:val="multilevel"/>
    <w:tmpl w:val="581D2BC5"/>
    <w:lvl w:ilvl="0" w:tentative="0">
      <w:start w:val="1"/>
      <w:numFmt w:val="decimal"/>
      <w:pStyle w:val="99"/>
      <w:lvlText w:val="%1"/>
      <w:lvlJc w:val="left"/>
      <w:pPr>
        <w:tabs>
          <w:tab w:val="left" w:pos="567"/>
        </w:tabs>
        <w:ind w:left="567" w:hanging="567"/>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567"/>
        </w:tabs>
        <w:ind w:left="567" w:hanging="567"/>
      </w:pPr>
      <w:rPr>
        <w:rFonts w:hint="eastAsia"/>
      </w:rPr>
    </w:lvl>
    <w:lvl w:ilvl="3" w:tentative="0">
      <w:start w:val="1"/>
      <w:numFmt w:val="decimal"/>
      <w:lvlText w:val="%1.%2.%3.%4"/>
      <w:lvlJc w:val="left"/>
      <w:pPr>
        <w:tabs>
          <w:tab w:val="left" w:pos="567"/>
        </w:tabs>
        <w:ind w:left="567" w:hanging="567"/>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abstractNum w:abstractNumId="9">
    <w:nsid w:val="5D8F7472"/>
    <w:multiLevelType w:val="multilevel"/>
    <w:tmpl w:val="5D8F7472"/>
    <w:lvl w:ilvl="0" w:tentative="0">
      <w:start w:val="1"/>
      <w:numFmt w:val="japaneseCounting"/>
      <w:lvlText w:val="第%1章"/>
      <w:lvlJc w:val="left"/>
      <w:pPr>
        <w:ind w:left="1440" w:hanging="1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90F8BD"/>
    <w:multiLevelType w:val="singleLevel"/>
    <w:tmpl w:val="7190F8BD"/>
    <w:lvl w:ilvl="0" w:tentative="0">
      <w:start w:val="1"/>
      <w:numFmt w:val="decimal"/>
      <w:suff w:val="nothing"/>
      <w:lvlText w:val="%1、"/>
      <w:lvlJc w:val="left"/>
    </w:lvl>
  </w:abstractNum>
  <w:num w:numId="1">
    <w:abstractNumId w:val="7"/>
  </w:num>
  <w:num w:numId="2">
    <w:abstractNumId w:val="6"/>
  </w:num>
  <w:num w:numId="3">
    <w:abstractNumId w:val="5"/>
  </w:num>
  <w:num w:numId="4">
    <w:abstractNumId w:val="8"/>
  </w:num>
  <w:num w:numId="5">
    <w:abstractNumId w:val="3"/>
  </w:num>
  <w:num w:numId="6">
    <w:abstractNumId w:val="9"/>
  </w:num>
  <w:num w:numId="7">
    <w:abstractNumId w:val="4"/>
  </w:num>
  <w:num w:numId="8">
    <w:abstractNumId w:val="0"/>
  </w:num>
  <w:num w:numId="9">
    <w:abstractNumId w:val="1"/>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C2B"/>
    <w:rsid w:val="00001641"/>
    <w:rsid w:val="000018E6"/>
    <w:rsid w:val="000020C1"/>
    <w:rsid w:val="00004E81"/>
    <w:rsid w:val="000058C3"/>
    <w:rsid w:val="000060D8"/>
    <w:rsid w:val="00007149"/>
    <w:rsid w:val="00007269"/>
    <w:rsid w:val="00007C0F"/>
    <w:rsid w:val="00010030"/>
    <w:rsid w:val="000151A4"/>
    <w:rsid w:val="00015413"/>
    <w:rsid w:val="0002276B"/>
    <w:rsid w:val="00022C95"/>
    <w:rsid w:val="000318F1"/>
    <w:rsid w:val="0003435C"/>
    <w:rsid w:val="00034B09"/>
    <w:rsid w:val="000379CB"/>
    <w:rsid w:val="000418D8"/>
    <w:rsid w:val="000421EC"/>
    <w:rsid w:val="00042EC9"/>
    <w:rsid w:val="00043019"/>
    <w:rsid w:val="00043BC7"/>
    <w:rsid w:val="00043D64"/>
    <w:rsid w:val="00045672"/>
    <w:rsid w:val="0005095E"/>
    <w:rsid w:val="00052167"/>
    <w:rsid w:val="00052AFB"/>
    <w:rsid w:val="00052FF9"/>
    <w:rsid w:val="0005381D"/>
    <w:rsid w:val="000547E1"/>
    <w:rsid w:val="00055FE8"/>
    <w:rsid w:val="00060315"/>
    <w:rsid w:val="00066BC9"/>
    <w:rsid w:val="00071836"/>
    <w:rsid w:val="00071EEF"/>
    <w:rsid w:val="0007536B"/>
    <w:rsid w:val="0008109F"/>
    <w:rsid w:val="00084028"/>
    <w:rsid w:val="00084D11"/>
    <w:rsid w:val="00085336"/>
    <w:rsid w:val="000858E1"/>
    <w:rsid w:val="00090473"/>
    <w:rsid w:val="00096EFF"/>
    <w:rsid w:val="000A1B6D"/>
    <w:rsid w:val="000A466A"/>
    <w:rsid w:val="000A4FE1"/>
    <w:rsid w:val="000A68BB"/>
    <w:rsid w:val="000A6B21"/>
    <w:rsid w:val="000B0596"/>
    <w:rsid w:val="000B20E3"/>
    <w:rsid w:val="000B2340"/>
    <w:rsid w:val="000B45A1"/>
    <w:rsid w:val="000C19B0"/>
    <w:rsid w:val="000C3B67"/>
    <w:rsid w:val="000C464F"/>
    <w:rsid w:val="000C7503"/>
    <w:rsid w:val="000D0895"/>
    <w:rsid w:val="000D497A"/>
    <w:rsid w:val="000D6AB4"/>
    <w:rsid w:val="000E181A"/>
    <w:rsid w:val="000E2905"/>
    <w:rsid w:val="000E3704"/>
    <w:rsid w:val="000E4369"/>
    <w:rsid w:val="000E78FF"/>
    <w:rsid w:val="000F1C79"/>
    <w:rsid w:val="000F4DDC"/>
    <w:rsid w:val="000F743F"/>
    <w:rsid w:val="000F7867"/>
    <w:rsid w:val="00102763"/>
    <w:rsid w:val="00102CDA"/>
    <w:rsid w:val="00103FB1"/>
    <w:rsid w:val="00105B11"/>
    <w:rsid w:val="00106A1E"/>
    <w:rsid w:val="0010750F"/>
    <w:rsid w:val="001075C9"/>
    <w:rsid w:val="0011296E"/>
    <w:rsid w:val="00113753"/>
    <w:rsid w:val="00114CCC"/>
    <w:rsid w:val="00122264"/>
    <w:rsid w:val="00123B28"/>
    <w:rsid w:val="00126229"/>
    <w:rsid w:val="00131533"/>
    <w:rsid w:val="00133964"/>
    <w:rsid w:val="00134FA5"/>
    <w:rsid w:val="001429E9"/>
    <w:rsid w:val="001468D6"/>
    <w:rsid w:val="00146B54"/>
    <w:rsid w:val="00147B70"/>
    <w:rsid w:val="001513C6"/>
    <w:rsid w:val="001617F9"/>
    <w:rsid w:val="001618C1"/>
    <w:rsid w:val="00166217"/>
    <w:rsid w:val="001671B5"/>
    <w:rsid w:val="00173B8F"/>
    <w:rsid w:val="00175279"/>
    <w:rsid w:val="001758E5"/>
    <w:rsid w:val="00181351"/>
    <w:rsid w:val="001869F1"/>
    <w:rsid w:val="00187A17"/>
    <w:rsid w:val="001931EF"/>
    <w:rsid w:val="001A0C11"/>
    <w:rsid w:val="001A2B4D"/>
    <w:rsid w:val="001A2C20"/>
    <w:rsid w:val="001A3298"/>
    <w:rsid w:val="001A52E3"/>
    <w:rsid w:val="001B08A1"/>
    <w:rsid w:val="001B1448"/>
    <w:rsid w:val="001B61C5"/>
    <w:rsid w:val="001B7053"/>
    <w:rsid w:val="001C547A"/>
    <w:rsid w:val="001D6D77"/>
    <w:rsid w:val="001E13C4"/>
    <w:rsid w:val="001F6810"/>
    <w:rsid w:val="001F6D32"/>
    <w:rsid w:val="002045B7"/>
    <w:rsid w:val="00204F96"/>
    <w:rsid w:val="0020611E"/>
    <w:rsid w:val="002066EE"/>
    <w:rsid w:val="0021306C"/>
    <w:rsid w:val="0021334D"/>
    <w:rsid w:val="00214089"/>
    <w:rsid w:val="00216ED7"/>
    <w:rsid w:val="00223C00"/>
    <w:rsid w:val="00223DF9"/>
    <w:rsid w:val="002242C4"/>
    <w:rsid w:val="00225711"/>
    <w:rsid w:val="00230655"/>
    <w:rsid w:val="00232AE3"/>
    <w:rsid w:val="00233818"/>
    <w:rsid w:val="00234589"/>
    <w:rsid w:val="00236BFF"/>
    <w:rsid w:val="002375BC"/>
    <w:rsid w:val="00240D6F"/>
    <w:rsid w:val="00241188"/>
    <w:rsid w:val="00241942"/>
    <w:rsid w:val="00242396"/>
    <w:rsid w:val="00243280"/>
    <w:rsid w:val="002432D4"/>
    <w:rsid w:val="002460E4"/>
    <w:rsid w:val="00251D68"/>
    <w:rsid w:val="002525A7"/>
    <w:rsid w:val="002551AC"/>
    <w:rsid w:val="00255A15"/>
    <w:rsid w:val="00256EB3"/>
    <w:rsid w:val="00257006"/>
    <w:rsid w:val="002573B4"/>
    <w:rsid w:val="00260EDA"/>
    <w:rsid w:val="0026180C"/>
    <w:rsid w:val="00266307"/>
    <w:rsid w:val="002704B3"/>
    <w:rsid w:val="00271234"/>
    <w:rsid w:val="00271419"/>
    <w:rsid w:val="00272307"/>
    <w:rsid w:val="00273027"/>
    <w:rsid w:val="00274620"/>
    <w:rsid w:val="00276094"/>
    <w:rsid w:val="002762BC"/>
    <w:rsid w:val="00284218"/>
    <w:rsid w:val="00287BF6"/>
    <w:rsid w:val="00290273"/>
    <w:rsid w:val="00290D19"/>
    <w:rsid w:val="00290EAE"/>
    <w:rsid w:val="00297FB6"/>
    <w:rsid w:val="002A04B8"/>
    <w:rsid w:val="002A2723"/>
    <w:rsid w:val="002A317F"/>
    <w:rsid w:val="002A5040"/>
    <w:rsid w:val="002A51BE"/>
    <w:rsid w:val="002B2B9A"/>
    <w:rsid w:val="002B527F"/>
    <w:rsid w:val="002B55A8"/>
    <w:rsid w:val="002B65FE"/>
    <w:rsid w:val="002B6A08"/>
    <w:rsid w:val="002B7928"/>
    <w:rsid w:val="002C09B3"/>
    <w:rsid w:val="002C2F22"/>
    <w:rsid w:val="002C49F0"/>
    <w:rsid w:val="002C7767"/>
    <w:rsid w:val="002D1016"/>
    <w:rsid w:val="002D3097"/>
    <w:rsid w:val="002E0E81"/>
    <w:rsid w:val="002E158F"/>
    <w:rsid w:val="002E1B44"/>
    <w:rsid w:val="002E2979"/>
    <w:rsid w:val="002E2CE4"/>
    <w:rsid w:val="002E3640"/>
    <w:rsid w:val="002E76AF"/>
    <w:rsid w:val="002F1EEC"/>
    <w:rsid w:val="002F3267"/>
    <w:rsid w:val="002F3A5D"/>
    <w:rsid w:val="002F3B5B"/>
    <w:rsid w:val="002F636A"/>
    <w:rsid w:val="002F6719"/>
    <w:rsid w:val="0030097B"/>
    <w:rsid w:val="00302E81"/>
    <w:rsid w:val="00303721"/>
    <w:rsid w:val="00305BC0"/>
    <w:rsid w:val="00306843"/>
    <w:rsid w:val="0030736E"/>
    <w:rsid w:val="003105BB"/>
    <w:rsid w:val="00312077"/>
    <w:rsid w:val="00312D86"/>
    <w:rsid w:val="003232C5"/>
    <w:rsid w:val="003241E8"/>
    <w:rsid w:val="00327A55"/>
    <w:rsid w:val="0033002F"/>
    <w:rsid w:val="00330E51"/>
    <w:rsid w:val="00334AA7"/>
    <w:rsid w:val="0034400D"/>
    <w:rsid w:val="00344C92"/>
    <w:rsid w:val="003452B8"/>
    <w:rsid w:val="00350702"/>
    <w:rsid w:val="00350F3F"/>
    <w:rsid w:val="00351247"/>
    <w:rsid w:val="00351328"/>
    <w:rsid w:val="00352699"/>
    <w:rsid w:val="00352E4D"/>
    <w:rsid w:val="00354A8B"/>
    <w:rsid w:val="003556CE"/>
    <w:rsid w:val="00355C25"/>
    <w:rsid w:val="00361293"/>
    <w:rsid w:val="00365B8B"/>
    <w:rsid w:val="00367830"/>
    <w:rsid w:val="00370D2F"/>
    <w:rsid w:val="00371EC1"/>
    <w:rsid w:val="00373003"/>
    <w:rsid w:val="003735B3"/>
    <w:rsid w:val="00376369"/>
    <w:rsid w:val="003821BF"/>
    <w:rsid w:val="003848A0"/>
    <w:rsid w:val="0039444D"/>
    <w:rsid w:val="003A38BA"/>
    <w:rsid w:val="003A602B"/>
    <w:rsid w:val="003B02AB"/>
    <w:rsid w:val="003B19A8"/>
    <w:rsid w:val="003B460B"/>
    <w:rsid w:val="003B6702"/>
    <w:rsid w:val="003B6929"/>
    <w:rsid w:val="003B6E29"/>
    <w:rsid w:val="003C2380"/>
    <w:rsid w:val="003C26AF"/>
    <w:rsid w:val="003D22EA"/>
    <w:rsid w:val="003D2441"/>
    <w:rsid w:val="003D526B"/>
    <w:rsid w:val="003E3B88"/>
    <w:rsid w:val="003E69CA"/>
    <w:rsid w:val="003E70AD"/>
    <w:rsid w:val="003F3F3A"/>
    <w:rsid w:val="003F50E6"/>
    <w:rsid w:val="003F626D"/>
    <w:rsid w:val="00400E2D"/>
    <w:rsid w:val="00401956"/>
    <w:rsid w:val="00405D83"/>
    <w:rsid w:val="004102EF"/>
    <w:rsid w:val="00412183"/>
    <w:rsid w:val="004163DA"/>
    <w:rsid w:val="00416490"/>
    <w:rsid w:val="004175C2"/>
    <w:rsid w:val="00420AB0"/>
    <w:rsid w:val="00423BAC"/>
    <w:rsid w:val="00426C4C"/>
    <w:rsid w:val="00430B6B"/>
    <w:rsid w:val="00431A71"/>
    <w:rsid w:val="00434E2A"/>
    <w:rsid w:val="00441BD4"/>
    <w:rsid w:val="004436E5"/>
    <w:rsid w:val="004452B3"/>
    <w:rsid w:val="00452921"/>
    <w:rsid w:val="00455A3C"/>
    <w:rsid w:val="00462126"/>
    <w:rsid w:val="00463DF0"/>
    <w:rsid w:val="00464425"/>
    <w:rsid w:val="00464662"/>
    <w:rsid w:val="0047156D"/>
    <w:rsid w:val="0047199A"/>
    <w:rsid w:val="00472134"/>
    <w:rsid w:val="004739E0"/>
    <w:rsid w:val="00474BBC"/>
    <w:rsid w:val="0047509A"/>
    <w:rsid w:val="00475500"/>
    <w:rsid w:val="00475A8F"/>
    <w:rsid w:val="00476A60"/>
    <w:rsid w:val="00480BC7"/>
    <w:rsid w:val="00482E2F"/>
    <w:rsid w:val="0048315F"/>
    <w:rsid w:val="00485EBF"/>
    <w:rsid w:val="00486A4F"/>
    <w:rsid w:val="00487937"/>
    <w:rsid w:val="004A7910"/>
    <w:rsid w:val="004B2C8C"/>
    <w:rsid w:val="004B3991"/>
    <w:rsid w:val="004B3AAA"/>
    <w:rsid w:val="004B46EB"/>
    <w:rsid w:val="004C25CA"/>
    <w:rsid w:val="004C489B"/>
    <w:rsid w:val="004C58CC"/>
    <w:rsid w:val="004C5A12"/>
    <w:rsid w:val="004C7AA2"/>
    <w:rsid w:val="004D05D1"/>
    <w:rsid w:val="004D1380"/>
    <w:rsid w:val="004D22AB"/>
    <w:rsid w:val="004D2B51"/>
    <w:rsid w:val="004D4387"/>
    <w:rsid w:val="004D46CC"/>
    <w:rsid w:val="004D4954"/>
    <w:rsid w:val="004D79A3"/>
    <w:rsid w:val="004E1CA5"/>
    <w:rsid w:val="004E447E"/>
    <w:rsid w:val="004E5CCE"/>
    <w:rsid w:val="004F149A"/>
    <w:rsid w:val="004F30AE"/>
    <w:rsid w:val="004F3C66"/>
    <w:rsid w:val="004F5A7F"/>
    <w:rsid w:val="004F5BE4"/>
    <w:rsid w:val="004F5F0E"/>
    <w:rsid w:val="004F6343"/>
    <w:rsid w:val="004F634A"/>
    <w:rsid w:val="004F6F74"/>
    <w:rsid w:val="00503EAD"/>
    <w:rsid w:val="00510F92"/>
    <w:rsid w:val="005214D1"/>
    <w:rsid w:val="00526405"/>
    <w:rsid w:val="00531A93"/>
    <w:rsid w:val="005373B9"/>
    <w:rsid w:val="00540FC4"/>
    <w:rsid w:val="00541BC4"/>
    <w:rsid w:val="005442BF"/>
    <w:rsid w:val="00544BF5"/>
    <w:rsid w:val="005451F5"/>
    <w:rsid w:val="00546442"/>
    <w:rsid w:val="00547EE2"/>
    <w:rsid w:val="00551B2F"/>
    <w:rsid w:val="00552DF6"/>
    <w:rsid w:val="00553219"/>
    <w:rsid w:val="005543DF"/>
    <w:rsid w:val="00554497"/>
    <w:rsid w:val="00557100"/>
    <w:rsid w:val="005575B8"/>
    <w:rsid w:val="005638AB"/>
    <w:rsid w:val="00567B00"/>
    <w:rsid w:val="005712E0"/>
    <w:rsid w:val="00572256"/>
    <w:rsid w:val="00573185"/>
    <w:rsid w:val="00575C10"/>
    <w:rsid w:val="00576A75"/>
    <w:rsid w:val="005805FA"/>
    <w:rsid w:val="005806CC"/>
    <w:rsid w:val="00582B2E"/>
    <w:rsid w:val="0059218E"/>
    <w:rsid w:val="00594FB4"/>
    <w:rsid w:val="00595216"/>
    <w:rsid w:val="005A0182"/>
    <w:rsid w:val="005A23A2"/>
    <w:rsid w:val="005A4F00"/>
    <w:rsid w:val="005A5C76"/>
    <w:rsid w:val="005A6348"/>
    <w:rsid w:val="005A794A"/>
    <w:rsid w:val="005A7E6B"/>
    <w:rsid w:val="005B02AA"/>
    <w:rsid w:val="005B0921"/>
    <w:rsid w:val="005B2BBB"/>
    <w:rsid w:val="005B3473"/>
    <w:rsid w:val="005B4553"/>
    <w:rsid w:val="005B4725"/>
    <w:rsid w:val="005B7103"/>
    <w:rsid w:val="005C0B42"/>
    <w:rsid w:val="005C404D"/>
    <w:rsid w:val="005C565A"/>
    <w:rsid w:val="005C5A19"/>
    <w:rsid w:val="005C6C2A"/>
    <w:rsid w:val="005E17F1"/>
    <w:rsid w:val="005F29AA"/>
    <w:rsid w:val="005F4B20"/>
    <w:rsid w:val="005F5273"/>
    <w:rsid w:val="005F7207"/>
    <w:rsid w:val="0060045B"/>
    <w:rsid w:val="0060114A"/>
    <w:rsid w:val="006015BF"/>
    <w:rsid w:val="006042DF"/>
    <w:rsid w:val="0060453E"/>
    <w:rsid w:val="0060518E"/>
    <w:rsid w:val="00605366"/>
    <w:rsid w:val="00605F52"/>
    <w:rsid w:val="00613E52"/>
    <w:rsid w:val="00615641"/>
    <w:rsid w:val="00615C3E"/>
    <w:rsid w:val="00616B89"/>
    <w:rsid w:val="00620617"/>
    <w:rsid w:val="00621537"/>
    <w:rsid w:val="006238F7"/>
    <w:rsid w:val="00623B4D"/>
    <w:rsid w:val="006265C3"/>
    <w:rsid w:val="006314C0"/>
    <w:rsid w:val="00631CB3"/>
    <w:rsid w:val="006322C6"/>
    <w:rsid w:val="00632862"/>
    <w:rsid w:val="00632F8B"/>
    <w:rsid w:val="0063490A"/>
    <w:rsid w:val="0063503F"/>
    <w:rsid w:val="00636032"/>
    <w:rsid w:val="006375D7"/>
    <w:rsid w:val="006378DE"/>
    <w:rsid w:val="00637F6E"/>
    <w:rsid w:val="00643FE5"/>
    <w:rsid w:val="00644B40"/>
    <w:rsid w:val="006463F9"/>
    <w:rsid w:val="006466FF"/>
    <w:rsid w:val="00646722"/>
    <w:rsid w:val="00650E8F"/>
    <w:rsid w:val="00652682"/>
    <w:rsid w:val="006526C4"/>
    <w:rsid w:val="006557F4"/>
    <w:rsid w:val="006668D0"/>
    <w:rsid w:val="0067363C"/>
    <w:rsid w:val="00682822"/>
    <w:rsid w:val="006843A0"/>
    <w:rsid w:val="00684ECE"/>
    <w:rsid w:val="00687AD4"/>
    <w:rsid w:val="0069312A"/>
    <w:rsid w:val="0069510C"/>
    <w:rsid w:val="0069626D"/>
    <w:rsid w:val="00696330"/>
    <w:rsid w:val="006A4E2A"/>
    <w:rsid w:val="006B0D34"/>
    <w:rsid w:val="006B1201"/>
    <w:rsid w:val="006B1C8E"/>
    <w:rsid w:val="006B213D"/>
    <w:rsid w:val="006B2760"/>
    <w:rsid w:val="006B4303"/>
    <w:rsid w:val="006B4D6E"/>
    <w:rsid w:val="006C13C3"/>
    <w:rsid w:val="006D208E"/>
    <w:rsid w:val="006D2552"/>
    <w:rsid w:val="006D27E1"/>
    <w:rsid w:val="006D376F"/>
    <w:rsid w:val="006D6ADF"/>
    <w:rsid w:val="006E04F1"/>
    <w:rsid w:val="006E1507"/>
    <w:rsid w:val="006E152A"/>
    <w:rsid w:val="006E2344"/>
    <w:rsid w:val="006E3FC6"/>
    <w:rsid w:val="006E44D6"/>
    <w:rsid w:val="006E53F4"/>
    <w:rsid w:val="006E5D44"/>
    <w:rsid w:val="006F09B4"/>
    <w:rsid w:val="006F0DF3"/>
    <w:rsid w:val="006F124F"/>
    <w:rsid w:val="006F420F"/>
    <w:rsid w:val="006F733F"/>
    <w:rsid w:val="0070495A"/>
    <w:rsid w:val="00706ED8"/>
    <w:rsid w:val="00706F06"/>
    <w:rsid w:val="00712E3D"/>
    <w:rsid w:val="00713A13"/>
    <w:rsid w:val="007154B6"/>
    <w:rsid w:val="00716274"/>
    <w:rsid w:val="007178AC"/>
    <w:rsid w:val="00725CC0"/>
    <w:rsid w:val="00727BCF"/>
    <w:rsid w:val="0073051F"/>
    <w:rsid w:val="00732913"/>
    <w:rsid w:val="00735791"/>
    <w:rsid w:val="00736B1B"/>
    <w:rsid w:val="0074100A"/>
    <w:rsid w:val="007439B4"/>
    <w:rsid w:val="007450B0"/>
    <w:rsid w:val="00747CA9"/>
    <w:rsid w:val="00751EE7"/>
    <w:rsid w:val="007527E7"/>
    <w:rsid w:val="00753621"/>
    <w:rsid w:val="00756045"/>
    <w:rsid w:val="00760CBA"/>
    <w:rsid w:val="0076243D"/>
    <w:rsid w:val="00762DA5"/>
    <w:rsid w:val="00766241"/>
    <w:rsid w:val="0076667E"/>
    <w:rsid w:val="00770FBE"/>
    <w:rsid w:val="00771720"/>
    <w:rsid w:val="0077179D"/>
    <w:rsid w:val="00772DA3"/>
    <w:rsid w:val="00773159"/>
    <w:rsid w:val="00773A4E"/>
    <w:rsid w:val="00775C57"/>
    <w:rsid w:val="00776AD5"/>
    <w:rsid w:val="00780E46"/>
    <w:rsid w:val="00782D24"/>
    <w:rsid w:val="0078405D"/>
    <w:rsid w:val="007905EB"/>
    <w:rsid w:val="00790733"/>
    <w:rsid w:val="007908CE"/>
    <w:rsid w:val="00791EB5"/>
    <w:rsid w:val="00793146"/>
    <w:rsid w:val="00795DFE"/>
    <w:rsid w:val="007A0D8F"/>
    <w:rsid w:val="007A41B9"/>
    <w:rsid w:val="007A4DBA"/>
    <w:rsid w:val="007B0940"/>
    <w:rsid w:val="007B3643"/>
    <w:rsid w:val="007B7C83"/>
    <w:rsid w:val="007C20DE"/>
    <w:rsid w:val="007C2AC2"/>
    <w:rsid w:val="007C321D"/>
    <w:rsid w:val="007C49BD"/>
    <w:rsid w:val="007C5E66"/>
    <w:rsid w:val="007D1A05"/>
    <w:rsid w:val="007D218E"/>
    <w:rsid w:val="007D3248"/>
    <w:rsid w:val="007D5C15"/>
    <w:rsid w:val="007D6AF9"/>
    <w:rsid w:val="007D7C92"/>
    <w:rsid w:val="007E15DE"/>
    <w:rsid w:val="007E1DC6"/>
    <w:rsid w:val="007E4564"/>
    <w:rsid w:val="007F1A65"/>
    <w:rsid w:val="007F3699"/>
    <w:rsid w:val="007F37D9"/>
    <w:rsid w:val="007F6BAE"/>
    <w:rsid w:val="008003BA"/>
    <w:rsid w:val="00805A1D"/>
    <w:rsid w:val="00806675"/>
    <w:rsid w:val="00810053"/>
    <w:rsid w:val="008127B3"/>
    <w:rsid w:val="0081321C"/>
    <w:rsid w:val="008248F6"/>
    <w:rsid w:val="00825594"/>
    <w:rsid w:val="00826544"/>
    <w:rsid w:val="00826C64"/>
    <w:rsid w:val="008279C1"/>
    <w:rsid w:val="00830B95"/>
    <w:rsid w:val="00830D38"/>
    <w:rsid w:val="00831D92"/>
    <w:rsid w:val="008320C9"/>
    <w:rsid w:val="008323FF"/>
    <w:rsid w:val="0083386A"/>
    <w:rsid w:val="00834BE2"/>
    <w:rsid w:val="008364E4"/>
    <w:rsid w:val="00845F16"/>
    <w:rsid w:val="00845FD4"/>
    <w:rsid w:val="00846FB8"/>
    <w:rsid w:val="0084781B"/>
    <w:rsid w:val="008502C6"/>
    <w:rsid w:val="00850388"/>
    <w:rsid w:val="00850524"/>
    <w:rsid w:val="00851EFA"/>
    <w:rsid w:val="008542BF"/>
    <w:rsid w:val="008549A5"/>
    <w:rsid w:val="00864DE2"/>
    <w:rsid w:val="008651AB"/>
    <w:rsid w:val="00870A01"/>
    <w:rsid w:val="00871599"/>
    <w:rsid w:val="0087301C"/>
    <w:rsid w:val="00873058"/>
    <w:rsid w:val="00877095"/>
    <w:rsid w:val="0087790E"/>
    <w:rsid w:val="00882598"/>
    <w:rsid w:val="008852F9"/>
    <w:rsid w:val="00885E4C"/>
    <w:rsid w:val="00886991"/>
    <w:rsid w:val="00890705"/>
    <w:rsid w:val="00892B7E"/>
    <w:rsid w:val="00895A2D"/>
    <w:rsid w:val="008A1745"/>
    <w:rsid w:val="008B1FDD"/>
    <w:rsid w:val="008B26F8"/>
    <w:rsid w:val="008B3E9C"/>
    <w:rsid w:val="008B5916"/>
    <w:rsid w:val="008C2369"/>
    <w:rsid w:val="008C34E6"/>
    <w:rsid w:val="008C4CD3"/>
    <w:rsid w:val="008C71F8"/>
    <w:rsid w:val="008C72E7"/>
    <w:rsid w:val="008D09DE"/>
    <w:rsid w:val="008D1253"/>
    <w:rsid w:val="008D2B31"/>
    <w:rsid w:val="008D4638"/>
    <w:rsid w:val="008D52A1"/>
    <w:rsid w:val="008D5BBE"/>
    <w:rsid w:val="008D6B99"/>
    <w:rsid w:val="008E01FD"/>
    <w:rsid w:val="008E0B21"/>
    <w:rsid w:val="008E2680"/>
    <w:rsid w:val="008E364E"/>
    <w:rsid w:val="008E4EEC"/>
    <w:rsid w:val="008E6A5B"/>
    <w:rsid w:val="008E7464"/>
    <w:rsid w:val="008E77B9"/>
    <w:rsid w:val="008E7955"/>
    <w:rsid w:val="008E7E0F"/>
    <w:rsid w:val="008F0D0E"/>
    <w:rsid w:val="008F259E"/>
    <w:rsid w:val="008F2BCE"/>
    <w:rsid w:val="008F3D60"/>
    <w:rsid w:val="008F4E30"/>
    <w:rsid w:val="008F6EE0"/>
    <w:rsid w:val="008F7351"/>
    <w:rsid w:val="00901298"/>
    <w:rsid w:val="009035B6"/>
    <w:rsid w:val="00903696"/>
    <w:rsid w:val="00905D09"/>
    <w:rsid w:val="0090628D"/>
    <w:rsid w:val="00907DCA"/>
    <w:rsid w:val="00914794"/>
    <w:rsid w:val="0091683E"/>
    <w:rsid w:val="00922D2D"/>
    <w:rsid w:val="009247DD"/>
    <w:rsid w:val="00924B86"/>
    <w:rsid w:val="00927C06"/>
    <w:rsid w:val="00932B67"/>
    <w:rsid w:val="009350AB"/>
    <w:rsid w:val="0093602A"/>
    <w:rsid w:val="009419EE"/>
    <w:rsid w:val="00941AFF"/>
    <w:rsid w:val="0094275A"/>
    <w:rsid w:val="009458B7"/>
    <w:rsid w:val="009515F5"/>
    <w:rsid w:val="009528B3"/>
    <w:rsid w:val="00954C5C"/>
    <w:rsid w:val="00954FBF"/>
    <w:rsid w:val="009555E1"/>
    <w:rsid w:val="00955D72"/>
    <w:rsid w:val="00956F06"/>
    <w:rsid w:val="00957C21"/>
    <w:rsid w:val="00957D5A"/>
    <w:rsid w:val="009606CC"/>
    <w:rsid w:val="0096130E"/>
    <w:rsid w:val="009628F3"/>
    <w:rsid w:val="00966FD2"/>
    <w:rsid w:val="00973AD0"/>
    <w:rsid w:val="009759FB"/>
    <w:rsid w:val="009761DC"/>
    <w:rsid w:val="009766FD"/>
    <w:rsid w:val="00981889"/>
    <w:rsid w:val="00981AD6"/>
    <w:rsid w:val="00981ED9"/>
    <w:rsid w:val="00982A41"/>
    <w:rsid w:val="009831CE"/>
    <w:rsid w:val="00983AA6"/>
    <w:rsid w:val="0098503E"/>
    <w:rsid w:val="009909BF"/>
    <w:rsid w:val="009913B5"/>
    <w:rsid w:val="00991920"/>
    <w:rsid w:val="009925DB"/>
    <w:rsid w:val="00992BAD"/>
    <w:rsid w:val="00993A3E"/>
    <w:rsid w:val="009963FE"/>
    <w:rsid w:val="009A01B9"/>
    <w:rsid w:val="009A37A8"/>
    <w:rsid w:val="009A5A30"/>
    <w:rsid w:val="009A7A15"/>
    <w:rsid w:val="009B2A0D"/>
    <w:rsid w:val="009B4E64"/>
    <w:rsid w:val="009B56E8"/>
    <w:rsid w:val="009B6C3D"/>
    <w:rsid w:val="009C18FA"/>
    <w:rsid w:val="009C5180"/>
    <w:rsid w:val="009D2DD9"/>
    <w:rsid w:val="009D4DC6"/>
    <w:rsid w:val="009D6EF8"/>
    <w:rsid w:val="009E0959"/>
    <w:rsid w:val="009E1EFA"/>
    <w:rsid w:val="009E7369"/>
    <w:rsid w:val="009F06F4"/>
    <w:rsid w:val="009F123E"/>
    <w:rsid w:val="009F19C9"/>
    <w:rsid w:val="009F456B"/>
    <w:rsid w:val="009F5880"/>
    <w:rsid w:val="009F5B4E"/>
    <w:rsid w:val="009F5CA2"/>
    <w:rsid w:val="009F5F67"/>
    <w:rsid w:val="00A0025B"/>
    <w:rsid w:val="00A0059B"/>
    <w:rsid w:val="00A0183C"/>
    <w:rsid w:val="00A05CE8"/>
    <w:rsid w:val="00A06D8A"/>
    <w:rsid w:val="00A15DBF"/>
    <w:rsid w:val="00A161C4"/>
    <w:rsid w:val="00A214EE"/>
    <w:rsid w:val="00A21C6B"/>
    <w:rsid w:val="00A2296A"/>
    <w:rsid w:val="00A23C14"/>
    <w:rsid w:val="00A25EA8"/>
    <w:rsid w:val="00A277B0"/>
    <w:rsid w:val="00A30278"/>
    <w:rsid w:val="00A319FB"/>
    <w:rsid w:val="00A33C08"/>
    <w:rsid w:val="00A3446C"/>
    <w:rsid w:val="00A367C5"/>
    <w:rsid w:val="00A37AEC"/>
    <w:rsid w:val="00A37C56"/>
    <w:rsid w:val="00A37D57"/>
    <w:rsid w:val="00A41A83"/>
    <w:rsid w:val="00A428FF"/>
    <w:rsid w:val="00A43080"/>
    <w:rsid w:val="00A43DB8"/>
    <w:rsid w:val="00A44FA5"/>
    <w:rsid w:val="00A47A2C"/>
    <w:rsid w:val="00A5229F"/>
    <w:rsid w:val="00A52596"/>
    <w:rsid w:val="00A5664F"/>
    <w:rsid w:val="00A5698B"/>
    <w:rsid w:val="00A62E11"/>
    <w:rsid w:val="00A63AE3"/>
    <w:rsid w:val="00A63CD4"/>
    <w:rsid w:val="00A64C6F"/>
    <w:rsid w:val="00A64CD6"/>
    <w:rsid w:val="00A67B40"/>
    <w:rsid w:val="00A74DB5"/>
    <w:rsid w:val="00A756C4"/>
    <w:rsid w:val="00A77A33"/>
    <w:rsid w:val="00A77A85"/>
    <w:rsid w:val="00A806C5"/>
    <w:rsid w:val="00A812E3"/>
    <w:rsid w:val="00A8503A"/>
    <w:rsid w:val="00A86759"/>
    <w:rsid w:val="00A87C09"/>
    <w:rsid w:val="00A9062B"/>
    <w:rsid w:val="00A90DD9"/>
    <w:rsid w:val="00A9380E"/>
    <w:rsid w:val="00A94C53"/>
    <w:rsid w:val="00A97412"/>
    <w:rsid w:val="00AA0836"/>
    <w:rsid w:val="00AA649E"/>
    <w:rsid w:val="00AB36B9"/>
    <w:rsid w:val="00AB3E46"/>
    <w:rsid w:val="00AB5D7C"/>
    <w:rsid w:val="00AC546B"/>
    <w:rsid w:val="00AC6309"/>
    <w:rsid w:val="00AC7BF2"/>
    <w:rsid w:val="00AD19B2"/>
    <w:rsid w:val="00AD2B12"/>
    <w:rsid w:val="00AD427B"/>
    <w:rsid w:val="00AD4CA0"/>
    <w:rsid w:val="00AD5A92"/>
    <w:rsid w:val="00AD5DEE"/>
    <w:rsid w:val="00AE0661"/>
    <w:rsid w:val="00AE17D4"/>
    <w:rsid w:val="00AE407B"/>
    <w:rsid w:val="00AE5391"/>
    <w:rsid w:val="00AE7094"/>
    <w:rsid w:val="00AE7102"/>
    <w:rsid w:val="00AF3B11"/>
    <w:rsid w:val="00B0121F"/>
    <w:rsid w:val="00B051E8"/>
    <w:rsid w:val="00B0572B"/>
    <w:rsid w:val="00B0580E"/>
    <w:rsid w:val="00B06153"/>
    <w:rsid w:val="00B20F69"/>
    <w:rsid w:val="00B2176B"/>
    <w:rsid w:val="00B2357E"/>
    <w:rsid w:val="00B24A84"/>
    <w:rsid w:val="00B24AB3"/>
    <w:rsid w:val="00B272B7"/>
    <w:rsid w:val="00B30559"/>
    <w:rsid w:val="00B317DE"/>
    <w:rsid w:val="00B345F0"/>
    <w:rsid w:val="00B35745"/>
    <w:rsid w:val="00B35CF4"/>
    <w:rsid w:val="00B373DF"/>
    <w:rsid w:val="00B3740C"/>
    <w:rsid w:val="00B407EE"/>
    <w:rsid w:val="00B41322"/>
    <w:rsid w:val="00B44C5D"/>
    <w:rsid w:val="00B503C4"/>
    <w:rsid w:val="00B5595F"/>
    <w:rsid w:val="00B55ED5"/>
    <w:rsid w:val="00B56909"/>
    <w:rsid w:val="00B57738"/>
    <w:rsid w:val="00B604E3"/>
    <w:rsid w:val="00B615EE"/>
    <w:rsid w:val="00B62C7C"/>
    <w:rsid w:val="00B6737D"/>
    <w:rsid w:val="00B70451"/>
    <w:rsid w:val="00B70DA0"/>
    <w:rsid w:val="00B71AC9"/>
    <w:rsid w:val="00B72A36"/>
    <w:rsid w:val="00B74F3B"/>
    <w:rsid w:val="00B75504"/>
    <w:rsid w:val="00B76EDD"/>
    <w:rsid w:val="00B817A7"/>
    <w:rsid w:val="00B822C3"/>
    <w:rsid w:val="00B8262A"/>
    <w:rsid w:val="00B86316"/>
    <w:rsid w:val="00B873D7"/>
    <w:rsid w:val="00B9169D"/>
    <w:rsid w:val="00B923B6"/>
    <w:rsid w:val="00B92CFF"/>
    <w:rsid w:val="00B946A0"/>
    <w:rsid w:val="00B96A0B"/>
    <w:rsid w:val="00B96FB6"/>
    <w:rsid w:val="00BA0944"/>
    <w:rsid w:val="00BA0BD6"/>
    <w:rsid w:val="00BA20C1"/>
    <w:rsid w:val="00BA2140"/>
    <w:rsid w:val="00BA4C17"/>
    <w:rsid w:val="00BA4C99"/>
    <w:rsid w:val="00BA5EAF"/>
    <w:rsid w:val="00BA6973"/>
    <w:rsid w:val="00BA75A8"/>
    <w:rsid w:val="00BB1D1E"/>
    <w:rsid w:val="00BB2CD1"/>
    <w:rsid w:val="00BB72B2"/>
    <w:rsid w:val="00BB74BF"/>
    <w:rsid w:val="00BC1801"/>
    <w:rsid w:val="00BC7C8B"/>
    <w:rsid w:val="00BD1C76"/>
    <w:rsid w:val="00BD55BF"/>
    <w:rsid w:val="00BD635A"/>
    <w:rsid w:val="00BD751E"/>
    <w:rsid w:val="00BD75E2"/>
    <w:rsid w:val="00BD77DF"/>
    <w:rsid w:val="00BE1255"/>
    <w:rsid w:val="00BE4B53"/>
    <w:rsid w:val="00BF0EFF"/>
    <w:rsid w:val="00BF4C35"/>
    <w:rsid w:val="00BF569F"/>
    <w:rsid w:val="00BF6E0F"/>
    <w:rsid w:val="00BF6FD4"/>
    <w:rsid w:val="00C02D27"/>
    <w:rsid w:val="00C053F2"/>
    <w:rsid w:val="00C12AD4"/>
    <w:rsid w:val="00C16659"/>
    <w:rsid w:val="00C237A4"/>
    <w:rsid w:val="00C24CEA"/>
    <w:rsid w:val="00C25307"/>
    <w:rsid w:val="00C254E3"/>
    <w:rsid w:val="00C31A09"/>
    <w:rsid w:val="00C36A2C"/>
    <w:rsid w:val="00C41414"/>
    <w:rsid w:val="00C42A2C"/>
    <w:rsid w:val="00C436BD"/>
    <w:rsid w:val="00C47E2A"/>
    <w:rsid w:val="00C529E0"/>
    <w:rsid w:val="00C54B39"/>
    <w:rsid w:val="00C55182"/>
    <w:rsid w:val="00C61666"/>
    <w:rsid w:val="00C62646"/>
    <w:rsid w:val="00C62B91"/>
    <w:rsid w:val="00C6352D"/>
    <w:rsid w:val="00C64C85"/>
    <w:rsid w:val="00C7045F"/>
    <w:rsid w:val="00C71E37"/>
    <w:rsid w:val="00C7770F"/>
    <w:rsid w:val="00C857F5"/>
    <w:rsid w:val="00C85CE1"/>
    <w:rsid w:val="00C911CD"/>
    <w:rsid w:val="00C96339"/>
    <w:rsid w:val="00C96DEE"/>
    <w:rsid w:val="00C9705D"/>
    <w:rsid w:val="00CA4FDD"/>
    <w:rsid w:val="00CB1A3C"/>
    <w:rsid w:val="00CB2B90"/>
    <w:rsid w:val="00CB2F92"/>
    <w:rsid w:val="00CB523B"/>
    <w:rsid w:val="00CC05D4"/>
    <w:rsid w:val="00CC0BE1"/>
    <w:rsid w:val="00CC4187"/>
    <w:rsid w:val="00CC4CA5"/>
    <w:rsid w:val="00CC63DF"/>
    <w:rsid w:val="00CD10D6"/>
    <w:rsid w:val="00CD3C4B"/>
    <w:rsid w:val="00CD405C"/>
    <w:rsid w:val="00CD6498"/>
    <w:rsid w:val="00CD7204"/>
    <w:rsid w:val="00CE1166"/>
    <w:rsid w:val="00CE2478"/>
    <w:rsid w:val="00CE3139"/>
    <w:rsid w:val="00CE3EC9"/>
    <w:rsid w:val="00CE41B5"/>
    <w:rsid w:val="00CE6C11"/>
    <w:rsid w:val="00CF5E2E"/>
    <w:rsid w:val="00CF78E2"/>
    <w:rsid w:val="00CF7EF1"/>
    <w:rsid w:val="00D05B68"/>
    <w:rsid w:val="00D0671D"/>
    <w:rsid w:val="00D07525"/>
    <w:rsid w:val="00D10175"/>
    <w:rsid w:val="00D10595"/>
    <w:rsid w:val="00D12DA2"/>
    <w:rsid w:val="00D16157"/>
    <w:rsid w:val="00D17F9F"/>
    <w:rsid w:val="00D2572E"/>
    <w:rsid w:val="00D258AC"/>
    <w:rsid w:val="00D264A6"/>
    <w:rsid w:val="00D34A04"/>
    <w:rsid w:val="00D35DAD"/>
    <w:rsid w:val="00D40B1D"/>
    <w:rsid w:val="00D40C39"/>
    <w:rsid w:val="00D432A4"/>
    <w:rsid w:val="00D43CBC"/>
    <w:rsid w:val="00D53CE9"/>
    <w:rsid w:val="00D54526"/>
    <w:rsid w:val="00D548A8"/>
    <w:rsid w:val="00D55004"/>
    <w:rsid w:val="00D571DC"/>
    <w:rsid w:val="00D632E5"/>
    <w:rsid w:val="00D70EF9"/>
    <w:rsid w:val="00D7385F"/>
    <w:rsid w:val="00D73E26"/>
    <w:rsid w:val="00D759AB"/>
    <w:rsid w:val="00D76330"/>
    <w:rsid w:val="00D77C63"/>
    <w:rsid w:val="00D8141E"/>
    <w:rsid w:val="00D81B68"/>
    <w:rsid w:val="00D81DFD"/>
    <w:rsid w:val="00D82742"/>
    <w:rsid w:val="00D83BF6"/>
    <w:rsid w:val="00D83DC1"/>
    <w:rsid w:val="00D87F47"/>
    <w:rsid w:val="00D91858"/>
    <w:rsid w:val="00D9375D"/>
    <w:rsid w:val="00D9634E"/>
    <w:rsid w:val="00DA0C79"/>
    <w:rsid w:val="00DA4187"/>
    <w:rsid w:val="00DA61AA"/>
    <w:rsid w:val="00DB0E0D"/>
    <w:rsid w:val="00DB1C3E"/>
    <w:rsid w:val="00DB4463"/>
    <w:rsid w:val="00DB5558"/>
    <w:rsid w:val="00DC0B84"/>
    <w:rsid w:val="00DC244D"/>
    <w:rsid w:val="00DC7F84"/>
    <w:rsid w:val="00DD3779"/>
    <w:rsid w:val="00DD3CAC"/>
    <w:rsid w:val="00DE08D7"/>
    <w:rsid w:val="00DE269E"/>
    <w:rsid w:val="00DE4657"/>
    <w:rsid w:val="00DE50F4"/>
    <w:rsid w:val="00DF19B4"/>
    <w:rsid w:val="00DF4499"/>
    <w:rsid w:val="00DF6348"/>
    <w:rsid w:val="00E04BA0"/>
    <w:rsid w:val="00E06CA0"/>
    <w:rsid w:val="00E113BA"/>
    <w:rsid w:val="00E1287F"/>
    <w:rsid w:val="00E1473A"/>
    <w:rsid w:val="00E22217"/>
    <w:rsid w:val="00E27A0B"/>
    <w:rsid w:val="00E27E1B"/>
    <w:rsid w:val="00E31FA8"/>
    <w:rsid w:val="00E32C7B"/>
    <w:rsid w:val="00E3333E"/>
    <w:rsid w:val="00E3562D"/>
    <w:rsid w:val="00E36C3B"/>
    <w:rsid w:val="00E36D0D"/>
    <w:rsid w:val="00E37C49"/>
    <w:rsid w:val="00E407C8"/>
    <w:rsid w:val="00E41A9E"/>
    <w:rsid w:val="00E42557"/>
    <w:rsid w:val="00E43D6E"/>
    <w:rsid w:val="00E46FAB"/>
    <w:rsid w:val="00E521CF"/>
    <w:rsid w:val="00E52CD8"/>
    <w:rsid w:val="00E557BD"/>
    <w:rsid w:val="00E5605C"/>
    <w:rsid w:val="00E56266"/>
    <w:rsid w:val="00E60670"/>
    <w:rsid w:val="00E610A1"/>
    <w:rsid w:val="00E6162E"/>
    <w:rsid w:val="00E61FB7"/>
    <w:rsid w:val="00E63FC3"/>
    <w:rsid w:val="00E644B4"/>
    <w:rsid w:val="00E6495D"/>
    <w:rsid w:val="00E65F81"/>
    <w:rsid w:val="00E66BCA"/>
    <w:rsid w:val="00E70F7E"/>
    <w:rsid w:val="00E7274B"/>
    <w:rsid w:val="00E73226"/>
    <w:rsid w:val="00E843DC"/>
    <w:rsid w:val="00E877F7"/>
    <w:rsid w:val="00E91CCE"/>
    <w:rsid w:val="00E94C06"/>
    <w:rsid w:val="00E95F1D"/>
    <w:rsid w:val="00E96D11"/>
    <w:rsid w:val="00E970FB"/>
    <w:rsid w:val="00E9723C"/>
    <w:rsid w:val="00EA31A7"/>
    <w:rsid w:val="00EA33F1"/>
    <w:rsid w:val="00EA575D"/>
    <w:rsid w:val="00EA6B3E"/>
    <w:rsid w:val="00EA7378"/>
    <w:rsid w:val="00EB560F"/>
    <w:rsid w:val="00EC2A5C"/>
    <w:rsid w:val="00EC3672"/>
    <w:rsid w:val="00EC429F"/>
    <w:rsid w:val="00EC47EB"/>
    <w:rsid w:val="00EC5003"/>
    <w:rsid w:val="00ED0AB5"/>
    <w:rsid w:val="00ED79DC"/>
    <w:rsid w:val="00ED7B2E"/>
    <w:rsid w:val="00ED7E4A"/>
    <w:rsid w:val="00EE0D0F"/>
    <w:rsid w:val="00EE27AF"/>
    <w:rsid w:val="00EE4646"/>
    <w:rsid w:val="00EE4934"/>
    <w:rsid w:val="00EE4A5A"/>
    <w:rsid w:val="00EE67D8"/>
    <w:rsid w:val="00EE79AE"/>
    <w:rsid w:val="00EF1D0D"/>
    <w:rsid w:val="00EF2737"/>
    <w:rsid w:val="00EF2EC9"/>
    <w:rsid w:val="00EF6CAB"/>
    <w:rsid w:val="00EF7094"/>
    <w:rsid w:val="00F00B0E"/>
    <w:rsid w:val="00F04848"/>
    <w:rsid w:val="00F06026"/>
    <w:rsid w:val="00F06AE0"/>
    <w:rsid w:val="00F112C0"/>
    <w:rsid w:val="00F12C2F"/>
    <w:rsid w:val="00F15216"/>
    <w:rsid w:val="00F15EB2"/>
    <w:rsid w:val="00F16647"/>
    <w:rsid w:val="00F17A1B"/>
    <w:rsid w:val="00F2237E"/>
    <w:rsid w:val="00F22B7E"/>
    <w:rsid w:val="00F230F3"/>
    <w:rsid w:val="00F2498E"/>
    <w:rsid w:val="00F26E54"/>
    <w:rsid w:val="00F3013C"/>
    <w:rsid w:val="00F3086C"/>
    <w:rsid w:val="00F31A38"/>
    <w:rsid w:val="00F3246D"/>
    <w:rsid w:val="00F3298C"/>
    <w:rsid w:val="00F33ABF"/>
    <w:rsid w:val="00F33F65"/>
    <w:rsid w:val="00F34D1C"/>
    <w:rsid w:val="00F35E71"/>
    <w:rsid w:val="00F37D5D"/>
    <w:rsid w:val="00F44705"/>
    <w:rsid w:val="00F45E66"/>
    <w:rsid w:val="00F473E6"/>
    <w:rsid w:val="00F47F1F"/>
    <w:rsid w:val="00F510AD"/>
    <w:rsid w:val="00F517AC"/>
    <w:rsid w:val="00F518F0"/>
    <w:rsid w:val="00F51FBB"/>
    <w:rsid w:val="00F5583F"/>
    <w:rsid w:val="00F578B3"/>
    <w:rsid w:val="00F64C49"/>
    <w:rsid w:val="00F65E2D"/>
    <w:rsid w:val="00F66F93"/>
    <w:rsid w:val="00F7136F"/>
    <w:rsid w:val="00F71DE7"/>
    <w:rsid w:val="00F73765"/>
    <w:rsid w:val="00F74905"/>
    <w:rsid w:val="00F76AC9"/>
    <w:rsid w:val="00F8008D"/>
    <w:rsid w:val="00F814F3"/>
    <w:rsid w:val="00F859EC"/>
    <w:rsid w:val="00F85CE3"/>
    <w:rsid w:val="00F85E28"/>
    <w:rsid w:val="00F92271"/>
    <w:rsid w:val="00F93173"/>
    <w:rsid w:val="00F936EB"/>
    <w:rsid w:val="00FA0C25"/>
    <w:rsid w:val="00FA127C"/>
    <w:rsid w:val="00FA39A5"/>
    <w:rsid w:val="00FA60F4"/>
    <w:rsid w:val="00FB22D8"/>
    <w:rsid w:val="00FB4CED"/>
    <w:rsid w:val="00FB52E8"/>
    <w:rsid w:val="00FB5A22"/>
    <w:rsid w:val="00FB6D25"/>
    <w:rsid w:val="00FB7140"/>
    <w:rsid w:val="00FC06A2"/>
    <w:rsid w:val="00FC4CCA"/>
    <w:rsid w:val="00FC512B"/>
    <w:rsid w:val="00FC6348"/>
    <w:rsid w:val="00FC79C3"/>
    <w:rsid w:val="00FD3B35"/>
    <w:rsid w:val="00FD4D8D"/>
    <w:rsid w:val="00FD570D"/>
    <w:rsid w:val="00FE087C"/>
    <w:rsid w:val="00FE347E"/>
    <w:rsid w:val="00FE3804"/>
    <w:rsid w:val="00FE38FE"/>
    <w:rsid w:val="00FE419A"/>
    <w:rsid w:val="00FE7F47"/>
    <w:rsid w:val="00FF171C"/>
    <w:rsid w:val="00FF5FFC"/>
    <w:rsid w:val="00FF6820"/>
    <w:rsid w:val="011E1AE4"/>
    <w:rsid w:val="012E2EC9"/>
    <w:rsid w:val="01676EB0"/>
    <w:rsid w:val="016F02C6"/>
    <w:rsid w:val="018223D5"/>
    <w:rsid w:val="01A17643"/>
    <w:rsid w:val="027403D3"/>
    <w:rsid w:val="02B437CB"/>
    <w:rsid w:val="03B014A3"/>
    <w:rsid w:val="04112808"/>
    <w:rsid w:val="04291056"/>
    <w:rsid w:val="044503E5"/>
    <w:rsid w:val="06654E1F"/>
    <w:rsid w:val="067C0206"/>
    <w:rsid w:val="06821331"/>
    <w:rsid w:val="06AC1C9C"/>
    <w:rsid w:val="07176E71"/>
    <w:rsid w:val="07583883"/>
    <w:rsid w:val="07A64469"/>
    <w:rsid w:val="0857118C"/>
    <w:rsid w:val="08926864"/>
    <w:rsid w:val="08F269DB"/>
    <w:rsid w:val="08F77045"/>
    <w:rsid w:val="09CC19D6"/>
    <w:rsid w:val="0A9547C3"/>
    <w:rsid w:val="0AAC6EBB"/>
    <w:rsid w:val="0B5F0EFC"/>
    <w:rsid w:val="0BB6489C"/>
    <w:rsid w:val="0D5E1559"/>
    <w:rsid w:val="0EFA37BD"/>
    <w:rsid w:val="0F247203"/>
    <w:rsid w:val="1075214B"/>
    <w:rsid w:val="109562BA"/>
    <w:rsid w:val="111C5996"/>
    <w:rsid w:val="118B6831"/>
    <w:rsid w:val="11B21332"/>
    <w:rsid w:val="11EF7896"/>
    <w:rsid w:val="12016628"/>
    <w:rsid w:val="13390557"/>
    <w:rsid w:val="13636F39"/>
    <w:rsid w:val="1369757E"/>
    <w:rsid w:val="138445BD"/>
    <w:rsid w:val="13B12EDD"/>
    <w:rsid w:val="13BD2572"/>
    <w:rsid w:val="14130C4A"/>
    <w:rsid w:val="1440778E"/>
    <w:rsid w:val="14931399"/>
    <w:rsid w:val="14CC503E"/>
    <w:rsid w:val="14D02C7A"/>
    <w:rsid w:val="14F8430E"/>
    <w:rsid w:val="16054153"/>
    <w:rsid w:val="17A304C5"/>
    <w:rsid w:val="17D84C0A"/>
    <w:rsid w:val="18793F72"/>
    <w:rsid w:val="199227AD"/>
    <w:rsid w:val="1AC1729C"/>
    <w:rsid w:val="1BCF6AD6"/>
    <w:rsid w:val="1BD3424C"/>
    <w:rsid w:val="1BF306EA"/>
    <w:rsid w:val="1C217862"/>
    <w:rsid w:val="1D271F53"/>
    <w:rsid w:val="1ED53623"/>
    <w:rsid w:val="1EF33D0B"/>
    <w:rsid w:val="1F496FE6"/>
    <w:rsid w:val="1FC455CB"/>
    <w:rsid w:val="1FC81833"/>
    <w:rsid w:val="208D5640"/>
    <w:rsid w:val="20A21419"/>
    <w:rsid w:val="21253077"/>
    <w:rsid w:val="22956365"/>
    <w:rsid w:val="231400AA"/>
    <w:rsid w:val="23783006"/>
    <w:rsid w:val="23841A36"/>
    <w:rsid w:val="23D435E6"/>
    <w:rsid w:val="23DF5EA2"/>
    <w:rsid w:val="24A55D8C"/>
    <w:rsid w:val="24B60B29"/>
    <w:rsid w:val="24DA00C2"/>
    <w:rsid w:val="259D0813"/>
    <w:rsid w:val="25B0001B"/>
    <w:rsid w:val="25FD20AC"/>
    <w:rsid w:val="26577CA2"/>
    <w:rsid w:val="267269F0"/>
    <w:rsid w:val="278D52C2"/>
    <w:rsid w:val="27906E7F"/>
    <w:rsid w:val="284470FA"/>
    <w:rsid w:val="28E94290"/>
    <w:rsid w:val="293F1616"/>
    <w:rsid w:val="29776190"/>
    <w:rsid w:val="29922582"/>
    <w:rsid w:val="29C8130E"/>
    <w:rsid w:val="29D924D5"/>
    <w:rsid w:val="2A755948"/>
    <w:rsid w:val="2AA36D5E"/>
    <w:rsid w:val="2AFF2B4C"/>
    <w:rsid w:val="2B5825D7"/>
    <w:rsid w:val="2C0706C0"/>
    <w:rsid w:val="2C1903F0"/>
    <w:rsid w:val="2C5D06AD"/>
    <w:rsid w:val="2CA80B8C"/>
    <w:rsid w:val="2E1765F6"/>
    <w:rsid w:val="2E73402A"/>
    <w:rsid w:val="2EF64463"/>
    <w:rsid w:val="2EFD1A1B"/>
    <w:rsid w:val="2F9320CE"/>
    <w:rsid w:val="30091F6F"/>
    <w:rsid w:val="30376285"/>
    <w:rsid w:val="304B1BED"/>
    <w:rsid w:val="30D170CA"/>
    <w:rsid w:val="31EE0B42"/>
    <w:rsid w:val="323230EE"/>
    <w:rsid w:val="325A63A8"/>
    <w:rsid w:val="339131CB"/>
    <w:rsid w:val="33FC65DA"/>
    <w:rsid w:val="34550D53"/>
    <w:rsid w:val="347149BE"/>
    <w:rsid w:val="34A00978"/>
    <w:rsid w:val="350106EE"/>
    <w:rsid w:val="35987B7B"/>
    <w:rsid w:val="35AC6DED"/>
    <w:rsid w:val="35B74A43"/>
    <w:rsid w:val="35CD50FB"/>
    <w:rsid w:val="363D3A39"/>
    <w:rsid w:val="36434274"/>
    <w:rsid w:val="36965B27"/>
    <w:rsid w:val="36E30A6B"/>
    <w:rsid w:val="36FF2040"/>
    <w:rsid w:val="37E731EE"/>
    <w:rsid w:val="38AA216A"/>
    <w:rsid w:val="38D107DB"/>
    <w:rsid w:val="39440CB7"/>
    <w:rsid w:val="394B7E22"/>
    <w:rsid w:val="3A717D6E"/>
    <w:rsid w:val="3AB51C59"/>
    <w:rsid w:val="3B376659"/>
    <w:rsid w:val="3B394496"/>
    <w:rsid w:val="3B6E5382"/>
    <w:rsid w:val="3BFD6B17"/>
    <w:rsid w:val="3CE44160"/>
    <w:rsid w:val="3D481D16"/>
    <w:rsid w:val="3D84334D"/>
    <w:rsid w:val="3DF73037"/>
    <w:rsid w:val="3E4435D5"/>
    <w:rsid w:val="3E623D43"/>
    <w:rsid w:val="3E881346"/>
    <w:rsid w:val="3EB46F52"/>
    <w:rsid w:val="3F436E07"/>
    <w:rsid w:val="3FED1DB8"/>
    <w:rsid w:val="40D50A69"/>
    <w:rsid w:val="41262190"/>
    <w:rsid w:val="41562ED4"/>
    <w:rsid w:val="41BA7B7E"/>
    <w:rsid w:val="41FE063B"/>
    <w:rsid w:val="42F36D21"/>
    <w:rsid w:val="431A28D1"/>
    <w:rsid w:val="436E39AE"/>
    <w:rsid w:val="46705D93"/>
    <w:rsid w:val="472D6373"/>
    <w:rsid w:val="48D7103E"/>
    <w:rsid w:val="490C4A6E"/>
    <w:rsid w:val="49252811"/>
    <w:rsid w:val="49BE5E87"/>
    <w:rsid w:val="4AE95975"/>
    <w:rsid w:val="4B2B39A7"/>
    <w:rsid w:val="4B695FAE"/>
    <w:rsid w:val="4B835B73"/>
    <w:rsid w:val="4C4C6225"/>
    <w:rsid w:val="4C6112DE"/>
    <w:rsid w:val="4CAA0624"/>
    <w:rsid w:val="4CCC4399"/>
    <w:rsid w:val="4CD63725"/>
    <w:rsid w:val="4D1221E8"/>
    <w:rsid w:val="4DA85096"/>
    <w:rsid w:val="4DCD2BBB"/>
    <w:rsid w:val="4DD27F4D"/>
    <w:rsid w:val="4E0F0E07"/>
    <w:rsid w:val="4E7B671C"/>
    <w:rsid w:val="4F1C034A"/>
    <w:rsid w:val="4F8F251E"/>
    <w:rsid w:val="4FDE06A2"/>
    <w:rsid w:val="50641B8F"/>
    <w:rsid w:val="507A6BDA"/>
    <w:rsid w:val="50846134"/>
    <w:rsid w:val="50870138"/>
    <w:rsid w:val="50DE02A4"/>
    <w:rsid w:val="517C64E2"/>
    <w:rsid w:val="51CC3F72"/>
    <w:rsid w:val="5203020F"/>
    <w:rsid w:val="52E05C21"/>
    <w:rsid w:val="53515B36"/>
    <w:rsid w:val="53A34760"/>
    <w:rsid w:val="53A91586"/>
    <w:rsid w:val="53FA3C53"/>
    <w:rsid w:val="54604C7D"/>
    <w:rsid w:val="54857451"/>
    <w:rsid w:val="55134307"/>
    <w:rsid w:val="55187441"/>
    <w:rsid w:val="556F450C"/>
    <w:rsid w:val="55C029DF"/>
    <w:rsid w:val="55E46498"/>
    <w:rsid w:val="560D6C33"/>
    <w:rsid w:val="564B7B1B"/>
    <w:rsid w:val="57CC1818"/>
    <w:rsid w:val="583307D3"/>
    <w:rsid w:val="58822A8C"/>
    <w:rsid w:val="594E739E"/>
    <w:rsid w:val="59C80891"/>
    <w:rsid w:val="5A3C7CF3"/>
    <w:rsid w:val="5B0958EC"/>
    <w:rsid w:val="5B1E4235"/>
    <w:rsid w:val="5C69722F"/>
    <w:rsid w:val="5D1E1766"/>
    <w:rsid w:val="5DBC59C0"/>
    <w:rsid w:val="5DC44D32"/>
    <w:rsid w:val="5DCB3DFC"/>
    <w:rsid w:val="5E664777"/>
    <w:rsid w:val="5E84100B"/>
    <w:rsid w:val="5E976D44"/>
    <w:rsid w:val="5EDE4DC8"/>
    <w:rsid w:val="5EF36B71"/>
    <w:rsid w:val="5F616DAE"/>
    <w:rsid w:val="5FB40C34"/>
    <w:rsid w:val="60E7585F"/>
    <w:rsid w:val="635B06EE"/>
    <w:rsid w:val="636E1CDE"/>
    <w:rsid w:val="63E04F75"/>
    <w:rsid w:val="63E34F49"/>
    <w:rsid w:val="647A39B4"/>
    <w:rsid w:val="64E63A5A"/>
    <w:rsid w:val="64FB586F"/>
    <w:rsid w:val="6511639C"/>
    <w:rsid w:val="65B14DFC"/>
    <w:rsid w:val="6696473B"/>
    <w:rsid w:val="66E92150"/>
    <w:rsid w:val="670D2E93"/>
    <w:rsid w:val="6712484C"/>
    <w:rsid w:val="67401D50"/>
    <w:rsid w:val="6742003C"/>
    <w:rsid w:val="67C345F8"/>
    <w:rsid w:val="67FE10F7"/>
    <w:rsid w:val="68B35298"/>
    <w:rsid w:val="6B9B50B9"/>
    <w:rsid w:val="6C2B1B70"/>
    <w:rsid w:val="6C637A61"/>
    <w:rsid w:val="6C836CD7"/>
    <w:rsid w:val="6C8A76EB"/>
    <w:rsid w:val="6C947609"/>
    <w:rsid w:val="6CDA6EDD"/>
    <w:rsid w:val="6D4D7A6C"/>
    <w:rsid w:val="6E573695"/>
    <w:rsid w:val="6FE05419"/>
    <w:rsid w:val="705B690C"/>
    <w:rsid w:val="70E23C5D"/>
    <w:rsid w:val="71497335"/>
    <w:rsid w:val="71A00282"/>
    <w:rsid w:val="728931B2"/>
    <w:rsid w:val="728D27DE"/>
    <w:rsid w:val="72D20FEF"/>
    <w:rsid w:val="72E90C14"/>
    <w:rsid w:val="734263F5"/>
    <w:rsid w:val="736C041C"/>
    <w:rsid w:val="759E0FB1"/>
    <w:rsid w:val="76271142"/>
    <w:rsid w:val="76F10A34"/>
    <w:rsid w:val="785B24C5"/>
    <w:rsid w:val="789E67F4"/>
    <w:rsid w:val="795648EB"/>
    <w:rsid w:val="7A146DD9"/>
    <w:rsid w:val="7A7113D3"/>
    <w:rsid w:val="7AA4394A"/>
    <w:rsid w:val="7B450252"/>
    <w:rsid w:val="7B6A0511"/>
    <w:rsid w:val="7B7F117F"/>
    <w:rsid w:val="7BE40B22"/>
    <w:rsid w:val="7CBE24B4"/>
    <w:rsid w:val="7CD44992"/>
    <w:rsid w:val="7CD545B8"/>
    <w:rsid w:val="7D2470F0"/>
    <w:rsid w:val="7D9A7297"/>
    <w:rsid w:val="7DE12A79"/>
    <w:rsid w:val="7DF7505B"/>
    <w:rsid w:val="7E472084"/>
    <w:rsid w:val="7EB5400E"/>
    <w:rsid w:val="7EFC68C6"/>
    <w:rsid w:val="7F3A722B"/>
    <w:rsid w:val="7FFB48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8"/>
    <w:qFormat/>
    <w:uiPriority w:val="0"/>
    <w:pPr>
      <w:keepNext/>
      <w:keepLines/>
      <w:tabs>
        <w:tab w:val="left" w:pos="360"/>
      </w:tabs>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2"/>
    <w:basedOn w:val="1"/>
    <w:next w:val="1"/>
    <w:link w:val="39"/>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40"/>
    <w:qFormat/>
    <w:uiPriority w:val="0"/>
    <w:pPr>
      <w:keepNext/>
      <w:keepLines/>
      <w:spacing w:line="360" w:lineRule="auto"/>
      <w:ind w:firstLine="200" w:firstLineChars="200"/>
      <w:jc w:val="left"/>
      <w:outlineLvl w:val="2"/>
    </w:pPr>
    <w:rPr>
      <w:b/>
      <w:kern w:val="0"/>
      <w:sz w:val="30"/>
    </w:rPr>
  </w:style>
  <w:style w:type="paragraph" w:styleId="6">
    <w:name w:val="heading 4"/>
    <w:basedOn w:val="1"/>
    <w:next w:val="1"/>
    <w:link w:val="41"/>
    <w:qFormat/>
    <w:uiPriority w:val="0"/>
    <w:pPr>
      <w:keepNext/>
      <w:keepLines/>
      <w:spacing w:before="280" w:after="290" w:line="372" w:lineRule="auto"/>
      <w:outlineLvl w:val="3"/>
    </w:pPr>
    <w:rPr>
      <w:rFonts w:ascii="Arial" w:hAnsi="Arial" w:eastAsia="黑体"/>
      <w:b/>
      <w:sz w:val="28"/>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2">
    <w:name w:val="Normal Indent"/>
    <w:basedOn w:val="1"/>
    <w:link w:val="37"/>
    <w:qFormat/>
    <w:uiPriority w:val="0"/>
    <w:pPr>
      <w:ind w:firstLine="420" w:firstLineChars="200"/>
    </w:pPr>
  </w:style>
  <w:style w:type="paragraph" w:styleId="7">
    <w:name w:val="Document Map"/>
    <w:basedOn w:val="1"/>
    <w:link w:val="42"/>
    <w:qFormat/>
    <w:uiPriority w:val="0"/>
    <w:pPr>
      <w:shd w:val="clear" w:color="auto" w:fill="000080"/>
    </w:pPr>
  </w:style>
  <w:style w:type="paragraph" w:styleId="8">
    <w:name w:val="annotation text"/>
    <w:basedOn w:val="1"/>
    <w:link w:val="43"/>
    <w:qFormat/>
    <w:uiPriority w:val="0"/>
    <w:pPr>
      <w:jc w:val="left"/>
    </w:pPr>
  </w:style>
  <w:style w:type="paragraph" w:styleId="9">
    <w:name w:val="Body Text 3"/>
    <w:basedOn w:val="1"/>
    <w:link w:val="44"/>
    <w:qFormat/>
    <w:uiPriority w:val="0"/>
    <w:pPr>
      <w:spacing w:after="120"/>
    </w:pPr>
    <w:rPr>
      <w:sz w:val="16"/>
    </w:rPr>
  </w:style>
  <w:style w:type="paragraph" w:styleId="10">
    <w:name w:val="Body Text"/>
    <w:basedOn w:val="1"/>
    <w:link w:val="45"/>
    <w:qFormat/>
    <w:uiPriority w:val="0"/>
    <w:pPr>
      <w:spacing w:after="120"/>
    </w:pPr>
  </w:style>
  <w:style w:type="paragraph" w:styleId="11">
    <w:name w:val="Body Text Indent"/>
    <w:basedOn w:val="1"/>
    <w:link w:val="46"/>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Plain Text"/>
    <w:basedOn w:val="1"/>
    <w:link w:val="47"/>
    <w:qFormat/>
    <w:uiPriority w:val="0"/>
    <w:rPr>
      <w:rFonts w:ascii="宋体" w:hAnsi="Courier New"/>
    </w:rPr>
  </w:style>
  <w:style w:type="paragraph" w:styleId="14">
    <w:name w:val="Date"/>
    <w:basedOn w:val="1"/>
    <w:next w:val="1"/>
    <w:link w:val="48"/>
    <w:qFormat/>
    <w:uiPriority w:val="0"/>
    <w:pPr>
      <w:ind w:left="100"/>
    </w:pPr>
    <w:rPr>
      <w:sz w:val="28"/>
    </w:rPr>
  </w:style>
  <w:style w:type="paragraph" w:styleId="15">
    <w:name w:val="Body Text Indent 2"/>
    <w:basedOn w:val="1"/>
    <w:link w:val="49"/>
    <w:qFormat/>
    <w:uiPriority w:val="0"/>
    <w:pPr>
      <w:ind w:firstLine="540" w:firstLineChars="225"/>
    </w:pPr>
    <w:rPr>
      <w:sz w:val="24"/>
    </w:rPr>
  </w:style>
  <w:style w:type="paragraph" w:styleId="16">
    <w:name w:val="Balloon Text"/>
    <w:basedOn w:val="1"/>
    <w:link w:val="50"/>
    <w:qFormat/>
    <w:uiPriority w:val="0"/>
    <w:rPr>
      <w:sz w:val="18"/>
    </w:rPr>
  </w:style>
  <w:style w:type="paragraph" w:styleId="17">
    <w:name w:val="footer"/>
    <w:basedOn w:val="1"/>
    <w:link w:val="51"/>
    <w:qFormat/>
    <w:uiPriority w:val="0"/>
    <w:pPr>
      <w:tabs>
        <w:tab w:val="center" w:pos="4153"/>
        <w:tab w:val="right" w:pos="8306"/>
      </w:tabs>
      <w:snapToGrid w:val="0"/>
      <w:jc w:val="left"/>
    </w:pPr>
    <w:rPr>
      <w:sz w:val="18"/>
    </w:rPr>
  </w:style>
  <w:style w:type="paragraph" w:styleId="18">
    <w:name w:val="header"/>
    <w:basedOn w:val="1"/>
    <w:link w:val="52"/>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style>
  <w:style w:type="paragraph" w:styleId="20">
    <w:name w:val="index heading"/>
    <w:basedOn w:val="1"/>
    <w:next w:val="21"/>
    <w:semiHidden/>
    <w:qFormat/>
    <w:uiPriority w:val="0"/>
  </w:style>
  <w:style w:type="paragraph" w:styleId="21">
    <w:name w:val="index 1"/>
    <w:basedOn w:val="1"/>
    <w:next w:val="1"/>
    <w:semiHidden/>
    <w:qFormat/>
    <w:uiPriority w:val="0"/>
    <w:rPr>
      <w:szCs w:val="24"/>
    </w:rPr>
  </w:style>
  <w:style w:type="paragraph" w:styleId="22">
    <w:name w:val="Body Text Indent 3"/>
    <w:basedOn w:val="1"/>
    <w:link w:val="53"/>
    <w:qFormat/>
    <w:uiPriority w:val="0"/>
    <w:pPr>
      <w:spacing w:after="120"/>
      <w:ind w:left="420" w:leftChars="200"/>
    </w:pPr>
    <w:rPr>
      <w:sz w:val="16"/>
      <w:szCs w:val="16"/>
    </w:rPr>
  </w:style>
  <w:style w:type="paragraph" w:styleId="23">
    <w:name w:val="toc 2"/>
    <w:basedOn w:val="1"/>
    <w:next w:val="1"/>
    <w:qFormat/>
    <w:uiPriority w:val="39"/>
    <w:pPr>
      <w:tabs>
        <w:tab w:val="left" w:pos="1050"/>
        <w:tab w:val="right" w:leader="dot" w:pos="8296"/>
      </w:tabs>
      <w:spacing w:line="240" w:lineRule="atLeast"/>
      <w:ind w:left="480" w:leftChars="200"/>
    </w:pPr>
  </w:style>
  <w:style w:type="paragraph" w:styleId="24">
    <w:name w:val="Body Text 2"/>
    <w:basedOn w:val="1"/>
    <w:link w:val="54"/>
    <w:qFormat/>
    <w:uiPriority w:val="0"/>
    <w:pPr>
      <w:spacing w:after="120" w:line="480" w:lineRule="auto"/>
    </w:pPr>
  </w:style>
  <w:style w:type="paragraph" w:styleId="2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7">
    <w:name w:val="Title"/>
    <w:basedOn w:val="1"/>
    <w:next w:val="1"/>
    <w:link w:val="55"/>
    <w:qFormat/>
    <w:uiPriority w:val="0"/>
    <w:pPr>
      <w:spacing w:before="240" w:after="60"/>
      <w:jc w:val="center"/>
      <w:outlineLvl w:val="0"/>
    </w:pPr>
    <w:rPr>
      <w:rFonts w:ascii="Cambria" w:hAnsi="Cambria"/>
      <w:b/>
      <w:sz w:val="32"/>
    </w:rPr>
  </w:style>
  <w:style w:type="paragraph" w:styleId="28">
    <w:name w:val="annotation subject"/>
    <w:basedOn w:val="8"/>
    <w:next w:val="8"/>
    <w:link w:val="56"/>
    <w:qFormat/>
    <w:uiPriority w:val="0"/>
    <w:rPr>
      <w:b/>
    </w:rPr>
  </w:style>
  <w:style w:type="paragraph" w:styleId="29">
    <w:name w:val="Body Text First Indent"/>
    <w:basedOn w:val="10"/>
    <w:link w:val="57"/>
    <w:qFormat/>
    <w:uiPriority w:val="0"/>
    <w:pPr>
      <w:ind w:firstLine="420" w:firstLineChars="100"/>
    </w:p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qFormat/>
    <w:uiPriority w:val="0"/>
    <w:rPr>
      <w:sz w:val="21"/>
      <w:szCs w:val="21"/>
    </w:rPr>
  </w:style>
  <w:style w:type="character" w:customStyle="1" w:styleId="37">
    <w:name w:val="正文缩进 Char"/>
    <w:link w:val="2"/>
    <w:qFormat/>
    <w:uiPriority w:val="0"/>
    <w:rPr>
      <w:rFonts w:eastAsia="宋体"/>
      <w:kern w:val="2"/>
      <w:sz w:val="21"/>
      <w:lang w:val="en-US" w:eastAsia="zh-CN" w:bidi="ar-SA"/>
    </w:rPr>
  </w:style>
  <w:style w:type="character" w:customStyle="1" w:styleId="38">
    <w:name w:val="标题 1 Char"/>
    <w:link w:val="3"/>
    <w:qFormat/>
    <w:uiPriority w:val="0"/>
    <w:rPr>
      <w:rFonts w:ascii="宋体" w:hAnsi="Arial" w:eastAsia="黑体"/>
      <w:b/>
      <w:color w:val="000000"/>
      <w:kern w:val="44"/>
      <w:sz w:val="36"/>
      <w:lang w:val="en-US" w:eastAsia="zh-CN" w:bidi="ar-SA"/>
    </w:rPr>
  </w:style>
  <w:style w:type="character" w:customStyle="1" w:styleId="39">
    <w:name w:val="标题 2 Char"/>
    <w:link w:val="4"/>
    <w:qFormat/>
    <w:uiPriority w:val="0"/>
    <w:rPr>
      <w:rFonts w:ascii="Arial" w:hAnsi="Arial" w:eastAsia="黑体"/>
      <w:b/>
      <w:kern w:val="2"/>
      <w:sz w:val="32"/>
      <w:lang w:val="en-US" w:eastAsia="zh-CN" w:bidi="ar-SA"/>
    </w:rPr>
  </w:style>
  <w:style w:type="character" w:customStyle="1" w:styleId="40">
    <w:name w:val="标题 3 Char"/>
    <w:link w:val="5"/>
    <w:qFormat/>
    <w:uiPriority w:val="0"/>
    <w:rPr>
      <w:rFonts w:eastAsia="宋体"/>
      <w:b/>
      <w:sz w:val="30"/>
      <w:lang w:val="en-US" w:eastAsia="zh-CN" w:bidi="ar-SA"/>
    </w:rPr>
  </w:style>
  <w:style w:type="character" w:customStyle="1" w:styleId="41">
    <w:name w:val="标题 4 Char"/>
    <w:link w:val="6"/>
    <w:qFormat/>
    <w:uiPriority w:val="0"/>
    <w:rPr>
      <w:rFonts w:ascii="Arial" w:hAnsi="Arial" w:eastAsia="黑体"/>
      <w:b/>
      <w:kern w:val="2"/>
      <w:sz w:val="28"/>
      <w:lang w:val="en-US" w:eastAsia="zh-CN" w:bidi="ar-SA"/>
    </w:rPr>
  </w:style>
  <w:style w:type="character" w:customStyle="1" w:styleId="42">
    <w:name w:val="文档结构图 Char"/>
    <w:link w:val="7"/>
    <w:qFormat/>
    <w:uiPriority w:val="0"/>
    <w:rPr>
      <w:rFonts w:eastAsia="宋体"/>
      <w:kern w:val="2"/>
      <w:sz w:val="21"/>
      <w:lang w:val="en-US" w:eastAsia="zh-CN" w:bidi="ar-SA"/>
    </w:rPr>
  </w:style>
  <w:style w:type="character" w:customStyle="1" w:styleId="43">
    <w:name w:val="批注文字 Char"/>
    <w:link w:val="8"/>
    <w:qFormat/>
    <w:uiPriority w:val="0"/>
    <w:rPr>
      <w:kern w:val="2"/>
      <w:sz w:val="21"/>
      <w:lang w:bidi="ar-SA"/>
    </w:rPr>
  </w:style>
  <w:style w:type="character" w:customStyle="1" w:styleId="44">
    <w:name w:val="正文文本 3 Char"/>
    <w:link w:val="9"/>
    <w:qFormat/>
    <w:uiPriority w:val="0"/>
    <w:rPr>
      <w:rFonts w:eastAsia="宋体"/>
      <w:kern w:val="2"/>
      <w:sz w:val="16"/>
      <w:lang w:val="en-US" w:eastAsia="zh-CN" w:bidi="ar-SA"/>
    </w:rPr>
  </w:style>
  <w:style w:type="character" w:customStyle="1" w:styleId="45">
    <w:name w:val="正文文本 Char"/>
    <w:link w:val="10"/>
    <w:qFormat/>
    <w:uiPriority w:val="0"/>
    <w:rPr>
      <w:rFonts w:eastAsia="宋体"/>
      <w:kern w:val="2"/>
      <w:sz w:val="21"/>
      <w:lang w:val="en-US" w:eastAsia="zh-CN" w:bidi="ar-SA"/>
    </w:rPr>
  </w:style>
  <w:style w:type="character" w:customStyle="1" w:styleId="46">
    <w:name w:val="正文文本缩进 Char"/>
    <w:link w:val="11"/>
    <w:qFormat/>
    <w:uiPriority w:val="0"/>
    <w:rPr>
      <w:rFonts w:eastAsia="宋体"/>
      <w:kern w:val="2"/>
      <w:sz w:val="21"/>
      <w:lang w:val="en-US" w:eastAsia="zh-CN" w:bidi="ar-SA"/>
    </w:rPr>
  </w:style>
  <w:style w:type="character" w:customStyle="1" w:styleId="47">
    <w:name w:val="纯文本 Char1"/>
    <w:link w:val="13"/>
    <w:qFormat/>
    <w:uiPriority w:val="0"/>
    <w:rPr>
      <w:rFonts w:ascii="宋体" w:hAnsi="Courier New" w:eastAsia="宋体"/>
      <w:kern w:val="2"/>
      <w:sz w:val="21"/>
      <w:lang w:val="en-US" w:eastAsia="zh-CN" w:bidi="ar-SA"/>
    </w:rPr>
  </w:style>
  <w:style w:type="character" w:customStyle="1" w:styleId="48">
    <w:name w:val="日期 Char"/>
    <w:link w:val="14"/>
    <w:qFormat/>
    <w:uiPriority w:val="0"/>
    <w:rPr>
      <w:rFonts w:eastAsia="宋体"/>
      <w:kern w:val="2"/>
      <w:sz w:val="28"/>
      <w:lang w:val="en-US" w:eastAsia="zh-CN" w:bidi="ar-SA"/>
    </w:rPr>
  </w:style>
  <w:style w:type="character" w:customStyle="1" w:styleId="49">
    <w:name w:val="正文文本缩进 2 Char"/>
    <w:link w:val="15"/>
    <w:qFormat/>
    <w:uiPriority w:val="0"/>
    <w:rPr>
      <w:rFonts w:eastAsia="宋体"/>
      <w:kern w:val="2"/>
      <w:sz w:val="24"/>
      <w:lang w:val="en-US" w:eastAsia="zh-CN" w:bidi="ar-SA"/>
    </w:rPr>
  </w:style>
  <w:style w:type="character" w:customStyle="1" w:styleId="50">
    <w:name w:val="批注框文本 Char"/>
    <w:link w:val="16"/>
    <w:qFormat/>
    <w:uiPriority w:val="0"/>
    <w:rPr>
      <w:kern w:val="2"/>
      <w:sz w:val="18"/>
      <w:lang w:bidi="ar-SA"/>
    </w:rPr>
  </w:style>
  <w:style w:type="character" w:customStyle="1" w:styleId="51">
    <w:name w:val="页脚 Char1"/>
    <w:link w:val="17"/>
    <w:qFormat/>
    <w:uiPriority w:val="0"/>
    <w:rPr>
      <w:rFonts w:eastAsia="宋体"/>
      <w:kern w:val="2"/>
      <w:sz w:val="18"/>
      <w:lang w:val="en-US" w:eastAsia="zh-CN" w:bidi="ar-SA"/>
    </w:rPr>
  </w:style>
  <w:style w:type="character" w:customStyle="1" w:styleId="52">
    <w:name w:val="页眉 Char1"/>
    <w:link w:val="18"/>
    <w:qFormat/>
    <w:uiPriority w:val="0"/>
    <w:rPr>
      <w:rFonts w:eastAsia="宋体"/>
      <w:kern w:val="2"/>
      <w:sz w:val="18"/>
      <w:lang w:val="en-US" w:eastAsia="zh-CN" w:bidi="ar-SA"/>
    </w:rPr>
  </w:style>
  <w:style w:type="character" w:customStyle="1" w:styleId="53">
    <w:name w:val="正文文本缩进 3 Char"/>
    <w:link w:val="22"/>
    <w:qFormat/>
    <w:uiPriority w:val="0"/>
    <w:rPr>
      <w:kern w:val="2"/>
      <w:sz w:val="16"/>
      <w:szCs w:val="16"/>
    </w:rPr>
  </w:style>
  <w:style w:type="character" w:customStyle="1" w:styleId="54">
    <w:name w:val="正文文本 2 Char"/>
    <w:link w:val="24"/>
    <w:qFormat/>
    <w:uiPriority w:val="0"/>
    <w:rPr>
      <w:rFonts w:eastAsia="宋体"/>
      <w:kern w:val="2"/>
      <w:sz w:val="21"/>
      <w:lang w:val="en-US" w:eastAsia="zh-CN" w:bidi="ar-SA"/>
    </w:rPr>
  </w:style>
  <w:style w:type="character" w:customStyle="1" w:styleId="55">
    <w:name w:val="标题 Char"/>
    <w:link w:val="27"/>
    <w:qFormat/>
    <w:uiPriority w:val="0"/>
    <w:rPr>
      <w:rFonts w:ascii="Cambria" w:hAnsi="Cambria" w:eastAsia="宋体"/>
      <w:b/>
      <w:kern w:val="2"/>
      <w:sz w:val="32"/>
      <w:lang w:val="en-US" w:eastAsia="zh-CN" w:bidi="ar-SA"/>
    </w:rPr>
  </w:style>
  <w:style w:type="character" w:customStyle="1" w:styleId="56">
    <w:name w:val="批注主题 Char"/>
    <w:link w:val="28"/>
    <w:qFormat/>
    <w:uiPriority w:val="0"/>
    <w:rPr>
      <w:b/>
      <w:kern w:val="2"/>
      <w:sz w:val="21"/>
      <w:lang w:bidi="ar-SA"/>
    </w:rPr>
  </w:style>
  <w:style w:type="character" w:customStyle="1" w:styleId="57">
    <w:name w:val="正文首行缩进 Char"/>
    <w:link w:val="29"/>
    <w:qFormat/>
    <w:uiPriority w:val="0"/>
    <w:rPr>
      <w:rFonts w:eastAsia="宋体"/>
      <w:kern w:val="2"/>
      <w:sz w:val="21"/>
      <w:lang w:val="en-US" w:eastAsia="zh-CN" w:bidi="ar-SA"/>
    </w:rPr>
  </w:style>
  <w:style w:type="character" w:customStyle="1" w:styleId="58">
    <w:name w:val="页脚 Char"/>
    <w:qFormat/>
    <w:uiPriority w:val="99"/>
    <w:rPr>
      <w:sz w:val="18"/>
      <w:szCs w:val="18"/>
    </w:rPr>
  </w:style>
  <w:style w:type="character" w:customStyle="1" w:styleId="59">
    <w:name w:val="批注文字 字符"/>
    <w:qFormat/>
    <w:uiPriority w:val="99"/>
    <w:rPr>
      <w:kern w:val="2"/>
      <w:sz w:val="21"/>
      <w:szCs w:val="24"/>
    </w:rPr>
  </w:style>
  <w:style w:type="character" w:customStyle="1" w:styleId="60">
    <w:name w:val="标准文本 Char"/>
    <w:link w:val="61"/>
    <w:qFormat/>
    <w:uiPriority w:val="0"/>
    <w:rPr>
      <w:rFonts w:eastAsia="宋体" w:cs="宋体"/>
      <w:kern w:val="2"/>
      <w:sz w:val="24"/>
      <w:szCs w:val="24"/>
      <w:lang w:val="en-US" w:eastAsia="zh-CN" w:bidi="ar-SA"/>
    </w:rPr>
  </w:style>
  <w:style w:type="paragraph" w:customStyle="1" w:styleId="61">
    <w:name w:val="标准文本"/>
    <w:basedOn w:val="1"/>
    <w:link w:val="60"/>
    <w:qFormat/>
    <w:uiPriority w:val="0"/>
    <w:pPr>
      <w:spacing w:line="360" w:lineRule="auto"/>
      <w:ind w:firstLine="480" w:firstLineChars="200"/>
    </w:pPr>
    <w:rPr>
      <w:rFonts w:cs="宋体"/>
      <w:sz w:val="24"/>
      <w:szCs w:val="24"/>
    </w:rPr>
  </w:style>
  <w:style w:type="character" w:customStyle="1" w:styleId="62">
    <w:name w:val="font71"/>
    <w:qFormat/>
    <w:uiPriority w:val="0"/>
    <w:rPr>
      <w:rFonts w:hint="eastAsia" w:ascii="宋体" w:hAnsi="宋体" w:eastAsia="宋体" w:cs="宋体"/>
      <w:color w:val="auto"/>
      <w:sz w:val="20"/>
      <w:szCs w:val="20"/>
      <w:u w:val="none"/>
    </w:rPr>
  </w:style>
  <w:style w:type="character" w:customStyle="1" w:styleId="63">
    <w:name w:val="页眉 Char"/>
    <w:qFormat/>
    <w:uiPriority w:val="99"/>
    <w:rPr>
      <w:sz w:val="18"/>
      <w:szCs w:val="18"/>
    </w:rPr>
  </w:style>
  <w:style w:type="character" w:customStyle="1" w:styleId="64">
    <w:name w:val="H1 Char"/>
    <w:qFormat/>
    <w:uiPriority w:val="0"/>
    <w:rPr>
      <w:rFonts w:eastAsia="宋体"/>
      <w:b/>
      <w:bCs/>
      <w:kern w:val="44"/>
      <w:sz w:val="44"/>
      <w:szCs w:val="44"/>
      <w:lang w:val="en-US" w:eastAsia="zh-CN" w:bidi="ar-SA"/>
    </w:rPr>
  </w:style>
  <w:style w:type="character" w:customStyle="1" w:styleId="65">
    <w:name w:val=" Char Char Char"/>
    <w:qFormat/>
    <w:uiPriority w:val="0"/>
    <w:rPr>
      <w:rFonts w:ascii="宋体" w:eastAsia="宋体"/>
      <w:sz w:val="24"/>
      <w:lang w:val="en-US" w:eastAsia="zh-CN" w:bidi="ar-SA"/>
    </w:rPr>
  </w:style>
  <w:style w:type="character" w:customStyle="1" w:styleId="66">
    <w:name w:val="纯文本 Char"/>
    <w:qFormat/>
    <w:uiPriority w:val="0"/>
    <w:rPr>
      <w:rFonts w:ascii="宋体" w:hAnsi="宋体" w:eastAsia="宋体" w:cs="Courier New"/>
      <w:sz w:val="24"/>
      <w:szCs w:val="24"/>
    </w:rPr>
  </w:style>
  <w:style w:type="character" w:customStyle="1" w:styleId="67">
    <w:name w:val="正文2 Char"/>
    <w:link w:val="68"/>
    <w:qFormat/>
    <w:uiPriority w:val="99"/>
    <w:rPr>
      <w:rFonts w:eastAsia="宋体"/>
      <w:kern w:val="2"/>
      <w:sz w:val="24"/>
      <w:lang w:val="en-US" w:eastAsia="zh-CN" w:bidi="ar-SA"/>
    </w:rPr>
  </w:style>
  <w:style w:type="paragraph" w:customStyle="1" w:styleId="68">
    <w:name w:val="正文2"/>
    <w:basedOn w:val="1"/>
    <w:link w:val="67"/>
    <w:qFormat/>
    <w:uiPriority w:val="99"/>
    <w:pPr>
      <w:spacing w:before="156" w:line="360" w:lineRule="auto"/>
      <w:ind w:firstLine="510" w:firstLineChars="200"/>
    </w:pPr>
    <w:rPr>
      <w:sz w:val="24"/>
    </w:rPr>
  </w:style>
  <w:style w:type="character" w:customStyle="1" w:styleId="69">
    <w:name w:val="第一章 标题 2 Char"/>
    <w:qFormat/>
    <w:uiPriority w:val="0"/>
    <w:rPr>
      <w:rFonts w:ascii="Arial" w:hAnsi="Arial" w:eastAsia="黑体"/>
      <w:b/>
      <w:bCs/>
      <w:kern w:val="2"/>
      <w:sz w:val="32"/>
      <w:szCs w:val="32"/>
      <w:lang w:val="en-US" w:eastAsia="zh-CN" w:bidi="ar-SA"/>
    </w:rPr>
  </w:style>
  <w:style w:type="character" w:customStyle="1" w:styleId="70">
    <w:name w:val="表正文 Char"/>
    <w:qFormat/>
    <w:uiPriority w:val="0"/>
    <w:rPr>
      <w:rFonts w:eastAsia="宋体"/>
      <w:kern w:val="2"/>
      <w:sz w:val="21"/>
      <w:lang w:val="en-US" w:eastAsia="zh-CN" w:bidi="ar-SA"/>
    </w:rPr>
  </w:style>
  <w:style w:type="character" w:customStyle="1" w:styleId="71">
    <w:name w:val="font81"/>
    <w:qFormat/>
    <w:uiPriority w:val="0"/>
    <w:rPr>
      <w:rFonts w:hint="eastAsia" w:ascii="宋体" w:hAnsi="宋体" w:eastAsia="宋体" w:cs="宋体"/>
      <w:color w:val="000000"/>
      <w:sz w:val="20"/>
      <w:szCs w:val="20"/>
      <w:u w:val="none"/>
    </w:rPr>
  </w:style>
  <w:style w:type="character" w:customStyle="1" w:styleId="72">
    <w:name w:val="font11"/>
    <w:qFormat/>
    <w:uiPriority w:val="0"/>
    <w:rPr>
      <w:rFonts w:hint="eastAsia" w:ascii="宋体" w:hAnsi="宋体" w:eastAsia="宋体" w:cs="宋体"/>
      <w:color w:val="000000"/>
      <w:sz w:val="20"/>
      <w:szCs w:val="20"/>
      <w:u w:val="none"/>
    </w:rPr>
  </w:style>
  <w:style w:type="character" w:customStyle="1" w:styleId="73">
    <w:name w:val="ziti211"/>
    <w:qFormat/>
    <w:uiPriority w:val="0"/>
    <w:rPr>
      <w:rFonts w:hint="default" w:ascii="_x000B__x000C_" w:hAnsi="_x000B__x000C_"/>
      <w:color w:val="666666"/>
      <w:sz w:val="24"/>
      <w:szCs w:val="24"/>
    </w:rPr>
  </w:style>
  <w:style w:type="character" w:customStyle="1" w:styleId="74">
    <w:name w:val="font01"/>
    <w:qFormat/>
    <w:uiPriority w:val="0"/>
    <w:rPr>
      <w:rFonts w:hint="eastAsia" w:ascii="宋体" w:hAnsi="宋体" w:eastAsia="宋体" w:cs="宋体"/>
      <w:color w:val="000000"/>
      <w:sz w:val="24"/>
      <w:szCs w:val="24"/>
      <w:u w:val="none"/>
    </w:rPr>
  </w:style>
  <w:style w:type="character" w:customStyle="1" w:styleId="75">
    <w:name w:val="font61"/>
    <w:qFormat/>
    <w:uiPriority w:val="0"/>
    <w:rPr>
      <w:rFonts w:hint="eastAsia" w:ascii="宋体" w:hAnsi="宋体" w:eastAsia="宋体" w:cs="宋体"/>
      <w:color w:val="000000"/>
      <w:sz w:val="20"/>
      <w:szCs w:val="20"/>
      <w:u w:val="none"/>
    </w:rPr>
  </w:style>
  <w:style w:type="paragraph" w:customStyle="1" w:styleId="76">
    <w:name w:val="样式 加点正文 + 段前: 0.5 行 段后: 0.5 行1"/>
    <w:basedOn w:val="1"/>
    <w:qFormat/>
    <w:uiPriority w:val="0"/>
    <w:pPr>
      <w:numPr>
        <w:ilvl w:val="0"/>
        <w:numId w:val="1"/>
      </w:numPr>
      <w:tabs>
        <w:tab w:val="left" w:pos="1268"/>
      </w:tabs>
      <w:spacing w:before="50" w:beforeLines="50" w:after="50" w:afterLines="50" w:line="300" w:lineRule="auto"/>
      <w:ind w:left="1268"/>
    </w:pPr>
    <w:rPr>
      <w:sz w:val="24"/>
    </w:rPr>
  </w:style>
  <w:style w:type="paragraph" w:customStyle="1" w:styleId="77">
    <w:name w:val="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78">
    <w:name w:val="马刚标题4"/>
    <w:basedOn w:val="79"/>
    <w:next w:val="1"/>
    <w:qFormat/>
    <w:uiPriority w:val="0"/>
    <w:pPr>
      <w:numPr>
        <w:ilvl w:val="2"/>
        <w:numId w:val="2"/>
      </w:numPr>
      <w:tabs>
        <w:tab w:val="left" w:pos="735"/>
        <w:tab w:val="left" w:pos="1050"/>
      </w:tabs>
      <w:spacing w:before="100" w:after="40"/>
      <w:outlineLvl w:val="3"/>
    </w:pPr>
    <w:rPr>
      <w:b w:val="0"/>
    </w:rPr>
  </w:style>
  <w:style w:type="paragraph" w:customStyle="1" w:styleId="79">
    <w:name w:val="马刚标题3"/>
    <w:basedOn w:val="1"/>
    <w:next w:val="1"/>
    <w:qFormat/>
    <w:uiPriority w:val="0"/>
    <w:pPr>
      <w:keepNext/>
      <w:keepLines/>
      <w:numPr>
        <w:ilvl w:val="0"/>
        <w:numId w:val="2"/>
      </w:numPr>
      <w:tabs>
        <w:tab w:val="left" w:pos="735"/>
      </w:tabs>
      <w:spacing w:before="120" w:after="60" w:line="415" w:lineRule="auto"/>
      <w:jc w:val="left"/>
      <w:outlineLvl w:val="2"/>
    </w:pPr>
    <w:rPr>
      <w:rFonts w:ascii="黑体" w:hAnsi="Arial" w:eastAsia="黑体"/>
      <w:b/>
      <w:bCs/>
      <w:sz w:val="24"/>
    </w:rPr>
  </w:style>
  <w:style w:type="paragraph" w:customStyle="1" w:styleId="80">
    <w:name w:val="标题2，章节第二层"/>
    <w:basedOn w:val="1"/>
    <w:next w:val="81"/>
    <w:qFormat/>
    <w:uiPriority w:val="0"/>
    <w:pPr>
      <w:numPr>
        <w:ilvl w:val="4"/>
        <w:numId w:val="3"/>
      </w:numPr>
      <w:tabs>
        <w:tab w:val="left" w:pos="630"/>
        <w:tab w:val="left" w:pos="992"/>
        <w:tab w:val="clear" w:pos="2100"/>
      </w:tabs>
      <w:adjustRightInd w:val="0"/>
      <w:snapToGrid w:val="0"/>
      <w:spacing w:before="100" w:beforeLines="100" w:after="100" w:afterLines="100" w:line="300" w:lineRule="auto"/>
      <w:ind w:left="992" w:hanging="567"/>
      <w:outlineLvl w:val="1"/>
    </w:pPr>
    <w:rPr>
      <w:rFonts w:ascii="Arial" w:hAnsi="Arial" w:eastAsia="黑体"/>
      <w:sz w:val="32"/>
      <w:szCs w:val="24"/>
    </w:rPr>
  </w:style>
  <w:style w:type="paragraph" w:customStyle="1" w:styleId="81">
    <w:name w:val="正文格式"/>
    <w:basedOn w:val="1"/>
    <w:qFormat/>
    <w:uiPriority w:val="0"/>
    <w:pPr>
      <w:widowControl/>
      <w:adjustRightInd w:val="0"/>
      <w:snapToGrid w:val="0"/>
      <w:spacing w:before="60" w:beforeLines="25" w:line="360" w:lineRule="auto"/>
      <w:ind w:left="178" w:right="44" w:rightChars="21" w:hanging="178" w:hangingChars="85"/>
      <w:jc w:val="left"/>
      <w:textAlignment w:val="baseline"/>
    </w:pPr>
    <w:rPr>
      <w:rFonts w:ascii="宋体" w:hAnsi="宋体"/>
      <w:bCs/>
      <w:kern w:val="0"/>
      <w:szCs w:val="21"/>
    </w:rPr>
  </w:style>
  <w:style w:type="paragraph" w:customStyle="1" w:styleId="8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3">
    <w:name w:val="报告正文"/>
    <w:basedOn w:val="1"/>
    <w:qFormat/>
    <w:uiPriority w:val="0"/>
    <w:pPr>
      <w:adjustRightInd w:val="0"/>
      <w:snapToGrid w:val="0"/>
      <w:spacing w:line="312" w:lineRule="auto"/>
      <w:ind w:left="2600"/>
    </w:pPr>
    <w:rPr>
      <w:rFonts w:ascii="华文细黑" w:eastAsia="华文细黑"/>
      <w:sz w:val="20"/>
    </w:rPr>
  </w:style>
  <w:style w:type="paragraph" w:customStyle="1" w:styleId="84">
    <w:name w:val="Char Char Char Char"/>
    <w:basedOn w:val="7"/>
    <w:qFormat/>
    <w:uiPriority w:val="0"/>
    <w:pPr>
      <w:adjustRightInd w:val="0"/>
      <w:snapToGrid w:val="0"/>
      <w:spacing w:line="360" w:lineRule="auto"/>
    </w:pPr>
    <w:rPr>
      <w:rFonts w:ascii="Tahoma" w:hAnsi="Tahoma"/>
      <w:sz w:val="24"/>
      <w:szCs w:val="24"/>
    </w:rPr>
  </w:style>
  <w:style w:type="paragraph" w:customStyle="1" w:styleId="85">
    <w:name w:val="马刚标题1"/>
    <w:basedOn w:val="3"/>
    <w:next w:val="1"/>
    <w:qFormat/>
    <w:uiPriority w:val="0"/>
    <w:pPr>
      <w:numPr>
        <w:ilvl w:val="1"/>
        <w:numId w:val="2"/>
      </w:numPr>
      <w:tabs>
        <w:tab w:val="left" w:pos="315"/>
        <w:tab w:val="clear" w:pos="360"/>
      </w:tabs>
      <w:autoSpaceDE/>
      <w:autoSpaceDN/>
      <w:adjustRightInd/>
      <w:spacing w:before="400" w:after="120" w:line="578" w:lineRule="auto"/>
      <w:textAlignment w:val="auto"/>
    </w:pPr>
    <w:rPr>
      <w:rFonts w:ascii="Times New Roman" w:hAnsi="Times New Roman"/>
      <w:b w:val="0"/>
      <w:color w:val="auto"/>
      <w:sz w:val="32"/>
    </w:rPr>
  </w:style>
  <w:style w:type="paragraph" w:styleId="86">
    <w:name w:val="List Paragraph"/>
    <w:basedOn w:val="1"/>
    <w:qFormat/>
    <w:uiPriority w:val="34"/>
    <w:pPr>
      <w:ind w:firstLine="420" w:firstLineChars="200"/>
    </w:pPr>
    <w:rPr>
      <w:szCs w:val="24"/>
    </w:rPr>
  </w:style>
  <w:style w:type="paragraph" w:customStyle="1" w:styleId="87">
    <w:name w:val="Table Paragraph"/>
    <w:basedOn w:val="1"/>
    <w:qFormat/>
    <w:uiPriority w:val="1"/>
    <w:pPr>
      <w:jc w:val="left"/>
    </w:pPr>
    <w:rPr>
      <w:rFonts w:ascii="Calibri" w:hAnsi="Calibri"/>
      <w:kern w:val="0"/>
      <w:sz w:val="22"/>
      <w:szCs w:val="22"/>
      <w:lang w:eastAsia="en-US"/>
    </w:rPr>
  </w:style>
  <w:style w:type="paragraph" w:customStyle="1" w:styleId="88">
    <w:name w:val="List Paragraph1"/>
    <w:basedOn w:val="1"/>
    <w:qFormat/>
    <w:uiPriority w:val="0"/>
    <w:pPr>
      <w:widowControl/>
      <w:spacing w:after="200" w:line="276" w:lineRule="auto"/>
      <w:ind w:left="720"/>
      <w:contextualSpacing/>
      <w:jc w:val="left"/>
    </w:pPr>
    <w:rPr>
      <w:rFonts w:ascii="Calibri" w:hAnsi="Calibri"/>
      <w:kern w:val="0"/>
      <w:sz w:val="22"/>
      <w:szCs w:val="22"/>
      <w:lang w:eastAsia="en-US"/>
    </w:rPr>
  </w:style>
  <w:style w:type="paragraph" w:customStyle="1" w:styleId="89">
    <w:name w:val="列表段落"/>
    <w:basedOn w:val="1"/>
    <w:qFormat/>
    <w:uiPriority w:val="0"/>
    <w:pPr>
      <w:ind w:firstLine="420" w:firstLineChars="200"/>
    </w:pPr>
    <w:rPr>
      <w:rFonts w:ascii="Calibri" w:hAnsi="Calibri"/>
      <w:szCs w:val="22"/>
    </w:rPr>
  </w:style>
  <w:style w:type="paragraph" w:customStyle="1" w:styleId="90">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91">
    <w:name w:val="样式1"/>
    <w:basedOn w:val="1"/>
    <w:qFormat/>
    <w:uiPriority w:val="0"/>
    <w:pPr>
      <w:spacing w:line="360" w:lineRule="auto"/>
      <w:ind w:firstLine="562" w:firstLineChars="200"/>
    </w:pPr>
    <w:rPr>
      <w:sz w:val="24"/>
    </w:rPr>
  </w:style>
  <w:style w:type="paragraph" w:customStyle="1" w:styleId="9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szCs w:val="24"/>
    </w:rPr>
  </w:style>
  <w:style w:type="paragraph" w:customStyle="1" w:styleId="93">
    <w:name w:val="_Style 47"/>
    <w:basedOn w:val="1"/>
    <w:qFormat/>
    <w:uiPriority w:val="0"/>
  </w:style>
  <w:style w:type="paragraph" w:customStyle="1" w:styleId="94">
    <w:name w:val=" Char7"/>
    <w:basedOn w:val="7"/>
    <w:qFormat/>
    <w:uiPriority w:val="0"/>
    <w:pPr>
      <w:adjustRightInd w:val="0"/>
      <w:snapToGrid w:val="0"/>
      <w:spacing w:line="360" w:lineRule="auto"/>
    </w:pPr>
    <w:rPr>
      <w:rFonts w:ascii="Tahoma" w:hAnsi="Tahoma"/>
      <w:sz w:val="24"/>
      <w:szCs w:val="24"/>
    </w:rPr>
  </w:style>
  <w:style w:type="paragraph" w:customStyle="1" w:styleId="95">
    <w:name w:val="正文 + 宋体"/>
    <w:basedOn w:val="1"/>
    <w:qFormat/>
    <w:uiPriority w:val="0"/>
    <w:pPr>
      <w:spacing w:line="360" w:lineRule="auto"/>
      <w:ind w:firstLine="420" w:firstLineChars="200"/>
    </w:pPr>
    <w:rPr>
      <w:rFonts w:ascii="Calibri" w:hAnsi="Calibri"/>
      <w:szCs w:val="24"/>
    </w:rPr>
  </w:style>
  <w:style w:type="paragraph" w:customStyle="1" w:styleId="9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7">
    <w:name w:val="xl3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98">
    <w:name w:val="默认段落字体 Para Char Char Char Char Char Char Char"/>
    <w:basedOn w:val="1"/>
    <w:qFormat/>
    <w:uiPriority w:val="0"/>
    <w:rPr>
      <w:rFonts w:ascii="Tahoma" w:hAnsi="Tahoma"/>
      <w:sz w:val="24"/>
    </w:rPr>
  </w:style>
  <w:style w:type="paragraph" w:customStyle="1" w:styleId="99">
    <w:name w:val="项目符号，二级"/>
    <w:basedOn w:val="81"/>
    <w:next w:val="81"/>
    <w:qFormat/>
    <w:uiPriority w:val="0"/>
    <w:pPr>
      <w:numPr>
        <w:ilvl w:val="0"/>
        <w:numId w:val="4"/>
      </w:numPr>
      <w:tabs>
        <w:tab w:val="left" w:pos="1211"/>
        <w:tab w:val="left" w:pos="1337"/>
        <w:tab w:val="clear" w:pos="567"/>
      </w:tabs>
      <w:ind w:left="1337" w:right="-27" w:firstLine="480"/>
    </w:pPr>
    <w:rPr>
      <w:bCs w:val="0"/>
      <w:color w:val="000000"/>
      <w:sz w:val="24"/>
      <w:szCs w:val="24"/>
    </w:rPr>
  </w:style>
  <w:style w:type="paragraph" w:customStyle="1" w:styleId="10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1">
    <w:name w:val="投标文件二级标题"/>
    <w:basedOn w:val="4"/>
    <w:qFormat/>
    <w:uiPriority w:val="0"/>
    <w:pPr>
      <w:numPr>
        <w:ilvl w:val="1"/>
        <w:numId w:val="5"/>
      </w:numPr>
      <w:spacing w:before="480" w:after="120" w:line="400" w:lineRule="exact"/>
    </w:pPr>
    <w:rPr>
      <w:szCs w:val="28"/>
    </w:rPr>
  </w:style>
  <w:style w:type="paragraph" w:customStyle="1" w:styleId="102">
    <w:name w:val="【正文】"/>
    <w:basedOn w:val="1"/>
    <w:qFormat/>
    <w:uiPriority w:val="0"/>
    <w:pPr>
      <w:spacing w:line="360" w:lineRule="auto"/>
      <w:ind w:firstLine="480" w:firstLineChars="200"/>
    </w:pPr>
    <w:rPr>
      <w:rFonts w:ascii="Calibri" w:hAnsi="Calibri"/>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5108</Words>
  <Characters>29122</Characters>
  <Lines>242</Lines>
  <Paragraphs>68</Paragraphs>
  <TotalTime>210</TotalTime>
  <ScaleCrop>false</ScaleCrop>
  <LinksUpToDate>false</LinksUpToDate>
  <CharactersWithSpaces>34162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2020-01-17T01:09:00Z</dcterms:created>
  <dc:creator>Lenovo User</dc:creator>
  <cp:lastModifiedBy>念你情深</cp:lastModifiedBy>
  <cp:lastPrinted>2021-05-24T08:19:00Z</cp:lastPrinted>
  <dcterms:modified xsi:type="dcterms:W3CDTF">2021-06-09T08:38:40Z</dcterms:modified>
  <dc:title>公开招标文件</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51DE79AAF76648A2A1CD50068FF65DA5</vt:lpwstr>
  </property>
</Properties>
</file>