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埭头镇</w:t>
      </w:r>
      <w:r>
        <w:rPr>
          <w:rFonts w:ascii="Times New Roman" w:hAnsi="Times New Roman" w:eastAsia="Times New Roman" w:cs="Times New Roman"/>
          <w:b/>
          <w:color w:val="000000"/>
          <w:sz w:val="60"/>
        </w:rPr>
        <w:t xml:space="preserve">2025</w:t>
      </w:r>
      <w:r>
        <w:rPr>
          <w:rFonts w:ascii="SimSun" w:hAnsi="SimSun" w:eastAsia="SimSun" w:cs="SimSun"/>
          <w:b/>
          <w:color w:val="000000"/>
          <w:sz w:val="60"/>
        </w:rPr>
        <w:t xml:space="preserve">年农村环境卫生保洁项目竞争性磋商文件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2832" w:right="0" w:hanging="190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rPr>
          <w:rFonts w:ascii="SimSun" w:hAnsi="SimSun" w:eastAsia="SimSun" w:cs="SimSun"/>
          <w:color w:val="000000"/>
          <w:sz w:val="32"/>
        </w:rPr>
        <w:t xml:space="preserve">埭头镇2025年农村环境卫生保洁项目</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SimSun" w:hAnsi="SimSun" w:eastAsia="SimSun" w:cs="SimSun"/>
          <w:color w:val="000000"/>
          <w:sz w:val="32"/>
        </w:rPr>
        <w:t xml:space="preserve">JSZC-320481-SNGL-C2025-0007</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highlight w:val="none"/>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w:t>
      </w:r>
      <w:r>
        <w:rPr>
          <w:rFonts w:ascii="SimSun" w:hAnsi="SimSun" w:eastAsia="SimSun" w:cs="SimSun"/>
          <w:color w:val="000000"/>
          <w:sz w:val="32"/>
        </w:rPr>
        <w:t xml:space="preserve">溧阳市埭头镇人民政府</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w:t>
      </w:r>
      <w:r>
        <w:rPr>
          <w:rFonts w:ascii="SimSun" w:hAnsi="SimSun" w:eastAsia="SimSun" w:cs="SimSun"/>
          <w:color w:val="000000"/>
          <w:sz w:val="32"/>
        </w:rPr>
        <w:t xml:space="preserve">江苏苏南项目管理有限公司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04818925" w:history="1">
        <w:r>
          <w:rPr>
            <w:rStyle w:val="800"/>
            <w:rFonts w:ascii="SimSun" w:hAnsi="SimSun" w:eastAsia="SimSun" w:cs="SimSun"/>
            <w:color w:val="0084ff"/>
            <w:sz w:val="24"/>
            <w:u w:val="single"/>
          </w:rPr>
          <w:t xml:space="preserve">第一章</w:t>
        </w:r>
        <w:r>
          <w:rPr>
            <w:rStyle w:val="800"/>
            <w:rFonts w:ascii="Times New Roman" w:hAnsi="Times New Roman" w:eastAsia="Times New Roman" w:cs="Times New Roman"/>
            <w:color w:val="0084ff"/>
            <w:sz w:val="24"/>
            <w:u w:val="none"/>
          </w:rPr>
          <w:t xml:space="preserve">   </w:t>
        </w:r>
        <w:r>
          <w:rPr>
            <w:rStyle w:val="800"/>
            <w:rFonts w:ascii="SimSun" w:hAnsi="SimSun" w:eastAsia="SimSun" w:cs="SimSun"/>
            <w:color w:val="0084ff"/>
            <w:sz w:val="24"/>
            <w:u w:val="single"/>
          </w:rPr>
          <w:t xml:space="preserve">采购邀请</w:t>
        </w:r>
        <w:r>
          <w:rPr>
            <w:rStyle w:val="800"/>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04818926" w:history="1">
        <w:r>
          <w:rPr>
            <w:rStyle w:val="800"/>
            <w:rFonts w:ascii="SimSun" w:hAnsi="SimSun" w:eastAsia="SimSun" w:cs="SimSun"/>
            <w:color w:val="0084ff"/>
            <w:sz w:val="24"/>
            <w:u w:val="single"/>
          </w:rPr>
          <w:t xml:space="preserve">第二章</w:t>
        </w:r>
        <w:r>
          <w:rPr>
            <w:rStyle w:val="800"/>
            <w:rFonts w:ascii="Times New Roman" w:hAnsi="Times New Roman" w:eastAsia="Times New Roman" w:cs="Times New Roman"/>
            <w:color w:val="0084ff"/>
            <w:sz w:val="24"/>
            <w:u w:val="none"/>
          </w:rPr>
          <w:t xml:space="preserve">   </w:t>
        </w:r>
        <w:r>
          <w:rPr>
            <w:rStyle w:val="800"/>
            <w:rFonts w:ascii="SimSun" w:hAnsi="SimSun" w:eastAsia="SimSun" w:cs="SimSun"/>
            <w:color w:val="0084ff"/>
            <w:sz w:val="24"/>
            <w:u w:val="single"/>
          </w:rPr>
          <w:t xml:space="preserve">供应商须知</w:t>
        </w:r>
        <w:r>
          <w:rPr>
            <w:rStyle w:val="800"/>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4818927" w:history="1">
        <w:r>
          <w:rPr>
            <w:rStyle w:val="800"/>
            <w:rFonts w:ascii="SimSun" w:hAnsi="SimSun" w:eastAsia="SimSun" w:cs="SimSun"/>
            <w:color w:val="0084ff"/>
            <w:sz w:val="24"/>
            <w:u w:val="single"/>
          </w:rPr>
          <w:t xml:space="preserve">第三章</w:t>
        </w:r>
        <w:r>
          <w:rPr>
            <w:rStyle w:val="800"/>
            <w:rFonts w:ascii="Times New Roman" w:hAnsi="Times New Roman" w:eastAsia="Times New Roman" w:cs="Times New Roman"/>
            <w:color w:val="0084ff"/>
            <w:sz w:val="24"/>
            <w:u w:val="none"/>
          </w:rPr>
          <w:t xml:space="preserve">   </w:t>
        </w:r>
        <w:r>
          <w:rPr>
            <w:rStyle w:val="800"/>
            <w:rFonts w:ascii="SimSun" w:hAnsi="SimSun" w:eastAsia="SimSun" w:cs="SimSun"/>
            <w:color w:val="0084ff"/>
            <w:sz w:val="24"/>
            <w:u w:val="single"/>
          </w:rPr>
          <w:t xml:space="preserve">评审程序、评审方法和评审标准</w:t>
        </w:r>
        <w:r>
          <w:rPr>
            <w:rStyle w:val="800"/>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4818928" w:history="1">
        <w:r>
          <w:rPr>
            <w:rStyle w:val="800"/>
            <w:rFonts w:ascii="SimSun" w:hAnsi="SimSun" w:eastAsia="SimSun" w:cs="SimSun"/>
            <w:color w:val="0084ff"/>
            <w:sz w:val="24"/>
            <w:u w:val="single"/>
          </w:rPr>
          <w:t xml:space="preserve">第四章</w:t>
        </w:r>
        <w:r>
          <w:rPr>
            <w:rStyle w:val="800"/>
            <w:rFonts w:ascii="Times New Roman" w:hAnsi="Times New Roman" w:eastAsia="Times New Roman" w:cs="Times New Roman"/>
            <w:color w:val="0084ff"/>
            <w:sz w:val="24"/>
            <w:u w:val="none"/>
          </w:rPr>
          <w:t xml:space="preserve">   </w:t>
        </w:r>
        <w:r>
          <w:rPr>
            <w:rStyle w:val="800"/>
            <w:rFonts w:ascii="SimSun" w:hAnsi="SimSun" w:eastAsia="SimSun" w:cs="SimSun"/>
            <w:color w:val="0084ff"/>
            <w:sz w:val="24"/>
            <w:u w:val="single"/>
          </w:rPr>
          <w:t xml:space="preserve">采购需求</w:t>
        </w:r>
        <w:r>
          <w:rPr>
            <w:rStyle w:val="800"/>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4818929" w:history="1">
        <w:r>
          <w:rPr>
            <w:rStyle w:val="800"/>
            <w:rFonts w:ascii="SimSun" w:hAnsi="SimSun" w:eastAsia="SimSun" w:cs="SimSun"/>
            <w:color w:val="0084ff"/>
            <w:sz w:val="24"/>
            <w:u w:val="single"/>
          </w:rPr>
          <w:t xml:space="preserve">第五章</w:t>
        </w:r>
        <w:r>
          <w:rPr>
            <w:rStyle w:val="800"/>
            <w:rFonts w:ascii="Times New Roman" w:hAnsi="Times New Roman" w:eastAsia="Times New Roman" w:cs="Times New Roman"/>
            <w:color w:val="0084ff"/>
            <w:sz w:val="24"/>
            <w:u w:val="none"/>
          </w:rPr>
          <w:t xml:space="preserve">   </w:t>
        </w:r>
        <w:r>
          <w:rPr>
            <w:rStyle w:val="800"/>
            <w:rFonts w:ascii="SimSun" w:hAnsi="SimSun" w:eastAsia="SimSun" w:cs="SimSun"/>
            <w:color w:val="0084ff"/>
            <w:sz w:val="24"/>
            <w:u w:val="single"/>
          </w:rPr>
          <w:t xml:space="preserve">合同草案条款</w:t>
        </w:r>
        <w:r>
          <w:rPr>
            <w:rStyle w:val="800"/>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818930" w:history="1">
        <w:r>
          <w:rPr>
            <w:rStyle w:val="800"/>
            <w:rFonts w:ascii="SimSun" w:hAnsi="SimSun" w:eastAsia="SimSun" w:cs="SimSun"/>
            <w:color w:val="0084ff"/>
            <w:sz w:val="24"/>
            <w:u w:val="single"/>
          </w:rPr>
          <w:t xml:space="preserve">第六章</w:t>
        </w:r>
        <w:r>
          <w:rPr>
            <w:rStyle w:val="800"/>
            <w:rFonts w:ascii="Times New Roman" w:hAnsi="Times New Roman" w:eastAsia="Times New Roman" w:cs="Times New Roman"/>
            <w:color w:val="0084ff"/>
            <w:sz w:val="24"/>
            <w:u w:val="none"/>
          </w:rPr>
          <w:t xml:space="preserve">   </w:t>
        </w:r>
        <w:r>
          <w:rPr>
            <w:rStyle w:val="800"/>
            <w:rFonts w:ascii="SimSun" w:hAnsi="SimSun" w:eastAsia="SimSun" w:cs="SimSun"/>
            <w:color w:val="0084ff"/>
            <w:sz w:val="24"/>
            <w:u w:val="single"/>
          </w:rPr>
          <w:t xml:space="preserve">响应文件格式</w:t>
        </w:r>
        <w:r>
          <w:rPr>
            <w:rStyle w:val="800"/>
            <w:rFonts w:ascii="SimSun" w:hAnsi="SimSun" w:eastAsia="SimSun" w:cs="SimSun"/>
            <w:b/>
            <w:color w:val="0000ee"/>
            <w:sz w:val="24"/>
            <w:u w:val="single"/>
          </w:rPr>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项目编号：JSZC-320481-SNGL-C2025-0007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项目名称：埭头镇2025年农村环境卫生保洁项目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项目预算金额：</w:t>
      </w:r>
      <w:r>
        <w:rPr>
          <w:rFonts w:ascii="Times New Roman" w:hAnsi="Times New Roman" w:eastAsia="Times New Roman" w:cs="Times New Roman"/>
          <w:color w:val="000000"/>
          <w:sz w:val="24"/>
          <w:u w:val="single"/>
        </w:rPr>
        <w:t xml:space="preserve">290</w:t>
      </w:r>
      <w:r>
        <w:rPr>
          <w:rFonts w:ascii="SimSun" w:hAnsi="SimSun" w:eastAsia="SimSun" w:cs="SimSun"/>
          <w:color w:val="000000"/>
          <w:sz w:val="24"/>
          <w:u w:val="single"/>
        </w:rPr>
        <w:t xml:space="preserve">万元</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项目最高限价：</w:t>
      </w:r>
      <w:r>
        <w:rPr>
          <w:rFonts w:ascii="Times New Roman" w:hAnsi="Times New Roman" w:eastAsia="Times New Roman" w:cs="Times New Roman"/>
          <w:color w:val="000000"/>
          <w:sz w:val="24"/>
          <w:u w:val="single"/>
        </w:rPr>
        <w:t xml:space="preserve">278</w:t>
      </w:r>
      <w:r>
        <w:rPr>
          <w:rFonts w:ascii="SimSun" w:hAnsi="SimSun" w:eastAsia="SimSun" w:cs="SimSun"/>
          <w:color w:val="000000"/>
          <w:sz w:val="24"/>
          <w:u w:val="single"/>
        </w:rPr>
        <w:t xml:space="preserve">万元</w:t>
      </w:r>
      <w:r>
        <w:rPr>
          <w:rFonts w:ascii="SimSun" w:hAnsi="SimSun" w:eastAsia="SimSun" w:cs="SimSun"/>
          <w:b/>
          <w:color w:val="000000"/>
          <w:sz w:val="24"/>
          <w:u w:val="single"/>
        </w:rPr>
        <w:t xml:space="preserve">，报价超过最高限价作无效响应处理。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采购需求：本次招标内容为埭头镇2025年农村环境卫生保洁项目。</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采购包预算金额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简要技术需求或服务要求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埭头镇</w:t>
            </w:r>
            <w:r>
              <w:rPr>
                <w:rFonts w:ascii="Calibri" w:hAnsi="Calibri" w:eastAsia="Calibri" w:cs="Calibri"/>
                <w:color w:val="000000"/>
                <w:sz w:val="21"/>
              </w:rPr>
              <w:t xml:space="preserve">2025</w:t>
            </w:r>
            <w:r>
              <w:rPr>
                <w:rFonts w:ascii="SimSun" w:hAnsi="SimSun" w:eastAsia="SimSun" w:cs="SimSun"/>
                <w:color w:val="000000"/>
                <w:sz w:val="21"/>
              </w:rPr>
              <w:t xml:space="preserve">年农村环境卫生保洁项目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2025</w:t>
            </w:r>
            <w:r>
              <w:rPr>
                <w:rFonts w:ascii="SimSun" w:hAnsi="SimSun" w:eastAsia="SimSun" w:cs="SimSun"/>
                <w:color w:val="000000"/>
                <w:sz w:val="21"/>
              </w:rPr>
              <w:t xml:space="preserve">年埭头镇农村环境卫生保洁项目</w:t>
            </w:r>
            <w:r>
              <w:rPr>
                <w:rFonts w:ascii="SimSun" w:hAnsi="SimSun" w:eastAsia="SimSun" w:cs="SimSun"/>
                <w:color w:val="000000"/>
                <w:spacing w:val="4"/>
                <w:sz w:val="21"/>
              </w:rPr>
              <w:t xml:space="preserve">。详见第四章 采购需求</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年（以采购人书面通知进场时间开始计算）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本项目是否接受联合体：</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8.</w:t>
      </w:r>
      <w:r>
        <w:rPr>
          <w:rFonts w:ascii="SimSun" w:hAnsi="SimSun" w:eastAsia="SimSun" w:cs="SimSun"/>
          <w:color w:val="000000"/>
          <w:sz w:val="24"/>
        </w:rPr>
        <w:t xml:space="preserve">本项目是否接受进口产品响应：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  ■否。</w:t>
      </w:r>
      <w:r/>
    </w:p>
    <w:p>
      <w:pPr>
        <w:pStyle w:val="64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满足《中华人民共和国政府采购法》第二十二条规定</w:t>
      </w:r>
      <w:r>
        <w:rPr>
          <w:rFonts w:ascii="SimSun" w:hAnsi="SimSun" w:eastAsia="SimSun" w:cs="SimSun"/>
          <w:color w:val="000000"/>
          <w:sz w:val="24"/>
        </w:rPr>
        <w:t xml:space="preserve">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）或“中国政府采购网”网站（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1"/>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本项目不专门面向中小企业预留采购份额。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w:t>
      </w:r>
      <w:r>
        <w:rPr>
          <w:rFonts w:ascii="Times New Roman" w:hAnsi="Times New Roman" w:eastAsia="Times New Roman" w:cs="Times New Roman"/>
          <w:color w:val="000000"/>
          <w:sz w:val="24"/>
        </w:rPr>
        <w:t xml:space="preserve"> </w:t>
      </w:r>
      <w:r>
        <w:rPr>
          <w:rFonts w:ascii="Wingdings 2" w:hAnsi="Wingdings 2" w:eastAsia="Wingdings 2" w:cs="Wingdings 2"/>
          <w:color w:val="000000"/>
          <w:sz w:val="21"/>
        </w:rPr>
        <w:t xml:space="preserve">£</w:t>
      </w:r>
      <w:r>
        <w:rPr>
          <w:rFonts w:ascii="SimSun" w:hAnsi="SimSun" w:eastAsia="SimSun" w:cs="SimSun"/>
          <w:color w:val="000000"/>
          <w:sz w:val="24"/>
        </w:rPr>
        <w:t xml:space="preserve">小微 企业采购。即：提供的货物全部由符合政策要求的中小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小微企业制造、服务全部由符合政策要求的中小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本项目是否接受分支机构参与响应：</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其他特定资格要求：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日至</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2.地点：“苏采云”政府采购一体化平台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3.方式：供应商持CA数字认证证书登录“苏采云”政府采购一体化平台（http://jszfcg.jsczt.cn/jszc/login）获取电子版采购文件。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份。</w:t>
      </w:r>
      <w:r/>
    </w:p>
    <w:p>
      <w:pPr>
        <w:ind w:left="840"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地点：供应商持CA数字认证证书登录“苏采云”政府采购一体化平台（http://jszfcg.jsczt.cn/jszc/login）获取电子版磋商文件。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地点：本项目采用不见面交易方式，无需到现场提交，供应商登录“苏采云”政府采购一体化平台供应商端，通过系统在线提交电子响应文件。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pStyle w:val="64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pStyle w:val="64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 </w:t>
      </w:r>
      <w:r/>
    </w:p>
    <w:p>
      <w:pPr>
        <w:pStyle w:val="64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1.本项目需要落实的政府采购政策：扶持中小企业、监狱企业、残疾人福利企业。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不见面交易方式，请供应商认真学习“苏采云”的相关操作手册，办理CA认证证书、进行“苏采云”政府采购一体化平台注册绑定，并认真核实数字认证证书情况确认是否符合本项目电子化采购流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技术保障服务：“苏采云”系统使用期间，由系统开发商江苏富深协通科技股份有限公司提供技术保障服务，指导软件操作，维护系统稳定运行。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运维保障联系方式：0519-85588210、0519-85588163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2.1办理CA认证证书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申请人登录常州政府采购网“下载中心”栏目，根据江苏省政府采购数字证书CA及电子签章办理指南，按照程序要求办理。地址：锦绣路2号行政服务中心1-1号楼。CA办理窗口联系方式：0519-85588120。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2.2注册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供应商登录常州市政府采购网“下载中心”-“苏采云”系统（供应商）操作手册下载相关操作手册、操作视频等，查阅后进行自助注册。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2.3控件、客户端下载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供应商登录常州市政府采购网“下载中心”-政府采购管理交易系统（苏采云）CA及签章控件驱动下载相关控件及客户端。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获取电子磋商文件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供应商持CA数字认证证书登录“苏采云”政府采购一体化平台获取电子磋商文件。未在规定期限内通过“苏采云”政府采购一体化平台获取磋商文件的响应无效。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2.5编制电子响应文件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2.6提交电子响应文件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供应商应于响应截止时间前在“苏采云”政府采购一体化平台提交电子响应文件，上传电子响应文件过程中请保持与互联网的连接畅通。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2.7电子开标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供应商使用CA认证证书登录“苏采云”政府采购一体化平台进行电子化不见面开标。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3.关于常州市中小企业政府采购信用融资：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2"/>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八、对本项目提出询问，请按以下方式联系。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采购人信息</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u w:val="single"/>
        </w:rPr>
        <w:t xml:space="preserve">溧阳市埭头镇人民政府</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溧阳市埭头集镇人民路1号</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0519-87360056</w:t>
      </w:r>
      <w:r/>
    </w:p>
    <w:p>
      <w:pPr>
        <w:ind w:left="1078" w:right="0" w:hanging="29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采购代理机构信息</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u w:val="single"/>
        </w:rPr>
        <w:t xml:space="preserve">江苏苏南项目管理有限公司</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江苏省溧阳市游子吟大道263号汉宇大厦406室</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0519-87278789</w:t>
      </w:r>
      <w:r/>
    </w:p>
    <w:p>
      <w:pPr>
        <w:ind w:left="1078" w:right="0" w:hanging="29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项目联系方式</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王女士</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rPr>
          <w:rFonts w:ascii="SimSun" w:hAnsi="SimSun" w:eastAsia="SimSun" w:cs="SimSun"/>
          <w:color w:val="000000"/>
          <w:sz w:val="24"/>
          <w:u w:val="single"/>
        </w:rPr>
        <w:t xml:space="preserve">0519-87278789</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pStyle w:val="642"/>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0"/>
        <w:gridCol w:w="1600"/>
        <w:gridCol w:w="6824"/>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工程</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组织，考察时间：</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Times New Roman" w:hAnsi="Times New Roman" w:eastAsia="Times New Roman" w:cs="Times New Roman"/>
                <w:color w:val="000000"/>
                <w:sz w:val="24"/>
              </w:rPr>
              <w:t xml:space="preserve">______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不召开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召开，召开时间：</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Times New Roman" w:hAnsi="Times New Roman" w:eastAsia="Times New Roman" w:cs="Times New Roman"/>
                <w:color w:val="000000"/>
                <w:sz w:val="24"/>
              </w:rPr>
              <w:t xml:space="preserve">____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本项目属于</w:t>
            </w:r>
            <w:r>
              <w:rPr>
                <w:rFonts w:ascii="SimSun" w:hAnsi="SimSun" w:eastAsia="SimSun" w:cs="SimSun"/>
                <w:color w:val="000000"/>
                <w:sz w:val="24"/>
                <w:u w:val="single"/>
              </w:rPr>
              <w:t xml:space="preserve">服务类，</w:t>
            </w:r>
            <w:r>
              <w:rPr>
                <w:rFonts w:ascii="SimSun" w:hAnsi="SimSun" w:eastAsia="SimSun" w:cs="SimSun"/>
                <w:color w:val="000000"/>
                <w:sz w:val="24"/>
              </w:rPr>
              <w:t xml:space="preserve">采购标的对应的中小企业划分标准所属行业：</w:t>
            </w:r>
            <w:r>
              <w:rPr>
                <w:rFonts w:ascii="SimSun" w:hAnsi="SimSun" w:eastAsia="SimSun" w:cs="SimSun"/>
                <w:color w:val="000000"/>
                <w:sz w:val="24"/>
                <w:u w:val="single"/>
              </w:rPr>
              <w:t xml:space="preserve">其他未列明行业</w:t>
            </w:r>
            <w:r/>
          </w:p>
        </w:tc>
      </w:tr>
      <w:tr>
        <w:trPr>
          <w:trHeight w:val="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有，具体情形：</w:t>
            </w:r>
            <w:r>
              <w:rPr>
                <w:rFonts w:ascii="SimSun" w:hAnsi="SimSun" w:eastAsia="SimSun" w:cs="SimSun"/>
                <w:color w:val="000000"/>
                <w:sz w:val="24"/>
                <w:u w:val="single"/>
              </w:rPr>
              <w:t xml:space="preserve">二轮报价</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Times New Roman" w:hAnsi="Times New Roman" w:eastAsia="Times New Roman" w:cs="Times New Roman"/>
                <w:color w:val="000000"/>
                <w:sz w:val="24"/>
                <w:u w:val="single"/>
              </w:rPr>
              <w:t xml:space="preserve">  60  </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允许，具体要求：</w:t>
            </w:r>
            <w:r>
              <w:rPr>
                <w:rFonts w:ascii="Times New Roman" w:hAnsi="Times New Roman" w:eastAsia="Times New Roman" w:cs="Times New Roman"/>
                <w:color w:val="000000"/>
                <w:sz w:val="24"/>
              </w:rPr>
              <w:t xml:space="preserve">____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）可以分包履行的具体内容：</w:t>
            </w:r>
            <w:r>
              <w:rPr>
                <w:rFonts w:ascii="Times New Roman" w:hAnsi="Times New Roman" w:eastAsia="Times New Roman" w:cs="Times New Roman"/>
                <w:color w:val="000000"/>
                <w:sz w:val="24"/>
              </w:rPr>
              <w:t xml:space="preserve">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）允许分包的金额或者比例：</w:t>
            </w:r>
            <w:r>
              <w:rPr>
                <w:rFonts w:ascii="Times New Roman" w:hAnsi="Times New Roman" w:eastAsia="Times New Roman" w:cs="Times New Roman"/>
                <w:color w:val="000000"/>
                <w:sz w:val="24"/>
              </w:rPr>
              <w:t xml:space="preserve">____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）其他要求：</w:t>
            </w:r>
            <w:r>
              <w:rPr>
                <w:rFonts w:ascii="Times New Roman" w:hAnsi="Times New Roman" w:eastAsia="Times New Roman" w:cs="Times New Roman"/>
                <w:color w:val="000000"/>
                <w:sz w:val="24"/>
              </w:rPr>
              <w:t xml:space="preserve">____</w:t>
            </w:r>
            <w:r>
              <w:rPr>
                <w:rFonts w:ascii="Times New Roman" w:hAnsi="Times New Roman" w:eastAsia="Times New Roman" w:cs="Times New Roman"/>
                <w:color w:val="000000"/>
                <w:sz w:val="24"/>
                <w:u w:val="single"/>
              </w:rPr>
              <w:t xml:space="preserve">/</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询问送达形式：于2025年4月8日9：30前以书面形式递交至江苏苏南项目管理有限公司</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江苏苏南项目管理有限公司</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0519-87278789</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溧阳市游子吟大道</w:t>
            </w:r>
            <w:r>
              <w:rPr>
                <w:rFonts w:ascii="Times New Roman" w:hAnsi="Times New Roman" w:eastAsia="Times New Roman" w:cs="Times New Roman"/>
                <w:color w:val="000000"/>
                <w:sz w:val="24"/>
                <w:u w:val="single"/>
              </w:rPr>
              <w:t xml:space="preserve">263</w:t>
            </w:r>
            <w:r>
              <w:rPr>
                <w:rFonts w:ascii="SimSun" w:hAnsi="SimSun" w:eastAsia="SimSun" w:cs="SimSun"/>
                <w:color w:val="000000"/>
                <w:sz w:val="24"/>
                <w:u w:val="single"/>
              </w:rPr>
              <w:t xml:space="preserve">号汉宇大厦</w:t>
            </w:r>
            <w:r>
              <w:rPr>
                <w:rFonts w:ascii="Times New Roman" w:hAnsi="Times New Roman" w:eastAsia="Times New Roman" w:cs="Times New Roman"/>
                <w:color w:val="000000"/>
                <w:sz w:val="24"/>
                <w:u w:val="single"/>
              </w:rPr>
              <w:t xml:space="preserve">406</w:t>
            </w:r>
            <w:r>
              <w:rPr>
                <w:rFonts w:ascii="SimSun" w:hAnsi="SimSun" w:eastAsia="SimSun" w:cs="SimSun"/>
                <w:color w:val="000000"/>
                <w:sz w:val="24"/>
                <w:u w:val="single"/>
              </w:rPr>
              <w:t xml:space="preserve">室</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成交供应商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b/>
                <w:color w:val="000000"/>
                <w:sz w:val="24"/>
                <w:u w:val="single"/>
              </w:rPr>
              <w:t xml:space="preserve">按发改价格【2011】534号文计取</w:t>
            </w:r>
            <w:r>
              <w:rPr>
                <w:rFonts w:ascii="SimSun" w:hAnsi="SimSun" w:eastAsia="SimSun" w:cs="SimSun"/>
                <w:b/>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缴纳时间：成交供应商应在领取成交通知书时将成交服务费付至采购代理机构的账户并备注项目编号。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收款单位：江苏苏南项目管理有限公司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银行账号：1105 0661 0900 0540 750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开户银行：中国工商银行溧阳南环支行</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pStyle w:val="642"/>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u w:val="none"/>
        </w:rPr>
        <w:tab/>
      </w:r>
      <w:r>
        <w:rPr>
          <w:rFonts w:ascii="SimSun" w:hAnsi="SimSun" w:eastAsia="SimSun" w:cs="SimSun"/>
          <w:b/>
          <w:color w:val="000000"/>
          <w:sz w:val="28"/>
          <w:u w:val="none"/>
        </w:rPr>
        <w:t xml:space="preserve">一说明</w:t>
      </w:r>
      <w:r>
        <w:rPr>
          <w:rFonts w:ascii="Times New Roman" w:hAnsi="Times New Roman" w:eastAsia="Times New Roman" w:cs="Times New Roman"/>
          <w:b/>
          <w:color w:val="000000"/>
          <w:sz w:val="28"/>
        </w:rPr>
        <w:tab/>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采购人、采购代理机构、供应商、联合体</w:t>
      </w:r>
      <w:r/>
    </w:p>
    <w:p>
      <w:pPr>
        <w:ind w:left="0" w:right="0" w:firstLine="480"/>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1.1采购人、采购代理机构：指依法进行政府采购的国家机关、事业单位、团体组织，及其委托的采购代理机构。本项目采购人、采购代理机构见第一章《采购邀请》。</w:t>
      </w:r>
      <w:r/>
    </w:p>
    <w:p>
      <w:pPr>
        <w:ind w:left="0" w:right="0" w:firstLine="480"/>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1.2供应商（也称“申请人”）：指向采购人提供货物、工程或者服务的法人、其他组织或者自然人。</w:t>
      </w:r>
      <w:r/>
    </w:p>
    <w:p>
      <w:pPr>
        <w:ind w:left="0" w:right="0" w:firstLine="480"/>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1.3联合体：指两个以上的自然人、法人或者其他组织组成一个联合体，以一个供应商的身份共同参加政府采购。</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资金来源、项目属性、科研仪器设备采购</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2.1资金来源为财政性资金和/或本项目采购中无法与财政性资金分割的非财政性资金。</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2.2项目属性见《供应商须知资料表》。</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2.3是否属于科研仪器设备采购见《供应商须知资料表》。</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3、现场考察、磋商前答疑会</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3.1若《供应商须知资料表》中规定了组织现场考察、召开磋商前答疑会，则供应商应按要求在规定的时间和地点参加。</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3.2由于未参加现场考察或磋商前答疑会而导致对项目实际情况不了解，影响响应文件编制、报价准确性、综合因素响应不全面等问题的，由供应商自行承担不利评审后果。</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4、政府采购政策（包括但不限于下列具体政策要求）</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4.1进口产品</w:t>
      </w:r>
      <w:r/>
    </w:p>
    <w:p>
      <w:pPr>
        <w:ind w:left="0" w:right="0" w:firstLine="48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4.2中小企业、监狱企业及残疾人福利性单位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2.2.1中小企业定义：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0"/>
        <w:jc w:val="both"/>
        <w:spacing w:before="0" w:after="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0" w:right="0" w:firstLine="0"/>
        <w:jc w:val="both"/>
        <w:spacing w:before="0" w:after="0" w:line="85" w:lineRule="atLeast"/>
        <w:tabs>
          <w:tab w:val="left" w:pos="1980" w:leader="none"/>
          <w:tab w:val="left" w:pos="203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0" w:right="0" w:firstLine="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0" w:right="0" w:firstLine="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4.2.3残疾人福利单位定义：享受政府采购支持政策的残疾人福利性单位应当同时满足以下条件：</w:t>
      </w:r>
      <w:r/>
    </w:p>
    <w:p>
      <w:pPr>
        <w:ind w:left="0" w:right="0" w:firstLine="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安置的残疾人占本单位在职职工人数的比例不低于25%（含25%），并且安置的残疾人人数不少于10 人（含10 人）；</w:t>
      </w:r>
      <w:r/>
    </w:p>
    <w:p>
      <w:pPr>
        <w:ind w:left="0" w:right="0" w:firstLine="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ind w:left="0" w:right="0" w:firstLine="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ind w:left="0" w:right="0" w:firstLine="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ind w:left="0" w:right="0" w:firstLine="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4.2.4本项目是否专门面向中小企业预留采购份额见第一章《采购邀请》。</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4.2.5采购标的对应的中小企业划分标准所属行业见《供应商须知资料表》。</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4.2.6小微企业价格评审优惠的政策调整：见第三章《评审方法和评审标准》。</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4.3政府采购节能产品、环境标志产品</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4.3.4非政府强制采购的节能产品或环境标志产品，依据品目清单和认证证书实施政府优先采购。优先采购的具体规定见第三章《评审方法和评审标准》（如涉及）。</w:t>
      </w:r>
      <w:r/>
    </w:p>
    <w:p>
      <w:pPr>
        <w:ind w:left="0" w:right="0" w:firstLine="480"/>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4.4支持乡村产业振兴管理</w:t>
      </w:r>
      <w:r/>
    </w:p>
    <w:p>
      <w:pPr>
        <w:ind w:left="0" w:right="0" w:firstLine="480"/>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4.5正版软件</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4.6信息安全产品</w:t>
      </w:r>
      <w:r/>
    </w:p>
    <w:p>
      <w:pPr>
        <w:ind w:left="0" w:right="0" w:firstLine="480"/>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4.6.1所投产品属于《关于调整信息安全产品强制性认证实施要求的公告》（2009 年第33 号）范围的，采购经国家认证的信息安全产品，否则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。关于信息安全相关规定依据《关于信息安全产品实施政府采购的通知》（财库〔2010〕48 号）。</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4.7政府采购创新产品政策</w:t>
      </w:r>
      <w:r/>
    </w:p>
    <w:p>
      <w:pPr>
        <w:ind w:left="0" w:right="0" w:firstLine="480"/>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5、响应费用</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5.1供应商应自行承担所有与准备和参加磋商有关的费用，无论磋商的结果如何，采购人或采购代理机构在任何情况下均无承担这些费用的义务和责任。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w:t>
      </w:r>
      <w:r>
        <w:rPr>
          <w:rFonts w:ascii="SimSun" w:hAnsi="SimSun" w:eastAsia="SimSun" w:cs="SimSun"/>
          <w:color w:val="000000"/>
          <w:sz w:val="24"/>
        </w:rPr>
        <w:t xml:space="preserve">竞争性磋商文件构成</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6.1竞争性磋商文件包括以下部分：</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2"/>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6.2供应商应认真阅读竞争性磋商文件的全部内容。供应商应按照竞争性磋商文件要求提交响应文件并保证所提供的全部资料的真实性，并对竞争性磋商文件作出实质性响应，否则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7、对竞争性磋商文件的澄清或修改</w:t>
      </w:r>
      <w:r/>
    </w:p>
    <w:p>
      <w:pPr>
        <w:ind w:left="0" w:right="0" w:firstLine="480"/>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7.1采购人或采购代理机构对已发出的竞争性磋商文件进行必要澄清或者修改的，将在原公告发布媒体上以发布更正公告的形式通知所有获取磋商文件的供应商。</w:t>
      </w:r>
      <w:r/>
    </w:p>
    <w:p>
      <w:pPr>
        <w:ind w:left="0" w:right="0" w:firstLine="480"/>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w:t>
      </w:r>
      <w:r>
        <w:rPr>
          <w:rFonts w:ascii="SimSun" w:hAnsi="SimSun" w:eastAsia="SimSun" w:cs="SimSun"/>
          <w:color w:val="000000"/>
          <w:sz w:val="24"/>
        </w:rPr>
        <w:t xml:space="preserve">响应范围、竞争性磋商文件中计量单位的使用及磋商语言</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8.2除竞争性磋商文件有特殊要求外，本项目磋商所使用的计量单位，应采用中华人民共和国法定计量单位。</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w:t>
      </w:r>
      <w:r>
        <w:rPr>
          <w:rFonts w:ascii="SimSun" w:hAnsi="SimSun" w:eastAsia="SimSun" w:cs="SimSun"/>
          <w:color w:val="000000"/>
          <w:sz w:val="24"/>
        </w:rPr>
        <w:t xml:space="preserve">响应文件构成</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9.1供应商应当按照竞争性磋商文件的要求编制响应文件，并对其提交的响应文件的真实性、合法性承担法律责任。响应文件的部分格式要求，见第六章《响应文件格式》。</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9.3第三章《评审方法和评审标准》中涉及的证明文件。</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9.5供应商认为应附的其他材料。</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w:t>
      </w:r>
      <w:r>
        <w:rPr>
          <w:rFonts w:ascii="SimSun" w:hAnsi="SimSun" w:eastAsia="SimSun" w:cs="SimSun"/>
          <w:color w:val="000000"/>
          <w:sz w:val="24"/>
        </w:rPr>
        <w:t xml:space="preserve">报价</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10.1所有响应均以人民币报价，控制价为</w:t>
      </w:r>
      <w:r>
        <w:rPr>
          <w:rFonts w:ascii="Times New Roman" w:hAnsi="Times New Roman" w:eastAsia="Times New Roman" w:cs="Times New Roman"/>
          <w:color w:val="000000"/>
          <w:sz w:val="24"/>
          <w:u w:val="single"/>
        </w:rPr>
        <w:t xml:space="preserve">278</w:t>
      </w:r>
      <w:r>
        <w:rPr>
          <w:rFonts w:ascii="SimSun" w:hAnsi="SimSun" w:eastAsia="SimSun" w:cs="SimSun"/>
          <w:color w:val="000000"/>
          <w:sz w:val="24"/>
          <w:u w:val="single"/>
        </w:rPr>
        <w:t xml:space="preserve">万元</w:t>
      </w:r>
      <w:r>
        <w:rPr>
          <w:rFonts w:ascii="SimSun" w:hAnsi="SimSun" w:eastAsia="SimSun" w:cs="SimSun"/>
          <w:b/>
          <w:color w:val="000000"/>
          <w:sz w:val="24"/>
          <w:u w:val="single"/>
        </w:rPr>
        <w:t xml:space="preserve">，报价超过最高限价作无效响应处理。</w:t>
      </w:r>
      <w:r/>
    </w:p>
    <w:p>
      <w:pPr>
        <w:ind w:left="0" w:right="0" w:firstLine="480"/>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10.1.1供应商的报价应包括磋商供应商在响应文件中提出的各项支付金额的总和，为实施、完成招标工程并修补缺陷以及履行竞争性磋商文件中约定的风险范围内的所有责任和义务所发生的全部费用。供应商的报价应包括但不限于下列内容，《供应商须知资料表》中有特殊规定的，从其规定。</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10.1.2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10.1.3按照竞争性磋商文件要求完成本项目的全部相关工程或服务费用。 </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10.2采购人不得向供应商索要或者接受其给予的赠品、回扣或者与采购无关的其他商品、服务。</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jc w:val="both"/>
        <w:spacing w:before="0" w:after="0" w:line="85" w:lineRule="atLeast"/>
        <w:tabs>
          <w:tab w:val="left" w:pos="900" w:leader="none"/>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10.4磋商保证金</w:t>
      </w:r>
      <w:r/>
    </w:p>
    <w:p>
      <w:pPr>
        <w:ind w:left="0" w:right="0" w:firstLine="3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11、响应有效期</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w:t>
      </w:r>
      <w:r>
        <w:rPr>
          <w:rFonts w:ascii="SimSun" w:hAnsi="SimSun" w:eastAsia="SimSun" w:cs="SimSun"/>
          <w:color w:val="000000"/>
          <w:sz w:val="24"/>
        </w:rPr>
        <w:t xml:space="preserve">响应文件的份数、签署</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12.1</w:t>
      </w:r>
      <w:r>
        <w:rPr>
          <w:rFonts w:ascii="SimSun" w:hAnsi="SimSun" w:eastAsia="SimSun" w:cs="SimSun"/>
          <w:color w:val="000000"/>
          <w:sz w:val="24"/>
        </w:rPr>
        <w:t xml:space="preserve">供应商应严格按照竞争性磋商公告要求准备响应文件</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12.2响应文件按顺序编制目录索引，且由供应商法定代表人或其授权代表签字。授权代表为非法定代表人时，须将法定代表人以书面形式出具的“法定代表人授权书”（原件）附在响应文件中。</w:t>
      </w:r>
      <w:r/>
    </w:p>
    <w:p>
      <w:pPr>
        <w:ind w:left="0" w:right="0" w:firstLine="48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12.3除供应商对错处做必要修改外，响应文件不得行间插字、涂改或增删。如有修改错漏处，必须由响应文件签署人签字或盖章。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13.1本项目使用“苏采云”政府采购一体化平台。投标人根据招标文件及“苏采云”政府采购一体化平台供应商操作手册要求编制、生成并提交电子投标文件。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13.2采购人及采购代理机构拒绝接受通过</w:t>
      </w:r>
      <w:r>
        <w:rPr>
          <w:rFonts w:ascii="SimSun" w:hAnsi="SimSun" w:eastAsia="SimSun" w:cs="SimSun"/>
          <w:b/>
          <w:color w:val="000000"/>
          <w:sz w:val="24"/>
        </w:rPr>
        <w:t xml:space="preserve">“苏采云”政府采购一体化平台</w:t>
      </w:r>
      <w:r>
        <w:rPr>
          <w:rFonts w:ascii="SimSun" w:hAnsi="SimSun" w:eastAsia="SimSun" w:cs="SimSun"/>
          <w:color w:val="000000"/>
          <w:sz w:val="24"/>
        </w:rPr>
        <w:t xml:space="preserve">以外任何形式提交的投标文件。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14.1投标人应在招标文件要求提交投标文件截止时间前，将电子投标文件提交至“苏采云”政府采购一体化平台。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15、投标文件的修改与撤回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15.1投标截止时间前，投标人可以通过</w:t>
      </w:r>
      <w:r>
        <w:rPr>
          <w:rFonts w:ascii="SimSun" w:hAnsi="SimSun" w:eastAsia="SimSun" w:cs="SimSun"/>
          <w:b/>
          <w:color w:val="000000"/>
          <w:sz w:val="24"/>
        </w:rPr>
        <w:t xml:space="preserve">“苏采云”政府采购一体化平台</w:t>
      </w:r>
      <w:r>
        <w:rPr>
          <w:rFonts w:ascii="SimSun" w:hAnsi="SimSun" w:eastAsia="SimSun" w:cs="SimSun"/>
          <w:color w:val="000000"/>
          <w:sz w:val="24"/>
        </w:rPr>
        <w:t xml:space="preserve">对所提交的投标文件进行补充、修改或者撤回。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15.2投标人对投标文件的补充、修改的内容应当按照招标文件要求签署、加盖公章，作为投标文件的组成部分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w:t>
      </w:r>
      <w:r>
        <w:rPr>
          <w:rFonts w:ascii="SimSun" w:hAnsi="SimSun" w:eastAsia="SimSun" w:cs="SimSun"/>
          <w:b/>
          <w:color w:val="000000"/>
          <w:sz w:val="24"/>
        </w:rPr>
        <w:t xml:space="preserve">开标、资格审查及评标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16、开标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16.1采购人或采购代理机构将按招标文件的规定，在投标截止时间的同一时间和招标文件预先确定的地点组织开标。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16.2本项目开标采用不见面招投标模式，使用“苏采云”政府采购一体化平台在线进行开标。投标人应在规定的时间内对投标文件进行解密，因非系统原因导致的解密失败，视为投标无效。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16.5投标人不足3家的，不予开标。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1.平台系统发生故障而无法登录访问的；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2．平台系统应用或数据库出现错误，不能进行正常操作的；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3．平台系统发现严重安全漏洞，有潜在泄密危险的；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4．病毒发作导致平台系统不能进行正常操作的；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5．其他无法保证本次采购活动的公平、公正和安全的情况。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17、资格审查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17.1见第三章《资格审查》。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18、评标委员会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18.1评标委员会根据政府采购有关规定和本次招标采购项目的特点进行组建，并负责具体评标事务，独立履行职责。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18.2评审专家须符合相关规定。依法自行选定评审专家的，采购人和采购代理机构将查询有关信用记录，对具有行贿、受贿、欺诈等不良信用记录的人员，拒绝其参与政府采购活动。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19、评标程序、评标方法和评标标准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19.1见第三章《评标程序、评标方法和评标标准》。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20、确定成交供应商</w:t>
      </w:r>
      <w:r/>
    </w:p>
    <w:p>
      <w:pPr>
        <w:ind w:left="0" w:right="0" w:firstLine="480"/>
        <w:jc w:val="both"/>
        <w:spacing w:before="0" w:after="0" w:line="85" w:lineRule="atLeast"/>
        <w:tabs>
          <w:tab w:val="left" w:pos="1080" w:leader="none"/>
          <w:tab w:val="left" w:pos="1589" w:leader="none"/>
          <w:tab w:val="left" w:pos="1871" w:leader="none"/>
          <w:tab w:val="left" w:pos="2014"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20.1采购人将在收到评审报告后，从评审报告提出的成交候选供应商中，按照排序由高到低的原则确定成交供应商。成交候选人并列的，由采购人依法确定。</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1、成交公告与成交通知书</w:t>
      </w:r>
      <w:r/>
    </w:p>
    <w:p>
      <w:pPr>
        <w:ind w:left="0" w:right="0" w:firstLine="480"/>
        <w:jc w:val="both"/>
        <w:spacing w:before="0" w:after="0" w:line="85" w:lineRule="atLeast"/>
        <w:tabs>
          <w:tab w:val="left" w:pos="1080" w:leader="none"/>
          <w:tab w:val="left" w:pos="1589" w:leader="none"/>
          <w:tab w:val="left" w:pos="1871" w:leader="none"/>
          <w:tab w:val="left" w:pos="2014"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21.1采购人或采购代理机构将在成交供应商确定后2个工作日内，在常州市政府采购网公告成交结果，成交公告期限为1个工作日。</w:t>
      </w:r>
      <w:r/>
    </w:p>
    <w:p>
      <w:pPr>
        <w:ind w:left="0" w:right="0" w:firstLine="480"/>
        <w:jc w:val="both"/>
        <w:spacing w:before="0" w:after="0" w:line="85" w:lineRule="atLeast"/>
        <w:tabs>
          <w:tab w:val="left" w:pos="1080" w:leader="none"/>
          <w:tab w:val="left" w:pos="1589" w:leader="none"/>
          <w:tab w:val="left" w:pos="1871" w:leader="none"/>
          <w:tab w:val="left" w:pos="2014"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21.2成交通知书是合同的组成部分，对采购人和成交供应商具有同等法律效力。成交通知书发出后，采购人改变成交结果的，或者成交供应商放弃成交项目的，将依法承担法律责任。</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22、废标</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22.1在招标采购中，出现下列情形之一的，应予废标：</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22.1.1符合专业条件的供应商或者对招标文件作实质响应的供应商不足三家的；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22.1.2出现影响采购公正的违法、违规行为的；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22.1.3投标人的报价均超过了采购预算，采购人不能支付的；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22.1.4因重大变故，采购任务取消的。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22.1.5平台系统出现序号16.8的所述情形，情况严重且影响采购活动公平、公正性的。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22.2废标后，采购人将废标理由通知所有投标人。</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23、签订合同</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23.1中标人、采购人应当自中标通知书发出之日起30日内，按照招标文件和中标人投标文件的规定签订书面合同。所签订的合同不得对招标文件确定的事项和中标人投标文件作实质性修改。</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23.2中标人拒绝与采购人签订合同的，采购人可以按照评标报告推荐的中标候选人名单排序，确定下一候选人为中标人，也可以重新开展政府采购活动。</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23.3联合体中标的，联合体各方应当共同与采购人签订合同，就中标项目向采购人承担连带责任。</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23.4政府采购合同不能转包。</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24、询问与质疑</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24.1询问</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24.1.1投标人对政府采购活动事项有疑问的，可依法提出询问，并按《投标人须知资料表》载明的形式送达采购人或采购代理机构。</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24.1.2采购人或采购代理机构对供应商依法提出的询问，在3个工作日内作出答复，但答复的内容不得涉及商业秘密。</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25、质疑</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25.2招标文件中采购需求以及相关部分（第四章、第五章以及投标人资格要求）由采购人负责制定和管理，对该部分内容有询问或者质疑的，投标人应当向采购人书面提出，由采购人负责接收和回复。</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25.3质疑函须使用财政部制定的范本文件。（下载网址：）http://gks.mof.gov.cn/ztztz/zhengfucaigouguanli/201802/t20180201_2804589.htm</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25.4投标人为自然人的，应当由本人签字；投标人为法人或者其他组织的，应当由法定代表人、主要负责人，或者其授权代表签字或者加盖公章，并加盖公章。</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25.5投标人应在法定质疑期内一次性提出针对同一采购程序环节的质疑，法定质疑期内针对同一采购程序环节再次提出的质疑，采购人、采购代理机构有权不予答复。</w:t>
      </w:r>
      <w:r/>
    </w:p>
    <w:p>
      <w:pPr>
        <w:ind w:left="0" w:right="0" w:firstLine="48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25.6接收询问和质疑的联系部门、联系电话和通讯地址见《投标人须知资料表》。</w:t>
      </w:r>
      <w:r/>
    </w:p>
    <w:p>
      <w:pPr>
        <w:ind w:left="0" w:right="0" w:firstLine="0"/>
        <w:jc w:val="both"/>
        <w:spacing w:before="0" w:after="0" w:line="85" w:lineRule="atLeast"/>
        <w:tabs>
          <w:tab w:val="left" w:pos="360" w:leader="none"/>
          <w:tab w:val="left" w:pos="5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26、代理费</w:t>
      </w:r>
      <w:r/>
    </w:p>
    <w:p>
      <w:pPr>
        <w:ind w:left="0" w:right="0" w:firstLine="48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26.1收费对象、收费标准及缴纳时间见《投标人须知资料表》。由中标人支付的，中标人须一次性向采购代理机构缴纳代理费，投标报价应综合考虑代理费用。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none"/>
        </w:rPr>
        <w:t xml:space="preserve"> </w:t>
      </w:r>
      <w:r/>
    </w:p>
    <w:p>
      <w:pPr>
        <w:pStyle w:val="642"/>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pStyle w:val="642"/>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pStyle w:val="642"/>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
        <w:rPr>
          <w:rFonts w:ascii="Times New Roman" w:hAnsi="Times New Roman" w:eastAsia="Times New Roman" w:cs="Times New Roman"/>
          <w:b/>
          <w:color w:val="000000"/>
          <w:sz w:val="36"/>
        </w:rPr>
        <w:t xml:space="preserve"> </w:t>
      </w: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pStyle w:val="642"/>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ab/>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w:t>
      </w:r>
      <w:r>
        <w:rPr>
          <w:rFonts w:ascii="SimSun" w:hAnsi="SimSun" w:eastAsia="SimSun" w:cs="SimSun"/>
          <w:color w:val="000000"/>
          <w:sz w:val="24"/>
        </w:rPr>
        <w:t xml:space="preserve">响应文件的资格性检查和符合性审查</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采购人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《资格性检查要求》中对格式有要求的，除竞争性磋商文件另有规定外，均为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《资格性检查要求》见下表：</w:t>
      </w:r>
      <w:r/>
    </w:p>
    <w:p>
      <w:pPr>
        <w:ind w:left="1077" w:right="0" w:firstLine="265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0"/>
        <w:gridCol w:w="2025"/>
        <w:gridCol w:w="4530"/>
        <w:gridCol w:w="2010"/>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、供应商单独参与磋商的，应提供中小企业声明函；如为监狱企业或残疾人福利性单位，不必提供中小企业声明函，但须按注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提供证明文件的电子扫描件加盖电子公章</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384"/>
        <w:gridCol w:w="2693"/>
        <w:gridCol w:w="5278"/>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按磋商文件要求提供响应函、法定代表人资格证明书和政府采购供应商信用承诺书；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响应报价未超过磋商文件中规定的项目</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采购包预算金额或者项目</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采购包最高限价；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的文件均按磋商文件要求提供；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二）不同供应商委托同一单位或者个人办理响应事宜；（三）不同供应商的响应文件载明的项目管理成员或者联系人员为同一人；（四）不同供应商的响应文件异常一致或者响应报价呈规律 性差异；（五）不同供应商的响应文件相互混装；</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w:t>
            </w:r>
            <w:r/>
          </w:p>
        </w:tc>
      </w:tr>
    </w:tbl>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注：根据磋商文件中符合性审查的相关要求提供证明材料或承诺书（承诺书格式自拟）</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、磋商、响应文件有关事项的澄清、说明或者更正和最终报价</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、磋商小组所有成员应当集中与单一供应商分别进行磋商，并给予所有参加磋商的供应商平等的磋商机会。</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、对磋商文件作出的实质性变动是磋商文件的有效组成部分，磋商小组应当及时以书面形式同时通知所有参加磋商的供应商。</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、响应文件的澄清、说明或者更正：</w:t>
      </w:r>
      <w:r/>
    </w:p>
    <w:p>
      <w:pPr>
        <w:ind w:left="0" w:right="0" w:firstLine="48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磋商小组会将通过书面形式要求供应商对其响应文件中含义不明确、同类问题表述不一致或者有明显文字和计算错误的内容，作出必要的澄清、说明或者补正。供应商的澄清、说明或者补正应当采用书面形式，并加盖公章。供应商的澄清、说明或者补正不得超出响应文件的范围或者改变响应文件的实质性内容。澄清文件将作为响应文件内容的一部分。</w:t>
      </w:r>
      <w:r/>
    </w:p>
    <w:p>
      <w:pPr>
        <w:ind w:left="0" w:right="0" w:firstLine="482"/>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2.6</w:t>
      </w:r>
      <w:r>
        <w:rPr>
          <w:rFonts w:ascii="SimSun" w:hAnsi="SimSun" w:eastAsia="SimSun" w:cs="SimSun"/>
          <w:b/>
          <w:color w:val="000000"/>
          <w:sz w:val="24"/>
        </w:rPr>
        <w:t xml:space="preserve">、磋商结束后，磋商小组将要求所有实质性响应的供应商在规定时间内通过“苏采云”系统提交最终报价。成交人的最终报价即为成交价，成交人在合同签订前，须提交最终报价的分项报价表（如有），最终的报价不得超首次的报价。</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、磋商文件能够详细列明采购标的的技术、服务要求的，磋商结束后，磋商小组应当要求所有实质性响应的供应商在规定时间内提交最终报价，提交最终报价的供应商不得少于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家。磋商文件不能详细列明采购标的的技术、服务要求，需经磋商由供应商提供最终设计方案或解决方案的，磋商结束后，磋商小组应当按照少数服从多数的原则投票推荐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家以上供应商的设计方案或者解决方案，并要求其在规定时间内提交最终报价。市场竞争不充分的科研项目，以及需要扶持的科技成果转化项目，提交最终报价的供应商可以为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家的，竞争性磋商采购活动可以继续进行。</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、最终报价是供应商响应文件的有效组成部分。</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rPr>
          <w:rFonts w:ascii="SimSun" w:hAnsi="SimSun" w:eastAsia="SimSun" w:cs="SimSun"/>
          <w:color w:val="000000"/>
          <w:sz w:val="24"/>
        </w:rPr>
        <w:t xml:space="preserve">、已提交响应文件的供应商，在提交最终报价之前，可以根据磋商情况退出磋商。</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、最终报价的算术修正及政策调整</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、最终报价出现前后不一致的，按照下列规定修正：</w:t>
      </w:r>
      <w:r/>
    </w:p>
    <w:p>
      <w:pPr>
        <w:ind w:left="0" w:right="0" w:firstLine="48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w:t>
      </w:r>
      <w:r>
        <w:rPr>
          <w:rFonts w:ascii="SimSun" w:hAnsi="SimSun" w:eastAsia="SimSun" w:cs="SimSun"/>
          <w:color w:val="000000"/>
          <w:sz w:val="24"/>
        </w:rPr>
        <w:t xml:space="preserve">、竞争性磋商文件对于报价修正是否另有规定：</w:t>
      </w:r>
      <w:r/>
    </w:p>
    <w:p>
      <w:pPr>
        <w:ind w:left="0" w:right="0" w:firstLine="48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w:t>
      </w:r>
      <w:r/>
    </w:p>
    <w:p>
      <w:pPr>
        <w:ind w:left="0" w:right="0" w:firstLine="522"/>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w:t>
      </w: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3.2.2-3.2.5</w:t>
      </w:r>
      <w:r>
        <w:rPr>
          <w:rFonts w:ascii="SimSun" w:hAnsi="SimSun" w:eastAsia="SimSun" w:cs="SimSun"/>
          <w:color w:val="000000"/>
          <w:sz w:val="24"/>
        </w:rPr>
        <w:t xml:space="preserve">项规定修正。</w:t>
      </w:r>
      <w:r/>
    </w:p>
    <w:p>
      <w:pPr>
        <w:ind w:left="0" w:right="0" w:firstLine="480"/>
        <w:jc w:val="both"/>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w:t>
      </w:r>
      <w:r>
        <w:rPr>
          <w:rFonts w:ascii="SimSun" w:hAnsi="SimSun" w:eastAsia="SimSun" w:cs="SimSun"/>
          <w:color w:val="000000"/>
          <w:sz w:val="24"/>
        </w:rPr>
        <w:t xml:space="preserve">、单价金额小数点或者百分比有明显错位的，以最终报价一览表的总价为准，并修改单价；</w:t>
      </w:r>
      <w:r/>
    </w:p>
    <w:p>
      <w:pPr>
        <w:ind w:left="0" w:right="0" w:firstLine="480"/>
        <w:jc w:val="both"/>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3.2.5</w:t>
      </w:r>
      <w:r>
        <w:rPr>
          <w:rFonts w:ascii="SimSun" w:hAnsi="SimSun" w:eastAsia="SimSun" w:cs="SimSun"/>
          <w:color w:val="000000"/>
          <w:sz w:val="24"/>
        </w:rPr>
        <w:t xml:space="preserve">、同时出现两种以上不一致的，按照前款规定的顺序修正。修正后的报价经供应商书面确认后产生约束力，供应商不确认的，</w:t>
      </w:r>
      <w:r>
        <w:rPr>
          <w:rFonts w:ascii="SimSun" w:hAnsi="SimSun" w:eastAsia="SimSun" w:cs="SimSun"/>
          <w:b/>
          <w:color w:val="000000"/>
          <w:sz w:val="24"/>
        </w:rPr>
        <w:t xml:space="preserve">其响应无效</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、落实政府采购政策的价格调整：</w:t>
      </w:r>
      <w:r>
        <w:rPr>
          <w:rFonts w:ascii="SimSun" w:hAnsi="SimSun" w:eastAsia="SimSun" w:cs="SimSun"/>
          <w:b/>
          <w:color w:val="000000"/>
          <w:sz w:val="24"/>
        </w:rPr>
        <w:t xml:space="preserve">本项目专门面向中小企业采购，故不再执行价格优惠政策。</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、供应商对实质性变动不予确认的；</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、不满足磋商文件</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号条款或磋商文件技术指标超出磋商文件《采购需求》中主要技术参数允许偏差的最大范围的（如有）；</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rPr>
          <w:rFonts w:ascii="SimSun" w:hAnsi="SimSun" w:eastAsia="SimSun" w:cs="SimSun"/>
          <w:color w:val="000000"/>
          <w:sz w:val="24"/>
        </w:rPr>
        <w:t xml:space="preserve">、未按照磋商小组规定的时间、逾期提交最终报价的；</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w:t>
      </w:r>
      <w:r>
        <w:rPr>
          <w:rFonts w:ascii="SimSun" w:hAnsi="SimSun" w:eastAsia="SimSun" w:cs="SimSun"/>
          <w:color w:val="000000"/>
          <w:sz w:val="24"/>
        </w:rPr>
        <w:t xml:space="preserve">、如供应商的最终报价超过竞争性磋商文件中规定的项目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采购包最高限价的；</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、响应文件中出现可选择性或可调整的报价的（竞争性磋商文件另有规定的除外）；</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、最终报价出现前后不一致，供应商对修正后的报价不予确认的；</w:t>
      </w:r>
      <w:r/>
    </w:p>
    <w:p>
      <w:pPr>
        <w:ind w:left="0" w:right="0" w:firstLine="48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4.7</w:t>
      </w:r>
      <w:r>
        <w:rPr>
          <w:rFonts w:ascii="SimSun" w:hAnsi="SimSun" w:eastAsia="SimSun" w:cs="SimSun"/>
          <w:color w:val="000000"/>
          <w:sz w:val="24"/>
        </w:rPr>
        <w:t xml:space="preserve">、其他：</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、评审方法和评审标准</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、竞争性磋商文件中没有规定的评审标准不得作为评审依据。</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、磋商小组根据上述供应商排序，依次推荐排序前</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名的供应商为成交候选供应商（若在磋商文件允许的情形下提交最终报价的供应商为两家，则依次推荐二名供应商为成交候选供应商），并编写评审报告。</w:t>
      </w:r>
      <w:r/>
    </w:p>
    <w:p>
      <w:pPr>
        <w:ind w:left="0" w:right="0" w:firstLine="48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w:t>
      </w: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、报告违法行为</w:t>
      </w:r>
      <w:r/>
    </w:p>
    <w:p>
      <w:pPr>
        <w:ind w:left="0" w:right="0" w:firstLine="48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pStyle w:val="642"/>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二、评审标准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1"/>
        <w:gridCol w:w="1358"/>
        <w:gridCol w:w="658"/>
        <w:gridCol w:w="6788"/>
      </w:tblGrid>
      <w:tr>
        <w:trPr>
          <w:trHeight w:val="499"/>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评审项目</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499"/>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一、价格分（10分）</w:t>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采用低价优先法计算，即满足招标文件要求且投标价格最低的投标报价（指经过修正的价格）为评标基准价，其价格分为满分。其他投标人的价格得分按照下列公式计算（小数点保留两位）。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投标报价得分=(评标基准价／投标报价)×10</w:t>
            </w:r>
            <w:r/>
          </w:p>
        </w:tc>
      </w:tr>
      <w:tr>
        <w:trPr>
          <w:trHeight w:val="429"/>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二、技术分（61分）</w:t>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清扫保洁服务方案</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根据招标文件中的要求及项目当地实际情况，在满足相关要求的前提下根据自身经验进行优化设计，制定详细清扫保洁服务方案，服务方案包含但不限于机械与人工保洁工作计划、流程、作业标准，精细化服务等方案的内容，根据方案的完整性、可行性与合理性，由评标委员会进行横向评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方案全面、实用、合理、有针对性的得8分；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方案基本全面、实用、合理、有一定针对性的得5分；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方案不全面、不实用、不合理、没有针对性的得2分；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56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垃圾收集转运及中转站服务方案</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根据招标文件中的要求及项目当地实际情况，在满足相关要求的前提下根据自身经验进行优化设计，制定详细生活垃圾、餐厨垃圾、建筑垃圾收集转运服务及垃圾中转站方案，根据方案的完整性、可行性与合理性，由评标委员会进行横向评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方案全面、实用、合理、有针对性的得7分；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方案比较全面、实用、合理、有针对性的得4分；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方案不全面、不实用、不合理、没有针对性的得1分；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56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垃圾分类方案</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根据招标文件中的要求及项目当地实际情况，在满足相关要求的前提下根据自身经验进行优化设计，制定详细建立垃圾分类示范村方案，根据方案的完整性、可行性与合理性，由评标委员会进行横向评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方案全面、实用、合理、有针对性的得7分；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方案比较全面、实用、合理、有针对性的得4分；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方案不全面、不实用、不合理、没有针对性的得1分；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80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长效考核及突击检查等应对方案</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根据招标文件中的要求及项目当地实际情况，在满足相关要求的前提下根据自身经验进行优化设计，制定详细长效考核及突击检查应对方案，方案不限于应对措施、考核办法等部分的内容，根据方案的完整性、可行性与合理性，由评标委员会进行横向评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方案全面、实用、合理、有针对性的得7分；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方案基本全面、实用、合理、有一定针对性的得4分；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方案不全面、不实用、不合理、没有针对性的得1分；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80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交接过渡工作方案</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各项管理规章制定严格，有完善的交接验收方案。根据方案的完整性、可行性与合理性，由评标委员会进行横向评议，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方案全面、实用、合理、有针对性的得7分；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方案基本全面、实用、合理、有一定针对性的得4分；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方案不全面、不实用、不合理、没有针对性的得1分；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80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作业人员培训方案</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制定作业人员培训制度、计划等方案。根据方案的完整性、可行性与合理性，由评标委员会进行横向评议，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方案全面、实用、合理、有针对性的得6分；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方案基本全面、实用、合理、有一定针对性的得4分；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方案不全面、不实用、不合理、没有针对性的得2分；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80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作业期间与其他单位、各职能部门的综合协调方案</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根据协调方案的完整性、可行性、规范性与合理性，由评标委员会进行横向评议，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方案全面、实用、合理、有针对性的得7分；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方案基本全面、实用、合理、有一定针对性的得4分；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方案不全面、不实用、不合理、没有针对性的得1分；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80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各项服务承诺达标</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包括质量承诺、对发生各类安全事故善后处理承诺、依法规范用工承诺及应对履约期各类风险承诺，根据方案的完整性、可行性、规范性与合理性，由评标委员会进行横向评议：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方案全面、实用、合理、有针对性的得6分；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方案基本全面、实用、合理、有一定针对性的得4分；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方案不全面、不实用、不合理、没有针对性的得2分；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80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spacing w:before="78" w:after="200" w:line="4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报价组成分析</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投标供应商应根据项目的特点、服务期、质量等要求，结合投标供应商现有技术装备、人力、物力、资金状况等因素，对本项目的报价组成进行分析。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报价组成内容详细、科学合理、贴合现实、具有合理利润的得6分；报价组成内容较详细，较科学合理、较贴合现实、具有利润的得4分；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报价组成内容模糊，无合理性、偏离现实、无利润或负利润的得2分；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437"/>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三、商务分（29分）</w:t>
            </w:r>
            <w:r/>
          </w:p>
        </w:tc>
      </w:tr>
      <w:tr>
        <w:trPr>
          <w:trHeight w:val="121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企业荣誉</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投标供应商自2020年1月1日以来承担环卫作业合同期限内所在县级（含）以上城市获得过全国文明城市或国家卫生城市荣誉称号的，每提供一个得3分，最高得3分。</w:t>
            </w:r>
            <w:r>
              <w:rPr>
                <w:rFonts w:ascii="SimSun" w:hAnsi="SimSun" w:eastAsia="SimSun" w:cs="SimSun"/>
                <w:b/>
                <w:color w:val="000000"/>
                <w:sz w:val="24"/>
              </w:rPr>
              <w:t xml:space="preserve">提供合同及获奖证明文件，时间以合同所载时间为准，合同履行期限与获奖年度有半年以上重叠，否则不得分。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项目负责人要求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拟任项目负责人具备中级及以上工程师证书的得3分，没有不得分。</w:t>
            </w:r>
            <w:r>
              <w:rPr>
                <w:rFonts w:ascii="SimSun" w:hAnsi="SimSun" w:eastAsia="SimSun" w:cs="SimSun"/>
                <w:b/>
                <w:color w:val="000000"/>
                <w:sz w:val="24"/>
              </w:rPr>
              <w:t xml:space="preserve">提供人员有效证书或证明材料扫描件加盖电子公章及2024年12月-2025年2月或2025年1月-2025年3月社保缴费证明。</w:t>
            </w:r>
            <w:r/>
          </w:p>
        </w:tc>
      </w:tr>
      <w:tr>
        <w:trPr>
          <w:trHeight w:val="47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项目负责人外，拟配备的管理团队成员中具有应急管理部门颁发的注册安全工程师执业证书（注册单位与投标人一致）或具有安全员资格证书（安全管理职能部门（或其下属单位）的安全培训合格证明材料）的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提供人员有效证书或证明材料扫描件加盖电子公章及2024年12月-2025年2月或2025年1月-2025年3月社保缴费证明。</w:t>
            </w:r>
            <w:r/>
          </w:p>
        </w:tc>
      </w:tr>
      <w:tr>
        <w:trPr>
          <w:trHeight w:val="47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规范用工承诺</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0"/>
              <w:spacing w:before="200" w:after="200" w:line="68" w:lineRule="atLeast"/>
              <w:tabs>
                <w:tab w:val="left" w:pos="3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（1）承诺人员按规定时间配备到位，劳动用工符合国家劳动法规，全部签订劳动合同、办理社会统筹保险，承诺超龄人员（不得≥65周岁）不超过总人数</w:t>
            </w:r>
            <w:r>
              <w:rPr>
                <w:rFonts w:ascii="SimSun" w:hAnsi="SimSun" w:eastAsia="SimSun" w:cs="SimSun"/>
                <w:b/>
                <w:color w:val="000000"/>
                <w:sz w:val="24"/>
              </w:rPr>
              <w:t xml:space="preserve">的15%，得</w:t>
            </w:r>
            <w:r>
              <w:rPr>
                <w:rFonts w:ascii="SimSun" w:hAnsi="SimSun" w:eastAsia="SimSun" w:cs="SimSun"/>
                <w:color w:val="000000"/>
                <w:sz w:val="24"/>
              </w:rPr>
              <w:t xml:space="preserve">1分，否则不得分；</w:t>
            </w:r>
            <w:r/>
          </w:p>
          <w:p>
            <w:pPr>
              <w:ind w:left="0" w:right="0" w:firstLine="0"/>
              <w:spacing w:before="200" w:after="200" w:line="68" w:lineRule="atLeast"/>
              <w:tabs>
                <w:tab w:val="left" w:pos="3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（2）承诺为本项目全部职工办理意外伤害保险，并在投标报价中体现，得1分，否则不得分；</w:t>
            </w:r>
            <w:r/>
          </w:p>
          <w:p>
            <w:pPr>
              <w:ind w:left="0" w:right="0" w:firstLine="0"/>
              <w:spacing w:before="200" w:after="200" w:line="68" w:lineRule="atLeast"/>
              <w:tabs>
                <w:tab w:val="left" w:pos="3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（3）承诺为本项目全部职工按照本地区标准发放高温费，为本项目全部职工发放劳动防护用品且在投标报价中体现，得1分，否则不得分；</w:t>
            </w:r>
            <w:r/>
          </w:p>
          <w:p>
            <w:pPr>
              <w:ind w:left="0" w:right="0" w:firstLine="0"/>
              <w:spacing w:before="200" w:after="200" w:line="68" w:lineRule="atLeast"/>
              <w:tabs>
                <w:tab w:val="left" w:pos="3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（4）承诺机械投入设备齐全，机械修理及时，及时响应招标人要求，得1分，否则不得分；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（5）承诺有合同结束后人员安排计划，与下一中标单位的衔接，得1分，否则不得分。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提供承诺函原件，无承诺函不得分。</w:t>
            </w:r>
            <w:r/>
          </w:p>
        </w:tc>
      </w:tr>
      <w:tr>
        <w:trPr>
          <w:trHeight w:val="150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投标人自2020年1月1日以来承担的类似已完成或正在实施的环卫清扫保洁作业项目的，每有一个得3分，最高得9分。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注：须提供服务合同扫描件加盖电子公章，时间以合同签订时间为准。业绩可提供已完成或正在实施的。</w:t>
            </w:r>
            <w:r/>
          </w:p>
        </w:tc>
      </w:tr>
      <w:tr>
        <w:trPr>
          <w:trHeight w:val="150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长效综合管理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2020年1月1日以来，投标人经政府采购中标的，在服务项目所在地长效综合管理年度考核中获得前三名的，每提供一个得3分，最高得3分。</w:t>
            </w:r>
            <w:r>
              <w:rPr>
                <w:rFonts w:ascii="SimSun" w:hAnsi="SimSun" w:eastAsia="SimSun" w:cs="SimSun"/>
                <w:b/>
                <w:color w:val="000000"/>
                <w:sz w:val="24"/>
              </w:rPr>
              <w:t xml:space="preserve">提供相关证明文件（长效化管理证明文件、合同等）扫描件加盖电子公章，合同可与3.5中要求业绩重复。</w:t>
            </w:r>
            <w:r/>
          </w:p>
        </w:tc>
      </w:tr>
      <w:tr>
        <w:trPr>
          <w:trHeight w:val="150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自有车辆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788"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采购文件要求配备的机具为投标供应商自有的，每提供一个得1分，最高得3分</w:t>
            </w:r>
            <w:r>
              <w:rPr>
                <w:rFonts w:ascii="SimSun" w:hAnsi="SimSun" w:eastAsia="SimSun" w:cs="SimSun"/>
                <w:b/>
                <w:color w:val="000000"/>
                <w:sz w:val="24"/>
              </w:rPr>
              <w:t xml:space="preserve">。提供车辆购买发票、行驶证等证明材料。</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numPr>
          <w:ilvl w:val="0"/>
          <w:numId w:val="3"/>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采购项目名称：埭头镇</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年农村环境卫生保洁项目</w:t>
      </w:r>
      <w:r/>
    </w:p>
    <w:p>
      <w:pPr>
        <w:numPr>
          <w:ilvl w:val="0"/>
          <w:numId w:val="3"/>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、合同履行期限：</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年（自</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日至</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、按月考核，每三个月结算一次（按考核内容相关规定发生扣款的，在支付费用时扣除）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、服务范围及人员设备配备要求</w:t>
      </w:r>
      <w:r>
        <w:rPr>
          <w:rFonts w:ascii="SimSun" w:hAnsi="SimSun" w:eastAsia="SimSun" w:cs="SimSun"/>
          <w:color w:val="000000"/>
          <w:sz w:val="24"/>
        </w:rPr>
        <w:t xml:space="preserve">：</w:t>
      </w:r>
      <w:r/>
    </w:p>
    <w:p>
      <w:pPr>
        <w:ind w:left="0" w:right="0" w:firstLine="0"/>
        <w:jc w:val="center"/>
        <w:spacing w:before="16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作业人员配备（最低要求）</w:t>
      </w:r>
      <w:r/>
    </w:p>
    <w:p>
      <w:pPr>
        <w:ind w:left="0" w:right="0" w:firstLine="0"/>
        <w:jc w:val="both"/>
        <w:spacing w:before="0" w:after="0" w:line="9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6"/>
        <w:gridCol w:w="2405"/>
        <w:gridCol w:w="3514"/>
        <w:gridCol w:w="1427"/>
      </w:tblGrid>
      <w:tr>
        <w:trPr>
          <w:trHeight w:val="40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254" w:right="0" w:firstLine="0"/>
              <w:jc w:val="both"/>
              <w:spacing w:before="25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05" w:type="dxa"/>
            <w:vAlign w:val="center"/>
            <w:textDirection w:val="lrTb"/>
            <w:noWrap w:val="false"/>
          </w:tcPr>
          <w:p>
            <w:pPr>
              <w:ind w:left="0" w:right="0" w:firstLine="0"/>
              <w:jc w:val="center"/>
              <w:spacing w:before="25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工种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14" w:type="dxa"/>
            <w:vAlign w:val="center"/>
            <w:textDirection w:val="lrTb"/>
            <w:noWrap w:val="false"/>
          </w:tcPr>
          <w:p>
            <w:pPr>
              <w:ind w:left="0" w:right="0" w:firstLine="0"/>
              <w:jc w:val="center"/>
              <w:spacing w:before="2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数量（人）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27" w:type="dxa"/>
            <w:vAlign w:val="center"/>
            <w:textDirection w:val="lrTb"/>
            <w:noWrap w:val="false"/>
          </w:tcPr>
          <w:p>
            <w:pPr>
              <w:ind w:left="481" w:right="0" w:firstLine="0"/>
              <w:jc w:val="both"/>
              <w:spacing w:before="25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备注</w:t>
            </w:r>
            <w:r/>
          </w:p>
        </w:tc>
      </w:tr>
      <w:tr>
        <w:trPr>
          <w:trHeight w:val="3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452" w:right="0" w:firstLine="0"/>
              <w:jc w:val="both"/>
              <w:spacing w:before="29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5" w:type="dxa"/>
            <w:vAlign w:val="center"/>
            <w:textDirection w:val="lrTb"/>
            <w:noWrap w:val="false"/>
          </w:tcPr>
          <w:p>
            <w:pPr>
              <w:ind w:left="0" w:right="0" w:firstLine="0"/>
              <w:jc w:val="center"/>
              <w:spacing w:before="25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4" w:type="dxa"/>
            <w:vAlign w:val="center"/>
            <w:textDirection w:val="lrTb"/>
            <w:noWrap w:val="false"/>
          </w:tcPr>
          <w:p>
            <w:pPr>
              <w:ind w:left="0" w:right="0" w:firstLine="0"/>
              <w:jc w:val="center"/>
              <w:spacing w:before="29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438" w:right="0" w:firstLine="0"/>
              <w:jc w:val="both"/>
              <w:spacing w:before="29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5" w:type="dxa"/>
            <w:vAlign w:val="center"/>
            <w:textDirection w:val="lrTb"/>
            <w:noWrap w:val="false"/>
          </w:tcPr>
          <w:p>
            <w:pPr>
              <w:ind w:left="0" w:right="0" w:firstLine="0"/>
              <w:jc w:val="center"/>
              <w:spacing w:before="25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驾驶员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4" w:type="dxa"/>
            <w:vAlign w:val="center"/>
            <w:textDirection w:val="lrTb"/>
            <w:noWrap w:val="false"/>
          </w:tcPr>
          <w:p>
            <w:pPr>
              <w:ind w:left="0" w:right="0" w:firstLine="0"/>
              <w:jc w:val="center"/>
              <w:spacing w:before="293"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439" w:right="0" w:firstLine="0"/>
              <w:jc w:val="both"/>
              <w:spacing w:before="29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5" w:type="dxa"/>
            <w:vAlign w:val="center"/>
            <w:textDirection w:val="lrTb"/>
            <w:noWrap w:val="false"/>
          </w:tcPr>
          <w:p>
            <w:pPr>
              <w:ind w:left="0" w:right="0" w:firstLine="0"/>
              <w:jc w:val="center"/>
              <w:spacing w:before="11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埭西村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4" w:type="dxa"/>
            <w:vAlign w:val="center"/>
            <w:textDirection w:val="lrTb"/>
            <w:noWrap w:val="false"/>
          </w:tcPr>
          <w:p>
            <w:pPr>
              <w:ind w:left="0" w:right="0" w:firstLine="0"/>
              <w:jc w:val="center"/>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434" w:right="0" w:firstLine="0"/>
              <w:jc w:val="both"/>
              <w:spacing w:before="29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5" w:type="dxa"/>
            <w:vAlign w:val="center"/>
            <w:textDirection w:val="lrTb"/>
            <w:noWrap w:val="false"/>
          </w:tcPr>
          <w:p>
            <w:pPr>
              <w:ind w:left="0" w:right="0" w:firstLine="0"/>
              <w:jc w:val="center"/>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埭头村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4" w:type="dxa"/>
            <w:vAlign w:val="center"/>
            <w:textDirection w:val="lrTb"/>
            <w:noWrap w:val="false"/>
          </w:tcPr>
          <w:p>
            <w:pPr>
              <w:ind w:left="0" w:right="0" w:firstLine="0"/>
              <w:jc w:val="center"/>
              <w:spacing w:before="1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439" w:right="0" w:firstLine="0"/>
              <w:jc w:val="both"/>
              <w:spacing w:before="29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5" w:type="dxa"/>
            <w:vAlign w:val="center"/>
            <w:textDirection w:val="lrTb"/>
            <w:noWrap w:val="false"/>
          </w:tcPr>
          <w:p>
            <w:pPr>
              <w:ind w:left="0" w:right="0" w:firstLine="0"/>
              <w:jc w:val="center"/>
              <w:spacing w:before="11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余家坝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4" w:type="dxa"/>
            <w:vAlign w:val="center"/>
            <w:textDirection w:val="lrTb"/>
            <w:noWrap w:val="false"/>
          </w:tcPr>
          <w:p>
            <w:pPr>
              <w:ind w:left="0" w:right="0" w:firstLine="0"/>
              <w:jc w:val="center"/>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4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437" w:right="0" w:firstLine="0"/>
              <w:jc w:val="both"/>
              <w:spacing w:before="29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5" w:type="dxa"/>
            <w:vAlign w:val="center"/>
            <w:textDirection w:val="lrTb"/>
            <w:noWrap w:val="false"/>
          </w:tcPr>
          <w:p>
            <w:pPr>
              <w:ind w:left="0" w:right="0" w:firstLine="0"/>
              <w:jc w:val="center"/>
              <w:spacing w:before="11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后六村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4" w:type="dxa"/>
            <w:vAlign w:val="center"/>
            <w:textDirection w:val="lrTb"/>
            <w:noWrap w:val="false"/>
          </w:tcPr>
          <w:p>
            <w:pPr>
              <w:ind w:left="0" w:right="0" w:firstLine="0"/>
              <w:jc w:val="center"/>
              <w:spacing w:before="15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440" w:right="0" w:firstLine="0"/>
              <w:jc w:val="both"/>
              <w:spacing w:before="29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5" w:type="dxa"/>
            <w:vAlign w:val="center"/>
            <w:textDirection w:val="lrTb"/>
            <w:noWrap w:val="false"/>
          </w:tcPr>
          <w:p>
            <w:pPr>
              <w:ind w:left="0" w:right="0" w:firstLine="0"/>
              <w:jc w:val="center"/>
              <w:spacing w:before="12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后六老街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4" w:type="dxa"/>
            <w:vAlign w:val="center"/>
            <w:textDirection w:val="lrTb"/>
            <w:noWrap w:val="false"/>
          </w:tcPr>
          <w:p>
            <w:pPr>
              <w:ind w:left="0" w:right="0" w:firstLine="0"/>
              <w:jc w:val="center"/>
              <w:spacing w:before="15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436" w:right="0" w:firstLine="0"/>
              <w:jc w:val="both"/>
              <w:spacing w:before="29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5" w:type="dxa"/>
            <w:vAlign w:val="center"/>
            <w:textDirection w:val="lrTb"/>
            <w:noWrap w:val="false"/>
          </w:tcPr>
          <w:p>
            <w:pPr>
              <w:ind w:left="0" w:right="0" w:firstLine="0"/>
              <w:jc w:val="center"/>
              <w:spacing w:before="11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前六村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4" w:type="dxa"/>
            <w:vAlign w:val="center"/>
            <w:textDirection w:val="lrTb"/>
            <w:noWrap w:val="false"/>
          </w:tcPr>
          <w:p>
            <w:pPr>
              <w:ind w:left="0" w:right="0" w:firstLine="0"/>
              <w:jc w:val="center"/>
              <w:spacing w:before="15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3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436" w:right="0" w:firstLine="0"/>
              <w:jc w:val="both"/>
              <w:spacing w:before="29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5" w:type="dxa"/>
            <w:vAlign w:val="center"/>
            <w:textDirection w:val="lrTb"/>
            <w:noWrap w:val="false"/>
          </w:tcPr>
          <w:p>
            <w:pPr>
              <w:ind w:left="0" w:right="0" w:firstLine="0"/>
              <w:jc w:val="center"/>
              <w:spacing w:before="12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邹家村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4" w:type="dxa"/>
            <w:vAlign w:val="center"/>
            <w:textDirection w:val="lrTb"/>
            <w:noWrap w:val="false"/>
          </w:tcPr>
          <w:p>
            <w:pPr>
              <w:ind w:left="0" w:right="0" w:firstLine="0"/>
              <w:jc w:val="center"/>
              <w:spacing w:before="15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392" w:right="0" w:firstLine="0"/>
              <w:jc w:val="both"/>
              <w:spacing w:before="29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5" w:type="dxa"/>
            <w:vAlign w:val="center"/>
            <w:textDirection w:val="lrTb"/>
            <w:noWrap w:val="false"/>
          </w:tcPr>
          <w:p>
            <w:pPr>
              <w:ind w:left="0" w:right="0" w:firstLine="0"/>
              <w:jc w:val="center"/>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南埝村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4" w:type="dxa"/>
            <w:vAlign w:val="center"/>
            <w:textDirection w:val="lrTb"/>
            <w:noWrap w:val="false"/>
          </w:tcPr>
          <w:p>
            <w:pPr>
              <w:ind w:left="0" w:right="0" w:firstLine="0"/>
              <w:jc w:val="center"/>
              <w:spacing w:before="1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5" w:type="dxa"/>
            <w:vAlign w:val="center"/>
            <w:textDirection w:val="lrTb"/>
            <w:noWrap w:val="false"/>
          </w:tcPr>
          <w:p>
            <w:pPr>
              <w:ind w:left="0" w:right="0" w:firstLine="0"/>
              <w:jc w:val="center"/>
              <w:spacing w:before="2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合计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4" w:type="dxa"/>
            <w:vAlign w:val="center"/>
            <w:textDirection w:val="lrTb"/>
            <w:noWrap w:val="false"/>
          </w:tcPr>
          <w:p>
            <w:pPr>
              <w:ind w:left="0" w:right="0" w:firstLine="0"/>
              <w:jc w:val="center"/>
              <w:spacing w:before="296"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79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line="6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3665"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车辆安排</w:t>
      </w:r>
      <w:r>
        <w:rPr>
          <w:rFonts w:ascii="SimSun" w:hAnsi="SimSun" w:eastAsia="SimSun" w:cs="SimSun"/>
          <w:color w:val="000000"/>
          <w:spacing w:val="8"/>
          <w:sz w:val="24"/>
        </w:rPr>
        <w:t xml:space="preserve">（最低要求）</w:t>
      </w:r>
      <w:r/>
    </w:p>
    <w:p>
      <w:pPr>
        <w:ind w:left="0" w:right="0" w:firstLine="0"/>
        <w:jc w:val="both"/>
        <w:spacing w:before="0" w:after="0" w:line="11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1"/>
        <w:gridCol w:w="4015"/>
        <w:gridCol w:w="1991"/>
        <w:gridCol w:w="1376"/>
      </w:tblGrid>
      <w:tr>
        <w:trPr>
          <w:trHeight w:val="39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1" w:type="dxa"/>
            <w:vAlign w:val="top"/>
            <w:textDirection w:val="lrTb"/>
            <w:noWrap w:val="false"/>
          </w:tcPr>
          <w:p>
            <w:pPr>
              <w:ind w:left="285" w:right="0" w:firstLine="0"/>
              <w:spacing w:before="23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15" w:type="dxa"/>
            <w:vAlign w:val="top"/>
            <w:textDirection w:val="lrTb"/>
            <w:noWrap w:val="false"/>
          </w:tcPr>
          <w:p>
            <w:pPr>
              <w:ind w:left="1773" w:right="0" w:firstLine="0"/>
              <w:spacing w:before="23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91" w:type="dxa"/>
            <w:vAlign w:val="top"/>
            <w:textDirection w:val="lrTb"/>
            <w:noWrap w:val="false"/>
          </w:tcPr>
          <w:p>
            <w:pPr>
              <w:ind w:left="402" w:right="0" w:firstLine="0"/>
              <w:spacing w:before="23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数量（辆）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6" w:type="dxa"/>
            <w:vAlign w:val="top"/>
            <w:textDirection w:val="lrTb"/>
            <w:noWrap w:val="false"/>
          </w:tcPr>
          <w:p>
            <w:pPr>
              <w:ind w:left="457" w:right="0" w:firstLine="0"/>
              <w:spacing w:before="237"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备注</w:t>
            </w:r>
            <w:r/>
          </w:p>
        </w:tc>
      </w:tr>
      <w:tr>
        <w:trPr>
          <w:trHeight w:val="5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1" w:type="dxa"/>
            <w:vAlign w:val="top"/>
            <w:textDirection w:val="lrTb"/>
            <w:noWrap w:val="false"/>
          </w:tcPr>
          <w:p>
            <w:pPr>
              <w:ind w:left="0" w:right="0" w:firstLine="0"/>
              <w:jc w:val="center"/>
              <w:spacing w:before="2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15" w:type="dxa"/>
            <w:vAlign w:val="top"/>
            <w:textDirection w:val="lrTb"/>
            <w:noWrap w:val="false"/>
          </w:tcPr>
          <w:p>
            <w:pPr>
              <w:ind w:left="0" w:right="0" w:firstLine="0"/>
              <w:jc w:val="center"/>
              <w:spacing w:before="2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建筑垃圾、各类废弃物收运车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91" w:type="dxa"/>
            <w:vAlign w:val="top"/>
            <w:textDirection w:val="lrTb"/>
            <w:noWrap w:val="false"/>
          </w:tcPr>
          <w:p>
            <w:pPr>
              <w:ind w:left="0" w:right="0" w:firstLine="0"/>
              <w:jc w:val="center"/>
              <w:spacing w:before="2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6" w:type="dxa"/>
            <w:vAlign w:val="top"/>
            <w:textDirection w:val="lrTb"/>
            <w:noWrap w:val="false"/>
          </w:tcPr>
          <w:p>
            <w:pPr>
              <w:ind w:left="0" w:right="0" w:firstLine="0"/>
              <w:jc w:val="center"/>
              <w:spacing w:before="2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r>
      <w:tr>
        <w:trPr>
          <w:trHeight w:val="5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1" w:type="dxa"/>
            <w:vAlign w:val="top"/>
            <w:textDirection w:val="lrTb"/>
            <w:noWrap w:val="false"/>
          </w:tcPr>
          <w:p>
            <w:pPr>
              <w:ind w:left="0" w:right="0" w:firstLine="0"/>
              <w:jc w:val="center"/>
              <w:spacing w:before="2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15" w:type="dxa"/>
            <w:vAlign w:val="top"/>
            <w:textDirection w:val="lrTb"/>
            <w:noWrap w:val="false"/>
          </w:tcPr>
          <w:p>
            <w:pPr>
              <w:ind w:left="0" w:right="0" w:firstLine="0"/>
              <w:jc w:val="center"/>
              <w:spacing w:before="2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冲洗车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91" w:type="dxa"/>
            <w:vAlign w:val="top"/>
            <w:textDirection w:val="lrTb"/>
            <w:noWrap w:val="false"/>
          </w:tcPr>
          <w:p>
            <w:pPr>
              <w:ind w:left="0" w:right="0" w:firstLine="0"/>
              <w:jc w:val="center"/>
              <w:spacing w:before="2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6" w:type="dxa"/>
            <w:vAlign w:val="top"/>
            <w:textDirection w:val="lrTb"/>
            <w:noWrap w:val="false"/>
          </w:tcPr>
          <w:p>
            <w:pPr>
              <w:ind w:left="0" w:right="0" w:firstLine="0"/>
              <w:jc w:val="center"/>
              <w:spacing w:before="2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r>
      <w:tr>
        <w:trPr>
          <w:trHeight w:val="4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1" w:type="dxa"/>
            <w:vAlign w:val="top"/>
            <w:textDirection w:val="lrTb"/>
            <w:noWrap w:val="false"/>
          </w:tcPr>
          <w:p>
            <w:pPr>
              <w:ind w:left="0" w:right="0" w:firstLine="0"/>
              <w:jc w:val="center"/>
              <w:spacing w:before="2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15" w:type="dxa"/>
            <w:vAlign w:val="top"/>
            <w:textDirection w:val="lrTb"/>
            <w:noWrap w:val="false"/>
          </w:tcPr>
          <w:p>
            <w:pPr>
              <w:ind w:left="0" w:right="0" w:firstLine="0"/>
              <w:jc w:val="center"/>
              <w:spacing w:before="2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保洁车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91" w:type="dxa"/>
            <w:vAlign w:val="top"/>
            <w:textDirection w:val="lrTb"/>
            <w:noWrap w:val="false"/>
          </w:tcPr>
          <w:p>
            <w:pPr>
              <w:ind w:left="0" w:right="0" w:firstLine="0"/>
              <w:jc w:val="center"/>
              <w:spacing w:before="2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6" w:type="dxa"/>
            <w:vAlign w:val="top"/>
            <w:textDirection w:val="lrTb"/>
            <w:noWrap w:val="false"/>
          </w:tcPr>
          <w:p>
            <w:pPr>
              <w:ind w:left="0" w:right="0" w:firstLine="0"/>
              <w:jc w:val="center"/>
              <w:spacing w:before="25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r>
    </w:tbl>
    <w:p>
      <w:pPr>
        <w:pStyle w:val="644"/>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、总体目标</w:t>
      </w:r>
      <w:r/>
    </w:p>
    <w:p>
      <w:pPr>
        <w:pStyle w:val="644"/>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城乡环境和公共服务一体化为统揽，坚持“政府主导、村居主体、村民参与、社会支持、因地制宜、量力而行”的原则，按照“生产发展、生活宽裕、乡风文明、村容整洁”要求，将农村人居环境长效管护工作与农村公共服务基础设施运行维护管护相结合，与农村实事工程相结合，以建设与管护并重，切实加强农村环境提升和公共基础设施建设，探索创新农村人居环境长效管护制度，形成网格化和集成化管护的大格局。</w:t>
      </w:r>
      <w:r>
        <w:rPr>
          <w:rFonts w:ascii="Times New Roman" w:hAnsi="Times New Roman" w:eastAsia="Times New Roman" w:cs="Times New Roman"/>
          <w:b/>
          <w:color w:val="000000"/>
          <w:sz w:val="24"/>
        </w:rPr>
        <w:t xml:space="preserve"> </w:t>
      </w:r>
      <w:r/>
    </w:p>
    <w:p>
      <w:pPr>
        <w:pStyle w:val="644"/>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、服务质量要求：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健全有制度、有标准、有队伍、有经费、有农民主体作用发挥、有督查的农村人居环境长效管护机制，落实农村公共基础设施管护责任，探索网格化、集成化的管理模式，大力推行农村河道、道路交通、绿化美化、环境保洁、公共设施“五位一体”综合管护，推动农村人居环境长效管护系统化、规范化、长效化。</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农村保洁外包的保洁范围，涵盖了村庄内部和周边地区，以及其他相关注意事项。</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村庄内部保洁</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w:t>
      </w:r>
      <w:r>
        <w:rPr>
          <w:rFonts w:ascii="SimSun" w:hAnsi="SimSun" w:eastAsia="SimSun" w:cs="SimSun"/>
          <w:color w:val="000000"/>
          <w:sz w:val="24"/>
        </w:rPr>
        <w:t xml:space="preserve">道路清扫：包括村庄内的主、次干道及小巷、夹巷、胡同和屋前屋后，负责日常清扫和保洁，及时清除道路上的垃圾、杂物，杜绝农作物生长占用道路现象，保持道路干净整洁。</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color w:val="000000"/>
          <w:sz w:val="24"/>
        </w:rPr>
        <w:t xml:space="preserve">公共区域清洁：包括公共场所如广场、公园、公共卫生间桥梁等，需要定期清扫，清理小广告，保持公共设施的清洁卫生，方便村民使用。发现公共场所有乱晾晒现象或者公共设施有损坏要及时报告村委处理。</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3.1.3</w:t>
      </w:r>
      <w:r>
        <w:rPr>
          <w:rFonts w:ascii="SimSun" w:hAnsi="SimSun" w:eastAsia="SimSun" w:cs="SimSun"/>
          <w:color w:val="000000"/>
          <w:sz w:val="24"/>
        </w:rPr>
        <w:t xml:space="preserve">垃圾收集与处理：负责日常垃圾的收集、分类和转运，对垃圾桶进行定期清洗和消毒，确保垃圾得到及时、规范的处理。规范使用垃圾桶，发现破损的及时向村委汇报处理。</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水源保护：加强对村庄内水体的保护，清理水体中的垃圾，防止污水排放，保持水源的清洁卫生。发现黑臭水体、污水外溢等污染水体的现象及时向村委汇报处理。</w:t>
      </w:r>
      <w:r/>
    </w:p>
    <w:p>
      <w:pPr>
        <w:ind w:left="0" w:right="0" w:firstLine="482"/>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w:t>
      </w:r>
      <w:r>
        <w:rPr>
          <w:rFonts w:ascii="SimSun" w:hAnsi="SimSun" w:eastAsia="SimSun" w:cs="SimSun"/>
          <w:b/>
          <w:color w:val="000000"/>
          <w:sz w:val="24"/>
        </w:rPr>
        <w:t xml:space="preserve">、村庄周边保洁</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3.2.1</w:t>
      </w:r>
      <w:r>
        <w:rPr>
          <w:rFonts w:ascii="SimSun" w:hAnsi="SimSun" w:eastAsia="SimSun" w:cs="SimSun"/>
          <w:color w:val="000000"/>
          <w:sz w:val="24"/>
        </w:rPr>
        <w:t xml:space="preserve">田野清扫：对村庄周边的田野进行定期清扫，保持自然环境的整洁。</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w:t>
      </w:r>
      <w:r>
        <w:rPr>
          <w:rFonts w:ascii="SimSun" w:hAnsi="SimSun" w:eastAsia="SimSun" w:cs="SimSun"/>
          <w:color w:val="000000"/>
          <w:sz w:val="24"/>
        </w:rPr>
        <w:t xml:space="preserve">河道清洁：对村庄周边的河道、溪流等进行定期清理，清除河道中的垃圾、杂草，保持水体的通畅和清洁。（埭头镇河塘管护名录中的市级、镇级、村级河道除外）。</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3.2.3</w:t>
      </w:r>
      <w:r>
        <w:rPr>
          <w:rFonts w:ascii="SimSun" w:hAnsi="SimSun" w:eastAsia="SimSun" w:cs="SimSun"/>
          <w:color w:val="000000"/>
          <w:sz w:val="24"/>
        </w:rPr>
        <w:t xml:space="preserve">畜禽养殖区清洁：协助村民对畜禽养殖区进行定期清理，保持养殖区的卫生和整洁，防止畜禽粪便对环境造成污染。</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3.2.4</w:t>
      </w:r>
      <w:r>
        <w:rPr>
          <w:rFonts w:ascii="SimSun" w:hAnsi="SimSun" w:eastAsia="SimSun" w:cs="SimSun"/>
          <w:color w:val="000000"/>
          <w:sz w:val="24"/>
        </w:rPr>
        <w:t xml:space="preserve">农业废弃物处理：指导村民合理处理农业废弃物，如农作物秸秆、废旧农膜等，减少对环境的污染。</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3.2.5</w:t>
      </w:r>
      <w:r>
        <w:rPr>
          <w:rFonts w:ascii="SimSun" w:hAnsi="SimSun" w:eastAsia="SimSun" w:cs="SimSun"/>
          <w:color w:val="000000"/>
          <w:sz w:val="24"/>
        </w:rPr>
        <w:t xml:space="preserve">交通干线清扫：对村庄周边的交通干线进行日常清扫和维护，保持道路的整洁和畅通（埭头镇农村公路办公室负责的除外）。</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、其他注意事项</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建立保洁制度：建立健全的保洁制度，明确保洁范围、责任和工作要求，确保保洁工作有序开展。</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3.3.2</w:t>
      </w:r>
      <w:r>
        <w:rPr>
          <w:rFonts w:ascii="SimSun" w:hAnsi="SimSun" w:eastAsia="SimSun" w:cs="SimSun"/>
          <w:color w:val="000000"/>
          <w:sz w:val="24"/>
        </w:rPr>
        <w:t xml:space="preserve">宣传教育：加强对村民的环保宣传教育，提高村民的环保意识和卫生习惯，共同维护乡村环境卫生。</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3.3.3</w:t>
      </w:r>
      <w:r>
        <w:rPr>
          <w:rFonts w:ascii="SimSun" w:hAnsi="SimSun" w:eastAsia="SimSun" w:cs="SimSun"/>
          <w:color w:val="000000"/>
          <w:sz w:val="24"/>
        </w:rPr>
        <w:t xml:space="preserve">监督检查：定期对保洁工作进行检查和评估，发现问题及时整改，确保保洁质量达标。</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3.3.4</w:t>
      </w:r>
      <w:r>
        <w:rPr>
          <w:rFonts w:ascii="SimSun" w:hAnsi="SimSun" w:eastAsia="SimSun" w:cs="SimSun"/>
          <w:color w:val="000000"/>
          <w:sz w:val="24"/>
        </w:rPr>
        <w:t xml:space="preserve">持续改进：根据实际情况和村民反馈，不断优化保洁方案和工作流程，提高保洁效率和质量。</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3.3.5</w:t>
      </w:r>
      <w:r>
        <w:rPr>
          <w:rFonts w:ascii="SimSun" w:hAnsi="SimSun" w:eastAsia="SimSun" w:cs="SimSun"/>
          <w:color w:val="000000"/>
          <w:sz w:val="24"/>
        </w:rPr>
        <w:t xml:space="preserve">人员培训：加强对保洁人员的培训和管理，提高保洁人员的素质和工作能力，确保保洁工作顺利进行。</w:t>
      </w:r>
      <w:r>
        <w:rPr>
          <w:rFonts w:ascii="Times New Roman" w:hAnsi="Times New Roman" w:eastAsia="Times New Roman" w:cs="Times New Roman"/>
          <w:color w:val="000000"/>
          <w:sz w:val="24"/>
        </w:rPr>
        <w:t xml:space="preserve"> </w:t>
      </w:r>
      <w:r/>
    </w:p>
    <w:p>
      <w:pPr>
        <w:ind w:left="0" w:right="0" w:firstLine="482"/>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、采购文件中的人员级车辆配备数量为本项目的最低配置要求，供应商在投标时不能降低或减少人员及车辆的配置方式及配置数量。供应商可以根据自身情况增加人员或车辆的配置。</w:t>
      </w:r>
      <w:r/>
    </w:p>
    <w:p>
      <w:pPr>
        <w:ind w:left="0" w:right="0" w:firstLine="482"/>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人必须给服务人员按照国家及常州地区的有关规定支付工资，所有配置人员的工资待遇不得低于常州地区目前人均最低工资标准，并须按照国家劳动法规定的工作时间安排员工工作。如在服务期间，常州地区人均最低工资标准和社保缴费标准进行调整，则调整部分的费用由成交单位承担。</w:t>
      </w:r>
      <w:r/>
    </w:p>
    <w:p>
      <w:pPr>
        <w:ind w:left="0" w:right="0" w:firstLine="482"/>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应对所投项目的全部内容进行报价，只投其中部分内容者或出现选择性报价的，其投标文件将被拒绝。投标总报价包括提供本项目所有承包期内保洁服务的需要的人工费（包括人员工资、社保、夏季高温费、意外保险费等），智能通讯工具、保洁工具和车辆等相关机械设备使用费、安全生产费用、以及在保洁服务过程中发生的一切费用。还包括耗材、各种税费及政策性文件规定及合同包含的所有风险、责任等各项应有费用。报价中的人员工资不得低于国家规定标准，否则视为无效响应。</w:t>
      </w:r>
      <w:r/>
    </w:p>
    <w:p>
      <w:pPr>
        <w:ind w:left="0" w:right="0" w:firstLine="482"/>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、考核标准：按照市政府办公室关于印发《溧阳市农村人居环境长效管护考核暂行办法》进行考核（见附件），如有新文件，按新文件执行。</w:t>
      </w:r>
      <w:r/>
    </w:p>
    <w:p>
      <w:pPr>
        <w:ind w:left="0" w:right="0" w:firstLine="482"/>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、磋商报价方式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报价货币为人民币，评审时以人民币为准。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本项目最高限价为</w:t>
      </w:r>
      <w:r>
        <w:rPr>
          <w:rFonts w:ascii="Times New Roman" w:hAnsi="Times New Roman" w:eastAsia="Times New Roman" w:cs="Times New Roman"/>
          <w:color w:val="000000"/>
          <w:sz w:val="24"/>
        </w:rPr>
        <w:t xml:space="preserve">278</w:t>
      </w:r>
      <w:r>
        <w:rPr>
          <w:rFonts w:ascii="SimSun" w:hAnsi="SimSun" w:eastAsia="SimSun" w:cs="SimSun"/>
          <w:color w:val="000000"/>
          <w:sz w:val="24"/>
        </w:rPr>
        <w:t xml:space="preserve">万元，所有供应商的</w:t>
      </w:r>
      <w:r>
        <w:rPr>
          <w:rFonts w:ascii="SimSun" w:hAnsi="SimSun" w:eastAsia="SimSun" w:cs="SimSun"/>
          <w:b/>
          <w:color w:val="000000"/>
          <w:sz w:val="24"/>
        </w:rPr>
        <w:t xml:space="preserve">磋商报价不得高于最高限价，否则作无效响应处理。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6.3</w:t>
      </w:r>
      <w:r>
        <w:rPr>
          <w:rFonts w:ascii="SimSun" w:hAnsi="SimSun" w:eastAsia="SimSun" w:cs="SimSun"/>
          <w:color w:val="000000"/>
          <w:sz w:val="24"/>
        </w:rPr>
        <w:t xml:space="preserve">其他要求</w:t>
      </w:r>
      <w:r/>
    </w:p>
    <w:p>
      <w:pPr>
        <w:ind w:left="0" w:right="0" w:firstLine="480"/>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按照《政府采购促进中小企业发展管理办法》（财库[2020]46号）的相关要求，采购人应当面向中小企业预留采购份额，本项目面向中小企业预留份额</w:t>
      </w:r>
      <w:r>
        <w:rPr>
          <w:rFonts w:ascii="SimSun" w:hAnsi="SimSun" w:eastAsia="SimSun" w:cs="SimSun"/>
          <w:color w:val="000000"/>
          <w:sz w:val="24"/>
          <w:u w:val="single"/>
        </w:rPr>
        <w:t xml:space="preserve">100</w:t>
      </w:r>
      <w:r>
        <w:rPr>
          <w:rFonts w:ascii="SimSun" w:hAnsi="SimSun" w:eastAsia="SimSun" w:cs="SimSun"/>
          <w:color w:val="000000"/>
          <w:sz w:val="24"/>
        </w:rPr>
        <w:t xml:space="preserve">%。</w:t>
      </w:r>
      <w:r/>
    </w:p>
    <w:p>
      <w:pPr>
        <w:ind w:left="100" w:right="0" w:firstLine="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4"/>
        <w:ind w:left="0" w:right="0" w:firstLine="0"/>
        <w:spacing w:before="36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mc:AlternateContent>
          <mc:Choice Requires="wpg">
            <w:drawing>
              <wp:inline xmlns:wp="http://schemas.openxmlformats.org/drawingml/2006/wordprocessingDrawing" distT="0" distB="0" distL="0" distR="0">
                <wp:extent cx="5940000" cy="8400036"/>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50492" name=""/>
                        <pic:cNvPicPr>
                          <a:picLocks noChangeAspect="1"/>
                        </pic:cNvPicPr>
                        <pic:nvPr/>
                      </pic:nvPicPr>
                      <pic:blipFill>
                        <a:blip r:embed="rId15"/>
                        <a:stretch/>
                      </pic:blipFill>
                      <pic:spPr bwMode="auto">
                        <a:xfrm>
                          <a:off x="0" y="0"/>
                          <a:ext cx="5940000" cy="840003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7.7pt;height:661.4pt;mso-wrap-distance-left:0.0pt;mso-wrap-distance-top:0.0pt;mso-wrap-distance-right:0.0pt;mso-wrap-distance-bottom:0.0pt;" stroked="false">
                <v:path textboxrect="0,0,0,0"/>
                <v:imagedata r:id="rId15" o:title=""/>
              </v:shape>
            </w:pict>
          </mc:Fallback>
        </mc:AlternateContent>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sz w:val="21"/>
          <w:szCs w:val="21"/>
        </w:rPr>
      </w:r>
      <w:r>
        <w:rPr>
          <w:sz w:val="21"/>
          <w:szCs w:val="21"/>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mc:AlternateContent>
          <mc:Choice Requires="wpg">
            <w:drawing>
              <wp:inline xmlns:wp="http://schemas.openxmlformats.org/drawingml/2006/wordprocessingDrawing" distT="0" distB="0" distL="0" distR="0">
                <wp:extent cx="5940000" cy="8400036"/>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980972" name=""/>
                        <pic:cNvPicPr>
                          <a:picLocks noChangeAspect="1"/>
                        </pic:cNvPicPr>
                        <pic:nvPr/>
                      </pic:nvPicPr>
                      <pic:blipFill>
                        <a:blip r:embed="rId16"/>
                        <a:stretch/>
                      </pic:blipFill>
                      <pic:spPr bwMode="auto">
                        <a:xfrm>
                          <a:off x="0" y="0"/>
                          <a:ext cx="5940000" cy="840003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7pt;height:661.4pt;mso-wrap-distance-left:0.0pt;mso-wrap-distance-top:0.0pt;mso-wrap-distance-right:0.0pt;mso-wrap-distance-bottom:0.0pt;" stroked="false">
                <v:path textboxrect="0,0,0,0"/>
                <v:imagedata r:id="rId16" o:title=""/>
              </v:shape>
            </w:pict>
          </mc:Fallback>
        </mc:AlternateContent>
        <mc:AlternateContent>
          <mc:Choice Requires="wpg">
            <w:drawing>
              <wp:inline xmlns:wp="http://schemas.openxmlformats.org/drawingml/2006/wordprocessingDrawing" distT="0" distB="0" distL="0" distR="0">
                <wp:extent cx="5940000" cy="8400036"/>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854538" name=""/>
                        <pic:cNvPicPr>
                          <a:picLocks noChangeAspect="1"/>
                        </pic:cNvPicPr>
                        <pic:nvPr/>
                      </pic:nvPicPr>
                      <pic:blipFill>
                        <a:blip r:embed="rId17"/>
                        <a:stretch/>
                      </pic:blipFill>
                      <pic:spPr bwMode="auto">
                        <a:xfrm>
                          <a:off x="0" y="0"/>
                          <a:ext cx="5940000" cy="840003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7.7pt;height:661.4pt;mso-wrap-distance-left:0.0pt;mso-wrap-distance-top:0.0pt;mso-wrap-distance-right:0.0pt;mso-wrap-distance-bottom:0.0pt;" stroked="false">
                <v:path textboxrect="0,0,0,0"/>
                <v:imagedata r:id="rId17" o:title=""/>
              </v:shape>
            </w:pict>
          </mc:Fallback>
        </mc:AlternateContent>
        <mc:AlternateContent>
          <mc:Choice Requires="wpg">
            <w:drawing>
              <wp:inline xmlns:wp="http://schemas.openxmlformats.org/drawingml/2006/wordprocessingDrawing" distT="0" distB="0" distL="0" distR="0">
                <wp:extent cx="5940000" cy="8400036"/>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745359" name=""/>
                        <pic:cNvPicPr>
                          <a:picLocks noChangeAspect="1"/>
                        </pic:cNvPicPr>
                        <pic:nvPr/>
                      </pic:nvPicPr>
                      <pic:blipFill>
                        <a:blip r:embed="rId18"/>
                        <a:stretch/>
                      </pic:blipFill>
                      <pic:spPr bwMode="auto">
                        <a:xfrm>
                          <a:off x="0" y="0"/>
                          <a:ext cx="5940000" cy="840003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7.7pt;height:661.4pt;mso-wrap-distance-left:0.0pt;mso-wrap-distance-top:0.0pt;mso-wrap-distance-right:0.0pt;mso-wrap-distance-bottom:0.0pt;" stroked="false">
                <v:path textboxrect="0,0,0,0"/>
                <v:imagedata r:id="rId18" o:title=""/>
              </v:shape>
            </w:pict>
          </mc:Fallback>
        </mc:AlternateContent>
        <mc:AlternateContent>
          <mc:Choice Requires="wpg">
            <w:drawing>
              <wp:inline xmlns:wp="http://schemas.openxmlformats.org/drawingml/2006/wordprocessingDrawing" distT="0" distB="0" distL="0" distR="0">
                <wp:extent cx="5940000" cy="8400036"/>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186402" name=""/>
                        <pic:cNvPicPr>
                          <a:picLocks noChangeAspect="1"/>
                        </pic:cNvPicPr>
                        <pic:nvPr/>
                      </pic:nvPicPr>
                      <pic:blipFill>
                        <a:blip r:embed="rId19"/>
                        <a:stretch/>
                      </pic:blipFill>
                      <pic:spPr bwMode="auto">
                        <a:xfrm>
                          <a:off x="0" y="0"/>
                          <a:ext cx="5940000" cy="840003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67.7pt;height:661.4pt;mso-wrap-distance-left:0.0pt;mso-wrap-distance-top:0.0pt;mso-wrap-distance-right:0.0pt;mso-wrap-distance-bottom:0.0pt;" stroked="false">
                <v:path textboxrect="0,0,0,0"/>
                <v:imagedata r:id="rId19" o:title=""/>
              </v:shape>
            </w:pict>
          </mc:Fallback>
        </mc:AlternateContent>
        <mc:AlternateContent>
          <mc:Choice Requires="wpg">
            <w:drawing>
              <wp:inline xmlns:wp="http://schemas.openxmlformats.org/drawingml/2006/wordprocessingDrawing" distT="0" distB="0" distL="0" distR="0">
                <wp:extent cx="5940000" cy="8400036"/>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702920" name=""/>
                        <pic:cNvPicPr>
                          <a:picLocks noChangeAspect="1"/>
                        </pic:cNvPicPr>
                        <pic:nvPr/>
                      </pic:nvPicPr>
                      <pic:blipFill>
                        <a:blip r:embed="rId20"/>
                        <a:stretch/>
                      </pic:blipFill>
                      <pic:spPr bwMode="auto">
                        <a:xfrm>
                          <a:off x="0" y="0"/>
                          <a:ext cx="5940000" cy="840003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7.7pt;height:661.4pt;mso-wrap-distance-left:0.0pt;mso-wrap-distance-top:0.0pt;mso-wrap-distance-right:0.0pt;mso-wrap-distance-bottom:0.0pt;" stroked="false">
                <v:path textboxrect="0,0,0,0"/>
                <v:imagedata r:id="rId20" o:title=""/>
              </v:shape>
            </w:pict>
          </mc:Fallback>
        </mc:AlternateContent>
        <mc:AlternateContent>
          <mc:Choice Requires="wpg">
            <w:drawing>
              <wp:inline xmlns:wp="http://schemas.openxmlformats.org/drawingml/2006/wordprocessingDrawing" distT="0" distB="0" distL="0" distR="0">
                <wp:extent cx="5940000" cy="8400036"/>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078213" name=""/>
                        <pic:cNvPicPr>
                          <a:picLocks noChangeAspect="1"/>
                        </pic:cNvPicPr>
                        <pic:nvPr/>
                      </pic:nvPicPr>
                      <pic:blipFill>
                        <a:blip r:embed="rId21"/>
                        <a:stretch/>
                      </pic:blipFill>
                      <pic:spPr bwMode="auto">
                        <a:xfrm>
                          <a:off x="0" y="0"/>
                          <a:ext cx="5940000" cy="840003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7.7pt;height:661.4pt;mso-wrap-distance-left:0.0pt;mso-wrap-distance-top:0.0pt;mso-wrap-distance-right:0.0pt;mso-wrap-distance-bottom:0.0pt;" stroked="false">
                <v:path textboxrect="0,0,0,0"/>
                <v:imagedata r:id="rId21" o:title=""/>
              </v:shape>
            </w:pict>
          </mc:Fallback>
        </mc:AlternateContent>
        <mc:AlternateContent>
          <mc:Choice Requires="wpg">
            <w:drawing>
              <wp:inline xmlns:wp="http://schemas.openxmlformats.org/drawingml/2006/wordprocessingDrawing" distT="0" distB="0" distL="0" distR="0">
                <wp:extent cx="5940000" cy="8400036"/>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89880" name=""/>
                        <pic:cNvPicPr>
                          <a:picLocks noChangeAspect="1"/>
                        </pic:cNvPicPr>
                        <pic:nvPr/>
                      </pic:nvPicPr>
                      <pic:blipFill>
                        <a:blip r:embed="rId22"/>
                        <a:stretch/>
                      </pic:blipFill>
                      <pic:spPr bwMode="auto">
                        <a:xfrm>
                          <a:off x="0" y="0"/>
                          <a:ext cx="5940000" cy="840003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7.7pt;height:661.4pt;mso-wrap-distance-left:0.0pt;mso-wrap-distance-top:0.0pt;mso-wrap-distance-right:0.0pt;mso-wrap-distance-bottom:0.0pt;" stroked="false">
                <v:path textboxrect="0,0,0,0"/>
                <v:imagedata r:id="rId22" o:title=""/>
              </v:shape>
            </w:pict>
          </mc:Fallback>
        </mc:AlternateContent>
        <mc:AlternateContent>
          <mc:Choice Requires="wpg">
            <w:drawing>
              <wp:inline xmlns:wp="http://schemas.openxmlformats.org/drawingml/2006/wordprocessingDrawing" distT="0" distB="0" distL="0" distR="0">
                <wp:extent cx="5940000" cy="8400036"/>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509306" name=""/>
                        <pic:cNvPicPr>
                          <a:picLocks noChangeAspect="1"/>
                        </pic:cNvPicPr>
                        <pic:nvPr/>
                      </pic:nvPicPr>
                      <pic:blipFill>
                        <a:blip r:embed="rId23"/>
                        <a:stretch/>
                      </pic:blipFill>
                      <pic:spPr bwMode="auto">
                        <a:xfrm>
                          <a:off x="0" y="0"/>
                          <a:ext cx="5940000" cy="840003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7.7pt;height:661.4pt;mso-wrap-distance-left:0.0pt;mso-wrap-distance-top:0.0pt;mso-wrap-distance-right:0.0pt;mso-wrap-distance-bottom:0.0pt;" stroked="false">
                <v:path textboxrect="0,0,0,0"/>
                <v:imagedata r:id="rId23" o:title=""/>
              </v:shape>
            </w:pict>
          </mc:Fallback>
        </mc:AlternateContent>
        <mc:AlternateContent>
          <mc:Choice Requires="wpg">
            <w:drawing>
              <wp:inline xmlns:wp="http://schemas.openxmlformats.org/drawingml/2006/wordprocessingDrawing" distT="0" distB="0" distL="0" distR="0">
                <wp:extent cx="5940000" cy="8400036"/>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642887" name=""/>
                        <pic:cNvPicPr>
                          <a:picLocks noChangeAspect="1"/>
                        </pic:cNvPicPr>
                        <pic:nvPr/>
                      </pic:nvPicPr>
                      <pic:blipFill>
                        <a:blip r:embed="rId24"/>
                        <a:stretch/>
                      </pic:blipFill>
                      <pic:spPr bwMode="auto">
                        <a:xfrm>
                          <a:off x="0" y="0"/>
                          <a:ext cx="5940000" cy="840003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67.7pt;height:661.4pt;mso-wrap-distance-left:0.0pt;mso-wrap-distance-top:0.0pt;mso-wrap-distance-right:0.0pt;mso-wrap-distance-bottom:0.0pt;" stroked="false">
                <v:path textboxrect="0,0,0,0"/>
                <v:imagedata r:id="rId24" o:title=""/>
              </v:shape>
            </w:pict>
          </mc:Fallback>
        </mc:AlternateContent>
        <mc:AlternateContent>
          <mc:Choice Requires="wpg">
            <w:drawing>
              <wp:inline xmlns:wp="http://schemas.openxmlformats.org/drawingml/2006/wordprocessingDrawing" distT="0" distB="0" distL="0" distR="0">
                <wp:extent cx="5940000" cy="420041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357346" name=""/>
                        <pic:cNvPicPr>
                          <a:picLocks noChangeAspect="1"/>
                        </pic:cNvPicPr>
                        <pic:nvPr/>
                      </pic:nvPicPr>
                      <pic:blipFill>
                        <a:blip r:embed="rId25"/>
                        <a:stretch/>
                      </pic:blipFill>
                      <pic:spPr bwMode="auto">
                        <a:xfrm>
                          <a:off x="0" y="0"/>
                          <a:ext cx="5940000" cy="42004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67.7pt;height:330.7pt;mso-wrap-distance-left:0.0pt;mso-wrap-distance-top:0.0pt;mso-wrap-distance-right:0.0pt;mso-wrap-distance-bottom:0.0pt;" stroked="false">
                <v:path textboxrect="0,0,0,0"/>
                <v:imagedata r:id="rId25" o:title=""/>
              </v:shape>
            </w:pict>
          </mc:Fallback>
        </mc:AlternateContent>
        <mc:AlternateContent>
          <mc:Choice Requires="wpg">
            <w:drawing>
              <wp:inline xmlns:wp="http://schemas.openxmlformats.org/drawingml/2006/wordprocessingDrawing" distT="0" distB="0" distL="0" distR="0">
                <wp:extent cx="5940000" cy="420041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45589" name=""/>
                        <pic:cNvPicPr>
                          <a:picLocks noChangeAspect="1"/>
                        </pic:cNvPicPr>
                        <pic:nvPr/>
                      </pic:nvPicPr>
                      <pic:blipFill>
                        <a:blip r:embed="rId26"/>
                        <a:stretch/>
                      </pic:blipFill>
                      <pic:spPr bwMode="auto">
                        <a:xfrm>
                          <a:off x="0" y="0"/>
                          <a:ext cx="5940000" cy="42004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67.7pt;height:330.7pt;mso-wrap-distance-left:0.0pt;mso-wrap-distance-top:0.0pt;mso-wrap-distance-right:0.0pt;mso-wrap-distance-bottom:0.0pt;" stroked="false">
                <v:path textboxrect="0,0,0,0"/>
                <v:imagedata r:id="rId26" o:title=""/>
              </v:shape>
            </w:pict>
          </mc:Fallback>
        </mc:AlternateContent>
        <mc:AlternateContent>
          <mc:Choice Requires="wpg">
            <w:drawing>
              <wp:inline xmlns:wp="http://schemas.openxmlformats.org/drawingml/2006/wordprocessingDrawing" distT="0" distB="0" distL="0" distR="0">
                <wp:extent cx="5940000" cy="420041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109802" name=""/>
                        <pic:cNvPicPr>
                          <a:picLocks noChangeAspect="1"/>
                        </pic:cNvPicPr>
                        <pic:nvPr/>
                      </pic:nvPicPr>
                      <pic:blipFill>
                        <a:blip r:embed="rId27"/>
                        <a:stretch/>
                      </pic:blipFill>
                      <pic:spPr bwMode="auto">
                        <a:xfrm>
                          <a:off x="0" y="0"/>
                          <a:ext cx="5940000" cy="42004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67.7pt;height:330.7pt;mso-wrap-distance-left:0.0pt;mso-wrap-distance-top:0.0pt;mso-wrap-distance-right:0.0pt;mso-wrap-distance-bottom:0.0pt;" stroked="false">
                <v:path textboxrect="0,0,0,0"/>
                <v:imagedata r:id="rId27" o:title=""/>
              </v:shape>
            </w:pict>
          </mc:Fallback>
        </mc:AlternateContent>
        <mc:AlternateContent>
          <mc:Choice Requires="wpg">
            <w:drawing>
              <wp:inline xmlns:wp="http://schemas.openxmlformats.org/drawingml/2006/wordprocessingDrawing" distT="0" distB="0" distL="0" distR="0">
                <wp:extent cx="5940000" cy="420041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118990" name=""/>
                        <pic:cNvPicPr>
                          <a:picLocks noChangeAspect="1"/>
                        </pic:cNvPicPr>
                        <pic:nvPr/>
                      </pic:nvPicPr>
                      <pic:blipFill>
                        <a:blip r:embed="rId28"/>
                        <a:stretch/>
                      </pic:blipFill>
                      <pic:spPr bwMode="auto">
                        <a:xfrm>
                          <a:off x="0" y="0"/>
                          <a:ext cx="5940000" cy="42004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67.7pt;height:330.7pt;mso-wrap-distance-left:0.0pt;mso-wrap-distance-top:0.0pt;mso-wrap-distance-right:0.0pt;mso-wrap-distance-bottom:0.0pt;" stroked="false">
                <v:path textboxrect="0,0,0,0"/>
                <v:imagedata r:id="rId28" o:title=""/>
              </v:shape>
            </w:pict>
          </mc:Fallback>
        </mc:AlternateContent>
        <mc:AlternateContent>
          <mc:Choice Requires="wpg">
            <w:drawing>
              <wp:inline xmlns:wp="http://schemas.openxmlformats.org/drawingml/2006/wordprocessingDrawing" distT="0" distB="0" distL="0" distR="0">
                <wp:extent cx="5940000" cy="8400036"/>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551010" name=""/>
                        <pic:cNvPicPr>
                          <a:picLocks noChangeAspect="1"/>
                        </pic:cNvPicPr>
                        <pic:nvPr/>
                      </pic:nvPicPr>
                      <pic:blipFill>
                        <a:blip r:embed="rId29"/>
                        <a:stretch/>
                      </pic:blipFill>
                      <pic:spPr bwMode="auto">
                        <a:xfrm>
                          <a:off x="0" y="0"/>
                          <a:ext cx="5940000" cy="840003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67.7pt;height:661.4pt;mso-wrap-distance-left:0.0pt;mso-wrap-distance-top:0.0pt;mso-wrap-distance-right:0.0pt;mso-wrap-distance-bottom:0.0pt;" stroked="false">
                <v:path textboxrect="0,0,0,0"/>
                <v:imagedata r:id="rId29" o:title=""/>
              </v:shape>
            </w:pict>
          </mc:Fallback>
        </mc:AlternateContent>
      </w:r>
      <w:r>
        <w:rPr>
          <w:highlight w:val="none"/>
        </w:rPr>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highlight w:val="none"/>
        </w:rPr>
      </w:r>
      <w:r>
        <w:rPr>
          <w:highlight w:val="none"/>
        </w:rPr>
      </w:r>
      <w:r/>
    </w:p>
    <w:p>
      <w:pPr>
        <w:pStyle w:val="644"/>
        <w:ind w:left="0" w:right="0" w:firstLine="0"/>
        <w:spacing w:before="0" w:after="0"/>
        <w:rPr>
          <w:rFonts w:ascii="SimSun" w:hAnsi="SimSun" w:eastAsia="SimSun" w:cs="SimSun"/>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sz w:val="36"/>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Pr>
          <w:rFonts w:ascii="SimSun" w:hAnsi="SimSun" w:eastAsia="SimSun" w:cs="SimSun"/>
          <w:b/>
          <w:color w:val="000000"/>
          <w:sz w:val="36"/>
          <w:u w:val="none"/>
        </w:rPr>
        <w:t xml:space="preserve">第五章</w:t>
      </w:r>
      <w:r>
        <w:rPr>
          <w:rFonts w:ascii="SimSun" w:hAnsi="SimSun" w:eastAsia="SimSun" w:cs="SimSun"/>
          <w:b/>
          <w:color w:val="000000"/>
          <w:sz w:val="36"/>
        </w:rPr>
        <w:t xml:space="preserve">合同草案条款</w:t>
      </w:r>
      <w:r/>
    </w:p>
    <w:p>
      <w:pPr>
        <w:ind w:left="0"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pStyle w:val="640"/>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4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埭头镇农村环境卫生保洁项目合同协议书</w:t>
      </w:r>
      <w:r/>
    </w:p>
    <w:p>
      <w:pPr>
        <w:ind w:left="0" w:right="0" w:firstLine="160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合同编号：</w:t>
      </w:r>
      <w:r>
        <w:rPr>
          <w:rFonts w:ascii="SimSun" w:hAnsi="SimSun" w:eastAsia="SimSun" w:cs="SimSun"/>
          <w:b/>
          <w:color w:val="000000"/>
          <w:sz w:val="32"/>
          <w:u w:val="single"/>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single"/>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w:t>
      </w:r>
      <w:r>
        <w:rPr>
          <w:rFonts w:ascii="SimSun" w:hAnsi="SimSun" w:eastAsia="SimSun" w:cs="SimSun"/>
          <w:b/>
          <w:color w:val="000000"/>
          <w:sz w:val="32"/>
          <w:u w:val="single"/>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w:t>
      </w:r>
      <w:r>
        <w:rPr>
          <w:rFonts w:ascii="SimSun" w:hAnsi="SimSun" w:eastAsia="SimSun" w:cs="SimSun"/>
          <w:b/>
          <w:color w:val="000000"/>
          <w:sz w:val="32"/>
          <w:u w:val="single"/>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签订日期：</w:t>
      </w:r>
      <w:r>
        <w:rPr>
          <w:rFonts w:ascii="SimSun" w:hAnsi="SimSun" w:eastAsia="SimSun" w:cs="SimSun"/>
          <w:b/>
          <w:color w:val="000000"/>
          <w:sz w:val="32"/>
          <w:u w:val="single"/>
        </w:rPr>
        <w:t xml:space="preserve">       年月日</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合同主要条款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采购人（以下称甲方）：溧阳市埭头镇人民政府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供应商（以下称乙方）：</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甲乙双方依据《中华人民共和国民法典》以及有关法律、法规的规定，经协商一致，订立本合同，以便共同遵守。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合同标的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乙方根据甲方需求提供下列服务：</w:t>
      </w:r>
      <w:r>
        <w:rPr>
          <w:rFonts w:ascii="SimSun" w:hAnsi="SimSun" w:eastAsia="SimSun" w:cs="SimSun"/>
          <w:color w:val="000000"/>
          <w:sz w:val="24"/>
          <w:u w:val="single"/>
        </w:rPr>
        <w:t xml:space="preserve">埭头镇</w:t>
      </w:r>
      <w:r>
        <w:rPr>
          <w:rFonts w:ascii="Times New Roman" w:hAnsi="Times New Roman" w:eastAsia="Times New Roman" w:cs="Times New Roman"/>
          <w:color w:val="000000"/>
          <w:sz w:val="24"/>
          <w:u w:val="single"/>
        </w:rPr>
        <w:t xml:space="preserve">2025</w:t>
      </w:r>
      <w:r>
        <w:rPr>
          <w:rFonts w:ascii="SimSun" w:hAnsi="SimSun" w:eastAsia="SimSun" w:cs="SimSun"/>
          <w:color w:val="000000"/>
          <w:sz w:val="24"/>
          <w:u w:val="single"/>
        </w:rPr>
        <w:t xml:space="preserve">年农村环境卫生保洁项目</w:t>
      </w:r>
      <w:r>
        <w:rPr>
          <w:rFonts w:ascii="SimSun" w:hAnsi="SimSun" w:eastAsia="SimSun" w:cs="SimSun"/>
          <w:color w:val="000000"/>
          <w:sz w:val="24"/>
        </w:rPr>
        <w:t xml:space="preserve">（项目名称），系指根据合同规定乙方须承担与服务有关的所有辅助服务。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合同价格</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签约合同总价（人民币，下同）：</w:t>
      </w:r>
      <w:r>
        <w:rPr>
          <w:rFonts w:ascii="SimSun" w:hAnsi="SimSun" w:eastAsia="SimSun" w:cs="SimSun"/>
          <w:b/>
          <w:color w:val="000000"/>
          <w:sz w:val="24"/>
          <w:u w:val="single"/>
        </w:rPr>
        <w:t xml:space="preserve">             元</w:t>
      </w:r>
      <w:r>
        <w:rPr>
          <w:rFonts w:ascii="SimSun" w:hAnsi="SimSun" w:eastAsia="SimSun" w:cs="SimSun"/>
          <w:b/>
          <w:color w:val="000000"/>
          <w:sz w:val="24"/>
        </w:rPr>
        <w:t xml:space="preserve">（小写</w:t>
      </w:r>
      <w:r>
        <w:rPr>
          <w:rFonts w:ascii="SimSun" w:hAnsi="SimSun" w:eastAsia="SimSun" w:cs="SimSun"/>
          <w:b/>
          <w:color w:val="000000"/>
          <w:sz w:val="24"/>
          <w:u w:val="single"/>
        </w:rPr>
        <w:t xml:space="preserve">         </w:t>
      </w: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本项目为固定总价合同（已考虑一切可能发生的因素在内）。除甲方额外要求增加工作量外，合同总价不作调整。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本合同总价款还包含乙方应当提供的伴随服务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售后服务费用。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合同期限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合同期限：</w:t>
      </w:r>
      <w:r>
        <w:rPr>
          <w:rFonts w:ascii="Times New Roman" w:hAnsi="Times New Roman" w:eastAsia="Times New Roman" w:cs="Times New Roman"/>
          <w:b/>
          <w:color w:val="000000"/>
          <w:sz w:val="24"/>
          <w:highlight w:val="yellow"/>
        </w:rPr>
        <w:t xml:space="preserve">2025</w:t>
      </w:r>
      <w:r>
        <w:rPr>
          <w:rFonts w:ascii="SimSun" w:hAnsi="SimSun" w:eastAsia="SimSun" w:cs="SimSun"/>
          <w:b/>
          <w:color w:val="000000"/>
          <w:sz w:val="24"/>
          <w:highlight w:val="yellow"/>
        </w:rPr>
        <w:t xml:space="preserve">年</w:t>
      </w:r>
      <w:r>
        <w:rPr>
          <w:rFonts w:ascii="Times New Roman" w:hAnsi="Times New Roman" w:eastAsia="Times New Roman" w:cs="Times New Roman"/>
          <w:b/>
          <w:color w:val="000000"/>
          <w:sz w:val="24"/>
          <w:highlight w:val="yellow"/>
        </w:rPr>
        <w:t xml:space="preserve">4</w:t>
      </w:r>
      <w:r>
        <w:rPr>
          <w:rFonts w:ascii="SimSun" w:hAnsi="SimSun" w:eastAsia="SimSun" w:cs="SimSun"/>
          <w:b/>
          <w:color w:val="000000"/>
          <w:sz w:val="24"/>
          <w:highlight w:val="yellow"/>
        </w:rPr>
        <w:t xml:space="preserve">月</w:t>
      </w:r>
      <w:r>
        <w:rPr>
          <w:rFonts w:ascii="Times New Roman" w:hAnsi="Times New Roman" w:eastAsia="Times New Roman" w:cs="Times New Roman"/>
          <w:b/>
          <w:color w:val="000000"/>
          <w:sz w:val="24"/>
          <w:highlight w:val="yellow"/>
        </w:rPr>
        <w:t xml:space="preserve">1</w:t>
      </w:r>
      <w:r>
        <w:rPr>
          <w:rFonts w:ascii="SimSun" w:hAnsi="SimSun" w:eastAsia="SimSun" w:cs="SimSun"/>
          <w:b/>
          <w:color w:val="000000"/>
          <w:sz w:val="24"/>
          <w:highlight w:val="yellow"/>
        </w:rPr>
        <w:t xml:space="preserve">日至</w:t>
      </w:r>
      <w:r>
        <w:rPr>
          <w:rFonts w:ascii="Times New Roman" w:hAnsi="Times New Roman" w:eastAsia="Times New Roman" w:cs="Times New Roman"/>
          <w:b/>
          <w:color w:val="000000"/>
          <w:sz w:val="24"/>
          <w:highlight w:val="yellow"/>
        </w:rPr>
        <w:t xml:space="preserve">2026</w:t>
      </w:r>
      <w:r>
        <w:rPr>
          <w:rFonts w:ascii="SimSun" w:hAnsi="SimSun" w:eastAsia="SimSun" w:cs="SimSun"/>
          <w:b/>
          <w:color w:val="000000"/>
          <w:sz w:val="24"/>
          <w:highlight w:val="yellow"/>
        </w:rPr>
        <w:t xml:space="preserve">年</w:t>
      </w:r>
      <w:r>
        <w:rPr>
          <w:rFonts w:ascii="Times New Roman" w:hAnsi="Times New Roman" w:eastAsia="Times New Roman" w:cs="Times New Roman"/>
          <w:b/>
          <w:color w:val="000000"/>
          <w:sz w:val="24"/>
          <w:highlight w:val="yellow"/>
        </w:rPr>
        <w:t xml:space="preserve">3</w:t>
      </w:r>
      <w:r>
        <w:rPr>
          <w:rFonts w:ascii="SimSun" w:hAnsi="SimSun" w:eastAsia="SimSun" w:cs="SimSun"/>
          <w:b/>
          <w:color w:val="000000"/>
          <w:sz w:val="24"/>
          <w:highlight w:val="yellow"/>
        </w:rPr>
        <w:t xml:space="preserve">月</w:t>
      </w:r>
      <w:r>
        <w:rPr>
          <w:rFonts w:ascii="Times New Roman" w:hAnsi="Times New Roman" w:eastAsia="Times New Roman" w:cs="Times New Roman"/>
          <w:b/>
          <w:color w:val="000000"/>
          <w:sz w:val="24"/>
          <w:highlight w:val="yellow"/>
        </w:rPr>
        <w:t xml:space="preserve">31</w:t>
      </w:r>
      <w:r>
        <w:rPr>
          <w:rFonts w:ascii="SimSun" w:hAnsi="SimSun" w:eastAsia="SimSun" w:cs="SimSun"/>
          <w:b/>
          <w:color w:val="000000"/>
          <w:sz w:val="24"/>
        </w:rPr>
        <w:t xml:space="preserve">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组成本合同的有关文件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下列与本次采购活动有关的文件及有关附件是本合同不可分割的组成部分，与本合同具有同等法律效力，这些文件包括但不限于：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）竞争性磋商文件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）乙方提供的响应文件；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）成交通知书；                 （</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）甲乙双方商定的其他文件等。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合同款结算及支付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本合同项下所有款项均以人民币支付。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b/>
          <w:color w:val="000000"/>
          <w:sz w:val="24"/>
        </w:rPr>
        <w:t xml:space="preserve">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）按月考核，每三个月结算一次（按考核内容相关规定发生扣款的，在支付费用时扣除）。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）付款方式：以转账方式直接转入乙方银行账户。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双方权利和义务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一、甲方权利和义务：</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、根据市政府办公室关于印发《溧阳市农村人居环境长效管护考核暂行办法》（如有新文件，按新文件执行）及相关管理标准，对乙方工作及履行合同情况进行指导和考核。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、根据乙方在考核中的结果，向乙方支付承包费。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、听取乙方提出的建议并给予答复。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、监督乙方履行承诺。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根据市政府办公室关于印发《溧阳市农村人居环境长效管护考核暂行办法》及相关管理标准和投标文件所作的承诺开展卫生保洁工作。确保承包清扫保洁的道路、公共设施、环卫设施等稳定呈现干净整洁的面貌，确保垃圾收集及运输工作做到日产日清，并按指定地点、指定时间、指定运输线路运送垃圾，严禁从事单位工业固废清运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、为保证环卫作业工作正常有效开展，乙方负责组成固定的专业环卫作业队伍，按要求提交作业计划和相关的工作预案，经甲方认可并备案。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、接受甲方和相关管理部门的考核及其结果。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、独立承担环卫作业中的安全责任和经济赔偿。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、在任何情况下（如灾害天气期间或重大活动期间），乙方均应保质保量按时完成甲方安排的指令性任务。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、自觉执行国家的法律、法规，按规定及时缴纳“五金”，签订劳动用工合同，作业及管理人员工资不得低于最低工资标准，独立处理劳资纠纷等工作。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、接受甲方和社会监督，对存在的问题在指定时间内整改到位，并将整改结果报甲方。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、准时参加甲方召开的会议。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、向甲方提出合理化建议。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、拟投入本项目人员不少于</w:t>
      </w:r>
      <w:r>
        <w:rPr>
          <w:rFonts w:ascii="SimSun" w:hAnsi="SimSun" w:eastAsia="SimSun" w:cs="SimSun"/>
          <w:color w:val="000000"/>
          <w:sz w:val="24"/>
          <w:u w:val="single"/>
        </w:rPr>
        <w:t xml:space="preserve">    </w:t>
      </w:r>
      <w:r>
        <w:rPr>
          <w:rFonts w:ascii="SimSun" w:hAnsi="SimSun" w:eastAsia="SimSun" w:cs="SimSun"/>
          <w:color w:val="000000"/>
          <w:sz w:val="24"/>
        </w:rPr>
        <w:t xml:space="preserve">人，并保证服务过程中人员总数量不得减少。</w:t>
      </w:r>
      <w:r>
        <w:rPr>
          <w:rFonts w:ascii="SimSun" w:hAnsi="SimSun" w:eastAsia="SimSun" w:cs="SimSun"/>
          <w:b/>
          <w:color w:val="000000"/>
          <w:sz w:val="24"/>
        </w:rPr>
        <w:t xml:space="preserve">合同签订后，甲方将不定期抽查，若发现人员数量未满足采购文件要求的，则无条件退场并补偿给甲方由此引起的一切损失</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、合同一方不履行合同义务或违反履行合同义务约定的，应当承担继续履行、采取补救措施或者赔偿损失等违约责任。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未按本合同规定提供相关服务或未能履行本合同规定的其他义务的，甲方有权要求乙方限期整改并落实违约补偿，逾期不整改或整改后仍达不到甲方要求的，甲方有权终止合同，由此造成甲方经济损失的，乙方应承担赔偿责任。同时乙方应向甲方支付合同总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的违约金。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合同的变更和终止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本合同一经签订，甲乙双方不得擅自变更、中止或终止合同。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除发生法律规定的不能预见、不能避免并不能克服的客观情况外，甲乙双方不得放弃或拒绝履行合同。乙方放弃或拒绝履行合同。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合同的解除和转让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、甲方和乙方协商一致，可以解除合同。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、有下列情况之一，合同方可以解除合同；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）因不可抗力致使不能实现合同目的，未受不可抗力影响的一方有权解除合同；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）因合同一方违约导致合同不能履行，另一方有权解除合同。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、有权解除合同的一方，应当在违约事实或不可抗力发生之后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天内书面通知对方提出解除合同，合同在书面通知到达对方时解除。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、合同的部分或全部都不得转包或分包。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、因不可抗力（或甲、乙双方不能控制的原因）不能履行合同的，根据不可抗力的影响，部分或者全部免除责任，但合同一方迟延履行后发生不可抗力的，不能免除其责任。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、合同一方因不可抗力不能履行合同的，应当及时通知对方，以减轻可能给对方造成的损失，并应当在合理期限内提供证明。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争议的解决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因履行本合同引起的或与本合同有关的争议，甲、乙双方应首先通过友好协商解决，如果协商不能解决争议，则采取以下第（ ）种方式解决争议：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）向甲方所在地人民法院提起诉讼；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）向甲方所在地仲裁委员会按其仲裁规则申请仲裁。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如没有约定，默认采取第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在法院审理和仲裁期间，除有争议部分外，本合同其他部分应继续履行。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诚实信用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乙方应诚实信用，严格按照采购文件要求和投标承诺履行合同，不向甲方进行商业贿赂或者提供不正当利益。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合同生效及其他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本合同一式捌份，甲乙双方各执肆份。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本合同应按照中华人民共和国的现行法律进行解释。</w:t>
      </w:r>
      <w:r/>
    </w:p>
    <w:p>
      <w:pPr>
        <w:ind w:left="0" w:right="0" w:firstLine="0"/>
        <w:jc w:val="both"/>
        <w:spacing w:before="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w:t>
      </w:r>
      <w:r>
        <w:rPr>
          <w:rFonts w:ascii="SimSun" w:hAnsi="SimSun" w:eastAsia="SimSun" w:cs="SimSun"/>
          <w:b/>
          <w:color w:val="000000"/>
          <w:sz w:val="24"/>
        </w:rPr>
        <w:t xml:space="preserve">                       乙方</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单位名称（章）：             单位名称（章）：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                 委托代理人：</w:t>
      </w:r>
      <w:r>
        <w:rPr>
          <w:rFonts w:ascii="Times New Roman" w:hAnsi="Times New Roman" w:eastAsia="Times New Roman" w:cs="Times New Roman"/>
          <w:sz w:val="21"/>
        </w:rPr>
      </w:r>
      <w:r/>
    </w:p>
    <w:p>
      <w:pPr>
        <w:ind w:left="0" w:right="0" w:firstLine="0"/>
        <w:jc w:val="both"/>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电话：                       电话：</w:t>
      </w:r>
      <w:r>
        <w:rPr>
          <w:rFonts w:ascii="Times New Roman" w:hAnsi="Times New Roman" w:eastAsia="Times New Roman" w:cs="Times New Roman"/>
          <w:sz w:val="21"/>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446" w:right="425" w:firstLine="718"/>
        <w:jc w:val="both"/>
        <w:spacing w:before="181"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6" w:right="425" w:firstLine="718"/>
        <w:jc w:val="both"/>
        <w:spacing w:before="181"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6" w:right="425" w:firstLine="718"/>
        <w:jc w:val="both"/>
        <w:spacing w:before="181"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46" w:right="425" w:firstLine="718"/>
        <w:jc w:val="center"/>
        <w:spacing w:before="181" w:after="0" w:line="84" w:lineRule="atLeast"/>
        <w:pBdr>
          <w:top w:val="none" w:color="000000" w:sz="4" w:space="0"/>
          <w:left w:val="none" w:color="000000" w:sz="4" w:space="0"/>
          <w:bottom w:val="none" w:color="000000" w:sz="4" w:space="0"/>
          <w:right w:val="none" w:color="000000" w:sz="4" w:space="0"/>
        </w:pBdr>
      </w:pPr>
      <w:r>
        <w:br w:type="page" w:clear="all"/>
      </w:r>
      <w:r/>
    </w:p>
    <w:p>
      <w:pPr>
        <w:ind w:left="446" w:right="425" w:firstLine="718"/>
        <w:jc w:val="center"/>
        <w:spacing w:before="181" w:after="0" w:line="8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4、本项目实行电子化不见面交易方式，响应文件中加盖公章、签名等均通过响应文件编制工具加盖电子公章、签字或印鉴。本处所指的公章是指法定名称章，不包括合同专用章、业务专用章等印章。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5、提供相关材料复印件的须加盖供应商公章，且复印件内容应清晰可辨，必要时磋商小组有权要求提供原件或公证件进行核对。</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应</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目录（格式自拟）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pStyle w:val="644"/>
        <w:ind w:left="0" w:right="0" w:firstLine="0"/>
        <w:spacing w:before="3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致：江苏苏南项目管理有限公司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的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）本响应有效期为自提交响应文件的截止之日起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法定代表人资格证明书（实质性格式）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的政府采购活动，签署、澄清确认、递交、撤回、修改上述项目的投标文件、进行合同谈判、签署合同和处理与之有关的一切事务。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）有效期内的身份证正反面复印件。</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21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授权委托书（实质性格式）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_______（姓名）系________________（供应商名称）的法定代表人（单位负责人），现委托_______（姓名）为我方代理人。代理人根据授权，以我方名义签署、澄清确认、递交、撤回、修改________________（项目名称）响应文件和处理有关事宜，其法律后果由我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委托代理人（签字/签章）：________________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法定代表人（单位负责人）有效期内的身份证正反面复印件：</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rHeight w:val="2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委托代理人有效期内的身份证正反面复印件：</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rHeight w:val="2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1.若供应商为事业单位或其他组织或分支机构（仅当招标文件注明允许分支机构响应的），则法定代表人（单位负责人）处的签署人可为单位负责人。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2.若响应文件中签字之处均为法定代表人（单位负责人）本人签署，则可不提供本《授权委托书》，但须提供《法定代表人（单位负责人）身份证明》（实质性格式）。</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2"/>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 </w:t>
      </w:r>
      <w:r>
        <w:rPr>
          <w:rFonts w:ascii="SimSun" w:hAnsi="SimSun" w:eastAsia="SimSun" w:cs="SimSun"/>
          <w:color w:val="000000"/>
          <w:sz w:val="24"/>
        </w:rPr>
        <w:t xml:space="preserve"> </w:t>
      </w:r>
      <w:r>
        <w:rPr>
          <w:rFonts w:ascii="Times New Roman" w:hAnsi="Times New Roman" w:eastAsia="Times New Roman" w:cs="Times New Roman"/>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  政府采购供应商信用承诺书（实质性格式）</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0"/>
        <w:gridCol w:w="3204"/>
        <w:gridCol w:w="2026"/>
        <w:gridCol w:w="2132"/>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204"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5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0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6"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2"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此表中，每包的报价应和《分项报价表》中的总价相一致。</w:t>
      </w:r>
      <w:r/>
    </w:p>
    <w:p>
      <w:pPr>
        <w:ind w:left="0" w:right="0" w:firstLine="48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本表必须按包分别填写。</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分项报价表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报价单位：人民币元</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1423"/>
        <w:gridCol w:w="2533"/>
        <w:gridCol w:w="1042"/>
        <w:gridCol w:w="992"/>
        <w:gridCol w:w="919"/>
        <w:gridCol w:w="1072"/>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响应价格</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本表应按包分别填写。</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此分项报价表格式仅供参考，各单位可按实际情况自行拟制。</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本表行数可以按照项目分项情况增加。</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上述各项的服务内容如表格中填写不下的，可以逐项另页描述。</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447"/>
        <w:gridCol w:w="785"/>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7"/>
        <w:gridCol w:w="1488"/>
        <w:gridCol w:w="1782"/>
        <w:gridCol w:w="1981"/>
        <w:gridCol w:w="2427"/>
        <w:gridCol w:w="783"/>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对磋商文件中的所有商务、技术要求，除本表所列明的所有偏离外，均视作供应商已对之理解和响应。此表中若无任何文字说明，内容为空白，则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“偏离情况”列应据实填写“正偏离”、“负偏离”或“无偏离”。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）对于多标的的采购项目，供应商应充分、准确地了解所投产品制造企业信息。对相关情况了解不清楚的，不建议填报本声明函。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）中小企业认定标准以《关于印发中小企业划型标准规定的通知》（工信部联企业〔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30" w:tooltip="http://202.106.120.146/baosong/appweb/orgScale.html" w:history="1">
        <w:r>
          <w:rPr>
            <w:rStyle w:val="800"/>
            <w:rFonts w:ascii="Times New Roman" w:hAnsi="Times New Roman" w:eastAsia="Times New Roman" w:cs="Times New Roman"/>
            <w:color w:val="0084ff"/>
            <w:sz w:val="24"/>
            <w:u w:val="non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w:t>
      </w:r>
      <w:r>
        <w:rPr>
          <w:rFonts w:ascii="SimSun" w:hAnsi="SimSun" w:eastAsia="SimSun" w:cs="SimSun"/>
          <w:b/>
          <w:color w:val="000000"/>
          <w:sz w:val="24"/>
        </w:rPr>
        <w:t xml:space="preserve">在货物采购项目中，供应商提供的货物既有中型企业制造货物，也有小微企业制造货物的，不享受小微企业扶持政策，不予价格扣除。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7）小微企业未提供声明函的，价格分评审将不予价格扣除。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中小企业声明函（服务）格式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w:t>
      </w:r>
      <w:r>
        <w:rPr>
          <w:rFonts w:ascii="Times New Roman" w:hAnsi="Times New Roman" w:eastAsia="Times New Roman" w:cs="Times New Roman"/>
          <w:color w:val="000000"/>
          <w:spacing w:val="6"/>
          <w:sz w:val="24"/>
        </w:rPr>
        <w:t xml:space="preserve">2020</w:t>
      </w: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46 </w:t>
      </w:r>
      <w:r>
        <w:rPr>
          <w:rFonts w:ascii="SimSun" w:hAnsi="SimSun" w:eastAsia="SimSun" w:cs="SimSun"/>
          <w:color w:val="000000"/>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w:t>
      </w:r>
      <w:r>
        <w:rPr>
          <w:rFonts w:ascii="Times New Roman" w:hAnsi="Times New Roman" w:eastAsia="Times New Roman" w:cs="Times New Roma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项目采购活动提供本单位制造的货物（由本单位承担工程</w:t>
      </w:r>
      <w:r>
        <w:rPr>
          <w:rFonts w:ascii="Times New Roman" w:hAnsi="Times New Roman" w:eastAsia="Times New Roman" w:cs="Times New Roman"/>
          <w:color w:val="000000"/>
          <w:spacing w:val="6"/>
          <w:sz w:val="24"/>
        </w:rPr>
        <w:t xml:space="preserve">/</w:t>
      </w:r>
      <w:r>
        <w:rPr>
          <w:rFonts w:ascii="SimSun" w:hAnsi="SimSun" w:eastAsia="SimSun" w:cs="SimSun"/>
          <w:color w:val="000000"/>
          <w:spacing w:val="6"/>
          <w:sz w:val="24"/>
        </w:rPr>
        <w:t xml:space="preserve">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项目实施方案等，包括但不限于如下主题：</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根据实际方案自行编制方案目录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2"/>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2"/>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2"/>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2"/>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  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1172"/>
        <w:gridCol w:w="699"/>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2"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注：参加本项目人员须是供应商正式职工（作为评分项的请依据评分细则要求提供）。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注：附相关证明材料（如中标通知书、合同等，作为评分项的请依据评分细则要求提供）</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磋商文件要求提供或供应商认为应附的其他材料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Wingdings 2">
    <w:panose1 w:val="05020102010507070707"/>
  </w:font>
  <w:font w:name="Times New Roman">
    <w:panose1 w:val="02020603050405020304"/>
  </w:font>
  <w:font w:name="FangSong">
    <w:panose1 w:val="02010609060101010101"/>
  </w:font>
  <w:font w:name="Segoe UI Symbol">
    <w:panose1 w:val="020B0502040204020203"/>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2">
    <w:multiLevelType w:val="hybridMultilevel"/>
    <w:lvl w:ilvl="0">
      <w:start w:val="1"/>
      <w:numFmt w:val="decimal"/>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5"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6"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8"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30" TargetMode="External"/><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王蓓蓓</cp:lastModifiedBy>
  <cp:revision>2</cp:revision>
  <dcterms:created xsi:type="dcterms:W3CDTF">2025-03-27T08:30:12Z</dcterms:created>
  <dcterms:modified xsi:type="dcterms:W3CDTF">2025-03-28T00:36:14Z</dcterms:modified>
</cp:coreProperties>
</file>