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37"/>
        <w:jc w:val="left"/>
        <w:rPr>
          <w:rFonts w:hint="eastAsia" w:ascii="宋体" w:hAnsi="宋体" w:cs="宋体"/>
          <w:sz w:val="32"/>
          <w:highlight w:val="none"/>
        </w:rPr>
      </w:pPr>
      <w:r>
        <w:rPr>
          <w:rFonts w:hint="eastAsia" w:ascii="宋体" w:hAnsi="宋体" w:cs="宋体"/>
          <w:sz w:val="32"/>
          <w:highlight w:val="none"/>
        </w:rPr>
        <w:t xml:space="preserve">    </w:t>
      </w:r>
      <w:r/>
    </w:p>
    <w:p>
      <w:pPr>
        <w:pStyle w:val="710"/>
        <w:rPr>
          <w:rFonts w:hint="eastAsia" w:ascii="宋体" w:hAnsi="宋体" w:cs="宋体"/>
          <w:sz w:val="32"/>
          <w:highlight w:val="none"/>
        </w:rPr>
      </w:pPr>
      <w:r>
        <w:rPr>
          <w:rFonts w:hint="eastAsia" w:ascii="宋体" w:hAnsi="宋体" w:cs="宋体"/>
          <w:sz w:val="32"/>
          <w:highlight w:val="none"/>
        </w:rPr>
      </w:r>
      <w:r/>
    </w:p>
    <w:p>
      <w:pPr>
        <w:rPr>
          <w:rFonts w:hint="eastAsia"/>
          <w:highlight w:val="none"/>
        </w:rPr>
      </w:pPr>
      <w:r>
        <w:rPr>
          <w:rFonts w:hint="eastAsia"/>
          <w:highlight w:val="none"/>
        </w:rPr>
      </w:r>
      <w:r/>
    </w:p>
    <w:p>
      <w:pPr>
        <w:jc w:val="center"/>
        <w:rPr>
          <w:rFonts w:hint="eastAsia" w:ascii="宋体" w:hAnsi="宋体" w:cs="宋体"/>
          <w:spacing w:val="76"/>
          <w:sz w:val="144"/>
          <w:highlight w:val="none"/>
        </w:rPr>
      </w:pPr>
      <w:r>
        <w:rPr>
          <w:rFonts w:hint="eastAsia" w:ascii="宋体" w:hAnsi="宋体" w:cs="宋体"/>
          <w:spacing w:val="76"/>
          <w:sz w:val="144"/>
          <w:highlight w:val="none"/>
        </w:rPr>
        <w:t xml:space="preserve">招标文件</w:t>
      </w:r>
      <w:r/>
    </w:p>
    <w:p>
      <w:pPr>
        <w:ind w:firstLine="2100"/>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2100"/>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10"/>
        <w:rPr>
          <w:rFonts w:hint="eastAsia"/>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1266825</wp:posOffset>
                </wp:positionH>
                <wp:positionV relativeFrom="paragraph">
                  <wp:posOffset>193040</wp:posOffset>
                </wp:positionV>
                <wp:extent cx="3032760" cy="239649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032760" cy="2396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99.8pt;mso-position-horizontal:absolute;mso-position-vertical-relative:text;margin-top:15.2pt;mso-position-vertical:absolute;width:238.8pt;height:188.7pt;mso-wrap-distance-left:9.0pt;mso-wrap-distance-top:0.0pt;mso-wrap-distance-right:9.0pt;mso-wrap-distance-bottom:0.0pt;" stroked="f">
                <v:path textboxrect="0,0,0,0"/>
                <w10:wrap type="square"/>
                <v:imagedata r:id="rId12" o:title=""/>
              </v:shape>
            </w:pict>
          </mc:Fallback>
        </mc:AlternateContent>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2100"/>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10"/>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rPr>
          <w:rFonts w:hint="eastAsia"/>
          <w:highlight w:val="none"/>
        </w:rPr>
      </w:pPr>
      <w:r>
        <w:rPr>
          <w:rFonts w:hint="eastAsia"/>
          <w:highlight w:val="none"/>
        </w:rPr>
      </w:r>
      <w:r/>
    </w:p>
    <w:p>
      <w:pPr>
        <w:ind w:firstLine="2100"/>
        <w:keepLines w:val="0"/>
        <w:keepNext w:val="0"/>
        <w:pageBreakBefore w:val="0"/>
        <w:spacing w:line="48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r>
      <w:r/>
    </w:p>
    <w:p>
      <w:pPr>
        <w:ind w:firstLine="2100"/>
        <w:keepLines w:val="0"/>
        <w:keepNext w:val="0"/>
        <w:pageBreakBefore w:val="0"/>
        <w:spacing w:line="48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r>
      <w:r/>
    </w:p>
    <w:p>
      <w:pPr>
        <w:ind w:left="0" w:firstLine="1262"/>
        <w:jc w:val="both"/>
        <w:keepLines w:val="0"/>
        <w:keepNext w:val="0"/>
        <w:pageBreakBefore w:val="0"/>
        <w:spacing w:line="480" w:lineRule="exact"/>
        <w:widowControl w:val="off"/>
        <w:rPr>
          <w:rFonts w:hint="eastAsia" w:ascii="宋体" w:hAnsi="宋体" w:eastAsia="宋体" w:cs="宋体"/>
          <w:b/>
          <w:bCs/>
          <w:color w:val="000000"/>
          <w:sz w:val="30"/>
          <w:szCs w:val="30"/>
          <w:highlight w:val="none"/>
          <w:lang w:eastAsia="zh-CN"/>
        </w:rPr>
        <w:outlineLvl w:val="9"/>
      </w:pPr>
      <w:r>
        <w:rPr>
          <w:rFonts w:hint="eastAsia" w:ascii="宋体" w:hAnsi="宋体" w:cs="宋体"/>
          <w:b/>
          <w:bCs/>
          <w:color w:val="000000"/>
          <w:sz w:val="30"/>
          <w:szCs w:val="30"/>
          <w:highlight w:val="none"/>
        </w:rPr>
        <w:t xml:space="preserve">项目名称：</w:t>
      </w:r>
      <w:r>
        <w:rPr>
          <w:rFonts w:hint="eastAsia" w:ascii="宋体" w:hAnsi="宋体" w:cs="宋体"/>
          <w:b/>
          <w:bCs/>
          <w:color w:val="000000"/>
          <w:sz w:val="30"/>
          <w:szCs w:val="30"/>
          <w:highlight w:val="none"/>
          <w:lang w:eastAsia="zh-CN"/>
        </w:rPr>
        <w:t xml:space="preserve">徐州市市场监督管理局食品安全监督抽检</w:t>
      </w:r>
      <w:r/>
    </w:p>
    <w:p>
      <w:pPr>
        <w:ind w:left="0" w:firstLine="1262"/>
        <w:jc w:val="both"/>
        <w:keepLines w:val="0"/>
        <w:keepNext w:val="0"/>
        <w:pageBreakBefore w:val="0"/>
        <w:spacing w:line="480" w:lineRule="exact"/>
        <w:widowControl w:val="off"/>
        <w:rPr>
          <w:rFonts w:hint="eastAsia" w:ascii="宋体" w:hAnsi="宋体" w:eastAsia="宋体" w:cs="宋体"/>
          <w:b/>
          <w:bCs/>
          <w:color w:val="000000"/>
          <w:sz w:val="30"/>
          <w:szCs w:val="30"/>
          <w:highlight w:val="none"/>
          <w:lang w:eastAsia="zh-CN"/>
        </w:rPr>
        <w:outlineLvl w:val="9"/>
      </w:pPr>
      <w:r>
        <w:rPr>
          <w:rFonts w:hint="eastAsia" w:ascii="宋体" w:hAnsi="宋体" w:cs="宋体"/>
          <w:b/>
          <w:bCs/>
          <w:color w:val="000000"/>
          <w:sz w:val="30"/>
          <w:szCs w:val="30"/>
          <w:highlight w:val="none"/>
        </w:rPr>
        <w:t xml:space="preserve">项目编号：</w:t>
      </w:r>
      <w:r>
        <w:rPr>
          <w:rFonts w:hint="eastAsia" w:ascii="宋体" w:hAnsi="宋体" w:cs="宋体"/>
          <w:b/>
          <w:bCs/>
          <w:color w:val="000000"/>
          <w:sz w:val="30"/>
          <w:szCs w:val="30"/>
          <w:highlight w:val="none"/>
          <w:lang w:eastAsia="zh-CN"/>
        </w:rPr>
        <w:t xml:space="preserve">JSZC-320300-YMXM-G2024-0013</w:t>
      </w:r>
      <w:r/>
    </w:p>
    <w:p>
      <w:pPr>
        <w:ind w:left="0" w:firstLine="1262"/>
        <w:keepLines w:val="0"/>
        <w:keepNext w:val="0"/>
        <w:pageBreakBefore w:val="0"/>
        <w:spacing w:line="480" w:lineRule="exact"/>
        <w:widowControl w:val="off"/>
        <w:rPr>
          <w:rFonts w:hint="eastAsia" w:ascii="宋体" w:hAnsi="宋体" w:eastAsia="宋体" w:cs="宋体"/>
          <w:b/>
          <w:bCs/>
          <w:color w:val="000000"/>
          <w:sz w:val="30"/>
          <w:szCs w:val="30"/>
          <w:highlight w:val="none"/>
          <w:lang w:eastAsia="zh-CN"/>
        </w:rPr>
        <w:outlineLvl w:val="9"/>
      </w:pPr>
      <w:r>
        <w:rPr>
          <w:rFonts w:hint="eastAsia" w:ascii="宋体" w:hAnsi="宋体" w:cs="宋体"/>
          <w:b/>
          <w:bCs/>
          <w:color w:val="000000"/>
          <w:sz w:val="30"/>
          <w:szCs w:val="30"/>
          <w:highlight w:val="none"/>
        </w:rPr>
        <w:t xml:space="preserve">采 购 人：</w:t>
      </w:r>
      <w:r>
        <w:rPr>
          <w:rFonts w:hint="eastAsia" w:ascii="宋体" w:hAnsi="宋体" w:cs="宋体"/>
          <w:b/>
          <w:bCs/>
          <w:color w:val="000000"/>
          <w:sz w:val="30"/>
          <w:szCs w:val="30"/>
          <w:highlight w:val="none"/>
          <w:lang w:eastAsia="zh-CN"/>
        </w:rPr>
        <w:t xml:space="preserve">徐州市市场监督管理局</w:t>
      </w:r>
      <w:r/>
    </w:p>
    <w:p>
      <w:pPr>
        <w:ind w:left="0" w:firstLine="1262"/>
        <w:jc w:val="center"/>
        <w:keepLines w:val="0"/>
        <w:keepNext w:val="0"/>
        <w:pageBreakBefore w:val="0"/>
        <w:spacing w:line="480" w:lineRule="exact"/>
        <w:widowControl w:val="off"/>
        <w:rPr>
          <w:rFonts w:hint="eastAsia" w:ascii="宋体" w:hAnsi="宋体" w:cs="宋体"/>
          <w:b/>
          <w:bCs/>
          <w:sz w:val="30"/>
          <w:szCs w:val="30"/>
          <w:highlight w:val="none"/>
        </w:rPr>
        <w:outlineLvl w:val="9"/>
      </w:pPr>
      <w:r>
        <w:rPr>
          <w:rFonts w:hint="eastAsia" w:ascii="宋体" w:hAnsi="宋体" w:cs="宋体"/>
          <w:b/>
          <w:bCs/>
          <w:sz w:val="30"/>
          <w:szCs w:val="30"/>
          <w:highlight w:val="none"/>
        </w:rPr>
      </w:r>
      <w:r/>
    </w:p>
    <w:p>
      <w:pPr>
        <w:ind w:left="0" w:firstLine="419"/>
        <w:jc w:val="center"/>
        <w:keepLines w:val="0"/>
        <w:keepNext w:val="0"/>
        <w:pageBreakBefore w:val="0"/>
        <w:spacing w:line="480" w:lineRule="exact"/>
        <w:widowControl w:val="off"/>
        <w:rPr>
          <w:rFonts w:hint="eastAsia" w:ascii="宋体" w:hAnsi="宋体" w:eastAsia="宋体" w:cs="宋体"/>
          <w:b/>
          <w:bCs/>
          <w:sz w:val="30"/>
          <w:szCs w:val="30"/>
          <w:highlight w:val="none"/>
          <w:lang w:eastAsia="zh-CN"/>
        </w:rPr>
        <w:outlineLvl w:val="9"/>
      </w:pPr>
      <w:r>
        <w:rPr>
          <w:rFonts w:hint="eastAsia" w:ascii="宋体" w:hAnsi="宋体" w:cs="宋体"/>
          <w:b/>
          <w:bCs/>
          <w:sz w:val="30"/>
          <w:szCs w:val="30"/>
          <w:highlight w:val="none"/>
        </w:rPr>
        <w:t xml:space="preserve">采购代理机构：</w:t>
      </w:r>
      <w:r>
        <w:rPr>
          <w:rFonts w:hint="eastAsia" w:ascii="宋体" w:hAnsi="宋体" w:cs="宋体"/>
          <w:b/>
          <w:bCs/>
          <w:sz w:val="30"/>
          <w:szCs w:val="30"/>
          <w:highlight w:val="none"/>
          <w:lang w:eastAsia="zh-CN"/>
        </w:rPr>
        <w:t xml:space="preserve">永明项目管理有限公司</w:t>
      </w:r>
      <w:r/>
    </w:p>
    <w:p>
      <w:pPr>
        <w:pStyle w:val="756"/>
        <w:ind w:left="0" w:firstLine="1262"/>
        <w:jc w:val="center"/>
        <w:keepLines w:val="0"/>
        <w:keepNext w:val="0"/>
        <w:pageBreakBefore w:val="0"/>
        <w:spacing w:line="480" w:lineRule="exact"/>
        <w:widowControl w:val="off"/>
        <w:rPr>
          <w:rFonts w:hint="eastAsia" w:ascii="宋体" w:hAnsi="宋体" w:cs="宋体"/>
          <w:b/>
          <w:bCs/>
          <w:color w:val="000000"/>
          <w:sz w:val="30"/>
          <w:szCs w:val="30"/>
          <w:highlight w:val="none"/>
        </w:rPr>
        <w:outlineLvl w:val="9"/>
      </w:pPr>
      <w:r>
        <w:rPr>
          <w:rFonts w:hint="eastAsia" w:ascii="宋体" w:hAnsi="宋体" w:cs="宋体"/>
          <w:b/>
          <w:bCs/>
          <w:color w:val="000000"/>
          <w:sz w:val="30"/>
          <w:szCs w:val="30"/>
          <w:highlight w:val="none"/>
        </w:rPr>
      </w:r>
      <w:r/>
    </w:p>
    <w:p>
      <w:pPr>
        <w:pStyle w:val="756"/>
        <w:ind w:left="0" w:firstLine="641"/>
        <w:jc w:val="center"/>
        <w:keepLines w:val="0"/>
        <w:keepNext w:val="0"/>
        <w:pageBreakBefore w:val="0"/>
        <w:spacing w:line="480" w:lineRule="exact"/>
        <w:widowControl w:val="off"/>
        <w:rPr>
          <w:rFonts w:hint="eastAsia" w:ascii="宋体" w:hAnsi="宋体" w:cs="宋体"/>
          <w:b/>
          <w:sz w:val="40"/>
          <w:szCs w:val="22"/>
          <w:highlight w:val="none"/>
        </w:rPr>
        <w:outlineLvl w:val="9"/>
      </w:pPr>
      <w:r>
        <w:rPr>
          <w:rFonts w:hint="eastAsia" w:ascii="宋体" w:hAnsi="宋体" w:cs="宋体"/>
          <w:b/>
          <w:bCs/>
          <w:color w:val="000000"/>
          <w:sz w:val="30"/>
          <w:szCs w:val="30"/>
          <w:highlight w:val="none"/>
        </w:rPr>
        <w:t xml:space="preserve">二〇二</w:t>
      </w:r>
      <w:r>
        <w:rPr>
          <w:rFonts w:hint="eastAsia" w:ascii="宋体" w:hAnsi="宋体" w:cs="宋体"/>
          <w:b/>
          <w:bCs/>
          <w:color w:val="000000"/>
          <w:sz w:val="30"/>
          <w:szCs w:val="30"/>
          <w:highlight w:val="none"/>
          <w:lang w:val="en-US" w:eastAsia="zh-CN"/>
        </w:rPr>
        <w:t xml:space="preserve">四</w:t>
      </w:r>
      <w:r>
        <w:rPr>
          <w:rFonts w:hint="eastAsia" w:ascii="宋体" w:hAnsi="宋体" w:cs="宋体"/>
          <w:b/>
          <w:bCs/>
          <w:color w:val="000000"/>
          <w:sz w:val="30"/>
          <w:szCs w:val="30"/>
          <w:highlight w:val="none"/>
        </w:rPr>
        <w:t xml:space="preserve">年</w:t>
      </w:r>
      <w:r>
        <w:rPr>
          <w:rFonts w:hint="eastAsia" w:ascii="宋体" w:hAnsi="宋体" w:cs="宋体"/>
          <w:b/>
          <w:bCs/>
          <w:color w:val="000000"/>
          <w:sz w:val="30"/>
          <w:szCs w:val="30"/>
          <w:highlight w:val="none"/>
          <w:lang w:val="en-US" w:eastAsia="zh-CN"/>
        </w:rPr>
        <w:t xml:space="preserve">十一</w:t>
      </w:r>
      <w:r>
        <w:rPr>
          <w:rFonts w:hint="eastAsia" w:ascii="宋体" w:hAnsi="宋体" w:cs="宋体"/>
          <w:b/>
          <w:bCs/>
          <w:color w:val="000000"/>
          <w:sz w:val="30"/>
          <w:szCs w:val="30"/>
          <w:highlight w:val="none"/>
        </w:rPr>
        <w:t xml:space="preserve">月</w:t>
      </w:r>
      <w:r>
        <w:rPr>
          <w:rFonts w:hint="eastAsia" w:ascii="宋体" w:hAnsi="宋体" w:cs="宋体"/>
          <w:b/>
          <w:sz w:val="44"/>
          <w:highlight w:val="none"/>
        </w:rPr>
        <w:br w:type="page" w:clear="all"/>
      </w:r>
      <w:r/>
    </w:p>
    <w:p>
      <w:pPr>
        <w:pStyle w:val="756"/>
        <w:ind w:firstLine="0"/>
        <w:jc w:val="center"/>
        <w:rPr>
          <w:rFonts w:hint="eastAsia" w:ascii="宋体" w:hAnsi="宋体" w:cs="宋体"/>
          <w:b/>
          <w:sz w:val="44"/>
          <w:highlight w:val="none"/>
        </w:rPr>
      </w:pPr>
      <w:r>
        <w:rPr>
          <w:rFonts w:hint="eastAsia" w:ascii="宋体" w:hAnsi="宋体" w:cs="宋体"/>
          <w:b/>
          <w:sz w:val="44"/>
          <w:highlight w:val="none"/>
        </w:rPr>
        <w:t xml:space="preserve">目 录</w:t>
      </w:r>
      <w:r/>
    </w:p>
    <w:p>
      <w:pPr>
        <w:jc w:val="center"/>
        <w:spacing w:line="520" w:lineRule="exact"/>
        <w:rPr>
          <w:rFonts w:hint="eastAsia" w:ascii="宋体" w:hAnsi="宋体" w:cs="宋体"/>
          <w:b/>
          <w:sz w:val="44"/>
          <w:szCs w:val="44"/>
          <w:highlight w:val="none"/>
        </w:rPr>
      </w:pPr>
      <w:r/>
      <w:bookmarkStart w:id="0" w:name="_Toc522790130"/>
      <w:r/>
      <w:r/>
    </w:p>
    <w:p>
      <w:pPr>
        <w:jc w:val="center"/>
        <w:spacing w:line="520" w:lineRule="exact"/>
        <w:rPr>
          <w:rFonts w:hint="eastAsia" w:ascii="宋体" w:hAnsi="宋体" w:cs="宋体"/>
          <w:b/>
          <w:sz w:val="30"/>
          <w:szCs w:val="30"/>
          <w:highlight w:val="none"/>
        </w:rPr>
      </w:pPr>
      <w:r>
        <w:rPr>
          <w:rFonts w:hint="eastAsia" w:ascii="宋体" w:hAnsi="宋体" w:cs="宋体"/>
          <w:b/>
          <w:sz w:val="30"/>
          <w:szCs w:val="30"/>
          <w:highlight w:val="none"/>
        </w:rPr>
      </w:r>
      <w:r/>
    </w:p>
    <w:p>
      <w:pPr>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TOC \o "1-3" \h \z \u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"_Toc523404695"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第一章  投标邀请</w:t>
      </w:r>
      <w:r>
        <w:rPr>
          <w:rFonts w:hint="eastAsia" w:ascii="宋体" w:hAnsi="宋体" w:cs="宋体"/>
          <w:color w:val="000000"/>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"_Toc523404696"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第二章  投标人须知</w:t>
      </w:r>
      <w:r>
        <w:rPr>
          <w:rFonts w:hint="eastAsia" w:ascii="宋体" w:hAnsi="宋体" w:cs="宋体"/>
          <w:color w:val="000000"/>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"_Toc523404697"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第三章  投标资料表</w:t>
      </w:r>
      <w:r>
        <w:rPr>
          <w:rFonts w:hint="eastAsia" w:ascii="宋体" w:hAnsi="宋体" w:cs="宋体"/>
          <w:color w:val="000000"/>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"_Toc523404698"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第四章  评标标准</w:t>
      </w:r>
      <w:r>
        <w:rPr>
          <w:rFonts w:hint="eastAsia" w:ascii="宋体" w:hAnsi="宋体" w:cs="宋体"/>
          <w:color w:val="000000"/>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"_Toc523404699"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第五章  拟签订的合同文本</w:t>
      </w:r>
      <w:r>
        <w:rPr>
          <w:rFonts w:hint="eastAsia" w:ascii="宋体" w:hAnsi="宋体" w:cs="宋体"/>
          <w:color w:val="000000"/>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"_Toc523404700"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第六章  采购需求</w:t>
      </w:r>
      <w:r>
        <w:rPr>
          <w:rFonts w:hint="eastAsia" w:ascii="宋体" w:hAnsi="宋体" w:cs="宋体"/>
          <w:color w:val="000000"/>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"_Toc523404701"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第七章  投标文件相关格</w:t>
      </w:r>
      <w:bookmarkStart w:id="1" w:name="_Hlt532911771"/>
      <w:r/>
      <w:bookmarkStart w:id="2" w:name="_Hlt532911772"/>
      <w:r>
        <w:rPr>
          <w:rFonts w:hint="eastAsia" w:ascii="宋体" w:hAnsi="宋体" w:cs="宋体"/>
          <w:color w:val="000000"/>
          <w:sz w:val="28"/>
          <w:szCs w:val="28"/>
          <w:highlight w:val="none"/>
          <w:lang w:eastAsia="zh-CN"/>
        </w:rPr>
        <w:t xml:space="preserve">式</w:t>
      </w:r>
      <w:bookmarkEnd w:id="1"/>
      <w:r/>
      <w:bookmarkEnd w:id="2"/>
      <w:r>
        <w:rPr>
          <w:rFonts w:hint="eastAsia" w:ascii="宋体" w:hAnsi="宋体" w:cs="宋体"/>
          <w:color w:val="000000"/>
          <w:sz w:val="28"/>
          <w:szCs w:val="28"/>
          <w:highlight w:val="none"/>
          <w:lang w:eastAsia="zh-CN"/>
        </w:rPr>
        <w:fldChar w:fldCharType="end"/>
      </w:r>
      <w:r/>
    </w:p>
    <w:p>
      <w:pPr>
        <w:ind w:firstLine="210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end"/>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eastAsia="宋体" w:cs="宋体"/>
          <w:b/>
          <w:sz w:val="44"/>
          <w:szCs w:val="44"/>
          <w:highlight w:val="none"/>
          <w:lang w:eastAsia="zh-CN"/>
        </w:rPr>
      </w:pPr>
      <w:r>
        <w:rPr>
          <w:rFonts w:hint="eastAsia" w:ascii="宋体" w:hAnsi="宋体" w:cs="宋体"/>
          <w:b/>
          <w:sz w:val="44"/>
          <w:szCs w:val="44"/>
          <w:highlight w:val="none"/>
        </w:rPr>
        <w:br w:type="page" w:clear="all"/>
      </w:r>
      <w:r/>
    </w:p>
    <w:p>
      <w:pPr>
        <w:jc w:val="center"/>
        <w:spacing w:line="520" w:lineRule="exact"/>
        <w:rPr>
          <w:rFonts w:hint="eastAsia" w:ascii="宋体" w:hAnsi="宋体" w:cs="宋体"/>
          <w:b/>
          <w:sz w:val="44"/>
          <w:szCs w:val="44"/>
          <w:highlight w:val="none"/>
          <w:lang w:eastAsia="zh-CN"/>
        </w:rPr>
      </w:pPr>
      <w:r>
        <w:rPr>
          <w:rFonts w:hint="eastAsia" w:ascii="宋体" w:hAnsi="宋体" w:cs="宋体"/>
          <w:b/>
          <w:sz w:val="44"/>
          <w:szCs w:val="44"/>
          <w:highlight w:val="none"/>
          <w:lang w:eastAsia="zh-CN"/>
        </w:rPr>
        <w:t xml:space="preserve">徐州市市场监督管理局食品安全监督抽检</w:t>
      </w:r>
      <w:r/>
    </w:p>
    <w:p>
      <w:pPr>
        <w:jc w:val="center"/>
        <w:spacing w:line="520" w:lineRule="exact"/>
        <w:rPr>
          <w:rFonts w:hint="eastAsia" w:ascii="宋体" w:hAnsi="宋体" w:cs="宋体"/>
          <w:b/>
          <w:color w:val="ff0000"/>
          <w:sz w:val="44"/>
          <w:szCs w:val="44"/>
          <w:highlight w:val="none"/>
        </w:rPr>
      </w:pPr>
      <w:r>
        <w:rPr>
          <w:rFonts w:hint="eastAsia" w:ascii="宋体" w:hAnsi="宋体" w:cs="宋体"/>
          <w:b/>
          <w:color w:val="000000"/>
          <w:sz w:val="44"/>
          <w:szCs w:val="44"/>
          <w:highlight w:val="none"/>
        </w:rPr>
        <w:t xml:space="preserve">招标文件</w:t>
      </w:r>
      <w:r>
        <w:rPr>
          <w:rFonts w:hint="eastAsia" w:ascii="宋体" w:hAnsi="宋体" w:cs="宋体"/>
          <w:b/>
          <w:color w:val="ff0000"/>
          <w:sz w:val="30"/>
          <w:szCs w:val="30"/>
          <w:highlight w:val="none"/>
        </w:rPr>
        <w:t xml:space="preserve"> </w:t>
      </w:r>
      <w:r/>
    </w:p>
    <w:p>
      <w:pPr>
        <w:rPr>
          <w:rFonts w:hint="eastAsia" w:ascii="宋体" w:hAnsi="宋体" w:cs="宋体"/>
          <w:b/>
          <w:sz w:val="30"/>
          <w:szCs w:val="30"/>
          <w:highlight w:val="none"/>
        </w:rPr>
      </w:pPr>
      <w:r>
        <w:rPr>
          <w:rFonts w:hint="eastAsia" w:ascii="宋体" w:hAnsi="宋体" w:cs="宋体"/>
          <w:b/>
          <w:sz w:val="30"/>
          <w:szCs w:val="30"/>
          <w:highlight w:val="none"/>
        </w:rPr>
        <w:t xml:space="preserve">    </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left="0" w:firstLine="480"/>
        <w:pageBreakBefore w:val="0"/>
        <w:spacing w:line="36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p>
      <w:pPr>
        <w:pStyle w:val="800"/>
        <w:ind w:left="0" w:firstLine="562"/>
        <w:pageBreakBefore w:val="0"/>
        <w:spacing w:line="520" w:lineRule="exact"/>
        <w:widowControl w:val="off"/>
        <w:rPr>
          <w:rFonts w:hint="eastAsia" w:ascii="宋体" w:hAnsi="宋体" w:eastAsia="宋体" w:cs="宋体"/>
          <w:sz w:val="28"/>
          <w:szCs w:val="28"/>
          <w:highlight w:val="none"/>
        </w:rPr>
      </w:pPr>
      <w:r/>
      <w:bookmarkStart w:id="3" w:name="_Toc523404695"/>
      <w:r>
        <w:rPr>
          <w:rFonts w:hint="eastAsia" w:ascii="宋体" w:hAnsi="宋体" w:eastAsia="宋体" w:cs="宋体"/>
          <w:sz w:val="28"/>
          <w:szCs w:val="28"/>
          <w:highlight w:val="none"/>
        </w:rPr>
        <w:t xml:space="preserve">第一章  投标邀请</w:t>
      </w:r>
      <w:bookmarkEnd w:id="3"/>
      <w:r/>
      <w:r/>
    </w:p>
    <w:p>
      <w:pPr>
        <w:ind w:left="0" w:firstLine="480"/>
        <w:jc w:val="center"/>
        <w:pageBreakBefore w:val="0"/>
        <w:spacing w:line="36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lang w:eastAsia="zh-CN"/>
        </w:rPr>
        <w:t xml:space="preserve">永明项目管理有限公司</w:t>
      </w:r>
      <w:r>
        <w:rPr>
          <w:rFonts w:hint="eastAsia" w:ascii="宋体" w:hAnsi="宋体" w:cs="宋体"/>
          <w:sz w:val="24"/>
          <w:szCs w:val="24"/>
          <w:highlight w:val="none"/>
        </w:rPr>
        <w:t xml:space="preserve">对</w:t>
      </w:r>
      <w:r>
        <w:rPr>
          <w:rFonts w:hint="eastAsia" w:ascii="宋体" w:hAnsi="宋体" w:cs="宋体"/>
          <w:sz w:val="24"/>
          <w:szCs w:val="24"/>
          <w:highlight w:val="none"/>
          <w:lang w:eastAsia="zh-CN"/>
        </w:rPr>
        <w:t xml:space="preserve">徐州市市场监督管理局</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徐州市市场监督管理局食品安全监督抽检</w:t>
      </w:r>
      <w:r>
        <w:rPr>
          <w:rFonts w:hint="eastAsia" w:ascii="宋体" w:hAnsi="宋体" w:cs="宋体"/>
          <w:sz w:val="24"/>
          <w:szCs w:val="24"/>
          <w:highlight w:val="none"/>
        </w:rPr>
        <w:t xml:space="preserve">”进行公开招标采购，现邀请符合相关条件的供应商投标。</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一、项目名称和项目编号</w:t>
      </w:r>
      <w:r/>
    </w:p>
    <w:p>
      <w:pPr>
        <w:ind w:left="0" w:firstLine="480"/>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(一)项目名称：</w:t>
      </w:r>
      <w:r>
        <w:rPr>
          <w:rFonts w:hint="eastAsia" w:ascii="宋体" w:hAnsi="宋体" w:cs="宋体"/>
          <w:sz w:val="24"/>
          <w:szCs w:val="24"/>
          <w:highlight w:val="none"/>
          <w:lang w:eastAsia="zh-CN"/>
        </w:rPr>
        <w:t xml:space="preserve">徐州市市场监督管理局食品安全监督抽检</w:t>
      </w:r>
      <w:r/>
    </w:p>
    <w:p>
      <w:pPr>
        <w:ind w:left="0" w:firstLine="480"/>
        <w:pageBreakBefore w:val="0"/>
        <w:spacing w:line="520" w:lineRule="exact"/>
        <w:widowControl w:val="off"/>
        <w:rPr>
          <w:rFonts w:hint="eastAsia" w:ascii="宋体" w:hAnsi="宋体" w:eastAsia="宋体" w:cs="宋体"/>
          <w:color w:val="ff0000"/>
          <w:sz w:val="24"/>
          <w:szCs w:val="24"/>
          <w:highlight w:val="none"/>
          <w:lang w:eastAsia="zh-CN"/>
        </w:rPr>
      </w:pPr>
      <w:r>
        <w:rPr>
          <w:rFonts w:hint="eastAsia" w:ascii="宋体" w:hAnsi="宋体" w:cs="宋体"/>
          <w:sz w:val="24"/>
          <w:szCs w:val="24"/>
          <w:highlight w:val="none"/>
        </w:rPr>
        <w:t xml:space="preserve">(二)项目编号</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JSZC-320300-YMXM-G2024-0013</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二、对投标人的资格要求</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详见本项目公开招标公告。</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三、获取招标文件</w:t>
      </w:r>
      <w:bookmarkEnd w:id="0"/>
      <w:r/>
      <w:r/>
    </w:p>
    <w:p>
      <w:pPr>
        <w:ind w:left="0" w:firstLine="480"/>
        <w:pageBreakBefore w:val="0"/>
        <w:spacing w:line="52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（一）潜在供应商访问电子招标投标交易平台的网络地址和方法：</w:t>
      </w:r>
      <w:r/>
    </w:p>
    <w:p>
      <w:pPr>
        <w:ind w:left="0" w:firstLine="480"/>
        <w:pageBreakBefore w:val="0"/>
        <w:spacing w:line="52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（1）登录 http://jszfcg.jsczt.cn/ ，或进入徐州政府采购网--业务工作--用户登录，点击“苏采云”进入系统。</w:t>
      </w:r>
      <w:r/>
    </w:p>
    <w:p>
      <w:pPr>
        <w:ind w:left="0" w:firstLine="480"/>
        <w:pageBreakBefore w:val="0"/>
        <w:spacing w:line="52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firstLine="480"/>
        <w:pageBreakBefore w:val="0"/>
        <w:spacing w:line="52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（二）采购代理机构将数据电文形式的招标文件加载至电子招标投标交易平台，供潜在供应商下载或者查阅。</w:t>
      </w:r>
      <w:r/>
    </w:p>
    <w:p>
      <w:pPr>
        <w:ind w:left="0" w:firstLine="480"/>
        <w:pageBreakBefore w:val="0"/>
        <w:spacing w:line="52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（三）售价：免费。 </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四、投标有关信息</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（一）投标截止时间：</w:t>
      </w:r>
      <w:r>
        <w:rPr>
          <w:rFonts w:hint="eastAsia" w:ascii="宋体" w:hAnsi="宋体" w:cs="宋体"/>
          <w:b/>
          <w:bCs/>
          <w:sz w:val="24"/>
          <w:szCs w:val="24"/>
          <w:highlight w:val="none"/>
          <w:lang w:eastAsia="zh-CN"/>
        </w:rPr>
        <w:t xml:space="preserve">2024年12月12日</w:t>
      </w:r>
      <w:r>
        <w:rPr>
          <w:rFonts w:hint="eastAsia" w:ascii="宋体" w:hAnsi="宋体" w:cs="宋体"/>
          <w:b/>
          <w:bCs/>
          <w:sz w:val="24"/>
          <w:szCs w:val="24"/>
          <w:highlight w:val="none"/>
        </w:rPr>
        <w:t xml:space="preserve">北京时间09:30</w:t>
      </w:r>
      <w:r>
        <w:rPr>
          <w:rFonts w:hint="eastAsia" w:ascii="宋体" w:hAnsi="宋体" w:cs="宋体"/>
          <w:sz w:val="24"/>
          <w:szCs w:val="24"/>
          <w:highlight w:val="none"/>
        </w:rPr>
        <w:t xml:space="preserve">。</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（二）开标时间：</w:t>
      </w:r>
      <w:r>
        <w:rPr>
          <w:rFonts w:hint="eastAsia" w:ascii="宋体" w:hAnsi="宋体" w:cs="宋体"/>
          <w:b/>
          <w:bCs/>
          <w:sz w:val="24"/>
          <w:szCs w:val="24"/>
          <w:highlight w:val="none"/>
          <w:lang w:eastAsia="zh-CN"/>
        </w:rPr>
        <w:t xml:space="preserve">2024年12月12日</w:t>
      </w:r>
      <w:r>
        <w:rPr>
          <w:rFonts w:hint="eastAsia" w:ascii="宋体" w:hAnsi="宋体" w:cs="宋体"/>
          <w:b/>
          <w:bCs/>
          <w:sz w:val="24"/>
          <w:szCs w:val="24"/>
          <w:highlight w:val="none"/>
        </w:rPr>
        <w:t xml:space="preserve">北京时间09:30</w:t>
      </w:r>
      <w:r>
        <w:rPr>
          <w:rFonts w:hint="eastAsia" w:ascii="宋体" w:hAnsi="宋体" w:cs="宋体"/>
          <w:sz w:val="24"/>
          <w:szCs w:val="24"/>
          <w:highlight w:val="none"/>
        </w:rPr>
        <w:t xml:space="preserve">。</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（三）开标地点：“苏采云”系统（网址： http://jszfcg.jsczt.cn/）“开标大厅”或进入徐州政府采购网（网址：http://czj.xz.gov.cn/Home/HomeIndex）-业务工作 -用户登录，点击“苏采云”进入系统“开标大厅”。</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五、采购人</w:t>
      </w:r>
      <w:r/>
    </w:p>
    <w:p>
      <w:pPr>
        <w:ind w:left="0" w:firstLine="480"/>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（一）名称：</w:t>
      </w:r>
      <w:r>
        <w:rPr>
          <w:rFonts w:hint="eastAsia" w:ascii="宋体" w:hAnsi="宋体" w:cs="宋体"/>
          <w:sz w:val="24"/>
          <w:szCs w:val="24"/>
          <w:highlight w:val="none"/>
          <w:lang w:eastAsia="zh-CN"/>
        </w:rPr>
        <w:t xml:space="preserve">徐州市市场监督管理局</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（二）地址：</w:t>
      </w:r>
      <w:r>
        <w:rPr>
          <w:rFonts w:hint="eastAsia" w:ascii="宋体" w:hAnsi="宋体" w:cs="宋体"/>
          <w:color w:val="000000"/>
          <w:sz w:val="24"/>
          <w:szCs w:val="24"/>
          <w:highlight w:val="none"/>
          <w:lang w:eastAsia="zh-CN"/>
        </w:rPr>
        <w:t xml:space="preserve">徐州市云龙区新安路11号</w:t>
      </w:r>
      <w:r>
        <w:rPr>
          <w:rFonts w:ascii="宋体" w:hAnsi="宋体" w:cs="宋体"/>
          <w:color w:val="ff0000"/>
          <w:sz w:val="24"/>
          <w:szCs w:val="24"/>
          <w:highlight w:val="none"/>
        </w:rPr>
        <w:t xml:space="preserve"> </w:t>
      </w:r>
      <w:r/>
    </w:p>
    <w:p>
      <w:pPr>
        <w:ind w:left="0" w:firstLine="480"/>
        <w:pageBreakBefore w:val="0"/>
        <w:spacing w:line="520" w:lineRule="exact"/>
        <w:widowControl w:val="off"/>
        <w:rPr>
          <w:rFonts w:hint="eastAsia" w:ascii="宋体" w:hAnsi="宋体" w:cs="宋体"/>
          <w:sz w:val="24"/>
          <w:szCs w:val="24"/>
          <w:highlight w:val="none"/>
          <w:lang w:eastAsia="zh-CN"/>
        </w:rPr>
      </w:pPr>
      <w:r>
        <w:rPr>
          <w:rFonts w:hint="eastAsia" w:ascii="宋体" w:hAnsi="宋体" w:cs="宋体"/>
          <w:sz w:val="24"/>
          <w:szCs w:val="24"/>
          <w:highlight w:val="none"/>
        </w:rPr>
        <w:t xml:space="preserve">（三）联系方法：</w:t>
      </w:r>
      <w:r>
        <w:rPr>
          <w:rFonts w:hint="eastAsia" w:ascii="宋体" w:hAnsi="宋体" w:cs="宋体"/>
          <w:sz w:val="24"/>
          <w:szCs w:val="24"/>
          <w:highlight w:val="none"/>
          <w:lang w:val="en-US" w:eastAsia="zh-CN"/>
        </w:rPr>
        <w:t xml:space="preserve">0516-69859230 </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（四）采购项目联系人：</w:t>
      </w:r>
      <w:r>
        <w:rPr>
          <w:rFonts w:hint="eastAsia" w:ascii="宋体" w:hAnsi="宋体" w:cs="宋体"/>
          <w:sz w:val="24"/>
          <w:szCs w:val="24"/>
          <w:highlight w:val="none"/>
          <w:lang w:eastAsia="zh-CN"/>
        </w:rPr>
        <w:t xml:space="preserve">黄小凤</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 </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六、采购代理机构</w:t>
      </w:r>
      <w:r/>
    </w:p>
    <w:p>
      <w:pPr>
        <w:ind w:left="0" w:firstLine="480"/>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（一）名称：</w:t>
      </w:r>
      <w:r>
        <w:rPr>
          <w:rFonts w:hint="eastAsia" w:ascii="宋体" w:hAnsi="宋体" w:cs="宋体"/>
          <w:sz w:val="24"/>
          <w:szCs w:val="24"/>
          <w:highlight w:val="none"/>
          <w:lang w:eastAsia="zh-CN"/>
        </w:rPr>
        <w:t xml:space="preserve">永明项目管理有限公司</w:t>
      </w:r>
      <w:r/>
    </w:p>
    <w:p>
      <w:pPr>
        <w:ind w:left="0" w:firstLine="480"/>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（二）地址：</w:t>
      </w:r>
      <w:r>
        <w:rPr>
          <w:rFonts w:hint="eastAsia" w:ascii="宋体" w:hAnsi="宋体" w:cs="宋体"/>
          <w:sz w:val="24"/>
          <w:szCs w:val="24"/>
          <w:highlight w:val="none"/>
          <w:lang w:eastAsia="zh-CN"/>
        </w:rPr>
        <w:t xml:space="preserve">江苏省徐州市云龙区绿地商务城蓝海officeA座21楼</w:t>
      </w:r>
      <w:r/>
    </w:p>
    <w:p>
      <w:pPr>
        <w:ind w:left="0" w:firstLine="480"/>
        <w:pageBreakBefore w:val="0"/>
        <w:spacing w:line="520" w:lineRule="exact"/>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（三）联系方法：</w:t>
      </w:r>
      <w:r>
        <w:rPr>
          <w:rFonts w:hint="eastAsia" w:ascii="宋体" w:hAnsi="宋体" w:cs="宋体"/>
          <w:sz w:val="24"/>
          <w:szCs w:val="24"/>
          <w:highlight w:val="none"/>
          <w:lang w:eastAsia="zh-CN"/>
        </w:rPr>
        <w:t xml:space="preserve">0516-</w:t>
      </w:r>
      <w:r>
        <w:rPr>
          <w:rFonts w:hint="eastAsia" w:ascii="宋体" w:hAnsi="宋体" w:cs="宋体"/>
          <w:sz w:val="24"/>
          <w:szCs w:val="24"/>
          <w:highlight w:val="none"/>
          <w:lang w:val="en-US" w:eastAsia="zh-CN"/>
        </w:rPr>
        <w:t xml:space="preserve">83333882</w:t>
      </w:r>
      <w:r/>
    </w:p>
    <w:p>
      <w:pPr>
        <w:ind w:left="0" w:firstLine="480"/>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（四）采购项目联系人：</w:t>
      </w:r>
      <w:r>
        <w:rPr>
          <w:rFonts w:hint="eastAsia" w:ascii="宋体" w:hAnsi="宋体" w:cs="宋体"/>
          <w:sz w:val="24"/>
          <w:szCs w:val="24"/>
          <w:highlight w:val="none"/>
          <w:lang w:val="en-US" w:eastAsia="zh-CN"/>
        </w:rPr>
        <w:t xml:space="preserve">张卉</w:t>
      </w:r>
      <w:r/>
    </w:p>
    <w:p>
      <w:pPr>
        <w:ind w:firstLine="600"/>
        <w:spacing w:line="36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360" w:lineRule="exact"/>
        <w:rPr>
          <w:rFonts w:hint="eastAsia" w:ascii="宋体" w:hAnsi="宋体" w:cs="宋体"/>
          <w:sz w:val="30"/>
          <w:szCs w:val="30"/>
          <w:highlight w:val="none"/>
        </w:rPr>
      </w:pPr>
      <w:r>
        <w:rPr>
          <w:rFonts w:hint="eastAsia" w:ascii="宋体" w:hAnsi="宋体" w:cs="宋体"/>
          <w:sz w:val="30"/>
          <w:szCs w:val="30"/>
          <w:highlight w:val="none"/>
        </w:rPr>
      </w:r>
      <w:r/>
    </w:p>
    <w:p>
      <w:pPr>
        <w:pStyle w:val="885"/>
        <w:rPr>
          <w:rFonts w:ascii="宋体" w:hAnsi="宋体" w:eastAsia="宋体"/>
          <w:highlight w:val="none"/>
        </w:rPr>
      </w:pPr>
      <w:r/>
      <w:bookmarkStart w:id="4" w:name="_Toc522790131"/>
      <w:r/>
      <w:bookmarkStart w:id="5" w:name="_Toc523404696"/>
      <w:r>
        <w:rPr>
          <w:rFonts w:hint="eastAsia" w:ascii="宋体" w:hAnsi="宋体" w:eastAsia="宋体" w:cs="宋体"/>
          <w:highlight w:val="none"/>
        </w:rPr>
        <w:br w:type="page" w:clear="all"/>
      </w:r>
      <w:bookmarkEnd w:id="4"/>
      <w:r/>
      <w:bookmarkEnd w:id="5"/>
      <w:r/>
      <w:bookmarkStart w:id="6" w:name="_Toc523404697"/>
      <w:r/>
      <w:bookmarkStart w:id="7" w:name="_Toc522790132"/>
      <w:r>
        <w:rPr>
          <w:rFonts w:ascii="宋体" w:hAnsi="宋体" w:eastAsia="宋体"/>
          <w:highlight w:val="none"/>
        </w:rPr>
        <w:t xml:space="preserve">第二章  投标人须知</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一、总则</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（一）采购人。采购人即指依法进行政府采购的国家机关、事业单位和团体组织。</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（二）政府招标采购方式。政府采购货物或服务（以下简称“货物服务”）的招标方式，分为公开招标和邀请招标。</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（五）采购人委托采购代理机构代理招标的，采购代理机构必须在采购人委托的范围内依法开展采购活动。</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（六）投标人的资格条件：</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投标人是指响应招标、参加投标竞争的法人、其他组织或者自然人。</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投标人授权代表系指法定代表人或受法人委托的受托人。</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（七）投标费用：投标人应承担所有与准备和参加投标有关的费用。无论投标的结果如何，采购代理机构对上述费用不承担任何责任和义务。</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二、招标</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（八）招标文件应包括以下内容：</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第一章，投标邀请；</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第二章，投标人须知；</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第三章，投标资料表；</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第四章，评标标准；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第五章，拟签订的合同文本；</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第六章，采购需求；</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第七章，投标文件相关格式。</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（九）招标文件澄清或者修改：</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现场考察以本文件第三章《投标资料表》中的要求为准。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开标前答疑会以本文件第三章《投标资料表》中的要求为准。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三、投标</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（十）投标人应当按照招标文件的要求编制投标文件。投标文件应对招标文件提出的要求和条件作出实质性响应。</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（十一）投标文件的语言。投标文件以及投标人与采购代理机构就有关投标的往来函电均应使用本文件第三章《投标资料表》规定的语言书写，否则无效。</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（十二）投标文件的构成：</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投标文件的构成以本文件第三章《投标资料表》中的要求为准。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投标人应当提交的资格、资信证明文件，以本文件第三章《投标资料表》中的所提要求为准。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（十三）投标函和价格表、商务条件、交货和提供服务的时间：</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投标函和价格表的要求见本章（十二）、（十三），格式见本文件第七章《投标文件相关格式》中《投标函》和《开标一览表》。</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商务条件以本文件第三章《投标资料表》中的要求为准。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交货和提供服务的时间，以本文件第三章《投标资料表》中所提要求为准。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（十四）投标报价要求：</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投标人应按照招标文件的要求报出分项价格和总价。</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投标人应按照招标文件的要求进行报价，如投标人作出偏离，应在《偏离表》中列出。</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采购人不支付报价以外的任何费用。</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w:t>
      </w:r>
      <w:r>
        <w:rPr>
          <w:rFonts w:ascii="宋体" w:hAnsi="宋体"/>
          <w:sz w:val="24"/>
          <w:szCs w:val="24"/>
          <w:highlight w:val="none"/>
        </w:rPr>
        <w:t xml:space="preserve">投标人所报的价格，在合同执行过程中是固定的，不得以任何理由予以变更。投标人提交滑动价格的投标文件，在资格性、符合性检查时按照无效投标处理。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5</w:t>
      </w:r>
      <w:r>
        <w:rPr>
          <w:rFonts w:hint="eastAsia" w:ascii="宋体" w:hAnsi="宋体"/>
          <w:sz w:val="24"/>
          <w:szCs w:val="24"/>
          <w:highlight w:val="none"/>
        </w:rPr>
        <w:t xml:space="preserve">.</w:t>
      </w:r>
      <w:r>
        <w:rPr>
          <w:rFonts w:ascii="宋体" w:hAnsi="宋体"/>
          <w:sz w:val="24"/>
          <w:szCs w:val="24"/>
          <w:highlight w:val="none"/>
        </w:rPr>
        <w:t xml:space="preserve">投标人只能提交一个投标价格，投标人提交多个价格的投标文件，在资格性、符合性检查时按照无效投标处理。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（十五）投标货币。以本文件第三章《投标资料表》中所提要求为准。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（十六）投标有效期：</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投标有效期为开标之日后90天。采购人可以要求对投标有效期延长一次，但该延长期最长不得超过30天。</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如果采购人发出要求延长投标有效期的通知，并在投标有效期届满前，没有收到投标人同意的书面通知，则视为该投标人不接受上述延期的要求。</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（十七）投标文件的编制要求和签署要求</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投标人应由其法定代表人或法定代表人授权代表在规定的网上投标时间，凭 CA 证书登陆“苏采云”系统在线编制投标文件（电子数据），并在投标截止时间之前上传投标文件。</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投标人应对 CA 证书妥善保管，如被他人盗用投标，因此带来的结果均由投标人自行承担。</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投标人应当对招标文件提出的要求和条件作出实质性响应，并在电子投标系统逐条应答。</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投标人应对要求提供的资格证明文件（如资质证书、资格证书）、技术资料（如白皮书、彩页、手册、检测报告等）扫描上传至投标系统。</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（十八）投标文件的盖章要求：</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投标文件的盖章要求，以本文件第三章《投标资料表》中所提要求为准。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（二十二）本项目不允许分包。</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（二十三）投标人应当遵循公平竞争的原则，不得恶意串通，不得妨碍其他投标人的竞争行为，不得损害采购人或者其他投标人的合法权益。</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在评标过程中发现投标人有上述情形的，评标委员会应当认定其投标无效，并书面报告本级财政部门。</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（二十四）有下列情形之一的，其投标无效。</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不同投标人的投标文件，由同一单位或者个人编制；</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不同投标人委托同一单位或者个人办理投标事宜；</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不同投标人的投标文件中，所载明的项目管理成员或联系人为同一人；</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w:t>
      </w:r>
      <w:r>
        <w:rPr>
          <w:rFonts w:ascii="宋体" w:hAnsi="宋体"/>
          <w:sz w:val="24"/>
          <w:szCs w:val="24"/>
          <w:highlight w:val="none"/>
        </w:rPr>
        <w:t xml:space="preserve">不同投标人的投标文件，异常一致或者投标报价呈规律性差异；</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5</w:t>
      </w:r>
      <w:r>
        <w:rPr>
          <w:rFonts w:hint="eastAsia" w:ascii="宋体" w:hAnsi="宋体"/>
          <w:sz w:val="24"/>
          <w:szCs w:val="24"/>
          <w:highlight w:val="none"/>
        </w:rPr>
        <w:t xml:space="preserve">.</w:t>
      </w:r>
      <w:r>
        <w:rPr>
          <w:rFonts w:ascii="宋体" w:hAnsi="宋体"/>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6</w:t>
      </w:r>
      <w:r>
        <w:rPr>
          <w:rFonts w:hint="eastAsia" w:ascii="宋体" w:hAnsi="宋体"/>
          <w:sz w:val="24"/>
          <w:szCs w:val="24"/>
          <w:highlight w:val="none"/>
        </w:rPr>
        <w:t xml:space="preserve">.</w:t>
      </w:r>
      <w:r>
        <w:rPr>
          <w:rFonts w:ascii="宋体" w:hAnsi="宋体"/>
          <w:sz w:val="24"/>
          <w:szCs w:val="24"/>
          <w:highlight w:val="none"/>
        </w:rPr>
        <w:t xml:space="preserve">电子投标文件未按规定期限投标的；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7</w:t>
      </w:r>
      <w:r>
        <w:rPr>
          <w:rFonts w:hint="eastAsia" w:ascii="宋体" w:hAnsi="宋体"/>
          <w:sz w:val="24"/>
          <w:szCs w:val="24"/>
          <w:highlight w:val="none"/>
        </w:rPr>
        <w:t xml:space="preserve">.</w:t>
      </w:r>
      <w:r>
        <w:rPr>
          <w:rFonts w:ascii="宋体" w:hAnsi="宋体"/>
          <w:sz w:val="24"/>
          <w:szCs w:val="24"/>
          <w:highlight w:val="none"/>
        </w:rPr>
        <w:t xml:space="preserve">电子投标文件未按招标文件要求签章的；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8</w:t>
      </w:r>
      <w:r>
        <w:rPr>
          <w:rFonts w:hint="eastAsia" w:ascii="宋体" w:hAnsi="宋体"/>
          <w:sz w:val="24"/>
          <w:szCs w:val="24"/>
          <w:highlight w:val="none"/>
        </w:rPr>
        <w:t xml:space="preserve">.</w:t>
      </w:r>
      <w:r>
        <w:rPr>
          <w:rFonts w:ascii="宋体" w:hAnsi="宋体"/>
          <w:sz w:val="24"/>
          <w:szCs w:val="24"/>
          <w:highlight w:val="none"/>
        </w:rPr>
        <w:t xml:space="preserve">投标人未在规定时间内解密电子投标文件的；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9</w:t>
      </w:r>
      <w:r>
        <w:rPr>
          <w:rFonts w:hint="eastAsia" w:ascii="宋体" w:hAnsi="宋体"/>
          <w:sz w:val="24"/>
          <w:szCs w:val="24"/>
          <w:highlight w:val="none"/>
        </w:rPr>
        <w:t xml:space="preserve">.</w:t>
      </w:r>
      <w:r>
        <w:rPr>
          <w:rFonts w:ascii="宋体" w:hAnsi="宋体"/>
          <w:sz w:val="24"/>
          <w:szCs w:val="24"/>
          <w:highlight w:val="none"/>
        </w:rPr>
        <w:t xml:space="preserve">投标文件未按招标文件规定的内容和要求填写的；没有在投标系统指定位置上传对应文件、材料的；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10</w:t>
      </w:r>
      <w:r>
        <w:rPr>
          <w:rFonts w:hint="eastAsia" w:ascii="宋体" w:hAnsi="宋体"/>
          <w:sz w:val="24"/>
          <w:szCs w:val="24"/>
          <w:highlight w:val="none"/>
        </w:rPr>
        <w:t xml:space="preserve">.</w:t>
      </w:r>
      <w:r>
        <w:rPr>
          <w:rFonts w:ascii="宋体" w:hAnsi="宋体"/>
          <w:sz w:val="24"/>
          <w:szCs w:val="24"/>
          <w:highlight w:val="none"/>
        </w:rPr>
        <w:t xml:space="preserve">不具备招标文件中规定的资格要求的；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11</w:t>
      </w:r>
      <w:r>
        <w:rPr>
          <w:rFonts w:hint="eastAsia" w:ascii="宋体" w:hAnsi="宋体"/>
          <w:sz w:val="24"/>
          <w:szCs w:val="24"/>
          <w:highlight w:val="none"/>
        </w:rPr>
        <w:t xml:space="preserve">.</w:t>
      </w:r>
      <w:r>
        <w:rPr>
          <w:rFonts w:ascii="宋体" w:hAnsi="宋体"/>
          <w:sz w:val="24"/>
          <w:szCs w:val="24"/>
          <w:highlight w:val="none"/>
        </w:rPr>
        <w:t xml:space="preserve">报价超过招标文件中规定的预算金额或者最高限价的；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12</w:t>
      </w:r>
      <w:r>
        <w:rPr>
          <w:rFonts w:hint="eastAsia" w:ascii="宋体" w:hAnsi="宋体"/>
          <w:sz w:val="24"/>
          <w:szCs w:val="24"/>
          <w:highlight w:val="none"/>
        </w:rPr>
        <w:t xml:space="preserve">.</w:t>
      </w:r>
      <w:r>
        <w:rPr>
          <w:rFonts w:ascii="宋体" w:hAnsi="宋体"/>
          <w:sz w:val="24"/>
          <w:szCs w:val="24"/>
          <w:highlight w:val="none"/>
        </w:rPr>
        <w:t xml:space="preserve">投标文件含有采购人不能接受的附加条件的；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13</w:t>
      </w:r>
      <w:r>
        <w:rPr>
          <w:rFonts w:hint="eastAsia" w:ascii="宋体" w:hAnsi="宋体"/>
          <w:sz w:val="24"/>
          <w:szCs w:val="24"/>
          <w:highlight w:val="none"/>
        </w:rPr>
        <w:t xml:space="preserve">.</w:t>
      </w:r>
      <w:r>
        <w:rPr>
          <w:rFonts w:ascii="宋体" w:hAnsi="宋体"/>
          <w:sz w:val="24"/>
          <w:szCs w:val="24"/>
          <w:highlight w:val="none"/>
        </w:rPr>
        <w:t xml:space="preserve">法律、法规和招标文件规定的其他无效情形。</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四、开标</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（二十五）开标：</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1.开标时间及地点。开标应当在招标文件确定的提交投标文件截止时间的同一时间公开进行；开标地点应当为招标文件中预先确定的地点。</w:t>
      </w:r>
      <w:r/>
    </w:p>
    <w:p>
      <w:pPr>
        <w:pStyle w:val="708"/>
        <w:ind w:left="0" w:firstLine="480"/>
        <w:keepLines w:val="0"/>
        <w:keepNext w:val="0"/>
        <w:pageBreakBefore w:val="0"/>
        <w:spacing w:line="520" w:lineRule="exact"/>
        <w:rPr>
          <w:rFonts w:ascii="宋体" w:hAnsi="宋体"/>
          <w:sz w:val="24"/>
          <w:szCs w:val="24"/>
          <w:highlight w:val="none"/>
          <w:shd w:val="clear" w:color="auto" w:fill="ffffff"/>
        </w:rPr>
      </w:pPr>
      <w:r>
        <w:rPr>
          <w:rFonts w:ascii="宋体" w:hAnsi="宋体"/>
          <w:sz w:val="24"/>
          <w:szCs w:val="24"/>
          <w:highlight w:val="none"/>
          <w:shd w:val="clear" w:color="auto" w:fill="ffffff"/>
        </w:rPr>
        <w:t xml:space="preserve">2.由电子招标投标交易平台主持，邀请投标人参加。</w:t>
      </w:r>
      <w:r/>
    </w:p>
    <w:p>
      <w:pPr>
        <w:pStyle w:val="708"/>
        <w:ind w:left="0" w:firstLine="480"/>
        <w:keepLines w:val="0"/>
        <w:keepNext w:val="0"/>
        <w:pageBreakBefore w:val="0"/>
        <w:spacing w:line="520" w:lineRule="exact"/>
        <w:rPr>
          <w:rFonts w:ascii="宋体" w:hAnsi="宋体"/>
          <w:sz w:val="24"/>
          <w:szCs w:val="24"/>
          <w:highlight w:val="none"/>
          <w:shd w:val="clear" w:color="auto" w:fill="ffffff"/>
        </w:rPr>
      </w:pPr>
      <w:r>
        <w:rPr>
          <w:rFonts w:ascii="宋体" w:hAnsi="宋体"/>
          <w:sz w:val="24"/>
          <w:szCs w:val="24"/>
          <w:highlight w:val="none"/>
          <w:shd w:val="clear" w:color="auto" w:fill="ffffff"/>
        </w:rPr>
        <w:t xml:space="preserve">3.所有投标单位使用 CA 证书在开标时间时，解密各自投标文件，投标人不足3家的，不得评标。</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shd w:val="clear" w:color="auto" w:fill="ffffff"/>
        </w:rPr>
        <w:t xml:space="preserve">4.投标人原因造成投标文件未</w:t>
      </w:r>
      <w:r>
        <w:rPr>
          <w:rFonts w:ascii="宋体" w:hAnsi="宋体"/>
          <w:sz w:val="24"/>
          <w:szCs w:val="24"/>
          <w:highlight w:val="none"/>
        </w:rPr>
        <w:t xml:space="preserve">解密的，视为撤销其投标文件;因投标人之外的原因造成投标文件未解密的，视为撤回其投标文件。部分投标文件未解密的，其他投标文件的开标可以继续进行。</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五、评标</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（二十六）公开招标采购项目开标结束后，采购人依法对投标人的资格进行审查。合格投标人不足3家的，不得评标。</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1.评标工作由采购代理机构负责组织，并履行下列职责：</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（1）核对评审专家身份和采购人代表授权函，对评审专家在政府采购活动中的职责履行情况予以记录，并及时将有关违法违规行为向财政部门报告；</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（2）宣布评标纪律；</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（3）公布投标人名单，告知评审专家应当回避的情形；</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（4）组织评标委员会推选评标组长（采购人代表不得担任组长）；</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（5）在评标期间采取必要的通讯管理措施，保证评标活动不受外界干扰；</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（6）根据评标委员会的要求介绍政府采购相关政策法规、招标文件；</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（8）核对评标结果，对有《</w:t>
      </w:r>
      <w:r>
        <w:rPr>
          <w:sz w:val="24"/>
          <w:szCs w:val="24"/>
          <w:highlight w:val="none"/>
        </w:rPr>
        <w:fldChar w:fldCharType="begin"/>
      </w:r>
      <w:r>
        <w:rPr>
          <w:sz w:val="24"/>
          <w:szCs w:val="24"/>
          <w:highlight w:val="none"/>
        </w:rPr>
        <w:instrText xml:space="preserve"> HYPERLINK "http://www.caigou2003.com/" \t "_blank" </w:instrText>
      </w:r>
      <w:r>
        <w:rPr>
          <w:sz w:val="24"/>
          <w:szCs w:val="24"/>
          <w:highlight w:val="none"/>
        </w:rPr>
        <w:fldChar w:fldCharType="separate"/>
      </w:r>
      <w:r>
        <w:rPr>
          <w:rFonts w:ascii="宋体" w:hAnsi="宋体"/>
          <w:sz w:val="24"/>
          <w:szCs w:val="24"/>
          <w:highlight w:val="none"/>
        </w:rPr>
        <w:t xml:space="preserve">政府采购</w:t>
      </w:r>
      <w:r>
        <w:rPr>
          <w:rFonts w:ascii="宋体" w:hAnsi="宋体"/>
          <w:sz w:val="24"/>
          <w:szCs w:val="24"/>
          <w:highlight w:val="none"/>
        </w:rPr>
        <w:fldChar w:fldCharType="end"/>
      </w:r>
      <w:r>
        <w:rPr>
          <w:rFonts w:ascii="宋体" w:hAnsi="宋体"/>
          <w:sz w:val="24"/>
          <w:szCs w:val="24"/>
          <w:highlight w:val="none"/>
        </w:rPr>
        <w:t xml:space="preserve">货物和服务招标投标管理办法》第六十四条规定情形的，应要求评标委员会复核或者书面说明理由，评标委员会拒绝的，应予记录并向本级财政部门报告；</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（9）评审工作完成后，按照规定向评审专家支付劳务报酬和异地评审差旅费，不得向评审专家以外的其他人员支付评审劳务报酬； </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（10）处理与评标有关的其他事项。</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2.评标委员会负责具体评标事务，并独立履行下列职责：</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（1）审查、评价投标文件是否符合招标文件的商务、技术等实质性要求；</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（2）要求投标人对投标文件有关事项作出澄清或者说明；</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（3）对投标文件进行比较和评价；</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（4）确定中标候选人名单，以及根据采购人委托直接确定中标人；</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（5）向采购人、采购代理机构或有关部门报告评标中发现的违法行为。</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（二十七）评标方法分为最低评标价法和综合评分法。</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hint="eastAsia" w:ascii="宋体" w:hAnsi="宋体"/>
          <w:sz w:val="24"/>
          <w:szCs w:val="24"/>
          <w:highlight w:val="none"/>
        </w:rPr>
        <w:t xml:space="preserve">1.本项目的评标方法：见招标文件第三章《投标资料表》。</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hint="eastAsia" w:ascii="宋体" w:hAnsi="宋体"/>
          <w:sz w:val="24"/>
          <w:szCs w:val="24"/>
          <w:highlight w:val="none"/>
        </w:rPr>
        <w:t xml:space="preserve">2.本项目的评标标准：见招标文件第四章《评分标准》。</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（二十八）评标</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1.评标工作程序：</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（1）投标文件初审。</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①资格性审查。</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②符合性审查。</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（2）澄清有关问题。</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（3）比较与评价。</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（4）推荐中标候选供应商名单。</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（5）编写评审报告（评标报告）。</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3.采用</w:t>
      </w:r>
      <w:r>
        <w:rPr>
          <w:sz w:val="24"/>
          <w:szCs w:val="24"/>
          <w:highlight w:val="none"/>
        </w:rPr>
        <w:fldChar w:fldCharType="begin"/>
      </w:r>
      <w:r>
        <w:rPr>
          <w:sz w:val="24"/>
          <w:szCs w:val="24"/>
          <w:highlight w:val="none"/>
        </w:rPr>
        <w:instrText xml:space="preserve"> HYPERLINK "http://lilun.caigou2003.com/recijiedu/2365668.html" \t "_blank" </w:instrText>
      </w:r>
      <w:r>
        <w:rPr>
          <w:sz w:val="24"/>
          <w:szCs w:val="24"/>
          <w:highlight w:val="none"/>
        </w:rPr>
        <w:fldChar w:fldCharType="separate"/>
      </w:r>
      <w:r>
        <w:rPr>
          <w:rFonts w:ascii="宋体" w:hAnsi="宋体"/>
          <w:sz w:val="24"/>
          <w:szCs w:val="24"/>
          <w:highlight w:val="none"/>
        </w:rPr>
        <w:t xml:space="preserve">最低评标价法</w:t>
      </w:r>
      <w:r>
        <w:rPr>
          <w:rFonts w:ascii="宋体" w:hAnsi="宋体"/>
          <w:sz w:val="24"/>
          <w:szCs w:val="24"/>
          <w:highlight w:val="none"/>
        </w:rPr>
        <w:fldChar w:fldCharType="end"/>
      </w:r>
      <w:r>
        <w:rPr>
          <w:rFonts w:ascii="宋体" w:hAnsi="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采用</w:t>
      </w:r>
      <w:r>
        <w:rPr>
          <w:sz w:val="24"/>
          <w:szCs w:val="24"/>
          <w:highlight w:val="none"/>
        </w:rPr>
        <w:fldChar w:fldCharType="begin"/>
      </w:r>
      <w:r>
        <w:rPr>
          <w:sz w:val="24"/>
          <w:szCs w:val="24"/>
          <w:highlight w:val="none"/>
        </w:rPr>
        <w:instrText xml:space="preserve"> HYPERLINK "http://lilun.caigou2003.com/recijiedu/2365667.html" \t "_blank" </w:instrText>
      </w:r>
      <w:r>
        <w:rPr>
          <w:sz w:val="24"/>
          <w:szCs w:val="24"/>
          <w:highlight w:val="none"/>
        </w:rPr>
        <w:fldChar w:fldCharType="separate"/>
      </w:r>
      <w:r>
        <w:rPr>
          <w:rFonts w:ascii="宋体" w:hAnsi="宋体"/>
          <w:sz w:val="24"/>
          <w:szCs w:val="24"/>
          <w:highlight w:val="none"/>
        </w:rPr>
        <w:t xml:space="preserve">综合评分法</w:t>
      </w:r>
      <w:r>
        <w:rPr>
          <w:rFonts w:ascii="宋体" w:hAnsi="宋体"/>
          <w:sz w:val="24"/>
          <w:szCs w:val="24"/>
          <w:highlight w:val="none"/>
        </w:rPr>
        <w:fldChar w:fldCharType="end"/>
      </w:r>
      <w:r>
        <w:rPr>
          <w:rFonts w:ascii="宋体" w:hAnsi="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非单一产品采购项目，多家投标人提供的核心产品品牌相同的，按前两款规定处理。</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（二十九）投标文件报价出现前后不一致的，按照下列规定修正：</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1.投标文件中开标一览表（报价表）内容与投标文件中相应内容不一致的，以开标一览表（报价表）为准；</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2.大写金额和小写金额不一致的，以大写金额为准；</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3.单价金额小数点或者百分比有明显错位的，以开标一览表的总价为准，并修改单价；</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4.总价金额与按单价合计金额不一致的，以单价金额计算结果为准。</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hint="eastAsia" w:ascii="宋体" w:hAnsi="宋体"/>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（三十二）废标条款：</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出现下列情形之一的，应予废标。</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1.符合专业条件的供应商或者对招标文件作实质响应的供应商不足三家的；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2.出现影响采购公正的违法、违规行为的；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3.投标人的报价均超过了采购预算，采购人不能支付的；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4.因重大变故，采购任务取消的。</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六、定标</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（三十三）采购代理机构应当在评标结束后2个工作日内将评标报告送采购人。</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（三十四）采购人应当自收到评标报告之日起5个工作日内，在评标报告确定的中标候选人名单中按顺序确定中标人。</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七、政府采购合同</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（三十六）签订政府采购合同（合同签订方式）：</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采购人不得向中标人提出任何不合理的要求作为签订合同的条件。</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sz w:val="24"/>
          <w:szCs w:val="24"/>
          <w:highlight w:val="none"/>
          <w:lang w:val="en-US" w:eastAsia="zh-CN"/>
        </w:rPr>
        <w:t xml:space="preserve">民法典</w:t>
      </w:r>
      <w:r>
        <w:rPr>
          <w:rFonts w:ascii="宋体" w:hAnsi="宋体"/>
          <w:sz w:val="24"/>
          <w:szCs w:val="24"/>
          <w:highlight w:val="none"/>
        </w:rPr>
        <w:t xml:space="preserve">》相关条款执行。</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（三十八）履约保证金：</w:t>
      </w:r>
      <w:r/>
    </w:p>
    <w:p>
      <w:pPr>
        <w:pStyle w:val="708"/>
        <w:ind w:left="0" w:firstLine="480"/>
        <w:jc w:val="left"/>
        <w:keepLines w:val="0"/>
        <w:keepNext w:val="0"/>
        <w:pageBreakBefore w:val="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要求详见</w:t>
      </w:r>
      <w:r>
        <w:rPr>
          <w:rFonts w:hint="eastAsia" w:ascii="宋体" w:hAnsi="宋体"/>
          <w:color w:val="000000"/>
          <w:sz w:val="24"/>
          <w:szCs w:val="24"/>
          <w:highlight w:val="none"/>
          <w:lang w:val="en-US" w:eastAsia="zh-CN"/>
        </w:rPr>
        <w:t xml:space="preserve">第三章</w:t>
      </w:r>
      <w:r>
        <w:rPr>
          <w:rFonts w:ascii="宋体" w:hAnsi="宋体"/>
          <w:color w:val="000000"/>
          <w:sz w:val="24"/>
          <w:szCs w:val="24"/>
          <w:highlight w:val="none"/>
        </w:rPr>
        <w:t xml:space="preserve">（三十八）的规定。</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（三十九）腐败和欺诈行为：</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1.采购代理机构、采购人、投标人等参与招投标的各方，均应在招标、采购、合同执行等过程中保持廉洁和最高的道德水准。</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（1）腐败和欺诈行为的含义：</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（2）如果被推荐的中标人有腐败和欺诈行为，将取消其中标资格。</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pStyle w:val="708"/>
        <w:ind w:left="0" w:firstLine="480"/>
        <w:jc w:val="left"/>
        <w:keepLines w:val="0"/>
        <w:keepNext w:val="0"/>
        <w:pageBreakBefore w:val="0"/>
        <w:spacing w:line="520" w:lineRule="exact"/>
        <w:rPr>
          <w:rFonts w:hint="eastAsia" w:hAnsi="宋体" w:eastAsia="宋体"/>
          <w:sz w:val="24"/>
          <w:szCs w:val="24"/>
          <w:highlight w:val="none"/>
          <w:u w:val="none"/>
          <w:lang w:val="en-US" w:eastAsia="zh-CN"/>
        </w:rPr>
      </w:pPr>
      <w:r>
        <w:rPr>
          <w:rFonts w:hint="eastAsia" w:hAnsi="宋体" w:eastAsia="宋体"/>
          <w:sz w:val="24"/>
          <w:szCs w:val="24"/>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八、询问和质疑</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（四十）询问和质疑</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08"/>
        <w:ind w:left="0" w:firstLine="480"/>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九、</w:t>
      </w:r>
      <w:r>
        <w:rPr>
          <w:rFonts w:ascii="宋体" w:hAnsi="宋体"/>
          <w:sz w:val="24"/>
          <w:szCs w:val="24"/>
          <w:highlight w:val="none"/>
        </w:rPr>
        <w:t xml:space="preserve">电子招标投标交易平台</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（四十一）电子招标投标交易平台（即“苏采云”系统，网址：</w:t>
      </w:r>
      <w:r>
        <w:rPr>
          <w:sz w:val="24"/>
          <w:szCs w:val="24"/>
          <w:highlight w:val="none"/>
        </w:rPr>
        <w:fldChar w:fldCharType="begin"/>
      </w:r>
      <w:r>
        <w:rPr>
          <w:sz w:val="24"/>
          <w:szCs w:val="24"/>
          <w:highlight w:val="none"/>
        </w:rPr>
        <w:instrText xml:space="preserve"> HYPERLINK "http://jszfcg.jsczt.cn/" \o "http://jszfcg.jsczt.cn/" </w:instrText>
      </w:r>
      <w:r>
        <w:rPr>
          <w:sz w:val="24"/>
          <w:szCs w:val="24"/>
          <w:highlight w:val="none"/>
        </w:rPr>
        <w:fldChar w:fldCharType="separate"/>
      </w:r>
      <w:r>
        <w:rPr>
          <w:rFonts w:ascii="宋体" w:hAnsi="宋体"/>
          <w:sz w:val="24"/>
          <w:szCs w:val="24"/>
          <w:highlight w:val="none"/>
        </w:rPr>
        <w:t xml:space="preserve">http://jszfcg.jsczt.cn/</w:t>
      </w:r>
      <w:r>
        <w:rPr>
          <w:rFonts w:ascii="宋体" w:hAnsi="宋体"/>
          <w:sz w:val="24"/>
          <w:szCs w:val="24"/>
          <w:highlight w:val="none"/>
        </w:rPr>
        <w:fldChar w:fldCharType="end"/>
      </w:r>
      <w:r>
        <w:rPr>
          <w:rFonts w:ascii="宋体" w:hAnsi="宋体"/>
          <w:sz w:val="24"/>
          <w:szCs w:val="24"/>
          <w:highlight w:val="none"/>
        </w:rPr>
        <w:t xml:space="preserve">）相关要求是本招标文件的组成部分。</w:t>
      </w:r>
      <w:r/>
    </w:p>
    <w:p>
      <w:pPr>
        <w:ind w:firstLine="600"/>
        <w:jc w:val="center"/>
        <w:spacing w:line="520" w:lineRule="exact"/>
        <w:rPr>
          <w:rFonts w:hint="eastAsia" w:ascii="宋体" w:hAnsi="宋体" w:cs="宋体"/>
          <w:sz w:val="28"/>
          <w:szCs w:val="28"/>
          <w:highlight w:val="none"/>
        </w:rPr>
      </w:pPr>
      <w:r>
        <w:rPr>
          <w:rFonts w:hint="eastAsia" w:ascii="宋体" w:hAnsi="宋体" w:cs="宋体"/>
          <w:sz w:val="30"/>
          <w:szCs w:val="30"/>
          <w:highlight w:val="none"/>
        </w:rPr>
        <w:br w:type="page" w:clear="all"/>
      </w:r>
      <w:r>
        <w:rPr>
          <w:rFonts w:hint="eastAsia" w:ascii="宋体" w:hAnsi="宋体" w:cs="宋体"/>
          <w:b/>
          <w:bCs/>
          <w:sz w:val="28"/>
          <w:szCs w:val="28"/>
          <w:highlight w:val="none"/>
        </w:rPr>
        <w:t xml:space="preserve">第三章  投标资料表</w:t>
      </w:r>
      <w:bookmarkEnd w:id="6"/>
      <w:r/>
      <w:bookmarkEnd w:id="7"/>
      <w:r/>
      <w:r/>
    </w:p>
    <w:p>
      <w:pPr>
        <w:ind w:firstLine="600"/>
        <w:jc w:val="center"/>
        <w:spacing w:line="360" w:lineRule="exact"/>
        <w:rPr>
          <w:rFonts w:hint="eastAsia" w:ascii="宋体" w:hAnsi="宋体" w:cs="宋体"/>
          <w:sz w:val="30"/>
          <w:szCs w:val="30"/>
          <w:highlight w:val="none"/>
        </w:rPr>
      </w:pPr>
      <w:r>
        <w:rPr>
          <w:rFonts w:hint="eastAsia" w:ascii="宋体" w:hAnsi="宋体" w:cs="宋体"/>
          <w:sz w:val="30"/>
          <w:szCs w:val="30"/>
          <w:highlight w:val="none"/>
        </w:rPr>
      </w:r>
      <w:r/>
    </w:p>
    <w:p>
      <w:pPr>
        <w:pStyle w:val="708"/>
        <w:ind w:firstLine="560"/>
        <w:jc w:val="lef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highlight w:val="none"/>
        </w:rPr>
      </w:pPr>
      <w:r>
        <w:rPr>
          <w:rFonts w:hint="eastAsia" w:ascii="宋体" w:hAnsi="宋体" w:cs="宋体"/>
          <w:highlight w:val="none"/>
        </w:rPr>
      </w:r>
      <w:r/>
    </w:p>
    <w:tbl>
      <w:tblPr>
        <w:tblStyle w:val="679"/>
        <w:tblW w:w="0" w:type="auto"/>
        <w:tblInd w:w="-5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8685"/>
      </w:tblGrid>
      <w:tr>
        <w:trPr/>
        <w:tc>
          <w:tcPr>
            <w:tcW w:w="1725" w:type="dxa"/>
            <w:vAlign w:val="top"/>
            <w:textDirection w:val="lrTb"/>
            <w:noWrap w:val="false"/>
          </w:tcPr>
          <w:p>
            <w:pPr>
              <w:jc w:val="center"/>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条款项号</w:t>
            </w:r>
            <w:r/>
          </w:p>
        </w:tc>
        <w:tc>
          <w:tcPr>
            <w:tcW w:w="8685" w:type="dxa"/>
            <w:vAlign w:val="top"/>
            <w:textDirection w:val="lrTb"/>
            <w:noWrap w:val="false"/>
          </w:tcPr>
          <w:p>
            <w:pPr>
              <w:jc w:val="center"/>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内    容</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总则</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w:t>
            </w:r>
            <w:r/>
          </w:p>
        </w:tc>
        <w:tc>
          <w:tcPr>
            <w:tcW w:w="8685" w:type="dxa"/>
            <w:vAlign w:val="top"/>
            <w:textDirection w:val="lrTb"/>
            <w:noWrap w:val="false"/>
          </w:tcPr>
          <w:p>
            <w:pPr>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本项目采购人：</w:t>
            </w:r>
            <w:r>
              <w:rPr>
                <w:rFonts w:hint="eastAsia" w:ascii="宋体" w:hAnsi="宋体" w:cs="宋体"/>
                <w:sz w:val="24"/>
                <w:szCs w:val="24"/>
                <w:highlight w:val="none"/>
                <w:lang w:eastAsia="zh-CN"/>
              </w:rPr>
              <w:t xml:space="preserve">徐州市市场监督管理局</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本次采购采用的政府采购方式：公开招标</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(四)</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采购人确定的采购项目属性：服务</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(五)</w:t>
            </w:r>
            <w:r/>
          </w:p>
        </w:tc>
        <w:tc>
          <w:tcPr>
            <w:tcW w:w="8685" w:type="dxa"/>
            <w:vAlign w:val="top"/>
            <w:textDirection w:val="lrTb"/>
            <w:noWrap w:val="false"/>
          </w:tcPr>
          <w:p>
            <w:pPr>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本项目采购代理机构：</w:t>
            </w:r>
            <w:r>
              <w:rPr>
                <w:rFonts w:hint="eastAsia" w:ascii="宋体" w:hAnsi="宋体" w:cs="宋体"/>
                <w:sz w:val="24"/>
                <w:szCs w:val="24"/>
                <w:highlight w:val="none"/>
                <w:lang w:eastAsia="zh-CN"/>
              </w:rPr>
              <w:t xml:space="preserve">永明项目管理有限公司</w:t>
            </w:r>
            <w:r/>
          </w:p>
        </w:tc>
      </w:tr>
      <w:tr>
        <w:trPr/>
        <w:tc>
          <w:tcPr>
            <w:tcW w:w="1725" w:type="dxa"/>
            <w:vAlign w:val="top"/>
            <w:textDirection w:val="lrTb"/>
            <w:noWrap w:val="false"/>
          </w:tcPr>
          <w:p>
            <w:pPr>
              <w:ind w:firstLine="56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w:t>
            </w:r>
            <w:r/>
          </w:p>
        </w:tc>
        <w:tc>
          <w:tcPr>
            <w:tcW w:w="8685" w:type="dxa"/>
            <w:vAlign w:val="top"/>
            <w:textDirection w:val="lrTb"/>
            <w:noWrap w:val="false"/>
          </w:tcPr>
          <w:p>
            <w:p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投标人的资格条件：</w:t>
            </w:r>
            <w:r/>
          </w:p>
          <w:p>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一、符合《中华人民共和国政府采购法》第二十二条的规定。</w:t>
            </w:r>
            <w:r/>
          </w:p>
          <w:p>
            <w:pPr>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二、本项目</w:t>
            </w:r>
            <w:r>
              <w:rPr>
                <w:rFonts w:hint="eastAsia" w:ascii="宋体" w:hAnsi="宋体" w:cs="宋体"/>
                <w:b/>
                <w:bCs/>
                <w:color w:val="000000"/>
                <w:sz w:val="24"/>
                <w:szCs w:val="24"/>
                <w:highlight w:val="none"/>
                <w:lang w:val="en-US" w:eastAsia="zh-CN"/>
              </w:rPr>
              <w:t xml:space="preserve">不属于</w:t>
            </w:r>
            <w:r>
              <w:rPr>
                <w:rFonts w:hint="eastAsia" w:ascii="宋体" w:hAnsi="宋体" w:eastAsia="宋体" w:cs="宋体"/>
                <w:b/>
                <w:bCs/>
                <w:color w:val="000000"/>
                <w:sz w:val="24"/>
                <w:szCs w:val="24"/>
                <w:highlight w:val="none"/>
              </w:rPr>
              <w:t xml:space="preserve">专门面向中小微企业采购的项目。</w:t>
            </w:r>
            <w:r/>
          </w:p>
          <w:p>
            <w:pPr>
              <w:jc w:val="left"/>
              <w:spacing w:line="400" w:lineRule="exact"/>
              <w:rPr>
                <w:rFonts w:ascii="宋体" w:hAnsi="宋体"/>
                <w:color w:val="000000"/>
                <w:sz w:val="24"/>
                <w:szCs w:val="24"/>
                <w:highlight w:val="none"/>
              </w:rPr>
            </w:pPr>
            <w:r>
              <w:rPr>
                <w:rFonts w:hint="eastAsia" w:ascii="宋体" w:hAnsi="宋体" w:cs="宋体"/>
                <w:b/>
                <w:bCs/>
                <w:color w:val="000000"/>
                <w:sz w:val="24"/>
                <w:szCs w:val="24"/>
                <w:highlight w:val="none"/>
                <w:lang w:val="en-US" w:eastAsia="zh-CN"/>
              </w:rPr>
              <w:t xml:space="preserve">三、本项目的特定资格要求：具有食品检验机构资质。</w:t>
            </w:r>
            <w:r>
              <w:rPr>
                <w:rFonts w:hint="eastAsia" w:ascii="宋体" w:hAnsi="宋体" w:eastAsia="宋体" w:cs="宋体"/>
                <w:b/>
                <w:bCs/>
                <w:color w:val="000000"/>
                <w:sz w:val="24"/>
                <w:szCs w:val="24"/>
                <w:highlight w:val="none"/>
              </w:rPr>
              <w:br w:type="textWrapping" w:clear="all"/>
            </w:r>
            <w:r>
              <w:rPr>
                <w:rFonts w:ascii="宋体" w:hAnsi="宋体"/>
                <w:color w:val="000000"/>
                <w:sz w:val="24"/>
                <w:szCs w:val="24"/>
                <w:highlight w:val="none"/>
              </w:rPr>
              <w:t xml:space="preserve">同时明确相关事项如下：</w:t>
            </w:r>
            <w:r/>
          </w:p>
          <w:p>
            <w:pPr>
              <w:pStyle w:val="708"/>
              <w:jc w:val="left"/>
              <w:spacing w:line="400" w:lineRule="exact"/>
              <w:rPr>
                <w:rFonts w:ascii="宋体" w:hAnsi="宋体"/>
                <w:color w:val="000000"/>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w:t>
            </w:r>
            <w:r>
              <w:rPr>
                <w:rFonts w:ascii="宋体" w:hAnsi="宋体"/>
                <w:color w:val="000000"/>
                <w:sz w:val="24"/>
                <w:szCs w:val="24"/>
                <w:highlight w:val="none"/>
              </w:rPr>
              <w:t xml:space="preserve">本项目不接受联合体参与采购活动。</w:t>
            </w:r>
            <w:r/>
          </w:p>
          <w:p>
            <w:pPr>
              <w:pStyle w:val="708"/>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sz w:val="24"/>
                <w:szCs w:val="24"/>
                <w:highlight w:val="none"/>
              </w:rPr>
              <w:t xml:space="preserve">、</w:t>
            </w:r>
            <w:r>
              <w:rPr>
                <w:rFonts w:ascii="宋体" w:hAnsi="宋体"/>
                <w:color w:val="000000"/>
                <w:sz w:val="24"/>
                <w:szCs w:val="24"/>
                <w:highlight w:val="none"/>
              </w:rPr>
              <w:t xml:space="preserve">单位负责人为同一人或者存在直接控股、管理关系的不同供应商，不得参加同一合同项下的政府采购活动。</w:t>
            </w:r>
            <w:r/>
          </w:p>
          <w:p>
            <w:pPr>
              <w:pStyle w:val="708"/>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为本采购项目提供整体设计、规范编制或者项目管理、监理、检测等服务的供应商，不得再参加本采购项目的采购活动。</w:t>
            </w:r>
            <w:r/>
          </w:p>
          <w:p>
            <w:pPr>
              <w:pStyle w:val="708"/>
              <w:jc w:val="left"/>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查询及使用供应商信用记录：</w:t>
            </w:r>
            <w:r/>
          </w:p>
          <w:p>
            <w:pPr>
              <w:pStyle w:val="708"/>
              <w:jc w:val="left"/>
              <w:spacing w:line="400" w:lineRule="exact"/>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1</w:t>
            </w:r>
            <w:r>
              <w:rPr>
                <w:rFonts w:ascii="宋体" w:hAnsi="宋体"/>
                <w:sz w:val="24"/>
                <w:szCs w:val="24"/>
                <w:highlight w:val="none"/>
              </w:rPr>
              <w:t xml:space="preserve">)由采购人查询信用信息。</w:t>
            </w:r>
            <w:r/>
          </w:p>
          <w:p>
            <w:pPr>
              <w:pStyle w:val="708"/>
              <w:jc w:val="left"/>
              <w:spacing w:line="400" w:lineRule="exact"/>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2</w:t>
            </w:r>
            <w:r>
              <w:rPr>
                <w:rFonts w:ascii="宋体" w:hAnsi="宋体"/>
                <w:sz w:val="24"/>
                <w:szCs w:val="24"/>
                <w:highlight w:val="none"/>
              </w:rPr>
              <w:t xml:space="preserve">)查询渠道包括：</w:t>
            </w:r>
            <w:r/>
          </w:p>
          <w:p>
            <w:pPr>
              <w:pStyle w:val="708"/>
              <w:jc w:val="left"/>
              <w:spacing w:line="400" w:lineRule="exact"/>
              <w:rPr>
                <w:rFonts w:ascii="宋体" w:hAnsi="宋体"/>
                <w:sz w:val="24"/>
                <w:szCs w:val="24"/>
                <w:highlight w:val="none"/>
              </w:rPr>
            </w:pPr>
            <w:r>
              <w:rPr>
                <w:rFonts w:ascii="宋体" w:hAnsi="宋体"/>
                <w:sz w:val="24"/>
                <w:szCs w:val="24"/>
                <w:highlight w:val="none"/>
              </w:rPr>
              <w:t xml:space="preserve">①“信用中国”网（</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\o "http://www.creditchina.gov.cn/" </w:instrText>
            </w:r>
            <w:r>
              <w:rPr>
                <w:rFonts w:ascii="宋体" w:hAnsi="宋体"/>
                <w:sz w:val="24"/>
                <w:szCs w:val="24"/>
                <w:highlight w:val="none"/>
              </w:rPr>
              <w:fldChar w:fldCharType="separate"/>
            </w:r>
            <w:r>
              <w:rPr>
                <w:rFonts w:ascii="宋体" w:hAnsi="宋体"/>
                <w:sz w:val="24"/>
                <w:szCs w:val="24"/>
                <w:highlight w:val="none"/>
              </w:rPr>
              <w:t xml:space="preserve">www.creditchina.gov.cn</w:t>
            </w:r>
            <w:r>
              <w:rPr>
                <w:rFonts w:ascii="宋体" w:hAnsi="宋体"/>
                <w:sz w:val="24"/>
                <w:szCs w:val="24"/>
                <w:highlight w:val="none"/>
              </w:rPr>
              <w:fldChar w:fldCharType="end"/>
            </w:r>
            <w:r>
              <w:rPr>
                <w:rFonts w:ascii="宋体" w:hAnsi="宋体"/>
                <w:sz w:val="24"/>
                <w:szCs w:val="24"/>
                <w:highlight w:val="none"/>
              </w:rPr>
              <w:t xml:space="preserve">）；</w:t>
            </w:r>
            <w:r/>
          </w:p>
          <w:p>
            <w:pPr>
              <w:pStyle w:val="708"/>
              <w:jc w:val="left"/>
              <w:spacing w:line="400" w:lineRule="exact"/>
              <w:rPr>
                <w:rFonts w:ascii="宋体" w:hAnsi="宋体"/>
                <w:sz w:val="24"/>
                <w:szCs w:val="24"/>
                <w:highlight w:val="none"/>
              </w:rPr>
            </w:pPr>
            <w:r>
              <w:rPr>
                <w:rFonts w:ascii="宋体" w:hAnsi="宋体"/>
                <w:sz w:val="24"/>
                <w:szCs w:val="24"/>
                <w:highlight w:val="none"/>
              </w:rPr>
              <w:t xml:space="preserve">②中国政府采购网（</w:t>
            </w:r>
            <w:r>
              <w:rPr>
                <w:rFonts w:ascii="宋体" w:hAnsi="宋体"/>
                <w:sz w:val="24"/>
                <w:szCs w:val="24"/>
                <w:highlight w:val="none"/>
              </w:rPr>
              <w:fldChar w:fldCharType="begin"/>
            </w:r>
            <w:r>
              <w:rPr>
                <w:rFonts w:ascii="宋体" w:hAnsi="宋体"/>
                <w:sz w:val="24"/>
                <w:szCs w:val="24"/>
                <w:highlight w:val="none"/>
              </w:rPr>
              <w:instrText xml:space="preserve"> HYPERLINK "http://www.ccgp.gov.cn/" \o "http://www.ccgp.gov.cn/" </w:instrText>
            </w:r>
            <w:r>
              <w:rPr>
                <w:rFonts w:ascii="宋体" w:hAnsi="宋体"/>
                <w:sz w:val="24"/>
                <w:szCs w:val="24"/>
                <w:highlight w:val="none"/>
              </w:rPr>
              <w:fldChar w:fldCharType="separate"/>
            </w:r>
            <w:r>
              <w:rPr>
                <w:rFonts w:ascii="宋体" w:hAnsi="宋体"/>
                <w:sz w:val="24"/>
                <w:szCs w:val="24"/>
                <w:highlight w:val="none"/>
              </w:rPr>
              <w:t xml:space="preserve">www.ccgp.gov.cn</w:t>
            </w:r>
            <w:r>
              <w:rPr>
                <w:rFonts w:ascii="宋体" w:hAnsi="宋体"/>
                <w:sz w:val="24"/>
                <w:szCs w:val="24"/>
                <w:highlight w:val="none"/>
              </w:rPr>
              <w:fldChar w:fldCharType="end"/>
            </w:r>
            <w:r>
              <w:rPr>
                <w:rFonts w:ascii="宋体" w:hAnsi="宋体"/>
                <w:sz w:val="24"/>
                <w:szCs w:val="24"/>
                <w:highlight w:val="none"/>
              </w:rPr>
              <w:t xml:space="preserve">）；</w:t>
            </w:r>
            <w:r/>
          </w:p>
          <w:p>
            <w:pPr>
              <w:pStyle w:val="708"/>
              <w:jc w:val="left"/>
              <w:spacing w:line="400" w:lineRule="exact"/>
              <w:rPr>
                <w:rFonts w:hint="eastAsia" w:ascii="宋体" w:hAnsi="宋体"/>
                <w:sz w:val="24"/>
                <w:szCs w:val="24"/>
                <w:highlight w:val="none"/>
              </w:rPr>
            </w:pPr>
            <w:r>
              <w:rPr>
                <w:rFonts w:ascii="宋体" w:hAnsi="宋体"/>
                <w:sz w:val="24"/>
                <w:szCs w:val="24"/>
                <w:highlight w:val="none"/>
              </w:rPr>
              <w:t xml:space="preserve">③</w:t>
            </w:r>
            <w:r>
              <w:rPr>
                <w:rFonts w:hint="eastAsia" w:ascii="宋体" w:hAnsi="宋体"/>
                <w:sz w:val="24"/>
                <w:szCs w:val="24"/>
                <w:highlight w:val="none"/>
              </w:rPr>
              <w:t xml:space="preserve">“信用江苏”网（http://credit.jiangsu.gov.cn/）；</w:t>
            </w:r>
            <w:r/>
          </w:p>
          <w:p>
            <w:pPr>
              <w:pStyle w:val="708"/>
              <w:jc w:val="left"/>
              <w:spacing w:line="400" w:lineRule="exact"/>
              <w:rPr>
                <w:rFonts w:ascii="宋体" w:hAnsi="宋体"/>
                <w:sz w:val="24"/>
                <w:szCs w:val="24"/>
                <w:highlight w:val="none"/>
              </w:rPr>
            </w:pPr>
            <w:r>
              <w:rPr>
                <w:rFonts w:ascii="宋体" w:hAnsi="宋体"/>
                <w:sz w:val="24"/>
                <w:szCs w:val="24"/>
                <w:highlight w:val="none"/>
              </w:rPr>
              <w:t xml:space="preserve">④</w:t>
            </w:r>
            <w:r>
              <w:rPr>
                <w:rFonts w:hint="eastAsia" w:ascii="宋体" w:hAnsi="宋体"/>
                <w:sz w:val="24"/>
                <w:szCs w:val="24"/>
                <w:highlight w:val="none"/>
              </w:rPr>
              <w:t xml:space="preserve">“信用中国(江苏徐州)”网（</w:t>
            </w:r>
            <w:bookmarkStart w:id="25" w:name="_GoBack"/>
            <w:r>
              <w:rPr>
                <w:rFonts w:hint="eastAsia" w:ascii="宋体" w:hAnsi="宋体"/>
                <w:sz w:val="24"/>
                <w:szCs w:val="24"/>
                <w:highlight w:val="none"/>
              </w:rPr>
              <w:t xml:space="preserve">http://www.xuzhoucredit.gov.cn</w:t>
            </w:r>
            <w:bookmarkEnd w:id="25"/>
            <w:r>
              <w:rPr>
                <w:rFonts w:hint="eastAsia" w:ascii="宋体" w:hAnsi="宋体"/>
                <w:sz w:val="24"/>
                <w:szCs w:val="24"/>
                <w:highlight w:val="none"/>
              </w:rPr>
              <w:t xml:space="preserve">）；</w:t>
            </w:r>
            <w:r/>
          </w:p>
          <w:p>
            <w:pPr>
              <w:pStyle w:val="708"/>
              <w:jc w:val="left"/>
              <w:spacing w:line="400" w:lineRule="exact"/>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3</w:t>
            </w:r>
            <w:r>
              <w:rPr>
                <w:rFonts w:ascii="宋体" w:hAnsi="宋体"/>
                <w:sz w:val="24"/>
                <w:szCs w:val="24"/>
                <w:highlight w:val="none"/>
              </w:rPr>
              <w:t xml:space="preserve">)截止时点（查询环节）：资格审查结束前。</w:t>
            </w:r>
            <w:r/>
          </w:p>
          <w:p>
            <w:pPr>
              <w:pStyle w:val="708"/>
              <w:jc w:val="left"/>
              <w:spacing w:line="400" w:lineRule="exact"/>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4</w:t>
            </w:r>
            <w:r>
              <w:rPr>
                <w:rFonts w:ascii="宋体" w:hAnsi="宋体"/>
                <w:sz w:val="24"/>
                <w:szCs w:val="24"/>
                <w:highlight w:val="none"/>
              </w:rPr>
              <w:t xml:space="preserve">)信用信息查询记录和证据留存的具体方式：网页截屏打印，与其他采购文件一并保存。</w:t>
            </w:r>
            <w:r/>
          </w:p>
          <w:p>
            <w:pPr>
              <w:pStyle w:val="708"/>
              <w:jc w:val="left"/>
              <w:spacing w:line="400" w:lineRule="exact"/>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)信用信息的使用规则：</w:t>
            </w:r>
            <w:r/>
          </w:p>
          <w:p>
            <w:pPr>
              <w:spacing w:line="400" w:lineRule="exact"/>
              <w:rPr>
                <w:rFonts w:hint="eastAsia" w:ascii="宋体" w:hAnsi="宋体" w:cs="宋体"/>
                <w:color w:val="000000"/>
                <w:sz w:val="24"/>
                <w:szCs w:val="24"/>
                <w:highlight w:val="none"/>
              </w:rPr>
            </w:pPr>
            <w:r>
              <w:rPr>
                <w:rFonts w:ascii="宋体" w:hAnsi="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(七)</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招标代理服务费由中标人支付，标准不高于《招标代理服务收费标准》（见附件）。</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招标</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(九)1</w:t>
            </w:r>
            <w:r/>
          </w:p>
        </w:tc>
        <w:tc>
          <w:tcPr>
            <w:tcW w:w="8685" w:type="dxa"/>
            <w:vAlign w:val="top"/>
            <w:textDirection w:val="lrTb"/>
            <w:noWrap w:val="false"/>
          </w:tcPr>
          <w:p>
            <w:pPr>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(九)2</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不安排现场考察。</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(九)3</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不安排开标前答疑会。</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三</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w:t>
            </w:r>
            <w:r/>
          </w:p>
        </w:tc>
      </w:tr>
      <w:tr>
        <w:trPr>
          <w:trHeight w:val="482"/>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(十一)</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投标文件的语言为中文</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(十二)1</w:t>
            </w:r>
            <w:r/>
          </w:p>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(十二)2</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投标文件编制要求：</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请按照以下要求（包括但不限于以下要求）制作：</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一、基本目录</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1、《开标一览表》（加盖电子签章，政府采购客户端工具输入报价自动生成）；</w:t>
            </w:r>
            <w:r/>
          </w:p>
          <w:p>
            <w:pPr>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二、资格条件（1-</w:t>
            </w:r>
            <w:r>
              <w:rPr>
                <w:rFonts w:hint="eastAsia" w:ascii="宋体" w:hAnsi="宋体" w:cs="宋体"/>
                <w:b/>
                <w:bCs/>
                <w:sz w:val="24"/>
                <w:szCs w:val="24"/>
                <w:highlight w:val="none"/>
                <w:lang w:val="en-US" w:eastAsia="zh-CN"/>
              </w:rPr>
              <w:t xml:space="preserve">8</w:t>
            </w:r>
            <w:r>
              <w:rPr>
                <w:rFonts w:hint="eastAsia" w:ascii="宋体" w:hAnsi="宋体" w:cs="宋体"/>
                <w:b/>
                <w:bCs/>
                <w:sz w:val="24"/>
                <w:szCs w:val="24"/>
                <w:highlight w:val="none"/>
              </w:rPr>
              <w:t xml:space="preserve">必须提供，否则投标无效）</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1、投标人合法有效的法人或者其他组织的营业执照等证明文件，以上证明文件提供原件的扫描件。</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2、财务状况报告（即提供投标人的本项目开标时间前6个月内任何</w:t>
            </w:r>
            <w:r>
              <w:rPr>
                <w:rFonts w:hint="eastAsia" w:ascii="宋体" w:hAnsi="宋体" w:cs="宋体"/>
                <w:sz w:val="24"/>
                <w:szCs w:val="24"/>
                <w:highlight w:val="none"/>
                <w:lang w:val="en-US" w:eastAsia="zh-CN"/>
              </w:rPr>
              <w:t xml:space="preserve">时间</w:t>
            </w:r>
            <w:r>
              <w:rPr>
                <w:rFonts w:hint="eastAsia" w:ascii="宋体" w:hAnsi="宋体" w:cs="宋体"/>
                <w:sz w:val="24"/>
                <w:szCs w:val="24"/>
                <w:highlight w:val="none"/>
              </w:rPr>
              <w:t xml:space="preserve">的资产负债表、利润表各一份或提供投标人上年度财务报告或投标人的本项目开标时间前6个月内银行出具的资信证明扫描件）。</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4、具备履行合同所必需的设备和专业技术能力的证明材料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即投标文件中提供《具备履行合同所必需的设备和专业技术能力的书面声明》（加盖电子签章，格式见招标文件第七章《投标文件相关格式》）</w:t>
            </w:r>
            <w:r>
              <w:rPr>
                <w:rFonts w:hint="eastAsia" w:ascii="宋体" w:hAnsi="宋体" w:cs="宋体"/>
                <w:color w:val="000000"/>
                <w:sz w:val="24"/>
                <w:szCs w:val="24"/>
                <w:highlight w:val="none"/>
                <w:lang w:eastAsia="zh-CN"/>
              </w:rPr>
              <w:t xml:space="preserve">，所附证明材料原件的</w:t>
            </w:r>
            <w:r>
              <w:rPr>
                <w:rFonts w:hint="eastAsia" w:ascii="宋体" w:hAnsi="宋体" w:cs="宋体"/>
                <w:color w:val="000000"/>
                <w:sz w:val="24"/>
                <w:szCs w:val="24"/>
                <w:highlight w:val="none"/>
                <w:lang w:val="en-US" w:eastAsia="zh-CN"/>
              </w:rPr>
              <w:t xml:space="preserve">扫描件</w:t>
            </w:r>
            <w:r>
              <w:rPr>
                <w:rFonts w:hint="eastAsia" w:ascii="宋体" w:hAnsi="宋体" w:cs="宋体"/>
                <w:color w:val="000000"/>
                <w:sz w:val="24"/>
                <w:szCs w:val="24"/>
                <w:highlight w:val="none"/>
                <w:lang w:eastAsia="zh-CN"/>
              </w:rPr>
              <w:t xml:space="preserve">必须包含</w:t>
            </w:r>
            <w:r>
              <w:rPr>
                <w:rFonts w:hint="eastAsia" w:ascii="宋体" w:hAnsi="宋体" w:cs="宋体"/>
                <w:color w:val="000000"/>
                <w:sz w:val="24"/>
                <w:szCs w:val="24"/>
                <w:highlight w:val="none"/>
                <w:lang w:val="en-US" w:eastAsia="zh-CN"/>
              </w:rPr>
              <w:t xml:space="preserve">：</w:t>
            </w:r>
            <w:r/>
          </w:p>
          <w:p>
            <w:pPr>
              <w:spacing w:line="400" w:lineRule="exact"/>
              <w:widowControl/>
              <w:rPr>
                <w:rFonts w:hint="default" w:ascii="宋体" w:hAnsi="宋体" w:cs="宋体"/>
                <w:color w:val="000000"/>
                <w:sz w:val="24"/>
                <w:szCs w:val="24"/>
                <w:highlight w:val="none"/>
                <w:lang w:val="en-US" w:eastAsia="zh-CN"/>
              </w:rPr>
            </w:pPr>
            <w:r>
              <w:rPr>
                <w:rFonts w:hint="eastAsia" w:ascii="Calibri" w:hAnsi="Calibri" w:cs="Calibri"/>
                <w:color w:val="000000"/>
                <w:sz w:val="24"/>
                <w:szCs w:val="24"/>
                <w:highlight w:val="none"/>
                <w:lang w:val="en-US" w:eastAsia="zh-CN"/>
              </w:rPr>
              <w:t xml:space="preserve">①</w:t>
            </w:r>
            <w:r>
              <w:rPr>
                <w:rFonts w:hint="default" w:ascii="宋体" w:hAnsi="宋体" w:cs="宋体"/>
                <w:color w:val="000000"/>
                <w:sz w:val="24"/>
                <w:szCs w:val="24"/>
                <w:highlight w:val="none"/>
                <w:lang w:val="en-US" w:eastAsia="zh-CN"/>
              </w:rPr>
              <w:t xml:space="preserve">具有食品检验机构资质</w:t>
            </w:r>
            <w:r>
              <w:rPr>
                <w:rFonts w:hint="eastAsia" w:ascii="宋体" w:hAnsi="宋体" w:cs="宋体"/>
                <w:color w:val="000000"/>
                <w:sz w:val="24"/>
                <w:szCs w:val="24"/>
                <w:highlight w:val="none"/>
                <w:lang w:val="en-US" w:eastAsia="zh-CN"/>
              </w:rPr>
              <w:t xml:space="preserve">。</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投标人信用信息</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提供网页截图</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加盖电子签章，</w:t>
            </w:r>
            <w:r>
              <w:rPr>
                <w:rFonts w:hint="eastAsia" w:ascii="宋体" w:hAnsi="宋体" w:cs="宋体"/>
                <w:sz w:val="24"/>
                <w:szCs w:val="24"/>
                <w:highlight w:val="none"/>
              </w:rPr>
              <w:t xml:space="preserve">要求见本章条款项号“(六)”中“四、”内容）。</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.投标人不是为本采购项目提供整体设计、规范编制或者项目管理、监理、检测等服务的供应商的书面声明。（加盖电子签章，格式见招标文件第七章《投标文件相关格式》）。</w:t>
            </w:r>
            <w:r/>
          </w:p>
          <w:p>
            <w:pPr>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三、符合条件（必须提供，否则投标无效）</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(一)报价</w:t>
            </w:r>
            <w:r/>
          </w:p>
          <w:p>
            <w:pPr>
              <w:spacing w:line="400" w:lineRule="exact"/>
              <w:rPr>
                <w:rFonts w:hint="eastAsia" w:ascii="宋体" w:hAnsi="宋体" w:cs="宋体"/>
                <w:color w:val="0000ff"/>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《分项价格表》（加盖电子签章，格式见招标文件第七章《投标文件相关格式》）。</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（二）商务资信</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《投标函》（加盖电子签章，格式见招标文件第七章《投标文件相关格式》）。</w:t>
            </w:r>
            <w:r/>
          </w:p>
          <w:p>
            <w:pPr>
              <w:spacing w:line="40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2.《法定代表人授权书》（提供原件的扫描件，格式见招标文件第七章《投标文件相关格式》）。</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（三）技术响应</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《偏离表》（加盖电子签章，格式见招标文件第七章《投标文件相关格式》）。</w:t>
            </w:r>
            <w:r>
              <w:rPr>
                <w:rFonts w:hint="eastAsia" w:ascii="宋体" w:hAnsi="宋体" w:cs="宋体"/>
                <w:sz w:val="24"/>
                <w:szCs w:val="24"/>
                <w:highlight w:val="none"/>
                <w:lang w:val="en-US" w:eastAsia="zh-CN"/>
              </w:rPr>
              <w:t xml:space="preserve">    </w:t>
            </w:r>
            <w:r/>
          </w:p>
          <w:p>
            <w:pPr>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四、综合评审评分项</w:t>
            </w:r>
            <w:r/>
          </w:p>
          <w:p>
            <w:pP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1、详细完整的技术服务方案；</w:t>
            </w:r>
            <w:r/>
          </w:p>
          <w:p>
            <w:pP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2、评分细则及采购需求中需提供的相关材料，特别要求的除外；</w:t>
            </w:r>
            <w:r/>
          </w:p>
          <w:p>
            <w:pPr>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提供的服务全部由符合政策要求的中小企业承接，提供《中小企业声明函》</w:t>
            </w:r>
            <w:r>
              <w:rPr>
                <w:rFonts w:hint="eastAsia" w:ascii="宋体" w:hAnsi="宋体" w:cs="宋体"/>
                <w:b/>
                <w:bCs/>
                <w:sz w:val="24"/>
                <w:szCs w:val="24"/>
                <w:highlight w:val="none"/>
              </w:rPr>
              <w:t xml:space="preserve">（填写完整，加盖电子签章，格式见招标文件第七章《投标文件相关格式》,如不填写完整，视为无效）。</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注：监狱企业和残疾人福利性单位等同于小微企业。</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具体以《财政部 司法部关于政府采购支持监狱企业发展有关问题的通知》（财库〔2014〕68号）的规定为准。</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享受政府采购支持政策的残疾人福利性单位应当同时满足以下条件：</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①安置的残疾人占本单位在职职工人数的比例不低于25%（含25%），并且安置的残疾人人数不少于10人（含10人）；</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②依法与安置的每位残疾人签订了一年以上（含一年）的劳动合同或服务协议；</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  具体以《三部门联合发布关于促进残疾人就业政府采购政策的通知》（财库〔2017〕141号）规定为准。注：</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1.投标人应对以上文件的合法性、真实性负责；</w:t>
            </w:r>
            <w:r/>
          </w:p>
          <w:p>
            <w:pPr>
              <w:spacing w:line="400" w:lineRule="exact"/>
              <w:rPr>
                <w:rFonts w:hint="eastAsia" w:ascii="宋体" w:hAnsi="宋体" w:cs="宋体"/>
                <w:bCs/>
                <w:sz w:val="24"/>
                <w:szCs w:val="24"/>
                <w:highlight w:val="none"/>
              </w:rPr>
            </w:pPr>
            <w:r>
              <w:rPr>
                <w:rFonts w:hint="eastAsia" w:ascii="宋体" w:hAnsi="宋体" w:cs="宋体"/>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(十三)2</w:t>
            </w:r>
            <w:r/>
          </w:p>
        </w:tc>
        <w:tc>
          <w:tcPr>
            <w:tcW w:w="8685" w:type="dxa"/>
            <w:vAlign w:val="top"/>
            <w:textDirection w:val="lrTb"/>
            <w:noWrap w:val="false"/>
          </w:tcPr>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商务条件见：</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一、本文件第四章《评标标准》中《评分细则》。</w:t>
            </w:r>
            <w:r/>
          </w:p>
          <w:p>
            <w:pPr>
              <w:spacing w:line="400" w:lineRule="exact"/>
              <w:rPr>
                <w:rFonts w:hint="eastAsia" w:ascii="宋体" w:hAnsi="宋体" w:cs="宋体"/>
                <w:bCs/>
                <w:sz w:val="24"/>
                <w:szCs w:val="24"/>
                <w:highlight w:val="none"/>
              </w:rPr>
            </w:pPr>
            <w:r>
              <w:rPr>
                <w:rFonts w:hint="eastAsia" w:ascii="宋体" w:hAnsi="宋体" w:cs="宋体"/>
                <w:sz w:val="24"/>
                <w:szCs w:val="24"/>
                <w:highlight w:val="none"/>
              </w:rPr>
              <w:t xml:space="preserve">二、本文件第三章《投标资料表》中(十二)1和(十二)2。</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(十三)3</w:t>
            </w:r>
            <w:r/>
          </w:p>
        </w:tc>
        <w:tc>
          <w:tcPr>
            <w:tcW w:w="8685" w:type="dxa"/>
            <w:vAlign w:val="top"/>
            <w:textDirection w:val="lrTb"/>
            <w:noWrap w:val="false"/>
          </w:tcPr>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交货和提供服务的时间：见本文件第五章 《拟签订的合同文本》及或本文件第六章《采购需求》。</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(十四)3</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b/>
                <w:bCs w:val="0"/>
                <w:sz w:val="24"/>
                <w:szCs w:val="24"/>
                <w:highlight w:val="none"/>
              </w:rPr>
              <w:t xml:space="preserve">本项目预算金额50万元人民币，不接受单批次报价超过849元人民币、总任务量低于588批次的投标报价</w:t>
            </w:r>
            <w:r>
              <w:rPr>
                <w:rFonts w:hint="eastAsia" w:ascii="宋体" w:hAnsi="宋体" w:cs="宋体"/>
                <w:bCs/>
                <w:sz w:val="24"/>
                <w:szCs w:val="24"/>
                <w:highlight w:val="none"/>
              </w:rPr>
              <w:t xml:space="preserve">；（报价包含采样费、检测费、买样费、各种税费、交通费、人工、保险、利润、税金、复检合格应支付给复检机构的复检费用及合同包含的所有风险、责任等各项应有的全部费用，采购人不再支付报价以外的任何费用。）</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(十六)</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以人民币报价。</w:t>
            </w:r>
            <w:r/>
          </w:p>
        </w:tc>
      </w:tr>
      <w:tr>
        <w:trPr/>
        <w:tc>
          <w:tcPr>
            <w:tcW w:w="1725" w:type="dxa"/>
            <w:vAlign w:val="top"/>
            <w:textDirection w:val="lrTb"/>
            <w:noWrap w:val="false"/>
          </w:tcPr>
          <w:p>
            <w:pPr>
              <w:jc w:val="center"/>
              <w:spacing w:line="400" w:lineRule="exact"/>
              <w:rPr>
                <w:rFonts w:hint="eastAsia" w:ascii="宋体" w:hAnsi="宋体" w:eastAsia="宋体" w:cs="宋体"/>
                <w:bCs/>
                <w:color w:val="ff0000"/>
                <w:sz w:val="24"/>
                <w:szCs w:val="24"/>
                <w:highlight w:val="none"/>
                <w:lang w:eastAsia="zh-CN"/>
              </w:rPr>
            </w:pPr>
            <w:r>
              <w:rPr>
                <w:rFonts w:hint="eastAsia" w:ascii="宋体" w:hAnsi="宋体" w:cs="宋体"/>
                <w:bCs/>
                <w:color w:val="000000"/>
                <w:sz w:val="24"/>
                <w:szCs w:val="24"/>
                <w:highlight w:val="none"/>
              </w:rPr>
              <w:t xml:space="preserve">（十七）</w:t>
            </w:r>
            <w:r>
              <w:rPr>
                <w:rFonts w:hint="eastAsia" w:ascii="宋体" w:hAnsi="宋体" w:cs="宋体"/>
                <w:bCs/>
                <w:color w:val="000000"/>
                <w:sz w:val="24"/>
                <w:szCs w:val="24"/>
                <w:highlight w:val="none"/>
                <w:lang w:val="en-US" w:eastAsia="zh-CN"/>
              </w:rPr>
              <w:t xml:space="preserve">1</w:t>
            </w:r>
            <w:r/>
          </w:p>
        </w:tc>
        <w:tc>
          <w:tcPr>
            <w:tcW w:w="8685" w:type="dxa"/>
            <w:vAlign w:val="top"/>
            <w:textDirection w:val="lrTb"/>
            <w:noWrap w:val="false"/>
          </w:tcPr>
          <w:p>
            <w:pPr>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供应商操作手册及政府采购客户端工具可通过“苏采云”系统（网址：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cs="宋体"/>
                <w:color w:val="000000"/>
                <w:sz w:val="24"/>
                <w:szCs w:val="24"/>
                <w:highlight w:val="none"/>
              </w:rPr>
              <w:fldChar w:fldCharType="end"/>
            </w:r>
            <w:r/>
          </w:p>
          <w:p>
            <w:pPr>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投标人应当通过“苏采云”系统提交数据电文形式的投标文件（即电子投标）。</w:t>
            </w:r>
            <w:r/>
          </w:p>
          <w:p>
            <w:pPr>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特别说明：通过“苏采云”系统提交政府采购客户端工具导出加密的投标文件（后缀名为zip）。</w:t>
            </w:r>
            <w:r>
              <w:rPr>
                <w:rFonts w:hint="eastAsia" w:ascii="宋体" w:hAnsi="宋体" w:cs="宋体"/>
                <w:b/>
                <w:bCs/>
                <w:color w:val="000000"/>
                <w:sz w:val="24"/>
                <w:szCs w:val="24"/>
                <w:highlight w:val="none"/>
              </w:rPr>
              <w:t xml:space="preserve">投标文件不得超过</w:t>
            </w: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rPr>
              <w:t xml:space="preserve">50M！</w:t>
            </w:r>
            <w:r/>
          </w:p>
          <w:p>
            <w:pPr>
              <w:jc w:val="left"/>
              <w:spacing w:line="400" w:lineRule="exact"/>
              <w:rPr>
                <w:rFonts w:hint="eastAsia" w:ascii="宋体" w:hAnsi="宋体" w:cs="宋体"/>
                <w:bCs/>
                <w:color w:val="ff0000"/>
                <w:sz w:val="24"/>
                <w:szCs w:val="24"/>
                <w:highlight w:val="none"/>
              </w:rPr>
            </w:pPr>
            <w:r>
              <w:rPr>
                <w:rFonts w:hint="eastAsia" w:ascii="宋体" w:hAnsi="宋体" w:cs="宋体"/>
                <w:color w:val="000000"/>
                <w:sz w:val="24"/>
                <w:szCs w:val="24"/>
                <w:highlight w:val="none"/>
              </w:rPr>
              <w:t xml:space="preserve"> 说明：本项目采用线上投标，即供应商投标文件从政府采购客户端工具制作通过“苏采云”系统提交，未提供线上投标文件的，投标无效。</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(十八)4</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见本文件第三章《投标资料表》中(十二)1和(十二)2</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(十九)</w:t>
            </w:r>
            <w:r/>
          </w:p>
        </w:tc>
        <w:tc>
          <w:tcPr>
            <w:tcW w:w="8685" w:type="dxa"/>
            <w:vAlign w:val="top"/>
            <w:textDirection w:val="lrTb"/>
            <w:noWrap w:val="false"/>
          </w:tcPr>
          <w:p>
            <w:pPr>
              <w:jc w:val="left"/>
              <w:spacing w:line="400" w:lineRule="exact"/>
              <w:rPr>
                <w:rFonts w:hint="eastAsia" w:ascii="宋体" w:hAnsi="宋体" w:cs="宋体"/>
                <w:b/>
                <w:bCs/>
                <w:color w:val="ff0000"/>
                <w:sz w:val="24"/>
                <w:szCs w:val="24"/>
                <w:highlight w:val="none"/>
              </w:rPr>
            </w:pPr>
            <w:r>
              <w:rPr>
                <w:rFonts w:hint="eastAsia" w:ascii="宋体" w:hAnsi="宋体" w:cs="宋体"/>
                <w:sz w:val="24"/>
                <w:szCs w:val="24"/>
                <w:highlight w:val="none"/>
              </w:rPr>
              <w:t xml:space="preserve">投标文件的提交与接收： </w:t>
            </w:r>
            <w:r>
              <w:rPr>
                <w:rFonts w:hint="eastAsia" w:ascii="宋体" w:hAnsi="宋体" w:cs="宋体"/>
                <w:sz w:val="24"/>
                <w:szCs w:val="24"/>
                <w:highlight w:val="none"/>
              </w:rPr>
              <w:br w:type="textWrapping" w:clear="all"/>
            </w:r>
            <w:r>
              <w:rPr>
                <w:rFonts w:hint="eastAsia" w:ascii="宋体" w:hAnsi="宋体" w:cs="宋体"/>
                <w:color w:val="000000"/>
                <w:sz w:val="24"/>
                <w:szCs w:val="24"/>
                <w:highlight w:val="none"/>
              </w:rPr>
              <w:t xml:space="preserve">1.投标文件提交与接收时间：提交投标文件截止时间</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eastAsia="zh-CN"/>
              </w:rPr>
              <w:t xml:space="preserve">2024年12月12日</w:t>
            </w:r>
            <w:r>
              <w:rPr>
                <w:rFonts w:hint="eastAsia" w:ascii="宋体" w:hAnsi="宋体" w:cs="宋体"/>
                <w:b/>
                <w:bCs/>
                <w:color w:val="000000"/>
                <w:sz w:val="24"/>
                <w:szCs w:val="24"/>
                <w:highlight w:val="none"/>
              </w:rPr>
              <w:t xml:space="preserve">09:30）前。</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2.投标文件提交与接收地点：投标人应当通过“苏采云”系统提交数据电文形式的投标文件（即电子投标），“苏采云”系统自动接收。</w:t>
            </w:r>
            <w:r/>
          </w:p>
        </w:tc>
      </w:tr>
      <w:tr>
        <w:trPr/>
        <w:tc>
          <w:tcPr>
            <w:tcW w:w="172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w:t>
            </w:r>
            <w:r/>
          </w:p>
        </w:tc>
        <w:tc>
          <w:tcPr>
            <w:tcW w:w="8685" w:type="dxa"/>
            <w:vAlign w:val="top"/>
            <w:textDirection w:val="lrTb"/>
            <w:noWrap w:val="false"/>
          </w:tcPr>
          <w:p>
            <w:pPr>
              <w:jc w:val="both"/>
              <w:spacing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证书登陆“苏采云”系统在线编制投标文件（电子数据），并在投标截止时间之前上传投标文件。并于开标后规定的时间内解密各自投标文件。</w:t>
            </w:r>
            <w:r/>
          </w:p>
          <w:p>
            <w:pPr>
              <w:spacing w:line="40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投标人应在开标时间后</w:t>
            </w:r>
            <w:r>
              <w:rPr>
                <w:rFonts w:hint="eastAsia" w:ascii="宋体" w:hAnsi="宋体" w:eastAsia="宋体" w:cs="宋体"/>
                <w:sz w:val="24"/>
                <w:szCs w:val="24"/>
                <w:highlight w:val="none"/>
                <w:lang w:val="en-US" w:eastAsia="zh-CN"/>
              </w:rPr>
              <w:t xml:space="preserve">规定的时间内</w:t>
            </w:r>
            <w:r>
              <w:rPr>
                <w:rFonts w:hint="eastAsia" w:ascii="宋体" w:hAnsi="宋体" w:eastAsia="宋体" w:cs="宋体"/>
                <w:sz w:val="24"/>
                <w:szCs w:val="24"/>
                <w:highlight w:val="none"/>
              </w:rPr>
              <w:t xml:space="preserve">，使用CA数字证书解密各自投标文件。</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四</w:t>
            </w:r>
            <w:r/>
          </w:p>
        </w:tc>
        <w:tc>
          <w:tcPr>
            <w:tcW w:w="8685"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(二十五)1</w:t>
            </w:r>
            <w:r/>
          </w:p>
        </w:tc>
        <w:tc>
          <w:tcPr>
            <w:tcW w:w="8685"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开标时间及地点：</w:t>
            </w:r>
            <w:r/>
          </w:p>
          <w:p>
            <w:pPr>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color w:val="000000"/>
                <w:sz w:val="24"/>
                <w:szCs w:val="24"/>
                <w:highlight w:val="none"/>
              </w:rPr>
              <w:t xml:space="preserve">开标时间：</w:t>
            </w:r>
            <w:r>
              <w:rPr>
                <w:rFonts w:hint="eastAsia" w:ascii="宋体" w:hAnsi="宋体" w:cs="宋体"/>
                <w:b/>
                <w:bCs/>
                <w:color w:val="000000"/>
                <w:sz w:val="24"/>
                <w:szCs w:val="24"/>
                <w:highlight w:val="none"/>
                <w:lang w:val="en-US" w:eastAsia="zh-CN"/>
              </w:rPr>
              <w:t xml:space="preserve">2024年12月12日</w:t>
            </w:r>
            <w:r>
              <w:rPr>
                <w:rFonts w:hint="eastAsia" w:ascii="宋体" w:hAnsi="宋体" w:eastAsia="宋体" w:cs="宋体"/>
                <w:b/>
                <w:bCs/>
                <w:color w:val="000000"/>
                <w:sz w:val="24"/>
                <w:szCs w:val="24"/>
                <w:highlight w:val="none"/>
              </w:rPr>
              <w:t xml:space="preserve">09:30（标准时间）</w:t>
            </w:r>
            <w:r>
              <w:rPr>
                <w:rFonts w:hint="eastAsia" w:ascii="宋体" w:hAnsi="宋体" w:eastAsia="宋体" w:cs="宋体"/>
                <w:color w:val="000000"/>
                <w:sz w:val="24"/>
                <w:szCs w:val="24"/>
                <w:highlight w:val="none"/>
              </w:rPr>
              <w:t xml:space="preserve">。</w:t>
            </w:r>
            <w:r/>
          </w:p>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(二十五)3</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sz w:val="24"/>
                <w:szCs w:val="24"/>
                <w:highlight w:val="none"/>
              </w:rPr>
              <w:t xml:space="preserve">开标时间后30分钟内</w:t>
            </w:r>
            <w:r>
              <w:rPr>
                <w:rFonts w:hint="eastAsia" w:ascii="宋体" w:hAnsi="宋体" w:cs="宋体"/>
                <w:sz w:val="24"/>
                <w:szCs w:val="24"/>
                <w:highlight w:val="none"/>
              </w:rPr>
              <w:t xml:space="preserve">，通过“苏采云”系统（使用“CA数字证书”）解密。</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所有投标人解密（或解密时间）结束后，“苏采云”系统生成开标记录并向社会公众公布，但依法应当保密的除外。</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五</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评标</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(二十七)</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本项目的评标方法：综合评分法。</w:t>
            </w:r>
            <w:r/>
          </w:p>
        </w:tc>
      </w:tr>
      <w:tr>
        <w:trPr>
          <w:trHeight w:val="90"/>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(二十八)1</w:t>
            </w:r>
            <w:r/>
          </w:p>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(二十八)1（4）</w:t>
            </w:r>
            <w:r/>
          </w:p>
        </w:tc>
        <w:tc>
          <w:tcPr>
            <w:tcW w:w="8685" w:type="dxa"/>
            <w:vAlign w:val="top"/>
            <w:textDirection w:val="lrTb"/>
            <w:noWrap w:val="false"/>
          </w:tcPr>
          <w:p>
            <w:pPr>
              <w:ind w:left="0" w:firstLine="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一、推荐中标候选供应商名单。中标候选供应商数量应当根据采购需要确定，但必须按顺序排列中标候选供应商。</w:t>
            </w:r>
            <w:r/>
          </w:p>
          <w:p>
            <w:pPr>
              <w:ind w:left="0" w:firstLine="0"/>
              <w:spacing w:line="4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二、采用综合评分法的，按评审后得分由高到低顺序排列。得分相同的，按投标报价由低到高顺序排列。得分且投标报价相同的，按</w:t>
            </w:r>
            <w:r>
              <w:rPr>
                <w:rFonts w:hint="eastAsia" w:ascii="宋体" w:hAnsi="宋体" w:eastAsia="宋体" w:cs="宋体"/>
                <w:sz w:val="24"/>
                <w:szCs w:val="24"/>
                <w:highlight w:val="none"/>
              </w:rPr>
              <w:t xml:space="preserve">服务方案总</w:t>
            </w:r>
            <w:r>
              <w:rPr>
                <w:rFonts w:hint="eastAsia" w:ascii="宋体" w:hAnsi="宋体" w:cs="宋体"/>
                <w:sz w:val="24"/>
                <w:szCs w:val="24"/>
                <w:highlight w:val="none"/>
              </w:rPr>
              <w:t xml:space="preserve">得分顺序排列</w:t>
            </w:r>
            <w:r>
              <w:rPr>
                <w:rFonts w:hint="eastAsia" w:ascii="宋体" w:hAnsi="宋体" w:cs="宋体"/>
                <w:sz w:val="24"/>
                <w:szCs w:val="24"/>
                <w:highlight w:val="none"/>
                <w:lang w:eastAsia="zh-CN"/>
              </w:rPr>
              <w:t xml:space="preserve">。</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（二十九）</w:t>
            </w:r>
            <w:r/>
          </w:p>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4"/>
                <w:szCs w:val="24"/>
                <w:highlight w:val="none"/>
              </w:rPr>
            </w:pPr>
            <w:r>
              <w:rPr>
                <w:rFonts w:hint="eastAsia" w:ascii="宋体" w:hAnsi="宋体" w:cs="宋体"/>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七</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政府采购合同</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(三十七)1</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采购人与中标、成交供应商应当在中标、成交通知书发出之日起30日内，按照采购文件确定的事项签订政府采购合同。</w:t>
            </w:r>
            <w:r/>
          </w:p>
        </w:tc>
      </w:tr>
      <w:tr>
        <w:trPr>
          <w:trHeight w:val="468"/>
        </w:trPr>
        <w:tc>
          <w:tcPr>
            <w:tcW w:w="172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（三十八）</w:t>
            </w:r>
            <w:r/>
          </w:p>
        </w:tc>
        <w:tc>
          <w:tcPr>
            <w:tcW w:w="8685" w:type="dxa"/>
            <w:vAlign w:val="top"/>
            <w:textDirection w:val="lrTb"/>
            <w:noWrap w:val="false"/>
          </w:tcPr>
          <w:p>
            <w:pPr>
              <w:pStyle w:val="879"/>
              <w:rPr>
                <w:rFonts w:hint="eastAsia" w:hAnsi="宋体"/>
                <w:color w:val="000000"/>
                <w:sz w:val="24"/>
                <w:szCs w:val="24"/>
                <w:highlight w:val="none"/>
              </w:rPr>
            </w:pPr>
            <w:r>
              <w:rPr>
                <w:rFonts w:hint="eastAsia" w:hAnsi="宋体"/>
                <w:sz w:val="24"/>
                <w:szCs w:val="24"/>
                <w:highlight w:val="none"/>
                <w:lang w:val="zh-CN"/>
              </w:rPr>
              <w:t xml:space="preserve">履约保证金：</w:t>
            </w:r>
            <w:r>
              <w:rPr>
                <w:rFonts w:hint="eastAsia" w:hAnsi="宋体"/>
                <w:sz w:val="24"/>
                <w:szCs w:val="24"/>
                <w:highlight w:val="none"/>
              </w:rPr>
              <w:t xml:space="preserve">无。</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(四十一)</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供应商在法定质疑期内一次性提出针对同一采购程序环节的质疑。</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质疑接收人：</w:t>
            </w:r>
            <w:r>
              <w:rPr>
                <w:rFonts w:hint="eastAsia" w:ascii="宋体" w:hAnsi="宋体" w:cs="宋体"/>
                <w:sz w:val="24"/>
                <w:szCs w:val="24"/>
                <w:highlight w:val="none"/>
                <w:lang w:eastAsia="zh-CN"/>
              </w:rPr>
              <w:t xml:space="preserve">张卉</w:t>
            </w:r>
            <w:r>
              <w:rPr>
                <w:rFonts w:hint="eastAsia" w:ascii="宋体" w:hAnsi="宋体" w:cs="宋体"/>
                <w:sz w:val="24"/>
                <w:szCs w:val="24"/>
                <w:highlight w:val="none"/>
              </w:rPr>
              <w:t xml:space="preserve">；联系电话：</w:t>
            </w:r>
            <w:r>
              <w:rPr>
                <w:rFonts w:hint="eastAsia" w:ascii="宋体" w:hAnsi="宋体" w:cs="宋体"/>
                <w:sz w:val="24"/>
                <w:szCs w:val="24"/>
                <w:highlight w:val="none"/>
                <w:lang w:eastAsia="zh-CN"/>
              </w:rPr>
              <w:t xml:space="preserve">0516-83333882</w:t>
            </w:r>
            <w:r>
              <w:rPr>
                <w:rFonts w:hint="eastAsia" w:ascii="宋体" w:hAnsi="宋体" w:cs="宋体"/>
                <w:sz w:val="24"/>
                <w:szCs w:val="24"/>
                <w:highlight w:val="none"/>
              </w:rPr>
              <w:t xml:space="preserve">；</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办公地址：</w:t>
            </w:r>
            <w:r>
              <w:rPr>
                <w:rFonts w:hint="eastAsia" w:ascii="宋体" w:hAnsi="宋体" w:cs="宋体"/>
                <w:sz w:val="24"/>
                <w:szCs w:val="24"/>
                <w:highlight w:val="none"/>
                <w:lang w:eastAsia="zh-CN"/>
              </w:rPr>
              <w:t xml:space="preserve">江苏省徐州市云龙区绿地商务城蓝海officeA座21楼</w:t>
            </w:r>
            <w:r>
              <w:rPr>
                <w:rFonts w:hint="eastAsia" w:ascii="宋体" w:hAnsi="宋体" w:cs="宋体"/>
                <w:sz w:val="24"/>
                <w:szCs w:val="24"/>
                <w:highlight w:val="none"/>
              </w:rPr>
              <w:t xml:space="preserve">。</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bCs/>
                <w:sz w:val="24"/>
                <w:szCs w:val="24"/>
                <w:highlight w:val="none"/>
              </w:rPr>
              <w:t xml:space="preserve">附加说明</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中标供应商须在领取中标通知书之前</w:t>
            </w:r>
            <w:r>
              <w:rPr>
                <w:rFonts w:hint="eastAsia" w:ascii="宋体" w:hAnsi="宋体" w:cs="宋体"/>
                <w:sz w:val="24"/>
                <w:szCs w:val="24"/>
                <w:highlight w:val="none"/>
              </w:rPr>
              <w:t xml:space="preserve">，须向采购代理机构提交《开标一览表》和《分项价格表》的数据文件（WORD格式）及</w:t>
            </w:r>
            <w:r>
              <w:rPr>
                <w:rFonts w:hint="eastAsia" w:ascii="宋体" w:hAnsi="宋体" w:cs="宋体"/>
                <w:sz w:val="24"/>
                <w:szCs w:val="24"/>
                <w:highlight w:val="none"/>
                <w:lang w:val="en-US" w:eastAsia="zh-CN"/>
              </w:rPr>
              <w:t xml:space="preserve">纸质标书文件一式两份，正本一份，副本一份</w:t>
            </w:r>
            <w:r>
              <w:rPr>
                <w:rFonts w:hint="eastAsia" w:ascii="宋体" w:hAnsi="宋体" w:cs="宋体"/>
                <w:sz w:val="24"/>
                <w:szCs w:val="24"/>
                <w:highlight w:val="none"/>
              </w:rPr>
              <w:t xml:space="preserve">。</w:t>
            </w:r>
            <w:r/>
          </w:p>
        </w:tc>
      </w:tr>
    </w:tbl>
    <w:p>
      <w:pPr>
        <w:ind w:firstLine="600"/>
        <w:spacing w:line="240" w:lineRule="exact"/>
        <w:widowControl/>
        <w:rPr>
          <w:rFonts w:hint="eastAsia" w:ascii="宋体" w:hAnsi="宋体" w:cs="宋体"/>
          <w:sz w:val="30"/>
          <w:szCs w:val="30"/>
          <w:highlight w:val="none"/>
        </w:rPr>
      </w:pPr>
      <w:r/>
      <w:bookmarkStart w:id="8" w:name="_Toc522790133"/>
      <w:r/>
      <w:r/>
    </w:p>
    <w:p>
      <w:pPr>
        <w:spacing w:line="520" w:lineRule="exact"/>
        <w:widowControl/>
        <w:rPr>
          <w:rFonts w:hint="eastAsia" w:ascii="宋体" w:hAnsi="宋体" w:cs="宋体"/>
          <w:b/>
          <w:sz w:val="24"/>
          <w:szCs w:val="24"/>
          <w:highlight w:val="none"/>
        </w:rPr>
      </w:pPr>
      <w:r/>
      <w:bookmarkStart w:id="9" w:name="_Toc523404698"/>
      <w:r>
        <w:rPr>
          <w:rFonts w:hint="eastAsia" w:ascii="宋体" w:hAnsi="宋体" w:cs="宋体"/>
          <w:color w:val="000000"/>
          <w:sz w:val="24"/>
          <w:szCs w:val="24"/>
          <w:highlight w:val="none"/>
        </w:rPr>
        <w:t xml:space="preserve">本章附件：</w:t>
      </w:r>
      <w:r>
        <w:rPr>
          <w:rFonts w:hint="eastAsia" w:ascii="宋体" w:hAnsi="宋体" w:cs="宋体"/>
          <w:b/>
          <w:color w:val="000000"/>
          <w:sz w:val="24"/>
          <w:szCs w:val="24"/>
          <w:highlight w:val="none"/>
        </w:rPr>
        <w:t xml:space="preserve">招标代理服务收费标准</w:t>
      </w:r>
      <w:r/>
    </w:p>
    <w:tbl>
      <w:tblPr>
        <w:tblStyle w:val="679"/>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14"/>
        <w:gridCol w:w="1134"/>
        <w:gridCol w:w="1559"/>
        <w:gridCol w:w="1418"/>
        <w:gridCol w:w="1984"/>
      </w:tblGrid>
      <w:tr>
        <w:trPr>
          <w:jc w:val="center"/>
          <w:trHeight w:val="717"/>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中标金额</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w:t>
            </w:r>
            <w:r/>
          </w:p>
        </w:tc>
        <w:tc>
          <w:tcPr>
            <w:tcW w:w="1984"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收费上限</w:t>
            </w:r>
            <w:r/>
          </w:p>
        </w:tc>
      </w:tr>
      <w:tr>
        <w:trPr>
          <w:jc w:val="center"/>
          <w:trHeight w:val="240"/>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100万以下</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c>
          <w:tcPr>
            <w:tcW w:w="1984" w:type="dxa"/>
            <w:vAlign w:val="center"/>
            <w:vMerge w:val="restart"/>
            <w:textDirection w:val="lrTb"/>
            <w:noWrap w:val="false"/>
          </w:tcPr>
          <w:p>
            <w:pPr>
              <w:ind w:firstLine="210"/>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最低5千元</w:t>
            </w:r>
            <w:r/>
          </w:p>
          <w:p>
            <w:pPr>
              <w:ind w:firstLine="210"/>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万元</w:t>
            </w:r>
            <w:r/>
          </w:p>
          <w:p>
            <w:pPr>
              <w:ind w:firstLine="210"/>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40"/>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500万</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0.80%</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0.70%</w:t>
            </w:r>
            <w:r/>
          </w:p>
        </w:tc>
        <w:tc>
          <w:tcPr>
            <w:tcW w:w="1984" w:type="dxa"/>
            <w:vAlign w:val="center"/>
            <w:vMerge w:val="continue"/>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40"/>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1000万</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0.80%</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0.45%</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0.55%</w:t>
            </w:r>
            <w:r/>
          </w:p>
        </w:tc>
        <w:tc>
          <w:tcPr>
            <w:tcW w:w="1984" w:type="dxa"/>
            <w:vAlign w:val="center"/>
            <w:vMerge w:val="continue"/>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l000万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5000万</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0.50%</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0.25%</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0.35%</w:t>
            </w:r>
            <w:r/>
          </w:p>
        </w:tc>
        <w:tc>
          <w:tcPr>
            <w:tcW w:w="1984" w:type="dxa"/>
            <w:vAlign w:val="center"/>
            <w:vMerge w:val="continue"/>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l亿</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0.25%</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0.10%</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0.20%</w:t>
            </w:r>
            <w:r/>
          </w:p>
        </w:tc>
        <w:tc>
          <w:tcPr>
            <w:tcW w:w="1984" w:type="dxa"/>
            <w:vAlign w:val="center"/>
            <w:vMerge w:val="continue"/>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5亿</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p>
        </w:tc>
        <w:tc>
          <w:tcPr>
            <w:tcW w:w="1984" w:type="dxa"/>
            <w:vAlign w:val="center"/>
            <w:vMerge w:val="continue"/>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10亿</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p>
        </w:tc>
        <w:tc>
          <w:tcPr>
            <w:tcW w:w="1984" w:type="dxa"/>
            <w:vAlign w:val="center"/>
            <w:vMerge w:val="continue"/>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50亿</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p>
        </w:tc>
        <w:tc>
          <w:tcPr>
            <w:tcW w:w="1984" w:type="dxa"/>
            <w:vAlign w:val="center"/>
            <w:vMerge w:val="continue"/>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50亿</w:t>
            </w:r>
            <w:r>
              <w:rPr>
                <w:rFonts w:hint="eastAsia" w:ascii="宋体" w:hAnsi="宋体" w:cs="宋体"/>
                <w:color w:val="333333"/>
                <w:sz w:val="24"/>
                <w:szCs w:val="24"/>
                <w:highlight w:val="none"/>
                <w:lang w:val="en-US" w:eastAsia="zh-CN"/>
              </w:rPr>
              <w:t xml:space="preserve">以上</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p>
        </w:tc>
        <w:tc>
          <w:tcPr>
            <w:tcW w:w="1984" w:type="dxa"/>
            <w:vAlign w:val="center"/>
            <w:vMerge w:val="continue"/>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说明：</w:t>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1.按上表计算的收费为代理服务全过程的收费金额。各社会代理机构不再收取采购文件制作售卖费用。</w:t>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2.代理服务费按差额定率累进法计算。</w:t>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3.代理服务费基准金额（按差额定率累进法计算的）=中标金额（按差额定率累进法计算的） * 费率（%）</w:t>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4.代理服务费应收取金额=代理服务费基准金额（按差额定率累进法计算的）的合计数。</w:t>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5.计算出的代理服务费应收取金额如低于5千元，按5千元收取；如高于15万元，按15万元收取。</w:t>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6.定点类等无金额或事先不能计算出价格总额的项目，按中标（成交）金额100万元计算服务费。</w:t>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7.多个采购包（标段）项目按总项目中标（成交）金额收费，最高不超过15万元。</w:t>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8.以上价格为协会指导价，具体价格双方可协商确定。</w:t>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9.账户信息：</w:t>
      </w:r>
      <w:r/>
    </w:p>
    <w:p>
      <w:pPr>
        <w:ind w:firstLine="560"/>
        <w:keepLines w:val="0"/>
        <w:keepNext w:val="0"/>
        <w:pageBreakBefore w:val="0"/>
        <w:spacing w:line="240" w:lineRule="auto"/>
        <w:widowControl/>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户  名：永明项目管理有限公司华越分公司 </w:t>
      </w:r>
      <w:r/>
    </w:p>
    <w:p>
      <w:pPr>
        <w:ind w:firstLine="560"/>
        <w:keepLines w:val="0"/>
        <w:keepNext w:val="0"/>
        <w:pageBreakBefore w:val="0"/>
        <w:spacing w:line="240" w:lineRule="auto"/>
        <w:widowControl/>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开户行：中国建设银行股份有限公司徐州城中支行</w:t>
      </w:r>
      <w:r/>
    </w:p>
    <w:p>
      <w:pPr>
        <w:ind w:firstLine="560"/>
        <w:keepLines w:val="0"/>
        <w:keepNext w:val="0"/>
        <w:pageBreakBefore w:val="0"/>
        <w:spacing w:line="240" w:lineRule="auto"/>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账  号：32050171823600001863</w:t>
      </w:r>
      <w:r/>
    </w:p>
    <w:p>
      <w:pPr>
        <w:ind w:firstLine="675"/>
        <w:spacing w:line="520" w:lineRule="exact"/>
        <w:rPr>
          <w:rFonts w:hint="eastAsia" w:ascii="宋体" w:hAnsi="宋体" w:cs="宋体"/>
          <w:sz w:val="30"/>
          <w:szCs w:val="30"/>
          <w:highlight w:val="none"/>
        </w:rPr>
      </w:pPr>
      <w:r>
        <w:rPr>
          <w:rFonts w:hint="eastAsia" w:ascii="宋体" w:hAnsi="宋体" w:cs="宋体"/>
          <w:sz w:val="30"/>
          <w:szCs w:val="30"/>
          <w:highlight w:val="none"/>
        </w:rPr>
      </w:r>
      <w:r/>
    </w:p>
    <w:p>
      <w:pPr>
        <w:numPr>
          <w:ilvl w:val="0"/>
          <w:numId w:val="1"/>
        </w:numPr>
        <w:ind w:firstLine="420"/>
        <w:jc w:val="center"/>
        <w:spacing w:line="520" w:lineRule="exact"/>
        <w:widowControl/>
        <w:rPr>
          <w:rFonts w:hint="eastAsia" w:ascii="宋体" w:hAnsi="宋体" w:cs="宋体"/>
          <w:b/>
          <w:bCs/>
          <w:sz w:val="30"/>
          <w:szCs w:val="44"/>
          <w:highlight w:val="none"/>
        </w:rPr>
      </w:pPr>
      <w:r>
        <w:rPr>
          <w:rFonts w:hint="eastAsia" w:ascii="宋体" w:hAnsi="宋体" w:cs="宋体"/>
          <w:highlight w:val="none"/>
        </w:rPr>
        <w:br w:type="page" w:clear="all"/>
      </w:r>
      <w:r>
        <w:rPr>
          <w:rFonts w:hint="eastAsia" w:ascii="宋体" w:hAnsi="宋体" w:cs="宋体"/>
          <w:b/>
          <w:bCs/>
          <w:sz w:val="30"/>
          <w:szCs w:val="44"/>
          <w:highlight w:val="none"/>
        </w:rPr>
        <w:t xml:space="preserve"> 评标标准</w:t>
      </w:r>
      <w:bookmarkEnd w:id="8"/>
      <w:r/>
      <w:bookmarkEnd w:id="9"/>
      <w:r/>
      <w:r/>
    </w:p>
    <w:p>
      <w:pPr>
        <w:pStyle w:val="860"/>
        <w:jc w:val="center"/>
        <w:rPr>
          <w:rFonts w:hint="eastAsia"/>
          <w:b/>
          <w:bCs/>
          <w:highlight w:val="none"/>
        </w:rPr>
      </w:pPr>
      <w:r>
        <w:rPr>
          <w:rFonts w:hint="eastAsia"/>
          <w:b/>
          <w:bCs/>
          <w:highlight w:val="none"/>
        </w:rPr>
      </w:r>
      <w:r/>
    </w:p>
    <w:tbl>
      <w:tblPr>
        <w:tblStyle w:val="679"/>
        <w:tblW w:w="9630" w:type="dxa"/>
        <w:tblInd w:w="-6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90"/>
        <w:gridCol w:w="7635"/>
      </w:tblGrid>
      <w:tr>
        <w:trPr>
          <w:trHeight w:val="456"/>
          <w:tblHeader/>
        </w:trPr>
        <w:tc>
          <w:tcPr>
            <w:gridSpan w:val="2"/>
            <w:shd w:val="clear" w:color="auto" w:fill="ffffff"/>
            <w:tcW w:w="1995" w:type="dxa"/>
            <w:vAlign w:val="center"/>
            <w:textDirection w:val="lrTb"/>
            <w:noWrap w:val="false"/>
          </w:tcPr>
          <w:p>
            <w:pPr>
              <w:pStyle w:val="861"/>
              <w:jc w:val="center"/>
              <w:rPr>
                <w:rFonts w:hint="eastAsia" w:ascii="宋体" w:hAnsi="宋体" w:cs="仿宋_GB2312"/>
                <w:b/>
                <w:bCs/>
                <w:sz w:val="24"/>
                <w:szCs w:val="24"/>
                <w:highlight w:val="none"/>
              </w:rPr>
            </w:pPr>
            <w:r>
              <w:rPr>
                <w:rFonts w:hint="eastAsia" w:ascii="宋体" w:hAnsi="宋体" w:cs="仿宋_GB2312"/>
                <w:b/>
                <w:bCs/>
                <w:sz w:val="24"/>
                <w:szCs w:val="24"/>
                <w:highlight w:val="none"/>
              </w:rPr>
              <w:t xml:space="preserve">评审因素</w:t>
            </w:r>
            <w:r/>
          </w:p>
        </w:tc>
        <w:tc>
          <w:tcPr>
            <w:shd w:val="clear" w:color="auto" w:fill="ffffff"/>
            <w:tcW w:w="7635" w:type="dxa"/>
            <w:vAlign w:val="center"/>
            <w:textDirection w:val="lrTb"/>
            <w:noWrap w:val="false"/>
          </w:tcPr>
          <w:p>
            <w:pPr>
              <w:pStyle w:val="861"/>
              <w:jc w:val="center"/>
              <w:rPr>
                <w:rFonts w:hint="eastAsia" w:ascii="宋体" w:hAnsi="宋体" w:cs="仿宋_GB2312"/>
                <w:b/>
                <w:bCs/>
                <w:sz w:val="24"/>
                <w:szCs w:val="24"/>
                <w:highlight w:val="none"/>
              </w:rPr>
            </w:pPr>
            <w:r>
              <w:rPr>
                <w:rFonts w:hint="eastAsia" w:ascii="宋体" w:hAnsi="宋体" w:cs="仿宋_GB2312"/>
                <w:b/>
                <w:bCs/>
                <w:sz w:val="24"/>
                <w:szCs w:val="24"/>
                <w:highlight w:val="none"/>
              </w:rPr>
              <w:t xml:space="preserve">评审因素细化和量化</w:t>
            </w:r>
            <w:r/>
          </w:p>
        </w:tc>
      </w:tr>
      <w:tr>
        <w:trPr>
          <w:trHeight w:val="456"/>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价格（</w:t>
            </w:r>
            <w:r>
              <w:rPr>
                <w:rFonts w:hint="eastAsia" w:ascii="宋体" w:hAnsi="宋体" w:cs="仿宋_GB2312"/>
                <w:sz w:val="24"/>
                <w:szCs w:val="24"/>
                <w:highlight w:val="none"/>
                <w:lang w:val="en-US"/>
              </w:rPr>
              <w:t xml:space="preserve">10分</w:t>
            </w:r>
            <w:r>
              <w:rPr>
                <w:rFonts w:hint="eastAsia" w:ascii="宋体" w:hAnsi="宋体" w:cs="仿宋_GB2312"/>
                <w:sz w:val="24"/>
                <w:szCs w:val="24"/>
                <w:highlight w:val="none"/>
              </w:rPr>
              <w:t xml:space="preserve">）</w:t>
            </w:r>
            <w:r/>
          </w:p>
        </w:tc>
        <w:tc>
          <w:tcPr>
            <w:shd w:val="clear" w:color="auto" w:fill="ffffff"/>
            <w:tcW w:w="7635" w:type="dxa"/>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各投标人得分=最低评审价格÷各投标人评审价格×10分；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rPr>
              <w:t xml:space="preserve">注：得分四舍五入保留小数点后</w:t>
            </w:r>
            <w:r>
              <w:rPr>
                <w:rFonts w:hint="eastAsia" w:ascii="宋体" w:hAnsi="宋体" w:cs="仿宋_GB2312"/>
                <w:b/>
                <w:bCs/>
                <w:sz w:val="24"/>
                <w:szCs w:val="24"/>
                <w:highlight w:val="none"/>
                <w:lang w:val="en-US"/>
              </w:rPr>
              <w:t xml:space="preserve">2</w:t>
            </w:r>
            <w:r>
              <w:rPr>
                <w:rFonts w:hint="eastAsia" w:ascii="宋体" w:hAnsi="宋体" w:cs="仿宋_GB2312"/>
                <w:b/>
                <w:bCs/>
                <w:sz w:val="24"/>
                <w:szCs w:val="24"/>
                <w:highlight w:val="none"/>
              </w:rPr>
              <w:t xml:space="preserve">位。</w:t>
            </w:r>
            <w:r/>
          </w:p>
        </w:tc>
      </w:tr>
      <w:tr>
        <w:trPr>
          <w:trHeight w:val="2713"/>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投标人业绩（</w:t>
            </w:r>
            <w:r>
              <w:rPr>
                <w:rFonts w:hint="eastAsia" w:ascii="宋体" w:hAnsi="宋体" w:cs="仿宋_GB2312"/>
                <w:sz w:val="24"/>
                <w:szCs w:val="24"/>
                <w:highlight w:val="none"/>
                <w:lang w:val="en-US"/>
              </w:rPr>
              <w:t xml:space="preserve">4分</w:t>
            </w:r>
            <w:r>
              <w:rPr>
                <w:rFonts w:hint="eastAsia" w:ascii="宋体" w:hAnsi="宋体" w:cs="仿宋_GB2312"/>
                <w:sz w:val="24"/>
                <w:szCs w:val="24"/>
                <w:highlight w:val="none"/>
              </w:rPr>
              <w:t xml:space="preserve">）</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r>
            <w:r/>
          </w:p>
        </w:tc>
        <w:tc>
          <w:tcPr>
            <w:shd w:val="clear" w:color="auto" w:fill="ffffff"/>
            <w:tcW w:w="7635" w:type="dxa"/>
            <w:vAlign w:val="center"/>
            <w:textDirection w:val="lrTb"/>
            <w:noWrap w:val="false"/>
          </w:tcPr>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rPr>
              <w:t xml:space="preserve">投标文件中提供投标人为乙方(卖方) ，合同签订日期在 2021</w:t>
            </w:r>
            <w:r>
              <w:rPr>
                <w:rFonts w:hint="eastAsia" w:ascii="宋体" w:hAnsi="宋体" w:cs="仿宋_GB2312"/>
                <w:sz w:val="24"/>
                <w:szCs w:val="24"/>
                <w:highlight w:val="none"/>
                <w:lang w:val="zh-CN"/>
              </w:rPr>
              <w:t xml:space="preserve">年</w:t>
            </w:r>
            <w:r>
              <w:rPr>
                <w:rFonts w:hint="eastAsia" w:ascii="宋体" w:hAnsi="宋体" w:cs="仿宋_GB2312"/>
                <w:sz w:val="24"/>
                <w:szCs w:val="24"/>
                <w:highlight w:val="none"/>
                <w:lang w:val="en-US" w:eastAsia="zh-CN"/>
              </w:rPr>
              <w:t xml:space="preserve">9</w:t>
            </w:r>
            <w:r>
              <w:rPr>
                <w:rFonts w:hint="eastAsia" w:ascii="宋体" w:hAnsi="宋体" w:cs="仿宋_GB2312"/>
                <w:sz w:val="24"/>
                <w:szCs w:val="24"/>
                <w:highlight w:val="none"/>
                <w:lang w:val="zh-CN"/>
              </w:rPr>
              <w:t xml:space="preserve">月1日（以合同签订时间为准）至今，投标人承担过国家机关组织的抽检任务的（</w:t>
            </w:r>
            <w:r>
              <w:rPr>
                <w:rFonts w:hint="eastAsia" w:ascii="宋体" w:hAnsi="宋体" w:cs="仿宋_GB2312"/>
                <w:sz w:val="24"/>
                <w:szCs w:val="24"/>
                <w:highlight w:val="none"/>
              </w:rPr>
              <w:t xml:space="preserve">包含监督抽检、风险监测、评价性抽检、专项抽检等</w:t>
            </w:r>
            <w:r>
              <w:rPr>
                <w:rFonts w:hint="eastAsia" w:ascii="宋体" w:hAnsi="宋体" w:cs="仿宋_GB2312"/>
                <w:sz w:val="24"/>
                <w:szCs w:val="24"/>
                <w:highlight w:val="none"/>
                <w:lang w:val="zh-CN"/>
              </w:rPr>
              <w:t xml:space="preserve">），合同内容为同类食品安全抽样检测项目相关业绩材料复印件(检测合同或任务委托书等)。每提供一份得 2 分，同一采购人同样业务不同年份的业绩算一份，本项最高得 4 分。</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lang w:val="zh-CN"/>
              </w:rPr>
              <w:t xml:space="preserve">注：</w:t>
            </w:r>
            <w:r>
              <w:rPr>
                <w:rFonts w:hint="eastAsia" w:ascii="宋体" w:hAnsi="宋体" w:cs="仿宋_GB2312"/>
                <w:b/>
                <w:bCs/>
                <w:sz w:val="24"/>
                <w:szCs w:val="24"/>
                <w:highlight w:val="none"/>
              </w:rPr>
              <w:t xml:space="preserve">投标人应提供合同或委托书等证明文件的主要内容页和签字盖章页的扫描件。</w:t>
            </w:r>
            <w:r/>
          </w:p>
        </w:tc>
      </w:tr>
      <w:tr>
        <w:trPr>
          <w:trHeight w:val="90"/>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综合覆盖率专业类产品检测能力（</w:t>
            </w:r>
            <w:r>
              <w:rPr>
                <w:rFonts w:hint="eastAsia" w:ascii="宋体" w:hAnsi="宋体" w:cs="仿宋_GB2312"/>
                <w:sz w:val="24"/>
                <w:szCs w:val="24"/>
                <w:highlight w:val="none"/>
                <w:lang w:val="en-US"/>
              </w:rPr>
              <w:t xml:space="preserve">4</w:t>
            </w:r>
            <w:r>
              <w:rPr>
                <w:rFonts w:hint="eastAsia" w:ascii="宋体" w:hAnsi="宋体" w:cs="仿宋_GB2312"/>
                <w:sz w:val="24"/>
                <w:szCs w:val="24"/>
                <w:highlight w:val="none"/>
              </w:rPr>
              <w:t xml:space="preserve">分）</w:t>
            </w:r>
            <w:r/>
          </w:p>
        </w:tc>
        <w:tc>
          <w:tcPr>
            <w:shd w:val="clear" w:color="auto" w:fill="ffffff"/>
            <w:tcW w:w="763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投标人具有与承检任务相适应的综合覆盖率，检测品种、检测项目，《国家</w:t>
            </w:r>
            <w:r>
              <w:rPr>
                <w:rFonts w:hint="eastAsia" w:ascii="宋体" w:hAnsi="宋体" w:cs="仿宋_GB2312"/>
                <w:sz w:val="24"/>
                <w:szCs w:val="24"/>
                <w:highlight w:val="none"/>
                <w:lang w:eastAsia="zh-CN"/>
              </w:rPr>
              <w:t xml:space="preserve">徐州市市场监督管理局食品安全监督抽检</w:t>
            </w:r>
            <w:r>
              <w:rPr>
                <w:rFonts w:hint="eastAsia" w:ascii="宋体" w:hAnsi="宋体" w:cs="仿宋_GB2312"/>
                <w:sz w:val="24"/>
                <w:szCs w:val="24"/>
                <w:highlight w:val="none"/>
              </w:rPr>
              <w:t xml:space="preserve">实施细则》2024版综合覆盖率不足98%不得分，覆盖率100%为4分，每降低1%扣2分，扣完为止。本项最高得4分，最低得0分。</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rPr>
              <w:t xml:space="preserve">注：须按照《国家</w:t>
            </w:r>
            <w:r>
              <w:rPr>
                <w:rFonts w:hint="eastAsia" w:ascii="宋体" w:hAnsi="宋体" w:cs="仿宋_GB2312"/>
                <w:b/>
                <w:bCs/>
                <w:sz w:val="24"/>
                <w:szCs w:val="24"/>
                <w:highlight w:val="none"/>
                <w:lang w:eastAsia="zh-CN"/>
              </w:rPr>
              <w:t xml:space="preserve">徐州市市场监督管理局食品安全监督抽检</w:t>
            </w:r>
            <w:r>
              <w:rPr>
                <w:rFonts w:hint="eastAsia" w:ascii="宋体" w:hAnsi="宋体" w:cs="仿宋_GB2312"/>
                <w:b/>
                <w:bCs/>
                <w:sz w:val="24"/>
                <w:szCs w:val="24"/>
                <w:highlight w:val="none"/>
              </w:rPr>
              <w:t xml:space="preserve">实施细则》2024版食品类别、品种、项目提供其计量认证证书对应具体页码、项目号明细，扫描后加盖投标人公章。</w:t>
            </w:r>
            <w:r/>
          </w:p>
        </w:tc>
      </w:tr>
      <w:tr>
        <w:trPr>
          <w:trHeight w:val="780"/>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项目人员（</w:t>
            </w:r>
            <w:r>
              <w:rPr>
                <w:rFonts w:hint="eastAsia" w:ascii="宋体" w:hAnsi="宋体" w:cs="仿宋_GB2312"/>
                <w:sz w:val="24"/>
                <w:szCs w:val="24"/>
                <w:highlight w:val="none"/>
                <w:lang w:val="en-US"/>
              </w:rPr>
              <w:t xml:space="preserve">8分</w:t>
            </w:r>
            <w:r>
              <w:rPr>
                <w:rFonts w:hint="eastAsia" w:ascii="宋体" w:hAnsi="宋体" w:cs="仿宋_GB2312"/>
                <w:sz w:val="24"/>
                <w:szCs w:val="24"/>
                <w:highlight w:val="none"/>
              </w:rPr>
              <w:t xml:space="preserve">）</w:t>
            </w:r>
            <w:r/>
          </w:p>
        </w:tc>
        <w:tc>
          <w:tcPr>
            <w:shd w:val="clear" w:color="auto" w:fill="ffffff"/>
            <w:tcW w:w="763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拟投入本项目的团队配置：</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1、具有专职食品检验人员的数量：24人以下不得分，24人得1分，每增加5人加0.5分，满分 2 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2、具有承担食品抽检工作的专职抽样人员：8人以下不得分，8人得1分，每增加1人加0.5分，满分 2 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3、 从事食品检验工作的副高级及以上技术职称人员数量：4人以下不得分，4人得1分，每增加1人加0.5分，满分2分。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4、项目负责人能力：</w:t>
            </w:r>
            <w:r/>
          </w:p>
          <w:p>
            <w:pPr>
              <w:pStyle w:val="861"/>
              <w:rPr>
                <w:rFonts w:hint="eastAsia" w:ascii="宋体" w:hAnsi="宋体" w:cs="仿宋_GB2312"/>
                <w:sz w:val="24"/>
                <w:szCs w:val="24"/>
                <w:highlight w:val="none"/>
                <w:lang w:val="en-US"/>
              </w:rPr>
            </w:pPr>
            <w:r>
              <w:rPr>
                <w:rFonts w:hint="eastAsia" w:ascii="宋体" w:hAnsi="宋体" w:cs="仿宋_GB2312"/>
                <w:sz w:val="24"/>
                <w:szCs w:val="24"/>
                <w:highlight w:val="none"/>
                <w:lang w:val="en-US"/>
              </w:rPr>
              <w:t xml:space="preserve">（1）具有研究生学历，高级职称，从事食品抽检工作年限5年以上、经验丰富、专业水平高、管理能力强，得2分；</w:t>
            </w:r>
            <w:r/>
          </w:p>
          <w:p>
            <w:pPr>
              <w:pStyle w:val="861"/>
              <w:rPr>
                <w:rFonts w:hint="eastAsia" w:ascii="宋体" w:hAnsi="宋体" w:cs="仿宋_GB2312"/>
                <w:sz w:val="24"/>
                <w:szCs w:val="24"/>
                <w:highlight w:val="none"/>
                <w:lang w:val="en-US"/>
              </w:rPr>
            </w:pPr>
            <w:r>
              <w:rPr>
                <w:rFonts w:hint="eastAsia" w:ascii="宋体" w:hAnsi="宋体" w:cs="仿宋_GB2312"/>
                <w:sz w:val="24"/>
                <w:szCs w:val="24"/>
                <w:highlight w:val="none"/>
                <w:lang w:val="en-US"/>
              </w:rPr>
              <w:t xml:space="preserve">（2）具有本科学历，高级职称，从事食品抽检工作年限3年以上、经验较丰富、专业水平较高、管理能力较强，得1 分； </w:t>
            </w:r>
            <w:r/>
          </w:p>
          <w:p>
            <w:pPr>
              <w:pStyle w:val="861"/>
              <w:rPr>
                <w:rFonts w:hint="eastAsia" w:ascii="宋体" w:hAnsi="宋体" w:cs="仿宋_GB2312"/>
                <w:sz w:val="24"/>
                <w:szCs w:val="24"/>
                <w:highlight w:val="none"/>
                <w:lang w:val="en-US"/>
              </w:rPr>
            </w:pPr>
            <w:r>
              <w:rPr>
                <w:rFonts w:hint="eastAsia" w:ascii="宋体" w:hAnsi="宋体" w:cs="仿宋_GB2312"/>
                <w:sz w:val="24"/>
                <w:szCs w:val="24"/>
                <w:highlight w:val="none"/>
                <w:lang w:val="en-US"/>
              </w:rPr>
              <w:t xml:space="preserve">（3）具有专科学历，中级职称，经验较丰富，具有一定的专业水平和管理能力，得 0.5 分； </w:t>
            </w:r>
            <w:r/>
          </w:p>
          <w:p>
            <w:pPr>
              <w:pStyle w:val="861"/>
              <w:rPr>
                <w:rFonts w:hint="eastAsia" w:ascii="宋体" w:hAnsi="宋体" w:cs="仿宋_GB2312"/>
                <w:sz w:val="24"/>
                <w:szCs w:val="24"/>
                <w:highlight w:val="none"/>
              </w:rPr>
            </w:pPr>
            <w:r>
              <w:rPr>
                <w:rFonts w:hint="eastAsia" w:ascii="宋体" w:hAnsi="宋体" w:cs="仿宋_GB2312"/>
                <w:sz w:val="24"/>
                <w:szCs w:val="24"/>
                <w:highlight w:val="none"/>
                <w:lang w:val="en-US"/>
              </w:rPr>
              <w:t xml:space="preserve">（4）专科学历以下或中级职称以下，经验欠缺的，得 0 分。</w:t>
            </w:r>
            <w:r/>
          </w:p>
          <w:p>
            <w:pPr>
              <w:pStyle w:val="861"/>
              <w:rPr>
                <w:rFonts w:hint="eastAsia" w:ascii="宋体" w:hAnsi="宋体" w:cs="仿宋_GB2312"/>
                <w:b/>
                <w:bCs/>
                <w:sz w:val="24"/>
                <w:szCs w:val="24"/>
                <w:highlight w:val="none"/>
              </w:rPr>
            </w:pPr>
            <w:r>
              <w:rPr>
                <w:rFonts w:hint="eastAsia" w:ascii="宋体" w:hAnsi="宋体" w:cs="仿宋_GB2312"/>
                <w:b/>
                <w:bCs/>
                <w:sz w:val="24"/>
                <w:szCs w:val="24"/>
                <w:highlight w:val="none"/>
              </w:rPr>
              <w:t xml:space="preserve">注：（1）以上项目人员需在投标文件人员配备表中明确相关信息（姓名、岗位、职称</w:t>
            </w:r>
            <w:r>
              <w:rPr>
                <w:rFonts w:hint="eastAsia" w:ascii="宋体" w:hAnsi="宋体" w:cs="仿宋_GB2312"/>
                <w:b/>
                <w:bCs/>
                <w:sz w:val="24"/>
                <w:szCs w:val="24"/>
                <w:highlight w:val="none"/>
                <w:lang w:val="en-US"/>
              </w:rPr>
              <w:t xml:space="preserve">、工作年限</w:t>
            </w:r>
            <w:r>
              <w:rPr>
                <w:rFonts w:hint="eastAsia" w:ascii="宋体" w:hAnsi="宋体" w:cs="仿宋_GB2312"/>
                <w:b/>
                <w:bCs/>
                <w:sz w:val="24"/>
                <w:szCs w:val="24"/>
                <w:highlight w:val="none"/>
              </w:rPr>
              <w:t xml:space="preserve">等），否则不得分；</w:t>
            </w:r>
            <w:r/>
          </w:p>
          <w:p>
            <w:pPr>
              <w:pStyle w:val="861"/>
              <w:rPr>
                <w:rFonts w:hint="eastAsia" w:ascii="宋体" w:hAnsi="宋体" w:cs="仿宋_GB2312"/>
                <w:b/>
                <w:bCs/>
                <w:sz w:val="24"/>
                <w:szCs w:val="24"/>
                <w:highlight w:val="none"/>
              </w:rPr>
            </w:pPr>
            <w:r>
              <w:rPr>
                <w:rFonts w:hint="eastAsia" w:ascii="宋体" w:hAnsi="宋体" w:cs="仿宋_GB2312"/>
                <w:b/>
                <w:bCs/>
                <w:sz w:val="24"/>
                <w:szCs w:val="24"/>
                <w:highlight w:val="none"/>
              </w:rPr>
              <w:t xml:space="preserve">（2）抽样人员与检验人员不得重复，重复的不计分；</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rPr>
              <w:t xml:space="preserve">（3）以上项目人员，提供近</w:t>
            </w:r>
            <w:r>
              <w:rPr>
                <w:rFonts w:hint="eastAsia" w:ascii="宋体" w:hAnsi="宋体" w:cs="仿宋_GB2312"/>
                <w:b/>
                <w:bCs/>
                <w:sz w:val="24"/>
                <w:szCs w:val="24"/>
                <w:highlight w:val="none"/>
                <w:lang w:val="en-US"/>
              </w:rPr>
              <w:t xml:space="preserve">三个月内</w:t>
            </w:r>
            <w:r>
              <w:rPr>
                <w:rFonts w:hint="eastAsia" w:ascii="宋体" w:hAnsi="宋体" w:cs="仿宋_GB2312"/>
                <w:b/>
                <w:bCs/>
                <w:sz w:val="24"/>
                <w:szCs w:val="24"/>
                <w:highlight w:val="none"/>
              </w:rPr>
              <w:t xml:space="preserve">在投标人单位缴纳社保证明材料，劳务派遣人员提供用工合同。</w:t>
            </w:r>
            <w:r/>
          </w:p>
        </w:tc>
      </w:tr>
      <w:tr>
        <w:trPr>
          <w:trHeight w:val="833"/>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实验场所（</w:t>
            </w:r>
            <w:r>
              <w:rPr>
                <w:rFonts w:hint="eastAsia" w:ascii="宋体" w:hAnsi="宋体" w:cs="仿宋_GB2312"/>
                <w:sz w:val="24"/>
                <w:szCs w:val="24"/>
                <w:highlight w:val="none"/>
                <w:lang w:val="en-US"/>
              </w:rPr>
              <w:t xml:space="preserve">5分</w:t>
            </w:r>
            <w:r>
              <w:rPr>
                <w:rFonts w:hint="eastAsia" w:ascii="宋体" w:hAnsi="宋体" w:cs="仿宋_GB2312"/>
                <w:sz w:val="24"/>
                <w:szCs w:val="24"/>
                <w:highlight w:val="none"/>
              </w:rPr>
              <w:t xml:space="preserve">）</w:t>
            </w:r>
            <w:r/>
          </w:p>
        </w:tc>
        <w:tc>
          <w:tcPr>
            <w:shd w:val="clear" w:color="auto" w:fill="ffffff"/>
            <w:tcW w:w="763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开展食品安全抽样检验工作实验场所面积：</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1、面积≥5000 </w:t>
            </w:r>
            <w:r>
              <w:rPr>
                <w:rFonts w:hint="eastAsia" w:ascii="宋体" w:hAnsi="宋体" w:cs="仿宋_GB2312"/>
                <w:sz w:val="24"/>
                <w:szCs w:val="24"/>
                <w:highlight w:val="none"/>
                <w:lang w:val="en-US"/>
              </w:rPr>
              <w:t xml:space="preserve">m2</w:t>
            </w:r>
            <w:r>
              <w:rPr>
                <w:rFonts w:hint="eastAsia" w:ascii="宋体" w:hAnsi="宋体" w:cs="仿宋_GB2312"/>
                <w:sz w:val="24"/>
                <w:szCs w:val="24"/>
                <w:highlight w:val="none"/>
              </w:rPr>
              <w:t xml:space="preserve">，得</w:t>
            </w:r>
            <w:r>
              <w:rPr>
                <w:rFonts w:hint="eastAsia" w:ascii="宋体" w:hAnsi="宋体" w:cs="仿宋_GB2312"/>
                <w:sz w:val="24"/>
                <w:szCs w:val="24"/>
                <w:highlight w:val="none"/>
                <w:lang w:val="en-US"/>
              </w:rPr>
              <w:t xml:space="preserve">5</w:t>
            </w:r>
            <w:r>
              <w:rPr>
                <w:rFonts w:hint="eastAsia" w:ascii="宋体" w:hAnsi="宋体" w:cs="仿宋_GB2312"/>
                <w:sz w:val="24"/>
                <w:szCs w:val="24"/>
                <w:highlight w:val="none"/>
              </w:rPr>
              <w:t xml:space="preserve">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2、3000 </w:t>
            </w:r>
            <w:r>
              <w:rPr>
                <w:rFonts w:hint="eastAsia" w:ascii="宋体" w:hAnsi="宋体" w:cs="仿宋_GB2312"/>
                <w:sz w:val="24"/>
                <w:szCs w:val="24"/>
                <w:highlight w:val="none"/>
                <w:lang w:val="en-US"/>
              </w:rPr>
              <w:t xml:space="preserve">m2</w:t>
            </w:r>
            <w:r>
              <w:rPr>
                <w:rFonts w:hint="eastAsia" w:ascii="宋体" w:hAnsi="宋体" w:cs="仿宋_GB2312"/>
                <w:sz w:val="24"/>
                <w:szCs w:val="24"/>
                <w:highlight w:val="none"/>
              </w:rPr>
              <w:t xml:space="preserve">≤面积＜5000 </w:t>
            </w:r>
            <w:r>
              <w:rPr>
                <w:rFonts w:hint="eastAsia" w:ascii="宋体" w:hAnsi="宋体" w:cs="仿宋_GB2312"/>
                <w:sz w:val="24"/>
                <w:szCs w:val="24"/>
                <w:highlight w:val="none"/>
                <w:lang w:val="en-US"/>
              </w:rPr>
              <w:t xml:space="preserve">m2</w:t>
            </w:r>
            <w:r>
              <w:rPr>
                <w:rFonts w:hint="eastAsia" w:ascii="宋体" w:hAnsi="宋体" w:cs="仿宋_GB2312"/>
                <w:sz w:val="24"/>
                <w:szCs w:val="24"/>
                <w:highlight w:val="none"/>
              </w:rPr>
              <w:t xml:space="preserve">，得 3 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3、面积＜3000 </w:t>
            </w:r>
            <w:r>
              <w:rPr>
                <w:rFonts w:hint="eastAsia" w:ascii="宋体" w:hAnsi="宋体" w:cs="仿宋_GB2312"/>
                <w:sz w:val="24"/>
                <w:szCs w:val="24"/>
                <w:highlight w:val="none"/>
                <w:lang w:val="en-US"/>
              </w:rPr>
              <w:t xml:space="preserve">m2</w:t>
            </w:r>
            <w:r>
              <w:rPr>
                <w:rFonts w:hint="eastAsia" w:ascii="宋体" w:hAnsi="宋体" w:cs="仿宋_GB2312"/>
                <w:sz w:val="24"/>
                <w:szCs w:val="24"/>
                <w:highlight w:val="none"/>
              </w:rPr>
              <w:t xml:space="preserve">，得 </w:t>
            </w:r>
            <w:r>
              <w:rPr>
                <w:rFonts w:hint="eastAsia" w:ascii="宋体" w:hAnsi="宋体" w:cs="仿宋_GB2312"/>
                <w:sz w:val="24"/>
                <w:szCs w:val="24"/>
                <w:highlight w:val="none"/>
                <w:lang w:val="en-US"/>
              </w:rPr>
              <w:t xml:space="preserve">0</w:t>
            </w:r>
            <w:r>
              <w:rPr>
                <w:rFonts w:hint="eastAsia" w:ascii="宋体" w:hAnsi="宋体" w:cs="仿宋_GB2312"/>
                <w:sz w:val="24"/>
                <w:szCs w:val="24"/>
                <w:highlight w:val="none"/>
              </w:rPr>
              <w:t xml:space="preserve">分；</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rPr>
              <w:t xml:space="preserve">注：（1）投标人须承诺抽样检验的实验室为投标人自有实验室，并提供承诺书。采购人有权在合同签订前进行现场考察，一旦发现弄虚作假，将取消中标资格，并报有关部门严肃处理；（2）提供抽样检验场所的房产证或所有权证明文件或服务期内有效的房屋租赁合同加发票扫描件及相关证明材料；（3）提供食品实验室平面布局图，并提供各组成部分面积清单；（4）未达到上述要求或未提供有效证明文件的不得分。</w:t>
            </w:r>
            <w:r/>
          </w:p>
        </w:tc>
      </w:tr>
      <w:tr>
        <w:trPr>
          <w:trHeight w:val="90"/>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应急时间响应（6分）</w:t>
            </w:r>
            <w:r/>
          </w:p>
        </w:tc>
        <w:tc>
          <w:tcPr>
            <w:shd w:val="clear" w:color="auto" w:fill="ffffff"/>
            <w:tcW w:w="7635" w:type="dxa"/>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抽检样品进入实验室单程服务时限在1小时内得6分，1-2小时得4分，2-3小时得3分，3-4小时得2分，多于4小时得1分。</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rPr>
              <w:t xml:space="preserve">响应文件中提供承诺函及相关证明材料。</w:t>
            </w:r>
            <w:r/>
          </w:p>
        </w:tc>
      </w:tr>
      <w:tr>
        <w:trPr>
          <w:trHeight w:val="1108"/>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实验室设备（</w:t>
            </w:r>
            <w:r>
              <w:rPr>
                <w:rFonts w:hint="eastAsia" w:ascii="宋体" w:hAnsi="宋体" w:cs="仿宋_GB2312"/>
                <w:sz w:val="24"/>
                <w:szCs w:val="24"/>
                <w:highlight w:val="none"/>
                <w:lang w:val="en-US"/>
              </w:rPr>
              <w:t xml:space="preserve">6分</w:t>
            </w:r>
            <w:r>
              <w:rPr>
                <w:rFonts w:hint="eastAsia" w:ascii="宋体" w:hAnsi="宋体" w:cs="仿宋_GB2312"/>
                <w:sz w:val="24"/>
                <w:szCs w:val="24"/>
                <w:highlight w:val="none"/>
              </w:rPr>
              <w:t xml:space="preserve">）</w:t>
            </w:r>
            <w:r/>
          </w:p>
        </w:tc>
        <w:tc>
          <w:tcPr>
            <w:shd w:val="clear" w:color="auto" w:fill="ffffff"/>
            <w:tcW w:w="7635" w:type="dxa"/>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lang w:val="zh-CN"/>
              </w:rPr>
              <w:t xml:space="preserve">基本要求：</w:t>
            </w:r>
            <w:r>
              <w:rPr>
                <w:rFonts w:hint="eastAsia" w:ascii="宋体" w:hAnsi="宋体" w:cs="仿宋_GB2312"/>
                <w:sz w:val="24"/>
                <w:szCs w:val="24"/>
                <w:highlight w:val="none"/>
              </w:rPr>
              <w:t xml:space="preserve">具有用于动物源性成分和转基因成分鉴定的分子生物学实验室、实时荧光PCR仪。需至少具有液质联用仪2台、液相色谱仪4台、气相色谱仪3台、气质联用仪1台、电感耦合等离子体质谱仪（ICP-MS）1台、原子荧光光谱仪2台仪器设备。</w:t>
            </w:r>
            <w:r/>
          </w:p>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lang w:val="zh-CN"/>
              </w:rPr>
              <w:t xml:space="preserve">在满足以上基本要求的基础上，每增加一台液质联用仪或一台气质联用仪的得</w:t>
            </w:r>
            <w:r>
              <w:rPr>
                <w:rFonts w:hint="eastAsia" w:ascii="宋体" w:hAnsi="宋体" w:cs="仿宋_GB2312"/>
                <w:sz w:val="24"/>
                <w:szCs w:val="24"/>
                <w:highlight w:val="none"/>
              </w:rPr>
              <w:t xml:space="preserve">2</w:t>
            </w:r>
            <w:r>
              <w:rPr>
                <w:rFonts w:hint="eastAsia" w:ascii="宋体" w:hAnsi="宋体" w:cs="仿宋_GB2312"/>
                <w:sz w:val="24"/>
                <w:szCs w:val="24"/>
                <w:highlight w:val="none"/>
                <w:lang w:val="zh-CN"/>
              </w:rPr>
              <w:t xml:space="preserve">分，最高得</w:t>
            </w:r>
            <w:r>
              <w:rPr>
                <w:rFonts w:hint="eastAsia" w:ascii="宋体" w:hAnsi="宋体" w:cs="仿宋_GB2312"/>
                <w:sz w:val="24"/>
                <w:szCs w:val="24"/>
                <w:highlight w:val="none"/>
              </w:rPr>
              <w:t xml:space="preserve">6</w:t>
            </w:r>
            <w:r>
              <w:rPr>
                <w:rFonts w:hint="eastAsia" w:ascii="宋体" w:hAnsi="宋体" w:cs="仿宋_GB2312"/>
                <w:sz w:val="24"/>
                <w:szCs w:val="24"/>
                <w:highlight w:val="none"/>
                <w:lang w:val="zh-CN"/>
              </w:rPr>
              <w:t xml:space="preserve">分。</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rPr>
              <w:t xml:space="preserve">（提供上述仪器设备购置清单、发票等证明材料扫描件，并加盖投标人公章）</w:t>
            </w:r>
            <w:r/>
          </w:p>
        </w:tc>
      </w:tr>
      <w:tr>
        <w:trPr>
          <w:trHeight w:val="5434"/>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采样设备（</w:t>
            </w:r>
            <w:r>
              <w:rPr>
                <w:rFonts w:hint="eastAsia" w:ascii="宋体" w:hAnsi="宋体" w:cs="仿宋_GB2312"/>
                <w:sz w:val="24"/>
                <w:szCs w:val="24"/>
                <w:highlight w:val="none"/>
                <w:lang w:val="en-US"/>
              </w:rPr>
              <w:t xml:space="preserve">6分</w:t>
            </w:r>
            <w:r>
              <w:rPr>
                <w:rFonts w:hint="eastAsia" w:ascii="宋体" w:hAnsi="宋体" w:cs="仿宋_GB2312"/>
                <w:sz w:val="24"/>
                <w:szCs w:val="24"/>
                <w:highlight w:val="none"/>
              </w:rPr>
              <w:t xml:space="preserve">）</w:t>
            </w:r>
            <w:r/>
          </w:p>
        </w:tc>
        <w:tc>
          <w:tcPr>
            <w:shd w:val="clear" w:color="auto" w:fill="ffffff"/>
            <w:tcW w:w="7635" w:type="dxa"/>
            <w:textDirection w:val="lrTb"/>
            <w:noWrap w:val="false"/>
          </w:tcPr>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lang w:val="zh-CN"/>
              </w:rPr>
              <w:t xml:space="preserve">根据投标人配备的满足采购人项目需求中有关采样需求的工作装备设备的采样设备能力进行评分（</w:t>
            </w:r>
            <w:r>
              <w:rPr>
                <w:rFonts w:hint="eastAsia" w:ascii="宋体" w:hAnsi="宋体" w:cs="仿宋_GB2312"/>
                <w:sz w:val="24"/>
                <w:szCs w:val="24"/>
                <w:highlight w:val="none"/>
              </w:rPr>
              <w:t xml:space="preserve">6</w:t>
            </w:r>
            <w:r>
              <w:rPr>
                <w:rFonts w:hint="eastAsia" w:ascii="宋体" w:hAnsi="宋体" w:cs="仿宋_GB2312"/>
                <w:sz w:val="24"/>
                <w:szCs w:val="24"/>
                <w:highlight w:val="none"/>
                <w:lang w:val="zh-CN"/>
              </w:rPr>
              <w:t xml:space="preserve">分）。</w:t>
            </w:r>
            <w:r/>
          </w:p>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lang w:val="zh-CN"/>
              </w:rPr>
              <w:t xml:space="preserve">1</w:t>
            </w:r>
            <w:r>
              <w:rPr>
                <w:rFonts w:hint="eastAsia" w:ascii="宋体" w:hAnsi="宋体" w:cs="仿宋_GB2312"/>
                <w:sz w:val="24"/>
                <w:szCs w:val="24"/>
                <w:highlight w:val="none"/>
              </w:rPr>
              <w:t xml:space="preserve">.</w:t>
            </w:r>
            <w:r>
              <w:rPr>
                <w:rFonts w:hint="eastAsia" w:ascii="宋体" w:hAnsi="宋体" w:cs="仿宋_GB2312"/>
                <w:sz w:val="24"/>
                <w:szCs w:val="24"/>
                <w:highlight w:val="none"/>
                <w:lang w:val="zh-CN"/>
              </w:rPr>
              <w:t xml:space="preserve">用于食品采样的车辆不少于 </w:t>
            </w:r>
            <w:r>
              <w:rPr>
                <w:rFonts w:hint="eastAsia" w:ascii="宋体" w:hAnsi="宋体" w:cs="仿宋_GB2312"/>
                <w:sz w:val="24"/>
                <w:szCs w:val="24"/>
                <w:highlight w:val="none"/>
              </w:rPr>
              <w:t xml:space="preserve">4</w:t>
            </w:r>
            <w:r>
              <w:rPr>
                <w:rFonts w:hint="eastAsia" w:ascii="宋体" w:hAnsi="宋体" w:cs="仿宋_GB2312"/>
                <w:sz w:val="24"/>
                <w:szCs w:val="24"/>
                <w:highlight w:val="none"/>
                <w:lang w:val="zh-CN"/>
              </w:rPr>
              <w:t xml:space="preserve">台（其中冷藏车不少于1台），同时满足得 </w:t>
            </w:r>
            <w:r>
              <w:rPr>
                <w:rFonts w:hint="eastAsia" w:ascii="宋体" w:hAnsi="宋体" w:cs="仿宋_GB2312"/>
                <w:sz w:val="24"/>
                <w:szCs w:val="24"/>
                <w:highlight w:val="none"/>
              </w:rPr>
              <w:t xml:space="preserve">2</w:t>
            </w:r>
            <w:r>
              <w:rPr>
                <w:rFonts w:hint="eastAsia" w:ascii="宋体" w:hAnsi="宋体" w:cs="仿宋_GB2312"/>
                <w:sz w:val="24"/>
                <w:szCs w:val="24"/>
                <w:highlight w:val="none"/>
                <w:lang w:val="zh-CN"/>
              </w:rPr>
              <w:t xml:space="preserve">分；未同时满足得1分； </w:t>
            </w:r>
            <w:r/>
          </w:p>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lang w:val="zh-CN"/>
              </w:rPr>
              <w:t xml:space="preserve">其他不得分（</w:t>
            </w:r>
            <w:r>
              <w:rPr>
                <w:rFonts w:hint="eastAsia" w:ascii="宋体" w:hAnsi="宋体" w:cs="仿宋_GB2312"/>
                <w:sz w:val="24"/>
                <w:szCs w:val="24"/>
                <w:highlight w:val="none"/>
              </w:rPr>
              <w:t xml:space="preserve">2</w:t>
            </w:r>
            <w:r>
              <w:rPr>
                <w:rFonts w:hint="eastAsia" w:ascii="宋体" w:hAnsi="宋体" w:cs="仿宋_GB2312"/>
                <w:sz w:val="24"/>
                <w:szCs w:val="24"/>
                <w:highlight w:val="none"/>
                <w:lang w:val="zh-CN"/>
              </w:rPr>
              <w:t xml:space="preserve">分）。</w:t>
            </w:r>
            <w:r/>
          </w:p>
          <w:p>
            <w:pPr>
              <w:pStyle w:val="861"/>
              <w:rPr>
                <w:rFonts w:hint="eastAsia" w:ascii="宋体" w:hAnsi="宋体" w:cs="仿宋_GB2312"/>
                <w:sz w:val="24"/>
                <w:szCs w:val="24"/>
                <w:highlight w:val="none"/>
                <w:lang w:val="zh-CN"/>
              </w:rPr>
            </w:pPr>
            <w:r>
              <w:rPr>
                <w:rFonts w:hint="eastAsia" w:ascii="宋体" w:hAnsi="宋体" w:cs="仿宋_GB2312"/>
                <w:b/>
                <w:bCs/>
                <w:sz w:val="24"/>
                <w:szCs w:val="24"/>
                <w:highlight w:val="none"/>
                <w:lang w:val="zh-CN"/>
              </w:rPr>
              <w:t xml:space="preserve">注：上述评分点需提供有效的供应商购置或租赁的证明材料，如购置发票、有效租赁合同。</w:t>
            </w:r>
            <w:r/>
          </w:p>
          <w:p>
            <w:pPr>
              <w:pStyle w:val="861"/>
              <w:rPr>
                <w:rFonts w:hint="eastAsia" w:ascii="宋体" w:hAnsi="宋体" w:cs="仿宋_GB2312"/>
                <w:sz w:val="24"/>
                <w:szCs w:val="24"/>
                <w:highlight w:val="none"/>
              </w:rPr>
            </w:pPr>
            <w:r>
              <w:rPr>
                <w:rFonts w:hint="eastAsia" w:ascii="宋体" w:hAnsi="宋体" w:cs="仿宋_GB2312"/>
                <w:sz w:val="24"/>
                <w:szCs w:val="24"/>
                <w:highlight w:val="none"/>
                <w:lang w:val="zh-CN"/>
              </w:rPr>
              <w:t xml:space="preserve">2</w:t>
            </w:r>
            <w:r>
              <w:rPr>
                <w:rFonts w:hint="eastAsia" w:ascii="宋体" w:hAnsi="宋体" w:cs="仿宋_GB2312"/>
                <w:sz w:val="24"/>
                <w:szCs w:val="24"/>
                <w:highlight w:val="none"/>
              </w:rPr>
              <w:t xml:space="preserve">.</w:t>
            </w:r>
            <w:r>
              <w:rPr>
                <w:rFonts w:hint="eastAsia" w:ascii="宋体" w:hAnsi="宋体" w:cs="仿宋_GB2312"/>
                <w:sz w:val="24"/>
                <w:szCs w:val="24"/>
                <w:highlight w:val="none"/>
                <w:lang w:val="zh-CN"/>
              </w:rPr>
              <w:t xml:space="preserve">配备投标人独立购置的用于采样过程取证的执法记录仪，不少于</w:t>
            </w:r>
            <w:r>
              <w:rPr>
                <w:rFonts w:hint="eastAsia" w:ascii="宋体" w:hAnsi="宋体" w:cs="仿宋_GB2312"/>
                <w:sz w:val="24"/>
                <w:szCs w:val="24"/>
                <w:highlight w:val="none"/>
              </w:rPr>
              <w:t xml:space="preserve">4</w:t>
            </w:r>
            <w:r>
              <w:rPr>
                <w:rFonts w:hint="eastAsia" w:ascii="宋体" w:hAnsi="宋体" w:cs="仿宋_GB2312"/>
                <w:sz w:val="24"/>
                <w:szCs w:val="24"/>
                <w:highlight w:val="none"/>
                <w:lang w:val="zh-CN"/>
              </w:rPr>
              <w:t xml:space="preserve">部，得2分；不满足不得分（2分）。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3.配备投标人独立购置的用于食品保存的车载冰箱，不少于4台得1分，不满足不得分（1分）。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4.配备投标人独立购置的用于食品采样后保存样品的保温箱，不少于4个得1分，不满足不得分（1分）。</w:t>
            </w:r>
            <w:r/>
          </w:p>
          <w:p>
            <w:pPr>
              <w:pStyle w:val="861"/>
              <w:rPr>
                <w:rFonts w:hint="eastAsia" w:ascii="宋体" w:hAnsi="宋体" w:cs="仿宋_GB2312"/>
                <w:b/>
                <w:bCs/>
                <w:sz w:val="24"/>
                <w:szCs w:val="24"/>
                <w:highlight w:val="none"/>
              </w:rPr>
            </w:pPr>
            <w:r>
              <w:rPr>
                <w:rFonts w:hint="eastAsia" w:ascii="宋体" w:hAnsi="宋体" w:cs="仿宋_GB2312"/>
                <w:b/>
                <w:bCs/>
                <w:sz w:val="24"/>
                <w:szCs w:val="24"/>
                <w:highlight w:val="none"/>
              </w:rPr>
              <w:t xml:space="preserve">注：本评分项上述第2、3、4评分点需提供投标人自有购置发票或采购合同等相关证明材料（不含租赁）。</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rPr>
              <w:t xml:space="preserve">（2）本评分项1-4所有评分点证明资料不完整或证明材料与投标人不一致、不清晰、不明确、不符合要求者均不得分。</w:t>
            </w:r>
            <w:r/>
          </w:p>
        </w:tc>
      </w:tr>
      <w:tr>
        <w:trPr>
          <w:trHeight w:val="90"/>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实验室能力（</w:t>
            </w:r>
            <w:r>
              <w:rPr>
                <w:rFonts w:hint="eastAsia" w:ascii="宋体" w:hAnsi="宋体" w:cs="仿宋_GB2312"/>
                <w:sz w:val="24"/>
                <w:szCs w:val="24"/>
                <w:highlight w:val="none"/>
                <w:lang w:val="en-US"/>
              </w:rPr>
              <w:t xml:space="preserve">6分</w:t>
            </w:r>
            <w:r>
              <w:rPr>
                <w:rFonts w:hint="eastAsia" w:ascii="宋体" w:hAnsi="宋体" w:cs="仿宋_GB2312"/>
                <w:sz w:val="24"/>
                <w:szCs w:val="24"/>
                <w:highlight w:val="none"/>
              </w:rPr>
              <w:t xml:space="preserve">）</w:t>
            </w:r>
            <w:r/>
          </w:p>
        </w:tc>
        <w:tc>
          <w:tcPr>
            <w:shd w:val="clear" w:color="auto" w:fill="ffffff"/>
            <w:tcW w:w="7635" w:type="dxa"/>
            <w:textDirection w:val="lrTb"/>
            <w:noWrap w:val="false"/>
          </w:tcPr>
          <w:p>
            <w:pPr>
              <w:pStyle w:val="861"/>
              <w:rPr>
                <w:rFonts w:hint="eastAsia" w:ascii="宋体" w:hAnsi="宋体" w:cs="仿宋_GB2312"/>
                <w:sz w:val="24"/>
                <w:szCs w:val="24"/>
                <w:highlight w:val="none"/>
                <w:lang w:val="en-US"/>
              </w:rPr>
            </w:pPr>
            <w:r>
              <w:rPr>
                <w:rFonts w:hint="eastAsia" w:ascii="宋体" w:hAnsi="宋体" w:cs="仿宋_GB2312"/>
                <w:sz w:val="24"/>
                <w:szCs w:val="24"/>
                <w:highlight w:val="none"/>
                <w:lang w:val="en-US"/>
              </w:rPr>
              <w:t xml:space="preserve">1、具备农产品质量安全检测机构证书CATL。2分</w:t>
            </w:r>
            <w:r/>
          </w:p>
          <w:p>
            <w:pPr>
              <w:pStyle w:val="861"/>
              <w:rPr>
                <w:rFonts w:hint="eastAsia" w:ascii="宋体" w:hAnsi="宋体" w:cs="仿宋_GB2312"/>
                <w:sz w:val="24"/>
                <w:szCs w:val="24"/>
                <w:highlight w:val="none"/>
                <w:lang w:val="en-US"/>
              </w:rPr>
            </w:pPr>
            <w:r>
              <w:rPr>
                <w:rFonts w:hint="eastAsia" w:ascii="宋体" w:hAnsi="宋体" w:cs="仿宋_GB2312"/>
                <w:sz w:val="24"/>
                <w:szCs w:val="24"/>
                <w:highlight w:val="none"/>
                <w:lang w:val="en-US"/>
              </w:rPr>
              <w:t xml:space="preserve">2、具备CNAS实验室认可证书。1分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lang w:val="en-US"/>
              </w:rPr>
              <w:t xml:space="preserve">3、具备质量管理体系、环境管理体系、职业健康安全管理体系证书。</w:t>
            </w:r>
            <w:r>
              <w:rPr>
                <w:rFonts w:hint="eastAsia" w:ascii="宋体" w:hAnsi="宋体" w:cs="仿宋_GB2312"/>
                <w:sz w:val="24"/>
                <w:szCs w:val="24"/>
                <w:highlight w:val="none"/>
              </w:rPr>
              <w:t xml:space="preserve">具备质量管理体系证书得2分，环境管理体系、职业健康安全管理体系证书每提供一个得0.5分，满分3分。</w:t>
            </w:r>
            <w:r/>
          </w:p>
          <w:p>
            <w:pPr>
              <w:pStyle w:val="861"/>
              <w:rPr>
                <w:rFonts w:hint="eastAsia" w:ascii="宋体" w:hAnsi="宋体" w:cs="仿宋_GB2312"/>
                <w:sz w:val="24"/>
                <w:szCs w:val="24"/>
                <w:highlight w:val="none"/>
                <w:lang w:val="en-US"/>
              </w:rPr>
            </w:pPr>
            <w:r>
              <w:rPr>
                <w:rFonts w:hint="eastAsia" w:ascii="宋体" w:hAnsi="宋体" w:cs="仿宋_GB2312"/>
                <w:b/>
                <w:bCs/>
                <w:sz w:val="24"/>
                <w:szCs w:val="24"/>
                <w:highlight w:val="none"/>
                <w:lang w:val="en-US"/>
              </w:rPr>
              <w:t xml:space="preserve">注：需提供相关证书或证明文件</w:t>
            </w:r>
            <w:r/>
          </w:p>
        </w:tc>
      </w:tr>
      <w:tr>
        <w:trPr>
          <w:trHeight w:val="1647"/>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实验室能力验证（</w:t>
            </w:r>
            <w:r>
              <w:rPr>
                <w:rFonts w:hint="eastAsia" w:ascii="宋体" w:hAnsi="宋体" w:cs="仿宋_GB2312"/>
                <w:sz w:val="24"/>
                <w:szCs w:val="24"/>
                <w:highlight w:val="none"/>
                <w:lang w:val="en-US"/>
              </w:rPr>
              <w:t xml:space="preserve">3分</w:t>
            </w:r>
            <w:r>
              <w:rPr>
                <w:rFonts w:hint="eastAsia" w:ascii="宋体" w:hAnsi="宋体" w:cs="仿宋_GB2312"/>
                <w:sz w:val="24"/>
                <w:szCs w:val="24"/>
                <w:highlight w:val="none"/>
              </w:rPr>
              <w:t xml:space="preserve">）</w:t>
            </w:r>
            <w:r/>
          </w:p>
        </w:tc>
        <w:tc>
          <w:tcPr>
            <w:shd w:val="clear" w:color="auto" w:fill="ffffff"/>
            <w:tcW w:w="7635" w:type="dxa"/>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自</w:t>
            </w:r>
            <w:r>
              <w:rPr>
                <w:rFonts w:hint="eastAsia" w:ascii="宋体" w:hAnsi="宋体" w:cs="仿宋_GB2312"/>
                <w:sz w:val="24"/>
                <w:szCs w:val="24"/>
                <w:highlight w:val="none"/>
                <w:lang w:val="en-US"/>
              </w:rPr>
              <w:t xml:space="preserve">2022</w:t>
            </w:r>
            <w:r>
              <w:rPr>
                <w:rFonts w:hint="eastAsia" w:ascii="宋体" w:hAnsi="宋体" w:cs="仿宋_GB2312"/>
                <w:sz w:val="24"/>
                <w:szCs w:val="24"/>
                <w:highlight w:val="none"/>
              </w:rPr>
              <w:t xml:space="preserve">年1月1日以来，投标人参加过国际、国内相关机构组织的食品检测项目的实验室能力验证或市场监管部门组织的盲样考核，并获得满意结果的， 每次 0.2 分，满分 </w:t>
            </w:r>
            <w:r>
              <w:rPr>
                <w:rFonts w:hint="eastAsia" w:ascii="宋体" w:hAnsi="宋体" w:cs="仿宋_GB2312"/>
                <w:sz w:val="24"/>
                <w:szCs w:val="24"/>
                <w:highlight w:val="none"/>
                <w:lang w:val="en-US"/>
              </w:rPr>
              <w:t xml:space="preserve">3</w:t>
            </w:r>
            <w:r>
              <w:rPr>
                <w:rFonts w:hint="eastAsia" w:ascii="宋体" w:hAnsi="宋体" w:cs="仿宋_GB2312"/>
                <w:sz w:val="24"/>
                <w:szCs w:val="24"/>
                <w:highlight w:val="none"/>
              </w:rPr>
              <w:t xml:space="preserve"> 分。</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rPr>
              <w:t xml:space="preserve">注：需提供能力验证报告或证明结果满意的证书扫描件，获得不满意结果的或未提供有效证明文件的不得分。</w:t>
            </w:r>
            <w:r/>
          </w:p>
        </w:tc>
      </w:tr>
      <w:tr>
        <w:trPr>
          <w:trHeight w:val="1755"/>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食品抽检数据质量（</w:t>
            </w:r>
            <w:r>
              <w:rPr>
                <w:rFonts w:hint="eastAsia" w:ascii="宋体" w:hAnsi="宋体" w:cs="仿宋_GB2312"/>
                <w:sz w:val="24"/>
                <w:szCs w:val="24"/>
                <w:highlight w:val="none"/>
                <w:lang w:val="en-US"/>
              </w:rPr>
              <w:t xml:space="preserve">5分</w:t>
            </w:r>
            <w:r>
              <w:rPr>
                <w:rFonts w:hint="eastAsia" w:ascii="宋体" w:hAnsi="宋体" w:cs="仿宋_GB2312"/>
                <w:sz w:val="24"/>
                <w:szCs w:val="24"/>
                <w:highlight w:val="none"/>
              </w:rPr>
              <w:t xml:space="preserve">）</w:t>
            </w:r>
            <w:r/>
          </w:p>
        </w:tc>
        <w:tc>
          <w:tcPr>
            <w:shd w:val="clear" w:color="auto" w:fill="ffffff"/>
            <w:tcW w:w="7635" w:type="dxa"/>
            <w:textDirection w:val="lrTb"/>
            <w:noWrap w:val="false"/>
          </w:tcPr>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lang w:val="zh-CN"/>
              </w:rPr>
              <w:t xml:space="preserve">在食品抽检数据质量抽查中（以2022年至今数据为准）准确率达到9</w:t>
            </w:r>
            <w:r>
              <w:rPr>
                <w:rFonts w:hint="eastAsia" w:ascii="宋体" w:hAnsi="宋体" w:cs="仿宋_GB2312"/>
                <w:sz w:val="24"/>
                <w:szCs w:val="24"/>
                <w:highlight w:val="none"/>
              </w:rPr>
              <w:t xml:space="preserve">9</w:t>
            </w:r>
            <w:r>
              <w:rPr>
                <w:rFonts w:hint="eastAsia" w:ascii="宋体" w:hAnsi="宋体" w:cs="仿宋_GB2312"/>
                <w:sz w:val="24"/>
                <w:szCs w:val="24"/>
                <w:highlight w:val="none"/>
                <w:lang w:val="zh-CN"/>
              </w:rPr>
              <w:t xml:space="preserve">%的得1分，低于9</w:t>
            </w:r>
            <w:r>
              <w:rPr>
                <w:rFonts w:hint="eastAsia" w:ascii="宋体" w:hAnsi="宋体" w:cs="仿宋_GB2312"/>
                <w:sz w:val="24"/>
                <w:szCs w:val="24"/>
                <w:highlight w:val="none"/>
              </w:rPr>
              <w:t xml:space="preserve">9</w:t>
            </w:r>
            <w:r>
              <w:rPr>
                <w:rFonts w:hint="eastAsia" w:ascii="宋体" w:hAnsi="宋体" w:cs="仿宋_GB2312"/>
                <w:sz w:val="24"/>
                <w:szCs w:val="24"/>
                <w:highlight w:val="none"/>
                <w:lang w:val="zh-CN"/>
              </w:rPr>
              <w:t xml:space="preserve">%的不得分，每增加0.</w:t>
            </w:r>
            <w:r>
              <w:rPr>
                <w:rFonts w:hint="eastAsia" w:ascii="宋体" w:hAnsi="宋体" w:cs="仿宋_GB2312"/>
                <w:sz w:val="24"/>
                <w:szCs w:val="24"/>
                <w:highlight w:val="none"/>
              </w:rPr>
              <w:t xml:space="preserve">25</w:t>
            </w:r>
            <w:r>
              <w:rPr>
                <w:rFonts w:hint="eastAsia" w:ascii="宋体" w:hAnsi="宋体" w:cs="仿宋_GB2312"/>
                <w:sz w:val="24"/>
                <w:szCs w:val="24"/>
                <w:highlight w:val="none"/>
                <w:lang w:val="zh-CN"/>
              </w:rPr>
              <w:t xml:space="preserve">%得</w:t>
            </w:r>
            <w:r>
              <w:rPr>
                <w:rFonts w:hint="eastAsia" w:ascii="宋体" w:hAnsi="宋体" w:cs="仿宋_GB2312"/>
                <w:sz w:val="24"/>
                <w:szCs w:val="24"/>
                <w:highlight w:val="none"/>
              </w:rPr>
              <w:t xml:space="preserve">1</w:t>
            </w:r>
            <w:r>
              <w:rPr>
                <w:rFonts w:hint="eastAsia" w:ascii="宋体" w:hAnsi="宋体" w:cs="仿宋_GB2312"/>
                <w:sz w:val="24"/>
                <w:szCs w:val="24"/>
                <w:highlight w:val="none"/>
                <w:lang w:val="zh-CN"/>
              </w:rPr>
              <w:t xml:space="preserve">分，最高得</w:t>
            </w:r>
            <w:r>
              <w:rPr>
                <w:rFonts w:hint="eastAsia" w:ascii="宋体" w:hAnsi="宋体" w:cs="仿宋_GB2312"/>
                <w:sz w:val="24"/>
                <w:szCs w:val="24"/>
                <w:highlight w:val="none"/>
              </w:rPr>
              <w:t xml:space="preserve">5</w:t>
            </w:r>
            <w:r>
              <w:rPr>
                <w:rFonts w:hint="eastAsia" w:ascii="宋体" w:hAnsi="宋体" w:cs="仿宋_GB2312"/>
                <w:sz w:val="24"/>
                <w:szCs w:val="24"/>
                <w:highlight w:val="none"/>
                <w:lang w:val="zh-CN"/>
              </w:rPr>
              <w:t xml:space="preserve">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lang w:val="zh-CN"/>
              </w:rPr>
              <w:t xml:space="preserve">须提供市场监管局的证明。</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rPr>
              <w:t xml:space="preserve">注：需提供承诺函及相关证明材料原件扫描件。（承诺函格式自拟）</w:t>
            </w:r>
            <w:r/>
          </w:p>
        </w:tc>
      </w:tr>
      <w:tr>
        <w:trPr>
          <w:trHeight w:val="726"/>
        </w:trPr>
        <w:tc>
          <w:tcPr>
            <w:shd w:val="clear" w:color="auto" w:fill="ffffff"/>
            <w:tcW w:w="705" w:type="dxa"/>
            <w:vAlign w:val="center"/>
            <w:vMerge w:val="restart"/>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服务方案（</w:t>
            </w:r>
            <w:r>
              <w:rPr>
                <w:rFonts w:hint="eastAsia" w:ascii="宋体" w:hAnsi="宋体" w:cs="仿宋_GB2312"/>
                <w:sz w:val="24"/>
                <w:szCs w:val="24"/>
                <w:highlight w:val="none"/>
                <w:lang w:val="en-US"/>
              </w:rPr>
              <w:t xml:space="preserve">3</w:t>
            </w:r>
            <w:r>
              <w:rPr>
                <w:rFonts w:hint="eastAsia" w:ascii="宋体" w:hAnsi="宋体" w:cs="仿宋_GB2312"/>
                <w:sz w:val="24"/>
                <w:szCs w:val="24"/>
                <w:highlight w:val="none"/>
                <w:lang w:val="en-US" w:eastAsia="zh-CN"/>
              </w:rPr>
              <w:t xml:space="preserve">7</w:t>
            </w:r>
            <w:r>
              <w:rPr>
                <w:rFonts w:hint="eastAsia" w:ascii="宋体" w:hAnsi="宋体" w:cs="仿宋_GB2312"/>
                <w:sz w:val="24"/>
                <w:szCs w:val="24"/>
                <w:highlight w:val="none"/>
              </w:rPr>
              <w:t xml:space="preserve">分）</w:t>
            </w:r>
            <w:r/>
          </w:p>
        </w:tc>
        <w:tc>
          <w:tcPr>
            <w:shd w:val="clear" w:color="auto" w:fill="ffffff"/>
            <w:tcW w:w="1290"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快速响应保障方案与服务时效（13分）</w:t>
            </w:r>
            <w:r/>
          </w:p>
        </w:tc>
        <w:tc>
          <w:tcPr>
            <w:shd w:val="clear" w:color="auto" w:fill="ffffff"/>
            <w:tcW w:w="7635" w:type="dxa"/>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根据投标人快速响应保障方案与服务时效进行评分（13分）：</w:t>
            </w:r>
            <w:r/>
          </w:p>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lang w:val="zh-CN"/>
              </w:rPr>
              <w:t xml:space="preserve">（1）</w:t>
            </w:r>
            <w:r>
              <w:rPr>
                <w:rFonts w:hint="eastAsia" w:ascii="宋体" w:hAnsi="宋体" w:cs="仿宋_GB2312"/>
                <w:sz w:val="24"/>
                <w:szCs w:val="24"/>
                <w:highlight w:val="none"/>
              </w:rPr>
              <w:t xml:space="preserve">响应时效快速、措施合理、效率高，可行性强，</w:t>
            </w:r>
            <w:r>
              <w:rPr>
                <w:rFonts w:hint="eastAsia" w:ascii="宋体" w:hAnsi="宋体" w:cs="仿宋_GB2312"/>
                <w:sz w:val="24"/>
                <w:szCs w:val="24"/>
                <w:highlight w:val="none"/>
                <w:lang w:val="zh-CN"/>
              </w:rPr>
              <w:t xml:space="preserve">得 </w:t>
            </w:r>
            <w:r>
              <w:rPr>
                <w:rFonts w:hint="eastAsia" w:ascii="宋体" w:hAnsi="宋体" w:cs="仿宋_GB2312"/>
                <w:sz w:val="24"/>
                <w:szCs w:val="24"/>
                <w:highlight w:val="none"/>
                <w:lang w:val="en-US"/>
              </w:rPr>
              <w:t xml:space="preserve">13</w:t>
            </w:r>
            <w:r>
              <w:rPr>
                <w:rFonts w:hint="eastAsia" w:ascii="宋体" w:hAnsi="宋体" w:cs="仿宋_GB2312"/>
                <w:sz w:val="24"/>
                <w:szCs w:val="24"/>
                <w:highlight w:val="none"/>
                <w:lang w:val="zh-CN"/>
              </w:rPr>
              <w:t xml:space="preserve">分；</w:t>
            </w:r>
            <w:r/>
          </w:p>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lang w:val="zh-CN"/>
              </w:rPr>
              <w:t xml:space="preserve">（2）</w:t>
            </w:r>
            <w:r>
              <w:rPr>
                <w:rFonts w:hint="eastAsia" w:ascii="宋体" w:hAnsi="宋体" w:cs="仿宋_GB2312"/>
                <w:sz w:val="24"/>
                <w:szCs w:val="24"/>
                <w:highlight w:val="none"/>
              </w:rPr>
              <w:t xml:space="preserve">响应时效较快速、措施较合理，可行性较强，</w:t>
            </w:r>
            <w:r>
              <w:rPr>
                <w:rFonts w:hint="eastAsia" w:ascii="宋体" w:hAnsi="宋体" w:cs="仿宋_GB2312"/>
                <w:sz w:val="24"/>
                <w:szCs w:val="24"/>
                <w:highlight w:val="none"/>
                <w:lang w:val="zh-CN"/>
              </w:rPr>
              <w:t xml:space="preserve">得</w:t>
            </w:r>
            <w:r>
              <w:rPr>
                <w:rFonts w:hint="eastAsia" w:ascii="宋体" w:hAnsi="宋体" w:cs="仿宋_GB2312"/>
                <w:sz w:val="24"/>
                <w:szCs w:val="24"/>
                <w:highlight w:val="none"/>
                <w:lang w:val="en-US"/>
              </w:rPr>
              <w:t xml:space="preserve">10</w:t>
            </w:r>
            <w:r>
              <w:rPr>
                <w:rFonts w:hint="eastAsia" w:ascii="宋体" w:hAnsi="宋体" w:cs="仿宋_GB2312"/>
                <w:sz w:val="24"/>
                <w:szCs w:val="24"/>
                <w:highlight w:val="none"/>
                <w:lang w:val="zh-CN"/>
              </w:rPr>
              <w:t xml:space="preserve">分；</w:t>
            </w:r>
            <w:r/>
          </w:p>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rPr>
              <w:t xml:space="preserve">（3）响应时效一般、措施基本合理，可行性一般，</w:t>
            </w:r>
            <w:r>
              <w:rPr>
                <w:rFonts w:hint="eastAsia" w:ascii="宋体" w:hAnsi="宋体" w:cs="仿宋_GB2312"/>
                <w:sz w:val="24"/>
                <w:szCs w:val="24"/>
                <w:highlight w:val="none"/>
                <w:lang w:val="zh-CN"/>
              </w:rPr>
              <w:t xml:space="preserve">得</w:t>
            </w:r>
            <w:r>
              <w:rPr>
                <w:rFonts w:hint="eastAsia" w:ascii="宋体" w:hAnsi="宋体" w:cs="仿宋_GB2312"/>
                <w:sz w:val="24"/>
                <w:szCs w:val="24"/>
                <w:highlight w:val="none"/>
                <w:lang w:val="en-US"/>
              </w:rPr>
              <w:t xml:space="preserve">7</w:t>
            </w:r>
            <w:r>
              <w:rPr>
                <w:rFonts w:hint="eastAsia" w:ascii="宋体" w:hAnsi="宋体" w:cs="仿宋_GB2312"/>
                <w:sz w:val="24"/>
                <w:szCs w:val="24"/>
                <w:highlight w:val="none"/>
                <w:lang w:val="zh-CN"/>
              </w:rPr>
              <w:t xml:space="preserve">分；</w:t>
            </w:r>
            <w:r/>
          </w:p>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rPr>
              <w:t xml:space="preserve">（4）响应不及时，措施、可行性较差，</w:t>
            </w:r>
            <w:r>
              <w:rPr>
                <w:rFonts w:hint="eastAsia" w:ascii="宋体" w:hAnsi="宋体" w:cs="仿宋_GB2312"/>
                <w:sz w:val="24"/>
                <w:szCs w:val="24"/>
                <w:highlight w:val="none"/>
                <w:lang w:val="zh-CN"/>
              </w:rPr>
              <w:t xml:space="preserve">得</w:t>
            </w:r>
            <w:r>
              <w:rPr>
                <w:rFonts w:hint="eastAsia" w:ascii="宋体" w:hAnsi="宋体" w:cs="仿宋_GB2312"/>
                <w:sz w:val="24"/>
                <w:szCs w:val="24"/>
                <w:highlight w:val="none"/>
                <w:lang w:val="en-US"/>
              </w:rPr>
              <w:t xml:space="preserve">3</w:t>
            </w:r>
            <w:r>
              <w:rPr>
                <w:rFonts w:hint="eastAsia" w:ascii="宋体" w:hAnsi="宋体" w:cs="仿宋_GB2312"/>
                <w:sz w:val="24"/>
                <w:szCs w:val="24"/>
                <w:highlight w:val="none"/>
                <w:lang w:val="zh-CN"/>
              </w:rPr>
              <w:t xml:space="preserve">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w:t>
            </w:r>
            <w:r>
              <w:rPr>
                <w:rFonts w:hint="eastAsia" w:ascii="宋体" w:hAnsi="宋体" w:cs="仿宋_GB2312"/>
                <w:sz w:val="24"/>
                <w:szCs w:val="24"/>
                <w:highlight w:val="none"/>
                <w:lang w:val="en-US"/>
              </w:rPr>
              <w:t xml:space="preserve">5</w:t>
            </w:r>
            <w:r>
              <w:rPr>
                <w:rFonts w:hint="eastAsia" w:ascii="宋体" w:hAnsi="宋体" w:cs="仿宋_GB2312"/>
                <w:sz w:val="24"/>
                <w:szCs w:val="24"/>
                <w:highlight w:val="none"/>
              </w:rPr>
              <w:t xml:space="preserve">）未提供的不得分。</w:t>
            </w:r>
            <w:r/>
          </w:p>
        </w:tc>
      </w:tr>
      <w:tr>
        <w:trPr>
          <w:trHeight w:val="697"/>
        </w:trPr>
        <w:tc>
          <w:tcPr>
            <w:shd w:val="clear" w:color="auto" w:fill="ffffff"/>
            <w:tcW w:w="705" w:type="dxa"/>
            <w:vAlign w:val="center"/>
            <w:vMerge w:val="continue"/>
            <w:textDirection w:val="lrTb"/>
            <w:noWrap w:val="false"/>
          </w:tcPr>
          <w:p>
            <w:pPr>
              <w:pStyle w:val="861"/>
              <w:rPr>
                <w:rFonts w:hint="eastAsia" w:ascii="宋体" w:hAnsi="宋体" w:cs="仿宋_GB2312"/>
                <w:sz w:val="24"/>
                <w:szCs w:val="24"/>
                <w:highlight w:val="none"/>
                <w:lang w:val="en-US"/>
              </w:rPr>
            </w:pPr>
            <w:r>
              <w:rPr>
                <w:rFonts w:hint="eastAsia" w:ascii="宋体" w:hAnsi="宋体" w:cs="仿宋_GB2312"/>
                <w:sz w:val="24"/>
                <w:szCs w:val="24"/>
                <w:highlight w:val="none"/>
                <w:lang w:val="en-US"/>
              </w:rPr>
            </w:r>
            <w:r/>
          </w:p>
        </w:tc>
        <w:tc>
          <w:tcPr>
            <w:shd w:val="clear" w:color="auto" w:fill="ffffff"/>
            <w:tcW w:w="1290"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lang w:val="en-US"/>
              </w:rPr>
              <w:t xml:space="preserve">实施方案（13分）</w:t>
            </w:r>
            <w:r/>
          </w:p>
        </w:tc>
        <w:tc>
          <w:tcPr>
            <w:shd w:val="clear" w:color="auto" w:fill="ffffff"/>
            <w:tcW w:w="7635" w:type="dxa"/>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根据投标人实施方案进行评分。实施方案应包括但不限于抽样、检验、数据上报、分析汇总等各项内容（13分）：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（1）方案内容全面，科学有效，可操作性强得13分；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（2）方案内容较全面，较科学，较有效，可操作性较强得</w:t>
            </w:r>
            <w:r>
              <w:rPr>
                <w:rFonts w:hint="eastAsia" w:ascii="宋体" w:hAnsi="宋体" w:cs="仿宋_GB2312"/>
                <w:sz w:val="24"/>
                <w:szCs w:val="24"/>
                <w:highlight w:val="none"/>
                <w:lang w:val="en-US" w:eastAsia="zh-CN"/>
              </w:rPr>
              <w:t xml:space="preserve">10</w:t>
            </w:r>
            <w:r>
              <w:rPr>
                <w:rFonts w:hint="eastAsia" w:ascii="宋体" w:hAnsi="宋体" w:cs="仿宋_GB2312"/>
                <w:sz w:val="24"/>
                <w:szCs w:val="24"/>
                <w:highlight w:val="none"/>
              </w:rPr>
              <w:t xml:space="preserve">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（3）实施方案内容基本完整，可操作性一般的得</w:t>
            </w:r>
            <w:r>
              <w:rPr>
                <w:rFonts w:hint="eastAsia" w:ascii="宋体" w:hAnsi="宋体" w:cs="仿宋_GB2312"/>
                <w:sz w:val="24"/>
                <w:szCs w:val="24"/>
                <w:highlight w:val="none"/>
                <w:lang w:val="en-US" w:eastAsia="zh-CN"/>
              </w:rPr>
              <w:t xml:space="preserve">7</w:t>
            </w:r>
            <w:r>
              <w:rPr>
                <w:rFonts w:hint="eastAsia" w:ascii="宋体" w:hAnsi="宋体" w:cs="仿宋_GB2312"/>
                <w:sz w:val="24"/>
                <w:szCs w:val="24"/>
                <w:highlight w:val="none"/>
              </w:rPr>
              <w:t xml:space="preserve">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（4）实施方案内容不完整，可操作性差的得</w:t>
            </w:r>
            <w:r>
              <w:rPr>
                <w:rFonts w:hint="eastAsia" w:ascii="宋体" w:hAnsi="宋体" w:cs="仿宋_GB2312"/>
                <w:sz w:val="24"/>
                <w:szCs w:val="24"/>
                <w:highlight w:val="none"/>
                <w:lang w:val="en-US" w:eastAsia="zh-CN"/>
              </w:rPr>
              <w:t xml:space="preserve">3</w:t>
            </w:r>
            <w:r>
              <w:rPr>
                <w:rFonts w:hint="eastAsia" w:ascii="宋体" w:hAnsi="宋体" w:cs="仿宋_GB2312"/>
                <w:sz w:val="24"/>
                <w:szCs w:val="24"/>
                <w:highlight w:val="none"/>
              </w:rPr>
              <w:t xml:space="preserve">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（5）未提供的不得分。 </w:t>
            </w:r>
            <w:r/>
          </w:p>
        </w:tc>
      </w:tr>
      <w:tr>
        <w:trPr>
          <w:trHeight w:val="697"/>
        </w:trPr>
        <w:tc>
          <w:tcPr>
            <w:shd w:val="clear" w:color="auto" w:fill="ffffff"/>
            <w:tcW w:w="705" w:type="dxa"/>
            <w:vAlign w:val="center"/>
            <w:vMerge w:val="continue"/>
            <w:textDirection w:val="lrTb"/>
            <w:noWrap w:val="false"/>
          </w:tcPr>
          <w:p>
            <w:pPr>
              <w:pStyle w:val="861"/>
              <w:rPr>
                <w:rFonts w:hint="eastAsia" w:ascii="宋体" w:hAnsi="宋体" w:cs="仿宋_GB2312"/>
                <w:sz w:val="24"/>
                <w:szCs w:val="24"/>
                <w:highlight w:val="none"/>
                <w:lang w:val="en-US"/>
              </w:rPr>
            </w:pPr>
            <w:r>
              <w:rPr>
                <w:rFonts w:hint="eastAsia" w:ascii="宋体" w:hAnsi="宋体" w:cs="仿宋_GB2312"/>
                <w:sz w:val="24"/>
                <w:szCs w:val="24"/>
                <w:highlight w:val="none"/>
                <w:lang w:val="en-US"/>
              </w:rPr>
            </w:r>
            <w:r/>
          </w:p>
        </w:tc>
        <w:tc>
          <w:tcPr>
            <w:shd w:val="clear" w:color="auto" w:fill="ffffff"/>
            <w:tcW w:w="1290" w:type="dxa"/>
            <w:vAlign w:val="center"/>
            <w:textDirection w:val="lrTb"/>
            <w:noWrap w:val="false"/>
          </w:tcPr>
          <w:p>
            <w:pPr>
              <w:pStyle w:val="861"/>
              <w:rPr>
                <w:rFonts w:hint="eastAsia" w:ascii="宋体" w:hAnsi="宋体" w:cs="仿宋_GB2312"/>
                <w:sz w:val="24"/>
                <w:szCs w:val="24"/>
                <w:highlight w:val="none"/>
                <w:lang w:val="en-US"/>
              </w:rPr>
            </w:pPr>
            <w:r>
              <w:rPr>
                <w:rFonts w:hint="eastAsia" w:ascii="宋体" w:hAnsi="宋体" w:cs="仿宋_GB2312"/>
                <w:sz w:val="24"/>
                <w:szCs w:val="24"/>
                <w:highlight w:val="none"/>
                <w:lang w:val="en-US"/>
              </w:rPr>
              <w:t xml:space="preserve">质量控制方案（</w:t>
            </w:r>
            <w:r>
              <w:rPr>
                <w:rFonts w:hint="eastAsia" w:ascii="宋体" w:hAnsi="宋体" w:cs="仿宋_GB2312"/>
                <w:sz w:val="24"/>
                <w:szCs w:val="24"/>
                <w:highlight w:val="none"/>
                <w:lang w:val="en-US" w:eastAsia="zh-CN"/>
              </w:rPr>
              <w:t xml:space="preserve">11</w:t>
            </w:r>
            <w:r>
              <w:rPr>
                <w:rFonts w:hint="eastAsia" w:ascii="宋体" w:hAnsi="宋体" w:cs="仿宋_GB2312"/>
                <w:sz w:val="24"/>
                <w:szCs w:val="24"/>
                <w:highlight w:val="none"/>
                <w:lang w:val="en-US"/>
              </w:rPr>
              <w:t xml:space="preserve">分）</w:t>
            </w:r>
            <w:r/>
          </w:p>
        </w:tc>
        <w:tc>
          <w:tcPr>
            <w:shd w:val="clear" w:color="auto" w:fill="ffffff"/>
            <w:tcW w:w="7635" w:type="dxa"/>
            <w:textDirection w:val="lrTb"/>
            <w:noWrap w:val="false"/>
          </w:tcPr>
          <w:p>
            <w:pPr>
              <w:pStyle w:val="861"/>
              <w:rPr>
                <w:rFonts w:hint="eastAsia" w:ascii="宋体" w:hAnsi="宋体" w:cs="仿宋_GB2312"/>
                <w:b/>
                <w:bCs/>
                <w:sz w:val="24"/>
                <w:szCs w:val="24"/>
                <w:highlight w:val="none"/>
              </w:rPr>
            </w:pPr>
            <w:r>
              <w:rPr>
                <w:rFonts w:hint="eastAsia" w:ascii="宋体" w:hAnsi="宋体" w:cs="仿宋_GB2312"/>
                <w:b/>
                <w:bCs/>
                <w:sz w:val="24"/>
                <w:szCs w:val="24"/>
                <w:highlight w:val="none"/>
              </w:rPr>
              <w:t xml:space="preserve">根据投标人质量控制方案进行评分。方案内容应包括但不限于以下5个内容：①质量方针②质量目标③质量承诺④质量保证措施⑤数据质量保证措施⑥</w:t>
            </w:r>
            <w:r>
              <w:rPr>
                <w:rFonts w:hint="eastAsia" w:ascii="宋体" w:hAnsi="宋体" w:cs="仿宋_GB2312"/>
                <w:b/>
                <w:bCs/>
                <w:sz w:val="24"/>
                <w:szCs w:val="24"/>
                <w:highlight w:val="none"/>
                <w:lang w:eastAsia="zh-CN"/>
              </w:rPr>
              <w:t xml:space="preserve">承担食品安全抽检任务的机构考核结果</w:t>
            </w:r>
            <w:r>
              <w:rPr>
                <w:rFonts w:hint="eastAsia" w:ascii="宋体" w:hAnsi="宋体" w:cs="仿宋_GB2312"/>
                <w:b/>
                <w:bCs/>
                <w:sz w:val="24"/>
                <w:szCs w:val="24"/>
                <w:highlight w:val="none"/>
              </w:rPr>
              <w:t xml:space="preserve">。</w:t>
            </w:r>
            <w:r/>
          </w:p>
          <w:p>
            <w:pPr>
              <w:pStyle w:val="861"/>
              <w:rPr>
                <w:rFonts w:hint="eastAsia" w:ascii="宋体" w:hAnsi="宋体" w:cs="仿宋_GB2312"/>
                <w:sz w:val="24"/>
                <w:szCs w:val="24"/>
                <w:highlight w:val="none"/>
              </w:rPr>
            </w:pPr>
            <w:r>
              <w:rPr>
                <w:rFonts w:hint="eastAsia" w:ascii="宋体" w:hAnsi="宋体" w:cs="仿宋_GB2312"/>
                <w:sz w:val="24"/>
                <w:szCs w:val="24"/>
                <w:highlight w:val="none"/>
                <w:lang w:eastAsia="zh-CN"/>
              </w:rPr>
              <w:t xml:space="preserve">（</w:t>
            </w:r>
            <w:r>
              <w:rPr>
                <w:rFonts w:hint="eastAsia" w:ascii="宋体" w:hAnsi="宋体" w:cs="仿宋_GB2312"/>
                <w:sz w:val="24"/>
                <w:szCs w:val="24"/>
                <w:highlight w:val="none"/>
                <w:lang w:val="en-US" w:eastAsia="zh-CN"/>
              </w:rPr>
              <w:t xml:space="preserve">1</w:t>
            </w:r>
            <w:r>
              <w:rPr>
                <w:rFonts w:hint="eastAsia" w:ascii="宋体" w:hAnsi="宋体" w:cs="仿宋_GB2312"/>
                <w:sz w:val="24"/>
                <w:szCs w:val="24"/>
                <w:highlight w:val="none"/>
                <w:lang w:eastAsia="zh-CN"/>
              </w:rPr>
              <w:t xml:space="preserve">）</w:t>
            </w:r>
            <w:r>
              <w:rPr>
                <w:rFonts w:hint="eastAsia" w:ascii="宋体" w:hAnsi="宋体" w:cs="仿宋_GB2312"/>
                <w:sz w:val="24"/>
                <w:szCs w:val="24"/>
                <w:highlight w:val="none"/>
              </w:rPr>
              <w:t xml:space="preserve">方案内容详细完整，能够满足项目需求，针对性强得</w:t>
            </w:r>
            <w:r>
              <w:rPr>
                <w:rFonts w:hint="eastAsia" w:ascii="宋体" w:hAnsi="宋体" w:cs="仿宋_GB2312"/>
                <w:sz w:val="24"/>
                <w:szCs w:val="24"/>
                <w:highlight w:val="none"/>
                <w:lang w:val="en-US" w:eastAsia="zh-CN"/>
              </w:rPr>
              <w:t xml:space="preserve">11</w:t>
            </w:r>
            <w:r>
              <w:rPr>
                <w:rFonts w:hint="eastAsia" w:ascii="宋体" w:hAnsi="宋体" w:cs="仿宋_GB2312"/>
                <w:sz w:val="24"/>
                <w:szCs w:val="24"/>
                <w:highlight w:val="none"/>
              </w:rPr>
              <w:t xml:space="preserve">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lang w:eastAsia="zh-CN"/>
              </w:rPr>
              <w:t xml:space="preserve">（</w:t>
            </w:r>
            <w:r>
              <w:rPr>
                <w:rFonts w:hint="eastAsia" w:ascii="宋体" w:hAnsi="宋体" w:cs="仿宋_GB2312"/>
                <w:sz w:val="24"/>
                <w:szCs w:val="24"/>
                <w:highlight w:val="none"/>
                <w:lang w:val="en-US" w:eastAsia="zh-CN"/>
              </w:rPr>
              <w:t xml:space="preserve">2</w:t>
            </w:r>
            <w:r>
              <w:rPr>
                <w:rFonts w:hint="eastAsia" w:ascii="宋体" w:hAnsi="宋体" w:cs="仿宋_GB2312"/>
                <w:sz w:val="24"/>
                <w:szCs w:val="24"/>
                <w:highlight w:val="none"/>
                <w:lang w:eastAsia="zh-CN"/>
              </w:rPr>
              <w:t xml:space="preserve">）</w:t>
            </w:r>
            <w:r>
              <w:rPr>
                <w:rFonts w:hint="eastAsia" w:ascii="宋体" w:hAnsi="宋体" w:cs="仿宋_GB2312"/>
                <w:sz w:val="24"/>
                <w:szCs w:val="24"/>
                <w:highlight w:val="none"/>
              </w:rPr>
              <w:t xml:space="preserve">方案内容较完整，基本能够满足项目需求，针对性较强得</w:t>
            </w:r>
            <w:r>
              <w:rPr>
                <w:rFonts w:hint="eastAsia" w:ascii="宋体" w:hAnsi="宋体" w:cs="仿宋_GB2312"/>
                <w:sz w:val="24"/>
                <w:szCs w:val="24"/>
                <w:highlight w:val="none"/>
                <w:lang w:val="en-US" w:eastAsia="zh-CN"/>
              </w:rPr>
              <w:t xml:space="preserve">7</w:t>
            </w:r>
            <w:r>
              <w:rPr>
                <w:rFonts w:hint="eastAsia" w:ascii="宋体" w:hAnsi="宋体" w:cs="仿宋_GB2312"/>
                <w:sz w:val="24"/>
                <w:szCs w:val="24"/>
                <w:highlight w:val="none"/>
              </w:rPr>
              <w:t xml:space="preserve">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lang w:eastAsia="zh-CN"/>
              </w:rPr>
              <w:t xml:space="preserve">（</w:t>
            </w:r>
            <w:r>
              <w:rPr>
                <w:rFonts w:hint="eastAsia" w:ascii="宋体" w:hAnsi="宋体" w:cs="仿宋_GB2312"/>
                <w:sz w:val="24"/>
                <w:szCs w:val="24"/>
                <w:highlight w:val="none"/>
                <w:lang w:val="en-US" w:eastAsia="zh-CN"/>
              </w:rPr>
              <w:t xml:space="preserve">3</w:t>
            </w:r>
            <w:r>
              <w:rPr>
                <w:rFonts w:hint="eastAsia" w:ascii="宋体" w:hAnsi="宋体" w:cs="仿宋_GB2312"/>
                <w:sz w:val="24"/>
                <w:szCs w:val="24"/>
                <w:highlight w:val="none"/>
                <w:lang w:eastAsia="zh-CN"/>
              </w:rPr>
              <w:t xml:space="preserve">）</w:t>
            </w:r>
            <w:r>
              <w:rPr>
                <w:rFonts w:hint="eastAsia" w:ascii="宋体" w:hAnsi="宋体" w:cs="仿宋_GB2312"/>
                <w:sz w:val="24"/>
                <w:szCs w:val="24"/>
                <w:highlight w:val="none"/>
              </w:rPr>
              <w:t xml:space="preserve">方案内容不完整，能够满足项目需求，针对性不强得</w:t>
            </w:r>
            <w:r>
              <w:rPr>
                <w:rFonts w:hint="eastAsia" w:ascii="宋体" w:hAnsi="宋体" w:cs="仿宋_GB2312"/>
                <w:sz w:val="24"/>
                <w:szCs w:val="24"/>
                <w:highlight w:val="none"/>
                <w:lang w:val="en-US" w:eastAsia="zh-CN"/>
              </w:rPr>
              <w:t xml:space="preserve">3</w:t>
            </w:r>
            <w:r>
              <w:rPr>
                <w:rFonts w:hint="eastAsia" w:ascii="宋体" w:hAnsi="宋体" w:cs="仿宋_GB2312"/>
                <w:sz w:val="24"/>
                <w:szCs w:val="24"/>
                <w:highlight w:val="none"/>
              </w:rPr>
              <w:t xml:space="preserve">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lang w:eastAsia="zh-CN"/>
              </w:rPr>
              <w:t xml:space="preserve">（</w:t>
            </w:r>
            <w:r>
              <w:rPr>
                <w:rFonts w:hint="eastAsia" w:ascii="宋体" w:hAnsi="宋体" w:cs="仿宋_GB2312"/>
                <w:sz w:val="24"/>
                <w:szCs w:val="24"/>
                <w:highlight w:val="none"/>
                <w:lang w:val="en-US" w:eastAsia="zh-CN"/>
              </w:rPr>
              <w:t xml:space="preserve">4</w:t>
            </w:r>
            <w:r>
              <w:rPr>
                <w:rFonts w:hint="eastAsia" w:ascii="宋体" w:hAnsi="宋体" w:cs="仿宋_GB2312"/>
                <w:sz w:val="24"/>
                <w:szCs w:val="24"/>
                <w:highlight w:val="none"/>
                <w:lang w:eastAsia="zh-CN"/>
              </w:rPr>
              <w:t xml:space="preserve">）</w:t>
            </w:r>
            <w:r>
              <w:rPr>
                <w:rFonts w:hint="eastAsia" w:ascii="宋体" w:hAnsi="宋体" w:cs="仿宋_GB2312"/>
                <w:sz w:val="24"/>
                <w:szCs w:val="24"/>
                <w:highlight w:val="none"/>
              </w:rPr>
              <w:t xml:space="preserve">未提供的不得分。</w:t>
            </w:r>
            <w:r/>
          </w:p>
        </w:tc>
      </w:tr>
      <w:tr>
        <w:trPr>
          <w:trHeight w:val="697"/>
        </w:trPr>
        <w:tc>
          <w:tcPr>
            <w:gridSpan w:val="2"/>
            <w:shd w:val="clear" w:color="auto" w:fill="ffffff"/>
            <w:tcW w:w="1995" w:type="dxa"/>
            <w:vAlign w:val="center"/>
            <w:textDirection w:val="lrTb"/>
            <w:noWrap w:val="false"/>
          </w:tcPr>
          <w:p>
            <w:pPr>
              <w:pStyle w:val="861"/>
              <w:rPr>
                <w:rFonts w:hint="eastAsia" w:ascii="宋体" w:hAnsi="宋体" w:cs="仿宋_GB2312"/>
                <w:color w:val="auto"/>
                <w:sz w:val="24"/>
                <w:szCs w:val="24"/>
                <w:highlight w:val="none"/>
                <w:lang w:val="en-US"/>
              </w:rPr>
            </w:pPr>
            <w:r>
              <w:rPr>
                <w:rFonts w:hint="eastAsia" w:ascii="宋体" w:hAnsi="宋体" w:cs="仿宋_GB2312"/>
                <w:color w:val="auto"/>
                <w:sz w:val="24"/>
                <w:szCs w:val="24"/>
                <w:highlight w:val="none"/>
                <w:lang w:val="en-US"/>
              </w:rPr>
              <w:t xml:space="preserve">减分项</w:t>
            </w:r>
            <w:r/>
          </w:p>
        </w:tc>
        <w:tc>
          <w:tcPr>
            <w:shd w:val="clear" w:color="auto" w:fill="ffffff"/>
            <w:tcW w:w="7635" w:type="dxa"/>
            <w:textDirection w:val="lrTb"/>
            <w:noWrap w:val="false"/>
          </w:tcPr>
          <w:p>
            <w:pPr>
              <w:pStyle w:val="861"/>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 xml:space="preserve">在食品安全抽检数据质量考核及机构考核中，被通报的，每出现扣2分。</w:t>
            </w:r>
            <w:r/>
          </w:p>
        </w:tc>
      </w:tr>
    </w:tbl>
    <w:p>
      <w:pPr>
        <w:pStyle w:val="861"/>
        <w:rPr>
          <w:rFonts w:hint="eastAsia" w:ascii="宋体" w:hAnsi="宋体" w:cs="仿宋_GB2312"/>
          <w:sz w:val="28"/>
          <w:szCs w:val="28"/>
          <w:highlight w:val="none"/>
        </w:rPr>
      </w:pPr>
      <w:r>
        <w:rPr>
          <w:rFonts w:hint="eastAsia" w:ascii="宋体" w:hAnsi="宋体" w:cs="仿宋_GB2312"/>
          <w:sz w:val="28"/>
          <w:szCs w:val="28"/>
          <w:highlight w:val="none"/>
        </w:rPr>
      </w:r>
      <w:r/>
    </w:p>
    <w:p>
      <w:pPr>
        <w:pStyle w:val="861"/>
        <w:rPr>
          <w:rFonts w:ascii="宋体" w:hAnsi="宋体" w:cs="仿宋_GB2312"/>
          <w:sz w:val="28"/>
          <w:szCs w:val="28"/>
          <w:highlight w:val="none"/>
        </w:rPr>
      </w:pPr>
      <w:r>
        <w:rPr>
          <w:rFonts w:hint="eastAsia" w:ascii="宋体" w:hAnsi="宋体" w:cs="仿宋_GB2312"/>
          <w:sz w:val="24"/>
          <w:szCs w:val="24"/>
          <w:highlight w:val="none"/>
        </w:rPr>
        <w:t xml:space="preserve">本章说明：本项目采用综合评分法，评分结果精确到小数点后两位。</w:t>
      </w:r>
      <w:r/>
    </w:p>
    <w:p>
      <w:pPr>
        <w:pStyle w:val="800"/>
        <w:rPr>
          <w:rFonts w:hint="eastAsia" w:ascii="宋体" w:hAnsi="宋体" w:eastAsia="宋体" w:cs="宋体"/>
          <w:sz w:val="24"/>
          <w:highlight w:val="none"/>
        </w:rPr>
      </w:pPr>
      <w:r/>
      <w:bookmarkStart w:id="10" w:name="_Toc523404699"/>
      <w:r/>
      <w:bookmarkStart w:id="11" w:name="_Toc522790134"/>
      <w:r>
        <w:rPr>
          <w:rFonts w:hint="eastAsia" w:ascii="宋体" w:hAnsi="宋体" w:eastAsia="宋体" w:cs="宋体"/>
          <w:highlight w:val="none"/>
        </w:rPr>
        <w:br w:type="page" w:clear="all"/>
      </w:r>
      <w:r>
        <w:rPr>
          <w:rFonts w:hint="eastAsia" w:ascii="宋体" w:hAnsi="宋体" w:eastAsia="宋体" w:cs="宋体"/>
          <w:highlight w:val="none"/>
        </w:rPr>
        <w:t xml:space="preserve">第五章  </w:t>
      </w:r>
      <w:bookmarkStart w:id="12" w:name="OLE_LINK1"/>
      <w:r>
        <w:rPr>
          <w:rFonts w:hint="eastAsia" w:ascii="宋体" w:hAnsi="宋体" w:eastAsia="宋体" w:cs="宋体"/>
          <w:highlight w:val="none"/>
        </w:rPr>
        <w:t xml:space="preserve">拟签订的合同文本</w:t>
      </w:r>
      <w:bookmarkEnd w:id="10"/>
      <w:r/>
      <w:bookmarkEnd w:id="11"/>
      <w:r/>
      <w:bookmarkEnd w:id="12"/>
      <w:r/>
      <w:r/>
    </w:p>
    <w:p>
      <w:pPr>
        <w:pStyle w:val="71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项目名称：徐州市市场监督管理局食品安全监督抽检</w:t>
      </w:r>
      <w:r/>
    </w:p>
    <w:p>
      <w:pPr>
        <w:pStyle w:val="71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JSZC-320300-YMXM-G2024-0013</w:t>
      </w:r>
      <w:r/>
    </w:p>
    <w:p>
      <w:pPr>
        <w:pStyle w:val="712"/>
        <w:ind w:firstLine="198"/>
        <w:jc w:val="center"/>
        <w:spacing w:line="300" w:lineRule="auto"/>
        <w:rPr>
          <w:rFonts w:cs="宋体" w:asciiTheme="minorEastAsia" w:hAnsiTheme="minorEastAsia" w:eastAsiaTheme="minorEastAsia"/>
          <w:sz w:val="44"/>
          <w:szCs w:val="44"/>
          <w:highlight w:val="none"/>
          <w:lang w:eastAsia="zh-CN"/>
        </w:rPr>
      </w:pPr>
      <w:r>
        <w:rPr>
          <w:rFonts w:hint="eastAsia" w:cs="宋体" w:asciiTheme="minorEastAsia" w:hAnsiTheme="minorEastAsia" w:eastAsiaTheme="minorEastAsia"/>
          <w:sz w:val="44"/>
          <w:szCs w:val="44"/>
          <w:highlight w:val="none"/>
          <w:lang w:eastAsia="zh-CN"/>
        </w:rPr>
        <w:t xml:space="preserve">政</w:t>
      </w:r>
      <w:r/>
    </w:p>
    <w:p>
      <w:pPr>
        <w:pStyle w:val="712"/>
        <w:ind w:firstLine="198"/>
        <w:jc w:val="center"/>
        <w:spacing w:line="300" w:lineRule="auto"/>
        <w:rPr>
          <w:rFonts w:cs="宋体" w:asciiTheme="minorEastAsia" w:hAnsiTheme="minorEastAsia" w:eastAsiaTheme="minorEastAsia"/>
          <w:sz w:val="44"/>
          <w:szCs w:val="44"/>
          <w:highlight w:val="none"/>
          <w:lang w:eastAsia="zh-CN"/>
        </w:rPr>
      </w:pPr>
      <w:r>
        <w:rPr>
          <w:rFonts w:hint="eastAsia" w:cs="宋体" w:asciiTheme="minorEastAsia" w:hAnsiTheme="minorEastAsia" w:eastAsiaTheme="minorEastAsia"/>
          <w:sz w:val="44"/>
          <w:szCs w:val="44"/>
          <w:highlight w:val="none"/>
          <w:lang w:eastAsia="zh-CN"/>
        </w:rPr>
        <w:t xml:space="preserve">府</w:t>
      </w:r>
      <w:r/>
    </w:p>
    <w:p>
      <w:pPr>
        <w:pStyle w:val="712"/>
        <w:ind w:firstLine="198"/>
        <w:jc w:val="center"/>
        <w:spacing w:line="300" w:lineRule="auto"/>
        <w:rPr>
          <w:rFonts w:cs="宋体" w:asciiTheme="minorEastAsia" w:hAnsiTheme="minorEastAsia" w:eastAsiaTheme="minorEastAsia"/>
          <w:sz w:val="44"/>
          <w:szCs w:val="44"/>
          <w:highlight w:val="none"/>
          <w:lang w:eastAsia="zh-CN"/>
        </w:rPr>
      </w:pPr>
      <w:r>
        <w:rPr>
          <w:rFonts w:hint="eastAsia" w:cs="宋体" w:asciiTheme="minorEastAsia" w:hAnsiTheme="minorEastAsia" w:eastAsiaTheme="minorEastAsia"/>
          <w:sz w:val="44"/>
          <w:szCs w:val="44"/>
          <w:highlight w:val="none"/>
          <w:lang w:eastAsia="zh-CN"/>
        </w:rPr>
        <w:t xml:space="preserve">采</w:t>
      </w:r>
      <w:r/>
    </w:p>
    <w:p>
      <w:pPr>
        <w:pStyle w:val="712"/>
        <w:ind w:firstLine="198"/>
        <w:jc w:val="center"/>
        <w:spacing w:line="300" w:lineRule="auto"/>
        <w:rPr>
          <w:rFonts w:cs="宋体" w:asciiTheme="minorEastAsia" w:hAnsiTheme="minorEastAsia" w:eastAsiaTheme="minorEastAsia"/>
          <w:sz w:val="44"/>
          <w:szCs w:val="44"/>
          <w:highlight w:val="none"/>
          <w:lang w:eastAsia="zh-CN"/>
        </w:rPr>
      </w:pPr>
      <w:r>
        <w:rPr>
          <w:rFonts w:hint="eastAsia" w:cs="宋体" w:asciiTheme="minorEastAsia" w:hAnsiTheme="minorEastAsia" w:eastAsiaTheme="minorEastAsia"/>
          <w:sz w:val="44"/>
          <w:szCs w:val="44"/>
          <w:highlight w:val="none"/>
          <w:lang w:eastAsia="zh-CN"/>
        </w:rPr>
        <w:t xml:space="preserve">购</w:t>
      </w:r>
      <w:r/>
    </w:p>
    <w:p>
      <w:pPr>
        <w:pStyle w:val="712"/>
        <w:ind w:firstLine="198"/>
        <w:jc w:val="center"/>
        <w:spacing w:line="300" w:lineRule="auto"/>
        <w:rPr>
          <w:rFonts w:cs="宋体" w:asciiTheme="minorEastAsia" w:hAnsiTheme="minorEastAsia" w:eastAsiaTheme="minorEastAsia"/>
          <w:sz w:val="44"/>
          <w:szCs w:val="44"/>
          <w:highlight w:val="none"/>
          <w:lang w:eastAsia="zh-CN"/>
        </w:rPr>
      </w:pPr>
      <w:r>
        <w:rPr>
          <w:rFonts w:hint="eastAsia" w:cs="宋体" w:asciiTheme="minorEastAsia" w:hAnsiTheme="minorEastAsia" w:eastAsiaTheme="minorEastAsia"/>
          <w:sz w:val="44"/>
          <w:szCs w:val="44"/>
          <w:highlight w:val="none"/>
          <w:lang w:eastAsia="zh-CN"/>
        </w:rPr>
        <w:t xml:space="preserve">合</w:t>
      </w:r>
      <w:r/>
    </w:p>
    <w:p>
      <w:pPr>
        <w:pStyle w:val="712"/>
        <w:ind w:firstLine="198"/>
        <w:jc w:val="center"/>
        <w:spacing w:line="300" w:lineRule="auto"/>
        <w:rPr>
          <w:rFonts w:cs="宋体" w:asciiTheme="minorEastAsia" w:hAnsiTheme="minorEastAsia" w:eastAsiaTheme="minorEastAsia"/>
          <w:sz w:val="44"/>
          <w:szCs w:val="44"/>
          <w:highlight w:val="none"/>
          <w:lang w:eastAsia="zh-CN"/>
        </w:rPr>
      </w:pPr>
      <w:r>
        <w:rPr>
          <w:rFonts w:hint="eastAsia" w:cs="宋体" w:asciiTheme="minorEastAsia" w:hAnsiTheme="minorEastAsia" w:eastAsiaTheme="minorEastAsia"/>
          <w:sz w:val="44"/>
          <w:szCs w:val="44"/>
          <w:highlight w:val="none"/>
          <w:lang w:eastAsia="zh-CN"/>
        </w:rPr>
        <w:t xml:space="preserve">同</w:t>
      </w:r>
      <w:r/>
    </w:p>
    <w:p>
      <w:pPr>
        <w:pStyle w:val="712"/>
        <w:spacing w:line="360" w:lineRule="auto"/>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sz w:val="24"/>
          <w:szCs w:val="24"/>
          <w:highlight w:val="none"/>
          <w:lang w:eastAsia="zh-CN"/>
        </w:rPr>
      </w:r>
      <w:r/>
    </w:p>
    <w:p>
      <w:pPr>
        <w:pStyle w:val="712"/>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  购  人：徐州市市场监督管理局</w:t>
      </w:r>
      <w:r/>
    </w:p>
    <w:p>
      <w:pPr>
        <w:pStyle w:val="712"/>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成交供应商：</w:t>
      </w:r>
      <w:r/>
    </w:p>
    <w:p>
      <w:pPr>
        <w:pStyle w:val="712"/>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合同签订日期：   年   月   日</w:t>
      </w:r>
      <w:r/>
    </w:p>
    <w:p>
      <w:pPr>
        <w:pStyle w:val="708"/>
        <w:ind w:firstLine="482"/>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友情提醒：采购人与中标、成交供应商应当在中标、成交通知书发出之日起三十日内，按照采购文件确定的事项签订政府采购合同。</w:t>
      </w:r>
      <w:r/>
    </w:p>
    <w:p>
      <w:pPr>
        <w:ind w:firstLine="482"/>
        <w:jc w:val="left"/>
        <w:keepLines w:val="0"/>
        <w:keepNext w:val="0"/>
        <w:pageBreakBefore w:val="0"/>
        <w:spacing w:line="360" w:lineRule="auto"/>
        <w:widowControl w:val="off"/>
        <w:tabs>
          <w:tab w:val="left" w:pos="720" w:leader="none"/>
        </w:tabs>
        <w:rPr>
          <w:rFonts w:hint="eastAsia" w:ascii="宋体" w:hAnsi="宋体" w:eastAsia="宋体" w:cs="宋体"/>
          <w:b/>
          <w:bCs/>
          <w:color w:val="000000"/>
          <w:sz w:val="52"/>
          <w:szCs w:val="52"/>
          <w:highlight w:val="none"/>
        </w:rPr>
      </w:pPr>
      <w:r>
        <w:rPr>
          <w:rFonts w:hint="eastAsia" w:ascii="宋体" w:hAnsi="宋体" w:eastAsia="宋体" w:cs="宋体"/>
          <w:b/>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tabs>
          <w:tab w:val="left" w:pos="720" w:leader="none"/>
        </w:tabs>
        <w:rPr>
          <w:rFonts w:hint="eastAsia" w:ascii="楷体" w:hAnsi="楷体" w:eastAsia="楷体"/>
          <w:b/>
          <w:sz w:val="32"/>
          <w:szCs w:val="32"/>
          <w:highlight w:val="none"/>
        </w:rPr>
      </w:pPr>
      <w:r>
        <w:rPr>
          <w:rFonts w:hint="eastAsia" w:ascii="楷体" w:hAnsi="楷体" w:eastAsia="楷体"/>
          <w:b/>
          <w:sz w:val="32"/>
          <w:szCs w:val="32"/>
          <w:highlight w:val="none"/>
        </w:rPr>
      </w:r>
      <w:r/>
    </w:p>
    <w:p>
      <w:pPr>
        <w:pStyle w:val="851"/>
        <w:rPr>
          <w:rFonts w:hint="eastAsia"/>
          <w:highlight w:val="none"/>
        </w:rPr>
      </w:pPr>
      <w:r>
        <w:rPr>
          <w:rFonts w:hint="eastAsia"/>
          <w:highlight w:val="none"/>
        </w:rPr>
      </w:r>
      <w:r/>
    </w:p>
    <w:p>
      <w:pPr>
        <w:spacing w:line="360" w:lineRule="auto"/>
        <w:tabs>
          <w:tab w:val="left" w:pos="720" w:leader="none"/>
        </w:tabs>
        <w:rPr>
          <w:rFonts w:hint="eastAsia" w:ascii="楷体" w:hAnsi="楷体" w:eastAsia="楷体"/>
          <w:b/>
          <w:sz w:val="32"/>
          <w:szCs w:val="32"/>
          <w:highlight w:val="none"/>
        </w:rPr>
      </w:pPr>
      <w:r>
        <w:rPr>
          <w:rFonts w:hint="eastAsia" w:ascii="楷体" w:hAnsi="楷体" w:eastAsia="楷体"/>
          <w:b/>
          <w:sz w:val="32"/>
          <w:szCs w:val="32"/>
          <w:highlight w:val="none"/>
        </w:rPr>
      </w:r>
      <w:r/>
    </w:p>
    <w:p>
      <w:pPr>
        <w:spacing w:line="360" w:lineRule="auto"/>
        <w:tabs>
          <w:tab w:val="left" w:pos="720" w:leader="none"/>
        </w:tabs>
        <w:rPr>
          <w:rFonts w:hint="eastAsia" w:ascii="楷体" w:hAnsi="楷体" w:eastAsia="楷体"/>
          <w:b/>
          <w:sz w:val="32"/>
          <w:szCs w:val="32"/>
          <w:highlight w:val="none"/>
        </w:rPr>
      </w:pPr>
      <w:r>
        <w:rPr>
          <w:rFonts w:hint="eastAsia" w:ascii="楷体" w:hAnsi="楷体" w:eastAsia="楷体"/>
          <w:b/>
          <w:sz w:val="32"/>
          <w:szCs w:val="32"/>
          <w:highlight w:val="none"/>
        </w:rPr>
        <w:t xml:space="preserve">        </w:t>
      </w:r>
      <w:r/>
    </w:p>
    <w:p>
      <w:pPr>
        <w:spacing w:line="360" w:lineRule="auto"/>
        <w:tabs>
          <w:tab w:val="left" w:pos="720" w:leader="none"/>
        </w:tabs>
        <w:rPr>
          <w:rFonts w:hint="eastAsia" w:ascii="楷体" w:hAnsi="楷体" w:eastAsia="楷体"/>
          <w:b/>
          <w:sz w:val="32"/>
          <w:szCs w:val="32"/>
          <w:highlight w:val="none"/>
        </w:rPr>
      </w:pPr>
      <w:r>
        <w:rPr>
          <w:rFonts w:hint="eastAsia" w:ascii="楷体" w:hAnsi="楷体" w:eastAsia="楷体"/>
          <w:b/>
          <w:sz w:val="32"/>
          <w:szCs w:val="32"/>
          <w:highlight w:val="none"/>
        </w:rPr>
      </w:r>
      <w:r/>
    </w:p>
    <w:p>
      <w:pPr>
        <w:spacing w:line="360" w:lineRule="auto"/>
        <w:tabs>
          <w:tab w:val="left" w:pos="720" w:leader="none"/>
        </w:tabs>
        <w:rPr>
          <w:rFonts w:hint="eastAsia" w:ascii="楷体" w:hAnsi="楷体" w:eastAsia="楷体"/>
          <w:b/>
          <w:sz w:val="32"/>
          <w:szCs w:val="32"/>
          <w:highlight w:val="none"/>
        </w:rPr>
      </w:pPr>
      <w:r>
        <w:rPr>
          <w:rFonts w:hint="eastAsia" w:ascii="楷体" w:hAnsi="楷体" w:eastAsia="楷体"/>
          <w:b/>
          <w:sz w:val="32"/>
          <w:szCs w:val="32"/>
          <w:highlight w:val="none"/>
        </w:rPr>
        <w:t xml:space="preserve">  </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       </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乙方（卖方）：</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签订地点：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 xml:space="preserve">签订日期：</w:t>
      </w:r>
      <w:r>
        <w:rPr>
          <w:rFonts w:hint="eastAsia" w:ascii="宋体" w:hAnsi="宋体" w:eastAsia="宋体" w:cs="宋体"/>
          <w:sz w:val="24"/>
          <w:szCs w:val="24"/>
          <w:highlight w:val="none"/>
          <w:u w:val="single"/>
          <w:lang w:val="en-US" w:eastAsia="zh-CN"/>
        </w:rPr>
        <w:t xml:space="preserve">                 </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eastAsia="zh-CN"/>
        </w:rPr>
        <w:t xml:space="preserve">招标采购</w:t>
      </w:r>
      <w:r>
        <w:rPr>
          <w:rFonts w:hint="eastAsia" w:ascii="宋体" w:hAnsi="宋体" w:eastAsia="宋体" w:cs="宋体"/>
          <w:sz w:val="24"/>
          <w:szCs w:val="24"/>
          <w:highlight w:val="none"/>
        </w:rPr>
        <w:t xml:space="preserve">的结果，甲方将</w:t>
      </w:r>
      <w:r>
        <w:rPr>
          <w:rFonts w:hint="eastAsia" w:ascii="宋体" w:hAnsi="宋体" w:eastAsia="宋体" w:cs="宋体"/>
          <w:sz w:val="24"/>
          <w:szCs w:val="24"/>
          <w:highlight w:val="none"/>
          <w:u w:val="single"/>
          <w:lang w:val="en-US" w:eastAsia="zh-CN"/>
        </w:rPr>
        <w:t xml:space="preserve">             项目</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）委托给乙方。根据《中华人民共和国民法典》、《中华人民共和国政府采购法》及有关法律、法规，在自愿、平等、协商一致的基础上，甲乙双方恪守公平、公正、诚信的原则，签订本合同。</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一、服务范围及内容：乙方根据甲方需求，提供下列服务： </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1、抽检品种：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2、检测项目及批次：</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二、合同价及结算方式：</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1、合同总价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经双方协商一致， 选择以下第 （    ）种付款方式:</w:t>
      </w:r>
      <w:r/>
    </w:p>
    <w:p>
      <w:pPr>
        <w:pStyle w:val="716"/>
        <w:ind w:firstLine="482"/>
        <w:keepLines w:val="0"/>
        <w:keepNext w:val="0"/>
        <w:pageBreakBefore w:val="0"/>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付款方式一：提交预付款保函的</w:t>
      </w:r>
      <w:r/>
    </w:p>
    <w:p>
      <w:pPr>
        <w:pStyle w:val="716"/>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w:t>
      </w:r>
      <w:r>
        <w:rPr>
          <w:rFonts w:hint="eastAsia" w:ascii="宋体" w:hAnsi="宋体" w:eastAsia="宋体" w:cs="宋体"/>
          <w:sz w:val="24"/>
          <w:szCs w:val="24"/>
          <w:highlight w:val="none"/>
          <w:lang w:eastAsia="zh-CN"/>
        </w:rPr>
        <w:t xml:space="preserve">五</w:t>
      </w:r>
      <w:r>
        <w:rPr>
          <w:rFonts w:hint="eastAsia" w:ascii="宋体" w:hAnsi="宋体" w:eastAsia="宋体" w:cs="宋体"/>
          <w:sz w:val="24"/>
          <w:szCs w:val="24"/>
          <w:highlight w:val="none"/>
          <w:u w:val="single"/>
        </w:rPr>
        <w:t xml:space="preserve">十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50</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p>
    <w:p>
      <w:pPr>
        <w:pStyle w:val="716"/>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在合同签订生效</w:t>
      </w:r>
      <w:r>
        <w:rPr>
          <w:rFonts w:hint="eastAsia" w:ascii="宋体" w:hAnsi="宋体" w:eastAsia="宋体" w:cs="宋体"/>
          <w:sz w:val="24"/>
          <w:szCs w:val="24"/>
          <w:highlight w:val="none"/>
          <w:lang w:val="en-US" w:eastAsia="zh-CN"/>
        </w:rPr>
        <w:t xml:space="preserve">15日内</w:t>
      </w:r>
      <w:r>
        <w:rPr>
          <w:rFonts w:hint="eastAsia" w:ascii="宋体" w:hAnsi="宋体" w:eastAsia="宋体" w:cs="宋体"/>
          <w:sz w:val="24"/>
          <w:szCs w:val="24"/>
          <w:highlight w:val="none"/>
        </w:rPr>
        <w:t xml:space="preserve">，乙方向甲方出具等额预付款保函后，办理政府采购资金结算手续</w:t>
      </w:r>
      <w:r>
        <w:rPr>
          <w:rFonts w:hint="eastAsia" w:ascii="宋体" w:hAnsi="宋体" w:eastAsia="宋体" w:cs="宋体"/>
          <w:bCs/>
          <w:sz w:val="24"/>
          <w:szCs w:val="24"/>
          <w:highlight w:val="none"/>
        </w:rPr>
        <w:t xml:space="preserve">支付给乙方</w:t>
      </w:r>
      <w:r>
        <w:rPr>
          <w:rFonts w:hint="eastAsia" w:ascii="宋体" w:hAnsi="宋体" w:eastAsia="宋体" w:cs="宋体"/>
          <w:sz w:val="24"/>
          <w:szCs w:val="24"/>
          <w:highlight w:val="none"/>
        </w:rPr>
        <w:t xml:space="preserve">。</w:t>
      </w:r>
      <w:r/>
    </w:p>
    <w:p>
      <w:pPr>
        <w:pStyle w:val="716"/>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w:t>
      </w:r>
      <w:r>
        <w:rPr>
          <w:rFonts w:hint="eastAsia" w:ascii="宋体" w:hAnsi="宋体" w:eastAsia="宋体" w:cs="宋体"/>
          <w:sz w:val="24"/>
          <w:szCs w:val="24"/>
          <w:highlight w:val="none"/>
          <w:lang w:eastAsia="zh-CN"/>
        </w:rPr>
        <w:t xml:space="preserve">剩余部分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在乙方</w:t>
      </w:r>
      <w:r>
        <w:rPr>
          <w:rFonts w:hint="eastAsia" w:ascii="宋体" w:hAnsi="宋体" w:eastAsia="宋体" w:cs="宋体"/>
          <w:sz w:val="24"/>
          <w:szCs w:val="24"/>
          <w:highlight w:val="none"/>
        </w:rPr>
        <w:t xml:space="preserve">完成委托抽检任务后，由</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根据任务完成情况在</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日内</w:t>
      </w:r>
      <w:r>
        <w:rPr>
          <w:rFonts w:hint="eastAsia" w:ascii="宋体" w:hAnsi="宋体" w:eastAsia="宋体" w:cs="宋体"/>
          <w:sz w:val="24"/>
          <w:szCs w:val="24"/>
          <w:highlight w:val="none"/>
          <w:lang w:eastAsia="zh-CN"/>
        </w:rPr>
        <w:t xml:space="preserve">按实际完成量</w:t>
      </w:r>
      <w:r>
        <w:rPr>
          <w:rFonts w:hint="eastAsia" w:ascii="宋体" w:hAnsi="宋体" w:eastAsia="宋体" w:cs="宋体"/>
          <w:sz w:val="24"/>
          <w:szCs w:val="24"/>
          <w:highlight w:val="none"/>
        </w:rPr>
        <w:t xml:space="preserve">进行结算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自收到发票（发票金额为合同总价的</w:t>
      </w:r>
      <w:r>
        <w:rPr>
          <w:rFonts w:hint="eastAsia" w:ascii="宋体" w:hAnsi="宋体" w:eastAsia="宋体" w:cs="宋体"/>
          <w:sz w:val="24"/>
          <w:szCs w:val="24"/>
          <w:highlight w:val="none"/>
          <w:u w:val="none"/>
          <w:lang w:val="en-US" w:eastAsia="zh-CN"/>
        </w:rPr>
        <w:t xml:space="preserve">50%</w:t>
      </w:r>
      <w:r>
        <w:rPr>
          <w:rFonts w:hint="eastAsia" w:ascii="宋体" w:hAnsi="宋体" w:eastAsia="宋体" w:cs="宋体"/>
          <w:sz w:val="24"/>
          <w:szCs w:val="24"/>
          <w:highlight w:val="none"/>
        </w:rPr>
        <w:t xml:space="preserve">）后</w:t>
      </w:r>
      <w:r>
        <w:rPr>
          <w:rFonts w:hint="eastAsia" w:ascii="宋体" w:hAnsi="宋体" w:eastAsia="宋体" w:cs="宋体"/>
          <w:sz w:val="24"/>
          <w:szCs w:val="24"/>
          <w:highlight w:val="none"/>
          <w:u w:val="single"/>
        </w:rPr>
        <w:t xml:space="preserve">15日</w:t>
      </w:r>
      <w:r>
        <w:rPr>
          <w:rFonts w:hint="eastAsia" w:ascii="宋体" w:hAnsi="宋体" w:eastAsia="宋体" w:cs="宋体"/>
          <w:sz w:val="24"/>
          <w:szCs w:val="24"/>
          <w:highlight w:val="none"/>
        </w:rPr>
        <w:t xml:space="preserve">内，由</w:t>
      </w:r>
      <w:r>
        <w:rPr>
          <w:rFonts w:hint="eastAsia" w:ascii="宋体" w:hAnsi="宋体" w:eastAsia="宋体" w:cs="宋体"/>
          <w:sz w:val="24"/>
          <w:szCs w:val="24"/>
          <w:highlight w:val="none"/>
          <w:lang w:eastAsia="zh-CN"/>
        </w:rPr>
        <w:t xml:space="preserve">甲</w:t>
      </w:r>
      <w:r>
        <w:rPr>
          <w:rFonts w:hint="eastAsia" w:ascii="宋体" w:hAnsi="宋体" w:eastAsia="宋体" w:cs="宋体"/>
          <w:sz w:val="24"/>
          <w:szCs w:val="24"/>
          <w:highlight w:val="none"/>
        </w:rPr>
        <w:t xml:space="preserve">方办理政府采购资金结算手续，经审核后支付给</w:t>
      </w:r>
      <w:r>
        <w:rPr>
          <w:rFonts w:hint="eastAsia" w:ascii="宋体" w:hAnsi="宋体" w:eastAsia="宋体" w:cs="宋体"/>
          <w:sz w:val="24"/>
          <w:szCs w:val="24"/>
          <w:highlight w:val="none"/>
          <w:lang w:eastAsia="zh-CN"/>
        </w:rPr>
        <w:t xml:space="preserve">乙</w:t>
      </w:r>
      <w:r>
        <w:rPr>
          <w:rFonts w:hint="eastAsia" w:ascii="宋体" w:hAnsi="宋体" w:eastAsia="宋体" w:cs="宋体"/>
          <w:sz w:val="24"/>
          <w:szCs w:val="24"/>
          <w:highlight w:val="none"/>
        </w:rPr>
        <w:t xml:space="preserve">方。</w:t>
      </w:r>
      <w:r/>
    </w:p>
    <w:p>
      <w:pPr>
        <w:pStyle w:val="716"/>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6"/>
        <w:ind w:firstLine="482"/>
        <w:keepLines w:val="0"/>
        <w:keepNext w:val="0"/>
        <w:pageBreakBefore w:val="0"/>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付款方式</w:t>
      </w: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不</w:t>
      </w:r>
      <w:r>
        <w:rPr>
          <w:rFonts w:hint="eastAsia" w:ascii="宋体" w:hAnsi="宋体" w:eastAsia="宋体" w:cs="宋体"/>
          <w:b/>
          <w:bCs/>
          <w:color w:val="000000"/>
          <w:sz w:val="24"/>
          <w:szCs w:val="24"/>
          <w:highlight w:val="none"/>
        </w:rPr>
        <w:t xml:space="preserve">提交预付款保函的</w:t>
      </w:r>
      <w:r/>
    </w:p>
    <w:p>
      <w:pPr>
        <w:pStyle w:val="716"/>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w:t>
      </w:r>
      <w:r>
        <w:rPr>
          <w:rFonts w:hint="eastAsia" w:ascii="宋体" w:hAnsi="宋体" w:eastAsia="宋体" w:cs="宋体"/>
          <w:sz w:val="24"/>
          <w:szCs w:val="24"/>
          <w:highlight w:val="none"/>
          <w:u w:val="single"/>
        </w:rPr>
        <w:t xml:space="preserve">三十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30</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p>
    <w:p>
      <w:pPr>
        <w:pStyle w:val="716"/>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在合同签订生效，买方自收到发票（发票金额为合同总价的</w:t>
      </w:r>
      <w:r>
        <w:rPr>
          <w:rFonts w:hint="eastAsia" w:ascii="宋体" w:hAnsi="宋体" w:eastAsia="宋体" w:cs="宋体"/>
          <w:sz w:val="24"/>
          <w:szCs w:val="24"/>
          <w:highlight w:val="none"/>
          <w:u w:val="single"/>
        </w:rPr>
        <w:t xml:space="preserve">30</w:t>
      </w:r>
      <w:r>
        <w:rPr>
          <w:rFonts w:hint="eastAsia" w:ascii="宋体" w:hAnsi="宋体" w:eastAsia="宋体" w:cs="宋体"/>
          <w:sz w:val="24"/>
          <w:szCs w:val="24"/>
          <w:highlight w:val="none"/>
        </w:rPr>
        <w:t xml:space="preserve">%）后</w:t>
      </w:r>
      <w:r>
        <w:rPr>
          <w:rFonts w:hint="eastAsia" w:ascii="宋体" w:hAnsi="宋体" w:eastAsia="宋体" w:cs="宋体"/>
          <w:sz w:val="24"/>
          <w:szCs w:val="24"/>
          <w:highlight w:val="none"/>
          <w:u w:val="single"/>
        </w:rPr>
        <w:t xml:space="preserve">15日</w:t>
      </w:r>
      <w:r>
        <w:rPr>
          <w:rFonts w:hint="eastAsia" w:ascii="宋体" w:hAnsi="宋体" w:eastAsia="宋体" w:cs="宋体"/>
          <w:sz w:val="24"/>
          <w:szCs w:val="24"/>
          <w:highlight w:val="none"/>
        </w:rPr>
        <w:t xml:space="preserve">内，办理政府采购资金结算手续</w:t>
      </w:r>
      <w:r>
        <w:rPr>
          <w:rFonts w:hint="eastAsia" w:ascii="宋体" w:hAnsi="宋体" w:eastAsia="宋体" w:cs="宋体"/>
          <w:bCs/>
          <w:sz w:val="24"/>
          <w:szCs w:val="24"/>
          <w:highlight w:val="none"/>
        </w:rPr>
        <w:t xml:space="preserve">支付给乙方</w:t>
      </w:r>
      <w:r>
        <w:rPr>
          <w:rFonts w:hint="eastAsia" w:ascii="宋体" w:hAnsi="宋体" w:eastAsia="宋体" w:cs="宋体"/>
          <w:sz w:val="24"/>
          <w:szCs w:val="24"/>
          <w:highlight w:val="none"/>
        </w:rPr>
        <w:t xml:space="preserve">。</w:t>
      </w:r>
      <w:r/>
    </w:p>
    <w:p>
      <w:pPr>
        <w:pStyle w:val="716"/>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w:t>
      </w:r>
      <w:r>
        <w:rPr>
          <w:rFonts w:hint="eastAsia" w:ascii="宋体" w:hAnsi="宋体" w:eastAsia="宋体" w:cs="宋体"/>
          <w:sz w:val="24"/>
          <w:szCs w:val="24"/>
          <w:highlight w:val="none"/>
          <w:lang w:eastAsia="zh-CN"/>
        </w:rPr>
        <w:t xml:space="preserve">剩余部分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在乙方</w:t>
      </w:r>
      <w:r>
        <w:rPr>
          <w:rFonts w:hint="eastAsia" w:ascii="宋体" w:hAnsi="宋体" w:eastAsia="宋体" w:cs="宋体"/>
          <w:sz w:val="24"/>
          <w:szCs w:val="24"/>
          <w:highlight w:val="none"/>
        </w:rPr>
        <w:t xml:space="preserve">完成委托抽检任务后，由</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根据任务完成情况在</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日内</w:t>
      </w:r>
      <w:r>
        <w:rPr>
          <w:rFonts w:hint="eastAsia" w:ascii="宋体" w:hAnsi="宋体" w:eastAsia="宋体" w:cs="宋体"/>
          <w:sz w:val="24"/>
          <w:szCs w:val="24"/>
          <w:highlight w:val="none"/>
          <w:lang w:eastAsia="zh-CN"/>
        </w:rPr>
        <w:t xml:space="preserve">按实际完成量</w:t>
      </w:r>
      <w:r>
        <w:rPr>
          <w:rFonts w:hint="eastAsia" w:ascii="宋体" w:hAnsi="宋体" w:eastAsia="宋体" w:cs="宋体"/>
          <w:sz w:val="24"/>
          <w:szCs w:val="24"/>
          <w:highlight w:val="none"/>
        </w:rPr>
        <w:t xml:space="preserve">进行结算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自收到发票（发票金额为合同总价的</w:t>
      </w:r>
      <w:r>
        <w:rPr>
          <w:rFonts w:hint="eastAsia" w:ascii="宋体" w:hAnsi="宋体" w:eastAsia="宋体" w:cs="宋体"/>
          <w:sz w:val="24"/>
          <w:szCs w:val="24"/>
          <w:highlight w:val="none"/>
          <w:u w:val="none"/>
          <w:lang w:val="en-US" w:eastAsia="zh-CN"/>
        </w:rPr>
        <w:t xml:space="preserve">70%</w:t>
      </w:r>
      <w:r>
        <w:rPr>
          <w:rFonts w:hint="eastAsia" w:ascii="宋体" w:hAnsi="宋体" w:eastAsia="宋体" w:cs="宋体"/>
          <w:sz w:val="24"/>
          <w:szCs w:val="24"/>
          <w:highlight w:val="none"/>
        </w:rPr>
        <w:t xml:space="preserve">）后</w:t>
      </w:r>
      <w:r>
        <w:rPr>
          <w:rFonts w:hint="eastAsia" w:ascii="宋体" w:hAnsi="宋体" w:eastAsia="宋体" w:cs="宋体"/>
          <w:sz w:val="24"/>
          <w:szCs w:val="24"/>
          <w:highlight w:val="none"/>
          <w:u w:val="single"/>
        </w:rPr>
        <w:t xml:space="preserve">15日</w:t>
      </w:r>
      <w:r>
        <w:rPr>
          <w:rFonts w:hint="eastAsia" w:ascii="宋体" w:hAnsi="宋体" w:eastAsia="宋体" w:cs="宋体"/>
          <w:sz w:val="24"/>
          <w:szCs w:val="24"/>
          <w:highlight w:val="none"/>
        </w:rPr>
        <w:t xml:space="preserve">内，由</w:t>
      </w:r>
      <w:r>
        <w:rPr>
          <w:rFonts w:hint="eastAsia" w:ascii="宋体" w:hAnsi="宋体" w:eastAsia="宋体" w:cs="宋体"/>
          <w:sz w:val="24"/>
          <w:szCs w:val="24"/>
          <w:highlight w:val="none"/>
          <w:lang w:eastAsia="zh-CN"/>
        </w:rPr>
        <w:t xml:space="preserve">甲</w:t>
      </w:r>
      <w:r>
        <w:rPr>
          <w:rFonts w:hint="eastAsia" w:ascii="宋体" w:hAnsi="宋体" w:eastAsia="宋体" w:cs="宋体"/>
          <w:sz w:val="24"/>
          <w:szCs w:val="24"/>
          <w:highlight w:val="none"/>
        </w:rPr>
        <w:t xml:space="preserve">方办理政府采购资金结算手续，经审核后支付给</w:t>
      </w:r>
      <w:r>
        <w:rPr>
          <w:rFonts w:hint="eastAsia" w:ascii="宋体" w:hAnsi="宋体" w:eastAsia="宋体" w:cs="宋体"/>
          <w:sz w:val="24"/>
          <w:szCs w:val="24"/>
          <w:highlight w:val="none"/>
          <w:lang w:eastAsia="zh-CN"/>
        </w:rPr>
        <w:t xml:space="preserve">乙</w:t>
      </w:r>
      <w:r>
        <w:rPr>
          <w:rFonts w:hint="eastAsia" w:ascii="宋体" w:hAnsi="宋体" w:eastAsia="宋体" w:cs="宋体"/>
          <w:sz w:val="24"/>
          <w:szCs w:val="24"/>
          <w:highlight w:val="none"/>
        </w:rPr>
        <w:t xml:space="preserve">方。</w:t>
      </w:r>
      <w:r/>
    </w:p>
    <w:p>
      <w:pPr>
        <w:pStyle w:val="709"/>
        <w:ind w:left="0" w:right="0" w:firstLine="480"/>
        <w:jc w:val="both"/>
        <w:keepLines w:val="0"/>
        <w:keepNext w:val="0"/>
        <w:pageBreakBefore w:val="0"/>
        <w:spacing w:before="0" w:after="0" w:line="52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乙方要求付款应提供以下资料：乙方开具的正式发票。 </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未列明，而是乙方履行本合同必需的费用也包含在合同总价中。</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3、本合同总价还包含乙方提供的伴随服务售后服务费用。</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价不变。</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三、质量要求、技术标准及服务承诺：</w:t>
      </w:r>
      <w:r>
        <w:rPr>
          <w:rFonts w:hint="eastAsia" w:ascii="宋体" w:hAnsi="宋体" w:eastAsia="宋体" w:cs="宋体"/>
          <w:sz w:val="24"/>
          <w:szCs w:val="24"/>
          <w:highlight w:val="none"/>
          <w:u w:val="single"/>
        </w:rPr>
        <w:t xml:space="preserve">具体见</w:t>
      </w:r>
      <w:r>
        <w:rPr>
          <w:rFonts w:hint="eastAsia" w:ascii="宋体" w:hAnsi="宋体" w:eastAsia="宋体" w:cs="宋体"/>
          <w:sz w:val="24"/>
          <w:szCs w:val="24"/>
          <w:highlight w:val="none"/>
          <w:u w:val="single"/>
          <w:lang w:eastAsia="zh-CN"/>
        </w:rPr>
        <w:t xml:space="preserve">招标文件</w:t>
      </w:r>
      <w:r>
        <w:rPr>
          <w:rFonts w:hint="eastAsia" w:ascii="宋体" w:hAnsi="宋体" w:eastAsia="宋体" w:cs="宋体"/>
          <w:sz w:val="24"/>
          <w:szCs w:val="24"/>
          <w:highlight w:val="none"/>
          <w:u w:val="single"/>
        </w:rPr>
        <w:t xml:space="preserve">及乙方</w:t>
      </w:r>
      <w:r>
        <w:rPr>
          <w:rFonts w:hint="eastAsia" w:ascii="宋体" w:hAnsi="宋体" w:eastAsia="宋体" w:cs="宋体"/>
          <w:sz w:val="24"/>
          <w:szCs w:val="24"/>
          <w:highlight w:val="none"/>
          <w:u w:val="single"/>
          <w:lang w:eastAsia="zh-CN"/>
        </w:rPr>
        <w:t xml:space="preserve">投标文件</w:t>
      </w:r>
      <w:r>
        <w:rPr>
          <w:rFonts w:hint="eastAsia" w:ascii="宋体" w:hAnsi="宋体" w:eastAsia="宋体" w:cs="宋体"/>
          <w:sz w:val="24"/>
          <w:szCs w:val="24"/>
          <w:highlight w:val="none"/>
          <w:u w:val="single"/>
        </w:rPr>
        <w:t xml:space="preserve">[项目编号：           </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rPr>
        <w:t xml:space="preserve">。</w:t>
      </w:r>
      <w:r/>
    </w:p>
    <w:p>
      <w:pPr>
        <w:pStyle w:val="709"/>
        <w:ind w:firstLine="482"/>
        <w:keepLines w:val="0"/>
        <w:keepNext w:val="0"/>
        <w:pageBreakBefore w:val="0"/>
        <w:spacing w:line="52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四、履约保证金：</w:t>
      </w:r>
      <w:r>
        <w:rPr>
          <w:rFonts w:hint="eastAsia" w:ascii="宋体" w:hAnsi="宋体" w:eastAsia="宋体" w:cs="宋体"/>
          <w:b/>
          <w:bCs/>
          <w:sz w:val="24"/>
          <w:szCs w:val="24"/>
          <w:highlight w:val="none"/>
          <w:lang w:eastAsia="zh-CN"/>
        </w:rPr>
        <w:t xml:space="preserve">无</w:t>
      </w:r>
      <w:r/>
    </w:p>
    <w:p>
      <w:pPr>
        <w:pStyle w:val="762"/>
        <w:ind w:firstLine="482"/>
        <w:keepLines w:val="0"/>
        <w:keepNext w:val="0"/>
        <w:pageBreakBefore w:val="0"/>
        <w:spacing w:before="120" w:after="12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五、组成本合同的有关文件</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1、乙方应按</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规定的时间向甲方提供服务的有关技术资料。</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2、没有经甲方书面同意，乙方不得将由甲方提供的有关合同或任何合同条文或资料提供给任何其他人。即使向履行本合同有关的人员提供，也应注意保密并限于履行合同的必需范围。</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3、关于本项目</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投标文件</w:t>
      </w:r>
      <w:r>
        <w:rPr>
          <w:rFonts w:hint="eastAsia" w:ascii="宋体" w:hAnsi="宋体" w:eastAsia="宋体" w:cs="宋体"/>
          <w:sz w:val="24"/>
          <w:szCs w:val="24"/>
          <w:highlight w:val="none"/>
        </w:rPr>
        <w:t xml:space="preserve">或与本次采购活动方式相适应的文件及有关附件是本合同不可分割的组成部分，这些文件包括但不限于：</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投标文件</w:t>
      </w:r>
      <w:r>
        <w:rPr>
          <w:rFonts w:hint="eastAsia" w:ascii="宋体" w:hAnsi="宋体" w:eastAsia="宋体" w:cs="宋体"/>
          <w:sz w:val="24"/>
          <w:szCs w:val="24"/>
          <w:highlight w:val="none"/>
        </w:rPr>
        <w:t xml:space="preserve">；（3）项目组人员表；（4）技术参数、商务条款响应及偏离表；（5）服务承诺；（6）中标（成交）通知书；（7）甲乙双方补充协议；</w:t>
      </w:r>
      <w:r/>
    </w:p>
    <w:p>
      <w:pPr>
        <w:pStyle w:val="762"/>
        <w:ind w:firstLine="482"/>
        <w:keepLines w:val="0"/>
        <w:keepNext w:val="0"/>
        <w:pageBreakBefore w:val="0"/>
        <w:spacing w:before="120" w:after="12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六、交付和验收：</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1、乙方应当在合同签订后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天内完成服务事项，</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有约定的，从其约定。</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在交付前，乙方应作出全面检查和对验收文件进行整理，并列出清单，作为甲方初验收和使用的技术条件依据，检验的结果交甲方。</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2、验收标准：按</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的要求及乙方</w:t>
      </w:r>
      <w:r>
        <w:rPr>
          <w:rFonts w:hint="eastAsia" w:ascii="宋体" w:hAnsi="宋体" w:eastAsia="宋体" w:cs="宋体"/>
          <w:sz w:val="24"/>
          <w:szCs w:val="24"/>
          <w:highlight w:val="none"/>
          <w:lang w:eastAsia="zh-CN"/>
        </w:rPr>
        <w:t xml:space="preserve">投标文件</w:t>
      </w:r>
      <w:r>
        <w:rPr>
          <w:rFonts w:hint="eastAsia" w:ascii="宋体" w:hAnsi="宋体" w:eastAsia="宋体" w:cs="宋体"/>
          <w:sz w:val="24"/>
          <w:szCs w:val="24"/>
          <w:highlight w:val="none"/>
        </w:rPr>
        <w:t xml:space="preserve">的承诺，并不低于国家相关标准。</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对于乙方要交付的服务，甲乙双方须在</w:t>
      </w:r>
      <w:r>
        <w:rPr>
          <w:rFonts w:hint="eastAsia" w:ascii="宋体" w:hAnsi="宋体" w:eastAsia="宋体" w:cs="宋体"/>
          <w:sz w:val="24"/>
          <w:szCs w:val="24"/>
          <w:highlight w:val="none"/>
          <w:u w:val="single"/>
        </w:rPr>
        <w:t xml:space="preserve">  5 </w:t>
      </w:r>
      <w:r>
        <w:rPr>
          <w:rFonts w:hint="eastAsia" w:ascii="宋体" w:hAnsi="宋体" w:eastAsia="宋体" w:cs="宋体"/>
          <w:sz w:val="24"/>
          <w:szCs w:val="24"/>
          <w:highlight w:val="none"/>
        </w:rPr>
        <w:t xml:space="preserve">工作日内初验收，甲方对乙方提交的服务依据</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上的技术要求和国家有关质量标准进行现场初步验收，外观、说明书、包装符合</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技术要求的，给予签收，初步验收不合格的不予签收。</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3、乙方按照</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要求培训甲方的相关人员，乙方在甲方使用前进行调试，调试直到符合技术要求的甲方才做最终验收。</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5、甲乙双方关于调试和验收的其他约定：</w:t>
      </w:r>
      <w:r>
        <w:rPr>
          <w:rFonts w:hint="eastAsia" w:ascii="宋体" w:hAnsi="宋体" w:eastAsia="宋体" w:cs="宋体"/>
          <w:sz w:val="24"/>
          <w:szCs w:val="24"/>
          <w:highlight w:val="none"/>
          <w:u w:val="single"/>
        </w:rPr>
        <w:t xml:space="preserve">           无</w:t>
      </w:r>
      <w:r>
        <w:rPr>
          <w:rFonts w:hint="eastAsia" w:ascii="宋体" w:hAnsi="宋体" w:eastAsia="宋体" w:cs="宋体"/>
          <w:sz w:val="24"/>
          <w:szCs w:val="24"/>
          <w:highlight w:val="none"/>
        </w:rPr>
        <w:t xml:space="preserve">。</w:t>
      </w:r>
      <w:r/>
    </w:p>
    <w:p>
      <w:pPr>
        <w:pStyle w:val="762"/>
        <w:ind w:firstLine="482"/>
        <w:keepLines w:val="0"/>
        <w:keepNext w:val="0"/>
        <w:pageBreakBefore w:val="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七、质量保证及售后服务：</w:t>
      </w:r>
      <w:r/>
    </w:p>
    <w:p>
      <w:pPr>
        <w:pStyle w:val="762"/>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1、乙方应按</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规定及</w:t>
      </w:r>
      <w:r>
        <w:rPr>
          <w:rFonts w:hint="eastAsia" w:ascii="宋体" w:hAnsi="宋体" w:eastAsia="宋体" w:cs="宋体"/>
          <w:sz w:val="24"/>
          <w:szCs w:val="24"/>
          <w:highlight w:val="none"/>
          <w:lang w:eastAsia="zh-CN"/>
        </w:rPr>
        <w:t xml:space="preserve">投标文件</w:t>
      </w:r>
      <w:r>
        <w:rPr>
          <w:rFonts w:hint="eastAsia" w:ascii="宋体" w:hAnsi="宋体" w:eastAsia="宋体" w:cs="宋体"/>
          <w:sz w:val="24"/>
          <w:szCs w:val="24"/>
          <w:highlight w:val="none"/>
        </w:rPr>
        <w:t xml:space="preserve">承诺的技术性能、技术要求、质量标准向甲方提供服务；若无特殊说明，则按国家有关部门最新颁布的标准及规范为准。</w:t>
      </w:r>
      <w:r/>
    </w:p>
    <w:p>
      <w:pPr>
        <w:pStyle w:val="762"/>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2、乙方应保证其提供的服务是全面和规范的，并完全符合</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。如因乙方提供的服务有瑕疵造成甲方损失的，所需费用由乙方承担。</w:t>
      </w:r>
      <w:r/>
    </w:p>
    <w:p>
      <w:pPr>
        <w:pStyle w:val="762"/>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3、如在使用过程中发生质量问题，乙方在接到甲方通知后在</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小时内到达甲方现场。</w:t>
      </w:r>
      <w:r/>
    </w:p>
    <w:p>
      <w:pPr>
        <w:pStyle w:val="762"/>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4、免费维保期为30日。免费维保期内，乙方应对所提供服务出现的质量及安全问题负责处理解决并承担一切费用。</w:t>
      </w:r>
      <w:r/>
    </w:p>
    <w:p>
      <w:pPr>
        <w:pStyle w:val="762"/>
        <w:ind w:firstLine="482"/>
        <w:keepLines w:val="0"/>
        <w:keepNext w:val="0"/>
        <w:pageBreakBefore w:val="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八、甲乙双方的权利和义务：</w:t>
      </w:r>
      <w:r/>
    </w:p>
    <w:p>
      <w:pPr>
        <w:pStyle w:val="762"/>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（一）甲方权利</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1、甲方有权要求乙方按合同规定提供服务。</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2、乙方违反合同任何条款，甲方有权提前3天以书面形式通知乙方终止本合同。</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3、甲方在项目结束后，有权要求乙方提供招标文件和合同要求中约定的全部资料。</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4、甲方委托乙方研究形成的报告及相应成果知识产权归甲方所有。</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5、对乙方工作进度、质量进行督查，甲方有权按合同约定要求乙方调整进度。</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（二）甲方义务</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1、甲方必须遵守本合同之规定及相关法律规定。</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2、甲方应尽可能向乙方提供可靠、详细的资料，并保证资料的真实性、准确性。</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3、未经乙方书面同意，甲方不得向任何第三方提供审核项目的信息。</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4、对乙方开展的项目提供必要的协助和指导。</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5、按合同约定进度及时向乙方支付项目费用。</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（三）乙方权利</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1、乙方有权要求甲方遵守本合同规定及其附件。</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2、乙方有权要求甲方按合同约定的时间支付相关费用。</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（四）乙方义务</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1、乙方必须遵守本合同之规定及相关法律规定。</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2、乙方不得拒绝甲方委托乙方研究内容的相关咨询，对甲方的咨询乙方必须给予正式的书面答复，并应具有科学性和适用性。</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3、乙方按照本合同及招标文件和乙方的投标文件为甲方提供服务工作，乙方需要对项目组成员进行调整时，须书面征得甲方同意。</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4、非经甲方书面同意，乙方不得向任何第三方透露项目的任何内容。</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5、乙方不得向任何第三方透露从甲方得到或研究发现的甲方内部信息。</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6、乙方人员在甲方活动时，需听从甲方有关人员安排和引导。</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7、甲方提出收回向乙方提供的有关资料时，乙方应按照甲方要求将有关资料及其复制件返还甲方。</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8、在甲方统筹协调下开展实施方案前期调研和资料收集工作。</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9、乙方按照合同约定进度和质量要求完成项目。</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10、合同规定期限内，乙方完成项目时，提交成果文本文件、电子文件等。</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11、乙方保留收集的客观资料。</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12、乙方完成本协议工作内容所发生的人工、住宿、交通、餐饮等费用由乙方承担。</w:t>
      </w:r>
      <w:r/>
    </w:p>
    <w:p>
      <w:pPr>
        <w:pStyle w:val="709"/>
        <w:ind w:firstLine="482"/>
        <w:keepLines w:val="0"/>
        <w:keepNext w:val="0"/>
        <w:pageBreakBefore w:val="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九、违约责任</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因自身原因导致继续履行本合同已无意义的，甲方可以要求解除本合同，解除通知发出后满7天合同即终止，合同款项按终止日结算，已支付但超出结算款项部分乙方应予退还甲方，已支付款项少于结算款项的，甲方应向乙方支付差额部分。</w:t>
      </w:r>
      <w:r/>
    </w:p>
    <w:p>
      <w:pPr>
        <w:pStyle w:val="709"/>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2、乙方因无力履行合同提出解约，须全额返还甲方已支付的款项，并向甲方支付合同项目总费用100%的违约金。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3、乙方应按照甲方规定的时间提供抽检服务，并将结果交付甲方。如果乙方无正当理由拖延服务期限，甲方有权终止合同，乙方应就未完成部分退还甲方，并支付20%的违约金。</w:t>
      </w:r>
      <w:r/>
    </w:p>
    <w:p>
      <w:pPr>
        <w:pStyle w:val="688"/>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在履行合同过程中，乙方遇到不能按时提供服务的情况，应及时以书面形式将不能按时提供服务的理由及可能延误的时间通知甲方。甲方在收到乙方通知后，应对情况进行分析，决定是否修改合同或终止合同；同时保留索赔的权力。</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未经甲方允许，</w:t>
      </w:r>
      <w:r>
        <w:rPr>
          <w:rFonts w:hint="eastAsia" w:ascii="宋体" w:hAnsi="宋体" w:eastAsia="宋体" w:cs="宋体"/>
          <w:sz w:val="24"/>
          <w:szCs w:val="24"/>
          <w:highlight w:val="none"/>
        </w:rPr>
        <w:t xml:space="preserve">乙方将项目审核任务转包或违法分包的，甲方有权终止合同，并计扣乙方合同价20%的违约金。</w:t>
      </w:r>
      <w:r/>
    </w:p>
    <w:p>
      <w:pPr>
        <w:pStyle w:val="709"/>
        <w:ind w:firstLine="482"/>
        <w:keepLines w:val="0"/>
        <w:keepNext w:val="0"/>
        <w:pageBreakBefore w:val="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十、不可抗力事件处理</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1、在合同有效期内，任何一方因不可抗力事件导致不能履行合同，则合同履行期可延长，其延长期与不可抗力影响期相同。</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2、不可抗力事件发生后，应立即通知对方，并寄送有关权威机构出具的证明。</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3、不可抗力事件延续120天以上，双方应通过友好协商，确定是否继续履行合同。</w:t>
      </w:r>
      <w:r/>
    </w:p>
    <w:p>
      <w:pPr>
        <w:pStyle w:val="709"/>
        <w:ind w:firstLine="482"/>
        <w:keepLines w:val="0"/>
        <w:keepNext w:val="0"/>
        <w:pageBreakBefore w:val="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十一、合同生效及其它约定事项</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1、合同经双方法定代表人或授权代表人签字并加盖单位公章后生效。</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2、招标文件和乙方的投标文件为本合同的不可分割的组成部分，与本合同具有同样效力。</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3、知识产权保证：</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乙方保证甲方在使用、接受本合同服务或其任何一部分时，不受第三方提出侵犯其专利权、版权、商标权和工业设计权等知识产权的起诉。一旦出现侵权，由乙方负全部责任。</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4、产权保证：</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乙方保证所交付的服务和服务所涉及的物品所有权无任何抵押、查封等权利瑕疵。</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5、转包或分包：本合同禁止转包，本合同范围的服务，应由乙方直接提供的，不得转让他人提供。经甲方同意，乙方可以依法采取分包方式履行合同，但是分包方式履行的，乙方应就采购项目向甲方负全责。</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6、本合同附件为本合同组成部分，与本合同具有同等效力。</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7、合同执行中涉及采购资金和采购内容修改或补充的，须经财政部门审批，并签书面补充协议报财政部门备案，方可作为主合同不可分割的一部分。</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8、本合同未注明事项，招标文件中有规定的，按招标文件中的规定处理，没有规定的，按照国家的有关规定处理。</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9、本合同未尽事宜甲乙双方协商解决，协商不一致时，向甲方所在地人民法院起诉。</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10、本合同一式</w:t>
      </w:r>
      <w:r>
        <w:rPr>
          <w:rFonts w:hint="eastAsia" w:ascii="宋体" w:hAnsi="宋体" w:eastAsia="宋体" w:cs="宋体"/>
          <w:sz w:val="24"/>
          <w:szCs w:val="24"/>
          <w:highlight w:val="none"/>
          <w:u w:val="single"/>
        </w:rPr>
        <w:t xml:space="preserve">陆</w:t>
      </w:r>
      <w:r>
        <w:rPr>
          <w:rFonts w:hint="eastAsia" w:ascii="宋体" w:hAnsi="宋体" w:eastAsia="宋体" w:cs="宋体"/>
          <w:sz w:val="24"/>
          <w:szCs w:val="24"/>
          <w:highlight w:val="none"/>
        </w:rPr>
        <w:t xml:space="preserve">份，具有同等法律效力，甲方执</w:t>
      </w:r>
      <w:r>
        <w:rPr>
          <w:rFonts w:hint="eastAsia" w:ascii="宋体" w:hAnsi="宋体" w:eastAsia="宋体" w:cs="宋体"/>
          <w:sz w:val="24"/>
          <w:szCs w:val="24"/>
          <w:highlight w:val="none"/>
          <w:u w:val="single"/>
        </w:rPr>
        <w:t xml:space="preserve">贰</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rPr>
        <w:t xml:space="preserve">贰</w:t>
      </w:r>
      <w:r>
        <w:rPr>
          <w:rFonts w:hint="eastAsia" w:ascii="宋体" w:hAnsi="宋体" w:eastAsia="宋体" w:cs="宋体"/>
          <w:sz w:val="24"/>
          <w:szCs w:val="24"/>
          <w:highlight w:val="none"/>
        </w:rPr>
        <w:t xml:space="preserve">份，采购代理机构</w:t>
      </w:r>
      <w:r>
        <w:rPr>
          <w:rFonts w:hint="eastAsia" w:ascii="宋体" w:hAnsi="宋体" w:eastAsia="宋体" w:cs="宋体"/>
          <w:sz w:val="24"/>
          <w:szCs w:val="24"/>
          <w:highlight w:val="none"/>
          <w:u w:val="single"/>
        </w:rPr>
        <w:t xml:space="preserve">壹份</w:t>
      </w:r>
      <w:r>
        <w:rPr>
          <w:rFonts w:hint="eastAsia" w:ascii="宋体" w:hAnsi="宋体" w:eastAsia="宋体" w:cs="宋体"/>
          <w:sz w:val="24"/>
          <w:szCs w:val="24"/>
          <w:highlight w:val="none"/>
        </w:rPr>
        <w:t xml:space="preserve">存档，政府采购管理部门</w:t>
      </w:r>
      <w:r>
        <w:rPr>
          <w:rFonts w:hint="eastAsia" w:ascii="宋体" w:hAnsi="宋体" w:eastAsia="宋体" w:cs="宋体"/>
          <w:sz w:val="24"/>
          <w:szCs w:val="24"/>
          <w:highlight w:val="none"/>
          <w:u w:val="single"/>
        </w:rPr>
        <w:t xml:space="preserve">壹份</w:t>
      </w:r>
      <w:r>
        <w:rPr>
          <w:rFonts w:hint="eastAsia" w:ascii="宋体" w:hAnsi="宋体" w:eastAsia="宋体" w:cs="宋体"/>
          <w:sz w:val="24"/>
          <w:szCs w:val="24"/>
          <w:highlight w:val="none"/>
        </w:rPr>
        <w:t xml:space="preserve">备案。合同自双方签字盖章且乙方提交履约保证金后生效。本合同未尽事宜，由甲乙双方协商解决。</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甲方和乙方由其正式授权代表于上述所写日期和地点签订本合同。</w:t>
      </w:r>
      <w:r/>
    </w:p>
    <w:p>
      <w:pPr>
        <w:pStyle w:val="709"/>
        <w:ind w:firstLine="480"/>
        <w:jc w:val="center"/>
        <w:keepLines w:val="0"/>
        <w:keepNext w:val="0"/>
        <w:pageBreakBefore w:val="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甲方（签章）： </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邮编： </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 </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法定代表人或授权代表(签名)： ___________________________ </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乙方（签章）：</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邮编： </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银行帐号：</w:t>
      </w:r>
      <w:r/>
    </w:p>
    <w:p>
      <w:pPr>
        <w:pStyle w:val="859"/>
        <w:ind w:firstLine="480"/>
        <w:jc w:val="left"/>
        <w:keepLines w:val="0"/>
        <w:keepNext w:val="0"/>
        <w:pageBreakBefore w:val="0"/>
        <w:spacing w:before="0" w:beforeAutospacing="0" w:after="0" w:afterAutospacing="0" w:line="520" w:lineRule="exact"/>
        <w:shd w:val="clear" w:color="auto" w:fill="ffff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sz w:val="24"/>
          <w:szCs w:val="24"/>
          <w:highlight w:val="none"/>
        </w:rPr>
        <w:t xml:space="preserve">法定代表人或授权代表(签名)： _______________</w:t>
      </w:r>
      <w:r/>
    </w:p>
    <w:p>
      <w:pPr>
        <w:ind w:firstLine="277"/>
        <w:keepLines w:val="0"/>
        <w:keepNext w:val="0"/>
        <w:pageBreakBefore w:val="0"/>
        <w:spacing w:line="520" w:lineRule="exact"/>
        <w:rPr>
          <w:rFonts w:hint="eastAsia" w:ascii="宋体" w:hAnsi="宋体" w:cs="宋体"/>
          <w:sz w:val="28"/>
          <w:szCs w:val="28"/>
          <w:highlight w:val="none"/>
        </w:rPr>
      </w:pPr>
      <w:r>
        <w:rPr>
          <w:rFonts w:hint="eastAsia" w:ascii="宋体" w:hAnsi="宋体" w:cs="宋体"/>
          <w:sz w:val="28"/>
          <w:szCs w:val="28"/>
          <w:highlight w:val="none"/>
        </w:rPr>
      </w:r>
      <w:r/>
    </w:p>
    <w:p>
      <w:pPr>
        <w:rPr>
          <w:rFonts w:hint="eastAsia" w:ascii="宋体" w:hAnsi="宋体" w:eastAsia="宋体" w:cs="宋体"/>
          <w:highlight w:val="none"/>
        </w:rPr>
      </w:pPr>
      <w:r/>
      <w:bookmarkStart w:id="13" w:name="_Toc523404701"/>
      <w:r/>
      <w:bookmarkStart w:id="14" w:name="_Toc522790136"/>
      <w:r>
        <w:rPr>
          <w:rFonts w:hint="eastAsia" w:ascii="宋体" w:hAnsi="宋体" w:eastAsia="宋体" w:cs="宋体"/>
          <w:highlight w:val="none"/>
        </w:rPr>
        <w:br w:type="page" w:clear="all"/>
      </w:r>
      <w:r/>
    </w:p>
    <w:p>
      <w:pPr>
        <w:pStyle w:val="800"/>
        <w:rPr>
          <w:rFonts w:hint="eastAsia" w:ascii="宋体" w:hAnsi="宋体" w:eastAsia="宋体" w:cs="宋体"/>
          <w:highlight w:val="none"/>
        </w:rPr>
      </w:pPr>
      <w:r>
        <w:rPr>
          <w:rFonts w:hint="eastAsia" w:ascii="宋体" w:hAnsi="宋体" w:eastAsia="宋体" w:cs="宋体"/>
          <w:highlight w:val="none"/>
        </w:rPr>
        <w:t xml:space="preserve">第六章</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采购需求</w:t>
      </w:r>
      <w:r/>
    </w:p>
    <w:p>
      <w:pPr>
        <w:ind w:firstLine="482"/>
        <w:keepLines w:val="0"/>
        <w:keepNext w:val="0"/>
        <w:pageBreakBefore w:val="0"/>
        <w:spacing w:line="520" w:lineRule="exact"/>
        <w:widowControl w:val="off"/>
        <w:rPr>
          <w:rFonts w:ascii="宋体" w:hAnsi="宋体" w:eastAsia="宋体"/>
          <w:b/>
          <w:bCs/>
          <w:sz w:val="24"/>
          <w:szCs w:val="24"/>
          <w:highlight w:val="none"/>
        </w:rPr>
      </w:pPr>
      <w:r>
        <w:rPr>
          <w:rFonts w:hint="eastAsia" w:ascii="宋体" w:hAnsi="宋体" w:eastAsia="宋体"/>
          <w:b/>
          <w:bCs/>
          <w:sz w:val="24"/>
          <w:szCs w:val="24"/>
          <w:highlight w:val="none"/>
        </w:rPr>
        <w:t xml:space="preserve">一、</w:t>
      </w:r>
      <w:r>
        <w:rPr>
          <w:rFonts w:ascii="宋体" w:hAnsi="宋体" w:eastAsia="宋体"/>
          <w:b/>
          <w:bCs/>
          <w:sz w:val="24"/>
          <w:szCs w:val="24"/>
          <w:highlight w:val="none"/>
        </w:rPr>
        <w:t xml:space="preserve">项目</w:t>
      </w:r>
      <w:r>
        <w:rPr>
          <w:rFonts w:hint="eastAsia" w:ascii="宋体" w:hAnsi="宋体" w:eastAsia="宋体"/>
          <w:b/>
          <w:bCs/>
          <w:sz w:val="24"/>
          <w:szCs w:val="24"/>
          <w:highlight w:val="none"/>
        </w:rPr>
        <w:t xml:space="preserve">概况</w:t>
      </w:r>
      <w:r/>
    </w:p>
    <w:p>
      <w:pPr>
        <w:numPr>
          <w:ilvl w:val="0"/>
          <w:numId w:val="2"/>
        </w:numPr>
        <w:ind w:firstLine="480"/>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项目名称：徐州市市场监督管理局食品安全监督抽检</w:t>
      </w:r>
      <w:r/>
    </w:p>
    <w:p>
      <w:pPr>
        <w:ind w:firstLine="480"/>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2、项目预算：</w:t>
      </w:r>
      <w:r/>
    </w:p>
    <w:p>
      <w:pPr>
        <w:pStyle w:val="716"/>
        <w:ind w:firstLine="480"/>
        <w:jc w:val="left"/>
        <w:keepLines w:val="0"/>
        <w:keepNext w:val="0"/>
        <w:pageBreakBefore w:val="0"/>
        <w:spacing w:line="520" w:lineRule="exact"/>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食品安全监督抽检预算金额50万元人民币，不接受单批次报价超过849元人民币、总任务量低于588批次的投标报价；（报价包含采样费、检测费、买样费、各种税费、交通费、人工、保险、利润、税金、复检合格应支付给复检机构的复检费用及合同包含的所有风险、责任等各项应有的全部费用，采购人不再支付报价以外的任何费用。）</w:t>
      </w:r>
      <w:r/>
    </w:p>
    <w:p>
      <w:pPr>
        <w:pStyle w:val="708"/>
        <w:ind w:firstLine="480"/>
        <w:jc w:val="left"/>
        <w:keepLines w:val="0"/>
        <w:keepNext w:val="0"/>
        <w:pageBreakBefore w:val="0"/>
        <w:spacing w:line="520" w:lineRule="exact"/>
        <w:widowControl w:val="off"/>
        <w:rPr>
          <w:rFonts w:hAnsi="宋体" w:cs="宋体"/>
          <w:b/>
          <w:bCs/>
          <w:sz w:val="24"/>
          <w:szCs w:val="24"/>
          <w:highlight w:val="none"/>
        </w:rPr>
      </w:pPr>
      <w:r>
        <w:rPr>
          <w:rFonts w:hint="eastAsia" w:hAnsi="宋体" w:cs="宋体"/>
          <w:sz w:val="24"/>
          <w:szCs w:val="24"/>
          <w:highlight w:val="none"/>
        </w:rPr>
        <w:t xml:space="preserve">3、项目属性：服务，</w:t>
      </w:r>
      <w:r>
        <w:rPr>
          <w:rFonts w:hint="eastAsia" w:hAnsi="宋体" w:cs="宋体"/>
          <w:b/>
          <w:bCs/>
          <w:sz w:val="24"/>
          <w:szCs w:val="24"/>
          <w:highlight w:val="none"/>
        </w:rPr>
        <w:t xml:space="preserve">本项目是不专门面向中小微企业采购的项目</w:t>
      </w:r>
      <w:r/>
    </w:p>
    <w:p>
      <w:pPr>
        <w:ind w:firstLine="480"/>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4、项目地点：徐州市</w:t>
      </w:r>
      <w:r/>
    </w:p>
    <w:p>
      <w:pPr>
        <w:ind w:firstLine="480"/>
        <w:keepLines w:val="0"/>
        <w:keepNext w:val="0"/>
        <w:pageBreakBefore w:val="0"/>
        <w:spacing w:line="52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sz w:val="24"/>
          <w:szCs w:val="24"/>
          <w:highlight w:val="none"/>
        </w:rPr>
        <w:t xml:space="preserve">5、服务期限：</w:t>
      </w:r>
      <w:r>
        <w:rPr>
          <w:rFonts w:hint="eastAsia" w:ascii="宋体" w:hAnsi="宋体" w:eastAsia="宋体" w:cs="宋体"/>
          <w:b/>
          <w:color w:val="000000"/>
          <w:sz w:val="24"/>
          <w:szCs w:val="24"/>
          <w:highlight w:val="none"/>
        </w:rPr>
        <w:t xml:space="preserve">自合同签字之日起至2024年12月31日</w:t>
      </w:r>
      <w:r/>
    </w:p>
    <w:p>
      <w:pPr>
        <w:pStyle w:val="708"/>
        <w:ind w:firstLine="480"/>
        <w:jc w:val="left"/>
        <w:keepLines w:val="0"/>
        <w:keepNext w:val="0"/>
        <w:pageBreakBefore w:val="0"/>
        <w:spacing w:line="520" w:lineRule="exact"/>
        <w:widowControl w:val="off"/>
        <w:rPr>
          <w:rFonts w:hAnsi="宋体" w:cs="宋体"/>
          <w:color w:val="000000"/>
          <w:sz w:val="24"/>
          <w:szCs w:val="24"/>
          <w:highlight w:val="none"/>
        </w:rPr>
      </w:pPr>
      <w:r>
        <w:rPr>
          <w:rFonts w:hint="eastAsia" w:hAnsi="宋体" w:cs="宋体"/>
          <w:sz w:val="24"/>
          <w:szCs w:val="24"/>
          <w:highlight w:val="none"/>
        </w:rPr>
        <w:t xml:space="preserve">6、项目背景：</w:t>
      </w:r>
      <w:r>
        <w:rPr>
          <w:rFonts w:hint="eastAsia" w:hAnsi="宋体" w:cs="宋体"/>
          <w:color w:val="000000"/>
          <w:sz w:val="24"/>
          <w:szCs w:val="24"/>
          <w:highlight w:val="none"/>
        </w:rPr>
        <w:t xml:space="preserve">为确保徐州市食品安全抽检监测工作顺利开展，现向全国范围内进行检验机构招标，承担2024年徐州市食品安全抽检监测任务。</w:t>
      </w:r>
      <w:r/>
    </w:p>
    <w:p>
      <w:pPr>
        <w:pStyle w:val="717"/>
        <w:ind w:left="0" w:firstLine="482"/>
        <w:keepLines w:val="0"/>
        <w:keepNext w:val="0"/>
        <w:pageBreakBefore w:val="0"/>
        <w:spacing w:line="520" w:lineRule="exact"/>
        <w:widowControl w:val="off"/>
        <w:rPr>
          <w:sz w:val="24"/>
          <w:szCs w:val="24"/>
          <w:highlight w:val="none"/>
        </w:rPr>
      </w:pPr>
      <w:r>
        <w:rPr>
          <w:rFonts w:hint="eastAsia"/>
          <w:b/>
          <w:bCs/>
          <w:color w:val="000000"/>
          <w:sz w:val="24"/>
          <w:szCs w:val="24"/>
          <w:highlight w:val="none"/>
        </w:rPr>
        <w:t xml:space="preserve">二、</w:t>
      </w:r>
      <w:r>
        <w:rPr>
          <w:b/>
          <w:bCs/>
          <w:color w:val="000000"/>
          <w:sz w:val="24"/>
          <w:szCs w:val="24"/>
          <w:highlight w:val="none"/>
        </w:rPr>
        <w:t xml:space="preserve">服务范围</w:t>
      </w:r>
      <w:r/>
    </w:p>
    <w:p>
      <w:pPr>
        <w:pStyle w:val="717"/>
        <w:ind w:left="0" w:firstLine="480"/>
        <w:keepLines w:val="0"/>
        <w:keepNext w:val="0"/>
        <w:pageBreakBefore w:val="0"/>
        <w:spacing w:line="520" w:lineRule="exact"/>
        <w:widowControl w:val="off"/>
        <w:rPr>
          <w:color w:val="000000"/>
          <w:sz w:val="24"/>
          <w:szCs w:val="24"/>
          <w:highlight w:val="none"/>
        </w:rPr>
      </w:pPr>
      <w:r>
        <w:rPr>
          <w:rFonts w:hint="eastAsia" w:cs="宋体"/>
          <w:sz w:val="24"/>
          <w:szCs w:val="24"/>
          <w:highlight w:val="none"/>
        </w:rPr>
        <w:t xml:space="preserve">食品安全监督抽检</w:t>
      </w:r>
      <w:r>
        <w:rPr>
          <w:rFonts w:hint="eastAsia"/>
          <w:color w:val="000000"/>
          <w:sz w:val="24"/>
          <w:szCs w:val="24"/>
          <w:highlight w:val="none"/>
        </w:rPr>
        <w:t xml:space="preserve">服务范围</w:t>
      </w:r>
      <w:r>
        <w:rPr>
          <w:color w:val="000000"/>
          <w:sz w:val="24"/>
          <w:szCs w:val="24"/>
          <w:highlight w:val="none"/>
        </w:rPr>
        <w:t xml:space="preserve">：</w:t>
      </w:r>
      <w:r>
        <w:rPr>
          <w:bCs/>
          <w:color w:val="000000"/>
          <w:sz w:val="24"/>
          <w:szCs w:val="24"/>
          <w:highlight w:val="none"/>
        </w:rPr>
        <w:t xml:space="preserve">对徐州市开展</w:t>
      </w:r>
      <w:r>
        <w:rPr>
          <w:rFonts w:hint="eastAsia"/>
          <w:bCs/>
          <w:color w:val="000000"/>
          <w:sz w:val="24"/>
          <w:szCs w:val="24"/>
          <w:highlight w:val="none"/>
        </w:rPr>
        <w:t xml:space="preserve">校园大宗食材、乡镇农村食品</w:t>
      </w:r>
      <w:r>
        <w:rPr>
          <w:rFonts w:hint="eastAsia"/>
          <w:color w:val="000000"/>
          <w:sz w:val="24"/>
          <w:szCs w:val="24"/>
          <w:highlight w:val="none"/>
        </w:rPr>
        <w:t xml:space="preserve">及应急投</w:t>
      </w:r>
      <w:r>
        <w:rPr>
          <w:rFonts w:hint="eastAsia"/>
          <w:bCs/>
          <w:color w:val="000000"/>
          <w:sz w:val="24"/>
          <w:szCs w:val="24"/>
          <w:highlight w:val="none"/>
        </w:rPr>
        <w:t xml:space="preserve">诉等食品安全</w:t>
      </w:r>
      <w:r>
        <w:rPr>
          <w:bCs/>
          <w:color w:val="000000"/>
          <w:sz w:val="24"/>
          <w:szCs w:val="24"/>
          <w:highlight w:val="none"/>
        </w:rPr>
        <w:t xml:space="preserve">监督抽检。</w:t>
      </w:r>
      <w:r/>
    </w:p>
    <w:p>
      <w:pPr>
        <w:pStyle w:val="845"/>
        <w:ind w:left="0" w:firstLine="482"/>
        <w:keepLines w:val="0"/>
        <w:keepNext w:val="0"/>
        <w:pageBreakBefore w:val="0"/>
        <w:spacing w:line="520" w:lineRule="exact"/>
        <w:widowControl w:val="off"/>
        <w:rPr>
          <w:rFonts w:ascii="宋体" w:hAnsi="宋体"/>
          <w:b/>
          <w:bCs/>
          <w:sz w:val="24"/>
          <w:szCs w:val="24"/>
          <w:highlight w:val="none"/>
        </w:rPr>
      </w:pPr>
      <w:r>
        <w:rPr>
          <w:rFonts w:ascii="宋体" w:hAnsi="宋体"/>
          <w:b/>
          <w:bCs/>
          <w:sz w:val="24"/>
          <w:szCs w:val="24"/>
          <w:highlight w:val="none"/>
        </w:rPr>
        <w:t xml:space="preserve">注：</w:t>
      </w:r>
      <w:r>
        <w:rPr>
          <w:rFonts w:hint="eastAsia" w:ascii="宋体" w:hAnsi="宋体"/>
          <w:b/>
          <w:bCs/>
          <w:sz w:val="24"/>
          <w:szCs w:val="24"/>
          <w:highlight w:val="none"/>
        </w:rPr>
        <w:t xml:space="preserve">各采购包的总任务量，</w:t>
      </w:r>
      <w:r>
        <w:rPr>
          <w:rFonts w:ascii="宋体" w:hAnsi="宋体"/>
          <w:b/>
          <w:bCs/>
          <w:sz w:val="24"/>
          <w:szCs w:val="24"/>
          <w:highlight w:val="none"/>
        </w:rPr>
        <w:t xml:space="preserve">是采购人根据工作计划初步测算的结果，实际履约时</w:t>
      </w:r>
      <w:r>
        <w:rPr>
          <w:rFonts w:hint="eastAsia" w:ascii="宋体" w:hAnsi="宋体"/>
          <w:b/>
          <w:bCs/>
          <w:sz w:val="24"/>
          <w:szCs w:val="24"/>
          <w:highlight w:val="none"/>
        </w:rPr>
        <w:t xml:space="preserve">各监督抽检专项</w:t>
      </w:r>
      <w:r>
        <w:rPr>
          <w:rFonts w:ascii="宋体" w:hAnsi="宋体"/>
          <w:b/>
          <w:bCs/>
          <w:sz w:val="24"/>
          <w:szCs w:val="24"/>
          <w:highlight w:val="none"/>
        </w:rPr>
        <w:t xml:space="preserve">的批次数由采购人根据工作任务动态调整。在执行招标文件规定的计价原则和最高限价的前提下，实际履约过程中当实际结算支付的所有费用总金额达到预算金额时，采购人不再安排抽检任务批次。</w:t>
      </w:r>
      <w:r/>
    </w:p>
    <w:p>
      <w:pPr>
        <w:pStyle w:val="845"/>
        <w:ind w:left="0" w:firstLine="482"/>
        <w:keepLines w:val="0"/>
        <w:keepNext w:val="0"/>
        <w:pageBreakBefore w:val="0"/>
        <w:spacing w:line="520" w:lineRule="exact"/>
        <w:widowControl w:val="off"/>
        <w:rPr>
          <w:rFonts w:ascii="宋体" w:hAnsi="宋体"/>
          <w:b/>
          <w:bCs/>
          <w:sz w:val="24"/>
          <w:szCs w:val="24"/>
          <w:highlight w:val="none"/>
        </w:rPr>
      </w:pPr>
      <w:r>
        <w:rPr>
          <w:rFonts w:hint="eastAsia" w:ascii="宋体" w:hAnsi="宋体"/>
          <w:b/>
          <w:bCs/>
          <w:sz w:val="24"/>
          <w:szCs w:val="24"/>
          <w:highlight w:val="none"/>
        </w:rPr>
        <w:t xml:space="preserve">三、</w:t>
      </w:r>
      <w:r>
        <w:rPr>
          <w:rFonts w:ascii="宋体" w:hAnsi="宋体"/>
          <w:b/>
          <w:bCs/>
          <w:sz w:val="24"/>
          <w:szCs w:val="24"/>
          <w:highlight w:val="none"/>
        </w:rPr>
        <w:t xml:space="preserve">项目要求：</w:t>
      </w:r>
      <w:r/>
    </w:p>
    <w:p>
      <w:pPr>
        <w:pStyle w:val="845"/>
        <w:ind w:left="0" w:firstLine="480"/>
        <w:keepLines w:val="0"/>
        <w:keepNext w:val="0"/>
        <w:pageBreakBefore w:val="0"/>
        <w:spacing w:line="520" w:lineRule="exact"/>
        <w:widowControl w:val="off"/>
        <w:rPr>
          <w:rFonts w:ascii="宋体" w:hAnsi="宋体"/>
          <w:sz w:val="24"/>
          <w:szCs w:val="24"/>
          <w:highlight w:val="none"/>
        </w:rPr>
      </w:pPr>
      <w:r>
        <w:rPr>
          <w:rFonts w:ascii="宋体" w:hAnsi="宋体"/>
          <w:sz w:val="24"/>
          <w:szCs w:val="24"/>
          <w:highlight w:val="none"/>
        </w:rPr>
        <w:t xml:space="preserve">1、抽检范围及品种</w:t>
      </w:r>
      <w:r/>
    </w:p>
    <w:p>
      <w:pPr>
        <w:pStyle w:val="845"/>
        <w:ind w:left="0" w:firstLine="480"/>
        <w:keepLines w:val="0"/>
        <w:keepNext w:val="0"/>
        <w:pageBreakBefore w:val="0"/>
        <w:spacing w:line="520" w:lineRule="exact"/>
        <w:widowControl w:val="off"/>
        <w:rPr>
          <w:rFonts w:ascii="宋体" w:hAnsi="宋体"/>
          <w:sz w:val="24"/>
          <w:szCs w:val="24"/>
          <w:highlight w:val="none"/>
        </w:rPr>
      </w:pPr>
      <w:r>
        <w:rPr>
          <w:rFonts w:ascii="宋体" w:hAnsi="宋体"/>
          <w:sz w:val="24"/>
          <w:szCs w:val="24"/>
          <w:highlight w:val="none"/>
        </w:rPr>
        <w:t xml:space="preserve">食用农产品，在抽样品种上，应结合季节供应特点、当地食用习惯合理确定各类食用农产品的抽样比例和批次，不得同一农产品反复抽检，重点抽检当季食用农产品，对不合格较多的食用农产品适当增加抽检频次。</w:t>
      </w:r>
      <w:r/>
    </w:p>
    <w:p>
      <w:pPr>
        <w:pStyle w:val="845"/>
        <w:ind w:left="0" w:firstLine="480"/>
        <w:keepLines w:val="0"/>
        <w:keepNext w:val="0"/>
        <w:pageBreakBefore w:val="0"/>
        <w:spacing w:line="520" w:lineRule="exact"/>
        <w:widowControl w:val="off"/>
        <w:rPr>
          <w:rFonts w:ascii="宋体" w:hAnsi="宋体"/>
          <w:sz w:val="24"/>
          <w:szCs w:val="24"/>
          <w:highlight w:val="none"/>
        </w:rPr>
      </w:pPr>
      <w:r>
        <w:rPr>
          <w:rFonts w:ascii="宋体" w:hAnsi="宋体"/>
          <w:sz w:val="24"/>
          <w:szCs w:val="24"/>
          <w:highlight w:val="none"/>
        </w:rPr>
        <w:t xml:space="preserve">2、检测项目</w:t>
      </w:r>
      <w:r/>
    </w:p>
    <w:p>
      <w:pPr>
        <w:pStyle w:val="845"/>
        <w:ind w:left="0" w:firstLine="480"/>
        <w:keepLines w:val="0"/>
        <w:keepNext w:val="0"/>
        <w:pageBreakBefore w:val="0"/>
        <w:spacing w:line="520" w:lineRule="exact"/>
        <w:widowControl w:val="off"/>
        <w:rPr>
          <w:rFonts w:ascii="宋体" w:hAnsi="宋体"/>
          <w:sz w:val="24"/>
          <w:szCs w:val="24"/>
          <w:highlight w:val="none"/>
        </w:rPr>
      </w:pPr>
      <w:r>
        <w:rPr>
          <w:rFonts w:ascii="宋体" w:hAnsi="宋体"/>
          <w:sz w:val="24"/>
          <w:szCs w:val="24"/>
          <w:highlight w:val="none"/>
        </w:rPr>
        <w:t xml:space="preserve">食用农产品检测项目包括必检项目及可选项目，按附表</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t xml:space="preserve">2024</w:t>
      </w:r>
      <w:r>
        <w:rPr>
          <w:rFonts w:ascii="宋体" w:hAnsi="宋体"/>
          <w:sz w:val="24"/>
          <w:szCs w:val="24"/>
          <w:highlight w:val="none"/>
        </w:rPr>
        <w:t xml:space="preserve">年徐州市级食用农产品安全监督抽检品种及项目表》执行。</w:t>
      </w:r>
      <w:r/>
    </w:p>
    <w:p>
      <w:pPr>
        <w:pStyle w:val="845"/>
        <w:numPr>
          <w:ilvl w:val="0"/>
          <w:numId w:val="3"/>
        </w:numPr>
        <w:ind w:left="0" w:firstLine="480"/>
        <w:keepLines w:val="0"/>
        <w:keepNext w:val="0"/>
        <w:pageBreakBefore w:val="0"/>
        <w:spacing w:line="520" w:lineRule="exact"/>
        <w:widowControl w:val="off"/>
        <w:rPr>
          <w:rFonts w:ascii="宋体" w:hAnsi="宋体"/>
          <w:sz w:val="24"/>
          <w:szCs w:val="24"/>
          <w:highlight w:val="none"/>
        </w:rPr>
      </w:pPr>
      <w:r>
        <w:rPr>
          <w:rFonts w:ascii="宋体" w:hAnsi="宋体"/>
          <w:sz w:val="24"/>
          <w:szCs w:val="24"/>
          <w:highlight w:val="none"/>
        </w:rPr>
        <w:t xml:space="preserve">食用农产品其他抽检要求</w:t>
      </w:r>
      <w:r/>
    </w:p>
    <w:p>
      <w:pPr>
        <w:pStyle w:val="845"/>
        <w:ind w:left="0" w:firstLine="480"/>
        <w:keepLines w:val="0"/>
        <w:keepNext w:val="0"/>
        <w:pageBreakBefore w:val="0"/>
        <w:spacing w:line="520" w:lineRule="exact"/>
        <w:widowControl w:val="off"/>
        <w:rPr>
          <w:rFonts w:ascii="宋体" w:hAnsi="宋体"/>
          <w:sz w:val="24"/>
          <w:szCs w:val="24"/>
          <w:highlight w:val="none"/>
        </w:rPr>
      </w:pPr>
      <w:r>
        <w:rPr>
          <w:rFonts w:ascii="宋体" w:hAnsi="宋体"/>
          <w:sz w:val="24"/>
          <w:szCs w:val="24"/>
          <w:highlight w:val="none"/>
        </w:rPr>
        <w:t xml:space="preserve">食用农产品其他抽检要求按江苏省市场监督管理局《2022年江苏省食品安全抽检</w:t>
      </w:r>
      <w:r>
        <w:rPr>
          <w:rFonts w:hint="eastAsia" w:ascii="宋体" w:hAnsi="宋体"/>
          <w:sz w:val="24"/>
          <w:szCs w:val="24"/>
          <w:highlight w:val="none"/>
        </w:rPr>
        <w:t xml:space="preserve">监</w:t>
      </w:r>
      <w:r>
        <w:rPr>
          <w:rFonts w:ascii="宋体" w:hAnsi="宋体"/>
          <w:sz w:val="24"/>
          <w:szCs w:val="24"/>
          <w:highlight w:val="none"/>
        </w:rPr>
        <w:t xml:space="preserve">测工作计划》（苏市监食检【2022】53号）附件6“2022年食用农产品监督抽检工作要求”执行。</w:t>
      </w:r>
      <w:r/>
    </w:p>
    <w:p>
      <w:pPr>
        <w:pStyle w:val="845"/>
        <w:numPr>
          <w:ilvl w:val="0"/>
          <w:numId w:val="3"/>
        </w:numPr>
        <w:ind w:left="0" w:firstLine="480"/>
        <w:keepLines w:val="0"/>
        <w:keepNext w:val="0"/>
        <w:pageBreakBefore w:val="0"/>
        <w:spacing w:line="520" w:lineRule="exact"/>
        <w:widowControl w:val="off"/>
        <w:rPr>
          <w:rFonts w:ascii="宋体" w:hAnsi="宋体"/>
          <w:sz w:val="24"/>
          <w:szCs w:val="24"/>
          <w:highlight w:val="none"/>
        </w:rPr>
      </w:pPr>
      <w:r>
        <w:rPr>
          <w:rFonts w:ascii="宋体" w:hAnsi="宋体"/>
          <w:sz w:val="24"/>
          <w:szCs w:val="24"/>
          <w:highlight w:val="none"/>
        </w:rPr>
        <w:t xml:space="preserve">食品安全监督抽检品种、项目</w:t>
      </w:r>
      <w:r/>
    </w:p>
    <w:p>
      <w:pPr>
        <w:pStyle w:val="845"/>
        <w:ind w:left="0" w:firstLine="480"/>
        <w:keepLines w:val="0"/>
        <w:keepNext w:val="0"/>
        <w:pageBreakBefore w:val="0"/>
        <w:spacing w:line="520" w:lineRule="exact"/>
        <w:widowControl w:val="off"/>
        <w:rPr>
          <w:rFonts w:ascii="宋体" w:hAnsi="宋体"/>
          <w:sz w:val="24"/>
          <w:szCs w:val="24"/>
          <w:highlight w:val="none"/>
        </w:rPr>
      </w:pPr>
      <w:r>
        <w:rPr>
          <w:rFonts w:ascii="宋体" w:hAnsi="宋体"/>
          <w:sz w:val="24"/>
          <w:szCs w:val="24"/>
          <w:highlight w:val="none"/>
        </w:rPr>
        <w:t xml:space="preserve">食品细类检验项目按照《国家食品安全监督抽检实施细则》</w:t>
      </w:r>
      <w:r>
        <w:rPr>
          <w:rFonts w:hint="eastAsia" w:ascii="宋体" w:hAnsi="宋体"/>
          <w:sz w:val="24"/>
          <w:szCs w:val="24"/>
          <w:highlight w:val="none"/>
        </w:rPr>
        <w:t xml:space="preserve">2024</w:t>
      </w:r>
      <w:r>
        <w:rPr>
          <w:rFonts w:ascii="宋体" w:hAnsi="宋体"/>
          <w:sz w:val="24"/>
          <w:szCs w:val="24"/>
          <w:highlight w:val="none"/>
        </w:rPr>
        <w:t xml:space="preserve">版为基准，该细则细类检验项目少于8个项目按实际项目检验，8个项目以上按60%项目检验，但不得少于8个项目。</w:t>
      </w:r>
      <w:r/>
    </w:p>
    <w:p>
      <w:pPr>
        <w:pStyle w:val="845"/>
        <w:ind w:left="0" w:firstLine="480"/>
        <w:keepLines w:val="0"/>
        <w:keepNext w:val="0"/>
        <w:pageBreakBefore w:val="0"/>
        <w:spacing w:line="520" w:lineRule="exact"/>
        <w:widowControl w:val="off"/>
        <w:rPr>
          <w:rFonts w:ascii="宋体" w:hAnsi="宋体"/>
          <w:sz w:val="24"/>
          <w:szCs w:val="24"/>
          <w:highlight w:val="none"/>
        </w:rPr>
      </w:pPr>
      <w:r>
        <w:rPr>
          <w:rFonts w:hint="eastAsia" w:ascii="宋体" w:hAnsi="宋体"/>
          <w:sz w:val="24"/>
          <w:szCs w:val="24"/>
          <w:highlight w:val="none"/>
        </w:rPr>
        <w:t xml:space="preserve">5、承检机构在抽检工作开始前将抽检计划、方案（含具体检测项目）报委托方备案。</w:t>
      </w:r>
      <w:r/>
    </w:p>
    <w:p>
      <w:pPr>
        <w:pStyle w:val="716"/>
        <w:ind w:left="0" w:firstLine="482"/>
        <w:keepLines w:val="0"/>
        <w:keepNext w:val="0"/>
        <w:pageBreakBefore w:val="0"/>
        <w:spacing w:line="520" w:lineRule="exact"/>
        <w:widowControl w:val="off"/>
        <w:rPr>
          <w:b/>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工作要求</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1. 承检机构应严格按照《食品安全法》及其《实施条例》，以及《国家食品安全监督抽检实施细则》、</w:t>
      </w:r>
      <w:r>
        <w:rPr>
          <w:rFonts w:hint="eastAsia" w:ascii="宋体" w:hAnsi="宋体"/>
          <w:color w:val="000000"/>
          <w:sz w:val="24"/>
          <w:szCs w:val="24"/>
          <w:highlight w:val="none"/>
        </w:rPr>
        <w:t xml:space="preserve">《食品安全抽样检验工作规范》、《食品安全抽样检验管理办法》、《食用农产品抽样检验和核查处置规定》</w:t>
      </w:r>
      <w:r>
        <w:rPr>
          <w:rFonts w:ascii="宋体" w:hAnsi="宋体"/>
          <w:color w:val="000000"/>
          <w:sz w:val="24"/>
          <w:szCs w:val="24"/>
          <w:highlight w:val="none"/>
        </w:rPr>
        <w:t xml:space="preserve">等相关规定和要求实施抽样检验工作，对检测报告承担法律责任。</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2. 承检机构对抽检信息、数据等负有保密义务，未经委托方授权，不得向除委托方外的任何单位与个人透露情况。</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3. 检验项目由委托方确定，承检机构应按照委托方要求，及时将抽样检验相关资料准确录入委托方指定的信息管理系统。</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4. 承检机构不得将检验任务外包或分包给其他检验机构，一经发现，立即终止承检任务。</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5. 承检机构必须保证抽检过程公平、公正，出现较严重检验事故的，立即终止承检任务。</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6. 承检机构应按照委托方要求，严格遵守抽样工作规范，保证抽样工作有效。样品抽取要由专门人员完成，样品运输要符合样品管理规定，鼓励派专人专车送达。</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7. 承检机构应在规定时间内完成委托方部署的抽样检验工作，依法出具检验报告，汇总样品抽检结果信息，提交抽检工作分析总结报告。</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8．为保证检验任务高效优质地完成，承检机构须接受委托方组织的各种形式的检查和考核，对于委托方在考核中提出的问题要及时进行整改，并提交整改报告。整改不到位的，委托方有权终止其任务并保留追究其经济赔偿责任和法律责任的权利。</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9. 因违反抽样、检验、信息披露等相关规定的，委托方有权取消其承检任务并追究其经济赔偿责任和法律责任。</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10. 中标承检机构不得拒绝委托方委托的抽检任务，否则视为违约。</w:t>
      </w:r>
      <w:bookmarkStart w:id="15" w:name="_Toc459319303"/>
      <w:r/>
      <w:bookmarkEnd w:id="15"/>
      <w:r/>
      <w:r/>
    </w:p>
    <w:p>
      <w:pPr>
        <w:pStyle w:val="717"/>
        <w:ind w:left="0" w:firstLine="480"/>
        <w:keepLines w:val="0"/>
        <w:keepNext w:val="0"/>
        <w:pageBreakBefore w:val="0"/>
        <w:spacing w:line="520" w:lineRule="exact"/>
        <w:widowControl w:val="off"/>
        <w:rPr>
          <w:color w:val="000000"/>
          <w:sz w:val="24"/>
          <w:szCs w:val="24"/>
          <w:highlight w:val="none"/>
        </w:rPr>
      </w:pPr>
      <w:r>
        <w:rPr>
          <w:rFonts w:hint="eastAsia"/>
          <w:color w:val="000000"/>
          <w:sz w:val="24"/>
          <w:szCs w:val="24"/>
          <w:highlight w:val="none"/>
        </w:rPr>
        <w:t xml:space="preserve">11.承检机构需配备熟练的专业人员组成食品抽检数据核查工作组及核查处置专家库，为委托方提供数据核查及不合格食品生产企业的现场核查等其他配套服务。</w:t>
      </w:r>
      <w:r/>
    </w:p>
    <w:p>
      <w:pPr>
        <w:pStyle w:val="716"/>
        <w:ind w:firstLine="482"/>
        <w:keepLines w:val="0"/>
        <w:keepNext w:val="0"/>
        <w:pageBreakBefore w:val="0"/>
        <w:spacing w:line="520" w:lineRule="exact"/>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t xml:space="preserve">服务考核</w:t>
      </w:r>
      <w:r/>
    </w:p>
    <w:p>
      <w:pPr>
        <w:pStyle w:val="716"/>
        <w:ind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1、食品抽检数据质量考核：徐州市市场监督管理局每月随机抽取承检机构食品抽检数据，按照评分标准，评价数据质量。被国家总局、省局通报数据质量问题的，酌情扣款。</w:t>
      </w:r>
      <w:r/>
    </w:p>
    <w:p>
      <w:pPr>
        <w:pStyle w:val="716"/>
        <w:ind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2、抽检问题发现率考核：食品及食用农产品监督抽检问题发现率指市、县级食品及食用农产品监督抽检发现食品安全问题能力。食品及食用农产品监督抽检不合格率=累计食品及食用农产品监督抽检不合格样品数（食品细类单一品种不合格数不超过不合格总数的10%，超出数值不计算）/食品及食用农产品监督抽检样品数。达不到</w:t>
      </w:r>
      <w:r>
        <w:rPr>
          <w:rFonts w:hint="eastAsia" w:ascii="宋体" w:hAnsi="宋体"/>
          <w:color w:val="000000"/>
          <w:sz w:val="24"/>
          <w:szCs w:val="24"/>
          <w:highlight w:val="none"/>
        </w:rPr>
        <w:t xml:space="preserve">江苏省市场监管局要求的指标</w:t>
      </w:r>
      <w:r>
        <w:rPr>
          <w:rFonts w:ascii="宋体" w:hAnsi="宋体"/>
          <w:color w:val="000000"/>
          <w:sz w:val="24"/>
          <w:szCs w:val="24"/>
          <w:highlight w:val="none"/>
        </w:rPr>
        <w:t xml:space="preserve">，酌情扣款。</w:t>
      </w:r>
      <w:r/>
    </w:p>
    <w:p>
      <w:pPr>
        <w:pStyle w:val="716"/>
        <w:ind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3、抽检任务推进考核：按照采购方下达的不同任务要求均衡推进抽检，按任务要求完成的时间阶段进行考核。</w:t>
      </w:r>
      <w:r/>
    </w:p>
    <w:p>
      <w:pPr>
        <w:pStyle w:val="717"/>
        <w:ind w:left="0" w:firstLine="480"/>
        <w:keepLines w:val="0"/>
        <w:keepNext w:val="0"/>
        <w:pageBreakBefore w:val="0"/>
        <w:spacing w:line="520" w:lineRule="exact"/>
        <w:widowControl w:val="off"/>
        <w:rPr>
          <w:color w:val="000000"/>
          <w:sz w:val="24"/>
          <w:szCs w:val="24"/>
          <w:highlight w:val="none"/>
        </w:rPr>
      </w:pPr>
      <w:r>
        <w:rPr>
          <w:rFonts w:hint="eastAsia"/>
          <w:color w:val="000000"/>
          <w:sz w:val="24"/>
          <w:szCs w:val="24"/>
          <w:highlight w:val="none"/>
        </w:rPr>
        <w:t xml:space="preserve">4、因抽样、检验过程不规范，影响核查处置工作推进的及初检结论被推翻的，酌情扣款。</w:t>
      </w:r>
      <w:r/>
    </w:p>
    <w:p>
      <w:pPr>
        <w:pStyle w:val="716"/>
        <w:ind w:firstLine="482"/>
        <w:jc w:val="left"/>
        <w:keepLines w:val="0"/>
        <w:keepNext w:val="0"/>
        <w:pageBreakBefore w:val="0"/>
        <w:spacing w:line="520" w:lineRule="exact"/>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六</w:t>
      </w:r>
      <w:r>
        <w:rPr>
          <w:rFonts w:ascii="宋体" w:hAnsi="宋体"/>
          <w:b/>
          <w:color w:val="000000"/>
          <w:sz w:val="24"/>
          <w:szCs w:val="24"/>
          <w:highlight w:val="none"/>
        </w:rPr>
        <w:t xml:space="preserve">、其他要求</w:t>
      </w:r>
      <w:r/>
    </w:p>
    <w:p>
      <w:pPr>
        <w:ind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本次项目各标段中标人负责对采购人根据上级部署任务和实际工作需要而确定的项目进行委托抽检工作，按实际完成量据实支付。</w:t>
      </w:r>
      <w:r/>
    </w:p>
    <w:p>
      <w:pPr>
        <w:ind w:firstLine="480"/>
        <w:keepLines w:val="0"/>
        <w:keepNext w:val="0"/>
        <w:pageBreakBefore w:val="0"/>
        <w:spacing w:line="520" w:lineRule="exact"/>
        <w:widowControl w:val="off"/>
        <w:rPr>
          <w:rFonts w:hint="default" w:ascii="宋体" w:hAnsi="宋体" w:eastAsia="宋体"/>
          <w:color w:val="000000"/>
          <w:sz w:val="28"/>
          <w:szCs w:val="28"/>
          <w:highlight w:val="none"/>
          <w:lang w:val="en-US" w:eastAsia="zh-CN"/>
        </w:rPr>
      </w:pPr>
      <w:r>
        <w:rPr>
          <w:rFonts w:hint="eastAsia" w:ascii="宋体" w:hAnsi="宋体"/>
          <w:color w:val="000000"/>
          <w:sz w:val="24"/>
          <w:szCs w:val="24"/>
          <w:highlight w:val="none"/>
          <w:lang w:val="en-US" w:eastAsia="zh-CN"/>
        </w:rPr>
        <w:t xml:space="preserve">其他内容详见拟签订的合同文本。</w:t>
      </w:r>
      <w:r/>
    </w:p>
    <w:p>
      <w:pPr>
        <w:ind w:firstLine="560"/>
        <w:keepLines w:val="0"/>
        <w:keepNext w:val="0"/>
        <w:pageBreakBefore w:val="0"/>
        <w:spacing w:line="520" w:lineRule="exact"/>
        <w:widowControl w:val="off"/>
        <w:rPr>
          <w:rFonts w:hint="eastAsia" w:ascii="宋体" w:hAnsi="宋体"/>
          <w:color w:val="000000"/>
          <w:sz w:val="28"/>
          <w:szCs w:val="28"/>
          <w:highlight w:val="none"/>
          <w:lang w:eastAsia="zh-CN"/>
        </w:rPr>
        <w:sectPr>
          <w:footnotePr/>
          <w:endnotePr/>
          <w:type w:val="nextPage"/>
          <w:pgSz w:w="11906" w:h="16838" w:orient="portrait"/>
          <w:pgMar w:top="1417" w:right="1587" w:bottom="1417" w:left="1587" w:header="851" w:footer="992" w:gutter="0"/>
          <w:cols w:num="1" w:sep="0" w:space="1701" w:equalWidth="1"/>
          <w:docGrid w:linePitch="360"/>
        </w:sectPr>
      </w:pPr>
      <w:r>
        <w:rPr>
          <w:rFonts w:hint="eastAsia" w:ascii="宋体" w:hAnsi="宋体"/>
          <w:color w:val="000000"/>
          <w:sz w:val="28"/>
          <w:szCs w:val="28"/>
          <w:highlight w:val="none"/>
          <w:lang w:eastAsia="zh-CN"/>
        </w:rPr>
      </w:r>
      <w:r/>
    </w:p>
    <w:p>
      <w:pPr>
        <w:pStyle w:val="800"/>
        <w:jc w:val="center"/>
        <w:rPr>
          <w:rFonts w:hint="eastAsia" w:ascii="宋体" w:hAnsi="宋体" w:eastAsia="宋体" w:cs="宋体"/>
          <w:highlight w:val="none"/>
        </w:rPr>
      </w:pPr>
      <w:r>
        <w:rPr>
          <w:rFonts w:hint="eastAsia" w:ascii="宋体" w:hAnsi="宋体" w:eastAsia="宋体" w:cs="宋体"/>
          <w:highlight w:val="none"/>
        </w:rPr>
        <w:t xml:space="preserve">第</w:t>
      </w:r>
      <w:r>
        <w:rPr>
          <w:rFonts w:hint="eastAsia" w:ascii="宋体" w:hAnsi="宋体" w:eastAsia="宋体" w:cs="宋体"/>
          <w:highlight w:val="none"/>
          <w:lang w:val="en-US" w:eastAsia="zh-CN"/>
        </w:rPr>
        <w:t xml:space="preserve">七</w:t>
      </w:r>
      <w:r>
        <w:rPr>
          <w:rFonts w:hint="eastAsia" w:ascii="宋体" w:hAnsi="宋体" w:eastAsia="宋体" w:cs="宋体"/>
          <w:highlight w:val="none"/>
        </w:rPr>
        <w:t xml:space="preserve">章  投标文件相关格式</w:t>
      </w:r>
      <w:bookmarkEnd w:id="13"/>
      <w:r/>
      <w:bookmarkEnd w:id="14"/>
      <w:r/>
      <w:r/>
    </w:p>
    <w:p>
      <w:pPr>
        <w:jc w:val="center"/>
        <w:spacing w:line="520" w:lineRule="exact"/>
        <w:rPr>
          <w:rFonts w:hint="eastAsia" w:ascii="宋体" w:hAnsi="宋体" w:cs="宋体"/>
          <w:b/>
          <w:bCs/>
          <w:sz w:val="30"/>
          <w:szCs w:val="30"/>
          <w:highlight w:val="none"/>
        </w:rPr>
      </w:pPr>
      <w:r>
        <w:rPr>
          <w:rFonts w:hint="eastAsia" w:ascii="宋体" w:hAnsi="宋体" w:cs="宋体"/>
          <w:b/>
          <w:bCs/>
          <w:sz w:val="30"/>
          <w:szCs w:val="30"/>
          <w:highlight w:val="none"/>
        </w:rPr>
        <w:t xml:space="preserve">一、投标函</w:t>
      </w:r>
      <w:r/>
    </w:p>
    <w:p>
      <w:pPr>
        <w:spacing w:line="4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致：</w:t>
      </w:r>
      <w:r>
        <w:rPr>
          <w:rFonts w:hint="eastAsia" w:ascii="宋体" w:hAnsi="宋体" w:cs="宋体"/>
          <w:sz w:val="24"/>
          <w:szCs w:val="24"/>
          <w:highlight w:val="none"/>
          <w:u w:val="single"/>
          <w:lang w:eastAsia="zh-CN"/>
        </w:rPr>
        <w:t xml:space="preserve">永明项目管理有限公司</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根据</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项目[项目编号：</w:t>
      </w:r>
      <w:r>
        <w:rPr>
          <w:rFonts w:hint="eastAsia" w:ascii="宋体" w:hAnsi="宋体" w:cs="宋体"/>
          <w:sz w:val="24"/>
          <w:szCs w:val="24"/>
          <w:highlight w:val="none"/>
          <w:lang w:eastAsia="zh-CN"/>
        </w:rPr>
        <w:t xml:space="preserve">JSZC-320300-YMXM-G2024-0013</w:t>
      </w:r>
      <w:r>
        <w:rPr>
          <w:rFonts w:hint="eastAsia" w:ascii="宋体" w:hAnsi="宋体" w:cs="宋体"/>
          <w:sz w:val="24"/>
          <w:szCs w:val="24"/>
          <w:highlight w:val="none"/>
        </w:rPr>
        <w:t xml:space="preserve">]招标文件，</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(姓名)代表我方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（投标人的名称）全权处理本次投标的有关事宜。</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据此函，投标人承诺并同意如下： </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1.投标人唯一投标报价见《开标一览表》。</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2.投标人将按招标文件的规定履行合同责任和义务。</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4.投标有效期为开标之日后90天。</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6.投标人同意在授予合同后，按照有关规定支付公证费(如有)。</w:t>
      </w:r>
      <w:r/>
    </w:p>
    <w:p>
      <w:pPr>
        <w:ind w:right="29"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cs="宋体"/>
          <w:sz w:val="24"/>
          <w:szCs w:val="24"/>
          <w:highlight w:val="none"/>
          <w:lang w:eastAsia="zh-CN"/>
        </w:rPr>
        <w:t xml:space="preserve">永明项目管理有限公司</w:t>
      </w:r>
      <w:r>
        <w:rPr>
          <w:rFonts w:hint="eastAsia" w:ascii="宋体" w:hAnsi="宋体" w:cs="宋体"/>
          <w:sz w:val="24"/>
          <w:szCs w:val="24"/>
          <w:highlight w:val="none"/>
        </w:rPr>
        <w:t xml:space="preserve">有权将我单位本项目的《开标一览表》和《分项价格表》予以公示，公示的方式由</w:t>
      </w:r>
      <w:r>
        <w:rPr>
          <w:rFonts w:hint="eastAsia" w:ascii="宋体" w:hAnsi="宋体" w:cs="宋体"/>
          <w:sz w:val="24"/>
          <w:szCs w:val="24"/>
          <w:highlight w:val="none"/>
          <w:lang w:eastAsia="zh-CN"/>
        </w:rPr>
        <w:t xml:space="preserve">永明项目管理有限公司</w:t>
      </w:r>
      <w:r>
        <w:rPr>
          <w:rFonts w:hint="eastAsia" w:ascii="宋体" w:hAnsi="宋体" w:cs="宋体"/>
          <w:sz w:val="24"/>
          <w:szCs w:val="24"/>
          <w:highlight w:val="none"/>
        </w:rPr>
        <w:t xml:space="preserve">确定。</w:t>
      </w:r>
      <w:r/>
    </w:p>
    <w:p>
      <w:pPr>
        <w:ind w:right="29"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9.与本投标有关的一切正式往来信函请寄：</w:t>
      </w:r>
      <w:r/>
    </w:p>
    <w:p>
      <w:pPr>
        <w:ind w:firstLine="112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地址： </w:t>
      </w:r>
      <w:r/>
    </w:p>
    <w:p>
      <w:pPr>
        <w:ind w:firstLine="112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电话：</w:t>
      </w:r>
      <w:r/>
    </w:p>
    <w:p>
      <w:pPr>
        <w:ind w:firstLine="112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移动电话： </w:t>
      </w:r>
      <w:r/>
    </w:p>
    <w:p>
      <w:pPr>
        <w:ind w:firstLine="112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传真： </w:t>
      </w:r>
      <w:r/>
    </w:p>
    <w:p>
      <w:pPr>
        <w:ind w:firstLine="364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           </w:t>
      </w:r>
      <w:r/>
    </w:p>
    <w:p>
      <w:pPr>
        <w:ind w:firstLine="45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jc w:val="center"/>
        <w:spacing w:line="480" w:lineRule="exact"/>
        <w:rPr>
          <w:rFonts w:hint="eastAsia"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cs="宋体"/>
          <w:b/>
          <w:bCs/>
          <w:sz w:val="30"/>
          <w:szCs w:val="30"/>
          <w:highlight w:val="none"/>
        </w:rPr>
        <w:t xml:space="preserve">二、开标一览表</w:t>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560"/>
        <w:spacing w:line="52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徐州市市场监督管理局食品安全监督抽检</w:t>
      </w:r>
      <w:r>
        <w:rPr>
          <w:rFonts w:hint="eastAsia" w:ascii="宋体" w:hAnsi="宋体" w:cs="宋体"/>
          <w:sz w:val="24"/>
          <w:szCs w:val="24"/>
          <w:highlight w:val="none"/>
        </w:rPr>
        <w:t xml:space="preserve"> </w:t>
      </w:r>
      <w:r/>
    </w:p>
    <w:p>
      <w:pPr>
        <w:ind w:firstLine="560"/>
        <w:spacing w:line="520" w:lineRule="exact"/>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JSZC-320300-YMXM-G2024-0013</w:t>
      </w:r>
      <w:r/>
    </w:p>
    <w:p>
      <w:pPr>
        <w:ind w:firstLine="56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货币单位：人民币元</w:t>
      </w:r>
      <w:r/>
    </w:p>
    <w:p>
      <w:pPr>
        <w:rPr>
          <w:rFonts w:hint="eastAsia" w:ascii="宋体" w:hAnsi="宋体" w:cs="宋体"/>
          <w:b/>
          <w:sz w:val="24"/>
          <w:szCs w:val="24"/>
          <w:highlight w:val="none"/>
        </w:rPr>
      </w:pPr>
      <w:r>
        <w:rPr>
          <w:rFonts w:hint="eastAsia" w:ascii="宋体" w:hAnsi="宋体" w:cs="宋体"/>
          <w:b/>
          <w:sz w:val="24"/>
          <w:szCs w:val="24"/>
          <w:highlight w:val="none"/>
        </w:rPr>
      </w:r>
      <w:r/>
    </w:p>
    <w:p>
      <w:pPr>
        <w:ind w:firstLine="56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 详见苏采云系统中的格式。</w:t>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ind w:firstLine="294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39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9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jc w:val="center"/>
        <w:spacing w:line="480" w:lineRule="exact"/>
        <w:rPr>
          <w:rFonts w:hint="eastAsia" w:ascii="宋体" w:hAnsi="宋体" w:cs="宋体"/>
          <w:sz w:val="30"/>
          <w:szCs w:val="30"/>
          <w:highlight w:val="none"/>
        </w:rPr>
      </w:pPr>
      <w:r>
        <w:rPr>
          <w:rFonts w:hint="eastAsia" w:ascii="宋体" w:hAnsi="宋体" w:cs="宋体"/>
          <w:sz w:val="30"/>
          <w:szCs w:val="30"/>
          <w:highlight w:val="none"/>
        </w:rPr>
        <w:br w:type="page" w:clear="all"/>
      </w:r>
      <w:r>
        <w:rPr>
          <w:rFonts w:hint="eastAsia" w:ascii="宋体" w:hAnsi="宋体" w:cs="宋体"/>
          <w:b/>
          <w:bCs/>
          <w:sz w:val="30"/>
          <w:szCs w:val="30"/>
          <w:highlight w:val="none"/>
        </w:rPr>
        <w:t xml:space="preserve">三、分项价格表</w:t>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徐州市市场监督管理局食品安全监督抽检</w:t>
      </w:r>
      <w:r>
        <w:rPr>
          <w:rFonts w:hint="eastAsia" w:ascii="宋体" w:hAnsi="宋体" w:cs="宋体"/>
          <w:sz w:val="24"/>
          <w:szCs w:val="24"/>
          <w:highlight w:val="none"/>
        </w:rPr>
        <w:t xml:space="preserve">  </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JSZC-320300-YMXM-G2024-0013</w:t>
      </w:r>
      <w:r>
        <w:rPr>
          <w:rFonts w:hint="eastAsia" w:ascii="宋体" w:hAnsi="宋体" w:cs="宋体"/>
          <w:sz w:val="24"/>
          <w:szCs w:val="24"/>
          <w:highlight w:val="none"/>
        </w:rPr>
        <w:t xml:space="preserve">   </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货币单位：人民币元</w:t>
      </w:r>
      <w:r/>
    </w:p>
    <w:p>
      <w:pPr>
        <w:ind w:firstLine="2660"/>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r>
      <w:r/>
    </w:p>
    <w:tbl>
      <w:tblPr>
        <w:tblStyle w:val="704"/>
        <w:tblpPr w:horzAnchor="page" w:tblpX="1331" w:vertAnchor="text" w:tblpY="97" w:leftFromText="180" w:topFromText="0" w:rightFromText="180" w:bottomFromText="0"/>
        <w:tblW w:w="9236"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108" w:type="dxa"/>
          <w:top w:w="0" w:type="dxa"/>
          <w:right w:w="108" w:type="dxa"/>
          <w:bottom w:w="0" w:type="dxa"/>
        </w:tblCellMar>
        <w:tblLook w:val="04A0" w:firstRow="1" w:lastRow="0" w:firstColumn="1" w:lastColumn="0" w:noHBand="0" w:noVBand="1"/>
      </w:tblPr>
      <w:tblGrid>
        <w:gridCol w:w="2728"/>
        <w:gridCol w:w="2004"/>
        <w:gridCol w:w="1992"/>
        <w:gridCol w:w="2512"/>
      </w:tblGrid>
      <w:tr>
        <w:trPr>
          <w:trHeight w:val="1168"/>
        </w:trPr>
        <w:tc>
          <w:tcPr>
            <w:tcW w:w="2728" w:type="dxa"/>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004" w:type="dxa"/>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W w:w="1992" w:type="dxa"/>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2512" w:type="dxa"/>
            <w:vAlign w:val="center"/>
            <w:textDirection w:val="lrTb"/>
            <w:noWrap w:val="false"/>
          </w:tcPr>
          <w:p>
            <w:pPr>
              <w:jc w:val="center"/>
              <w:spacing w:after="0" w:line="520" w:lineRule="exact"/>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单价（小写）</w:t>
            </w:r>
            <w:r/>
          </w:p>
        </w:tc>
      </w:tr>
      <w:tr>
        <w:trPr>
          <w:trHeight w:val="1547"/>
        </w:trPr>
        <w:tc>
          <w:tcPr>
            <w:tcW w:w="2728" w:type="dxa"/>
            <w:vAlign w:val="center"/>
            <w:textDirection w:val="lrTb"/>
            <w:noWrap w:val="false"/>
          </w:tcPr>
          <w:p>
            <w:pPr>
              <w:jc w:val="center"/>
              <w:spacing w:after="0"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徐州市市场监督管理局食品安全监督抽检</w:t>
            </w:r>
            <w:r/>
          </w:p>
        </w:tc>
        <w:tc>
          <w:tcPr>
            <w:tcW w:w="2004" w:type="dxa"/>
            <w:vAlign w:val="center"/>
            <w:textDirection w:val="lrTb"/>
            <w:noWrap w:val="false"/>
          </w:tcPr>
          <w:p>
            <w:pPr>
              <w:jc w:val="center"/>
              <w:spacing w:after="0"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详见招标文件</w:t>
            </w:r>
            <w:r/>
          </w:p>
        </w:tc>
        <w:tc>
          <w:tcPr>
            <w:tcW w:w="1992" w:type="dxa"/>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512" w:type="dxa"/>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1015"/>
        </w:trPr>
        <w:tc>
          <w:tcPr>
            <w:tcW w:w="2728" w:type="dxa"/>
            <w:vAlign w:val="center"/>
            <w:textDirection w:val="lrTb"/>
            <w:noWrap w:val="false"/>
          </w:tcPr>
          <w:p>
            <w:pPr>
              <w:jc w:val="center"/>
              <w:spacing w:after="0" w:line="520" w:lineRule="exact"/>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单价（大写）</w:t>
            </w:r>
            <w:r/>
          </w:p>
        </w:tc>
        <w:tc>
          <w:tcPr>
            <w:gridSpan w:val="3"/>
            <w:tcW w:w="6508" w:type="dxa"/>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266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26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 投标人授权代表：（签字或盖章） </w:t>
      </w:r>
      <w:r/>
    </w:p>
    <w:p>
      <w:pPr>
        <w:ind w:firstLine="364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注：1、本</w:t>
      </w:r>
      <w:r>
        <w:rPr>
          <w:rFonts w:hint="eastAsia" w:ascii="宋体" w:hAnsi="宋体" w:cs="宋体"/>
          <w:sz w:val="24"/>
          <w:szCs w:val="24"/>
          <w:highlight w:val="none"/>
          <w:lang w:val="en-US" w:eastAsia="zh-CN"/>
        </w:rPr>
        <w:t xml:space="preserve">项目</w:t>
      </w:r>
      <w:r>
        <w:rPr>
          <w:rFonts w:hint="eastAsia" w:ascii="宋体" w:hAnsi="宋体" w:cs="宋体"/>
          <w:b/>
          <w:bCs w:val="0"/>
          <w:sz w:val="24"/>
          <w:szCs w:val="24"/>
          <w:highlight w:val="none"/>
        </w:rPr>
        <w:t xml:space="preserve">不接受单批次报价超过849元人民币、总任务量低于588批次的投标报价</w:t>
      </w:r>
      <w:r>
        <w:rPr>
          <w:rFonts w:hint="eastAsia" w:ascii="宋体" w:hAnsi="宋体" w:cs="宋体"/>
          <w:sz w:val="24"/>
          <w:szCs w:val="24"/>
          <w:highlight w:val="none"/>
        </w:rPr>
        <w:t xml:space="preserve">，超出此限价的报价无效。</w:t>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如果不提供详细分项报价将视为没有实质性响应招标文件。</w:t>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投标人对以上数据的真实性负责。</w:t>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lang w:eastAsia="zh-CN"/>
        </w:rPr>
        <w:t xml:space="preserve">永明项目管理有限公司</w:t>
      </w:r>
      <w:r>
        <w:rPr>
          <w:rFonts w:hint="eastAsia" w:ascii="宋体" w:hAnsi="宋体" w:cs="宋体"/>
          <w:sz w:val="24"/>
          <w:szCs w:val="24"/>
          <w:highlight w:val="none"/>
        </w:rPr>
        <w:t xml:space="preserve">有权将以上内容进行公示。</w:t>
      </w:r>
      <w:r/>
    </w:p>
    <w:p>
      <w:pPr>
        <w:jc w:val="center"/>
        <w:spacing w:line="480" w:lineRule="exact"/>
        <w:rPr>
          <w:rFonts w:hint="eastAsia" w:ascii="宋体" w:hAnsi="宋体" w:cs="宋体"/>
          <w:sz w:val="24"/>
          <w:highlight w:val="none"/>
        </w:rPr>
      </w:pPr>
      <w:r>
        <w:rPr>
          <w:rFonts w:hint="eastAsia" w:ascii="宋体" w:hAnsi="宋体" w:cs="宋体"/>
          <w:sz w:val="28"/>
          <w:szCs w:val="28"/>
          <w:highlight w:val="none"/>
        </w:rPr>
        <w:br w:type="page" w:clear="all"/>
      </w:r>
      <w:r>
        <w:rPr>
          <w:rFonts w:hint="eastAsia" w:ascii="宋体" w:hAnsi="宋体" w:cs="宋体"/>
          <w:b/>
          <w:bCs/>
          <w:sz w:val="30"/>
          <w:szCs w:val="30"/>
          <w:highlight w:val="none"/>
        </w:rPr>
        <w:t xml:space="preserve">四、偏离表</w:t>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徐州市市场监督管理局食品安全监督抽检</w:t>
      </w:r>
      <w:r/>
    </w:p>
    <w:p>
      <w:pPr>
        <w:ind w:firstLine="600"/>
        <w:spacing w:line="480" w:lineRule="exact"/>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JSZC-320300-YMXM-G2024-0013</w:t>
      </w:r>
      <w:r/>
    </w:p>
    <w:p>
      <w:pPr>
        <w:rPr>
          <w:rFonts w:hint="eastAsia" w:ascii="宋体" w:hAnsi="宋体" w:cs="宋体"/>
          <w:sz w:val="24"/>
          <w:szCs w:val="24"/>
          <w:highlight w:val="none"/>
          <w:u w:val="single"/>
        </w:rPr>
      </w:pPr>
      <w:r>
        <w:rPr>
          <w:rFonts w:hint="eastAsia" w:ascii="宋体" w:hAnsi="宋体" w:cs="宋体"/>
          <w:sz w:val="24"/>
          <w:szCs w:val="24"/>
          <w:highlight w:val="none"/>
          <w:u w:val="single"/>
        </w:rPr>
      </w:r>
      <w:r/>
    </w:p>
    <w:tbl>
      <w:tblPr>
        <w:tblStyle w:val="67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cap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caps/>
                <w:sz w:val="24"/>
                <w:szCs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sz w:val="24"/>
                <w:szCs w:val="24"/>
                <w:highlight w:val="none"/>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sz w:val="24"/>
                <w:szCs w:val="24"/>
                <w:highlight w:val="none"/>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caps/>
                <w:sz w:val="24"/>
                <w:szCs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caps/>
                <w:sz w:val="24"/>
                <w:szCs w:val="24"/>
                <w:highlight w:val="none"/>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bl>
    <w:p>
      <w:pPr>
        <w:rPr>
          <w:rFonts w:hint="eastAsia" w:ascii="宋体" w:hAnsi="宋体" w:cs="宋体"/>
          <w:sz w:val="24"/>
          <w:szCs w:val="24"/>
          <w:highlight w:val="none"/>
          <w:u w:val="single"/>
        </w:rPr>
      </w:pPr>
      <w:r>
        <w:rPr>
          <w:rFonts w:hint="eastAsia" w:ascii="宋体" w:hAnsi="宋体" w:cs="宋体"/>
          <w:sz w:val="24"/>
          <w:szCs w:val="24"/>
          <w:highlight w:val="none"/>
          <w:u w:val="single"/>
        </w:rPr>
      </w:r>
      <w:r/>
    </w:p>
    <w:p>
      <w:pPr>
        <w:ind w:firstLine="562"/>
        <w:spacing w:line="440" w:lineRule="exact"/>
        <w:rPr>
          <w:rFonts w:hint="eastAsia" w:ascii="宋体" w:hAnsi="宋体" w:cs="宋体"/>
          <w:sz w:val="24"/>
          <w:szCs w:val="24"/>
          <w:highlight w:val="none"/>
        </w:rPr>
      </w:pPr>
      <w:r>
        <w:rPr>
          <w:rFonts w:hint="eastAsia" w:ascii="宋体" w:hAnsi="宋体" w:cs="宋体"/>
          <w:b/>
          <w:sz w:val="24"/>
          <w:szCs w:val="24"/>
          <w:highlight w:val="none"/>
          <w:u w:val="single"/>
        </w:rPr>
        <w:t xml:space="preserve">注</w:t>
      </w:r>
      <w:r>
        <w:rPr>
          <w:rFonts w:hint="eastAsia" w:ascii="宋体" w:hAnsi="宋体" w:cs="宋体"/>
          <w:sz w:val="24"/>
          <w:szCs w:val="24"/>
          <w:highlight w:val="none"/>
          <w:u w:val="single"/>
        </w:rPr>
        <w:t xml:space="preserve">：投标人的投标文件中的内容与招标文件（含招标文件的澄清或者修改的内容）的要求不同时，逐条列在偏离表中，否则将认为投标人接受招标文件的要求。</w:t>
      </w:r>
      <w:r/>
    </w:p>
    <w:p>
      <w:pPr>
        <w:ind w:firstLine="390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390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390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390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w:t>
      </w:r>
      <w:r/>
    </w:p>
    <w:p>
      <w:pPr>
        <w:ind w:firstLine="390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390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rPr>
          <w:rFonts w:hint="eastAsia" w:ascii="宋体" w:hAnsi="宋体" w:cs="宋体"/>
          <w:bCs/>
          <w:sz w:val="30"/>
          <w:szCs w:val="30"/>
          <w:highlight w:val="none"/>
        </w:rPr>
      </w:pPr>
      <w:r>
        <w:rPr>
          <w:rFonts w:hint="eastAsia" w:ascii="宋体" w:hAnsi="宋体" w:cs="宋体"/>
          <w:bCs/>
          <w:sz w:val="30"/>
          <w:szCs w:val="30"/>
          <w:highlight w:val="none"/>
        </w:rPr>
        <w:br w:type="page" w:clear="all"/>
      </w:r>
      <w:r/>
    </w:p>
    <w:p>
      <w:pPr>
        <w:jc w:val="center"/>
        <w:spacing w:line="480" w:lineRule="exact"/>
        <w:rPr>
          <w:rFonts w:hint="eastAsia" w:ascii="宋体" w:hAnsi="宋体" w:cs="宋体"/>
          <w:b/>
          <w:bCs w:val="0"/>
          <w:sz w:val="30"/>
          <w:szCs w:val="30"/>
          <w:highlight w:val="none"/>
        </w:rPr>
      </w:pPr>
      <w:r>
        <w:rPr>
          <w:rFonts w:hint="eastAsia" w:ascii="宋体" w:hAnsi="宋体" w:cs="宋体"/>
          <w:b/>
          <w:bCs w:val="0"/>
          <w:sz w:val="30"/>
          <w:szCs w:val="30"/>
          <w:highlight w:val="none"/>
        </w:rPr>
        <w:t xml:space="preserve">五、法定代表人授权书</w:t>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委托人：</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地  址：</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法定代表人（负责人）：               职务：</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统一社会信用代码：</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受托人：                   性别：男（女）  </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年龄：  岁                 民族：   族</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职务：</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身份证号：</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兹委托（      ）全权代表我企业（公司）参与（</w:t>
      </w:r>
      <w:r>
        <w:rPr>
          <w:rFonts w:hint="eastAsia" w:ascii="宋体" w:hAnsi="宋体" w:cs="宋体"/>
          <w:sz w:val="24"/>
          <w:szCs w:val="24"/>
          <w:highlight w:val="none"/>
          <w:lang w:eastAsia="zh-CN"/>
        </w:rPr>
        <w:t xml:space="preserve">徐州市市场监督管理局食品安全监督抽检</w:t>
      </w:r>
      <w:r>
        <w:rPr>
          <w:rFonts w:hint="eastAsia" w:ascii="宋体" w:hAnsi="宋体" w:cs="宋体"/>
          <w:sz w:val="24"/>
          <w:szCs w:val="24"/>
          <w:highlight w:val="none"/>
        </w:rPr>
        <w:t xml:space="preserve">）项目（项目编号：</w:t>
      </w:r>
      <w:r>
        <w:rPr>
          <w:rFonts w:hint="eastAsia" w:ascii="宋体" w:hAnsi="宋体" w:cs="宋体"/>
          <w:sz w:val="24"/>
          <w:szCs w:val="24"/>
          <w:highlight w:val="none"/>
          <w:lang w:eastAsia="zh-CN"/>
        </w:rPr>
        <w:t xml:space="preserve">JSZC-320300-YMXM-G2024-0013</w:t>
      </w:r>
      <w:r>
        <w:rPr>
          <w:rFonts w:hint="eastAsia" w:ascii="宋体" w:hAnsi="宋体" w:cs="宋体"/>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特此授权委托。</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委托人（盖章）：               受托人（签字）：</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法定代表人（签字）： </w:t>
      </w:r>
      <w:r/>
    </w:p>
    <w:p>
      <w:pPr>
        <w:ind w:right="600" w:firstLine="61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年   月   日 </w:t>
      </w:r>
      <w:r/>
    </w:p>
    <w:p>
      <w:pP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(受托人身份证复印件附后)</w:t>
      </w:r>
      <w:r/>
    </w:p>
    <w:p>
      <w:pPr>
        <w:ind w:firstLine="4470"/>
        <w:rPr>
          <w:rFonts w:hint="eastAsia" w:ascii="宋体" w:hAnsi="宋体" w:cs="宋体"/>
          <w:sz w:val="28"/>
          <w:szCs w:val="28"/>
          <w:highlight w:val="none"/>
        </w:rPr>
      </w:pPr>
      <w:r>
        <w:rPr>
          <w:rFonts w:hint="eastAsia" w:ascii="宋体" w:hAnsi="宋体" w:cs="宋体"/>
          <w:sz w:val="28"/>
          <w:szCs w:val="28"/>
          <w:highlight w:val="none"/>
        </w:rPr>
        <w:t xml:space="preserve"> </w:t>
      </w:r>
      <w:r/>
    </w:p>
    <w:p>
      <w:pPr>
        <w:ind w:firstLine="4470"/>
        <w:rPr>
          <w:rFonts w:hint="eastAsia" w:ascii="宋体" w:hAnsi="宋体" w:cs="宋体"/>
          <w:sz w:val="28"/>
          <w:szCs w:val="28"/>
          <w:highlight w:val="none"/>
        </w:rPr>
      </w:pPr>
      <w:r>
        <w:rPr>
          <w:rFonts w:hint="eastAsia" w:ascii="宋体" w:hAnsi="宋体" w:cs="宋体"/>
          <w:sz w:val="28"/>
          <w:szCs w:val="28"/>
          <w:highlight w:val="none"/>
        </w:rPr>
      </w:r>
      <w:r/>
    </w:p>
    <w:p>
      <w:pPr>
        <w:ind w:firstLine="4470"/>
        <w:rPr>
          <w:rFonts w:hint="eastAsia" w:ascii="宋体" w:hAnsi="宋体" w:cs="宋体"/>
          <w:sz w:val="28"/>
          <w:szCs w:val="28"/>
          <w:highlight w:val="none"/>
        </w:rPr>
      </w:pPr>
      <w:r>
        <w:rPr>
          <w:rFonts w:hint="eastAsia" w:ascii="宋体" w:hAnsi="宋体" w:cs="宋体"/>
          <w:sz w:val="28"/>
          <w:szCs w:val="28"/>
          <w:highlight w:val="none"/>
        </w:rPr>
      </w:r>
      <w:r/>
    </w:p>
    <w:p>
      <w:pPr>
        <w:ind w:firstLine="4470"/>
        <w:rPr>
          <w:rFonts w:hint="eastAsia" w:ascii="宋体" w:hAnsi="宋体" w:cs="宋体"/>
          <w:sz w:val="28"/>
          <w:szCs w:val="28"/>
          <w:highlight w:val="none"/>
        </w:rPr>
      </w:pPr>
      <w:r>
        <w:rPr>
          <w:rFonts w:hint="eastAsia" w:ascii="宋体" w:hAnsi="宋体" w:cs="宋体"/>
          <w:sz w:val="28"/>
          <w:szCs w:val="28"/>
          <w:highlight w:val="none"/>
        </w:rPr>
      </w:r>
      <w:r/>
    </w:p>
    <w:p>
      <w:pPr>
        <w:jc w:val="center"/>
        <w:spacing w:before="100" w:beforeAutospacing="1" w:after="100" w:afterAutospacing="1" w:line="480" w:lineRule="exact"/>
        <w:widowControl/>
        <w:rPr>
          <w:rFonts w:hint="eastAsia" w:ascii="宋体" w:hAnsi="宋体" w:cs="宋体"/>
          <w:sz w:val="30"/>
          <w:szCs w:val="30"/>
          <w:highlight w:val="none"/>
        </w:rPr>
      </w:pPr>
      <w:r>
        <w:rPr>
          <w:rFonts w:hint="eastAsia" w:ascii="宋体" w:hAnsi="宋体" w:cs="宋体"/>
          <w:sz w:val="30"/>
          <w:szCs w:val="30"/>
          <w:highlight w:val="none"/>
        </w:rPr>
        <w:br w:type="page" w:clear="all"/>
      </w:r>
      <w:r>
        <w:rPr>
          <w:rFonts w:hint="eastAsia" w:ascii="宋体" w:hAnsi="宋体" w:cs="宋体"/>
          <w:b/>
          <w:bCs/>
          <w:sz w:val="30"/>
          <w:szCs w:val="30"/>
          <w:highlight w:val="none"/>
        </w:rPr>
        <w:t xml:space="preserve">六、中小企业声明函</w:t>
      </w:r>
      <w:r/>
    </w:p>
    <w:p>
      <w:pPr>
        <w:keepLines w:val="0"/>
        <w:keepNext w:val="0"/>
        <w:pageBreakBefore w:val="0"/>
        <w:spacing w:line="520" w:lineRule="exact"/>
        <w:widowControl w:val="off"/>
        <w:rPr>
          <w:rFonts w:hint="eastAsia" w:ascii="宋体" w:hAnsi="宋体" w:cs="宋体"/>
          <w:sz w:val="24"/>
          <w:szCs w:val="24"/>
          <w:highlight w:val="none"/>
          <w:u w:val="single"/>
        </w:rPr>
      </w:pPr>
      <w:r>
        <w:rPr>
          <w:rFonts w:hint="eastAsia" w:ascii="宋体" w:hAnsi="宋体" w:cs="宋体"/>
          <w:sz w:val="24"/>
          <w:szCs w:val="24"/>
          <w:highlight w:val="none"/>
        </w:rPr>
        <w:t xml:space="preserve">项目名称：</w:t>
      </w:r>
      <w:r>
        <w:rPr>
          <w:rFonts w:hint="eastAsia" w:ascii="宋体" w:hAnsi="宋体" w:cs="宋体"/>
          <w:sz w:val="24"/>
          <w:szCs w:val="24"/>
          <w:highlight w:val="none"/>
          <w:u w:val="single"/>
        </w:rPr>
        <w:t xml:space="preserve">                                </w:t>
      </w:r>
      <w:r/>
    </w:p>
    <w:p>
      <w:pPr>
        <w:keepLines w:val="0"/>
        <w:keepNext w:val="0"/>
        <w:pageBreakBefore w:val="0"/>
        <w:spacing w:line="520" w:lineRule="exact"/>
        <w:widowControl w:val="off"/>
        <w:rPr>
          <w:rFonts w:hint="eastAsia" w:ascii="宋体" w:hAnsi="宋体" w:cs="宋体"/>
          <w:sz w:val="24"/>
          <w:szCs w:val="24"/>
          <w:highlight w:val="none"/>
          <w:u w:val="single"/>
        </w:rPr>
      </w:pPr>
      <w:r>
        <w:rPr>
          <w:rFonts w:hint="eastAsia" w:ascii="宋体" w:hAnsi="宋体" w:cs="宋体"/>
          <w:sz w:val="24"/>
          <w:szCs w:val="24"/>
          <w:highlight w:val="none"/>
        </w:rPr>
        <w:t xml:space="preserve">项目编号：</w:t>
      </w:r>
      <w:r>
        <w:rPr>
          <w:rFonts w:hint="eastAsia" w:ascii="宋体" w:hAnsi="宋体" w:cs="宋体"/>
          <w:sz w:val="24"/>
          <w:szCs w:val="24"/>
          <w:highlight w:val="none"/>
          <w:u w:val="single"/>
        </w:rPr>
        <w:t xml:space="preserve">                                </w:t>
      </w:r>
      <w:r/>
    </w:p>
    <w:p>
      <w:pPr>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lang w:eastAsia="zh-CN"/>
        </w:rPr>
        <w:t xml:space="preserve">徐州市市场监督管理局食品安全监督抽检</w:t>
      </w:r>
      <w:r>
        <w:rPr>
          <w:rFonts w:hint="eastAsia" w:ascii="宋体" w:hAnsi="宋体" w:cs="宋体"/>
          <w:sz w:val="24"/>
          <w:szCs w:val="24"/>
          <w:highlight w:val="none"/>
        </w:rPr>
        <w:t xml:space="preserve">），属于（</w:t>
      </w:r>
      <w:r>
        <w:rPr>
          <w:rFonts w:hint="eastAsia" w:ascii="宋体" w:hAnsi="宋体" w:cs="宋体"/>
          <w:sz w:val="24"/>
          <w:szCs w:val="24"/>
          <w:highlight w:val="none"/>
          <w:lang w:eastAsia="zh-CN"/>
        </w:rPr>
        <w:t xml:space="preserve">技术服务业</w:t>
      </w:r>
      <w:r>
        <w:rPr>
          <w:rFonts w:hint="eastAsia" w:ascii="宋体" w:hAnsi="宋体" w:cs="宋体"/>
          <w:sz w:val="24"/>
          <w:szCs w:val="24"/>
          <w:highlight w:val="none"/>
        </w:rPr>
        <w:t xml:space="preserve">）行业；承建（承接）企业为（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万元，属于（□中型企业、□小型企业、□微型企业，</w:t>
      </w:r>
      <w:r>
        <w:rPr>
          <w:rFonts w:hint="eastAsia" w:ascii="宋体" w:hAnsi="宋体" w:cs="宋体"/>
          <w:color w:val="c00000"/>
          <w:sz w:val="24"/>
          <w:szCs w:val="24"/>
          <w:highlight w:val="none"/>
        </w:rPr>
        <w:t xml:space="preserve">请勾选！</w:t>
      </w:r>
      <w:r>
        <w:rPr>
          <w:rFonts w:hint="eastAsia" w:ascii="宋体" w:hAnsi="宋体" w:cs="宋体"/>
          <w:sz w:val="24"/>
          <w:szCs w:val="24"/>
          <w:highlight w:val="none"/>
        </w:rPr>
        <w:t xml:space="preserve">)；</w:t>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ind w:firstLine="480"/>
        <w:jc w:val="center"/>
        <w:keepLines w:val="0"/>
        <w:keepNext w:val="0"/>
        <w:pageBreakBefore w:val="0"/>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 企业名称（供应商名称）（电子签章）： </w:t>
      </w:r>
      <w:r/>
    </w:p>
    <w:p>
      <w:pPr>
        <w:ind w:right="480"/>
        <w:keepLines w:val="0"/>
        <w:keepNext w:val="0"/>
        <w:pageBreakBefore w:val="0"/>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                               日  期：  年  月  日</w:t>
      </w:r>
      <w:r/>
    </w:p>
    <w:p>
      <w:pPr>
        <w:spacing w:line="3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注：本项目采购的服务属于</w:t>
      </w:r>
      <w:r>
        <w:rPr>
          <w:rFonts w:hint="eastAsia" w:ascii="宋体" w:hAnsi="宋体" w:cs="宋体"/>
          <w:sz w:val="24"/>
          <w:szCs w:val="24"/>
          <w:highlight w:val="none"/>
          <w:lang w:eastAsia="zh-CN"/>
        </w:rPr>
        <w:t xml:space="preserve">技术服务业</w:t>
      </w:r>
      <w:r>
        <w:rPr>
          <w:rFonts w:hint="eastAsia" w:ascii="宋体" w:hAnsi="宋体" w:cs="宋体"/>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备注：</w:t>
      </w:r>
      <w:r/>
    </w:p>
    <w:p>
      <w:pPr>
        <w:ind w:firstLine="480"/>
        <w:jc w:val="left"/>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1、从业人员、营业收入、资产总额填报上一年度数据，无上一年度数据的新成立企业可不填报。</w:t>
      </w:r>
      <w:r/>
    </w:p>
    <w:p>
      <w:pPr>
        <w:pStyle w:val="887"/>
        <w:ind w:firstLine="480"/>
        <w:keepLines w:val="0"/>
        <w:keepNext w:val="0"/>
        <w:pageBreakBefore w:val="0"/>
        <w:spacing w:line="520" w:lineRule="exact"/>
        <w:widowControl w:val="off"/>
        <w:rPr>
          <w:rFonts w:hint="eastAsia" w:hAnsi="宋体" w:eastAsia="宋体" w:cs="宋体"/>
          <w:sz w:val="24"/>
          <w:szCs w:val="24"/>
          <w:highlight w:val="none"/>
        </w:rPr>
      </w:pPr>
      <w:r>
        <w:rPr>
          <w:rFonts w:hint="eastAsia" w:hAnsi="宋体" w:eastAsia="宋体" w:cs="宋体"/>
          <w:sz w:val="24"/>
          <w:szCs w:val="24"/>
          <w:highlight w:val="none"/>
        </w:rPr>
        <w:t xml:space="preserve">2、《中小企业声明函》查询渠道用微信搜索“中小企业规模类型自测小程序”。</w:t>
      </w:r>
      <w:r/>
    </w:p>
    <w:p>
      <w:pPr>
        <w:pStyle w:val="887"/>
        <w:ind w:firstLine="480"/>
        <w:keepLines w:val="0"/>
        <w:keepNext w:val="0"/>
        <w:pageBreakBefore w:val="0"/>
        <w:spacing w:line="520" w:lineRule="exact"/>
        <w:widowControl w:val="off"/>
        <w:rPr>
          <w:rFonts w:hint="eastAsia" w:hAnsi="宋体" w:eastAsia="宋体" w:cs="宋体"/>
          <w:sz w:val="24"/>
          <w:szCs w:val="24"/>
          <w:highlight w:val="none"/>
        </w:rPr>
      </w:pPr>
      <w:r>
        <w:rPr>
          <w:rFonts w:hint="eastAsia" w:hAnsi="宋体" w:eastAsia="宋体" w:cs="宋体"/>
          <w:sz w:val="24"/>
          <w:szCs w:val="24"/>
          <w:highlight w:val="none"/>
        </w:rPr>
        <w:t xml:space="preserve">看下列截图:</w:t>
      </w:r>
      <w:r/>
    </w:p>
    <w:p>
      <w:pPr>
        <w:pStyle w:val="856"/>
        <w:ind w:left="0" w:firstLine="0"/>
        <w:jc w:val="center"/>
        <w:rPr>
          <w:rFonts w:hint="eastAsia" w:ascii="宋体" w:hAnsi="宋体" w:cs="宋体"/>
          <w:sz w:val="30"/>
          <w:szCs w:val="30"/>
          <w:highlight w:val="none"/>
        </w:rPr>
      </w:pPr>
      <w:r>
        <w:rPr>
          <w:rFonts w:hint="eastAsia" w:ascii="宋体" w:hAnsi="宋体"/>
          <w:highlight w:val="none"/>
        </w:rPr>
        <mc:AlternateContent>
          <mc:Choice Requires="wpg">
            <w:drawing>
              <wp:inline xmlns:wp="http://schemas.openxmlformats.org/drawingml/2006/wordprocessingDrawing" distT="0" distB="0" distL="0" distR="0">
                <wp:extent cx="1836420" cy="379476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0" t="4498" r="0" b="0"/>
                        <a:stretch/>
                      </pic:blipFill>
                      <pic:spPr bwMode="auto">
                        <a:xfrm>
                          <a:off x="0" y="0"/>
                          <a:ext cx="1836419" cy="3794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4.6pt;height:298.8pt;mso-wrap-distance-left:0.0pt;mso-wrap-distance-top:0.0pt;mso-wrap-distance-right:0.0pt;mso-wrap-distance-bottom:0.0pt;" stroked="f">
                <v:path textboxrect="0,0,0,0"/>
                <v:imagedata r:id="rId13" o:title=""/>
              </v:shape>
            </w:pict>
          </mc:Fallback>
        </mc:AlternateContent>
      </w:r>
      <w:r/>
    </w:p>
    <w:p>
      <w:pPr>
        <w:pStyle w:val="856"/>
        <w:rPr>
          <w:rFonts w:hint="eastAsia" w:ascii="宋体" w:hAnsi="宋体" w:cs="宋体"/>
          <w:highlight w:val="none"/>
        </w:rPr>
      </w:pPr>
      <w:r>
        <w:rPr>
          <w:rFonts w:hint="eastAsia" w:ascii="宋体" w:hAnsi="宋体" w:cs="宋体"/>
          <w:highlight w:val="none"/>
        </w:rPr>
      </w:r>
      <w:r/>
    </w:p>
    <w:p>
      <w:pPr>
        <w:jc w:val="center"/>
        <w:spacing w:line="480" w:lineRule="exact"/>
        <w:rPr>
          <w:rFonts w:hint="eastAsia" w:ascii="宋体" w:hAnsi="宋体" w:cs="宋体"/>
          <w:b/>
          <w:spacing w:val="6"/>
          <w:sz w:val="30"/>
          <w:szCs w:val="30"/>
          <w:highlight w:val="none"/>
        </w:rPr>
      </w:pPr>
      <w:r>
        <w:rPr>
          <w:rFonts w:hint="eastAsia" w:ascii="宋体" w:hAnsi="宋体" w:cs="宋体"/>
          <w:sz w:val="30"/>
          <w:szCs w:val="30"/>
          <w:highlight w:val="none"/>
        </w:rPr>
        <w:br w:type="page" w:clear="all"/>
      </w:r>
      <w:r>
        <w:rPr>
          <w:rFonts w:hint="eastAsia" w:ascii="宋体" w:hAnsi="宋体" w:cs="宋体"/>
          <w:b/>
          <w:bCs/>
          <w:sz w:val="30"/>
          <w:szCs w:val="30"/>
          <w:highlight w:val="none"/>
        </w:rPr>
        <w:t xml:space="preserve">七、残疾人福利性单位声明函</w:t>
      </w:r>
      <w:r/>
    </w:p>
    <w:p>
      <w:pPr>
        <w:jc w:val="center"/>
        <w:spacing w:line="480" w:lineRule="exact"/>
        <w:rPr>
          <w:rFonts w:ascii="宋体" w:hAnsi="宋体" w:eastAsia="仿宋" w:cs="宋体"/>
          <w:color w:val="000000"/>
          <w:sz w:val="24"/>
          <w:highlight w:val="none"/>
        </w:rPr>
      </w:pPr>
      <w:r>
        <w:rPr>
          <w:rFonts w:ascii="宋体" w:hAnsi="宋体" w:eastAsia="仿宋" w:cs="宋体"/>
          <w:b/>
          <w:bCs/>
          <w:color w:val="000000"/>
          <w:sz w:val="28"/>
          <w:szCs w:val="28"/>
          <w:highlight w:val="none"/>
        </w:rPr>
        <w:t xml:space="preserve">（如供应商不属于残疾人福利性单位不需要提供此声明函）</w:t>
      </w:r>
      <w:r/>
    </w:p>
    <w:p>
      <w:pPr>
        <w:ind w:firstLine="624"/>
        <w:spacing w:line="480" w:lineRule="exact"/>
        <w:rPr>
          <w:rFonts w:hint="eastAsia" w:ascii="宋体" w:hAnsi="宋体" w:eastAsia="仿宋" w:cs="宋体"/>
          <w:color w:val="000000"/>
          <w:sz w:val="24"/>
          <w:highlight w:val="none"/>
        </w:rPr>
      </w:pPr>
      <w:r>
        <w:rPr>
          <w:rFonts w:hint="eastAsia" w:ascii="宋体" w:hAnsi="宋体" w:eastAsia="仿宋" w:cs="宋体"/>
          <w:color w:val="000000"/>
          <w:sz w:val="24"/>
          <w:highlight w:val="none"/>
        </w:rPr>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徐州市市场监督管理局食品安全监督抽检</w:t>
      </w:r>
      <w:r>
        <w:rPr>
          <w:rFonts w:hint="eastAsia" w:ascii="宋体" w:hAnsi="宋体" w:cs="宋体"/>
          <w:spacing w:val="6"/>
          <w:sz w:val="24"/>
          <w:szCs w:val="24"/>
          <w:highlight w:val="none"/>
        </w:rPr>
        <w:t xml:space="preserve"> </w:t>
      </w:r>
      <w:r/>
    </w:p>
    <w:p>
      <w:pPr>
        <w:ind w:firstLine="624"/>
        <w:spacing w:line="480" w:lineRule="exact"/>
        <w:rPr>
          <w:rFonts w:hint="eastAsia" w:ascii="宋体" w:hAnsi="宋体" w:eastAsia="宋体" w:cs="宋体"/>
          <w:spacing w:val="6"/>
          <w:sz w:val="24"/>
          <w:szCs w:val="24"/>
          <w:highlight w:val="none"/>
          <w:lang w:eastAsia="zh-CN"/>
        </w:rPr>
      </w:pPr>
      <w:r>
        <w:rPr>
          <w:rFonts w:hint="eastAsia" w:ascii="宋体" w:hAnsi="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JSZC-320300-YMXM-G2024-0013</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z w:val="24"/>
          <w:szCs w:val="24"/>
          <w:highlight w:val="none"/>
        </w:rPr>
        <w:t xml:space="preserve">〔2017〕141</w:t>
      </w:r>
      <w:r>
        <w:rPr>
          <w:rFonts w:hint="eastAsia" w:ascii="宋体" w:hAnsi="宋体" w:cs="宋体"/>
          <w:spacing w:val="6"/>
          <w:sz w:val="24"/>
          <w:szCs w:val="24"/>
          <w:highlight w:val="none"/>
        </w:rPr>
        <w:t xml:space="preserve">号）的规定，本单位为符合条件的残疾人福利性单位，且本单位参加</w:t>
      </w:r>
      <w:r>
        <w:rPr>
          <w:rFonts w:hint="eastAsia" w:ascii="宋体" w:hAnsi="宋体" w:cs="宋体"/>
          <w:sz w:val="24"/>
          <w:szCs w:val="24"/>
          <w:highlight w:val="none"/>
        </w:rPr>
        <w:t xml:space="preserve">______</w:t>
      </w:r>
      <w:r>
        <w:rPr>
          <w:rFonts w:hint="eastAsia" w:ascii="宋体" w:hAnsi="宋体" w:cs="宋体"/>
          <w:spacing w:val="6"/>
          <w:sz w:val="24"/>
          <w:szCs w:val="24"/>
          <w:highlight w:val="none"/>
        </w:rPr>
        <w:t xml:space="preserve">单位的</w:t>
      </w:r>
      <w:r>
        <w:rPr>
          <w:rFonts w:hint="eastAsia" w:ascii="宋体" w:hAnsi="宋体" w:cs="宋体"/>
          <w:sz w:val="24"/>
          <w:szCs w:val="24"/>
          <w:highlight w:val="none"/>
        </w:rPr>
        <w:t xml:space="preserve">______</w:t>
      </w:r>
      <w:r>
        <w:rPr>
          <w:rFonts w:hint="eastAsia" w:ascii="宋体" w:hAnsi="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本单位对上述声明的真实性负责。如有虚假，将依法承担相应责任。</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r>
      <w:r/>
    </w:p>
    <w:p>
      <w:pPr>
        <w:ind w:firstLine="25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45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5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ind w:firstLine="45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说明：</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中标、成交供应商为残疾人福利性单位的，采购人或者其委托的采购代理机构应当随中标、成交结果同时公告其《残疾人福利性单位声明函》，接受社会监督。</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供应商提供的《残疾人福利性单位声明函》与事实不符的，依照《政府采购法》第七十七条第一款的规定追究法律责任。</w:t>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br w:type="page" w:clear="all"/>
      </w:r>
      <w:r>
        <w:rPr>
          <w:rFonts w:hint="eastAsia" w:ascii="宋体" w:hAnsi="宋体" w:cs="宋体"/>
          <w:b/>
          <w:bCs/>
          <w:sz w:val="30"/>
          <w:szCs w:val="30"/>
          <w:highlight w:val="none"/>
        </w:rPr>
        <w:t xml:space="preserve">八、投标人参加政府采购活动前3年内在经营活动中没有重大违法记录的书面声明</w:t>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我单位在参加</w:t>
      </w:r>
      <w:r>
        <w:rPr>
          <w:rFonts w:hint="eastAsia" w:ascii="宋体" w:hAnsi="宋体" w:cs="宋体"/>
          <w:sz w:val="24"/>
          <w:szCs w:val="24"/>
          <w:highlight w:val="none"/>
          <w:lang w:eastAsia="zh-CN"/>
        </w:rPr>
        <w:t xml:space="preserve">徐州市市场监督管理局食品安全监督抽检</w:t>
      </w: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JSZC-320300-YMXM-G2024-0013</w:t>
      </w:r>
      <w:r>
        <w:rPr>
          <w:rFonts w:hint="eastAsia" w:ascii="宋体" w:hAnsi="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93"/>
        <w:ind w:firstLine="600"/>
        <w:spacing w:before="0" w:beforeAutospacing="0" w:after="0" w:afterAutospacing="0" w:line="480" w:lineRule="exact"/>
        <w:rPr>
          <w:rFonts w:hint="eastAsia"/>
          <w:sz w:val="24"/>
          <w:szCs w:val="24"/>
          <w:highlight w:val="none"/>
        </w:rPr>
      </w:pPr>
      <w:r>
        <w:rPr>
          <w:rFonts w:hint="eastAsia"/>
          <w:sz w:val="24"/>
          <w:szCs w:val="24"/>
          <w:highlight w:val="none"/>
        </w:rPr>
        <w:t xml:space="preserve">我单位对上述声明的真实性负责。如有虚假，将依法承担相应责任。</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28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45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9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ind w:firstLine="600"/>
        <w:spacing w:line="480" w:lineRule="exact"/>
        <w:rPr>
          <w:rFonts w:hint="eastAsia" w:ascii="宋体" w:hAnsi="宋体" w:cs="宋体"/>
          <w:bCs/>
          <w:sz w:val="24"/>
          <w:szCs w:val="24"/>
          <w:highlight w:val="none"/>
        </w:rPr>
      </w:pPr>
      <w:r>
        <w:rPr>
          <w:rFonts w:hint="eastAsia" w:ascii="宋体" w:hAnsi="宋体" w:cs="宋体"/>
          <w:bCs/>
          <w:sz w:val="24"/>
          <w:szCs w:val="24"/>
          <w:highlight w:val="none"/>
        </w:rPr>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pStyle w:val="880"/>
        <w:jc w:val="center"/>
        <w:rPr>
          <w:rFonts w:hint="eastAsia" w:ascii="宋体" w:hAnsi="宋体" w:eastAsia="宋体" w:cs="宋体"/>
          <w:b/>
          <w:bCs/>
          <w:color w:val="000000"/>
          <w:sz w:val="30"/>
          <w:szCs w:val="30"/>
          <w:highlight w:val="none"/>
          <w:lang w:val="en-US" w:eastAsia="zh-CN" w:bidi="ar-SA"/>
        </w:rPr>
      </w:pPr>
      <w:r>
        <w:rPr>
          <w:rFonts w:hint="eastAsia" w:ascii="宋体" w:hAnsi="宋体" w:cs="宋体"/>
          <w:b/>
          <w:sz w:val="28"/>
          <w:szCs w:val="28"/>
          <w:highlight w:val="none"/>
        </w:rPr>
        <w:br w:type="page" w:clear="all"/>
      </w:r>
      <w:r>
        <w:rPr>
          <w:rFonts w:hint="eastAsia" w:ascii="宋体" w:hAnsi="宋体" w:eastAsia="宋体" w:cs="宋体"/>
          <w:b/>
          <w:bCs/>
          <w:color w:val="000000"/>
          <w:sz w:val="30"/>
          <w:szCs w:val="30"/>
          <w:highlight w:val="none"/>
          <w:lang w:val="en-US" w:eastAsia="zh-CN" w:bidi="ar-SA"/>
        </w:rPr>
        <w:t xml:space="preserve">九、具备履行合同所必需的设备和专业技术能力的书面声明</w:t>
      </w:r>
      <w:r/>
    </w:p>
    <w:p>
      <w:pPr>
        <w:pStyle w:val="880"/>
        <w:jc w:val="center"/>
        <w:rPr>
          <w:rFonts w:hint="eastAsia"/>
          <w:color w:val="000000"/>
          <w:highlight w:val="none"/>
        </w:rPr>
      </w:pPr>
      <w:r>
        <w:rPr>
          <w:rFonts w:hint="eastAsia" w:ascii="宋体" w:hAnsi="宋体" w:eastAsia="宋体" w:cs="宋体"/>
          <w:b/>
          <w:bCs/>
          <w:color w:val="000000"/>
          <w:sz w:val="30"/>
          <w:szCs w:val="30"/>
          <w:highlight w:val="none"/>
          <w:lang w:val="en-US" w:eastAsia="zh-CN" w:bidi="ar-SA"/>
        </w:rPr>
        <w:t xml:space="preserve">（附证明材料）</w:t>
      </w:r>
      <w:r/>
    </w:p>
    <w:p>
      <w:pPr>
        <w:ind w:firstLine="0"/>
        <w:rPr>
          <w:color w:val="000000"/>
          <w:highlight w:val="none"/>
        </w:rPr>
      </w:pPr>
      <w:r>
        <w:rPr>
          <w:color w:val="000000"/>
          <w:highlight w:val="none"/>
        </w:rPr>
      </w:r>
      <w:r/>
    </w:p>
    <w:p>
      <w:pPr>
        <w:pStyle w:val="725"/>
        <w:ind w:firstLine="0"/>
        <w:rPr>
          <w:rFonts w:hint="eastAsia" w:eastAsia="宋体"/>
          <w:color w:val="000000"/>
          <w:sz w:val="24"/>
          <w:szCs w:val="24"/>
          <w:highlight w:val="none"/>
          <w:lang w:eastAsia="zh-CN"/>
        </w:rPr>
      </w:pPr>
      <w:r>
        <w:rPr>
          <w:rFonts w:hint="eastAsia"/>
          <w:color w:val="000000"/>
          <w:sz w:val="24"/>
          <w:szCs w:val="24"/>
          <w:highlight w:val="none"/>
        </w:rPr>
        <w:t xml:space="preserve">项目名称：</w:t>
      </w:r>
      <w:r>
        <w:rPr>
          <w:rFonts w:hint="eastAsia"/>
          <w:color w:val="000000"/>
          <w:sz w:val="24"/>
          <w:szCs w:val="24"/>
          <w:highlight w:val="none"/>
          <w:lang w:eastAsia="zh-CN"/>
        </w:rPr>
        <w:t xml:space="preserve">徐州市市场监督管理局食品安全监督抽检</w:t>
      </w:r>
      <w:r/>
    </w:p>
    <w:p>
      <w:pPr>
        <w:ind w:firstLine="0"/>
        <w:rPr>
          <w:color w:val="000000"/>
          <w:sz w:val="24"/>
          <w:szCs w:val="24"/>
          <w:highlight w:val="none"/>
        </w:rPr>
      </w:pPr>
      <w:r>
        <w:rPr>
          <w:rFonts w:hint="eastAsia"/>
          <w:color w:val="000000"/>
          <w:sz w:val="24"/>
          <w:szCs w:val="24"/>
          <w:highlight w:val="none"/>
        </w:rPr>
        <w:t xml:space="preserve">项目编号：</w:t>
      </w:r>
      <w:r>
        <w:rPr>
          <w:rFonts w:hint="eastAsia"/>
          <w:color w:val="000000"/>
          <w:sz w:val="24"/>
          <w:szCs w:val="24"/>
          <w:highlight w:val="none"/>
          <w:lang w:eastAsia="zh-CN"/>
        </w:rPr>
        <w:t xml:space="preserve">JSZC-320300-YMXM-G2024-0013</w:t>
      </w:r>
      <w:r/>
    </w:p>
    <w:p>
      <w:pPr>
        <w:ind w:firstLine="0"/>
        <w:rPr>
          <w:color w:val="000000"/>
          <w:sz w:val="24"/>
          <w:szCs w:val="24"/>
          <w:highlight w:val="none"/>
        </w:rPr>
      </w:pPr>
      <w:r>
        <w:rPr>
          <w:rFonts w:hint="eastAsia"/>
          <w:color w:val="000000"/>
          <w:sz w:val="24"/>
          <w:szCs w:val="24"/>
          <w:highlight w:val="none"/>
        </w:rPr>
        <w:t xml:space="preserve">                         </w:t>
      </w:r>
      <w:r/>
    </w:p>
    <w:p>
      <w:pPr>
        <w:pStyle w:val="709"/>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投标人郑重声明：投标人具备履行合同（项目名称：</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，项目编号：</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）所必需的设备和专业技术能力</w:t>
      </w:r>
      <w:r>
        <w:rPr>
          <w:rFonts w:hint="eastAsia" w:ascii="宋体" w:hAnsi="宋体"/>
          <w:color w:val="000000"/>
          <w:sz w:val="24"/>
          <w:szCs w:val="24"/>
          <w:highlight w:val="none"/>
        </w:rPr>
        <w:t xml:space="preserve">，具体为：</w:t>
      </w:r>
      <w:r/>
    </w:p>
    <w:p>
      <w:pPr>
        <w:ind w:firstLine="0"/>
        <w:rPr>
          <w:color w:val="000000"/>
          <w:sz w:val="24"/>
          <w:szCs w:val="24"/>
          <w:highlight w:val="none"/>
        </w:rPr>
      </w:pPr>
      <w:r>
        <w:rPr>
          <w:rFonts w:hint="eastAsia"/>
          <w:color w:val="000000"/>
          <w:sz w:val="24"/>
          <w:szCs w:val="24"/>
          <w:highlight w:val="none"/>
        </w:rPr>
        <w:t xml:space="preserve">设备：</w:t>
      </w:r>
      <w:r/>
    </w:p>
    <w:p>
      <w:pPr>
        <w:ind w:firstLine="0"/>
        <w:rPr>
          <w:color w:val="000000"/>
          <w:sz w:val="24"/>
          <w:szCs w:val="24"/>
          <w:highlight w:val="none"/>
        </w:rPr>
      </w:pPr>
      <w:r>
        <w:rPr>
          <w:rFonts w:hint="eastAsia"/>
          <w:color w:val="000000"/>
          <w:sz w:val="24"/>
          <w:szCs w:val="24"/>
          <w:highlight w:val="none"/>
        </w:rPr>
        <w:t xml:space="preserve">1.                           （证明材料原件的扫描件附后）</w:t>
      </w:r>
      <w:r/>
    </w:p>
    <w:p>
      <w:pPr>
        <w:ind w:firstLine="0"/>
        <w:rPr>
          <w:color w:val="000000"/>
          <w:sz w:val="24"/>
          <w:szCs w:val="24"/>
          <w:highlight w:val="none"/>
        </w:rPr>
      </w:pPr>
      <w:r>
        <w:rPr>
          <w:rFonts w:hint="eastAsia"/>
          <w:color w:val="000000"/>
          <w:sz w:val="24"/>
          <w:szCs w:val="24"/>
          <w:highlight w:val="none"/>
        </w:rPr>
        <w:t xml:space="preserve">2.                           （证明材料原件的扫描件附后）</w:t>
      </w:r>
      <w:r/>
    </w:p>
    <w:p>
      <w:pPr>
        <w:ind w:firstLine="0"/>
        <w:rPr>
          <w:color w:val="000000"/>
          <w:sz w:val="24"/>
          <w:szCs w:val="24"/>
          <w:highlight w:val="none"/>
        </w:rPr>
      </w:pPr>
      <w:r>
        <w:rPr>
          <w:rFonts w:hint="eastAsia"/>
          <w:color w:val="000000"/>
          <w:sz w:val="24"/>
          <w:szCs w:val="24"/>
          <w:highlight w:val="none"/>
        </w:rPr>
        <w:t xml:space="preserve">3.                           （证明材料原件的扫描件附后）</w:t>
      </w:r>
      <w:r/>
    </w:p>
    <w:p>
      <w:pPr>
        <w:ind w:firstLine="0"/>
        <w:rPr>
          <w:color w:val="000000"/>
          <w:sz w:val="24"/>
          <w:szCs w:val="24"/>
          <w:highlight w:val="none"/>
        </w:rPr>
      </w:pPr>
      <w:r>
        <w:rPr>
          <w:rFonts w:hint="eastAsia"/>
          <w:color w:val="000000"/>
          <w:sz w:val="24"/>
          <w:szCs w:val="24"/>
          <w:highlight w:val="none"/>
        </w:rPr>
        <w:t xml:space="preserve">…………</w:t>
      </w:r>
      <w:r/>
    </w:p>
    <w:p>
      <w:pPr>
        <w:ind w:firstLine="0"/>
        <w:rPr>
          <w:color w:val="000000"/>
          <w:sz w:val="24"/>
          <w:szCs w:val="24"/>
          <w:highlight w:val="none"/>
        </w:rPr>
      </w:pPr>
      <w:r>
        <w:rPr>
          <w:color w:val="000000"/>
          <w:sz w:val="24"/>
          <w:szCs w:val="24"/>
          <w:highlight w:val="none"/>
        </w:rPr>
      </w:r>
      <w:r/>
    </w:p>
    <w:p>
      <w:pPr>
        <w:ind w:firstLine="0"/>
        <w:rPr>
          <w:color w:val="000000"/>
          <w:sz w:val="24"/>
          <w:szCs w:val="24"/>
          <w:highlight w:val="none"/>
        </w:rPr>
      </w:pPr>
      <w:r>
        <w:rPr>
          <w:rFonts w:hint="eastAsia"/>
          <w:color w:val="000000"/>
          <w:sz w:val="24"/>
          <w:szCs w:val="24"/>
          <w:highlight w:val="none"/>
        </w:rPr>
        <w:t xml:space="preserve">专业技术能力：</w:t>
      </w:r>
      <w:r/>
    </w:p>
    <w:p>
      <w:pPr>
        <w:ind w:firstLine="0"/>
        <w:rPr>
          <w:color w:val="000000"/>
          <w:sz w:val="24"/>
          <w:szCs w:val="24"/>
          <w:highlight w:val="none"/>
        </w:rPr>
      </w:pPr>
      <w:r>
        <w:rPr>
          <w:rFonts w:hint="eastAsia"/>
          <w:color w:val="000000"/>
          <w:sz w:val="24"/>
          <w:szCs w:val="24"/>
          <w:highlight w:val="none"/>
        </w:rPr>
        <w:t xml:space="preserve">1.                           （证明材料彩色的扫描件附后）</w:t>
      </w:r>
      <w:r/>
    </w:p>
    <w:p>
      <w:pPr>
        <w:ind w:firstLine="0"/>
        <w:rPr>
          <w:color w:val="000000"/>
          <w:sz w:val="24"/>
          <w:szCs w:val="24"/>
          <w:highlight w:val="none"/>
        </w:rPr>
      </w:pPr>
      <w:r>
        <w:rPr>
          <w:rFonts w:hint="eastAsia"/>
          <w:color w:val="000000"/>
          <w:sz w:val="24"/>
          <w:szCs w:val="24"/>
          <w:highlight w:val="none"/>
        </w:rPr>
        <w:t xml:space="preserve">2.                           （证明材料彩色的扫描件附后）</w:t>
      </w:r>
      <w:r/>
    </w:p>
    <w:p>
      <w:pPr>
        <w:ind w:firstLine="0"/>
        <w:rPr>
          <w:color w:val="000000"/>
          <w:sz w:val="24"/>
          <w:szCs w:val="24"/>
          <w:highlight w:val="none"/>
        </w:rPr>
      </w:pPr>
      <w:r>
        <w:rPr>
          <w:rFonts w:hint="eastAsia"/>
          <w:color w:val="000000"/>
          <w:sz w:val="24"/>
          <w:szCs w:val="24"/>
          <w:highlight w:val="none"/>
        </w:rPr>
        <w:t xml:space="preserve">3.                           （证明材料彩色的扫描件附后）</w:t>
      </w:r>
      <w:r/>
    </w:p>
    <w:p>
      <w:pPr>
        <w:ind w:firstLine="0"/>
        <w:rPr>
          <w:color w:val="000000"/>
          <w:sz w:val="24"/>
          <w:szCs w:val="24"/>
          <w:highlight w:val="none"/>
        </w:rPr>
      </w:pPr>
      <w:r>
        <w:rPr>
          <w:rFonts w:hint="eastAsia"/>
          <w:color w:val="000000"/>
          <w:sz w:val="24"/>
          <w:szCs w:val="24"/>
          <w:highlight w:val="none"/>
        </w:rPr>
        <w:t xml:space="preserve">…………</w:t>
      </w:r>
      <w:r/>
    </w:p>
    <w:p>
      <w:pPr>
        <w:ind w:firstLine="0"/>
        <w:rPr>
          <w:color w:val="000000"/>
          <w:sz w:val="24"/>
          <w:szCs w:val="24"/>
          <w:highlight w:val="none"/>
        </w:rPr>
      </w:pPr>
      <w:r>
        <w:rPr>
          <w:color w:val="000000"/>
          <w:sz w:val="24"/>
          <w:szCs w:val="24"/>
          <w:highlight w:val="none"/>
        </w:rPr>
      </w:r>
      <w:r/>
    </w:p>
    <w:p>
      <w:pPr>
        <w:ind w:firstLine="0"/>
        <w:rPr>
          <w:color w:val="000000"/>
          <w:sz w:val="24"/>
          <w:szCs w:val="24"/>
          <w:highlight w:val="none"/>
        </w:rPr>
      </w:pPr>
      <w:r>
        <w:rPr>
          <w:rFonts w:hint="eastAsia"/>
          <w:color w:val="000000"/>
          <w:sz w:val="24"/>
          <w:szCs w:val="24"/>
          <w:highlight w:val="none"/>
        </w:rPr>
        <w:t xml:space="preserve">特此声明。</w:t>
      </w:r>
      <w:r/>
    </w:p>
    <w:p>
      <w:pPr>
        <w:ind w:firstLine="0"/>
        <w:rPr>
          <w:color w:val="000000"/>
          <w:sz w:val="24"/>
          <w:szCs w:val="24"/>
          <w:highlight w:val="none"/>
        </w:rPr>
      </w:pPr>
      <w:r>
        <w:rPr>
          <w:rFonts w:hint="eastAsia"/>
          <w:color w:val="000000"/>
          <w:sz w:val="24"/>
          <w:szCs w:val="24"/>
          <w:highlight w:val="none"/>
        </w:rPr>
        <w:t xml:space="preserve">投标人对上述声明的真实性负责。如有虚假，将依法承担相应责任。</w:t>
      </w:r>
      <w:r/>
    </w:p>
    <w:p>
      <w:pPr>
        <w:ind w:firstLine="0"/>
        <w:rPr>
          <w:color w:val="000000"/>
          <w:sz w:val="24"/>
          <w:szCs w:val="24"/>
          <w:highlight w:val="none"/>
        </w:rPr>
      </w:pPr>
      <w:r>
        <w:rPr>
          <w:color w:val="000000"/>
          <w:sz w:val="24"/>
          <w:szCs w:val="24"/>
          <w:highlight w:val="none"/>
        </w:rPr>
      </w:r>
      <w:r/>
    </w:p>
    <w:p>
      <w:pPr>
        <w:pStyle w:val="709"/>
        <w:spacing w:line="380" w:lineRule="exact"/>
        <w:rPr>
          <w:rFonts w:ascii="宋体" w:hAnsi="宋体"/>
          <w:color w:val="000000"/>
          <w:sz w:val="24"/>
          <w:szCs w:val="24"/>
          <w:highlight w:val="none"/>
        </w:rPr>
      </w:pPr>
      <w:r>
        <w:rPr>
          <w:rFonts w:ascii="宋体" w:hAnsi="宋体"/>
          <w:color w:val="000000"/>
          <w:sz w:val="24"/>
          <w:szCs w:val="24"/>
          <w:highlight w:val="none"/>
        </w:rPr>
        <w:t xml:space="preserve">                            </w:t>
      </w:r>
      <w:r/>
    </w:p>
    <w:p>
      <w:pPr>
        <w:ind w:firstLine="0"/>
        <w:rPr>
          <w:color w:val="000000"/>
          <w:sz w:val="24"/>
          <w:szCs w:val="24"/>
          <w:highlight w:val="none"/>
        </w:rPr>
      </w:pPr>
      <w:r>
        <w:rPr>
          <w:color w:val="000000"/>
          <w:sz w:val="24"/>
          <w:szCs w:val="24"/>
          <w:highlight w:val="none"/>
        </w:rPr>
      </w:r>
      <w:r/>
    </w:p>
    <w:p>
      <w:pPr>
        <w:pStyle w:val="709"/>
        <w:spacing w:line="380" w:lineRule="exact"/>
        <w:rPr>
          <w:rFonts w:ascii="宋体" w:hAnsi="宋体"/>
          <w:color w:val="000000"/>
          <w:sz w:val="24"/>
          <w:szCs w:val="24"/>
          <w:highlight w:val="none"/>
        </w:rPr>
      </w:pPr>
      <w:r>
        <w:rPr>
          <w:rFonts w:ascii="宋体" w:hAnsi="宋体"/>
          <w:color w:val="000000"/>
          <w:sz w:val="24"/>
          <w:szCs w:val="24"/>
          <w:highlight w:val="none"/>
        </w:rPr>
        <w:t xml:space="preserve">投标人：</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（电子签章）</w:t>
      </w:r>
      <w:r/>
    </w:p>
    <w:p>
      <w:pPr>
        <w:rPr>
          <w:color w:val="000000"/>
          <w:sz w:val="24"/>
          <w:szCs w:val="24"/>
          <w:highlight w:val="none"/>
        </w:rPr>
      </w:pPr>
      <w:r>
        <w:rPr>
          <w:color w:val="000000"/>
          <w:sz w:val="24"/>
          <w:szCs w:val="24"/>
          <w:highlight w:val="none"/>
        </w:rPr>
      </w:r>
      <w:r/>
    </w:p>
    <w:p>
      <w:pPr>
        <w:ind w:firstLine="0"/>
        <w:jc w:val="left"/>
        <w:rPr>
          <w:rFonts w:hint="eastAsia"/>
          <w:color w:val="ff0000"/>
          <w:sz w:val="24"/>
          <w:szCs w:val="24"/>
          <w:highlight w:val="none"/>
        </w:rPr>
      </w:pPr>
      <w:r>
        <w:rPr>
          <w:rFonts w:hint="eastAsia"/>
          <w:color w:val="000000"/>
          <w:sz w:val="24"/>
          <w:szCs w:val="24"/>
          <w:highlight w:val="none"/>
        </w:rPr>
        <w:t xml:space="preserve">日期：   年  月  日</w:t>
      </w:r>
      <w:r/>
    </w:p>
    <w:p>
      <w:pPr>
        <w:jc w:val="center"/>
        <w:rPr>
          <w:rFonts w:hint="eastAsia" w:eastAsia="宋体"/>
          <w:color w:val="ff0000"/>
          <w:sz w:val="24"/>
          <w:szCs w:val="24"/>
          <w:highlight w:val="none"/>
          <w:lang w:eastAsia="zh-CN"/>
        </w:rPr>
      </w:pPr>
      <w:r>
        <w:rPr>
          <w:rFonts w:hint="eastAsia" w:eastAsia="宋体"/>
          <w:color w:val="ff0000"/>
          <w:sz w:val="24"/>
          <w:szCs w:val="24"/>
          <w:highlight w:val="none"/>
          <w:lang w:eastAsia="zh-CN"/>
        </w:rPr>
      </w:r>
      <w:r/>
    </w:p>
    <w:p>
      <w:pPr>
        <w:jc w:val="center"/>
        <w:spacing w:line="480" w:lineRule="exact"/>
        <w:rPr>
          <w:rFonts w:hint="eastAsia" w:ascii="宋体" w:hAnsi="宋体" w:cs="宋体"/>
          <w:b/>
          <w:bCs/>
          <w:sz w:val="30"/>
          <w:szCs w:val="30"/>
          <w:highlight w:val="none"/>
          <w:lang w:val="en-US" w:eastAsia="zh-CN"/>
        </w:rPr>
      </w:pPr>
      <w:r>
        <w:rPr>
          <w:rFonts w:hint="eastAsia" w:ascii="宋体" w:hAnsi="宋体" w:cs="宋体"/>
          <w:b/>
          <w:sz w:val="28"/>
          <w:szCs w:val="28"/>
          <w:highlight w:val="none"/>
        </w:rPr>
        <w:br w:type="page" w:clear="all"/>
      </w:r>
      <w:r>
        <w:rPr>
          <w:rFonts w:hint="eastAsia" w:ascii="宋体" w:hAnsi="宋体" w:cs="宋体"/>
          <w:b/>
          <w:sz w:val="28"/>
          <w:szCs w:val="28"/>
          <w:highlight w:val="none"/>
          <w:lang w:val="en-US" w:eastAsia="zh-CN"/>
        </w:rPr>
        <w:t xml:space="preserve">十</w:t>
      </w:r>
      <w:r>
        <w:rPr>
          <w:rFonts w:hint="eastAsia" w:ascii="宋体" w:hAnsi="宋体" w:cs="宋体"/>
          <w:b/>
          <w:bCs/>
          <w:sz w:val="30"/>
          <w:szCs w:val="30"/>
          <w:highlight w:val="none"/>
          <w:lang w:val="en-US" w:eastAsia="zh-CN"/>
        </w:rPr>
        <w:t xml:space="preserve">、预付款保函支付条款模板</w:t>
      </w:r>
      <w:r/>
    </w:p>
    <w:p>
      <w:pPr>
        <w:ind w:firstLine="482"/>
        <w:keepLines w:val="0"/>
        <w:keepNext w:val="0"/>
        <w:pageBreakBefore w:val="0"/>
        <w:spacing w:line="52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符合条件一：提交预付款保函的</w:t>
      </w:r>
      <w:r/>
    </w:p>
    <w:p>
      <w:pPr>
        <w:ind w:firstLine="480"/>
        <w:keepLines w:val="0"/>
        <w:keepNext w:val="0"/>
        <w:pageBreakBefore w:val="0"/>
        <w:spacing w:line="520" w:lineRule="exact"/>
        <w:widowControl w:val="off"/>
        <w:rPr>
          <w:rFonts w:hint="eastAsia" w:ascii="宋体" w:hAnsi="宋体" w:cs="宋体"/>
          <w:sz w:val="24"/>
          <w:szCs w:val="24"/>
          <w:highlight w:val="none"/>
          <w:u w:val="single"/>
        </w:rPr>
      </w:pPr>
      <w:r>
        <w:rPr>
          <w:rFonts w:hint="eastAsia" w:ascii="宋体" w:hAnsi="宋体" w:cs="宋体"/>
          <w:sz w:val="24"/>
          <w:szCs w:val="24"/>
          <w:highlight w:val="none"/>
        </w:rPr>
        <w:t xml:space="preserve">（1）合同签订且乙方向甲方出具预付款保函后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617" w:firstLine="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乙方需提交的支付文件：乙方出具的全额正式发票。</w:t>
      </w:r>
      <w:r/>
    </w:p>
    <w:p>
      <w:pPr>
        <w:ind w:left="17" w:firstLine="40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XX（    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keepLines w:val="0"/>
        <w:keepNext w:val="0"/>
        <w:pageBreakBefore w:val="0"/>
        <w:spacing w:line="52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w:t>
      </w:r>
      <w:r/>
    </w:p>
    <w:p>
      <w:pPr>
        <w:ind w:firstLine="482"/>
        <w:keepLines w:val="0"/>
        <w:keepNext w:val="0"/>
        <w:pageBreakBefore w:val="0"/>
        <w:spacing w:line="52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符合条件二：不提交预付款保函的</w:t>
      </w:r>
      <w:r/>
    </w:p>
    <w:p>
      <w:pPr>
        <w:ind w:firstLine="480"/>
        <w:keepLines w:val="0"/>
        <w:keepNext w:val="0"/>
        <w:pageBreakBefore w:val="0"/>
        <w:spacing w:line="520" w:lineRule="exact"/>
        <w:widowControl w:val="off"/>
        <w:rPr>
          <w:rFonts w:hint="eastAsia" w:ascii="宋体" w:hAnsi="宋体" w:cs="宋体"/>
          <w:sz w:val="24"/>
          <w:szCs w:val="24"/>
          <w:highlight w:val="none"/>
          <w:u w:val="singl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XX（    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140"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乙方需提交的支付文件：乙方出具的全额正式发票。</w:t>
      </w:r>
      <w:r/>
    </w:p>
    <w:p>
      <w:pPr>
        <w:ind w:left="0" w:firstLine="42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XX（    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keepLines w:val="0"/>
        <w:keepNext w:val="0"/>
        <w:pageBreakBefore w:val="0"/>
        <w:spacing w:line="52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w:t>
      </w:r>
      <w:r/>
    </w:p>
    <w:p>
      <w:pPr>
        <w:ind w:left="0" w:firstLine="422"/>
        <w:keepLines w:val="0"/>
        <w:keepNext w:val="0"/>
        <w:pageBreakBefore w:val="0"/>
        <w:spacing w:line="52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注:</w:t>
      </w:r>
      <w:r/>
    </w:p>
    <w:p>
      <w:pPr>
        <w:ind w:left="0" w:firstLine="42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1、付款条件一中，出具预付款保函后支付的合同款应当与保函金额一致。</w:t>
      </w:r>
      <w:r/>
    </w:p>
    <w:p>
      <w:pPr>
        <w:ind w:left="0" w:firstLine="42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2、付款条件二中，预付款比例设定应符合《关于做好政府采购支持企业发展有关事项的通知》(苏财购〔2020〕52号)要求。</w:t>
      </w:r>
      <w:r/>
    </w:p>
    <w:p>
      <w:pPr>
        <w:rPr>
          <w:rFonts w:hint="eastAsia" w:ascii="宋体" w:hAnsi="宋体" w:cs="宋体"/>
          <w:sz w:val="30"/>
          <w:szCs w:val="30"/>
          <w:highlight w:val="none"/>
        </w:rPr>
      </w:pPr>
      <w:r>
        <w:rPr>
          <w:rFonts w:hint="eastAsia" w:ascii="宋体" w:hAnsi="宋体" w:cs="宋体"/>
          <w:sz w:val="30"/>
          <w:szCs w:val="30"/>
          <w:highlight w:val="none"/>
        </w:rPr>
        <w:br w:type="page" w:clear="all"/>
      </w:r>
      <w:r/>
    </w:p>
    <w:p>
      <w:pPr>
        <w:pStyle w:val="680"/>
        <w:jc w:val="center"/>
        <w:rPr>
          <w:rFonts w:hint="eastAsia" w:ascii="宋体" w:hAnsi="宋体" w:cs="宋体"/>
          <w:sz w:val="30"/>
          <w:szCs w:val="30"/>
          <w:highlight w:val="none"/>
        </w:rPr>
      </w:pPr>
      <w:r>
        <w:rPr>
          <w:rFonts w:hint="eastAsia" w:ascii="宋体" w:hAnsi="宋体" w:cs="宋体"/>
          <w:b/>
          <w:bCs/>
          <w:sz w:val="30"/>
          <w:szCs w:val="30"/>
          <w:highlight w:val="none"/>
          <w:lang w:val="en-US" w:eastAsia="zh-CN" w:bidi="ar-SA"/>
        </w:rPr>
        <w:t xml:space="preserve">十一、</w:t>
      </w:r>
      <w:r>
        <w:rPr>
          <w:rFonts w:hint="eastAsia" w:ascii="宋体" w:hAnsi="宋体" w:eastAsia="宋体" w:cs="宋体"/>
          <w:b/>
          <w:bCs/>
          <w:sz w:val="30"/>
          <w:szCs w:val="30"/>
          <w:highlight w:val="none"/>
          <w:lang w:val="en-US" w:eastAsia="zh-CN" w:bidi="ar-SA"/>
        </w:rPr>
        <w:t xml:space="preserve">投标人相关承诺</w:t>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725"/>
        <w:ind w:firstLine="0"/>
        <w:rPr>
          <w:rFonts w:hint="eastAsia" w:eastAsia="宋体"/>
          <w:color w:val="000000"/>
          <w:sz w:val="24"/>
          <w:szCs w:val="24"/>
          <w:highlight w:val="none"/>
          <w:lang w:eastAsia="zh-CN"/>
        </w:rPr>
      </w:pPr>
      <w:r>
        <w:rPr>
          <w:rFonts w:hint="eastAsia"/>
          <w:color w:val="000000"/>
          <w:sz w:val="24"/>
          <w:szCs w:val="24"/>
          <w:highlight w:val="none"/>
        </w:rPr>
        <w:t xml:space="preserve">项目名称：</w:t>
      </w:r>
      <w:r>
        <w:rPr>
          <w:rFonts w:hint="eastAsia"/>
          <w:color w:val="000000"/>
          <w:sz w:val="24"/>
          <w:szCs w:val="24"/>
          <w:highlight w:val="none"/>
          <w:lang w:eastAsia="zh-CN"/>
        </w:rPr>
        <w:t xml:space="preserve">徐州市市场监督管理局食品安全监督抽检</w:t>
      </w:r>
      <w:r/>
    </w:p>
    <w:p>
      <w:pPr>
        <w:ind w:firstLine="0"/>
        <w:rPr>
          <w:color w:val="000000"/>
          <w:sz w:val="24"/>
          <w:szCs w:val="24"/>
          <w:highlight w:val="none"/>
        </w:rPr>
      </w:pPr>
      <w:r>
        <w:rPr>
          <w:rFonts w:hint="eastAsia"/>
          <w:color w:val="000000"/>
          <w:sz w:val="24"/>
          <w:szCs w:val="24"/>
          <w:highlight w:val="none"/>
        </w:rPr>
        <w:t xml:space="preserve">项目编号：</w:t>
      </w:r>
      <w:r>
        <w:rPr>
          <w:rFonts w:hint="eastAsia"/>
          <w:color w:val="000000"/>
          <w:sz w:val="24"/>
          <w:szCs w:val="24"/>
          <w:highlight w:val="none"/>
          <w:lang w:eastAsia="zh-CN"/>
        </w:rPr>
        <w:t xml:space="preserve">JSZC-320300-YMXM-G2024-0013</w:t>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t xml:space="preserve">我单位承诺：</w:t>
      </w:r>
      <w:r/>
    </w:p>
    <w:p>
      <w:pPr>
        <w:pStyle w:val="680"/>
        <w:ind w:firstLine="480"/>
        <w:rPr>
          <w:rFonts w:hint="eastAsia" w:ascii="宋体" w:hAnsi="宋体" w:cs="宋体"/>
          <w:sz w:val="24"/>
          <w:szCs w:val="24"/>
          <w:highlight w:val="none"/>
        </w:rPr>
      </w:pPr>
      <w:r>
        <w:rPr>
          <w:rFonts w:hint="eastAsia" w:ascii="宋体" w:hAnsi="宋体" w:cs="宋体"/>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ind w:firstLine="480"/>
        <w:rPr>
          <w:rFonts w:hint="eastAsia" w:ascii="宋体" w:hAnsi="宋体" w:cs="宋体"/>
          <w:sz w:val="24"/>
          <w:szCs w:val="24"/>
          <w:highlight w:val="none"/>
        </w:rPr>
      </w:pPr>
      <w:r>
        <w:rPr>
          <w:rFonts w:hint="eastAsia" w:ascii="宋体" w:hAnsi="宋体" w:cs="宋体"/>
          <w:sz w:val="24"/>
          <w:szCs w:val="24"/>
          <w:highlight w:val="none"/>
        </w:rPr>
        <w:t xml:space="preserve">我单位对上述承诺负责，并依法承担相应责任。</w:t>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ind w:left="0" w:firstLine="2940"/>
        <w:rPr>
          <w:rFonts w:hint="eastAsia" w:ascii="宋体" w:hAnsi="宋体" w:cs="宋体"/>
          <w:sz w:val="24"/>
          <w:szCs w:val="24"/>
          <w:highlight w:val="none"/>
        </w:rPr>
      </w:pPr>
      <w:r>
        <w:rPr>
          <w:rFonts w:hint="eastAsia" w:ascii="宋体" w:hAnsi="宋体" w:cs="宋体"/>
          <w:sz w:val="24"/>
          <w:szCs w:val="24"/>
          <w:highlight w:val="none"/>
        </w:rPr>
        <w:t xml:space="preserve">投标人：                  （电子签章） </w:t>
      </w:r>
      <w:r/>
    </w:p>
    <w:p>
      <w:pPr>
        <w:pStyle w:val="680"/>
        <w:ind w:left="0" w:firstLine="2940"/>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jc w:val="center"/>
        <w:rPr>
          <w:rFonts w:hint="eastAsia" w:ascii="宋体" w:hAnsi="宋体" w:eastAsia="宋体" w:cs="宋体"/>
          <w:b/>
          <w:bCs/>
          <w:sz w:val="30"/>
          <w:szCs w:val="30"/>
          <w:highlight w:val="none"/>
          <w:lang w:val="en-US" w:eastAsia="zh-CN" w:bidi="ar-SA"/>
        </w:rPr>
      </w:pPr>
      <w:r>
        <w:rPr>
          <w:rFonts w:hint="eastAsia" w:ascii="宋体" w:hAnsi="宋体" w:cs="宋体"/>
          <w:sz w:val="30"/>
          <w:szCs w:val="30"/>
          <w:highlight w:val="none"/>
        </w:rPr>
        <w:br w:type="page" w:clear="all"/>
      </w:r>
      <w:r>
        <w:rPr>
          <w:rFonts w:hint="eastAsia" w:ascii="宋体" w:hAnsi="宋体" w:cs="宋体"/>
          <w:b/>
          <w:bCs/>
          <w:sz w:val="30"/>
          <w:szCs w:val="30"/>
          <w:highlight w:val="none"/>
          <w:lang w:val="en-US" w:eastAsia="zh-CN" w:bidi="ar-SA"/>
        </w:rPr>
        <w:t xml:space="preserve">十二、</w:t>
      </w:r>
      <w:r>
        <w:rPr>
          <w:rFonts w:hint="eastAsia" w:ascii="宋体" w:hAnsi="宋体" w:eastAsia="宋体" w:cs="宋体"/>
          <w:b/>
          <w:bCs/>
          <w:sz w:val="30"/>
          <w:szCs w:val="30"/>
          <w:highlight w:val="none"/>
          <w:lang w:val="en-US" w:eastAsia="zh-CN" w:bidi="ar-SA"/>
        </w:rPr>
        <w:t xml:space="preserve">投标人书面声明</w:t>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725"/>
        <w:ind w:firstLine="0"/>
        <w:rPr>
          <w:rFonts w:hint="eastAsia" w:eastAsia="宋体"/>
          <w:color w:val="000000"/>
          <w:sz w:val="24"/>
          <w:szCs w:val="24"/>
          <w:highlight w:val="none"/>
          <w:lang w:eastAsia="zh-CN"/>
        </w:rPr>
      </w:pPr>
      <w:r>
        <w:rPr>
          <w:rFonts w:hint="eastAsia"/>
          <w:color w:val="000000"/>
          <w:sz w:val="24"/>
          <w:szCs w:val="24"/>
          <w:highlight w:val="none"/>
        </w:rPr>
        <w:t xml:space="preserve">项目名称：</w:t>
      </w:r>
      <w:r>
        <w:rPr>
          <w:rFonts w:hint="eastAsia"/>
          <w:color w:val="000000"/>
          <w:sz w:val="24"/>
          <w:szCs w:val="24"/>
          <w:highlight w:val="none"/>
          <w:lang w:eastAsia="zh-CN"/>
        </w:rPr>
        <w:t xml:space="preserve">徐州市市场监督管理局食品安全监督抽检</w:t>
      </w:r>
      <w:r/>
    </w:p>
    <w:p>
      <w:pPr>
        <w:ind w:firstLine="0"/>
        <w:rPr>
          <w:rFonts w:hint="eastAsia" w:ascii="宋体" w:hAnsi="宋体" w:cs="宋体"/>
          <w:sz w:val="30"/>
          <w:szCs w:val="30"/>
          <w:highlight w:val="none"/>
        </w:rPr>
      </w:pPr>
      <w:r>
        <w:rPr>
          <w:rFonts w:hint="eastAsia"/>
          <w:color w:val="000000"/>
          <w:sz w:val="24"/>
          <w:szCs w:val="24"/>
          <w:highlight w:val="none"/>
        </w:rPr>
        <w:t xml:space="preserve">项目编号：</w:t>
      </w:r>
      <w:r>
        <w:rPr>
          <w:rFonts w:hint="eastAsia"/>
          <w:color w:val="000000"/>
          <w:sz w:val="24"/>
          <w:szCs w:val="24"/>
          <w:highlight w:val="none"/>
          <w:lang w:eastAsia="zh-CN"/>
        </w:rPr>
        <w:t xml:space="preserve">JSZC-320300-YMXM-G2024-0013</w:t>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我单位不是为本采购项目提供整体设计、规范编制或者项目管理、监理、检测等服务的供应商。</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特此声明。</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我单位对上述声明的真实性负责。如有虚假，将依法承担相应责任。</w:t>
      </w:r>
      <w:r/>
    </w:p>
    <w:p>
      <w:pPr>
        <w:ind w:firstLine="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ind w:left="0" w:firstLine="2940"/>
        <w:rPr>
          <w:rFonts w:hint="eastAsia" w:ascii="宋体" w:hAnsi="宋体" w:cs="宋体"/>
          <w:sz w:val="24"/>
          <w:szCs w:val="24"/>
          <w:highlight w:val="none"/>
        </w:rPr>
      </w:pPr>
      <w:r>
        <w:rPr>
          <w:rFonts w:hint="eastAsia" w:ascii="宋体" w:hAnsi="宋体" w:cs="宋体"/>
          <w:sz w:val="24"/>
          <w:szCs w:val="24"/>
          <w:highlight w:val="none"/>
        </w:rPr>
        <w:t xml:space="preserve">投标人：                  （电子签章） </w:t>
      </w:r>
      <w:r/>
    </w:p>
    <w:p>
      <w:pPr>
        <w:pStyle w:val="680"/>
        <w:ind w:left="0" w:firstLine="2940"/>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br w:type="page" w:clear="all"/>
      </w:r>
      <w:r/>
    </w:p>
    <w:p>
      <w:pPr>
        <w:rPr>
          <w:rFonts w:hint="eastAsia"/>
          <w:highlight w:val="none"/>
        </w:rPr>
        <w:sectPr>
          <w:headerReference w:type="default" r:id="rId9"/>
          <w:footerReference w:type="default" r:id="rId10"/>
          <w:footnotePr/>
          <w:endnotePr/>
          <w:type w:val="nextPage"/>
          <w:pgSz w:w="11906" w:h="16838" w:orient="portrait"/>
          <w:pgMar w:top="1440" w:right="1134" w:bottom="1440" w:left="1134" w:header="851" w:footer="992" w:gutter="0"/>
          <w:cols w:num="1" w:sep="0" w:space="1701" w:equalWidth="1"/>
          <w:docGrid w:linePitch="360"/>
        </w:sectPr>
      </w:pPr>
      <w:r>
        <w:rPr>
          <w:rFonts w:hint="eastAsia"/>
          <w:highlight w:val="none"/>
        </w:rPr>
      </w:r>
      <w:r/>
    </w:p>
    <w:p>
      <w:pPr>
        <w:pStyle w:val="709"/>
        <w:numPr>
          <w:ilvl w:val="0"/>
          <w:numId w:val="0"/>
        </w:numPr>
        <w:jc w:val="left"/>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附件1：附表2</w:t>
      </w:r>
      <w:r/>
    </w:p>
    <w:p>
      <w:pPr>
        <w:ind w:firstLine="1320"/>
        <w:spacing w:after="200" w:line="640" w:lineRule="exact"/>
        <w:rPr>
          <w:rFonts w:ascii="方正小标宋_GBK" w:hAnsi="Calibri" w:eastAsia="方正小标宋_GBK"/>
          <w:color w:val="auto"/>
          <w:sz w:val="44"/>
          <w:szCs w:val="44"/>
          <w:highlight w:val="none"/>
        </w:rPr>
      </w:pPr>
      <w:r>
        <w:rPr>
          <w:rFonts w:hint="eastAsia" w:ascii="方正小标宋_GBK" w:hAnsi="Calibri" w:eastAsia="方正小标宋_GBK"/>
          <w:color w:val="auto"/>
          <w:sz w:val="44"/>
          <w:szCs w:val="44"/>
          <w:highlight w:val="none"/>
        </w:rPr>
        <w:t xml:space="preserve">2024年徐州市级食用农产品安全监督抽检品种及项目表</w:t>
      </w:r>
      <w:r/>
    </w:p>
    <w:tbl>
      <w:tblPr>
        <w:tblStyle w:val="679"/>
        <w:tblW w:w="14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57" w:type="dxa"/>
        </w:tblCellMar>
        <w:tblLook w:val="04A0" w:firstRow="1" w:lastRow="0" w:firstColumn="1" w:lastColumn="0" w:noHBand="0" w:noVBand="1"/>
      </w:tblPr>
      <w:tblGrid>
        <w:gridCol w:w="661"/>
        <w:gridCol w:w="1247"/>
        <w:gridCol w:w="1247"/>
        <w:gridCol w:w="1134"/>
        <w:gridCol w:w="2044"/>
        <w:gridCol w:w="6803"/>
        <w:gridCol w:w="1444"/>
      </w:tblGrid>
      <w:tr>
        <w:trPr>
          <w:cantSplit/>
          <w:jc w:val="center"/>
          <w:tblHeader/>
        </w:trPr>
        <w:tc>
          <w:tcPr>
            <w:tcW w:w="661" w:type="dxa"/>
            <w:vAlign w:val="center"/>
            <w:textDirection w:val="lrTb"/>
            <w:noWrap w:val="false"/>
          </w:tcPr>
          <w:p>
            <w:pPr>
              <w:jc w:val="center"/>
              <w:widowControl/>
              <w:rPr>
                <w:rFonts w:ascii="宋体" w:hAnsi="宋体" w:cs="宋体"/>
                <w:b/>
                <w:bCs/>
                <w:color w:val="auto"/>
                <w:sz w:val="20"/>
                <w:szCs w:val="20"/>
                <w:highlight w:val="none"/>
                <w:lang w:bidi="ar"/>
              </w:rPr>
            </w:pPr>
            <w:r>
              <w:rPr>
                <w:rFonts w:hint="eastAsia" w:ascii="宋体" w:hAnsi="宋体" w:cs="宋体"/>
                <w:b/>
                <w:bCs/>
                <w:color w:val="auto"/>
                <w:sz w:val="20"/>
                <w:szCs w:val="20"/>
                <w:highlight w:val="none"/>
                <w:lang w:bidi="ar"/>
              </w:rPr>
              <w:t xml:space="preserve">序号</w:t>
            </w:r>
            <w:r/>
          </w:p>
        </w:tc>
        <w:tc>
          <w:tcPr>
            <w:tcW w:w="1247"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食品亚类（二级）</w:t>
            </w:r>
            <w:r/>
          </w:p>
        </w:tc>
        <w:tc>
          <w:tcPr>
            <w:tcW w:w="1247"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食品品种（三级）</w:t>
            </w:r>
            <w:r/>
          </w:p>
        </w:tc>
        <w:tc>
          <w:tcPr>
            <w:tcW w:w="1134"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食品细类（四级）</w:t>
            </w:r>
            <w:r/>
          </w:p>
        </w:tc>
        <w:tc>
          <w:tcPr>
            <w:tcW w:w="2044"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必检项目</w:t>
            </w:r>
            <w:r/>
          </w:p>
        </w:tc>
        <w:tc>
          <w:tcPr>
            <w:tcW w:w="6803"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可    选    项    目</w:t>
            </w:r>
            <w:r/>
          </w:p>
        </w:tc>
        <w:tc>
          <w:tcPr>
            <w:tcW w:w="1444"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备注</w:t>
            </w:r>
            <w:r/>
          </w:p>
        </w:tc>
      </w:tr>
      <w:tr>
        <w:trPr>
          <w:cantSplit/>
          <w:jc w:val="center"/>
        </w:trPr>
        <w:tc>
          <w:tcPr>
            <w:tcW w:w="661" w:type="dxa"/>
            <w:vAlign w:val="center"/>
            <w:vMerge w:val="restart"/>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1</w:t>
            </w:r>
            <w:r/>
          </w:p>
        </w:tc>
        <w:tc>
          <w:tcP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畜禽肉及副产品</w:t>
            </w:r>
            <w:r/>
          </w:p>
        </w:tc>
        <w:tc>
          <w:tcP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畜肉</w:t>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猪肉</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氯霉素、恩诺沙星</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挥发性盐基氮、呋喃唑酮代谢物、呋喃西林代谢物、五氯酚酸钠（以五氯酚计）、克伦特罗、莱克多巴胺、沙丁胺醇、磺胺类（总量）、甲氧苄啶、氟苯尼考</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牛肉</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克伦特罗</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挥发性盐基氮、呋喃唑酮代谢物、呋喃西林代谢物、氯霉素、五氯酚酸钠（以五氯酚计）、莱克多巴胺、沙丁胺醇、恩诺沙星、磺胺类（总量）、甲氧苄啶、</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羊肉</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克伦特罗、磺胺类（总量）</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呋喃唑酮代谢物、呋喃西林代谢物、氯霉素、莱克多巴胺、沙丁胺醇、恩诺沙星</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禽肉</w:t>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鸡肉</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五氯酚酸钠（以五氯酚计）、恩诺沙星、甲氧苄啶、尼卡巴嗪</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呋喃唑酮代谢物、呋喃西林代谢物、呋喃它酮代谢物、氧氟沙星、培氟沙星、诺氟沙星、沙拉沙星、氟苯尼考</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2</w:t>
            </w:r>
            <w:r/>
          </w:p>
        </w:tc>
        <w:tc>
          <w:tcP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蔬菜</w:t>
            </w:r>
            <w:r/>
          </w:p>
        </w:tc>
        <w:tc>
          <w:tcP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豆类蔬菜</w:t>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豇豆</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倍硫磷、噻虫胺、噻虫嗪</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啶虫脒、甲胺磷、甲拌磷、甲基异柳磷、乐果、氯氟氰菊酯和高效氯氟氰菊酯、三唑磷、水胺硫磷、氧乐果、乙酰甲胺磷</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restart"/>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2</w:t>
            </w:r>
            <w:r/>
          </w:p>
        </w:tc>
        <w:tc>
          <w:tcP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蔬菜</w:t>
            </w:r>
            <w:r/>
          </w:p>
        </w:tc>
        <w:tc>
          <w:tcP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豆芽</w:t>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豆芽</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4-氯苯氧乙酸钠（以4-氯苯氧乙酸计）、6-苄基腺嘌呤（6-BA）</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铅（以Pb计）、亚硫酸盐（以SO</w:t>
            </w:r>
            <w:r>
              <w:rPr>
                <w:rFonts w:ascii="宋体" w:hAnsi="宋体"/>
                <w:color w:val="auto"/>
                <w:sz w:val="20"/>
                <w:szCs w:val="20"/>
                <w:highlight w:val="none"/>
                <w:vertAlign w:val="subscript"/>
                <w:lang w:bidi="ar"/>
              </w:rPr>
              <w:t xml:space="preserve">2</w:t>
            </w:r>
            <w:r>
              <w:rPr>
                <w:rFonts w:ascii="宋体" w:hAnsi="宋体"/>
                <w:color w:val="auto"/>
                <w:sz w:val="20"/>
                <w:szCs w:val="20"/>
                <w:highlight w:val="none"/>
                <w:lang w:bidi="ar"/>
              </w:rPr>
              <w:t xml:space="preserve">计）、总汞（以Hg计）</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根茎类和薯芋类蔬菜</w:t>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姜</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吡虫啉、铅（以Pb计）、噻虫胺、噻虫嗪</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敌敌畏、二氧化硫残留量、镉（以Cd计）、氯氟氰菊酯和高效氯氟氰菊酯、氯氰菊酯和高效氯氰菊酯</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山药</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咪鲜胺和咪鲜胺锰盐</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毒死蜱、克百威、氯氟氰菊酯和高效氯氟氰菊酯、铅（以Pb计）、涕灭威</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鳞茎类蔬菜</w:t>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百合</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镉（以Cd计）</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铅（以Pb计）、总汞（以Hg计）</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葱</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噻虫嗪</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丙环唑、毒死蜱、甲拌磷、甲基异柳磷、氯氟氰菊酯和高效氯氟氰菊酯、水胺硫磷、氧乐果</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韭菜</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毒死蜱、镉（以Cd计）</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敌敌畏、腐霉利、甲胺磷、甲拌磷、甲基异柳磷、克百威、乐果、氯氟氰菊酯和高效氯氟氰菊酯、氯氰菊酯和高效氯氰菊酯、水胺硫磷、氧乐果、乙酰甲胺磷</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r>
            <w:r/>
          </w:p>
        </w:tc>
        <w:tc>
          <w:tcP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茄果类蔬菜</w:t>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辣椒</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啶虫脒、噻虫胺</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倍硫磷、吡虫啉、敌敌畏、毒死蜱、甲氨基阿维菌素苯甲酸盐、甲胺磷、甲拌磷、乐果、联苯菊酯、氯氟氰菊酯和高效氯氟氰菊酯、噻虫嗪、乙酰甲胺磷</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甜椒</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噻虫胺</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倍硫磷、吡虫啉、吡唑醚菌酯、毒死蜱、克百威、水胺硫磷、氧乐果</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t xml:space="preserve">2</w:t>
            </w:r>
            <w:r/>
          </w:p>
        </w:tc>
        <w:tc>
          <w:tcPr>
            <w:tcMar>
              <w:top w:w="85" w:type="dxa"/>
              <w:bottom w:w="85" w:type="dxa"/>
            </w:tcMa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蔬菜</w:t>
            </w:r>
            <w:r/>
          </w:p>
        </w:tc>
        <w:tc>
          <w:tcPr>
            <w:tcMar>
              <w:top w:w="85" w:type="dxa"/>
              <w:bottom w:w="85" w:type="dxa"/>
            </w:tcMa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叶菜类蔬菜</w:t>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菠菜</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毒死蜱</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腐霉利、镉（以Cd计）、铬（以Cr计）、甲氨基阿维菌素苯甲酸盐、甲拌磷、氯氟氰菊酯和高效氯氟氰菊酯、铅（以Pb计）、氧乐果、乙酰甲胺磷</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普通白菜</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啶虫脒、毒死蜱</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吡虫啉、甲氨基阿维菌素苯甲酸盐、甲胺磷、甲基异柳磷、氯氟氰菊酯和高效氯氟氰菊酯、氯氰菊酯和高效氯氰菊酯、水胺硫磷、乙酰甲胺磷</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芹菜</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毒死蜱、噻虫胺</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苯醚甲环唑、敌敌畏、甲拌磷、甲基异柳磷、克百威、乐果、氯氟氰菊酯和高效氯氟氰菊酯、噻虫嗪、水胺硫磷、氧乐果、乙酰甲胺磷、氯氰菊酯和高效氯氰菊酯</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restart"/>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3</w:t>
            </w:r>
            <w:r/>
          </w:p>
        </w:tc>
        <w:tc>
          <w:tcPr>
            <w:tcMar>
              <w:top w:w="85" w:type="dxa"/>
              <w:bottom w:w="85" w:type="dxa"/>
            </w:tcMa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水产品</w:t>
            </w:r>
            <w:r/>
          </w:p>
        </w:tc>
        <w:tc>
          <w:tcPr>
            <w:tcMar>
              <w:top w:w="85" w:type="dxa"/>
              <w:bottom w:w="85" w:type="dxa"/>
            </w:tcMa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淡水产品</w:t>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淡水虾</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恩诺沙星</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镉（以Cd计）、孔雀石绿、氯霉素、磺胺类（总量）、五氯酚酸钠（以五氯酚计）、氧氟沙星、诺氟沙星</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continue"/>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r>
            <w:r/>
          </w:p>
        </w:tc>
        <w:tc>
          <w:tcPr>
            <w:tcMar>
              <w:top w:w="85" w:type="dxa"/>
              <w:bottom w:w="85" w:type="dxa"/>
            </w:tcMa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淡水鱼</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恩诺沙星、孔雀石绿、地西泮</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挥发性盐基氮、镉（以Cd计）、磺胺类（总量）、甲氧苄啶、五氯酚酸钠（以五氯酚计）、氧氟沙星、诺氟沙星、培氟沙星</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海水产品</w:t>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海水鱼</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恩诺沙星</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挥发性盐基氮、孔雀石绿、氯霉素、磺胺类（总量）、土霉素/金霉素/四环素（组合含量）、甲氧苄啶、五氯酚酸钠（以五氯酚计）、氧氟沙</w:t>
            </w:r>
            <w:r>
              <w:rPr>
                <w:rFonts w:hint="eastAsia" w:ascii="宋体" w:hAnsi="宋体"/>
                <w:color w:val="auto"/>
                <w:sz w:val="20"/>
                <w:szCs w:val="20"/>
                <w:highlight w:val="none"/>
                <w:lang w:bidi="ar"/>
              </w:rPr>
              <w:t xml:space="preserve">星</w:t>
            </w:r>
            <w:r>
              <w:rPr>
                <w:rFonts w:ascii="宋体" w:hAnsi="宋体"/>
                <w:color w:val="auto"/>
                <w:sz w:val="20"/>
                <w:szCs w:val="20"/>
                <w:highlight w:val="none"/>
                <w:lang w:bidi="ar"/>
              </w:rPr>
              <w:t xml:space="preserve">、培氟沙星、诺氟沙星</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restart"/>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3</w:t>
            </w:r>
            <w:r/>
          </w:p>
        </w:tc>
        <w:tc>
          <w:tcPr>
            <w:tcMar>
              <w:top w:w="85" w:type="dxa"/>
              <w:bottom w:w="85" w:type="dxa"/>
            </w:tcMa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水产品</w:t>
            </w:r>
            <w:r/>
          </w:p>
        </w:tc>
        <w:tc>
          <w:tcPr>
            <w:tcMar>
              <w:top w:w="85" w:type="dxa"/>
              <w:bottom w:w="85" w:type="dxa"/>
            </w:tcMar>
            <w:tcW w:w="1247"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lang w:bidi="ar"/>
              </w:rPr>
              <w:t xml:space="preserve">海水产品</w:t>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海水虾</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呋喃唑酮代谢物</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孔雀石绿、呋喃它酮代谢物、呋喃妥因代谢物、恩诺沙星、磺胺类（总量）、五氯酚酸钠（以五氯酚计）、诺氟沙星</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其他水产品</w:t>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其他水产品（重点品种：牛蛙）</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恩诺沙星</w:t>
            </w:r>
            <w:r>
              <w:rPr>
                <w:rFonts w:ascii="宋体" w:hAnsi="宋体"/>
                <w:color w:val="auto"/>
                <w:sz w:val="20"/>
                <w:szCs w:val="20"/>
                <w:highlight w:val="none"/>
                <w:vertAlign w:val="superscript"/>
                <w:lang w:bidi="ar"/>
              </w:rPr>
              <w:t xml:space="preserve">a</w:t>
            </w:r>
            <w:r>
              <w:rPr>
                <w:rFonts w:ascii="宋体" w:hAnsi="宋体"/>
                <w:color w:val="auto"/>
                <w:sz w:val="20"/>
                <w:szCs w:val="20"/>
                <w:highlight w:val="none"/>
                <w:lang w:bidi="ar"/>
              </w:rPr>
              <w:t xml:space="preserve">、呋喃唑酮代谢物、呋喃西林代谢物</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呋喃妥因代谢物、氟苯尼考</w:t>
            </w:r>
            <w:r>
              <w:rPr>
                <w:rFonts w:ascii="宋体" w:hAnsi="宋体"/>
                <w:color w:val="auto"/>
                <w:sz w:val="20"/>
                <w:szCs w:val="20"/>
                <w:highlight w:val="none"/>
                <w:vertAlign w:val="superscript"/>
                <w:lang w:bidi="ar"/>
              </w:rPr>
              <w:t xml:space="preserve">a</w:t>
            </w:r>
            <w:r>
              <w:rPr>
                <w:rFonts w:ascii="宋体" w:hAnsi="宋体"/>
                <w:color w:val="auto"/>
                <w:sz w:val="20"/>
                <w:szCs w:val="20"/>
                <w:highlight w:val="none"/>
                <w:lang w:bidi="ar"/>
              </w:rPr>
              <w:t xml:space="preserve">、甲硝唑</w:t>
            </w:r>
            <w:r>
              <w:rPr>
                <w:rFonts w:ascii="宋体" w:hAnsi="宋体"/>
                <w:color w:val="auto"/>
                <w:sz w:val="20"/>
                <w:szCs w:val="20"/>
                <w:highlight w:val="none"/>
                <w:vertAlign w:val="superscript"/>
                <w:lang w:bidi="ar"/>
              </w:rPr>
              <w:t xml:space="preserve">a</w:t>
            </w:r>
            <w:r>
              <w:rPr>
                <w:rFonts w:ascii="宋体" w:hAnsi="宋体"/>
                <w:color w:val="auto"/>
                <w:sz w:val="20"/>
                <w:szCs w:val="20"/>
                <w:highlight w:val="none"/>
                <w:lang w:bidi="ar"/>
              </w:rPr>
              <w:t xml:space="preserve">、氧氟沙星、诺氟沙星</w:t>
            </w:r>
            <w:r/>
          </w:p>
        </w:tc>
        <w:tc>
          <w:tcPr>
            <w:tcMar>
              <w:top w:w="85" w:type="dxa"/>
              <w:bottom w:w="85" w:type="dxa"/>
            </w:tcMar>
            <w:tcW w:w="1444" w:type="dxa"/>
            <w:vAlign w:val="center"/>
            <w:textDirection w:val="lrTb"/>
            <w:noWrap w:val="false"/>
          </w:tcPr>
          <w:p>
            <w:pPr>
              <w:widowControl/>
              <w:rPr>
                <w:rFonts w:hint="eastAsia" w:ascii="宋体" w:hAnsi="宋体"/>
                <w:color w:val="auto"/>
                <w:sz w:val="20"/>
                <w:szCs w:val="20"/>
                <w:highlight w:val="none"/>
                <w:lang w:bidi="ar"/>
              </w:rPr>
            </w:pPr>
            <w:r>
              <w:rPr>
                <w:rFonts w:ascii="宋体" w:hAnsi="宋体"/>
                <w:color w:val="auto"/>
                <w:sz w:val="20"/>
                <w:szCs w:val="20"/>
                <w:highlight w:val="none"/>
                <w:lang w:bidi="ar"/>
              </w:rPr>
              <w:t xml:space="preserve">a.仅蛙科、鳖科食品动物检测；</w:t>
            </w:r>
            <w:r/>
          </w:p>
          <w:p>
            <w:pPr>
              <w:widowControl/>
              <w:rPr>
                <w:rFonts w:ascii="宋体" w:hAnsi="宋体"/>
                <w:color w:val="auto"/>
                <w:sz w:val="20"/>
                <w:szCs w:val="20"/>
                <w:highlight w:val="none"/>
              </w:rPr>
            </w:pPr>
            <w:r>
              <w:rPr>
                <w:rFonts w:ascii="宋体" w:hAnsi="宋体"/>
                <w:color w:val="auto"/>
                <w:sz w:val="20"/>
                <w:szCs w:val="20"/>
                <w:highlight w:val="none"/>
                <w:lang w:bidi="ar"/>
              </w:rPr>
              <w:t xml:space="preserve">b.限头足类、腹足类、棘皮类检测。</w:t>
            </w:r>
            <w:r/>
          </w:p>
        </w:tc>
      </w:tr>
      <w:tr>
        <w:trPr>
          <w:cantSplit/>
          <w:jc w:val="center"/>
        </w:trPr>
        <w:tc>
          <w:tcPr>
            <w:tcMar>
              <w:top w:w="85" w:type="dxa"/>
              <w:bottom w:w="85" w:type="dxa"/>
            </w:tcMar>
            <w:tcW w:w="661" w:type="dxa"/>
            <w:vAlign w:val="center"/>
            <w:vMerge w:val="restart"/>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4</w:t>
            </w:r>
            <w:r/>
          </w:p>
        </w:tc>
        <w:tc>
          <w:tcPr>
            <w:tcMar>
              <w:top w:w="85" w:type="dxa"/>
              <w:bottom w:w="85" w:type="dxa"/>
            </w:tcMa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水果类</w:t>
            </w:r>
            <w:r/>
          </w:p>
        </w:tc>
        <w:tc>
          <w:tcPr>
            <w:tcMar>
              <w:top w:w="85" w:type="dxa"/>
              <w:bottom w:w="85" w:type="dxa"/>
            </w:tcMa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柑橘类水果</w:t>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橙</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氯唑磷</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丙溴磷、联苯菊酯、三唑磷、杀扑磷、水胺硫磷、氧乐果、苯醚甲环唑</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柑、橘</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苯醚甲环唑、丙溴磷、联苯菊酯</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氯唑磷、三唑磷、水胺硫磷、氧乐果、氯氟氰菊酯和高效氯氟氰菊酯、杀扑磷</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浆果和其他小型水果</w:t>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草莓</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烯酰吗啉</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敌敌畏、多菌灵、克百威、氧乐果、戊菌唑、吡虫啉、乙酰甲胺磷</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continue"/>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r>
            <w:r/>
          </w:p>
        </w:tc>
        <w:tc>
          <w:tcPr>
            <w:tcMar>
              <w:top w:w="85" w:type="dxa"/>
              <w:bottom w:w="85" w:type="dxa"/>
            </w:tcMa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猕猴桃</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氯吡脲</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敌敌畏、多菌灵、氧乐果</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桑葚</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脱氢乙酸及其钠盐（以脱氢乙酸计）、糖精钠（以糖精计）、甜蜜素（以环己基氨基磺酸计）</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苯甲酸及其钠盐（以苯甲酸计）、山梨酸及其钾盐（以山梨酸计）、三氯蔗糖、多菌灵</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113" w:type="dxa"/>
              <w:bottom w:w="113" w:type="dxa"/>
            </w:tcMar>
            <w:tcW w:w="661"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t xml:space="preserve">4</w:t>
            </w:r>
            <w:r/>
          </w:p>
        </w:tc>
        <w:tc>
          <w:tcPr>
            <w:tcMar>
              <w:top w:w="113" w:type="dxa"/>
              <w:bottom w:w="113" w:type="dxa"/>
            </w:tcMar>
            <w:tcW w:w="1247"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t xml:space="preserve">水果类</w:t>
            </w:r>
            <w:r/>
          </w:p>
        </w:tc>
        <w:tc>
          <w:tcPr>
            <w:tcMar>
              <w:top w:w="113" w:type="dxa"/>
              <w:bottom w:w="113" w:type="dxa"/>
            </w:tcMa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热带和亚热带水果</w:t>
            </w:r>
            <w:r/>
          </w:p>
        </w:tc>
        <w:tc>
          <w:tcPr>
            <w:tcMar>
              <w:top w:w="113" w:type="dxa"/>
              <w:bottom w:w="113"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荔枝</w:t>
            </w:r>
            <w:r/>
          </w:p>
        </w:tc>
        <w:tc>
          <w:tcPr>
            <w:tcMar>
              <w:top w:w="113" w:type="dxa"/>
              <w:bottom w:w="113"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吡唑醚菌酯、氯氟氰菊酯和高效氯氟氰菊酯、除虫脲</w:t>
            </w:r>
            <w:r/>
          </w:p>
        </w:tc>
        <w:tc>
          <w:tcPr>
            <w:tcMar>
              <w:top w:w="113" w:type="dxa"/>
              <w:bottom w:w="113"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多菌灵、氧乐果、毒死蜱、苯醚甲环唑、氯氰菊酯和高效氯氰菊酯</w:t>
            </w:r>
            <w:r/>
          </w:p>
        </w:tc>
        <w:tc>
          <w:tcPr>
            <w:tcMar>
              <w:top w:w="113" w:type="dxa"/>
              <w:bottom w:w="113"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113" w:type="dxa"/>
              <w:bottom w:w="113"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芒果</w:t>
            </w:r>
            <w:r/>
          </w:p>
        </w:tc>
        <w:tc>
          <w:tcPr>
            <w:tcMar>
              <w:top w:w="113" w:type="dxa"/>
              <w:bottom w:w="113"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吡唑醚菌酯、噻虫胺</w:t>
            </w:r>
            <w:r/>
          </w:p>
        </w:tc>
        <w:tc>
          <w:tcPr>
            <w:tcMar>
              <w:top w:w="113" w:type="dxa"/>
              <w:bottom w:w="113"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苯醚甲环唑、戊唑醇、氧乐果、乙酰甲胺磷、噻虫嗪、噻嗪酮</w:t>
            </w:r>
            <w:r/>
          </w:p>
        </w:tc>
        <w:tc>
          <w:tcPr>
            <w:tcMar>
              <w:top w:w="113" w:type="dxa"/>
              <w:bottom w:w="113"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113" w:type="dxa"/>
              <w:bottom w:w="113"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香蕉</w:t>
            </w:r>
            <w:r/>
          </w:p>
        </w:tc>
        <w:tc>
          <w:tcPr>
            <w:tcMar>
              <w:top w:w="113" w:type="dxa"/>
              <w:bottom w:w="113"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吡虫啉、噻虫胺、噻虫嗪</w:t>
            </w:r>
            <w:r/>
          </w:p>
        </w:tc>
        <w:tc>
          <w:tcPr>
            <w:tcMar>
              <w:top w:w="113" w:type="dxa"/>
              <w:bottom w:w="113"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苯醚甲环唑、甲拌磷、腈苯唑、氟环唑、联苯菊酯、烯唑醇</w:t>
            </w:r>
            <w:r/>
          </w:p>
        </w:tc>
        <w:tc>
          <w:tcPr>
            <w:tcMar>
              <w:top w:w="113" w:type="dxa"/>
              <w:bottom w:w="113"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113" w:type="dxa"/>
              <w:bottom w:w="113"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杨梅</w:t>
            </w:r>
            <w:r/>
          </w:p>
        </w:tc>
        <w:tc>
          <w:tcPr>
            <w:tcMar>
              <w:top w:w="113" w:type="dxa"/>
              <w:bottom w:w="113"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脱氢乙酸及其钠盐（以脱氢乙酸计）、糖精钠（以糖精计）、甜蜜素（以环己基氨基磺酸计）</w:t>
            </w:r>
            <w:r/>
          </w:p>
        </w:tc>
        <w:tc>
          <w:tcPr>
            <w:tcMar>
              <w:top w:w="113" w:type="dxa"/>
              <w:bottom w:w="113"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苯甲酸及其钠盐（以苯甲酸计）、山梨酸及其钾盐（以山梨酸计）、三氯蔗糖、敌敌畏、氧乐果</w:t>
            </w:r>
            <w:r/>
          </w:p>
        </w:tc>
        <w:tc>
          <w:tcPr>
            <w:tcMar>
              <w:top w:w="113" w:type="dxa"/>
              <w:bottom w:w="113"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113" w:type="dxa"/>
              <w:bottom w:w="113"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仁果类水果</w:t>
            </w:r>
            <w:r/>
          </w:p>
        </w:tc>
        <w:tc>
          <w:tcPr>
            <w:tcMar>
              <w:top w:w="113" w:type="dxa"/>
              <w:bottom w:w="113"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梨</w:t>
            </w:r>
            <w:r/>
          </w:p>
        </w:tc>
        <w:tc>
          <w:tcPr>
            <w:tcMar>
              <w:top w:w="113" w:type="dxa"/>
              <w:bottom w:w="113"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苯醚甲环唑、氯氟氰菊酯和高效氯氟氰菊酯</w:t>
            </w:r>
            <w:r/>
          </w:p>
        </w:tc>
        <w:tc>
          <w:tcPr>
            <w:tcMar>
              <w:top w:w="113" w:type="dxa"/>
              <w:bottom w:w="113"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吡虫啉、敌敌畏、毒死蜱、多菌灵、克百威、氧乐果、水胺硫磷</w:t>
            </w:r>
            <w:r/>
          </w:p>
        </w:tc>
        <w:tc>
          <w:tcPr>
            <w:tcMar>
              <w:top w:w="113" w:type="dxa"/>
              <w:bottom w:w="113"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113" w:type="dxa"/>
              <w:bottom w:w="113" w:type="dxa"/>
            </w:tcMar>
            <w:tcW w:w="661"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5</w:t>
            </w:r>
            <w:r/>
          </w:p>
        </w:tc>
        <w:tc>
          <w:tcPr>
            <w:tcMar>
              <w:top w:w="113" w:type="dxa"/>
              <w:bottom w:w="113" w:type="dxa"/>
            </w:tcMa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鲜蛋</w:t>
            </w:r>
            <w:r/>
          </w:p>
        </w:tc>
        <w:tc>
          <w:tcPr>
            <w:tcMar>
              <w:top w:w="113" w:type="dxa"/>
              <w:bottom w:w="113" w:type="dxa"/>
            </w:tcMa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鲜蛋</w:t>
            </w:r>
            <w:r/>
          </w:p>
        </w:tc>
        <w:tc>
          <w:tcPr>
            <w:tcMar>
              <w:top w:w="113" w:type="dxa"/>
              <w:bottom w:w="113"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鸡蛋</w:t>
            </w:r>
            <w:r/>
          </w:p>
        </w:tc>
        <w:tc>
          <w:tcPr>
            <w:tcMar>
              <w:top w:w="113" w:type="dxa"/>
              <w:bottom w:w="113"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甲硝唑、甲氧苄啶、多西环素</w:t>
            </w:r>
            <w:r/>
          </w:p>
        </w:tc>
        <w:tc>
          <w:tcPr>
            <w:tcMar>
              <w:top w:w="113" w:type="dxa"/>
              <w:bottom w:w="113"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氯霉素、氟苯尼考、恩诺沙星、氧氟沙星、沙拉沙星、磺胺类（总量）</w:t>
            </w:r>
            <w:r/>
          </w:p>
        </w:tc>
        <w:tc>
          <w:tcPr>
            <w:tcMar>
              <w:top w:w="113" w:type="dxa"/>
              <w:bottom w:w="113"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113" w:type="dxa"/>
              <w:bottom w:w="113" w:type="dxa"/>
            </w:tcMar>
            <w:tcW w:w="661"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6</w:t>
            </w:r>
            <w:r/>
          </w:p>
        </w:tc>
        <w:tc>
          <w:tcPr>
            <w:tcMar>
              <w:top w:w="113" w:type="dxa"/>
              <w:bottom w:w="113" w:type="dxa"/>
            </w:tcMa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生干坚果与籽类食品</w:t>
            </w:r>
            <w:r/>
          </w:p>
        </w:tc>
        <w:tc>
          <w:tcPr>
            <w:tcMar>
              <w:top w:w="113" w:type="dxa"/>
              <w:bottom w:w="113" w:type="dxa"/>
            </w:tcMa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生干坚果与籽类食品</w:t>
            </w:r>
            <w:r/>
          </w:p>
        </w:tc>
        <w:tc>
          <w:tcPr>
            <w:tcMar>
              <w:top w:w="113" w:type="dxa"/>
              <w:bottom w:w="113"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生干籽类</w:t>
            </w:r>
            <w:r/>
          </w:p>
        </w:tc>
        <w:tc>
          <w:tcPr>
            <w:tcMar>
              <w:top w:w="113" w:type="dxa"/>
              <w:bottom w:w="113"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黄曲霉毒素B</w:t>
            </w:r>
            <w:r>
              <w:rPr>
                <w:rFonts w:ascii="宋体" w:hAnsi="宋体"/>
                <w:color w:val="auto"/>
                <w:sz w:val="20"/>
                <w:szCs w:val="20"/>
                <w:highlight w:val="none"/>
                <w:vertAlign w:val="subscript"/>
                <w:lang w:bidi="ar"/>
              </w:rPr>
              <w:t xml:space="preserve">1</w:t>
            </w:r>
            <w:r/>
          </w:p>
        </w:tc>
        <w:tc>
          <w:tcPr>
            <w:tcMar>
              <w:top w:w="113" w:type="dxa"/>
              <w:bottom w:w="113"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酸价（以脂肪计）（KOH）、过氧化值（以脂肪计）、铅（以Pb计）、镉（以Cd计）、噻虫嗪</w:t>
            </w:r>
            <w:r/>
          </w:p>
        </w:tc>
        <w:tc>
          <w:tcPr>
            <w:tcMar>
              <w:top w:w="113" w:type="dxa"/>
              <w:bottom w:w="113" w:type="dxa"/>
            </w:tcMar>
            <w:tcW w:w="14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仅花生检测黄曲霉毒素B</w:t>
            </w:r>
            <w:r>
              <w:rPr>
                <w:rFonts w:ascii="宋体" w:hAnsi="宋体"/>
                <w:color w:val="auto"/>
                <w:sz w:val="20"/>
                <w:szCs w:val="20"/>
                <w:highlight w:val="none"/>
                <w:vertAlign w:val="subscript"/>
                <w:lang w:bidi="ar"/>
              </w:rPr>
              <w:t xml:space="preserve">1</w:t>
            </w:r>
            <w:r/>
          </w:p>
        </w:tc>
      </w:tr>
      <w:tr>
        <w:trPr>
          <w:cantSplit/>
          <w:jc w:val="center"/>
        </w:trPr>
        <w:tc>
          <w:tcPr>
            <w:gridSpan w:val="7"/>
            <w:tcW w:w="14580" w:type="dxa"/>
            <w:vAlign w:val="center"/>
            <w:textDirection w:val="lrTb"/>
            <w:noWrap w:val="false"/>
          </w:tcPr>
          <w:p>
            <w:pPr>
              <w:widowControl/>
              <w:rPr>
                <w:rStyle w:val="775"/>
                <w:rFonts w:hint="default"/>
                <w:color w:val="auto"/>
                <w:highlight w:val="none"/>
                <w:vertAlign w:val="baseline"/>
                <w:lang w:bidi="ar"/>
              </w:rPr>
            </w:pPr>
            <w:r>
              <w:rPr>
                <w:rStyle w:val="775"/>
                <w:rFonts w:hint="default"/>
                <w:color w:val="auto"/>
                <w:highlight w:val="none"/>
                <w:vertAlign w:val="baseline"/>
                <w:lang w:bidi="ar"/>
              </w:rPr>
              <w:t xml:space="preserve">注：1.部分项目检测结果说明：恩诺沙星检验结果以恩诺沙星与环丙沙星之和计；孔雀石绿检验结果以孔雀石绿与隐色孔雀石绿之和计，以孔雀石绿表示；磺胺类（总量）包含的具体磺胺药物按国家食品安全监督抽检实施细则（2024年版）中相应食品类别要求检验。</w:t>
            </w:r>
            <w:r/>
          </w:p>
          <w:p>
            <w:pPr>
              <w:ind w:firstLine="402"/>
              <w:widowControl/>
              <w:rPr>
                <w:rStyle w:val="775"/>
                <w:rFonts w:hint="default"/>
                <w:color w:val="auto"/>
                <w:highlight w:val="none"/>
                <w:vertAlign w:val="baseline"/>
                <w:lang w:bidi="ar"/>
              </w:rPr>
            </w:pPr>
            <w:r>
              <w:rPr>
                <w:rStyle w:val="775"/>
                <w:rFonts w:hint="default"/>
                <w:color w:val="auto"/>
                <w:highlight w:val="none"/>
                <w:vertAlign w:val="baseline"/>
                <w:lang w:bidi="ar"/>
              </w:rPr>
              <w:t xml:space="preserve">2.酸价、过氧化值依据GB 19300判定时，样品前处理按该标准附录B规定；脂肪含量低的莲子、板栗类等食品，其酸价、过氧化值不作要求；其中芝麻的酸价不纳入2024年监督抽检。</w:t>
            </w:r>
            <w:r/>
          </w:p>
          <w:p>
            <w:pPr>
              <w:ind w:firstLine="402"/>
              <w:widowControl/>
              <w:rPr>
                <w:rStyle w:val="775"/>
                <w:rFonts w:hint="default"/>
                <w:color w:val="auto"/>
                <w:highlight w:val="none"/>
                <w:vertAlign w:val="baseline"/>
                <w:lang w:bidi="ar"/>
              </w:rPr>
            </w:pPr>
            <w:r>
              <w:rPr>
                <w:rStyle w:val="775"/>
                <w:rFonts w:hint="default"/>
                <w:color w:val="auto"/>
                <w:highlight w:val="none"/>
                <w:vertAlign w:val="baseline"/>
                <w:lang w:bidi="ar"/>
              </w:rPr>
              <w:t xml:space="preserve">3.海水蟹、虾蛄中镉（以Cd计）仅限生产日期在2023年6月30日（含）之后的产品检测。</w:t>
            </w:r>
            <w:r/>
          </w:p>
          <w:p>
            <w:pPr>
              <w:ind w:firstLine="402"/>
              <w:widowControl/>
              <w:rPr>
                <w:rStyle w:val="775"/>
                <w:rFonts w:hint="default"/>
                <w:color w:val="auto"/>
                <w:highlight w:val="none"/>
                <w:vertAlign w:val="baseline"/>
                <w:lang w:bidi="ar"/>
              </w:rPr>
            </w:pPr>
            <w:r>
              <w:rPr>
                <w:rStyle w:val="775"/>
                <w:rFonts w:hint="default"/>
                <w:color w:val="auto"/>
                <w:highlight w:val="none"/>
                <w:vertAlign w:val="baseline"/>
                <w:lang w:bidi="ar"/>
              </w:rPr>
              <w:t xml:space="preserve">4.可选项目选择原则：</w:t>
            </w:r>
            <w:r/>
          </w:p>
          <w:p>
            <w:pPr>
              <w:ind w:firstLine="402"/>
              <w:widowControl/>
              <w:rPr>
                <w:rStyle w:val="775"/>
                <w:rFonts w:hint="default"/>
                <w:color w:val="auto"/>
                <w:highlight w:val="none"/>
                <w:vertAlign w:val="baseline"/>
                <w:lang w:bidi="ar"/>
              </w:rPr>
            </w:pPr>
            <w:r>
              <w:rPr>
                <w:rStyle w:val="775"/>
                <w:rFonts w:hint="default"/>
                <w:color w:val="auto"/>
                <w:highlight w:val="none"/>
                <w:vertAlign w:val="baseline"/>
                <w:lang w:bidi="ar"/>
              </w:rPr>
              <w:t xml:space="preserve">1）金刚烷胺、利巴韦林等药物在相关限量标准发布实施前不得纳入监督抽检；鉴于检测方法等问题，虾、蟹中呋喃西林代谢物不纳入监督抽检。</w:t>
            </w:r>
            <w:r/>
          </w:p>
          <w:p>
            <w:pPr>
              <w:ind w:firstLine="402"/>
              <w:widowControl/>
              <w:rPr>
                <w:rStyle w:val="775"/>
                <w:rFonts w:hint="default"/>
                <w:color w:val="auto"/>
                <w:highlight w:val="none"/>
                <w:vertAlign w:val="baseline"/>
                <w:lang w:bidi="ar"/>
              </w:rPr>
            </w:pPr>
            <w:r>
              <w:rPr>
                <w:rStyle w:val="775"/>
                <w:rFonts w:hint="default"/>
                <w:color w:val="auto"/>
                <w:highlight w:val="none"/>
                <w:vertAlign w:val="baseline"/>
                <w:lang w:bidi="ar"/>
              </w:rPr>
              <w:t xml:space="preserve">2）可选项目应根据当地农业投入品使用情况及既往抽检不合格、当地舆情等情况选择，如在本表可选项目之外确定检测项目时，应注意：农药残留项目在GB 2763-2021、GB 2763.1-2022标准中有该品种最大允许残留限量及相应指定检测方法；兽药项目在GB 31650-2019、GB 31650.1-2022有该动物类别相应组织部位的允许限量，或农业农村部公告250号有禁用要求，且有适用检测方法（检测范围应包含该动物及相应组织部位），符合上述要求的农兽药项目方可纳入监督抽检。</w:t>
            </w:r>
            <w:r/>
          </w:p>
          <w:p>
            <w:pPr>
              <w:ind w:firstLine="402"/>
              <w:widowControl/>
              <w:rPr>
                <w:rStyle w:val="775"/>
                <w:rFonts w:hint="default"/>
                <w:color w:val="auto"/>
                <w:highlight w:val="none"/>
                <w:vertAlign w:val="baseline"/>
                <w:lang w:bidi="ar"/>
              </w:rPr>
            </w:pPr>
            <w:r>
              <w:rPr>
                <w:rStyle w:val="775"/>
                <w:rFonts w:hint="default"/>
                <w:color w:val="auto"/>
                <w:highlight w:val="none"/>
                <w:vertAlign w:val="baseline"/>
                <w:lang w:bidi="ar"/>
              </w:rPr>
              <w:t xml:space="preserve">5.因生干籽类细类中包含除重点品种花生外的其他生干籽类产品，其他水产品中包含除重点品种牛蛙、鱿鱼外的其他水产品，因此“国抽信息系统”不作必检项限制，但各承检机构应按承检区域必检项目要求实施检验，不得漏检漏报。</w:t>
            </w:r>
            <w:r/>
          </w:p>
          <w:p>
            <w:pPr>
              <w:ind w:firstLine="402"/>
              <w:widowControl/>
              <w:rPr>
                <w:rStyle w:val="775"/>
                <w:rFonts w:hint="default"/>
                <w:color w:val="auto"/>
                <w:highlight w:val="none"/>
                <w:vertAlign w:val="baseline"/>
                <w:lang w:bidi="ar"/>
              </w:rPr>
            </w:pPr>
            <w:r>
              <w:rPr>
                <w:rStyle w:val="775"/>
                <w:rFonts w:hint="default"/>
                <w:color w:val="auto"/>
                <w:highlight w:val="none"/>
                <w:vertAlign w:val="baseline"/>
                <w:lang w:bidi="ar"/>
              </w:rPr>
              <w:t xml:space="preserve">6.抽样前，应制定抽样方案，抽取样品量、检验及复检备份所需样品量应根据采用的检测方法标准要求确定。</w:t>
            </w:r>
            <w:r/>
          </w:p>
          <w:p>
            <w:pPr>
              <w:widowControl/>
              <w:rPr>
                <w:rFonts w:ascii="宋体" w:hAnsi="宋体"/>
                <w:color w:val="auto"/>
                <w:sz w:val="20"/>
                <w:szCs w:val="20"/>
                <w:highlight w:val="none"/>
                <w:lang w:bidi="ar"/>
              </w:rPr>
            </w:pPr>
            <w:r>
              <w:rPr>
                <w:rStyle w:val="775"/>
                <w:rFonts w:hint="default"/>
                <w:color w:val="auto"/>
                <w:highlight w:val="none"/>
                <w:vertAlign w:val="baseline"/>
                <w:lang w:bidi="ar"/>
              </w:rPr>
              <w:t xml:space="preserve">7.2024年3月6日（含）起，铅（以Pb计）应采用GB 5009.12-2023检测，镉（以Cd计）应采用GB 5009.15-2023检测，铬（以Cr计）应采用GB 5009.123-2023检测，过氧化值（以脂肪计）应采用GB 5009.227-2023检测，三氯蔗糖应采用GB 5009.298-2023检测，甜蜜素（以环己基氨基磺酸计）限2024年3月6日（含）之后检测。</w:t>
            </w:r>
            <w:r/>
          </w:p>
        </w:tc>
      </w:tr>
    </w:tbl>
    <w:p>
      <w:pPr>
        <w:pStyle w:val="712"/>
        <w:rPr>
          <w:rFonts w:hint="eastAsia" w:ascii="宋体" w:hAnsi="宋体"/>
          <w:b/>
          <w:bCs/>
          <w:color w:val="auto"/>
          <w:sz w:val="24"/>
          <w:highlight w:val="none"/>
        </w:rPr>
      </w:pPr>
      <w:r>
        <w:rPr>
          <w:rFonts w:hint="eastAsia" w:ascii="宋体" w:hAnsi="宋体"/>
          <w:b/>
          <w:bCs/>
          <w:color w:val="auto"/>
          <w:sz w:val="24"/>
          <w:highlight w:val="none"/>
        </w:rPr>
      </w:r>
      <w:r/>
    </w:p>
    <w:p>
      <w:pPr>
        <w:jc w:val="center"/>
        <w:spacing w:after="200" w:line="640" w:lineRule="exact"/>
        <w:rPr>
          <w:rFonts w:hint="eastAsia" w:ascii="方正小标宋_GBK" w:hAnsi="Calibri" w:eastAsia="方正小标宋_GBK"/>
          <w:color w:val="auto"/>
          <w:sz w:val="44"/>
          <w:szCs w:val="44"/>
          <w:highlight w:val="none"/>
        </w:rPr>
      </w:pPr>
      <w:r>
        <w:rPr>
          <w:rFonts w:hint="eastAsia" w:ascii="方正小标宋_GBK" w:hAnsi="Calibri" w:eastAsia="方正小标宋_GBK"/>
          <w:color w:val="auto"/>
          <w:sz w:val="44"/>
          <w:szCs w:val="44"/>
          <w:highlight w:val="none"/>
        </w:rPr>
      </w:r>
      <w:r/>
    </w:p>
    <w:p>
      <w:pPr>
        <w:jc w:val="center"/>
        <w:spacing w:after="200" w:line="640" w:lineRule="exact"/>
        <w:rPr>
          <w:rFonts w:hint="eastAsia" w:ascii="方正小标宋_GBK" w:hAnsi="Calibri" w:eastAsia="方正小标宋_GBK"/>
          <w:color w:val="auto"/>
          <w:sz w:val="44"/>
          <w:szCs w:val="44"/>
          <w:highlight w:val="none"/>
        </w:rPr>
      </w:pPr>
      <w:r>
        <w:rPr>
          <w:rFonts w:hint="eastAsia" w:ascii="方正小标宋_GBK" w:hAnsi="Calibri" w:eastAsia="方正小标宋_GBK"/>
          <w:color w:val="auto"/>
          <w:sz w:val="44"/>
          <w:szCs w:val="44"/>
          <w:highlight w:val="none"/>
        </w:rPr>
      </w:r>
      <w:r/>
    </w:p>
    <w:p>
      <w:pPr>
        <w:jc w:val="center"/>
        <w:spacing w:after="200" w:line="640" w:lineRule="exact"/>
        <w:rPr>
          <w:rFonts w:hint="eastAsia" w:ascii="方正小标宋_GBK" w:hAnsi="Calibri" w:eastAsia="方正小标宋_GBK"/>
          <w:color w:val="auto"/>
          <w:sz w:val="44"/>
          <w:szCs w:val="44"/>
          <w:highlight w:val="none"/>
        </w:rPr>
      </w:pPr>
      <w:r>
        <w:rPr>
          <w:rFonts w:hint="eastAsia" w:ascii="方正小标宋_GBK" w:hAnsi="Calibri" w:eastAsia="方正小标宋_GBK"/>
          <w:color w:val="auto"/>
          <w:sz w:val="44"/>
          <w:szCs w:val="44"/>
          <w:highlight w:val="none"/>
        </w:rPr>
      </w:r>
      <w:r/>
    </w:p>
    <w:p>
      <w:pPr>
        <w:jc w:val="center"/>
        <w:spacing w:after="200" w:line="640" w:lineRule="exact"/>
        <w:rPr>
          <w:rFonts w:hint="eastAsia" w:ascii="方正小标宋_GBK" w:hAnsi="Calibri" w:eastAsia="方正小标宋_GBK"/>
          <w:color w:val="auto"/>
          <w:sz w:val="44"/>
          <w:szCs w:val="44"/>
          <w:highlight w:val="none"/>
        </w:rPr>
      </w:pPr>
      <w:r>
        <w:rPr>
          <w:rFonts w:hint="eastAsia" w:ascii="方正小标宋_GBK" w:hAnsi="Calibri" w:eastAsia="方正小标宋_GBK"/>
          <w:color w:val="auto"/>
          <w:sz w:val="44"/>
          <w:szCs w:val="44"/>
          <w:highlight w:val="none"/>
        </w:rPr>
      </w:r>
      <w:r/>
    </w:p>
    <w:p>
      <w:pPr>
        <w:pStyle w:val="709"/>
        <w:numPr>
          <w:ilvl w:val="0"/>
          <w:numId w:val="0"/>
        </w:numPr>
        <w:jc w:val="left"/>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附件2</w:t>
      </w:r>
      <w:r/>
    </w:p>
    <w:p>
      <w:pPr>
        <w:jc w:val="center"/>
        <w:spacing w:after="200" w:line="640" w:lineRule="exact"/>
        <w:rPr>
          <w:rFonts w:ascii="方正小标宋_GBK" w:hAnsi="Calibri" w:eastAsia="方正小标宋_GBK"/>
          <w:color w:val="auto"/>
          <w:sz w:val="44"/>
          <w:szCs w:val="44"/>
          <w:highlight w:val="none"/>
        </w:rPr>
      </w:pPr>
      <w:r>
        <w:rPr>
          <w:rFonts w:hint="eastAsia" w:ascii="方正小标宋_GBK" w:hAnsi="Calibri" w:eastAsia="方正小标宋_GBK"/>
          <w:color w:val="auto"/>
          <w:sz w:val="44"/>
          <w:szCs w:val="44"/>
          <w:highlight w:val="none"/>
        </w:rPr>
        <w:t xml:space="preserve">2024年徐州市级食品安全监督抽检品种及项目表</w:t>
      </w:r>
      <w:r/>
    </w:p>
    <w:tbl>
      <w:tblPr>
        <w:tblStyle w:val="679"/>
        <w:tblW w:w="14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57" w:type="dxa"/>
        </w:tblCellMar>
        <w:tblLook w:val="04A0" w:firstRow="1" w:lastRow="0" w:firstColumn="1" w:lastColumn="0" w:noHBand="0" w:noVBand="1"/>
      </w:tblPr>
      <w:tblGrid>
        <w:gridCol w:w="630"/>
        <w:gridCol w:w="1247"/>
        <w:gridCol w:w="1247"/>
        <w:gridCol w:w="1247"/>
        <w:gridCol w:w="1680"/>
        <w:gridCol w:w="675"/>
        <w:gridCol w:w="8213"/>
      </w:tblGrid>
      <w:tr>
        <w:trPr>
          <w:cantSplit/>
          <w:jc w:val="center"/>
          <w:trHeight w:val="312"/>
          <w:tblHeader/>
        </w:trPr>
        <w:tc>
          <w:tcPr>
            <w:tcW w:w="630"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序号</w:t>
            </w:r>
            <w:r/>
          </w:p>
        </w:tc>
        <w:tc>
          <w:tcPr>
            <w:tcW w:w="1247"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食品大类（一级）</w:t>
            </w:r>
            <w:r/>
          </w:p>
        </w:tc>
        <w:tc>
          <w:tcPr>
            <w:tcW w:w="1247"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食品亚类（二级）</w:t>
            </w:r>
            <w:r/>
          </w:p>
        </w:tc>
        <w:tc>
          <w:tcPr>
            <w:tcW w:w="1247"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食品品种（三级）</w:t>
            </w:r>
            <w:r/>
          </w:p>
        </w:tc>
        <w:tc>
          <w:tcPr>
            <w:tcW w:w="1680" w:type="dxa"/>
            <w:vAlign w:val="center"/>
            <w:vMerge w:val="restart"/>
            <w:textDirection w:val="lrTb"/>
            <w:noWrap w:val="false"/>
          </w:tcPr>
          <w:p>
            <w:pPr>
              <w:jc w:val="center"/>
              <w:widowControl/>
              <w:rPr>
                <w:rFonts w:ascii="宋体" w:hAnsi="宋体" w:cs="宋体"/>
                <w:b/>
                <w:bCs/>
                <w:color w:val="auto"/>
                <w:sz w:val="20"/>
                <w:szCs w:val="20"/>
                <w:highlight w:val="none"/>
                <w:lang w:bidi="ar"/>
              </w:rPr>
            </w:pPr>
            <w:r>
              <w:rPr>
                <w:rFonts w:hint="eastAsia" w:ascii="宋体" w:hAnsi="宋体" w:cs="宋体"/>
                <w:b/>
                <w:bCs/>
                <w:color w:val="auto"/>
                <w:sz w:val="20"/>
                <w:szCs w:val="20"/>
                <w:highlight w:val="none"/>
                <w:lang w:bidi="ar"/>
              </w:rPr>
              <w:t xml:space="preserve">食品细类</w:t>
            </w:r>
            <w:r/>
          </w:p>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（四级）</w:t>
            </w:r>
            <w:r/>
          </w:p>
        </w:tc>
        <w:tc>
          <w:tcPr>
            <w:tcW w:w="675"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风险等级</w:t>
            </w:r>
            <w:r/>
          </w:p>
        </w:tc>
        <w:tc>
          <w:tcPr>
            <w:tcW w:w="8213"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抽    检    项    目</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粮食加工品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小麦粉</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小麦粉</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小麦粉</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芘、玉米赤霉烯酮、脱氧雪腐镰刀菌烯醇、赭曲霉毒素</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、过氧化苯甲酰、偶氮甲酰胺</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大米</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大米</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大米</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计）、无机砷（以As计）、苯并[a]芘、黄曲霉毒素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、赭曲霉毒素A</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挂面</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挂面</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挂面</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计）、黄曲霉毒素B</w:t>
            </w:r>
            <w:r>
              <w:rPr>
                <w:rStyle w:val="1026"/>
                <w:rFonts w:hint="default"/>
                <w:color w:val="auto"/>
                <w:highlight w:val="none"/>
                <w:lang w:bidi="ar"/>
              </w:rPr>
              <w:t xml:space="preserve">1</w:t>
            </w:r>
            <w:r>
              <w:rPr>
                <w:rFonts w:hint="eastAsia" w:ascii="宋体" w:hAnsi="宋体" w:cs="宋体"/>
                <w:color w:val="auto"/>
                <w:sz w:val="20"/>
                <w:szCs w:val="20"/>
                <w:highlight w:val="none"/>
                <w:lang w:bidi="ar"/>
              </w:rPr>
              <w:t xml:space="preserve">、脱氢乙酸及其钠盐（以脱氢乙酸计）、合成着色剂（柠檬黄、日落黄）</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其他粮食加工品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谷物加工品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谷物加工品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、赭曲霉毒素A</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谷物碾磨加工品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玉米粉（片、渣）</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苯并[a]芘、黄曲霉毒素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、赭曲霉毒素</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、玉米赤霉烯酮、脱氧雪腐镰刀菌烯醇</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米粉</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计）、镉（以Cd计）、总汞（以Hg计）、无机砷（以As计）、苯并[a]芘</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其他谷物碾磨加工品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计）、铬（以</w:t>
            </w:r>
            <w:r>
              <w:rPr>
                <w:rFonts w:ascii="宋体" w:hAnsi="宋体"/>
                <w:color w:val="auto"/>
                <w:sz w:val="20"/>
                <w:szCs w:val="20"/>
                <w:highlight w:val="none"/>
                <w:lang w:bidi="ar"/>
              </w:rPr>
              <w:t xml:space="preserve">Cr</w:t>
            </w:r>
            <w:r>
              <w:rPr>
                <w:rFonts w:hint="eastAsia" w:ascii="宋体" w:hAnsi="宋体" w:cs="宋体"/>
                <w:color w:val="auto"/>
                <w:sz w:val="20"/>
                <w:szCs w:val="20"/>
                <w:highlight w:val="none"/>
                <w:lang w:bidi="ar"/>
              </w:rPr>
              <w:t xml:space="preserve">计）、赭曲霉毒素</w:t>
            </w:r>
            <w:r>
              <w:rPr>
                <w:rFonts w:ascii="宋体" w:hAnsi="宋体"/>
                <w:color w:val="auto"/>
                <w:sz w:val="20"/>
                <w:szCs w:val="20"/>
                <w:highlight w:val="none"/>
                <w:lang w:bidi="ar"/>
              </w:rPr>
              <w:t xml:space="preserve">A</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谷物粉类制成品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生湿面制品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计）、苯甲酸及其钠盐（以苯甲酸计）、山梨酸及其钾盐（以山梨酸计）、脱氢乙酸及其钠盐（以脱氢乙酸计）、二氧化硫残留量、合成着色剂（柠檬黄）</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发酵面制品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糖精钠（以糖精计）、甜蜜素（以环己基氨基磺酸计）、安赛蜜、合成着色剂（柠檬黄、胭脂红）、菌落总数、大肠菌群、沙门氏菌、金黄色葡萄球菌</w:t>
            </w:r>
            <w:r/>
          </w:p>
        </w:tc>
      </w:tr>
      <w:tr>
        <w:trPr>
          <w:cantSplit/>
          <w:jc w:val="center"/>
        </w:trPr>
        <w:tc>
          <w:tcPr>
            <w:tcW w:w="630" w:type="dxa"/>
            <w:vAlign w:val="center"/>
            <w:vMerge w:val="restart"/>
            <w:textDirection w:val="lrTb"/>
            <w:noWrap w:val="false"/>
          </w:tcPr>
          <w:p>
            <w:pPr>
              <w:jc w:val="center"/>
              <w:spacing w:line="280" w:lineRule="exact"/>
              <w:rPr>
                <w:rFonts w:ascii="宋体" w:hAnsi="宋体"/>
                <w:color w:val="auto"/>
                <w:sz w:val="20"/>
                <w:szCs w:val="20"/>
                <w:highlight w:val="none"/>
              </w:rPr>
            </w:pPr>
            <w:r>
              <w:rPr>
                <w:rFonts w:hint="eastAsia" w:ascii="宋体" w:hAnsi="宋体"/>
                <w:color w:val="auto"/>
                <w:sz w:val="20"/>
                <w:szCs w:val="20"/>
                <w:highlight w:val="none"/>
              </w:rPr>
              <w:t xml:space="preserve">1</w:t>
            </w:r>
            <w:r/>
          </w:p>
        </w:tc>
        <w:tc>
          <w:tcPr>
            <w:tcW w:w="1247" w:type="dxa"/>
            <w:vAlign w:val="center"/>
            <w:vMerge w:val="restart"/>
            <w:textDirection w:val="lrTb"/>
            <w:noWrap w:val="false"/>
          </w:tcPr>
          <w:p>
            <w:pPr>
              <w:jc w:val="cente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粮食加工品</w:t>
            </w:r>
            <w:r/>
          </w:p>
        </w:tc>
        <w:tc>
          <w:tcPr>
            <w:tcW w:w="1247" w:type="dxa"/>
            <w:vAlign w:val="center"/>
            <w:vMerge w:val="restart"/>
            <w:textDirection w:val="lrTb"/>
            <w:noWrap w:val="false"/>
          </w:tcPr>
          <w:p>
            <w:pPr>
              <w:jc w:val="cente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其他粮食加工品</w:t>
            </w:r>
            <w:r/>
          </w:p>
        </w:tc>
        <w:tc>
          <w:tcPr>
            <w:tcW w:w="1247" w:type="dxa"/>
            <w:vAlign w:val="center"/>
            <w:vMerge w:val="restart"/>
            <w:textDirection w:val="lrTb"/>
            <w:noWrap w:val="false"/>
          </w:tcPr>
          <w:p>
            <w:pPr>
              <w:jc w:val="cente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谷物粉类制成品</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米粉制品</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苯甲酸及其钠盐（以苯甲酸计）、山梨酸及其钾盐（以山梨酸计）、脱氢乙酸及其钠盐（以脱氢乙酸计）、二氧化硫残留量、菌落总数、大肠菌群、沙门氏菌、金黄色葡萄球菌</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其他谷物粉类制成品</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、苯甲酸及其钠盐（以苯甲酸计）、山梨酸及其钾盐（以山梨酸计）、脱氢乙酸及其钠盐（以脱氢乙酸计）、菌落总数、大肠菌群、沙门氏菌、金黄色葡萄球菌</w:t>
            </w:r>
            <w:r/>
          </w:p>
        </w:tc>
      </w:tr>
      <w:tr>
        <w:trPr>
          <w:cantSplit/>
          <w:jc w:val="center"/>
        </w:trPr>
        <w:tc>
          <w:tcPr>
            <w:tcW w:w="630" w:type="dxa"/>
            <w:vAlign w:val="center"/>
            <w:vMerge w:val="restart"/>
            <w:textDirection w:val="lrTb"/>
            <w:noWrap w:val="false"/>
          </w:tcPr>
          <w:p>
            <w:pPr>
              <w:jc w:val="center"/>
              <w:spacing w:line="280" w:lineRule="exact"/>
              <w:widowControl/>
              <w:rPr>
                <w:rFonts w:ascii="宋体" w:hAnsi="宋体"/>
                <w:color w:val="auto"/>
                <w:sz w:val="20"/>
                <w:szCs w:val="20"/>
                <w:highlight w:val="none"/>
              </w:rPr>
            </w:pPr>
            <w:r>
              <w:rPr>
                <w:rFonts w:ascii="宋体" w:hAnsi="宋体"/>
                <w:color w:val="auto"/>
                <w:sz w:val="20"/>
                <w:szCs w:val="20"/>
                <w:highlight w:val="none"/>
                <w:lang w:bidi="ar"/>
              </w:rPr>
              <w:t xml:space="preserve">2</w:t>
            </w:r>
            <w:r/>
          </w:p>
        </w:tc>
        <w:tc>
          <w:tcP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食用油、油脂及其制品</w:t>
            </w:r>
            <w:r/>
          </w:p>
        </w:tc>
        <w:tc>
          <w:tcP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食用植物油</w:t>
            </w:r>
            <w:r/>
          </w:p>
        </w:tc>
        <w:tc>
          <w:tcP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食用植物油</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花生油</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酸值</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酸价、过氧化值、黄曲霉毒素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芘、溶剂残留量、特丁基对苯二酚（</w:t>
            </w:r>
            <w:r>
              <w:rPr>
                <w:rFonts w:ascii="宋体" w:hAnsi="宋体"/>
                <w:color w:val="auto"/>
                <w:sz w:val="20"/>
                <w:szCs w:val="20"/>
                <w:highlight w:val="none"/>
                <w:lang w:bidi="ar"/>
              </w:rPr>
              <w:t xml:space="preserve">TBHQ</w:t>
            </w:r>
            <w:r>
              <w:rPr>
                <w:rFonts w:hint="eastAsia" w:ascii="宋体" w:hAnsi="宋体" w:cs="宋体"/>
                <w:color w:val="auto"/>
                <w:sz w:val="20"/>
                <w:szCs w:val="20"/>
                <w:highlight w:val="none"/>
                <w:lang w:bidi="ar"/>
              </w:rPr>
              <w:t xml:space="preserve">）</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玉米油</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酸值</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酸价、过氧化值、黄曲霉毒素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、铅（以Pb计）、苯并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芘、特丁基对苯二酚（</w:t>
            </w:r>
            <w:r>
              <w:rPr>
                <w:rFonts w:ascii="宋体" w:hAnsi="宋体"/>
                <w:color w:val="auto"/>
                <w:sz w:val="20"/>
                <w:szCs w:val="20"/>
                <w:highlight w:val="none"/>
                <w:lang w:bidi="ar"/>
              </w:rPr>
              <w:t xml:space="preserve">TBHQ</w:t>
            </w:r>
            <w:r>
              <w:rPr>
                <w:rFonts w:hint="eastAsia" w:ascii="宋体" w:hAnsi="宋体" w:cs="宋体"/>
                <w:color w:val="auto"/>
                <w:sz w:val="20"/>
                <w:szCs w:val="20"/>
                <w:highlight w:val="none"/>
                <w:lang w:bidi="ar"/>
              </w:rPr>
              <w:t xml:space="preserve">）</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芝麻油</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酸值</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酸价、过氧化值、铅（以Pb计）、苯并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芘、溶剂残留量、乙基麦芽酚</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橄榄油、油橄榄果渣油</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酸值</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酸价、过氧化值、铅（以Pb计）、溶剂残留量、特丁基对苯二酚（</w:t>
            </w:r>
            <w:r>
              <w:rPr>
                <w:rFonts w:ascii="宋体" w:hAnsi="宋体"/>
                <w:color w:val="auto"/>
                <w:sz w:val="20"/>
                <w:szCs w:val="20"/>
                <w:highlight w:val="none"/>
                <w:lang w:bidi="ar"/>
              </w:rPr>
              <w:t xml:space="preserve">TBHQ</w:t>
            </w:r>
            <w:r>
              <w:rPr>
                <w:rFonts w:hint="eastAsia" w:ascii="宋体" w:hAnsi="宋体" w:cs="宋体"/>
                <w:color w:val="auto"/>
                <w:sz w:val="20"/>
                <w:szCs w:val="20"/>
                <w:highlight w:val="none"/>
                <w:lang w:bidi="ar"/>
              </w:rPr>
              <w:t xml:space="preserve">）</w:t>
            </w:r>
            <w:r/>
          </w:p>
        </w:tc>
      </w:tr>
      <w:tr>
        <w:trPr>
          <w:cantSplit/>
          <w:jc w:val="center"/>
        </w:trPr>
        <w:tc>
          <w:tcPr>
            <w:tcW w:w="630" w:type="dxa"/>
            <w:vAlign w:val="center"/>
            <w:vMerge w:val="continue"/>
            <w:textDirection w:val="lrTb"/>
            <w:noWrap w:val="false"/>
          </w:tcPr>
          <w:p>
            <w:pPr>
              <w:jc w:val="center"/>
              <w:spacing w:line="280" w:lineRule="exact"/>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菜籽油</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酸值</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酸价、过氧化值、铅（以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芘、溶剂残留量、特丁基对苯二酚（</w:t>
            </w:r>
            <w:r>
              <w:rPr>
                <w:rFonts w:ascii="宋体" w:hAnsi="宋体"/>
                <w:color w:val="auto"/>
                <w:sz w:val="20"/>
                <w:szCs w:val="20"/>
                <w:highlight w:val="none"/>
                <w:lang w:bidi="ar"/>
              </w:rPr>
              <w:t xml:space="preserve">TBHQ</w:t>
            </w:r>
            <w:r>
              <w:rPr>
                <w:rFonts w:hint="eastAsia" w:ascii="宋体" w:hAnsi="宋体" w:cs="宋体"/>
                <w:color w:val="auto"/>
                <w:sz w:val="20"/>
                <w:szCs w:val="20"/>
                <w:highlight w:val="none"/>
                <w:lang w:bidi="ar"/>
              </w:rPr>
              <w:t xml:space="preserve">）、乙基麦芽酚</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大豆油</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酸值</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酸价、过氧化值、铅（以Pb计）、苯并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芘、溶剂残留量、特丁基对苯二酚（</w:t>
            </w:r>
            <w:r>
              <w:rPr>
                <w:rFonts w:ascii="宋体" w:hAnsi="宋体"/>
                <w:color w:val="auto"/>
                <w:sz w:val="20"/>
                <w:szCs w:val="20"/>
                <w:highlight w:val="none"/>
                <w:lang w:bidi="ar"/>
              </w:rPr>
              <w:t xml:space="preserve">TBHQ</w:t>
            </w:r>
            <w:r>
              <w:rPr>
                <w:rFonts w:hint="eastAsia" w:ascii="宋体" w:hAnsi="宋体" w:cs="宋体"/>
                <w:color w:val="auto"/>
                <w:sz w:val="20"/>
                <w:szCs w:val="20"/>
                <w:highlight w:val="none"/>
                <w:lang w:bidi="ar"/>
              </w:rPr>
              <w:t xml:space="preserve">）</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食用植物调和油</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酸价、过氧化值、铅（以Pb计）、苯并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芘、溶剂残留量、特丁基对苯二酚（</w:t>
            </w:r>
            <w:r>
              <w:rPr>
                <w:rFonts w:ascii="宋体" w:hAnsi="宋体"/>
                <w:color w:val="auto"/>
                <w:sz w:val="20"/>
                <w:szCs w:val="20"/>
                <w:highlight w:val="none"/>
                <w:lang w:bidi="ar"/>
              </w:rPr>
              <w:t xml:space="preserve">TBHQ</w:t>
            </w:r>
            <w:r>
              <w:rPr>
                <w:rFonts w:hint="eastAsia" w:ascii="宋体" w:hAnsi="宋体" w:cs="宋体"/>
                <w:color w:val="auto"/>
                <w:sz w:val="20"/>
                <w:szCs w:val="20"/>
                <w:highlight w:val="none"/>
                <w:lang w:bidi="ar"/>
              </w:rPr>
              <w:t xml:space="preserve">）、乙基麦芽酚</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油茶籽油</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酸值</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酸价、过氧化值、铅（以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芘、溶剂残留量、特丁基对苯二酚（</w:t>
            </w:r>
            <w:r>
              <w:rPr>
                <w:rFonts w:ascii="宋体" w:hAnsi="宋体"/>
                <w:color w:val="auto"/>
                <w:sz w:val="20"/>
                <w:szCs w:val="20"/>
                <w:highlight w:val="none"/>
                <w:lang w:bidi="ar"/>
              </w:rPr>
              <w:t xml:space="preserve">TBHQ</w:t>
            </w:r>
            <w:r>
              <w:rPr>
                <w:rFonts w:hint="eastAsia" w:ascii="宋体" w:hAnsi="宋体" w:cs="宋体"/>
                <w:color w:val="auto"/>
                <w:sz w:val="20"/>
                <w:szCs w:val="20"/>
                <w:highlight w:val="none"/>
                <w:lang w:bidi="ar"/>
              </w:rPr>
              <w:t xml:space="preserve">）</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其他食用植物油</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酸值</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酸价、过氧化值、铅（以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芘、溶剂残留量、特丁基对苯二酚（</w:t>
            </w:r>
            <w:r>
              <w:rPr>
                <w:rFonts w:ascii="宋体" w:hAnsi="宋体"/>
                <w:color w:val="auto"/>
                <w:sz w:val="20"/>
                <w:szCs w:val="20"/>
                <w:highlight w:val="none"/>
                <w:lang w:bidi="ar"/>
              </w:rPr>
              <w:t xml:space="preserve">TBHQ</w:t>
            </w:r>
            <w:r>
              <w:rPr>
                <w:rFonts w:hint="eastAsia" w:ascii="宋体" w:hAnsi="宋体" w:cs="宋体"/>
                <w:color w:val="auto"/>
                <w:sz w:val="20"/>
                <w:szCs w:val="20"/>
                <w:highlight w:val="none"/>
                <w:lang w:bidi="ar"/>
              </w:rPr>
              <w:t xml:space="preserve">）</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spacing w:line="280" w:lineRule="exac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食用动物</w:t>
            </w:r>
            <w:r/>
          </w:p>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油脂</w:t>
            </w:r>
            <w:r/>
          </w:p>
        </w:tc>
        <w:tc>
          <w:tcPr>
            <w:tcW w:w="1247" w:type="dxa"/>
            <w:vAlign w:val="center"/>
            <w:textDirection w:val="lrTb"/>
            <w:noWrap w:val="false"/>
          </w:tcPr>
          <w:p>
            <w:pPr>
              <w:jc w:val="center"/>
              <w:spacing w:line="280" w:lineRule="exac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食用动物</w:t>
            </w:r>
            <w:r/>
          </w:p>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油脂</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食用动物油脂</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酸价、过氧化值、丙二醛、铅（以Pb计）、苯并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spacing w:line="280" w:lineRule="exac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食用油脂</w:t>
            </w:r>
            <w:r/>
          </w:p>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制品</w:t>
            </w:r>
            <w:r/>
          </w:p>
        </w:tc>
        <w:tc>
          <w:tcPr>
            <w:tcW w:w="1247" w:type="dxa"/>
            <w:vAlign w:val="center"/>
            <w:textDirection w:val="lrTb"/>
            <w:noWrap w:val="false"/>
          </w:tcPr>
          <w:p>
            <w:pPr>
              <w:jc w:val="center"/>
              <w:spacing w:line="280" w:lineRule="exac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食用油脂</w:t>
            </w:r>
            <w:r/>
          </w:p>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制品</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食用油脂制品</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酸价（以脂肪计）、过氧化值（以脂肪计）、铅（以Pb计）、大肠菌群、霉菌</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3</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调味品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酱油</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酱油</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酱油</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氨基酸态氮、全氮（以氮计）、铵盐（以占氨基酸态氮的百分比计）、苯甲酸及其钠盐（以苯甲酸计）、山梨酸及其钾盐（以山梨酸计）、脱氢乙酸及其钠盐（以脱氢乙酸计）、对羟基苯甲酸酯类及其钠盐（以对羟基苯甲酸计）、防腐剂混合使用时各自用量占其最大使用量的比例之和、糖精钠（以糖精计）、三氯蔗糖、甜蜜素（以环己基氨基磺酸计）、菌落总数、大肠菌群</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食醋</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食醋</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食醋</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总酸（以乙酸计）、不挥发酸（以乳酸计）、苯甲酸及其钠盐（以苯甲酸计）、山梨酸及其钾盐（以山梨酸计）、脱氢乙酸及其钠盐（以脱氢乙酸计）、对羟基苯甲酸酯类及其钠盐（以对羟基苯甲酸计）、防腐剂混合使用时各自用量占其最大使用量的比例之和、糖精钠（以糖精计）、三氯蔗糖、甜蜜素（以环己基氨基磺酸计）、菌落总数</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酱类</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酿造酱</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黄豆酱、甜面酱等</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氨基酸态氮、黄曲霉毒素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防腐剂混合使用时各自用量占其最大使用量的比例之和、糖精钠（以糖精计）、三氯蔗糖、甜蜜素（以环己基氨基磺酸计）、安赛蜜、大肠菌群</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调味料酒</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调味料酒</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料酒</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氨基酸态氮（以氮计）、苯甲酸及其钠盐（以苯甲酸计）、山梨酸及其钾盐（以山梨酸计）、脱氢乙酸及其钠盐（以脱氢乙酸计）、糖精钠（以糖精计）、甜蜜素（以环己基氨基磺酸计）、三氯蔗糖</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香辛料类</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香辛料类</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香辛料调味油</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酸值、过氧化值、铅（以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辣椒、花椒、辣椒粉、花椒粉</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s="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计）、罗丹明</w:t>
            </w:r>
            <w:r>
              <w:rPr>
                <w:rFonts w:ascii="宋体" w:hAnsi="宋体" w:cs="宋体"/>
                <w:color w:val="auto"/>
                <w:sz w:val="20"/>
                <w:szCs w:val="20"/>
                <w:highlight w:val="none"/>
                <w:lang w:bidi="ar"/>
              </w:rPr>
              <w:t xml:space="preserve">B</w:t>
            </w:r>
            <w:r>
              <w:rPr>
                <w:rFonts w:hint="eastAsia" w:ascii="宋体" w:hAnsi="宋体" w:cs="宋体"/>
                <w:color w:val="auto"/>
                <w:sz w:val="20"/>
                <w:szCs w:val="20"/>
                <w:highlight w:val="none"/>
                <w:lang w:bidi="ar"/>
              </w:rPr>
              <w:t xml:space="preserve">、苏丹红Ⅰ、苏丹红Ⅱ、苏丹红Ⅲ、苏丹红Ⅳ、脱氢乙酸及其钠盐（以脱氢乙酸计）、二氧化硫残留量、合成着色剂（柠檬黄、日落黄、胭脂红）、沙门氏菌</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其他香辛料调味品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计）、脱氢乙酸及其钠盐（以脱氢乙酸计）、二氧化硫残留量、甜蜜素（以环己基氨基磺酸计）、合成着色剂（柠檬黄、日落黄、苋菜红、胭脂红、亮蓝）、丙溴磷、氯氰菊酯和高效氯氰菊酯、多菌灵、沙门氏菌</w:t>
            </w:r>
            <w:r/>
          </w:p>
        </w:tc>
      </w:tr>
      <w:tr>
        <w:trPr>
          <w:cantSplit/>
          <w:jc w:val="center"/>
        </w:trPr>
        <w:tc>
          <w:tcPr>
            <w:tcW w:w="630"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lang w:bidi="ar"/>
              </w:rPr>
              <w:t xml:space="preserve">3</w:t>
            </w:r>
            <w:r/>
          </w:p>
        </w:tc>
        <w:tc>
          <w:tcP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调味品</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调味料</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固体复合调味料</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鸡粉、鸡精调味料</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谷氨酸钠、呈味核苷酸二钠、铅（以Pb计）、糖精钠（以糖精计）、甜蜜素（以环己基氨基磺酸计）、菌落总数、大肠菌群</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其他固体调味料</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s="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苏丹红Ⅰ、苏丹红Ⅱ、苏丹红Ⅲ、苏丹红Ⅳ、罂粟碱、吗啡、可待因、那可丁、苯甲酸及其钠盐（以苯甲酸计）、山梨酸及其钾盐（以山梨酸计）、脱氢乙酸及其钠盐（以脱氢乙酸计）、防腐剂混合使用时各自用量占其最大使用量的比例之和、糖精钠（以糖精计）、甜蜜素（以环己基氨基磺酸计）、安赛蜜、阿斯巴甜、二氧化硫残留量</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半固体复合调味料</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蛋黄酱、沙拉酱</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二氧化钛</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坚果与籽类的泥（酱）</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酸值、过氧化值、铅（以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辣椒酱</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防腐剂混合使用时各自用量占其最大使用量的比例之和、甜蜜素（以环己基氨基磺酸计）、二氧化硫残留量</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火锅底料、麻辣烫底料</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罂粟碱、吗啡、可待因、那可丁、苯甲酸及其钠盐（以苯甲酸计）、山梨酸及其钾盐（以山梨酸计）、脱氢乙酸及其钠盐（以脱氢乙酸计）、防腐剂混合使用时各自用量占其最大使用量的比例之和</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其他半固体调味料</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铅（以Pb计）、罗丹明</w:t>
            </w:r>
            <w:r>
              <w:rPr>
                <w:rFonts w:ascii="宋体" w:hAnsi="宋体" w:cs="宋体"/>
                <w:color w:val="auto"/>
                <w:sz w:val="20"/>
                <w:szCs w:val="20"/>
                <w:highlight w:val="none"/>
                <w:lang w:bidi="ar"/>
              </w:rPr>
              <w:t xml:space="preserve">B</w:t>
            </w:r>
            <w:r>
              <w:rPr>
                <w:rFonts w:hint="eastAsia" w:ascii="宋体" w:hAnsi="宋体" w:cs="宋体"/>
                <w:color w:val="auto"/>
                <w:sz w:val="20"/>
                <w:szCs w:val="20"/>
                <w:highlight w:val="none"/>
                <w:lang w:bidi="ar"/>
              </w:rPr>
              <w:t xml:space="preserve">、罂粟碱、吗啡、可待因、那可丁、苯甲酸及其钠盐（以苯甲酸计）、山梨酸及其钾盐（以山梨酸计）、脱氢乙酸及其钠盐（以脱氢乙酸计）、防腐剂混合使用时各自用量占其最大使用量的比例之和、甜蜜素（以环己基氨基磺酸计）、安赛蜜</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液体复合调味料</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蚝油、虾油、鱼露</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氨基酸态氮、苯甲酸及其钠盐（以苯甲酸计）、山梨酸及其钾盐（以山梨酸计）、脱氢乙酸及其钠盐（以脱氢乙酸计）、防腐剂混合使用时各自用量占其最大使用量的比例之和、菌落总数、大肠菌群</w:t>
            </w:r>
            <w:r/>
          </w:p>
        </w:tc>
      </w:tr>
      <w:tr>
        <w:trPr>
          <w:cantSplit/>
          <w:jc w:val="center"/>
        </w:trPr>
        <w:tc>
          <w:tcPr>
            <w:tcMar>
              <w:top w:w="28" w:type="dxa"/>
              <w:bottom w:w="28" w:type="dxa"/>
            </w:tcMar>
            <w:tcW w:w="630"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lang w:bidi="ar"/>
              </w:rPr>
              <w:t xml:space="preserve">3</w:t>
            </w:r>
            <w:r/>
          </w:p>
        </w:tc>
        <w:tc>
          <w:tcPr>
            <w:tcMar>
              <w:top w:w="28" w:type="dxa"/>
              <w:bottom w:w="28" w:type="dxa"/>
            </w:tcMa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调味品</w:t>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调味料</w:t>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液体复合调味料</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其他液体调味料</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防腐剂混合使用时各自用量占其最大使用量的比例之和、糖精钠（以糖精计）、甜蜜素（以环己基氨基磺酸计）、合成着色剂（柠檬黄、日落黄、胭脂红、诱惑红）、相同色泽着色剂混合使用时各自用量占其最大使用量的比例之和、菌落总数</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味精</w:t>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味精</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味精</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谷氨酸钠</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食盐</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食用盐</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普通食用盐</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氯化钠、钡（以</w:t>
            </w:r>
            <w:r>
              <w:rPr>
                <w:rFonts w:ascii="宋体" w:hAnsi="宋体"/>
                <w:color w:val="auto"/>
                <w:sz w:val="20"/>
                <w:szCs w:val="20"/>
                <w:highlight w:val="none"/>
                <w:lang w:bidi="ar"/>
              </w:rPr>
              <w:t xml:space="preserve">Ba</w:t>
            </w:r>
            <w:r>
              <w:rPr>
                <w:rFonts w:hint="eastAsia" w:ascii="宋体" w:hAnsi="宋体" w:cs="宋体"/>
                <w:color w:val="auto"/>
                <w:sz w:val="20"/>
                <w:szCs w:val="20"/>
                <w:highlight w:val="none"/>
                <w:lang w:bidi="ar"/>
              </w:rPr>
              <w:t xml:space="preserve">计）、碘（以</w:t>
            </w:r>
            <w:r>
              <w:rPr>
                <w:rFonts w:ascii="宋体" w:hAnsi="宋体"/>
                <w:color w:val="auto"/>
                <w:sz w:val="20"/>
                <w:szCs w:val="20"/>
                <w:highlight w:val="none"/>
                <w:lang w:bidi="ar"/>
              </w:rPr>
              <w:t xml:space="preserve">I</w:t>
            </w:r>
            <w:r>
              <w:rPr>
                <w:rFonts w:hint="eastAsia" w:ascii="宋体" w:hAnsi="宋体" w:cs="宋体"/>
                <w:color w:val="auto"/>
                <w:sz w:val="20"/>
                <w:szCs w:val="20"/>
                <w:highlight w:val="none"/>
                <w:lang w:bidi="ar"/>
              </w:rPr>
              <w:t xml:space="preserve">计）、铅（以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计）、总汞（以</w:t>
            </w:r>
            <w:r>
              <w:rPr>
                <w:rFonts w:ascii="宋体" w:hAnsi="宋体"/>
                <w:color w:val="auto"/>
                <w:sz w:val="20"/>
                <w:szCs w:val="20"/>
                <w:highlight w:val="none"/>
                <w:lang w:bidi="ar"/>
              </w:rPr>
              <w:t xml:space="preserve">Hg</w:t>
            </w:r>
            <w:r>
              <w:rPr>
                <w:rFonts w:hint="eastAsia" w:ascii="宋体" w:hAnsi="宋体" w:cs="宋体"/>
                <w:color w:val="auto"/>
                <w:sz w:val="20"/>
                <w:szCs w:val="20"/>
                <w:highlight w:val="none"/>
                <w:lang w:bidi="ar"/>
              </w:rPr>
              <w:t xml:space="preserve">计）、亚铁氰化钾</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亚铁氰化钠（以亚铁氰根计）</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低钠食用盐</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氯化钾、钡（以</w:t>
            </w:r>
            <w:r>
              <w:rPr>
                <w:rFonts w:ascii="宋体" w:hAnsi="宋体"/>
                <w:color w:val="auto"/>
                <w:sz w:val="20"/>
                <w:szCs w:val="20"/>
                <w:highlight w:val="none"/>
                <w:lang w:bidi="ar"/>
              </w:rPr>
              <w:t xml:space="preserve">Ba</w:t>
            </w:r>
            <w:r>
              <w:rPr>
                <w:rFonts w:hint="eastAsia" w:ascii="宋体" w:hAnsi="宋体" w:cs="宋体"/>
                <w:color w:val="auto"/>
                <w:sz w:val="20"/>
                <w:szCs w:val="20"/>
                <w:highlight w:val="none"/>
                <w:lang w:bidi="ar"/>
              </w:rPr>
              <w:t xml:space="preserve">计）、碘（以</w:t>
            </w:r>
            <w:r>
              <w:rPr>
                <w:rFonts w:ascii="宋体" w:hAnsi="宋体"/>
                <w:color w:val="auto"/>
                <w:sz w:val="20"/>
                <w:szCs w:val="20"/>
                <w:highlight w:val="none"/>
                <w:lang w:bidi="ar"/>
              </w:rPr>
              <w:t xml:space="preserve">I</w:t>
            </w:r>
            <w:r>
              <w:rPr>
                <w:rFonts w:hint="eastAsia" w:ascii="宋体" w:hAnsi="宋体" w:cs="宋体"/>
                <w:color w:val="auto"/>
                <w:sz w:val="20"/>
                <w:szCs w:val="20"/>
                <w:highlight w:val="none"/>
                <w:lang w:bidi="ar"/>
              </w:rPr>
              <w:t xml:space="preserve">计）、铅（以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计）、总汞（以</w:t>
            </w:r>
            <w:r>
              <w:rPr>
                <w:rFonts w:ascii="宋体" w:hAnsi="宋体"/>
                <w:color w:val="auto"/>
                <w:sz w:val="20"/>
                <w:szCs w:val="20"/>
                <w:highlight w:val="none"/>
                <w:lang w:bidi="ar"/>
              </w:rPr>
              <w:t xml:space="preserve">Hg</w:t>
            </w:r>
            <w:r>
              <w:rPr>
                <w:rFonts w:hint="eastAsia" w:ascii="宋体" w:hAnsi="宋体" w:cs="宋体"/>
                <w:color w:val="auto"/>
                <w:sz w:val="20"/>
                <w:szCs w:val="20"/>
                <w:highlight w:val="none"/>
                <w:lang w:bidi="ar"/>
              </w:rPr>
              <w:t xml:space="preserve">计）、亚铁氰化钾</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亚铁氰化钠（以亚铁氰根计）</w:t>
            </w:r>
            <w:r/>
          </w:p>
        </w:tc>
      </w:tr>
      <w:tr>
        <w:trPr>
          <w:cantSplit/>
          <w:jc w:val="center"/>
        </w:trPr>
        <w:tc>
          <w:tcPr>
            <w:tcMar>
              <w:top w:w="28" w:type="dxa"/>
              <w:bottom w:w="28"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风味食用盐</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钡（以</w:t>
            </w:r>
            <w:r>
              <w:rPr>
                <w:rFonts w:ascii="宋体" w:hAnsi="宋体"/>
                <w:color w:val="auto"/>
                <w:sz w:val="20"/>
                <w:szCs w:val="20"/>
                <w:highlight w:val="none"/>
                <w:lang w:bidi="ar"/>
              </w:rPr>
              <w:t xml:space="preserve">Ba</w:t>
            </w:r>
            <w:r>
              <w:rPr>
                <w:rFonts w:hint="eastAsia" w:ascii="宋体" w:hAnsi="宋体" w:cs="宋体"/>
                <w:color w:val="auto"/>
                <w:sz w:val="20"/>
                <w:szCs w:val="20"/>
                <w:highlight w:val="none"/>
                <w:lang w:bidi="ar"/>
              </w:rPr>
              <w:t xml:space="preserve">计）、铅（以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计）、总汞（以</w:t>
            </w:r>
            <w:r>
              <w:rPr>
                <w:rFonts w:ascii="宋体" w:hAnsi="宋体"/>
                <w:color w:val="auto"/>
                <w:sz w:val="20"/>
                <w:szCs w:val="20"/>
                <w:highlight w:val="none"/>
                <w:lang w:bidi="ar"/>
              </w:rPr>
              <w:t xml:space="preserve">Hg</w:t>
            </w:r>
            <w:r>
              <w:rPr>
                <w:rFonts w:hint="eastAsia" w:ascii="宋体" w:hAnsi="宋体" w:cs="宋体"/>
                <w:color w:val="auto"/>
                <w:sz w:val="20"/>
                <w:szCs w:val="20"/>
                <w:highlight w:val="none"/>
                <w:lang w:bidi="ar"/>
              </w:rPr>
              <w:t xml:space="preserve">计）、亚铁氰化钾</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亚铁氰化钠（以亚铁氰根计）</w:t>
            </w:r>
            <w:r/>
          </w:p>
        </w:tc>
      </w:tr>
      <w:tr>
        <w:trPr>
          <w:cantSplit/>
          <w:jc w:val="center"/>
        </w:trPr>
        <w:tc>
          <w:tcPr>
            <w:tcMar>
              <w:top w:w="28" w:type="dxa"/>
              <w:bottom w:w="28"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特殊工艺食用盐</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氯化钠、钡（以</w:t>
            </w:r>
            <w:r>
              <w:rPr>
                <w:rFonts w:ascii="宋体" w:hAnsi="宋体"/>
                <w:color w:val="auto"/>
                <w:sz w:val="20"/>
                <w:szCs w:val="20"/>
                <w:highlight w:val="none"/>
                <w:lang w:bidi="ar"/>
              </w:rPr>
              <w:t xml:space="preserve">Ba</w:t>
            </w:r>
            <w:r>
              <w:rPr>
                <w:rFonts w:hint="eastAsia" w:ascii="宋体" w:hAnsi="宋体" w:cs="宋体"/>
                <w:color w:val="auto"/>
                <w:sz w:val="20"/>
                <w:szCs w:val="20"/>
                <w:highlight w:val="none"/>
                <w:lang w:bidi="ar"/>
              </w:rPr>
              <w:t xml:space="preserve">计）、碘（以</w:t>
            </w:r>
            <w:r>
              <w:rPr>
                <w:rFonts w:ascii="宋体" w:hAnsi="宋体"/>
                <w:color w:val="auto"/>
                <w:sz w:val="20"/>
                <w:szCs w:val="20"/>
                <w:highlight w:val="none"/>
                <w:lang w:bidi="ar"/>
              </w:rPr>
              <w:t xml:space="preserve">I</w:t>
            </w:r>
            <w:r>
              <w:rPr>
                <w:rFonts w:hint="eastAsia" w:ascii="宋体" w:hAnsi="宋体" w:cs="宋体"/>
                <w:color w:val="auto"/>
                <w:sz w:val="20"/>
                <w:szCs w:val="20"/>
                <w:highlight w:val="none"/>
                <w:lang w:bidi="ar"/>
              </w:rPr>
              <w:t xml:space="preserve">计）、铅（以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计）、总汞（以</w:t>
            </w:r>
            <w:r>
              <w:rPr>
                <w:rFonts w:ascii="宋体" w:hAnsi="宋体"/>
                <w:color w:val="auto"/>
                <w:sz w:val="20"/>
                <w:szCs w:val="20"/>
                <w:highlight w:val="none"/>
                <w:lang w:bidi="ar"/>
              </w:rPr>
              <w:t xml:space="preserve">Hg</w:t>
            </w:r>
            <w:r>
              <w:rPr>
                <w:rFonts w:hint="eastAsia" w:ascii="宋体" w:hAnsi="宋体" w:cs="宋体"/>
                <w:color w:val="auto"/>
                <w:sz w:val="20"/>
                <w:szCs w:val="20"/>
                <w:highlight w:val="none"/>
                <w:lang w:bidi="ar"/>
              </w:rPr>
              <w:t xml:space="preserve">计）、亚铁氰化钾</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亚铁氰化钠（以亚铁氰根计）</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食品生产加工用盐</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食品生产加工用盐</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计）、总汞（以</w:t>
            </w:r>
            <w:r>
              <w:rPr>
                <w:rFonts w:ascii="宋体" w:hAnsi="宋体"/>
                <w:color w:val="auto"/>
                <w:sz w:val="20"/>
                <w:szCs w:val="20"/>
                <w:highlight w:val="none"/>
                <w:lang w:bidi="ar"/>
              </w:rPr>
              <w:t xml:space="preserve">Hg</w:t>
            </w:r>
            <w:r>
              <w:rPr>
                <w:rFonts w:hint="eastAsia" w:ascii="宋体" w:hAnsi="宋体" w:cs="宋体"/>
                <w:color w:val="auto"/>
                <w:sz w:val="20"/>
                <w:szCs w:val="20"/>
                <w:highlight w:val="none"/>
                <w:lang w:bidi="ar"/>
              </w:rPr>
              <w:t xml:space="preserve">计）、亚铁氰化钾</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亚铁氰化钠（以亚铁氰根计）、亚硝酸盐（以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w:t>
            </w:r>
            <w:r/>
          </w:p>
        </w:tc>
      </w:tr>
      <w:tr>
        <w:trPr>
          <w:cantSplit/>
          <w:jc w:val="center"/>
        </w:trPr>
        <w:tc>
          <w:tcPr>
            <w:tcMar>
              <w:top w:w="28" w:type="dxa"/>
              <w:bottom w:w="28"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4</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肉制品</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预制肉制品</w:t>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调理肉制品</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调理肉制品</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（非速冻）</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铅（以Pb计）、苯甲酸及其钠盐（以苯甲酸计）、山梨酸及其钾盐（以山梨酸计）、脱氢乙酸及其钠盐（以脱氢乙酸计）、氯霉素</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腌腊肉制品</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腌腊肉制品</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过氧化值（以脂肪计）、铅（以Pb计）、总砷（以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计）、亚硝酸盐（以亚硝酸钠计）、苯甲酸及其钠盐（以苯甲酸计）、山梨酸及其钾盐（以山梨酸计）、合成着色剂（胭脂红、诱惑红、苋菜红、酸性红）、氯霉素</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熟肉制品</w:t>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发酵肉制品</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发酵肉制品</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亚硝酸盐（以亚硝酸钠计）、纳他霉素、氯霉素、大肠菌群、沙门氏菌、金黄色葡萄球菌、单核细胞增生李斯特氏菌、致泻大肠埃希氏菌</w:t>
            </w:r>
            <w:r/>
          </w:p>
        </w:tc>
      </w:tr>
      <w:tr>
        <w:trPr>
          <w:cantSplit/>
          <w:jc w:val="center"/>
        </w:trPr>
        <w:tc>
          <w:tcPr>
            <w:tcMar>
              <w:top w:w="85" w:type="dxa"/>
              <w:bottom w:w="85" w:type="dxa"/>
            </w:tcMar>
            <w:tcW w:w="630" w:type="dxa"/>
            <w:vAlign w:val="center"/>
            <w:vMerge w:val="restart"/>
            <w:textDirection w:val="lrTb"/>
            <w:noWrap w:val="false"/>
          </w:tcPr>
          <w:p>
            <w:pPr>
              <w:jc w:val="center"/>
              <w:rPr>
                <w:rFonts w:ascii="宋体" w:hAnsi="宋体"/>
                <w:color w:val="auto"/>
                <w:sz w:val="20"/>
                <w:szCs w:val="20"/>
                <w:highlight w:val="none"/>
              </w:rPr>
            </w:pPr>
            <w:r>
              <w:rPr>
                <w:rFonts w:hint="eastAsia" w:ascii="宋体" w:hAnsi="宋体"/>
                <w:color w:val="auto"/>
                <w:sz w:val="20"/>
                <w:szCs w:val="20"/>
                <w:highlight w:val="none"/>
              </w:rPr>
              <w:t xml:space="preserve">4</w:t>
            </w:r>
            <w:r/>
          </w:p>
        </w:tc>
        <w:tc>
          <w:tcPr>
            <w:tcMar>
              <w:top w:w="85" w:type="dxa"/>
              <w:bottom w:w="85" w:type="dxa"/>
            </w:tcMa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肉制品</w:t>
            </w:r>
            <w:r/>
          </w:p>
        </w:tc>
        <w:tc>
          <w:tcPr>
            <w:tcMar>
              <w:top w:w="85" w:type="dxa"/>
              <w:bottom w:w="85" w:type="dxa"/>
            </w:tcMa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熟肉制品</w:t>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酱卤肉制品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酱卤肉制品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s="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计）、镉（以</w:t>
            </w:r>
            <w:r>
              <w:rPr>
                <w:rFonts w:ascii="宋体" w:hAnsi="宋体" w:cs="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计）、铬（以</w:t>
            </w:r>
            <w:r>
              <w:rPr>
                <w:rFonts w:ascii="宋体" w:hAnsi="宋体" w:cs="宋体"/>
                <w:color w:val="auto"/>
                <w:sz w:val="20"/>
                <w:szCs w:val="20"/>
                <w:highlight w:val="none"/>
                <w:lang w:bidi="ar"/>
              </w:rPr>
              <w:t xml:space="preserve">Cr</w:t>
            </w:r>
            <w:r>
              <w:rPr>
                <w:rFonts w:hint="eastAsia" w:ascii="宋体" w:hAnsi="宋体" w:cs="宋体"/>
                <w:color w:val="auto"/>
                <w:sz w:val="20"/>
                <w:szCs w:val="20"/>
                <w:highlight w:val="none"/>
                <w:lang w:bidi="ar"/>
              </w:rPr>
              <w:t xml:space="preserve">计）、总砷（以</w:t>
            </w:r>
            <w:r>
              <w:rPr>
                <w:rFonts w:ascii="宋体" w:hAnsi="宋体" w:cs="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N-二甲基亚硝胺、亚硝酸盐（以亚硝酸钠计）、苯甲酸及其钠盐（以苯甲酸计）、山梨酸及其钾盐（以山梨酸计）、脱氢乙酸及其钠盐（以脱氢乙酸计）、纳他霉素、防腐剂混合使用时各自用量占其最大使用量的比例之和、糖精钠（以糖精计）、合成着色剂（柠檬黄、日落黄、胭脂红）、氯霉素、酸性橙Ⅱ、菌落总数、大肠菌群、沙门氏菌、金黄色葡萄球菌、单核细胞增生李斯特氏菌、致泻大肠埃希氏菌、商业无菌</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油炸肉制品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油炸肉制品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N-二甲基亚硝胺、亚硝酸盐（以亚硝酸钠计）、苯甲酸及其钠盐（以苯甲酸计）、山梨酸及其钾盐（以山梨酸计）、沙门氏菌、金黄色葡萄球菌、单核细胞增生李斯特氏菌、致泻大肠埃希氏菌</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熟肉干制品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熟肉干制品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计）、铬（以</w:t>
            </w:r>
            <w:r>
              <w:rPr>
                <w:rFonts w:ascii="宋体" w:hAnsi="宋体"/>
                <w:color w:val="auto"/>
                <w:sz w:val="20"/>
                <w:szCs w:val="20"/>
                <w:highlight w:val="none"/>
                <w:lang w:bidi="ar"/>
              </w:rPr>
              <w:t xml:space="preserve">Cr</w:t>
            </w:r>
            <w:r>
              <w:rPr>
                <w:rFonts w:hint="eastAsia" w:ascii="宋体" w:hAnsi="宋体" w:cs="宋体"/>
                <w:color w:val="auto"/>
                <w:sz w:val="20"/>
                <w:szCs w:val="20"/>
                <w:highlight w:val="none"/>
                <w:lang w:bidi="ar"/>
              </w:rPr>
              <w:t xml:space="preserve">计）、N-二甲基亚硝胺、苯甲酸及其钠盐（以苯甲酸计）、山梨酸及其钾盐（以山梨酸计）、脱氢乙酸及其钠盐（以脱氢乙酸计）、防腐剂混合使用时各自用量占其最大使用量的比例之和、合成着色剂（胭脂红）、氯霉素、菌落总数、大肠菌群、沙门氏菌、金黄色葡萄球菌、单核细胞增生李斯特氏菌、致泻大肠埃希氏菌</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熏烧烤肉制品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熏烧烤肉制品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N-二甲基亚硝胺、亚硝酸盐（以亚硝酸钠计）、苯甲酸及其钠盐（以苯甲酸计）、山梨酸及其钾盐（以山梨酸计）、纳他霉素、糖精钠（以糖精计）、合成着色剂（柠檬黄、日落黄、胭脂红）、氯霉素、菌落总数、大肠菌群、沙门氏菌、金黄色葡萄球菌、单核细胞增生李斯特氏菌、致泻大肠埃希氏菌</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熏煮香肠火腿制品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熏煮香肠火腿制品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亚硝酸盐（以亚硝酸钠计）、苯甲酸及其钠盐（以苯甲酸计）、山梨酸及其钾盐（以山梨酸计）、脱氢乙酸及其钠盐（以脱氢乙酸计）、纳他霉素、防腐剂混合使用时各自用量占其最大使用量的比例之和、合成着色剂（胭脂红、诱惑红）、氯霉素、菌落总数、大肠菌群、沙门氏菌、金黄色葡萄球菌、单核细胞增生李斯特氏菌、致泻大肠埃希氏菌</w:t>
            </w:r>
            <w:r/>
          </w:p>
        </w:tc>
      </w:tr>
      <w:tr>
        <w:trPr>
          <w:cantSplit/>
          <w:jc w:val="center"/>
        </w:trPr>
        <w:tc>
          <w:tcPr>
            <w:tcMar>
              <w:top w:w="45" w:type="dxa"/>
              <w:bottom w:w="45"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5</w:t>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乳制品</w:t>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乳制品</w:t>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液体乳</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巴氏杀菌乳</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蛋白质、酸度、三聚氰胺、铅（以Pb计）、丙二醇、沙门氏菌、金黄色葡萄球菌、菌落总数、大肠菌群</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灭菌乳</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蛋白质、非脂乳固体、酸度、脂肪、三聚氰胺、铅（以Pb计）、丙二醇、商业无菌</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高温杀菌乳</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蛋白质、酸度、三聚氰胺、沙门氏菌、菌落总数、大肠菌群</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发酵乳</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脂肪、蛋白质、酸度、乳酸菌数、山梨酸及其钾盐（以山梨酸计）、三聚氰胺、铅（以Pb计）、金黄色葡萄球菌、沙门氏菌、大肠菌群、酵母、霉菌</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调制乳</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蛋白质、三聚氰胺、铅（以Pb计）、商业无菌、菌落总数、大肠菌群</w:t>
            </w:r>
            <w:r/>
          </w:p>
        </w:tc>
      </w:tr>
      <w:tr>
        <w:trPr>
          <w:cantSplit/>
          <w:jc w:val="center"/>
        </w:trPr>
        <w:tc>
          <w:tcPr>
            <w:tcMar>
              <w:top w:w="45" w:type="dxa"/>
              <w:bottom w:w="45"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乳粉</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全脂乳粉、脱脂乳粉、部分脱脂乳粉、调制乳粉</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蛋白质、脂肪、三聚氰胺、铅（以Pb计）、菌落总数、大肠菌群</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乳清粉和乳清蛋白粉（企业原料）</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脱盐乳清粉、非脱盐乳清粉、浓缩乳清蛋白粉、分离乳清蛋白粉</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蛋白质、三聚氰胺</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其他乳制品（浓缩乳制品、奶油、干酪、固态成型产品）</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浓缩乳制品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蛋白质、三聚氰胺、商业无菌、菌落总数、大肠菌群</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稀奶油、奶油和无水奶油</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脂肪、酸度、三聚氰胺、沙门氏菌、商业无菌、菌落总数、大肠菌群、霉菌</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干酪、再制干酪、干酪制品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三聚氰胺、金黄色葡萄球菌、沙门氏菌、单核细胞增生李斯特氏菌、菌落总数、大肠菌群、霉菌</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奶片、奶条等固态成型产品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蛋白质、脱氢乙酸及其钠盐（以脱氢乙酸计）、三聚氰胺、沙门氏菌</w:t>
            </w:r>
            <w:r/>
          </w:p>
        </w:tc>
      </w:tr>
      <w:tr>
        <w:trPr>
          <w:cantSplit/>
          <w:jc w:val="center"/>
        </w:trPr>
        <w:tc>
          <w:tcPr>
            <w:tcW w:w="630"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lang w:bidi="ar"/>
              </w:rPr>
              <w:t xml:space="preserve">6</w:t>
            </w:r>
            <w:r/>
          </w:p>
        </w:tc>
        <w:tc>
          <w:tcP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饮料</w:t>
            </w:r>
            <w:r/>
          </w:p>
        </w:tc>
        <w:tc>
          <w:tcP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饮料</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包装饮用水</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饮用天然矿泉水</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界限指标、铅（以Pb计）、总砷（以As计）、镉（以Cd计）、总汞（以Hg计）、镍、溴酸盐、硝酸盐（以</w:t>
            </w:r>
            <w:r>
              <w:rPr>
                <w:rFonts w:ascii="宋体" w:hAnsi="宋体"/>
                <w:color w:val="auto"/>
                <w:sz w:val="20"/>
                <w:szCs w:val="20"/>
                <w:highlight w:val="none"/>
                <w:lang w:bidi="ar"/>
              </w:rPr>
              <w:t xml:space="preserve">NO</w:t>
            </w:r>
            <w:r>
              <w:rPr>
                <w:rStyle w:val="1025"/>
                <w:rFonts w:ascii="宋体" w:hAnsi="宋体"/>
                <w:color w:val="auto"/>
                <w:highlight w:val="none"/>
                <w:lang w:bidi="ar"/>
              </w:rPr>
              <w:t xml:space="preserve">3</w:t>
            </w:r>
            <w:r>
              <w:rPr>
                <w:rStyle w:val="1027"/>
                <w:rFonts w:ascii="宋体" w:hAnsi="宋体"/>
                <w:color w:val="auto"/>
                <w:highlight w:val="none"/>
                <w:lang w:bidi="ar"/>
              </w:rPr>
              <w:t xml:space="preserve">-</w:t>
            </w:r>
            <w:r>
              <w:rPr>
                <w:rFonts w:hint="eastAsia" w:ascii="宋体" w:hAnsi="宋体" w:cs="宋体"/>
                <w:color w:val="auto"/>
                <w:sz w:val="20"/>
                <w:szCs w:val="20"/>
                <w:highlight w:val="none"/>
                <w:lang w:bidi="ar"/>
              </w:rPr>
              <w:t xml:space="preserve">计）、亚硝酸盐（以</w:t>
            </w:r>
            <w:r>
              <w:rPr>
                <w:rFonts w:ascii="宋体" w:hAnsi="宋体"/>
                <w:color w:val="auto"/>
                <w:sz w:val="20"/>
                <w:szCs w:val="20"/>
                <w:highlight w:val="none"/>
                <w:lang w:bidi="ar"/>
              </w:rPr>
              <w:t xml:space="preserve">NO</w:t>
            </w:r>
            <w:r>
              <w:rPr>
                <w:rStyle w:val="1025"/>
                <w:rFonts w:ascii="宋体" w:hAnsi="宋体"/>
                <w:color w:val="auto"/>
                <w:highlight w:val="none"/>
                <w:lang w:bidi="ar"/>
              </w:rPr>
              <w:t xml:space="preserve">2</w:t>
            </w:r>
            <w:r>
              <w:rPr>
                <w:rStyle w:val="1027"/>
                <w:rFonts w:ascii="宋体" w:hAnsi="宋体"/>
                <w:color w:val="auto"/>
                <w:highlight w:val="none"/>
                <w:lang w:bidi="ar"/>
              </w:rPr>
              <w:t xml:space="preserve">-</w:t>
            </w:r>
            <w:r>
              <w:rPr>
                <w:rFonts w:hint="eastAsia" w:ascii="宋体" w:hAnsi="宋体" w:cs="宋体"/>
                <w:color w:val="auto"/>
                <w:sz w:val="20"/>
                <w:szCs w:val="20"/>
                <w:highlight w:val="none"/>
                <w:lang w:bidi="ar"/>
              </w:rPr>
              <w:t xml:space="preserve">计）、大肠菌群、铜绿假单胞菌</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饮用纯净水</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电导率、耗氧量（以</w:t>
            </w:r>
            <w:r>
              <w:rPr>
                <w:rFonts w:ascii="宋体" w:hAnsi="宋体"/>
                <w:color w:val="auto"/>
                <w:sz w:val="20"/>
                <w:szCs w:val="20"/>
                <w:highlight w:val="none"/>
                <w:lang w:bidi="ar"/>
              </w:rPr>
              <w:t xml:space="preserve">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计）、铅（以Pb计）、总砷（以As计）、镉（以Cd计）、亚硝酸盐（以</w:t>
            </w:r>
            <w:r>
              <w:rPr>
                <w:rFonts w:ascii="宋体" w:hAnsi="宋体"/>
                <w:color w:val="auto"/>
                <w:sz w:val="20"/>
                <w:szCs w:val="20"/>
                <w:highlight w:val="none"/>
                <w:lang w:bidi="ar"/>
              </w:rPr>
              <w:t xml:space="preserve">NO</w:t>
            </w:r>
            <w:r>
              <w:rPr>
                <w:rStyle w:val="1025"/>
                <w:rFonts w:ascii="宋体" w:hAnsi="宋体"/>
                <w:color w:val="auto"/>
                <w:highlight w:val="none"/>
                <w:lang w:bidi="ar"/>
              </w:rPr>
              <w:t xml:space="preserve">2</w:t>
            </w:r>
            <w:r>
              <w:rPr>
                <w:rStyle w:val="1027"/>
                <w:rFonts w:ascii="宋体" w:hAnsi="宋体"/>
                <w:color w:val="auto"/>
                <w:highlight w:val="none"/>
                <w:lang w:bidi="ar"/>
              </w:rPr>
              <w:t xml:space="preserve">-</w:t>
            </w:r>
            <w:r>
              <w:rPr>
                <w:rFonts w:hint="eastAsia" w:ascii="宋体" w:hAnsi="宋体" w:cs="宋体"/>
                <w:color w:val="auto"/>
                <w:sz w:val="20"/>
                <w:szCs w:val="20"/>
                <w:highlight w:val="none"/>
                <w:lang w:bidi="ar"/>
              </w:rPr>
              <w:t xml:space="preserve">计）、余氯（游离氯）、溴酸盐、三氯甲烷、大肠菌群、铜绿假单胞菌</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其他类饮用水</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耗氧量（以</w:t>
            </w:r>
            <w:r>
              <w:rPr>
                <w:rFonts w:ascii="宋体" w:hAnsi="宋体"/>
                <w:color w:val="auto"/>
                <w:sz w:val="20"/>
                <w:szCs w:val="20"/>
                <w:highlight w:val="none"/>
                <w:lang w:bidi="ar"/>
              </w:rPr>
              <w:t xml:space="preserve">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计）、铅（以Pb计）、总砷（以As计）、镉（以Cd计）、亚硝酸盐（以</w:t>
            </w:r>
            <w:r>
              <w:rPr>
                <w:rFonts w:ascii="宋体" w:hAnsi="宋体"/>
                <w:color w:val="auto"/>
                <w:sz w:val="20"/>
                <w:szCs w:val="20"/>
                <w:highlight w:val="none"/>
                <w:lang w:bidi="ar"/>
              </w:rPr>
              <w:t xml:space="preserve">NO</w:t>
            </w:r>
            <w:r>
              <w:rPr>
                <w:rStyle w:val="1025"/>
                <w:rFonts w:ascii="宋体" w:hAnsi="宋体"/>
                <w:color w:val="auto"/>
                <w:highlight w:val="none"/>
                <w:lang w:bidi="ar"/>
              </w:rPr>
              <w:t xml:space="preserve">2</w:t>
            </w:r>
            <w:r>
              <w:rPr>
                <w:rStyle w:val="1027"/>
                <w:rFonts w:ascii="宋体" w:hAnsi="宋体"/>
                <w:color w:val="auto"/>
                <w:highlight w:val="none"/>
                <w:lang w:bidi="ar"/>
              </w:rPr>
              <w:t xml:space="preserve">-</w:t>
            </w:r>
            <w:r>
              <w:rPr>
                <w:rFonts w:hint="eastAsia" w:ascii="宋体" w:hAnsi="宋体" w:cs="宋体"/>
                <w:color w:val="auto"/>
                <w:sz w:val="20"/>
                <w:szCs w:val="20"/>
                <w:highlight w:val="none"/>
                <w:lang w:bidi="ar"/>
              </w:rPr>
              <w:t xml:space="preserve">计）、余氯（游离氯）、溴酸盐、三氯甲烷、大肠菌群、铜绿假单胞菌</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果蔬汁类及其饮料</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果蔬汁类及其饮料</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展青霉素、苯甲酸及其钠盐（以苯甲酸计）、山梨酸及其钾盐（以山梨酸计）、脱氢乙酸及其钠盐（以脱氢乙酸计）、防腐剂混合使用时各自用量占其最大使用量的比例之和、安赛蜜、甜蜜素（以环己基氨基磺酸计）、合成着色剂（苋菜红、胭脂红、柠檬黄、日落黄、亮蓝）、菌落总数、大肠菌群、霉菌、酵母</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蛋白饮料</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蛋白饮料</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乳酸菌数、三聚氰胺、苯甲酸及其钠盐（以苯甲酸计）、山梨酸及其钾盐（以山梨酸计）、脱氢乙酸及其钠盐（以脱氢乙酸计）、防腐剂混合使用时各自用量占其最大使用量的比例之和、菌落总数、大肠菌群、霉菌、酵母、商业无菌</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碳酸饮料（汽水）</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碳酸饮料（汽水）</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二氧化碳气容量、苯甲酸及其钠盐（以苯甲酸计）、山梨酸及其钾盐（以山梨酸计）、防腐剂混合使用时各自用量占其最大使用量的比例之和、甜蜜素（以环己基氨基磺酸计）、阿斯巴甜、菌落总数、霉菌、酵母</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茶饮料</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茶饮料</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茶多酚、咖啡因、脱氢乙酸及其钠盐（以脱氢乙酸计）、菌落总数</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固体饮料</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固体饮料</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防腐剂混合使用时各自用量占其最大使用量的比例之和、糖精钠（以糖精计）、合成着色剂（苋菜红、胭脂红、柠檬黄、日落黄、亮蓝）、相同色泽着色剂混合使用时各自用量占其最大使用量的比例之和、菌落总数、大肠菌群、霉菌</w:t>
            </w:r>
            <w:r/>
          </w:p>
        </w:tc>
      </w:tr>
      <w:tr>
        <w:trPr>
          <w:cantSplit/>
          <w:jc w:val="center"/>
        </w:trPr>
        <w:tc>
          <w:tcPr>
            <w:tcW w:w="630" w:type="dxa"/>
            <w:vAlign w:val="center"/>
            <w:textDirection w:val="lrTb"/>
            <w:noWrap w:val="false"/>
          </w:tcPr>
          <w:p>
            <w:pPr>
              <w:jc w:val="center"/>
              <w:spacing w:line="280" w:lineRule="exact"/>
              <w:rPr>
                <w:rFonts w:ascii="宋体" w:hAnsi="宋体"/>
                <w:color w:val="auto"/>
                <w:sz w:val="20"/>
                <w:szCs w:val="20"/>
                <w:highlight w:val="none"/>
              </w:rPr>
            </w:pPr>
            <w:r>
              <w:rPr>
                <w:rFonts w:hint="eastAsia" w:ascii="宋体" w:hAnsi="宋体"/>
                <w:color w:val="auto"/>
                <w:sz w:val="20"/>
                <w:szCs w:val="20"/>
                <w:highlight w:val="none"/>
              </w:rPr>
              <w:t xml:space="preserve">6</w:t>
            </w:r>
            <w:r/>
          </w:p>
        </w:tc>
        <w:tc>
          <w:tcPr>
            <w:tcW w:w="1247" w:type="dxa"/>
            <w:vAlign w:val="center"/>
            <w:textDirection w:val="lrTb"/>
            <w:noWrap w:val="false"/>
          </w:tcPr>
          <w:p>
            <w:pPr>
              <w:jc w:val="cente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饮料</w:t>
            </w:r>
            <w:r/>
          </w:p>
        </w:tc>
        <w:tc>
          <w:tcPr>
            <w:tcW w:w="1247" w:type="dxa"/>
            <w:vAlign w:val="center"/>
            <w:textDirection w:val="lrTb"/>
            <w:noWrap w:val="false"/>
          </w:tcPr>
          <w:p>
            <w:pPr>
              <w:jc w:val="cente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饮料</w:t>
            </w:r>
            <w:r/>
          </w:p>
        </w:tc>
        <w:tc>
          <w:tcPr>
            <w:tcW w:w="1247"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其他饮料</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其他饮料</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防腐剂混合使用时各自用量占其最大使用量的比例之和、糖精钠（以糖精计）、甜蜜素（以环己基氨基磺酸计）、安赛蜜、合成着色剂（苋菜红、胭脂红、柠檬黄、日落黄、亮蓝）、菌落总数、大肠菌群、霉菌、酵母</w:t>
            </w:r>
            <w:r/>
          </w:p>
        </w:tc>
      </w:tr>
      <w:tr>
        <w:trPr>
          <w:cantSplit/>
          <w:jc w:val="center"/>
        </w:trPr>
        <w:tc>
          <w:tcPr>
            <w:tcW w:w="630" w:type="dxa"/>
            <w:vAlign w:val="center"/>
            <w:vMerge w:val="restart"/>
            <w:textDirection w:val="lrTb"/>
            <w:noWrap w:val="false"/>
          </w:tcPr>
          <w:p>
            <w:pPr>
              <w:jc w:val="center"/>
              <w:spacing w:line="280" w:lineRule="exact"/>
              <w:widowControl/>
              <w:rPr>
                <w:rFonts w:ascii="宋体" w:hAnsi="宋体"/>
                <w:color w:val="auto"/>
                <w:sz w:val="20"/>
                <w:szCs w:val="20"/>
                <w:highlight w:val="none"/>
              </w:rPr>
            </w:pPr>
            <w:r>
              <w:rPr>
                <w:rFonts w:ascii="宋体" w:hAnsi="宋体"/>
                <w:color w:val="auto"/>
                <w:sz w:val="20"/>
                <w:szCs w:val="20"/>
                <w:highlight w:val="none"/>
                <w:lang w:bidi="ar"/>
              </w:rPr>
              <w:t xml:space="preserve">7</w:t>
            </w:r>
            <w:r/>
          </w:p>
        </w:tc>
        <w:tc>
          <w:tcP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方便食品</w:t>
            </w:r>
            <w:r/>
          </w:p>
        </w:tc>
        <w:tc>
          <w:tcP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方便食品</w:t>
            </w:r>
            <w:r/>
          </w:p>
        </w:tc>
        <w:tc>
          <w:tcPr>
            <w:tcW w:w="1247"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方便面</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油炸面、非油炸面、方便米粉（米线）、方便粉丝</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水分、酸价（以脂肪计）（KOH）、过氧化值（以脂肪计）、菌落总数、大肠菌群、霉菌</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调味面制品</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调味面制品</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以脂肪计）（KOH）、过氧化值（以脂肪计）、苯甲酸及其钠盐（以苯甲酸计）、山梨酸及其钾盐（以山梨酸计）、脱氢乙酸及其钠盐（以脱氢乙酸计）、糖精钠（以糖精计）、甜蜜素（以环己基氨基磺酸计）、安赛蜜、三氯蔗糖、合成着色剂（柠檬黄、日落黄）、菌落总数、大肠菌群、霉菌、沙门氏菌、金黄色葡萄球菌</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其他方便食品</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方便粥、方便盒饭、冷面及其他熟制方便食品等</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酸价（以脂肪计）（KOH）、过氧化值（以脂肪计）、铅（以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、苯甲酸及其钠盐（以苯甲酸计）、山梨酸及其钾盐（以山梨酸计）、糖精钠（以糖精计）、菌落总数、大肠菌群、霉菌、沙门氏菌、金黄色葡萄球菌</w:t>
            </w:r>
            <w:r/>
          </w:p>
        </w:tc>
      </w:tr>
      <w:tr>
        <w:trPr>
          <w:cantSplit/>
          <w:jc w:val="center"/>
        </w:trPr>
        <w:tc>
          <w:tcPr>
            <w:tcW w:w="630" w:type="dxa"/>
            <w:vAlign w:val="center"/>
            <w:textDirection w:val="lrTb"/>
            <w:noWrap w:val="false"/>
          </w:tcPr>
          <w:p>
            <w:pPr>
              <w:jc w:val="center"/>
              <w:spacing w:line="280" w:lineRule="exact"/>
              <w:widowControl/>
              <w:rPr>
                <w:rFonts w:ascii="宋体" w:hAnsi="宋体"/>
                <w:color w:val="auto"/>
                <w:sz w:val="20"/>
                <w:szCs w:val="20"/>
                <w:highlight w:val="none"/>
              </w:rPr>
            </w:pPr>
            <w:r>
              <w:rPr>
                <w:rFonts w:ascii="宋体" w:hAnsi="宋体"/>
                <w:color w:val="auto"/>
                <w:sz w:val="20"/>
                <w:szCs w:val="20"/>
                <w:highlight w:val="none"/>
                <w:lang w:bidi="ar"/>
              </w:rPr>
              <w:t xml:space="preserve">8</w:t>
            </w:r>
            <w:r/>
          </w:p>
        </w:tc>
        <w:tc>
          <w:tcPr>
            <w:tcW w:w="1247"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饼干</w:t>
            </w:r>
            <w:r/>
          </w:p>
        </w:tc>
        <w:tc>
          <w:tcPr>
            <w:tcW w:w="1247"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饼干</w:t>
            </w:r>
            <w:r/>
          </w:p>
        </w:tc>
        <w:tc>
          <w:tcPr>
            <w:tcW w:w="1247"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饼干</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饼干</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酸价（以脂肪计）（KOH）、过氧化值（以脂肪计）、山梨酸及其钾盐（以山梨酸计）、铝的残留量（干样品，以</w:t>
            </w:r>
            <w:r>
              <w:rPr>
                <w:rFonts w:ascii="宋体" w:hAnsi="宋体"/>
                <w:color w:val="auto"/>
                <w:sz w:val="20"/>
                <w:szCs w:val="20"/>
                <w:highlight w:val="none"/>
                <w:lang w:bidi="ar"/>
              </w:rPr>
              <w:t xml:space="preserve">Al</w:t>
            </w:r>
            <w:r>
              <w:rPr>
                <w:rFonts w:hint="eastAsia" w:ascii="宋体" w:hAnsi="宋体" w:cs="宋体"/>
                <w:color w:val="auto"/>
                <w:sz w:val="20"/>
                <w:szCs w:val="20"/>
                <w:highlight w:val="none"/>
                <w:lang w:bidi="ar"/>
              </w:rPr>
              <w:t xml:space="preserve">计）、脱氢乙酸及其钠盐（以脱氢乙酸计）、甜蜜素（以环己基氨基磺酸计）、糖精钠（以糖精计）、二氧化硫残留量、苯甲酸及其钠盐（以苯甲酸计）、合成着色剂（柠檬黄、日落黄、胭脂红、苋菜红、亮蓝、新红、赤藓红、靛蓝、诱惑红、酸性红、喹啉黄）、菌落总数、大肠菌群、金黄色葡萄球菌、沙门氏菌、霉菌</w:t>
            </w:r>
            <w:r/>
          </w:p>
        </w:tc>
      </w:tr>
      <w:tr>
        <w:trPr>
          <w:cantSplit/>
          <w:jc w:val="center"/>
        </w:trPr>
        <w:tc>
          <w:tcPr>
            <w:tcW w:w="630" w:type="dxa"/>
            <w:vAlign w:val="center"/>
            <w:vMerge w:val="restart"/>
            <w:textDirection w:val="lrTb"/>
            <w:noWrap w:val="false"/>
          </w:tcPr>
          <w:p>
            <w:pPr>
              <w:jc w:val="center"/>
              <w:spacing w:line="280" w:lineRule="exact"/>
              <w:widowControl/>
              <w:rPr>
                <w:rFonts w:ascii="宋体" w:hAnsi="宋体"/>
                <w:color w:val="auto"/>
                <w:sz w:val="20"/>
                <w:szCs w:val="20"/>
                <w:highlight w:val="none"/>
              </w:rPr>
            </w:pPr>
            <w:r>
              <w:rPr>
                <w:rFonts w:ascii="宋体" w:hAnsi="宋体"/>
                <w:color w:val="auto"/>
                <w:sz w:val="20"/>
                <w:szCs w:val="20"/>
                <w:highlight w:val="none"/>
                <w:lang w:bidi="ar"/>
              </w:rPr>
              <w:t xml:space="preserve">9</w:t>
            </w:r>
            <w:r/>
          </w:p>
        </w:tc>
        <w:tc>
          <w:tcP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罐头</w:t>
            </w:r>
            <w:r/>
          </w:p>
        </w:tc>
        <w:tc>
          <w:tcP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罐头</w:t>
            </w:r>
            <w:r/>
          </w:p>
        </w:tc>
        <w:tc>
          <w:tcP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畜禽水产罐头</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畜禽肉类罐头</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计）、苯甲酸及其钠盐（以苯甲酸计）、山梨酸及其钾盐（以山梨酸计）、糖精钠（以糖精计）、商业无菌</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水产动物类罐头</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组胺、铅（以Pb计）、无机砷（以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计）、脱氢乙酸及其钠盐（以脱氢乙酸计）、苯甲酸及其钠盐（以苯甲酸计）、山梨酸及其钾盐（以山梨酸计）、糖精钠（以糖精计）、甜蜜素（以环己基氨基磺酸计）、商业无菌</w:t>
            </w:r>
            <w:r/>
          </w:p>
        </w:tc>
      </w:tr>
      <w:tr>
        <w:trPr>
          <w:cantSplit/>
          <w:jc w:val="center"/>
        </w:trPr>
        <w:tc>
          <w:tcPr>
            <w:tcMar>
              <w:top w:w="85" w:type="dxa"/>
              <w:bottom w:w="85" w:type="dxa"/>
            </w:tcMar>
            <w:tcW w:w="630" w:type="dxa"/>
            <w:vAlign w:val="center"/>
            <w:vMerge w:val="restart"/>
            <w:textDirection w:val="lrTb"/>
            <w:noWrap w:val="false"/>
          </w:tcPr>
          <w:p>
            <w:pPr>
              <w:jc w:val="center"/>
              <w:rPr>
                <w:rFonts w:ascii="宋体" w:hAnsi="宋体"/>
                <w:color w:val="auto"/>
                <w:sz w:val="20"/>
                <w:szCs w:val="20"/>
                <w:highlight w:val="none"/>
              </w:rPr>
            </w:pPr>
            <w:r>
              <w:rPr>
                <w:rFonts w:hint="eastAsia" w:ascii="宋体" w:hAnsi="宋体"/>
                <w:color w:val="auto"/>
                <w:sz w:val="20"/>
                <w:szCs w:val="20"/>
                <w:highlight w:val="none"/>
              </w:rPr>
              <w:t xml:space="preserve">9</w:t>
            </w:r>
            <w:r/>
          </w:p>
        </w:tc>
        <w:tc>
          <w:tcPr>
            <w:tcMar>
              <w:top w:w="85" w:type="dxa"/>
              <w:bottom w:w="85" w:type="dxa"/>
            </w:tcMa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罐头</w:t>
            </w:r>
            <w:r/>
          </w:p>
        </w:tc>
        <w:tc>
          <w:tcPr>
            <w:tcMar>
              <w:top w:w="85" w:type="dxa"/>
              <w:bottom w:w="85" w:type="dxa"/>
            </w:tcMa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罐头</w:t>
            </w:r>
            <w:r/>
          </w:p>
        </w:tc>
        <w:tc>
          <w:tcPr>
            <w:tcMar>
              <w:top w:w="85" w:type="dxa"/>
              <w:bottom w:w="8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果蔬罐头</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水果类罐头</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合成着色剂（柠檬黄、日落黄、苋菜红、胭脂红、赤藓红、诱惑红、亮蓝）、脱氢乙酸及其钠盐（以脱氢乙酸计）、苯甲酸及其钠盐（以苯甲酸计）、山梨酸及其钾盐（以山梨酸计）、糖精钠（以糖精计）、甜蜜素（以环己基氨基磺酸计）、二氧化硫残留量、商业无菌</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蔬菜类罐头</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铅（以Pb计）、合成着色剂（柠檬黄、日落黄、亮蓝）、脱氢乙酸及其钠盐（以脱氢乙酸计）、苯甲酸及其钠盐（以苯甲酸计）、山梨酸及其钾盐（以山梨酸计）、乙二胺四乙酸二钠、二氧化硫残留量、商业无菌</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食用菌罐头</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铅（以Pb计）、脱氢乙酸及其钠盐（以脱氢乙酸计）、苯甲酸及其钠盐（以苯甲酸计）、乙二胺四乙酸二钠、二氧化硫残留量、商业无菌</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其他罐头</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其他罐头</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、脱氢乙酸及其钠盐（以脱氢乙酸计）、苯甲酸及其钠盐（以苯甲酸计）、山梨酸及其钾盐（以山梨酸计）、乙二胺四乙酸二钠、商业无菌</w:t>
            </w:r>
            <w:r/>
          </w:p>
        </w:tc>
      </w:tr>
      <w:tr>
        <w:trPr>
          <w:cantSplit/>
          <w:jc w:val="center"/>
        </w:trPr>
        <w:tc>
          <w:tcPr>
            <w:tcMar>
              <w:top w:w="85" w:type="dxa"/>
              <w:bottom w:w="85" w:type="dxa"/>
            </w:tcMar>
            <w:tcW w:w="63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10</w:t>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冷冻饮品</w:t>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冷冻饮品</w:t>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冷冻饮品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冰淇淋、雪糕、雪泥、冰棍、食用冰、甜味冰、其他类</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蛋白质、甜蜜素（以环己基氨基磺酸计）、糖精钠（以糖精计）、安赛蜜、三氯蔗糖、菌落总数、大肠菌群、沙门氏菌、单核细胞增生李斯特氏菌</w:t>
            </w:r>
            <w:r/>
          </w:p>
        </w:tc>
      </w:tr>
      <w:tr>
        <w:trPr>
          <w:cantSplit/>
          <w:jc w:val="center"/>
        </w:trPr>
        <w:tc>
          <w:tcPr>
            <w:tcMar>
              <w:top w:w="85" w:type="dxa"/>
              <w:bottom w:w="85"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11</w:t>
            </w:r>
            <w:r/>
          </w:p>
        </w:tc>
        <w:tc>
          <w:tcPr>
            <w:tcMar>
              <w:top w:w="85" w:type="dxa"/>
              <w:bottom w:w="8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速冻食品</w:t>
            </w:r>
            <w:r/>
          </w:p>
        </w:tc>
        <w:tc>
          <w:tcPr>
            <w:tcMar>
              <w:top w:w="85" w:type="dxa"/>
              <w:bottom w:w="8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速冻面米食品</w:t>
            </w:r>
            <w:r/>
          </w:p>
        </w:tc>
        <w:tc>
          <w:tcPr>
            <w:tcMar>
              <w:top w:w="85" w:type="dxa"/>
              <w:bottom w:w="8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速冻面米食品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速冻面米生制品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过氧化值（以脂肪计）、黄曲霉毒素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计）、糖精钠（以糖精计）、甜蜜素（以环己基氨基磺酸计）、合成着色剂（柠檬黄、日落黄、苋菜红、亮蓝）</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速冻面米熟制品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过氧化值（以脂肪计）、黄曲霉毒素B</w:t>
            </w:r>
            <w:r>
              <w:rPr>
                <w:rStyle w:val="1026"/>
                <w:rFonts w:hint="default"/>
                <w:color w:val="auto"/>
                <w:highlight w:val="none"/>
                <w:lang w:bidi="ar"/>
              </w:rPr>
              <w:t xml:space="preserve">1</w:t>
            </w:r>
            <w:r>
              <w:rPr>
                <w:rFonts w:hint="eastAsia" w:ascii="宋体" w:hAnsi="宋体" w:cs="宋体"/>
                <w:color w:val="auto"/>
                <w:sz w:val="20"/>
                <w:szCs w:val="20"/>
                <w:highlight w:val="none"/>
                <w:lang w:bidi="ar"/>
              </w:rPr>
              <w:t xml:space="preserve">、铅（以Pb计）、糖精钠（以糖精计）、甜蜜素（以环己基氨基磺酸计）、合成着色剂（柠檬黄、日落黄、苋菜红、亮蓝）、菌落总数、大肠菌群、沙门氏菌、金黄色葡萄球菌</w:t>
            </w:r>
            <w:r/>
          </w:p>
        </w:tc>
      </w:tr>
      <w:tr>
        <w:trPr>
          <w:cantSplit/>
          <w:jc w:val="center"/>
        </w:trPr>
        <w:tc>
          <w:tcPr>
            <w:tcMar>
              <w:top w:w="45" w:type="dxa"/>
              <w:bottom w:w="45"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11</w:t>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速冻食品</w:t>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速冻调制食品</w:t>
            </w:r>
            <w:r/>
          </w:p>
        </w:tc>
        <w:tc>
          <w:tcPr>
            <w:tcMar>
              <w:top w:w="45" w:type="dxa"/>
              <w:bottom w:w="4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速冻调理肉制品</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速冻调理肉制品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过氧化值（以脂肪计）、铅（以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计）、铬（以</w:t>
            </w:r>
            <w:r>
              <w:rPr>
                <w:rFonts w:ascii="宋体" w:hAnsi="宋体"/>
                <w:color w:val="auto"/>
                <w:sz w:val="20"/>
                <w:szCs w:val="20"/>
                <w:highlight w:val="none"/>
                <w:lang w:bidi="ar"/>
              </w:rPr>
              <w:t xml:space="preserve">Cr</w:t>
            </w:r>
            <w:r>
              <w:rPr>
                <w:rFonts w:hint="eastAsia" w:ascii="宋体" w:hAnsi="宋体" w:cs="宋体"/>
                <w:color w:val="auto"/>
                <w:sz w:val="20"/>
                <w:szCs w:val="20"/>
                <w:highlight w:val="none"/>
                <w:lang w:bidi="ar"/>
              </w:rPr>
              <w:t xml:space="preserve">计）、氯霉素、合成着色剂（胭脂红、柠檬黄、日落黄、诱惑红）、亚硝酸盐、菌落总数、大肠菌群、沙门氏菌、金黄色葡萄球菌、单核细胞增生李斯特氏菌</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速冻调制水产制品</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速冻调制水产制品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挥发性盐基氮、苯甲酸及其钠盐（以苯甲酸计）、山梨酸及其钾盐（以山梨酸计）、菌落总数、大肠菌群、沙门氏菌、副溶血性弧菌、单核细胞增生李斯特氏菌</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速冻其他食品</w:t>
            </w:r>
            <w:r/>
          </w:p>
        </w:tc>
        <w:tc>
          <w:tcPr>
            <w:tcMar>
              <w:top w:w="45" w:type="dxa"/>
              <w:bottom w:w="4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速冻谷物食品</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速冻谷物食品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速冻蔬菜制品</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速冻蔬菜制品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铅（以Pb计）、镉（以Cd计）、糖精钠（以糖精计）</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速冻水果制品</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速冻水果制品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计）、菌落总数、大肠菌群、霉菌、沙门氏菌、金黄色葡萄球菌</w:t>
            </w:r>
            <w:r/>
          </w:p>
        </w:tc>
      </w:tr>
      <w:tr>
        <w:trPr>
          <w:cantSplit/>
          <w:jc w:val="center"/>
        </w:trPr>
        <w:tc>
          <w:tcPr>
            <w:tcMar>
              <w:top w:w="45" w:type="dxa"/>
              <w:bottom w:w="45"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12</w:t>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薯类和膨化食品</w:t>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薯类和膨化食品</w:t>
            </w:r>
            <w:r/>
          </w:p>
        </w:tc>
        <w:tc>
          <w:tcPr>
            <w:tcMar>
              <w:top w:w="45" w:type="dxa"/>
              <w:bottom w:w="4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膨化食品</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含油型膨化食品和非含油型膨化食品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水分、酸</w:t>
            </w:r>
            <w:r>
              <w:rPr>
                <w:rFonts w:ascii="宋体" w:hAnsi="宋体"/>
                <w:color w:val="auto"/>
                <w:sz w:val="20"/>
                <w:szCs w:val="20"/>
                <w:highlight w:val="none"/>
                <w:lang w:bidi="ar"/>
              </w:rPr>
              <w:t xml:space="preserve">价（以脂肪计）（KOH）、过氧化值（以脂肪计）、黄曲霉毒素B</w:t>
            </w:r>
            <w:r>
              <w:rPr>
                <w:rStyle w:val="1025"/>
                <w:rFonts w:ascii="宋体" w:hAnsi="宋体"/>
                <w:color w:val="auto"/>
                <w:highlight w:val="none"/>
                <w:lang w:bidi="ar"/>
              </w:rPr>
              <w:t xml:space="preserve">1</w:t>
            </w:r>
            <w:r>
              <w:rPr>
                <w:rFonts w:ascii="宋体" w:hAnsi="宋体"/>
                <w:color w:val="auto"/>
                <w:sz w:val="20"/>
                <w:szCs w:val="20"/>
                <w:highlight w:val="none"/>
                <w:lang w:bidi="ar"/>
              </w:rPr>
              <w:t xml:space="preserve">、糖精钠（以糖精计）、苯甲酸及其钠盐（以苯甲酸计）、山梨酸及其钾盐（以山梨酸计）、甜蜜素（以环己基氨基磺酸计）、菌落总数、大肠菌群、沙门氏菌、金黄色葡萄球菌</w:t>
            </w:r>
            <w:r/>
          </w:p>
        </w:tc>
      </w:tr>
      <w:tr>
        <w:trPr>
          <w:cantSplit/>
          <w:jc w:val="center"/>
        </w:trPr>
        <w:tc>
          <w:tcPr>
            <w:tcMar>
              <w:top w:w="45" w:type="dxa"/>
              <w:bottom w:w="45"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薯类食品</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干制薯类</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酸价（以脂肪计）（KOH）、过氧化值（以脂肪计）、菌落总数、大肠菌群、铅（以Pb计）、沙门氏菌、金黄色葡萄球菌</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冷冻薯类</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薯泥（酱）类</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计）、苯甲酸及其钠盐（以苯甲酸计）、山梨酸及其钾盐（以山梨酸计）、商业无菌、沙门氏菌、金黄色葡萄球菌</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薯粉类</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其他薯类食品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计）、沙门氏菌、金黄色葡萄球菌</w:t>
            </w:r>
            <w:r/>
          </w:p>
        </w:tc>
      </w:tr>
      <w:tr>
        <w:trPr>
          <w:cantSplit/>
          <w:jc w:val="center"/>
        </w:trPr>
        <w:tc>
          <w:tcPr>
            <w:tcMar>
              <w:top w:w="68" w:type="dxa"/>
              <w:bottom w:w="68"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13</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糖果制品</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糖果制品（含巧克力及制品）</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糖果</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糖果</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糖精钠（以糖精计）、甜蜜素（以环己基氨基磺酸计）、合成着色剂（柠檬黄、新红、苋菜红、靛蓝、胭脂红、日落黄、诱惑红、亮蓝、酸性红、喹啉黄、赤藓红）、相同色泽着色剂混合使用时各自用量占其最大使用量的比例之和、二氧化硫残留量、菌落总数、大肠菌群</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巧克力及巧克力制品</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巧克力、巧克力制品、代可可脂巧克力及代可可脂巧克力制品</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计）、沙门氏菌</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果冻</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果冻</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铅（以Pb计）、山梨酸及其钾盐（以山梨酸计）、苯甲酸及其钠盐（以苯甲酸计）、糖精钠（以糖精计）、甜蜜素（以环己基氨基磺酸计）、菌落总数、大肠菌群、霉菌、酵母</w:t>
            </w:r>
            <w:r/>
          </w:p>
        </w:tc>
      </w:tr>
      <w:tr>
        <w:trPr>
          <w:cantSplit/>
          <w:jc w:val="center"/>
        </w:trPr>
        <w:tc>
          <w:tcPr>
            <w:tcMar>
              <w:top w:w="68" w:type="dxa"/>
              <w:bottom w:w="68"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14</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茶叶及相关制品</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茶叶</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茶叶</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绿茶、红茶、乌龙茶、黄茶、白茶、黑茶、花茶、袋泡茶、紧压茶</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计）、草甘膦、吡虫啉、乙酰甲胺磷、联苯菊酯、灭多威、三氯杀螨醇、氰戊菊酯和</w:t>
            </w:r>
            <w:r>
              <w:rPr>
                <w:rFonts w:ascii="宋体" w:hAnsi="宋体"/>
                <w:color w:val="auto"/>
                <w:sz w:val="20"/>
                <w:szCs w:val="20"/>
                <w:highlight w:val="none"/>
                <w:lang w:bidi="ar"/>
              </w:rPr>
              <w:t xml:space="preserve">S-</w:t>
            </w:r>
            <w:r>
              <w:rPr>
                <w:rFonts w:hint="eastAsia" w:ascii="宋体" w:hAnsi="宋体" w:cs="宋体"/>
                <w:color w:val="auto"/>
                <w:sz w:val="20"/>
                <w:szCs w:val="20"/>
                <w:highlight w:val="none"/>
                <w:lang w:bidi="ar"/>
              </w:rPr>
              <w:t xml:space="preserve">氰戊菊酯、甲拌磷、克百威、水胺硫磷、氧乐果、毒死蜱、啶虫脒、多菌灵、茚虫威、合成着色剂（柠檬黄、日落黄）</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含茶制品和代用茶</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含茶制品</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速溶茶类、其它含茶制品</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计）、菌落总数、大肠菌群、霉菌、霉菌及酵母</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代用茶</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代用茶</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计）、二氧化硫残留量、啶虫脒、克百威、毒死蜱、吡虫啉、氯氟氰菊酯和高效氯氟氰菊酯、霉菌</w:t>
            </w:r>
            <w:r/>
          </w:p>
        </w:tc>
      </w:tr>
      <w:tr>
        <w:trPr>
          <w:cantSplit/>
          <w:jc w:val="center"/>
        </w:trPr>
        <w:tc>
          <w:tcPr>
            <w:tcMar>
              <w:top w:w="68" w:type="dxa"/>
              <w:bottom w:w="68" w:type="dxa"/>
            </w:tcMar>
            <w:tcW w:w="63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15</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酒类</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蒸馏酒</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白酒</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白酒、白酒（液态）、白酒（原酒）</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酒精度、铅（以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计）、甲醇、氰化物（以</w:t>
            </w:r>
            <w:r>
              <w:rPr>
                <w:rFonts w:ascii="宋体" w:hAnsi="宋体"/>
                <w:color w:val="auto"/>
                <w:sz w:val="20"/>
                <w:szCs w:val="20"/>
                <w:highlight w:val="none"/>
                <w:lang w:bidi="ar"/>
              </w:rPr>
              <w:t xml:space="preserve">HCN</w:t>
            </w:r>
            <w:r>
              <w:rPr>
                <w:rFonts w:hint="eastAsia" w:ascii="宋体" w:hAnsi="宋体" w:cs="宋体"/>
                <w:color w:val="auto"/>
                <w:sz w:val="20"/>
                <w:szCs w:val="20"/>
                <w:highlight w:val="none"/>
                <w:lang w:bidi="ar"/>
              </w:rPr>
              <w:t xml:space="preserve">计）、糖精钠（以糖精计）、甜蜜素（以环己基氨基磺酸计）、三氯蔗糖、安赛蜜</w:t>
            </w:r>
            <w:r/>
          </w:p>
        </w:tc>
      </w:tr>
      <w:tr>
        <w:trPr>
          <w:cantSplit/>
          <w:jc w:val="center"/>
        </w:trPr>
        <w:tc>
          <w:tcPr>
            <w:tcMar>
              <w:top w:w="28" w:type="dxa"/>
              <w:bottom w:w="28" w:type="dxa"/>
            </w:tcMar>
            <w:tcW w:w="630"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lang w:bidi="ar"/>
              </w:rPr>
              <w:t xml:space="preserve">15</w:t>
            </w:r>
            <w:r/>
          </w:p>
        </w:tc>
        <w:tc>
          <w:tcPr>
            <w:tcMar>
              <w:top w:w="28" w:type="dxa"/>
              <w:bottom w:w="28" w:type="dxa"/>
            </w:tcMa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酒类</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发酵酒</w:t>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黄酒</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黄酒</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酒精度、氨基酸态氮、苯甲酸及其钠盐（以苯甲酸计）、山梨酸及其钾盐（以山梨酸计）、糖精钠（以糖精计）、甜蜜素（以环己基氨基磺酸计）</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啤酒</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啤酒</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酒精度、甲醛</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葡萄酒</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葡萄酒</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精度、甲醇、苯甲酸及其钠盐（以苯甲酸计）、山梨酸及其钾盐（以山梨酸计）、糖精钠（以糖精计）、二氧化硫残留量、甜蜜素（以环己基氨基磺酸计）、三氯蔗糖、合成着色剂（柠檬黄、日落黄、新红、胭脂红、赤藓红、苋菜红、诱惑红、酸性红、亮蓝）</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果酒</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果酒</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酒精度、展青霉素、糖精钠（以糖精计）、甜蜜素（以环己基氨基磺酸计）、安赛蜜、二氧化硫残留量、合成着色剂（酸性红）</w:t>
            </w:r>
            <w:r/>
          </w:p>
        </w:tc>
      </w:tr>
      <w:tr>
        <w:trPr>
          <w:cantSplit/>
          <w:jc w:val="center"/>
        </w:trPr>
        <w:tc>
          <w:tcPr>
            <w:tcMar>
              <w:top w:w="28" w:type="dxa"/>
              <w:bottom w:w="28"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其他酒</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配制酒</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以蒸馏酒及食用酒精为酒基的配制酒</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酒精度、甲醇、氰化物（以</w:t>
            </w:r>
            <w:r>
              <w:rPr>
                <w:rFonts w:ascii="宋体" w:hAnsi="宋体"/>
                <w:color w:val="auto"/>
                <w:sz w:val="20"/>
                <w:szCs w:val="20"/>
                <w:highlight w:val="none"/>
                <w:lang w:bidi="ar"/>
              </w:rPr>
              <w:t xml:space="preserve">HCN</w:t>
            </w:r>
            <w:r>
              <w:rPr>
                <w:rFonts w:hint="eastAsia" w:ascii="宋体" w:hAnsi="宋体" w:cs="宋体"/>
                <w:color w:val="auto"/>
                <w:sz w:val="20"/>
                <w:szCs w:val="20"/>
                <w:highlight w:val="none"/>
                <w:lang w:bidi="ar"/>
              </w:rPr>
              <w:t xml:space="preserve">计）、甜蜜素（以环己基氨基磺酸计）、安赛蜜</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以发酵酒为酒基的配制酒</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酒精度、苯甲酸及其钠盐（以苯甲酸计）、山梨酸及其钾盐（以山梨酸计）、甜蜜素（以环己基氨基磺酸计）、防腐剂混合使用时各自用量占其最大使用量的比例之和、安赛蜜</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其他蒸馏酒</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其他蒸馏酒</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酒精度、铅（以Pb计）、甲醇、氰化物（以HCN计）、三氯蔗糖</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其他发酵酒</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其他发酵酒</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酒精度、苯甲酸及其钠盐（以苯甲酸计）、山梨酸及其钾盐（以山梨酸计）、糖精钠（以糖精计）、甜蜜素（以环己基氨基磺酸计）、安赛蜜</w:t>
            </w:r>
            <w:r/>
          </w:p>
        </w:tc>
      </w:tr>
      <w:tr>
        <w:trPr>
          <w:cantSplit/>
          <w:jc w:val="center"/>
        </w:trPr>
        <w:tc>
          <w:tcPr>
            <w:tcMar>
              <w:top w:w="28" w:type="dxa"/>
              <w:bottom w:w="28"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16</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蔬菜制品</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蔬菜制品</w:t>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酱腌菜</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酱腌菜</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计）、亚硝酸盐（以NaNO</w:t>
            </w:r>
            <w:r>
              <w:rPr>
                <w:rStyle w:val="1026"/>
                <w:rFonts w:hint="default"/>
                <w:color w:val="auto"/>
                <w:highlight w:val="none"/>
                <w:lang w:bidi="ar"/>
              </w:rPr>
              <w:t xml:space="preserve">2</w:t>
            </w:r>
            <w:r>
              <w:rPr>
                <w:rFonts w:hint="eastAsia" w:ascii="宋体" w:hAnsi="宋体" w:cs="宋体"/>
                <w:color w:val="auto"/>
                <w:sz w:val="20"/>
                <w:szCs w:val="20"/>
                <w:highlight w:val="none"/>
                <w:lang w:bidi="ar"/>
              </w:rPr>
              <w:t xml:space="preserve">计）、苯甲酸及其钠盐（以苯甲酸计）、山梨酸及其钾盐（以山梨酸计）、脱氢乙酸及其钠盐（以脱氢乙酸计）、糖精钠（以糖精计）、甜蜜素（以环己基氨基磺酸计）、二氧化硫残留量、防腐剂混合使用时各自用量占其最大使用量的比例之和、安赛蜜、合成着色剂（柠檬黄、日落黄）、大肠菌群</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蔬菜干制品</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蔬菜干制品</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计）、苯甲酸及其钠盐（以苯甲酸计）、山梨酸及其钾盐（以山梨酸计）、二氧化硫残留量、合成着色剂（柠檬黄、日落黄、胭脂红、苋菜红、亮蓝）</w:t>
            </w:r>
            <w:r/>
          </w:p>
        </w:tc>
      </w:tr>
      <w:tr>
        <w:trPr>
          <w:cantSplit/>
          <w:jc w:val="center"/>
        </w:trPr>
        <w:tc>
          <w:tcPr>
            <w:tcW w:w="630"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lang w:bidi="ar"/>
              </w:rPr>
              <w:t xml:space="preserve">16</w:t>
            </w:r>
            <w:r/>
          </w:p>
        </w:tc>
        <w:tc>
          <w:tcP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蔬菜制品</w:t>
            </w:r>
            <w:r/>
          </w:p>
        </w:tc>
        <w:tc>
          <w:tcP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蔬菜制品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其他蔬菜制品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其他蔬菜制品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铅（以Pb计）、苯甲酸及其钠盐（以苯甲酸计）、山梨酸及其钾盐（以山梨酸计）、二氧化硫残留量</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食用菌制品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干制食用菌</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计）、总汞（以</w:t>
            </w:r>
            <w:r>
              <w:rPr>
                <w:rFonts w:ascii="宋体" w:hAnsi="宋体"/>
                <w:color w:val="auto"/>
                <w:sz w:val="20"/>
                <w:szCs w:val="20"/>
                <w:highlight w:val="none"/>
                <w:lang w:bidi="ar"/>
              </w:rPr>
              <w:t xml:space="preserve">Hg</w:t>
            </w:r>
            <w:r>
              <w:rPr>
                <w:rFonts w:hint="eastAsia" w:ascii="宋体" w:hAnsi="宋体" w:cs="宋体"/>
                <w:color w:val="auto"/>
                <w:sz w:val="20"/>
                <w:szCs w:val="20"/>
                <w:highlight w:val="none"/>
                <w:lang w:bidi="ar"/>
              </w:rPr>
              <w:t xml:space="preserve">计）、甲基汞（以Hg计）、苯甲酸及其钠盐（以苯甲酸计）</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腌渍食用菌</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苯甲酸及其钠盐（以苯甲酸计）、山梨酸及其钾盐（以山梨酸计）、脱氢乙酸及其钠盐（以脱氢乙酸计）、防腐剂混合使用时各自用量占其最大使用量的比例之和</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17</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水果制品</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水果制品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蜜饯</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蜜饯类、凉果类、果脯类、话化类、果糕类</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脱氢乙酸及其钠盐（以脱氢乙酸计）、防腐剂混合使用时各自用量占其最大使用量的比例之和、糖精钠（以糖精计）、甜蜜素（以环己基氨基磺酸计）、安赛蜜、二氧化硫残留量、合成着色剂（亮蓝、柠檬黄、日落黄、苋菜红、胭脂红）、相同色泽着色剂混合使用时各自用量占其最大使用量的比例之和、乙二胺四乙酸二钠、菌落总数、大肠菌群、霉菌</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水果干制品</w:t>
            </w:r>
            <w:r/>
          </w:p>
        </w:tc>
        <w:tc>
          <w:tcP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水果干制品</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（含干枸杞）</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啶虫脒、吡虫啉、克百威、炔螨特、毒死蜱、氯氟氰菊酯和高效氯氟氰菊酯、氯氰菊酯和高效氯氰菊酯、苯甲酸及其钠盐（以苯甲酸计）、山梨酸及其钾盐（以山梨酸计）、脱氢乙酸及其钠盐（以脱氢乙酸计）、糖精钠（以糖精计）、二氧化硫残留量、合成着色剂（亮蓝、柠檬黄、日落黄、苋菜红、胭脂红）、菌落总数、大肠菌群、霉菌</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果酱</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果酱</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铅（以Pb计）、脱氢乙酸及其钠盐（以脱氢乙酸计）、菌落总数、大肠菌群、霉菌、商业无菌</w:t>
            </w:r>
            <w:r/>
          </w:p>
        </w:tc>
      </w:tr>
      <w:tr>
        <w:trPr>
          <w:cantSplit/>
          <w:jc w:val="center"/>
        </w:trPr>
        <w:tc>
          <w:tcPr>
            <w:tcW w:w="63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18</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炒货食品及坚果制品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炒货食品及坚果制品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炒货食品及坚果制品（烘炒类、油炸类、其他类）</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开心果、杏仁、扁桃仁、松仁、瓜子</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酸价（以脂肪计）（KOH）、过氧化值（以脂肪计）、铅（以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、苯甲酸及其钠盐（以苯甲酸计）、山梨酸及其钾盐（以山梨酸计）、脱氢乙酸及其钠盐（以脱氢乙酸计）、二氧化硫残留量、糖精钠（以糖精计）、甜蜜素（以环己基氨基磺酸计）、安赛蜜、大肠菌群、霉菌</w:t>
            </w:r>
            <w:r/>
          </w:p>
        </w:tc>
      </w:tr>
      <w:tr>
        <w:trPr>
          <w:cantSplit/>
          <w:jc w:val="center"/>
        </w:trPr>
        <w:tc>
          <w:tcPr>
            <w:tcMar>
              <w:top w:w="68" w:type="dxa"/>
              <w:bottom w:w="68" w:type="dxa"/>
            </w:tcMar>
            <w:tcW w:w="63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18</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炒货食品及坚果制品</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炒货食品及坚果制品</w:t>
            </w:r>
            <w:r/>
          </w:p>
        </w:tc>
        <w:tc>
          <w:tcPr>
            <w:tcMar>
              <w:top w:w="68" w:type="dxa"/>
              <w:bottom w:w="68" w:type="dxa"/>
            </w:tcMar>
            <w:tcW w:w="1247"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炒货食品及坚果制品（烘炒类、油炸类、其他类）</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其他炒货食品及坚果制品</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酸价（以脂肪计）（KOH）、过氧化值（以脂肪计）、铅（以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、苯甲酸及其钠盐（以苯甲酸计）、山梨酸及其钾盐（以山梨酸计）、脱氢乙酸及其钠盐（以脱氢乙酸计）、二氧化硫残留量、糖精钠（以糖精计）、甜蜜素（以环己基氨基磺酸计）、安赛蜜、大肠菌群、霉菌</w:t>
            </w:r>
            <w:r/>
          </w:p>
        </w:tc>
      </w:tr>
      <w:tr>
        <w:trPr>
          <w:cantSplit/>
          <w:jc w:val="center"/>
        </w:trPr>
        <w:tc>
          <w:tcPr>
            <w:tcMar>
              <w:top w:w="68" w:type="dxa"/>
              <w:bottom w:w="68"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19</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蛋制品</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蛋制品</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再制蛋</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再制蛋</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计）、苯甲酸及其钠盐（以苯甲酸计）、山梨酸及其钾盐（以山梨酸计）、菌落总数、大肠菌群、沙门氏菌</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干蛋类</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干蛋类</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菌落总数、大肠菌群、沙门氏菌</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冰蛋类</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冰蛋类</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菌落总数、大肠菌群、沙门氏菌</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其他类</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其他类</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计）、苯甲酸及其钠盐（以苯甲酸计）、山梨酸及其钾盐（以山梨酸计）、脱氢乙酸及其钠盐（以脱氢乙酸计）、菌落总数、大肠菌群、沙门氏菌</w:t>
            </w:r>
            <w:r/>
          </w:p>
        </w:tc>
      </w:tr>
      <w:tr>
        <w:trPr>
          <w:cantSplit/>
          <w:jc w:val="center"/>
        </w:trPr>
        <w:tc>
          <w:tcPr>
            <w:tcMar>
              <w:top w:w="68" w:type="dxa"/>
              <w:bottom w:w="68"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20</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可可及焙烤咖啡产品</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焙炒咖啡</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焙炒咖啡</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焙炒咖啡</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咖啡因、铅（以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计）、赭曲霉毒素</w:t>
            </w:r>
            <w:r>
              <w:rPr>
                <w:rFonts w:ascii="宋体" w:hAnsi="宋体"/>
                <w:color w:val="auto"/>
                <w:sz w:val="20"/>
                <w:szCs w:val="20"/>
                <w:highlight w:val="none"/>
                <w:lang w:bidi="ar"/>
              </w:rPr>
              <w:t xml:space="preserve">A</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可可制品</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可可制品</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可可制品</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计）、沙门氏菌</w:t>
            </w:r>
            <w:r/>
          </w:p>
        </w:tc>
      </w:tr>
      <w:tr>
        <w:trPr>
          <w:cantSplit/>
          <w:jc w:val="center"/>
        </w:trPr>
        <w:tc>
          <w:tcPr>
            <w:tcMar>
              <w:top w:w="68" w:type="dxa"/>
              <w:bottom w:w="68"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21</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食糖</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食糖</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食糖</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白砂糖</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蔗糖分、还原糖分、色值、干燥失重、二氧化硫残留量、螨</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绵白糖</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总糖分、还原糖分、色值、干燥失重、二氧化硫残留量、螨</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赤砂糖</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总糖分、不溶于水杂质、干燥失重、二氧化硫残留量、螨、合成着色剂（柠檬黄、新红、苋菜红、胭脂红、日落黄、诱惑红、酸性红、喹啉黄、赤藓红）</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红糖</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总糖分、不溶于水杂质、干燥失重、二氧化硫残留量、螨、合成着色剂（柠檬黄、新红、苋菜红、胭脂红、日落黄、诱惑红、酸性红、喹啉黄、赤藓红）</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21</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食糖</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食糖</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食糖</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冰糖</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蔗糖分、还原糖分、色值、干燥失重、二氧化硫残留量、螨、合成着色剂（柠檬黄、新红、苋菜红、胭脂红、日落黄、诱惑红、酸性红、喹啉黄、赤藓红）</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冰片糖</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总糖分、还原糖分、干燥失重、二氧化硫残留量、螨、合成着色剂（柠檬黄、新红、苋菜红、胭脂红、日落黄、诱惑红、酸性红、喹啉黄、赤藓红）</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方糖</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蔗糖分、还原糖分、色值、干燥失重、二氧化硫残留量、螨</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其他糖</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蔗糖分、总糖分、色值、还原糖分、干燥失重、二氧化硫残留量、螨、合成着色剂（柠檬黄、新红、苋菜红、胭脂红、日落黄、诱惑红、酸性红、喹啉黄、赤藓红）</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22</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水产制品</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水产制品</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干制水产品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藻类干制品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计）、菌落总数、大肠菌群</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预制动物性水产干制品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过氧化值（以脂肪计）、铅（以Pb计）、镉（以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计）、多氯联苯、N-二甲基亚硝胺、苯甲酸及其钠盐（以苯甲酸计）、山梨酸及其钾盐（以山梨酸计）、合成着色剂（柠檬黄、胭脂红、日落黄）</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盐渍水产品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盐渍鱼</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过氧化值（以脂肪计）、组胺、铅（以Pb计）、镉（以Cd计）、多氯联苯、N-二甲基亚硝胺、苯甲酸及其钠盐（以苯甲酸计）、山梨酸及其钾盐（以山梨酸计）</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盐渍藻</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其他盐渍水产品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铅（以Pb计）、苯甲酸及其钠盐（以苯甲酸计）、山梨酸及其钾盐（以山梨酸计）</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鱼糜制品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预制鱼糜制品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挥发性盐基氮、铅（以Pb计）、多氯联苯、苯甲酸及其钠盐（以苯甲酸计）、山梨酸及其钾盐（以山梨酸计）、脱氢乙酸及其钠盐（以脱氢乙酸计）</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熟制动物性水产制品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熟制动物性水产制品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计）、多氯联苯、N-二甲基亚硝胺、苯甲酸及其钠盐（以苯甲酸计）、山梨酸及其钾盐（以山梨酸计）、甜蜜素（以环己基氨基磺酸计）、脱氢乙酸及其钠盐（以脱氢乙酸计）</w:t>
            </w:r>
            <w:r/>
          </w:p>
        </w:tc>
      </w:tr>
      <w:tr>
        <w:trPr>
          <w:cantSplit/>
          <w:jc w:val="center"/>
        </w:trPr>
        <w:tc>
          <w:tcPr>
            <w:tcMar>
              <w:top w:w="85" w:type="dxa"/>
              <w:bottom w:w="85"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22</w:t>
            </w:r>
            <w:r/>
          </w:p>
        </w:tc>
        <w:tc>
          <w:tcPr>
            <w:tcMar>
              <w:top w:w="85" w:type="dxa"/>
              <w:bottom w:w="8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水产制品</w:t>
            </w:r>
            <w:r/>
          </w:p>
        </w:tc>
        <w:tc>
          <w:tcPr>
            <w:tcMar>
              <w:top w:w="85" w:type="dxa"/>
              <w:bottom w:w="8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水产制品</w:t>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生食水产品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生食动物性水产品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挥发性盐基氮、铅（以Pb计）、多氯联苯、苯甲酸及其钠盐（以苯甲酸计）、山梨酸及其钾盐（以山梨酸计）、铝的残留量（以即食海蜇中</w:t>
            </w:r>
            <w:r>
              <w:rPr>
                <w:rFonts w:ascii="宋体" w:hAnsi="宋体"/>
                <w:color w:val="auto"/>
                <w:sz w:val="20"/>
                <w:szCs w:val="20"/>
                <w:highlight w:val="none"/>
                <w:lang w:bidi="ar"/>
              </w:rPr>
              <w:t xml:space="preserve">A1</w:t>
            </w:r>
            <w:r>
              <w:rPr>
                <w:rFonts w:hint="eastAsia" w:ascii="宋体" w:hAnsi="宋体" w:cs="宋体"/>
                <w:color w:val="auto"/>
                <w:sz w:val="20"/>
                <w:szCs w:val="20"/>
                <w:highlight w:val="none"/>
                <w:lang w:bidi="ar"/>
              </w:rPr>
              <w:t xml:space="preserve">计）、菌落总数、大肠菌群、沙门氏菌、副溶血性弧菌、单核细胞增生李斯特氏菌</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其他水产制品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其他水产制品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计）、苯甲酸及其钠盐（以苯甲酸计）、山梨酸及其钾盐（以山梨酸计）、脱氢乙酸及其钠盐（以脱氢乙酸计）、合成着色剂（柠檬黄）、防腐剂混合使用时各自用量占其最大使用量的比例之和、菌落总数</w:t>
            </w:r>
            <w:r/>
          </w:p>
        </w:tc>
      </w:tr>
      <w:tr>
        <w:trPr>
          <w:cantSplit/>
          <w:jc w:val="center"/>
        </w:trPr>
        <w:tc>
          <w:tcPr>
            <w:tcMar>
              <w:top w:w="85" w:type="dxa"/>
              <w:bottom w:w="85"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23</w:t>
            </w:r>
            <w:r/>
          </w:p>
        </w:tc>
        <w:tc>
          <w:tcPr>
            <w:tcMar>
              <w:top w:w="85" w:type="dxa"/>
              <w:bottom w:w="8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淀粉及淀粉制品</w:t>
            </w:r>
            <w:r/>
          </w:p>
        </w:tc>
        <w:tc>
          <w:tcPr>
            <w:tcMar>
              <w:top w:w="85" w:type="dxa"/>
              <w:bottom w:w="8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淀粉及淀粉制品</w:t>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淀粉</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淀粉</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计）、菌落总数、大肠菌群、霉菌和酵母、二氧化硫残留量、脱氢乙酸及其钠盐（以脱氢乙酸计）、葛根素</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淀粉制品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粉丝粉条</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计）、苯甲酸及其钠盐（以苯甲酸计）、山梨酸及其钾盐（以山梨酸计）、铝的残留量（干样品，以</w:t>
            </w:r>
            <w:r>
              <w:rPr>
                <w:rFonts w:ascii="宋体" w:hAnsi="宋体"/>
                <w:color w:val="auto"/>
                <w:sz w:val="20"/>
                <w:szCs w:val="20"/>
                <w:highlight w:val="none"/>
                <w:lang w:bidi="ar"/>
              </w:rPr>
              <w:t xml:space="preserve">Al</w:t>
            </w:r>
            <w:r>
              <w:rPr>
                <w:rFonts w:hint="eastAsia" w:ascii="宋体" w:hAnsi="宋体" w:cs="宋体"/>
                <w:color w:val="auto"/>
                <w:sz w:val="20"/>
                <w:szCs w:val="20"/>
                <w:highlight w:val="none"/>
                <w:lang w:bidi="ar"/>
              </w:rPr>
              <w:t xml:space="preserve">计）、二氧化硫残留量、合成着色剂（柠檬黄、新红、苋菜红、靛蓝、胭脂红、日落黄、诱惑红、亮蓝、酸性红、喹啉黄、赤藓红）</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其他淀粉制品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苯甲酸及其钠盐（以苯甲酸计）、山梨酸及其钾盐（以山梨酸计）、铝的残留量（干样品，以</w:t>
            </w:r>
            <w:r>
              <w:rPr>
                <w:rFonts w:ascii="宋体" w:hAnsi="宋体"/>
                <w:color w:val="auto"/>
                <w:sz w:val="20"/>
                <w:szCs w:val="20"/>
                <w:highlight w:val="none"/>
                <w:lang w:bidi="ar"/>
              </w:rPr>
              <w:t xml:space="preserve">Al</w:t>
            </w:r>
            <w:r>
              <w:rPr>
                <w:rFonts w:hint="eastAsia" w:ascii="宋体" w:hAnsi="宋体" w:cs="宋体"/>
                <w:color w:val="auto"/>
                <w:sz w:val="20"/>
                <w:szCs w:val="20"/>
                <w:highlight w:val="none"/>
                <w:lang w:bidi="ar"/>
              </w:rPr>
              <w:t xml:space="preserve">计）、二氧化硫残留量、合成着色剂（柠檬黄、新红、苋菜红、靛蓝、胭脂红、日落黄、诱惑红、亮蓝、酸性红、喹啉黄、赤藓红）、相同色泽着色剂混合使用时各自用量占其最大使用量的比例之和</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淀粉糖</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淀粉糖</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As计）、葡萄糖含量（以干基计，质量分数）、IMO含量（占干物质，质量分数）、IG2+P+IG3含量（占干物质，质量分数）、果糖（占干基比）、果糖+葡萄糖（占干基比）、5-羟甲基糠醛（以吸光度计）、果糖+葡萄糖含量（以干物质计）、果糖含量（以干物质计）、麦芽糖含量（以干物质计，质量分数）、干物质（固形物）、硫酸灰分</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24</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糕点</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糕点</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糕点</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糕点</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酸价（以脂肪计）（KOH）、过氧化值（以脂肪计）、铅（以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计）、苯甲酸及其钠盐（以苯甲酸计）、山梨酸及其钾盐（以山梨酸计）、糖精钠（以糖精计）、甜蜜素（以环己基氨基磺酸计）、安赛蜜、铝的残留量（干样品，以</w:t>
            </w:r>
            <w:r>
              <w:rPr>
                <w:rFonts w:ascii="宋体" w:hAnsi="宋体"/>
                <w:color w:val="auto"/>
                <w:sz w:val="20"/>
                <w:szCs w:val="20"/>
                <w:highlight w:val="none"/>
                <w:lang w:bidi="ar"/>
              </w:rPr>
              <w:t xml:space="preserve">A1</w:t>
            </w:r>
            <w:r>
              <w:rPr>
                <w:rFonts w:hint="eastAsia" w:ascii="宋体" w:hAnsi="宋体" w:cs="宋体"/>
                <w:color w:val="auto"/>
                <w:sz w:val="20"/>
                <w:szCs w:val="20"/>
                <w:highlight w:val="none"/>
                <w:lang w:bidi="ar"/>
              </w:rPr>
              <w:t xml:space="preserve">计）、丙酸及其钠盐、钙盐（以丙酸计）、脱氢乙酸及其钠盐（以脱氢乙酸计）、纳他霉素、三氯蔗糖、丙二醇、合成着色剂（柠檬黄、日落黄、胭脂红、苋菜红、亮蓝、新红、赤藓红、靛蓝、诱惑红、酸性红、喹啉黄）、防腐剂混合使用时各自用量占其最大使用量的比例之和、菌落总数、大肠菌群、金黄色葡萄球菌、沙门氏菌、霉菌</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月饼</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月饼</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酸价（以脂肪计）（KOH）、过氧化值（以脂肪计）、糖精钠（以糖精计）、苯甲酸及其钠盐（以苯甲酸计）、山梨酸及其钾盐（以山梨酸计）、铝的残留量（干样品，以</w:t>
            </w:r>
            <w:r>
              <w:rPr>
                <w:rFonts w:ascii="宋体" w:hAnsi="宋体"/>
                <w:color w:val="auto"/>
                <w:sz w:val="20"/>
                <w:szCs w:val="20"/>
                <w:highlight w:val="none"/>
                <w:lang w:bidi="ar"/>
              </w:rPr>
              <w:t xml:space="preserve">A1</w:t>
            </w:r>
            <w:r>
              <w:rPr>
                <w:rFonts w:hint="eastAsia" w:ascii="宋体" w:hAnsi="宋体" w:cs="宋体"/>
                <w:color w:val="auto"/>
                <w:sz w:val="20"/>
                <w:szCs w:val="20"/>
                <w:highlight w:val="none"/>
                <w:lang w:bidi="ar"/>
              </w:rPr>
              <w:t xml:space="preserve">计）、丙酸及其钠盐、钙盐（以丙酸计）、脱氢乙酸及其钠盐（以脱氢乙酸计）、纳他霉素、甜蜜素（以环己基氨基磺酸计）、合成着色剂（柠檬黄、日落黄、胭脂红、苋菜红、亮蓝、新红、赤藓红、靛蓝、诱惑红、酸性红、喹啉黄）、防腐剂混合使用时各自用量占其最大使用量的比例之和、菌落总数、大肠菌群、金黄色葡萄球菌、沙门氏菌、霉菌</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粽子</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粽子</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粽子</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过氧化值（以脂肪计）、甜蜜素（以环己基氨基磺酸计）、山梨酸及其钾盐（以山梨酸计）、脱氢乙酸及其钠盐（以脱氢乙酸计）、糖精钠（以糖精计）、安赛蜜、菌落总数、大肠菌群、金黄色葡萄球菌、沙门氏菌、霉菌、商业无菌</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25</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豆制品</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豆制品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发酵性豆制品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腐乳、豆豉、纳豆等</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、苯甲酸及其钠盐（以苯甲酸计）、山梨酸及其钾盐（以山梨酸计）、脱氢乙酸及其钠盐（以脱氢乙酸计）、糖精钠（以糖精计）、甜蜜素（以环己基氨基磺酸计）、铝的残留量（干样品，以</w:t>
            </w:r>
            <w:r>
              <w:rPr>
                <w:rFonts w:ascii="宋体" w:hAnsi="宋体"/>
                <w:color w:val="auto"/>
                <w:sz w:val="20"/>
                <w:szCs w:val="20"/>
                <w:highlight w:val="none"/>
                <w:lang w:bidi="ar"/>
              </w:rPr>
              <w:t xml:space="preserve">A1</w:t>
            </w:r>
            <w:r>
              <w:rPr>
                <w:rFonts w:hint="eastAsia" w:ascii="宋体" w:hAnsi="宋体" w:cs="宋体"/>
                <w:color w:val="auto"/>
                <w:sz w:val="20"/>
                <w:szCs w:val="20"/>
                <w:highlight w:val="none"/>
                <w:lang w:bidi="ar"/>
              </w:rPr>
              <w:t xml:space="preserve">计）、大肠菌群</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非发酵性豆制品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腐竹、油皮及其再制品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计）、碱性嫩黄、苯甲酸及其钠盐（以苯甲酸计）、山梨酸及其钾盐（以山梨酸计）、脱氢乙酸及其钠盐（以脱氢乙酸计）、二氧化硫残留量、铝的残留量（干样品，以</w:t>
            </w:r>
            <w:r>
              <w:rPr>
                <w:rFonts w:ascii="宋体" w:hAnsi="宋体"/>
                <w:color w:val="auto"/>
                <w:sz w:val="20"/>
                <w:szCs w:val="20"/>
                <w:highlight w:val="none"/>
                <w:lang w:bidi="ar"/>
              </w:rPr>
              <w:t xml:space="preserve">A1</w:t>
            </w:r>
            <w:r>
              <w:rPr>
                <w:rFonts w:hint="eastAsia" w:ascii="宋体" w:hAnsi="宋体" w:cs="宋体"/>
                <w:color w:val="auto"/>
                <w:sz w:val="20"/>
                <w:szCs w:val="20"/>
                <w:highlight w:val="none"/>
                <w:lang w:bidi="ar"/>
              </w:rPr>
              <w:t xml:space="preserve">计）、合成着色剂（柠檬黄、日落黄）</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25</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豆制品</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豆制品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非发酵性豆制品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豆干、豆腐、豆皮等</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脱氢乙酸及其钠盐（以脱氢乙酸计）、丙酸及其钠盐、钙盐（以丙酸计）、防腐剂混合使用时各自用量占其最大使用量的比例之和、糖精钠（以糖精计）、三氯蔗糖、甜蜜素（以环己基氨基磺酸计）、铝的残留量（干样品，以</w:t>
            </w:r>
            <w:r>
              <w:rPr>
                <w:rFonts w:ascii="宋体" w:hAnsi="宋体"/>
                <w:color w:val="auto"/>
                <w:sz w:val="20"/>
                <w:szCs w:val="20"/>
                <w:highlight w:val="none"/>
                <w:lang w:bidi="ar"/>
              </w:rPr>
              <w:t xml:space="preserve">A1</w:t>
            </w:r>
            <w:r>
              <w:rPr>
                <w:rFonts w:hint="eastAsia" w:ascii="宋体" w:hAnsi="宋体" w:cs="宋体"/>
                <w:color w:val="auto"/>
                <w:sz w:val="20"/>
                <w:szCs w:val="20"/>
                <w:highlight w:val="none"/>
                <w:lang w:bidi="ar"/>
              </w:rPr>
              <w:t xml:space="preserve">计）、合成着色剂（柠檬黄、日落黄）、大肠菌群、金黄色葡萄球菌</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其他豆制品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大豆蛋白类制品等</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铅（以Pb计）、苯甲酸及其钠盐（以苯甲酸计）、山梨酸及其钾盐（以山梨酸计）、脱氢乙酸及其钠盐（以脱氢乙酸计）、糖精钠（以糖精计）、三氯蔗糖、铝的残留量（干样品，以</w:t>
            </w:r>
            <w:r>
              <w:rPr>
                <w:rFonts w:ascii="宋体" w:hAnsi="宋体"/>
                <w:color w:val="auto"/>
                <w:sz w:val="20"/>
                <w:szCs w:val="20"/>
                <w:highlight w:val="none"/>
                <w:lang w:bidi="ar"/>
              </w:rPr>
              <w:t xml:space="preserve">A1</w:t>
            </w:r>
            <w:r>
              <w:rPr>
                <w:rFonts w:hint="eastAsia" w:ascii="宋体" w:hAnsi="宋体" w:cs="宋体"/>
                <w:color w:val="auto"/>
                <w:sz w:val="20"/>
                <w:szCs w:val="20"/>
                <w:highlight w:val="none"/>
                <w:lang w:bidi="ar"/>
              </w:rPr>
              <w:t xml:space="preserve">计）、大肠菌群</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26</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蜂产品</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蜂产品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蜂蜜</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蜂蜜</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糖和葡萄糖、蔗糖、铅（以Pb计）、山梨酸及其钾盐（以山梨酸计）、氯霉素、呋喃西林代谢物、呋喃唑酮代谢物、甲硝唑、双甲咪、氟胺氰菊酯、诺氟沙星、氧氟沙星、培氟沙星、菌落总数、霉菌计数、嗜渗酵母计数</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蜂王浆（含蜂王浆冻干品）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蜂王浆（含蜂王浆冻干品）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10-</w:t>
            </w:r>
            <w:r>
              <w:rPr>
                <w:rFonts w:hint="eastAsia" w:ascii="宋体" w:hAnsi="宋体" w:cs="宋体"/>
                <w:color w:val="auto"/>
                <w:sz w:val="20"/>
                <w:szCs w:val="20"/>
                <w:highlight w:val="none"/>
                <w:lang w:bidi="ar"/>
              </w:rPr>
              <w:t xml:space="preserve">羟基</w:t>
            </w:r>
            <w:r>
              <w:rPr>
                <w:rFonts w:ascii="宋体" w:hAnsi="宋体"/>
                <w:color w:val="auto"/>
                <w:sz w:val="20"/>
                <w:szCs w:val="20"/>
                <w:highlight w:val="none"/>
                <w:lang w:bidi="ar"/>
              </w:rPr>
              <w:t xml:space="preserve">-2-</w:t>
            </w:r>
            <w:r>
              <w:rPr>
                <w:rFonts w:hint="eastAsia" w:ascii="宋体" w:hAnsi="宋体" w:cs="宋体"/>
                <w:color w:val="auto"/>
                <w:sz w:val="20"/>
                <w:szCs w:val="20"/>
                <w:highlight w:val="none"/>
                <w:lang w:bidi="ar"/>
              </w:rPr>
              <w:t xml:space="preserve">癸烯酸、酸度、呋喃西林代谢物</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蜂花粉</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蜂花粉</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计）、菌落总数、大肠菌群、霉菌</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蜂产品制品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蜂产品制品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山梨酸及其钾盐（以山梨酸计）、菌落总数、合成着色剂（柠檬黄、日落黄）</w:t>
            </w:r>
            <w:r/>
          </w:p>
        </w:tc>
      </w:tr>
      <w:tr>
        <w:trPr>
          <w:cantSplit/>
          <w:jc w:val="center"/>
        </w:trPr>
        <w:tc>
          <w:tcPr>
            <w:tcW w:w="63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27</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保健食品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保健食品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保健食品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保健食品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氨基酸、10-羟基-2-癸烯酸、蛋白质、二十二碳六烯酸、二十碳五烯酸、泛酸、钙、还原糖、肌醇、赖氨酸、绿原酸、铁、维生素A、维生素B</w:t>
            </w:r>
            <w:r>
              <w:rPr>
                <w:rStyle w:val="1026"/>
                <w:rFonts w:hint="default"/>
                <w:color w:val="auto"/>
                <w:highlight w:val="none"/>
                <w:lang w:bidi="ar"/>
              </w:rPr>
              <w:t xml:space="preserve">1</w:t>
            </w:r>
            <w:r>
              <w:rPr>
                <w:rFonts w:hint="eastAsia" w:ascii="宋体" w:hAnsi="宋体" w:cs="宋体"/>
                <w:color w:val="auto"/>
                <w:sz w:val="20"/>
                <w:szCs w:val="20"/>
                <w:highlight w:val="none"/>
                <w:lang w:bidi="ar"/>
              </w:rPr>
              <w:t xml:space="preserve">、维生素B</w:t>
            </w:r>
            <w:r>
              <w:rPr>
                <w:rStyle w:val="1026"/>
                <w:rFonts w:hint="default"/>
                <w:color w:val="auto"/>
                <w:highlight w:val="none"/>
                <w:lang w:bidi="ar"/>
              </w:rPr>
              <w:t xml:space="preserve">12</w:t>
            </w:r>
            <w:r>
              <w:rPr>
                <w:rFonts w:hint="eastAsia" w:ascii="宋体" w:hAnsi="宋体" w:cs="宋体"/>
                <w:color w:val="auto"/>
                <w:sz w:val="20"/>
                <w:szCs w:val="20"/>
                <w:highlight w:val="none"/>
                <w:lang w:bidi="ar"/>
              </w:rPr>
              <w:t xml:space="preserve">、维生素B</w:t>
            </w:r>
            <w:r>
              <w:rPr>
                <w:rStyle w:val="1026"/>
                <w:rFonts w:hint="default"/>
                <w:color w:val="auto"/>
                <w:highlight w:val="none"/>
                <w:lang w:bidi="ar"/>
              </w:rPr>
              <w:t xml:space="preserve">2</w:t>
            </w:r>
            <w:r>
              <w:rPr>
                <w:rFonts w:hint="eastAsia" w:ascii="宋体" w:hAnsi="宋体" w:cs="宋体"/>
                <w:color w:val="auto"/>
                <w:sz w:val="20"/>
                <w:szCs w:val="20"/>
                <w:highlight w:val="none"/>
                <w:lang w:bidi="ar"/>
              </w:rPr>
              <w:t xml:space="preserve">、维生素B</w:t>
            </w:r>
            <w:r>
              <w:rPr>
                <w:rStyle w:val="1026"/>
                <w:rFonts w:hint="default"/>
                <w:color w:val="auto"/>
                <w:highlight w:val="none"/>
                <w:lang w:bidi="ar"/>
              </w:rPr>
              <w:t xml:space="preserve">6</w:t>
            </w:r>
            <w:r>
              <w:rPr>
                <w:rFonts w:hint="eastAsia" w:ascii="宋体" w:hAnsi="宋体" w:cs="宋体"/>
                <w:color w:val="auto"/>
                <w:sz w:val="20"/>
                <w:szCs w:val="20"/>
                <w:highlight w:val="none"/>
                <w:lang w:bidi="ar"/>
              </w:rPr>
              <w:t xml:space="preserve">、维生素C、维生素D、维生素D</w:t>
            </w:r>
            <w:r>
              <w:rPr>
                <w:rStyle w:val="1026"/>
                <w:rFonts w:hint="default"/>
                <w:color w:val="auto"/>
                <w:highlight w:val="none"/>
                <w:lang w:bidi="ar"/>
              </w:rPr>
              <w:t xml:space="preserve">3</w:t>
            </w:r>
            <w:r>
              <w:rPr>
                <w:rFonts w:hint="eastAsia" w:ascii="宋体" w:hAnsi="宋体" w:cs="宋体"/>
                <w:color w:val="auto"/>
                <w:sz w:val="20"/>
                <w:szCs w:val="20"/>
                <w:highlight w:val="none"/>
                <w:lang w:bidi="ar"/>
              </w:rPr>
              <w:t xml:space="preserve">、维生素E、硒、锌、烟酸、烟酰胺、叶酸、免疫球蛋白IgG、总黄酮、总皂苷、总蔥醌、吡啶甲酸铬、水分、可溶性固形物、酸价、过氧化值、崩解时限、灰分、铅（Pb）、总砷（As）、总汞（Hg）、硬胶囊壳中的铬、菌落总数、大肠菌群、霉菌和酵母、金黄色葡萄球菌、沙门氏菌</w:t>
            </w:r>
            <w:r/>
          </w:p>
        </w:tc>
      </w:tr>
      <w:tr>
        <w:trPr>
          <w:cantSplit/>
          <w:jc w:val="center"/>
        </w:trPr>
        <w:tc>
          <w:tcPr>
            <w:tcMar>
              <w:top w:w="28" w:type="dxa"/>
              <w:bottom w:w="28"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28</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特殊膳食食品</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婴幼儿辅助食品</w:t>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婴幼儿谷类辅助食品</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婴幼儿谷物辅助食品、婴幼儿高蛋白谷物辅助食品、婴幼儿生制类谷物辅助食品、婴幼儿饼干或其他婴幼儿谷物辅助食品</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能量、蛋白质、脂肪、亚油酸、月桂酸占总脂肪的比值、肉豆蔻酸占总脂肪的比值、维生素</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D</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、钙、铁、锌、钠、维生素</w:t>
            </w:r>
            <w:r>
              <w:rPr>
                <w:rFonts w:ascii="宋体" w:hAnsi="宋体"/>
                <w:color w:val="auto"/>
                <w:sz w:val="20"/>
                <w:szCs w:val="20"/>
                <w:highlight w:val="none"/>
                <w:lang w:bidi="ar"/>
              </w:rPr>
              <w:t xml:space="preserve">E</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6</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12</w:t>
            </w:r>
            <w:r>
              <w:rPr>
                <w:rFonts w:hint="eastAsia" w:ascii="宋体" w:hAnsi="宋体" w:cs="宋体"/>
                <w:color w:val="auto"/>
                <w:sz w:val="20"/>
                <w:szCs w:val="20"/>
                <w:highlight w:val="none"/>
                <w:lang w:bidi="ar"/>
              </w:rPr>
              <w:t xml:space="preserve">、烟酸、叶酸、泛酸、维生素</w:t>
            </w:r>
            <w:r>
              <w:rPr>
                <w:rFonts w:ascii="宋体" w:hAnsi="宋体"/>
                <w:color w:val="auto"/>
                <w:sz w:val="20"/>
                <w:szCs w:val="20"/>
                <w:highlight w:val="none"/>
                <w:lang w:bidi="ar"/>
              </w:rPr>
              <w:t xml:space="preserve">C</w:t>
            </w:r>
            <w:r>
              <w:rPr>
                <w:rFonts w:hint="eastAsia" w:ascii="宋体" w:hAnsi="宋体" w:cs="宋体"/>
                <w:color w:val="auto"/>
                <w:sz w:val="20"/>
                <w:szCs w:val="20"/>
                <w:highlight w:val="none"/>
                <w:lang w:bidi="ar"/>
              </w:rPr>
              <w:t xml:space="preserve">、生物素、磷、碘、钾、水分、不溶性膳食纤维、脲酶活性定性测定、铅（以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计）、无机砷（以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计）、锡（以</w:t>
            </w:r>
            <w:r>
              <w:rPr>
                <w:rFonts w:ascii="宋体" w:hAnsi="宋体"/>
                <w:color w:val="auto"/>
                <w:sz w:val="20"/>
                <w:szCs w:val="20"/>
                <w:highlight w:val="none"/>
                <w:lang w:bidi="ar"/>
              </w:rPr>
              <w:t xml:space="preserve">Sn</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3</w:t>
            </w:r>
            <w:r>
              <w:rPr>
                <w:rFonts w:hint="eastAsia" w:ascii="宋体" w:hAnsi="宋体" w:cs="宋体"/>
                <w:color w:val="auto"/>
                <w:sz w:val="20"/>
                <w:szCs w:val="20"/>
                <w:highlight w:val="none"/>
                <w:lang w:bidi="ar"/>
              </w:rPr>
              <w:t xml:space="preserve">计）、亚硝酸盐（以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计）、菌落总数、大肠菌群、沙门氏菌、二十二碳六烯酸、花生四烯酸、金黄色葡萄球菌</w:t>
            </w:r>
            <w:r/>
          </w:p>
        </w:tc>
      </w:tr>
      <w:tr>
        <w:trPr>
          <w:cantSplit/>
          <w:jc w:val="center"/>
        </w:trPr>
        <w:tc>
          <w:tcPr>
            <w:tcMar>
              <w:top w:w="28" w:type="dxa"/>
              <w:bottom w:w="28"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婴幼儿罐装辅助食品</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泥（糊）状罐装食品、颗粒状罐装食品、汁类罐装食品</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蛋白质、脂肪、总钠、铅（以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计）、无机砷（以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计）、总汞（以</w:t>
            </w:r>
            <w:r>
              <w:rPr>
                <w:rFonts w:ascii="宋体" w:hAnsi="宋体"/>
                <w:color w:val="auto"/>
                <w:sz w:val="20"/>
                <w:szCs w:val="20"/>
                <w:highlight w:val="none"/>
                <w:lang w:bidi="ar"/>
              </w:rPr>
              <w:t xml:space="preserve">Hg</w:t>
            </w:r>
            <w:r>
              <w:rPr>
                <w:rFonts w:hint="eastAsia" w:ascii="宋体" w:hAnsi="宋体" w:cs="宋体"/>
                <w:color w:val="auto"/>
                <w:sz w:val="20"/>
                <w:szCs w:val="20"/>
                <w:highlight w:val="none"/>
                <w:lang w:bidi="ar"/>
              </w:rPr>
              <w:t xml:space="preserve">计）、锡（以</w:t>
            </w:r>
            <w:r>
              <w:rPr>
                <w:rFonts w:ascii="宋体" w:hAnsi="宋体"/>
                <w:color w:val="auto"/>
                <w:sz w:val="20"/>
                <w:szCs w:val="20"/>
                <w:highlight w:val="none"/>
                <w:lang w:bidi="ar"/>
              </w:rPr>
              <w:t xml:space="preserve">Sn</w:t>
            </w:r>
            <w:r>
              <w:rPr>
                <w:rFonts w:hint="eastAsia" w:ascii="宋体" w:hAnsi="宋体" w:cs="宋体"/>
                <w:color w:val="auto"/>
                <w:sz w:val="20"/>
                <w:szCs w:val="20"/>
                <w:highlight w:val="none"/>
                <w:lang w:bidi="ar"/>
              </w:rPr>
              <w:t xml:space="preserve">计）、硝酸盐（以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3</w:t>
            </w:r>
            <w:r>
              <w:rPr>
                <w:rFonts w:hint="eastAsia" w:ascii="宋体" w:hAnsi="宋体" w:cs="宋体"/>
                <w:color w:val="auto"/>
                <w:sz w:val="20"/>
                <w:szCs w:val="20"/>
                <w:highlight w:val="none"/>
                <w:lang w:bidi="ar"/>
              </w:rPr>
              <w:t xml:space="preserve">计）、亚硝酸盐（以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计）、商业无菌、霉菌</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营养补充品</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营养补充品</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辅食营养素补充食品、辅食营养素补充片、辅食营养素撒剂</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蛋白质、钙、铁、锌、维生素</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D</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K</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、烟酸（烟酰胺）、维生素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6</w:t>
            </w:r>
            <w:r>
              <w:rPr>
                <w:rFonts w:hint="eastAsia" w:ascii="宋体" w:hAnsi="宋体" w:cs="宋体"/>
                <w:color w:val="auto"/>
                <w:sz w:val="20"/>
                <w:szCs w:val="20"/>
                <w:highlight w:val="none"/>
                <w:lang w:bidi="ar"/>
              </w:rPr>
              <w:t xml:space="preserve">、叶酸、维生素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12</w:t>
            </w:r>
            <w:r>
              <w:rPr>
                <w:rFonts w:hint="eastAsia" w:ascii="宋体" w:hAnsi="宋体" w:cs="宋体"/>
                <w:color w:val="auto"/>
                <w:sz w:val="20"/>
                <w:szCs w:val="20"/>
                <w:highlight w:val="none"/>
                <w:lang w:bidi="ar"/>
              </w:rPr>
              <w:t xml:space="preserve">、泛酸、胆碱、生物素、维生素</w:t>
            </w:r>
            <w:r>
              <w:rPr>
                <w:rFonts w:ascii="宋体" w:hAnsi="宋体"/>
                <w:color w:val="auto"/>
                <w:sz w:val="20"/>
                <w:szCs w:val="20"/>
                <w:highlight w:val="none"/>
                <w:lang w:bidi="ar"/>
              </w:rPr>
              <w:t xml:space="preserve">C</w:t>
            </w:r>
            <w:r>
              <w:rPr>
                <w:rFonts w:hint="eastAsia" w:ascii="宋体" w:hAnsi="宋体" w:cs="宋体"/>
                <w:color w:val="auto"/>
                <w:sz w:val="20"/>
                <w:szCs w:val="20"/>
                <w:highlight w:val="none"/>
                <w:lang w:bidi="ar"/>
              </w:rPr>
              <w:t xml:space="preserve">、二十二碳六烯酸、脲酶活性定性、铅（以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M</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3</w:t>
            </w:r>
            <w:r>
              <w:rPr>
                <w:rFonts w:hint="eastAsia" w:ascii="宋体" w:hAnsi="宋体" w:cs="宋体"/>
                <w:color w:val="auto"/>
                <w:sz w:val="20"/>
                <w:szCs w:val="20"/>
                <w:highlight w:val="none"/>
                <w:lang w:bidi="ar"/>
              </w:rPr>
              <w:t xml:space="preserve">计）、亚硝酸盐（以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计）、菌落总数、大肠菌群、沙门氏菌、金黄色葡萄球菌</w:t>
            </w:r>
            <w:r/>
          </w:p>
        </w:tc>
      </w:tr>
      <w:tr>
        <w:trPr>
          <w:cantSplit/>
          <w:jc w:val="center"/>
        </w:trPr>
        <w:tc>
          <w:tcPr>
            <w:tcMar>
              <w:top w:w="28" w:type="dxa"/>
              <w:bottom w:w="28"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孕妇及乳母营养补充食品</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铁、维生素</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D</w:t>
            </w:r>
            <w:r>
              <w:rPr>
                <w:rFonts w:hint="eastAsia" w:ascii="宋体" w:hAnsi="宋体" w:cs="宋体"/>
                <w:color w:val="auto"/>
                <w:sz w:val="20"/>
                <w:szCs w:val="20"/>
                <w:highlight w:val="none"/>
                <w:lang w:bidi="ar"/>
              </w:rPr>
              <w:t xml:space="preserve">、叶酸、维生素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12</w:t>
            </w:r>
            <w:r>
              <w:rPr>
                <w:rFonts w:hint="eastAsia" w:ascii="宋体" w:hAnsi="宋体" w:cs="宋体"/>
                <w:color w:val="auto"/>
                <w:sz w:val="20"/>
                <w:szCs w:val="20"/>
                <w:highlight w:val="none"/>
                <w:lang w:bidi="ar"/>
              </w:rPr>
              <w:t xml:space="preserve">、钙、镁、锌、硒、维生素</w:t>
            </w:r>
            <w:r>
              <w:rPr>
                <w:rFonts w:ascii="宋体" w:hAnsi="宋体"/>
                <w:color w:val="auto"/>
                <w:sz w:val="20"/>
                <w:szCs w:val="20"/>
                <w:highlight w:val="none"/>
                <w:lang w:bidi="ar"/>
              </w:rPr>
              <w:t xml:space="preserve">E</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K</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6</w:t>
            </w:r>
            <w:r>
              <w:rPr>
                <w:rFonts w:hint="eastAsia" w:ascii="宋体" w:hAnsi="宋体" w:cs="宋体"/>
                <w:color w:val="auto"/>
                <w:sz w:val="20"/>
                <w:szCs w:val="20"/>
                <w:highlight w:val="none"/>
                <w:lang w:bidi="ar"/>
              </w:rPr>
              <w:t xml:space="preserve">、烟酸（烟酰胺）、泛酸、胆碱、生物素、维生素</w:t>
            </w:r>
            <w:r>
              <w:rPr>
                <w:rFonts w:ascii="宋体" w:hAnsi="宋体"/>
                <w:color w:val="auto"/>
                <w:sz w:val="20"/>
                <w:szCs w:val="20"/>
                <w:highlight w:val="none"/>
                <w:lang w:bidi="ar"/>
              </w:rPr>
              <w:t xml:space="preserve">C</w:t>
            </w:r>
            <w:r>
              <w:rPr>
                <w:rFonts w:hint="eastAsia" w:ascii="宋体" w:hAnsi="宋体" w:cs="宋体"/>
                <w:color w:val="auto"/>
                <w:sz w:val="20"/>
                <w:szCs w:val="20"/>
                <w:highlight w:val="none"/>
                <w:lang w:bidi="ar"/>
              </w:rPr>
              <w:t xml:space="preserve">、二十二碳六烯酸、脲酶活性定性、铅（以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3</w:t>
            </w:r>
            <w:r>
              <w:rPr>
                <w:rFonts w:hint="eastAsia" w:ascii="宋体" w:hAnsi="宋体" w:cs="宋体"/>
                <w:color w:val="auto"/>
                <w:sz w:val="20"/>
                <w:szCs w:val="20"/>
                <w:highlight w:val="none"/>
                <w:lang w:bidi="ar"/>
              </w:rPr>
              <w:t xml:space="preserve">计）、亚硝酸盐（以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M</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、大肠菌群、沙门氏菌、金黄色葡萄球菌</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运动营养食品</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咖啡因、肌酸、肽类、维生素</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D</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E</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6</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12</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C</w:t>
            </w:r>
            <w:r>
              <w:rPr>
                <w:rFonts w:hint="eastAsia" w:ascii="宋体" w:hAnsi="宋体" w:cs="宋体"/>
                <w:color w:val="auto"/>
                <w:sz w:val="20"/>
                <w:szCs w:val="20"/>
                <w:highlight w:val="none"/>
                <w:lang w:bidi="ar"/>
              </w:rPr>
              <w:t xml:space="preserve">、叶酸、烟酸、生物素、泛酸、钙、钠、钾、镁、铁、锌、硒、铜、碘、锰、磷、钼、铬、左旋肉碱、牛磺酸、铅（以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M</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、沙门氏菌、金黄色葡萄球菌</w:t>
            </w:r>
            <w:r/>
          </w:p>
        </w:tc>
      </w:tr>
      <w:tr>
        <w:trPr>
          <w:cantSplit/>
          <w:jc w:val="center"/>
        </w:trPr>
        <w:tc>
          <w:tcPr>
            <w:tcW w:w="630" w:type="dxa"/>
            <w:vAlign w:val="center"/>
            <w:vMerge w:val="restart"/>
            <w:textDirection w:val="lrTb"/>
            <w:noWrap w:val="false"/>
          </w:tcPr>
          <w:p>
            <w:pPr>
              <w:jc w:val="center"/>
              <w:spacing w:line="290" w:lineRule="exact"/>
              <w:widowControl/>
              <w:rPr>
                <w:rFonts w:ascii="宋体" w:hAnsi="宋体"/>
                <w:color w:val="auto"/>
                <w:sz w:val="20"/>
                <w:szCs w:val="20"/>
                <w:highlight w:val="none"/>
              </w:rPr>
            </w:pPr>
            <w:r>
              <w:rPr>
                <w:rFonts w:ascii="宋体" w:hAnsi="宋体"/>
                <w:color w:val="auto"/>
                <w:sz w:val="20"/>
                <w:szCs w:val="20"/>
                <w:highlight w:val="none"/>
                <w:lang w:bidi="ar"/>
              </w:rPr>
              <w:t xml:space="preserve">29</w:t>
            </w:r>
            <w:r/>
          </w:p>
        </w:tc>
        <w:tc>
          <w:tcPr>
            <w:tcW w:w="1247" w:type="dxa"/>
            <w:vAlign w:val="center"/>
            <w:vMerge w:val="restart"/>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特殊医学用途配方食品</w:t>
            </w:r>
            <w:r/>
          </w:p>
        </w:tc>
        <w:tc>
          <w:tcPr>
            <w:tcW w:w="1247" w:type="dxa"/>
            <w:vAlign w:val="center"/>
            <w:vMerge w:val="restart"/>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特殊医学用途配方食品</w:t>
            </w:r>
            <w:r/>
          </w:p>
        </w:tc>
        <w:tc>
          <w:tcPr>
            <w:tcW w:w="1247" w:type="dxa"/>
            <w:vAlign w:val="center"/>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特殊医学用途婴儿配方食品</w:t>
            </w:r>
            <w:r/>
          </w:p>
        </w:tc>
        <w:tc>
          <w:tcPr>
            <w:tcW w:w="1680" w:type="dxa"/>
            <w:vAlign w:val="center"/>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特殊医学用途婴儿配方食品</w:t>
            </w:r>
            <w:r/>
          </w:p>
        </w:tc>
        <w:tc>
          <w:tcPr>
            <w:tcW w:w="675" w:type="dxa"/>
            <w:vAlign w:val="center"/>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90" w:lineRule="exact"/>
              <w:widowControl/>
              <w:rPr>
                <w:rFonts w:ascii="宋体" w:hAnsi="宋体"/>
                <w:color w:val="auto"/>
                <w:sz w:val="20"/>
                <w:szCs w:val="20"/>
                <w:highlight w:val="none"/>
              </w:rPr>
            </w:pPr>
            <w:r>
              <w:rPr>
                <w:rFonts w:ascii="宋体" w:hAnsi="宋体"/>
                <w:color w:val="auto"/>
                <w:sz w:val="20"/>
                <w:szCs w:val="20"/>
                <w:highlight w:val="none"/>
                <w:lang w:bidi="ar"/>
              </w:rPr>
              <w:t xml:space="preserve">蛋白质、脂肪、亚油酸、α-亚麻酸、亚油酸与α-亚麻酸比值、终产品脂肪中月桂酸和肉豆蔻酸（十四烷酸）总量占总脂肪酸的比值、芥酸与总脂肪酸比值、反式脂肪酸与总脂肪酸比值、碳水化合物、维生素A、维生素D、维生素E、维生素K</w:t>
            </w:r>
            <w:r>
              <w:rPr>
                <w:rStyle w:val="1025"/>
                <w:rFonts w:ascii="宋体" w:hAnsi="宋体"/>
                <w:color w:val="auto"/>
                <w:highlight w:val="none"/>
                <w:lang w:bidi="ar"/>
              </w:rPr>
              <w:t xml:space="preserve">1</w:t>
            </w:r>
            <w:r>
              <w:rPr>
                <w:rFonts w:ascii="宋体" w:hAnsi="宋体"/>
                <w:color w:val="auto"/>
                <w:sz w:val="20"/>
                <w:szCs w:val="20"/>
                <w:highlight w:val="none"/>
                <w:lang w:bidi="ar"/>
              </w:rPr>
              <w:t xml:space="preserve">、维生素B</w:t>
            </w:r>
            <w:r>
              <w:rPr>
                <w:rStyle w:val="1025"/>
                <w:rFonts w:ascii="宋体" w:hAnsi="宋体"/>
                <w:color w:val="auto"/>
                <w:highlight w:val="none"/>
                <w:lang w:bidi="ar"/>
              </w:rPr>
              <w:t xml:space="preserve">1</w:t>
            </w:r>
            <w:r>
              <w:rPr>
                <w:rFonts w:ascii="宋体" w:hAnsi="宋体"/>
                <w:color w:val="auto"/>
                <w:sz w:val="20"/>
                <w:szCs w:val="20"/>
                <w:highlight w:val="none"/>
                <w:lang w:bidi="ar"/>
              </w:rPr>
              <w:t xml:space="preserve">、维生素B</w:t>
            </w:r>
            <w:r>
              <w:rPr>
                <w:rStyle w:val="1025"/>
                <w:rFonts w:ascii="宋体" w:hAnsi="宋体"/>
                <w:color w:val="auto"/>
                <w:highlight w:val="none"/>
                <w:lang w:bidi="ar"/>
              </w:rPr>
              <w:t xml:space="preserve">2</w:t>
            </w:r>
            <w:r>
              <w:rPr>
                <w:rFonts w:ascii="宋体" w:hAnsi="宋体"/>
                <w:color w:val="auto"/>
                <w:sz w:val="20"/>
                <w:szCs w:val="20"/>
                <w:highlight w:val="none"/>
                <w:lang w:bidi="ar"/>
              </w:rPr>
              <w:t xml:space="preserve">、维生素B</w:t>
            </w:r>
            <w:r>
              <w:rPr>
                <w:rStyle w:val="1025"/>
                <w:rFonts w:ascii="宋体" w:hAnsi="宋体"/>
                <w:color w:val="auto"/>
                <w:highlight w:val="none"/>
                <w:lang w:bidi="ar"/>
              </w:rPr>
              <w:t xml:space="preserve">6</w:t>
            </w:r>
            <w:r>
              <w:rPr>
                <w:rFonts w:ascii="宋体" w:hAnsi="宋体"/>
                <w:color w:val="auto"/>
                <w:sz w:val="20"/>
                <w:szCs w:val="20"/>
                <w:highlight w:val="none"/>
                <w:lang w:bidi="ar"/>
              </w:rPr>
              <w:t xml:space="preserve">、维生素B</w:t>
            </w:r>
            <w:r>
              <w:rPr>
                <w:rStyle w:val="1025"/>
                <w:rFonts w:ascii="宋体" w:hAnsi="宋体"/>
                <w:color w:val="auto"/>
                <w:highlight w:val="none"/>
                <w:lang w:bidi="ar"/>
              </w:rPr>
              <w:t xml:space="preserve">12</w:t>
            </w:r>
            <w:r>
              <w:rPr>
                <w:rFonts w:ascii="宋体" w:hAnsi="宋体"/>
                <w:color w:val="auto"/>
                <w:sz w:val="20"/>
                <w:szCs w:val="20"/>
                <w:highlight w:val="none"/>
                <w:lang w:bidi="ar"/>
              </w:rPr>
              <w:t xml:space="preserve">、烟酸（烟酰胺）、叶酸、泛酸、维生素C、生物素、钠、钾、铜、镁、铁、锌、锰、钙、磷、钙磷比值、碘、氯、硒、铬、钼、胆碱、肌醇、牛磺酸、左旋肉碱、二十二碳六烯酸与总脂肪酸比、二十碳四烯酸与总脂肪酸比、二十二碳六烯酸（22:6n-3）与二十碳四烯酸（20:4n-6）的比、长链不饱和脂肪酸中二十碳五烯酸（20:5n-3）的量与二十二碳六烯酸的量的比、二十二碳六烯酸、二十碳四烯酸、水分、灰分、杂质度、脲酶活性定性测定、核苷酸、叶黄素、铅（以Pb计）、锡（以Sn计）、黄曲霉毒素M</w:t>
            </w:r>
            <w:r>
              <w:rPr>
                <w:rStyle w:val="1025"/>
                <w:rFonts w:ascii="宋体" w:hAnsi="宋体"/>
                <w:color w:val="auto"/>
                <w:highlight w:val="none"/>
                <w:lang w:bidi="ar"/>
              </w:rPr>
              <w:t xml:space="preserve">1</w:t>
            </w:r>
            <w:r>
              <w:rPr>
                <w:rFonts w:ascii="宋体" w:hAnsi="宋体"/>
                <w:color w:val="auto"/>
                <w:sz w:val="20"/>
                <w:szCs w:val="20"/>
                <w:highlight w:val="none"/>
                <w:lang w:bidi="ar"/>
              </w:rPr>
              <w:t xml:space="preserve">、黄曲霉毒素B</w:t>
            </w:r>
            <w:r>
              <w:rPr>
                <w:rStyle w:val="1025"/>
                <w:rFonts w:ascii="宋体" w:hAnsi="宋体"/>
                <w:color w:val="auto"/>
                <w:highlight w:val="none"/>
                <w:lang w:bidi="ar"/>
              </w:rPr>
              <w:t xml:space="preserve">1</w:t>
            </w:r>
            <w:r>
              <w:rPr>
                <w:rFonts w:ascii="宋体" w:hAnsi="宋体"/>
                <w:color w:val="auto"/>
                <w:sz w:val="20"/>
                <w:szCs w:val="20"/>
                <w:highlight w:val="none"/>
                <w:lang w:bidi="ar"/>
              </w:rPr>
              <w:t xml:space="preserve">、硝酸盐（以NaNO</w:t>
            </w:r>
            <w:r>
              <w:rPr>
                <w:rStyle w:val="1025"/>
                <w:rFonts w:ascii="宋体" w:hAnsi="宋体"/>
                <w:color w:val="auto"/>
                <w:highlight w:val="none"/>
                <w:lang w:bidi="ar"/>
              </w:rPr>
              <w:t xml:space="preserve">3</w:t>
            </w:r>
            <w:r>
              <w:rPr>
                <w:rFonts w:ascii="宋体" w:hAnsi="宋体"/>
                <w:color w:val="auto"/>
                <w:sz w:val="20"/>
                <w:szCs w:val="20"/>
                <w:highlight w:val="none"/>
                <w:lang w:bidi="ar"/>
              </w:rPr>
              <w:t xml:space="preserve">计）、亚硝酸盐（以NaNO</w:t>
            </w:r>
            <w:r>
              <w:rPr>
                <w:rStyle w:val="1025"/>
                <w:rFonts w:ascii="宋体" w:hAnsi="宋体"/>
                <w:color w:val="auto"/>
                <w:highlight w:val="none"/>
                <w:lang w:bidi="ar"/>
              </w:rPr>
              <w:t xml:space="preserve">2</w:t>
            </w:r>
            <w:r>
              <w:rPr>
                <w:rFonts w:ascii="宋体" w:hAnsi="宋体"/>
                <w:color w:val="auto"/>
                <w:sz w:val="20"/>
                <w:szCs w:val="20"/>
                <w:highlight w:val="none"/>
                <w:lang w:bidi="ar"/>
              </w:rPr>
              <w:t xml:space="preserve">计）、三聚氰胺、菌落总数、大肠菌群、沙门氏菌、金黄色葡萄球菌、克罗诺杆菌属（阪崎肠杆菌）、商业无菌、果聚糖</w:t>
            </w:r>
            <w:r/>
          </w:p>
        </w:tc>
      </w:tr>
      <w:tr>
        <w:trPr>
          <w:cantSplit/>
          <w:jc w:val="center"/>
        </w:trPr>
        <w:tc>
          <w:tcPr>
            <w:tcW w:w="630" w:type="dxa"/>
            <w:vAlign w:val="center"/>
            <w:vMerge w:val="continue"/>
            <w:textDirection w:val="lrTb"/>
            <w:noWrap w:val="false"/>
          </w:tcPr>
          <w:p>
            <w:pPr>
              <w:jc w:val="center"/>
              <w:spacing w:line="29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9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9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restart"/>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特殊医学用途配方食品</w:t>
            </w:r>
            <w:r/>
          </w:p>
        </w:tc>
        <w:tc>
          <w:tcPr>
            <w:tcW w:w="1680" w:type="dxa"/>
            <w:vAlign w:val="center"/>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全营养配方食品</w:t>
            </w:r>
            <w:r/>
          </w:p>
        </w:tc>
        <w:tc>
          <w:tcPr>
            <w:tcW w:w="675" w:type="dxa"/>
            <w:vAlign w:val="center"/>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90" w:lineRule="exact"/>
              <w:widowControl/>
              <w:rPr>
                <w:rFonts w:ascii="宋体" w:hAnsi="宋体"/>
                <w:color w:val="auto"/>
                <w:sz w:val="20"/>
                <w:szCs w:val="20"/>
                <w:highlight w:val="none"/>
              </w:rPr>
            </w:pPr>
            <w:r>
              <w:rPr>
                <w:rFonts w:ascii="宋体" w:hAnsi="宋体"/>
                <w:color w:val="auto"/>
                <w:sz w:val="20"/>
                <w:szCs w:val="20"/>
                <w:highlight w:val="none"/>
                <w:lang w:bidi="ar"/>
              </w:rPr>
              <w:t xml:space="preserve">蛋白质、亚油酸供能比、α-亚麻酸供能比、维生素A、维生素D、维生素E、维生素K</w:t>
            </w:r>
            <w:r>
              <w:rPr>
                <w:rStyle w:val="1025"/>
                <w:rFonts w:ascii="宋体" w:hAnsi="宋体"/>
                <w:color w:val="auto"/>
                <w:highlight w:val="none"/>
                <w:lang w:bidi="ar"/>
              </w:rPr>
              <w:t xml:space="preserve">1</w:t>
            </w:r>
            <w:r>
              <w:rPr>
                <w:rFonts w:ascii="宋体" w:hAnsi="宋体"/>
                <w:color w:val="auto"/>
                <w:sz w:val="20"/>
                <w:szCs w:val="20"/>
                <w:highlight w:val="none"/>
                <w:lang w:bidi="ar"/>
              </w:rPr>
              <w:t xml:space="preserve">、维生素B</w:t>
            </w:r>
            <w:r>
              <w:rPr>
                <w:rStyle w:val="1025"/>
                <w:rFonts w:ascii="宋体" w:hAnsi="宋体"/>
                <w:color w:val="auto"/>
                <w:highlight w:val="none"/>
                <w:lang w:bidi="ar"/>
              </w:rPr>
              <w:t xml:space="preserve">1</w:t>
            </w:r>
            <w:r>
              <w:rPr>
                <w:rFonts w:ascii="宋体" w:hAnsi="宋体"/>
                <w:color w:val="auto"/>
                <w:sz w:val="20"/>
                <w:szCs w:val="20"/>
                <w:highlight w:val="none"/>
                <w:lang w:bidi="ar"/>
              </w:rPr>
              <w:t xml:space="preserve">、维生素B</w:t>
            </w:r>
            <w:r>
              <w:rPr>
                <w:rStyle w:val="1025"/>
                <w:rFonts w:ascii="宋体" w:hAnsi="宋体"/>
                <w:color w:val="auto"/>
                <w:highlight w:val="none"/>
                <w:lang w:bidi="ar"/>
              </w:rPr>
              <w:t xml:space="preserve">2</w:t>
            </w:r>
            <w:r>
              <w:rPr>
                <w:rFonts w:ascii="宋体" w:hAnsi="宋体"/>
                <w:color w:val="auto"/>
                <w:sz w:val="20"/>
                <w:szCs w:val="20"/>
                <w:highlight w:val="none"/>
                <w:lang w:bidi="ar"/>
              </w:rPr>
              <w:t xml:space="preserve">、维生素B</w:t>
            </w:r>
            <w:r>
              <w:rPr>
                <w:rStyle w:val="1025"/>
                <w:rFonts w:ascii="宋体" w:hAnsi="宋体"/>
                <w:color w:val="auto"/>
                <w:highlight w:val="none"/>
                <w:lang w:bidi="ar"/>
              </w:rPr>
              <w:t xml:space="preserve">6</w:t>
            </w:r>
            <w:r>
              <w:rPr>
                <w:rFonts w:ascii="宋体" w:hAnsi="宋体"/>
                <w:color w:val="auto"/>
                <w:sz w:val="20"/>
                <w:szCs w:val="20"/>
                <w:highlight w:val="none"/>
                <w:lang w:bidi="ar"/>
              </w:rPr>
              <w:t xml:space="preserve">、维生素B</w:t>
            </w:r>
            <w:r>
              <w:rPr>
                <w:rStyle w:val="1025"/>
                <w:rFonts w:ascii="宋体" w:hAnsi="宋体"/>
                <w:color w:val="auto"/>
                <w:highlight w:val="none"/>
                <w:lang w:bidi="ar"/>
              </w:rPr>
              <w:t xml:space="preserve">12</w:t>
            </w:r>
            <w:r>
              <w:rPr>
                <w:rFonts w:ascii="宋体" w:hAnsi="宋体"/>
                <w:color w:val="auto"/>
                <w:sz w:val="20"/>
                <w:szCs w:val="20"/>
                <w:highlight w:val="none"/>
                <w:lang w:bidi="ar"/>
              </w:rPr>
              <w:t xml:space="preserve">、烟酸（烟酰胺）、叶酸、泛酸、维生素C、生物素、钠、钾、铜、镁、铁、锌、锰、钙、磷、碘、氯、硒、铬、钼、氟、胆碱、肌醇、牛磺酸、左旋肉碱、二十二碳六烯酸与总脂肪酸比、二十碳四烯酸与总脂肪酸比、二十二碳六烯酸、二十碳四烯酸、核苷酸、铅（以Pb计）、锡（以Sn计）、黄曲霉毒素M</w:t>
            </w:r>
            <w:r>
              <w:rPr>
                <w:rStyle w:val="1025"/>
                <w:rFonts w:ascii="宋体" w:hAnsi="宋体"/>
                <w:color w:val="auto"/>
                <w:highlight w:val="none"/>
                <w:lang w:bidi="ar"/>
              </w:rPr>
              <w:t xml:space="preserve">1</w:t>
            </w:r>
            <w:r>
              <w:rPr>
                <w:rFonts w:ascii="宋体" w:hAnsi="宋体"/>
                <w:color w:val="auto"/>
                <w:sz w:val="20"/>
                <w:szCs w:val="20"/>
                <w:highlight w:val="none"/>
                <w:lang w:bidi="ar"/>
              </w:rPr>
              <w:t xml:space="preserve">、黄曲霉毒素B</w:t>
            </w:r>
            <w:r>
              <w:rPr>
                <w:rStyle w:val="1025"/>
                <w:rFonts w:ascii="宋体" w:hAnsi="宋体"/>
                <w:color w:val="auto"/>
                <w:highlight w:val="none"/>
                <w:lang w:bidi="ar"/>
              </w:rPr>
              <w:t xml:space="preserve">1</w:t>
            </w:r>
            <w:r>
              <w:rPr>
                <w:rFonts w:ascii="宋体" w:hAnsi="宋体"/>
                <w:color w:val="auto"/>
                <w:sz w:val="20"/>
                <w:szCs w:val="20"/>
                <w:highlight w:val="none"/>
                <w:lang w:bidi="ar"/>
              </w:rPr>
              <w:t xml:space="preserve">、硝酸盐（以NaNO</w:t>
            </w:r>
            <w:r>
              <w:rPr>
                <w:rStyle w:val="1025"/>
                <w:rFonts w:ascii="宋体" w:hAnsi="宋体"/>
                <w:color w:val="auto"/>
                <w:highlight w:val="none"/>
                <w:lang w:bidi="ar"/>
              </w:rPr>
              <w:t xml:space="preserve">3</w:t>
            </w:r>
            <w:r>
              <w:rPr>
                <w:rFonts w:ascii="宋体" w:hAnsi="宋体"/>
                <w:color w:val="auto"/>
                <w:sz w:val="20"/>
                <w:szCs w:val="20"/>
                <w:highlight w:val="none"/>
                <w:lang w:bidi="ar"/>
              </w:rPr>
              <w:t xml:space="preserve">计）、亚硝酸盐（以NaNO</w:t>
            </w:r>
            <w:r>
              <w:rPr>
                <w:rStyle w:val="1025"/>
                <w:rFonts w:ascii="宋体" w:hAnsi="宋体"/>
                <w:color w:val="auto"/>
                <w:highlight w:val="none"/>
                <w:lang w:bidi="ar"/>
              </w:rPr>
              <w:t xml:space="preserve">2</w:t>
            </w:r>
            <w:r>
              <w:rPr>
                <w:rFonts w:ascii="宋体" w:hAnsi="宋体"/>
                <w:color w:val="auto"/>
                <w:sz w:val="20"/>
                <w:szCs w:val="20"/>
                <w:highlight w:val="none"/>
                <w:lang w:bidi="ar"/>
              </w:rPr>
              <w:t xml:space="preserve">计）、三聚氰胺、菌落总数、大肠菌群、沙门氏菌、金黄色葡萄球菌、商业无菌</w:t>
            </w:r>
            <w:r/>
          </w:p>
        </w:tc>
      </w:tr>
      <w:tr>
        <w:trPr>
          <w:cantSplit/>
          <w:jc w:val="center"/>
        </w:trPr>
        <w:tc>
          <w:tcPr>
            <w:tcW w:w="630" w:type="dxa"/>
            <w:vAlign w:val="center"/>
            <w:vMerge w:val="continue"/>
            <w:textDirection w:val="lrTb"/>
            <w:noWrap w:val="false"/>
          </w:tcPr>
          <w:p>
            <w:pPr>
              <w:jc w:val="center"/>
              <w:spacing w:line="29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9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9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9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非全营养配方食品</w:t>
            </w:r>
            <w:r/>
          </w:p>
        </w:tc>
        <w:tc>
          <w:tcPr>
            <w:tcW w:w="675" w:type="dxa"/>
            <w:vAlign w:val="center"/>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90" w:lineRule="exact"/>
              <w:widowControl/>
              <w:rPr>
                <w:rFonts w:ascii="宋体" w:hAnsi="宋体"/>
                <w:color w:val="auto"/>
                <w:sz w:val="20"/>
                <w:szCs w:val="20"/>
                <w:highlight w:val="none"/>
              </w:rPr>
            </w:pPr>
            <w:r>
              <w:rPr>
                <w:rFonts w:ascii="宋体" w:hAnsi="宋体"/>
                <w:color w:val="auto"/>
                <w:sz w:val="20"/>
                <w:szCs w:val="20"/>
                <w:highlight w:val="none"/>
                <w:lang w:bidi="ar"/>
              </w:rPr>
              <w:t xml:space="preserve">铅（以Pb计）、锡（以Sn计）、黄曲霉毒素M</w:t>
            </w:r>
            <w:r>
              <w:rPr>
                <w:rStyle w:val="1026"/>
                <w:rFonts w:hint="default"/>
                <w:color w:val="auto"/>
                <w:highlight w:val="none"/>
                <w:lang w:bidi="ar"/>
              </w:rPr>
              <w:t xml:space="preserve">1</w:t>
            </w:r>
            <w:r>
              <w:rPr>
                <w:rFonts w:ascii="宋体" w:hAnsi="宋体"/>
                <w:color w:val="auto"/>
                <w:sz w:val="20"/>
                <w:szCs w:val="20"/>
                <w:highlight w:val="none"/>
                <w:lang w:bidi="ar"/>
              </w:rPr>
              <w:t xml:space="preserve">、黄曲霉毒素B</w:t>
            </w:r>
            <w:r>
              <w:rPr>
                <w:rStyle w:val="1026"/>
                <w:rFonts w:hint="default"/>
                <w:color w:val="auto"/>
                <w:highlight w:val="none"/>
                <w:lang w:bidi="ar"/>
              </w:rPr>
              <w:t xml:space="preserve">1</w:t>
            </w:r>
            <w:r>
              <w:rPr>
                <w:rFonts w:ascii="宋体" w:hAnsi="宋体"/>
                <w:color w:val="auto"/>
                <w:sz w:val="20"/>
                <w:szCs w:val="20"/>
                <w:highlight w:val="none"/>
                <w:lang w:bidi="ar"/>
              </w:rPr>
              <w:t xml:space="preserve">、硝酸盐（以NaNO</w:t>
            </w:r>
            <w:r>
              <w:rPr>
                <w:rStyle w:val="1026"/>
                <w:rFonts w:hint="default"/>
                <w:color w:val="auto"/>
                <w:highlight w:val="none"/>
                <w:lang w:bidi="ar"/>
              </w:rPr>
              <w:t xml:space="preserve">3</w:t>
            </w:r>
            <w:r>
              <w:rPr>
                <w:rFonts w:ascii="宋体" w:hAnsi="宋体"/>
                <w:color w:val="auto"/>
                <w:sz w:val="20"/>
                <w:szCs w:val="20"/>
                <w:highlight w:val="none"/>
                <w:lang w:bidi="ar"/>
              </w:rPr>
              <w:t xml:space="preserve">计）、亚硝酸盐（以NaNO</w:t>
            </w:r>
            <w:r>
              <w:rPr>
                <w:rStyle w:val="1026"/>
                <w:rFonts w:hint="default"/>
                <w:color w:val="auto"/>
                <w:highlight w:val="none"/>
                <w:lang w:bidi="ar"/>
              </w:rPr>
              <w:t xml:space="preserve">2</w:t>
            </w:r>
            <w:r>
              <w:rPr>
                <w:rFonts w:ascii="宋体" w:hAnsi="宋体"/>
                <w:color w:val="auto"/>
                <w:sz w:val="20"/>
                <w:szCs w:val="20"/>
                <w:highlight w:val="none"/>
                <w:lang w:bidi="ar"/>
              </w:rPr>
              <w:t xml:space="preserve">计）、三聚氰胺、菌落总数、大肠菌群、沙门氏菌、金黄色葡萄球菌、商业无菌、企业标准/注册的产品技术要求中规定的质量指标</w:t>
            </w:r>
            <w:r/>
          </w:p>
        </w:tc>
      </w:tr>
      <w:tr>
        <w:trPr>
          <w:cantSplit/>
          <w:jc w:val="center"/>
        </w:trPr>
        <w:tc>
          <w:tcPr>
            <w:tcW w:w="630" w:type="dxa"/>
            <w:vAlign w:val="center"/>
            <w:vMerge w:val="continue"/>
            <w:textDirection w:val="lrTb"/>
            <w:noWrap w:val="false"/>
          </w:tcPr>
          <w:p>
            <w:pPr>
              <w:jc w:val="center"/>
              <w:spacing w:line="290" w:lineRule="exact"/>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90" w:lineRule="exact"/>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90" w:lineRule="exact"/>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9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特定全营养配方食品</w:t>
            </w:r>
            <w:r/>
          </w:p>
        </w:tc>
        <w:tc>
          <w:tcPr>
            <w:tcW w:w="675" w:type="dxa"/>
            <w:vAlign w:val="center"/>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90" w:lineRule="exact"/>
              <w:widowControl/>
              <w:rPr>
                <w:rFonts w:ascii="宋体" w:hAnsi="宋体"/>
                <w:color w:val="auto"/>
                <w:sz w:val="20"/>
                <w:szCs w:val="20"/>
                <w:highlight w:val="none"/>
              </w:rPr>
            </w:pPr>
            <w:r>
              <w:rPr>
                <w:rFonts w:ascii="宋体" w:hAnsi="宋体"/>
                <w:color w:val="auto"/>
                <w:sz w:val="20"/>
                <w:szCs w:val="20"/>
                <w:highlight w:val="none"/>
                <w:lang w:bidi="ar"/>
              </w:rPr>
              <w:t xml:space="preserve">铅（以Pb计）、锡（以Sn计）、黄曲霉毒素M</w:t>
            </w:r>
            <w:r>
              <w:rPr>
                <w:rStyle w:val="1026"/>
                <w:rFonts w:hint="default"/>
                <w:color w:val="auto"/>
                <w:highlight w:val="none"/>
                <w:lang w:bidi="ar"/>
              </w:rPr>
              <w:t xml:space="preserve">1</w:t>
            </w:r>
            <w:r>
              <w:rPr>
                <w:rFonts w:ascii="宋体" w:hAnsi="宋体"/>
                <w:color w:val="auto"/>
                <w:sz w:val="20"/>
                <w:szCs w:val="20"/>
                <w:highlight w:val="none"/>
                <w:lang w:bidi="ar"/>
              </w:rPr>
              <w:t xml:space="preserve">、黄曲霉毒素B</w:t>
            </w:r>
            <w:r>
              <w:rPr>
                <w:rStyle w:val="1026"/>
                <w:rFonts w:hint="default"/>
                <w:color w:val="auto"/>
                <w:highlight w:val="none"/>
                <w:lang w:bidi="ar"/>
              </w:rPr>
              <w:t xml:space="preserve">1</w:t>
            </w:r>
            <w:r>
              <w:rPr>
                <w:rFonts w:ascii="宋体" w:hAnsi="宋体"/>
                <w:color w:val="auto"/>
                <w:sz w:val="20"/>
                <w:szCs w:val="20"/>
                <w:highlight w:val="none"/>
                <w:lang w:bidi="ar"/>
              </w:rPr>
              <w:t xml:space="preserve">、硝酸盐（以NaNO</w:t>
            </w:r>
            <w:r>
              <w:rPr>
                <w:rStyle w:val="1026"/>
                <w:rFonts w:hint="default"/>
                <w:color w:val="auto"/>
                <w:highlight w:val="none"/>
                <w:lang w:bidi="ar"/>
              </w:rPr>
              <w:t xml:space="preserve">3</w:t>
            </w:r>
            <w:r>
              <w:rPr>
                <w:rFonts w:ascii="宋体" w:hAnsi="宋体"/>
                <w:color w:val="auto"/>
                <w:sz w:val="20"/>
                <w:szCs w:val="20"/>
                <w:highlight w:val="none"/>
                <w:lang w:bidi="ar"/>
              </w:rPr>
              <w:t xml:space="preserve">计）、亚硝酸盐（以NaNO</w:t>
            </w:r>
            <w:r>
              <w:rPr>
                <w:rStyle w:val="1026"/>
                <w:rFonts w:hint="default"/>
                <w:color w:val="auto"/>
                <w:highlight w:val="none"/>
                <w:lang w:bidi="ar"/>
              </w:rPr>
              <w:t xml:space="preserve">2</w:t>
            </w:r>
            <w:r>
              <w:rPr>
                <w:rFonts w:ascii="宋体" w:hAnsi="宋体"/>
                <w:color w:val="auto"/>
                <w:sz w:val="20"/>
                <w:szCs w:val="20"/>
                <w:highlight w:val="none"/>
                <w:lang w:bidi="ar"/>
              </w:rPr>
              <w:t xml:space="preserve">计）、三聚氰胺、菌落总数、大肠菌群、沙门氏菌、金黄色葡萄球菌、商业无菌、企业标准/注册的产品技术要求中规定的质量指标</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lang w:bidi="ar"/>
              </w:rPr>
            </w:pPr>
            <w:r>
              <w:rPr>
                <w:rFonts w:hint="eastAsia" w:ascii="宋体" w:hAnsi="宋体"/>
                <w:color w:val="auto"/>
                <w:sz w:val="20"/>
                <w:szCs w:val="20"/>
                <w:highlight w:val="none"/>
                <w:lang w:bidi="ar"/>
              </w:rPr>
              <w:t xml:space="preserve">30</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婴幼儿配方食品</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婴幼儿配方食品（湿法工艺、干法工艺、干湿法混合工艺）</w:t>
            </w:r>
            <w:r/>
          </w:p>
        </w:tc>
        <w:tc>
          <w:tcPr>
            <w:tcW w:w="1247"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婴儿配方食品</w:t>
            </w:r>
            <w:r/>
          </w:p>
        </w:tc>
        <w:tc>
          <w:tcP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乳基婴儿配方食品、豆基婴儿配方食品</w:t>
            </w:r>
            <w:r/>
          </w:p>
        </w:tc>
        <w:tc>
          <w:tcPr>
            <w:tcW w:w="675"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widowControl/>
              <w:rPr>
                <w:rFonts w:ascii="宋体" w:hAnsi="宋体"/>
                <w:color w:val="auto"/>
                <w:sz w:val="20"/>
                <w:szCs w:val="20"/>
                <w:highlight w:val="none"/>
                <w:lang w:bidi="ar"/>
              </w:rPr>
            </w:pPr>
            <w:r>
              <w:rPr>
                <w:rFonts w:hint="eastAsia" w:ascii="宋体" w:hAnsi="宋体" w:cs="宋体"/>
                <w:color w:val="auto"/>
                <w:sz w:val="20"/>
                <w:szCs w:val="20"/>
                <w:highlight w:val="none"/>
                <w:lang w:bidi="ar"/>
              </w:rPr>
              <w:t xml:space="preserve">蛋白质、脂肪、碳水化合物、乳糖占碳水化合物总量、亚油酸、</w:t>
            </w:r>
            <w:r>
              <w:rPr>
                <w:rFonts w:ascii="宋体" w:hAnsi="宋体"/>
                <w:color w:val="auto"/>
                <w:sz w:val="20"/>
                <w:szCs w:val="20"/>
                <w:highlight w:val="none"/>
                <w:lang w:bidi="ar"/>
              </w:rPr>
              <w:t xml:space="preserve">α-</w:t>
            </w:r>
            <w:r>
              <w:rPr>
                <w:rFonts w:hint="eastAsia" w:ascii="宋体" w:hAnsi="宋体" w:cs="宋体"/>
                <w:color w:val="auto"/>
                <w:sz w:val="20"/>
                <w:szCs w:val="20"/>
                <w:highlight w:val="none"/>
                <w:lang w:bidi="ar"/>
              </w:rPr>
              <w:t xml:space="preserve">亚麻酸、亚油酸与</w:t>
            </w:r>
            <w:r>
              <w:rPr>
                <w:rFonts w:ascii="宋体" w:hAnsi="宋体"/>
                <w:color w:val="auto"/>
                <w:sz w:val="20"/>
                <w:szCs w:val="20"/>
                <w:highlight w:val="none"/>
                <w:lang w:bidi="ar"/>
              </w:rPr>
              <w:t xml:space="preserve">α-</w:t>
            </w:r>
            <w:r>
              <w:rPr>
                <w:rFonts w:hint="eastAsia" w:ascii="宋体" w:hAnsi="宋体" w:cs="宋体"/>
                <w:color w:val="auto"/>
                <w:sz w:val="20"/>
                <w:szCs w:val="20"/>
                <w:highlight w:val="none"/>
                <w:lang w:bidi="ar"/>
              </w:rPr>
              <w:t xml:space="preserve">亚麻酸比值、终产品脂肪中月桂酸和肉豆蔻酸（十四烷酸）总量占总脂肪酸的比值、芥酸与总脂肪酸比值、反式脂肪酸与总脂肪酸比值、维生素</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D</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E</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K</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6</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12</w:t>
            </w:r>
            <w:r>
              <w:rPr>
                <w:rFonts w:hint="eastAsia" w:ascii="宋体" w:hAnsi="宋体" w:cs="宋体"/>
                <w:color w:val="auto"/>
                <w:sz w:val="20"/>
                <w:szCs w:val="20"/>
                <w:highlight w:val="none"/>
                <w:lang w:bidi="ar"/>
              </w:rPr>
              <w:t xml:space="preserve">、烟酸（烟酰胺）、叶酸、泛酸、维生素</w:t>
            </w:r>
            <w:r>
              <w:rPr>
                <w:rFonts w:ascii="宋体" w:hAnsi="宋体"/>
                <w:color w:val="auto"/>
                <w:sz w:val="20"/>
                <w:szCs w:val="20"/>
                <w:highlight w:val="none"/>
                <w:lang w:bidi="ar"/>
              </w:rPr>
              <w:t xml:space="preserve">C</w:t>
            </w:r>
            <w:r>
              <w:rPr>
                <w:rFonts w:hint="eastAsia" w:ascii="宋体" w:hAnsi="宋体" w:cs="宋体"/>
                <w:color w:val="auto"/>
                <w:sz w:val="20"/>
                <w:szCs w:val="20"/>
                <w:highlight w:val="none"/>
                <w:lang w:bidi="ar"/>
              </w:rPr>
              <w:t xml:space="preserve">、生物素、钠、钾、铜、镁、铁、锌、锰、钙、磷、钙磷比值、碘、氯、硒、胆碱、肌醇、牛磺酸、左旋肉碱、二十二碳六烯酸（DHA）、二十二碳六烯酸（</w:t>
            </w:r>
            <w:r>
              <w:rPr>
                <w:rFonts w:ascii="宋体" w:hAnsi="宋体"/>
                <w:color w:val="auto"/>
                <w:sz w:val="20"/>
                <w:szCs w:val="20"/>
                <w:highlight w:val="none"/>
                <w:lang w:bidi="ar"/>
              </w:rPr>
              <w:t xml:space="preserve">22:6</w:t>
            </w:r>
            <w:r>
              <w:rPr>
                <w:rFonts w:hint="eastAsia" w:ascii="宋体" w:hAnsi="宋体" w:cs="宋体"/>
                <w:color w:val="auto"/>
                <w:sz w:val="20"/>
                <w:szCs w:val="20"/>
                <w:highlight w:val="none"/>
                <w:lang w:bidi="ar"/>
              </w:rPr>
              <w:t xml:space="preserve">n-3）与总脂肪酸比、二十碳四烯酸（AA/ARA）、二十碳四烯酸与总脂肪酸比、二十二碳六烯酸（</w:t>
            </w:r>
            <w:r>
              <w:rPr>
                <w:rFonts w:ascii="宋体" w:hAnsi="宋体"/>
                <w:color w:val="auto"/>
                <w:sz w:val="20"/>
                <w:szCs w:val="20"/>
                <w:highlight w:val="none"/>
                <w:lang w:bidi="ar"/>
              </w:rPr>
              <w:t xml:space="preserve">22:6n-3</w:t>
            </w:r>
            <w:r>
              <w:rPr>
                <w:rFonts w:hint="eastAsia" w:ascii="宋体" w:hAnsi="宋体" w:cs="宋体"/>
                <w:color w:val="auto"/>
                <w:sz w:val="20"/>
                <w:szCs w:val="20"/>
                <w:highlight w:val="none"/>
                <w:lang w:bidi="ar"/>
              </w:rPr>
              <w:t xml:space="preserve">）与二十碳四烯酸（</w:t>
            </w:r>
            <w:r>
              <w:rPr>
                <w:rFonts w:ascii="宋体" w:hAnsi="宋体"/>
                <w:color w:val="auto"/>
                <w:sz w:val="20"/>
                <w:szCs w:val="20"/>
                <w:highlight w:val="none"/>
                <w:lang w:bidi="ar"/>
              </w:rPr>
              <w:t xml:space="preserve">20:4n-6</w:t>
            </w:r>
            <w:r>
              <w:rPr>
                <w:rFonts w:hint="eastAsia" w:ascii="宋体" w:hAnsi="宋体" w:cs="宋体"/>
                <w:color w:val="auto"/>
                <w:sz w:val="20"/>
                <w:szCs w:val="20"/>
                <w:highlight w:val="none"/>
                <w:lang w:bidi="ar"/>
              </w:rPr>
              <w:t xml:space="preserve">）的比、二十碳五烯酸（</w:t>
            </w:r>
            <w:r>
              <w:rPr>
                <w:rFonts w:ascii="宋体" w:hAnsi="宋体"/>
                <w:color w:val="auto"/>
                <w:sz w:val="20"/>
                <w:szCs w:val="20"/>
                <w:highlight w:val="none"/>
                <w:lang w:bidi="ar"/>
              </w:rPr>
              <w:t xml:space="preserve">20:5n-3</w:t>
            </w:r>
            <w:r>
              <w:rPr>
                <w:rFonts w:hint="eastAsia" w:ascii="宋体" w:hAnsi="宋体" w:cs="宋体"/>
                <w:color w:val="auto"/>
                <w:sz w:val="20"/>
                <w:szCs w:val="20"/>
                <w:highlight w:val="none"/>
                <w:lang w:bidi="ar"/>
              </w:rPr>
              <w:t xml:space="preserve">）的量与二十二碳六烯酸（</w:t>
            </w:r>
            <w:r>
              <w:rPr>
                <w:rFonts w:ascii="宋体" w:hAnsi="宋体"/>
                <w:color w:val="auto"/>
                <w:sz w:val="20"/>
                <w:szCs w:val="20"/>
                <w:highlight w:val="none"/>
                <w:lang w:bidi="ar"/>
              </w:rPr>
              <w:t xml:space="preserve">22:6n-3</w:t>
            </w:r>
            <w:r>
              <w:rPr>
                <w:rFonts w:hint="eastAsia" w:ascii="宋体" w:hAnsi="宋体" w:cs="宋体"/>
                <w:color w:val="auto"/>
                <w:sz w:val="20"/>
                <w:szCs w:val="20"/>
                <w:highlight w:val="none"/>
                <w:lang w:bidi="ar"/>
              </w:rPr>
              <w:t xml:space="preserve">）的量的比、果聚糖、水分、灰分、杂质度、叶黄素、核苷酸、脲酶活性定性测定、铅（以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或黄曲霉毒</w:t>
            </w:r>
            <w:r>
              <w:rPr>
                <w:rFonts w:ascii="宋体" w:hAnsi="宋体"/>
                <w:color w:val="auto"/>
                <w:sz w:val="20"/>
                <w:szCs w:val="20"/>
                <w:highlight w:val="none"/>
                <w:lang w:bidi="ar"/>
              </w:rPr>
              <w:t xml:space="preserve">M</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3</w:t>
            </w:r>
            <w:r>
              <w:rPr>
                <w:rFonts w:hint="eastAsia" w:ascii="宋体" w:hAnsi="宋体" w:cs="宋体"/>
                <w:color w:val="auto"/>
                <w:sz w:val="20"/>
                <w:szCs w:val="20"/>
                <w:highlight w:val="none"/>
                <w:lang w:bidi="ar"/>
              </w:rPr>
              <w:t xml:space="preserve">计）、亚硝酸盐（以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计）、三聚氰胺、香兰素、乙基香兰素、菌落总数、大肠菌群、金黄色葡萄球菌、沙门氏菌、阪崎肠杆菌</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克罗诺杆菌属（阪崎肠杆菌）、锡、果糖、蔗糖</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c>
          <w:tcPr>
            <w:tcW w:w="1247" w:type="dxa"/>
            <w:vAlign w:val="center"/>
            <w:vMerge w:val="continue"/>
            <w:textDirection w:val="lrTb"/>
            <w:noWrap w:val="false"/>
          </w:tcPr>
          <w:p>
            <w:pPr>
              <w:jc w:val="center"/>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c>
          <w:tcPr>
            <w:tcW w:w="1247"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较大婴儿配方食品</w:t>
            </w:r>
            <w:r/>
          </w:p>
        </w:tc>
        <w:tc>
          <w:tcP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乳基较大婴儿配方食品、豆基较大婴儿配方食品</w:t>
            </w:r>
            <w:r/>
          </w:p>
        </w:tc>
        <w:tc>
          <w:tcPr>
            <w:tcW w:w="675"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widowControl/>
              <w:rPr>
                <w:rFonts w:ascii="宋体" w:hAnsi="宋体"/>
                <w:color w:val="auto"/>
                <w:sz w:val="20"/>
                <w:szCs w:val="20"/>
                <w:highlight w:val="none"/>
                <w:lang w:bidi="ar"/>
              </w:rPr>
            </w:pPr>
            <w:r>
              <w:rPr>
                <w:rFonts w:hint="eastAsia" w:ascii="宋体" w:hAnsi="宋体" w:cs="宋体"/>
                <w:color w:val="auto"/>
                <w:sz w:val="20"/>
                <w:szCs w:val="20"/>
                <w:highlight w:val="none"/>
                <w:lang w:bidi="ar"/>
              </w:rPr>
              <w:t xml:space="preserve">蛋白质、脂肪、亚油酸、</w:t>
            </w:r>
            <w:r>
              <w:rPr>
                <w:rFonts w:ascii="宋体" w:hAnsi="宋体"/>
                <w:color w:val="auto"/>
                <w:sz w:val="20"/>
                <w:szCs w:val="20"/>
                <w:highlight w:val="none"/>
                <w:lang w:bidi="ar"/>
              </w:rPr>
              <w:t xml:space="preserve">α-</w:t>
            </w:r>
            <w:r>
              <w:rPr>
                <w:rFonts w:hint="eastAsia" w:ascii="宋体" w:hAnsi="宋体" w:cs="宋体"/>
                <w:color w:val="auto"/>
                <w:sz w:val="20"/>
                <w:szCs w:val="20"/>
                <w:highlight w:val="none"/>
                <w:lang w:bidi="ar"/>
              </w:rPr>
              <w:t xml:space="preserve">亚麻酸、亚油酸与</w:t>
            </w:r>
            <w:r>
              <w:rPr>
                <w:rFonts w:ascii="宋体" w:hAnsi="宋体"/>
                <w:color w:val="auto"/>
                <w:sz w:val="20"/>
                <w:szCs w:val="20"/>
                <w:highlight w:val="none"/>
                <w:lang w:bidi="ar"/>
              </w:rPr>
              <w:t xml:space="preserve">α-</w:t>
            </w:r>
            <w:r>
              <w:rPr>
                <w:rFonts w:hint="eastAsia" w:ascii="宋体" w:hAnsi="宋体" w:cs="宋体"/>
                <w:color w:val="auto"/>
                <w:sz w:val="20"/>
                <w:szCs w:val="20"/>
                <w:highlight w:val="none"/>
                <w:lang w:bidi="ar"/>
              </w:rPr>
              <w:t xml:space="preserve">亚麻酸比值、终产品脂肪中月桂酸和肉豆蔻酸（十四烷酸）总量占总脂肪酸的比值、反式脂肪酸与总脂肪酸比值、芥酸与总脂肪酸比值、碳水化合物、乳糖占碳水化合物总量、维生素</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D</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E</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K</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6</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12</w:t>
            </w:r>
            <w:r>
              <w:rPr>
                <w:rFonts w:hint="eastAsia" w:ascii="宋体" w:hAnsi="宋体" w:cs="宋体"/>
                <w:color w:val="auto"/>
                <w:sz w:val="20"/>
                <w:szCs w:val="20"/>
                <w:highlight w:val="none"/>
                <w:lang w:bidi="ar"/>
              </w:rPr>
              <w:t xml:space="preserve">、烟酸（烟酰胺）、叶酸、泛酸、维生素</w:t>
            </w:r>
            <w:r>
              <w:rPr>
                <w:rFonts w:ascii="宋体" w:hAnsi="宋体"/>
                <w:color w:val="auto"/>
                <w:sz w:val="20"/>
                <w:szCs w:val="20"/>
                <w:highlight w:val="none"/>
                <w:lang w:bidi="ar"/>
              </w:rPr>
              <w:t xml:space="preserve">C</w:t>
            </w:r>
            <w:r>
              <w:rPr>
                <w:rFonts w:hint="eastAsia" w:ascii="宋体" w:hAnsi="宋体" w:cs="宋体"/>
                <w:color w:val="auto"/>
                <w:sz w:val="20"/>
                <w:szCs w:val="20"/>
                <w:highlight w:val="none"/>
                <w:lang w:bidi="ar"/>
              </w:rPr>
              <w:t xml:space="preserve">、生物素、钠、钾、铜、镁、铁、锌、钙、磷、钙磷比值、碘、氯、锰、硒、胆碱、肌醇、牛磺酸、左旋肉碱、二十二碳六烯酸（DHA）、二十二碳六烯酸（</w:t>
            </w:r>
            <w:r>
              <w:rPr>
                <w:rFonts w:ascii="宋体" w:hAnsi="宋体"/>
                <w:color w:val="auto"/>
                <w:sz w:val="20"/>
                <w:szCs w:val="20"/>
                <w:highlight w:val="none"/>
                <w:lang w:bidi="ar"/>
              </w:rPr>
              <w:t xml:space="preserve">22:6n-3</w:t>
            </w:r>
            <w:r>
              <w:rPr>
                <w:rFonts w:hint="eastAsia" w:ascii="宋体" w:hAnsi="宋体" w:cs="宋体"/>
                <w:color w:val="auto"/>
                <w:sz w:val="20"/>
                <w:szCs w:val="20"/>
                <w:highlight w:val="none"/>
                <w:lang w:bidi="ar"/>
              </w:rPr>
              <w:t xml:space="preserve">）与总脂肪酸比、二十碳四烯酸（AA/ARA）、二十碳四烯酸与总脂肪酸比、二十二碳六烯酸（</w:t>
            </w:r>
            <w:r>
              <w:rPr>
                <w:rFonts w:ascii="宋体" w:hAnsi="宋体"/>
                <w:color w:val="auto"/>
                <w:sz w:val="20"/>
                <w:szCs w:val="20"/>
                <w:highlight w:val="none"/>
                <w:lang w:bidi="ar"/>
              </w:rPr>
              <w:t xml:space="preserve">22:6n-3</w:t>
            </w:r>
            <w:r>
              <w:rPr>
                <w:rFonts w:hint="eastAsia" w:ascii="宋体" w:hAnsi="宋体" w:cs="宋体"/>
                <w:color w:val="auto"/>
                <w:sz w:val="20"/>
                <w:szCs w:val="20"/>
                <w:highlight w:val="none"/>
                <w:lang w:bidi="ar"/>
              </w:rPr>
              <w:t xml:space="preserve">）与二十碳四烯酸（</w:t>
            </w:r>
            <w:r>
              <w:rPr>
                <w:rFonts w:ascii="宋体" w:hAnsi="宋体"/>
                <w:color w:val="auto"/>
                <w:sz w:val="20"/>
                <w:szCs w:val="20"/>
                <w:highlight w:val="none"/>
                <w:lang w:bidi="ar"/>
              </w:rPr>
              <w:t xml:space="preserve">20:4n-6</w:t>
            </w:r>
            <w:r>
              <w:rPr>
                <w:rFonts w:hint="eastAsia" w:ascii="宋体" w:hAnsi="宋体" w:cs="宋体"/>
                <w:color w:val="auto"/>
                <w:sz w:val="20"/>
                <w:szCs w:val="20"/>
                <w:highlight w:val="none"/>
                <w:lang w:bidi="ar"/>
              </w:rPr>
              <w:t xml:space="preserve">）的比、二十碳五烯酸（</w:t>
            </w:r>
            <w:r>
              <w:rPr>
                <w:rFonts w:ascii="宋体" w:hAnsi="宋体"/>
                <w:color w:val="auto"/>
                <w:sz w:val="20"/>
                <w:szCs w:val="20"/>
                <w:highlight w:val="none"/>
                <w:lang w:bidi="ar"/>
              </w:rPr>
              <w:t xml:space="preserve">20:5n-3</w:t>
            </w:r>
            <w:r>
              <w:rPr>
                <w:rFonts w:hint="eastAsia" w:ascii="宋体" w:hAnsi="宋体" w:cs="宋体"/>
                <w:color w:val="auto"/>
                <w:sz w:val="20"/>
                <w:szCs w:val="20"/>
                <w:highlight w:val="none"/>
                <w:lang w:bidi="ar"/>
              </w:rPr>
              <w:t xml:space="preserve">）的量与二十二碳六烯酸（</w:t>
            </w:r>
            <w:r>
              <w:rPr>
                <w:rFonts w:ascii="宋体" w:hAnsi="宋体"/>
                <w:color w:val="auto"/>
                <w:sz w:val="20"/>
                <w:szCs w:val="20"/>
                <w:highlight w:val="none"/>
                <w:lang w:bidi="ar"/>
              </w:rPr>
              <w:t xml:space="preserve">22:6n-3</w:t>
            </w:r>
            <w:r>
              <w:rPr>
                <w:rFonts w:hint="eastAsia" w:ascii="宋体" w:hAnsi="宋体" w:cs="宋体"/>
                <w:color w:val="auto"/>
                <w:sz w:val="20"/>
                <w:szCs w:val="20"/>
                <w:highlight w:val="none"/>
                <w:lang w:bidi="ar"/>
              </w:rPr>
              <w:t xml:space="preserve">）的量的比、水分、灰分、杂质度、叶黄素、核苷酸、果聚糖、三聚氰胺、铅（以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3</w:t>
            </w:r>
            <w:r>
              <w:rPr>
                <w:rFonts w:hint="eastAsia" w:ascii="宋体" w:hAnsi="宋体" w:cs="宋体"/>
                <w:color w:val="auto"/>
                <w:sz w:val="20"/>
                <w:szCs w:val="20"/>
                <w:highlight w:val="none"/>
                <w:lang w:bidi="ar"/>
              </w:rPr>
              <w:t xml:space="preserve">计）、亚硝酸盐（以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计）、脲酶活性定性测定、黄曲霉毒素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或黄曲霉毒素</w:t>
            </w:r>
            <w:r>
              <w:rPr>
                <w:rFonts w:ascii="宋体" w:hAnsi="宋体"/>
                <w:color w:val="auto"/>
                <w:sz w:val="20"/>
                <w:szCs w:val="20"/>
                <w:highlight w:val="none"/>
                <w:lang w:bidi="ar"/>
              </w:rPr>
              <w:t xml:space="preserve">M</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、菌落总数、大肠菌群、沙门氏菌、金黄色葡萄球菌、锡、果糖、蔗糖</w:t>
            </w:r>
            <w:r/>
          </w:p>
        </w:tc>
      </w:tr>
      <w:tr>
        <w:trPr>
          <w:cantSplit/>
          <w:jc w:val="center"/>
        </w:trPr>
        <w:tc>
          <w:tcPr>
            <w:tcW w:w="630" w:type="dxa"/>
            <w:vAlign w:val="center"/>
            <w:textDirection w:val="lrTb"/>
            <w:noWrap w:val="false"/>
          </w:tcPr>
          <w:p>
            <w:pPr>
              <w:jc w:val="center"/>
              <w:widowControl/>
              <w:rPr>
                <w:rFonts w:ascii="宋体" w:hAnsi="宋体"/>
                <w:color w:val="auto"/>
                <w:sz w:val="20"/>
                <w:szCs w:val="20"/>
                <w:highlight w:val="none"/>
                <w:lang w:bidi="ar"/>
              </w:rPr>
            </w:pPr>
            <w:r>
              <w:rPr>
                <w:rFonts w:hint="eastAsia" w:ascii="宋体" w:hAnsi="宋体"/>
                <w:color w:val="auto"/>
                <w:sz w:val="20"/>
                <w:szCs w:val="20"/>
                <w:highlight w:val="none"/>
                <w:lang w:bidi="ar"/>
              </w:rPr>
              <w:t xml:space="preserve">30</w:t>
            </w:r>
            <w:r/>
          </w:p>
        </w:tc>
        <w:tc>
          <w:tcPr>
            <w:tcW w:w="1247"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婴幼儿配方食品</w:t>
            </w:r>
            <w:r/>
          </w:p>
        </w:tc>
        <w:tc>
          <w:tcPr>
            <w:tcW w:w="1247" w:type="dxa"/>
            <w:vAlign w:val="center"/>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婴幼儿配方食品（湿法工艺、干法工艺、干湿法混合工艺）</w:t>
            </w:r>
            <w:r/>
          </w:p>
        </w:tc>
        <w:tc>
          <w:tcPr>
            <w:tcW w:w="1247"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幼儿配方食品</w:t>
            </w:r>
            <w:r/>
          </w:p>
        </w:tc>
        <w:tc>
          <w:tcP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幼儿配方食品</w:t>
            </w:r>
            <w:r/>
          </w:p>
        </w:tc>
        <w:tc>
          <w:tcPr>
            <w:tcW w:w="675"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widowControl/>
              <w:rPr>
                <w:rFonts w:ascii="宋体" w:hAnsi="宋体"/>
                <w:color w:val="auto"/>
                <w:sz w:val="20"/>
                <w:szCs w:val="20"/>
                <w:highlight w:val="none"/>
                <w:lang w:bidi="ar"/>
              </w:rPr>
            </w:pPr>
            <w:r>
              <w:rPr>
                <w:rFonts w:hint="eastAsia" w:ascii="宋体" w:hAnsi="宋体" w:cs="宋体"/>
                <w:color w:val="auto"/>
                <w:sz w:val="20"/>
                <w:szCs w:val="20"/>
                <w:highlight w:val="none"/>
                <w:lang w:bidi="ar"/>
              </w:rPr>
              <w:t xml:space="preserve">蛋白质、脂肪、亚油酸、</w:t>
            </w:r>
            <w:r>
              <w:rPr>
                <w:rFonts w:ascii="宋体" w:hAnsi="宋体"/>
                <w:color w:val="auto"/>
                <w:sz w:val="20"/>
                <w:szCs w:val="20"/>
                <w:highlight w:val="none"/>
                <w:lang w:bidi="ar"/>
              </w:rPr>
              <w:t xml:space="preserve">α-</w:t>
            </w:r>
            <w:r>
              <w:rPr>
                <w:rFonts w:hint="eastAsia" w:ascii="宋体" w:hAnsi="宋体" w:cs="宋体"/>
                <w:color w:val="auto"/>
                <w:sz w:val="20"/>
                <w:szCs w:val="20"/>
                <w:highlight w:val="none"/>
                <w:lang w:bidi="ar"/>
              </w:rPr>
              <w:t xml:space="preserve">亚麻酸、亚油酸与</w:t>
            </w:r>
            <w:r>
              <w:rPr>
                <w:rFonts w:ascii="宋体" w:hAnsi="宋体"/>
                <w:color w:val="auto"/>
                <w:sz w:val="20"/>
                <w:szCs w:val="20"/>
                <w:highlight w:val="none"/>
                <w:lang w:bidi="ar"/>
              </w:rPr>
              <w:t xml:space="preserve">α-</w:t>
            </w:r>
            <w:r>
              <w:rPr>
                <w:rFonts w:hint="eastAsia" w:ascii="宋体" w:hAnsi="宋体" w:cs="宋体"/>
                <w:color w:val="auto"/>
                <w:sz w:val="20"/>
                <w:szCs w:val="20"/>
                <w:highlight w:val="none"/>
                <w:lang w:bidi="ar"/>
              </w:rPr>
              <w:t xml:space="preserve">亚麻酸比值、乳糖占碳水化合物总量、反式脂肪酸与总脂肪酸比值、碳水化合物、维生素</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D</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E</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K</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6</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12</w:t>
            </w:r>
            <w:r>
              <w:rPr>
                <w:rFonts w:hint="eastAsia" w:ascii="宋体" w:hAnsi="宋体" w:cs="宋体"/>
                <w:color w:val="auto"/>
                <w:sz w:val="20"/>
                <w:szCs w:val="20"/>
                <w:highlight w:val="none"/>
                <w:lang w:bidi="ar"/>
              </w:rPr>
              <w:t xml:space="preserve">、烟酸（烟酰胺）、叶酸、泛酸、维生素</w:t>
            </w:r>
            <w:r>
              <w:rPr>
                <w:rFonts w:ascii="宋体" w:hAnsi="宋体"/>
                <w:color w:val="auto"/>
                <w:sz w:val="20"/>
                <w:szCs w:val="20"/>
                <w:highlight w:val="none"/>
                <w:lang w:bidi="ar"/>
              </w:rPr>
              <w:t xml:space="preserve">C</w:t>
            </w:r>
            <w:r>
              <w:rPr>
                <w:rFonts w:hint="eastAsia" w:ascii="宋体" w:hAnsi="宋体" w:cs="宋体"/>
                <w:color w:val="auto"/>
                <w:sz w:val="20"/>
                <w:szCs w:val="20"/>
                <w:highlight w:val="none"/>
                <w:lang w:bidi="ar"/>
              </w:rPr>
              <w:t xml:space="preserve">、生物素、钠、钾、铜、镁、铁、锌、钙、磷、钙磷比值、碘、氯、锰、硒、胆碱、肌醇、牛磺酸、左旋肉碱、二十二碳六烯酸（DHA）、二十二碳六烯酸（</w:t>
            </w:r>
            <w:r>
              <w:rPr>
                <w:rFonts w:ascii="宋体" w:hAnsi="宋体"/>
                <w:color w:val="auto"/>
                <w:sz w:val="20"/>
                <w:szCs w:val="20"/>
                <w:highlight w:val="none"/>
                <w:lang w:bidi="ar"/>
              </w:rPr>
              <w:t xml:space="preserve">22:6n-3</w:t>
            </w:r>
            <w:r>
              <w:rPr>
                <w:rFonts w:hint="eastAsia" w:ascii="宋体" w:hAnsi="宋体" w:cs="宋体"/>
                <w:color w:val="auto"/>
                <w:sz w:val="20"/>
                <w:szCs w:val="20"/>
                <w:highlight w:val="none"/>
                <w:lang w:bidi="ar"/>
              </w:rPr>
              <w:t xml:space="preserve">）与总脂肪酸比、二十碳四烯酸（AA/ARA）、二十碳四烯酸与总脂肪酸比、水分、灰分、杂质度、叶黄素、核苷酸、果聚糖、三聚氰胺、铅（以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3</w:t>
            </w:r>
            <w:r>
              <w:rPr>
                <w:rFonts w:hint="eastAsia" w:ascii="宋体" w:hAnsi="宋体" w:cs="宋体"/>
                <w:color w:val="auto"/>
                <w:sz w:val="20"/>
                <w:szCs w:val="20"/>
                <w:highlight w:val="none"/>
                <w:lang w:bidi="ar"/>
              </w:rPr>
              <w:t xml:space="preserve">计）、亚硝酸盐（以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计）、脲酶活性定性测定、黄曲霉毒素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或黄曲霉毒素</w:t>
            </w:r>
            <w:r>
              <w:rPr>
                <w:rFonts w:ascii="宋体" w:hAnsi="宋体"/>
                <w:color w:val="auto"/>
                <w:sz w:val="20"/>
                <w:szCs w:val="20"/>
                <w:highlight w:val="none"/>
                <w:lang w:bidi="ar"/>
              </w:rPr>
              <w:t xml:space="preserve">M</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、菌落总数、大肠菌群、沙门氏菌、金黄色葡萄球菌、锡</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3</w:t>
            </w:r>
            <w:r>
              <w:rPr>
                <w:rFonts w:hint="eastAsia" w:ascii="宋体" w:hAnsi="宋体"/>
                <w:color w:val="auto"/>
                <w:sz w:val="20"/>
                <w:szCs w:val="20"/>
                <w:highlight w:val="none"/>
                <w:lang w:bidi="ar"/>
              </w:rPr>
              <w:t xml:space="preserve">1</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餐饮食品</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米面及其制品（自制）</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小麦粉制品（自制）</w:t>
            </w:r>
            <w:r/>
          </w:p>
        </w:tc>
        <w:tc>
          <w:tcP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馒头花卷</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苯甲酸及其钠盐（以苯甲酸计）、山梨酸及其钾盐（以山梨酸计）、糖精钠（以糖精计）、脱氢乙酸及其钠盐（以脱氢乙酸计）、甜蜜素（以环己基氨基磺酸计）</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包子（自制）</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苯甲酸及其钠盐（以苯甲酸计）、山梨酸及其钾盐（以山梨酸计）、糖精钠（以糖精计）、脱氢乙酸及其钠盐（以脱氢乙酸计）、甜蜜素（以环己基氨基磺酸计）</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油饼油条</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铝的残留量（干样品，以Al计）</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其他生制面</w:t>
            </w:r>
            <w:r/>
          </w:p>
          <w:p>
            <w:pPr>
              <w:jc w:val="center"/>
              <w:widowControl/>
              <w:rPr>
                <w:rFonts w:ascii="宋体" w:hAnsi="宋体" w:cs="宋体"/>
                <w:color w:val="auto"/>
                <w:sz w:val="20"/>
                <w:szCs w:val="20"/>
                <w:highlight w:val="none"/>
                <w:lang w:bidi="ar"/>
              </w:rPr>
            </w:pPr>
            <w:r>
              <w:rPr>
                <w:rFonts w:ascii="宋体" w:hAnsi="宋体"/>
                <w:color w:val="auto"/>
                <w:sz w:val="20"/>
                <w:szCs w:val="20"/>
                <w:highlight w:val="none"/>
                <w:lang w:bidi="ar"/>
              </w:rPr>
              <w:t xml:space="preserve">制品（自制）</w:t>
            </w:r>
            <w:r/>
          </w:p>
        </w:tc>
        <w:tc>
          <w:tcPr>
            <w:tcW w:w="675" w:type="dxa"/>
            <w:vAlign w:val="center"/>
            <w:textDirection w:val="lrTb"/>
            <w:noWrap w:val="false"/>
          </w:tcPr>
          <w:p>
            <w:pPr>
              <w:jc w:val="center"/>
              <w:widowControl/>
              <w:rPr>
                <w:rFonts w:ascii="宋体" w:hAnsi="宋体" w:cs="宋体"/>
                <w:color w:val="auto"/>
                <w:sz w:val="20"/>
                <w:szCs w:val="20"/>
                <w:highlight w:val="none"/>
                <w:lang w:bidi="ar"/>
              </w:rPr>
            </w:pPr>
            <w:r>
              <w:rPr>
                <w:rFonts w:ascii="宋体" w:hAnsi="宋体"/>
                <w:color w:val="auto"/>
                <w:sz w:val="20"/>
                <w:szCs w:val="20"/>
                <w:highlight w:val="none"/>
                <w:lang w:bidi="ar"/>
              </w:rPr>
              <w:t xml:space="preserve">/</w:t>
            </w:r>
            <w:r/>
          </w:p>
        </w:tc>
        <w:tc>
          <w:tcPr>
            <w:tcW w:w="8213" w:type="dxa"/>
            <w:vAlign w:val="center"/>
            <w:textDirection w:val="lrTb"/>
            <w:noWrap w:val="false"/>
          </w:tcPr>
          <w:p>
            <w:pPr>
              <w:widowControl/>
              <w:rPr>
                <w:rFonts w:ascii="宋体" w:hAnsi="宋体"/>
                <w:color w:val="auto"/>
                <w:sz w:val="20"/>
                <w:szCs w:val="20"/>
                <w:highlight w:val="none"/>
                <w:lang w:bidi="ar"/>
              </w:rPr>
            </w:pPr>
            <w:r>
              <w:rPr>
                <w:rFonts w:ascii="宋体" w:hAnsi="宋体"/>
                <w:bCs/>
                <w:color w:val="auto"/>
                <w:sz w:val="20"/>
                <w:szCs w:val="20"/>
                <w:highlight w:val="none"/>
                <w:lang w:bidi="ar"/>
              </w:rPr>
              <w:t xml:space="preserve">苯甲酸及其钠盐（以苯甲酸计）、山梨酸及其钾盐（以山梨酸计）、脱氢乙酸及其钠盐（以脱氢乙酸计）、二氧化硫残留量</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大米制品（自制）</w:t>
            </w:r>
            <w:r/>
          </w:p>
        </w:tc>
        <w:tc>
          <w:tcPr>
            <w:tcW w:w="1680"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其他米类制品</w:t>
            </w:r>
            <w:r/>
          </w:p>
          <w:p>
            <w:pPr>
              <w:jc w:val="center"/>
              <w:widowControl/>
              <w:rPr>
                <w:rFonts w:ascii="宋体" w:hAnsi="宋体" w:cs="宋体"/>
                <w:color w:val="auto"/>
                <w:sz w:val="20"/>
                <w:szCs w:val="20"/>
                <w:highlight w:val="none"/>
                <w:lang w:bidi="ar"/>
              </w:rPr>
            </w:pPr>
            <w:r>
              <w:rPr>
                <w:rFonts w:ascii="宋体" w:hAnsi="宋体"/>
                <w:color w:val="auto"/>
                <w:sz w:val="20"/>
                <w:szCs w:val="20"/>
                <w:highlight w:val="none"/>
                <w:lang w:bidi="ar"/>
              </w:rPr>
              <w:t xml:space="preserve">（自制）</w:t>
            </w:r>
            <w:r/>
          </w:p>
        </w:tc>
        <w:tc>
          <w:tcPr>
            <w:tcW w:w="675" w:type="dxa"/>
            <w:vAlign w:val="center"/>
            <w:textDirection w:val="lrTb"/>
            <w:noWrap w:val="false"/>
          </w:tcPr>
          <w:p>
            <w:pPr>
              <w:jc w:val="center"/>
              <w:widowControl/>
              <w:rPr>
                <w:rFonts w:ascii="宋体" w:hAnsi="宋体" w:cs="宋体"/>
                <w:color w:val="auto"/>
                <w:sz w:val="20"/>
                <w:szCs w:val="20"/>
                <w:highlight w:val="none"/>
                <w:lang w:bidi="ar"/>
              </w:rPr>
            </w:pPr>
            <w:r>
              <w:rPr>
                <w:rFonts w:ascii="宋体" w:hAnsi="宋体"/>
                <w:color w:val="auto"/>
                <w:sz w:val="20"/>
                <w:szCs w:val="20"/>
                <w:highlight w:val="none"/>
                <w:lang w:bidi="ar"/>
              </w:rPr>
              <w:t xml:space="preserve">/</w:t>
            </w:r>
            <w:r/>
          </w:p>
        </w:tc>
        <w:tc>
          <w:tcPr>
            <w:tcW w:w="8213" w:type="dxa"/>
            <w:vAlign w:val="center"/>
            <w:textDirection w:val="lrTb"/>
            <w:noWrap w:val="false"/>
          </w:tcPr>
          <w:p>
            <w:pPr>
              <w:widowControl/>
              <w:rPr>
                <w:rFonts w:ascii="宋体" w:hAnsi="宋体"/>
                <w:color w:val="auto"/>
                <w:sz w:val="20"/>
                <w:szCs w:val="20"/>
                <w:highlight w:val="none"/>
                <w:lang w:bidi="ar"/>
              </w:rPr>
            </w:pPr>
            <w:r>
              <w:rPr>
                <w:rFonts w:ascii="宋体" w:hAnsi="宋体"/>
                <w:bCs/>
                <w:color w:val="auto"/>
                <w:sz w:val="20"/>
                <w:szCs w:val="20"/>
                <w:highlight w:val="none"/>
                <w:lang w:bidi="ar"/>
              </w:rPr>
              <w:t xml:space="preserve">苯甲酸及其钠盐（以苯甲酸计）、山梨酸及其钾盐（以山梨酸计）、脱氢乙酸及其钠盐（以脱氢乙酸计）</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肉制品</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熟肉制品（自制）</w:t>
            </w:r>
            <w:r/>
          </w:p>
        </w:tc>
        <w:tc>
          <w:tcP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肉冻皮冻</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铬（以Cr计）</w:t>
            </w:r>
            <w:r/>
          </w:p>
        </w:tc>
      </w:tr>
      <w:tr>
        <w:trPr>
          <w:cantSplit/>
          <w:jc w:val="center"/>
        </w:trPr>
        <w:tc>
          <w:tcPr>
            <w:tcMar>
              <w:top w:w="68" w:type="dxa"/>
              <w:bottom w:w="68" w:type="dxa"/>
            </w:tcMar>
            <w:tcW w:w="630"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lang w:bidi="ar"/>
              </w:rPr>
              <w:t xml:space="preserve">3</w:t>
            </w:r>
            <w:r>
              <w:rPr>
                <w:rFonts w:hint="eastAsia" w:ascii="宋体" w:hAnsi="宋体"/>
                <w:color w:val="auto"/>
                <w:sz w:val="20"/>
                <w:szCs w:val="20"/>
                <w:highlight w:val="none"/>
                <w:lang w:bidi="ar"/>
              </w:rPr>
              <w:t xml:space="preserve">1</w:t>
            </w:r>
            <w:r/>
          </w:p>
        </w:tc>
        <w:tc>
          <w:tcPr>
            <w:tcMar>
              <w:top w:w="68" w:type="dxa"/>
              <w:bottom w:w="68" w:type="dxa"/>
            </w:tcMa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餐饮食品</w:t>
            </w:r>
            <w:r/>
          </w:p>
        </w:tc>
        <w:tc>
          <w:tcPr>
            <w:tcMar>
              <w:top w:w="68" w:type="dxa"/>
              <w:bottom w:w="68" w:type="dxa"/>
            </w:tcMar>
            <w:tcW w:w="1247" w:type="dxa"/>
            <w:vAlign w:val="center"/>
            <w:vMerge w:val="restart"/>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肉制品</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熟肉制品（自制）</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熏烧烤肉类</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68" w:type="dxa"/>
              <w:bottom w:w="68" w:type="dxa"/>
            </w:tcMa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N-二甲基亚硝胺、苯并[α]芘、铅（以Pb计）</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680"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酱卤肉制品</w:t>
            </w:r>
            <w:r/>
          </w:p>
          <w:p>
            <w:pPr>
              <w:jc w:val="center"/>
              <w:widowControl/>
              <w:rPr>
                <w:rFonts w:ascii="宋体" w:hAnsi="宋体" w:cs="宋体"/>
                <w:color w:val="auto"/>
                <w:sz w:val="20"/>
                <w:szCs w:val="20"/>
                <w:highlight w:val="none"/>
                <w:lang w:bidi="ar"/>
              </w:rPr>
            </w:pPr>
            <w:r>
              <w:rPr>
                <w:rFonts w:ascii="宋体" w:hAnsi="宋体"/>
                <w:color w:val="auto"/>
                <w:sz w:val="20"/>
                <w:szCs w:val="20"/>
                <w:highlight w:val="none"/>
                <w:lang w:bidi="ar"/>
              </w:rPr>
              <w:t xml:space="preserve">（自制）</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lang w:bidi="ar"/>
              </w:rPr>
            </w:pPr>
            <w:r>
              <w:rPr>
                <w:rFonts w:ascii="宋体" w:hAnsi="宋体"/>
                <w:color w:val="auto"/>
                <w:sz w:val="20"/>
                <w:szCs w:val="20"/>
                <w:highlight w:val="none"/>
                <w:lang w:bidi="ar"/>
              </w:rPr>
              <w:t xml:space="preserve">/</w:t>
            </w:r>
            <w:r/>
          </w:p>
        </w:tc>
        <w:tc>
          <w:tcPr>
            <w:tcMar>
              <w:top w:w="68" w:type="dxa"/>
              <w:bottom w:w="68" w:type="dxa"/>
            </w:tcMar>
            <w:tcW w:w="8213" w:type="dxa"/>
            <w:vAlign w:val="center"/>
            <w:textDirection w:val="lrTb"/>
            <w:noWrap w:val="false"/>
          </w:tcPr>
          <w:p>
            <w:pPr>
              <w:widowControl/>
              <w:rPr>
                <w:rFonts w:ascii="宋体" w:hAnsi="宋体"/>
                <w:color w:val="auto"/>
                <w:sz w:val="20"/>
                <w:szCs w:val="20"/>
                <w:highlight w:val="none"/>
                <w:lang w:bidi="ar"/>
              </w:rPr>
            </w:pPr>
            <w:r>
              <w:rPr>
                <w:rFonts w:ascii="宋体" w:hAnsi="宋体"/>
                <w:bCs/>
                <w:color w:val="auto"/>
                <w:sz w:val="20"/>
                <w:szCs w:val="20"/>
                <w:highlight w:val="none"/>
                <w:lang w:bidi="ar"/>
              </w:rPr>
              <w:t xml:space="preserve">纳他霉素、苯甲酸及其钠盐（以苯甲酸计）、山梨酸及其钾盐（以山梨酸计）、糖精钠（以糖精计）、脱氢乙酸及其钠盐（以脱氢乙酸计）、防腐剂混合使用时各自用量占其最大使用量的比例之和、胭脂红、氯霉素</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调味料</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调味料</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火锅麻辣烫底料（自制）</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68" w:type="dxa"/>
              <w:bottom w:w="68" w:type="dxa"/>
            </w:tcMa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罂粟碱、吗啡、可待因、那可丁</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水产制品（自制）</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预制水产制品（自制）</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生食动物性水产品（自制）</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68" w:type="dxa"/>
              <w:bottom w:w="68" w:type="dxa"/>
            </w:tcMa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铝的残留量（以即食海蜇中Al计）</w:t>
            </w:r>
            <w:r/>
          </w:p>
        </w:tc>
      </w:tr>
      <w:tr>
        <w:trPr>
          <w:cantSplit/>
          <w:jc w:val="center"/>
        </w:trPr>
        <w:tc>
          <w:tcPr>
            <w:tcMar>
              <w:top w:w="68" w:type="dxa"/>
              <w:bottom w:w="68"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坚果及籽类食品</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坚果及籽类食品</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花生制品</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68" w:type="dxa"/>
              <w:bottom w:w="68" w:type="dxa"/>
            </w:tcMa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黄曲霉毒素B</w:t>
            </w:r>
            <w:r>
              <w:rPr>
                <w:rStyle w:val="1026"/>
                <w:rFonts w:hint="default"/>
                <w:color w:val="auto"/>
                <w:highlight w:val="none"/>
                <w:lang w:bidi="ar"/>
              </w:rPr>
              <w:t xml:space="preserve">1</w:t>
            </w:r>
            <w:r>
              <w:rPr>
                <w:rFonts w:ascii="宋体" w:hAnsi="宋体"/>
                <w:color w:val="auto"/>
                <w:sz w:val="20"/>
                <w:szCs w:val="20"/>
                <w:highlight w:val="none"/>
                <w:lang w:bidi="ar"/>
              </w:rPr>
              <w:t xml:space="preserve">、苯甲酸及其钠盐（以苯甲酸计）、山梨酸及其钾盐（以山梨酸计）、脱氢乙酸及其钠盐（以脱氢乙酸计）</w:t>
            </w:r>
            <w:r/>
          </w:p>
        </w:tc>
      </w:tr>
      <w:tr>
        <w:trPr>
          <w:cantSplit/>
          <w:jc w:val="center"/>
        </w:trPr>
        <w:tc>
          <w:tcPr>
            <w:tcMar>
              <w:top w:w="68" w:type="dxa"/>
              <w:bottom w:w="68"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餐饮具</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复用餐饮具</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复用餐饮具（餐馆自行消毒）</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阴离子合成洗涤剂（以十二烷基苯磺酸钠计）、大肠菌群</w:t>
            </w:r>
            <w:r/>
          </w:p>
        </w:tc>
      </w:tr>
      <w:tr>
        <w:trPr>
          <w:cantSplit/>
          <w:jc w:val="center"/>
        </w:trPr>
        <w:tc>
          <w:tcPr>
            <w:tcMar>
              <w:top w:w="68" w:type="dxa"/>
              <w:bottom w:w="68"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复用餐饮具（集中清洗消毒服务单位消毒）</w:t>
            </w:r>
            <w:r/>
          </w:p>
        </w:tc>
        <w:tc>
          <w:tcPr>
            <w:tcMar>
              <w:top w:w="68" w:type="dxa"/>
              <w:bottom w:w="68" w:type="dxa"/>
            </w:tcMar>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较高</w:t>
            </w:r>
            <w:r/>
          </w:p>
        </w:tc>
        <w:tc>
          <w:tcPr>
            <w:tcMar>
              <w:top w:w="68" w:type="dxa"/>
              <w:bottom w:w="68" w:type="dxa"/>
            </w:tcMa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阴离子合成洗涤剂（以十二烷基苯磺酸钠计）、大肠菌群</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焙烤食品（自制）</w:t>
            </w:r>
            <w:r/>
          </w:p>
        </w:tc>
        <w:tc>
          <w:tcPr>
            <w:tcMar>
              <w:top w:w="68" w:type="dxa"/>
              <w:bottom w:w="68" w:type="dxa"/>
            </w:tcMa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焙烤食品（自制）</w:t>
            </w:r>
            <w:r/>
          </w:p>
        </w:tc>
        <w:tc>
          <w:tcPr>
            <w:tcMar>
              <w:top w:w="68" w:type="dxa"/>
              <w:bottom w:w="68" w:type="dxa"/>
            </w:tcMar>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糕点（自制）</w:t>
            </w:r>
            <w:r/>
          </w:p>
        </w:tc>
        <w:tc>
          <w:tcPr>
            <w:tcMar>
              <w:top w:w="68" w:type="dxa"/>
              <w:bottom w:w="68" w:type="dxa"/>
            </w:tcMar>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酸价（以脂肪计）（KOH）、过氧化值（以脂肪计）、山梨酸及其钾盐（以山梨酸计）、脱氢乙酸及其钠盐（以脱氢乙酸计）、防腐剂混合使用时各自用量占其最大使用量的比例之和、铝的残留量（干样品，以Al计）</w:t>
            </w:r>
            <w:r/>
          </w:p>
        </w:tc>
      </w:tr>
      <w:tr>
        <w:trPr>
          <w:cantSplit/>
          <w:jc w:val="center"/>
        </w:trPr>
        <w:tc>
          <w:tcPr>
            <w:tcW w:w="630" w:type="dxa"/>
            <w:vAlign w:val="center"/>
            <w:vMerge w:val="restart"/>
            <w:textDirection w:val="lrTb"/>
            <w:noWrap w:val="false"/>
          </w:tcPr>
          <w:p>
            <w:pPr>
              <w:jc w:val="center"/>
              <w:rPr>
                <w:rFonts w:ascii="宋体" w:hAnsi="宋体"/>
                <w:color w:val="auto"/>
                <w:sz w:val="20"/>
                <w:szCs w:val="20"/>
                <w:highlight w:val="none"/>
              </w:rPr>
            </w:pPr>
            <w:r>
              <w:rPr>
                <w:rFonts w:hint="eastAsia" w:ascii="宋体" w:hAnsi="宋体"/>
                <w:color w:val="auto"/>
                <w:sz w:val="20"/>
                <w:szCs w:val="20"/>
                <w:highlight w:val="none"/>
              </w:rPr>
              <w:t xml:space="preserve">31</w:t>
            </w:r>
            <w:r/>
          </w:p>
        </w:tc>
        <w:tc>
          <w:tcP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餐饮食品</w:t>
            </w:r>
            <w:r/>
          </w:p>
        </w:tc>
        <w:tc>
          <w:tcPr>
            <w:tcW w:w="1247"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食用油、油脂及其制品</w:t>
            </w:r>
            <w:r/>
          </w:p>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（自制）</w:t>
            </w:r>
            <w:r/>
          </w:p>
        </w:tc>
        <w:tc>
          <w:tcPr>
            <w:tcW w:w="1247"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食用油、油脂及其制品</w:t>
            </w:r>
            <w:r/>
          </w:p>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（自制）</w:t>
            </w:r>
            <w:r/>
          </w:p>
        </w:tc>
        <w:tc>
          <w:tcPr>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煎炸过程用油</w:t>
            </w:r>
            <w:r/>
          </w:p>
        </w:tc>
        <w:tc>
          <w:tcPr>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极性组分、酸价（以脂肪计）（KOH）</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淀粉制品（自制）</w:t>
            </w:r>
            <w:r/>
          </w:p>
        </w:tc>
        <w:tc>
          <w:tcP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粉丝粉条（自制）</w:t>
            </w:r>
            <w:r/>
          </w:p>
        </w:tc>
        <w:tc>
          <w:tcPr>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粉丝粉条（自制）</w:t>
            </w:r>
            <w:r/>
          </w:p>
        </w:tc>
        <w:tc>
          <w:tcPr>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铝的残留量（干样品，以Al计）</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蔬菜制品</w:t>
            </w:r>
            <w:r/>
          </w:p>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（自制）</w:t>
            </w:r>
            <w:r/>
          </w:p>
        </w:tc>
        <w:tc>
          <w:tcPr>
            <w:tcW w:w="1247"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蔬菜制品</w:t>
            </w:r>
            <w:r/>
          </w:p>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（自制）</w:t>
            </w:r>
            <w:r/>
          </w:p>
        </w:tc>
        <w:tc>
          <w:tcPr>
            <w:tcW w:w="1680"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酱腌菜（自制）</w:t>
            </w:r>
            <w:r/>
          </w:p>
        </w:tc>
        <w:tc>
          <w:tcPr>
            <w:tcW w:w="675"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w:t>
            </w:r>
            <w:r/>
          </w:p>
        </w:tc>
        <w:tc>
          <w:tcPr>
            <w:tcW w:w="8213" w:type="dxa"/>
            <w:vAlign w:val="center"/>
            <w:textDirection w:val="lrTb"/>
            <w:noWrap w:val="false"/>
          </w:tcPr>
          <w:p>
            <w:pPr>
              <w:widowControl/>
              <w:rPr>
                <w:rFonts w:ascii="宋体" w:hAnsi="宋体"/>
                <w:color w:val="auto"/>
                <w:sz w:val="20"/>
                <w:szCs w:val="20"/>
                <w:highlight w:val="none"/>
                <w:lang w:bidi="ar"/>
              </w:rPr>
            </w:pPr>
            <w:r>
              <w:rPr>
                <w:rFonts w:ascii="宋体" w:hAnsi="宋体"/>
                <w:color w:val="auto"/>
                <w:sz w:val="20"/>
                <w:szCs w:val="20"/>
                <w:highlight w:val="none"/>
                <w:lang w:bidi="ar"/>
              </w:rPr>
              <w:t xml:space="preserve">铅（以Pb计）、苯甲酸及其钠盐（以苯甲酸计）、山梨酸及其钾盐（以山梨酸计）、糖精钠（以糖精计）、脱氢乙酸及其钠盐（以脱氢乙酸计）、甜蜜素（以环己基氨基磺酸计）、阿斯巴甜、防腐剂混合使用时各自用量占其最大使用量的比例之和、二氧化硫残留量</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3</w:t>
            </w:r>
            <w:r>
              <w:rPr>
                <w:rFonts w:hint="eastAsia" w:ascii="宋体" w:hAnsi="宋体"/>
                <w:color w:val="auto"/>
                <w:sz w:val="20"/>
                <w:szCs w:val="20"/>
                <w:highlight w:val="none"/>
                <w:lang w:bidi="ar"/>
              </w:rPr>
              <w:t xml:space="preserve">2</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食品添加剂</w:t>
            </w:r>
            <w:r/>
          </w:p>
        </w:tc>
        <w:tc>
          <w:tcP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食品添加剂</w:t>
            </w:r>
            <w:r/>
          </w:p>
        </w:tc>
        <w:tc>
          <w:tcP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复配食品添加剂</w:t>
            </w:r>
            <w:r/>
          </w:p>
        </w:tc>
        <w:tc>
          <w:tcPr>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复配食品添加剂</w:t>
            </w:r>
            <w:r/>
          </w:p>
        </w:tc>
        <w:tc>
          <w:tcPr>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铅（Pb）、砷（以As计）、致病性微生物</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食品用香精</w:t>
            </w:r>
            <w:r/>
          </w:p>
        </w:tc>
        <w:tc>
          <w:tcPr>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食品用香精</w:t>
            </w:r>
            <w:r/>
          </w:p>
        </w:tc>
        <w:tc>
          <w:tcPr>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砷（以As计）含量/无机砷含量、菌落总数</w:t>
            </w:r>
            <w:r/>
          </w:p>
        </w:tc>
      </w:tr>
      <w:tr>
        <w:trPr>
          <w:cantSplit/>
          <w:jc w:val="center"/>
        </w:trPr>
        <w:tc>
          <w:tcPr>
            <w:shd w:val="clear" w:color="auto" w:fill="auto"/>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单一食品添加剂</w:t>
            </w:r>
            <w:r/>
          </w:p>
        </w:tc>
        <w:tc>
          <w:tcPr>
            <w:shd w:val="clear" w:color="auto" w:fill="ffffff"/>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明胶</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铬（Cr）、铅（Pb）、总砷（As）、二氧化硫、过氧化物</w:t>
            </w:r>
            <w:r/>
          </w:p>
        </w:tc>
      </w:tr>
      <w:tr>
        <w:trPr>
          <w:cantSplit/>
          <w:jc w:val="center"/>
        </w:trPr>
        <w:tc>
          <w:tcPr>
            <w:shd w:val="clear" w:color="auto" w:fill="auto"/>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ffffff"/>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山梨酸钾</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山梨酸钾（以C</w:t>
            </w:r>
            <w:r>
              <w:rPr>
                <w:rStyle w:val="1026"/>
                <w:rFonts w:hint="default"/>
                <w:color w:val="auto"/>
                <w:highlight w:val="none"/>
                <w:lang w:bidi="ar"/>
              </w:rPr>
              <w:t xml:space="preserve">6</w:t>
            </w:r>
            <w:r>
              <w:rPr>
                <w:rFonts w:ascii="宋体" w:hAnsi="宋体"/>
                <w:color w:val="auto"/>
                <w:sz w:val="20"/>
                <w:szCs w:val="20"/>
                <w:highlight w:val="none"/>
                <w:lang w:bidi="ar"/>
              </w:rPr>
              <w:t xml:space="preserve">H</w:t>
            </w:r>
            <w:r>
              <w:rPr>
                <w:rStyle w:val="1026"/>
                <w:rFonts w:hint="default"/>
                <w:color w:val="auto"/>
                <w:highlight w:val="none"/>
                <w:lang w:bidi="ar"/>
              </w:rPr>
              <w:t xml:space="preserve">7</w:t>
            </w:r>
            <w:r>
              <w:rPr>
                <w:rFonts w:ascii="宋体" w:hAnsi="宋体"/>
                <w:color w:val="auto"/>
                <w:sz w:val="20"/>
                <w:szCs w:val="20"/>
                <w:highlight w:val="none"/>
                <w:lang w:bidi="ar"/>
              </w:rPr>
              <w:t xml:space="preserve">KO</w:t>
            </w:r>
            <w:r>
              <w:rPr>
                <w:rStyle w:val="1026"/>
                <w:rFonts w:hint="default"/>
                <w:color w:val="auto"/>
                <w:highlight w:val="none"/>
                <w:lang w:bidi="ar"/>
              </w:rPr>
              <w:t xml:space="preserve">2</w:t>
            </w:r>
            <w:r>
              <w:rPr>
                <w:rFonts w:ascii="宋体" w:hAnsi="宋体"/>
                <w:color w:val="auto"/>
                <w:sz w:val="20"/>
                <w:szCs w:val="20"/>
                <w:highlight w:val="none"/>
                <w:lang w:bidi="ar"/>
              </w:rPr>
              <w:t xml:space="preserve">计）（以干基计）、干燥减量、氯化物（以Cl计）、硫酸盐（以SO</w:t>
            </w:r>
            <w:r>
              <w:rPr>
                <w:rStyle w:val="1026"/>
                <w:rFonts w:hint="default"/>
                <w:color w:val="auto"/>
                <w:highlight w:val="none"/>
                <w:lang w:bidi="ar"/>
              </w:rPr>
              <w:t xml:space="preserve">4</w:t>
            </w:r>
            <w:r>
              <w:rPr>
                <w:rFonts w:ascii="宋体" w:hAnsi="宋体"/>
                <w:color w:val="auto"/>
                <w:sz w:val="20"/>
                <w:szCs w:val="20"/>
                <w:highlight w:val="none"/>
                <w:lang w:bidi="ar"/>
              </w:rPr>
              <w:t xml:space="preserve">计）、醛（以HCHO计）、重金属（以Pb计）、砷（As）、铅（Pb）、澄清度、游离碱</w:t>
            </w:r>
            <w:r/>
          </w:p>
        </w:tc>
      </w:tr>
      <w:tr>
        <w:trPr>
          <w:cantSplit/>
          <w:jc w:val="center"/>
        </w:trPr>
        <w:tc>
          <w:tcPr>
            <w:shd w:val="clear" w:color="auto" w:fill="auto"/>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糖精钠</w:t>
            </w:r>
            <w:r/>
          </w:p>
        </w:tc>
        <w:tc>
          <w:tcPr>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糖精钠含量、干燥失重、总砷（以</w:t>
            </w:r>
            <w:r>
              <w:rPr>
                <w:rStyle w:val="1028"/>
                <w:rFonts w:ascii="宋体" w:hAnsi="宋体" w:eastAsia="宋体"/>
                <w:color w:val="auto"/>
                <w:highlight w:val="none"/>
                <w:lang w:bidi="ar"/>
              </w:rPr>
              <w:t xml:space="preserve">As</w:t>
            </w:r>
            <w:r>
              <w:rPr>
                <w:rFonts w:ascii="宋体" w:hAnsi="宋体"/>
                <w:color w:val="auto"/>
                <w:sz w:val="20"/>
                <w:szCs w:val="20"/>
                <w:highlight w:val="none"/>
                <w:lang w:bidi="ar"/>
              </w:rPr>
              <w:t xml:space="preserve">计）、铅（</w:t>
            </w:r>
            <w:r>
              <w:rPr>
                <w:rStyle w:val="1028"/>
                <w:rFonts w:ascii="宋体" w:hAnsi="宋体" w:eastAsia="宋体"/>
                <w:color w:val="auto"/>
                <w:highlight w:val="none"/>
                <w:lang w:bidi="ar"/>
              </w:rPr>
              <w:t xml:space="preserve">Pb</w:t>
            </w:r>
            <w:r>
              <w:rPr>
                <w:rFonts w:ascii="宋体" w:hAnsi="宋体"/>
                <w:color w:val="auto"/>
                <w:sz w:val="20"/>
                <w:szCs w:val="20"/>
                <w:highlight w:val="none"/>
                <w:lang w:bidi="ar"/>
              </w:rPr>
              <w:t xml:space="preserve">）、酸度和碱度、苯甲酸盐和水杨酸盐</w:t>
            </w:r>
            <w:r/>
          </w:p>
        </w:tc>
      </w:tr>
      <w:tr>
        <w:trPr>
          <w:cantSplit/>
          <w:jc w:val="center"/>
        </w:trPr>
        <w:tc>
          <w:tcPr>
            <w:shd w:val="clear" w:color="auto" w:fill="auto"/>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环己基氨基磺酸钠（又名甜蜜素）</w:t>
            </w:r>
            <w:r/>
          </w:p>
        </w:tc>
        <w:tc>
          <w:tcPr>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环己基氨基磺酸钠含量（以干基计）、硫酸盐（以SO</w:t>
            </w:r>
            <w:r>
              <w:rPr>
                <w:rStyle w:val="1026"/>
                <w:rFonts w:hint="default"/>
                <w:color w:val="auto"/>
                <w:highlight w:val="none"/>
                <w:lang w:bidi="ar"/>
              </w:rPr>
              <w:t xml:space="preserve">4</w:t>
            </w:r>
            <w:r>
              <w:rPr>
                <w:rFonts w:ascii="宋体" w:hAnsi="宋体"/>
                <w:color w:val="auto"/>
                <w:sz w:val="20"/>
                <w:szCs w:val="20"/>
                <w:highlight w:val="none"/>
                <w:lang w:bidi="ar"/>
              </w:rPr>
              <w:t xml:space="preserve">计）、pH（100g/L水溶液）、干燥减量、氨基磺酸、环己胺、双环己胺、吸光值（100g/L溶液）、透明度（以100g/L溶液的透光率表示）、重金属（以Pb计）、砷（As）</w:t>
            </w:r>
            <w:r/>
          </w:p>
        </w:tc>
      </w:tr>
      <w:tr>
        <w:trPr>
          <w:cantSplit/>
          <w:jc w:val="center"/>
        </w:trPr>
        <w:tc>
          <w:tcPr>
            <w:shd w:val="clear" w:color="auto" w:fill="auto"/>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ffffff"/>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赤藓糖醇</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赤藓糖醇（以C</w:t>
            </w:r>
            <w:r>
              <w:rPr>
                <w:rStyle w:val="1026"/>
                <w:rFonts w:hint="default"/>
                <w:color w:val="auto"/>
                <w:highlight w:val="none"/>
                <w:lang w:bidi="ar"/>
              </w:rPr>
              <w:t xml:space="preserve">4</w:t>
            </w:r>
            <w:r>
              <w:rPr>
                <w:rFonts w:ascii="宋体" w:hAnsi="宋体"/>
                <w:color w:val="auto"/>
                <w:sz w:val="20"/>
                <w:szCs w:val="20"/>
                <w:highlight w:val="none"/>
                <w:lang w:bidi="ar"/>
              </w:rPr>
              <w:t xml:space="preserve">H</w:t>
            </w:r>
            <w:r>
              <w:rPr>
                <w:rStyle w:val="1026"/>
                <w:rFonts w:hint="default"/>
                <w:color w:val="auto"/>
                <w:highlight w:val="none"/>
                <w:lang w:bidi="ar"/>
              </w:rPr>
              <w:t xml:space="preserve">10</w:t>
            </w:r>
            <w:r>
              <w:rPr>
                <w:rFonts w:ascii="宋体" w:hAnsi="宋体"/>
                <w:color w:val="auto"/>
                <w:sz w:val="20"/>
                <w:szCs w:val="20"/>
                <w:highlight w:val="none"/>
                <w:lang w:bidi="ar"/>
              </w:rPr>
              <w:t xml:space="preserve">O</w:t>
            </w:r>
            <w:r>
              <w:rPr>
                <w:rStyle w:val="1026"/>
                <w:rFonts w:hint="default"/>
                <w:color w:val="auto"/>
                <w:highlight w:val="none"/>
                <w:lang w:bidi="ar"/>
              </w:rPr>
              <w:t xml:space="preserve">4</w:t>
            </w:r>
            <w:r>
              <w:rPr>
                <w:rFonts w:ascii="宋体" w:hAnsi="宋体"/>
                <w:color w:val="auto"/>
                <w:sz w:val="20"/>
                <w:szCs w:val="20"/>
                <w:highlight w:val="none"/>
                <w:lang w:bidi="ar"/>
              </w:rPr>
              <w:t xml:space="preserve">计，以干基计）、干燥减量、灼烧残渣、还原糖（以葡萄糖计）、核糖醇和丙三醇（以干基计）、铅（Pb）</w:t>
            </w:r>
            <w:r/>
          </w:p>
        </w:tc>
      </w:tr>
      <w:tr>
        <w:trPr>
          <w:cantSplit/>
          <w:jc w:val="center"/>
        </w:trPr>
        <w:tc>
          <w:tcPr>
            <w:shd w:val="clear" w:color="auto" w:fill="auto"/>
            <w:tcW w:w="630"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lang w:bidi="ar"/>
              </w:rPr>
              <w:t xml:space="preserve">3</w:t>
            </w:r>
            <w:r>
              <w:rPr>
                <w:rFonts w:hint="eastAsia" w:ascii="宋体" w:hAnsi="宋体"/>
                <w:color w:val="auto"/>
                <w:sz w:val="20"/>
                <w:szCs w:val="20"/>
                <w:highlight w:val="none"/>
                <w:lang w:bidi="ar"/>
              </w:rPr>
              <w:t xml:space="preserve">2</w:t>
            </w:r>
            <w:r/>
          </w:p>
        </w:tc>
        <w:tc>
          <w:tcPr>
            <w:shd w:val="clear" w:color="auto" w:fill="auto"/>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食品添加剂</w:t>
            </w:r>
            <w:r/>
          </w:p>
        </w:tc>
        <w:tc>
          <w:tcPr>
            <w:shd w:val="clear" w:color="auto" w:fill="auto"/>
            <w:tcW w:w="1247"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lang w:bidi="ar"/>
              </w:rPr>
              <w:t xml:space="preserve">食品添加剂</w:t>
            </w:r>
            <w:r/>
          </w:p>
        </w:tc>
        <w:tc>
          <w:tcPr>
            <w:shd w:val="clear" w:color="auto" w:fill="auto"/>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单一食品添加剂</w:t>
            </w:r>
            <w:r/>
          </w:p>
        </w:tc>
        <w:tc>
          <w:tcPr>
            <w:shd w:val="clear" w:color="auto" w:fill="ffffff"/>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碳酸钠</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shd w:val="clear" w:color="auto" w:fill="ffffff"/>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总碱量（以Na</w:t>
            </w:r>
            <w:r>
              <w:rPr>
                <w:rStyle w:val="1026"/>
                <w:rFonts w:hint="default"/>
                <w:color w:val="auto"/>
                <w:highlight w:val="none"/>
                <w:lang w:bidi="ar"/>
              </w:rPr>
              <w:t xml:space="preserve">2</w:t>
            </w:r>
            <w:r>
              <w:rPr>
                <w:rFonts w:ascii="宋体" w:hAnsi="宋体"/>
                <w:color w:val="auto"/>
                <w:sz w:val="20"/>
                <w:szCs w:val="20"/>
                <w:highlight w:val="none"/>
                <w:lang w:bidi="ar"/>
              </w:rPr>
              <w:t xml:space="preserve">CO</w:t>
            </w:r>
            <w:r>
              <w:rPr>
                <w:rStyle w:val="1026"/>
                <w:rFonts w:hint="default"/>
                <w:color w:val="auto"/>
                <w:highlight w:val="none"/>
                <w:lang w:bidi="ar"/>
              </w:rPr>
              <w:t xml:space="preserve">3</w:t>
            </w:r>
            <w:r>
              <w:rPr>
                <w:rFonts w:ascii="宋体" w:hAnsi="宋体"/>
                <w:color w:val="auto"/>
                <w:sz w:val="20"/>
                <w:szCs w:val="20"/>
                <w:highlight w:val="none"/>
                <w:lang w:bidi="ar"/>
              </w:rPr>
              <w:t xml:space="preserve">计）（以干基计）、总碱量（以Na</w:t>
            </w:r>
            <w:r>
              <w:rPr>
                <w:rStyle w:val="1026"/>
                <w:rFonts w:hint="default"/>
                <w:color w:val="auto"/>
                <w:highlight w:val="none"/>
                <w:lang w:bidi="ar"/>
              </w:rPr>
              <w:t xml:space="preserve">2</w:t>
            </w:r>
            <w:r>
              <w:rPr>
                <w:rFonts w:ascii="宋体" w:hAnsi="宋体"/>
                <w:color w:val="auto"/>
                <w:sz w:val="20"/>
                <w:szCs w:val="20"/>
                <w:highlight w:val="none"/>
                <w:lang w:bidi="ar"/>
              </w:rPr>
              <w:t xml:space="preserve">CO</w:t>
            </w:r>
            <w:r>
              <w:rPr>
                <w:rStyle w:val="1026"/>
                <w:rFonts w:hint="default"/>
                <w:color w:val="auto"/>
                <w:highlight w:val="none"/>
                <w:lang w:bidi="ar"/>
              </w:rPr>
              <w:t xml:space="preserve">3</w:t>
            </w:r>
            <w:r>
              <w:rPr>
                <w:rFonts w:ascii="宋体" w:hAnsi="宋体"/>
                <w:color w:val="auto"/>
                <w:sz w:val="20"/>
                <w:szCs w:val="20"/>
                <w:highlight w:val="none"/>
                <w:lang w:bidi="ar"/>
              </w:rPr>
              <w:t xml:space="preserve">计）（以湿基计）、水不溶物（以干基计）、氯化物（以NaCl计）（以干基计）、铁（Fe）（以干基计）、铅（Pb）（以干基计）、砷（As）（以干基计）</w:t>
            </w:r>
            <w:r/>
          </w:p>
        </w:tc>
      </w:tr>
      <w:tr>
        <w:trPr>
          <w:cantSplit/>
          <w:jc w:val="center"/>
        </w:trPr>
        <w:tc>
          <w:tcPr>
            <w:shd w:val="clear" w:color="auto" w:fill="auto"/>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ffffff"/>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碳酸氢钠</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shd w:val="clear" w:color="auto" w:fill="ffffff"/>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总碱量（以NaHCO</w:t>
            </w:r>
            <w:r>
              <w:rPr>
                <w:rStyle w:val="1026"/>
                <w:rFonts w:hint="default"/>
                <w:color w:val="auto"/>
                <w:highlight w:val="none"/>
                <w:lang w:bidi="ar"/>
              </w:rPr>
              <w:t xml:space="preserve">3</w:t>
            </w:r>
            <w:r>
              <w:rPr>
                <w:rFonts w:ascii="宋体" w:hAnsi="宋体"/>
                <w:color w:val="auto"/>
                <w:sz w:val="20"/>
                <w:szCs w:val="20"/>
                <w:highlight w:val="none"/>
                <w:lang w:bidi="ar"/>
              </w:rPr>
              <w:t xml:space="preserve">计）、干燥减量、pH（10g/L水溶液）、铵盐、澄清度、氯化物（以Cl计）、白度、砷（As）、重金属（以Pb计）</w:t>
            </w:r>
            <w:r/>
          </w:p>
        </w:tc>
      </w:tr>
      <w:tr>
        <w:trPr>
          <w:cantSplit/>
          <w:jc w:val="center"/>
        </w:trPr>
        <w:tc>
          <w:tcPr>
            <w:shd w:val="clear" w:color="auto" w:fill="auto"/>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ffffff"/>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氢氧化钠</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shd w:val="clear" w:color="auto" w:fill="ffffff"/>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总碱量（以NaOH计）、碳酸钠（Na</w:t>
            </w:r>
            <w:r>
              <w:rPr>
                <w:rStyle w:val="1026"/>
                <w:rFonts w:hint="default"/>
                <w:color w:val="auto"/>
                <w:highlight w:val="none"/>
                <w:lang w:bidi="ar"/>
              </w:rPr>
              <w:t xml:space="preserve">2</w:t>
            </w:r>
            <w:r>
              <w:rPr>
                <w:rFonts w:ascii="宋体" w:hAnsi="宋体"/>
                <w:color w:val="auto"/>
                <w:sz w:val="20"/>
                <w:szCs w:val="20"/>
                <w:highlight w:val="none"/>
                <w:lang w:bidi="ar"/>
              </w:rPr>
              <w:t xml:space="preserve">CO</w:t>
            </w:r>
            <w:r>
              <w:rPr>
                <w:rStyle w:val="1026"/>
                <w:rFonts w:hint="default"/>
                <w:color w:val="auto"/>
                <w:highlight w:val="none"/>
                <w:lang w:bidi="ar"/>
              </w:rPr>
              <w:t xml:space="preserve">3</w:t>
            </w:r>
            <w:r>
              <w:rPr>
                <w:rFonts w:ascii="宋体" w:hAnsi="宋体"/>
                <w:color w:val="auto"/>
                <w:sz w:val="20"/>
                <w:szCs w:val="20"/>
                <w:highlight w:val="none"/>
                <w:lang w:bidi="ar"/>
              </w:rPr>
              <w:t xml:space="preserve">）、砷（As）、重金属（以Pb计）、不溶物及有机杂质</w:t>
            </w:r>
            <w:r/>
          </w:p>
        </w:tc>
      </w:tr>
      <w:tr>
        <w:trPr>
          <w:cantSplit/>
          <w:jc w:val="center"/>
        </w:trPr>
        <w:tc>
          <w:tcPr>
            <w:shd w:val="clear" w:color="auto" w:fill="auto"/>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三氯蔗糖</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三氯蔗糖（以干基计）、比旋光度</w:t>
            </w:r>
            <w:r>
              <w:rPr>
                <w:rStyle w:val="1029"/>
                <w:rFonts w:ascii="宋体" w:hAnsi="宋体"/>
                <w:color w:val="auto"/>
                <w:highlight w:val="none"/>
                <w:lang w:bidi="ar"/>
              </w:rPr>
              <w:t xml:space="preserve">ɑ</w:t>
            </w:r>
            <w:r>
              <w:rPr>
                <w:rFonts w:ascii="宋体" w:hAnsi="宋体"/>
                <w:color w:val="auto"/>
                <w:sz w:val="20"/>
                <w:szCs w:val="20"/>
                <w:highlight w:val="none"/>
                <w:lang w:bidi="ar"/>
              </w:rPr>
              <w:t xml:space="preserve">m（20</w:t>
            </w:r>
            <w:r>
              <w:rPr>
                <w:rFonts w:hint="eastAsia" w:ascii="宋体" w:hAnsi="宋体" w:cs="宋体"/>
                <w:color w:val="auto"/>
                <w:sz w:val="20"/>
                <w:szCs w:val="20"/>
                <w:highlight w:val="none"/>
                <w:lang w:bidi="ar"/>
              </w:rPr>
              <w:t xml:space="preserve">℃</w:t>
            </w:r>
            <w:r>
              <w:rPr>
                <w:rFonts w:ascii="宋体" w:hAnsi="宋体"/>
                <w:color w:val="auto"/>
                <w:sz w:val="20"/>
                <w:szCs w:val="20"/>
                <w:highlight w:val="none"/>
                <w:lang w:bidi="ar"/>
              </w:rPr>
              <w:t xml:space="preserve">，D）、水分、灼烧残渣、水解产物、相关物质、甲醇、铅（Pb）</w:t>
            </w:r>
            <w:r/>
          </w:p>
        </w:tc>
      </w:tr>
      <w:tr>
        <w:trPr>
          <w:cantSplit/>
          <w:jc w:val="center"/>
        </w:trPr>
        <w:tc>
          <w:tcPr>
            <w:shd w:val="clear" w:color="auto" w:fill="auto"/>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胶基</w:t>
            </w:r>
            <w:r/>
          </w:p>
        </w:tc>
        <w:tc>
          <w:tcPr>
            <w:shd w:val="clear" w:color="auto" w:fill="auto"/>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胶基</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铅（Pb）、总砷（以As计）</w:t>
            </w:r>
            <w:r/>
          </w:p>
        </w:tc>
      </w:tr>
      <w:tr>
        <w:trPr>
          <w:cantSplit/>
          <w:jc w:val="center"/>
        </w:trPr>
        <w:tc>
          <w:tcPr>
            <w:shd w:val="clear" w:color="auto" w:fill="auto"/>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食品工业用酶制剂</w:t>
            </w:r>
            <w:r/>
          </w:p>
        </w:tc>
        <w:tc>
          <w:tcPr>
            <w:shd w:val="clear" w:color="auto" w:fill="auto"/>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食品工业用酶制剂</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铅（Pb）、总砷（以As计）、菌落总数、大肠菌群、大肠埃希氏菌、沙门氏菌、抗菌活性</w:t>
            </w:r>
            <w:r/>
          </w:p>
        </w:tc>
      </w:tr>
      <w:tr>
        <w:trPr>
          <w:cantSplit/>
          <w:jc w:val="center"/>
        </w:trPr>
        <w:tc>
          <w:tcPr>
            <w:shd w:val="clear" w:color="auto" w:fill="auto"/>
            <w:tcW w:w="630"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t xml:space="preserve">3</w:t>
            </w:r>
            <w:r>
              <w:rPr>
                <w:rFonts w:hint="eastAsia" w:ascii="宋体" w:hAnsi="宋体"/>
                <w:color w:val="auto"/>
                <w:sz w:val="20"/>
                <w:szCs w:val="20"/>
                <w:highlight w:val="none"/>
              </w:rPr>
              <w:t xml:space="preserve">3</w:t>
            </w:r>
            <w:r/>
          </w:p>
        </w:tc>
        <w:tc>
          <w:tcPr>
            <w:shd w:val="clear" w:color="auto" w:fill="auto"/>
            <w:tcW w:w="1247"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其他食品</w:t>
            </w:r>
            <w:r/>
          </w:p>
        </w:tc>
        <w:tc>
          <w:tcPr>
            <w:shd w:val="clear" w:color="auto" w:fill="auto"/>
            <w:tcW w:w="1247"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其他食品</w:t>
            </w:r>
            <w:r/>
          </w:p>
        </w:tc>
        <w:tc>
          <w:tcPr>
            <w:shd w:val="clear" w:color="auto" w:fill="auto"/>
            <w:tcW w:w="1247"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其他食品</w:t>
            </w:r>
            <w:r/>
          </w:p>
        </w:tc>
        <w:tc>
          <w:tcPr>
            <w:shd w:val="clear" w:color="auto" w:fill="auto"/>
            <w:tcW w:w="1680"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藜蒿</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olor w:val="auto"/>
                <w:sz w:val="20"/>
                <w:szCs w:val="20"/>
                <w:highlight w:val="none"/>
                <w:lang w:bidi="ar"/>
              </w:rPr>
            </w:pPr>
            <w:r>
              <w:rPr>
                <w:rFonts w:ascii="宋体" w:hAnsi="宋体"/>
                <w:color w:val="auto"/>
                <w:sz w:val="20"/>
                <w:szCs w:val="20"/>
                <w:highlight w:val="none"/>
                <w:lang w:bidi="ar"/>
              </w:rPr>
              <w:t xml:space="preserve">铅（以Pb计）、镉（以Cd计）、总汞（以Hg计）、总砷（以As计）、铬</w:t>
            </w:r>
            <w:r>
              <w:rPr>
                <w:rFonts w:hint="eastAsia" w:ascii="宋体" w:hAnsi="宋体" w:cs="宋体"/>
                <w:color w:val="auto"/>
                <w:sz w:val="20"/>
                <w:szCs w:val="20"/>
                <w:highlight w:val="none"/>
                <w:lang w:bidi="ar"/>
              </w:rPr>
              <w:t xml:space="preserve">（以</w:t>
            </w:r>
            <w:r>
              <w:rPr>
                <w:rFonts w:ascii="宋体" w:hAnsi="宋体"/>
                <w:color w:val="auto"/>
                <w:sz w:val="20"/>
                <w:szCs w:val="20"/>
                <w:highlight w:val="none"/>
                <w:lang w:bidi="ar"/>
              </w:rPr>
              <w:t xml:space="preserve">Cr</w:t>
            </w:r>
            <w:r>
              <w:rPr>
                <w:rFonts w:hint="eastAsia" w:ascii="宋体" w:hAnsi="宋体" w:cs="宋体"/>
                <w:color w:val="auto"/>
                <w:sz w:val="20"/>
                <w:szCs w:val="20"/>
                <w:highlight w:val="none"/>
                <w:lang w:bidi="ar"/>
              </w:rPr>
              <w:t xml:space="preserve">计）</w:t>
            </w:r>
            <w:r/>
          </w:p>
        </w:tc>
      </w:tr>
    </w:tbl>
    <w:p>
      <w:pPr>
        <w:pStyle w:val="709"/>
        <w:rPr>
          <w:color w:val="auto"/>
          <w:highlight w:val="none"/>
        </w:rPr>
        <w:sectPr>
          <w:footnotePr/>
          <w:endnotePr/>
          <w:type w:val="nextPage"/>
          <w:pgSz w:w="16838" w:h="11906" w:orient="landscape"/>
          <w:pgMar w:top="1474" w:right="1985" w:bottom="1588" w:left="2098" w:header="851" w:footer="992" w:gutter="0"/>
          <w:cols w:num="1" w:sep="0" w:space="720" w:equalWidth="1"/>
          <w:docGrid w:linePitch="360"/>
        </w:sectPr>
      </w:pPr>
      <w:r>
        <w:rPr>
          <w:color w:val="auto"/>
          <w:highlight w:val="none"/>
        </w:rPr>
      </w:r>
      <w:r/>
    </w:p>
    <w:p>
      <w:pPr>
        <w:pStyle w:val="685"/>
        <w:ind w:left="0" w:firstLine="0"/>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附件3：附件6</w:t>
      </w:r>
      <w:r/>
    </w:p>
    <w:p>
      <w:pPr>
        <w:ind w:firstLine="0"/>
        <w:jc w:val="center"/>
        <w:keepLines w:val="0"/>
        <w:keepNext w:val="0"/>
        <w:pageBreakBefore w:val="0"/>
        <w:spacing w:line="400" w:lineRule="exact"/>
        <w:widowControl/>
        <w:rPr>
          <w:rFonts w:hint="eastAsia" w:ascii="宋体" w:hAnsi="宋体" w:eastAsia="宋体" w:cs="宋体"/>
          <w:b/>
          <w:bCs/>
          <w:color w:val="auto"/>
          <w:sz w:val="24"/>
          <w:szCs w:val="24"/>
          <w:highlight w:val="none"/>
        </w:rPr>
        <w:outlineLvl w:val="9"/>
      </w:pPr>
      <w:r/>
      <w:bookmarkStart w:id="16" w:name="bookmark15"/>
      <w:r/>
      <w:bookmarkStart w:id="17" w:name="bookmark14"/>
      <w:r/>
      <w:bookmarkStart w:id="18" w:name="bookmark16"/>
      <w:r>
        <w:rPr>
          <w:rFonts w:hint="eastAsia" w:ascii="宋体" w:hAnsi="宋体" w:eastAsia="宋体" w:cs="宋体"/>
          <w:b/>
          <w:bCs/>
          <w:color w:val="auto"/>
          <w:sz w:val="24"/>
          <w:szCs w:val="24"/>
          <w:highlight w:val="none"/>
        </w:rPr>
        <w:t xml:space="preserve">食用农产品监督抽检工作要求</w:t>
      </w:r>
      <w:bookmarkEnd w:id="16"/>
      <w:r/>
      <w:bookmarkEnd w:id="17"/>
      <w:r/>
      <w:bookmarkEnd w:id="18"/>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为规范食用农产品监督抽检工作，落实检管结合、溯源信息 填报、均衡抽检等工作要求，提升食用农产品监督抽检工作质量, 现就有关事项明确如下：</w:t>
      </w:r>
      <w:r/>
    </w:p>
    <w:p>
      <w:pPr>
        <w:ind w:firstLine="544"/>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一、监管人员陪同抽样</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食用农产品抽样可由任务下达市场监管部门自行抽样或委 托承检机构抽样。委托抽样的，应由被抽样单位所在地辖区市场 监管部门2名监管人员、抽样机构2名抽样人员共同抽样；抽样 前，承检机构应与相关市场监管部门联系，明确拟抽样场所及日 期，属地市场监管部门应及时协调并安排监管人员陪同抽样。</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抽样人员选定样品后，监管人员应对被抽样单位和个人依法 经营、索证索票等进行现场检查，发现违反有关法律法规的行为 应记录和取证并依法处罚。对符合抽检要求的，抽样人员和现场 监管人员应共同在抽样单上签字，并在国家食品安全抽样检验信 息系统（以下简称“国抽信息系统”）中输入抽样人员和监管人员姓名。</w:t>
      </w:r>
      <w:r/>
    </w:p>
    <w:p>
      <w:pPr>
        <w:ind w:firstLine="544"/>
        <w:keepLines w:val="0"/>
        <w:keepNext w:val="0"/>
        <w:pageBreakBefore w:val="0"/>
        <w:spacing w:line="400" w:lineRule="exact"/>
        <w:widowControl/>
        <w:rPr>
          <w:rFonts w:hint="eastAsia" w:ascii="宋体" w:hAnsi="宋体" w:eastAsia="宋体" w:cs="宋体"/>
          <w:color w:val="auto"/>
          <w:sz w:val="24"/>
          <w:szCs w:val="24"/>
          <w:highlight w:val="none"/>
        </w:rPr>
        <w:outlineLvl w:val="9"/>
      </w:pPr>
      <w:r/>
      <w:bookmarkStart w:id="19" w:name="bookmark17"/>
      <w:r>
        <w:rPr>
          <w:rFonts w:hint="eastAsia" w:ascii="宋体" w:hAnsi="宋体" w:eastAsia="宋体" w:cs="宋体"/>
          <w:color w:val="auto"/>
          <w:sz w:val="24"/>
          <w:szCs w:val="24"/>
          <w:highlight w:val="none"/>
        </w:rPr>
        <w:t xml:space="preserve">二</w:t>
      </w:r>
      <w:bookmarkEnd w:id="19"/>
      <w:r>
        <w:rPr>
          <w:rFonts w:hint="eastAsia" w:ascii="宋体" w:hAnsi="宋体" w:eastAsia="宋体" w:cs="宋体"/>
          <w:color w:val="auto"/>
          <w:sz w:val="24"/>
          <w:szCs w:val="24"/>
          <w:highlight w:val="none"/>
        </w:rPr>
        <w:t xml:space="preserve">、食用农产品溯源信息填报</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食用农产品抽样应填写产地溯源信息，主要包括以下内容：</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bookmarkStart w:id="20" w:name="bookmark18"/>
      <w:r>
        <w:rPr>
          <w:rFonts w:hint="eastAsia" w:ascii="宋体" w:hAnsi="宋体" w:eastAsia="宋体" w:cs="宋体"/>
          <w:color w:val="auto"/>
          <w:sz w:val="24"/>
          <w:szCs w:val="24"/>
          <w:highlight w:val="none"/>
        </w:rPr>
        <w:t xml:space="preserve">（</w:t>
      </w:r>
      <w:bookmarkEnd w:id="20"/>
      <w:r>
        <w:rPr>
          <w:rFonts w:hint="eastAsia" w:ascii="宋体" w:hAnsi="宋体" w:eastAsia="宋体" w:cs="宋体"/>
          <w:color w:val="auto"/>
          <w:sz w:val="24"/>
          <w:szCs w:val="24"/>
          <w:highlight w:val="none"/>
        </w:rPr>
        <w:t xml:space="preserve">一）食用农产品抽样溯源信息，包括抽检样品的供应商名称、地址、电话或生产者名称、地址等。主要从样品标签，被抽样单位提供样品的动物检疫合格证明、肉品品质检验合格证、动物产品检疫验讫二维码、承诺达标合格证、入境货物检验检疫证明、进货票据等凭证获取。</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bookmarkStart w:id="21" w:name="bookmark19"/>
      <w:r>
        <w:rPr>
          <w:rFonts w:hint="eastAsia" w:ascii="宋体" w:hAnsi="宋体" w:eastAsia="宋体" w:cs="宋体"/>
          <w:color w:val="auto"/>
          <w:sz w:val="24"/>
          <w:szCs w:val="24"/>
          <w:highlight w:val="none"/>
        </w:rPr>
        <w:t xml:space="preserve">（</w:t>
      </w:r>
      <w:bookmarkEnd w:id="21"/>
      <w:r>
        <w:rPr>
          <w:rFonts w:hint="eastAsia" w:ascii="宋体" w:hAnsi="宋体" w:eastAsia="宋体" w:cs="宋体"/>
          <w:color w:val="auto"/>
          <w:sz w:val="24"/>
          <w:szCs w:val="24"/>
          <w:highlight w:val="none"/>
        </w:rPr>
        <w:t xml:space="preserve">二）抽样人员应严格按现场提供或确认的信息填写抽样单, 有关溯源信息凭证应拍照并上传国抽信息系统。当溯源信息仅 有生产者、供应商名称或证照编号（统一社会信用代码或注册号） 时，可通过“国家企业信用公示系统”等平台查询缺失信息，并按实际情形备注说明。溯源信息不全时，被抽样单位至少要提供供应商姓名和联系电话。</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bookmarkStart w:id="22" w:name="bookmark20"/>
      <w:r>
        <w:rPr>
          <w:rFonts w:hint="eastAsia" w:ascii="宋体" w:hAnsi="宋体" w:eastAsia="宋体" w:cs="宋体"/>
          <w:color w:val="auto"/>
          <w:sz w:val="24"/>
          <w:szCs w:val="24"/>
          <w:highlight w:val="none"/>
        </w:rPr>
        <w:t xml:space="preserve">（</w:t>
      </w:r>
      <w:bookmarkEnd w:id="22"/>
      <w:r>
        <w:rPr>
          <w:rFonts w:hint="eastAsia" w:ascii="宋体" w:hAnsi="宋体" w:eastAsia="宋体" w:cs="宋体"/>
          <w:color w:val="auto"/>
          <w:sz w:val="24"/>
          <w:szCs w:val="24"/>
          <w:highlight w:val="none"/>
        </w:rPr>
        <w:t xml:space="preserve">三）案件稽查、事故调查、应急处置或在抽样现场发现有明显问题的食用农产品，可不受抽样数量、抽样地点、被抽样单位是否具备合法资质、销售产品是否提供溯源信息等限制；对需要开展不合格食用农产品跟踪抽检的，抽样单备注栏填写“此样品为跟踪抽检”。</w:t>
      </w:r>
      <w:r/>
    </w:p>
    <w:p>
      <w:pPr>
        <w:ind w:firstLine="544"/>
        <w:keepLines w:val="0"/>
        <w:keepNext w:val="0"/>
        <w:pageBreakBefore w:val="0"/>
        <w:spacing w:line="400" w:lineRule="exact"/>
        <w:widowControl/>
        <w:rPr>
          <w:rFonts w:hint="eastAsia" w:ascii="宋体" w:hAnsi="宋体" w:eastAsia="宋体" w:cs="宋体"/>
          <w:color w:val="auto"/>
          <w:sz w:val="24"/>
          <w:szCs w:val="24"/>
          <w:highlight w:val="none"/>
        </w:rPr>
        <w:outlineLvl w:val="9"/>
      </w:pPr>
      <w:r/>
      <w:bookmarkStart w:id="23" w:name="bookmark21"/>
      <w:r>
        <w:rPr>
          <w:rFonts w:hint="eastAsia" w:ascii="宋体" w:hAnsi="宋体" w:eastAsia="宋体" w:cs="宋体"/>
          <w:color w:val="auto"/>
          <w:sz w:val="24"/>
          <w:szCs w:val="24"/>
          <w:highlight w:val="none"/>
        </w:rPr>
        <w:t xml:space="preserve">三</w:t>
      </w:r>
      <w:bookmarkEnd w:id="23"/>
      <w:r>
        <w:rPr>
          <w:rFonts w:hint="eastAsia" w:ascii="宋体" w:hAnsi="宋体" w:eastAsia="宋体" w:cs="宋体"/>
          <w:color w:val="auto"/>
          <w:sz w:val="24"/>
          <w:szCs w:val="24"/>
          <w:highlight w:val="none"/>
        </w:rPr>
        <w:t xml:space="preserve">、必检和自选品种及检验项目</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依据《食用农产品“治违禁 控药残 促提升”三年行动方案》及近三年全国食用农产品抽检监测情况，确定《2022年食用农产品必检品种、项目表》（见附件4）。地方各级市场监管部门开展食用农产品监督抽检应包括上表中所列品种及必检项目，同时结合监管实际选择不少于两个可选项目。市、县级市场监管部门可选项目应由省级市场监管部门食品抽检处室审核同意。</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在抽样品种上，应结合季节供应特点、当地食用习惯合理确 定。应合理确定各类食用农产品的抽检比例和批次，杜绝对同一 食用农产品反复抽检。在自选检验项目上,应根据当地既往抽检 情况、食品安全标准要求、舆情信息、农兽药使用情况等进行确定。</w:t>
      </w:r>
      <w:r/>
    </w:p>
    <w:p>
      <w:pPr>
        <w:ind w:firstLine="544"/>
        <w:keepLines w:val="0"/>
        <w:keepNext w:val="0"/>
        <w:pageBreakBefore w:val="0"/>
        <w:spacing w:line="400" w:lineRule="exact"/>
        <w:widowControl/>
        <w:rPr>
          <w:rFonts w:hint="eastAsia" w:ascii="宋体" w:hAnsi="宋体" w:eastAsia="宋体" w:cs="宋体"/>
          <w:color w:val="auto"/>
          <w:sz w:val="24"/>
          <w:szCs w:val="24"/>
          <w:highlight w:val="none"/>
        </w:rPr>
        <w:outlineLvl w:val="9"/>
      </w:pPr>
      <w:r/>
      <w:bookmarkStart w:id="24" w:name="bookmark22"/>
      <w:r>
        <w:rPr>
          <w:rFonts w:hint="eastAsia" w:ascii="宋体" w:hAnsi="宋体" w:eastAsia="宋体" w:cs="宋体"/>
          <w:color w:val="auto"/>
          <w:sz w:val="24"/>
          <w:szCs w:val="24"/>
          <w:highlight w:val="none"/>
        </w:rPr>
        <w:t xml:space="preserve">四</w:t>
      </w:r>
      <w:bookmarkEnd w:id="24"/>
      <w:r>
        <w:rPr>
          <w:rFonts w:hint="eastAsia" w:ascii="宋体" w:hAnsi="宋体" w:eastAsia="宋体" w:cs="宋体"/>
          <w:color w:val="auto"/>
          <w:sz w:val="24"/>
          <w:szCs w:val="24"/>
          <w:highlight w:val="none"/>
        </w:rPr>
        <w:t xml:space="preserve">、推进均衡抽检</w:t>
      </w:r>
      <w:r/>
    </w:p>
    <w:p>
      <w:pPr>
        <w:ind w:firstLine="480"/>
        <w:keepLines w:val="0"/>
        <w:keepNext w:val="0"/>
        <w:pageBreakBefore w:val="0"/>
        <w:spacing w:line="400" w:lineRule="exact"/>
        <w:widowControl/>
        <w:rPr>
          <w:rFonts w:hint="eastAsia" w:ascii="宋体" w:hAnsi="宋体" w:cs="宋体"/>
          <w:color w:val="auto"/>
          <w:sz w:val="30"/>
          <w:szCs w:val="30"/>
          <w:highlight w:val="none"/>
        </w:rPr>
        <w:outlineLvl w:val="9"/>
      </w:pPr>
      <w:r>
        <w:rPr>
          <w:rFonts w:hint="eastAsia" w:ascii="宋体" w:hAnsi="宋体" w:eastAsia="宋体" w:cs="宋体"/>
          <w:color w:val="auto"/>
          <w:sz w:val="24"/>
          <w:szCs w:val="24"/>
          <w:highlight w:val="none"/>
        </w:rPr>
        <w:t xml:space="preserve">各级市场监管部门应根据本行政区域食用农产品生产销售 的季节特点安排监督抽检任务，应重点抽取当季食用农产品，对 不合格较多的食用农产品适当增加抽检频次。对食用农产品集 中交易市场的经营者尽可能抽检全覆盖</w:t>
      </w:r>
      <w:r>
        <w:rPr>
          <w:rFonts w:hint="eastAsia" w:ascii="宋体" w:hAnsi="宋体" w:eastAsia="宋体" w:cs="宋体"/>
          <w:color w:val="auto"/>
          <w:sz w:val="24"/>
          <w:szCs w:val="24"/>
          <w:highlight w:val="none"/>
          <w:lang w:eastAsia="zh-CN"/>
        </w:rPr>
        <w:t xml:space="preserve">。</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MingLiU-ExtB">
    <w:panose1 w:val="02020500000000000000"/>
  </w:font>
  <w:font w:name="Calibri Light">
    <w:panose1 w:val="020F0302020204030204"/>
  </w:font>
  <w:font w:name="Symbol">
    <w:panose1 w:val="05050102010706020507"/>
  </w:font>
  <w:font w:name="新宋体">
    <w:panose1 w:val="02010609030101010101"/>
  </w:font>
  <w:font w:name="Cambria">
    <w:panose1 w:val="02040503050406030204"/>
  </w:font>
  <w:font w:name="Calibri">
    <w:panose1 w:val="020F0502020204030204"/>
  </w:font>
  <w:font w:name="黑体">
    <w:panose1 w:val="02010609060101010101"/>
  </w:font>
  <w:font w:name="仿宋_GB2312">
    <w:panose1 w:val="02010609060101010101"/>
  </w:font>
  <w:font w:name="Courier New">
    <w:panose1 w:val="02070309020205020404"/>
  </w:font>
  <w:font w:name="等线">
    <w:panose1 w:val="02010600030101010101"/>
  </w:font>
  <w:font w:name="仿宋">
    <w:panose1 w:val="02010609060101010101"/>
  </w:font>
  <w:font w:name="等线 Light">
    <w:panose1 w:val="02010600030101010101"/>
  </w:font>
  <w:font w:name="楷体_GB2312">
    <w:panose1 w:val="02010609060101010101"/>
  </w:font>
  <w:font w:name="Microsoft YaHei UI">
    <w:panose1 w:val="020B0503020204020204"/>
  </w:font>
  <w:font w:name="Arial">
    <w:panose1 w:val="020B0604020202020204"/>
  </w:font>
  <w:font w:name="宋体">
    <w:panose1 w:val="02010600030101010101"/>
  </w:font>
  <w:font w:name="方正小标宋_GBK">
    <w:panose1 w:val="020B0503020202020204"/>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Style w:val="783"/>
      </w:rPr>
      <w:framePr w:wrap="around" w:vAnchor="text" w:hAnchor="margin" w:xAlign="center" w:y="1"/>
    </w:pPr>
    <w:r>
      <w:fldChar w:fldCharType="begin"/>
    </w:r>
    <w:r>
      <w:rPr>
        <w:rStyle w:val="783"/>
      </w:rPr>
      <w:instrText xml:space="preserve">PAGE  </w:instrText>
    </w:r>
    <w:r>
      <w:fldChar w:fldCharType="separate"/>
    </w:r>
    <w:r>
      <w:rPr>
        <w:rStyle w:val="783"/>
      </w:rPr>
      <w:t xml:space="preserve">62</w:t>
    </w:r>
    <w:r>
      <w:fldChar w:fldCharType="end"/>
    </w:r>
    <w:r/>
  </w:p>
  <w:p>
    <w:pPr>
      <w:pStyle w:val="7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next w:val="680"/>
    <w:link w:val="8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9">
    <w:name w:val="Heading 1"/>
    <w:basedOn w:val="668"/>
    <w:next w:val="668"/>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1"/>
    <w:basedOn w:val="668"/>
    <w:next w:val="668"/>
    <w:uiPriority w:val="39"/>
    <w:unhideWhenUsed/>
    <w:qFormat/>
    <w:pPr>
      <w:ind w:left="0" w:right="0" w:firstLine="0"/>
      <w:spacing w:after="57"/>
    </w:pPr>
  </w:style>
  <w:style w:type="paragraph" w:styleId="681">
    <w:name w:val="toc 7"/>
    <w:basedOn w:val="668"/>
    <w:next w:val="668"/>
    <w:uiPriority w:val="39"/>
    <w:unhideWhenUsed/>
    <w:qFormat/>
    <w:pPr>
      <w:ind w:left="1701" w:right="0" w:firstLine="0"/>
      <w:spacing w:after="57"/>
    </w:pPr>
  </w:style>
  <w:style w:type="paragraph" w:styleId="682">
    <w:name w:val="Caption"/>
    <w:basedOn w:val="668"/>
    <w:next w:val="668"/>
    <w:uiPriority w:val="35"/>
    <w:semiHidden/>
    <w:unhideWhenUsed/>
    <w:qFormat/>
    <w:pPr>
      <w:spacing w:line="276" w:lineRule="auto"/>
    </w:pPr>
    <w:rPr>
      <w:b/>
      <w:bCs/>
      <w:color w:val="4f81bd" w:themeColor="accent1"/>
      <w:sz w:val="18"/>
      <w:szCs w:val="18"/>
    </w:rPr>
  </w:style>
  <w:style w:type="paragraph" w:styleId="683">
    <w:name w:val="Body Text"/>
    <w:basedOn w:val="668"/>
    <w:uiPriority w:val="0"/>
    <w:qFormat/>
    <w:rPr>
      <w:rFonts w:ascii="楷体_GB2312" w:hAnsi="Arial" w:eastAsia="楷体_GB2312"/>
      <w:sz w:val="28"/>
      <w:szCs w:val="28"/>
    </w:rPr>
  </w:style>
  <w:style w:type="paragraph" w:styleId="684">
    <w:name w:val="Body Text Indent"/>
    <w:basedOn w:val="668"/>
    <w:uiPriority w:val="0"/>
    <w:qFormat/>
    <w:pPr>
      <w:ind w:left="420"/>
      <w:spacing w:after="120"/>
    </w:pPr>
  </w:style>
  <w:style w:type="paragraph" w:styleId="685">
    <w:name w:val="Block Text"/>
    <w:basedOn w:val="668"/>
    <w:uiPriority w:val="6"/>
    <w:qFormat/>
    <w:pPr>
      <w:ind w:left="256" w:right="6" w:firstLine="624"/>
    </w:pPr>
    <w:rPr>
      <w:rFonts w:eastAsia="仿宋"/>
      <w:sz w:val="28"/>
      <w:szCs w:val="20"/>
    </w:rPr>
  </w:style>
  <w:style w:type="paragraph" w:styleId="686">
    <w:name w:val="toc 5"/>
    <w:basedOn w:val="668"/>
    <w:next w:val="668"/>
    <w:uiPriority w:val="39"/>
    <w:unhideWhenUsed/>
    <w:qFormat/>
    <w:pPr>
      <w:ind w:left="1134" w:right="0" w:firstLine="0"/>
      <w:spacing w:after="57"/>
    </w:pPr>
  </w:style>
  <w:style w:type="paragraph" w:styleId="687">
    <w:name w:val="toc 3"/>
    <w:basedOn w:val="668"/>
    <w:next w:val="668"/>
    <w:uiPriority w:val="39"/>
    <w:unhideWhenUsed/>
    <w:qFormat/>
    <w:pPr>
      <w:ind w:left="567" w:right="0" w:firstLine="0"/>
      <w:spacing w:after="57"/>
    </w:pPr>
  </w:style>
  <w:style w:type="paragraph" w:styleId="688">
    <w:name w:val="Plain Text"/>
    <w:basedOn w:val="668"/>
    <w:uiPriority w:val="0"/>
    <w:qFormat/>
    <w:rPr>
      <w:rFonts w:ascii="宋体" w:hAnsi="Courier New" w:eastAsia="楷体_GB2312"/>
      <w:sz w:val="26"/>
    </w:rPr>
  </w:style>
  <w:style w:type="paragraph" w:styleId="689">
    <w:name w:val="toc 8"/>
    <w:basedOn w:val="668"/>
    <w:next w:val="668"/>
    <w:uiPriority w:val="39"/>
    <w:unhideWhenUsed/>
    <w:qFormat/>
    <w:pPr>
      <w:ind w:left="1984" w:right="0" w:firstLine="0"/>
      <w:spacing w:after="57"/>
    </w:pPr>
  </w:style>
  <w:style w:type="paragraph" w:styleId="690">
    <w:name w:val="endnote text"/>
    <w:basedOn w:val="668"/>
    <w:uiPriority w:val="99"/>
    <w:semiHidden/>
    <w:unhideWhenUsed/>
    <w:qFormat/>
    <w:pPr>
      <w:spacing w:after="0" w:line="240" w:lineRule="auto"/>
    </w:pPr>
    <w:rPr>
      <w:sz w:val="20"/>
    </w:rPr>
  </w:style>
  <w:style w:type="paragraph" w:styleId="691">
    <w:name w:val="Footer"/>
    <w:basedOn w:val="668"/>
    <w:uiPriority w:val="99"/>
    <w:unhideWhenUsed/>
    <w:qFormat/>
    <w:pPr>
      <w:spacing w:after="0" w:line="240" w:lineRule="auto"/>
      <w:tabs>
        <w:tab w:val="center" w:pos="7143" w:leader="none"/>
        <w:tab w:val="right" w:pos="14287" w:leader="none"/>
      </w:tabs>
    </w:pPr>
  </w:style>
  <w:style w:type="paragraph" w:styleId="692">
    <w:name w:val="Header"/>
    <w:basedOn w:val="668"/>
    <w:uiPriority w:val="99"/>
    <w:unhideWhenUsed/>
    <w:qFormat/>
    <w:pPr>
      <w:spacing w:after="0" w:line="240" w:lineRule="auto"/>
      <w:tabs>
        <w:tab w:val="center" w:pos="7143" w:leader="none"/>
        <w:tab w:val="right" w:pos="14287" w:leader="none"/>
      </w:tabs>
    </w:pPr>
  </w:style>
  <w:style w:type="paragraph" w:styleId="693">
    <w:name w:val="toc 4"/>
    <w:basedOn w:val="668"/>
    <w:next w:val="668"/>
    <w:uiPriority w:val="39"/>
    <w:unhideWhenUsed/>
    <w:qFormat/>
    <w:pPr>
      <w:ind w:left="850" w:right="0" w:firstLine="0"/>
      <w:spacing w:after="57"/>
    </w:pPr>
  </w:style>
  <w:style w:type="paragraph" w:styleId="694">
    <w:name w:val="Subtitle"/>
    <w:basedOn w:val="668"/>
    <w:next w:val="668"/>
    <w:uiPriority w:val="11"/>
    <w:qFormat/>
    <w:pPr>
      <w:spacing w:before="200" w:after="200"/>
    </w:pPr>
    <w:rPr>
      <w:sz w:val="24"/>
      <w:szCs w:val="24"/>
    </w:rPr>
  </w:style>
  <w:style w:type="paragraph" w:styleId="695">
    <w:name w:val="footnote text"/>
    <w:basedOn w:val="668"/>
    <w:uiPriority w:val="99"/>
    <w:semiHidden/>
    <w:unhideWhenUsed/>
    <w:qFormat/>
    <w:pPr>
      <w:spacing w:after="40" w:line="240" w:lineRule="auto"/>
    </w:pPr>
    <w:rPr>
      <w:sz w:val="18"/>
    </w:rPr>
  </w:style>
  <w:style w:type="paragraph" w:styleId="696">
    <w:name w:val="toc 6"/>
    <w:basedOn w:val="668"/>
    <w:next w:val="668"/>
    <w:uiPriority w:val="39"/>
    <w:unhideWhenUsed/>
    <w:qFormat/>
    <w:pPr>
      <w:ind w:left="1417" w:right="0" w:firstLine="0"/>
      <w:spacing w:after="57"/>
    </w:pPr>
  </w:style>
  <w:style w:type="paragraph" w:styleId="697">
    <w:name w:val="table of figures"/>
    <w:basedOn w:val="668"/>
    <w:next w:val="668"/>
    <w:uiPriority w:val="99"/>
    <w:unhideWhenUsed/>
    <w:qFormat/>
    <w:pPr>
      <w:spacing w:after="0" w:afterAutospacing="0"/>
    </w:pPr>
  </w:style>
  <w:style w:type="paragraph" w:styleId="698">
    <w:name w:val="toc 2"/>
    <w:basedOn w:val="668"/>
    <w:next w:val="668"/>
    <w:uiPriority w:val="39"/>
    <w:unhideWhenUsed/>
    <w:qFormat/>
    <w:pPr>
      <w:ind w:left="283" w:right="0" w:firstLine="0"/>
      <w:spacing w:after="57"/>
    </w:pPr>
  </w:style>
  <w:style w:type="paragraph" w:styleId="699">
    <w:name w:val="toc 9"/>
    <w:basedOn w:val="668"/>
    <w:next w:val="668"/>
    <w:uiPriority w:val="39"/>
    <w:unhideWhenUsed/>
    <w:qFormat/>
    <w:pPr>
      <w:ind w:left="2268" w:right="0" w:firstLine="0"/>
      <w:spacing w:after="57"/>
    </w:pPr>
  </w:style>
  <w:style w:type="paragraph" w:styleId="700">
    <w:name w:val="Normal (Web)"/>
    <w:basedOn w:val="668"/>
    <w:uiPriority w:val="99"/>
    <w:semiHidden/>
    <w:unhideWhenUsed/>
    <w:qFormat/>
    <w:pPr>
      <w:ind w:left="0" w:right="0"/>
      <w:jc w:val="left"/>
      <w:spacing w:before="0" w:beforeAutospacing="1" w:after="0" w:afterAutospacing="1"/>
    </w:pPr>
    <w:rPr>
      <w:sz w:val="24"/>
      <w:lang w:val="en-US" w:eastAsia="zh-CN" w:bidi="ar"/>
    </w:rPr>
  </w:style>
  <w:style w:type="paragraph" w:styleId="701">
    <w:name w:val="Title"/>
    <w:basedOn w:val="668"/>
    <w:next w:val="668"/>
    <w:uiPriority w:val="10"/>
    <w:qFormat/>
    <w:pPr>
      <w:contextualSpacing/>
      <w:spacing w:before="300" w:after="200"/>
    </w:pPr>
    <w:rPr>
      <w:sz w:val="48"/>
      <w:szCs w:val="48"/>
    </w:rPr>
  </w:style>
  <w:style w:type="paragraph" w:styleId="702">
    <w:name w:val="Body Text First Indent"/>
    <w:basedOn w:val="683"/>
    <w:next w:val="668"/>
    <w:uiPriority w:val="0"/>
    <w:qFormat/>
    <w:pPr>
      <w:ind w:firstLine="200"/>
      <w:spacing w:line="360" w:lineRule="auto"/>
    </w:pPr>
    <w:rPr>
      <w:rFonts w:ascii="仿宋_GB2312" w:eastAsia="仿宋_GB2312"/>
      <w:sz w:val="30"/>
      <w:szCs w:val="30"/>
    </w:rPr>
  </w:style>
  <w:style w:type="paragraph" w:styleId="703">
    <w:name w:val="Body Text First Indent 2"/>
    <w:basedOn w:val="684"/>
    <w:uiPriority w:val="0"/>
    <w:qFormat/>
    <w:pPr>
      <w:ind w:firstLine="420"/>
    </w:pPr>
  </w:style>
  <w:style w:type="table" w:styleId="7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5">
    <w:name w:val="endnote reference"/>
    <w:uiPriority w:val="99"/>
    <w:semiHidden/>
    <w:unhideWhenUsed/>
    <w:qFormat/>
    <w:rPr>
      <w:vertAlign w:val="superscript"/>
    </w:rPr>
  </w:style>
  <w:style w:type="character" w:styleId="706">
    <w:name w:val="Hyperlink"/>
    <w:basedOn w:val="678"/>
    <w:uiPriority w:val="99"/>
    <w:unhideWhenUsed/>
    <w:qFormat/>
    <w:rPr>
      <w:color w:val="0000ff" w:themeColor="hyperlink"/>
      <w:u w:val="single"/>
    </w:rPr>
  </w:style>
  <w:style w:type="character" w:styleId="707">
    <w:name w:val="footnote reference"/>
    <w:uiPriority w:val="99"/>
    <w:unhideWhenUsed/>
    <w:qFormat/>
    <w:rPr>
      <w:vertAlign w:val="superscript"/>
    </w:rPr>
  </w:style>
  <w:style w:type="paragraph" w:styleId="708" w:customStyle="1">
    <w:name w:val="正文1"/>
    <w:basedOn w:val="709"/>
    <w:next w:val="711"/>
    <w:uiPriority w:val="0"/>
    <w:qFormat/>
    <w:pPr>
      <w:jc w:val="both"/>
      <w:widowControl w:val="off"/>
    </w:pPr>
    <w:rPr>
      <w:rFonts w:ascii="Times New Roman" w:hAnsi="Times New Roman" w:eastAsia="宋体" w:cs="Times New Roman"/>
      <w:sz w:val="21"/>
      <w:szCs w:val="24"/>
      <w:lang w:val="en-US" w:eastAsia="zh-CN" w:bidi="ar-SA"/>
    </w:rPr>
  </w:style>
  <w:style w:type="paragraph" w:styleId="709" w:customStyle="1">
    <w:name w:val="正文111"/>
    <w:next w:val="7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0" w:customStyle="1">
    <w:name w:val="目录 111"/>
    <w:basedOn w:val="668"/>
    <w:next w:val="709"/>
    <w:uiPriority w:val="39"/>
    <w:unhideWhenUsed/>
    <w:qFormat/>
    <w:pPr>
      <w:jc w:val="left"/>
      <w:spacing w:after="100" w:line="259" w:lineRule="auto"/>
      <w:widowControl/>
    </w:pPr>
    <w:rPr>
      <w:rFonts w:ascii="Calibri" w:hAnsi="Calibri"/>
      <w:sz w:val="22"/>
      <w:szCs w:val="22"/>
    </w:rPr>
  </w:style>
  <w:style w:type="paragraph" w:styleId="711" w:customStyle="1">
    <w:name w:val="索引 41"/>
    <w:basedOn w:val="668"/>
    <w:next w:val="708"/>
    <w:uiPriority w:val="99"/>
    <w:unhideWhenUsed/>
    <w:qFormat/>
    <w:pPr>
      <w:ind w:left="600"/>
    </w:pPr>
    <w:rPr>
      <w:rFonts w:ascii="Calibri" w:hAnsi="Calibri"/>
      <w:szCs w:val="22"/>
    </w:rPr>
  </w:style>
  <w:style w:type="paragraph" w:styleId="712" w:customStyle="1">
    <w:name w:val="正文文本1"/>
    <w:basedOn w:val="708"/>
    <w:next w:val="713"/>
    <w:link w:val="824"/>
    <w:uiPriority w:val="0"/>
    <w:qFormat/>
    <w:pPr>
      <w:spacing w:after="120"/>
    </w:pPr>
    <w:rPr>
      <w:rFonts w:ascii="Calibri" w:hAnsi="Calibri"/>
    </w:rPr>
  </w:style>
  <w:style w:type="paragraph" w:styleId="713" w:customStyle="1">
    <w:name w:val="一级条标题"/>
    <w:basedOn w:val="714"/>
    <w:next w:val="7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4" w:customStyle="1">
    <w:name w:val="章标题"/>
    <w:next w:val="66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15" w:customStyle="1">
    <w:name w:val="段"/>
    <w:basedOn w:val="716"/>
    <w:next w:val="668"/>
    <w:uiPriority w:val="0"/>
    <w:qFormat/>
    <w:pPr>
      <w:ind w:firstLine="200"/>
      <w:widowControl/>
    </w:pPr>
    <w:rPr>
      <w:rFonts w:hint="eastAsia" w:ascii="宋体"/>
      <w:szCs w:val="20"/>
    </w:rPr>
  </w:style>
  <w:style w:type="paragraph" w:styleId="716" w:customStyle="1">
    <w:name w:val="正文11"/>
    <w:next w:val="7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customStyle="1">
    <w:name w:val="正文首行缩进 21"/>
    <w:basedOn w:val="718"/>
    <w:next w:val="720"/>
    <w:link w:val="836"/>
    <w:uiPriority w:val="0"/>
    <w:qFormat/>
    <w:pPr>
      <w:ind w:firstLine="420"/>
    </w:pPr>
    <w:rPr>
      <w:rFonts w:ascii="Times New Roman" w:hAnsi="Times New Roman"/>
    </w:rPr>
  </w:style>
  <w:style w:type="paragraph" w:styleId="718" w:customStyle="1">
    <w:name w:val="正文文本缩进1"/>
    <w:basedOn w:val="668"/>
    <w:next w:val="719"/>
    <w:link w:val="786"/>
    <w:uiPriority w:val="99"/>
    <w:qFormat/>
    <w:pPr>
      <w:ind w:left="420"/>
      <w:spacing w:after="120"/>
    </w:pPr>
    <w:rPr>
      <w:rFonts w:ascii="Calibri" w:hAnsi="Calibri"/>
    </w:rPr>
  </w:style>
  <w:style w:type="paragraph" w:styleId="719" w:customStyle="1">
    <w:name w:val="寄信人地址1"/>
    <w:basedOn w:val="668"/>
    <w:uiPriority w:val="0"/>
    <w:qFormat/>
    <w:rPr>
      <w:rFonts w:ascii="Arial" w:hAnsi="Arial"/>
    </w:rPr>
  </w:style>
  <w:style w:type="paragraph" w:styleId="720" w:customStyle="1">
    <w:name w:val="正文12"/>
    <w:next w:val="721"/>
    <w:uiPriority w:val="0"/>
    <w:qFormat/>
    <w:pPr>
      <w:jc w:val="both"/>
      <w:widowControl w:val="off"/>
    </w:pPr>
    <w:rPr>
      <w:rFonts w:hint="default" w:ascii="Arial" w:hAnsi="Arial" w:eastAsia="Arial" w:cs="Arial"/>
      <w:b/>
      <w:bCs/>
      <w:sz w:val="22"/>
      <w:szCs w:val="22"/>
      <w:lang w:val="en-US" w:eastAsia="zh-CN" w:bidi="ar-SA"/>
    </w:rPr>
  </w:style>
  <w:style w:type="paragraph" w:styleId="721" w:customStyle="1">
    <w:name w:val="文本块11"/>
    <w:basedOn w:val="720"/>
    <w:uiPriority w:val="6"/>
    <w:unhideWhenUsed/>
    <w:qFormat/>
    <w:pPr>
      <w:ind w:left="1440" w:right="1440"/>
      <w:spacing w:after="120"/>
    </w:pPr>
  </w:style>
  <w:style w:type="paragraph" w:styleId="722" w:customStyle="1">
    <w:name w:val="正文文本缩进11"/>
    <w:basedOn w:val="709"/>
    <w:next w:val="723"/>
    <w:uiPriority w:val="0"/>
    <w:qFormat/>
    <w:pPr>
      <w:ind w:firstLine="425"/>
      <w:spacing w:line="360" w:lineRule="auto"/>
    </w:pPr>
  </w:style>
  <w:style w:type="paragraph" w:styleId="723" w:customStyle="1">
    <w:name w:val="寄信人地址11"/>
    <w:basedOn w:val="716"/>
    <w:uiPriority w:val="0"/>
    <w:qFormat/>
    <w:rPr>
      <w:rFonts w:ascii="Arial" w:hAnsi="Arial"/>
    </w:rPr>
  </w:style>
  <w:style w:type="paragraph" w:styleId="724" w:customStyle="1">
    <w:name w:val="正文首行缩进11"/>
    <w:basedOn w:val="725"/>
    <w:next w:val="726"/>
    <w:uiPriority w:val="0"/>
    <w:qFormat/>
    <w:pPr>
      <w:ind w:firstLine="420"/>
    </w:pPr>
    <w:rPr>
      <w:rFonts w:ascii="仿宋_GB2312" w:hAnsi="Times New Roman" w:eastAsia="仿宋_GB2312"/>
      <w:sz w:val="30"/>
      <w:szCs w:val="30"/>
    </w:rPr>
  </w:style>
  <w:style w:type="paragraph" w:styleId="725" w:customStyle="1">
    <w:name w:val="正文文本11"/>
    <w:basedOn w:val="668"/>
    <w:next w:val="716"/>
    <w:uiPriority w:val="0"/>
    <w:qFormat/>
    <w:pPr>
      <w:spacing w:after="120"/>
    </w:pPr>
  </w:style>
  <w:style w:type="paragraph" w:styleId="726" w:customStyle="1">
    <w:name w:val="正文首行缩进 211"/>
    <w:basedOn w:val="722"/>
    <w:uiPriority w:val="0"/>
    <w:qFormat/>
    <w:pPr>
      <w:ind w:firstLine="420"/>
    </w:pPr>
  </w:style>
  <w:style w:type="paragraph" w:styleId="727" w:customStyle="1">
    <w:name w:val="标题 112"/>
    <w:basedOn w:val="668"/>
    <w:next w:val="668"/>
    <w:link w:val="738"/>
    <w:uiPriority w:val="9"/>
    <w:qFormat/>
    <w:pPr>
      <w:keepLines/>
      <w:keepNext/>
      <w:spacing w:before="480" w:after="200"/>
      <w:outlineLvl w:val="0"/>
    </w:pPr>
    <w:rPr>
      <w:rFonts w:ascii="Arial" w:hAnsi="Arial" w:eastAsia="Arial" w:cs="Arial"/>
      <w:sz w:val="40"/>
      <w:szCs w:val="40"/>
    </w:rPr>
  </w:style>
  <w:style w:type="paragraph" w:styleId="728" w:customStyle="1">
    <w:name w:val="标题 2111"/>
    <w:basedOn w:val="668"/>
    <w:next w:val="729"/>
    <w:link w:val="787"/>
    <w:uiPriority w:val="9"/>
    <w:unhideWhenUsed/>
    <w:qFormat/>
    <w:pPr>
      <w:keepLines/>
      <w:keepNext/>
      <w:spacing w:before="360" w:after="200"/>
      <w:outlineLvl w:val="1"/>
    </w:pPr>
    <w:rPr>
      <w:rFonts w:ascii="Arial" w:hAnsi="Arial" w:eastAsia="Arial" w:cs="Arial"/>
      <w:sz w:val="34"/>
    </w:rPr>
  </w:style>
  <w:style w:type="paragraph" w:styleId="729" w:customStyle="1">
    <w:name w:val="标题 311"/>
    <w:basedOn w:val="668"/>
    <w:next w:val="668"/>
    <w:link w:val="802"/>
    <w:uiPriority w:val="9"/>
    <w:unhideWhenUsed/>
    <w:qFormat/>
    <w:pPr>
      <w:keepLines/>
      <w:keepNext/>
      <w:spacing w:before="320" w:after="200"/>
      <w:outlineLvl w:val="2"/>
    </w:pPr>
    <w:rPr>
      <w:rFonts w:ascii="Arial" w:hAnsi="Arial" w:eastAsia="Arial" w:cs="Arial"/>
      <w:sz w:val="30"/>
      <w:szCs w:val="30"/>
    </w:rPr>
  </w:style>
  <w:style w:type="paragraph" w:styleId="730" w:customStyle="1">
    <w:name w:val="标题 411"/>
    <w:basedOn w:val="668"/>
    <w:next w:val="668"/>
    <w:link w:val="745"/>
    <w:uiPriority w:val="9"/>
    <w:unhideWhenUsed/>
    <w:qFormat/>
    <w:pPr>
      <w:keepLines/>
      <w:keepNext/>
      <w:spacing w:before="320" w:after="200"/>
      <w:outlineLvl w:val="3"/>
    </w:pPr>
    <w:rPr>
      <w:rFonts w:ascii="Arial" w:hAnsi="Arial" w:eastAsia="Arial" w:cs="Arial"/>
      <w:b/>
      <w:bCs/>
      <w:sz w:val="26"/>
      <w:szCs w:val="26"/>
    </w:rPr>
  </w:style>
  <w:style w:type="paragraph" w:styleId="731" w:customStyle="1">
    <w:name w:val="标题 511"/>
    <w:basedOn w:val="668"/>
    <w:next w:val="668"/>
    <w:link w:val="810"/>
    <w:uiPriority w:val="9"/>
    <w:unhideWhenUsed/>
    <w:qFormat/>
    <w:pPr>
      <w:keepLines/>
      <w:keepNext/>
      <w:spacing w:before="320" w:after="200"/>
      <w:outlineLvl w:val="4"/>
    </w:pPr>
    <w:rPr>
      <w:rFonts w:ascii="Arial" w:hAnsi="Arial" w:eastAsia="Arial" w:cs="Arial"/>
      <w:b/>
      <w:bCs/>
      <w:sz w:val="24"/>
      <w:szCs w:val="24"/>
    </w:rPr>
  </w:style>
  <w:style w:type="paragraph" w:styleId="732" w:customStyle="1">
    <w:name w:val="标题 61"/>
    <w:basedOn w:val="668"/>
    <w:next w:val="668"/>
    <w:link w:val="820"/>
    <w:uiPriority w:val="9"/>
    <w:unhideWhenUsed/>
    <w:qFormat/>
    <w:pPr>
      <w:keepLines/>
      <w:keepNext/>
      <w:spacing w:before="320" w:after="200"/>
      <w:outlineLvl w:val="5"/>
    </w:pPr>
    <w:rPr>
      <w:rFonts w:ascii="Arial" w:hAnsi="Arial" w:eastAsia="Arial" w:cs="Arial"/>
      <w:b/>
      <w:bCs/>
      <w:sz w:val="22"/>
      <w:szCs w:val="22"/>
    </w:rPr>
  </w:style>
  <w:style w:type="paragraph" w:styleId="733" w:customStyle="1">
    <w:name w:val="标题 711"/>
    <w:basedOn w:val="668"/>
    <w:next w:val="668"/>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34" w:customStyle="1">
    <w:name w:val="标题 81"/>
    <w:basedOn w:val="668"/>
    <w:next w:val="668"/>
    <w:link w:val="814"/>
    <w:uiPriority w:val="9"/>
    <w:unhideWhenUsed/>
    <w:qFormat/>
    <w:pPr>
      <w:keepLines/>
      <w:keepNext/>
      <w:spacing w:before="320" w:after="200"/>
      <w:outlineLvl w:val="7"/>
    </w:pPr>
    <w:rPr>
      <w:rFonts w:ascii="Arial" w:hAnsi="Arial" w:eastAsia="Arial" w:cs="Arial"/>
      <w:i/>
      <w:iCs/>
      <w:sz w:val="22"/>
      <w:szCs w:val="22"/>
    </w:rPr>
  </w:style>
  <w:style w:type="paragraph" w:styleId="735" w:customStyle="1">
    <w:name w:val="标题 91"/>
    <w:basedOn w:val="668"/>
    <w:next w:val="668"/>
    <w:link w:val="752"/>
    <w:uiPriority w:val="9"/>
    <w:unhideWhenUsed/>
    <w:qFormat/>
    <w:pPr>
      <w:keepLines/>
      <w:keepNext/>
      <w:spacing w:before="320" w:after="200"/>
      <w:outlineLvl w:val="8"/>
    </w:pPr>
    <w:rPr>
      <w:rFonts w:ascii="Arial" w:hAnsi="Arial" w:eastAsia="Arial" w:cs="Arial"/>
      <w:i/>
      <w:iCs/>
      <w:sz w:val="21"/>
      <w:szCs w:val="21"/>
    </w:rPr>
  </w:style>
  <w:style w:type="character" w:styleId="736" w:customStyle="1">
    <w:name w:val="默认段落字体11"/>
    <w:link w:val="668"/>
    <w:uiPriority w:val="1"/>
    <w:unhideWhenUsed/>
    <w:qFormat/>
  </w:style>
  <w:style w:type="table" w:styleId="737" w:customStyle="1">
    <w:name w:val="普通表格11"/>
    <w:uiPriority w:val="99"/>
    <w:unhideWhenUsed/>
    <w:qFormat/>
    <w:tblPr/>
  </w:style>
  <w:style w:type="character" w:styleId="738" w:customStyle="1">
    <w:name w:val="Heading 1 Char"/>
    <w:link w:val="727"/>
    <w:uiPriority w:val="9"/>
    <w:qFormat/>
    <w:rPr>
      <w:rFonts w:ascii="Arial" w:hAnsi="Arial" w:eastAsia="Arial" w:cs="Arial"/>
      <w:sz w:val="40"/>
      <w:szCs w:val="40"/>
    </w:rPr>
  </w:style>
  <w:style w:type="character" w:styleId="739" w:customStyle="1">
    <w:name w:val="标题 2 字符"/>
    <w:link w:val="668"/>
    <w:uiPriority w:val="0"/>
    <w:semiHidden/>
    <w:qFormat/>
    <w:rPr>
      <w:rFonts w:ascii="等线 Light" w:hAnsi="等线 Light" w:eastAsia="等线 Light" w:cs="Times New Roman"/>
      <w:b/>
      <w:bCs/>
      <w:sz w:val="32"/>
      <w:szCs w:val="32"/>
    </w:rPr>
  </w:style>
  <w:style w:type="character" w:styleId="740" w:customStyle="1">
    <w:name w:val="apple-converted-space"/>
    <w:link w:val="668"/>
    <w:uiPriority w:val="0"/>
    <w:qFormat/>
  </w:style>
  <w:style w:type="character" w:styleId="741" w:customStyle="1">
    <w:name w:val="Quote Char"/>
    <w:link w:val="742"/>
    <w:uiPriority w:val="29"/>
    <w:qFormat/>
    <w:rPr>
      <w:i/>
    </w:rPr>
  </w:style>
  <w:style w:type="paragraph" w:styleId="742">
    <w:name w:val="Quote"/>
    <w:basedOn w:val="668"/>
    <w:next w:val="668"/>
    <w:link w:val="741"/>
    <w:uiPriority w:val="29"/>
    <w:qFormat/>
    <w:pPr>
      <w:ind w:left="720" w:right="720"/>
    </w:pPr>
    <w:rPr>
      <w:i/>
    </w:rPr>
  </w:style>
  <w:style w:type="character" w:styleId="743" w:customStyle="1">
    <w:name w:val="批注文字 字符"/>
    <w:link w:val="744"/>
    <w:uiPriority w:val="0"/>
    <w:qFormat/>
    <w:rPr>
      <w:sz w:val="21"/>
      <w:szCs w:val="24"/>
    </w:rPr>
  </w:style>
  <w:style w:type="paragraph" w:styleId="744" w:customStyle="1">
    <w:name w:val="批注文字1"/>
    <w:basedOn w:val="668"/>
    <w:link w:val="743"/>
    <w:uiPriority w:val="0"/>
    <w:qFormat/>
    <w:pPr>
      <w:jc w:val="left"/>
    </w:pPr>
  </w:style>
  <w:style w:type="character" w:styleId="745" w:customStyle="1">
    <w:name w:val="Heading 4 Char"/>
    <w:link w:val="730"/>
    <w:uiPriority w:val="9"/>
    <w:qFormat/>
    <w:rPr>
      <w:rFonts w:ascii="Arial" w:hAnsi="Arial" w:eastAsia="Arial" w:cs="Arial"/>
      <w:b/>
      <w:bCs/>
      <w:sz w:val="26"/>
      <w:szCs w:val="26"/>
    </w:rPr>
  </w:style>
  <w:style w:type="character" w:styleId="746" w:customStyle="1">
    <w:name w:val="标题 5 字符"/>
    <w:link w:val="747"/>
    <w:uiPriority w:val="0"/>
    <w:semiHidden/>
    <w:qFormat/>
    <w:rPr>
      <w:b/>
      <w:bCs/>
      <w:sz w:val="28"/>
      <w:szCs w:val="28"/>
    </w:rPr>
  </w:style>
  <w:style w:type="paragraph" w:styleId="747" w:customStyle="1">
    <w:name w:val="标题 51"/>
    <w:basedOn w:val="668"/>
    <w:next w:val="668"/>
    <w:link w:val="746"/>
    <w:uiPriority w:val="0"/>
    <w:qFormat/>
    <w:pPr>
      <w:keepLines/>
      <w:keepNext/>
      <w:spacing w:before="280" w:after="290" w:line="376" w:lineRule="auto"/>
      <w:outlineLvl w:val="4"/>
    </w:pPr>
    <w:rPr>
      <w:b/>
      <w:bCs/>
      <w:sz w:val="28"/>
      <w:szCs w:val="28"/>
    </w:rPr>
  </w:style>
  <w:style w:type="character" w:styleId="748" w:customStyle="1">
    <w:name w:val="标题 7 字符"/>
    <w:link w:val="749"/>
    <w:uiPriority w:val="9"/>
    <w:semiHidden/>
    <w:qFormat/>
    <w:rPr>
      <w:rFonts w:ascii="Calibri" w:hAnsi="Calibri"/>
      <w:b/>
      <w:bCs/>
      <w:sz w:val="24"/>
      <w:szCs w:val="24"/>
    </w:rPr>
  </w:style>
  <w:style w:type="paragraph" w:styleId="749" w:customStyle="1">
    <w:name w:val="标题 71"/>
    <w:basedOn w:val="668"/>
    <w:next w:val="668"/>
    <w:link w:val="748"/>
    <w:uiPriority w:val="9"/>
    <w:qFormat/>
    <w:pPr>
      <w:keepLines/>
      <w:keepNext/>
      <w:spacing w:before="240" w:after="64" w:line="320" w:lineRule="auto"/>
      <w:outlineLvl w:val="6"/>
    </w:pPr>
    <w:rPr>
      <w:rFonts w:ascii="Calibri" w:hAnsi="Calibri"/>
      <w:b/>
      <w:bCs/>
      <w:sz w:val="24"/>
    </w:rPr>
  </w:style>
  <w:style w:type="character" w:styleId="750" w:customStyle="1">
    <w:name w:val="正文文本首行缩进 字符1"/>
    <w:link w:val="751"/>
    <w:uiPriority w:val="0"/>
    <w:qFormat/>
    <w:rPr>
      <w:rFonts w:ascii="仿宋_GB2312" w:hAnsi="Times New Roman" w:eastAsia="仿宋_GB2312"/>
      <w:sz w:val="30"/>
      <w:szCs w:val="30"/>
    </w:rPr>
  </w:style>
  <w:style w:type="paragraph" w:styleId="751" w:customStyle="1">
    <w:name w:val="正文首行缩进1"/>
    <w:basedOn w:val="712"/>
    <w:link w:val="750"/>
    <w:uiPriority w:val="0"/>
    <w:qFormat/>
    <w:pPr>
      <w:ind w:firstLine="420"/>
    </w:pPr>
    <w:rPr>
      <w:rFonts w:ascii="仿宋_GB2312" w:hAnsi="Times New Roman" w:eastAsia="仿宋_GB2312"/>
      <w:sz w:val="30"/>
      <w:szCs w:val="30"/>
    </w:rPr>
  </w:style>
  <w:style w:type="character" w:styleId="752" w:customStyle="1">
    <w:name w:val="Heading 9 Char"/>
    <w:link w:val="735"/>
    <w:uiPriority w:val="9"/>
    <w:qFormat/>
    <w:rPr>
      <w:rFonts w:ascii="Arial" w:hAnsi="Arial" w:eastAsia="Arial" w:cs="Arial"/>
      <w:i/>
      <w:iCs/>
      <w:sz w:val="21"/>
      <w:szCs w:val="21"/>
    </w:rPr>
  </w:style>
  <w:style w:type="character" w:styleId="753" w:customStyle="1">
    <w:name w:val="页脚 字符"/>
    <w:link w:val="754"/>
    <w:uiPriority w:val="99"/>
    <w:qFormat/>
    <w:rPr>
      <w:sz w:val="18"/>
      <w:szCs w:val="18"/>
    </w:rPr>
  </w:style>
  <w:style w:type="paragraph" w:styleId="754" w:customStyle="1">
    <w:name w:val="页脚1"/>
    <w:basedOn w:val="668"/>
    <w:link w:val="753"/>
    <w:uiPriority w:val="0"/>
    <w:qFormat/>
    <w:pPr>
      <w:jc w:val="left"/>
      <w:tabs>
        <w:tab w:val="center" w:pos="4153" w:leader="none"/>
        <w:tab w:val="right" w:pos="8306" w:leader="none"/>
      </w:tabs>
    </w:pPr>
    <w:rPr>
      <w:sz w:val="18"/>
      <w:szCs w:val="18"/>
    </w:rPr>
  </w:style>
  <w:style w:type="character" w:styleId="755" w:customStyle="1">
    <w:name w:val="正文缩进 字符"/>
    <w:link w:val="756"/>
    <w:uiPriority w:val="0"/>
    <w:qFormat/>
    <w:rPr>
      <w:sz w:val="21"/>
      <w:szCs w:val="24"/>
      <w:lang w:bidi="ar-SA"/>
    </w:rPr>
  </w:style>
  <w:style w:type="paragraph" w:styleId="756" w:customStyle="1">
    <w:name w:val="正文缩进1"/>
    <w:basedOn w:val="668"/>
    <w:link w:val="755"/>
    <w:uiPriority w:val="0"/>
    <w:qFormat/>
    <w:pPr>
      <w:ind w:firstLine="420"/>
    </w:pPr>
  </w:style>
  <w:style w:type="character" w:styleId="757" w:customStyle="1">
    <w:name w:val="超链接11"/>
    <w:link w:val="668"/>
    <w:uiPriority w:val="99"/>
    <w:unhideWhenUsed/>
    <w:qFormat/>
    <w:rPr>
      <w:color w:val="0000ff"/>
      <w:u w:val="single"/>
    </w:rPr>
  </w:style>
  <w:style w:type="character" w:styleId="758" w:customStyle="1">
    <w:name w:val="标题 4 Char"/>
    <w:link w:val="668"/>
    <w:uiPriority w:val="9"/>
    <w:semiHidden/>
    <w:qFormat/>
    <w:rPr>
      <w:rFonts w:ascii="Cambria" w:hAnsi="Cambria" w:eastAsia="宋体" w:cs="Times New Roman"/>
      <w:b/>
      <w:bCs/>
      <w:sz w:val="28"/>
      <w:szCs w:val="28"/>
    </w:rPr>
  </w:style>
  <w:style w:type="character" w:styleId="759" w:customStyle="1">
    <w:name w:val="要点1"/>
    <w:link w:val="668"/>
    <w:uiPriority w:val="0"/>
    <w:qFormat/>
    <w:rPr>
      <w:b/>
      <w:bCs/>
    </w:rPr>
  </w:style>
  <w:style w:type="character" w:styleId="760" w:customStyle="1">
    <w:name w:val="fontstyle01"/>
    <w:link w:val="668"/>
    <w:uiPriority w:val="0"/>
    <w:qFormat/>
    <w:rPr>
      <w:rFonts w:ascii="MicrosoftYaHeiLight" w:hAnsi="MicrosoftYaHeiLight"/>
      <w:color w:val="000000"/>
      <w:sz w:val="22"/>
      <w:szCs w:val="22"/>
    </w:rPr>
  </w:style>
  <w:style w:type="character" w:styleId="761" w:customStyle="1">
    <w:name w:val="纯文本 字符"/>
    <w:link w:val="762"/>
    <w:uiPriority w:val="0"/>
    <w:qFormat/>
    <w:rPr>
      <w:rFonts w:ascii="宋体" w:hAnsi="Courier New"/>
      <w:sz w:val="21"/>
    </w:rPr>
  </w:style>
  <w:style w:type="paragraph" w:styleId="762" w:customStyle="1">
    <w:name w:val="纯文本1"/>
    <w:basedOn w:val="709"/>
    <w:link w:val="761"/>
    <w:uiPriority w:val="0"/>
    <w:qFormat/>
    <w:rPr>
      <w:rFonts w:ascii="宋体" w:hAnsi="Courier New"/>
      <w:szCs w:val="20"/>
    </w:rPr>
  </w:style>
  <w:style w:type="character" w:styleId="763" w:customStyle="1">
    <w:name w:val="批注主题 字符"/>
    <w:link w:val="764"/>
    <w:uiPriority w:val="0"/>
    <w:qFormat/>
    <w:rPr>
      <w:b/>
      <w:bCs/>
      <w:sz w:val="21"/>
      <w:szCs w:val="24"/>
    </w:rPr>
  </w:style>
  <w:style w:type="paragraph" w:styleId="764" w:customStyle="1">
    <w:name w:val="批注主题1"/>
    <w:basedOn w:val="744"/>
    <w:next w:val="744"/>
    <w:link w:val="763"/>
    <w:uiPriority w:val="0"/>
    <w:qFormat/>
    <w:rPr>
      <w:b/>
      <w:bCs/>
    </w:rPr>
  </w:style>
  <w:style w:type="character" w:styleId="765" w:customStyle="1">
    <w:name w:val="批注文字 Char1"/>
    <w:link w:val="668"/>
    <w:uiPriority w:val="0"/>
    <w:qFormat/>
    <w:rPr>
      <w:sz w:val="21"/>
      <w:szCs w:val="24"/>
    </w:rPr>
  </w:style>
  <w:style w:type="character" w:styleId="766" w:customStyle="1">
    <w:name w:val="页眉 字符"/>
    <w:link w:val="767"/>
    <w:uiPriority w:val="0"/>
    <w:qFormat/>
    <w:rPr>
      <w:sz w:val="18"/>
      <w:szCs w:val="18"/>
    </w:rPr>
  </w:style>
  <w:style w:type="paragraph" w:styleId="767" w:customStyle="1">
    <w:name w:val="页眉1"/>
    <w:basedOn w:val="668"/>
    <w:link w:val="766"/>
    <w:uiPriority w:val="0"/>
    <w:qFormat/>
    <w:pPr>
      <w:jc w:val="center"/>
      <w:tabs>
        <w:tab w:val="center" w:pos="4153" w:leader="none"/>
        <w:tab w:val="right" w:pos="8306" w:leader="none"/>
      </w:tabs>
      <w:pBdr>
        <w:bottom w:val="single" w:color="000000" w:sz="6" w:space="1"/>
      </w:pBdr>
    </w:pPr>
    <w:rPr>
      <w:sz w:val="18"/>
      <w:szCs w:val="18"/>
    </w:rPr>
  </w:style>
  <w:style w:type="character" w:styleId="768" w:customStyle="1">
    <w:name w:val="标题 2 Char"/>
    <w:link w:val="668"/>
    <w:uiPriority w:val="0"/>
    <w:qFormat/>
    <w:rPr>
      <w:rFonts w:ascii="Cambria" w:hAnsi="Cambria" w:eastAsia="宋体" w:cs="Times New Roman"/>
      <w:b/>
      <w:bCs/>
      <w:sz w:val="32"/>
      <w:szCs w:val="32"/>
    </w:rPr>
  </w:style>
  <w:style w:type="character" w:styleId="769" w:customStyle="1">
    <w:name w:val="Heading 7 Char"/>
    <w:link w:val="733"/>
    <w:uiPriority w:val="9"/>
    <w:qFormat/>
    <w:rPr>
      <w:rFonts w:ascii="Arial" w:hAnsi="Arial" w:eastAsia="Arial" w:cs="Arial"/>
      <w:b/>
      <w:bCs/>
      <w:i/>
      <w:iCs/>
      <w:sz w:val="22"/>
      <w:szCs w:val="22"/>
    </w:rPr>
  </w:style>
  <w:style w:type="character" w:styleId="770" w:customStyle="1">
    <w:name w:val="正文文本首行缩进 字符"/>
    <w:link w:val="668"/>
    <w:uiPriority w:val="0"/>
    <w:qFormat/>
  </w:style>
  <w:style w:type="character" w:styleId="771" w:customStyle="1">
    <w:name w:val="纯文本 Char1"/>
    <w:link w:val="668"/>
    <w:uiPriority w:val="0"/>
    <w:qFormat/>
    <w:rPr>
      <w:rFonts w:ascii="宋体" w:hAnsi="Courier New" w:eastAsia="宋体" w:cs="Times New Roman"/>
      <w:szCs w:val="20"/>
    </w:rPr>
  </w:style>
  <w:style w:type="character" w:styleId="772" w:customStyle="1">
    <w:name w:val="标题 4 字符1"/>
    <w:link w:val="773"/>
    <w:uiPriority w:val="9"/>
    <w:semiHidden/>
    <w:qFormat/>
    <w:rPr>
      <w:rFonts w:ascii="Cambria" w:hAnsi="Cambria"/>
      <w:b/>
      <w:bCs/>
      <w:sz w:val="28"/>
      <w:szCs w:val="28"/>
    </w:rPr>
  </w:style>
  <w:style w:type="paragraph" w:styleId="773" w:customStyle="1">
    <w:name w:val="标题 41"/>
    <w:basedOn w:val="716"/>
    <w:next w:val="716"/>
    <w:link w:val="772"/>
    <w:uiPriority w:val="9"/>
    <w:qFormat/>
    <w:pPr>
      <w:keepLines/>
      <w:keepNext/>
      <w:spacing w:before="280" w:after="290" w:line="376" w:lineRule="auto"/>
      <w:outlineLvl w:val="3"/>
    </w:pPr>
    <w:rPr>
      <w:rFonts w:ascii="Cambria" w:hAnsi="Cambria"/>
      <w:b/>
      <w:bCs/>
      <w:sz w:val="28"/>
      <w:szCs w:val="28"/>
    </w:rPr>
  </w:style>
  <w:style w:type="paragraph" w:styleId="774" w:customStyle="1">
    <w:name w:val="正文112"/>
    <w:next w:val="77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775" w:customStyle="1">
    <w:name w:val="font41"/>
    <w:basedOn w:val="678"/>
    <w:link w:val="668"/>
    <w:uiPriority w:val="0"/>
    <w:qFormat/>
    <w:rPr>
      <w:rFonts w:ascii="Symbol" w:hAnsi="Symbol" w:cs="Symbol"/>
      <w:color w:val="000000"/>
      <w:sz w:val="20"/>
      <w:szCs w:val="20"/>
      <w:u w:val="none"/>
    </w:rPr>
  </w:style>
  <w:style w:type="character" w:styleId="776" w:customStyle="1">
    <w:name w:val="批注主题 Char"/>
    <w:link w:val="668"/>
    <w:uiPriority w:val="0"/>
    <w:qFormat/>
    <w:rPr>
      <w:rFonts w:ascii="Times New Roman" w:hAnsi="Times New Roman"/>
      <w:b/>
      <w:bCs/>
      <w:sz w:val="21"/>
    </w:rPr>
  </w:style>
  <w:style w:type="character" w:styleId="777" w:customStyle="1">
    <w:name w:val="Header Char"/>
    <w:link w:val="778"/>
    <w:uiPriority w:val="99"/>
    <w:qFormat/>
  </w:style>
  <w:style w:type="paragraph" w:styleId="778" w:customStyle="1">
    <w:name w:val="页眉11"/>
    <w:basedOn w:val="668"/>
    <w:link w:val="777"/>
    <w:uiPriority w:val="99"/>
    <w:unhideWhenUsed/>
    <w:qFormat/>
    <w:pPr>
      <w:spacing w:after="0" w:line="240" w:lineRule="auto"/>
      <w:tabs>
        <w:tab w:val="center" w:pos="7143" w:leader="none"/>
        <w:tab w:val="right" w:pos="14287" w:leader="none"/>
      </w:tabs>
    </w:pPr>
  </w:style>
  <w:style w:type="character" w:styleId="779" w:customStyle="1">
    <w:name w:val="正文文本 Char"/>
    <w:link w:val="668"/>
    <w:uiPriority w:val="0"/>
    <w:qFormat/>
    <w:rPr>
      <w:sz w:val="21"/>
      <w:szCs w:val="24"/>
    </w:rPr>
  </w:style>
  <w:style w:type="character" w:styleId="780" w:customStyle="1">
    <w:name w:val="标题 3 字符"/>
    <w:link w:val="781"/>
    <w:uiPriority w:val="0"/>
    <w:semiHidden/>
    <w:qFormat/>
    <w:rPr>
      <w:b/>
      <w:bCs/>
      <w:sz w:val="32"/>
      <w:szCs w:val="32"/>
    </w:rPr>
  </w:style>
  <w:style w:type="paragraph" w:styleId="781" w:customStyle="1">
    <w:name w:val="标题 31"/>
    <w:basedOn w:val="668"/>
    <w:next w:val="668"/>
    <w:link w:val="780"/>
    <w:uiPriority w:val="9"/>
    <w:qFormat/>
    <w:pPr>
      <w:keepLines/>
      <w:keepNext/>
      <w:spacing w:before="260" w:after="260" w:line="416" w:lineRule="auto"/>
      <w:outlineLvl w:val="2"/>
    </w:pPr>
    <w:rPr>
      <w:b/>
      <w:bCs/>
      <w:sz w:val="32"/>
      <w:szCs w:val="32"/>
    </w:rPr>
  </w:style>
  <w:style w:type="character" w:styleId="782" w:customStyle="1">
    <w:name w:val="文档结构图 字符"/>
    <w:link w:val="668"/>
    <w:uiPriority w:val="0"/>
    <w:qFormat/>
    <w:rPr>
      <w:rFonts w:ascii="Microsoft YaHei UI" w:eastAsia="Microsoft YaHei UI"/>
      <w:sz w:val="18"/>
      <w:szCs w:val="18"/>
    </w:rPr>
  </w:style>
  <w:style w:type="character" w:styleId="783" w:customStyle="1">
    <w:name w:val="页码1"/>
    <w:link w:val="668"/>
    <w:uiPriority w:val="0"/>
    <w:qFormat/>
  </w:style>
  <w:style w:type="character" w:styleId="784" w:customStyle="1">
    <w:name w:val="Endnote Text Char"/>
    <w:link w:val="785"/>
    <w:uiPriority w:val="99"/>
    <w:qFormat/>
    <w:rPr>
      <w:sz w:val="20"/>
    </w:rPr>
  </w:style>
  <w:style w:type="paragraph" w:styleId="785" w:customStyle="1">
    <w:name w:val="尾注文本1"/>
    <w:basedOn w:val="668"/>
    <w:link w:val="784"/>
    <w:uiPriority w:val="99"/>
    <w:unhideWhenUsed/>
    <w:qFormat/>
    <w:pPr>
      <w:spacing w:after="0" w:line="240" w:lineRule="auto"/>
    </w:pPr>
    <w:rPr>
      <w:sz w:val="20"/>
    </w:rPr>
  </w:style>
  <w:style w:type="character" w:styleId="786" w:customStyle="1">
    <w:name w:val="正文文本缩进 字符"/>
    <w:link w:val="718"/>
    <w:uiPriority w:val="99"/>
    <w:qFormat/>
    <w:rPr>
      <w:rFonts w:ascii="Calibri" w:hAnsi="Calibri"/>
      <w:sz w:val="21"/>
      <w:szCs w:val="24"/>
    </w:rPr>
  </w:style>
  <w:style w:type="character" w:styleId="787" w:customStyle="1">
    <w:name w:val="Heading 2 Char"/>
    <w:link w:val="728"/>
    <w:uiPriority w:val="9"/>
    <w:qFormat/>
    <w:rPr>
      <w:rFonts w:ascii="Arial" w:hAnsi="Arial" w:eastAsia="Arial" w:cs="Arial"/>
      <w:sz w:val="34"/>
    </w:rPr>
  </w:style>
  <w:style w:type="character" w:styleId="788" w:customStyle="1">
    <w:name w:val="标书正文 Char1"/>
    <w:link w:val="789"/>
    <w:uiPriority w:val="0"/>
    <w:qFormat/>
    <w:rPr>
      <w:color w:val="000000"/>
      <w:sz w:val="22"/>
      <w:szCs w:val="28"/>
      <w:lang w:eastAsia="en-US"/>
    </w:rPr>
  </w:style>
  <w:style w:type="paragraph" w:styleId="789" w:customStyle="1">
    <w:name w:val="标书正文"/>
    <w:basedOn w:val="668"/>
    <w:link w:val="788"/>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790" w:customStyle="1">
    <w:name w:val="强调1"/>
    <w:link w:val="668"/>
    <w:uiPriority w:val="0"/>
    <w:qFormat/>
    <w:rPr>
      <w:i/>
    </w:rPr>
  </w:style>
  <w:style w:type="character" w:styleId="791" w:customStyle="1">
    <w:name w:val="尾注引用1"/>
    <w:link w:val="668"/>
    <w:uiPriority w:val="99"/>
    <w:unhideWhenUsed/>
    <w:qFormat/>
    <w:rPr>
      <w:vertAlign w:val="superscript"/>
    </w:rPr>
  </w:style>
  <w:style w:type="character" w:styleId="792" w:customStyle="1">
    <w:name w:val="默认段落字体1"/>
    <w:link w:val="668"/>
    <w:uiPriority w:val="0"/>
    <w:semiHidden/>
    <w:qFormat/>
  </w:style>
  <w:style w:type="character" w:styleId="793" w:customStyle="1">
    <w:name w:val="页脚 Char"/>
    <w:link w:val="668"/>
    <w:uiPriority w:val="0"/>
    <w:qFormat/>
    <w:rPr>
      <w:sz w:val="18"/>
      <w:szCs w:val="18"/>
    </w:rPr>
  </w:style>
  <w:style w:type="character" w:styleId="794" w:customStyle="1">
    <w:name w:val="批注文字 Char"/>
    <w:link w:val="668"/>
    <w:uiPriority w:val="0"/>
    <w:qFormat/>
    <w:rPr>
      <w:rFonts w:ascii="Times New Roman" w:hAnsi="Times New Roman"/>
      <w:sz w:val="21"/>
    </w:rPr>
  </w:style>
  <w:style w:type="character" w:styleId="795" w:customStyle="1">
    <w:name w:val="标题 4 字符"/>
    <w:link w:val="668"/>
    <w:uiPriority w:val="0"/>
    <w:semiHidden/>
    <w:qFormat/>
    <w:rPr>
      <w:rFonts w:ascii="等线 Light" w:hAnsi="等线 Light" w:eastAsia="等线 Light" w:cs="Times New Roman"/>
      <w:b/>
      <w:bCs/>
      <w:sz w:val="28"/>
      <w:szCs w:val="28"/>
    </w:rPr>
  </w:style>
  <w:style w:type="character" w:styleId="796" w:customStyle="1">
    <w:name w:val="超链接1"/>
    <w:link w:val="668"/>
    <w:uiPriority w:val="0"/>
    <w:unhideWhenUsed/>
    <w:qFormat/>
    <w:rPr>
      <w:color w:val="0000ff"/>
      <w:u w:val="single"/>
    </w:rPr>
  </w:style>
  <w:style w:type="character" w:styleId="797" w:customStyle="1">
    <w:name w:val="正文首行缩进 2 字符"/>
    <w:link w:val="798"/>
    <w:uiPriority w:val="99"/>
    <w:qFormat/>
    <w:rPr>
      <w:sz w:val="21"/>
      <w:szCs w:val="24"/>
    </w:rPr>
  </w:style>
  <w:style w:type="paragraph" w:styleId="798" w:customStyle="1">
    <w:name w:val="_Style 63"/>
    <w:basedOn w:val="718"/>
    <w:next w:val="668"/>
    <w:link w:val="797"/>
    <w:uiPriority w:val="99"/>
    <w:unhideWhenUsed/>
    <w:qFormat/>
    <w:pPr>
      <w:ind w:firstLine="420"/>
    </w:pPr>
    <w:rPr>
      <w:rFonts w:ascii="Times New Roman" w:hAnsi="Times New Roman"/>
    </w:rPr>
  </w:style>
  <w:style w:type="character" w:styleId="799" w:customStyle="1">
    <w:name w:val="标题 1 字符"/>
    <w:link w:val="800"/>
    <w:uiPriority w:val="0"/>
    <w:qFormat/>
    <w:rPr>
      <w:rFonts w:eastAsia="新宋体"/>
      <w:b/>
      <w:bCs/>
      <w:sz w:val="30"/>
      <w:szCs w:val="44"/>
    </w:rPr>
  </w:style>
  <w:style w:type="paragraph" w:styleId="800" w:customStyle="1">
    <w:name w:val="标题 111"/>
    <w:basedOn w:val="668"/>
    <w:next w:val="668"/>
    <w:link w:val="799"/>
    <w:uiPriority w:val="9"/>
    <w:qFormat/>
    <w:pPr>
      <w:jc w:val="center"/>
      <w:keepLines/>
      <w:keepNext/>
      <w:spacing w:line="578" w:lineRule="auto"/>
      <w:outlineLvl w:val="0"/>
    </w:pPr>
    <w:rPr>
      <w:rFonts w:eastAsia="新宋体"/>
      <w:b/>
      <w:bCs/>
      <w:sz w:val="30"/>
      <w:szCs w:val="44"/>
    </w:rPr>
  </w:style>
  <w:style w:type="character" w:styleId="801" w:customStyle="1">
    <w:name w:val="纯文本 Char"/>
    <w:link w:val="668"/>
    <w:uiPriority w:val="0"/>
    <w:qFormat/>
    <w:rPr>
      <w:rFonts w:ascii="宋体" w:hAnsi="Courier New" w:eastAsia="宋体" w:cs="Courier New"/>
      <w:szCs w:val="21"/>
    </w:rPr>
  </w:style>
  <w:style w:type="character" w:styleId="802" w:customStyle="1">
    <w:name w:val="Heading 3 Char"/>
    <w:link w:val="729"/>
    <w:uiPriority w:val="9"/>
    <w:qFormat/>
    <w:rPr>
      <w:rFonts w:ascii="Arial" w:hAnsi="Arial" w:eastAsia="Arial" w:cs="Arial"/>
      <w:sz w:val="30"/>
      <w:szCs w:val="30"/>
    </w:rPr>
  </w:style>
  <w:style w:type="character" w:styleId="803" w:customStyle="1">
    <w:name w:val="Intense Quote Char"/>
    <w:link w:val="804"/>
    <w:uiPriority w:val="30"/>
    <w:qFormat/>
    <w:rPr>
      <w:i/>
    </w:rPr>
  </w:style>
  <w:style w:type="paragraph" w:styleId="804">
    <w:name w:val="Intense Quote"/>
    <w:basedOn w:val="668"/>
    <w:next w:val="668"/>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脚注引用1"/>
    <w:link w:val="668"/>
    <w:uiPriority w:val="99"/>
    <w:unhideWhenUsed/>
    <w:qFormat/>
    <w:rPr>
      <w:vertAlign w:val="superscript"/>
    </w:rPr>
  </w:style>
  <w:style w:type="character" w:styleId="806" w:customStyle="1">
    <w:name w:val="标题 3 Char"/>
    <w:link w:val="668"/>
    <w:uiPriority w:val="9"/>
    <w:qFormat/>
    <w:rPr>
      <w:rFonts w:ascii="Arial" w:hAnsi="Arial" w:eastAsia="宋体" w:cs="Times New Roman"/>
      <w:b/>
      <w:sz w:val="32"/>
      <w:szCs w:val="20"/>
    </w:rPr>
  </w:style>
  <w:style w:type="character" w:styleId="807" w:customStyle="1">
    <w:name w:val="Caption Char"/>
    <w:link w:val="668"/>
    <w:uiPriority w:val="99"/>
    <w:qFormat/>
  </w:style>
  <w:style w:type="character" w:styleId="808" w:customStyle="1">
    <w:name w:val="页眉 Char"/>
    <w:link w:val="668"/>
    <w:uiPriority w:val="0"/>
    <w:qFormat/>
    <w:rPr>
      <w:sz w:val="18"/>
      <w:szCs w:val="18"/>
    </w:rPr>
  </w:style>
  <w:style w:type="character" w:styleId="809" w:customStyle="1">
    <w:name w:val="文档结构图 Char"/>
    <w:link w:val="668"/>
    <w:uiPriority w:val="99"/>
    <w:semiHidden/>
    <w:qFormat/>
    <w:rPr>
      <w:rFonts w:ascii="宋体"/>
      <w:sz w:val="18"/>
      <w:szCs w:val="18"/>
    </w:rPr>
  </w:style>
  <w:style w:type="character" w:styleId="810" w:customStyle="1">
    <w:name w:val="Heading 5 Char"/>
    <w:link w:val="731"/>
    <w:uiPriority w:val="9"/>
    <w:qFormat/>
    <w:rPr>
      <w:rFonts w:ascii="Arial" w:hAnsi="Arial" w:eastAsia="Arial" w:cs="Arial"/>
      <w:b/>
      <w:bCs/>
      <w:sz w:val="24"/>
      <w:szCs w:val="24"/>
    </w:rPr>
  </w:style>
  <w:style w:type="character" w:styleId="811" w:customStyle="1">
    <w:name w:val="Footer Char"/>
    <w:link w:val="812"/>
    <w:uiPriority w:val="99"/>
    <w:qFormat/>
  </w:style>
  <w:style w:type="paragraph" w:styleId="812" w:customStyle="1">
    <w:name w:val="页脚11"/>
    <w:basedOn w:val="668"/>
    <w:link w:val="811"/>
    <w:uiPriority w:val="99"/>
    <w:unhideWhenUsed/>
    <w:qFormat/>
    <w:pPr>
      <w:spacing w:after="0" w:line="240" w:lineRule="auto"/>
      <w:tabs>
        <w:tab w:val="center" w:pos="7143" w:leader="none"/>
        <w:tab w:val="right" w:pos="14287" w:leader="none"/>
      </w:tabs>
    </w:pPr>
  </w:style>
  <w:style w:type="character" w:styleId="813" w:customStyle="1">
    <w:name w:val="批注引用1"/>
    <w:link w:val="668"/>
    <w:uiPriority w:val="99"/>
    <w:qFormat/>
    <w:rPr>
      <w:sz w:val="21"/>
      <w:szCs w:val="21"/>
    </w:rPr>
  </w:style>
  <w:style w:type="character" w:styleId="814" w:customStyle="1">
    <w:name w:val="Heading 8 Char"/>
    <w:link w:val="734"/>
    <w:uiPriority w:val="9"/>
    <w:qFormat/>
    <w:rPr>
      <w:rFonts w:ascii="Arial" w:hAnsi="Arial" w:eastAsia="Arial" w:cs="Arial"/>
      <w:i/>
      <w:iCs/>
      <w:sz w:val="22"/>
      <w:szCs w:val="22"/>
    </w:rPr>
  </w:style>
  <w:style w:type="character" w:styleId="815" w:customStyle="1">
    <w:name w:val="NormalCharacter1"/>
    <w:link w:val="668"/>
    <w:uiPriority w:val="0"/>
    <w:semiHidden/>
    <w:qFormat/>
    <w:rPr>
      <w:sz w:val="28"/>
      <w:lang w:val="en-US" w:eastAsia="zh-CN" w:bidi="ar-SA"/>
    </w:rPr>
  </w:style>
  <w:style w:type="character" w:styleId="816" w:customStyle="1">
    <w:name w:val="正文文本缩进 2 字符"/>
    <w:link w:val="817"/>
    <w:uiPriority w:val="0"/>
    <w:qFormat/>
    <w:rPr>
      <w:rFonts w:ascii="仿宋_GB2312" w:eastAsia="仿宋_GB2312"/>
      <w:sz w:val="24"/>
      <w:szCs w:val="24"/>
      <w:lang w:bidi="ar-SA"/>
    </w:rPr>
  </w:style>
  <w:style w:type="paragraph" w:styleId="817" w:customStyle="1">
    <w:name w:val="正文文本缩进 21"/>
    <w:basedOn w:val="668"/>
    <w:link w:val="816"/>
    <w:uiPriority w:val="0"/>
    <w:qFormat/>
    <w:pPr>
      <w:ind w:firstLine="475"/>
      <w:spacing w:line="10" w:lineRule="atLeast"/>
    </w:pPr>
    <w:rPr>
      <w:rFonts w:ascii="仿宋_GB2312" w:eastAsia="仿宋_GB2312"/>
      <w:sz w:val="24"/>
    </w:rPr>
  </w:style>
  <w:style w:type="character" w:styleId="818" w:customStyle="1">
    <w:name w:val="Title Char"/>
    <w:link w:val="819"/>
    <w:uiPriority w:val="10"/>
    <w:qFormat/>
    <w:rPr>
      <w:sz w:val="48"/>
      <w:szCs w:val="48"/>
    </w:rPr>
  </w:style>
  <w:style w:type="paragraph" w:styleId="819" w:customStyle="1">
    <w:name w:val="标题11"/>
    <w:basedOn w:val="668"/>
    <w:next w:val="668"/>
    <w:link w:val="818"/>
    <w:uiPriority w:val="10"/>
    <w:qFormat/>
    <w:pPr>
      <w:contextualSpacing/>
      <w:spacing w:before="300" w:after="200"/>
    </w:pPr>
    <w:rPr>
      <w:sz w:val="48"/>
      <w:szCs w:val="48"/>
    </w:rPr>
  </w:style>
  <w:style w:type="character" w:styleId="820" w:customStyle="1">
    <w:name w:val="Heading 6 Char"/>
    <w:link w:val="732"/>
    <w:uiPriority w:val="9"/>
    <w:qFormat/>
    <w:rPr>
      <w:rFonts w:ascii="Arial" w:hAnsi="Arial" w:eastAsia="Arial" w:cs="Arial"/>
      <w:b/>
      <w:bCs/>
      <w:sz w:val="22"/>
      <w:szCs w:val="22"/>
    </w:rPr>
  </w:style>
  <w:style w:type="character" w:styleId="821" w:customStyle="1">
    <w:name w:val="日期 Char"/>
    <w:link w:val="668"/>
    <w:uiPriority w:val="99"/>
    <w:semiHidden/>
    <w:qFormat/>
  </w:style>
  <w:style w:type="character" w:styleId="822" w:customStyle="1">
    <w:name w:val="批注框文本 Char"/>
    <w:link w:val="668"/>
    <w:uiPriority w:val="0"/>
    <w:qFormat/>
    <w:rPr>
      <w:sz w:val="18"/>
      <w:szCs w:val="18"/>
    </w:rPr>
  </w:style>
  <w:style w:type="character" w:styleId="823" w:customStyle="1">
    <w:name w:val="标题 1 Char"/>
    <w:link w:val="668"/>
    <w:uiPriority w:val="9"/>
    <w:qFormat/>
    <w:rPr>
      <w:b/>
      <w:bCs/>
      <w:sz w:val="44"/>
      <w:szCs w:val="44"/>
    </w:rPr>
  </w:style>
  <w:style w:type="character" w:styleId="824" w:customStyle="1">
    <w:name w:val="正文文本 字符"/>
    <w:link w:val="712"/>
    <w:uiPriority w:val="1"/>
    <w:qFormat/>
    <w:rPr>
      <w:rFonts w:ascii="Calibri" w:hAnsi="Calibri"/>
      <w:sz w:val="21"/>
      <w:szCs w:val="24"/>
    </w:rPr>
  </w:style>
  <w:style w:type="character" w:styleId="825" w:customStyle="1">
    <w:name w:val="Footnote Text Char"/>
    <w:link w:val="826"/>
    <w:uiPriority w:val="99"/>
    <w:qFormat/>
    <w:rPr>
      <w:sz w:val="18"/>
    </w:rPr>
  </w:style>
  <w:style w:type="paragraph" w:styleId="826" w:customStyle="1">
    <w:name w:val="脚注文本111"/>
    <w:basedOn w:val="668"/>
    <w:link w:val="825"/>
    <w:uiPriority w:val="99"/>
    <w:unhideWhenUsed/>
    <w:qFormat/>
    <w:pPr>
      <w:spacing w:after="40" w:line="240" w:lineRule="auto"/>
    </w:pPr>
    <w:rPr>
      <w:sz w:val="18"/>
    </w:rPr>
  </w:style>
  <w:style w:type="character" w:styleId="827" w:customStyle="1">
    <w:name w:val="标题 2 字符1"/>
    <w:link w:val="828"/>
    <w:uiPriority w:val="9"/>
    <w:qFormat/>
    <w:rPr>
      <w:rFonts w:ascii="Cambria" w:hAnsi="Cambria"/>
      <w:b/>
      <w:bCs/>
      <w:sz w:val="32"/>
      <w:szCs w:val="32"/>
    </w:rPr>
  </w:style>
  <w:style w:type="paragraph" w:styleId="828" w:customStyle="1">
    <w:name w:val="标题 21"/>
    <w:basedOn w:val="668"/>
    <w:next w:val="668"/>
    <w:link w:val="827"/>
    <w:uiPriority w:val="0"/>
    <w:qFormat/>
    <w:pPr>
      <w:keepLines/>
      <w:keepNext/>
      <w:spacing w:before="260" w:after="260" w:line="416" w:lineRule="auto"/>
      <w:outlineLvl w:val="1"/>
    </w:pPr>
    <w:rPr>
      <w:rFonts w:ascii="Cambria" w:hAnsi="Cambria"/>
      <w:b/>
      <w:bCs/>
      <w:sz w:val="32"/>
      <w:szCs w:val="32"/>
    </w:rPr>
  </w:style>
  <w:style w:type="character" w:styleId="829" w:customStyle="1">
    <w:name w:val="日期 字符"/>
    <w:link w:val="830"/>
    <w:uiPriority w:val="99"/>
    <w:qFormat/>
    <w:rPr>
      <w:rFonts w:eastAsia="仿宋_GB2312"/>
      <w:sz w:val="28"/>
    </w:rPr>
  </w:style>
  <w:style w:type="paragraph" w:styleId="830" w:customStyle="1">
    <w:name w:val="日期1"/>
    <w:basedOn w:val="668"/>
    <w:next w:val="668"/>
    <w:link w:val="829"/>
    <w:uiPriority w:val="99"/>
    <w:qFormat/>
    <w:rPr>
      <w:rFonts w:eastAsia="仿宋_GB2312"/>
      <w:sz w:val="28"/>
      <w:szCs w:val="20"/>
    </w:rPr>
  </w:style>
  <w:style w:type="character" w:styleId="831" w:customStyle="1">
    <w:name w:val="font01"/>
    <w:link w:val="668"/>
    <w:uiPriority w:val="0"/>
    <w:qFormat/>
    <w:rPr>
      <w:rFonts w:hint="eastAsia" w:ascii="仿宋" w:hAnsi="仿宋" w:eastAsia="仿宋" w:cs="仿宋"/>
      <w:color w:val="000000"/>
      <w:sz w:val="20"/>
      <w:szCs w:val="20"/>
      <w:u w:val="none"/>
    </w:rPr>
  </w:style>
  <w:style w:type="character" w:styleId="832" w:customStyle="1">
    <w:name w:val="批注框文本 字符"/>
    <w:link w:val="833"/>
    <w:uiPriority w:val="0"/>
    <w:qFormat/>
    <w:rPr>
      <w:sz w:val="18"/>
      <w:szCs w:val="18"/>
    </w:rPr>
  </w:style>
  <w:style w:type="paragraph" w:styleId="833" w:customStyle="1">
    <w:name w:val="批注框文本1"/>
    <w:basedOn w:val="668"/>
    <w:link w:val="832"/>
    <w:uiPriority w:val="0"/>
    <w:qFormat/>
    <w:rPr>
      <w:sz w:val="18"/>
      <w:szCs w:val="18"/>
    </w:rPr>
  </w:style>
  <w:style w:type="character" w:styleId="834" w:customStyle="1">
    <w:name w:val="文档结构图 字符1"/>
    <w:link w:val="835"/>
    <w:uiPriority w:val="99"/>
    <w:qFormat/>
    <w:rPr>
      <w:rFonts w:ascii="宋体" w:hAnsi="Calibri"/>
      <w:sz w:val="18"/>
      <w:szCs w:val="18"/>
    </w:rPr>
  </w:style>
  <w:style w:type="paragraph" w:styleId="835" w:customStyle="1">
    <w:name w:val="文档结构图1"/>
    <w:basedOn w:val="668"/>
    <w:link w:val="834"/>
    <w:uiPriority w:val="99"/>
    <w:unhideWhenUsed/>
    <w:qFormat/>
    <w:rPr>
      <w:rFonts w:ascii="宋体" w:hAnsi="Calibri"/>
      <w:sz w:val="18"/>
      <w:szCs w:val="18"/>
    </w:rPr>
  </w:style>
  <w:style w:type="character" w:styleId="836" w:customStyle="1">
    <w:name w:val="正文文本首行缩进 2 字符"/>
    <w:link w:val="717"/>
    <w:uiPriority w:val="0"/>
    <w:qFormat/>
  </w:style>
  <w:style w:type="character" w:styleId="837" w:customStyle="1">
    <w:name w:val="Subtitle Char"/>
    <w:link w:val="838"/>
    <w:uiPriority w:val="11"/>
    <w:qFormat/>
    <w:rPr>
      <w:sz w:val="24"/>
      <w:szCs w:val="24"/>
    </w:rPr>
  </w:style>
  <w:style w:type="paragraph" w:styleId="838" w:customStyle="1">
    <w:name w:val="副标题1"/>
    <w:basedOn w:val="668"/>
    <w:next w:val="668"/>
    <w:link w:val="837"/>
    <w:uiPriority w:val="11"/>
    <w:qFormat/>
    <w:pPr>
      <w:spacing w:before="200" w:after="200"/>
    </w:pPr>
    <w:rPr>
      <w:sz w:val="24"/>
      <w:szCs w:val="24"/>
    </w:rPr>
  </w:style>
  <w:style w:type="paragraph" w:styleId="839" w:customStyle="1">
    <w:name w:val="目录 41"/>
    <w:basedOn w:val="668"/>
    <w:next w:val="668"/>
    <w:uiPriority w:val="39"/>
    <w:unhideWhenUsed/>
    <w:qFormat/>
    <w:pPr>
      <w:ind w:left="850" w:right="0" w:firstLine="0"/>
      <w:spacing w:after="57"/>
    </w:pPr>
  </w:style>
  <w:style w:type="paragraph" w:styleId="840" w:customStyle="1">
    <w:name w:val="UserStyle_1"/>
    <w:basedOn w:val="668"/>
    <w:uiPriority w:val="0"/>
    <w:qFormat/>
    <w:pPr>
      <w:ind w:left="-6" w:hanging="99"/>
      <w:jc w:val="left"/>
    </w:pPr>
    <w:rPr>
      <w:rFonts w:ascii="宋体"/>
      <w:b/>
    </w:rPr>
  </w:style>
  <w:style w:type="paragraph" w:styleId="841" w:customStyle="1">
    <w:name w:val="_Style 101"/>
    <w:basedOn w:val="668"/>
    <w:next w:val="668"/>
    <w:uiPriority w:val="39"/>
    <w:unhideWhenUsed/>
    <w:qFormat/>
    <w:pPr>
      <w:ind w:left="420"/>
    </w:pPr>
    <w:rPr>
      <w:rFonts w:ascii="Calibri" w:hAnsi="Calibri"/>
      <w:szCs w:val="22"/>
    </w:rPr>
  </w:style>
  <w:style w:type="paragraph" w:styleId="842" w:customStyle="1">
    <w:name w:val="Table Paragraph"/>
    <w:basedOn w:val="668"/>
    <w:uiPriority w:val="1"/>
    <w:qFormat/>
    <w:pPr>
      <w:ind w:left="108"/>
    </w:pPr>
  </w:style>
  <w:style w:type="paragraph" w:styleId="843" w:customStyle="1">
    <w:name w:val="索引 51"/>
    <w:basedOn w:val="708"/>
    <w:next w:val="708"/>
    <w:uiPriority w:val="0"/>
    <w:qFormat/>
    <w:pPr>
      <w:ind w:left="798"/>
      <w:jc w:val="left"/>
    </w:pPr>
    <w:rPr>
      <w:rFonts w:ascii="Calibri" w:hAnsi="Calibri"/>
    </w:rPr>
  </w:style>
  <w:style w:type="paragraph" w:styleId="844" w:customStyle="1">
    <w:name w:val="目录 61"/>
    <w:basedOn w:val="668"/>
    <w:next w:val="668"/>
    <w:uiPriority w:val="39"/>
    <w:unhideWhenUsed/>
    <w:qFormat/>
    <w:pPr>
      <w:ind w:left="1417" w:right="0" w:firstLine="0"/>
      <w:spacing w:after="57"/>
    </w:pPr>
  </w:style>
  <w:style w:type="paragraph" w:styleId="845">
    <w:name w:val="List Paragraph"/>
    <w:basedOn w:val="716"/>
    <w:uiPriority w:val="34"/>
    <w:qFormat/>
    <w:pPr>
      <w:contextualSpacing/>
      <w:ind w:left="720"/>
    </w:pPr>
  </w:style>
  <w:style w:type="paragraph" w:styleId="846" w:customStyle="1">
    <w:name w:val="投标文件正文"/>
    <w:basedOn w:val="668"/>
    <w:uiPriority w:val="0"/>
    <w:qFormat/>
    <w:pPr>
      <w:ind w:firstLine="200"/>
      <w:spacing w:before="40" w:after="40" w:line="400" w:lineRule="exact"/>
    </w:pPr>
    <w:rPr>
      <w:sz w:val="24"/>
    </w:rPr>
  </w:style>
  <w:style w:type="paragraph" w:styleId="847" w:customStyle="1">
    <w:name w:val="题注1"/>
    <w:basedOn w:val="668"/>
    <w:next w:val="668"/>
    <w:uiPriority w:val="35"/>
    <w:unhideWhenUsed/>
    <w:qFormat/>
    <w:pPr>
      <w:spacing w:line="276" w:lineRule="auto"/>
    </w:pPr>
    <w:rPr>
      <w:b/>
      <w:bCs/>
      <w:color w:val="4f81bd"/>
      <w:sz w:val="18"/>
      <w:szCs w:val="18"/>
    </w:rPr>
  </w:style>
  <w:style w:type="paragraph" w:styleId="848" w:customStyle="1">
    <w:name w:val="Heading21"/>
    <w:basedOn w:val="668"/>
    <w:next w:val="668"/>
    <w:uiPriority w:val="0"/>
    <w:qFormat/>
    <w:pPr>
      <w:jc w:val="left"/>
      <w:keepLines/>
      <w:keepNext/>
      <w:spacing w:before="260" w:after="260" w:line="416" w:lineRule="auto"/>
    </w:pPr>
    <w:rPr>
      <w:rFonts w:ascii="Calibri Light" w:hAnsi="Calibri Light"/>
      <w:b/>
      <w:bCs/>
      <w:sz w:val="24"/>
      <w:szCs w:val="32"/>
    </w:rPr>
  </w:style>
  <w:style w:type="paragraph" w:styleId="849" w:customStyle="1">
    <w:name w:val="纯文本11"/>
    <w:basedOn w:val="668"/>
    <w:uiPriority w:val="0"/>
    <w:qFormat/>
    <w:rPr>
      <w:rFonts w:ascii="宋体" w:hAnsi="Courier New" w:cs="Courier New"/>
      <w:szCs w:val="21"/>
    </w:rPr>
  </w:style>
  <w:style w:type="paragraph" w:styleId="85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851" w:customStyle="1">
    <w:name w:val="正文首行缩进2"/>
    <w:basedOn w:val="852"/>
    <w:next w:val="853"/>
    <w:uiPriority w:val="0"/>
    <w:qFormat/>
    <w:pPr>
      <w:ind w:firstLine="420"/>
      <w:spacing w:after="0"/>
    </w:pPr>
    <w:rPr>
      <w:sz w:val="28"/>
      <w:szCs w:val="28"/>
    </w:rPr>
  </w:style>
  <w:style w:type="paragraph" w:styleId="852" w:customStyle="1">
    <w:name w:val="正文文本2"/>
    <w:basedOn w:val="668"/>
    <w:next w:val="713"/>
    <w:uiPriority w:val="0"/>
    <w:qFormat/>
    <w:pPr>
      <w:spacing w:after="120"/>
    </w:pPr>
  </w:style>
  <w:style w:type="paragraph" w:styleId="853" w:customStyle="1">
    <w:name w:val="正文首行缩进 22"/>
    <w:basedOn w:val="854"/>
    <w:next w:val="668"/>
    <w:uiPriority w:val="99"/>
    <w:unhideWhenUsed/>
    <w:qFormat/>
    <w:pPr>
      <w:ind w:firstLine="420"/>
    </w:pPr>
  </w:style>
  <w:style w:type="paragraph" w:styleId="854" w:customStyle="1">
    <w:name w:val="正文文本缩进2"/>
    <w:basedOn w:val="668"/>
    <w:next w:val="723"/>
    <w:uiPriority w:val="0"/>
    <w:qFormat/>
    <w:pPr>
      <w:ind w:firstLine="280"/>
    </w:pPr>
    <w:rPr>
      <w:rFonts w:ascii="宋体" w:hAnsi="宋体"/>
      <w:sz w:val="28"/>
      <w:szCs w:val="24"/>
    </w:rPr>
  </w:style>
  <w:style w:type="paragraph" w:styleId="855" w:customStyle="1">
    <w:name w:val="索引 11"/>
    <w:basedOn w:val="668"/>
    <w:next w:val="668"/>
    <w:uiPriority w:val="0"/>
    <w:qFormat/>
    <w:pPr>
      <w:jc w:val="center"/>
      <w:tabs>
        <w:tab w:val="left" w:pos="560" w:leader="none"/>
      </w:tabs>
    </w:pPr>
    <w:rPr>
      <w:rFonts w:ascii="宋体" w:hAnsi="宋体"/>
    </w:rPr>
  </w:style>
  <w:style w:type="paragraph" w:styleId="856" w:customStyle="1">
    <w:name w:val="索引 511"/>
    <w:basedOn w:val="668"/>
    <w:next w:val="668"/>
    <w:uiPriority w:val="0"/>
    <w:qFormat/>
    <w:pPr>
      <w:ind w:left="798"/>
      <w:jc w:val="left"/>
    </w:pPr>
    <w:rPr>
      <w:rFonts w:ascii="Calibri" w:hAnsi="Calibri"/>
    </w:rPr>
  </w:style>
  <w:style w:type="paragraph" w:styleId="857" w:customStyle="1">
    <w:name w:val="目录 1112"/>
    <w:basedOn w:val="668"/>
    <w:next w:val="668"/>
    <w:uiPriority w:val="39"/>
    <w:unhideWhenUsed/>
    <w:qFormat/>
    <w:pPr>
      <w:ind w:left="0" w:right="0" w:firstLine="0"/>
      <w:spacing w:after="57"/>
    </w:pPr>
  </w:style>
  <w:style w:type="paragraph" w:styleId="858" w:customStyle="1">
    <w:name w:val="目录 81"/>
    <w:basedOn w:val="668"/>
    <w:next w:val="668"/>
    <w:uiPriority w:val="39"/>
    <w:unhideWhenUsed/>
    <w:qFormat/>
    <w:pPr>
      <w:ind w:left="1984" w:right="0" w:firstLine="0"/>
      <w:spacing w:after="57"/>
    </w:pPr>
  </w:style>
  <w:style w:type="paragraph" w:styleId="859" w:customStyle="1">
    <w:name w:val="普通(网站)11"/>
    <w:basedOn w:val="66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60" w:customStyle="1">
    <w:name w:val="文本块12"/>
    <w:basedOn w:val="668"/>
    <w:uiPriority w:val="0"/>
    <w:unhideWhenUsed/>
    <w:qFormat/>
    <w:pPr>
      <w:ind w:left="420" w:right="33"/>
    </w:pPr>
    <w:rPr>
      <w:sz w:val="24"/>
    </w:rPr>
  </w:style>
  <w:style w:type="paragraph" w:styleId="861" w:customStyle="1">
    <w:name w:val="目录 11"/>
    <w:basedOn w:val="668"/>
    <w:next w:val="668"/>
    <w:uiPriority w:val="39"/>
    <w:qFormat/>
  </w:style>
  <w:style w:type="paragraph" w:styleId="862" w:customStyle="1">
    <w:name w:val="目录 51"/>
    <w:basedOn w:val="668"/>
    <w:next w:val="668"/>
    <w:uiPriority w:val="39"/>
    <w:unhideWhenUsed/>
    <w:qFormat/>
    <w:pPr>
      <w:ind w:left="1134" w:right="0" w:firstLine="0"/>
      <w:spacing w:after="57"/>
    </w:pPr>
  </w:style>
  <w:style w:type="paragraph" w:styleId="863" w:customStyle="1">
    <w:name w:val="标题1"/>
    <w:basedOn w:val="668"/>
    <w:next w:val="668"/>
    <w:uiPriority w:val="10"/>
    <w:qFormat/>
    <w:pPr>
      <w:contextualSpacing/>
      <w:spacing w:before="300" w:after="200"/>
    </w:pPr>
    <w:rPr>
      <w:sz w:val="48"/>
      <w:szCs w:val="48"/>
    </w:rPr>
  </w:style>
  <w:style w:type="paragraph" w:styleId="864" w:customStyle="1">
    <w:name w:val="索引标题1"/>
    <w:basedOn w:val="668"/>
    <w:next w:val="855"/>
    <w:uiPriority w:val="0"/>
    <w:qFormat/>
    <w:pPr>
      <w:tabs>
        <w:tab w:val="left" w:pos="560" w:leader="none"/>
      </w:tabs>
    </w:pPr>
    <w:rPr>
      <w:rFonts w:ascii="Arial" w:hAnsi="Arial" w:cs="Arial"/>
      <w:b/>
      <w:bCs/>
    </w:rPr>
  </w:style>
  <w:style w:type="paragraph" w:styleId="865" w:customStyle="1">
    <w:name w:val="TOC 标题"/>
    <w:basedOn w:val="800"/>
    <w:next w:val="668"/>
    <w:uiPriority w:val="39"/>
    <w:qFormat/>
    <w:pPr>
      <w:jc w:val="left"/>
      <w:spacing w:before="480" w:line="276" w:lineRule="auto"/>
      <w:widowControl/>
      <w:outlineLvl w:val="9"/>
    </w:pPr>
    <w:rPr>
      <w:rFonts w:ascii="Cambria" w:hAnsi="Cambria" w:eastAsia="宋体"/>
      <w:color w:val="365f91"/>
      <w:sz w:val="28"/>
      <w:szCs w:val="28"/>
    </w:rPr>
  </w:style>
  <w:style w:type="paragraph" w:styleId="866" w:customStyle="1">
    <w:name w:val="图表目录1"/>
    <w:basedOn w:val="668"/>
    <w:next w:val="668"/>
    <w:uiPriority w:val="99"/>
    <w:unhideWhenUsed/>
    <w:qFormat/>
    <w:pPr>
      <w:spacing w:after="0" w:afterAutospacing="0"/>
    </w:pPr>
  </w:style>
  <w:style w:type="paragraph" w:styleId="867" w:customStyle="1">
    <w:name w:val="列出段落1"/>
    <w:basedOn w:val="668"/>
    <w:uiPriority w:val="0"/>
    <w:qFormat/>
    <w:pPr>
      <w:ind w:firstLine="420"/>
    </w:pPr>
    <w:rPr>
      <w:rFonts w:ascii="Calibri" w:hAnsi="Calibri"/>
    </w:rPr>
  </w:style>
  <w:style w:type="paragraph" w:styleId="868" w:customStyle="1">
    <w:name w:val="目录 91"/>
    <w:basedOn w:val="668"/>
    <w:next w:val="668"/>
    <w:uiPriority w:val="39"/>
    <w:unhideWhenUsed/>
    <w:qFormat/>
    <w:pPr>
      <w:ind w:left="2268" w:right="0" w:firstLine="0"/>
      <w:spacing w:after="57"/>
    </w:pPr>
  </w:style>
  <w:style w:type="paragraph" w:styleId="869" w:customStyle="1">
    <w:name w:val="NormalIndent1"/>
    <w:basedOn w:val="668"/>
    <w:uiPriority w:val="0"/>
    <w:qFormat/>
    <w:pPr>
      <w:ind w:firstLine="420"/>
    </w:pPr>
    <w:rPr>
      <w:szCs w:val="20"/>
    </w:rPr>
  </w:style>
  <w:style w:type="paragraph" w:styleId="870" w:customStyle="1">
    <w:name w:val="目录 71"/>
    <w:basedOn w:val="668"/>
    <w:next w:val="668"/>
    <w:uiPriority w:val="39"/>
    <w:unhideWhenUsed/>
    <w:qFormat/>
    <w:pPr>
      <w:ind w:left="1701" w:right="0" w:firstLine="0"/>
      <w:spacing w:after="57"/>
    </w:pPr>
  </w:style>
  <w:style w:type="paragraph" w:styleId="871" w:customStyle="1">
    <w:name w:val="目录 21"/>
    <w:basedOn w:val="668"/>
    <w:next w:val="668"/>
    <w:uiPriority w:val="39"/>
    <w:unhideWhenUsed/>
    <w:qFormat/>
    <w:pPr>
      <w:ind w:left="283" w:right="0" w:firstLine="0"/>
      <w:spacing w:after="57"/>
    </w:pPr>
  </w:style>
  <w:style w:type="paragraph" w:styleId="872" w:customStyle="1">
    <w:name w:val="纯文本2"/>
    <w:basedOn w:val="668"/>
    <w:uiPriority w:val="0"/>
    <w:qFormat/>
    <w:rPr>
      <w:rFonts w:ascii="宋体" w:hAnsi="Courier New"/>
    </w:rPr>
  </w:style>
  <w:style w:type="paragraph" w:styleId="873" w:customStyle="1">
    <w:name w:val="目录 1111"/>
    <w:basedOn w:val="668"/>
    <w:next w:val="668"/>
    <w:uiPriority w:val="39"/>
    <w:unhideWhenUsed/>
    <w:qFormat/>
    <w:pPr>
      <w:jc w:val="left"/>
      <w:spacing w:after="100" w:line="259" w:lineRule="auto"/>
      <w:widowControl/>
    </w:pPr>
    <w:rPr>
      <w:rFonts w:ascii="Calibri" w:hAnsi="Calibri" w:eastAsia="宋体"/>
      <w:sz w:val="22"/>
      <w:szCs w:val="22"/>
    </w:rPr>
  </w:style>
  <w:style w:type="paragraph" w:styleId="874" w:customStyle="1">
    <w:name w:val="正文文本缩进 22"/>
    <w:basedOn w:val="668"/>
    <w:uiPriority w:val="0"/>
    <w:qFormat/>
    <w:pPr>
      <w:ind w:firstLine="640"/>
      <w:jc w:val="left"/>
      <w:spacing w:line="590" w:lineRule="exact"/>
    </w:pPr>
    <w:rPr>
      <w:rFonts w:ascii="仿宋_GB2312" w:hAnsi="宋体" w:eastAsia="仿宋_GB2312" w:cs="Times New Roman"/>
      <w:sz w:val="32"/>
      <w:szCs w:val="28"/>
    </w:rPr>
  </w:style>
  <w:style w:type="paragraph" w:styleId="875" w:customStyle="1">
    <w:name w:val="one-p"/>
    <w:basedOn w:val="668"/>
    <w:uiPriority w:val="0"/>
    <w:qFormat/>
    <w:pPr>
      <w:jc w:val="left"/>
      <w:spacing w:before="100" w:beforeAutospacing="1" w:after="100" w:afterAutospacing="1"/>
      <w:widowControl/>
    </w:pPr>
    <w:rPr>
      <w:rFonts w:ascii="宋体" w:hAnsi="宋体" w:cs="宋体"/>
      <w:sz w:val="24"/>
    </w:rPr>
  </w:style>
  <w:style w:type="paragraph" w:styleId="876">
    <w:name w:val="No Spacing"/>
    <w:uiPriority w:val="1"/>
    <w:qFormat/>
    <w:pPr>
      <w:spacing w:before="0" w:after="0" w:line="240" w:lineRule="auto"/>
    </w:pPr>
    <w:rPr>
      <w:rFonts w:hint="default" w:ascii="Times New Roman" w:hAnsi="Times New Roman" w:eastAsia="宋体" w:cs="Times New Roman"/>
    </w:rPr>
  </w:style>
  <w:style w:type="paragraph" w:styleId="877" w:customStyle="1">
    <w:name w:val="目录 31"/>
    <w:basedOn w:val="668"/>
    <w:next w:val="668"/>
    <w:uiPriority w:val="39"/>
    <w:unhideWhenUsed/>
    <w:qFormat/>
    <w:pPr>
      <w:ind w:left="567" w:right="0" w:firstLine="0"/>
      <w:spacing w:after="57"/>
    </w:pPr>
  </w:style>
  <w:style w:type="paragraph" w:styleId="878" w:customStyle="1">
    <w:name w:val="正文缩进11"/>
    <w:basedOn w:val="668"/>
    <w:next w:val="668"/>
    <w:uiPriority w:val="99"/>
    <w:qFormat/>
    <w:pPr>
      <w:ind w:firstLine="480"/>
      <w:keepNext/>
      <w:spacing w:line="480" w:lineRule="exact"/>
    </w:pPr>
    <w:rPr>
      <w:rFonts w:ascii="宋体" w:hAnsi="宋体" w:eastAsia="等线"/>
      <w:bCs/>
      <w:color w:val="000000"/>
      <w:sz w:val="24"/>
      <w:lang w:val="zh-CN"/>
    </w:rPr>
  </w:style>
  <w:style w:type="paragraph" w:styleId="87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80" w:customStyle="1">
    <w:name w:val="标题 211"/>
    <w:basedOn w:val="668"/>
    <w:next w:val="668"/>
    <w:uiPriority w:val="9"/>
    <w:unhideWhenUsed/>
    <w:qFormat/>
    <w:pPr>
      <w:keepLines/>
      <w:keepNext/>
      <w:spacing w:before="360" w:after="200"/>
      <w:outlineLvl w:val="1"/>
    </w:pPr>
    <w:rPr>
      <w:rFonts w:ascii="Arial" w:hAnsi="Arial" w:eastAsia="Arial" w:cs="Arial"/>
      <w:sz w:val="34"/>
    </w:rPr>
  </w:style>
  <w:style w:type="paragraph" w:styleId="881" w:customStyle="1">
    <w:name w:val="Other|1"/>
    <w:basedOn w:val="668"/>
    <w:uiPriority w:val="0"/>
    <w:qFormat/>
    <w:pPr>
      <w:ind w:firstLine="400"/>
      <w:spacing w:line="418" w:lineRule="auto"/>
    </w:pPr>
    <w:rPr>
      <w:rFonts w:ascii="宋体" w:hAnsi="宋体" w:cs="宋体"/>
      <w:sz w:val="30"/>
      <w:szCs w:val="30"/>
      <w:lang w:val="zh-TW" w:eastAsia="zh-TW" w:bidi="zh-TW"/>
    </w:rPr>
  </w:style>
  <w:style w:type="paragraph" w:styleId="882" w:customStyle="1">
    <w:name w:val="脚注文本1"/>
    <w:basedOn w:val="708"/>
    <w:next w:val="843"/>
    <w:uiPriority w:val="0"/>
    <w:qFormat/>
    <w:pPr>
      <w:jc w:val="left"/>
    </w:pPr>
    <w:rPr>
      <w:rFonts w:ascii="宋体" w:eastAsia="Times New Roman"/>
      <w:sz w:val="18"/>
      <w:szCs w:val="18"/>
    </w:rPr>
  </w:style>
  <w:style w:type="paragraph" w:styleId="883" w:customStyle="1">
    <w:name w:val="样式"/>
    <w:uiPriority w:val="0"/>
    <w:qFormat/>
    <w:pPr>
      <w:widowControl w:val="off"/>
    </w:pPr>
    <w:rPr>
      <w:rFonts w:hint="default" w:ascii="宋体" w:hAnsi="宋体" w:eastAsia="宋体" w:cs="宋体"/>
      <w:sz w:val="24"/>
      <w:szCs w:val="24"/>
      <w:lang w:val="en-US" w:eastAsia="zh-CN" w:bidi="ar-SA"/>
    </w:rPr>
  </w:style>
  <w:style w:type="paragraph" w:styleId="884" w:customStyle="1">
    <w:name w:val="BodyTextIndent1"/>
    <w:basedOn w:val="668"/>
    <w:uiPriority w:val="0"/>
    <w:qFormat/>
    <w:pPr>
      <w:ind w:left="420"/>
      <w:spacing w:after="120"/>
    </w:pPr>
    <w:rPr>
      <w:sz w:val="28"/>
      <w:szCs w:val="20"/>
    </w:rPr>
  </w:style>
  <w:style w:type="paragraph" w:styleId="885" w:customStyle="1">
    <w:name w:val="标题 11"/>
    <w:basedOn w:val="708"/>
    <w:next w:val="708"/>
    <w:uiPriority w:val="0"/>
    <w:qFormat/>
    <w:pPr>
      <w:jc w:val="center"/>
      <w:keepLines/>
      <w:keepNext/>
      <w:spacing w:line="578" w:lineRule="auto"/>
      <w:outlineLvl w:val="0"/>
    </w:pPr>
    <w:rPr>
      <w:rFonts w:eastAsia="新宋体"/>
      <w:b/>
      <w:bCs/>
      <w:sz w:val="30"/>
      <w:szCs w:val="44"/>
    </w:rPr>
  </w:style>
  <w:style w:type="paragraph" w:styleId="886" w:customStyle="1">
    <w:name w:val="文本块1"/>
    <w:basedOn w:val="668"/>
    <w:uiPriority w:val="0"/>
    <w:qFormat/>
    <w:pPr>
      <w:ind w:left="420" w:right="33"/>
      <w:jc w:val="left"/>
    </w:pPr>
    <w:rPr>
      <w:sz w:val="24"/>
      <w:szCs w:val="20"/>
    </w:rPr>
  </w:style>
  <w:style w:type="paragraph" w:styleId="887" w:customStyle="1">
    <w:name w:val="脚注文本11"/>
    <w:basedOn w:val="668"/>
    <w:next w:val="856"/>
    <w:uiPriority w:val="0"/>
    <w:qFormat/>
    <w:pPr>
      <w:jc w:val="left"/>
    </w:pPr>
    <w:rPr>
      <w:rFonts w:ascii="宋体" w:eastAsia="Times New Roman"/>
      <w:sz w:val="18"/>
      <w:szCs w:val="18"/>
    </w:rPr>
  </w:style>
  <w:style w:type="paragraph" w:styleId="888" w:customStyle="1">
    <w:name w:val="179"/>
    <w:basedOn w:val="668"/>
    <w:uiPriority w:val="0"/>
    <w:qFormat/>
    <w:pPr>
      <w:ind w:firstLine="420"/>
      <w:jc w:val="left"/>
      <w:widowControl/>
    </w:pPr>
    <w:rPr>
      <w:rFonts w:ascii="宋体" w:hAnsi="宋体"/>
      <w:sz w:val="24"/>
    </w:rPr>
  </w:style>
  <w:style w:type="paragraph" w:styleId="889" w:customStyle="1">
    <w:name w:val="p0"/>
    <w:basedOn w:val="668"/>
    <w:uiPriority w:val="0"/>
    <w:qFormat/>
    <w:pPr>
      <w:widowControl/>
    </w:pPr>
    <w:rPr>
      <w:szCs w:val="21"/>
    </w:rPr>
  </w:style>
  <w:style w:type="paragraph" w:styleId="890" w:customStyle="1">
    <w:name w:val="列表段落"/>
    <w:basedOn w:val="668"/>
    <w:uiPriority w:val="99"/>
    <w:qFormat/>
    <w:pPr>
      <w:ind w:firstLine="420"/>
    </w:pPr>
  </w:style>
  <w:style w:type="paragraph" w:styleId="891" w:customStyle="1">
    <w:name w:val="_Style 15"/>
    <w:basedOn w:val="668"/>
    <w:next w:val="890"/>
    <w:uiPriority w:val="34"/>
    <w:qFormat/>
    <w:pPr>
      <w:ind w:firstLine="420"/>
    </w:pPr>
    <w:rPr>
      <w:rFonts w:ascii="Calibri" w:hAnsi="Calibri"/>
      <w:szCs w:val="22"/>
    </w:rPr>
  </w:style>
  <w:style w:type="paragraph" w:styleId="892" w:customStyle="1">
    <w:name w:val="TOC Heading"/>
    <w:uiPriority w:val="39"/>
    <w:unhideWhenUsed/>
    <w:qFormat/>
    <w:rPr>
      <w:rFonts w:hint="default" w:ascii="Times New Roman" w:hAnsi="Times New Roman" w:eastAsia="宋体" w:cs="Times New Roman"/>
    </w:rPr>
  </w:style>
  <w:style w:type="paragraph" w:styleId="893" w:customStyle="1">
    <w:name w:val="普通(网站)1"/>
    <w:basedOn w:val="668"/>
    <w:uiPriority w:val="99"/>
    <w:qFormat/>
    <w:pPr>
      <w:jc w:val="left"/>
      <w:spacing w:before="100" w:beforeAutospacing="1" w:after="100" w:afterAutospacing="1"/>
      <w:widowControl/>
    </w:pPr>
    <w:rPr>
      <w:rFonts w:ascii="宋体" w:hAnsi="宋体" w:cs="宋体"/>
      <w:sz w:val="24"/>
    </w:rPr>
  </w:style>
  <w:style w:type="paragraph" w:styleId="894" w:customStyle="1">
    <w:name w:val="首行缩进"/>
    <w:basedOn w:val="668"/>
    <w:uiPriority w:val="0"/>
    <w:qFormat/>
    <w:pPr>
      <w:ind w:firstLine="480"/>
    </w:pPr>
    <w:rPr>
      <w:szCs w:val="20"/>
      <w:lang w:val="zh-CN"/>
    </w:rPr>
  </w:style>
  <w:style w:type="table" w:styleId="895" w:customStyle="1">
    <w:name w:val="网格型12"/>
    <w:uiPriority w:val="59"/>
    <w:qFormat/>
    <w:pPr>
      <w:spacing w:after="0" w:line="240" w:lineRule="auto"/>
    </w:pPr>
    <w:tblPr/>
  </w:style>
  <w:style w:type="table" w:styleId="896" w:customStyle="1">
    <w:name w:val="List Table 1 Light"/>
    <w:uiPriority w:val="99"/>
    <w:qFormat/>
    <w:pPr>
      <w:spacing w:after="0" w:line="240" w:lineRule="auto"/>
    </w:pPr>
    <w:tblPr/>
  </w:style>
  <w:style w:type="table" w:styleId="897" w:customStyle="1">
    <w:name w:val="Grid Table 1 Light - Accent 5"/>
    <w:uiPriority w:val="99"/>
    <w:qFormat/>
    <w:pPr>
      <w:spacing w:after="0" w:line="240" w:lineRule="auto"/>
    </w:pPr>
    <w:tblPr/>
  </w:style>
  <w:style w:type="table" w:styleId="898" w:customStyle="1">
    <w:name w:val="Grid Table 6 Colorful - Accent 2"/>
    <w:uiPriority w:val="99"/>
    <w:qFormat/>
    <w:pPr>
      <w:spacing w:after="0" w:line="240" w:lineRule="auto"/>
    </w:pPr>
    <w:tblPr/>
  </w:style>
  <w:style w:type="table" w:styleId="899" w:customStyle="1">
    <w:name w:val="Bordered - Accent 6"/>
    <w:uiPriority w:val="99"/>
    <w:qFormat/>
    <w:pPr>
      <w:spacing w:after="0" w:line="240" w:lineRule="auto"/>
    </w:pPr>
    <w:tblPr/>
  </w:style>
  <w:style w:type="table" w:styleId="900" w:customStyle="1">
    <w:name w:val="Grid Table 2 - Accent 1"/>
    <w:uiPriority w:val="99"/>
    <w:qFormat/>
    <w:pPr>
      <w:spacing w:after="0" w:line="240" w:lineRule="auto"/>
    </w:pPr>
    <w:tblPr/>
  </w:style>
  <w:style w:type="table" w:styleId="901" w:customStyle="1">
    <w:name w:val="Grid Table 1 Light"/>
    <w:uiPriority w:val="99"/>
    <w:qFormat/>
    <w:pPr>
      <w:spacing w:after="0" w:line="240" w:lineRule="auto"/>
    </w:pPr>
    <w:tblPr/>
  </w:style>
  <w:style w:type="table" w:styleId="902" w:customStyle="1">
    <w:name w:val="Grid Table 2 - Accent 3"/>
    <w:uiPriority w:val="99"/>
    <w:qFormat/>
    <w:pPr>
      <w:spacing w:after="0" w:line="240" w:lineRule="auto"/>
    </w:pPr>
    <w:tblPr/>
  </w:style>
  <w:style w:type="table" w:styleId="903" w:customStyle="1">
    <w:name w:val="Bordered &amp; Lined - Accent 5"/>
    <w:uiPriority w:val="99"/>
    <w:qFormat/>
    <w:pPr>
      <w:spacing w:after="0" w:line="240" w:lineRule="auto"/>
    </w:pPr>
    <w:rPr>
      <w:color w:val="404040"/>
    </w:rPr>
    <w:tblPr/>
  </w:style>
  <w:style w:type="table" w:styleId="904" w:customStyle="1">
    <w:name w:val="Bordered - Accent 5"/>
    <w:uiPriority w:val="99"/>
    <w:qFormat/>
    <w:pPr>
      <w:spacing w:after="0" w:line="240" w:lineRule="auto"/>
    </w:pPr>
    <w:tblPr/>
  </w:style>
  <w:style w:type="table" w:styleId="905" w:customStyle="1">
    <w:name w:val="List Table 7 Colorful"/>
    <w:uiPriority w:val="99"/>
    <w:qFormat/>
    <w:pPr>
      <w:spacing w:after="0" w:line="240" w:lineRule="auto"/>
    </w:pPr>
    <w:tblPr/>
  </w:style>
  <w:style w:type="table" w:styleId="906" w:customStyle="1">
    <w:name w:val="Grid Table 1 Light - Accent 3"/>
    <w:uiPriority w:val="99"/>
    <w:qFormat/>
    <w:pPr>
      <w:spacing w:after="0" w:line="240" w:lineRule="auto"/>
    </w:pPr>
    <w:tblPr/>
  </w:style>
  <w:style w:type="table" w:styleId="907" w:customStyle="1">
    <w:name w:val="Lined - Accent 6"/>
    <w:uiPriority w:val="99"/>
    <w:qFormat/>
    <w:pPr>
      <w:spacing w:after="0" w:line="240" w:lineRule="auto"/>
    </w:pPr>
    <w:rPr>
      <w:color w:val="404040"/>
    </w:rPr>
    <w:tblPr/>
  </w:style>
  <w:style w:type="table" w:styleId="908" w:customStyle="1">
    <w:name w:val="List Table 6 Colorful - Accent 5"/>
    <w:uiPriority w:val="99"/>
    <w:qFormat/>
    <w:pPr>
      <w:spacing w:after="0" w:line="240" w:lineRule="auto"/>
    </w:pPr>
    <w:tblPr/>
  </w:style>
  <w:style w:type="table" w:styleId="909" w:customStyle="1">
    <w:name w:val="Grid Table 7 Colorful - Accent 1"/>
    <w:uiPriority w:val="99"/>
    <w:qFormat/>
    <w:pPr>
      <w:spacing w:after="0" w:line="240" w:lineRule="auto"/>
    </w:pPr>
    <w:tblPr/>
  </w:style>
  <w:style w:type="table" w:styleId="910" w:customStyle="1">
    <w:name w:val="Grid Table 5 Dark - Accent 2"/>
    <w:uiPriority w:val="99"/>
    <w:qFormat/>
    <w:pPr>
      <w:spacing w:after="0" w:line="240" w:lineRule="auto"/>
    </w:pPr>
    <w:tblPr/>
  </w:style>
  <w:style w:type="table" w:styleId="911" w:customStyle="1">
    <w:name w:val="List Table 3 - Accent 5"/>
    <w:uiPriority w:val="99"/>
    <w:qFormat/>
    <w:pPr>
      <w:spacing w:after="0" w:line="240" w:lineRule="auto"/>
    </w:pPr>
    <w:tblPr/>
  </w:style>
  <w:style w:type="table" w:styleId="912" w:customStyle="1">
    <w:name w:val="List Table 6 Colorful - Accent 4"/>
    <w:uiPriority w:val="99"/>
    <w:qFormat/>
    <w:pPr>
      <w:spacing w:after="0" w:line="240" w:lineRule="auto"/>
    </w:pPr>
    <w:tblPr/>
  </w:style>
  <w:style w:type="table" w:styleId="913" w:customStyle="1">
    <w:name w:val="List Table 4 - Accent 1"/>
    <w:uiPriority w:val="99"/>
    <w:qFormat/>
    <w:pPr>
      <w:spacing w:after="0" w:line="240" w:lineRule="auto"/>
    </w:pPr>
    <w:tblPr/>
  </w:style>
  <w:style w:type="table" w:styleId="914" w:customStyle="1">
    <w:name w:val="List Table 1 Light - Accent 1"/>
    <w:uiPriority w:val="99"/>
    <w:qFormat/>
    <w:pPr>
      <w:spacing w:after="0" w:line="240" w:lineRule="auto"/>
    </w:pPr>
    <w:tblPr/>
  </w:style>
  <w:style w:type="table" w:styleId="915" w:customStyle="1">
    <w:name w:val="Grid Table 7 Colorful - Accent 2"/>
    <w:uiPriority w:val="99"/>
    <w:qFormat/>
    <w:pPr>
      <w:spacing w:after="0" w:line="240" w:lineRule="auto"/>
    </w:pPr>
    <w:tblPr/>
  </w:style>
  <w:style w:type="table" w:styleId="916" w:customStyle="1">
    <w:name w:val="List Table 3 - Accent 6"/>
    <w:uiPriority w:val="99"/>
    <w:qFormat/>
    <w:pPr>
      <w:spacing w:after="0" w:line="240" w:lineRule="auto"/>
    </w:pPr>
    <w:tblPr/>
  </w:style>
  <w:style w:type="table" w:styleId="917" w:customStyle="1">
    <w:name w:val="Lined - Accent 5"/>
    <w:uiPriority w:val="99"/>
    <w:qFormat/>
    <w:pPr>
      <w:spacing w:after="0" w:line="240" w:lineRule="auto"/>
    </w:pPr>
    <w:rPr>
      <w:color w:val="404040"/>
    </w:rPr>
    <w:tblPr/>
  </w:style>
  <w:style w:type="table" w:styleId="918" w:customStyle="1">
    <w:name w:val="List Table 5 Dark - Accent 6"/>
    <w:uiPriority w:val="99"/>
    <w:qFormat/>
    <w:pPr>
      <w:spacing w:after="0" w:line="240" w:lineRule="auto"/>
    </w:pPr>
    <w:tblPr/>
  </w:style>
  <w:style w:type="table" w:styleId="919" w:customStyle="1">
    <w:name w:val="List Table 4 - Accent 6"/>
    <w:uiPriority w:val="99"/>
    <w:qFormat/>
    <w:pPr>
      <w:spacing w:after="0" w:line="240" w:lineRule="auto"/>
    </w:pPr>
    <w:tblPr/>
  </w:style>
  <w:style w:type="table" w:styleId="920" w:customStyle="1">
    <w:name w:val="List Table 2 - Accent 1"/>
    <w:uiPriority w:val="99"/>
    <w:qFormat/>
    <w:pPr>
      <w:spacing w:after="0" w:line="240" w:lineRule="auto"/>
    </w:pPr>
    <w:tblPr/>
  </w:style>
  <w:style w:type="table" w:styleId="921" w:customStyle="1">
    <w:name w:val="Bordered &amp; Lined - Accent 1"/>
    <w:uiPriority w:val="99"/>
    <w:qFormat/>
    <w:pPr>
      <w:spacing w:after="0" w:line="240" w:lineRule="auto"/>
    </w:pPr>
    <w:rPr>
      <w:color w:val="404040"/>
    </w:rPr>
    <w:tblPr/>
  </w:style>
  <w:style w:type="table" w:styleId="922" w:customStyle="1">
    <w:name w:val="List Table 5 Dark - Accent 2"/>
    <w:uiPriority w:val="99"/>
    <w:qFormat/>
    <w:pPr>
      <w:spacing w:after="0" w:line="240" w:lineRule="auto"/>
    </w:pPr>
    <w:tblPr/>
  </w:style>
  <w:style w:type="table" w:styleId="923" w:customStyle="1">
    <w:name w:val="Bordered &amp; Lined - Accent 2"/>
    <w:uiPriority w:val="99"/>
    <w:qFormat/>
    <w:pPr>
      <w:spacing w:after="0" w:line="240" w:lineRule="auto"/>
    </w:pPr>
    <w:rPr>
      <w:color w:val="404040"/>
    </w:rPr>
    <w:tblPr/>
  </w:style>
  <w:style w:type="table" w:styleId="924" w:customStyle="1">
    <w:name w:val="List Table 7 Colorful - Accent 1"/>
    <w:uiPriority w:val="99"/>
    <w:qFormat/>
    <w:pPr>
      <w:spacing w:after="0" w:line="240" w:lineRule="auto"/>
    </w:pPr>
    <w:tblPr/>
  </w:style>
  <w:style w:type="table" w:styleId="925" w:customStyle="1">
    <w:name w:val="Plain Table 1"/>
    <w:uiPriority w:val="59"/>
    <w:qFormat/>
    <w:pPr>
      <w:spacing w:after="0" w:line="240" w:lineRule="auto"/>
    </w:pPr>
    <w:tblPr/>
  </w:style>
  <w:style w:type="table" w:styleId="926" w:customStyle="1">
    <w:name w:val="Plain Table 4"/>
    <w:uiPriority w:val="99"/>
    <w:qFormat/>
    <w:pPr>
      <w:spacing w:after="0" w:line="240" w:lineRule="auto"/>
    </w:pPr>
    <w:tblPr/>
  </w:style>
  <w:style w:type="table" w:styleId="927" w:customStyle="1">
    <w:name w:val="Grid Table 2"/>
    <w:uiPriority w:val="99"/>
    <w:qFormat/>
    <w:pPr>
      <w:spacing w:after="0" w:line="240" w:lineRule="auto"/>
    </w:pPr>
    <w:tblPr/>
  </w:style>
  <w:style w:type="table" w:styleId="928" w:customStyle="1">
    <w:name w:val="Grid Table 4 - Accent 2"/>
    <w:uiPriority w:val="59"/>
    <w:qFormat/>
    <w:pPr>
      <w:spacing w:after="0" w:line="240" w:lineRule="auto"/>
    </w:pPr>
    <w:tblPr/>
  </w:style>
  <w:style w:type="table" w:styleId="929" w:customStyle="1">
    <w:name w:val="Grid Table 6 Colorful - Accent 4"/>
    <w:uiPriority w:val="99"/>
    <w:qFormat/>
    <w:pPr>
      <w:spacing w:after="0" w:line="240" w:lineRule="auto"/>
    </w:pPr>
    <w:tblPr/>
  </w:style>
  <w:style w:type="table" w:styleId="930" w:customStyle="1">
    <w:name w:val="Lined - Accent"/>
    <w:uiPriority w:val="99"/>
    <w:qFormat/>
    <w:pPr>
      <w:spacing w:after="0" w:line="240" w:lineRule="auto"/>
    </w:pPr>
    <w:rPr>
      <w:color w:val="404040"/>
    </w:rPr>
    <w:tblPr/>
  </w:style>
  <w:style w:type="table" w:styleId="931" w:customStyle="1">
    <w:name w:val="List Table 5 Dark - Accent 3"/>
    <w:uiPriority w:val="99"/>
    <w:qFormat/>
    <w:pPr>
      <w:spacing w:after="0" w:line="240" w:lineRule="auto"/>
    </w:pPr>
    <w:tblPr/>
  </w:style>
  <w:style w:type="table" w:styleId="932" w:customStyle="1">
    <w:name w:val="网格型11"/>
    <w:basedOn w:val="933"/>
    <w:uiPriority w:val="99"/>
    <w:qFormat/>
    <w:pPr>
      <w:jc w:val="both"/>
      <w:widowControl w:val="off"/>
    </w:pPr>
    <w:tblPr/>
  </w:style>
  <w:style w:type="table" w:styleId="933" w:customStyle="1">
    <w:name w:val="普通表格1"/>
    <w:uiPriority w:val="0"/>
    <w:semiHidden/>
    <w:qFormat/>
    <w:tblPr/>
  </w:style>
  <w:style w:type="table" w:styleId="934" w:customStyle="1">
    <w:name w:val="List Table 6 Colorful - Accent 6"/>
    <w:uiPriority w:val="99"/>
    <w:qFormat/>
    <w:pPr>
      <w:spacing w:after="0" w:line="240" w:lineRule="auto"/>
    </w:pPr>
    <w:tblPr/>
  </w:style>
  <w:style w:type="table" w:styleId="935" w:customStyle="1">
    <w:name w:val="Grid Table 7 Colorful"/>
    <w:uiPriority w:val="99"/>
    <w:qFormat/>
    <w:pPr>
      <w:spacing w:after="0" w:line="240" w:lineRule="auto"/>
    </w:pPr>
    <w:tblPr/>
  </w:style>
  <w:style w:type="table" w:styleId="936" w:customStyle="1">
    <w:name w:val="List Table 4 - Accent 2"/>
    <w:uiPriority w:val="99"/>
    <w:qFormat/>
    <w:pPr>
      <w:spacing w:after="0" w:line="240" w:lineRule="auto"/>
    </w:pPr>
    <w:tblPr/>
  </w:style>
  <w:style w:type="table" w:styleId="937" w:customStyle="1">
    <w:name w:val="List Table 6 Colorful - Accent 1"/>
    <w:uiPriority w:val="99"/>
    <w:qFormat/>
    <w:pPr>
      <w:spacing w:after="0" w:line="240" w:lineRule="auto"/>
    </w:pPr>
    <w:tblPr/>
  </w:style>
  <w:style w:type="table" w:styleId="938" w:customStyle="1">
    <w:name w:val="List Table 1 Light - Accent 6"/>
    <w:uiPriority w:val="99"/>
    <w:qFormat/>
    <w:pPr>
      <w:spacing w:after="0" w:line="240" w:lineRule="auto"/>
    </w:pPr>
    <w:tblPr/>
  </w:style>
  <w:style w:type="table" w:styleId="939" w:customStyle="1">
    <w:name w:val="Plain Table 2"/>
    <w:uiPriority w:val="59"/>
    <w:qFormat/>
    <w:pPr>
      <w:spacing w:after="0" w:line="240" w:lineRule="auto"/>
    </w:pPr>
    <w:tblPr/>
  </w:style>
  <w:style w:type="table" w:styleId="940" w:customStyle="1">
    <w:name w:val="List Table 3 - Accent 4"/>
    <w:uiPriority w:val="99"/>
    <w:qFormat/>
    <w:pPr>
      <w:spacing w:after="0" w:line="240" w:lineRule="auto"/>
    </w:pPr>
    <w:tblPr/>
  </w:style>
  <w:style w:type="table" w:styleId="941" w:customStyle="1">
    <w:name w:val="Plain Table 5"/>
    <w:uiPriority w:val="99"/>
    <w:qFormat/>
    <w:pPr>
      <w:spacing w:after="0" w:line="240" w:lineRule="auto"/>
    </w:pPr>
    <w:tblPr/>
  </w:style>
  <w:style w:type="table" w:styleId="942" w:customStyle="1">
    <w:name w:val="Bordered - Accent 1"/>
    <w:uiPriority w:val="99"/>
    <w:qFormat/>
    <w:pPr>
      <w:spacing w:after="0" w:line="240" w:lineRule="auto"/>
    </w:pPr>
    <w:tblPr/>
  </w:style>
  <w:style w:type="table" w:styleId="943" w:customStyle="1">
    <w:name w:val="List Table 1 Light - Accent 2"/>
    <w:uiPriority w:val="99"/>
    <w:qFormat/>
    <w:pPr>
      <w:spacing w:after="0" w:line="240" w:lineRule="auto"/>
    </w:pPr>
    <w:tblPr/>
  </w:style>
  <w:style w:type="table" w:styleId="944" w:customStyle="1">
    <w:name w:val="Bordered - Accent 2"/>
    <w:uiPriority w:val="99"/>
    <w:qFormat/>
    <w:pPr>
      <w:spacing w:after="0" w:line="240" w:lineRule="auto"/>
    </w:pPr>
    <w:tblPr/>
  </w:style>
  <w:style w:type="table" w:styleId="945" w:customStyle="1">
    <w:name w:val="Grid Table 1 Light - Accent 2"/>
    <w:uiPriority w:val="99"/>
    <w:qFormat/>
    <w:pPr>
      <w:spacing w:after="0" w:line="240" w:lineRule="auto"/>
    </w:pPr>
    <w:tblPr/>
  </w:style>
  <w:style w:type="table" w:styleId="946" w:customStyle="1">
    <w:name w:val="List Table 2 - Accent 4"/>
    <w:uiPriority w:val="99"/>
    <w:qFormat/>
    <w:pPr>
      <w:spacing w:after="0" w:line="240" w:lineRule="auto"/>
    </w:pPr>
    <w:tblPr/>
  </w:style>
  <w:style w:type="table" w:styleId="947" w:customStyle="1">
    <w:name w:val="Grid Table 6 Colorful - Accent 5"/>
    <w:uiPriority w:val="99"/>
    <w:qFormat/>
    <w:pPr>
      <w:spacing w:after="0" w:line="240" w:lineRule="auto"/>
    </w:pPr>
    <w:tblPr/>
  </w:style>
  <w:style w:type="table" w:styleId="948" w:customStyle="1">
    <w:name w:val="Grid Table 3 - Accent 1"/>
    <w:uiPriority w:val="99"/>
    <w:qFormat/>
    <w:pPr>
      <w:spacing w:after="0" w:line="240" w:lineRule="auto"/>
    </w:pPr>
    <w:tblPr/>
  </w:style>
  <w:style w:type="table" w:styleId="949" w:customStyle="1">
    <w:name w:val="Plain Table 3"/>
    <w:uiPriority w:val="99"/>
    <w:qFormat/>
    <w:pPr>
      <w:spacing w:after="0" w:line="240" w:lineRule="auto"/>
    </w:pPr>
    <w:tblPr/>
  </w:style>
  <w:style w:type="table" w:styleId="950" w:customStyle="1">
    <w:name w:val="Grid Table 4 - Accent 1"/>
    <w:uiPriority w:val="59"/>
    <w:qFormat/>
    <w:pPr>
      <w:spacing w:after="0" w:line="240" w:lineRule="auto"/>
    </w:pPr>
    <w:tblPr/>
  </w:style>
  <w:style w:type="table" w:styleId="951" w:customStyle="1">
    <w:name w:val="List Table 1 Light - Accent 5"/>
    <w:uiPriority w:val="99"/>
    <w:qFormat/>
    <w:pPr>
      <w:spacing w:after="0" w:line="240" w:lineRule="auto"/>
    </w:pPr>
    <w:tblPr/>
  </w:style>
  <w:style w:type="table" w:styleId="952" w:customStyle="1">
    <w:name w:val="Grid Table 3 - Accent 5"/>
    <w:uiPriority w:val="99"/>
    <w:qFormat/>
    <w:pPr>
      <w:spacing w:after="0" w:line="240" w:lineRule="auto"/>
    </w:pPr>
    <w:tblPr/>
  </w:style>
  <w:style w:type="table" w:styleId="953" w:customStyle="1">
    <w:name w:val="Grid Table 1 Light - Accent 1"/>
    <w:uiPriority w:val="99"/>
    <w:qFormat/>
    <w:pPr>
      <w:spacing w:after="0" w:line="240" w:lineRule="auto"/>
    </w:pPr>
    <w:tblPr/>
  </w:style>
  <w:style w:type="table" w:styleId="954" w:customStyle="1">
    <w:name w:val="Grid Table 5 Dark"/>
    <w:uiPriority w:val="99"/>
    <w:qFormat/>
    <w:pPr>
      <w:spacing w:after="0" w:line="240" w:lineRule="auto"/>
    </w:pPr>
    <w:tblPr/>
  </w:style>
  <w:style w:type="table" w:styleId="955" w:customStyle="1">
    <w:name w:val="List Table 2 - Accent 2"/>
    <w:uiPriority w:val="99"/>
    <w:qFormat/>
    <w:pPr>
      <w:spacing w:after="0" w:line="240" w:lineRule="auto"/>
    </w:pPr>
    <w:tblPr/>
  </w:style>
  <w:style w:type="table" w:styleId="956" w:customStyle="1">
    <w:name w:val="Lined - Accent 1"/>
    <w:uiPriority w:val="99"/>
    <w:qFormat/>
    <w:pPr>
      <w:spacing w:after="0" w:line="240" w:lineRule="auto"/>
    </w:pPr>
    <w:rPr>
      <w:color w:val="404040"/>
    </w:rPr>
    <w:tblPr/>
  </w:style>
  <w:style w:type="table" w:styleId="957" w:customStyle="1">
    <w:name w:val="Grid Table 1 Light - Accent 4"/>
    <w:uiPriority w:val="99"/>
    <w:qFormat/>
    <w:pPr>
      <w:spacing w:after="0" w:line="240" w:lineRule="auto"/>
    </w:pPr>
    <w:tblPr/>
  </w:style>
  <w:style w:type="table" w:styleId="958" w:customStyle="1">
    <w:name w:val="Grid Table 6 Colorful - Accent 1"/>
    <w:uiPriority w:val="99"/>
    <w:qFormat/>
    <w:pPr>
      <w:spacing w:after="0" w:line="240" w:lineRule="auto"/>
    </w:pPr>
    <w:tblPr/>
  </w:style>
  <w:style w:type="table" w:styleId="959" w:customStyle="1">
    <w:name w:val="List Table 1 Light - Accent 3"/>
    <w:uiPriority w:val="99"/>
    <w:qFormat/>
    <w:pPr>
      <w:spacing w:after="0" w:line="240" w:lineRule="auto"/>
    </w:pPr>
    <w:tblPr/>
  </w:style>
  <w:style w:type="table" w:styleId="960" w:customStyle="1">
    <w:name w:val="Grid Table 3 - Accent 6"/>
    <w:uiPriority w:val="99"/>
    <w:qFormat/>
    <w:pPr>
      <w:spacing w:after="0" w:line="240" w:lineRule="auto"/>
    </w:pPr>
    <w:tblPr/>
  </w:style>
  <w:style w:type="table" w:styleId="961" w:customStyle="1">
    <w:name w:val="Grid Table 7 Colorful - Accent 3"/>
    <w:uiPriority w:val="99"/>
    <w:qFormat/>
    <w:pPr>
      <w:spacing w:after="0" w:line="240" w:lineRule="auto"/>
    </w:pPr>
    <w:tblPr/>
  </w:style>
  <w:style w:type="table" w:styleId="962" w:customStyle="1">
    <w:name w:val="Grid Table 2 - Accent 5"/>
    <w:uiPriority w:val="99"/>
    <w:qFormat/>
    <w:pPr>
      <w:spacing w:after="0" w:line="240" w:lineRule="auto"/>
    </w:pPr>
    <w:tblPr/>
  </w:style>
  <w:style w:type="table" w:styleId="963" w:customStyle="1">
    <w:name w:val="Bordered &amp; Lined - Accent 3"/>
    <w:uiPriority w:val="99"/>
    <w:qFormat/>
    <w:pPr>
      <w:spacing w:after="0" w:line="240" w:lineRule="auto"/>
    </w:pPr>
    <w:rPr>
      <w:color w:val="404040"/>
    </w:rPr>
    <w:tblPr/>
  </w:style>
  <w:style w:type="table" w:styleId="964" w:customStyle="1">
    <w:name w:val="List Table 5 Dark - Accent 5"/>
    <w:uiPriority w:val="99"/>
    <w:qFormat/>
    <w:pPr>
      <w:spacing w:after="0" w:line="240" w:lineRule="auto"/>
    </w:pPr>
    <w:tblPr/>
  </w:style>
  <w:style w:type="table" w:styleId="965" w:customStyle="1">
    <w:name w:val="Bordered"/>
    <w:uiPriority w:val="99"/>
    <w:qFormat/>
    <w:pPr>
      <w:spacing w:after="0" w:line="240" w:lineRule="auto"/>
    </w:pPr>
    <w:tblPr/>
  </w:style>
  <w:style w:type="table" w:styleId="966" w:customStyle="1">
    <w:name w:val="Bordered &amp; Lined - Accent"/>
    <w:uiPriority w:val="99"/>
    <w:qFormat/>
    <w:pPr>
      <w:spacing w:after="0" w:line="240" w:lineRule="auto"/>
    </w:pPr>
    <w:rPr>
      <w:color w:val="404040"/>
    </w:rPr>
    <w:tblPr/>
  </w:style>
  <w:style w:type="table" w:styleId="967" w:customStyle="1">
    <w:name w:val="Grid Table 2 - Accent 2"/>
    <w:uiPriority w:val="99"/>
    <w:qFormat/>
    <w:pPr>
      <w:spacing w:after="0" w:line="240" w:lineRule="auto"/>
    </w:pPr>
    <w:tblPr/>
  </w:style>
  <w:style w:type="table" w:styleId="968" w:customStyle="1">
    <w:name w:val="Grid Table 4 - Accent 5"/>
    <w:uiPriority w:val="59"/>
    <w:qFormat/>
    <w:pPr>
      <w:spacing w:after="0" w:line="240" w:lineRule="auto"/>
    </w:pPr>
    <w:tblPr/>
  </w:style>
  <w:style w:type="table" w:styleId="969" w:customStyle="1">
    <w:name w:val="Grid Table 2 - Accent 4"/>
    <w:uiPriority w:val="99"/>
    <w:qFormat/>
    <w:pPr>
      <w:spacing w:after="0" w:line="240" w:lineRule="auto"/>
    </w:pPr>
    <w:tblPr/>
  </w:style>
  <w:style w:type="table" w:styleId="970" w:customStyle="1">
    <w:name w:val="Grid Table 3"/>
    <w:uiPriority w:val="99"/>
    <w:qFormat/>
    <w:pPr>
      <w:spacing w:after="0" w:line="240" w:lineRule="auto"/>
    </w:pPr>
    <w:tblPr/>
  </w:style>
  <w:style w:type="table" w:styleId="971" w:customStyle="1">
    <w:name w:val="Bordered - Accent 4"/>
    <w:uiPriority w:val="99"/>
    <w:qFormat/>
    <w:pPr>
      <w:spacing w:after="0" w:line="240" w:lineRule="auto"/>
    </w:pPr>
    <w:tblPr/>
  </w:style>
  <w:style w:type="table" w:styleId="972" w:customStyle="1">
    <w:name w:val="Bordered &amp; Lined - Accent 4"/>
    <w:uiPriority w:val="99"/>
    <w:qFormat/>
    <w:pPr>
      <w:spacing w:after="0" w:line="240" w:lineRule="auto"/>
    </w:pPr>
    <w:rPr>
      <w:color w:val="404040"/>
    </w:rPr>
    <w:tblPr/>
  </w:style>
  <w:style w:type="table" w:styleId="973" w:customStyle="1">
    <w:name w:val="Table Normal"/>
    <w:uiPriority w:val="2"/>
    <w:unhideWhenUsed/>
    <w:qFormat/>
    <w:tblPr/>
  </w:style>
  <w:style w:type="table" w:styleId="974" w:customStyle="1">
    <w:name w:val="Grid Table 2 - Accent 6"/>
    <w:uiPriority w:val="99"/>
    <w:qFormat/>
    <w:pPr>
      <w:spacing w:after="0" w:line="240" w:lineRule="auto"/>
    </w:pPr>
    <w:tblPr/>
  </w:style>
  <w:style w:type="table" w:styleId="975" w:customStyle="1">
    <w:name w:val="List Table 2 - Accent 6"/>
    <w:uiPriority w:val="99"/>
    <w:qFormat/>
    <w:pPr>
      <w:spacing w:after="0" w:line="240" w:lineRule="auto"/>
    </w:pPr>
    <w:tblPr/>
  </w:style>
  <w:style w:type="table" w:styleId="976" w:customStyle="1">
    <w:name w:val="List Table 6 Colorful - Accent 2"/>
    <w:uiPriority w:val="99"/>
    <w:qFormat/>
    <w:pPr>
      <w:spacing w:after="0" w:line="240" w:lineRule="auto"/>
    </w:pPr>
    <w:tblPr/>
  </w:style>
  <w:style w:type="table" w:styleId="977" w:customStyle="1">
    <w:name w:val="List Table 2 - Accent 3"/>
    <w:uiPriority w:val="99"/>
    <w:qFormat/>
    <w:pPr>
      <w:spacing w:after="0" w:line="240" w:lineRule="auto"/>
    </w:pPr>
    <w:tblPr/>
  </w:style>
  <w:style w:type="table" w:styleId="978" w:customStyle="1">
    <w:name w:val="Grid Table 5 Dark- Accent 1"/>
    <w:uiPriority w:val="99"/>
    <w:qFormat/>
    <w:pPr>
      <w:spacing w:after="0" w:line="240" w:lineRule="auto"/>
    </w:pPr>
    <w:tblPr/>
  </w:style>
  <w:style w:type="table" w:styleId="979" w:customStyle="1">
    <w:name w:val="Grid Table 5 Dark - Accent 5"/>
    <w:uiPriority w:val="99"/>
    <w:qFormat/>
    <w:pPr>
      <w:spacing w:after="0" w:line="240" w:lineRule="auto"/>
    </w:pPr>
    <w:tblPr/>
  </w:style>
  <w:style w:type="table" w:styleId="980" w:customStyle="1">
    <w:name w:val="List Table 7 Colorful - Accent 6"/>
    <w:uiPriority w:val="99"/>
    <w:qFormat/>
    <w:pPr>
      <w:spacing w:after="0" w:line="240" w:lineRule="auto"/>
    </w:pPr>
    <w:tblPr/>
  </w:style>
  <w:style w:type="table" w:styleId="981" w:customStyle="1">
    <w:name w:val="Grid Table 4 - Accent 3"/>
    <w:uiPriority w:val="59"/>
    <w:qFormat/>
    <w:pPr>
      <w:spacing w:after="0" w:line="240" w:lineRule="auto"/>
    </w:pPr>
    <w:tblPr/>
  </w:style>
  <w:style w:type="table" w:styleId="982" w:customStyle="1">
    <w:name w:val="List Table 7 Colorful - Accent 2"/>
    <w:uiPriority w:val="99"/>
    <w:qFormat/>
    <w:pPr>
      <w:spacing w:after="0" w:line="240" w:lineRule="auto"/>
    </w:pPr>
    <w:tblPr/>
  </w:style>
  <w:style w:type="table" w:styleId="983" w:customStyle="1">
    <w:name w:val="List Table 7 Colorful - Accent 5"/>
    <w:uiPriority w:val="99"/>
    <w:qFormat/>
    <w:pPr>
      <w:spacing w:after="0" w:line="240" w:lineRule="auto"/>
    </w:pPr>
    <w:tblPr/>
  </w:style>
  <w:style w:type="table" w:styleId="984" w:customStyle="1">
    <w:name w:val="List Table 5 Dark - Accent 1"/>
    <w:uiPriority w:val="99"/>
    <w:qFormat/>
    <w:pPr>
      <w:spacing w:after="0" w:line="240" w:lineRule="auto"/>
    </w:pPr>
    <w:tblPr/>
  </w:style>
  <w:style w:type="table" w:styleId="985" w:customStyle="1">
    <w:name w:val="Lined - Accent 2"/>
    <w:uiPriority w:val="99"/>
    <w:qFormat/>
    <w:pPr>
      <w:spacing w:after="0" w:line="240" w:lineRule="auto"/>
    </w:pPr>
    <w:rPr>
      <w:color w:val="404040"/>
    </w:rPr>
    <w:tblPr/>
  </w:style>
  <w:style w:type="table" w:styleId="986" w:customStyle="1">
    <w:name w:val="网格型1"/>
    <w:basedOn w:val="933"/>
    <w:uiPriority w:val="59"/>
    <w:qFormat/>
    <w:pPr>
      <w:jc w:val="both"/>
      <w:widowControl w:val="off"/>
    </w:pPr>
    <w:tblPr/>
  </w:style>
  <w:style w:type="table" w:styleId="987" w:customStyle="1">
    <w:name w:val="List Table 4"/>
    <w:uiPriority w:val="99"/>
    <w:qFormat/>
    <w:pPr>
      <w:spacing w:after="0" w:line="240" w:lineRule="auto"/>
    </w:pPr>
    <w:tblPr/>
  </w:style>
  <w:style w:type="table" w:styleId="988" w:customStyle="1">
    <w:name w:val="List Table 1 Light - Accent 4"/>
    <w:uiPriority w:val="99"/>
    <w:qFormat/>
    <w:pPr>
      <w:spacing w:after="0" w:line="240" w:lineRule="auto"/>
    </w:pPr>
    <w:tblPr/>
  </w:style>
  <w:style w:type="table" w:styleId="989" w:customStyle="1">
    <w:name w:val="Table Grid Light"/>
    <w:uiPriority w:val="59"/>
    <w:qFormat/>
    <w:pPr>
      <w:spacing w:after="0" w:line="240" w:lineRule="auto"/>
    </w:pPr>
    <w:tblPr/>
  </w:style>
  <w:style w:type="table" w:styleId="990" w:customStyle="1">
    <w:name w:val="Grid Table 4 - Accent 6"/>
    <w:uiPriority w:val="59"/>
    <w:qFormat/>
    <w:pPr>
      <w:spacing w:after="0" w:line="240" w:lineRule="auto"/>
    </w:pPr>
    <w:tblPr/>
  </w:style>
  <w:style w:type="table" w:styleId="991" w:customStyle="1">
    <w:name w:val="List Table 3 - Accent 1"/>
    <w:uiPriority w:val="99"/>
    <w:qFormat/>
    <w:pPr>
      <w:spacing w:after="0" w:line="240" w:lineRule="auto"/>
    </w:pPr>
    <w:tblPr/>
  </w:style>
  <w:style w:type="table" w:styleId="992" w:customStyle="1">
    <w:name w:val="Grid Table 6 Colorful"/>
    <w:uiPriority w:val="99"/>
    <w:qFormat/>
    <w:pPr>
      <w:spacing w:after="0" w:line="240" w:lineRule="auto"/>
    </w:pPr>
    <w:tblPr/>
  </w:style>
  <w:style w:type="table" w:styleId="993" w:customStyle="1">
    <w:name w:val="Bordered &amp; Lined - Accent 6"/>
    <w:uiPriority w:val="99"/>
    <w:qFormat/>
    <w:pPr>
      <w:spacing w:after="0" w:line="240" w:lineRule="auto"/>
    </w:pPr>
    <w:rPr>
      <w:color w:val="404040"/>
    </w:rPr>
    <w:tblPr/>
  </w:style>
  <w:style w:type="table" w:styleId="994" w:customStyle="1">
    <w:name w:val="List Table 2"/>
    <w:uiPriority w:val="99"/>
    <w:qFormat/>
    <w:pPr>
      <w:spacing w:after="0" w:line="240" w:lineRule="auto"/>
    </w:pPr>
    <w:tblPr/>
  </w:style>
  <w:style w:type="table" w:styleId="995" w:customStyle="1">
    <w:name w:val="List Table 3"/>
    <w:uiPriority w:val="99"/>
    <w:qFormat/>
    <w:pPr>
      <w:spacing w:after="0" w:line="240" w:lineRule="auto"/>
    </w:pPr>
    <w:tblPr/>
  </w:style>
  <w:style w:type="table" w:styleId="996" w:customStyle="1">
    <w:name w:val="Grid Table 6 Colorful - Accent 3"/>
    <w:uiPriority w:val="99"/>
    <w:qFormat/>
    <w:pPr>
      <w:spacing w:after="0" w:line="240" w:lineRule="auto"/>
    </w:pPr>
    <w:tblPr/>
  </w:style>
  <w:style w:type="table" w:styleId="997" w:customStyle="1">
    <w:name w:val="Grid Table 3 - Accent 2"/>
    <w:uiPriority w:val="99"/>
    <w:qFormat/>
    <w:pPr>
      <w:spacing w:after="0" w:line="240" w:lineRule="auto"/>
    </w:pPr>
    <w:tblPr/>
  </w:style>
  <w:style w:type="table" w:styleId="998" w:customStyle="1">
    <w:name w:val="List Table 7 Colorful - Accent 4"/>
    <w:uiPriority w:val="99"/>
    <w:qFormat/>
    <w:pPr>
      <w:spacing w:after="0" w:line="240" w:lineRule="auto"/>
    </w:pPr>
    <w:tblPr/>
  </w:style>
  <w:style w:type="table" w:styleId="999" w:customStyle="1">
    <w:name w:val="List Table 5 Dark"/>
    <w:uiPriority w:val="99"/>
    <w:qFormat/>
    <w:pPr>
      <w:spacing w:after="0" w:line="240" w:lineRule="auto"/>
    </w:pPr>
    <w:tblPr/>
  </w:style>
  <w:style w:type="table" w:styleId="1000" w:customStyle="1">
    <w:name w:val="List Table 4 - Accent 4"/>
    <w:uiPriority w:val="99"/>
    <w:qFormat/>
    <w:pPr>
      <w:spacing w:after="0" w:line="240" w:lineRule="auto"/>
    </w:pPr>
    <w:tblPr/>
  </w:style>
  <w:style w:type="table" w:styleId="1001" w:customStyle="1">
    <w:name w:val="List Table 4 - Accent 5"/>
    <w:uiPriority w:val="99"/>
    <w:qFormat/>
    <w:pPr>
      <w:spacing w:after="0" w:line="240" w:lineRule="auto"/>
    </w:pPr>
    <w:tblPr/>
  </w:style>
  <w:style w:type="table" w:styleId="1002" w:customStyle="1">
    <w:name w:val="Grid Table 1 Light - Accent 6"/>
    <w:uiPriority w:val="99"/>
    <w:qFormat/>
    <w:pPr>
      <w:spacing w:after="0" w:line="240" w:lineRule="auto"/>
    </w:pPr>
    <w:tblPr/>
  </w:style>
  <w:style w:type="table" w:styleId="1003" w:customStyle="1">
    <w:name w:val="Grid Table 3 - Accent 4"/>
    <w:uiPriority w:val="99"/>
    <w:qFormat/>
    <w:pPr>
      <w:spacing w:after="0" w:line="240" w:lineRule="auto"/>
    </w:pPr>
    <w:tblPr/>
  </w:style>
  <w:style w:type="table" w:styleId="1004" w:customStyle="1">
    <w:name w:val="Grid Table 3 - Accent 3"/>
    <w:uiPriority w:val="99"/>
    <w:qFormat/>
    <w:pPr>
      <w:spacing w:after="0" w:line="240" w:lineRule="auto"/>
    </w:pPr>
    <w:tblPr/>
  </w:style>
  <w:style w:type="table" w:styleId="1005" w:customStyle="1">
    <w:name w:val="Grid Table 6 Colorful - Accent 6"/>
    <w:uiPriority w:val="99"/>
    <w:qFormat/>
    <w:pPr>
      <w:spacing w:after="0" w:line="240" w:lineRule="auto"/>
    </w:pPr>
    <w:tblPr/>
  </w:style>
  <w:style w:type="table" w:styleId="1006" w:customStyle="1">
    <w:name w:val="List Table 6 Colorful"/>
    <w:uiPriority w:val="99"/>
    <w:qFormat/>
    <w:pPr>
      <w:spacing w:after="0" w:line="240" w:lineRule="auto"/>
    </w:pPr>
    <w:tblPr/>
  </w:style>
  <w:style w:type="table" w:styleId="1007" w:customStyle="1">
    <w:name w:val="List Table 4 - Accent 3"/>
    <w:uiPriority w:val="99"/>
    <w:qFormat/>
    <w:pPr>
      <w:spacing w:after="0" w:line="240" w:lineRule="auto"/>
    </w:pPr>
    <w:tblPr/>
  </w:style>
  <w:style w:type="table" w:styleId="1008" w:customStyle="1">
    <w:name w:val="List Table 7 Colorful - Accent 3"/>
    <w:uiPriority w:val="99"/>
    <w:qFormat/>
    <w:pPr>
      <w:spacing w:after="0" w:line="240" w:lineRule="auto"/>
    </w:pPr>
    <w:tblPr/>
  </w:style>
  <w:style w:type="table" w:styleId="1009" w:customStyle="1">
    <w:name w:val="List Table 5 Dark - Accent 4"/>
    <w:uiPriority w:val="99"/>
    <w:qFormat/>
    <w:pPr>
      <w:spacing w:after="0" w:line="240" w:lineRule="auto"/>
    </w:pPr>
    <w:tblPr/>
  </w:style>
  <w:style w:type="table" w:styleId="1010" w:customStyle="1">
    <w:name w:val="Grid Table 5 Dark - Accent 3"/>
    <w:uiPriority w:val="99"/>
    <w:qFormat/>
    <w:pPr>
      <w:spacing w:after="0" w:line="240" w:lineRule="auto"/>
    </w:pPr>
    <w:tblPr/>
  </w:style>
  <w:style w:type="table" w:styleId="1011" w:customStyle="1">
    <w:name w:val="List Table 6 Colorful - Accent 3"/>
    <w:uiPriority w:val="99"/>
    <w:qFormat/>
    <w:pPr>
      <w:spacing w:after="0" w:line="240" w:lineRule="auto"/>
    </w:pPr>
    <w:tblPr/>
  </w:style>
  <w:style w:type="table" w:styleId="1012" w:customStyle="1">
    <w:name w:val="List Table 3 - Accent 3"/>
    <w:uiPriority w:val="99"/>
    <w:qFormat/>
    <w:pPr>
      <w:spacing w:after="0" w:line="240" w:lineRule="auto"/>
    </w:pPr>
    <w:tblPr/>
  </w:style>
  <w:style w:type="table" w:styleId="1013" w:customStyle="1">
    <w:name w:val="List Table 3 - Accent 2"/>
    <w:uiPriority w:val="99"/>
    <w:qFormat/>
    <w:pPr>
      <w:spacing w:after="0" w:line="240" w:lineRule="auto"/>
    </w:pPr>
    <w:tblPr/>
  </w:style>
  <w:style w:type="table" w:styleId="1014" w:customStyle="1">
    <w:name w:val="Grid Table 4"/>
    <w:uiPriority w:val="59"/>
    <w:qFormat/>
    <w:pPr>
      <w:spacing w:after="0" w:line="240" w:lineRule="auto"/>
    </w:pPr>
    <w:tblPr/>
  </w:style>
  <w:style w:type="table" w:styleId="1015" w:customStyle="1">
    <w:name w:val="Grid Table 7 Colorful - Accent 6"/>
    <w:uiPriority w:val="99"/>
    <w:qFormat/>
    <w:pPr>
      <w:spacing w:after="0" w:line="240" w:lineRule="auto"/>
    </w:pPr>
    <w:tblPr/>
  </w:style>
  <w:style w:type="table" w:styleId="1016" w:customStyle="1">
    <w:name w:val="Grid Table 5 Dark- Accent 4"/>
    <w:uiPriority w:val="99"/>
    <w:qFormat/>
    <w:pPr>
      <w:spacing w:after="0" w:line="240" w:lineRule="auto"/>
    </w:pPr>
    <w:tblPr/>
  </w:style>
  <w:style w:type="table" w:styleId="1017" w:customStyle="1">
    <w:name w:val="Bordered - Accent 3"/>
    <w:uiPriority w:val="99"/>
    <w:qFormat/>
    <w:pPr>
      <w:spacing w:after="0" w:line="240" w:lineRule="auto"/>
    </w:pPr>
    <w:tblPr/>
  </w:style>
  <w:style w:type="table" w:styleId="1018" w:customStyle="1">
    <w:name w:val="Grid Table 5 Dark - Accent 6"/>
    <w:uiPriority w:val="99"/>
    <w:qFormat/>
    <w:pPr>
      <w:spacing w:after="0" w:line="240" w:lineRule="auto"/>
    </w:pPr>
    <w:tblPr/>
  </w:style>
  <w:style w:type="table" w:styleId="1019" w:customStyle="1">
    <w:name w:val="Lined - Accent 4"/>
    <w:uiPriority w:val="99"/>
    <w:qFormat/>
    <w:pPr>
      <w:spacing w:after="0" w:line="240" w:lineRule="auto"/>
    </w:pPr>
    <w:rPr>
      <w:color w:val="404040"/>
    </w:rPr>
    <w:tblPr/>
  </w:style>
  <w:style w:type="table" w:styleId="1020" w:customStyle="1">
    <w:name w:val="Grid Table 7 Colorful - Accent 4"/>
    <w:uiPriority w:val="99"/>
    <w:qFormat/>
    <w:pPr>
      <w:spacing w:after="0" w:line="240" w:lineRule="auto"/>
    </w:pPr>
    <w:tblPr/>
  </w:style>
  <w:style w:type="table" w:styleId="1021" w:customStyle="1">
    <w:name w:val="List Table 2 - Accent 5"/>
    <w:uiPriority w:val="99"/>
    <w:qFormat/>
    <w:pPr>
      <w:spacing w:after="0" w:line="240" w:lineRule="auto"/>
    </w:pPr>
    <w:tblPr/>
  </w:style>
  <w:style w:type="table" w:styleId="1022" w:customStyle="1">
    <w:name w:val="Grid Table 7 Colorful - Accent 5"/>
    <w:uiPriority w:val="99"/>
    <w:qFormat/>
    <w:pPr>
      <w:spacing w:after="0" w:line="240" w:lineRule="auto"/>
    </w:pPr>
    <w:tblPr/>
  </w:style>
  <w:style w:type="table" w:styleId="1023" w:customStyle="1">
    <w:name w:val="Lined - Accent 3"/>
    <w:uiPriority w:val="99"/>
    <w:qFormat/>
    <w:pPr>
      <w:spacing w:after="0" w:line="240" w:lineRule="auto"/>
    </w:pPr>
    <w:rPr>
      <w:color w:val="404040"/>
    </w:rPr>
    <w:tblPr/>
  </w:style>
  <w:style w:type="table" w:styleId="1024" w:customStyle="1">
    <w:name w:val="Grid Table 4 - Accent 4"/>
    <w:uiPriority w:val="59"/>
    <w:qFormat/>
    <w:pPr>
      <w:spacing w:after="0" w:line="240" w:lineRule="auto"/>
    </w:pPr>
    <w:tblPr/>
  </w:style>
  <w:style w:type="character" w:styleId="1025" w:customStyle="1">
    <w:name w:val="font101"/>
    <w:uiPriority w:val="0"/>
    <w:qFormat/>
    <w:rPr>
      <w:rFonts w:hint="default" w:ascii="Times New Roman" w:hAnsi="Times New Roman" w:cs="Times New Roman"/>
      <w:color w:val="000000"/>
      <w:sz w:val="20"/>
      <w:szCs w:val="20"/>
      <w:u w:val="none"/>
      <w:vertAlign w:val="subscript"/>
    </w:rPr>
  </w:style>
  <w:style w:type="character" w:styleId="1026" w:customStyle="1">
    <w:name w:val="font112"/>
    <w:uiPriority w:val="0"/>
    <w:qFormat/>
    <w:rPr>
      <w:rFonts w:hint="eastAsia" w:ascii="宋体" w:hAnsi="宋体" w:eastAsia="宋体" w:cs="宋体"/>
      <w:color w:val="000000"/>
      <w:sz w:val="20"/>
      <w:szCs w:val="20"/>
      <w:u w:val="none"/>
      <w:vertAlign w:val="subscript"/>
    </w:rPr>
  </w:style>
  <w:style w:type="character" w:styleId="1027" w:customStyle="1">
    <w:name w:val="font141"/>
    <w:uiPriority w:val="0"/>
    <w:qFormat/>
    <w:rPr>
      <w:rFonts w:hint="default" w:ascii="Times New Roman" w:hAnsi="Times New Roman" w:cs="Times New Roman"/>
      <w:color w:val="000000"/>
      <w:sz w:val="20"/>
      <w:szCs w:val="20"/>
      <w:u w:val="none"/>
      <w:vertAlign w:val="superscript"/>
    </w:rPr>
  </w:style>
  <w:style w:type="character" w:styleId="1028" w:customStyle="1">
    <w:name w:val="font171"/>
    <w:uiPriority w:val="0"/>
    <w:qFormat/>
    <w:rPr>
      <w:rFonts w:ascii="MingLiU-ExtB" w:hAnsi="MingLiU-ExtB" w:eastAsia="MingLiU-ExtB" w:cs="MingLiU-ExtB"/>
      <w:color w:val="000000"/>
      <w:sz w:val="20"/>
      <w:szCs w:val="20"/>
      <w:u w:val="none"/>
    </w:rPr>
  </w:style>
  <w:style w:type="character" w:styleId="1029" w:customStyle="1">
    <w:name w:val="font181"/>
    <w:uiPriority w:val="0"/>
    <w:qFormat/>
    <w:rPr>
      <w:rFonts w:ascii="Arial" w:hAnsi="Arial" w:cs="Arial"/>
      <w:color w:val="000000"/>
      <w:sz w:val="20"/>
      <w:szCs w:val="20"/>
      <w:u w:val="none"/>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U</dc:creator>
  <cp:lastModifiedBy>永明</cp:lastModifiedBy>
  <cp:revision>13</cp:revision>
  <dcterms:created xsi:type="dcterms:W3CDTF">2022-04-14T10:51:00Z</dcterms:created>
  <dcterms:modified xsi:type="dcterms:W3CDTF">2024-11-18T09:03:24Z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83EBD2CA6F9C401BB2754CCE65592D6D_12</vt:lpwstr>
  </property>
</Properties>
</file>