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ind w:firstLine="0"/>
        <w:rPr>
          <w:rFonts w:hint="eastAsia" w:eastAsia="黑体"/>
          <w:b/>
          <w:bCs/>
          <w:sz w:val="84"/>
        </w:rPr>
      </w:pPr>
      <w:r>
        <w:rPr>
          <w:rFonts w:hint="eastAsia" w:eastAsia="黑体"/>
          <w:b/>
          <w:bCs/>
          <w:sz w:val="84"/>
        </w:rPr>
      </w:r>
      <w:r/>
    </w:p>
    <w:p>
      <w:pPr>
        <w:pStyle w:val="939"/>
        <w:ind w:firstLine="0"/>
        <w:jc w:val="center"/>
        <w:rPr>
          <w:rFonts w:hint="eastAsia" w:eastAsia="黑体"/>
          <w:b/>
          <w:bCs/>
          <w:sz w:val="84"/>
        </w:rPr>
      </w:pPr>
      <w:r>
        <w:rPr>
          <w:rFonts w:hint="eastAsia" w:eastAsia="黑体"/>
          <w:b/>
          <w:bCs/>
          <w:sz w:val="84"/>
        </w:rPr>
        <w:t xml:space="preserve">招　标　文　件</w:t>
      </w:r>
      <w:r/>
    </w:p>
    <w:p>
      <w:pPr>
        <w:pStyle w:val="939"/>
        <w:rPr>
          <w:rFonts w:hint="eastAsia" w:ascii="Times New Roman" w:hAnsi="Times New Roman" w:eastAsia="宋体" w:cs="Times New Roman"/>
          <w:b/>
          <w:bCs/>
          <w:sz w:val="32"/>
          <w:szCs w:val="21"/>
          <w:lang w:val="en-US" w:eastAsia="zh-CN" w:bidi="ar-SA"/>
        </w:rPr>
      </w:pPr>
      <w:r>
        <w:rPr>
          <w:rFonts w:hint="eastAsia" w:ascii="Times New Roman" w:hAnsi="Times New Roman" w:eastAsia="宋体" w:cs="Times New Roman"/>
          <w:b/>
          <w:bCs/>
          <w:sz w:val="32"/>
          <w:szCs w:val="21"/>
          <w:lang w:val="en-US" w:eastAsia="zh-CN" w:bidi="ar-SA"/>
        </w:rPr>
      </w:r>
      <w:r/>
    </w:p>
    <w:p>
      <w:pPr>
        <w:pStyle w:val="939"/>
        <w:ind w:firstLine="1372"/>
        <w:rPr>
          <w:rFonts w:hint="eastAsia" w:ascii="Times New Roman" w:hAnsi="Times New Roman" w:eastAsia="宋体" w:cs="Times New Roman"/>
          <w:b/>
          <w:bCs/>
          <w:sz w:val="32"/>
          <w:szCs w:val="21"/>
          <w:lang w:val="en-US" w:eastAsia="zh-CN" w:bidi="ar-SA"/>
        </w:rPr>
      </w:pPr>
      <w:r>
        <w:rPr>
          <w:rFonts w:hint="eastAsia" w:ascii="Times New Roman" w:hAnsi="Times New Roman" w:eastAsia="宋体" w:cs="Times New Roman"/>
          <w:b/>
          <w:bCs/>
          <w:sz w:val="32"/>
          <w:szCs w:val="21"/>
          <w:lang w:val="en-US" w:eastAsia="zh-CN" w:bidi="ar-SA"/>
        </w:rPr>
        <w:t xml:space="preserve">项目名称： 南图互联网专线业务接入及服务 </w:t>
      </w:r>
      <w:r/>
    </w:p>
    <w:p>
      <w:pPr>
        <w:ind w:firstLine="1285"/>
        <w:rPr>
          <w:b/>
          <w:sz w:val="30"/>
          <w:szCs w:val="30"/>
        </w:rPr>
      </w:pPr>
      <w:r>
        <w:rPr>
          <w:rFonts w:hint="eastAsia" w:ascii="Times New Roman" w:hAnsi="Times New Roman" w:eastAsia="宋体" w:cs="Times New Roman"/>
          <w:b/>
          <w:bCs/>
          <w:sz w:val="32"/>
          <w:szCs w:val="21"/>
          <w:lang w:val="en-US" w:eastAsia="zh-CN" w:bidi="ar-SA"/>
        </w:rPr>
        <w:t xml:space="preserve">项目编号</w:t>
      </w:r>
      <w:r>
        <w:rPr>
          <w:rFonts w:hint="eastAsia" w:eastAsia="宋体" w:cs="Times New Roman"/>
          <w:b/>
          <w:bCs/>
          <w:sz w:val="32"/>
          <w:szCs w:val="21"/>
          <w:lang w:val="en-US" w:eastAsia="zh-CN" w:bidi="ar-SA"/>
        </w:rPr>
        <w:t xml:space="preserve">：</w:t>
      </w:r>
      <w:r>
        <w:rPr>
          <w:rFonts w:hint="eastAsia" w:ascii="Times New Roman" w:hAnsi="Times New Roman" w:eastAsia="宋体" w:cs="Times New Roman"/>
          <w:b/>
          <w:bCs/>
          <w:sz w:val="32"/>
          <w:szCs w:val="21"/>
          <w:lang w:val="en-US" w:eastAsia="zh-CN" w:bidi="ar-SA"/>
        </w:rPr>
        <w:t xml:space="preserve"> JSZC-320000-SCZX-G2025-0</w:t>
      </w:r>
      <w:r>
        <w:rPr>
          <w:rFonts w:hint="eastAsia" w:cs="Times New Roman"/>
          <w:b/>
          <w:bCs/>
          <w:sz w:val="32"/>
          <w:szCs w:val="21"/>
          <w:lang w:val="en-US" w:eastAsia="zh-CN" w:bidi="ar-SA"/>
        </w:rPr>
        <w:t xml:space="preserve">573</w:t>
      </w:r>
      <w:r>
        <w:rPr>
          <w:rFonts w:hint="eastAsia" w:ascii="Times New Roman" w:hAnsi="Times New Roman" w:eastAsia="宋体" w:cs="Times New Roman"/>
          <w:b/>
          <w:bCs/>
          <w:sz w:val="32"/>
          <w:szCs w:val="21"/>
          <w:lang w:val="en-US" w:eastAsia="zh-CN" w:bidi="ar-SA"/>
        </w:rPr>
        <w:t xml:space="preserve">  </w:t>
      </w:r>
      <w:r>
        <w:rPr>
          <w:rFonts w:hint="eastAsia"/>
          <w:b/>
          <w:sz w:val="30"/>
          <w:szCs w:val="30"/>
        </w:rPr>
        <w:t xml:space="preserve"> </w:t>
      </w:r>
      <w:r>
        <w:t xml:space="preserve">  </w:t>
      </w:r>
      <w:r>
        <w:rPr>
          <w:b/>
          <w:sz w:val="30"/>
          <w:szCs w:val="30"/>
        </w:rPr>
        <w:t xml:space="preserve"> </w:t>
      </w:r>
      <w:r/>
    </w:p>
    <w:p>
      <w:pPr>
        <w:pStyle w:val="939"/>
        <w:ind w:firstLine="0"/>
        <w:spacing w:before="0" w:after="0"/>
        <w:rPr>
          <w:rFonts w:hint="eastAsia" w:ascii="宋体" w:hAnsi="宋体"/>
        </w:rPr>
      </w:pPr>
      <w:r>
        <w:rPr>
          <w:rFonts w:hint="eastAsia" w:ascii="宋体" w:hAnsi="宋体"/>
        </w:rPr>
      </w:r>
      <w:r/>
    </w:p>
    <w:p>
      <w:pPr>
        <w:pStyle w:val="939"/>
        <w:ind w:firstLine="0"/>
        <w:spacing w:before="0" w:after="0"/>
        <w:rPr>
          <w:rFonts w:hint="eastAsia" w:ascii="宋体" w:hAnsi="宋体"/>
        </w:rPr>
      </w:pPr>
      <w:r>
        <w:rPr>
          <w:rFonts w:hint="eastAsia" w:ascii="宋体" w:hAnsi="宋体"/>
        </w:rPr>
      </w:r>
      <w:r/>
    </w:p>
    <w:p>
      <w:pPr>
        <w:pStyle w:val="939"/>
        <w:ind w:firstLine="0"/>
        <w:spacing w:before="0" w:after="0"/>
        <w:rPr>
          <w:rFonts w:hint="eastAsia" w:ascii="宋体" w:hAnsi="宋体"/>
        </w:rPr>
      </w:pPr>
      <w:r>
        <w:rPr>
          <w:rFonts w:hint="eastAsia" w:ascii="宋体" w:hAnsi="宋体"/>
        </w:rPr>
      </w:r>
      <w:r/>
    </w:p>
    <w:p>
      <w:pPr>
        <w:pStyle w:val="939"/>
        <w:ind w:firstLine="0"/>
        <w:spacing w:before="0" w:after="0"/>
        <w:rPr>
          <w:rFonts w:hint="eastAsia" w:ascii="宋体" w:hAnsi="宋体"/>
        </w:rPr>
      </w:pPr>
      <w:r>
        <w:rPr>
          <w:rFonts w:hint="eastAsia" w:ascii="宋体" w:hAnsi="宋体"/>
        </w:rPr>
      </w:r>
      <w:r/>
    </w:p>
    <w:p>
      <w:pPr>
        <w:pStyle w:val="939"/>
        <w:ind w:firstLine="0"/>
        <w:spacing w:before="0" w:after="0"/>
        <w:rPr>
          <w:rFonts w:hint="eastAsia" w:ascii="宋体" w:hAnsi="宋体"/>
        </w:rPr>
      </w:pPr>
      <w:r>
        <w:rPr>
          <w:rFonts w:hint="eastAsia" w:ascii="宋体" w:hAnsi="宋体"/>
        </w:rPr>
      </w:r>
      <w:r/>
    </w:p>
    <w:p>
      <w:pPr>
        <w:pStyle w:val="939"/>
        <w:ind w:firstLine="0"/>
        <w:spacing w:before="0" w:after="0"/>
        <w:rPr>
          <w:rFonts w:hint="eastAsia" w:ascii="宋体" w:hAnsi="宋体"/>
        </w:rPr>
      </w:pPr>
      <w:r>
        <w:rPr>
          <w:rFonts w:hint="eastAsia" w:ascii="宋体" w:hAnsi="宋体"/>
        </w:rPr>
      </w:r>
      <w:r/>
    </w:p>
    <w:p>
      <w:pPr>
        <w:pStyle w:val="939"/>
        <w:ind w:firstLine="0"/>
        <w:spacing w:before="0" w:after="0"/>
        <w:rPr>
          <w:rFonts w:hint="eastAsia" w:ascii="宋体" w:hAnsi="宋体"/>
        </w:rPr>
      </w:pPr>
      <w:r>
        <w:rPr>
          <w:rFonts w:hint="eastAsia" w:ascii="宋体" w:hAnsi="宋体"/>
        </w:rPr>
      </w:r>
      <w:r/>
    </w:p>
    <w:p>
      <w:pPr>
        <w:pStyle w:val="939"/>
        <w:ind w:firstLine="0"/>
        <w:jc w:val="center"/>
        <w:rPr>
          <w:rFonts w:hint="eastAsia"/>
          <w:b/>
          <w:bCs/>
          <w:sz w:val="32"/>
        </w:rPr>
      </w:pPr>
      <w:r>
        <w:rPr>
          <w:rFonts w:hint="eastAsia"/>
          <w:b/>
          <w:bCs/>
          <w:sz w:val="32"/>
        </w:rPr>
        <w:t xml:space="preserve">江苏省政府采购中心</w:t>
      </w:r>
      <w:r/>
    </w:p>
    <w:p>
      <w:pPr>
        <w:pStyle w:val="939"/>
        <w:ind w:firstLine="0"/>
        <w:jc w:val="center"/>
        <w:rPr>
          <w:rFonts w:hint="eastAsia"/>
          <w:b/>
          <w:bCs/>
          <w:sz w:val="32"/>
        </w:rPr>
      </w:pPr>
      <w:r>
        <w:rPr>
          <w:rFonts w:hint="eastAsia"/>
          <w:b/>
          <w:bCs/>
          <w:sz w:val="32"/>
          <w:lang w:val="en-US" w:eastAsia="zh-CN"/>
        </w:rPr>
        <w:t xml:space="preserve">2025</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p>
    <w:p>
      <w:pPr>
        <w:pStyle w:val="939"/>
        <w:ind w:firstLine="0"/>
        <w:rPr>
          <w:rFonts w:hint="eastAsia"/>
          <w:u w:val="single"/>
        </w:rPr>
      </w:pPr>
      <w:r>
        <w:rPr>
          <w:rFonts w:hint="eastAsia"/>
        </w:rPr>
        <w:t xml:space="preserve">                        </w:t>
      </w:r>
      <w:r/>
    </w:p>
    <w:p>
      <w:pPr>
        <w:pStyle w:val="939"/>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7</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19</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32</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5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受南京图书馆的委托，江苏省政府采购中心就南图互联网专线业务接入及服务</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JSZC-320000-SCZX-G2025-</w:t>
      </w:r>
      <w:r>
        <w:rPr>
          <w:rFonts w:hint="eastAsia" w:ascii="宋体" w:hAnsi="宋体" w:eastAsia="宋体" w:cs="Times New Roman"/>
          <w:sz w:val="24"/>
          <w:szCs w:val="24"/>
          <w:lang w:val="en-US" w:eastAsia="zh-CN"/>
        </w:rPr>
        <w:t xml:space="preserve">0</w:t>
      </w:r>
      <w:r>
        <w:rPr>
          <w:rFonts w:hint="eastAsia" w:ascii="宋体" w:hAnsi="宋体" w:cs="Times New Roman"/>
          <w:sz w:val="24"/>
          <w:szCs w:val="24"/>
          <w:lang w:val="en-US" w:eastAsia="zh-CN"/>
        </w:rPr>
        <w:t xml:space="preserve">573</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rPr>
        <w:t xml:space="preserve">南图互联网专线业务接入及服务项目的潜在</w:t>
      </w:r>
      <w:r>
        <w:rPr>
          <w:rFonts w:hint="eastAsia" w:ascii="宋体" w:hAnsi="宋体"/>
          <w:sz w:val="24"/>
          <w:szCs w:val="24"/>
        </w:rPr>
        <w:t xml:space="preserve">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2025</w:t>
      </w:r>
      <w:r>
        <w:rPr>
          <w:rFonts w:ascii="宋体" w:hAnsi="宋体"/>
          <w:sz w:val="24"/>
          <w:szCs w:val="24"/>
          <w:u w:val="single"/>
        </w:rPr>
        <w:t xml:space="preserve">  </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11 </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7 </w:t>
      </w:r>
      <w:r>
        <w:rPr>
          <w:rFonts w:hint="eastAsia" w:ascii="宋体" w:hAnsi="宋体"/>
          <w:bCs/>
          <w:sz w:val="24"/>
          <w:szCs w:val="24"/>
          <w:u w:val="single"/>
        </w:rPr>
        <w:t xml:space="preserve"> 日  9</w:t>
      </w:r>
      <w:r>
        <w:rPr>
          <w:rFonts w:hint="eastAsia" w:ascii="宋体" w:hAnsi="宋体"/>
          <w:bCs/>
          <w:sz w:val="24"/>
          <w:szCs w:val="24"/>
          <w:u w:val="single"/>
          <w:lang w:val="en-US" w:eastAsia="zh-CN"/>
        </w:rPr>
        <w:t xml:space="preserve"> </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 30</w:t>
      </w:r>
      <w:r>
        <w:rPr>
          <w:rFonts w:hint="eastAsia" w:ascii="宋体" w:hAnsi="宋体"/>
          <w:bCs/>
          <w:sz w:val="24"/>
          <w:szCs w:val="24"/>
          <w:u w:val="single"/>
        </w:rPr>
        <w:t xml:space="preserve">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56"/>
        <w:ind w:firstLine="498"/>
        <w:spacing w:before="145" w:after="145" w:line="400" w:lineRule="exact"/>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hint="default" w:ascii="宋体" w:hAnsi="宋体" w:eastAsia="宋体" w:cs="Times New Roman"/>
          <w:sz w:val="24"/>
          <w:szCs w:val="24"/>
          <w:lang w:val="en-US"/>
        </w:rPr>
      </w:pPr>
      <w:r>
        <w:rPr>
          <w:rFonts w:hint="eastAsia" w:ascii="宋体" w:hAnsi="宋体"/>
          <w:sz w:val="24"/>
          <w:szCs w:val="24"/>
        </w:rPr>
        <w:t xml:space="preserve">1.</w:t>
      </w:r>
      <w:r>
        <w:rPr>
          <w:rFonts w:hint="eastAsia" w:ascii="宋体" w:hAnsi="宋体" w:eastAsia="宋体" w:cs="Times New Roman"/>
          <w:sz w:val="24"/>
          <w:szCs w:val="24"/>
        </w:rPr>
        <w:t xml:space="preserve">项目编号：JSZC-320000-SCZX-G2025-</w:t>
      </w:r>
      <w:r>
        <w:rPr>
          <w:rFonts w:hint="eastAsia" w:ascii="宋体" w:hAnsi="宋体" w:eastAsia="宋体" w:cs="Times New Roman"/>
          <w:sz w:val="24"/>
          <w:szCs w:val="24"/>
          <w:lang w:val="en-US" w:eastAsia="zh-CN"/>
        </w:rPr>
        <w:t xml:space="preserve">0</w:t>
      </w:r>
      <w:r>
        <w:rPr>
          <w:rFonts w:hint="eastAsia" w:ascii="宋体" w:hAnsi="宋体" w:cs="Times New Roman"/>
          <w:sz w:val="24"/>
          <w:szCs w:val="24"/>
          <w:lang w:val="en-US" w:eastAsia="zh-CN"/>
        </w:rPr>
        <w:t xml:space="preserve">573</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2.项目名称：南图互联网专线业务接入及服务 </w:t>
      </w:r>
      <w:bookmarkEnd w:id="11"/>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color w:val="000000"/>
                <w:highlight w:val="none"/>
              </w:rPr>
            </w:pPr>
            <w:r>
              <w:rPr>
                <w:rFonts w:hint="eastAsia" w:ascii="宋体" w:hAnsi="宋体"/>
                <w:color w:val="000000"/>
                <w:highlight w:val="none"/>
              </w:rPr>
              <w:t xml:space="preserve">采购包号</w:t>
            </w:r>
            <w:r/>
          </w:p>
        </w:tc>
        <w:tc>
          <w:tcPr>
            <w:tcW w:w="2800" w:type="dxa"/>
            <w:vAlign w:val="top"/>
            <w:textDirection w:val="lrTb"/>
            <w:noWrap w:val="false"/>
          </w:tcPr>
          <w:p>
            <w:pPr>
              <w:jc w:val="center"/>
              <w:spacing w:line="400" w:lineRule="exact"/>
              <w:rPr>
                <w:rFonts w:hint="eastAsia" w:ascii="宋体" w:hAnsi="宋体"/>
                <w:color w:val="000000"/>
                <w:highlight w:val="none"/>
              </w:rPr>
            </w:pPr>
            <w:r>
              <w:rPr>
                <w:rFonts w:hint="eastAsia" w:ascii="宋体" w:hAnsi="宋体"/>
                <w:color w:val="000000"/>
                <w:highlight w:val="none"/>
              </w:rPr>
              <w:t xml:space="preserve">预算</w:t>
            </w:r>
            <w:r>
              <w:rPr>
                <w:rFonts w:ascii="宋体" w:hAnsi="宋体"/>
                <w:color w:val="000000"/>
                <w:highlight w:val="none"/>
              </w:rPr>
              <w:t xml:space="preserve">金额</w:t>
            </w:r>
            <w:r>
              <w:rPr>
                <w:rFonts w:hint="eastAsia" w:ascii="宋体" w:hAnsi="宋体"/>
                <w:color w:val="000000"/>
                <w:highlight w:val="none"/>
              </w:rPr>
              <w:t xml:space="preserve">（人民币</w:t>
            </w:r>
            <w:r>
              <w:rPr>
                <w:rFonts w:ascii="宋体" w:hAnsi="宋体"/>
                <w:color w:val="000000"/>
                <w:highlight w:val="none"/>
              </w:rPr>
              <w:t xml:space="preserve">：万元</w:t>
            </w:r>
            <w:r>
              <w:rPr>
                <w:rFonts w:hint="eastAsia" w:ascii="宋体" w:hAnsi="宋体"/>
                <w:color w:val="000000"/>
                <w:highlight w:val="none"/>
              </w:rPr>
              <w:t xml:space="preserve">）</w:t>
            </w:r>
            <w:r/>
          </w:p>
        </w:tc>
      </w:tr>
      <w:tr>
        <w:trPr/>
        <w:tc>
          <w:tcPr>
            <w:tcW w:w="1148" w:type="dxa"/>
            <w:vAlign w:val="top"/>
            <w:textDirection w:val="lrTb"/>
            <w:noWrap w:val="false"/>
          </w:tcPr>
          <w:p>
            <w:pPr>
              <w:jc w:val="center"/>
              <w:spacing w:line="400" w:lineRule="exact"/>
              <w:rPr>
                <w:rFonts w:ascii="宋体" w:hAnsi="宋体"/>
                <w:color w:val="000000"/>
                <w:highlight w:val="none"/>
              </w:rPr>
            </w:pPr>
            <w:r>
              <w:rPr>
                <w:rFonts w:hint="eastAsia" w:ascii="宋体" w:hAnsi="宋体"/>
                <w:color w:val="000000"/>
                <w:highlight w:val="none"/>
              </w:rPr>
              <w:t xml:space="preserve">1</w:t>
            </w:r>
            <w:r/>
          </w:p>
        </w:tc>
        <w:tc>
          <w:tcPr>
            <w:tcW w:w="2800" w:type="dxa"/>
            <w:vAlign w:val="top"/>
            <w:textDirection w:val="lrTb"/>
            <w:noWrap w:val="false"/>
          </w:tcPr>
          <w:p>
            <w:pPr>
              <w:jc w:val="center"/>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37万/年</w:t>
            </w:r>
            <w:r/>
          </w:p>
        </w:tc>
      </w:tr>
      <w:tr>
        <w:trPr/>
        <w:tc>
          <w:tcPr>
            <w:tcW w:w="1148" w:type="dxa"/>
            <w:vAlign w:val="top"/>
            <w:textDirection w:val="lrTb"/>
            <w:noWrap w:val="false"/>
          </w:tcPr>
          <w:p>
            <w:pPr>
              <w:jc w:val="center"/>
              <w:spacing w:line="400" w:lineRule="exact"/>
              <w:rPr>
                <w:rFonts w:ascii="宋体" w:hAnsi="宋体"/>
                <w:color w:val="000000"/>
                <w:highlight w:val="none"/>
              </w:rPr>
            </w:pPr>
            <w:r>
              <w:rPr>
                <w:rFonts w:hint="eastAsia" w:ascii="宋体" w:hAnsi="宋体"/>
                <w:color w:val="000000"/>
                <w:highlight w:val="none"/>
              </w:rPr>
              <w:t xml:space="preserve">2</w:t>
            </w:r>
            <w:r/>
          </w:p>
        </w:tc>
        <w:tc>
          <w:tcPr>
            <w:tcW w:w="2800" w:type="dxa"/>
            <w:vAlign w:val="top"/>
            <w:textDirection w:val="lrTb"/>
            <w:noWrap w:val="false"/>
          </w:tcPr>
          <w:p>
            <w:pPr>
              <w:jc w:val="center"/>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45万/年</w:t>
            </w:r>
            <w:r/>
          </w:p>
        </w:tc>
      </w:tr>
    </w:tbl>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jc w:val="center"/>
              <w:spacing w:line="400" w:lineRule="exact"/>
              <w:rPr>
                <w:rFonts w:hint="eastAsia" w:ascii="宋体" w:hAnsi="宋体"/>
                <w:color w:val="000000"/>
                <w:highlight w:val="none"/>
              </w:rPr>
            </w:pPr>
            <w:r>
              <w:rPr>
                <w:rFonts w:hint="eastAsia" w:ascii="宋体" w:hAnsi="宋体"/>
                <w:color w:val="000000"/>
                <w:highlight w:val="none"/>
              </w:rPr>
              <w:t xml:space="preserve">采购包号</w:t>
            </w:r>
            <w:r/>
          </w:p>
        </w:tc>
        <w:tc>
          <w:tcPr>
            <w:tcW w:w="3135" w:type="dxa"/>
            <w:vAlign w:val="top"/>
            <w:textDirection w:val="lrTb"/>
            <w:noWrap w:val="false"/>
          </w:tcPr>
          <w:p>
            <w:pPr>
              <w:jc w:val="center"/>
              <w:spacing w:line="400" w:lineRule="exact"/>
              <w:rPr>
                <w:rFonts w:hint="eastAsia" w:ascii="宋体" w:hAnsi="宋体"/>
                <w:color w:val="000000"/>
                <w:highlight w:val="none"/>
              </w:rPr>
            </w:pPr>
            <w:r>
              <w:rPr>
                <w:rFonts w:hint="eastAsia" w:ascii="宋体" w:hAnsi="宋体"/>
                <w:color w:val="000000"/>
                <w:highlight w:val="none"/>
              </w:rPr>
              <w:t xml:space="preserve">最高</w:t>
            </w:r>
            <w:r>
              <w:rPr>
                <w:rFonts w:ascii="宋体" w:hAnsi="宋体"/>
                <w:color w:val="000000"/>
                <w:highlight w:val="none"/>
              </w:rPr>
              <w:t xml:space="preserve">限价</w:t>
            </w:r>
            <w:r>
              <w:rPr>
                <w:rFonts w:hint="eastAsia" w:ascii="宋体" w:hAnsi="宋体"/>
                <w:color w:val="000000"/>
                <w:highlight w:val="none"/>
              </w:rPr>
              <w:t xml:space="preserve">（人民币</w:t>
            </w:r>
            <w:r>
              <w:rPr>
                <w:rFonts w:ascii="宋体" w:hAnsi="宋体"/>
                <w:color w:val="000000"/>
                <w:highlight w:val="none"/>
              </w:rPr>
              <w:t xml:space="preserve">：万元</w:t>
            </w:r>
            <w:r>
              <w:rPr>
                <w:rFonts w:hint="eastAsia" w:ascii="宋体" w:hAnsi="宋体"/>
                <w:color w:val="000000"/>
                <w:highlight w:val="none"/>
              </w:rPr>
              <w:t xml:space="preserve">）</w:t>
            </w:r>
            <w:r/>
          </w:p>
        </w:tc>
      </w:tr>
      <w:tr>
        <w:trPr/>
        <w:tc>
          <w:tcPr>
            <w:tcW w:w="1148" w:type="dxa"/>
            <w:vAlign w:val="top"/>
            <w:textDirection w:val="lrTb"/>
            <w:noWrap w:val="false"/>
          </w:tcPr>
          <w:p>
            <w:pPr>
              <w:jc w:val="center"/>
              <w:spacing w:line="400" w:lineRule="exact"/>
              <w:rPr>
                <w:rFonts w:ascii="宋体" w:hAnsi="宋体"/>
                <w:color w:val="000000"/>
                <w:highlight w:val="none"/>
              </w:rPr>
            </w:pPr>
            <w:r>
              <w:rPr>
                <w:rFonts w:hint="eastAsia" w:ascii="宋体" w:hAnsi="宋体"/>
                <w:color w:val="000000"/>
                <w:highlight w:val="none"/>
              </w:rPr>
              <w:t xml:space="preserve">1</w:t>
            </w:r>
            <w:r/>
          </w:p>
        </w:tc>
        <w:tc>
          <w:tcPr>
            <w:tcW w:w="3135" w:type="dxa"/>
            <w:vAlign w:val="top"/>
            <w:textDirection w:val="lrTb"/>
            <w:noWrap w:val="false"/>
          </w:tcPr>
          <w:p>
            <w:pPr>
              <w:jc w:val="center"/>
              <w:spacing w:line="400" w:lineRule="exact"/>
              <w:rPr>
                <w:rFonts w:ascii="宋体" w:hAnsi="宋体"/>
                <w:color w:val="000000"/>
                <w:highlight w:val="none"/>
                <w:lang w:val="en-US"/>
              </w:rPr>
            </w:pPr>
            <w:r>
              <w:rPr>
                <w:rFonts w:hint="eastAsia" w:ascii="宋体" w:hAnsi="宋体" w:eastAsia="宋体" w:cs="宋体"/>
                <w:color w:val="000000"/>
                <w:szCs w:val="21"/>
                <w:highlight w:val="none"/>
                <w:lang w:val="en-US" w:eastAsia="zh-CN"/>
              </w:rPr>
              <w:t xml:space="preserve">35万/年</w:t>
            </w:r>
            <w:r/>
          </w:p>
        </w:tc>
      </w:tr>
      <w:tr>
        <w:trPr/>
        <w:tc>
          <w:tcPr>
            <w:tcW w:w="1148" w:type="dxa"/>
            <w:vAlign w:val="top"/>
            <w:textDirection w:val="lrTb"/>
            <w:noWrap w:val="false"/>
          </w:tcPr>
          <w:p>
            <w:pPr>
              <w:jc w:val="center"/>
              <w:spacing w:line="400" w:lineRule="exact"/>
              <w:rPr>
                <w:rFonts w:ascii="宋体" w:hAnsi="宋体"/>
                <w:color w:val="000000"/>
                <w:highlight w:val="none"/>
              </w:rPr>
            </w:pPr>
            <w:r>
              <w:rPr>
                <w:rFonts w:hint="eastAsia" w:ascii="宋体" w:hAnsi="宋体"/>
                <w:color w:val="000000"/>
                <w:highlight w:val="none"/>
              </w:rPr>
              <w:t xml:space="preserve">2</w:t>
            </w:r>
            <w:r/>
          </w:p>
        </w:tc>
        <w:tc>
          <w:tcPr>
            <w:tcW w:w="3135" w:type="dxa"/>
            <w:vAlign w:val="top"/>
            <w:textDirection w:val="lrTb"/>
            <w:noWrap w:val="false"/>
          </w:tcPr>
          <w:p>
            <w:pPr>
              <w:jc w:val="center"/>
              <w:spacing w:line="400" w:lineRule="exact"/>
              <w:rPr>
                <w:rFonts w:ascii="宋体" w:hAnsi="宋体"/>
                <w:color w:val="000000"/>
                <w:highlight w:val="none"/>
                <w:lang w:val="en-US"/>
              </w:rPr>
            </w:pPr>
            <w:r>
              <w:rPr>
                <w:rFonts w:hint="eastAsia" w:ascii="宋体" w:hAnsi="宋体" w:cs="宋体"/>
                <w:color w:val="000000"/>
                <w:szCs w:val="21"/>
                <w:highlight w:val="none"/>
                <w:lang w:val="en-US" w:eastAsia="zh-CN"/>
              </w:rPr>
              <w:t xml:space="preserve">43万/年</w:t>
            </w:r>
            <w:r/>
          </w:p>
        </w:tc>
      </w:tr>
    </w:tbl>
    <w:p>
      <w:pPr>
        <w:numPr>
          <w:ilvl w:val="0"/>
          <w:numId w:val="5"/>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w:t>
      </w:r>
      <w:r/>
    </w:p>
    <w:p>
      <w:pPr>
        <w:ind w:firstLine="48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本项目实行“‌一采三年‌”模式（即通过一次采购确定三年服务供应商），‌合同执行采用“一年一签”的方式。</w:t>
      </w:r>
      <w:r/>
    </w:p>
    <w:p>
      <w:pPr>
        <w:ind w:firstLine="48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分包一：南京图书馆大行宫馆区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中山东路189号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1000M互联网专线宽带接入服务以及150个互联网IP地址及安全服务。专线宽带主要用于南图网站系统、南图ALEPH500等核心业务系统、南图数字图书馆系统、南图馆外70多家流通服务点自助借还书系统等130多个业务系统互联网接入服务、读者有线以及办公等互联网接入服务，安全服务包含DDoS攻击防护服务以及漏洞扫描等服务。</w:t>
      </w:r>
      <w:r/>
    </w:p>
    <w:p>
      <w:pPr>
        <w:ind w:firstLine="48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分包二：</w:t>
      </w:r>
      <w:r>
        <w:rPr>
          <w:rFonts w:hint="eastAsia" w:ascii="宋体" w:hAnsi="宋体" w:eastAsia="宋体" w:cs="宋体"/>
          <w:color w:val="000000"/>
          <w:sz w:val="24"/>
          <w:szCs w:val="24"/>
          <w:highlight w:val="none"/>
        </w:rPr>
        <w:t xml:space="preserve">南京图书馆大行宫新馆（中山东路189号）1000M互联网备用专线宽带接入服务以及100个互联网IP地址及安全服务；南京图书馆成贤街老馆（成贤街66号）1000M互联网专线宽带接入服务以及10个互联网IP地址及安全服务。新馆宽带主要用于新馆无线网服务、江苏省公共数字文化相关系统互联网接入服务以及新馆130多个业务系统备用冗余宽带专线接入服务。安全服务包含DDoS攻击防护服务以及漏洞扫描等服务。成贤街老馆宽带主要用于老馆400万册典藏图书管理和文献数字化加工等业务。</w:t>
      </w:r>
      <w:r>
        <w:rPr>
          <w:rFonts w:hint="eastAsia" w:ascii="宋体" w:hAnsi="宋体" w:eastAsia="宋体" w:cs="宋体"/>
          <w:color w:val="000000"/>
          <w:sz w:val="24"/>
          <w:szCs w:val="24"/>
          <w:highlight w:val="none"/>
          <w:lang w:val="en-US" w:eastAsia="zh-CN"/>
        </w:rPr>
        <w:t xml:space="preserve"> </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（详细内容见本招标文件第四章）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6.合同履行期限：自宽带接入使用之日起</w:t>
      </w:r>
      <w:r>
        <w:rPr>
          <w:rFonts w:hint="eastAsia" w:ascii="宋体" w:hAnsi="宋体"/>
          <w:color w:val="000000"/>
          <w:sz w:val="24"/>
          <w:szCs w:val="24"/>
          <w:lang w:val="en-US" w:eastAsia="zh-CN"/>
        </w:rPr>
        <w:t xml:space="preserve">三</w:t>
      </w:r>
      <w:r>
        <w:rPr>
          <w:rFonts w:hint="eastAsia" w:ascii="宋体" w:hAnsi="宋体"/>
          <w:color w:val="000000"/>
          <w:sz w:val="24"/>
          <w:szCs w:val="24"/>
        </w:rPr>
        <w:t xml:space="preserve">年。</w:t>
      </w:r>
      <w:r/>
    </w:p>
    <w:p>
      <w:pPr>
        <w:pStyle w:val="856"/>
        <w:ind w:firstLine="498"/>
        <w:spacing w:before="145" w:after="145" w:line="400" w:lineRule="exact"/>
      </w:pPr>
      <w:r/>
      <w:bookmarkStart w:id="12" w:name="_Toc35393622"/>
      <w:r/>
      <w:bookmarkStart w:id="13" w:name="_Toc28359003"/>
      <w:r/>
      <w:bookmarkStart w:id="14" w:name="_Toc38985264"/>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28359081"/>
      <w:r/>
      <w:bookmarkStart w:id="18" w:name="_Toc35393623"/>
      <w:r/>
      <w:bookmarkStart w:id="19" w:name="_Toc35393792"/>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ff"/>
          <w:sz w:val="24"/>
          <w:szCs w:val="24"/>
          <w:highlight w:val="none"/>
        </w:rPr>
      </w:pPr>
      <w:r>
        <w:rPr>
          <w:rFonts w:hint="eastAsia" w:ascii="宋体" w:hAnsi="宋体"/>
          <w:sz w:val="24"/>
          <w:szCs w:val="24"/>
        </w:rPr>
        <w:t xml:space="preserve">3.落实政府采购政策需满足的资格要求：无</w:t>
      </w:r>
      <w:r/>
    </w:p>
    <w:p>
      <w:pPr>
        <w:ind w:firstLine="480"/>
        <w:spacing w:line="400" w:lineRule="exact"/>
        <w:rPr>
          <w:rFonts w:ascii="宋体" w:hAnsi="宋体"/>
          <w:color w:val="0000ff"/>
          <w:sz w:val="24"/>
          <w:szCs w:val="24"/>
          <w:highlight w:val="none"/>
        </w:rPr>
      </w:pPr>
      <w:r>
        <w:rPr>
          <w:rFonts w:hint="eastAsia" w:ascii="宋体" w:hAnsi="宋体"/>
          <w:color w:val="0000ff"/>
          <w:sz w:val="24"/>
          <w:szCs w:val="24"/>
          <w:highlight w:val="none"/>
        </w:rPr>
        <w:t xml:space="preserve">4.联合</w:t>
      </w:r>
      <w:r>
        <w:rPr>
          <w:rFonts w:ascii="宋体" w:hAnsi="宋体"/>
          <w:color w:val="0000ff"/>
          <w:sz w:val="24"/>
          <w:szCs w:val="24"/>
          <w:highlight w:val="none"/>
        </w:rPr>
        <w:t xml:space="preserve">体投标</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tblGrid>
      <w:tr>
        <w:trPr/>
        <w:tc>
          <w:tcPr>
            <w:tcW w:w="1148" w:type="dxa"/>
            <w:vAlign w:val="top"/>
            <w:textDirection w:val="lrTb"/>
            <w:noWrap w:val="false"/>
          </w:tcPr>
          <w:p>
            <w:pPr>
              <w:jc w:val="center"/>
              <w:spacing w:line="400" w:lineRule="exact"/>
              <w:rPr>
                <w:rFonts w:hint="eastAsia" w:ascii="宋体" w:hAnsi="宋体"/>
                <w:color w:val="0000ff"/>
                <w:highlight w:val="none"/>
              </w:rPr>
            </w:pPr>
            <w:r>
              <w:rPr>
                <w:rFonts w:hint="eastAsia" w:ascii="宋体" w:hAnsi="宋体"/>
                <w:color w:val="0000ff"/>
                <w:highlight w:val="none"/>
              </w:rPr>
              <w:t xml:space="preserve">采购包号</w:t>
            </w:r>
            <w:r/>
          </w:p>
        </w:tc>
        <w:tc>
          <w:tcPr>
            <w:tcW w:w="2968" w:type="dxa"/>
            <w:vAlign w:val="top"/>
            <w:textDirection w:val="lrTb"/>
            <w:noWrap w:val="false"/>
          </w:tcPr>
          <w:p>
            <w:pPr>
              <w:jc w:val="center"/>
              <w:spacing w:line="400" w:lineRule="exact"/>
              <w:rPr>
                <w:rFonts w:hint="eastAsia" w:ascii="宋体" w:hAnsi="宋体"/>
                <w:color w:val="0000ff"/>
                <w:highlight w:val="none"/>
              </w:rPr>
            </w:pPr>
            <w:r>
              <w:rPr>
                <w:rFonts w:hint="eastAsia" w:ascii="宋体" w:hAnsi="宋体"/>
                <w:color w:val="0000ff"/>
                <w:highlight w:val="none"/>
              </w:rPr>
              <w:t xml:space="preserve">是否接受联合体</w:t>
            </w:r>
            <w:r>
              <w:rPr>
                <w:rFonts w:ascii="宋体" w:hAnsi="宋体"/>
                <w:color w:val="0000ff"/>
                <w:highlight w:val="none"/>
              </w:rPr>
              <w:t xml:space="preserve">投标（</w:t>
            </w:r>
            <w:r>
              <w:rPr>
                <w:rFonts w:hint="eastAsia" w:ascii="宋体" w:hAnsi="宋体"/>
                <w:color w:val="0000ff"/>
                <w:highlight w:val="none"/>
              </w:rPr>
              <w:t xml:space="preserve">是/否</w:t>
            </w:r>
            <w:r>
              <w:rPr>
                <w:rFonts w:ascii="宋体" w:hAnsi="宋体"/>
                <w:color w:val="0000ff"/>
                <w:highlight w:val="none"/>
              </w:rPr>
              <w:t xml:space="preserve">）</w:t>
            </w:r>
            <w:r/>
          </w:p>
        </w:tc>
      </w:tr>
      <w:tr>
        <w:trPr/>
        <w:tc>
          <w:tcPr>
            <w:tcW w:w="1148" w:type="dxa"/>
            <w:vAlign w:val="top"/>
            <w:textDirection w:val="lrTb"/>
            <w:noWrap w:val="false"/>
          </w:tcPr>
          <w:p>
            <w:pPr>
              <w:jc w:val="center"/>
              <w:spacing w:line="400" w:lineRule="exact"/>
              <w:rPr>
                <w:rFonts w:ascii="宋体" w:hAnsi="宋体" w:eastAsia="宋体"/>
                <w:color w:val="0000ff"/>
                <w:highlight w:val="none"/>
                <w:lang w:val="en-US" w:eastAsia="zh-CN"/>
              </w:rPr>
            </w:pPr>
            <w:r>
              <w:rPr>
                <w:rFonts w:hint="eastAsia" w:ascii="宋体" w:hAnsi="宋体"/>
                <w:color w:val="0000ff"/>
                <w:highlight w:val="none"/>
              </w:rPr>
              <w:t xml:space="preserve">1</w:t>
            </w:r>
            <w:r/>
          </w:p>
        </w:tc>
        <w:tc>
          <w:tcPr>
            <w:tcW w:w="2968" w:type="dxa"/>
            <w:vAlign w:val="top"/>
            <w:textDirection w:val="lrTb"/>
            <w:noWrap w:val="false"/>
          </w:tcPr>
          <w:p>
            <w:pPr>
              <w:jc w:val="center"/>
              <w:spacing w:line="400" w:lineRule="exact"/>
              <w:rPr>
                <w:rFonts w:ascii="宋体" w:hAnsi="宋体"/>
                <w:color w:val="0000ff"/>
                <w:highlight w:val="none"/>
              </w:rPr>
            </w:pPr>
            <w:r>
              <w:rPr>
                <w:rFonts w:hint="eastAsia" w:ascii="宋体" w:hAnsi="宋体"/>
                <w:color w:val="0000ff"/>
                <w:highlight w:val="none"/>
              </w:rPr>
              <w:t xml:space="preserve">否</w:t>
            </w:r>
            <w:r/>
          </w:p>
        </w:tc>
      </w:tr>
      <w:tr>
        <w:trPr/>
        <w:tc>
          <w:tcPr>
            <w:tcW w:w="1148" w:type="dxa"/>
            <w:vAlign w:val="top"/>
            <w:textDirection w:val="lrTb"/>
            <w:noWrap w:val="false"/>
          </w:tcPr>
          <w:p>
            <w:pPr>
              <w:jc w:val="center"/>
              <w:spacing w:line="400" w:lineRule="exact"/>
              <w:rPr>
                <w:rFonts w:hint="eastAsia" w:ascii="宋体" w:hAnsi="宋体" w:eastAsia="宋体"/>
                <w:color w:val="0000ff"/>
                <w:highlight w:val="none"/>
                <w:lang w:val="en-US" w:eastAsia="zh-CN"/>
              </w:rPr>
            </w:pPr>
            <w:r>
              <w:rPr>
                <w:rFonts w:hint="eastAsia" w:ascii="宋体" w:hAnsi="宋体"/>
                <w:color w:val="0000ff"/>
                <w:highlight w:val="none"/>
                <w:lang w:val="en-US" w:eastAsia="zh-CN"/>
              </w:rPr>
              <w:t xml:space="preserve">2</w:t>
            </w:r>
            <w:r/>
          </w:p>
        </w:tc>
        <w:tc>
          <w:tcPr>
            <w:tcW w:w="2968" w:type="dxa"/>
            <w:vAlign w:val="top"/>
            <w:textDirection w:val="lrTb"/>
            <w:noWrap w:val="false"/>
          </w:tcPr>
          <w:p>
            <w:pPr>
              <w:jc w:val="center"/>
              <w:spacing w:line="400" w:lineRule="exact"/>
              <w:rPr>
                <w:rFonts w:hint="eastAsia" w:ascii="宋体" w:hAnsi="宋体" w:eastAsia="宋体"/>
                <w:color w:val="0000ff"/>
                <w:highlight w:val="none"/>
                <w:lang w:eastAsia="zh-CN"/>
              </w:rPr>
            </w:pPr>
            <w:r>
              <w:rPr>
                <w:rFonts w:hint="eastAsia" w:ascii="宋体" w:hAnsi="宋体"/>
                <w:color w:val="0000ff"/>
                <w:highlight w:val="none"/>
                <w:lang w:eastAsia="zh-CN"/>
              </w:rPr>
              <w:t xml:space="preserve">否</w:t>
            </w:r>
            <w:r/>
          </w:p>
        </w:tc>
      </w:tr>
    </w:tbl>
    <w:p>
      <w:pPr>
        <w:ind w:firstLine="480"/>
        <w:spacing w:line="400" w:lineRule="exact"/>
        <w:rPr>
          <w:rFonts w:ascii="宋体" w:hAnsi="宋体"/>
          <w:color w:val="0000ff"/>
          <w:sz w:val="24"/>
          <w:szCs w:val="24"/>
          <w:highlight w:val="none"/>
        </w:rPr>
      </w:pPr>
      <w:r>
        <w:rPr>
          <w:rFonts w:hint="eastAsia" w:ascii="宋体" w:hAnsi="宋体"/>
          <w:color w:val="0000ff"/>
          <w:sz w:val="24"/>
          <w:szCs w:val="24"/>
          <w:highlight w:val="none"/>
        </w:rPr>
        <w:t xml:space="preserve">（二）本项目的特定资格要求</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rPr>
                <w:rFonts w:hint="eastAsia" w:ascii="宋体" w:hAnsi="宋体"/>
                <w:color w:val="0000ff"/>
                <w:highlight w:val="none"/>
              </w:rPr>
            </w:pPr>
            <w:r>
              <w:rPr>
                <w:rFonts w:hint="eastAsia" w:ascii="宋体" w:hAnsi="宋体"/>
                <w:color w:val="0000ff"/>
                <w:highlight w:val="none"/>
              </w:rPr>
              <w:t xml:space="preserve">采购包号</w:t>
            </w:r>
            <w:r/>
          </w:p>
        </w:tc>
        <w:tc>
          <w:tcPr>
            <w:tcW w:w="6145" w:type="dxa"/>
            <w:vAlign w:val="top"/>
            <w:textDirection w:val="lrTb"/>
            <w:noWrap w:val="false"/>
          </w:tcPr>
          <w:p>
            <w:pPr>
              <w:jc w:val="center"/>
              <w:spacing w:line="400" w:lineRule="exact"/>
              <w:rPr>
                <w:rFonts w:hint="eastAsia" w:ascii="宋体" w:hAnsi="宋体"/>
                <w:color w:val="0000ff"/>
                <w:highlight w:val="none"/>
              </w:rPr>
            </w:pPr>
            <w:r>
              <w:rPr>
                <w:rFonts w:hint="eastAsia" w:ascii="宋体" w:hAnsi="宋体"/>
                <w:color w:val="0000ff"/>
                <w:highlight w:val="none"/>
              </w:rPr>
              <w:t xml:space="preserve">特定</w:t>
            </w:r>
            <w:r>
              <w:rPr>
                <w:rFonts w:ascii="宋体" w:hAnsi="宋体"/>
                <w:color w:val="0000ff"/>
                <w:highlight w:val="none"/>
              </w:rPr>
              <w:t xml:space="preserve">资格要求</w:t>
            </w:r>
            <w:r/>
          </w:p>
        </w:tc>
      </w:tr>
      <w:tr>
        <w:trPr/>
        <w:tc>
          <w:tcPr>
            <w:tcW w:w="1148" w:type="dxa"/>
            <w:vAlign w:val="top"/>
            <w:textDirection w:val="lrTb"/>
            <w:noWrap w:val="false"/>
          </w:tcPr>
          <w:p>
            <w:pPr>
              <w:jc w:val="center"/>
              <w:spacing w:line="400" w:lineRule="exact"/>
              <w:rPr>
                <w:rFonts w:ascii="宋体" w:hAnsi="宋体" w:eastAsia="宋体"/>
                <w:color w:val="0000ff"/>
                <w:highlight w:val="none"/>
                <w:lang w:val="en-US" w:eastAsia="zh-CN"/>
              </w:rPr>
            </w:pPr>
            <w:r>
              <w:rPr>
                <w:rFonts w:hint="eastAsia" w:ascii="宋体" w:hAnsi="宋体"/>
                <w:color w:val="0000ff"/>
                <w:highlight w:val="none"/>
              </w:rPr>
              <w:t xml:space="preserve">1</w:t>
            </w:r>
            <w:r/>
          </w:p>
        </w:tc>
        <w:tc>
          <w:tcPr>
            <w:tcW w:w="6145" w:type="dxa"/>
            <w:vAlign w:val="top"/>
            <w:textDirection w:val="lrTb"/>
            <w:noWrap w:val="false"/>
          </w:tcPr>
          <w:p>
            <w:pPr>
              <w:jc w:val="left"/>
              <w:spacing w:line="400" w:lineRule="exact"/>
              <w:rPr>
                <w:rFonts w:ascii="宋体" w:hAnsi="宋体"/>
                <w:highlight w:val="yellow"/>
              </w:rPr>
            </w:pPr>
            <w:r>
              <w:rPr>
                <w:rFonts w:hint="eastAsia" w:ascii="宋体" w:hAnsi="宋体" w:eastAsia="宋体" w:cs="Times New Roman"/>
                <w:color w:val="0000ff"/>
                <w:sz w:val="24"/>
                <w:szCs w:val="24"/>
                <w:highlight w:val="none"/>
                <w:lang w:eastAsia="zh-CN"/>
              </w:rPr>
              <w:t xml:space="preserve">供应商必须拥有工业和信息化部颁发的《增值电信业务经营许可证》。</w:t>
            </w:r>
            <w:r/>
          </w:p>
        </w:tc>
      </w:tr>
      <w:tr>
        <w:trPr/>
        <w:tc>
          <w:tcPr>
            <w:tcW w:w="1148" w:type="dxa"/>
            <w:vAlign w:val="top"/>
            <w:textDirection w:val="lrTb"/>
            <w:noWrap w:val="false"/>
          </w:tcPr>
          <w:p>
            <w:pPr>
              <w:jc w:val="center"/>
              <w:spacing w:line="400" w:lineRule="exact"/>
              <w:rPr>
                <w:rFonts w:hint="eastAsia" w:ascii="宋体" w:hAnsi="宋体" w:eastAsia="宋体"/>
                <w:color w:val="0000ff"/>
                <w:highlight w:val="none"/>
                <w:lang w:val="en-US" w:eastAsia="zh-CN"/>
              </w:rPr>
            </w:pPr>
            <w:r>
              <w:rPr>
                <w:rFonts w:hint="eastAsia" w:ascii="宋体" w:hAnsi="宋体"/>
                <w:color w:val="0000ff"/>
                <w:highlight w:val="none"/>
                <w:lang w:val="en-US" w:eastAsia="zh-CN"/>
              </w:rPr>
              <w:t xml:space="preserve">2</w:t>
            </w:r>
            <w:r/>
          </w:p>
        </w:tc>
        <w:tc>
          <w:tcPr>
            <w:tcW w:w="6145" w:type="dxa"/>
            <w:vAlign w:val="top"/>
            <w:textDirection w:val="lrTb"/>
            <w:noWrap w:val="false"/>
          </w:tcPr>
          <w:p>
            <w:pPr>
              <w:jc w:val="left"/>
              <w:spacing w:line="400" w:lineRule="exact"/>
              <w:rPr>
                <w:rFonts w:hint="eastAsia" w:ascii="宋体" w:hAnsi="宋体" w:eastAsia="宋体" w:cs="Times New Roman"/>
                <w:color w:val="0000ff"/>
                <w:sz w:val="24"/>
                <w:szCs w:val="24"/>
                <w:highlight w:val="none"/>
                <w:lang w:eastAsia="zh-CN"/>
              </w:rPr>
            </w:pPr>
            <w:r>
              <w:rPr>
                <w:rFonts w:hint="eastAsia" w:ascii="宋体" w:hAnsi="宋体" w:eastAsia="宋体" w:cs="Times New Roman"/>
                <w:color w:val="0000ff"/>
                <w:sz w:val="24"/>
                <w:szCs w:val="24"/>
                <w:highlight w:val="none"/>
                <w:lang w:eastAsia="zh-CN"/>
              </w:rPr>
              <w:t xml:space="preserve">供应商必须拥有工业和信息化部颁发的《增值电信业务经营许可证》。</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bookmarkEnd w:id="17"/>
      <w:bookmarkEnd w:id="18"/>
      <w:bookmarkEnd w:id="19"/>
      <w:bookmarkEnd w:id="20"/>
      <w:bookmarkEnd w:id="21"/>
      <w:r/>
    </w:p>
    <w:p>
      <w:pPr>
        <w:pStyle w:val="856"/>
        <w:ind w:firstLine="498"/>
        <w:spacing w:before="145" w:after="145" w:line="400" w:lineRule="exact"/>
      </w:pPr>
      <w:r/>
      <w:bookmarkStart w:id="22" w:name="_Toc28359005"/>
      <w:r/>
      <w:bookmarkStart w:id="23" w:name="_Toc28359082"/>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 11 </w:t>
      </w:r>
      <w:r>
        <w:rPr>
          <w:rFonts w:hint="eastAsia" w:ascii="宋体" w:hAnsi="宋体"/>
          <w:bCs/>
          <w:sz w:val="24"/>
          <w:szCs w:val="24"/>
          <w:u w:val="single"/>
        </w:rPr>
        <w:t xml:space="preserve">月 </w:t>
      </w:r>
      <w:r>
        <w:rPr>
          <w:rFonts w:hint="eastAsia" w:ascii="宋体" w:hAnsi="宋体"/>
          <w:bCs/>
          <w:sz w:val="24"/>
          <w:szCs w:val="24"/>
          <w:u w:val="single"/>
          <w:lang w:val="en-US" w:eastAsia="zh-CN"/>
        </w:rPr>
        <w:t xml:space="preserve"> 7</w:t>
      </w:r>
      <w:r>
        <w:rPr>
          <w:rFonts w:hint="eastAsia" w:ascii="宋体" w:hAnsi="宋体"/>
          <w:bCs/>
          <w:sz w:val="24"/>
          <w:szCs w:val="24"/>
          <w:u w:val="single"/>
        </w:rPr>
        <w:t xml:space="preserve"> 日 </w:t>
      </w:r>
      <w:bookmarkStart w:id="202" w:name="_GoBack"/>
      <w:r/>
      <w:bookmarkEnd w:id="202"/>
      <w:r>
        <w:rPr>
          <w:rFonts w:hint="eastAsia" w:ascii="宋体" w:hAnsi="宋体"/>
          <w:bCs/>
          <w:sz w:val="24"/>
          <w:szCs w:val="24"/>
          <w:u w:val="single"/>
        </w:rPr>
        <w:t xml:space="preserve"> 9  点  30  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07"/>
      <w:r/>
      <w:bookmarkStart w:id="28" w:name="_Toc35393625"/>
      <w:r/>
      <w:bookmarkStart w:id="29" w:name="_Toc35393794"/>
      <w:r/>
      <w:bookmarkStart w:id="30" w:name="_Toc2835908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56"/>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ind w:firstLine="480"/>
        <w:rPr>
          <w:rFonts w:hint="eastAsia" w:ascii="宋体" w:hAnsi="宋体" w:eastAsia="宋体" w:cs="宋体"/>
          <w:color w:val="000000"/>
          <w:sz w:val="24"/>
          <w:szCs w:val="24"/>
        </w:rPr>
      </w:pPr>
      <w:r/>
      <w:bookmarkStart w:id="35" w:name="_Toc38985269"/>
      <w:r/>
      <w:bookmarkStart w:id="36" w:name="_Toc35393627"/>
      <w:r/>
      <w:bookmarkStart w:id="37" w:name="_Toc28359085"/>
      <w:r/>
      <w:bookmarkStart w:id="38" w:name="_Toc28359008"/>
      <w:r/>
      <w:bookmarkStart w:id="39" w:name="_Toc35393796"/>
      <w:r>
        <w:rPr>
          <w:rFonts w:hint="eastAsia" w:ascii="宋体" w:hAnsi="宋体" w:eastAsia="宋体" w:cs="宋体"/>
          <w:color w:val="000000"/>
          <w:sz w:val="24"/>
          <w:szCs w:val="24"/>
        </w:rPr>
        <w:t xml:space="preserve">本项目总公司的分支机构可在总公司授权后参与。</w:t>
      </w:r>
      <w:r/>
    </w:p>
    <w:p>
      <w:pPr>
        <w:pStyle w:val="856"/>
        <w:ind w:firstLine="498"/>
        <w:spacing w:before="145" w:after="145" w:line="400" w:lineRule="exact"/>
      </w:pPr>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r>
        <w:rPr>
          <w:rFonts w:hint="eastAsia" w:ascii="宋体" w:hAnsi="宋体" w:cs="宋体"/>
          <w:color w:val="000000"/>
          <w:sz w:val="24"/>
          <w:szCs w:val="24"/>
        </w:rPr>
        <w:t xml:space="preserve">.采购人信息</w:t>
      </w:r>
      <w:r/>
    </w:p>
    <w:p>
      <w:pPr>
        <w:ind w:left="1079" w:hanging="300"/>
        <w:jc w:val="left"/>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南京图书馆           </w:t>
      </w:r>
      <w:r/>
    </w:p>
    <w:p>
      <w:pPr>
        <w:ind w:left="1079" w:hanging="300"/>
        <w:jc w:val="left"/>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南京市中山东路189号 </w:t>
      </w:r>
      <w:r/>
    </w:p>
    <w:p>
      <w:pPr>
        <w:ind w:left="1079" w:hanging="300"/>
        <w:jc w:val="left"/>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徐立宁              </w:t>
      </w:r>
      <w:r/>
    </w:p>
    <w:p>
      <w:pPr>
        <w:ind w:left="1079" w:hanging="300"/>
        <w:jc w:val="left"/>
        <w:spacing w:line="400" w:lineRule="exact"/>
        <w:rPr>
          <w:rFonts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bookmarkStart w:id="40" w:name="_Toc28359009"/>
      <w:r/>
      <w:bookmarkStart w:id="41" w:name="_Toc28359086"/>
      <w:r>
        <w:rPr>
          <w:rFonts w:hint="eastAsia" w:ascii="宋体" w:hAnsi="宋体"/>
          <w:color w:val="000000"/>
          <w:sz w:val="24"/>
          <w:szCs w:val="24"/>
          <w:u w:val="single"/>
          <w:lang w:val="en-US" w:eastAsia="zh-CN"/>
        </w:rPr>
        <w:t xml:space="preserve">025-84356316      </w:t>
      </w:r>
      <w:r/>
    </w:p>
    <w:p>
      <w:pPr>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
    </w:p>
    <w:p>
      <w:pPr>
        <w:ind w:firstLine="72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南京市建邺区汉中门大街145号</w:t>
      </w:r>
      <w:r/>
    </w:p>
    <w:p>
      <w:pPr>
        <w:ind w:firstLine="720"/>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时富荣、许滢               </w:t>
      </w:r>
      <w:r/>
    </w:p>
    <w:p>
      <w:pPr>
        <w:ind w:firstLine="720"/>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lang w:val="en-US" w:eastAsia="zh-CN"/>
        </w:rPr>
        <w:t xml:space="preserve">  025-83668559            </w:t>
      </w:r>
      <w:bookmarkEnd w:id="42"/>
      <w:bookmarkEnd w:id="43"/>
      <w:r/>
    </w:p>
    <w:p>
      <w:pPr>
        <w:pStyle w:val="856"/>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w:t>
      </w:r>
      <w:r>
        <w:rPr>
          <w:rFonts w:hint="eastAsia" w:ascii="宋体" w:hAnsi="宋体"/>
          <w:bCs/>
          <w:color w:val="000000"/>
          <w:sz w:val="24"/>
          <w:szCs w:val="24"/>
        </w:rPr>
        <w:t xml:space="preserve">换CA数字证书和电子签章。具体办理指南和操作手册见链接：</w:t>
      </w:r>
      <w:r>
        <w:rPr>
          <w:bCs/>
          <w:color w:val="000000"/>
        </w:rPr>
        <w:fldChar w:fldCharType="begin"/>
      </w:r>
      <w:r>
        <w:rPr>
          <w:bCs/>
          <w:color w:val="000000"/>
        </w:rPr>
        <w:instrText xml:space="preserve"> HYPERLINK "http://www.ccgp-jiangsu.gov.cn/jiangsu/zlxz/ee/ee3a4bc5a3454aa2b0d9312230633ce9.html" </w:instrText>
      </w:r>
      <w:r>
        <w:rPr>
          <w:bCs/>
          <w:color w:val="000000"/>
        </w:rPr>
        <w:fldChar w:fldCharType="separate"/>
      </w:r>
      <w:r>
        <w:rPr>
          <w:rStyle w:val="926"/>
          <w:bCs/>
          <w:color w:val="000000"/>
        </w:rPr>
        <w:t xml:space="preserve">http://www.ccgp-jiangsu.gov.cn/jiangsu/zlxz/ee/ee3a4bc5a3454aa2b0d9312230633ce9.html</w:t>
      </w:r>
      <w:r>
        <w:rPr>
          <w:bCs/>
          <w:color w:val="000000"/>
        </w:rPr>
        <w:fldChar w:fldCharType="end"/>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854"/>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20823274"/>
      <w:r/>
      <w:bookmarkStart w:id="48" w:name="_Toc16938518"/>
      <w:r>
        <w:rPr>
          <w:rFonts w:hint="eastAsia" w:ascii="黑体" w:eastAsia="黑体"/>
        </w:rPr>
        <w:t xml:space="preserve">投标人须知</w:t>
      </w:r>
      <w:bookmarkEnd w:id="45"/>
      <w:r/>
      <w:bookmarkEnd w:id="46"/>
      <w:r/>
      <w:bookmarkEnd w:id="47"/>
      <w:r/>
      <w:bookmarkEnd w:id="48"/>
      <w:r/>
      <w:r/>
    </w:p>
    <w:p>
      <w:pPr>
        <w:pStyle w:val="856"/>
        <w:ind w:firstLine="498"/>
        <w:spacing w:before="145" w:after="145" w:line="400" w:lineRule="exact"/>
        <w:rPr>
          <w:rFonts w:hint="eastAsia"/>
        </w:rPr>
      </w:pPr>
      <w:r/>
      <w:bookmarkStart w:id="49" w:name="_Toc120614214"/>
      <w:r/>
      <w:bookmarkStart w:id="50" w:name="_Toc20823275"/>
      <w:r/>
      <w:bookmarkStart w:id="51" w:name="_Toc513029203"/>
      <w:r/>
      <w:bookmarkStart w:id="52" w:name="_Toc16938519"/>
      <w:r>
        <w:rPr>
          <w:rFonts w:hint="eastAsia"/>
        </w:rPr>
        <w:t xml:space="preserve">一、总则</w:t>
      </w:r>
      <w:bookmarkEnd w:id="49"/>
      <w:r/>
      <w:bookmarkEnd w:id="50"/>
      <w:r/>
      <w:bookmarkEnd w:id="51"/>
      <w:r/>
      <w:bookmarkEnd w:id="52"/>
      <w:r/>
      <w:r/>
    </w:p>
    <w:p>
      <w:pPr>
        <w:pStyle w:val="857"/>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57"/>
        <w:ind w:firstLine="420"/>
        <w:spacing w:before="0" w:after="0" w:line="400" w:lineRule="exact"/>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57"/>
        <w:ind w:firstLine="420"/>
        <w:spacing w:before="0" w:after="0" w:line="400" w:lineRule="exact"/>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57"/>
        <w:ind w:firstLine="420"/>
        <w:spacing w:before="0" w:after="0" w:line="400" w:lineRule="exact"/>
        <w:rPr>
          <w:rFonts w:hint="eastAsia"/>
          <w:b w:val="0"/>
          <w:bCs w:val="0"/>
        </w:rPr>
      </w:pPr>
      <w:r/>
      <w:bookmarkStart w:id="64" w:name="_Toc513029207"/>
      <w:r/>
      <w:bookmarkStart w:id="65" w:name="_Toc462564067"/>
      <w:r/>
      <w:bookmarkStart w:id="66" w:name="_Toc16938523"/>
      <w:r/>
      <w:bookmarkStart w:id="67" w:name="_Toc20823279"/>
      <w:r>
        <w:rPr>
          <w:rFonts w:hint="eastAsia"/>
          <w:b w:val="0"/>
          <w:bCs w:val="0"/>
        </w:rPr>
        <w:t xml:space="preserve">4、投标费用</w:t>
      </w:r>
      <w:bookmarkEnd w:id="64"/>
      <w:r/>
      <w:bookmarkEnd w:id="65"/>
      <w:r/>
      <w:bookmarkEnd w:id="66"/>
      <w:r/>
      <w:bookmarkEnd w:id="67"/>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57"/>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56"/>
        <w:ind w:firstLine="321"/>
        <w:spacing w:before="145" w:after="145" w:line="400" w:lineRule="exact"/>
        <w:rPr>
          <w:rFonts w:hint="eastAsia"/>
        </w:rPr>
      </w:pPr>
      <w:r/>
      <w:bookmarkStart w:id="68" w:name="_Toc16938525"/>
      <w:r/>
      <w:bookmarkStart w:id="69" w:name="_Toc513029209"/>
      <w:r/>
      <w:bookmarkStart w:id="70" w:name="_Toc20823281"/>
      <w:r/>
      <w:bookmarkStart w:id="71" w:name="_Toc120614215"/>
      <w:r>
        <w:rPr>
          <w:rFonts w:hint="eastAsia"/>
        </w:rPr>
        <w:t xml:space="preserve">二、招标文件</w:t>
      </w:r>
      <w:bookmarkEnd w:id="68"/>
      <w:r/>
      <w:bookmarkEnd w:id="69"/>
      <w:r/>
      <w:bookmarkEnd w:id="70"/>
      <w:r/>
      <w:bookmarkEnd w:id="71"/>
      <w:r/>
      <w:r/>
    </w:p>
    <w:p>
      <w:pPr>
        <w:pStyle w:val="857"/>
        <w:ind w:firstLine="420"/>
        <w:spacing w:before="0" w:after="0" w:line="400" w:lineRule="exact"/>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7"/>
        <w:ind w:firstLine="560"/>
        <w:spacing w:before="0" w:after="0" w:line="400" w:lineRule="exact"/>
        <w:rPr>
          <w:rFonts w:hint="eastAsia"/>
          <w:b w:val="0"/>
          <w:bCs w:val="0"/>
        </w:rPr>
      </w:pPr>
      <w:r/>
      <w:bookmarkStart w:id="75" w:name="_Toc16938528"/>
      <w:r/>
      <w:bookmarkStart w:id="76" w:name="_Toc513029212"/>
      <w:r/>
      <w:bookmarkStart w:id="77" w:name="_Toc462564071"/>
      <w:r/>
      <w:bookmarkStart w:id="78" w:name="_Toc20823284"/>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56"/>
        <w:ind w:firstLine="482"/>
        <w:spacing w:before="145" w:after="145" w:line="400" w:lineRule="exact"/>
        <w:rPr>
          <w:rFonts w:hint="eastAsia"/>
        </w:rPr>
      </w:pPr>
      <w:r/>
      <w:bookmarkStart w:id="79" w:name="_Toc16938529"/>
      <w:r/>
      <w:bookmarkStart w:id="80" w:name="_Toc20823285"/>
      <w:r/>
      <w:bookmarkStart w:id="81" w:name="_Toc513029213"/>
      <w:r/>
      <w:bookmarkStart w:id="82" w:name="_Toc462564072"/>
      <w:r/>
      <w:bookmarkStart w:id="83" w:name="_Toc120614216"/>
      <w:r>
        <w:rPr>
          <w:rFonts w:hint="eastAsia"/>
        </w:rPr>
        <w:t xml:space="preserve">三、投标文件的编制</w:t>
      </w:r>
      <w:bookmarkEnd w:id="79"/>
      <w:r/>
      <w:bookmarkEnd w:id="80"/>
      <w:r/>
      <w:bookmarkEnd w:id="81"/>
      <w:r/>
      <w:bookmarkEnd w:id="82"/>
      <w:r/>
      <w:bookmarkEnd w:id="83"/>
      <w:r/>
      <w:r/>
    </w:p>
    <w:p>
      <w:pPr>
        <w:pStyle w:val="857"/>
        <w:ind w:firstLine="560"/>
        <w:spacing w:before="0" w:after="0" w:line="400" w:lineRule="exact"/>
        <w:rPr>
          <w:rFonts w:hint="eastAsia"/>
          <w:bCs w:val="0"/>
        </w:rPr>
      </w:pPr>
      <w:r/>
      <w:bookmarkStart w:id="84" w:name="_Toc462564073"/>
      <w:r/>
      <w:bookmarkStart w:id="85" w:name="_Toc16938530"/>
      <w:r/>
      <w:bookmarkStart w:id="86" w:name="_Toc20823286"/>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57"/>
        <w:ind w:firstLine="420"/>
        <w:spacing w:before="0" w:after="0" w:line="400" w:lineRule="exact"/>
        <w:rPr>
          <w:rFonts w:hint="eastAsia"/>
          <w:b w:val="0"/>
          <w:bCs w:val="0"/>
        </w:rPr>
      </w:pPr>
      <w:r/>
      <w:bookmarkStart w:id="88" w:name="_Toc462564074"/>
      <w:r/>
      <w:bookmarkStart w:id="89" w:name="_Toc20823287"/>
      <w:r/>
      <w:bookmarkStart w:id="90" w:name="_Toc16938531"/>
      <w:r/>
      <w:bookmarkStart w:id="91" w:name="_Toc513029215"/>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57"/>
        <w:ind w:firstLine="420"/>
        <w:spacing w:before="0" w:after="0" w:line="400" w:lineRule="exact"/>
        <w:rPr>
          <w:rFonts w:hint="eastAsia"/>
          <w:b w:val="0"/>
          <w:bCs w:val="0"/>
        </w:rPr>
      </w:pPr>
      <w:r/>
      <w:bookmarkStart w:id="92" w:name="_Hlt26954838"/>
      <w:r/>
      <w:bookmarkEnd w:id="92"/>
      <w:r/>
      <w:bookmarkStart w:id="93" w:name="_Hlt26670360"/>
      <w:r/>
      <w:bookmarkEnd w:id="93"/>
      <w:r/>
      <w:bookmarkStart w:id="94" w:name="_Hlt26668975"/>
      <w:r/>
      <w:bookmarkEnd w:id="94"/>
      <w:r/>
      <w:bookmarkStart w:id="95" w:name="_Toc49090509"/>
      <w:r/>
      <w:bookmarkStart w:id="96" w:name="_Toc14577357"/>
      <w:r/>
      <w:bookmarkStart w:id="97" w:name="_Toc513029219"/>
      <w:r/>
      <w:bookmarkStart w:id="98" w:name="_Toc49090507"/>
      <w:r/>
      <w:bookmarkStart w:id="99" w:name="_Toc14577354"/>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bookmarkEnd w:id="98"/>
      <w:bookmarkEnd w:id="99"/>
      <w:bookmarkEnd w:id="100"/>
      <w:r/>
    </w:p>
    <w:p>
      <w:pPr>
        <w:spacing w:line="400" w:lineRule="exact"/>
        <w:rPr>
          <w:rFonts w:hint="eastAsia" w:ascii="宋体" w:hAnsi="宋体"/>
          <w:sz w:val="24"/>
          <w:szCs w:val="24"/>
        </w:rPr>
      </w:pPr>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57"/>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57"/>
        <w:ind w:firstLine="420"/>
        <w:spacing w:before="0" w:after="0" w:line="400" w:lineRule="exact"/>
        <w:rPr>
          <w:rFonts w:hint="eastAsia"/>
          <w:b w:val="0"/>
          <w:bCs w:val="0"/>
        </w:rPr>
      </w:pPr>
      <w:r/>
      <w:bookmarkStart w:id="106" w:name="_Hlt26670482"/>
      <w:r/>
      <w:bookmarkEnd w:id="106"/>
      <w:r/>
      <w:bookmarkStart w:id="107" w:name="_Hlt26954842"/>
      <w:r/>
      <w:bookmarkEnd w:id="107"/>
      <w:r/>
      <w:bookmarkStart w:id="108" w:name="_Hlt26668983"/>
      <w:r/>
      <w:bookmarkEnd w:id="108"/>
      <w:r/>
      <w:bookmarkStart w:id="109" w:name="_Hlt26954848"/>
      <w:r/>
      <w:bookmarkEnd w:id="109"/>
      <w:r/>
      <w:bookmarkStart w:id="110" w:name="_Hlt26954846"/>
      <w:r/>
      <w:bookmarkEnd w:id="110"/>
      <w:r/>
      <w:bookmarkStart w:id="111" w:name="_Hlt26954844"/>
      <w:r/>
      <w:bookmarkEnd w:id="111"/>
      <w:r/>
      <w:bookmarkStart w:id="112" w:name="_Hlt26954731"/>
      <w:r/>
      <w:bookmarkEnd w:id="112"/>
      <w:r/>
      <w:bookmarkStart w:id="113" w:name="_Hlt26670486"/>
      <w:r/>
      <w:bookmarkEnd w:id="113"/>
      <w:r/>
      <w:bookmarkStart w:id="114" w:name="_Hlt26670425"/>
      <w:r/>
      <w:bookmarkEnd w:id="114"/>
      <w:r/>
      <w:bookmarkStart w:id="115" w:name="_Hlt26670403"/>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57"/>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6"/>
      <w:bookmarkEnd w:id="117"/>
      <w:r/>
    </w:p>
    <w:p>
      <w:pPr>
        <w:pStyle w:val="857"/>
        <w:ind w:firstLine="420"/>
        <w:spacing w:before="0" w:after="0" w:line="400" w:lineRule="exact"/>
        <w:rPr>
          <w:rFonts w:hint="eastAsia"/>
          <w:b w:val="0"/>
          <w:bCs w:val="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7"/>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6"/>
        <w:ind w:firstLine="482"/>
        <w:spacing w:before="145" w:after="145" w:line="400" w:lineRule="exact"/>
        <w:rPr>
          <w:rFonts w:hint="eastAsia"/>
        </w:rPr>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rPr>
        <w:t xml:space="preserve">四、投标文件的递交</w:t>
      </w:r>
      <w:bookmarkEnd w:id="125"/>
      <w:r/>
      <w:bookmarkEnd w:id="126"/>
      <w:r/>
      <w:bookmarkEnd w:id="127"/>
      <w:r/>
      <w:bookmarkEnd w:id="128"/>
      <w:r/>
      <w:r/>
    </w:p>
    <w:p>
      <w:pPr>
        <w:pStyle w:val="857"/>
        <w:ind w:firstLine="560"/>
        <w:spacing w:before="0" w:after="0" w:line="400" w:lineRule="exact"/>
        <w:rPr>
          <w:rFonts w:hint="eastAsia" w:ascii="黑体"/>
          <w:b w:val="0"/>
          <w:bCs w:val="0"/>
        </w:rPr>
      </w:pPr>
      <w:r/>
      <w:bookmarkStart w:id="129" w:name="_Toc462564084"/>
      <w:r/>
      <w:bookmarkStart w:id="130" w:name="_Toc16938541"/>
      <w:r/>
      <w:bookmarkStart w:id="131" w:name="_Toc20823297"/>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64"/>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857"/>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57"/>
        <w:ind w:firstLine="420"/>
        <w:spacing w:before="0" w:after="0" w:line="400" w:lineRule="exact"/>
        <w:rPr>
          <w:rFonts w:hint="eastAsia"/>
          <w:b w:val="0"/>
          <w:bCs w:val="0"/>
        </w:rPr>
      </w:pPr>
      <w:r/>
      <w:bookmarkStart w:id="136" w:name="_Toc513029227"/>
      <w:r/>
      <w:bookmarkStart w:id="137" w:name="_Toc20823299"/>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57"/>
        <w:ind w:firstLine="420"/>
        <w:spacing w:before="0" w:after="0" w:line="400" w:lineRule="exact"/>
        <w:rPr>
          <w:rFonts w:hint="eastAsia"/>
          <w:b w:val="0"/>
          <w:bCs w:val="0"/>
        </w:rPr>
      </w:pPr>
      <w:r/>
      <w:bookmarkStart w:id="139" w:name="_Toc513029228"/>
      <w:r/>
      <w:bookmarkStart w:id="140" w:name="_Toc20823300"/>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56"/>
        <w:ind w:firstLine="482"/>
        <w:spacing w:before="145" w:after="145" w:line="400" w:lineRule="exact"/>
        <w:rPr>
          <w:rFonts w:hint="eastAsia"/>
        </w:rPr>
      </w:pPr>
      <w:r/>
      <w:bookmarkStart w:id="142" w:name="_Toc20823301"/>
      <w:r/>
      <w:bookmarkStart w:id="143" w:name="_Toc513029229"/>
      <w:r/>
      <w:bookmarkStart w:id="144" w:name="_Toc16938545"/>
      <w:r/>
      <w:bookmarkStart w:id="145" w:name="_Toc120614218"/>
      <w:r>
        <w:rPr>
          <w:rFonts w:hint="eastAsia"/>
        </w:rPr>
        <w:t xml:space="preserve">五、开标与评标</w:t>
      </w:r>
      <w:bookmarkEnd w:id="142"/>
      <w:r/>
      <w:bookmarkEnd w:id="143"/>
      <w:r/>
      <w:bookmarkEnd w:id="144"/>
      <w:r/>
      <w:bookmarkEnd w:id="145"/>
      <w:r/>
      <w:r/>
    </w:p>
    <w:p>
      <w:pPr>
        <w:pStyle w:val="857"/>
        <w:ind w:firstLine="420"/>
        <w:spacing w:before="0" w:after="0" w:line="400" w:lineRule="exact"/>
        <w:rPr>
          <w:rFonts w:hint="eastAsia"/>
          <w:b w:val="0"/>
          <w:bCs w:val="0"/>
        </w:rPr>
      </w:pPr>
      <w:r/>
      <w:bookmarkStart w:id="146" w:name="_Toc16938546"/>
      <w:r/>
      <w:bookmarkStart w:id="147" w:name="_Toc513029230"/>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857"/>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857"/>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bookmarkEnd w:id="150"/>
      <w:bookmarkEnd w:id="151"/>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857"/>
        <w:ind w:firstLine="420"/>
        <w:spacing w:before="0" w:after="0" w:line="400" w:lineRule="exact"/>
        <w:rPr>
          <w:rFonts w:hint="eastAsia"/>
          <w:b w:val="0"/>
          <w:bCs w:val="0"/>
        </w:rPr>
      </w:pPr>
      <w:r/>
      <w:bookmarkStart w:id="152" w:name="_Toc20823304"/>
      <w:r/>
      <w:bookmarkStart w:id="153" w:name="_Toc513029232"/>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857"/>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20823306"/>
      <w:r/>
      <w:bookmarkStart w:id="159" w:name="_Toc513029234"/>
      <w:r/>
      <w:bookmarkStart w:id="160"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宋体" w:hAnsi="宋体"/>
          <w:color w:val="ff0000"/>
          <w:sz w:val="24"/>
        </w:rPr>
      </w:pPr>
      <w:r>
        <w:rPr>
          <w:rFonts w:hint="eastAsia" w:ascii="宋体" w:hAnsi="宋体"/>
          <w:color w:val="ff0000"/>
          <w:sz w:val="24"/>
        </w:rPr>
        <w:t xml:space="preserve">2</w:t>
      </w:r>
      <w:r>
        <w:rPr>
          <w:rFonts w:ascii="宋体" w:hAnsi="宋体"/>
          <w:color w:val="ff0000"/>
          <w:sz w:val="24"/>
        </w:rPr>
        <w:t xml:space="preserve">4</w:t>
      </w:r>
      <w:r>
        <w:rPr>
          <w:rFonts w:hint="eastAsia" w:ascii="宋体" w:hAnsi="宋体"/>
          <w:color w:val="ff0000"/>
          <w:sz w:val="24"/>
        </w:rPr>
        <w:t xml:space="preserve">.</w:t>
      </w:r>
      <w:r>
        <w:rPr>
          <w:rFonts w:ascii="宋体" w:hAnsi="宋体"/>
          <w:color w:val="ff0000"/>
          <w:sz w:val="24"/>
        </w:rPr>
        <w:t xml:space="preserve">7</w:t>
      </w:r>
      <w:r>
        <w:rPr>
          <w:rFonts w:hint="eastAsia" w:ascii="宋体" w:hAnsi="宋体"/>
          <w:color w:val="ff0000"/>
          <w:sz w:val="24"/>
        </w:rPr>
        <w:t xml:space="preserve"> 异常</w:t>
      </w:r>
      <w:r>
        <w:rPr>
          <w:rFonts w:ascii="宋体" w:hAnsi="宋体"/>
          <w:color w:val="ff0000"/>
          <w:sz w:val="24"/>
        </w:rPr>
        <w:t xml:space="preserve">低价</w:t>
      </w:r>
      <w:r>
        <w:rPr>
          <w:rFonts w:hint="eastAsia" w:ascii="宋体" w:hAnsi="宋体"/>
          <w:color w:val="ff0000"/>
          <w:sz w:val="24"/>
        </w:rPr>
        <w:t xml:space="preserve">投标</w:t>
      </w:r>
      <w:r>
        <w:rPr>
          <w:rFonts w:ascii="宋体" w:hAnsi="宋体"/>
          <w:color w:val="ff0000"/>
          <w:sz w:val="24"/>
        </w:rPr>
        <w:t xml:space="preserve">审查</w:t>
      </w:r>
      <w:r/>
    </w:p>
    <w:p>
      <w:pPr>
        <w:ind w:firstLine="420"/>
        <w:spacing w:line="400" w:lineRule="exact"/>
        <w:rPr>
          <w:rFonts w:ascii="宋体" w:hAnsi="宋体"/>
          <w:color w:val="ff0000"/>
          <w:sz w:val="24"/>
        </w:rPr>
      </w:pPr>
      <w:r>
        <w:rPr>
          <w:rFonts w:hint="eastAsia" w:ascii="宋体" w:hAnsi="宋体"/>
          <w:color w:val="ff0000"/>
          <w:sz w:val="24"/>
        </w:rPr>
        <w:t xml:space="preserve">2</w:t>
      </w:r>
      <w:r>
        <w:rPr>
          <w:rFonts w:ascii="宋体" w:hAnsi="宋体"/>
          <w:color w:val="ff0000"/>
          <w:sz w:val="24"/>
        </w:rPr>
        <w:t xml:space="preserve">4</w:t>
      </w:r>
      <w:r>
        <w:rPr>
          <w:rFonts w:hint="eastAsia" w:ascii="宋体" w:hAnsi="宋体"/>
          <w:color w:val="ff0000"/>
          <w:sz w:val="24"/>
        </w:rPr>
        <w:t xml:space="preserve">.</w:t>
      </w:r>
      <w:r>
        <w:rPr>
          <w:rFonts w:ascii="宋体" w:hAnsi="宋体"/>
          <w:color w:val="ff0000"/>
          <w:sz w:val="24"/>
        </w:rPr>
        <w:t xml:space="preserve">7</w:t>
      </w:r>
      <w:r>
        <w:rPr>
          <w:rFonts w:hint="eastAsia" w:ascii="宋体" w:hAnsi="宋体"/>
          <w:color w:val="ff0000"/>
          <w:sz w:val="24"/>
        </w:rPr>
        <w:t xml:space="preserve">.1 评标</w:t>
      </w:r>
      <w:r>
        <w:rPr>
          <w:rFonts w:ascii="宋体" w:hAnsi="宋体"/>
          <w:color w:val="ff0000"/>
          <w:sz w:val="24"/>
        </w:rPr>
        <w:t xml:space="preserve">过程中出现下列情形</w:t>
      </w:r>
      <w:r>
        <w:rPr>
          <w:rFonts w:hint="eastAsia" w:ascii="宋体" w:hAnsi="宋体"/>
          <w:color w:val="ff0000"/>
          <w:sz w:val="24"/>
        </w:rPr>
        <w:t xml:space="preserve">之一</w:t>
      </w:r>
      <w:r>
        <w:rPr>
          <w:rFonts w:ascii="宋体" w:hAnsi="宋体"/>
          <w:color w:val="ff0000"/>
          <w:sz w:val="24"/>
        </w:rPr>
        <w:t xml:space="preserve">的，评标委员会应当启动异常低价投标审查程序</w:t>
      </w:r>
      <w:r>
        <w:rPr>
          <w:rFonts w:hint="eastAsia" w:ascii="宋体" w:hAnsi="宋体"/>
          <w:color w:val="ff0000"/>
          <w:sz w:val="24"/>
        </w:rPr>
        <w:t xml:space="preserve">：</w:t>
      </w:r>
      <w:r/>
    </w:p>
    <w:p>
      <w:pPr>
        <w:ind w:firstLine="420"/>
        <w:spacing w:line="400" w:lineRule="exact"/>
        <w:rPr>
          <w:rFonts w:ascii="宋体" w:hAnsi="宋体"/>
          <w:color w:val="ff0000"/>
          <w:sz w:val="24"/>
        </w:rPr>
      </w:pPr>
      <w:r>
        <w:rPr>
          <w:rFonts w:hint="eastAsia" w:ascii="宋体" w:hAnsi="宋体"/>
          <w:color w:val="ff0000"/>
          <w:sz w:val="24"/>
        </w:rPr>
        <w:t xml:space="preserve">（1）投标</w:t>
      </w:r>
      <w:r>
        <w:rPr>
          <w:rFonts w:ascii="宋体" w:hAnsi="宋体"/>
          <w:color w:val="ff0000"/>
          <w:sz w:val="24"/>
        </w:rPr>
        <w:t xml:space="preserve">报价低于采购项目预算</w:t>
      </w:r>
      <w:r>
        <w:rPr>
          <w:rFonts w:hint="eastAsia" w:ascii="宋体" w:hAnsi="宋体"/>
          <w:color w:val="ff0000"/>
          <w:sz w:val="24"/>
        </w:rPr>
        <w:t xml:space="preserve">50%的</w:t>
      </w:r>
      <w:r>
        <w:rPr>
          <w:rFonts w:ascii="宋体" w:hAnsi="宋体"/>
          <w:color w:val="ff0000"/>
          <w:sz w:val="24"/>
        </w:rPr>
        <w:t xml:space="preserve">，即</w:t>
      </w:r>
      <w:r>
        <w:rPr>
          <w:rFonts w:hint="eastAsia" w:ascii="宋体" w:hAnsi="宋体"/>
          <w:color w:val="ff0000"/>
          <w:sz w:val="24"/>
        </w:rPr>
        <w:t xml:space="preserve">投标</w:t>
      </w:r>
      <w:r>
        <w:rPr>
          <w:rFonts w:ascii="宋体" w:hAnsi="宋体"/>
          <w:color w:val="ff0000"/>
          <w:sz w:val="24"/>
        </w:rPr>
        <w:t xml:space="preserve">报价</w:t>
      </w:r>
      <w:r>
        <w:rPr>
          <w:rFonts w:hint="eastAsia" w:ascii="宋体" w:hAnsi="宋体"/>
          <w:color w:val="ff0000"/>
          <w:sz w:val="24"/>
        </w:rPr>
        <w:t xml:space="preserve">＜采购</w:t>
      </w:r>
      <w:r>
        <w:rPr>
          <w:rFonts w:ascii="宋体" w:hAnsi="宋体"/>
          <w:color w:val="ff0000"/>
          <w:sz w:val="24"/>
        </w:rPr>
        <w:t xml:space="preserve">项目预算</w:t>
      </w:r>
      <w:r>
        <w:rPr>
          <w:rFonts w:hint="eastAsia" w:ascii="宋体" w:hAnsi="宋体"/>
          <w:color w:val="ff0000"/>
          <w:sz w:val="24"/>
        </w:rPr>
        <w:t xml:space="preserve">×50%；</w:t>
      </w:r>
      <w:r/>
    </w:p>
    <w:p>
      <w:pPr>
        <w:ind w:firstLine="420"/>
        <w:spacing w:line="400" w:lineRule="exact"/>
        <w:rPr>
          <w:rFonts w:ascii="宋体" w:hAnsi="宋体"/>
          <w:color w:val="ff0000"/>
          <w:sz w:val="24"/>
        </w:rPr>
      </w:pPr>
      <w:r>
        <w:rPr>
          <w:rFonts w:hint="eastAsia" w:ascii="宋体" w:hAnsi="宋体"/>
          <w:color w:val="ff0000"/>
          <w:sz w:val="24"/>
        </w:rPr>
        <w:t xml:space="preserve">（2）投标</w:t>
      </w:r>
      <w:r>
        <w:rPr>
          <w:rFonts w:ascii="宋体" w:hAnsi="宋体"/>
          <w:color w:val="ff0000"/>
          <w:sz w:val="24"/>
        </w:rPr>
        <w:t xml:space="preserve">报价</w:t>
      </w:r>
      <w:r>
        <w:rPr>
          <w:rFonts w:hint="eastAsia" w:ascii="宋体" w:hAnsi="宋体"/>
          <w:color w:val="ff0000"/>
          <w:sz w:val="24"/>
        </w:rPr>
        <w:t xml:space="preserve">低于</w:t>
      </w:r>
      <w:r>
        <w:rPr>
          <w:rFonts w:ascii="宋体" w:hAnsi="宋体"/>
          <w:color w:val="ff0000"/>
          <w:sz w:val="24"/>
        </w:rPr>
        <w:t xml:space="preserve">采购项目最高</w:t>
      </w:r>
      <w:r>
        <w:rPr>
          <w:rFonts w:hint="eastAsia" w:ascii="宋体" w:hAnsi="宋体"/>
          <w:color w:val="ff0000"/>
          <w:sz w:val="24"/>
        </w:rPr>
        <w:t xml:space="preserve">限价</w:t>
      </w:r>
      <w:r>
        <w:rPr>
          <w:rFonts w:ascii="宋体" w:hAnsi="宋体"/>
          <w:color w:val="ff0000"/>
          <w:sz w:val="24"/>
        </w:rPr>
        <w:t xml:space="preserve">45%</w:t>
      </w:r>
      <w:r>
        <w:rPr>
          <w:rFonts w:hint="eastAsia" w:ascii="宋体" w:hAnsi="宋体"/>
          <w:color w:val="ff0000"/>
          <w:sz w:val="24"/>
        </w:rPr>
        <w:t xml:space="preserve">的</w:t>
      </w:r>
      <w:r>
        <w:rPr>
          <w:rFonts w:ascii="宋体" w:hAnsi="宋体"/>
          <w:color w:val="ff0000"/>
          <w:sz w:val="24"/>
        </w:rPr>
        <w:t xml:space="preserve">，即投标报价</w:t>
      </w:r>
      <w:r>
        <w:rPr>
          <w:rFonts w:hint="eastAsia" w:ascii="宋体" w:hAnsi="宋体"/>
          <w:color w:val="ff0000"/>
          <w:sz w:val="24"/>
        </w:rPr>
        <w:t xml:space="preserve">＜采购</w:t>
      </w:r>
      <w:r>
        <w:rPr>
          <w:rFonts w:ascii="宋体" w:hAnsi="宋体"/>
          <w:color w:val="ff0000"/>
          <w:sz w:val="24"/>
        </w:rPr>
        <w:t xml:space="preserve">项目最高</w:t>
      </w:r>
      <w:r>
        <w:rPr>
          <w:rFonts w:hint="eastAsia" w:ascii="宋体" w:hAnsi="宋体"/>
          <w:color w:val="ff0000"/>
          <w:sz w:val="24"/>
        </w:rPr>
        <w:t xml:space="preserve">限价×45%；</w:t>
      </w:r>
      <w:r/>
    </w:p>
    <w:p>
      <w:pPr>
        <w:ind w:firstLine="420"/>
        <w:spacing w:line="400" w:lineRule="exact"/>
        <w:rPr>
          <w:rFonts w:ascii="宋体" w:hAnsi="宋体"/>
          <w:color w:val="ff0000"/>
          <w:sz w:val="24"/>
        </w:rPr>
      </w:pPr>
      <w:r>
        <w:rPr>
          <w:rFonts w:hint="eastAsia" w:ascii="宋体" w:hAnsi="宋体"/>
          <w:color w:val="ff0000"/>
          <w:sz w:val="24"/>
        </w:rPr>
        <w:t xml:space="preserve">（3）评标</w:t>
      </w:r>
      <w:r>
        <w:rPr>
          <w:rFonts w:ascii="宋体" w:hAnsi="宋体"/>
          <w:color w:val="ff0000"/>
          <w:sz w:val="24"/>
        </w:rPr>
        <w:t xml:space="preserve">委员会认定的供应商</w:t>
      </w:r>
      <w:r>
        <w:rPr>
          <w:rFonts w:hint="eastAsia" w:ascii="宋体" w:hAnsi="宋体"/>
          <w:color w:val="ff0000"/>
          <w:sz w:val="24"/>
        </w:rPr>
        <w:t xml:space="preserve">报价</w:t>
      </w:r>
      <w:r>
        <w:rPr>
          <w:rFonts w:ascii="宋体" w:hAnsi="宋体"/>
          <w:color w:val="ff0000"/>
          <w:sz w:val="24"/>
        </w:rPr>
        <w:t xml:space="preserve">过低</w:t>
      </w:r>
      <w:r>
        <w:rPr>
          <w:rFonts w:hint="eastAsia" w:ascii="宋体" w:hAnsi="宋体"/>
          <w:color w:val="ff0000"/>
          <w:sz w:val="24"/>
        </w:rPr>
        <w:t xml:space="preserve">、</w:t>
      </w:r>
      <w:r>
        <w:rPr>
          <w:rFonts w:ascii="宋体" w:hAnsi="宋体"/>
          <w:color w:val="ff0000"/>
          <w:sz w:val="24"/>
        </w:rPr>
        <w:t xml:space="preserve">有可能影响</w:t>
      </w:r>
      <w:r>
        <w:rPr>
          <w:rFonts w:hint="eastAsia" w:ascii="宋体" w:hAnsi="宋体"/>
          <w:color w:val="ff0000"/>
          <w:sz w:val="24"/>
        </w:rPr>
        <w:t xml:space="preserve">产品</w:t>
      </w:r>
      <w:r>
        <w:rPr>
          <w:rFonts w:ascii="宋体" w:hAnsi="宋体"/>
          <w:color w:val="ff0000"/>
          <w:sz w:val="24"/>
        </w:rPr>
        <w:t xml:space="preserve">质量或者不能诚信履约的其他情形。</w:t>
      </w:r>
      <w:r/>
    </w:p>
    <w:p>
      <w:pPr>
        <w:ind w:firstLine="420"/>
        <w:spacing w:line="400" w:lineRule="exact"/>
        <w:rPr>
          <w:rFonts w:hint="eastAsia" w:ascii="宋体" w:hAnsi="宋体"/>
          <w:color w:val="ff0000"/>
          <w:sz w:val="24"/>
        </w:rPr>
      </w:pPr>
      <w:r>
        <w:rPr>
          <w:rFonts w:hint="eastAsia" w:ascii="宋体" w:hAnsi="宋体"/>
          <w:color w:val="ff0000"/>
          <w:sz w:val="24"/>
        </w:rPr>
        <w:t xml:space="preserve">2</w:t>
      </w:r>
      <w:r>
        <w:rPr>
          <w:rFonts w:ascii="宋体" w:hAnsi="宋体"/>
          <w:color w:val="ff0000"/>
          <w:sz w:val="24"/>
        </w:rPr>
        <w:t xml:space="preserve">4</w:t>
      </w:r>
      <w:r>
        <w:rPr>
          <w:rFonts w:hint="eastAsia" w:ascii="宋体" w:hAnsi="宋体"/>
          <w:color w:val="ff0000"/>
          <w:sz w:val="24"/>
        </w:rPr>
        <w:t xml:space="preserve">.</w:t>
      </w:r>
      <w:r>
        <w:rPr>
          <w:rFonts w:ascii="宋体" w:hAnsi="宋体"/>
          <w:color w:val="ff0000"/>
          <w:sz w:val="24"/>
        </w:rPr>
        <w:t xml:space="preserve">7.2 </w:t>
      </w:r>
      <w:r>
        <w:rPr>
          <w:rFonts w:hint="eastAsia" w:ascii="宋体" w:hAnsi="宋体"/>
          <w:color w:val="ff0000"/>
          <w:sz w:val="24"/>
        </w:rPr>
        <w:t xml:space="preserve">启动</w:t>
      </w:r>
      <w:r>
        <w:rPr>
          <w:rFonts w:ascii="宋体" w:hAnsi="宋体"/>
          <w:color w:val="ff0000"/>
          <w:sz w:val="24"/>
        </w:rPr>
        <w:t xml:space="preserve">异常低价投标审查后，评标</w:t>
      </w:r>
      <w:r>
        <w:rPr>
          <w:rFonts w:hint="eastAsia" w:ascii="宋体" w:hAnsi="宋体"/>
          <w:color w:val="ff0000"/>
          <w:sz w:val="24"/>
        </w:rPr>
        <w:t xml:space="preserve">委员会</w:t>
      </w:r>
      <w:r>
        <w:rPr>
          <w:rFonts w:ascii="宋体" w:hAnsi="宋体"/>
          <w:color w:val="ff0000"/>
          <w:sz w:val="24"/>
        </w:rPr>
        <w:t xml:space="preserve">应当</w:t>
      </w:r>
      <w:r>
        <w:rPr>
          <w:rFonts w:hint="eastAsia" w:ascii="宋体" w:hAnsi="宋体"/>
          <w:color w:val="ff0000"/>
          <w:sz w:val="24"/>
        </w:rPr>
        <w:t xml:space="preserve">要求</w:t>
      </w:r>
      <w:r>
        <w:rPr>
          <w:rFonts w:ascii="宋体" w:hAnsi="宋体"/>
          <w:color w:val="ff0000"/>
          <w:sz w:val="24"/>
        </w:rPr>
        <w:t xml:space="preserve">相关供应商在评标现场合理的时间内，提供项目</w:t>
      </w:r>
      <w:r>
        <w:rPr>
          <w:rFonts w:hint="eastAsia" w:ascii="宋体" w:hAnsi="宋体"/>
          <w:color w:val="ff0000"/>
          <w:sz w:val="24"/>
        </w:rPr>
        <w:t xml:space="preserve">具体</w:t>
      </w:r>
      <w:r>
        <w:rPr>
          <w:rFonts w:ascii="宋体" w:hAnsi="宋体"/>
          <w:color w:val="ff0000"/>
          <w:sz w:val="24"/>
        </w:rPr>
        <w:t xml:space="preserve">成本测算等与报价合理性相关的书面说明材料</w:t>
      </w:r>
      <w:r>
        <w:rPr>
          <w:rFonts w:hint="eastAsia" w:ascii="宋体" w:hAnsi="宋体"/>
          <w:color w:val="ff0000"/>
          <w:sz w:val="24"/>
        </w:rPr>
        <w:t xml:space="preserve">及</w:t>
      </w:r>
      <w:r>
        <w:rPr>
          <w:rFonts w:ascii="宋体" w:hAnsi="宋体"/>
          <w:color w:val="ff0000"/>
          <w:sz w:val="24"/>
        </w:rPr>
        <w:t xml:space="preserve">相关证明材料，对</w:t>
      </w:r>
      <w:r>
        <w:rPr>
          <w:rFonts w:hint="eastAsia" w:ascii="宋体" w:hAnsi="宋体"/>
          <w:color w:val="ff0000"/>
          <w:sz w:val="24"/>
        </w:rPr>
        <w:t xml:space="preserve">投标</w:t>
      </w:r>
      <w:r>
        <w:rPr>
          <w:rFonts w:ascii="宋体" w:hAnsi="宋体"/>
          <w:color w:val="ff0000"/>
          <w:sz w:val="24"/>
        </w:rPr>
        <w:t xml:space="preserve">价格作出解释，</w:t>
      </w:r>
      <w:r>
        <w:rPr>
          <w:rFonts w:hint="eastAsia" w:ascii="宋体" w:hAnsi="宋体"/>
          <w:color w:val="ff0000"/>
          <w:sz w:val="24"/>
        </w:rPr>
        <w:t xml:space="preserve">由</w:t>
      </w:r>
      <w:r>
        <w:rPr>
          <w:rFonts w:ascii="宋体" w:hAnsi="宋体"/>
          <w:color w:val="ff0000"/>
          <w:sz w:val="24"/>
        </w:rPr>
        <w:t xml:space="preserve">评标委员会结合同类</w:t>
      </w:r>
      <w:r>
        <w:rPr>
          <w:rFonts w:hint="eastAsia" w:ascii="宋体" w:hAnsi="宋体"/>
          <w:color w:val="ff0000"/>
          <w:sz w:val="24"/>
        </w:rPr>
        <w:t xml:space="preserve">产品</w:t>
      </w:r>
      <w:r>
        <w:rPr>
          <w:rFonts w:ascii="宋体" w:hAnsi="宋体"/>
          <w:color w:val="ff0000"/>
          <w:sz w:val="24"/>
        </w:rPr>
        <w:t xml:space="preserve">在主要电商平台的价格</w:t>
      </w:r>
      <w:r>
        <w:rPr>
          <w:rFonts w:hint="eastAsia" w:ascii="宋体" w:hAnsi="宋体"/>
          <w:color w:val="ff0000"/>
          <w:sz w:val="24"/>
        </w:rPr>
        <w:t xml:space="preserve">、</w:t>
      </w:r>
      <w:r>
        <w:rPr>
          <w:rFonts w:ascii="宋体" w:hAnsi="宋体"/>
          <w:color w:val="ff0000"/>
          <w:sz w:val="24"/>
        </w:rPr>
        <w:t xml:space="preserve">该行业当地薪资水平等情况，</w:t>
      </w:r>
      <w:r>
        <w:rPr>
          <w:rFonts w:hint="eastAsia" w:ascii="宋体" w:hAnsi="宋体"/>
          <w:color w:val="ff0000"/>
          <w:sz w:val="24"/>
        </w:rPr>
        <w:t xml:space="preserve">依据</w:t>
      </w:r>
      <w:r>
        <w:rPr>
          <w:rFonts w:ascii="宋体" w:hAnsi="宋体"/>
          <w:color w:val="ff0000"/>
          <w:sz w:val="24"/>
        </w:rPr>
        <w:t xml:space="preserve">专业经验对供应商报价合理性进行判断。投标</w:t>
      </w:r>
      <w:r>
        <w:rPr>
          <w:rFonts w:hint="eastAsia" w:ascii="宋体" w:hAnsi="宋体"/>
          <w:color w:val="ff0000"/>
          <w:sz w:val="24"/>
        </w:rPr>
        <w:t xml:space="preserve">供应商</w:t>
      </w:r>
      <w:r>
        <w:rPr>
          <w:rFonts w:ascii="宋体" w:hAnsi="宋体"/>
          <w:color w:val="ff0000"/>
          <w:sz w:val="24"/>
        </w:rPr>
        <w:t xml:space="preserve">不提供</w:t>
      </w:r>
      <w:r>
        <w:rPr>
          <w:rFonts w:hint="eastAsia" w:ascii="宋体" w:hAnsi="宋体"/>
          <w:color w:val="ff0000"/>
          <w:sz w:val="24"/>
        </w:rPr>
        <w:t xml:space="preserve">书面</w:t>
      </w:r>
      <w:r>
        <w:rPr>
          <w:rFonts w:ascii="宋体" w:hAnsi="宋体"/>
          <w:color w:val="ff0000"/>
          <w:sz w:val="24"/>
        </w:rPr>
        <w:t xml:space="preserve">说明</w:t>
      </w:r>
      <w:r>
        <w:rPr>
          <w:rFonts w:hint="eastAsia" w:ascii="宋体" w:hAnsi="宋体"/>
          <w:color w:val="ff0000"/>
          <w:sz w:val="24"/>
        </w:rPr>
        <w:t xml:space="preserve">、</w:t>
      </w:r>
      <w:r>
        <w:rPr>
          <w:rFonts w:ascii="宋体" w:hAnsi="宋体"/>
          <w:color w:val="ff0000"/>
          <w:sz w:val="24"/>
        </w:rPr>
        <w:t xml:space="preserve">证明材料，</w:t>
      </w:r>
      <w:r>
        <w:rPr>
          <w:rFonts w:hint="eastAsia" w:ascii="宋体" w:hAnsi="宋体"/>
          <w:color w:val="ff0000"/>
          <w:sz w:val="24"/>
        </w:rPr>
        <w:t xml:space="preserve">或者</w:t>
      </w:r>
      <w:r>
        <w:rPr>
          <w:rFonts w:ascii="宋体" w:hAnsi="宋体"/>
          <w:color w:val="ff0000"/>
          <w:sz w:val="24"/>
        </w:rPr>
        <w:t xml:space="preserve">提供的书面</w:t>
      </w:r>
      <w:r>
        <w:rPr>
          <w:rFonts w:hint="eastAsia" w:ascii="宋体" w:hAnsi="宋体"/>
          <w:color w:val="ff0000"/>
          <w:sz w:val="24"/>
        </w:rPr>
        <w:t xml:space="preserve">说明</w:t>
      </w:r>
      <w:r>
        <w:rPr>
          <w:rFonts w:ascii="宋体" w:hAnsi="宋体"/>
          <w:color w:val="ff0000"/>
          <w:sz w:val="24"/>
        </w:rPr>
        <w:t xml:space="preserve">、</w:t>
      </w:r>
      <w:r>
        <w:rPr>
          <w:rFonts w:hint="eastAsia" w:ascii="宋体" w:hAnsi="宋体"/>
          <w:color w:val="ff0000"/>
          <w:sz w:val="24"/>
        </w:rPr>
        <w:t xml:space="preserve">证明</w:t>
      </w:r>
      <w:r>
        <w:rPr>
          <w:rFonts w:ascii="宋体" w:hAnsi="宋体"/>
          <w:color w:val="ff0000"/>
          <w:sz w:val="24"/>
        </w:rPr>
        <w:t xml:space="preserve">材料不能证明其报价合理性的，评标委员会应当将其作为无效投标处理。审查</w:t>
      </w:r>
      <w:r>
        <w:rPr>
          <w:rFonts w:hint="eastAsia" w:ascii="宋体" w:hAnsi="宋体"/>
          <w:color w:val="ff0000"/>
          <w:sz w:val="24"/>
        </w:rPr>
        <w:t xml:space="preserve">相关</w:t>
      </w:r>
      <w:r>
        <w:rPr>
          <w:rFonts w:ascii="宋体" w:hAnsi="宋体"/>
          <w:color w:val="ff0000"/>
          <w:sz w:val="24"/>
        </w:rPr>
        <w:t xml:space="preserve">情况应当在评标</w:t>
      </w:r>
      <w:r>
        <w:rPr>
          <w:rFonts w:hint="eastAsia" w:ascii="宋体" w:hAnsi="宋体"/>
          <w:color w:val="ff0000"/>
          <w:sz w:val="24"/>
        </w:rPr>
        <w:t xml:space="preserve">报告</w:t>
      </w:r>
      <w:r>
        <w:rPr>
          <w:rFonts w:ascii="宋体" w:hAnsi="宋体"/>
          <w:color w:val="ff0000"/>
          <w:sz w:val="24"/>
        </w:rPr>
        <w:t xml:space="preserve">中进行记录。</w:t>
      </w:r>
      <w:r/>
    </w:p>
    <w:p>
      <w:pPr>
        <w:pStyle w:val="857"/>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25.1.10评标</w:t>
      </w:r>
      <w:r>
        <w:rPr>
          <w:rFonts w:ascii="宋体" w:hAnsi="宋体"/>
          <w:bCs/>
          <w:color w:val="ff0000"/>
          <w:sz w:val="24"/>
        </w:rPr>
        <w:t xml:space="preserve">委员会按照</w:t>
      </w:r>
      <w:r>
        <w:rPr>
          <w:rFonts w:hint="eastAsia" w:ascii="宋体" w:hAnsi="宋体"/>
          <w:bCs/>
          <w:color w:val="ff0000"/>
          <w:sz w:val="24"/>
        </w:rPr>
        <w:t xml:space="preserve">本</w:t>
      </w:r>
      <w:r>
        <w:rPr>
          <w:rFonts w:ascii="宋体" w:hAnsi="宋体"/>
          <w:bCs/>
          <w:color w:val="ff0000"/>
          <w:sz w:val="24"/>
        </w:rPr>
        <w:t xml:space="preserve">招标文件第</w:t>
      </w:r>
      <w:r>
        <w:rPr>
          <w:rFonts w:hint="eastAsia" w:ascii="宋体" w:hAnsi="宋体"/>
          <w:bCs/>
          <w:color w:val="ff0000"/>
          <w:sz w:val="24"/>
        </w:rPr>
        <w:t xml:space="preserve">二</w:t>
      </w:r>
      <w:r>
        <w:rPr>
          <w:rFonts w:ascii="宋体" w:hAnsi="宋体"/>
          <w:bCs/>
          <w:color w:val="ff0000"/>
          <w:sz w:val="24"/>
        </w:rPr>
        <w:t xml:space="preserve">章第</w:t>
      </w:r>
      <w:r>
        <w:rPr>
          <w:rFonts w:hint="eastAsia" w:ascii="宋体" w:hAnsi="宋体"/>
          <w:bCs/>
          <w:color w:val="ff0000"/>
          <w:sz w:val="24"/>
        </w:rPr>
        <w:t xml:space="preserve">2</w:t>
      </w:r>
      <w:r>
        <w:rPr>
          <w:rFonts w:ascii="宋体" w:hAnsi="宋体"/>
          <w:bCs/>
          <w:color w:val="ff0000"/>
          <w:sz w:val="24"/>
        </w:rPr>
        <w:t xml:space="preserve">4</w:t>
      </w:r>
      <w:r>
        <w:rPr>
          <w:rFonts w:hint="eastAsia" w:ascii="宋体" w:hAnsi="宋体"/>
          <w:bCs/>
          <w:color w:val="ff0000"/>
          <w:sz w:val="24"/>
        </w:rPr>
        <w:t xml:space="preserve">.</w:t>
      </w:r>
      <w:r>
        <w:rPr>
          <w:rFonts w:ascii="宋体" w:hAnsi="宋体"/>
          <w:bCs/>
          <w:color w:val="ff0000"/>
          <w:sz w:val="24"/>
        </w:rPr>
        <w:t xml:space="preserve">7</w:t>
      </w:r>
      <w:r>
        <w:rPr>
          <w:rFonts w:hint="eastAsia" w:ascii="宋体" w:hAnsi="宋体"/>
          <w:bCs/>
          <w:color w:val="ff0000"/>
          <w:sz w:val="24"/>
        </w:rPr>
        <w:t xml:space="preserve">.2条</w:t>
      </w:r>
      <w:r>
        <w:rPr>
          <w:rFonts w:ascii="宋体" w:hAnsi="宋体"/>
          <w:bCs/>
          <w:color w:val="ff0000"/>
          <w:sz w:val="24"/>
        </w:rPr>
        <w:t xml:space="preserve">规定</w:t>
      </w:r>
      <w:r>
        <w:rPr>
          <w:rFonts w:hint="eastAsia" w:ascii="宋体" w:hAnsi="宋体"/>
          <w:bCs/>
          <w:color w:val="ff0000"/>
          <w:sz w:val="24"/>
        </w:rPr>
        <w:t xml:space="preserve">对投标人</w:t>
      </w:r>
      <w:r>
        <w:rPr>
          <w:rFonts w:ascii="宋体" w:hAnsi="宋体"/>
          <w:bCs/>
          <w:color w:val="ff0000"/>
          <w:sz w:val="24"/>
        </w:rPr>
        <w:t xml:space="preserve">进行异常</w:t>
      </w:r>
      <w:r>
        <w:rPr>
          <w:rFonts w:hint="eastAsia" w:ascii="宋体" w:hAnsi="宋体"/>
          <w:bCs/>
          <w:color w:val="ff0000"/>
          <w:sz w:val="24"/>
        </w:rPr>
        <w:t xml:space="preserve">低价</w:t>
      </w:r>
      <w:r>
        <w:rPr>
          <w:rFonts w:ascii="宋体" w:hAnsi="宋体"/>
          <w:bCs/>
          <w:color w:val="ff0000"/>
          <w:sz w:val="24"/>
        </w:rPr>
        <w:t xml:space="preserve">投标审查</w:t>
      </w:r>
      <w:r>
        <w:rPr>
          <w:rFonts w:hint="eastAsia" w:ascii="宋体" w:hAnsi="宋体"/>
          <w:bCs/>
          <w:color w:val="ff0000"/>
          <w:sz w:val="24"/>
        </w:rPr>
        <w:t xml:space="preserve">后</w:t>
      </w:r>
      <w:r>
        <w:rPr>
          <w:rFonts w:ascii="宋体" w:hAnsi="宋体"/>
          <w:bCs/>
          <w:color w:val="ff0000"/>
          <w:sz w:val="24"/>
        </w:rPr>
        <w:t xml:space="preserve">，认为投标人</w:t>
      </w:r>
      <w:r>
        <w:rPr>
          <w:rFonts w:hint="eastAsia" w:ascii="宋体" w:hAnsi="宋体"/>
          <w:bCs/>
          <w:color w:val="ff0000"/>
          <w:sz w:val="24"/>
        </w:rPr>
        <w:t xml:space="preserve">不能</w:t>
      </w:r>
      <w:r>
        <w:rPr>
          <w:rFonts w:ascii="宋体" w:hAnsi="宋体"/>
          <w:bCs/>
          <w:color w:val="ff0000"/>
          <w:sz w:val="24"/>
        </w:rPr>
        <w:t xml:space="preserve">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56"/>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857"/>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857"/>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7"/>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56"/>
        <w:spacing w:before="145" w:after="145" w:line="400" w:lineRule="exact"/>
        <w:rPr>
          <w:rFonts w:hint="eastAsia"/>
        </w:rPr>
      </w:pPr>
      <w:r/>
      <w:bookmarkStart w:id="169" w:name="_Toc120614220"/>
      <w:r/>
      <w:bookmarkStart w:id="170" w:name="_Toc513029236"/>
      <w:r/>
      <w:bookmarkStart w:id="171" w:name="_Toc16938552"/>
      <w:r/>
      <w:bookmarkStart w:id="172" w:name="_Toc20823308"/>
      <w:r>
        <w:rPr>
          <w:rFonts w:hint="eastAsia"/>
        </w:rPr>
        <w:t xml:space="preserve">七、授予合同</w:t>
      </w:r>
      <w:bookmarkEnd w:id="169"/>
      <w:r/>
      <w:bookmarkEnd w:id="170"/>
      <w:bookmarkEnd w:id="171"/>
      <w:bookmarkEnd w:id="172"/>
      <w:r/>
    </w:p>
    <w:p>
      <w:pPr>
        <w:pStyle w:val="857"/>
        <w:ind w:firstLine="600"/>
        <w:spacing w:before="0" w:after="0" w:line="400" w:lineRule="exact"/>
        <w:rPr>
          <w:rFonts w:hint="eastAsia" w:ascii="黑体" w:hAnsi="宋体" w:cs="Times New Roman"/>
          <w:b w:val="0"/>
          <w:sz w:val="30"/>
          <w:szCs w:val="30"/>
        </w:rPr>
      </w:pPr>
      <w:r/>
      <w:bookmarkStart w:id="173" w:name="_Toc20823309"/>
      <w:r/>
      <w:bookmarkStart w:id="174" w:name="_Toc513029237"/>
      <w:r/>
      <w:bookmarkStart w:id="175"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57"/>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bookmarkEnd w:id="174"/>
      <w:bookmarkEnd w:id="175"/>
      <w:r/>
    </w:p>
    <w:p>
      <w:pPr>
        <w:pStyle w:val="857"/>
        <w:ind w:firstLine="600"/>
        <w:spacing w:before="0" w:after="0" w:line="400" w:lineRule="exact"/>
        <w:rPr>
          <w:rFonts w:ascii="黑体" w:hAnsi="宋体" w:cs="Times New Roman"/>
          <w:b w:val="0"/>
          <w:sz w:val="30"/>
          <w:szCs w:val="30"/>
        </w:rPr>
      </w:pPr>
      <w:r/>
      <w:bookmarkStart w:id="176" w:name="_Toc513029242"/>
      <w:r/>
      <w:bookmarkStart w:id="177" w:name="_Toc20823314"/>
      <w:r/>
      <w:bookmarkStart w:id="178" w:name="_Toc16938558"/>
      <w:r/>
      <w:bookmarkStart w:id="179" w:name="_Toc479757207"/>
      <w:r/>
      <w:bookmarkStart w:id="180" w:name="_Toc12061422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55"/>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p>
    <w:p>
      <w:pPr>
        <w:pStyle w:val="855"/>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53"/>
        <w:jc w:val="both"/>
        <w:rPr>
          <w:rFonts w:ascii="黑体" w:eastAsia="黑体"/>
          <w:bCs/>
          <w:sz w:val="44"/>
        </w:rPr>
      </w:pPr>
      <w:r>
        <w:rPr>
          <w:rFonts w:ascii="黑体" w:eastAsia="黑体"/>
          <w:bCs/>
          <w:sz w:val="44"/>
        </w:rPr>
      </w:r>
      <w:r/>
    </w:p>
    <w:p>
      <w:pPr>
        <w:pStyle w:val="853"/>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28"/>
        <w:rPr>
          <w:rFonts w:hint="eastAsia"/>
        </w:rPr>
      </w:pPr>
      <w:r>
        <w:rPr>
          <w:rFonts w:hint="eastAsia"/>
        </w:rPr>
      </w:r>
      <w:r/>
    </w:p>
    <w:p>
      <w:pPr>
        <w:pStyle w:val="853"/>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181" w:name="_Toc16938559"/>
      <w:r/>
      <w:bookmarkStart w:id="182" w:name="_Toc20823315"/>
      <w:r/>
      <w:bookmarkStart w:id="183" w:name="_Toc513029243"/>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南图互联网专线业务接入及服务</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p>
    <w:p>
      <w:pPr>
        <w:pStyle w:val="890"/>
        <w:spacing w:before="120" w:after="120"/>
        <w:rPr>
          <w:rFonts w:hAnsi="宋体" w:eastAsia="宋体"/>
          <w:color w:val="000000"/>
          <w:sz w:val="24"/>
          <w:szCs w:val="24"/>
          <w:lang w:val="en-US" w:eastAsia="zh-CN"/>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w:t>
      </w:r>
      <w:r>
        <w:rPr>
          <w:rFonts w:hint="eastAsia" w:hAnsi="宋体"/>
          <w:color w:val="000000"/>
          <w:sz w:val="24"/>
          <w:szCs w:val="24"/>
          <w:u w:val="single"/>
          <w:lang w:val="en-US" w:eastAsia="zh-CN"/>
        </w:rPr>
        <w:t xml:space="preserve">南京图书馆 </w:t>
      </w:r>
      <w:r/>
    </w:p>
    <w:p>
      <w:pPr>
        <w:pStyle w:val="890"/>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890"/>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 南图互联网专线业务接入及服务</w:t>
      </w:r>
      <w:r>
        <w:rPr>
          <w:rFonts w:hint="eastAsia" w:hAnsi="宋体"/>
          <w:color w:val="000000"/>
          <w:sz w:val="24"/>
          <w:szCs w:val="24"/>
          <w:u w:val="single"/>
          <w:lang w:val="en-US" w:eastAsia="zh-CN"/>
        </w:rPr>
        <w:t xml:space="preserve"> </w:t>
      </w:r>
      <w:r>
        <w:rPr>
          <w:rFonts w:hAnsi="宋体"/>
          <w:color w:val="000000"/>
          <w:sz w:val="24"/>
          <w:szCs w:val="24"/>
        </w:rPr>
        <w:t xml:space="preserve">项目公开招标的结果，签署本合同。</w:t>
      </w:r>
      <w:r/>
    </w:p>
    <w:p>
      <w:pPr>
        <w:pStyle w:val="89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9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9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90"/>
        <w:spacing w:before="120" w:after="120"/>
        <w:rPr>
          <w:rFonts w:hint="eastAsia" w:hAnsi="宋体"/>
          <w:sz w:val="24"/>
          <w:szCs w:val="24"/>
        </w:rPr>
      </w:pPr>
      <w:r>
        <w:rPr>
          <w:rFonts w:hint="eastAsia" w:hAnsi="宋体"/>
          <w:sz w:val="24"/>
          <w:szCs w:val="24"/>
        </w:rPr>
        <w:t xml:space="preserve">1.3 标的数量（规模）：</w:t>
      </w:r>
      <w:r/>
    </w:p>
    <w:p>
      <w:pPr>
        <w:pStyle w:val="890"/>
        <w:spacing w:before="120" w:after="120"/>
        <w:rPr>
          <w:rFonts w:hint="eastAsia" w:hAnsi="宋体"/>
          <w:sz w:val="24"/>
          <w:szCs w:val="24"/>
        </w:rPr>
      </w:pPr>
      <w:r>
        <w:rPr>
          <w:rFonts w:hint="eastAsia" w:hAnsi="宋体"/>
          <w:sz w:val="24"/>
          <w:szCs w:val="24"/>
        </w:rPr>
        <w:t xml:space="preserve">1.4 履行时间（期限）：</w:t>
      </w:r>
      <w:r/>
    </w:p>
    <w:p>
      <w:pPr>
        <w:pStyle w:val="890"/>
        <w:spacing w:before="120" w:after="120"/>
        <w:rPr>
          <w:rFonts w:hAnsi="宋体"/>
          <w:sz w:val="24"/>
          <w:szCs w:val="24"/>
        </w:rPr>
      </w:pPr>
      <w:r>
        <w:rPr>
          <w:rFonts w:hint="eastAsia" w:hAnsi="宋体"/>
          <w:sz w:val="24"/>
          <w:szCs w:val="24"/>
        </w:rPr>
        <w:t xml:space="preserve">1.5 履行地点：</w:t>
      </w:r>
      <w:r/>
    </w:p>
    <w:p>
      <w:pPr>
        <w:pStyle w:val="89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890"/>
        <w:spacing w:before="120" w:after="120"/>
        <w:rPr>
          <w:rFonts w:hAnsi="宋体"/>
          <w:b/>
          <w:sz w:val="24"/>
          <w:szCs w:val="24"/>
        </w:rPr>
      </w:pPr>
      <w:r>
        <w:rPr>
          <w:rFonts w:hAnsi="宋体"/>
          <w:b/>
          <w:sz w:val="24"/>
          <w:szCs w:val="24"/>
        </w:rPr>
        <w:t xml:space="preserve">二、合同金额</w:t>
      </w:r>
      <w:r/>
    </w:p>
    <w:p>
      <w:pPr>
        <w:pStyle w:val="890"/>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90"/>
        <w:spacing w:before="120" w:after="120"/>
        <w:rPr>
          <w:rFonts w:hAnsi="宋体"/>
          <w:b/>
          <w:sz w:val="24"/>
          <w:szCs w:val="24"/>
        </w:rPr>
      </w:pPr>
      <w:r>
        <w:rPr>
          <w:rFonts w:hAnsi="宋体"/>
          <w:b/>
          <w:sz w:val="24"/>
          <w:szCs w:val="24"/>
        </w:rPr>
        <w:t xml:space="preserve">三、技术资料</w:t>
      </w:r>
      <w:r/>
    </w:p>
    <w:p>
      <w:pPr>
        <w:pStyle w:val="89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9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0"/>
        <w:ind w:left="412" w:hanging="412"/>
        <w:spacing w:before="120" w:after="120"/>
        <w:rPr>
          <w:rFonts w:hAnsi="宋体"/>
          <w:b/>
          <w:sz w:val="24"/>
          <w:szCs w:val="24"/>
        </w:rPr>
      </w:pPr>
      <w:r>
        <w:rPr>
          <w:rFonts w:hAnsi="宋体"/>
          <w:b/>
          <w:sz w:val="24"/>
          <w:szCs w:val="24"/>
        </w:rPr>
        <w:t xml:space="preserve">四、知识产权</w:t>
      </w:r>
      <w:r/>
    </w:p>
    <w:p>
      <w:pPr>
        <w:pStyle w:val="89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90"/>
        <w:spacing w:before="120" w:after="120"/>
        <w:rPr>
          <w:rFonts w:hAnsi="宋体"/>
          <w:sz w:val="24"/>
          <w:szCs w:val="24"/>
          <w:u w:val="single"/>
        </w:rPr>
      </w:pPr>
      <w:r>
        <w:rPr>
          <w:rFonts w:hAnsi="宋体"/>
          <w:b/>
          <w:sz w:val="24"/>
          <w:szCs w:val="24"/>
        </w:rPr>
        <w:t xml:space="preserve">五、产权担保</w:t>
      </w:r>
      <w:r/>
    </w:p>
    <w:p>
      <w:pPr>
        <w:pStyle w:val="89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90"/>
        <w:ind w:left="410" w:hanging="410"/>
        <w:spacing w:before="120" w:after="120"/>
        <w:rPr>
          <w:rFonts w:hAnsi="宋体"/>
          <w:b/>
          <w:sz w:val="24"/>
          <w:szCs w:val="24"/>
        </w:rPr>
      </w:pPr>
      <w:r>
        <w:rPr>
          <w:rFonts w:hAnsi="宋体"/>
          <w:b/>
          <w:sz w:val="24"/>
          <w:szCs w:val="24"/>
        </w:rPr>
        <w:t xml:space="preserve">六、履约保证金</w:t>
      </w:r>
      <w:r/>
    </w:p>
    <w:p>
      <w:pPr>
        <w:pStyle w:val="890"/>
        <w:ind w:left="408" w:hanging="408"/>
        <w:spacing w:before="120" w:after="120"/>
        <w:rPr>
          <w:rFonts w:hint="eastAsia" w:hAnsi="宋体"/>
          <w:sz w:val="24"/>
          <w:szCs w:val="24"/>
        </w:rPr>
      </w:pPr>
      <w:r>
        <w:rPr>
          <w:rFonts w:hAnsi="宋体"/>
          <w:sz w:val="24"/>
          <w:szCs w:val="24"/>
        </w:rPr>
        <w:t xml:space="preserve">6.1 乙方交纳人民币</w:t>
      </w:r>
      <w:r>
        <w:rPr>
          <w:rFonts w:hint="eastAsia" w:hAnsi="宋体"/>
          <w:color w:val="0000ff"/>
          <w:sz w:val="24"/>
          <w:szCs w:val="24"/>
          <w:u w:val="single"/>
          <w:lang w:val="en-US" w:eastAsia="zh-CN"/>
        </w:rPr>
        <w:t xml:space="preserve"> 无 </w:t>
      </w:r>
      <w:r>
        <w:rPr>
          <w:rFonts w:hAnsi="宋体"/>
          <w:sz w:val="24"/>
          <w:szCs w:val="24"/>
        </w:rPr>
        <w:t xml:space="preserve">元作为本合同的履约保证金。</w:t>
      </w:r>
      <w:r>
        <w:rPr>
          <w:rFonts w:hint="eastAsia" w:hAnsi="宋体"/>
          <w:sz w:val="24"/>
          <w:szCs w:val="24"/>
        </w:rPr>
        <w:t xml:space="preserve">（不得超过合同金额的10%）</w:t>
      </w:r>
      <w:r/>
    </w:p>
    <w:p>
      <w:pPr>
        <w:pStyle w:val="890"/>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890"/>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890"/>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890"/>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890"/>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9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.1.1 预付款支付时间：合同签订采购人收到发票后</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工作日内，预付款支付比例：合同金额的</w:t>
      </w:r>
      <w:r>
        <w:rPr>
          <w:rFonts w:hint="eastAsia" w:ascii="宋体" w:hAnsi="宋体"/>
          <w:color w:val="000000"/>
          <w:sz w:val="24"/>
          <w:szCs w:val="24"/>
          <w:highlight w:val="none"/>
          <w:lang w:val="en-US" w:eastAsia="zh-CN"/>
        </w:rPr>
        <w:t xml:space="preserve">50</w:t>
      </w:r>
      <w:r>
        <w:rPr>
          <w:rFonts w:hint="eastAsia" w:ascii="宋体" w:hAnsi="宋体"/>
          <w:color w:val="000000"/>
          <w:sz w:val="24"/>
          <w:szCs w:val="24"/>
          <w:highlight w:val="none"/>
        </w:rPr>
        <w:t xml:space="preserve">%。</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尾款支付时间：</w:t>
      </w:r>
      <w:r>
        <w:rPr>
          <w:rFonts w:hint="eastAsia" w:ascii="宋体" w:hAnsi="宋体"/>
          <w:color w:val="000000"/>
          <w:sz w:val="24"/>
          <w:szCs w:val="24"/>
          <w:highlight w:val="none"/>
        </w:rPr>
        <w:t xml:space="preserve">平稳运行</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个月</w:t>
      </w:r>
      <w:r>
        <w:rPr>
          <w:rFonts w:hint="eastAsia" w:ascii="宋体" w:hAnsi="宋体"/>
          <w:color w:val="000000"/>
          <w:sz w:val="24"/>
          <w:szCs w:val="24"/>
          <w:lang w:eastAsia="zh-CN"/>
        </w:rPr>
        <w:t xml:space="preserve">，</w:t>
      </w:r>
      <w:r>
        <w:rPr>
          <w:rFonts w:hint="eastAsia" w:ascii="宋体" w:hAnsi="宋体"/>
          <w:color w:val="000000"/>
          <w:sz w:val="24"/>
          <w:szCs w:val="24"/>
        </w:rPr>
        <w:t xml:space="preserve">采购人收到发票后</w:t>
      </w:r>
      <w:r>
        <w:rPr>
          <w:rFonts w:hint="eastAsia" w:ascii="宋体" w:hAnsi="宋体"/>
          <w:color w:val="000000"/>
          <w:sz w:val="24"/>
          <w:szCs w:val="24"/>
          <w:lang w:val="en-US" w:eastAsia="zh-CN"/>
        </w:rPr>
        <w:t xml:space="preserve">20</w:t>
      </w:r>
      <w:r>
        <w:rPr>
          <w:rFonts w:hint="eastAsia" w:ascii="宋体" w:hAnsi="宋体"/>
          <w:color w:val="000000"/>
          <w:sz w:val="24"/>
          <w:szCs w:val="24"/>
        </w:rPr>
        <w:t xml:space="preserve">个工作日内，尾款支付比例：合同金额的</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0%。</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9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9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9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9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9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9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9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9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9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9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9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9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9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9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9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9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9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9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9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90"/>
        <w:ind w:left="480" w:hanging="480"/>
        <w:spacing w:before="120" w:after="120"/>
        <w:rPr>
          <w:rFonts w:hAnsi="宋体"/>
          <w:sz w:val="24"/>
          <w:szCs w:val="24"/>
        </w:rPr>
      </w:pPr>
      <w:r>
        <w:rPr>
          <w:rFonts w:hAnsi="宋体"/>
          <w:sz w:val="24"/>
          <w:szCs w:val="24"/>
        </w:rPr>
      </w:r>
      <w:r/>
    </w:p>
    <w:p>
      <w:pPr>
        <w:pStyle w:val="890"/>
        <w:ind w:left="480" w:hanging="480"/>
        <w:spacing w:before="120" w:after="120"/>
        <w:rPr>
          <w:rFonts w:hAnsi="宋体"/>
          <w:sz w:val="24"/>
          <w:szCs w:val="24"/>
        </w:rPr>
      </w:pPr>
      <w:r>
        <w:rPr>
          <w:rFonts w:hAnsi="宋体"/>
          <w:sz w:val="24"/>
          <w:szCs w:val="24"/>
        </w:rPr>
      </w:r>
      <w:r/>
    </w:p>
    <w:p>
      <w:pPr>
        <w:pStyle w:val="890"/>
        <w:ind w:left="480" w:hanging="480"/>
        <w:spacing w:before="120" w:after="120" w:line="0" w:lineRule="atLeast"/>
        <w:rPr>
          <w:rFonts w:hAnsi="宋体"/>
          <w:sz w:val="24"/>
          <w:szCs w:val="24"/>
        </w:rPr>
      </w:pPr>
      <w:r>
        <w:rPr>
          <w:rFonts w:hAnsi="宋体"/>
          <w:sz w:val="24"/>
          <w:szCs w:val="24"/>
        </w:rPr>
        <w:t xml:space="preserve">  甲方：                        乙方： </w:t>
      </w:r>
      <w:r/>
    </w:p>
    <w:p>
      <w:pPr>
        <w:pStyle w:val="89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9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90"/>
        <w:ind w:firstLine="240"/>
        <w:spacing w:before="120" w:after="120" w:line="0" w:lineRule="atLeast"/>
        <w:rPr>
          <w:rFonts w:hint="eastAsia"/>
        </w:rPr>
      </w:pPr>
      <w:r>
        <w:rPr>
          <w:rFonts w:hint="eastAsia" w:hAnsi="宋体"/>
          <w:sz w:val="24"/>
          <w:szCs w:val="24"/>
        </w:rPr>
        <w:t xml:space="preserve">联系电话：                    联系电话：          </w:t>
      </w:r>
      <w:r/>
    </w:p>
    <w:p>
      <w:pPr>
        <w:pStyle w:val="890"/>
        <w:jc w:val="center"/>
        <w:spacing w:before="120" w:after="120" w:line="0" w:lineRule="atLeast"/>
      </w:pPr>
      <w:r>
        <w:rPr>
          <w:rFonts w:hint="eastAsia"/>
        </w:rPr>
        <w:t xml:space="preserve">                                         </w:t>
      </w:r>
      <w:r/>
    </w:p>
    <w:p>
      <w:pPr>
        <w:pStyle w:val="890"/>
        <w:jc w:val="right"/>
        <w:spacing w:before="120" w:after="120" w:line="0" w:lineRule="atLeast"/>
        <w:rPr>
          <w:sz w:val="24"/>
          <w:szCs w:val="24"/>
        </w:rPr>
      </w:pPr>
      <w:r>
        <w:rPr>
          <w:rFonts w:hint="eastAsia"/>
          <w:sz w:val="24"/>
          <w:szCs w:val="24"/>
        </w:rPr>
        <w:t xml:space="preserve"> </w:t>
      </w:r>
      <w:r/>
    </w:p>
    <w:p>
      <w:pPr>
        <w:pStyle w:val="890"/>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spacing w:line="0" w:lineRule="atLeast"/>
        <w:rPr>
          <w:rFonts w:ascii="宋体" w:hAnsi="宋体"/>
          <w:b/>
          <w:color w:val="000000"/>
          <w:sz w:val="24"/>
          <w:szCs w:val="24"/>
        </w:rPr>
      </w:pPr>
      <w:r/>
      <w:bookmarkStart w:id="191" w:name="_Toc49090575"/>
      <w:r/>
      <w:bookmarkStart w:id="192"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519"/>
        <w:gridCol w:w="5412"/>
        <w:gridCol w:w="1988"/>
      </w:tblGrid>
      <w:tr>
        <w:trPr>
          <w:cantSplit/>
          <w:jc w:val="center"/>
        </w:trPr>
        <w:tc>
          <w:tcPr>
            <w:tcW w:w="99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1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541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19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990" w:type="dxa"/>
            <w:vAlign w:val="top"/>
            <w:textDirection w:val="lrTb"/>
            <w:noWrap w:val="false"/>
          </w:tcPr>
          <w:p>
            <w:pPr>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1</w:t>
            </w:r>
            <w:r/>
          </w:p>
        </w:tc>
        <w:tc>
          <w:tcPr>
            <w:tcW w:w="519" w:type="dxa"/>
            <w:vAlign w:val="top"/>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5412" w:type="dxa"/>
            <w:vAlign w:val="top"/>
            <w:textDirection w:val="lrTb"/>
            <w:noWrap w:val="false"/>
          </w:tcPr>
          <w:p>
            <w:pPr>
              <w:jc w:val="left"/>
              <w:spacing w:line="0" w:lineRule="atLeast"/>
              <w:tabs>
                <w:tab w:val="left" w:pos="202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南图大行宫新馆千兆互联网专线接入及服务</w:t>
            </w:r>
            <w:r/>
          </w:p>
        </w:tc>
        <w:tc>
          <w:tcPr>
            <w:tcW w:w="1988" w:type="dxa"/>
            <w:vAlign w:val="top"/>
            <w:textDirection w:val="lrTb"/>
            <w:noWrap w:val="false"/>
          </w:tcPr>
          <w:p>
            <w:pPr>
              <w:jc w:val="center"/>
              <w:spacing w:line="0" w:lineRule="atLeast"/>
              <w:rPr>
                <w:rFonts w:ascii="宋体" w:hAnsi="宋体"/>
                <w:color w:val="000000"/>
                <w:sz w:val="24"/>
                <w:szCs w:val="24"/>
              </w:rPr>
            </w:pPr>
            <w:r>
              <w:rPr>
                <w:rFonts w:hint="eastAsia" w:ascii="宋体" w:hAnsi="宋体" w:cs="宋体"/>
                <w:color w:val="000000"/>
                <w:szCs w:val="21"/>
                <w:highlight w:val="none"/>
              </w:rPr>
              <w:t xml:space="preserve">信息传输业</w:t>
            </w:r>
            <w:r/>
          </w:p>
        </w:tc>
      </w:tr>
      <w:tr>
        <w:trPr>
          <w:cantSplit/>
          <w:jc w:val="center"/>
          <w:trHeight w:val="291"/>
        </w:trPr>
        <w:tc>
          <w:tcPr>
            <w:tcW w:w="990" w:type="dxa"/>
            <w:vAlign w:val="top"/>
            <w:textDirection w:val="lrTb"/>
            <w:noWrap w:val="false"/>
          </w:tcPr>
          <w:p>
            <w:pPr>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p>
        </w:tc>
        <w:tc>
          <w:tcPr>
            <w:tcW w:w="519" w:type="dxa"/>
            <w:vAlign w:val="top"/>
            <w:textDirection w:val="lrTb"/>
            <w:noWrap w:val="false"/>
          </w:tcPr>
          <w:p>
            <w:pPr>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1</w:t>
            </w:r>
            <w:r/>
          </w:p>
        </w:tc>
        <w:tc>
          <w:tcPr>
            <w:tcW w:w="5412" w:type="dxa"/>
            <w:vAlign w:val="top"/>
            <w:textDirection w:val="lrTb"/>
            <w:noWrap w:val="false"/>
          </w:tcPr>
          <w:p>
            <w:pPr>
              <w:jc w:val="left"/>
              <w:spacing w:line="0" w:lineRule="atLeast"/>
              <w:tabs>
                <w:tab w:val="left" w:pos="20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南图大行宫新馆千兆备用宽带和成贤街老馆千兆宽带专线接入及服务</w:t>
            </w:r>
            <w:r/>
          </w:p>
        </w:tc>
        <w:tc>
          <w:tcPr>
            <w:tcW w:w="1988" w:type="dxa"/>
            <w:vAlign w:val="top"/>
            <w:textDirection w:val="lrTb"/>
            <w:noWrap w:val="false"/>
          </w:tcPr>
          <w:p>
            <w:pPr>
              <w:jc w:val="center"/>
              <w:spacing w:line="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信息传输业</w:t>
            </w:r>
            <w:r/>
          </w:p>
        </w:tc>
      </w:tr>
    </w:tbl>
    <w:p>
      <w:pPr>
        <w:ind w:firstLine="480"/>
        <w:spacing w:line="400" w:lineRule="exact"/>
      </w:pPr>
      <w:r>
        <w:rPr>
          <w:rFonts w:hint="eastAsia" w:ascii="宋体" w:hAnsi="宋体" w:eastAsia="宋体" w:cs="宋体"/>
          <w:color w:val="000000"/>
          <w:sz w:val="24"/>
          <w:szCs w:val="24"/>
          <w:highlight w:val="none"/>
          <w:lang w:val="en-US" w:eastAsia="zh-CN"/>
        </w:rPr>
        <w:t xml:space="preserve">分包一：南京图书馆大行宫馆区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中山东路189号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1000M互联网专线宽带接入服务以及150个互联网IP地址及安全服务。专线宽带主要用于南图网站系统、南图ALEPH500等核心业务系统、南图数字图书馆系统、南图馆外70多家流通服务点自助借还书系统等130多个业务系统互联网接入服务、读者有线以及办公等互联网接入服务，安全服务包含DDoS攻击防护服务以及漏洞扫描等服务。</w:t>
      </w:r>
      <w:r/>
    </w:p>
    <w:p>
      <w:pPr>
        <w:ind w:firstLine="480"/>
        <w:spacing w:line="400" w:lineRule="exact"/>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分包二：</w:t>
      </w:r>
      <w:r>
        <w:rPr>
          <w:rFonts w:hint="eastAsia" w:ascii="宋体" w:hAnsi="宋体" w:eastAsia="宋体" w:cs="宋体"/>
          <w:color w:val="000000"/>
          <w:sz w:val="24"/>
          <w:szCs w:val="24"/>
          <w:highlight w:val="none"/>
        </w:rPr>
        <w:t xml:space="preserve">南京图书馆大行宫新馆（中山东路189号）1000M互联网备用专线宽带接入服务以及100个互联网IP地址及安全服务；南京图书馆成贤街老馆（成贤街66号）1000M互联网专线宽带接入服务以及10个互联网IP地址及安全服务。新馆宽带主要用于新馆无线网服务、江苏省公共数字文化相关系统互联网接入服务以及新馆130多个业务系统备用冗余宽带专线接入服务。安全服务包含DDoS攻击防护服务以及漏洞扫描等服务。成贤街老馆宽带主要用于老馆400万册典藏图书管理和文献数字化加工等业务。</w:t>
      </w:r>
      <w:r>
        <w:rPr>
          <w:rFonts w:hint="eastAsia" w:ascii="宋体" w:hAnsi="宋体" w:eastAsia="宋体" w:cs="宋体"/>
          <w:color w:val="000000"/>
          <w:sz w:val="24"/>
          <w:szCs w:val="24"/>
          <w:highlight w:val="none"/>
          <w:lang w:val="en-US" w:eastAsia="zh-CN"/>
        </w:rPr>
        <w:t xml:space="preserve"> </w:t>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spacing w:line="0" w:lineRule="atLeas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spacing w:line="0" w:lineRule="atLeas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（一）分包一要求：</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2.1</w:t>
      </w:r>
      <w:r>
        <w:rPr>
          <w:rFonts w:hint="eastAsia" w:ascii="宋体" w:hAnsi="宋体" w:eastAsia="宋体" w:cs="宋体"/>
          <w:color w:val="0000ff"/>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提供1000M互联网专线宽带。具体要求如下：</w:t>
      </w:r>
      <w:r/>
    </w:p>
    <w:p>
      <w:pPr>
        <w:spacing w:line="0" w:lineRule="atLeast"/>
        <w:rPr>
          <w:rFonts w:hint="eastAsia" w:ascii="宋体" w:hAnsi="宋体" w:eastAsia="宋体" w:cs="Times New Roman"/>
          <w:b w:val="0"/>
          <w:bCs w:val="0"/>
          <w:i/>
          <w:iCs/>
          <w:color w:val="000000"/>
          <w:sz w:val="24"/>
          <w:szCs w:val="24"/>
          <w:highlight w:val="none"/>
          <w:u w:val="single"/>
          <w:lang w:val="en-US" w:eastAsia="zh-CN"/>
        </w:rPr>
      </w:pPr>
      <w:r>
        <w:rPr>
          <w:rFonts w:hint="eastAsia" w:ascii="宋体" w:hAnsi="宋体" w:eastAsia="宋体" w:cs="宋体"/>
          <w:color w:val="000000"/>
          <w:highlight w:val="none"/>
          <w:lang w:val="en-US" w:eastAsia="zh-CN"/>
        </w:rPr>
        <w:t xml:space="preserve">*</w:t>
      </w:r>
      <w:r>
        <w:rPr>
          <w:rFonts w:hint="eastAsia" w:ascii="宋体" w:hAnsi="宋体" w:eastAsia="宋体" w:cs="Times New Roman"/>
          <w:b w:val="0"/>
          <w:bCs w:val="0"/>
          <w:i/>
          <w:iCs/>
          <w:color w:val="000000"/>
          <w:sz w:val="24"/>
          <w:szCs w:val="24"/>
          <w:highlight w:val="none"/>
          <w:u w:val="single"/>
          <w:lang w:val="en-US" w:eastAsia="zh-CN"/>
        </w:rPr>
        <w:t xml:space="preserve">2.1.1 互联网专线宽带必须直接接入南京城域互联网骨干汇聚层。</w:t>
      </w:r>
      <w:r/>
    </w:p>
    <w:p>
      <w:pPr>
        <w:spacing w:line="0" w:lineRule="atLeast"/>
        <w:rPr>
          <w:rFonts w:ascii="宋体" w:hAnsi="宋体" w:eastAsia="宋体" w:cs="Times New Roman"/>
          <w:i/>
          <w:iCs/>
          <w:color w:val="000000"/>
          <w:sz w:val="24"/>
          <w:szCs w:val="24"/>
          <w:highlight w:val="none"/>
          <w:u w:val="single"/>
          <w:lang w:val="en-US" w:eastAsia="zh-CN"/>
        </w:rPr>
      </w:pPr>
      <w:r>
        <w:rPr>
          <w:rFonts w:hint="eastAsia" w:ascii="宋体" w:hAnsi="宋体" w:eastAsia="宋体" w:cs="宋体"/>
          <w:color w:val="000000"/>
          <w:highlight w:val="none"/>
          <w:lang w:val="en-US" w:eastAsia="zh-CN"/>
        </w:rPr>
        <w:t xml:space="preserve">*</w:t>
      </w:r>
      <w:r>
        <w:rPr>
          <w:rFonts w:hint="eastAsia" w:ascii="宋体" w:hAnsi="宋体" w:eastAsia="宋体" w:cs="Times New Roman"/>
          <w:i/>
          <w:iCs/>
          <w:color w:val="000000"/>
          <w:sz w:val="24"/>
          <w:szCs w:val="24"/>
          <w:highlight w:val="none"/>
          <w:u w:val="single"/>
          <w:lang w:val="en-US" w:eastAsia="zh-CN"/>
        </w:rPr>
        <w:t xml:space="preserve">2.1.2 大行宫新馆宽带全天（24 小时）上下行带宽独享，且带宽速率为1000Mbps。</w:t>
      </w:r>
      <w:r/>
    </w:p>
    <w:p>
      <w:pPr>
        <w:spacing w:line="0" w:lineRule="atLeast"/>
        <w:rPr>
          <w:rFonts w:ascii="宋体" w:hAnsi="宋体" w:eastAsia="宋体" w:cs="Times New Roman"/>
          <w:i/>
          <w:iCs/>
          <w:color w:val="000000"/>
          <w:sz w:val="24"/>
          <w:szCs w:val="24"/>
          <w:highlight w:val="none"/>
          <w:u w:val="single"/>
          <w:lang w:val="en-US" w:eastAsia="zh-CN"/>
        </w:rPr>
      </w:pPr>
      <w:r>
        <w:rPr>
          <w:rFonts w:hint="eastAsia" w:ascii="宋体" w:hAnsi="宋体" w:eastAsia="宋体" w:cs="宋体"/>
          <w:color w:val="000000"/>
          <w:highlight w:val="none"/>
          <w:lang w:val="en-US" w:eastAsia="zh-CN"/>
        </w:rPr>
        <w:t xml:space="preserve">*</w:t>
      </w:r>
      <w:r>
        <w:rPr>
          <w:rFonts w:hint="eastAsia" w:ascii="宋体" w:hAnsi="宋体" w:eastAsia="宋体" w:cs="Times New Roman"/>
          <w:i/>
          <w:iCs/>
          <w:color w:val="000000"/>
          <w:sz w:val="24"/>
          <w:szCs w:val="24"/>
          <w:highlight w:val="none"/>
          <w:u w:val="single"/>
          <w:lang w:val="en-US" w:eastAsia="zh-CN"/>
        </w:rPr>
        <w:t xml:space="preserve">2.1.3 为南图中山东路189号新馆提供不少于150个互联网专用固定IP地址（支持IPv4段及IPv6段）。如IP变更原因影响南图ALEPH500核心业务系统、南图官网、南图数图系统、馆外流通服务点自助借还书等系统正常运行超24小时，则南图有权终止合同。</w:t>
      </w:r>
      <w:r/>
    </w:p>
    <w:p>
      <w:pPr>
        <w:spacing w:line="0" w:lineRule="atLeast"/>
        <w:rPr>
          <w:rFonts w:hint="eastAsia" w:ascii="宋体" w:hAnsi="宋体" w:eastAsia="宋体" w:cs="Times New Roman"/>
          <w:i/>
          <w:iCs/>
          <w:color w:val="000000"/>
          <w:sz w:val="24"/>
          <w:szCs w:val="24"/>
          <w:highlight w:val="none"/>
          <w:u w:val="single"/>
          <w:lang w:val="en-US" w:eastAsia="zh-CN"/>
        </w:rPr>
      </w:pPr>
      <w:r>
        <w:rPr>
          <w:rFonts w:hint="eastAsia" w:ascii="宋体" w:hAnsi="宋体" w:eastAsia="宋体" w:cs="Times New Roman"/>
          <w:i/>
          <w:iCs/>
          <w:color w:val="000000"/>
          <w:sz w:val="24"/>
          <w:szCs w:val="24"/>
          <w:highlight w:val="none"/>
          <w:u w:val="single"/>
          <w:lang w:val="en-US" w:eastAsia="zh-CN"/>
        </w:rPr>
        <w:t xml:space="preserve">*2.1.4 中标公司签订合同后72小时内完成布线工作，并提供IP地址给用户测试。*2.1.5 丢包率：对公网DNS进行Ping包测试，包长为默认64Byte，平均丢包率≤0.01%。</w:t>
      </w:r>
      <w:r/>
    </w:p>
    <w:p>
      <w:pPr>
        <w:spacing w:line="0" w:lineRule="atLeast"/>
        <w:rPr>
          <w:rFonts w:hint="eastAsia" w:ascii="宋体" w:hAnsi="宋体" w:eastAsia="宋体" w:cs="Times New Roman"/>
          <w:i/>
          <w:iCs/>
          <w:color w:val="000000"/>
          <w:sz w:val="24"/>
          <w:szCs w:val="24"/>
          <w:highlight w:val="none"/>
          <w:u w:val="single"/>
          <w:lang w:val="en-US" w:eastAsia="zh-CN"/>
        </w:rPr>
      </w:pPr>
      <w:r>
        <w:rPr>
          <w:rFonts w:hint="eastAsia" w:ascii="宋体" w:hAnsi="宋体" w:eastAsia="宋体" w:cs="Times New Roman"/>
          <w:i/>
          <w:iCs/>
          <w:color w:val="000000"/>
          <w:sz w:val="24"/>
          <w:szCs w:val="24"/>
          <w:highlight w:val="none"/>
          <w:u w:val="single"/>
          <w:lang w:val="en-US" w:eastAsia="zh-CN"/>
        </w:rPr>
        <w:t xml:space="preserve">*2.1.6 网络时延：对公网DNS进行Ping包测试，包长为默认64Byte，要求平均时延≤5ms。</w:t>
      </w:r>
      <w:r/>
    </w:p>
    <w:p>
      <w:pPr>
        <w:spacing w:line="0" w:lineRule="atLeast"/>
        <w:rPr>
          <w:rFonts w:hint="eastAsia" w:ascii="宋体" w:hAnsi="宋体" w:eastAsia="宋体" w:cs="Times New Roman"/>
          <w:i/>
          <w:iCs/>
          <w:color w:val="000000"/>
          <w:sz w:val="24"/>
          <w:szCs w:val="24"/>
          <w:highlight w:val="none"/>
          <w:u w:val="single"/>
          <w:lang w:val="en-US" w:eastAsia="zh-CN"/>
        </w:rPr>
      </w:pPr>
      <w:r>
        <w:rPr>
          <w:rFonts w:hint="eastAsia" w:ascii="宋体" w:hAnsi="宋体" w:eastAsia="宋体" w:cs="Times New Roman"/>
          <w:i/>
          <w:iCs/>
          <w:color w:val="000000"/>
          <w:sz w:val="24"/>
          <w:szCs w:val="24"/>
          <w:highlight w:val="none"/>
          <w:u w:val="single"/>
          <w:lang w:val="en-US" w:eastAsia="zh-CN"/>
        </w:rPr>
        <w:t xml:space="preserve">*2.1.7 晚高峰速率波动率&lt;7%。</w:t>
      </w:r>
      <w:r/>
    </w:p>
    <w:p>
      <w:pPr>
        <w:spacing w:line="0" w:lineRule="atLeast"/>
        <w:rPr>
          <w:rFonts w:ascii="宋体" w:hAnsi="宋体" w:eastAsia="宋体" w:cs="Times New Roman"/>
          <w:i/>
          <w:iCs/>
          <w:color w:val="000000"/>
          <w:sz w:val="24"/>
          <w:szCs w:val="24"/>
          <w:highlight w:val="none"/>
          <w:u w:val="single"/>
          <w:lang w:val="en-US" w:eastAsia="zh-CN"/>
        </w:rPr>
      </w:pPr>
      <w:r>
        <w:rPr>
          <w:rFonts w:hint="eastAsia" w:ascii="宋体" w:hAnsi="宋体" w:eastAsia="宋体" w:cs="Times New Roman"/>
          <w:i/>
          <w:iCs/>
          <w:color w:val="000000"/>
          <w:sz w:val="24"/>
          <w:szCs w:val="24"/>
          <w:highlight w:val="none"/>
          <w:u w:val="single"/>
          <w:lang w:val="en-US" w:eastAsia="zh-CN"/>
        </w:rPr>
        <w:t xml:space="preserve">*2.1.8 跨省/跨网平均时延&lt;7ms。</w:t>
      </w:r>
      <w:r/>
    </w:p>
    <w:p>
      <w:pPr>
        <w:spacing w:line="0" w:lineRule="atLeast"/>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Times New Roman"/>
          <w:i w:val="0"/>
          <w:iCs w:val="0"/>
          <w:color w:val="000000"/>
          <w:sz w:val="24"/>
          <w:szCs w:val="24"/>
          <w:highlight w:val="none"/>
          <w:u w:val="none"/>
          <w:lang w:val="en-US" w:eastAsia="zh-CN"/>
        </w:rPr>
        <w:t xml:space="preserve">2.1.9 可用带宽：上下行速率需达到招标带宽的95%以上。</w:t>
      </w:r>
      <w:r/>
    </w:p>
    <w:p>
      <w:pPr>
        <w:spacing w:line="0" w:lineRule="atLeast"/>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 xml:space="preserve">△2.1.10漏洞扫描服务要求</w:t>
      </w:r>
      <w:r/>
    </w:p>
    <w:p>
      <w:pPr>
        <w:spacing w:line="0" w:lineRule="atLeast"/>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 xml:space="preserve">按季度对该专线承载的互联网网站、系统、平台进行漏洞扫描，出具漏扫报告并提供修复建议。</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2.1.11故障响应服务</w:t>
      </w:r>
      <w:r/>
    </w:p>
    <w:tbl>
      <w:tblPr>
        <w:tblStyle w:val="683"/>
        <w:tblW w:w="8303" w:type="dxa"/>
        <w:jc w:val="center"/>
        <w:tblLayout w:type="fixed"/>
        <w:tblCellMar>
          <w:left w:w="108" w:type="dxa"/>
          <w:top w:w="0" w:type="dxa"/>
          <w:right w:w="108" w:type="dxa"/>
          <w:bottom w:w="0" w:type="dxa"/>
        </w:tblCellMar>
        <w:tblLook w:val="04A0" w:firstRow="1" w:lastRow="0" w:firstColumn="1" w:lastColumn="0" w:noHBand="0" w:noVBand="1"/>
      </w:tblPr>
      <w:tblGrid>
        <w:gridCol w:w="1334"/>
        <w:gridCol w:w="3828"/>
        <w:gridCol w:w="1358"/>
        <w:gridCol w:w="1783"/>
      </w:tblGrid>
      <w:tr>
        <w:trPr>
          <w:jc w:val="center"/>
          <w:trHeight w:val="759"/>
        </w:trPr>
        <w:tc>
          <w:tcPr>
            <w:tcBorders>
              <w:top w:val="single" w:color="000000" w:sz="6" w:space="0"/>
              <w:left w:val="single" w:color="000000" w:sz="6" w:space="0"/>
              <w:bottom w:val="single" w:color="000000" w:sz="6" w:space="0"/>
              <w:right w:val="single" w:color="000000" w:sz="6" w:space="0"/>
            </w:tcBorders>
            <w:tcW w:w="1334"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故障级别</w:t>
            </w:r>
            <w:r/>
          </w:p>
        </w:tc>
        <w:tc>
          <w:tcPr>
            <w:tcBorders>
              <w:top w:val="single" w:color="000000" w:sz="6" w:space="0"/>
              <w:left w:val="single" w:color="000000" w:sz="6" w:space="0"/>
              <w:bottom w:val="single" w:color="000000" w:sz="6" w:space="0"/>
              <w:right w:val="single" w:color="000000" w:sz="4" w:space="0"/>
            </w:tcBorders>
            <w:tcW w:w="382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定义</w:t>
            </w:r>
            <w:r/>
          </w:p>
        </w:tc>
        <w:tc>
          <w:tcPr>
            <w:tcBorders>
              <w:top w:val="single" w:color="000000" w:sz="6" w:space="0"/>
              <w:left w:val="single" w:color="000000" w:sz="4" w:space="0"/>
              <w:bottom w:val="single" w:color="000000" w:sz="6" w:space="0"/>
              <w:right w:val="single" w:color="000000" w:sz="4" w:space="0"/>
            </w:tcBorders>
            <w:tcW w:w="135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响应时间</w:t>
            </w:r>
            <w:r/>
          </w:p>
        </w:tc>
        <w:tc>
          <w:tcPr>
            <w:tcBorders>
              <w:top w:val="single" w:color="000000" w:sz="6" w:space="0"/>
              <w:left w:val="single" w:color="000000" w:sz="4" w:space="0"/>
              <w:bottom w:val="single" w:color="000000" w:sz="6" w:space="0"/>
              <w:right w:val="single" w:color="000000" w:sz="6" w:space="0"/>
            </w:tcBorders>
            <w:tcW w:w="1783"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故障恢复时间</w:t>
            </w:r>
            <w:r/>
          </w:p>
        </w:tc>
      </w:tr>
      <w:tr>
        <w:trPr>
          <w:cantSplit/>
          <w:jc w:val="center"/>
          <w:trHeight w:val="759"/>
        </w:trPr>
        <w:tc>
          <w:tcPr>
            <w:tcBorders>
              <w:top w:val="single" w:color="000000" w:sz="6" w:space="0"/>
              <w:left w:val="single" w:color="000000" w:sz="6" w:space="0"/>
              <w:bottom w:val="single" w:color="000000" w:sz="6" w:space="0"/>
              <w:right w:val="single" w:color="000000" w:sz="6" w:space="0"/>
            </w:tcBorders>
            <w:tcW w:w="1334"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一级故障</w:t>
            </w:r>
            <w:r/>
          </w:p>
        </w:tc>
        <w:tc>
          <w:tcPr>
            <w:tcBorders>
              <w:top w:val="single" w:color="000000" w:sz="6" w:space="0"/>
              <w:left w:val="single" w:color="000000" w:sz="6" w:space="0"/>
              <w:bottom w:val="single" w:color="000000" w:sz="6" w:space="0"/>
              <w:right w:val="single" w:color="000000" w:sz="4" w:space="0"/>
            </w:tcBorders>
            <w:tcW w:w="382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故障严重影响关键业务运行</w:t>
            </w:r>
            <w:r/>
          </w:p>
        </w:tc>
        <w:tc>
          <w:tcPr>
            <w:tcBorders>
              <w:top w:val="single" w:color="000000" w:sz="6" w:space="0"/>
              <w:left w:val="single" w:color="000000" w:sz="4" w:space="0"/>
              <w:bottom w:val="single" w:color="000000" w:sz="6" w:space="0"/>
              <w:right w:val="single" w:color="000000" w:sz="4" w:space="0"/>
            </w:tcBorders>
            <w:tcW w:w="135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立即响应</w:t>
            </w:r>
            <w:r/>
          </w:p>
        </w:tc>
        <w:tc>
          <w:tcPr>
            <w:tcBorders>
              <w:top w:val="single" w:color="000000" w:sz="6" w:space="0"/>
              <w:left w:val="single" w:color="000000" w:sz="4" w:space="0"/>
              <w:bottom w:val="single" w:color="000000" w:sz="6" w:space="0"/>
              <w:right w:val="single" w:color="000000" w:sz="6" w:space="0"/>
            </w:tcBorders>
            <w:tcW w:w="1783"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≤30min</w:t>
            </w:r>
            <w:r/>
          </w:p>
        </w:tc>
      </w:tr>
      <w:tr>
        <w:trPr>
          <w:cantSplit/>
          <w:jc w:val="center"/>
          <w:trHeight w:val="759"/>
        </w:trPr>
        <w:tc>
          <w:tcPr>
            <w:tcBorders>
              <w:top w:val="single" w:color="000000" w:sz="6" w:space="0"/>
              <w:left w:val="single" w:color="000000" w:sz="6" w:space="0"/>
              <w:bottom w:val="single" w:color="000000" w:sz="6" w:space="0"/>
              <w:right w:val="single" w:color="000000" w:sz="6" w:space="0"/>
            </w:tcBorders>
            <w:tcW w:w="1334"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二级故障</w:t>
            </w:r>
            <w:r/>
          </w:p>
        </w:tc>
        <w:tc>
          <w:tcPr>
            <w:tcBorders>
              <w:top w:val="single" w:color="000000" w:sz="6" w:space="0"/>
              <w:left w:val="single" w:color="000000" w:sz="6" w:space="0"/>
              <w:bottom w:val="single" w:color="000000" w:sz="6" w:space="0"/>
              <w:right w:val="single" w:color="000000" w:sz="4" w:space="0"/>
            </w:tcBorders>
            <w:tcW w:w="382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故障影响其它关键业务</w:t>
            </w:r>
            <w:r/>
          </w:p>
        </w:tc>
        <w:tc>
          <w:tcPr>
            <w:tcBorders>
              <w:top w:val="single" w:color="000000" w:sz="6" w:space="0"/>
              <w:left w:val="single" w:color="000000" w:sz="4" w:space="0"/>
              <w:bottom w:val="single" w:color="000000" w:sz="6" w:space="0"/>
              <w:right w:val="single" w:color="000000" w:sz="4" w:space="0"/>
            </w:tcBorders>
            <w:tcW w:w="135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立即响应</w:t>
            </w:r>
            <w:r/>
          </w:p>
        </w:tc>
        <w:tc>
          <w:tcPr>
            <w:tcBorders>
              <w:top w:val="single" w:color="000000" w:sz="6" w:space="0"/>
              <w:left w:val="single" w:color="000000" w:sz="4" w:space="0"/>
              <w:bottom w:val="single" w:color="000000" w:sz="6" w:space="0"/>
              <w:right w:val="single" w:color="000000" w:sz="6" w:space="0"/>
            </w:tcBorders>
            <w:tcW w:w="1783"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≤1h</w:t>
            </w:r>
            <w:r/>
          </w:p>
        </w:tc>
      </w:tr>
      <w:tr>
        <w:trPr>
          <w:cantSplit/>
          <w:jc w:val="center"/>
          <w:trHeight w:val="759"/>
        </w:trPr>
        <w:tc>
          <w:tcPr>
            <w:tcBorders>
              <w:top w:val="single" w:color="000000" w:sz="6" w:space="0"/>
              <w:left w:val="single" w:color="000000" w:sz="6" w:space="0"/>
              <w:bottom w:val="single" w:color="000000" w:sz="6" w:space="0"/>
              <w:right w:val="single" w:color="000000" w:sz="6" w:space="0"/>
            </w:tcBorders>
            <w:tcW w:w="1334"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三级故障</w:t>
            </w:r>
            <w:r/>
          </w:p>
        </w:tc>
        <w:tc>
          <w:tcPr>
            <w:tcBorders>
              <w:top w:val="single" w:color="000000" w:sz="6" w:space="0"/>
              <w:left w:val="single" w:color="000000" w:sz="6" w:space="0"/>
              <w:bottom w:val="single" w:color="000000" w:sz="6" w:space="0"/>
              <w:right w:val="single" w:color="000000" w:sz="4" w:space="0"/>
            </w:tcBorders>
            <w:tcW w:w="382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发生故障，但未影响客户业务</w:t>
            </w:r>
            <w:r/>
          </w:p>
        </w:tc>
        <w:tc>
          <w:tcPr>
            <w:tcBorders>
              <w:top w:val="single" w:color="000000" w:sz="6" w:space="0"/>
              <w:left w:val="single" w:color="000000" w:sz="4" w:space="0"/>
              <w:bottom w:val="single" w:color="000000" w:sz="6" w:space="0"/>
              <w:right w:val="single" w:color="000000" w:sz="4" w:space="0"/>
            </w:tcBorders>
            <w:tcW w:w="135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立即响应</w:t>
            </w:r>
            <w:r/>
          </w:p>
        </w:tc>
        <w:tc>
          <w:tcPr>
            <w:tcBorders>
              <w:top w:val="single" w:color="000000" w:sz="6" w:space="0"/>
              <w:left w:val="single" w:color="000000" w:sz="4" w:space="0"/>
              <w:bottom w:val="single" w:color="000000" w:sz="6" w:space="0"/>
              <w:right w:val="single" w:color="000000" w:sz="6" w:space="0"/>
            </w:tcBorders>
            <w:tcW w:w="1783"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≤2h</w:t>
            </w:r>
            <w:r/>
          </w:p>
        </w:tc>
      </w:tr>
      <w:tr>
        <w:trPr>
          <w:cantSplit/>
          <w:jc w:val="center"/>
          <w:trHeight w:val="759"/>
        </w:trPr>
        <w:tc>
          <w:tcPr>
            <w:tcBorders>
              <w:top w:val="single" w:color="000000" w:sz="6" w:space="0"/>
              <w:left w:val="single" w:color="000000" w:sz="6" w:space="0"/>
              <w:bottom w:val="single" w:color="000000" w:sz="6" w:space="0"/>
              <w:right w:val="single" w:color="000000" w:sz="6" w:space="0"/>
            </w:tcBorders>
            <w:tcW w:w="1334"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咨询类问题</w:t>
            </w:r>
            <w:r/>
          </w:p>
        </w:tc>
        <w:tc>
          <w:tcPr>
            <w:tcBorders>
              <w:top w:val="single" w:color="000000" w:sz="6" w:space="0"/>
              <w:left w:val="single" w:color="000000" w:sz="6" w:space="0"/>
              <w:bottom w:val="single" w:color="000000" w:sz="6" w:space="0"/>
              <w:right w:val="single" w:color="000000" w:sz="4" w:space="0"/>
            </w:tcBorders>
            <w:tcW w:w="382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非故障的关于产品的功能、参数的咨询</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关于配置类问题、版本类问题的咨询</w:t>
            </w:r>
            <w:r/>
          </w:p>
        </w:tc>
        <w:tc>
          <w:tcPr>
            <w:tcBorders>
              <w:top w:val="single" w:color="000000" w:sz="6" w:space="0"/>
              <w:left w:val="single" w:color="000000" w:sz="4" w:space="0"/>
              <w:bottom w:val="single" w:color="000000" w:sz="6" w:space="0"/>
              <w:right w:val="single" w:color="000000" w:sz="4" w:space="0"/>
            </w:tcBorders>
            <w:tcW w:w="135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立即响应</w:t>
            </w:r>
            <w:r/>
          </w:p>
        </w:tc>
        <w:tc>
          <w:tcPr>
            <w:tcBorders>
              <w:top w:val="single" w:color="000000" w:sz="6" w:space="0"/>
              <w:left w:val="single" w:color="000000" w:sz="4" w:space="0"/>
              <w:bottom w:val="single" w:color="000000" w:sz="6" w:space="0"/>
              <w:right w:val="single" w:color="000000" w:sz="6" w:space="0"/>
            </w:tcBorders>
            <w:tcW w:w="1783"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≤5min</w:t>
            </w:r>
            <w:r/>
          </w:p>
        </w:tc>
      </w:tr>
    </w:tbl>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i w:val="0"/>
          <w:iCs w:val="0"/>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2.1.12 接入运营商宽带在江苏省南京市城域网的骨干网络，要求用拓扑图的形式画出运营商的骨干网络，指出本项目专线的接入点，并标明各骨干路由器的带宽和设备型号。</w:t>
      </w:r>
      <w:r/>
    </w:p>
    <w:p>
      <w:pPr>
        <w:spacing w:line="0" w:lineRule="atLeast"/>
        <w:rPr>
          <w:rFonts w:hint="eastAsia"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2.1.13</w:t>
      </w:r>
      <w:r>
        <w:rPr>
          <w:rFonts w:hint="eastAsia" w:ascii="宋体" w:hAnsi="宋体" w:eastAsia="宋体" w:cs="Times New Roman"/>
          <w:b w:val="0"/>
          <w:bCs w:val="0"/>
          <w:i w:val="0"/>
          <w:iCs w:val="0"/>
          <w:color w:val="000000"/>
          <w:sz w:val="24"/>
          <w:szCs w:val="24"/>
          <w:highlight w:val="none"/>
          <w:lang w:val="en-US" w:eastAsia="zh-CN"/>
        </w:rPr>
        <w:t xml:space="preserve"> DDoS攻击防护服务要求</w:t>
      </w:r>
      <w:r/>
    </w:p>
    <w:p>
      <w:pPr>
        <w:spacing w:line="0" w:lineRule="atLeast"/>
        <w:rPr>
          <w:rFonts w:hint="eastAsia"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具备DDoS攻击实时监测功能，流量清洗能力达到T级，支持分析溯源和月报输出。</w:t>
      </w:r>
      <w:r/>
    </w:p>
    <w:p>
      <w:pPr>
        <w:spacing w:line="0" w:lineRule="atLeast"/>
        <w:rPr>
          <w:rFonts w:hint="eastAsia"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实时监控——实时监测省互联网网入方向流量DDoS攻击情况，；</w:t>
      </w:r>
      <w:r/>
    </w:p>
    <w:p>
      <w:pPr>
        <w:spacing w:line="0" w:lineRule="atLeast"/>
        <w:rPr>
          <w:rFonts w:hint="eastAsia"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智能防护——需7*24小时值守按需开启清洗服务；可清洗最大流量1G。</w:t>
      </w:r>
      <w:r/>
    </w:p>
    <w:p>
      <w:pPr>
        <w:spacing w:line="0" w:lineRule="atLeast"/>
        <w:rPr>
          <w:rFonts w:hint="eastAsia"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攻击特征分析报表——提供攻击特征分析报表，内容包括攻击开始及结束时间、攻击流量分析、攻击来源分析及攻击包特征分析等，增强客户网络流量和安全状况的可见性。</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可防御的攻击类型</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2.1.13.1 </w:t>
      </w:r>
      <w:r>
        <w:rPr>
          <w:rFonts w:hint="eastAsia" w:ascii="宋体" w:hAnsi="宋体" w:eastAsia="宋体" w:cs="Times New Roman"/>
          <w:color w:val="000000"/>
          <w:sz w:val="24"/>
          <w:szCs w:val="24"/>
          <w:highlight w:val="none"/>
          <w:lang w:val="en-US" w:eastAsia="zh-CN"/>
        </w:rPr>
        <w:t xml:space="preserve">Invalid Packets (错包型攻击)</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2.1.13.2 </w:t>
      </w:r>
      <w:r>
        <w:rPr>
          <w:rFonts w:hint="eastAsia" w:ascii="宋体" w:hAnsi="宋体" w:eastAsia="宋体" w:cs="Times New Roman"/>
          <w:color w:val="000000"/>
          <w:sz w:val="24"/>
          <w:szCs w:val="24"/>
          <w:highlight w:val="none"/>
          <w:lang w:val="en-US" w:eastAsia="zh-CN"/>
        </w:rPr>
        <w:t xml:space="preserve">Flooding（资源耗尽型攻击）</w:t>
      </w:r>
      <w:r/>
    </w:p>
    <w:p>
      <w:pP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2.1.13.3 </w:t>
      </w:r>
      <w:r>
        <w:rPr>
          <w:rFonts w:hint="eastAsia" w:ascii="宋体" w:hAnsi="宋体" w:eastAsia="宋体" w:cs="Times New Roman"/>
          <w:color w:val="000000"/>
          <w:sz w:val="24"/>
          <w:szCs w:val="24"/>
          <w:highlight w:val="none"/>
          <w:lang w:val="en-US" w:eastAsia="zh-CN"/>
        </w:rPr>
        <w:t xml:space="preserve">Malformed（访问异常型攻击）</w:t>
      </w:r>
      <w:r/>
    </w:p>
    <w:p>
      <w:pPr>
        <w:numPr>
          <w:ilvl w:val="0"/>
          <w:numId w:val="0"/>
        </w:numP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2.1.13.4 </w:t>
      </w:r>
      <w:r>
        <w:rPr>
          <w:rFonts w:hint="eastAsia" w:ascii="宋体" w:hAnsi="宋体" w:eastAsia="宋体" w:cs="Times New Roman"/>
          <w:color w:val="000000"/>
          <w:sz w:val="24"/>
          <w:szCs w:val="24"/>
          <w:highlight w:val="none"/>
          <w:lang w:val="en-US" w:eastAsia="zh-CN"/>
        </w:rPr>
        <w:t xml:space="preserve">DNS 攻击</w:t>
      </w:r>
      <w:r/>
    </w:p>
    <w:p>
      <w:pPr>
        <w:numPr>
          <w:ilvl w:val="0"/>
          <w:numId w:val="0"/>
        </w:numP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2.1.13.5 </w:t>
      </w:r>
      <w:r>
        <w:rPr>
          <w:rFonts w:hint="eastAsia" w:ascii="宋体" w:hAnsi="宋体" w:eastAsia="宋体" w:cs="Times New Roman"/>
          <w:color w:val="000000"/>
          <w:sz w:val="24"/>
          <w:szCs w:val="24"/>
          <w:highlight w:val="none"/>
          <w:lang w:val="en-US" w:eastAsia="zh-CN"/>
        </w:rPr>
        <w:t xml:space="preserve">HTTP 攻击（CC攻击）</w:t>
      </w:r>
      <w:r/>
    </w:p>
    <w:p>
      <w:pPr>
        <w:numPr>
          <w:ilvl w:val="0"/>
          <w:numId w:val="0"/>
        </w:numP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2.1.13.6 </w:t>
      </w:r>
      <w:r>
        <w:rPr>
          <w:rFonts w:hint="eastAsia" w:ascii="宋体" w:hAnsi="宋体" w:eastAsia="宋体" w:cs="Times New Roman"/>
          <w:color w:val="000000"/>
          <w:sz w:val="24"/>
          <w:szCs w:val="24"/>
          <w:highlight w:val="none"/>
          <w:lang w:val="en-US" w:eastAsia="zh-CN"/>
        </w:rPr>
        <w:t xml:space="preserve">TCP 连接耗尽攻击</w:t>
      </w:r>
      <w:r/>
    </w:p>
    <w:tbl>
      <w:tblPr>
        <w:tblStyle w:val="683"/>
        <w:tblW w:w="0" w:type="auto"/>
        <w:tblInd w:w="318" w:type="dxa"/>
        <w:tblLayout w:type="fixed"/>
        <w:tblCellMar>
          <w:left w:w="108" w:type="dxa"/>
          <w:top w:w="0" w:type="dxa"/>
          <w:right w:w="108" w:type="dxa"/>
          <w:bottom w:w="0" w:type="dxa"/>
        </w:tblCellMar>
        <w:tblLook w:val="04A0" w:firstRow="1" w:lastRow="0" w:firstColumn="1" w:lastColumn="0" w:noHBand="0" w:noVBand="1"/>
      </w:tblPr>
      <w:tblGrid>
        <w:gridCol w:w="3588"/>
        <w:gridCol w:w="4591"/>
      </w:tblGrid>
      <w:tr>
        <w:trPr>
          <w:trHeight w:val="472"/>
        </w:trPr>
        <w:tc>
          <w:tcPr>
            <w:tcBorders>
              <w:top w:val="single" w:color="000000" w:sz="8" w:space="0"/>
              <w:left w:val="single" w:color="000000" w:sz="8" w:space="0"/>
              <w:bottom w:val="single" w:color="000000" w:sz="8" w:space="0"/>
              <w:right w:val="single" w:color="000000" w:sz="8" w:space="0"/>
            </w:tcBorders>
            <w:tcW w:w="358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攻击种类</w:t>
            </w:r>
            <w:r/>
          </w:p>
        </w:tc>
        <w:tc>
          <w:tcPr>
            <w:tcBorders>
              <w:top w:val="single" w:color="000000" w:sz="8" w:space="0"/>
              <w:left w:val="none" w:color="000000" w:sz="4" w:space="0"/>
              <w:bottom w:val="single" w:color="000000" w:sz="8" w:space="0"/>
              <w:right w:val="single" w:color="000000" w:sz="8" w:space="0"/>
            </w:tcBorders>
            <w:tcW w:w="4591"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攻击类型</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restart"/>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Invalid Packets (错包型攻击)</w:t>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Malformed IP Header</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Incomplete Fragment</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Bad IP Checksum</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Duplicate Fragment</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Fragment Too Long</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Short Packet</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Short TCP Packet</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Short UDP Packet</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Short ICMP Packet</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Bad TCP / UDP Checksum</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Invalid TCP Flags</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Invalid ACK Number</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restart"/>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Flooding（资源耗尽型攻击）</w:t>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SYN Flooding</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TCP Flags Flooding</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Ping Flooding</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UDP Flooding</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restart"/>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Malformed（访问异常型攻击）</w:t>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HTTP Malformed</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DNS Malformed</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SIP Malformed</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restart"/>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DNS 攻击</w:t>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DNS Query Flooding (UDP)</w:t>
            </w:r>
            <w:r/>
          </w:p>
        </w:tc>
      </w:tr>
      <w:tr>
        <w:trPr>
          <w:trHeight w:val="472"/>
        </w:trPr>
        <w:tc>
          <w:tcPr>
            <w:tcBorders>
              <w:top w:val="none" w:color="000000" w:sz="4" w:space="0"/>
              <w:left w:val="single" w:color="000000" w:sz="8" w:space="0"/>
              <w:bottom w:val="single" w:color="000000" w:sz="4"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DNS Query Flooding (TCP)</w:t>
            </w:r>
            <w:r/>
          </w:p>
        </w:tc>
      </w:tr>
      <w:tr>
        <w:trPr>
          <w:trHeight w:val="442"/>
        </w:trPr>
        <w:tc>
          <w:tcPr>
            <w:tcBorders>
              <w:top w:val="single" w:color="000000" w:sz="4" w:space="0"/>
              <w:left w:val="single" w:color="000000" w:sz="4" w:space="0"/>
              <w:bottom w:val="single" w:color="000000" w:sz="4" w:space="0"/>
              <w:right w:val="single" w:color="000000" w:sz="4" w:space="0"/>
            </w:tcBorders>
            <w:tcW w:w="3588" w:type="dxa"/>
            <w:vAlign w:val="center"/>
            <w:vMerge w:val="restart"/>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HTTP 攻击（CC攻击）</w:t>
            </w:r>
            <w:r/>
          </w:p>
        </w:tc>
        <w:tc>
          <w:tcPr>
            <w:tcBorders>
              <w:top w:val="single" w:color="000000" w:sz="4" w:space="0"/>
              <w:left w:val="single" w:color="000000" w:sz="4" w:space="0"/>
              <w:bottom w:val="single" w:color="000000" w:sz="4" w:space="0"/>
              <w:right w:val="single" w:color="000000" w:sz="4"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HTTP Query Flooding</w:t>
            </w:r>
            <w:r/>
          </w:p>
        </w:tc>
      </w:tr>
      <w:tr>
        <w:trPr>
          <w:trHeight w:val="442"/>
        </w:trPr>
        <w:tc>
          <w:tcPr>
            <w:tcBorders>
              <w:top w:val="single" w:color="000000" w:sz="4" w:space="0"/>
              <w:left w:val="single" w:color="000000" w:sz="4" w:space="0"/>
              <w:bottom w:val="single" w:color="000000" w:sz="4" w:space="0"/>
              <w:right w:val="single" w:color="000000" w:sz="4"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HTTP Object Flooding</w:t>
            </w:r>
            <w:r/>
          </w:p>
        </w:tc>
      </w:tr>
      <w:tr>
        <w:trPr>
          <w:trHeight w:val="442"/>
        </w:trPr>
        <w:tc>
          <w:tcPr>
            <w:tcBorders>
              <w:top w:val="single" w:color="000000" w:sz="4" w:space="0"/>
              <w:left w:val="single" w:color="000000" w:sz="4" w:space="0"/>
              <w:bottom w:val="single" w:color="000000" w:sz="4" w:space="0"/>
              <w:right w:val="single" w:color="000000" w:sz="4"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HTTP URL Flooding</w:t>
            </w:r>
            <w:r/>
          </w:p>
        </w:tc>
      </w:tr>
      <w:tr>
        <w:trPr>
          <w:trHeight w:val="442"/>
        </w:trPr>
        <w:tc>
          <w:tcPr>
            <w:tcBorders>
              <w:top w:val="single" w:color="000000" w:sz="4" w:space="0"/>
              <w:left w:val="single" w:color="000000" w:sz="4" w:space="0"/>
              <w:bottom w:val="single" w:color="000000" w:sz="4" w:space="0"/>
              <w:right w:val="single" w:color="000000" w:sz="4" w:space="0"/>
            </w:tcBorders>
            <w:tcW w:w="3588" w:type="dxa"/>
            <w:vAlign w:val="center"/>
            <w:vMerge w:val="restart"/>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TCP 连接耗尽攻击</w:t>
            </w:r>
            <w:r/>
          </w:p>
        </w:tc>
        <w:tc>
          <w:tcPr>
            <w:tcBorders>
              <w:top w:val="single" w:color="000000" w:sz="4" w:space="0"/>
              <w:left w:val="single" w:color="000000" w:sz="4" w:space="0"/>
              <w:bottom w:val="single" w:color="000000" w:sz="4" w:space="0"/>
              <w:right w:val="single" w:color="000000" w:sz="4"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TCP connection idle</w:t>
            </w:r>
            <w:r/>
          </w:p>
        </w:tc>
      </w:tr>
      <w:tr>
        <w:trPr>
          <w:trHeight w:val="442"/>
        </w:trPr>
        <w:tc>
          <w:tcPr>
            <w:tcBorders>
              <w:top w:val="single" w:color="000000" w:sz="4" w:space="0"/>
              <w:left w:val="single" w:color="000000" w:sz="4"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singl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TCP connection Flooding</w:t>
            </w:r>
            <w:r/>
          </w:p>
        </w:tc>
      </w:tr>
      <w:tr>
        <w:trPr>
          <w:trHeight w:val="535"/>
        </w:trPr>
        <w:tc>
          <w:tcPr>
            <w:tcBorders>
              <w:top w:val="none" w:color="000000" w:sz="4" w:space="0"/>
              <w:left w:val="single" w:color="000000" w:sz="4"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TCP connection Slow Attack</w:t>
            </w:r>
            <w:r/>
          </w:p>
        </w:tc>
      </w:tr>
    </w:tbl>
    <w:p>
      <w:pPr>
        <w:spacing w:line="0" w:lineRule="atLeas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spacing w:line="0" w:lineRule="atLeas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spacing w:line="0" w:lineRule="atLeas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（二）分包二要求：</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提供1000M互联网专线宽带。具体要求如下：</w:t>
      </w:r>
      <w:r/>
    </w:p>
    <w:p>
      <w:pPr>
        <w:spacing w:line="0" w:lineRule="atLeast"/>
        <w:rPr>
          <w:rFonts w:hint="eastAsia" w:ascii="宋体" w:hAnsi="宋体" w:eastAsia="宋体" w:cs="Times New Roman"/>
          <w:b w:val="0"/>
          <w:bCs w:val="0"/>
          <w:i/>
          <w:iCs/>
          <w:color w:val="000000"/>
          <w:sz w:val="24"/>
          <w:szCs w:val="24"/>
          <w:highlight w:val="none"/>
          <w:u w:val="single"/>
          <w:lang w:val="en-US" w:eastAsia="zh-CN"/>
        </w:rPr>
      </w:pPr>
      <w:r>
        <w:rPr>
          <w:rFonts w:hint="eastAsia" w:ascii="宋体" w:hAnsi="宋体" w:eastAsia="宋体" w:cs="宋体"/>
          <w:color w:val="000000"/>
          <w:highlight w:val="none"/>
          <w:lang w:val="en-US" w:eastAsia="zh-CN"/>
        </w:rPr>
        <w:t xml:space="preserve">*</w:t>
      </w:r>
      <w:r>
        <w:rPr>
          <w:rFonts w:hint="eastAsia" w:ascii="宋体" w:hAnsi="宋体" w:eastAsia="宋体" w:cs="Times New Roman"/>
          <w:b w:val="0"/>
          <w:bCs w:val="0"/>
          <w:i/>
          <w:iCs/>
          <w:color w:val="000000"/>
          <w:sz w:val="24"/>
          <w:szCs w:val="24"/>
          <w:highlight w:val="none"/>
          <w:u w:val="single"/>
          <w:lang w:val="en-US" w:eastAsia="zh-CN"/>
        </w:rPr>
        <w:t xml:space="preserve">2.1.1 互联网专线宽带必须直接接入南京城域互联网骨干汇聚层。</w:t>
      </w:r>
      <w:r/>
    </w:p>
    <w:p>
      <w:pPr>
        <w:spacing w:line="0" w:lineRule="atLeast"/>
        <w:rPr>
          <w:rFonts w:hint="eastAsia" w:ascii="宋体" w:hAnsi="宋体" w:eastAsia="宋体" w:cs="Times New Roman"/>
          <w:i/>
          <w:iCs/>
          <w:color w:val="000000"/>
          <w:sz w:val="24"/>
          <w:szCs w:val="24"/>
          <w:highlight w:val="none"/>
          <w:u w:val="single"/>
          <w:lang w:val="en-US" w:eastAsia="zh-CN"/>
        </w:rPr>
      </w:pPr>
      <w:r>
        <w:rPr>
          <w:rFonts w:hint="eastAsia" w:ascii="宋体" w:hAnsi="宋体" w:eastAsia="宋体" w:cs="宋体"/>
          <w:color w:val="000000"/>
          <w:highlight w:val="none"/>
          <w:lang w:val="en-US" w:eastAsia="zh-CN"/>
        </w:rPr>
        <w:t xml:space="preserve">*</w:t>
      </w:r>
      <w:r>
        <w:rPr>
          <w:rFonts w:hint="eastAsia" w:ascii="宋体" w:hAnsi="宋体" w:eastAsia="宋体" w:cs="Times New Roman"/>
          <w:i/>
          <w:iCs/>
          <w:color w:val="000000"/>
          <w:sz w:val="24"/>
          <w:szCs w:val="24"/>
          <w:highlight w:val="none"/>
          <w:u w:val="single"/>
          <w:lang w:val="en-US" w:eastAsia="zh-CN"/>
        </w:rPr>
        <w:t xml:space="preserve">2.1.2 大行宫新馆宽带全天（24 小时）上下行带宽独享，且带宽为1000Mbps。成贤老馆宽带全天（24 小时）上下行带宽独享，且带宽为1000Mbps。</w:t>
      </w:r>
      <w:r/>
    </w:p>
    <w:p>
      <w:pPr>
        <w:spacing w:line="0" w:lineRule="atLeast"/>
        <w:rPr>
          <w:rFonts w:hint="eastAsia" w:ascii="宋体" w:hAnsi="宋体" w:eastAsia="宋体" w:cs="Times New Roman"/>
          <w:i/>
          <w:iCs/>
          <w:color w:val="000000"/>
          <w:sz w:val="24"/>
          <w:szCs w:val="24"/>
          <w:highlight w:val="none"/>
          <w:u w:val="single"/>
          <w:lang w:val="en-US" w:eastAsia="zh-CN"/>
        </w:rPr>
      </w:pPr>
      <w:r>
        <w:rPr>
          <w:rFonts w:hint="eastAsia" w:ascii="宋体" w:hAnsi="宋体" w:eastAsia="宋体" w:cs="宋体"/>
          <w:color w:val="000000"/>
          <w:highlight w:val="none"/>
          <w:lang w:val="en-US" w:eastAsia="zh-CN"/>
        </w:rPr>
        <w:t xml:space="preserve">*</w:t>
      </w:r>
      <w:r>
        <w:rPr>
          <w:rFonts w:hint="eastAsia" w:ascii="宋体" w:hAnsi="宋体" w:eastAsia="宋体" w:cs="Times New Roman"/>
          <w:i/>
          <w:iCs/>
          <w:color w:val="000000"/>
          <w:sz w:val="24"/>
          <w:szCs w:val="24"/>
          <w:highlight w:val="none"/>
          <w:u w:val="single"/>
          <w:lang w:val="en-US" w:eastAsia="zh-CN"/>
        </w:rPr>
        <w:t xml:space="preserve">2.1.3 为南图中山东路189号新馆提供不少于100个互联网专用固定IP地址（支持IPv4段及IPv6段）。如因IP变更影响全省公共数字文化云平台、全省知识内容集中仓储、南图文献固定资产核验、ALEPH500业务系统备机等系统正常运行超24小时，则南图有权终止合同。为成贤老馆提供不少于10个互联网专用固定IP地址（支持IPv4段及IPv6段）。如因IP变更影响智慧典阅系统、ALEPH500备份系统正常运行超24小时，则南图有权终止合同。</w:t>
      </w:r>
      <w:r/>
    </w:p>
    <w:p>
      <w:pPr>
        <w:spacing w:line="0" w:lineRule="atLeast"/>
        <w:rPr>
          <w:rFonts w:hint="eastAsia" w:ascii="宋体" w:hAnsi="宋体" w:eastAsia="宋体" w:cs="Times New Roman"/>
          <w:i/>
          <w:iCs/>
          <w:color w:val="000000"/>
          <w:sz w:val="24"/>
          <w:szCs w:val="24"/>
          <w:highlight w:val="none"/>
          <w:u w:val="single"/>
          <w:lang w:val="en-US" w:eastAsia="zh-CN"/>
        </w:rPr>
      </w:pPr>
      <w:r>
        <w:rPr>
          <w:rFonts w:hint="eastAsia" w:ascii="宋体" w:hAnsi="宋体" w:eastAsia="宋体" w:cs="Times New Roman"/>
          <w:i/>
          <w:iCs/>
          <w:color w:val="000000"/>
          <w:sz w:val="24"/>
          <w:szCs w:val="24"/>
          <w:highlight w:val="none"/>
          <w:u w:val="single"/>
          <w:lang w:val="en-US" w:eastAsia="zh-CN"/>
        </w:rPr>
        <w:t xml:space="preserve">*2.1.4 中标公司签订合同后72小时内完成布线工作，并提供IP地址给用户测试。*2.1.5 丢包率：对公网DNS进行Ping包测试，包长为默认64Byte，平均丢包率≤0.01%。</w:t>
      </w:r>
      <w:r/>
    </w:p>
    <w:p>
      <w:pPr>
        <w:spacing w:line="0" w:lineRule="atLeast"/>
        <w:rPr>
          <w:rFonts w:hint="eastAsia" w:ascii="宋体" w:hAnsi="宋体" w:eastAsia="宋体" w:cs="Times New Roman"/>
          <w:i/>
          <w:iCs/>
          <w:color w:val="000000"/>
          <w:sz w:val="24"/>
          <w:szCs w:val="24"/>
          <w:highlight w:val="none"/>
          <w:u w:val="single"/>
          <w:lang w:val="en-US" w:eastAsia="zh-CN"/>
        </w:rPr>
      </w:pPr>
      <w:r>
        <w:rPr>
          <w:rFonts w:hint="eastAsia" w:ascii="宋体" w:hAnsi="宋体" w:eastAsia="宋体" w:cs="Times New Roman"/>
          <w:i/>
          <w:iCs/>
          <w:color w:val="000000"/>
          <w:sz w:val="24"/>
          <w:szCs w:val="24"/>
          <w:highlight w:val="none"/>
          <w:u w:val="single"/>
          <w:lang w:val="en-US" w:eastAsia="zh-CN"/>
        </w:rPr>
        <w:t xml:space="preserve">*2.1.6 网络时延：对公网DNS进行Ping包测试，包长为默认64Byte，要求平均时延≤7ms。</w:t>
      </w:r>
      <w:r/>
    </w:p>
    <w:p>
      <w:pPr>
        <w:spacing w:line="0" w:lineRule="atLeast"/>
        <w:rPr>
          <w:rFonts w:hint="eastAsia" w:ascii="宋体" w:hAnsi="宋体" w:eastAsia="宋体" w:cs="Times New Roman"/>
          <w:i/>
          <w:iCs/>
          <w:color w:val="000000"/>
          <w:sz w:val="24"/>
          <w:szCs w:val="24"/>
          <w:highlight w:val="none"/>
          <w:u w:val="single"/>
          <w:lang w:val="en-US" w:eastAsia="zh-CN"/>
        </w:rPr>
      </w:pPr>
      <w:r>
        <w:rPr>
          <w:rFonts w:hint="eastAsia" w:ascii="宋体" w:hAnsi="宋体" w:eastAsia="宋体" w:cs="Times New Roman"/>
          <w:i/>
          <w:iCs/>
          <w:color w:val="000000"/>
          <w:sz w:val="24"/>
          <w:szCs w:val="24"/>
          <w:highlight w:val="none"/>
          <w:u w:val="single"/>
          <w:lang w:val="en-US" w:eastAsia="zh-CN"/>
        </w:rPr>
        <w:t xml:space="preserve">*2.1.7 晚高峰速率波动率&lt;9%。</w:t>
      </w:r>
      <w:r/>
    </w:p>
    <w:p>
      <w:pPr>
        <w:spacing w:line="0" w:lineRule="atLeast"/>
        <w:rPr>
          <w:rFonts w:hint="eastAsia" w:ascii="宋体" w:hAnsi="宋体" w:eastAsia="宋体" w:cs="Times New Roman"/>
          <w:i/>
          <w:iCs/>
          <w:color w:val="000000"/>
          <w:sz w:val="24"/>
          <w:szCs w:val="24"/>
          <w:highlight w:val="none"/>
          <w:u w:val="single"/>
          <w:lang w:val="en-US" w:eastAsia="zh-CN"/>
        </w:rPr>
      </w:pPr>
      <w:r>
        <w:rPr>
          <w:rFonts w:hint="eastAsia" w:ascii="宋体" w:hAnsi="宋体" w:eastAsia="宋体" w:cs="Times New Roman"/>
          <w:i/>
          <w:iCs/>
          <w:color w:val="000000"/>
          <w:sz w:val="24"/>
          <w:szCs w:val="24"/>
          <w:highlight w:val="none"/>
          <w:u w:val="single"/>
          <w:lang w:val="en-US" w:eastAsia="zh-CN"/>
        </w:rPr>
        <w:t xml:space="preserve">*2.1.8 跨省/跨网平均时延&lt;9ms。</w:t>
      </w:r>
      <w:r/>
    </w:p>
    <w:p>
      <w:pPr>
        <w:spacing w:line="0" w:lineRule="atLeast"/>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Times New Roman"/>
          <w:i w:val="0"/>
          <w:iCs w:val="0"/>
          <w:color w:val="000000"/>
          <w:sz w:val="24"/>
          <w:szCs w:val="24"/>
          <w:highlight w:val="none"/>
          <w:u w:val="none"/>
          <w:lang w:val="en-US" w:eastAsia="zh-CN"/>
        </w:rPr>
        <w:t xml:space="preserve">2.1.9 可用带宽：上下行速率需达到招标带宽的95%以上。</w:t>
      </w:r>
      <w:r/>
    </w:p>
    <w:p>
      <w:pPr>
        <w:spacing w:line="0" w:lineRule="atLeast"/>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 xml:space="preserve">△2.1.10漏洞扫描服务要求</w:t>
      </w:r>
      <w:r/>
    </w:p>
    <w:p>
      <w:pPr>
        <w:spacing w:line="0" w:lineRule="atLeast"/>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 xml:space="preserve">按季度对该专线承载的互联网网站、系统、平台进行漏洞扫描，出具漏扫报告并提供修复建议。</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2.1.11 故障响应服务</w:t>
      </w:r>
      <w:r/>
    </w:p>
    <w:tbl>
      <w:tblPr>
        <w:tblStyle w:val="683"/>
        <w:tblW w:w="8303" w:type="dxa"/>
        <w:jc w:val="center"/>
        <w:tblLayout w:type="fixed"/>
        <w:tblCellMar>
          <w:left w:w="108" w:type="dxa"/>
          <w:top w:w="0" w:type="dxa"/>
          <w:right w:w="108" w:type="dxa"/>
          <w:bottom w:w="0" w:type="dxa"/>
        </w:tblCellMar>
        <w:tblLook w:val="04A0" w:firstRow="1" w:lastRow="0" w:firstColumn="1" w:lastColumn="0" w:noHBand="0" w:noVBand="1"/>
      </w:tblPr>
      <w:tblGrid>
        <w:gridCol w:w="1334"/>
        <w:gridCol w:w="3828"/>
        <w:gridCol w:w="1358"/>
        <w:gridCol w:w="1783"/>
      </w:tblGrid>
      <w:tr>
        <w:trPr>
          <w:jc w:val="center"/>
          <w:trHeight w:val="759"/>
        </w:trPr>
        <w:tc>
          <w:tcPr>
            <w:tcBorders>
              <w:top w:val="single" w:color="000000" w:sz="6" w:space="0"/>
              <w:left w:val="single" w:color="000000" w:sz="6" w:space="0"/>
              <w:bottom w:val="single" w:color="000000" w:sz="6" w:space="0"/>
              <w:right w:val="single" w:color="000000" w:sz="6" w:space="0"/>
            </w:tcBorders>
            <w:tcW w:w="1334"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故障级别</w:t>
            </w:r>
            <w:r/>
          </w:p>
        </w:tc>
        <w:tc>
          <w:tcPr>
            <w:tcBorders>
              <w:top w:val="single" w:color="000000" w:sz="6" w:space="0"/>
              <w:left w:val="single" w:color="000000" w:sz="6" w:space="0"/>
              <w:bottom w:val="single" w:color="000000" w:sz="6" w:space="0"/>
              <w:right w:val="single" w:color="000000" w:sz="4" w:space="0"/>
            </w:tcBorders>
            <w:tcW w:w="382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定义</w:t>
            </w:r>
            <w:r/>
          </w:p>
        </w:tc>
        <w:tc>
          <w:tcPr>
            <w:tcBorders>
              <w:top w:val="single" w:color="000000" w:sz="6" w:space="0"/>
              <w:left w:val="single" w:color="000000" w:sz="4" w:space="0"/>
              <w:bottom w:val="single" w:color="000000" w:sz="6" w:space="0"/>
              <w:right w:val="single" w:color="000000" w:sz="4" w:space="0"/>
            </w:tcBorders>
            <w:tcW w:w="135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响应时间</w:t>
            </w:r>
            <w:r/>
          </w:p>
        </w:tc>
        <w:tc>
          <w:tcPr>
            <w:tcBorders>
              <w:top w:val="single" w:color="000000" w:sz="6" w:space="0"/>
              <w:left w:val="single" w:color="000000" w:sz="4" w:space="0"/>
              <w:bottom w:val="single" w:color="000000" w:sz="6" w:space="0"/>
              <w:right w:val="single" w:color="000000" w:sz="6" w:space="0"/>
            </w:tcBorders>
            <w:tcW w:w="1783"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故障恢复时间</w:t>
            </w:r>
            <w:r/>
          </w:p>
        </w:tc>
      </w:tr>
      <w:tr>
        <w:trPr>
          <w:cantSplit/>
          <w:jc w:val="center"/>
          <w:trHeight w:val="759"/>
        </w:trPr>
        <w:tc>
          <w:tcPr>
            <w:tcBorders>
              <w:top w:val="single" w:color="000000" w:sz="6" w:space="0"/>
              <w:left w:val="single" w:color="000000" w:sz="6" w:space="0"/>
              <w:bottom w:val="single" w:color="000000" w:sz="6" w:space="0"/>
              <w:right w:val="single" w:color="000000" w:sz="6" w:space="0"/>
            </w:tcBorders>
            <w:tcW w:w="1334"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一级故障</w:t>
            </w:r>
            <w:r/>
          </w:p>
        </w:tc>
        <w:tc>
          <w:tcPr>
            <w:tcBorders>
              <w:top w:val="single" w:color="000000" w:sz="6" w:space="0"/>
              <w:left w:val="single" w:color="000000" w:sz="6" w:space="0"/>
              <w:bottom w:val="single" w:color="000000" w:sz="6" w:space="0"/>
              <w:right w:val="single" w:color="000000" w:sz="4" w:space="0"/>
            </w:tcBorders>
            <w:tcW w:w="382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故障严重影响关键业务运行</w:t>
            </w:r>
            <w:r/>
          </w:p>
        </w:tc>
        <w:tc>
          <w:tcPr>
            <w:tcBorders>
              <w:top w:val="single" w:color="000000" w:sz="6" w:space="0"/>
              <w:left w:val="single" w:color="000000" w:sz="4" w:space="0"/>
              <w:bottom w:val="single" w:color="000000" w:sz="6" w:space="0"/>
              <w:right w:val="single" w:color="000000" w:sz="4" w:space="0"/>
            </w:tcBorders>
            <w:tcW w:w="135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立即响应</w:t>
            </w:r>
            <w:r/>
          </w:p>
        </w:tc>
        <w:tc>
          <w:tcPr>
            <w:tcBorders>
              <w:top w:val="single" w:color="000000" w:sz="6" w:space="0"/>
              <w:left w:val="single" w:color="000000" w:sz="4" w:space="0"/>
              <w:bottom w:val="single" w:color="000000" w:sz="6" w:space="0"/>
              <w:right w:val="single" w:color="000000" w:sz="6" w:space="0"/>
            </w:tcBorders>
            <w:tcW w:w="1783"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≤30min</w:t>
            </w:r>
            <w:r/>
          </w:p>
        </w:tc>
      </w:tr>
      <w:tr>
        <w:trPr>
          <w:cantSplit/>
          <w:jc w:val="center"/>
          <w:trHeight w:val="759"/>
        </w:trPr>
        <w:tc>
          <w:tcPr>
            <w:tcBorders>
              <w:top w:val="single" w:color="000000" w:sz="6" w:space="0"/>
              <w:left w:val="single" w:color="000000" w:sz="6" w:space="0"/>
              <w:bottom w:val="single" w:color="000000" w:sz="6" w:space="0"/>
              <w:right w:val="single" w:color="000000" w:sz="6" w:space="0"/>
            </w:tcBorders>
            <w:tcW w:w="1334"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二级故障</w:t>
            </w:r>
            <w:r/>
          </w:p>
        </w:tc>
        <w:tc>
          <w:tcPr>
            <w:tcBorders>
              <w:top w:val="single" w:color="000000" w:sz="6" w:space="0"/>
              <w:left w:val="single" w:color="000000" w:sz="6" w:space="0"/>
              <w:bottom w:val="single" w:color="000000" w:sz="6" w:space="0"/>
              <w:right w:val="single" w:color="000000" w:sz="4" w:space="0"/>
            </w:tcBorders>
            <w:tcW w:w="382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故障影响其它关键业务</w:t>
            </w:r>
            <w:r/>
          </w:p>
        </w:tc>
        <w:tc>
          <w:tcPr>
            <w:tcBorders>
              <w:top w:val="single" w:color="000000" w:sz="6" w:space="0"/>
              <w:left w:val="single" w:color="000000" w:sz="4" w:space="0"/>
              <w:bottom w:val="single" w:color="000000" w:sz="6" w:space="0"/>
              <w:right w:val="single" w:color="000000" w:sz="4" w:space="0"/>
            </w:tcBorders>
            <w:tcW w:w="135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立即响应</w:t>
            </w:r>
            <w:r/>
          </w:p>
        </w:tc>
        <w:tc>
          <w:tcPr>
            <w:tcBorders>
              <w:top w:val="single" w:color="000000" w:sz="6" w:space="0"/>
              <w:left w:val="single" w:color="000000" w:sz="4" w:space="0"/>
              <w:bottom w:val="single" w:color="000000" w:sz="6" w:space="0"/>
              <w:right w:val="single" w:color="000000" w:sz="6" w:space="0"/>
            </w:tcBorders>
            <w:tcW w:w="1783"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≤1h</w:t>
            </w:r>
            <w:r/>
          </w:p>
        </w:tc>
      </w:tr>
      <w:tr>
        <w:trPr>
          <w:cantSplit/>
          <w:jc w:val="center"/>
          <w:trHeight w:val="759"/>
        </w:trPr>
        <w:tc>
          <w:tcPr>
            <w:tcBorders>
              <w:top w:val="single" w:color="000000" w:sz="6" w:space="0"/>
              <w:left w:val="single" w:color="000000" w:sz="6" w:space="0"/>
              <w:bottom w:val="single" w:color="000000" w:sz="6" w:space="0"/>
              <w:right w:val="single" w:color="000000" w:sz="6" w:space="0"/>
            </w:tcBorders>
            <w:tcW w:w="1334"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三级故障</w:t>
            </w:r>
            <w:r/>
          </w:p>
        </w:tc>
        <w:tc>
          <w:tcPr>
            <w:tcBorders>
              <w:top w:val="single" w:color="000000" w:sz="6" w:space="0"/>
              <w:left w:val="single" w:color="000000" w:sz="6" w:space="0"/>
              <w:bottom w:val="single" w:color="000000" w:sz="6" w:space="0"/>
              <w:right w:val="single" w:color="000000" w:sz="4" w:space="0"/>
            </w:tcBorders>
            <w:tcW w:w="382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发生故障，但未影响客户业务</w:t>
            </w:r>
            <w:r/>
          </w:p>
        </w:tc>
        <w:tc>
          <w:tcPr>
            <w:tcBorders>
              <w:top w:val="single" w:color="000000" w:sz="6" w:space="0"/>
              <w:left w:val="single" w:color="000000" w:sz="4" w:space="0"/>
              <w:bottom w:val="single" w:color="000000" w:sz="6" w:space="0"/>
              <w:right w:val="single" w:color="000000" w:sz="4" w:space="0"/>
            </w:tcBorders>
            <w:tcW w:w="135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立即响应</w:t>
            </w:r>
            <w:r/>
          </w:p>
        </w:tc>
        <w:tc>
          <w:tcPr>
            <w:tcBorders>
              <w:top w:val="single" w:color="000000" w:sz="6" w:space="0"/>
              <w:left w:val="single" w:color="000000" w:sz="4" w:space="0"/>
              <w:bottom w:val="single" w:color="000000" w:sz="6" w:space="0"/>
              <w:right w:val="single" w:color="000000" w:sz="6" w:space="0"/>
            </w:tcBorders>
            <w:tcW w:w="1783"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≤2h</w:t>
            </w:r>
            <w:r/>
          </w:p>
        </w:tc>
      </w:tr>
      <w:tr>
        <w:trPr>
          <w:cantSplit/>
          <w:jc w:val="center"/>
          <w:trHeight w:val="759"/>
        </w:trPr>
        <w:tc>
          <w:tcPr>
            <w:tcBorders>
              <w:top w:val="single" w:color="000000" w:sz="6" w:space="0"/>
              <w:left w:val="single" w:color="000000" w:sz="6" w:space="0"/>
              <w:bottom w:val="single" w:color="000000" w:sz="6" w:space="0"/>
              <w:right w:val="single" w:color="000000" w:sz="6" w:space="0"/>
            </w:tcBorders>
            <w:tcW w:w="1334"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咨询类问题</w:t>
            </w:r>
            <w:r/>
          </w:p>
        </w:tc>
        <w:tc>
          <w:tcPr>
            <w:tcBorders>
              <w:top w:val="single" w:color="000000" w:sz="6" w:space="0"/>
              <w:left w:val="single" w:color="000000" w:sz="6" w:space="0"/>
              <w:bottom w:val="single" w:color="000000" w:sz="6" w:space="0"/>
              <w:right w:val="single" w:color="000000" w:sz="4" w:space="0"/>
            </w:tcBorders>
            <w:tcW w:w="382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非故障的关于产品的功能、参数的咨询</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关于配置类问题、版本类问题的咨询</w:t>
            </w:r>
            <w:r/>
          </w:p>
        </w:tc>
        <w:tc>
          <w:tcPr>
            <w:tcBorders>
              <w:top w:val="single" w:color="000000" w:sz="6" w:space="0"/>
              <w:left w:val="single" w:color="000000" w:sz="4" w:space="0"/>
              <w:bottom w:val="single" w:color="000000" w:sz="6" w:space="0"/>
              <w:right w:val="single" w:color="000000" w:sz="4" w:space="0"/>
            </w:tcBorders>
            <w:tcW w:w="135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立即响应</w:t>
            </w:r>
            <w:r/>
          </w:p>
        </w:tc>
        <w:tc>
          <w:tcPr>
            <w:tcBorders>
              <w:top w:val="single" w:color="000000" w:sz="6" w:space="0"/>
              <w:left w:val="single" w:color="000000" w:sz="4" w:space="0"/>
              <w:bottom w:val="single" w:color="000000" w:sz="6" w:space="0"/>
              <w:right w:val="single" w:color="000000" w:sz="6" w:space="0"/>
            </w:tcBorders>
            <w:tcW w:w="1783"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≤5min</w:t>
            </w:r>
            <w:r/>
          </w:p>
        </w:tc>
      </w:tr>
    </w:tbl>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2.1.12 接入运营商宽带在江苏省南京市城域网的骨干网络，要求用拓扑图的形式画出运营商的骨干网络，指出本项目专线的接入点，并标明各骨干路由器的带宽和设备型号。</w:t>
      </w:r>
      <w:r/>
    </w:p>
    <w:p>
      <w:pPr>
        <w:spacing w:line="0" w:lineRule="atLeast"/>
        <w:rPr>
          <w:rFonts w:hint="eastAsia"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2.1.13</w:t>
      </w:r>
      <w:r>
        <w:rPr>
          <w:rFonts w:hint="eastAsia" w:ascii="宋体" w:hAnsi="宋体" w:eastAsia="宋体" w:cs="Times New Roman"/>
          <w:b w:val="0"/>
          <w:bCs w:val="0"/>
          <w:i w:val="0"/>
          <w:iCs w:val="0"/>
          <w:color w:val="000000"/>
          <w:sz w:val="24"/>
          <w:szCs w:val="24"/>
          <w:highlight w:val="none"/>
          <w:lang w:val="en-US" w:eastAsia="zh-CN"/>
        </w:rPr>
        <w:t xml:space="preserve"> DDoS攻击防护服务要求</w:t>
      </w:r>
      <w:r/>
    </w:p>
    <w:p>
      <w:pPr>
        <w:spacing w:line="0" w:lineRule="atLeast"/>
        <w:rPr>
          <w:rFonts w:hint="eastAsia"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具备DDoS攻击实时监测功能，流量清洗能力达到T级，支持分析溯源和月报输出。</w:t>
      </w:r>
      <w:r/>
    </w:p>
    <w:p>
      <w:pPr>
        <w:spacing w:line="0" w:lineRule="atLeast"/>
        <w:rPr>
          <w:rFonts w:hint="eastAsia"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实时监控——实时监测省互联网网入方向流量DDoS攻击情况，；</w:t>
      </w:r>
      <w:r/>
    </w:p>
    <w:p>
      <w:pPr>
        <w:spacing w:line="0" w:lineRule="atLeast"/>
        <w:rPr>
          <w:rFonts w:hint="eastAsia"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智能防护——需7*24小时值守按需开启清洗服务；可清洗最大流量1G。</w:t>
      </w:r>
      <w:r/>
    </w:p>
    <w:p>
      <w:pPr>
        <w:spacing w:line="0" w:lineRule="atLeast"/>
        <w:rPr>
          <w:rFonts w:hint="eastAsia"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攻击特征分析报表——提供攻击特征分析报表，内容包括攻击开始及结束时间、攻击流量分析、攻击来源分析及攻击包特征分析等，增强客户网络流量和安全状况的可见性。</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可防御的攻击类型</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2.1.13.1 </w:t>
      </w:r>
      <w:r>
        <w:rPr>
          <w:rFonts w:hint="eastAsia" w:ascii="宋体" w:hAnsi="宋体" w:eastAsia="宋体" w:cs="Times New Roman"/>
          <w:color w:val="000000"/>
          <w:sz w:val="24"/>
          <w:szCs w:val="24"/>
          <w:highlight w:val="none"/>
          <w:lang w:val="en-US" w:eastAsia="zh-CN"/>
        </w:rPr>
        <w:t xml:space="preserve">Invalid Packets (错包型攻击)</w:t>
      </w:r>
      <w:r/>
    </w:p>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2.1.13.2 </w:t>
      </w:r>
      <w:r>
        <w:rPr>
          <w:rFonts w:hint="eastAsia" w:ascii="宋体" w:hAnsi="宋体" w:eastAsia="宋体" w:cs="Times New Roman"/>
          <w:color w:val="000000"/>
          <w:sz w:val="24"/>
          <w:szCs w:val="24"/>
          <w:highlight w:val="none"/>
          <w:lang w:val="en-US" w:eastAsia="zh-CN"/>
        </w:rPr>
        <w:t xml:space="preserve">Flooding（资源耗尽型攻击）</w:t>
      </w:r>
      <w:r/>
    </w:p>
    <w:p>
      <w:pP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2.1.13.3 </w:t>
      </w:r>
      <w:r>
        <w:rPr>
          <w:rFonts w:hint="eastAsia" w:ascii="宋体" w:hAnsi="宋体" w:eastAsia="宋体" w:cs="Times New Roman"/>
          <w:color w:val="000000"/>
          <w:sz w:val="24"/>
          <w:szCs w:val="24"/>
          <w:highlight w:val="none"/>
          <w:lang w:val="en-US" w:eastAsia="zh-CN"/>
        </w:rPr>
        <w:t xml:space="preserve">Malformed（访问异常型攻击）</w:t>
      </w:r>
      <w:r/>
    </w:p>
    <w:p>
      <w:pPr>
        <w:numPr>
          <w:ilvl w:val="0"/>
          <w:numId w:val="0"/>
        </w:numP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2.1.13.4 </w:t>
      </w:r>
      <w:r>
        <w:rPr>
          <w:rFonts w:hint="eastAsia" w:ascii="宋体" w:hAnsi="宋体" w:eastAsia="宋体" w:cs="Times New Roman"/>
          <w:color w:val="000000"/>
          <w:sz w:val="24"/>
          <w:szCs w:val="24"/>
          <w:highlight w:val="none"/>
          <w:lang w:val="en-US" w:eastAsia="zh-CN"/>
        </w:rPr>
        <w:t xml:space="preserve">DNS 攻击</w:t>
      </w:r>
      <w:r/>
    </w:p>
    <w:p>
      <w:pPr>
        <w:numPr>
          <w:ilvl w:val="0"/>
          <w:numId w:val="0"/>
        </w:numP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2.1.13.5 </w:t>
      </w:r>
      <w:r>
        <w:rPr>
          <w:rFonts w:hint="eastAsia" w:ascii="宋体" w:hAnsi="宋体" w:eastAsia="宋体" w:cs="Times New Roman"/>
          <w:color w:val="000000"/>
          <w:sz w:val="24"/>
          <w:szCs w:val="24"/>
          <w:highlight w:val="none"/>
          <w:lang w:val="en-US" w:eastAsia="zh-CN"/>
        </w:rPr>
        <w:t xml:space="preserve">HTTP 攻击（CC攻击）</w:t>
      </w:r>
      <w:r/>
    </w:p>
    <w:p>
      <w:pPr>
        <w:numPr>
          <w:ilvl w:val="0"/>
          <w:numId w:val="0"/>
        </w:numP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val="en-US" w:eastAsia="zh-CN"/>
        </w:rPr>
        <w:t xml:space="preserve">2.1.13.6 </w:t>
      </w:r>
      <w:r>
        <w:rPr>
          <w:rFonts w:hint="eastAsia" w:ascii="宋体" w:hAnsi="宋体" w:eastAsia="宋体" w:cs="Times New Roman"/>
          <w:color w:val="000000"/>
          <w:sz w:val="24"/>
          <w:szCs w:val="24"/>
          <w:highlight w:val="none"/>
          <w:lang w:val="en-US" w:eastAsia="zh-CN"/>
        </w:rPr>
        <w:t xml:space="preserve">TCP 连接耗尽攻击</w:t>
      </w:r>
      <w:r/>
    </w:p>
    <w:tbl>
      <w:tblPr>
        <w:tblStyle w:val="683"/>
        <w:tblW w:w="0" w:type="auto"/>
        <w:tblInd w:w="318" w:type="dxa"/>
        <w:tblLayout w:type="fixed"/>
        <w:tblCellMar>
          <w:left w:w="108" w:type="dxa"/>
          <w:top w:w="0" w:type="dxa"/>
          <w:right w:w="108" w:type="dxa"/>
          <w:bottom w:w="0" w:type="dxa"/>
        </w:tblCellMar>
        <w:tblLook w:val="04A0" w:firstRow="1" w:lastRow="0" w:firstColumn="1" w:lastColumn="0" w:noHBand="0" w:noVBand="1"/>
      </w:tblPr>
      <w:tblGrid>
        <w:gridCol w:w="3588"/>
        <w:gridCol w:w="4591"/>
      </w:tblGrid>
      <w:tr>
        <w:trPr>
          <w:trHeight w:val="472"/>
        </w:trPr>
        <w:tc>
          <w:tcPr>
            <w:tcBorders>
              <w:top w:val="single" w:color="000000" w:sz="8" w:space="0"/>
              <w:left w:val="single" w:color="000000" w:sz="8" w:space="0"/>
              <w:bottom w:val="single" w:color="000000" w:sz="8" w:space="0"/>
              <w:right w:val="single" w:color="000000" w:sz="8" w:space="0"/>
            </w:tcBorders>
            <w:tcW w:w="3588"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攻击种类</w:t>
            </w:r>
            <w:r/>
          </w:p>
        </w:tc>
        <w:tc>
          <w:tcPr>
            <w:tcBorders>
              <w:top w:val="single" w:color="000000" w:sz="8" w:space="0"/>
              <w:left w:val="none" w:color="000000" w:sz="4" w:space="0"/>
              <w:bottom w:val="single" w:color="000000" w:sz="8" w:space="0"/>
              <w:right w:val="single" w:color="000000" w:sz="8" w:space="0"/>
            </w:tcBorders>
            <w:tcW w:w="4591" w:type="dxa"/>
            <w:vAlign w:val="center"/>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攻击类型</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restart"/>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Invalid Packets (错包型攻击)</w:t>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Malformed IP Header</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Incomplete Fragment</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Bad IP Checksum</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Duplicate Fragment</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Fragment Too Long</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Short Packet</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Short TCP Packet</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Short UDP Packet</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Short ICMP Packet</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Bad TCP / UDP Checksum</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Invalid TCP Flags</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Invalid ACK Number</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restart"/>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Flooding（资源耗尽型攻击）</w:t>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SYN Flooding</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TCP Flags Flooding</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Ping Flooding</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UDP Flooding</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restart"/>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Malformed（访问异常型攻击）</w:t>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HTTP Malformed</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DNS Malformed</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SIP Malformed</w:t>
            </w:r>
            <w:r/>
          </w:p>
        </w:tc>
      </w:tr>
      <w:tr>
        <w:trPr>
          <w:trHeight w:val="472"/>
        </w:trPr>
        <w:tc>
          <w:tcPr>
            <w:tcBorders>
              <w:top w:val="none" w:color="000000" w:sz="4" w:space="0"/>
              <w:left w:val="single" w:color="000000" w:sz="8" w:space="0"/>
              <w:bottom w:val="single" w:color="000000" w:sz="8" w:space="0"/>
              <w:right w:val="single" w:color="000000" w:sz="8" w:space="0"/>
            </w:tcBorders>
            <w:tcW w:w="3588" w:type="dxa"/>
            <w:vAlign w:val="center"/>
            <w:vMerge w:val="restart"/>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DNS 攻击</w:t>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DNS Query Flooding (UDP)</w:t>
            </w:r>
            <w:r/>
          </w:p>
        </w:tc>
      </w:tr>
      <w:tr>
        <w:trPr>
          <w:trHeight w:val="472"/>
        </w:trPr>
        <w:tc>
          <w:tcPr>
            <w:tcBorders>
              <w:top w:val="none" w:color="000000" w:sz="4" w:space="0"/>
              <w:left w:val="single" w:color="000000" w:sz="8" w:space="0"/>
              <w:bottom w:val="single" w:color="000000" w:sz="4"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DNS Query Flooding (TCP)</w:t>
            </w:r>
            <w:r/>
          </w:p>
        </w:tc>
      </w:tr>
      <w:tr>
        <w:trPr>
          <w:trHeight w:val="442"/>
        </w:trPr>
        <w:tc>
          <w:tcPr>
            <w:tcBorders>
              <w:top w:val="single" w:color="000000" w:sz="4" w:space="0"/>
              <w:left w:val="single" w:color="000000" w:sz="4" w:space="0"/>
              <w:bottom w:val="single" w:color="000000" w:sz="4" w:space="0"/>
              <w:right w:val="single" w:color="000000" w:sz="4" w:space="0"/>
            </w:tcBorders>
            <w:tcW w:w="3588" w:type="dxa"/>
            <w:vAlign w:val="center"/>
            <w:vMerge w:val="restart"/>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HTTP 攻击（CC攻击）</w:t>
            </w:r>
            <w:r/>
          </w:p>
        </w:tc>
        <w:tc>
          <w:tcPr>
            <w:tcBorders>
              <w:top w:val="single" w:color="000000" w:sz="4" w:space="0"/>
              <w:left w:val="single" w:color="000000" w:sz="4" w:space="0"/>
              <w:bottom w:val="single" w:color="000000" w:sz="4" w:space="0"/>
              <w:right w:val="single" w:color="000000" w:sz="4"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HTTP Query Flooding</w:t>
            </w:r>
            <w:r/>
          </w:p>
        </w:tc>
      </w:tr>
      <w:tr>
        <w:trPr>
          <w:trHeight w:val="442"/>
        </w:trPr>
        <w:tc>
          <w:tcPr>
            <w:tcBorders>
              <w:top w:val="single" w:color="000000" w:sz="4" w:space="0"/>
              <w:left w:val="single" w:color="000000" w:sz="4" w:space="0"/>
              <w:bottom w:val="single" w:color="000000" w:sz="4" w:space="0"/>
              <w:right w:val="single" w:color="000000" w:sz="4"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HTTP Object Flooding</w:t>
            </w:r>
            <w:r/>
          </w:p>
        </w:tc>
      </w:tr>
      <w:tr>
        <w:trPr>
          <w:trHeight w:val="442"/>
        </w:trPr>
        <w:tc>
          <w:tcPr>
            <w:tcBorders>
              <w:top w:val="single" w:color="000000" w:sz="4" w:space="0"/>
              <w:left w:val="single" w:color="000000" w:sz="4" w:space="0"/>
              <w:bottom w:val="single" w:color="000000" w:sz="4" w:space="0"/>
              <w:right w:val="single" w:color="000000" w:sz="4"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HTTP URL Flooding</w:t>
            </w:r>
            <w:r/>
          </w:p>
        </w:tc>
      </w:tr>
      <w:tr>
        <w:trPr>
          <w:trHeight w:val="442"/>
        </w:trPr>
        <w:tc>
          <w:tcPr>
            <w:tcBorders>
              <w:top w:val="single" w:color="000000" w:sz="4" w:space="0"/>
              <w:left w:val="single" w:color="000000" w:sz="4" w:space="0"/>
              <w:bottom w:val="single" w:color="000000" w:sz="4" w:space="0"/>
              <w:right w:val="single" w:color="000000" w:sz="4" w:space="0"/>
            </w:tcBorders>
            <w:tcW w:w="3588" w:type="dxa"/>
            <w:vAlign w:val="center"/>
            <w:vMerge w:val="restart"/>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TCP 连接耗尽攻击</w:t>
            </w:r>
            <w:r/>
          </w:p>
        </w:tc>
        <w:tc>
          <w:tcPr>
            <w:tcBorders>
              <w:top w:val="single" w:color="000000" w:sz="4" w:space="0"/>
              <w:left w:val="single" w:color="000000" w:sz="4" w:space="0"/>
              <w:bottom w:val="single" w:color="000000" w:sz="4" w:space="0"/>
              <w:right w:val="single" w:color="000000" w:sz="4"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TCP connection idle</w:t>
            </w:r>
            <w:r/>
          </w:p>
        </w:tc>
      </w:tr>
      <w:tr>
        <w:trPr>
          <w:trHeight w:val="442"/>
        </w:trPr>
        <w:tc>
          <w:tcPr>
            <w:tcBorders>
              <w:top w:val="single" w:color="000000" w:sz="4" w:space="0"/>
              <w:left w:val="single" w:color="000000" w:sz="4"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singl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TCP connection Flooding</w:t>
            </w:r>
            <w:r/>
          </w:p>
        </w:tc>
      </w:tr>
      <w:tr>
        <w:trPr>
          <w:trHeight w:val="535"/>
        </w:trPr>
        <w:tc>
          <w:tcPr>
            <w:tcBorders>
              <w:top w:val="none" w:color="000000" w:sz="4" w:space="0"/>
              <w:left w:val="single" w:color="000000" w:sz="4" w:space="0"/>
              <w:bottom w:val="single" w:color="000000" w:sz="8" w:space="0"/>
              <w:right w:val="single" w:color="000000" w:sz="8" w:space="0"/>
            </w:tcBorders>
            <w:tcW w:w="3588" w:type="dxa"/>
            <w:vAlign w:val="center"/>
            <w:vMerge w:val="continue"/>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4591" w:type="dxa"/>
            <w:vAlign w:val="bottom"/>
            <w:textDirection w:val="lrTb"/>
            <w:noWrap w:val="false"/>
          </w:tcPr>
          <w:p>
            <w:pP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TCP connection Slow Attack</w:t>
            </w:r>
            <w:r/>
          </w:p>
        </w:tc>
      </w:tr>
    </w:tbl>
    <w:p>
      <w:pPr>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keepLines w:val="0"/>
        <w:keepNext w:val="0"/>
        <w:pageBreakBefore w:val="0"/>
        <w:spacing w:line="420" w:lineRule="exact"/>
        <w:widowControl w:val="off"/>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分包一、分包二</w:t>
      </w:r>
      <w:r>
        <w:rPr>
          <w:rFonts w:hint="eastAsia" w:ascii="宋体" w:hAnsi="宋体"/>
          <w:b/>
          <w:bCs/>
          <w:color w:val="000000"/>
          <w:sz w:val="24"/>
          <w:szCs w:val="24"/>
          <w:highlight w:val="none"/>
          <w:lang w:eastAsia="zh-CN"/>
        </w:rPr>
        <w:t xml:space="preserve">）</w:t>
      </w:r>
      <w:r/>
    </w:p>
    <w:p>
      <w:pPr>
        <w:keepLines w:val="0"/>
        <w:keepNext w:val="0"/>
        <w:pageBreakBefore w:val="0"/>
        <w:spacing w:line="420" w:lineRule="exact"/>
        <w:widowControl w:val="off"/>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w:t>
      </w:r>
      <w:r/>
    </w:p>
    <w:p>
      <w:pPr>
        <w:keepLines w:val="0"/>
        <w:keepNext w:val="0"/>
        <w:pageBreakBefore w:val="0"/>
        <w:spacing w:line="420" w:lineRule="exact"/>
        <w:widowControl w:val="off"/>
        <w:rPr>
          <w:rFonts w:hint="eastAsia" w:ascii="宋体" w:hAnsi="宋体"/>
          <w:b w:val="0"/>
          <w:bCs/>
          <w:i/>
          <w:color w:val="000000"/>
          <w:sz w:val="24"/>
          <w:szCs w:val="24"/>
          <w:highlight w:val="none"/>
          <w:u w:val="single"/>
        </w:rPr>
      </w:pPr>
      <w:r>
        <w:rPr>
          <w:rFonts w:hint="eastAsia" w:ascii="宋体" w:hAnsi="宋体"/>
          <w:b w:val="0"/>
          <w:bCs w:val="0"/>
          <w:i/>
          <w:iCs/>
          <w:color w:val="000000"/>
          <w:sz w:val="24"/>
          <w:highlight w:val="none"/>
          <w:u w:val="single"/>
        </w:rPr>
        <w:t xml:space="preserve">*3.1 因本次服务主要用于运行南京图书馆130多个信息化系统的主备冗余网络宽带接入服务，供应商需写明代理宽带名称（如电信、联通、移动、广电等）。本项目为主备接入服务，要求一家互联网运营商不能同时中两个分包（如电信、联通、移动、广电等，一家运营商最多只能中一个分包）</w:t>
      </w:r>
      <w:r/>
    </w:p>
    <w:p>
      <w:pPr>
        <w:keepLines w:val="0"/>
        <w:keepNext w:val="0"/>
        <w:pageBreakBefore w:val="0"/>
        <w:spacing w:line="420" w:lineRule="exact"/>
        <w:widowControl w:val="off"/>
        <w:rPr>
          <w:rFonts w:hint="eastAsia" w:ascii="宋体" w:hAnsi="宋体" w:eastAsia="宋体" w:cs="Times New Roman"/>
          <w:b w:val="0"/>
          <w:bCs w:val="0"/>
          <w:i/>
          <w:iCs/>
          <w:color w:val="000000"/>
          <w:sz w:val="24"/>
          <w:highlight w:val="none"/>
          <w:u w:val="single"/>
          <w:lang w:val="en-US" w:eastAsia="zh-CN"/>
        </w:rPr>
      </w:pPr>
      <w:r>
        <w:rPr>
          <w:rFonts w:hint="eastAsia" w:ascii="宋体" w:hAnsi="宋体" w:eastAsia="宋体" w:cs="Times New Roman"/>
          <w:b w:val="0"/>
          <w:bCs w:val="0"/>
          <w:i/>
          <w:iCs/>
          <w:color w:val="000000"/>
          <w:sz w:val="24"/>
          <w:highlight w:val="none"/>
          <w:u w:val="single"/>
          <w:lang w:val="en-US" w:eastAsia="zh-CN"/>
        </w:rPr>
        <w:t xml:space="preserve">*3.2本项目中所有实质性要求都须提供承诺函，承诺函格式自拟，需加盖单位公章并由法定代表人签字或盖章。</w:t>
      </w:r>
      <w:r/>
    </w:p>
    <w:p>
      <w:pPr>
        <w:keepLines w:val="0"/>
        <w:keepNext w:val="0"/>
        <w:pageBreakBefore w:val="0"/>
        <w:spacing w:line="420" w:lineRule="exact"/>
        <w:widowControl w:val="off"/>
        <w:rPr>
          <w:rFonts w:hint="eastAsia" w:ascii="宋体" w:hAnsi="宋体"/>
          <w:b/>
          <w:bCs/>
          <w:color w:val="000000"/>
          <w:sz w:val="24"/>
          <w:highlight w:val="none"/>
        </w:rPr>
      </w:pPr>
      <w:r>
        <w:rPr>
          <w:rFonts w:hint="eastAsia" w:ascii="宋体" w:hAnsi="宋体" w:eastAsia="宋体" w:cs="Times New Roman"/>
          <w:b w:val="0"/>
          <w:bCs w:val="0"/>
          <w:i/>
          <w:iCs/>
          <w:color w:val="000000"/>
          <w:sz w:val="24"/>
          <w:highlight w:val="none"/>
          <w:u w:val="single"/>
          <w:lang w:val="en-US" w:eastAsia="zh-CN"/>
        </w:rPr>
        <w:t xml:space="preserve">*3.3</w:t>
      </w:r>
      <w:r>
        <w:rPr>
          <w:rFonts w:ascii="宋体" w:hAnsi="宋体" w:eastAsia="宋体" w:cs="Times New Roman"/>
          <w:b w:val="0"/>
          <w:bCs w:val="0"/>
          <w:i/>
          <w:iCs/>
          <w:color w:val="000000"/>
          <w:sz w:val="24"/>
          <w:highlight w:val="none"/>
          <w:u w:val="single"/>
          <w:lang w:val="en-US" w:eastAsia="zh-CN"/>
        </w:rPr>
        <w:t xml:space="preserve">履约过程中中标人存在不满足投标响应的任何要求，采购人有权终止合同和取消中标人履约资格，并保留追究中标人责任和赔偿的权利。</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 </w:t>
      </w:r>
      <w:r>
        <w:rPr>
          <w:rFonts w:hint="eastAsia" w:ascii="宋体" w:hAnsi="宋体" w:eastAsia="宋体" w:cs="Times New Roman"/>
          <w:color w:val="000000"/>
          <w:sz w:val="24"/>
          <w:szCs w:val="24"/>
          <w:highlight w:val="none"/>
        </w:rPr>
        <w:t xml:space="preserve">项目报价：本项目按年度进行报价，报价包含项目实施所有费用，如成本、利润、税金、本项目代理服务费和政策性文件规定及包含的所有风险、责任等各项应有费用，还包括</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应当提供的伴随服务、售后服务费用。</w:t>
      </w:r>
      <w:r/>
    </w:p>
    <w:p>
      <w:pPr>
        <w:keepLines w:val="0"/>
        <w:keepNext w:val="0"/>
        <w:pageBreakBefore w:val="0"/>
        <w:spacing w:line="420" w:lineRule="exact"/>
        <w:widowControl w:val="off"/>
        <w:rPr>
          <w:rFonts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 </w:t>
      </w:r>
      <w:r>
        <w:rPr>
          <w:rFonts w:hint="eastAsia" w:ascii="宋体" w:hAnsi="宋体" w:eastAsia="宋体" w:cs="Times New Roman"/>
          <w:color w:val="000000"/>
          <w:sz w:val="24"/>
          <w:szCs w:val="24"/>
          <w:highlight w:val="none"/>
        </w:rPr>
        <w:t xml:space="preserve">服务期限：自</w:t>
      </w:r>
      <w:r>
        <w:rPr>
          <w:rFonts w:hint="eastAsia" w:ascii="宋体" w:hAnsi="宋体" w:eastAsia="宋体" w:cs="Times New Roman"/>
          <w:color w:val="000000"/>
          <w:sz w:val="24"/>
          <w:szCs w:val="24"/>
          <w:highlight w:val="none"/>
          <w:lang w:val="en-US" w:eastAsia="zh-CN"/>
        </w:rPr>
        <w:t xml:space="preserve">宽带接入使用之日起三年，合同一年一签。</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6 </w:t>
      </w:r>
      <w:r>
        <w:rPr>
          <w:rFonts w:hint="eastAsia" w:ascii="宋体" w:hAnsi="宋体" w:eastAsia="宋体" w:cs="Times New Roman"/>
          <w:color w:val="000000"/>
          <w:sz w:val="24"/>
          <w:szCs w:val="24"/>
          <w:highlight w:val="none"/>
        </w:rPr>
        <w:t xml:space="preserve">款项支付：本项目所有款项均以人民币支付，签订合同并收到发票后，招标人预付合同款的50%款项给中标人；平稳运行</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个月，招标人收到发票后，再</w:t>
      </w:r>
      <w:r>
        <w:rPr>
          <w:rFonts w:hint="eastAsia" w:ascii="宋体" w:hAnsi="宋体" w:eastAsia="宋体" w:cs="Times New Roman"/>
          <w:color w:val="000000"/>
          <w:sz w:val="24"/>
          <w:szCs w:val="24"/>
          <w:highlight w:val="none"/>
          <w:lang w:val="en-US" w:eastAsia="zh-CN"/>
        </w:rPr>
        <w:t xml:space="preserve">支</w:t>
      </w:r>
      <w:r>
        <w:rPr>
          <w:rFonts w:hint="eastAsia" w:ascii="宋体" w:hAnsi="宋体" w:eastAsia="宋体" w:cs="Times New Roman"/>
          <w:color w:val="000000"/>
          <w:sz w:val="24"/>
          <w:szCs w:val="24"/>
          <w:highlight w:val="none"/>
        </w:rPr>
        <w:t xml:space="preserve">付合同款的50%款项给中标</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3.7 项目实施要求</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3.7.1 组织管理要求</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本次项目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需要设立项目经理1名，技术负责人1名和技术支撑人员若干。</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3.7.2 施工主要内容</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在项目实施阶段的工作内容主要有：</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（1）项目实施阶段：根据项目需求，负责承载互联网专线宽带线路运行所需设备的安装和调测工作，并进行技术调试。</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（2）试运行：保障网络畅通，处理项目试运行中出现的问题。</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（3）项目验收：进行互联网专线宽带测试，提交技术资料，编制项目整体验收方案，招标人组织进行验收。</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3.8 项目服务要求</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由于本次采购的互联网专线宽带支撑着招标人的重要互联网应用，要求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为用户提供高级别的服务保障。</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3.8.1 招标人的互联网专线宽带业务端口一经报备，原则上</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在提供服务期间不得随意封闭。确有原因需要封闭的，应依据国家相关主管部门的工作通知和相关法律法规，并提前告知招标人。</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3.9 日常宽带运维体系</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3.9.1 </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按原信息产业部颁布的《电信服务标准（试行）》的相关服务质量要求，保证招标人租用互联网专线接入服务的畅通。</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3.9.2 若合同执行期间出台新的法律法规和服务标准，需在法律法规框架下，与招标人协商修改服务协议，或按照新的法律法规和服务标准执行。</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3.9.3</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如确有需要中断客户互联网专线宽带接入服务进行网络/线路调整/维护等工作，应提前48小时通知客户，经协商同意后实施，不能影响客户的正常业务。</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3.9.4 </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按用户要求免费提供重要时段的特殊保障服务。</w:t>
      </w:r>
      <w:r/>
    </w:p>
    <w:p>
      <w:pPr>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3.9.5 </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承诺在实施本项目直接或间接获得的所有商业或技术信息(包括口头、书面信息及资料)，进行保密管理，采取措施防止信息的全部或任一部分泄露给第三方，如果发生泄密，</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承担一切相关责任。</w:t>
      </w:r>
      <w:r/>
    </w:p>
    <w:p>
      <w:pPr>
        <w:keepLines w:val="0"/>
        <w:keepNext w:val="0"/>
        <w:pageBreakBefore w:val="0"/>
        <w:spacing w:line="42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keepLines w:val="0"/>
        <w:keepNext w:val="0"/>
        <w:pageBreakBefore w:val="0"/>
        <w:spacing w:line="420" w:lineRule="exact"/>
        <w:widowControl w:val="off"/>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、其他要求</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分包一、分包二</w:t>
      </w:r>
      <w:r>
        <w:rPr>
          <w:rFonts w:hint="eastAsia" w:ascii="宋体" w:hAnsi="宋体"/>
          <w:b/>
          <w:color w:val="000000"/>
          <w:sz w:val="24"/>
          <w:szCs w:val="24"/>
          <w:highlight w:val="none"/>
          <w:lang w:eastAsia="zh-CN"/>
        </w:rPr>
        <w:t xml:space="preserve">）</w:t>
      </w:r>
      <w:r/>
    </w:p>
    <w:p>
      <w:pPr>
        <w:keepLines w:val="0"/>
        <w:keepNext w:val="0"/>
        <w:pageBreakBefore w:val="0"/>
        <w:spacing w:line="420" w:lineRule="exact"/>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项目属性:服务类项目。</w:t>
      </w:r>
      <w:r/>
    </w:p>
    <w:p>
      <w:pPr>
        <w:keepLines w:val="0"/>
        <w:keepNext w:val="0"/>
        <w:pageBreakBefore w:val="0"/>
        <w:spacing w:line="420" w:lineRule="exact"/>
        <w:widowControl w:val="off"/>
        <w:rPr>
          <w:rFonts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rPr>
        <w:t xml:space="preserve">2</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进口</w:t>
      </w:r>
      <w:r>
        <w:rPr>
          <w:rFonts w:ascii="宋体" w:hAnsi="宋体"/>
          <w:color w:val="000000"/>
          <w:sz w:val="24"/>
          <w:szCs w:val="24"/>
          <w:highlight w:val="none"/>
        </w:rPr>
        <w:t xml:space="preserve">产品</w:t>
      </w:r>
      <w:r>
        <w:rPr>
          <w:rFonts w:hint="eastAsia" w:ascii="宋体" w:hAnsi="宋体"/>
          <w:color w:val="000000"/>
          <w:sz w:val="24"/>
          <w:szCs w:val="24"/>
          <w:highlight w:val="none"/>
        </w:rPr>
        <w:t xml:space="preserve">投标</w:t>
      </w:r>
      <w:r/>
    </w:p>
    <w:tbl>
      <w:tblPr>
        <w:tblStyle w:val="68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jc w:val="center"/>
              <w:keepLines w:val="0"/>
              <w:keepNext w:val="0"/>
              <w:pageBreakBefore w:val="0"/>
              <w:spacing w:line="420" w:lineRule="exact"/>
              <w:widowControl w:val="off"/>
              <w:rPr>
                <w:rFonts w:hint="eastAsia" w:ascii="宋体" w:hAnsi="宋体"/>
                <w:color w:val="000000"/>
                <w:highlight w:val="none"/>
              </w:rPr>
            </w:pPr>
            <w:r>
              <w:rPr>
                <w:rFonts w:hint="eastAsia" w:ascii="宋体" w:hAnsi="宋体"/>
                <w:color w:val="000000"/>
                <w:highlight w:val="none"/>
              </w:rPr>
              <w:t xml:space="preserve">采购包号</w:t>
            </w:r>
            <w:r/>
          </w:p>
        </w:tc>
        <w:tc>
          <w:tcPr>
            <w:tcW w:w="3094" w:type="dxa"/>
            <w:vAlign w:val="top"/>
            <w:textDirection w:val="lrTb"/>
            <w:noWrap w:val="false"/>
          </w:tcPr>
          <w:p>
            <w:pPr>
              <w:jc w:val="center"/>
              <w:keepLines w:val="0"/>
              <w:keepNext w:val="0"/>
              <w:pageBreakBefore w:val="0"/>
              <w:spacing w:line="420" w:lineRule="exact"/>
              <w:widowControl w:val="off"/>
              <w:rPr>
                <w:rFonts w:hint="eastAsia" w:ascii="宋体" w:hAnsi="宋体"/>
                <w:color w:val="000000"/>
                <w:highlight w:val="none"/>
              </w:rPr>
            </w:pPr>
            <w:r>
              <w:rPr>
                <w:rFonts w:hint="eastAsia" w:ascii="宋体" w:hAnsi="宋体"/>
                <w:color w:val="000000"/>
                <w:highlight w:val="none"/>
              </w:rPr>
              <w:t xml:space="preserve">是否接受</w:t>
            </w:r>
            <w:r>
              <w:rPr>
                <w:rFonts w:ascii="宋体" w:hAnsi="宋体"/>
                <w:color w:val="000000"/>
                <w:highlight w:val="none"/>
              </w:rPr>
              <w:t xml:space="preserve">进口产品投标</w:t>
            </w:r>
            <w:r>
              <w:rPr>
                <w:rFonts w:hint="eastAsia" w:ascii="宋体" w:hAnsi="宋体"/>
                <w:color w:val="000000"/>
                <w:highlight w:val="none"/>
              </w:rPr>
              <w:t xml:space="preserve">（是/否）</w:t>
            </w:r>
            <w:r/>
          </w:p>
        </w:tc>
      </w:tr>
      <w:tr>
        <w:trPr/>
        <w:tc>
          <w:tcPr>
            <w:tcW w:w="1148" w:type="dxa"/>
            <w:vAlign w:val="top"/>
            <w:textDirection w:val="lrTb"/>
            <w:noWrap w:val="false"/>
          </w:tcPr>
          <w:p>
            <w:pPr>
              <w:jc w:val="center"/>
              <w:keepLines w:val="0"/>
              <w:keepNext w:val="0"/>
              <w:pageBreakBefore w:val="0"/>
              <w:spacing w:line="420" w:lineRule="exact"/>
              <w:widowControl w:val="off"/>
              <w:rPr>
                <w:rFonts w:ascii="宋体" w:hAnsi="宋体"/>
                <w:color w:val="000000"/>
                <w:highlight w:val="none"/>
              </w:rPr>
            </w:pPr>
            <w:r>
              <w:rPr>
                <w:rFonts w:hint="eastAsia" w:ascii="宋体" w:hAnsi="宋体"/>
                <w:color w:val="000000"/>
                <w:highlight w:val="none"/>
              </w:rPr>
              <w:t xml:space="preserve">1</w:t>
            </w:r>
            <w:r/>
          </w:p>
        </w:tc>
        <w:tc>
          <w:tcPr>
            <w:tcW w:w="3094" w:type="dxa"/>
            <w:vAlign w:val="top"/>
            <w:textDirection w:val="lrTb"/>
            <w:noWrap w:val="false"/>
          </w:tcPr>
          <w:p>
            <w:pPr>
              <w:jc w:val="center"/>
              <w:keepLines w:val="0"/>
              <w:keepNext w:val="0"/>
              <w:pageBreakBefore w:val="0"/>
              <w:spacing w:line="420" w:lineRule="exact"/>
              <w:widowControl w:val="off"/>
              <w:rPr>
                <w:rFonts w:hint="eastAsia" w:ascii="宋体" w:hAnsi="宋体"/>
                <w:color w:val="000000"/>
                <w:highlight w:val="none"/>
              </w:rPr>
            </w:pPr>
            <w:r>
              <w:rPr>
                <w:rFonts w:hint="eastAsia" w:ascii="宋体" w:hAnsi="宋体"/>
                <w:color w:val="000000"/>
                <w:highlight w:val="none"/>
              </w:rPr>
              <w:t xml:space="preserve">否</w:t>
            </w:r>
            <w:r/>
          </w:p>
        </w:tc>
      </w:tr>
      <w:tr>
        <w:trPr/>
        <w:tc>
          <w:tcPr>
            <w:tcW w:w="1148" w:type="dxa"/>
            <w:vAlign w:val="top"/>
            <w:textDirection w:val="lrTb"/>
            <w:noWrap w:val="false"/>
          </w:tcPr>
          <w:p>
            <w:pPr>
              <w:jc w:val="center"/>
              <w:keepLines w:val="0"/>
              <w:keepNext w:val="0"/>
              <w:pageBreakBefore w:val="0"/>
              <w:spacing w:line="420" w:lineRule="exact"/>
              <w:widowControl w:val="off"/>
              <w:rPr>
                <w:rFonts w:ascii="宋体" w:hAnsi="宋体"/>
                <w:color w:val="000000"/>
                <w:highlight w:val="none"/>
              </w:rPr>
            </w:pPr>
            <w:r>
              <w:rPr>
                <w:rFonts w:hint="eastAsia" w:ascii="宋体" w:hAnsi="宋体"/>
                <w:color w:val="000000"/>
                <w:highlight w:val="none"/>
              </w:rPr>
              <w:t xml:space="preserve">2</w:t>
            </w:r>
            <w:r/>
          </w:p>
        </w:tc>
        <w:tc>
          <w:tcPr>
            <w:tcW w:w="3094" w:type="dxa"/>
            <w:vAlign w:val="top"/>
            <w:textDirection w:val="lrTb"/>
            <w:noWrap w:val="false"/>
          </w:tcPr>
          <w:p>
            <w:pPr>
              <w:jc w:val="center"/>
              <w:keepLines w:val="0"/>
              <w:keepNext w:val="0"/>
              <w:pageBreakBefore w:val="0"/>
              <w:spacing w:line="420" w:lineRule="exact"/>
              <w:widowControl w:val="off"/>
              <w:rPr>
                <w:rFonts w:hint="eastAsia" w:ascii="宋体" w:hAnsi="宋体"/>
                <w:color w:val="000000"/>
                <w:highlight w:val="none"/>
              </w:rPr>
            </w:pPr>
            <w:r>
              <w:rPr>
                <w:rFonts w:hint="eastAsia" w:ascii="宋体" w:hAnsi="宋体"/>
                <w:color w:val="000000"/>
                <w:highlight w:val="none"/>
              </w:rPr>
              <w:t xml:space="preserve">否</w:t>
            </w:r>
            <w:r/>
          </w:p>
        </w:tc>
      </w:tr>
    </w:tbl>
    <w:p>
      <w:pPr>
        <w:keepLines w:val="0"/>
        <w:keepNext w:val="0"/>
        <w:pageBreakBefore w:val="0"/>
        <w:spacing w:line="42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（备注2：如果本项目某采购包不接受进口产品投标，供应商使用进口产品投标 ，则</w:t>
      </w:r>
      <w:r>
        <w:rPr>
          <w:rFonts w:hint="eastAsia" w:ascii="宋体" w:hAnsi="宋体" w:eastAsia="宋体" w:cs="宋体"/>
          <w:color w:val="000000"/>
          <w:sz w:val="24"/>
          <w:szCs w:val="24"/>
          <w:highlight w:val="none"/>
          <w:lang w:val="en-US" w:eastAsia="zh-CN"/>
        </w:rPr>
        <w:t xml:space="preserve">供应商</w:t>
      </w:r>
      <w:r>
        <w:rPr>
          <w:rFonts w:hint="eastAsia" w:ascii="宋体" w:hAnsi="宋体"/>
          <w:color w:val="000000"/>
          <w:sz w:val="24"/>
          <w:szCs w:val="24"/>
          <w:highlight w:val="none"/>
        </w:rPr>
        <w:t xml:space="preserve">该采购包作无效投标处理。）</w:t>
      </w:r>
      <w:r/>
    </w:p>
    <w:p>
      <w:pPr>
        <w:numPr>
          <w:ilvl w:val="0"/>
          <w:numId w:val="0"/>
        </w:numPr>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专线宽带技术方案：</w:t>
      </w:r>
      <w:r/>
    </w:p>
    <w:p>
      <w:pPr>
        <w:numPr>
          <w:ilvl w:val="0"/>
          <w:numId w:val="0"/>
        </w:numPr>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应根据招标文件要求及本项目特点，制定具体详实的技术方案。内容包括但不局限于技术先进性与适用性、QoS（服务质量）策略、安全性保障、兼容性考虑、性能指标、技术文档等。</w:t>
      </w:r>
      <w:r/>
    </w:p>
    <w:p>
      <w:pPr>
        <w:numPr>
          <w:ilvl w:val="0"/>
          <w:numId w:val="0"/>
        </w:numPr>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color w:val="000000"/>
          <w:sz w:val="24"/>
          <w:szCs w:val="24"/>
          <w:highlight w:val="none"/>
          <w:lang w:val="en-US" w:eastAsia="zh-CN"/>
        </w:rPr>
        <w:t xml:space="preserve">4 </w:t>
      </w:r>
      <w:r>
        <w:rPr>
          <w:rFonts w:hint="eastAsia" w:ascii="宋体" w:hAnsi="宋体" w:eastAsia="宋体" w:cs="Times New Roman"/>
          <w:color w:val="000000"/>
          <w:sz w:val="24"/>
          <w:szCs w:val="24"/>
          <w:highlight w:val="none"/>
        </w:rPr>
        <w:t xml:space="preserve">售后服务方案：</w:t>
      </w:r>
      <w:r/>
    </w:p>
    <w:p>
      <w:pPr>
        <w:numPr>
          <w:ilvl w:val="0"/>
          <w:numId w:val="0"/>
        </w:numPr>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应根据招标文件要求及本项目特点，制定具体详实的售后服务方案。内容包括但不局限于服务响应时间、定期巡检与维护、培训与技术支持、故障恢复计划、服务保障承诺等。</w:t>
      </w:r>
      <w:r/>
    </w:p>
    <w:p>
      <w:pPr>
        <w:numPr>
          <w:ilvl w:val="0"/>
          <w:numId w:val="0"/>
        </w:numPr>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rPr>
        <w:t xml:space="preserve">5</w:t>
      </w:r>
      <w:r>
        <w:rPr>
          <w:rFonts w:hint="eastAsia" w:ascii="宋体" w:hAnsi="宋体"/>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安全服务技术方案：</w:t>
      </w:r>
      <w:r/>
    </w:p>
    <w:p>
      <w:pPr>
        <w:numPr>
          <w:ilvl w:val="0"/>
          <w:numId w:val="0"/>
        </w:numPr>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应根据招标文件要求及本项目特点，制定具体详实的安全服务技术方案。内容包括但不局限于DDOS攻击防护、流量清洗、漏洞扫描、系统安全监测等。</w:t>
      </w:r>
      <w:r/>
    </w:p>
    <w:p>
      <w:pPr>
        <w:numPr>
          <w:ilvl w:val="0"/>
          <w:numId w:val="0"/>
        </w:numPr>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项目实施方案：</w:t>
      </w:r>
      <w:r/>
    </w:p>
    <w:p>
      <w:pPr>
        <w:numPr>
          <w:ilvl w:val="0"/>
          <w:numId w:val="0"/>
        </w:numPr>
        <w:ind w:firstLine="480"/>
        <w:keepLines w:val="0"/>
        <w:keepNext w:val="0"/>
        <w:pageBreakBefore w:val="0"/>
        <w:spacing w:line="420" w:lineRule="exact"/>
        <w:widowControl w:val="off"/>
        <w:rPr>
          <w:rFonts w:hint="eastAsia" w:ascii="宋体" w:hAnsi="宋体" w:eastAsia="宋体" w:cs="Times New Roman"/>
          <w:color w:val="000000"/>
          <w:sz w:val="24"/>
          <w:szCs w:val="24"/>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应根据招标文件要求及本项目特点，制定具体详实的项目实施方案。内容包括但不局限于项目时间表、资源分配、项目管理、风险评估与应对、项目验收等。</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pStyle w:val="853"/>
        <w:rPr>
          <w:rFonts w:hint="eastAsia" w:ascii="黑体" w:eastAsia="黑体"/>
          <w:bCs/>
          <w:sz w:val="44"/>
        </w:rPr>
      </w:pPr>
      <w:r/>
      <w:bookmarkStart w:id="193" w:name="_Toc120614281"/>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39"/>
        <w:keepLines w:val="0"/>
        <w:keepNext w:val="0"/>
        <w:pageBreakBefore w:val="0"/>
        <w:spacing w:line="340" w:lineRule="exact"/>
        <w:widowControl w:val="off"/>
        <w:rPr>
          <w:rFonts w:hint="eastAsia" w:ascii="宋体" w:hAnsi="宋体" w:eastAsia="宋体" w:cs="Times New Roman"/>
        </w:rPr>
      </w:pPr>
      <w:r>
        <w:rPr>
          <w:rFonts w:hint="eastAsia" w:ascii="宋体" w:hAnsi="宋体" w:eastAsia="宋体" w:cs="Times New Roman"/>
        </w:rPr>
        <w:t xml:space="preserve">采用综合评分法的，评标结果按评审后得分由高到低顺序排列。得分相同的，按投标报价由低到高顺序排列。得分且投标报价相同的并列。分包1、分包2兼投不兼中。本项目按照分包1、分包2的顺序依次评审。</w:t>
      </w:r>
      <w:r/>
    </w:p>
    <w:tbl>
      <w:tblPr>
        <w:tblStyle w:val="683"/>
        <w:tblpPr w:horzAnchor="page" w:tblpX="1781" w:vertAnchor="text" w:tblpY="5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8"/>
        <w:gridCol w:w="1610"/>
        <w:gridCol w:w="5540"/>
      </w:tblGrid>
      <w:tr>
        <w:trPr/>
        <w:tc>
          <w:tcPr>
            <w:tcW w:w="135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554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35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5540" w:type="dxa"/>
            <w:vAlign w:val="top"/>
            <w:textDirection w:val="lrTb"/>
            <w:noWrap w:val="false"/>
          </w:tcPr>
          <w:p>
            <w:pPr>
              <w:jc w:val="left"/>
              <w:rPr>
                <w:rFonts w:hint="eastAsia" w:ascii="宋体" w:hAnsi="宋体"/>
              </w:rPr>
            </w:pPr>
            <w:r>
              <w:rPr>
                <w:rFonts w:hint="eastAsia" w:ascii="宋体" w:hAnsi="宋体"/>
              </w:rPr>
              <w:t xml:space="preserve">1.满足招标文件全部实质性要求，且按照评审因素的量化指标评审得分最高的投标人为中标候选人。</w:t>
            </w:r>
            <w:r/>
          </w:p>
        </w:tc>
      </w:tr>
      <w:tr>
        <w:trPr/>
        <w:tc>
          <w:tcPr>
            <w:tcW w:w="1358" w:type="dxa"/>
            <w:vAlign w:val="top"/>
            <w:textDirection w:val="lrTb"/>
            <w:noWrap w:val="false"/>
          </w:tcPr>
          <w:p>
            <w:pPr>
              <w:jc w:val="center"/>
              <w:rPr>
                <w:rFonts w:ascii="宋体" w:hAnsi="宋体"/>
              </w:rPr>
            </w:pPr>
            <w:r>
              <w:rPr>
                <w:rFonts w:hint="eastAsia" w:ascii="宋体" w:hAnsi="宋体"/>
              </w:rPr>
              <w:t xml:space="preserve">2</w:t>
            </w:r>
            <w:r/>
          </w:p>
        </w:tc>
        <w:tc>
          <w:tcPr>
            <w:tcW w:w="1610" w:type="dxa"/>
            <w:vAlign w:val="top"/>
            <w:textDirection w:val="lrTb"/>
            <w:noWrap w:val="false"/>
          </w:tcPr>
          <w:p>
            <w:pPr>
              <w:jc w:val="center"/>
              <w:rPr>
                <w:rFonts w:hint="eastAsia" w:ascii="宋体" w:hAnsi="宋体"/>
              </w:rPr>
            </w:pPr>
            <w:r>
              <w:rPr>
                <w:rFonts w:hint="eastAsia" w:ascii="宋体" w:hAnsi="宋体"/>
              </w:rPr>
              <w:t xml:space="preserve">1</w:t>
            </w:r>
            <w:r/>
          </w:p>
        </w:tc>
        <w:tc>
          <w:tcPr>
            <w:tcW w:w="5540" w:type="dxa"/>
            <w:vAlign w:val="top"/>
            <w:textDirection w:val="lrTb"/>
            <w:noWrap w:val="false"/>
          </w:tcPr>
          <w:p>
            <w:pPr>
              <w:jc w:val="left"/>
              <w:rPr>
                <w:rFonts w:hint="eastAsia" w:ascii="宋体" w:hAnsi="宋体"/>
              </w:rPr>
            </w:pPr>
            <w:r>
              <w:rPr>
                <w:rFonts w:hint="eastAsia" w:ascii="宋体" w:hAnsi="宋体"/>
              </w:rPr>
              <w:t xml:space="preserve">1.满足招标文件全部实质性要求，且按照评审因素的量化指标评审得分最高的投标人为中标候选人。</w:t>
            </w:r>
            <w:r/>
          </w:p>
          <w:p>
            <w:pPr>
              <w:jc w:val="left"/>
              <w:rPr>
                <w:rFonts w:hint="eastAsia" w:ascii="宋体" w:hAnsi="宋体"/>
              </w:rPr>
            </w:pPr>
            <w:r>
              <w:rPr>
                <w:rFonts w:hint="eastAsia" w:ascii="宋体" w:hAnsi="宋体"/>
              </w:rPr>
              <w:t xml:space="preserve">2.</w:t>
            </w:r>
            <w:r>
              <w:rPr>
                <w:rFonts w:hint="eastAsia" w:ascii="宋体" w:hAnsi="宋体"/>
                <w:b/>
                <w:bCs/>
              </w:rPr>
              <w:t xml:space="preserve">已被推荐为分包1第一中标候选人的投标人，不再参与分包2的评审。</w:t>
            </w:r>
            <w:r/>
          </w:p>
        </w:tc>
      </w:tr>
    </w:tbl>
    <w:p>
      <w:pPr>
        <w:pStyle w:val="939"/>
        <w:ind w:left="0" w:firstLine="0"/>
        <w:spacing w:line="0" w:lineRule="atLeast"/>
        <w:rPr>
          <w:rFonts w:hint="eastAsia" w:ascii="宋体" w:hAnsi="宋体"/>
        </w:rPr>
      </w:pPr>
      <w:r>
        <w:rPr>
          <w:rFonts w:hint="eastAsia" w:ascii="宋体" w:hAnsi="宋体"/>
        </w:rPr>
      </w:r>
      <w:r/>
    </w:p>
    <w:p>
      <w:pPr>
        <w:pStyle w:val="939"/>
        <w:spacing w:line="0" w:lineRule="atLeast"/>
        <w:rPr>
          <w:rFonts w:hint="eastAsia" w:ascii="宋体" w:hAnsi="宋体"/>
        </w:rPr>
      </w:pPr>
      <w:r>
        <w:rPr>
          <w:rFonts w:hint="eastAsia" w:ascii="宋体" w:hAnsi="宋体"/>
        </w:rPr>
        <w:t xml:space="preserve">1、小微型企业价格扣除</w:t>
      </w:r>
      <w:r/>
    </w:p>
    <w:p>
      <w:pPr>
        <w:pStyle w:val="93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39"/>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39"/>
        <w:spacing w:line="0" w:lineRule="atLeast"/>
        <w:rPr>
          <w:rFonts w:hint="eastAsia" w:ascii="宋体" w:hAnsi="宋体"/>
        </w:rPr>
      </w:pPr>
      <w:r>
        <w:rPr>
          <w:rFonts w:hint="eastAsia" w:ascii="宋体" w:hAnsi="宋体"/>
        </w:rPr>
        <w:t xml:space="preserve">2、残疾人福利单位价格扣除</w:t>
      </w:r>
      <w:r/>
    </w:p>
    <w:p>
      <w:pPr>
        <w:pStyle w:val="93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3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3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39"/>
        <w:spacing w:line="0" w:lineRule="atLeast"/>
        <w:rPr>
          <w:rFonts w:hint="eastAsia" w:ascii="宋体" w:hAnsi="宋体"/>
        </w:rPr>
      </w:pPr>
      <w:r>
        <w:rPr>
          <w:rFonts w:hint="eastAsia" w:ascii="宋体" w:hAnsi="宋体"/>
        </w:rPr>
        <w:t xml:space="preserve">3、监狱和戒毒企业价格扣除</w:t>
      </w:r>
      <w:r/>
    </w:p>
    <w:p>
      <w:pPr>
        <w:pStyle w:val="93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3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3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39"/>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3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39"/>
        <w:ind w:left="0" w:firstLine="0"/>
        <w:spacing w:line="0" w:lineRule="atLeast"/>
        <w:rPr>
          <w:rFonts w:hint="eastAsia" w:ascii="宋体" w:hAnsi="宋体" w:eastAsia="宋体" w:cs="宋体"/>
          <w:color w:val="000000"/>
          <w:sz w:val="21"/>
          <w:szCs w:val="21"/>
          <w:lang w:val="en-US" w:eastAsia="zh-CN"/>
        </w:rPr>
      </w:pPr>
      <w:r>
        <w:rPr>
          <w:rFonts w:hint="eastAsia" w:ascii="宋体" w:hAnsi="宋体" w:eastAsia="宋体" w:cs="宋体"/>
          <w:b/>
          <w:color w:val="000000"/>
          <w:sz w:val="21"/>
          <w:szCs w:val="21"/>
          <w:lang w:val="en-US" w:eastAsia="zh-CN"/>
        </w:rPr>
        <w:t xml:space="preserve">分包一</w:t>
      </w:r>
      <w:r>
        <w:rPr>
          <w:rFonts w:hint="eastAsia" w:ascii="宋体" w:hAnsi="宋体" w:eastAsia="宋体" w:cs="宋体"/>
          <w:b/>
          <w:color w:val="000000"/>
          <w:sz w:val="21"/>
          <w:szCs w:val="21"/>
        </w:rPr>
        <w:t xml:space="preserve">评标方法与评标标准</w:t>
      </w:r>
      <w:r/>
    </w:p>
    <w:tbl>
      <w:tblPr>
        <w:tblStyle w:val="683"/>
        <w:tblW w:w="94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142"/>
        <w:gridCol w:w="6688"/>
        <w:gridCol w:w="903"/>
      </w:tblGrid>
      <w:tr>
        <w:trPr>
          <w:jc w:val="center"/>
          <w:trHeight w:val="490"/>
        </w:trPr>
        <w:tc>
          <w:tcPr>
            <w:tcW w:w="70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1142"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评标项目</w:t>
            </w:r>
            <w:r/>
          </w:p>
        </w:tc>
        <w:tc>
          <w:tcPr>
            <w:tcW w:w="6688"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评审内容</w:t>
            </w:r>
            <w:r/>
          </w:p>
        </w:tc>
        <w:tc>
          <w:tcPr>
            <w:tcW w:w="90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p>
        </w:tc>
      </w:tr>
      <w:tr>
        <w:trPr>
          <w:jc w:val="center"/>
          <w:trHeight w:val="1680"/>
        </w:trPr>
        <w:tc>
          <w:tcPr>
            <w:tcW w:w="703" w:type="dxa"/>
            <w:vAlign w:val="center"/>
            <w:textDirection w:val="lrTb"/>
            <w:noWrap w:val="false"/>
          </w:tcPr>
          <w:p>
            <w:pPr>
              <w:jc w:val="cente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p>
        </w:tc>
        <w:tc>
          <w:tcPr>
            <w:tcW w:w="1142"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价格分采用低价优先法计算，即满足招标文件要求且报价最低的投标人报价为评标基准价，其价格分为满分</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0分，其他投标人的价格分统一按照以下公式计算：投标报价得分=（最低报价/该投标人的投标报价）×</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0分（小数点保留两位）</w:t>
            </w:r>
            <w:r/>
          </w:p>
        </w:tc>
        <w:tc>
          <w:tcPr>
            <w:tcW w:w="903"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p>
        </w:tc>
      </w:tr>
      <w:tr>
        <w:trPr>
          <w:jc w:val="center"/>
          <w:trHeight w:val="1245"/>
        </w:trPr>
        <w:tc>
          <w:tcPr>
            <w:tcW w:w="7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bookmarkStart w:id="194" w:name="_Hlk71622306"/>
            <w:r/>
            <w:bookmarkStart w:id="195" w:name="_Hlk113979165"/>
            <w:r>
              <w:rPr>
                <w:rFonts w:hint="eastAsia" w:ascii="宋体" w:hAnsi="宋体" w:eastAsia="宋体" w:cs="宋体"/>
                <w:color w:val="000000"/>
                <w:sz w:val="21"/>
                <w:szCs w:val="21"/>
                <w:highlight w:val="none"/>
                <w:lang w:val="en-US" w:eastAsia="zh-CN"/>
              </w:rPr>
              <w:t xml:space="preserve">2</w:t>
            </w:r>
            <w:r/>
          </w:p>
        </w:tc>
        <w:tc>
          <w:tcPr>
            <w:tcW w:w="1142"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项目业绩</w:t>
            </w:r>
            <w:r>
              <w:rPr>
                <w:rFonts w:hint="eastAsia" w:ascii="宋体" w:hAnsi="宋体" w:eastAsia="宋体" w:cs="宋体"/>
                <w:color w:val="000000"/>
                <w:sz w:val="21"/>
                <w:szCs w:val="21"/>
                <w:highlight w:val="none"/>
                <w:lang w:val="en-US" w:eastAsia="zh-CN"/>
              </w:rPr>
              <w:t xml:space="preserve">及验收</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供应商自2022年7月1日以来（以合同签订时间为准）具有类似项目案例的，每提供一个得2分，本项最多得10分。</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同一用户单位不可重复计分。须提供有效合同关键页复印件、用户验收合格证明材料、合同发票或结算凭证并加盖供应商公章。合同关键页须清晰体现合同标的、双方盖章、签订日期；验收合格证明材料须清晰体现业主名称、服务内容、履约期，未提供或提供不全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tc>
      </w:tr>
      <w:tr>
        <w:trPr>
          <w:jc w:val="center"/>
          <w:trHeight w:val="1245"/>
        </w:trPr>
        <w:tc>
          <w:tcPr>
            <w:tcW w:w="703" w:type="dxa"/>
            <w:vAlign w:val="center"/>
            <w:vMerge w:val="restart"/>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W w:w="1142" w:type="dxa"/>
            <w:vAlign w:val="center"/>
            <w:vMerge w:val="restart"/>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技术要求响应</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3.1对第四章采购需求中打△的重要技术要求响应</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2.1.9条、2.1.10条、2.1.11条、2.1.12条为重要技术要求，每有一条完全满足招标文件要求得2分，本项最多得8分。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8分</w:t>
            </w:r>
            <w:r/>
          </w:p>
        </w:tc>
      </w:tr>
      <w:tr>
        <w:trPr>
          <w:jc w:val="center"/>
          <w:trHeight w:val="1245"/>
        </w:trPr>
        <w:tc>
          <w:tcPr>
            <w:tcW w:w="703" w:type="dxa"/>
            <w:vAlign w:val="center"/>
            <w:vMerge w:val="continue"/>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42" w:type="dxa"/>
            <w:vAlign w:val="center"/>
            <w:vMerge w:val="continue"/>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3.2对第四章采购需求中一般技术要求响应</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2.1.13条 、2.1.13.1条 、2.1.13.2条、2.1.13.3条 、2.1.13.4 条、2.1.13.5条、2.1.13.6条为一般技术要求，每有一条完全满足招标文件要求得1分，本项最多得7分。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7分</w:t>
            </w:r>
            <w:r/>
          </w:p>
        </w:tc>
      </w:tr>
      <w:tr>
        <w:trPr>
          <w:jc w:val="center"/>
          <w:trHeight w:val="422"/>
        </w:trPr>
        <w:tc>
          <w:tcPr>
            <w:tcW w:w="703" w:type="dxa"/>
            <w:vAlign w:val="center"/>
            <w:vMerge w:val="restart"/>
            <w:textDirection w:val="lrTb"/>
            <w:noWrap w:val="false"/>
          </w:tcPr>
          <w:p>
            <w:pPr>
              <w:jc w:val="center"/>
              <w:spacing w:line="28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p>
        </w:tc>
        <w:tc>
          <w:tcPr>
            <w:tcW w:w="1142" w:type="dxa"/>
            <w:vAlign w:val="center"/>
            <w:vMerge w:val="restart"/>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履约能力</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4.1流量分析平台</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投标人提供可查看的流量分析管理平台截图，能提现实时监控客户宽带流量使用情况的得3分。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注：需提供截图页面并加盖投标人公章。</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tc>
      </w:tr>
      <w:tr>
        <w:trPr>
          <w:jc w:val="center"/>
          <w:trHeight w:val="1245"/>
        </w:trPr>
        <w:tc>
          <w:tcPr>
            <w:tcW w:w="703" w:type="dxa"/>
            <w:vAlign w:val="center"/>
            <w:vMerge w:val="continue"/>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2" w:type="dxa"/>
            <w:vAlign w:val="center"/>
            <w:vMerge w:val="continue"/>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管理体系认证</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（1）具备有效期内的质量管理体系认证证书得2分；</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（2）具备有效期内的信息安全管理体系认证证书得2分；</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）具备有效期内的信息技术服务管理体系认证证书得2分；</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人提供经国家认证认可监督管理委员会（CNCA）批准设立认证机构颁发的在有效期内相关管理体系认证证书复印件，并提供国家认证认可信息公共服务平台（http://cx.cnca.cn）的查询截图，未提供或提供不全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6分</w:t>
            </w:r>
            <w:r/>
          </w:p>
        </w:tc>
      </w:tr>
      <w:tr>
        <w:trPr>
          <w:jc w:val="center"/>
          <w:trHeight w:val="2589"/>
        </w:trPr>
        <w:tc>
          <w:tcPr>
            <w:tcW w:w="703" w:type="dxa"/>
            <w:vAlign w:val="center"/>
            <w:vMerge w:val="continue"/>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2" w:type="dxa"/>
            <w:vAlign w:val="center"/>
            <w:vMerge w:val="continue"/>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4.3项目团队负责人:具有高级信息系统项目管理师证书、注册信息安全专业人员（CISP）证书的每证得2分，最高得4分；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项目团队成员: 具有通信工程师、网络工程师、信息安全保障人员认证（CISAW）证书的每证得2分，最高得6分；</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须提供项目团队名单、有效期内的证书复印件及供应商为项目团队成员缴纳的自2025年4月1日以来任意一个月的社保证明材料并加盖供应商公章；根据国家相关政策免缴或迟缴的需提供相关证明材料，不符合要求的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p>
        </w:tc>
      </w:tr>
      <w:tr>
        <w:trPr>
          <w:jc w:val="center"/>
          <w:trHeight w:val="408"/>
        </w:trPr>
        <w:tc>
          <w:tcPr>
            <w:tcW w:w="7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p>
        </w:tc>
        <w:tc>
          <w:tcPr>
            <w:tcW w:w="1142" w:type="dxa"/>
            <w:vAlign w:val="center"/>
            <w:textDirection w:val="lrTb"/>
            <w:noWrap w:val="false"/>
          </w:tcPr>
          <w:p>
            <w:pPr>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业务系统营运连续不中断</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投标人承诺互联网专线建设完成后主要四项业务系统营运连续不中断的，每个业务系统得4分，中断不得分，最多得16分；</w:t>
            </w:r>
            <w:r/>
          </w:p>
          <w:p>
            <w:pPr>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b/>
                <w:bCs/>
                <w:color w:val="000000"/>
                <w:sz w:val="21"/>
                <w:szCs w:val="21"/>
                <w:highlight w:val="none"/>
              </w:rPr>
              <w:t xml:space="preserve">：</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主要业务系统</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南图ALEPH500核心业务系统（61.155.1.109）</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主要业务系统</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：南京图书馆网站（61.155.1.118）</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主要业务系统</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南图流通服务点自助借还书系统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218.2.105.96</w:t>
            </w:r>
            <w:r>
              <w:rPr>
                <w:rFonts w:hint="eastAsia" w:ascii="宋体" w:hAnsi="宋体" w:eastAsia="宋体" w:cs="宋体"/>
                <w:color w:val="000000"/>
                <w:sz w:val="21"/>
                <w:szCs w:val="21"/>
                <w:highlight w:val="none"/>
              </w:rPr>
              <w:t xml:space="preserve">）</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主要业务系统4：</w:t>
            </w:r>
            <w:r>
              <w:rPr>
                <w:rFonts w:hint="eastAsia" w:ascii="宋体" w:hAnsi="宋体" w:eastAsia="宋体" w:cs="宋体"/>
                <w:color w:val="000000"/>
                <w:sz w:val="21"/>
                <w:szCs w:val="21"/>
                <w:highlight w:val="none"/>
                <w:lang w:val="en-US" w:eastAsia="zh-CN"/>
              </w:rPr>
              <w:t xml:space="preserve">南图数字图书馆系统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218.2.105.83</w:t>
            </w:r>
            <w:r>
              <w:rPr>
                <w:rFonts w:hint="eastAsia" w:ascii="宋体" w:hAnsi="宋体" w:eastAsia="宋体" w:cs="宋体"/>
                <w:color w:val="000000"/>
                <w:sz w:val="21"/>
                <w:szCs w:val="21"/>
                <w:highlight w:val="none"/>
              </w:rPr>
              <w:t xml:space="preserve">）</w:t>
            </w:r>
            <w:r/>
          </w:p>
          <w:p>
            <w:pPr>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color w:val="000000"/>
                <w:sz w:val="21"/>
                <w:szCs w:val="21"/>
                <w:highlight w:val="none"/>
                <w:lang w:val="en-US" w:eastAsia="zh-CN"/>
              </w:rPr>
              <w:t xml:space="preserve">每个系统提供一份盖章</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共四份承诺函，内容格式自拟</w:t>
            </w:r>
            <w:r>
              <w:rPr>
                <w:rFonts w:hint="eastAsia" w:ascii="宋体" w:hAnsi="宋体" w:eastAsia="宋体" w:cs="宋体"/>
                <w:color w:val="000000"/>
                <w:sz w:val="21"/>
                <w:szCs w:val="21"/>
                <w:highlight w:val="none"/>
                <w:lang w:eastAsia="zh-CN"/>
              </w:rPr>
              <w:t xml:space="preserve">）。</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分</w:t>
            </w:r>
            <w:r/>
          </w:p>
        </w:tc>
      </w:tr>
      <w:tr>
        <w:trPr>
          <w:jc w:val="center"/>
          <w:trHeight w:val="358"/>
        </w:trPr>
        <w:tc>
          <w:tcPr>
            <w:tcW w:w="7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p>
        </w:tc>
        <w:tc>
          <w:tcPr>
            <w:tcW w:w="1142" w:type="dxa"/>
            <w:vAlign w:val="center"/>
            <w:textDirection w:val="lrTb"/>
            <w:noWrap w:val="false"/>
          </w:tcPr>
          <w:p>
            <w:pPr>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专线宽带技术方案</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投标人应根据招标文件要求及本项目特点，制定具体详实的技术方案。内容包括但不局限于技术先进性与适用性、QoS（服务质量）策略、安全性保障、兼容性考虑、性能指标、技术文档等。</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方案优于招标文件要求的得5分，符合招标文件要求的得3分，未提供的不得分。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r>
      <w:tr>
        <w:trPr>
          <w:jc w:val="center"/>
          <w:trHeight w:val="1245"/>
        </w:trPr>
        <w:tc>
          <w:tcPr>
            <w:tcW w:w="7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p>
        </w:tc>
        <w:tc>
          <w:tcPr>
            <w:tcW w:w="1142" w:type="dxa"/>
            <w:vAlign w:val="center"/>
            <w:textDirection w:val="lrTb"/>
            <w:noWrap w:val="false"/>
          </w:tcPr>
          <w:p>
            <w:pPr>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安全服务技术方案</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投标人应提供DDoS攻击防护、流量清洗、漏洞扫描技术方案。</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方案优于招标文件要求的得5分，符合招标文件要求的得3分，未提供的不得分。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r>
      <w:tr>
        <w:trPr>
          <w:jc w:val="center"/>
          <w:trHeight w:val="479"/>
        </w:trPr>
        <w:tc>
          <w:tcPr>
            <w:tcW w:w="7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p>
        </w:tc>
        <w:tc>
          <w:tcPr>
            <w:tcW w:w="1142" w:type="dxa"/>
            <w:vAlign w:val="center"/>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售后服务方案</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投标人应根据招标文件要求及本项目特点，制定具体详实的售后服务方案。内容包括但不局限于服务响应时间、定期巡检与维护、培训与技术支持、故障恢复计划、服务保障承诺等。</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方案优于招标文件要求的得5分，符合招标文件要求的得3分，未提供的不得分。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r>
      <w:tr>
        <w:trPr>
          <w:jc w:val="center"/>
          <w:trHeight w:val="959"/>
        </w:trPr>
        <w:tc>
          <w:tcPr>
            <w:tcW w:w="7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p>
        </w:tc>
        <w:tc>
          <w:tcPr>
            <w:tcW w:w="1142" w:type="dxa"/>
            <w:vAlign w:val="center"/>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项目实施方案</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投标人应根据招标文件要求及本项目特点，制定具体详实的项目实施方案。内容包括但不局限于项目时间表、资源分配、项目管理、风险评估与应对、项目验收等。</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方案优于招标文件要求的得5分，符合招标文件要求的得3分，未提供的不得分。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r>
      <w:tr>
        <w:trPr>
          <w:jc w:val="center"/>
          <w:trHeight w:val="575"/>
        </w:trPr>
        <w:tc>
          <w:tcPr>
            <w:gridSpan w:val="3"/>
            <w:tcW w:w="853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p>
        </w:tc>
        <w:tc>
          <w:tcPr>
            <w:tcW w:w="90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rPr>
              <w:t xml:space="preserve">分</w:t>
            </w:r>
            <w:bookmarkEnd w:id="194"/>
            <w:bookmarkEnd w:id="195"/>
            <w:r/>
          </w:p>
        </w:tc>
      </w:tr>
    </w:tbl>
    <w:p>
      <w:pPr>
        <w:rPr>
          <w:rFonts w:hint="eastAsia"/>
        </w:rPr>
      </w:pPr>
      <w:r>
        <w:rPr>
          <w:rFonts w:hint="eastAsia"/>
        </w:rPr>
      </w:r>
      <w:r/>
    </w:p>
    <w:p>
      <w:pPr>
        <w:pStyle w:val="939"/>
        <w:ind w:left="0" w:firstLine="0"/>
        <w:spacing w:line="0" w:lineRule="atLeast"/>
        <w:rPr>
          <w:rFonts w:hint="eastAsia" w:ascii="宋体" w:hAnsi="宋体" w:eastAsia="宋体" w:cs="宋体"/>
          <w:color w:val="000000"/>
          <w:sz w:val="21"/>
          <w:szCs w:val="21"/>
          <w:lang w:val="en-US" w:eastAsia="zh-CN"/>
        </w:rPr>
      </w:pPr>
      <w:r>
        <w:rPr>
          <w:rFonts w:hint="eastAsia" w:ascii="宋体" w:hAnsi="宋体" w:eastAsia="宋体" w:cs="宋体"/>
          <w:b/>
          <w:color w:val="000000"/>
          <w:sz w:val="21"/>
          <w:szCs w:val="21"/>
          <w:lang w:val="en-US" w:eastAsia="zh-CN"/>
        </w:rPr>
        <w:t xml:space="preserve">分包二</w:t>
      </w:r>
      <w:r>
        <w:rPr>
          <w:rFonts w:hint="eastAsia" w:ascii="宋体" w:hAnsi="宋体" w:eastAsia="宋体" w:cs="宋体"/>
          <w:b/>
          <w:color w:val="000000"/>
          <w:sz w:val="21"/>
          <w:szCs w:val="21"/>
        </w:rPr>
        <w:t xml:space="preserve">评标方法与评标标准</w:t>
      </w:r>
      <w:r/>
    </w:p>
    <w:tbl>
      <w:tblPr>
        <w:tblStyle w:val="683"/>
        <w:tblW w:w="94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142"/>
        <w:gridCol w:w="6688"/>
        <w:gridCol w:w="903"/>
      </w:tblGrid>
      <w:tr>
        <w:trPr>
          <w:jc w:val="center"/>
          <w:trHeight w:val="490"/>
        </w:trPr>
        <w:tc>
          <w:tcPr>
            <w:tcW w:w="70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1142"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评标项目</w:t>
            </w:r>
            <w:r/>
          </w:p>
        </w:tc>
        <w:tc>
          <w:tcPr>
            <w:tcW w:w="6688"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评审内容</w:t>
            </w:r>
            <w:r/>
          </w:p>
        </w:tc>
        <w:tc>
          <w:tcPr>
            <w:tcW w:w="90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p>
        </w:tc>
      </w:tr>
      <w:tr>
        <w:trPr>
          <w:jc w:val="center"/>
          <w:trHeight w:val="1680"/>
        </w:trPr>
        <w:tc>
          <w:tcPr>
            <w:tcW w:w="703" w:type="dxa"/>
            <w:vAlign w:val="center"/>
            <w:textDirection w:val="lrTb"/>
            <w:noWrap w:val="false"/>
          </w:tcPr>
          <w:p>
            <w:pPr>
              <w:jc w:val="cente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p>
        </w:tc>
        <w:tc>
          <w:tcPr>
            <w:tcW w:w="1142"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价格分采用低价优先法计算，即满足招标文件要求且报价最低的投标人报价为评标基准价，其价格分为满分</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0分，其他投标人的价格分统一按照以下公式计算：投标报价得分=（最低报价/该投标人的投标报价）×</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0分（小数点保留两位）</w:t>
            </w:r>
            <w:r/>
          </w:p>
        </w:tc>
        <w:tc>
          <w:tcPr>
            <w:tcW w:w="903"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p>
        </w:tc>
      </w:tr>
      <w:tr>
        <w:trPr>
          <w:jc w:val="center"/>
          <w:trHeight w:val="1245"/>
        </w:trPr>
        <w:tc>
          <w:tcPr>
            <w:tcW w:w="7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W w:w="1142"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项目业绩</w:t>
            </w:r>
            <w:r>
              <w:rPr>
                <w:rFonts w:hint="eastAsia" w:ascii="宋体" w:hAnsi="宋体" w:eastAsia="宋体" w:cs="宋体"/>
                <w:color w:val="000000"/>
                <w:sz w:val="21"/>
                <w:szCs w:val="21"/>
                <w:highlight w:val="none"/>
                <w:lang w:val="en-US" w:eastAsia="zh-CN"/>
              </w:rPr>
              <w:t xml:space="preserve">及验收</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供应商自2022年7月1日以来（以合同签订时间为准）具有类似项目案例的，每提供一个得2分，本项最多得10分。</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同一用户单位不可重复计分。须提供有效合同关键页复印件、用户验收合格证明材料、合同发票或结算凭证并加盖供应商公章。合同关键页须清晰体现合同标的、双方盖章、签订日期；验收合格证明材料须清晰体现业主名称、服务内容、履约期，未提供或提供不全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tc>
      </w:tr>
      <w:tr>
        <w:trPr>
          <w:jc w:val="center"/>
          <w:trHeight w:val="1245"/>
        </w:trPr>
        <w:tc>
          <w:tcPr>
            <w:tcW w:w="703" w:type="dxa"/>
            <w:vAlign w:val="center"/>
            <w:vMerge w:val="restart"/>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W w:w="1142" w:type="dxa"/>
            <w:vAlign w:val="center"/>
            <w:vMerge w:val="restart"/>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技术要求响应</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3.1对第四章采购需求中打△的重要技术要求响应</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2.1.9条、2.1.10条、2.1.11条、2.1.12条为重要技术要求，每有一条完全满足招标文件要求得2分，本项最多得8分。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8分</w:t>
            </w:r>
            <w:r/>
          </w:p>
        </w:tc>
      </w:tr>
      <w:tr>
        <w:trPr>
          <w:jc w:val="center"/>
          <w:trHeight w:val="1245"/>
        </w:trPr>
        <w:tc>
          <w:tcPr>
            <w:tcW w:w="703" w:type="dxa"/>
            <w:vAlign w:val="center"/>
            <w:vMerge w:val="continue"/>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42" w:type="dxa"/>
            <w:vAlign w:val="center"/>
            <w:vMerge w:val="continue"/>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3.2对第四章采购需求中一般技术要求响应</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2.1.13条 、2.1.13.1条 、2.1.13.2条、2.1.13.3条 、2.1.13.4 条、2.1.13.5条、2.1.13.6条为一般技术要求，每有一条完全满足招标文件要求得1分，本项最多得7分。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7分</w:t>
            </w:r>
            <w:r/>
          </w:p>
        </w:tc>
      </w:tr>
      <w:tr>
        <w:trPr>
          <w:jc w:val="center"/>
          <w:trHeight w:val="422"/>
        </w:trPr>
        <w:tc>
          <w:tcPr>
            <w:tcW w:w="703" w:type="dxa"/>
            <w:vAlign w:val="center"/>
            <w:vMerge w:val="restart"/>
            <w:textDirection w:val="lrTb"/>
            <w:noWrap w:val="false"/>
          </w:tcPr>
          <w:p>
            <w:pPr>
              <w:jc w:val="center"/>
              <w:spacing w:line="28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p>
        </w:tc>
        <w:tc>
          <w:tcPr>
            <w:tcW w:w="1142" w:type="dxa"/>
            <w:vAlign w:val="center"/>
            <w:vMerge w:val="restart"/>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履约能力</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4.1流量分析平台</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投标人提供可查看的流量分析管理平台截图，能提现实时监控客户宽带流量使用情况的得3分。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注：需提供截图页面并加盖投标人公章。</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tc>
      </w:tr>
      <w:tr>
        <w:trPr>
          <w:jc w:val="center"/>
          <w:trHeight w:val="1245"/>
        </w:trPr>
        <w:tc>
          <w:tcPr>
            <w:tcW w:w="703" w:type="dxa"/>
            <w:vAlign w:val="center"/>
            <w:vMerge w:val="continue"/>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2" w:type="dxa"/>
            <w:vAlign w:val="center"/>
            <w:vMerge w:val="continue"/>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管理体系认证</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（1）具备有效期内的质量管理体系认证证书得2分；</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（2）具备有效期内的信息安全管理体系认证证书得2分；</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）具备有效期内的信息技术服务管理体系认证证书得2分；</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人提供经国家认证认可监督管理委员会（CNCA）批准设立认证机构颁发的在有效期内相关管理体系认证证书复印件，并提供国家认证认可信息公共服务平台（http://cx.cnca.cn）的查询截图，未提供或提供不全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6分</w:t>
            </w:r>
            <w:r/>
          </w:p>
        </w:tc>
      </w:tr>
      <w:tr>
        <w:trPr>
          <w:jc w:val="center"/>
          <w:trHeight w:val="2589"/>
        </w:trPr>
        <w:tc>
          <w:tcPr>
            <w:tcW w:w="703" w:type="dxa"/>
            <w:vAlign w:val="center"/>
            <w:vMerge w:val="continue"/>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2" w:type="dxa"/>
            <w:vAlign w:val="center"/>
            <w:vMerge w:val="continue"/>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4.3项目团队负责人:具有高级信息系统项目管理师证书、注册信息安全专业人员（CISP）证书的每证得2分，最高得4分；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项目团队成员: 具有通信工程师、网络工程师、信息安全保障人员认证（CISAW）证书的每证得2分，最高得6分；</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须提供项目团队名单、有效期内的证书复印件及供应商为项目团队成员缴纳的自2025年4月1日以来任意一个月的社保证明材料并加盖供应商公章；根据国家相关政策免缴或迟缴的需提供相关证明材料，不符合要求的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p>
        </w:tc>
      </w:tr>
      <w:tr>
        <w:trPr>
          <w:jc w:val="center"/>
          <w:trHeight w:val="408"/>
        </w:trPr>
        <w:tc>
          <w:tcPr>
            <w:tcW w:w="7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p>
        </w:tc>
        <w:tc>
          <w:tcPr>
            <w:tcW w:w="1142" w:type="dxa"/>
            <w:vAlign w:val="center"/>
            <w:textDirection w:val="lrTb"/>
            <w:noWrap w:val="false"/>
          </w:tcPr>
          <w:p>
            <w:pPr>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业务系统营运连续不中断</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投标人承诺互联网专线建设完成后主要四项业务系统营运连续不中断的，每个业务系统得4分，中断不得分，最多得16分；</w:t>
            </w:r>
            <w:r/>
          </w:p>
          <w:p>
            <w:pPr>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5.1</w:t>
            </w:r>
            <w:r>
              <w:rPr>
                <w:rFonts w:hint="eastAsia" w:ascii="宋体" w:hAnsi="宋体" w:eastAsia="宋体" w:cs="宋体"/>
                <w:b/>
                <w:bCs/>
                <w:color w:val="000000"/>
                <w:sz w:val="21"/>
                <w:szCs w:val="21"/>
                <w:highlight w:val="none"/>
              </w:rPr>
              <w:t xml:space="preserve">：</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主要业务系统1：南京图书馆无线网（58.240.83.90）</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主要业务系统2：江苏省图书馆云平台（58.240.83.72）</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主要业务系统1：南</w:t>
            </w:r>
            <w:r>
              <w:rPr>
                <w:rFonts w:hint="eastAsia" w:ascii="宋体" w:hAnsi="宋体" w:eastAsia="宋体" w:cs="宋体"/>
                <w:color w:val="000000"/>
                <w:sz w:val="21"/>
                <w:szCs w:val="21"/>
                <w:highlight w:val="none"/>
                <w:lang w:val="en-US" w:eastAsia="zh-CN"/>
              </w:rPr>
              <w:t xml:space="preserve">图</w:t>
            </w:r>
            <w:r>
              <w:rPr>
                <w:rFonts w:hint="eastAsia" w:ascii="宋体" w:hAnsi="宋体" w:eastAsia="宋体" w:cs="宋体"/>
                <w:color w:val="000000"/>
                <w:sz w:val="21"/>
                <w:szCs w:val="21"/>
                <w:highlight w:val="none"/>
              </w:rPr>
              <w:t xml:space="preserve">智慧典</w:t>
            </w:r>
            <w:r>
              <w:rPr>
                <w:rFonts w:hint="eastAsia" w:ascii="宋体" w:hAnsi="宋体" w:eastAsia="宋体" w:cs="宋体"/>
                <w:color w:val="000000"/>
                <w:sz w:val="21"/>
                <w:szCs w:val="21"/>
                <w:highlight w:val="none"/>
                <w:lang w:val="en-US" w:eastAsia="zh-CN"/>
              </w:rPr>
              <w:t xml:space="preserve">阅</w:t>
            </w:r>
            <w:r>
              <w:rPr>
                <w:rFonts w:hint="eastAsia" w:ascii="宋体" w:hAnsi="宋体" w:eastAsia="宋体" w:cs="宋体"/>
                <w:color w:val="000000"/>
                <w:sz w:val="21"/>
                <w:szCs w:val="21"/>
                <w:highlight w:val="none"/>
              </w:rPr>
              <w:t xml:space="preserve">系统（112.25.190.210）</w:t>
            </w:r>
            <w:r/>
          </w:p>
          <w:p>
            <w:pPr>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主要业务系统2：业务系统备份</w:t>
            </w:r>
            <w:r>
              <w:rPr>
                <w:rFonts w:hint="eastAsia" w:ascii="宋体" w:hAnsi="宋体" w:eastAsia="宋体" w:cs="宋体"/>
                <w:color w:val="000000"/>
                <w:sz w:val="21"/>
                <w:szCs w:val="21"/>
                <w:highlight w:val="none"/>
                <w:lang w:val="en-US" w:eastAsia="zh-CN"/>
              </w:rPr>
              <w:t xml:space="preserve">系统</w:t>
            </w:r>
            <w:r>
              <w:rPr>
                <w:rFonts w:hint="eastAsia" w:ascii="宋体" w:hAnsi="宋体" w:eastAsia="宋体" w:cs="宋体"/>
                <w:color w:val="000000"/>
                <w:sz w:val="21"/>
                <w:szCs w:val="21"/>
                <w:highlight w:val="none"/>
              </w:rPr>
              <w:t xml:space="preserve">（112.25.190.220）</w:t>
            </w:r>
            <w:r/>
          </w:p>
          <w:p>
            <w:pPr>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color w:val="000000"/>
                <w:sz w:val="21"/>
                <w:szCs w:val="21"/>
                <w:highlight w:val="none"/>
                <w:lang w:val="en-US" w:eastAsia="zh-CN"/>
              </w:rPr>
              <w:t xml:space="preserve">每个系统提供一份盖章</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共四份承诺函，内容格式自拟</w:t>
            </w:r>
            <w:r>
              <w:rPr>
                <w:rFonts w:hint="eastAsia" w:ascii="宋体" w:hAnsi="宋体" w:eastAsia="宋体" w:cs="宋体"/>
                <w:color w:val="000000"/>
                <w:sz w:val="21"/>
                <w:szCs w:val="21"/>
                <w:highlight w:val="none"/>
                <w:lang w:eastAsia="zh-CN"/>
              </w:rPr>
              <w:t xml:space="preserve">）。</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分</w:t>
            </w:r>
            <w:r/>
          </w:p>
        </w:tc>
      </w:tr>
      <w:tr>
        <w:trPr>
          <w:jc w:val="center"/>
          <w:trHeight w:val="358"/>
        </w:trPr>
        <w:tc>
          <w:tcPr>
            <w:tcW w:w="7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p>
        </w:tc>
        <w:tc>
          <w:tcPr>
            <w:tcW w:w="1142" w:type="dxa"/>
            <w:vAlign w:val="center"/>
            <w:textDirection w:val="lrTb"/>
            <w:noWrap w:val="false"/>
          </w:tcPr>
          <w:p>
            <w:pPr>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专线宽带技术方案</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投标人应根据招标文件要求及本项目特点，制定具体详实的技术方案。内容包括但不局限于技术先进性与适用性、QoS（服务质量）策略、安全性保障、兼容性考虑、性能指标、技术文档等。</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方案优于招标文件要求的得5分，符合招标文件要求的得3分，未提供的不得分。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r>
      <w:tr>
        <w:trPr>
          <w:jc w:val="center"/>
          <w:trHeight w:val="1245"/>
        </w:trPr>
        <w:tc>
          <w:tcPr>
            <w:tcW w:w="7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p>
        </w:tc>
        <w:tc>
          <w:tcPr>
            <w:tcW w:w="1142" w:type="dxa"/>
            <w:vAlign w:val="center"/>
            <w:textDirection w:val="lrTb"/>
            <w:noWrap w:val="false"/>
          </w:tcPr>
          <w:p>
            <w:pPr>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安全服务技术方案</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投标人应提供DDoS攻击防护、流量清洗、漏洞扫描技术方案。</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方案优于招标文件要求的得5分，符合招标文件要求的得3分，未提供的不得分。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r>
      <w:tr>
        <w:trPr>
          <w:jc w:val="center"/>
          <w:trHeight w:val="479"/>
        </w:trPr>
        <w:tc>
          <w:tcPr>
            <w:tcW w:w="7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p>
        </w:tc>
        <w:tc>
          <w:tcPr>
            <w:tcW w:w="1142" w:type="dxa"/>
            <w:vAlign w:val="center"/>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售后服务方案</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投标人应根据招标文件要求及本项目特点，制定具体详实的售后服务方案。内容包括但不局限于服务响应时间、定期巡检与维护、培训与技术支持、故障恢复计划、服务保障承诺等。</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方案优于招标文件要求的得5分，符合招标文件要求的得3分，未提供的不得分。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r>
      <w:tr>
        <w:trPr>
          <w:jc w:val="center"/>
          <w:trHeight w:val="959"/>
        </w:trPr>
        <w:tc>
          <w:tcPr>
            <w:tcW w:w="703" w:type="dxa"/>
            <w:vAlign w:val="center"/>
            <w:textDirection w:val="lrTb"/>
            <w:noWrap w:val="false"/>
          </w:tcPr>
          <w:p>
            <w:pPr>
              <w:jc w:val="center"/>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p>
        </w:tc>
        <w:tc>
          <w:tcPr>
            <w:tcW w:w="1142" w:type="dxa"/>
            <w:vAlign w:val="center"/>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项目实施方案</w:t>
            </w:r>
            <w:r/>
          </w:p>
        </w:tc>
        <w:tc>
          <w:tcPr>
            <w:tcW w:w="6688" w:type="dxa"/>
            <w:vAlign w:val="center"/>
            <w:textDirection w:val="lrTb"/>
            <w:noWrap w:val="false"/>
          </w:tcPr>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投标人应根据招标文件要求及本项目特点，制定具体详实的项目实施方案。内容包括但不局限于项目时间表、资源分配、项目管理、风险评估与应对、项目验收等。</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方案优于招标文件要求的得5分，符合招标文件要求的得3分，未提供的不得分。</w:t>
            </w:r>
            <w:r/>
          </w:p>
        </w:tc>
        <w:tc>
          <w:tcPr>
            <w:tcW w:w="903"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r>
      <w:tr>
        <w:trPr>
          <w:jc w:val="center"/>
          <w:trHeight w:val="575"/>
        </w:trPr>
        <w:tc>
          <w:tcPr>
            <w:gridSpan w:val="3"/>
            <w:tcW w:w="853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p>
        </w:tc>
        <w:tc>
          <w:tcPr>
            <w:tcW w:w="90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rPr>
              <w:t xml:space="preserve">分</w:t>
            </w:r>
            <w:r/>
          </w:p>
        </w:tc>
      </w:tr>
    </w:tbl>
    <w:p>
      <w:pPr>
        <w:pStyle w:val="928"/>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53"/>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853"/>
        <w:rPr>
          <w:rFonts w:ascii="黑体" w:eastAsia="黑体"/>
          <w:bCs/>
          <w:sz w:val="44"/>
        </w:rPr>
      </w:pPr>
      <w:r>
        <w:rPr>
          <w:rFonts w:ascii="黑体" w:eastAsia="黑体"/>
          <w:bCs/>
          <w:sz w:val="44"/>
        </w:rPr>
      </w:r>
      <w:r/>
    </w:p>
    <w:p>
      <w:pPr>
        <w:pStyle w:val="853"/>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jc w:val="center"/>
        <w:rPr>
          <w:rFonts w:hint="eastAsia" w:ascii="宋体" w:hAnsi="宋体"/>
          <w:b/>
          <w:sz w:val="72"/>
        </w:rPr>
      </w:pPr>
      <w:r/>
      <w:bookmarkStart w:id="196" w:name="_Hlt26955039"/>
      <w:r/>
      <w:bookmarkEnd w:id="196"/>
      <w:r/>
      <w:bookmarkStart w:id="197" w:name="_Hlt26671244"/>
      <w:r/>
      <w:bookmarkEnd w:id="197"/>
      <w:r/>
      <w:bookmarkStart w:id="198" w:name="_Toc26554094"/>
      <w:r/>
      <w:bookmarkStart w:id="199" w:name="_Toc49090576"/>
      <w:r/>
      <w:bookmarkStart w:id="200"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color w:val="ff0000"/>
          <w:sz w:val="24"/>
        </w:rPr>
        <w:t xml:space="preserve">招标文件（含技术</w:t>
      </w:r>
      <w:r>
        <w:rPr>
          <w:rFonts w:ascii="宋体" w:hAnsi="宋体"/>
          <w:color w:val="ff0000"/>
          <w:sz w:val="24"/>
        </w:rPr>
        <w:t xml:space="preserve">要求和商务</w:t>
      </w:r>
      <w:r>
        <w:rPr>
          <w:rFonts w:hint="eastAsia" w:ascii="宋体" w:hAnsi="宋体"/>
          <w:color w:val="ff0000"/>
          <w:sz w:val="24"/>
        </w:rPr>
        <w:t xml:space="preserve">要求）</w:t>
      </w:r>
      <w:r>
        <w:rPr>
          <w:rFonts w:ascii="宋体" w:hAnsi="宋体"/>
          <w:color w:val="ff0000"/>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宋体"/>
          <w:sz w:val="24"/>
          <w:szCs w:val="20"/>
          <w:lang w:eastAsia="zh-CN"/>
        </w:rPr>
      </w:pPr>
      <w:r>
        <w:rPr>
          <w:rFonts w:hint="eastAsia" w:ascii="宋体" w:hAnsi="宋体"/>
          <w:b/>
          <w:sz w:val="24"/>
          <w:szCs w:val="24"/>
        </w:rPr>
        <w:t xml:space="preserve">附件1 开标一览表</w:t>
      </w:r>
      <w:r>
        <w:rPr>
          <w:rFonts w:hint="eastAsia" w:ascii="宋体" w:hAnsi="宋体"/>
          <w:b/>
          <w:sz w:val="24"/>
          <w:szCs w:val="24"/>
          <w:lang w:eastAsia="zh-CN"/>
        </w:rPr>
        <w:t xml:space="preserve">（</w:t>
      </w:r>
      <w:r>
        <w:rPr>
          <w:rFonts w:hint="eastAsia" w:ascii="宋体" w:hAnsi="宋体"/>
          <w:b/>
          <w:sz w:val="24"/>
          <w:szCs w:val="24"/>
          <w:lang w:val="en-US" w:eastAsia="zh-CN"/>
        </w:rPr>
        <w:t xml:space="preserve">供应商报一年总价即可</w:t>
      </w:r>
      <w:r>
        <w:rPr>
          <w:rFonts w:hint="eastAsia" w:ascii="宋体" w:hAnsi="宋体"/>
          <w:b/>
          <w:sz w:val="24"/>
          <w:szCs w:val="24"/>
          <w:lang w:eastAsia="zh-CN"/>
        </w:rPr>
        <w:t xml:space="preserve">）</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6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39"/>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683"/>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olor w:val="ff0000"/>
          <w:sz w:val="24"/>
          <w:szCs w:val="24"/>
        </w:rPr>
        <w:t xml:space="preserve">1.投标人需</w:t>
      </w:r>
      <w:r>
        <w:rPr>
          <w:rFonts w:ascii="宋体" w:hAnsi="宋体"/>
          <w:color w:val="ff0000"/>
          <w:sz w:val="24"/>
          <w:szCs w:val="24"/>
        </w:rPr>
        <w:t xml:space="preserve">对</w:t>
      </w:r>
      <w:r>
        <w:rPr>
          <w:rFonts w:hint="eastAsia" w:ascii="宋体" w:hAnsi="宋体"/>
          <w:color w:val="ff0000"/>
          <w:sz w:val="24"/>
          <w:szCs w:val="24"/>
        </w:rPr>
        <w:t xml:space="preserve">招标文件</w:t>
      </w:r>
      <w:r>
        <w:rPr>
          <w:rFonts w:ascii="宋体" w:hAnsi="宋体"/>
          <w:color w:val="ff0000"/>
          <w:sz w:val="24"/>
          <w:szCs w:val="24"/>
        </w:rPr>
        <w:t xml:space="preserve">技术</w:t>
      </w:r>
      <w:r>
        <w:rPr>
          <w:rFonts w:hint="eastAsia" w:ascii="宋体" w:hAnsi="宋体"/>
          <w:color w:val="ff0000"/>
          <w:sz w:val="24"/>
          <w:szCs w:val="24"/>
        </w:rPr>
        <w:t xml:space="preserve">要求中非</w:t>
      </w:r>
      <w:r>
        <w:rPr>
          <w:rFonts w:ascii="宋体" w:hAnsi="宋体"/>
          <w:color w:val="ff0000"/>
          <w:sz w:val="24"/>
          <w:szCs w:val="24"/>
        </w:rPr>
        <w:t xml:space="preserve">实质性</w:t>
      </w:r>
      <w:r>
        <w:rPr>
          <w:rFonts w:hint="eastAsia" w:ascii="宋体" w:hAnsi="宋体"/>
          <w:color w:val="ff0000"/>
          <w:sz w:val="24"/>
          <w:szCs w:val="24"/>
        </w:rPr>
        <w:t xml:space="preserve">要求（</w:t>
      </w:r>
      <w:r>
        <w:rPr>
          <w:rFonts w:hint="eastAsia" w:ascii="宋体" w:hAnsi="宋体"/>
          <w:b/>
          <w:color w:val="ff0000"/>
          <w:sz w:val="24"/>
          <w:szCs w:val="24"/>
        </w:rPr>
        <w:t xml:space="preserve">未加</w:t>
      </w:r>
      <w:r>
        <w:rPr>
          <w:rFonts w:hint="eastAsia" w:ascii="宋体" w:hAnsi="宋体"/>
          <w:b/>
          <w:i/>
          <w:color w:val="ff0000"/>
          <w:sz w:val="24"/>
          <w:szCs w:val="24"/>
          <w:u w:val="single"/>
        </w:rPr>
        <w:t xml:space="preserve">斜体</w:t>
      </w:r>
      <w:r>
        <w:rPr>
          <w:rFonts w:ascii="宋体" w:hAnsi="宋体"/>
          <w:b/>
          <w:i/>
          <w:color w:val="ff0000"/>
          <w:sz w:val="24"/>
          <w:szCs w:val="24"/>
          <w:u w:val="single"/>
        </w:rPr>
        <w:t xml:space="preserve">下划线</w:t>
      </w:r>
      <w:r>
        <w:rPr>
          <w:rFonts w:hint="eastAsia" w:ascii="宋体" w:hAnsi="宋体"/>
          <w:b/>
          <w:iCs/>
          <w:color w:val="ff0000"/>
          <w:sz w:val="24"/>
          <w:szCs w:val="24"/>
        </w:rPr>
        <w:t xml:space="preserve">部分</w:t>
      </w:r>
      <w:r>
        <w:rPr>
          <w:rFonts w:hint="eastAsia" w:ascii="宋体" w:hAnsi="宋体"/>
          <w:b/>
          <w:color w:val="ff0000"/>
          <w:sz w:val="24"/>
          <w:szCs w:val="24"/>
        </w:rPr>
        <w:t xml:space="preserve">或未加*号条款</w:t>
      </w:r>
      <w:r>
        <w:rPr>
          <w:rFonts w:hint="eastAsia" w:ascii="宋体" w:hAnsi="宋体"/>
          <w:color w:val="ff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olor w:val="ff0000"/>
          <w:sz w:val="24"/>
          <w:szCs w:val="24"/>
        </w:rPr>
      </w:pPr>
      <w:r>
        <w:rPr>
          <w:rFonts w:hint="eastAsia" w:ascii="宋体" w:hAnsi="宋体"/>
          <w:color w:val="ff0000"/>
          <w:sz w:val="24"/>
          <w:szCs w:val="24"/>
        </w:rPr>
        <w:t xml:space="preserve">1.投标人需</w:t>
      </w:r>
      <w:r>
        <w:rPr>
          <w:rFonts w:ascii="宋体" w:hAnsi="宋体"/>
          <w:color w:val="ff0000"/>
          <w:sz w:val="24"/>
          <w:szCs w:val="24"/>
        </w:rPr>
        <w:t xml:space="preserve">对</w:t>
      </w:r>
      <w:r>
        <w:rPr>
          <w:rFonts w:hint="eastAsia" w:ascii="宋体" w:hAnsi="宋体"/>
          <w:color w:val="ff0000"/>
          <w:sz w:val="24"/>
          <w:szCs w:val="24"/>
        </w:rPr>
        <w:t xml:space="preserve">招标文件商务要求中非</w:t>
      </w:r>
      <w:r>
        <w:rPr>
          <w:rFonts w:ascii="宋体" w:hAnsi="宋体"/>
          <w:color w:val="ff0000"/>
          <w:sz w:val="24"/>
          <w:szCs w:val="24"/>
        </w:rPr>
        <w:t xml:space="preserve">实质性</w:t>
      </w:r>
      <w:r>
        <w:rPr>
          <w:rFonts w:hint="eastAsia" w:ascii="宋体" w:hAnsi="宋体"/>
          <w:color w:val="ff0000"/>
          <w:sz w:val="24"/>
          <w:szCs w:val="24"/>
        </w:rPr>
        <w:t xml:space="preserve">要求（</w:t>
      </w:r>
      <w:r>
        <w:rPr>
          <w:rFonts w:hint="eastAsia" w:ascii="宋体" w:hAnsi="宋体"/>
          <w:b/>
          <w:color w:val="ff0000"/>
          <w:sz w:val="24"/>
          <w:szCs w:val="24"/>
        </w:rPr>
        <w:t xml:space="preserve">未加</w:t>
      </w:r>
      <w:r>
        <w:rPr>
          <w:rFonts w:hint="eastAsia" w:ascii="宋体" w:hAnsi="宋体"/>
          <w:b/>
          <w:i/>
          <w:color w:val="ff0000"/>
          <w:sz w:val="24"/>
          <w:szCs w:val="24"/>
          <w:u w:val="single"/>
        </w:rPr>
        <w:t xml:space="preserve">斜体</w:t>
      </w:r>
      <w:r>
        <w:rPr>
          <w:rFonts w:ascii="宋体" w:hAnsi="宋体"/>
          <w:b/>
          <w:i/>
          <w:color w:val="ff0000"/>
          <w:sz w:val="24"/>
          <w:szCs w:val="24"/>
          <w:u w:val="single"/>
        </w:rPr>
        <w:t xml:space="preserve">下划线</w:t>
      </w:r>
      <w:r>
        <w:rPr>
          <w:rFonts w:hint="eastAsia" w:ascii="宋体" w:hAnsi="宋体"/>
          <w:b/>
          <w:iCs/>
          <w:color w:val="ff0000"/>
          <w:sz w:val="24"/>
          <w:szCs w:val="24"/>
        </w:rPr>
        <w:t xml:space="preserve">部分</w:t>
      </w:r>
      <w:r>
        <w:rPr>
          <w:rFonts w:hint="eastAsia" w:ascii="宋体" w:hAnsi="宋体"/>
          <w:b/>
          <w:color w:val="ff0000"/>
          <w:sz w:val="24"/>
          <w:szCs w:val="24"/>
        </w:rPr>
        <w:t xml:space="preserve">或未加*号条款</w:t>
      </w:r>
      <w:r>
        <w:rPr>
          <w:rFonts w:hint="eastAsia" w:ascii="宋体" w:hAnsi="宋体"/>
          <w:color w:val="ff0000"/>
          <w:sz w:val="24"/>
          <w:szCs w:val="24"/>
        </w:rPr>
        <w:t xml:space="preserve">）</w:t>
      </w:r>
      <w:r>
        <w:rPr>
          <w:rFonts w:ascii="宋体" w:hAnsi="宋体"/>
          <w:color w:val="ff0000"/>
          <w:sz w:val="24"/>
          <w:szCs w:val="24"/>
        </w:rPr>
        <w:t xml:space="preserve">逐条做出明确响应</w:t>
      </w:r>
      <w:r>
        <w:rPr>
          <w:rFonts w:hint="eastAsia" w:ascii="宋体" w:hAnsi="宋体"/>
          <w:color w:val="ff0000"/>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3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3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3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3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39"/>
        <w:ind w:left="420"/>
        <w:spacing w:before="0" w:after="0" w:line="420" w:lineRule="exact"/>
        <w:rPr>
          <w:rFonts w:hint="eastAsia" w:ascii="宋体" w:hAnsi="宋体"/>
          <w:szCs w:val="21"/>
        </w:rPr>
      </w:pPr>
      <w:r>
        <w:rPr>
          <w:rFonts w:hint="eastAsia" w:ascii="宋体" w:hAnsi="宋体"/>
          <w:szCs w:val="21"/>
        </w:rPr>
        <w:t xml:space="preserve">地          址：</w:t>
      </w:r>
      <w:r/>
    </w:p>
    <w:p>
      <w:pPr>
        <w:pStyle w:val="939"/>
        <w:ind w:left="420"/>
        <w:spacing w:before="0" w:after="0" w:line="420" w:lineRule="exact"/>
        <w:rPr>
          <w:rFonts w:hint="eastAsia" w:ascii="宋体" w:hAnsi="宋体"/>
          <w:szCs w:val="21"/>
        </w:rPr>
      </w:pPr>
      <w:r>
        <w:rPr>
          <w:rFonts w:hint="eastAsia" w:ascii="宋体" w:hAnsi="宋体"/>
          <w:szCs w:val="21"/>
        </w:rPr>
        <w:t xml:space="preserve">邮          编：</w:t>
      </w:r>
      <w:r/>
    </w:p>
    <w:p>
      <w:pPr>
        <w:pStyle w:val="939"/>
        <w:ind w:left="420"/>
        <w:spacing w:before="0" w:after="0" w:line="420" w:lineRule="exact"/>
        <w:rPr>
          <w:rFonts w:hint="eastAsia" w:ascii="宋体" w:hAnsi="宋体"/>
          <w:szCs w:val="21"/>
        </w:rPr>
      </w:pPr>
      <w:r>
        <w:rPr>
          <w:rFonts w:hint="eastAsia" w:ascii="宋体" w:hAnsi="宋体"/>
          <w:szCs w:val="21"/>
        </w:rPr>
        <w:t xml:space="preserve">电          话：</w:t>
      </w:r>
      <w:r/>
    </w:p>
    <w:p>
      <w:pPr>
        <w:pStyle w:val="939"/>
        <w:ind w:left="420"/>
        <w:spacing w:before="0" w:after="0" w:line="420" w:lineRule="exact"/>
        <w:rPr>
          <w:rFonts w:hint="eastAsia" w:ascii="宋体" w:hAnsi="宋体"/>
          <w:szCs w:val="21"/>
        </w:rPr>
      </w:pPr>
      <w:r>
        <w:rPr>
          <w:rFonts w:hint="eastAsia" w:ascii="宋体" w:hAnsi="宋体"/>
          <w:szCs w:val="21"/>
        </w:rPr>
        <w:t xml:space="preserve">传          真：</w:t>
      </w:r>
      <w:r/>
    </w:p>
    <w:p>
      <w:pPr>
        <w:pStyle w:val="93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39"/>
        <w:ind w:left="420"/>
        <w:spacing w:before="0" w:after="0" w:line="420" w:lineRule="exact"/>
        <w:rPr>
          <w:rFonts w:hint="eastAsia" w:ascii="宋体" w:hAnsi="宋体"/>
          <w:szCs w:val="21"/>
        </w:rPr>
      </w:pPr>
      <w:r>
        <w:rPr>
          <w:rFonts w:hint="eastAsia" w:ascii="宋体" w:hAnsi="宋体"/>
          <w:szCs w:val="21"/>
        </w:rPr>
        <w:t xml:space="preserve">账          号： </w:t>
      </w:r>
      <w:r/>
    </w:p>
    <w:p>
      <w:pPr>
        <w:pStyle w:val="939"/>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8"/>
      <w:bookmarkEnd w:id="199"/>
      <w:bookmarkEnd w:id="200"/>
      <w:r/>
    </w:p>
    <w:p>
      <w:pPr>
        <w:spacing w:line="460" w:lineRule="exact"/>
        <w:rPr>
          <w:rFonts w:hint="eastAsia" w:ascii="黑体" w:hAnsi="黑体" w:eastAsia="黑体"/>
          <w:b/>
          <w:sz w:val="32"/>
          <w:szCs w:val="32"/>
        </w:rPr>
      </w:pPr>
      <w:r/>
      <w:bookmarkStart w:id="201"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color w:val="ff0000"/>
                <w:sz w:val="24"/>
              </w:rPr>
              <w:t xml:space="preserve">招标文件（含技术</w:t>
            </w:r>
            <w:r>
              <w:rPr>
                <w:rFonts w:ascii="宋体" w:hAnsi="宋体"/>
                <w:color w:val="ff0000"/>
                <w:sz w:val="24"/>
              </w:rPr>
              <w:t xml:space="preserve">要求和商务</w:t>
            </w:r>
            <w:r>
              <w:rPr>
                <w:rFonts w:hint="eastAsia" w:ascii="宋体" w:hAnsi="宋体"/>
                <w:color w:val="ff0000"/>
                <w:sz w:val="24"/>
              </w:rPr>
              <w:t xml:space="preserve">要求）</w:t>
            </w:r>
            <w:r>
              <w:rPr>
                <w:rFonts w:ascii="宋体" w:hAnsi="宋体"/>
                <w:color w:val="ff0000"/>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color w:val="ff0000"/>
          <w:sz w:val="24"/>
        </w:rPr>
        <w:t xml:space="preserve">招标文件（含技术</w:t>
      </w:r>
      <w:r>
        <w:rPr>
          <w:rFonts w:ascii="宋体" w:hAnsi="宋体"/>
          <w:color w:val="ff0000"/>
          <w:sz w:val="24"/>
        </w:rPr>
        <w:t xml:space="preserve">要求和商务</w:t>
      </w:r>
      <w:r>
        <w:rPr>
          <w:rFonts w:hint="eastAsia" w:ascii="宋体" w:hAnsi="宋体"/>
          <w:color w:val="ff0000"/>
          <w:sz w:val="24"/>
        </w:rPr>
        <w:t xml:space="preserve">要求）</w:t>
      </w:r>
      <w:r>
        <w:rPr>
          <w:rFonts w:ascii="宋体" w:hAnsi="宋体"/>
          <w:color w:val="ff0000"/>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bookmarkEnd w:id="189"/>
      <w:bookmarkEnd w:id="190"/>
      <w:bookmarkEnd w:id="201"/>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55"/>
        <w:rPr>
          <w:rFonts w:hint="eastAsia"/>
          <w:sz w:val="24"/>
          <w:szCs w:val="24"/>
        </w:rPr>
      </w:pPr>
      <w:r>
        <w:rPr>
          <w:rFonts w:hint="eastAsia"/>
          <w:sz w:val="24"/>
          <w:szCs w:val="24"/>
        </w:rPr>
      </w:r>
      <w:r/>
    </w:p>
    <w:p>
      <w:pPr>
        <w:pStyle w:val="855"/>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24"/>
        <w:rFonts w:ascii="宋体" w:hAnsi="宋体"/>
      </w:rPr>
      <w:framePr w:wrap="around" w:vAnchor="text" w:hAnchor="margin" w:xAlign="center" w:y="1"/>
    </w:pPr>
    <w:r>
      <w:rPr>
        <w:rFonts w:ascii="宋体" w:hAnsi="宋体"/>
      </w:rPr>
      <w:fldChar w:fldCharType="begin"/>
    </w:r>
    <w:r>
      <w:rPr>
        <w:rStyle w:val="924"/>
        <w:rFonts w:ascii="宋体" w:hAnsi="宋体"/>
      </w:rPr>
      <w:instrText xml:space="preserve">PAGE  </w:instrText>
    </w:r>
    <w:r>
      <w:rPr>
        <w:rFonts w:ascii="宋体" w:hAnsi="宋体"/>
      </w:rPr>
      <w:fldChar w:fldCharType="separate"/>
    </w:r>
    <w:r>
      <w:rPr>
        <w:rStyle w:val="924"/>
        <w:rFonts w:ascii="宋体" w:hAnsi="宋体"/>
      </w:rPr>
      <w:t xml:space="preserve">12</w:t>
    </w:r>
    <w:r>
      <w:rPr>
        <w:rFonts w:ascii="宋体" w:hAnsi="宋体"/>
      </w:rPr>
      <w:fldChar w:fldCharType="end"/>
    </w:r>
    <w:r/>
  </w:p>
  <w:p>
    <w:pPr>
      <w:pStyle w:val="89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8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instrText xml:space="preserve">PAGE   \* MERGEFORMAT</w:instrText>
    </w:r>
    <w:r>
      <w:fldChar w:fldCharType="separate"/>
    </w:r>
    <w:r>
      <w:rPr>
        <w:lang w:val="zh-CN"/>
      </w:rPr>
      <w:t xml:space="preserve">1</w:t>
    </w:r>
    <w:r>
      <w:fldChar w:fldCharType="end"/>
    </w:r>
    <w:r/>
  </w:p>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9"/>
      <w:isLgl w:val="false"/>
      <w:suff w:val="nothing"/>
      <w:lvlText w:val=""/>
      <w:lvlJc w:val="left"/>
      <w:pPr>
        <w:ind w:left="0" w:firstLine="0"/>
      </w:pPr>
      <w:rPr>
        <w:rFonts w:hint="eastAsia"/>
      </w:rPr>
    </w:lvl>
    <w:lvl w:ilvl="6">
      <w:start w:val="1"/>
      <w:numFmt w:val="decimal"/>
      <w:pStyle w:val="860"/>
      <w:isLgl w:val="false"/>
      <w:suff w:val="nothing"/>
      <w:lvlText w:val=""/>
      <w:lvlJc w:val="left"/>
      <w:pPr>
        <w:ind w:left="0" w:firstLine="0"/>
      </w:pPr>
      <w:rPr>
        <w:rFonts w:hint="eastAsia"/>
      </w:rPr>
    </w:lvl>
    <w:lvl w:ilvl="7">
      <w:start w:val="1"/>
      <w:numFmt w:val="decimal"/>
      <w:pStyle w:val="861"/>
      <w:isLgl w:val="false"/>
      <w:suff w:val="nothing"/>
      <w:lvlText w:val=""/>
      <w:lvlJc w:val="left"/>
      <w:pPr>
        <w:ind w:left="0" w:firstLine="0"/>
      </w:pPr>
      <w:rPr>
        <w:rFonts w:hint="eastAsia"/>
      </w:rPr>
    </w:lvl>
    <w:lvl w:ilvl="8">
      <w:start w:val="1"/>
      <w:numFmt w:val="decimal"/>
      <w:pStyle w:val="862"/>
      <w:isLgl w:val="false"/>
      <w:suff w:val="nothing"/>
      <w:lvlText w:val=""/>
      <w:lvlJc w:val="left"/>
      <w:pPr>
        <w:ind w:left="0" w:firstLine="0"/>
      </w:pPr>
      <w:rPr>
        <w:rFonts w:hint="eastAsia"/>
      </w:rPr>
    </w:lvl>
  </w:abstractNum>
  <w:abstractNum w:abstractNumId="4">
    <w:multiLevelType w:val="hybridMultilevel"/>
    <w:lvl w:ilvl="0">
      <w:start w:val="1"/>
      <w:numFmt w:val="decimal"/>
      <w:pStyle w:val="9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2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3">
    <w:name w:val="Heading 1"/>
    <w:basedOn w:val="672"/>
    <w:next w:val="672"/>
    <w:link w:val="705"/>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06"/>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07"/>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08"/>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09"/>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0"/>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2"/>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3"/>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rPr>
  </w:style>
  <w:style w:type="paragraph" w:styleId="686">
    <w:name w:val="toc 5"/>
    <w:basedOn w:val="672"/>
    <w:next w:val="672"/>
    <w:uiPriority w:val="39"/>
    <w:unhideWhenUsed/>
    <w:pPr>
      <w:ind w:left="1134" w:right="0" w:firstLine="0"/>
      <w:spacing w:after="57"/>
    </w:pPr>
  </w:style>
  <w:style w:type="paragraph" w:styleId="687">
    <w:name w:val="toc 3"/>
    <w:basedOn w:val="672"/>
    <w:next w:val="672"/>
    <w:uiPriority w:val="39"/>
    <w:unhideWhenUsed/>
    <w:pPr>
      <w:ind w:left="567" w:right="0" w:firstLine="0"/>
      <w:spacing w:after="57"/>
    </w:pPr>
  </w:style>
  <w:style w:type="paragraph" w:styleId="688">
    <w:name w:val="toc 8"/>
    <w:basedOn w:val="672"/>
    <w:next w:val="672"/>
    <w:uiPriority w:val="39"/>
    <w:unhideWhenUsed/>
    <w:pPr>
      <w:ind w:left="1984" w:right="0" w:firstLine="0"/>
      <w:spacing w:after="57"/>
    </w:pPr>
  </w:style>
  <w:style w:type="paragraph" w:styleId="689">
    <w:name w:val="endnote text"/>
    <w:basedOn w:val="672"/>
    <w:link w:val="851"/>
    <w:uiPriority w:val="99"/>
    <w:semiHidden/>
    <w:unhideWhenUsed/>
    <w:pPr>
      <w:spacing w:after="0" w:line="240" w:lineRule="auto"/>
    </w:pPr>
    <w:rPr>
      <w:sz w:val="20"/>
    </w:rPr>
  </w:style>
  <w:style w:type="paragraph" w:styleId="690">
    <w:name w:val="Footer"/>
    <w:basedOn w:val="672"/>
    <w:link w:val="724"/>
    <w:uiPriority w:val="99"/>
    <w:unhideWhenUsed/>
    <w:qFormat/>
    <w:pPr>
      <w:spacing w:after="0" w:line="240" w:lineRule="auto"/>
      <w:tabs>
        <w:tab w:val="center" w:pos="7143" w:leader="none"/>
        <w:tab w:val="right" w:pos="14287" w:leader="none"/>
      </w:tabs>
    </w:pPr>
  </w:style>
  <w:style w:type="paragraph" w:styleId="691">
    <w:name w:val="Header"/>
    <w:basedOn w:val="672"/>
    <w:link w:val="722"/>
    <w:uiPriority w:val="99"/>
    <w:unhideWhenUsed/>
    <w:pPr>
      <w:spacing w:after="0" w:line="240" w:lineRule="auto"/>
      <w:tabs>
        <w:tab w:val="center" w:pos="7143" w:leader="none"/>
        <w:tab w:val="right" w:pos="14287" w:leader="none"/>
      </w:tabs>
    </w:pPr>
  </w:style>
  <w:style w:type="paragraph" w:styleId="692">
    <w:name w:val="toc 1"/>
    <w:basedOn w:val="672"/>
    <w:next w:val="672"/>
    <w:uiPriority w:val="39"/>
    <w:unhideWhenUsed/>
    <w:pPr>
      <w:ind w:left="0" w:right="0" w:firstLine="0"/>
      <w:spacing w:after="57"/>
    </w:pPr>
  </w:style>
  <w:style w:type="paragraph" w:styleId="693">
    <w:name w:val="toc 4"/>
    <w:basedOn w:val="672"/>
    <w:next w:val="672"/>
    <w:uiPriority w:val="39"/>
    <w:unhideWhenUsed/>
    <w:pPr>
      <w:ind w:left="850" w:right="0" w:firstLine="0"/>
      <w:spacing w:after="57"/>
    </w:pPr>
  </w:style>
  <w:style w:type="paragraph" w:styleId="694">
    <w:name w:val="Subtitle"/>
    <w:basedOn w:val="672"/>
    <w:next w:val="672"/>
    <w:link w:val="717"/>
    <w:uiPriority w:val="11"/>
    <w:qFormat/>
    <w:pPr>
      <w:spacing w:before="200" w:after="200"/>
    </w:pPr>
    <w:rPr>
      <w:sz w:val="24"/>
      <w:szCs w:val="24"/>
    </w:rPr>
  </w:style>
  <w:style w:type="paragraph" w:styleId="695">
    <w:name w:val="footnote text"/>
    <w:basedOn w:val="672"/>
    <w:link w:val="850"/>
    <w:uiPriority w:val="99"/>
    <w:semiHidden/>
    <w:unhideWhenUsed/>
    <w:pPr>
      <w:spacing w:after="40" w:line="240" w:lineRule="auto"/>
    </w:pPr>
    <w:rPr>
      <w:sz w:val="18"/>
    </w:rPr>
  </w:style>
  <w:style w:type="paragraph" w:styleId="696">
    <w:name w:val="toc 6"/>
    <w:basedOn w:val="672"/>
    <w:next w:val="672"/>
    <w:uiPriority w:val="39"/>
    <w:unhideWhenUsed/>
    <w:pPr>
      <w:ind w:left="1417" w:right="0" w:firstLine="0"/>
      <w:spacing w:after="57"/>
    </w:pPr>
  </w:style>
  <w:style w:type="paragraph" w:styleId="697">
    <w:name w:val="table of figures"/>
    <w:basedOn w:val="672"/>
    <w:next w:val="672"/>
    <w:uiPriority w:val="99"/>
    <w:unhideWhenUsed/>
    <w:pPr>
      <w:spacing w:after="0" w:afterAutospacing="0"/>
    </w:pPr>
  </w:style>
  <w:style w:type="paragraph" w:styleId="698">
    <w:name w:val="toc 2"/>
    <w:basedOn w:val="672"/>
    <w:next w:val="672"/>
    <w:uiPriority w:val="39"/>
    <w:unhideWhenUsed/>
    <w:pPr>
      <w:ind w:left="283" w:right="0" w:firstLine="0"/>
      <w:spacing w:after="57"/>
    </w:pPr>
  </w:style>
  <w:style w:type="paragraph" w:styleId="699">
    <w:name w:val="toc 9"/>
    <w:basedOn w:val="672"/>
    <w:next w:val="672"/>
    <w:uiPriority w:val="39"/>
    <w:unhideWhenUsed/>
    <w:pPr>
      <w:ind w:left="2268" w:right="0" w:firstLine="0"/>
      <w:spacing w:after="57"/>
    </w:pPr>
  </w:style>
  <w:style w:type="paragraph" w:styleId="700">
    <w:name w:val="Title"/>
    <w:basedOn w:val="672"/>
    <w:next w:val="672"/>
    <w:link w:val="716"/>
    <w:uiPriority w:val="10"/>
    <w:qFormat/>
    <w:pPr>
      <w:contextualSpacing/>
      <w:spacing w:before="300" w:after="200"/>
    </w:pPr>
    <w:rPr>
      <w:sz w:val="48"/>
      <w:szCs w:val="48"/>
    </w:rPr>
  </w:style>
  <w:style w:type="table" w:styleId="70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rPr>
      <w:vertAlign w:val="superscript"/>
    </w:rPr>
  </w:style>
  <w:style w:type="character" w:styleId="703">
    <w:name w:val="Hyperlink"/>
    <w:uiPriority w:val="99"/>
    <w:unhideWhenUsed/>
    <w:rPr>
      <w:color w:val="0000ff" w:themeColor="hyperlink"/>
      <w:u w:val="single"/>
    </w:rPr>
  </w:style>
  <w:style w:type="character" w:styleId="704">
    <w:name w:val="footnote reference"/>
    <w:uiPriority w:val="99"/>
    <w:unhideWhenUsed/>
    <w:rPr>
      <w:vertAlign w:val="superscript"/>
    </w:rPr>
  </w:style>
  <w:style w:type="character" w:styleId="705" w:customStyle="1">
    <w:name w:val="Heading 1 Char"/>
    <w:link w:val="673"/>
    <w:uiPriority w:val="9"/>
    <w:rPr>
      <w:rFonts w:ascii="Arial" w:hAnsi="Arial" w:eastAsia="Arial" w:cs="Arial"/>
      <w:sz w:val="40"/>
      <w:szCs w:val="40"/>
    </w:rPr>
  </w:style>
  <w:style w:type="character" w:styleId="706" w:customStyle="1">
    <w:name w:val="Heading 2 Char"/>
    <w:link w:val="674"/>
    <w:uiPriority w:val="9"/>
    <w:rPr>
      <w:rFonts w:ascii="Arial" w:hAnsi="Arial" w:eastAsia="Arial" w:cs="Arial"/>
      <w:sz w:val="34"/>
    </w:rPr>
  </w:style>
  <w:style w:type="character" w:styleId="707" w:customStyle="1">
    <w:name w:val="Heading 3 Char"/>
    <w:link w:val="675"/>
    <w:uiPriority w:val="9"/>
    <w:rPr>
      <w:rFonts w:ascii="Arial" w:hAnsi="Arial" w:eastAsia="Arial" w:cs="Arial"/>
      <w:sz w:val="30"/>
      <w:szCs w:val="30"/>
    </w:rPr>
  </w:style>
  <w:style w:type="character" w:styleId="708" w:customStyle="1">
    <w:name w:val="Heading 4 Char"/>
    <w:link w:val="676"/>
    <w:uiPriority w:val="9"/>
    <w:qFormat/>
    <w:rPr>
      <w:rFonts w:ascii="Arial" w:hAnsi="Arial" w:eastAsia="Arial" w:cs="Arial"/>
      <w:b/>
      <w:bCs/>
      <w:sz w:val="26"/>
      <w:szCs w:val="26"/>
    </w:rPr>
  </w:style>
  <w:style w:type="character" w:styleId="709" w:customStyle="1">
    <w:name w:val="Heading 5 Char"/>
    <w:link w:val="677"/>
    <w:uiPriority w:val="9"/>
    <w:rPr>
      <w:rFonts w:ascii="Arial" w:hAnsi="Arial" w:eastAsia="Arial" w:cs="Arial"/>
      <w:b/>
      <w:bCs/>
      <w:sz w:val="24"/>
      <w:szCs w:val="24"/>
    </w:rPr>
  </w:style>
  <w:style w:type="character" w:styleId="710" w:customStyle="1">
    <w:name w:val="Heading 6 Char"/>
    <w:link w:val="678"/>
    <w:uiPriority w:val="9"/>
    <w:qFormat/>
    <w:rPr>
      <w:rFonts w:ascii="Arial" w:hAnsi="Arial" w:eastAsia="Arial" w:cs="Arial"/>
      <w:b/>
      <w:bCs/>
      <w:sz w:val="22"/>
      <w:szCs w:val="22"/>
    </w:rPr>
  </w:style>
  <w:style w:type="character" w:styleId="711" w:customStyle="1">
    <w:name w:val="Heading 7 Char"/>
    <w:link w:val="679"/>
    <w:uiPriority w:val="9"/>
    <w:qFormat/>
    <w:rPr>
      <w:rFonts w:ascii="Arial" w:hAnsi="Arial" w:eastAsia="Arial" w:cs="Arial"/>
      <w:b/>
      <w:bCs/>
      <w:i/>
      <w:iCs/>
      <w:sz w:val="22"/>
      <w:szCs w:val="22"/>
    </w:rPr>
  </w:style>
  <w:style w:type="character" w:styleId="712" w:customStyle="1">
    <w:name w:val="Heading 8 Char"/>
    <w:link w:val="680"/>
    <w:uiPriority w:val="9"/>
    <w:rPr>
      <w:rFonts w:ascii="Arial" w:hAnsi="Arial" w:eastAsia="Arial" w:cs="Arial"/>
      <w:i/>
      <w:iCs/>
      <w:sz w:val="22"/>
      <w:szCs w:val="22"/>
    </w:rPr>
  </w:style>
  <w:style w:type="character" w:styleId="713" w:customStyle="1">
    <w:name w:val="Heading 9 Char"/>
    <w:link w:val="681"/>
    <w:uiPriority w:val="9"/>
    <w:rPr>
      <w:rFonts w:ascii="Arial" w:hAnsi="Arial" w:eastAsia="Arial" w:cs="Arial"/>
      <w:i/>
      <w:iCs/>
      <w:sz w:val="21"/>
      <w:szCs w:val="21"/>
    </w:rPr>
  </w:style>
  <w:style w:type="paragraph" w:styleId="714">
    <w:name w:val="List Paragraph"/>
    <w:basedOn w:val="672"/>
    <w:uiPriority w:val="34"/>
    <w:qFormat/>
    <w:pPr>
      <w:contextualSpacing/>
      <w:ind w:left="720"/>
    </w:pPr>
  </w:style>
  <w:style w:type="paragraph" w:styleId="715">
    <w:name w:val="No Spacing"/>
    <w:uiPriority w:val="1"/>
    <w:qFormat/>
    <w:pPr>
      <w:spacing w:before="0" w:after="0" w:line="240" w:lineRule="auto"/>
    </w:pPr>
    <w:rPr>
      <w:rFonts w:hint="default" w:ascii="Times New Roman" w:hAnsi="Times New Roman" w:eastAsia="宋体" w:cs="Times New Roman"/>
    </w:rPr>
  </w:style>
  <w:style w:type="character" w:styleId="716" w:customStyle="1">
    <w:name w:val="Title Char"/>
    <w:link w:val="700"/>
    <w:uiPriority w:val="10"/>
    <w:qFormat/>
    <w:rPr>
      <w:sz w:val="48"/>
      <w:szCs w:val="48"/>
    </w:rPr>
  </w:style>
  <w:style w:type="character" w:styleId="717" w:customStyle="1">
    <w:name w:val="Subtitle Char"/>
    <w:link w:val="694"/>
    <w:uiPriority w:val="11"/>
    <w:qFormat/>
    <w:rPr>
      <w:sz w:val="24"/>
      <w:szCs w:val="24"/>
    </w:rPr>
  </w:style>
  <w:style w:type="paragraph" w:styleId="718">
    <w:name w:val="Quote"/>
    <w:basedOn w:val="672"/>
    <w:next w:val="672"/>
    <w:link w:val="719"/>
    <w:uiPriority w:val="29"/>
    <w:qFormat/>
    <w:pPr>
      <w:ind w:left="720" w:right="720"/>
    </w:pPr>
    <w:rPr>
      <w:i/>
    </w:rPr>
  </w:style>
  <w:style w:type="character" w:styleId="719" w:customStyle="1">
    <w:name w:val="Quote Char"/>
    <w:link w:val="718"/>
    <w:uiPriority w:val="29"/>
    <w:rPr>
      <w:i/>
    </w:rPr>
  </w:style>
  <w:style w:type="paragraph" w:styleId="720">
    <w:name w:val="Intense Quote"/>
    <w:basedOn w:val="672"/>
    <w:next w:val="6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character" w:styleId="722" w:customStyle="1">
    <w:name w:val="Header Char"/>
    <w:link w:val="691"/>
    <w:uiPriority w:val="99"/>
    <w:qFormat/>
  </w:style>
  <w:style w:type="character" w:styleId="723" w:customStyle="1">
    <w:name w:val="Footer Char"/>
    <w:link w:val="690"/>
    <w:uiPriority w:val="99"/>
  </w:style>
  <w:style w:type="character" w:styleId="724" w:customStyle="1">
    <w:name w:val="Caption Char"/>
    <w:link w:val="690"/>
    <w:uiPriority w:val="99"/>
  </w:style>
  <w:style w:type="table" w:styleId="72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95"/>
    <w:uiPriority w:val="99"/>
    <w:rPr>
      <w:sz w:val="18"/>
    </w:rPr>
  </w:style>
  <w:style w:type="character" w:styleId="851" w:customStyle="1">
    <w:name w:val="Endnote Text Char"/>
    <w:link w:val="689"/>
    <w:uiPriority w:val="99"/>
    <w:rPr>
      <w:sz w:val="20"/>
    </w:rPr>
  </w:style>
  <w:style w:type="paragraph" w:styleId="852" w:customStyle="1">
    <w:name w:val="TOC Heading"/>
    <w:uiPriority w:val="39"/>
    <w:unhideWhenUsed/>
    <w:rPr>
      <w:rFonts w:hint="default" w:ascii="Times New Roman" w:hAnsi="Times New Roman" w:eastAsia="宋体" w:cs="Times New Roman"/>
    </w:rPr>
  </w:style>
  <w:style w:type="paragraph" w:styleId="853" w:customStyle="1">
    <w:name w:val="标题 11"/>
    <w:basedOn w:val="672"/>
    <w:next w:val="672"/>
    <w:link w:val="865"/>
    <w:uiPriority w:val="0"/>
    <w:qFormat/>
    <w:pPr>
      <w:jc w:val="center"/>
      <w:keepNext/>
      <w:outlineLvl w:val="0"/>
    </w:pPr>
    <w:rPr>
      <w:rFonts w:ascii="楷体_GB2312" w:eastAsia="楷体_GB2312"/>
      <w:sz w:val="28"/>
      <w:szCs w:val="28"/>
    </w:rPr>
  </w:style>
  <w:style w:type="paragraph" w:styleId="854" w:customStyle="1">
    <w:name w:val="标题 21"/>
    <w:basedOn w:val="672"/>
    <w:next w:val="855"/>
    <w:link w:val="8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5" w:customStyle="1">
    <w:name w:val="正文缩进1"/>
    <w:basedOn w:val="672"/>
    <w:link w:val="867"/>
    <w:uiPriority w:val="0"/>
    <w:pPr>
      <w:ind w:firstLine="420"/>
    </w:pPr>
  </w:style>
  <w:style w:type="paragraph" w:styleId="856" w:customStyle="1">
    <w:name w:val="标题 31"/>
    <w:basedOn w:val="672"/>
    <w:next w:val="855"/>
    <w:link w:val="868"/>
    <w:uiPriority w:val="0"/>
    <w:qFormat/>
    <w:pPr>
      <w:keepLines/>
      <w:keepNext/>
      <w:spacing w:before="260" w:after="260" w:line="416" w:lineRule="auto"/>
      <w:outlineLvl w:val="2"/>
    </w:pPr>
    <w:rPr>
      <w:b/>
      <w:bCs/>
      <w:sz w:val="32"/>
      <w:szCs w:val="32"/>
    </w:rPr>
  </w:style>
  <w:style w:type="paragraph" w:styleId="857" w:customStyle="1">
    <w:name w:val="标题 41"/>
    <w:basedOn w:val="672"/>
    <w:next w:val="855"/>
    <w:link w:val="869"/>
    <w:uiPriority w:val="0"/>
    <w:qFormat/>
    <w:pPr>
      <w:keepLines/>
      <w:keepNext/>
      <w:spacing w:before="280" w:after="290" w:line="376" w:lineRule="auto"/>
      <w:outlineLvl w:val="3"/>
    </w:pPr>
    <w:rPr>
      <w:rFonts w:ascii="Arial" w:hAnsi="Arial" w:eastAsia="黑体" w:cs="Arial"/>
      <w:b/>
      <w:bCs/>
      <w:sz w:val="28"/>
      <w:szCs w:val="28"/>
    </w:rPr>
  </w:style>
  <w:style w:type="paragraph" w:styleId="858" w:customStyle="1">
    <w:name w:val="标题 51"/>
    <w:basedOn w:val="672"/>
    <w:next w:val="855"/>
    <w:link w:val="870"/>
    <w:uiPriority w:val="0"/>
    <w:qFormat/>
    <w:pPr>
      <w:keepNext/>
      <w:outlineLvl w:val="4"/>
    </w:pPr>
    <w:rPr>
      <w:rFonts w:ascii="宋体"/>
      <w:color w:val="000000"/>
      <w:sz w:val="28"/>
      <w:szCs w:val="28"/>
    </w:rPr>
  </w:style>
  <w:style w:type="paragraph" w:styleId="859" w:customStyle="1">
    <w:name w:val="标题 61"/>
    <w:basedOn w:val="672"/>
    <w:next w:val="672"/>
    <w:link w:val="8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0" w:customStyle="1">
    <w:name w:val="标题 71"/>
    <w:basedOn w:val="672"/>
    <w:next w:val="672"/>
    <w:link w:val="872"/>
    <w:uiPriority w:val="0"/>
    <w:qFormat/>
    <w:pPr>
      <w:numPr>
        <w:ilvl w:val="6"/>
        <w:numId w:val="1"/>
      </w:numPr>
      <w:keepLines/>
      <w:keepNext/>
      <w:spacing w:before="240" w:after="64" w:line="320" w:lineRule="auto"/>
      <w:outlineLvl w:val="6"/>
    </w:pPr>
    <w:rPr>
      <w:b/>
      <w:bCs/>
      <w:sz w:val="24"/>
      <w:szCs w:val="24"/>
    </w:rPr>
  </w:style>
  <w:style w:type="paragraph" w:styleId="861" w:customStyle="1">
    <w:name w:val="标题 81"/>
    <w:basedOn w:val="672"/>
    <w:next w:val="672"/>
    <w:link w:val="8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2" w:customStyle="1">
    <w:name w:val="标题 91"/>
    <w:basedOn w:val="672"/>
    <w:next w:val="672"/>
    <w:link w:val="874"/>
    <w:uiPriority w:val="0"/>
    <w:qFormat/>
    <w:pPr>
      <w:numPr>
        <w:ilvl w:val="8"/>
        <w:numId w:val="1"/>
      </w:numPr>
      <w:keepLines/>
      <w:keepNext/>
      <w:spacing w:before="240" w:after="64" w:line="320" w:lineRule="auto"/>
      <w:outlineLvl w:val="8"/>
    </w:pPr>
    <w:rPr>
      <w:rFonts w:ascii="Arial" w:hAnsi="Arial" w:eastAsia="黑体"/>
    </w:rPr>
  </w:style>
  <w:style w:type="character" w:styleId="863" w:customStyle="1">
    <w:name w:val="默认段落字体1"/>
    <w:link w:val="672"/>
    <w:uiPriority w:val="1"/>
    <w:unhideWhenUsed/>
  </w:style>
  <w:style w:type="table" w:styleId="864" w:customStyle="1">
    <w:name w:val="普通表格1"/>
    <w:uiPriority w:val="99"/>
    <w:unhideWhenUsed/>
    <w:tblPr/>
  </w:style>
  <w:style w:type="character" w:styleId="865" w:customStyle="1">
    <w:name w:val="标题 1 Char"/>
    <w:link w:val="853"/>
    <w:uiPriority w:val="0"/>
    <w:rPr>
      <w:rFonts w:ascii="楷体_GB2312" w:hAnsi="Times New Roman" w:eastAsia="楷体_GB2312" w:cs="Times New Roman"/>
      <w:sz w:val="28"/>
      <w:szCs w:val="28"/>
    </w:rPr>
  </w:style>
  <w:style w:type="character" w:styleId="866" w:customStyle="1">
    <w:name w:val="标题 2 Char"/>
    <w:link w:val="854"/>
    <w:uiPriority w:val="0"/>
    <w:rPr>
      <w:rFonts w:ascii="Arial" w:hAnsi="Arial" w:eastAsia="幼圆" w:cs="Arial"/>
      <w:b/>
      <w:bCs/>
      <w:sz w:val="44"/>
      <w:szCs w:val="44"/>
    </w:rPr>
  </w:style>
  <w:style w:type="character" w:styleId="867" w:customStyle="1">
    <w:name w:val="正文缩进 Char"/>
    <w:link w:val="855"/>
    <w:uiPriority w:val="0"/>
    <w:rPr>
      <w:rFonts w:ascii="Times New Roman" w:hAnsi="Times New Roman" w:eastAsia="宋体" w:cs="Times New Roman"/>
      <w:szCs w:val="21"/>
    </w:rPr>
  </w:style>
  <w:style w:type="character" w:styleId="868" w:customStyle="1">
    <w:name w:val="标题 3 Char"/>
    <w:link w:val="856"/>
    <w:uiPriority w:val="0"/>
    <w:rPr>
      <w:rFonts w:ascii="Times New Roman" w:hAnsi="Times New Roman" w:eastAsia="宋体" w:cs="Times New Roman"/>
      <w:b/>
      <w:bCs/>
      <w:sz w:val="32"/>
      <w:szCs w:val="32"/>
    </w:rPr>
  </w:style>
  <w:style w:type="character" w:styleId="869" w:customStyle="1">
    <w:name w:val="标题 4 Char"/>
    <w:link w:val="857"/>
    <w:uiPriority w:val="0"/>
    <w:rPr>
      <w:rFonts w:ascii="Arial" w:hAnsi="Arial" w:eastAsia="黑体" w:cs="Arial"/>
      <w:b/>
      <w:bCs/>
      <w:sz w:val="28"/>
      <w:szCs w:val="28"/>
    </w:rPr>
  </w:style>
  <w:style w:type="character" w:styleId="870" w:customStyle="1">
    <w:name w:val="标题 5 Char"/>
    <w:link w:val="858"/>
    <w:uiPriority w:val="0"/>
    <w:rPr>
      <w:rFonts w:ascii="宋体" w:hAnsi="Times New Roman" w:eastAsia="宋体" w:cs="Times New Roman"/>
      <w:color w:val="000000"/>
      <w:sz w:val="28"/>
      <w:szCs w:val="28"/>
    </w:rPr>
  </w:style>
  <w:style w:type="character" w:styleId="871" w:customStyle="1">
    <w:name w:val="标题 6 Char"/>
    <w:link w:val="859"/>
    <w:uiPriority w:val="0"/>
    <w:rPr>
      <w:rFonts w:ascii="Arial" w:hAnsi="Arial" w:eastAsia="黑体" w:cs="Times New Roman"/>
      <w:b/>
      <w:bCs/>
      <w:sz w:val="24"/>
      <w:szCs w:val="24"/>
    </w:rPr>
  </w:style>
  <w:style w:type="character" w:styleId="872" w:customStyle="1">
    <w:name w:val="标题 7 Char"/>
    <w:link w:val="860"/>
    <w:uiPriority w:val="0"/>
    <w:rPr>
      <w:rFonts w:ascii="Times New Roman" w:hAnsi="Times New Roman" w:eastAsia="宋体" w:cs="Times New Roman"/>
      <w:b/>
      <w:bCs/>
      <w:sz w:val="24"/>
      <w:szCs w:val="24"/>
    </w:rPr>
  </w:style>
  <w:style w:type="character" w:styleId="873" w:customStyle="1">
    <w:name w:val="标题 8 Char"/>
    <w:link w:val="861"/>
    <w:uiPriority w:val="0"/>
    <w:rPr>
      <w:rFonts w:ascii="Arial" w:hAnsi="Arial" w:eastAsia="黑体" w:cs="Times New Roman"/>
      <w:sz w:val="24"/>
      <w:szCs w:val="24"/>
    </w:rPr>
  </w:style>
  <w:style w:type="character" w:styleId="874" w:customStyle="1">
    <w:name w:val="标题 9 Char"/>
    <w:link w:val="862"/>
    <w:uiPriority w:val="0"/>
    <w:rPr>
      <w:rFonts w:ascii="Arial" w:hAnsi="Arial" w:eastAsia="黑体" w:cs="Times New Roman"/>
      <w:szCs w:val="21"/>
    </w:rPr>
  </w:style>
  <w:style w:type="paragraph" w:styleId="875" w:customStyle="1">
    <w:name w:val="列表 31"/>
    <w:basedOn w:val="672"/>
    <w:uiPriority w:val="0"/>
    <w:pPr>
      <w:ind w:left="100" w:hanging="200"/>
    </w:pPr>
  </w:style>
  <w:style w:type="paragraph" w:styleId="876" w:customStyle="1">
    <w:name w:val="目录 71"/>
    <w:basedOn w:val="672"/>
    <w:next w:val="672"/>
    <w:uiPriority w:val="0"/>
    <w:semiHidden/>
    <w:pPr>
      <w:ind w:left="1260"/>
      <w:jc w:val="left"/>
    </w:pPr>
  </w:style>
  <w:style w:type="paragraph" w:styleId="877" w:customStyle="1">
    <w:name w:val="文档结构图1"/>
    <w:basedOn w:val="672"/>
    <w:link w:val="878"/>
    <w:uiPriority w:val="0"/>
    <w:semiHidden/>
    <w:pPr>
      <w:shd w:val="clear" w:color="auto" w:fill="000080"/>
    </w:pPr>
  </w:style>
  <w:style w:type="character" w:styleId="878" w:customStyle="1">
    <w:name w:val="文档结构图 Char"/>
    <w:link w:val="877"/>
    <w:uiPriority w:val="0"/>
    <w:semiHidden/>
    <w:rPr>
      <w:rFonts w:ascii="Times New Roman" w:hAnsi="Times New Roman" w:eastAsia="宋体" w:cs="Times New Roman"/>
      <w:szCs w:val="21"/>
      <w:shd w:val="clear" w:color="auto" w:fill="000080"/>
    </w:rPr>
  </w:style>
  <w:style w:type="paragraph" w:styleId="879" w:customStyle="1">
    <w:name w:val="批注文字1"/>
    <w:basedOn w:val="672"/>
    <w:link w:val="880"/>
    <w:uiPriority w:val="0"/>
    <w:semiHidden/>
    <w:pPr>
      <w:jc w:val="left"/>
    </w:pPr>
  </w:style>
  <w:style w:type="character" w:styleId="880" w:customStyle="1">
    <w:name w:val="批注文字 Char"/>
    <w:link w:val="879"/>
    <w:uiPriority w:val="0"/>
    <w:semiHidden/>
    <w:rPr>
      <w:rFonts w:ascii="Times New Roman" w:hAnsi="Times New Roman" w:eastAsia="宋体" w:cs="Times New Roman"/>
      <w:szCs w:val="21"/>
    </w:rPr>
  </w:style>
  <w:style w:type="paragraph" w:styleId="881" w:customStyle="1">
    <w:name w:val="正文文本 31"/>
    <w:basedOn w:val="672"/>
    <w:link w:val="882"/>
    <w:uiPriority w:val="0"/>
    <w:rPr>
      <w:rFonts w:ascii="仿宋_GB2312" w:hAnsi="Arial" w:eastAsia="仿宋_GB2312"/>
      <w:sz w:val="32"/>
      <w:szCs w:val="32"/>
    </w:rPr>
  </w:style>
  <w:style w:type="character" w:styleId="882" w:customStyle="1">
    <w:name w:val="正文文本 3 Char"/>
    <w:link w:val="881"/>
    <w:uiPriority w:val="0"/>
    <w:rPr>
      <w:rFonts w:ascii="仿宋_GB2312" w:hAnsi="Arial" w:eastAsia="仿宋_GB2312" w:cs="Times New Roman"/>
      <w:sz w:val="32"/>
      <w:szCs w:val="32"/>
    </w:rPr>
  </w:style>
  <w:style w:type="paragraph" w:styleId="883" w:customStyle="1">
    <w:name w:val="正文文本1"/>
    <w:basedOn w:val="672"/>
    <w:link w:val="884"/>
    <w:uiPriority w:val="0"/>
    <w:rPr>
      <w:rFonts w:ascii="楷体_GB2312" w:hAnsi="Arial" w:eastAsia="楷体_GB2312"/>
      <w:sz w:val="28"/>
      <w:szCs w:val="28"/>
    </w:rPr>
  </w:style>
  <w:style w:type="character" w:styleId="884" w:customStyle="1">
    <w:name w:val="正文文本 Char"/>
    <w:link w:val="883"/>
    <w:uiPriority w:val="0"/>
    <w:rPr>
      <w:rFonts w:ascii="楷体_GB2312" w:hAnsi="Arial" w:eastAsia="楷体_GB2312" w:cs="Times New Roman"/>
      <w:sz w:val="28"/>
      <w:szCs w:val="28"/>
    </w:rPr>
  </w:style>
  <w:style w:type="paragraph" w:styleId="885" w:customStyle="1">
    <w:name w:val="正文文本缩进1"/>
    <w:basedOn w:val="672"/>
    <w:link w:val="886"/>
    <w:uiPriority w:val="0"/>
    <w:pPr>
      <w:ind w:firstLine="645"/>
    </w:pPr>
    <w:rPr>
      <w:rFonts w:ascii="楷体_GB2312" w:eastAsia="楷体_GB2312"/>
      <w:sz w:val="32"/>
      <w:szCs w:val="32"/>
    </w:rPr>
  </w:style>
  <w:style w:type="character" w:styleId="886" w:customStyle="1">
    <w:name w:val="正文文本缩进 Char"/>
    <w:link w:val="885"/>
    <w:uiPriority w:val="0"/>
    <w:rPr>
      <w:rFonts w:ascii="楷体_GB2312" w:hAnsi="Times New Roman" w:eastAsia="楷体_GB2312" w:cs="Times New Roman"/>
      <w:sz w:val="32"/>
      <w:szCs w:val="32"/>
    </w:rPr>
  </w:style>
  <w:style w:type="paragraph" w:styleId="887" w:customStyle="1">
    <w:name w:val="列表 21"/>
    <w:basedOn w:val="672"/>
    <w:uiPriority w:val="0"/>
    <w:pPr>
      <w:ind w:left="100" w:hanging="200"/>
    </w:pPr>
  </w:style>
  <w:style w:type="paragraph" w:styleId="888" w:customStyle="1">
    <w:name w:val="目录 51"/>
    <w:basedOn w:val="672"/>
    <w:next w:val="672"/>
    <w:uiPriority w:val="0"/>
    <w:semiHidden/>
    <w:pPr>
      <w:ind w:left="840"/>
      <w:jc w:val="left"/>
    </w:pPr>
  </w:style>
  <w:style w:type="paragraph" w:styleId="889" w:customStyle="1">
    <w:name w:val="目录 31"/>
    <w:basedOn w:val="672"/>
    <w:next w:val="672"/>
    <w:uiPriority w:val="0"/>
    <w:semiHidden/>
    <w:pPr>
      <w:ind w:left="420"/>
      <w:jc w:val="left"/>
    </w:pPr>
    <w:rPr>
      <w:i/>
      <w:iCs/>
      <w:szCs w:val="24"/>
    </w:rPr>
  </w:style>
  <w:style w:type="paragraph" w:styleId="890" w:customStyle="1">
    <w:name w:val="纯文本1"/>
    <w:basedOn w:val="672"/>
    <w:link w:val="891"/>
    <w:uiPriority w:val="0"/>
    <w:rPr>
      <w:rFonts w:ascii="宋体" w:hAnsi="Courier New" w:cs="Courier New"/>
    </w:rPr>
  </w:style>
  <w:style w:type="character" w:styleId="891" w:customStyle="1">
    <w:name w:val="纯文本 Char"/>
    <w:link w:val="890"/>
    <w:uiPriority w:val="0"/>
    <w:rPr>
      <w:rFonts w:ascii="宋体" w:hAnsi="Courier New" w:eastAsia="宋体" w:cs="Courier New"/>
      <w:szCs w:val="21"/>
    </w:rPr>
  </w:style>
  <w:style w:type="paragraph" w:styleId="892" w:customStyle="1">
    <w:name w:val="目录 81"/>
    <w:basedOn w:val="672"/>
    <w:next w:val="672"/>
    <w:uiPriority w:val="0"/>
    <w:semiHidden/>
    <w:pPr>
      <w:ind w:left="1470"/>
      <w:jc w:val="left"/>
    </w:pPr>
  </w:style>
  <w:style w:type="paragraph" w:styleId="893" w:customStyle="1">
    <w:name w:val="日期1"/>
    <w:basedOn w:val="672"/>
    <w:next w:val="672"/>
    <w:link w:val="894"/>
    <w:uiPriority w:val="0"/>
    <w:rPr>
      <w:sz w:val="24"/>
      <w:szCs w:val="24"/>
    </w:rPr>
  </w:style>
  <w:style w:type="character" w:styleId="894" w:customStyle="1">
    <w:name w:val="日期 Char"/>
    <w:link w:val="893"/>
    <w:uiPriority w:val="0"/>
    <w:rPr>
      <w:rFonts w:ascii="Times New Roman" w:hAnsi="Times New Roman" w:eastAsia="宋体" w:cs="Times New Roman"/>
      <w:sz w:val="24"/>
      <w:szCs w:val="24"/>
    </w:rPr>
  </w:style>
  <w:style w:type="paragraph" w:styleId="895" w:customStyle="1">
    <w:name w:val="正文文本缩进 21"/>
    <w:basedOn w:val="672"/>
    <w:link w:val="896"/>
    <w:uiPriority w:val="0"/>
    <w:pPr>
      <w:ind w:left="630" w:firstLine="645"/>
    </w:pPr>
    <w:rPr>
      <w:rFonts w:ascii="Arial" w:hAnsi="Arial" w:eastAsia="仿宋_GB2312" w:cs="Arial"/>
      <w:sz w:val="32"/>
      <w:szCs w:val="32"/>
    </w:rPr>
  </w:style>
  <w:style w:type="character" w:styleId="896" w:customStyle="1">
    <w:name w:val="正文文本缩进 2 Char"/>
    <w:link w:val="895"/>
    <w:uiPriority w:val="0"/>
    <w:rPr>
      <w:rFonts w:ascii="Arial" w:hAnsi="Arial" w:eastAsia="仿宋_GB2312" w:cs="Arial"/>
      <w:sz w:val="32"/>
      <w:szCs w:val="32"/>
    </w:rPr>
  </w:style>
  <w:style w:type="paragraph" w:styleId="897" w:customStyle="1">
    <w:name w:val="批注框文本1"/>
    <w:basedOn w:val="672"/>
    <w:link w:val="898"/>
    <w:uiPriority w:val="0"/>
    <w:semiHidden/>
    <w:rPr>
      <w:sz w:val="18"/>
      <w:szCs w:val="18"/>
    </w:rPr>
  </w:style>
  <w:style w:type="character" w:styleId="898" w:customStyle="1">
    <w:name w:val="批注框文本 Char"/>
    <w:link w:val="897"/>
    <w:uiPriority w:val="0"/>
    <w:semiHidden/>
    <w:rPr>
      <w:rFonts w:ascii="Times New Roman" w:hAnsi="Times New Roman" w:eastAsia="宋体" w:cs="Times New Roman"/>
      <w:sz w:val="18"/>
      <w:szCs w:val="18"/>
    </w:rPr>
  </w:style>
  <w:style w:type="paragraph" w:styleId="899" w:customStyle="1">
    <w:name w:val="页脚1"/>
    <w:basedOn w:val="672"/>
    <w:link w:val="900"/>
    <w:uiPriority w:val="99"/>
    <w:pPr>
      <w:jc w:val="left"/>
      <w:tabs>
        <w:tab w:val="center" w:pos="4153" w:leader="none"/>
        <w:tab w:val="right" w:pos="8306" w:leader="none"/>
      </w:tabs>
    </w:pPr>
    <w:rPr>
      <w:sz w:val="18"/>
      <w:szCs w:val="18"/>
    </w:rPr>
  </w:style>
  <w:style w:type="character" w:styleId="900" w:customStyle="1">
    <w:name w:val="页脚 Char"/>
    <w:link w:val="899"/>
    <w:uiPriority w:val="99"/>
    <w:rPr>
      <w:rFonts w:ascii="Times New Roman" w:hAnsi="Times New Roman" w:eastAsia="宋体" w:cs="Times New Roman"/>
      <w:sz w:val="18"/>
      <w:szCs w:val="18"/>
    </w:rPr>
  </w:style>
  <w:style w:type="paragraph" w:styleId="901" w:customStyle="1">
    <w:name w:val="页眉1"/>
    <w:basedOn w:val="672"/>
    <w:link w:val="902"/>
    <w:uiPriority w:val="0"/>
    <w:pPr>
      <w:jc w:val="center"/>
      <w:tabs>
        <w:tab w:val="center" w:pos="4153" w:leader="none"/>
        <w:tab w:val="right" w:pos="8306" w:leader="none"/>
      </w:tabs>
      <w:pBdr>
        <w:bottom w:val="single" w:color="000000" w:sz="6" w:space="1"/>
      </w:pBdr>
    </w:pPr>
    <w:rPr>
      <w:sz w:val="18"/>
      <w:szCs w:val="18"/>
    </w:rPr>
  </w:style>
  <w:style w:type="character" w:styleId="902" w:customStyle="1">
    <w:name w:val="页眉 Char"/>
    <w:link w:val="901"/>
    <w:uiPriority w:val="0"/>
    <w:rPr>
      <w:rFonts w:ascii="Times New Roman" w:hAnsi="Times New Roman" w:eastAsia="宋体" w:cs="Times New Roman"/>
      <w:sz w:val="18"/>
      <w:szCs w:val="18"/>
    </w:rPr>
  </w:style>
  <w:style w:type="paragraph" w:styleId="903" w:customStyle="1">
    <w:name w:val="目录 11"/>
    <w:basedOn w:val="672"/>
    <w:next w:val="672"/>
    <w:uiPriority w:val="0"/>
    <w:semiHidden/>
    <w:pPr>
      <w:jc w:val="left"/>
      <w:spacing w:before="120" w:after="120" w:line="400" w:lineRule="exact"/>
      <w:tabs>
        <w:tab w:val="right" w:pos="8720" w:leader="dot"/>
      </w:tabs>
    </w:pPr>
    <w:rPr>
      <w:rFonts w:ascii="宋体" w:hAnsi="宋体"/>
      <w:caps/>
      <w:sz w:val="24"/>
      <w:szCs w:val="24"/>
    </w:rPr>
  </w:style>
  <w:style w:type="paragraph" w:styleId="904" w:customStyle="1">
    <w:name w:val="目录 41"/>
    <w:basedOn w:val="672"/>
    <w:next w:val="672"/>
    <w:uiPriority w:val="0"/>
    <w:semiHidden/>
    <w:pPr>
      <w:ind w:left="630"/>
      <w:jc w:val="left"/>
    </w:pPr>
  </w:style>
  <w:style w:type="paragraph" w:styleId="905" w:customStyle="1">
    <w:name w:val="列表1"/>
    <w:basedOn w:val="672"/>
    <w:uiPriority w:val="0"/>
    <w:pPr>
      <w:ind w:left="200" w:hanging="200"/>
    </w:pPr>
  </w:style>
  <w:style w:type="paragraph" w:styleId="906" w:customStyle="1">
    <w:name w:val="目录 61"/>
    <w:basedOn w:val="672"/>
    <w:next w:val="672"/>
    <w:uiPriority w:val="0"/>
    <w:semiHidden/>
    <w:pPr>
      <w:ind w:left="1050"/>
      <w:jc w:val="left"/>
    </w:pPr>
  </w:style>
  <w:style w:type="paragraph" w:styleId="907" w:customStyle="1">
    <w:name w:val="正文文本缩进 31"/>
    <w:basedOn w:val="672"/>
    <w:link w:val="908"/>
    <w:uiPriority w:val="0"/>
    <w:pPr>
      <w:ind w:left="645" w:firstLine="645"/>
    </w:pPr>
    <w:rPr>
      <w:rFonts w:ascii="Arial" w:hAnsi="Arial" w:eastAsia="仿宋_GB2312" w:cs="Arial"/>
      <w:color w:val="ffff00"/>
      <w:sz w:val="32"/>
      <w:szCs w:val="32"/>
    </w:rPr>
  </w:style>
  <w:style w:type="character" w:styleId="908" w:customStyle="1">
    <w:name w:val="正文文本缩进 3 Char"/>
    <w:link w:val="907"/>
    <w:uiPriority w:val="0"/>
    <w:rPr>
      <w:rFonts w:ascii="Arial" w:hAnsi="Arial" w:eastAsia="仿宋_GB2312" w:cs="Arial"/>
      <w:color w:val="ffff00"/>
      <w:sz w:val="32"/>
      <w:szCs w:val="32"/>
    </w:rPr>
  </w:style>
  <w:style w:type="paragraph" w:styleId="909" w:customStyle="1">
    <w:name w:val="图表目录1"/>
    <w:basedOn w:val="672"/>
    <w:next w:val="672"/>
    <w:uiPriority w:val="0"/>
    <w:semiHidden/>
    <w:pPr>
      <w:ind w:left="840" w:hanging="420"/>
    </w:pPr>
  </w:style>
  <w:style w:type="paragraph" w:styleId="910" w:customStyle="1">
    <w:name w:val="目录 21"/>
    <w:basedOn w:val="672"/>
    <w:next w:val="672"/>
    <w:uiPriority w:val="0"/>
    <w:semiHidden/>
    <w:pPr>
      <w:ind w:left="210"/>
      <w:jc w:val="left"/>
    </w:pPr>
    <w:rPr>
      <w:smallCaps/>
      <w:szCs w:val="24"/>
    </w:rPr>
  </w:style>
  <w:style w:type="paragraph" w:styleId="911" w:customStyle="1">
    <w:name w:val="目录 91"/>
    <w:basedOn w:val="672"/>
    <w:next w:val="672"/>
    <w:uiPriority w:val="0"/>
    <w:semiHidden/>
    <w:pPr>
      <w:ind w:left="1680"/>
      <w:jc w:val="left"/>
    </w:pPr>
  </w:style>
  <w:style w:type="paragraph" w:styleId="912" w:customStyle="1">
    <w:name w:val="正文文本 21"/>
    <w:basedOn w:val="672"/>
    <w:link w:val="913"/>
    <w:uiPriority w:val="0"/>
    <w:pPr>
      <w:jc w:val="center"/>
      <w:widowControl/>
    </w:pPr>
    <w:rPr>
      <w:rFonts w:ascii="楷体_GB2312" w:eastAsia="楷体_GB2312"/>
      <w:sz w:val="28"/>
      <w:szCs w:val="28"/>
    </w:rPr>
  </w:style>
  <w:style w:type="character" w:styleId="913" w:customStyle="1">
    <w:name w:val="正文文本 2 Char"/>
    <w:link w:val="912"/>
    <w:uiPriority w:val="0"/>
    <w:rPr>
      <w:rFonts w:ascii="楷体_GB2312" w:hAnsi="Times New Roman" w:eastAsia="楷体_GB2312" w:cs="Times New Roman"/>
      <w:sz w:val="28"/>
      <w:szCs w:val="28"/>
    </w:rPr>
  </w:style>
  <w:style w:type="paragraph" w:styleId="914" w:customStyle="1">
    <w:name w:val="普通(网站)1"/>
    <w:basedOn w:val="672"/>
    <w:uiPriority w:val="99"/>
    <w:pPr>
      <w:jc w:val="left"/>
      <w:spacing w:before="100" w:beforeAutospacing="1" w:after="100" w:afterAutospacing="1"/>
      <w:widowControl/>
    </w:pPr>
    <w:rPr>
      <w:rFonts w:ascii="宋体" w:hAnsi="宋体" w:cs="宋体"/>
      <w:sz w:val="24"/>
      <w:szCs w:val="24"/>
    </w:rPr>
  </w:style>
  <w:style w:type="paragraph" w:styleId="915" w:customStyle="1">
    <w:name w:val="索引 11"/>
    <w:basedOn w:val="672"/>
    <w:next w:val="672"/>
    <w:uiPriority w:val="0"/>
    <w:semiHidden/>
    <w:pPr>
      <w:spacing w:line="240" w:lineRule="atLeast"/>
    </w:pPr>
    <w:rPr>
      <w:b/>
      <w:bCs/>
    </w:rPr>
  </w:style>
  <w:style w:type="paragraph" w:styleId="916" w:customStyle="1">
    <w:name w:val="批注主题1"/>
    <w:basedOn w:val="879"/>
    <w:next w:val="879"/>
    <w:link w:val="917"/>
    <w:uiPriority w:val="0"/>
    <w:semiHidden/>
    <w:rPr>
      <w:b/>
      <w:bCs/>
    </w:rPr>
  </w:style>
  <w:style w:type="character" w:styleId="917" w:customStyle="1">
    <w:name w:val="批注主题 Char"/>
    <w:link w:val="916"/>
    <w:uiPriority w:val="0"/>
    <w:semiHidden/>
    <w:rPr>
      <w:rFonts w:ascii="Times New Roman" w:hAnsi="Times New Roman" w:eastAsia="宋体" w:cs="Times New Roman"/>
      <w:b/>
      <w:bCs/>
      <w:szCs w:val="21"/>
    </w:rPr>
  </w:style>
  <w:style w:type="paragraph" w:styleId="918" w:customStyle="1">
    <w:name w:val="正文首行缩进1"/>
    <w:basedOn w:val="672"/>
    <w:link w:val="919"/>
    <w:uiPriority w:val="0"/>
    <w:pPr>
      <w:ind w:firstLine="200"/>
      <w:spacing w:line="360" w:lineRule="auto"/>
    </w:pPr>
    <w:rPr>
      <w:rFonts w:ascii="仿宋_GB2312" w:eastAsia="仿宋_GB2312"/>
      <w:sz w:val="30"/>
      <w:szCs w:val="30"/>
    </w:rPr>
  </w:style>
  <w:style w:type="character" w:styleId="919" w:customStyle="1">
    <w:name w:val="正文首行缩进 Char"/>
    <w:link w:val="918"/>
    <w:uiPriority w:val="0"/>
    <w:rPr>
      <w:rFonts w:ascii="仿宋_GB2312" w:hAnsi="Times New Roman" w:eastAsia="仿宋_GB2312" w:cs="Times New Roman"/>
      <w:sz w:val="30"/>
      <w:szCs w:val="30"/>
    </w:rPr>
  </w:style>
  <w:style w:type="paragraph" w:styleId="920" w:customStyle="1">
    <w:name w:val="正文首行缩进 21"/>
    <w:basedOn w:val="885"/>
    <w:link w:val="921"/>
    <w:uiPriority w:val="0"/>
    <w:pPr>
      <w:ind w:firstLine="420"/>
      <w:spacing w:line="360" w:lineRule="auto"/>
    </w:pPr>
    <w:rPr>
      <w:rFonts w:ascii="宋体" w:hAnsi="宋体" w:eastAsia="宋体"/>
      <w:sz w:val="21"/>
      <w:szCs w:val="20"/>
    </w:rPr>
  </w:style>
  <w:style w:type="character" w:styleId="921" w:customStyle="1">
    <w:name w:val="正文首行缩进 2 Char"/>
    <w:link w:val="920"/>
    <w:uiPriority w:val="0"/>
    <w:rPr>
      <w:rFonts w:ascii="宋体" w:hAnsi="宋体" w:eastAsia="宋体" w:cs="Times New Roman"/>
      <w:sz w:val="32"/>
      <w:szCs w:val="20"/>
    </w:rPr>
  </w:style>
  <w:style w:type="table" w:styleId="922" w:customStyle="1">
    <w:name w:val="网格型1"/>
    <w:basedOn w:val="864"/>
    <w:uiPriority w:val="0"/>
    <w:pPr>
      <w:jc w:val="both"/>
      <w:widowControl w:val="off"/>
    </w:pPr>
    <w:rPr>
      <w:rFonts w:ascii="Times New Roman" w:hAnsi="Times New Roman" w:eastAsia="宋体" w:cs="Times New Roman"/>
      <w:sz w:val="20"/>
      <w:szCs w:val="20"/>
    </w:rPr>
    <w:tblPr/>
  </w:style>
  <w:style w:type="character" w:styleId="923" w:customStyle="1">
    <w:name w:val="要点1"/>
    <w:link w:val="672"/>
    <w:uiPriority w:val="0"/>
    <w:qFormat/>
    <w:rPr>
      <w:b/>
      <w:bCs/>
    </w:rPr>
  </w:style>
  <w:style w:type="character" w:styleId="924" w:customStyle="1">
    <w:name w:val="页码1"/>
    <w:link w:val="672"/>
    <w:uiPriority w:val="0"/>
  </w:style>
  <w:style w:type="character" w:styleId="925" w:customStyle="1">
    <w:name w:val="已访问的超链接1"/>
    <w:link w:val="672"/>
    <w:uiPriority w:val="0"/>
    <w:rPr>
      <w:color w:val="800080"/>
      <w:u w:val="single"/>
    </w:rPr>
  </w:style>
  <w:style w:type="character" w:styleId="926" w:customStyle="1">
    <w:name w:val="超链接1"/>
    <w:link w:val="672"/>
    <w:uiPriority w:val="0"/>
    <w:rPr>
      <w:color w:val="0000ff"/>
      <w:u w:val="single"/>
    </w:rPr>
  </w:style>
  <w:style w:type="character" w:styleId="927" w:customStyle="1">
    <w:name w:val="批注引用1"/>
    <w:link w:val="672"/>
    <w:uiPriority w:val="0"/>
    <w:semiHidden/>
    <w:rPr>
      <w:sz w:val="21"/>
      <w:szCs w:val="21"/>
    </w:rPr>
  </w:style>
  <w:style w:type="paragraph" w:styleId="928" w:customStyle="1">
    <w:name w:val="正文文本缩进11"/>
    <w:basedOn w:val="672"/>
    <w:next w:val="672"/>
    <w:uiPriority w:val="0"/>
    <w:qFormat/>
    <w:pPr>
      <w:ind w:firstLine="645"/>
    </w:pPr>
    <w:rPr>
      <w:rFonts w:ascii="楷体_GB2312" w:eastAsia="楷体_GB2312"/>
      <w:sz w:val="32"/>
      <w:szCs w:val="20"/>
    </w:rPr>
  </w:style>
  <w:style w:type="character" w:styleId="929" w:customStyle="1">
    <w:name w:val="font5 Char"/>
    <w:link w:val="672"/>
    <w:uiPriority w:val="0"/>
    <w:rPr>
      <w:rFonts w:ascii="宋体" w:hAnsi="宋体" w:eastAsia="宋体"/>
      <w:sz w:val="28"/>
      <w:szCs w:val="28"/>
      <w:lang w:val="en-US" w:eastAsia="zh-CN" w:bidi="ar-SA"/>
    </w:rPr>
  </w:style>
  <w:style w:type="character" w:styleId="930" w:customStyle="1">
    <w:name w:val="二级目录 Char"/>
    <w:link w:val="931"/>
    <w:uiPriority w:val="0"/>
    <w:rPr>
      <w:b/>
      <w:sz w:val="30"/>
      <w:szCs w:val="28"/>
    </w:rPr>
  </w:style>
  <w:style w:type="paragraph" w:styleId="931" w:customStyle="1">
    <w:name w:val="二级目录"/>
    <w:next w:val="672"/>
    <w:link w:val="930"/>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2" w:customStyle="1">
    <w:name w:val="列出段落 Char"/>
    <w:link w:val="933"/>
    <w:uiPriority w:val="0"/>
    <w:rPr>
      <w:rFonts w:ascii="Calibri" w:hAnsi="Calibri"/>
      <w:sz w:val="24"/>
      <w:szCs w:val="24"/>
      <w:lang w:eastAsia="en-US" w:bidi="en-US"/>
    </w:rPr>
  </w:style>
  <w:style w:type="paragraph" w:styleId="933" w:customStyle="1">
    <w:name w:val="列出段落1"/>
    <w:basedOn w:val="672"/>
    <w:link w:val="932"/>
    <w:uiPriority w:val="0"/>
    <w:qFormat/>
    <w:pPr>
      <w:contextualSpacing/>
      <w:ind w:left="720"/>
      <w:jc w:val="left"/>
      <w:widowControl/>
    </w:pPr>
    <w:rPr>
      <w:rFonts w:ascii="Calibri" w:hAnsi="Calibri" w:eastAsia="宋体" w:cs="Times New Roman"/>
      <w:sz w:val="24"/>
      <w:szCs w:val="24"/>
      <w:lang w:eastAsia="en-US" w:bidi="en-US"/>
    </w:rPr>
  </w:style>
  <w:style w:type="paragraph" w:styleId="934" w:customStyle="1">
    <w:name w:val="Body Text(ch)"/>
    <w:basedOn w:val="672"/>
    <w:next w:val="883"/>
    <w:uiPriority w:val="0"/>
    <w:pPr>
      <w:spacing w:after="120"/>
    </w:pPr>
    <w:rPr>
      <w:rFonts w:ascii="宋体" w:hAnsi="Arial"/>
      <w:bCs/>
      <w:iCs/>
      <w:szCs w:val="24"/>
    </w:rPr>
  </w:style>
  <w:style w:type="paragraph" w:styleId="935" w:customStyle="1">
    <w:name w:val="xl27"/>
    <w:basedOn w:val="67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6" w:customStyle="1">
    <w:name w:val="xl26"/>
    <w:basedOn w:val="67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7" w:customStyle="1">
    <w:name w:val="Char"/>
    <w:basedOn w:val="672"/>
    <w:uiPriority w:val="0"/>
    <w:pPr>
      <w:ind w:firstLine="200"/>
      <w:tabs>
        <w:tab w:val="left" w:pos="360" w:leader="none"/>
      </w:tabs>
    </w:pPr>
    <w:rPr>
      <w:sz w:val="28"/>
      <w:szCs w:val="30"/>
    </w:rPr>
  </w:style>
  <w:style w:type="paragraph" w:styleId="938" w:customStyle="1">
    <w:name w:val=" Char"/>
    <w:basedOn w:val="877"/>
    <w:uiPriority w:val="0"/>
    <w:rPr>
      <w:rFonts w:ascii="Tahoma" w:hAnsi="Tahoma"/>
      <w:sz w:val="24"/>
      <w:szCs w:val="24"/>
    </w:rPr>
  </w:style>
  <w:style w:type="paragraph" w:styleId="939" w:customStyle="1">
    <w:name w:val="普通正文"/>
    <w:basedOn w:val="672"/>
    <w:uiPriority w:val="0"/>
    <w:pPr>
      <w:ind w:firstLine="480"/>
      <w:jc w:val="left"/>
      <w:spacing w:before="120" w:after="120" w:line="360" w:lineRule="auto"/>
    </w:pPr>
    <w:rPr>
      <w:rFonts w:ascii="Arial" w:hAnsi="Arial"/>
      <w:sz w:val="24"/>
      <w:szCs w:val="24"/>
    </w:rPr>
  </w:style>
  <w:style w:type="paragraph" w:styleId="940" w:customStyle="1">
    <w:name w:val="table_lines"/>
    <w:basedOn w:val="672"/>
    <w:uiPriority w:val="0"/>
    <w:pPr>
      <w:jc w:val="left"/>
      <w:widowControl/>
    </w:pPr>
    <w:rPr>
      <w:sz w:val="20"/>
      <w:szCs w:val="20"/>
      <w:lang w:val="de-DE" w:eastAsia="de-DE"/>
    </w:rPr>
  </w:style>
  <w:style w:type="paragraph" w:styleId="941"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2" w:customStyle="1">
    <w:name w:val="font7"/>
    <w:basedOn w:val="672"/>
    <w:uiPriority w:val="0"/>
    <w:pPr>
      <w:jc w:val="left"/>
      <w:spacing w:before="100" w:beforeAutospacing="1" w:after="100" w:afterAutospacing="1"/>
      <w:widowControl/>
    </w:pPr>
    <w:rPr>
      <w:rFonts w:hint="eastAsia" w:ascii="宋体" w:hAnsi="宋体"/>
      <w:sz w:val="18"/>
      <w:szCs w:val="18"/>
    </w:rPr>
  </w:style>
  <w:style w:type="paragraph" w:styleId="943" w:customStyle="1">
    <w:name w:val=" Char Char Char Char"/>
    <w:basedOn w:val="877"/>
    <w:uiPriority w:val="0"/>
    <w:pPr>
      <w:spacing w:line="360" w:lineRule="auto"/>
    </w:pPr>
    <w:rPr>
      <w:rFonts w:ascii="Tahoma" w:hAnsi="Tahoma"/>
      <w:sz w:val="24"/>
      <w:szCs w:val="24"/>
    </w:rPr>
  </w:style>
  <w:style w:type="paragraph" w:styleId="944" w:customStyle="1">
    <w:name w:val="列出段落"/>
    <w:basedOn w:val="672"/>
    <w:uiPriority w:val="0"/>
    <w:qFormat/>
    <w:pPr>
      <w:contextualSpacing/>
      <w:ind w:left="720"/>
      <w:jc w:val="left"/>
      <w:widowControl/>
    </w:pPr>
    <w:rPr>
      <w:rFonts w:ascii="Calibri" w:hAnsi="Calibri"/>
      <w:sz w:val="24"/>
      <w:szCs w:val="24"/>
      <w:lang w:eastAsia="en-US" w:bidi="en-US"/>
    </w:rPr>
  </w:style>
  <w:style w:type="paragraph" w:styleId="945" w:customStyle="1">
    <w:name w:val="4"/>
    <w:basedOn w:val="672"/>
    <w:next w:val="907"/>
    <w:uiPriority w:val="0"/>
    <w:pPr>
      <w:ind w:firstLine="420"/>
      <w:spacing w:line="360" w:lineRule="auto"/>
    </w:pPr>
    <w:rPr>
      <w:color w:val="ff0000"/>
      <w:sz w:val="24"/>
      <w:szCs w:val="24"/>
    </w:rPr>
  </w:style>
  <w:style w:type="paragraph" w:styleId="946" w:customStyle="1">
    <w:name w:val="普通 (Web)"/>
    <w:basedOn w:val="672"/>
    <w:uiPriority w:val="0"/>
    <w:pPr>
      <w:jc w:val="left"/>
      <w:spacing w:before="100" w:beforeAutospacing="1" w:after="100" w:afterAutospacing="1"/>
      <w:widowControl/>
    </w:pPr>
    <w:rPr>
      <w:rFonts w:ascii="宋体" w:hAnsi="宋体"/>
      <w:sz w:val="24"/>
      <w:szCs w:val="24"/>
    </w:rPr>
  </w:style>
  <w:style w:type="paragraph" w:styleId="947" w:customStyle="1">
    <w:name w:val=" Char Char Char Char Char Char Char Char Char Char"/>
    <w:basedOn w:val="672"/>
    <w:uiPriority w:val="0"/>
    <w:pPr>
      <w:spacing w:line="360" w:lineRule="auto"/>
    </w:pPr>
    <w:rPr>
      <w:sz w:val="24"/>
      <w:szCs w:val="20"/>
    </w:rPr>
  </w:style>
  <w:style w:type="paragraph" w:styleId="948" w:customStyle="1">
    <w:name w:val="样式1"/>
    <w:basedOn w:val="672"/>
    <w:uiPriority w:val="0"/>
    <w:pPr>
      <w:numPr>
        <w:ilvl w:val="0"/>
        <w:numId w:val="3"/>
      </w:numPr>
    </w:pPr>
    <w:rPr>
      <w:rFonts w:ascii="宋体" w:hAnsi="宋体"/>
    </w:rPr>
  </w:style>
  <w:style w:type="paragraph" w:styleId="949" w:customStyle="1">
    <w:name w:val="font6"/>
    <w:basedOn w:val="672"/>
    <w:uiPriority w:val="0"/>
    <w:pPr>
      <w:jc w:val="left"/>
      <w:spacing w:before="100" w:beforeAutospacing="1" w:after="100" w:afterAutospacing="1"/>
      <w:widowControl/>
    </w:pPr>
    <w:rPr>
      <w:rFonts w:hint="eastAsia" w:ascii="宋体" w:hAnsi="宋体"/>
      <w:sz w:val="28"/>
      <w:szCs w:val="28"/>
      <w:u w:val="single"/>
    </w:rPr>
  </w:style>
  <w:style w:type="paragraph" w:styleId="950" w:customStyle="1">
    <w:name w:val="xl25"/>
    <w:basedOn w:val="67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1" w:customStyle="1">
    <w:name w:val="图标"/>
    <w:basedOn w:val="672"/>
    <w:next w:val="672"/>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2" w:customStyle="1">
    <w:name w:val="标题3"/>
    <w:basedOn w:val="672"/>
    <w:next w:val="672"/>
    <w:uiPriority w:val="0"/>
    <w:pPr>
      <w:ind w:firstLine="624"/>
      <w:spacing w:line="590" w:lineRule="atLeast"/>
    </w:pPr>
    <w:rPr>
      <w:rFonts w:ascii="方正黑体_GBK" w:eastAsia="方正黑体_GBK"/>
      <w:sz w:val="32"/>
      <w:szCs w:val="32"/>
    </w:rPr>
  </w:style>
  <w:style w:type="paragraph" w:styleId="953" w:customStyle="1">
    <w:name w:val="xl24"/>
    <w:basedOn w:val="67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xl29"/>
    <w:basedOn w:val="672"/>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5" w:customStyle="1">
    <w:name w:val="Char Char Char Char Char Char Char Char"/>
    <w:basedOn w:val="672"/>
    <w:uiPriority w:val="0"/>
    <w:pPr>
      <w:jc w:val="left"/>
      <w:spacing w:after="160" w:line="240" w:lineRule="exact"/>
      <w:widowControl/>
    </w:pPr>
    <w:rPr>
      <w:rFonts w:ascii="Verdana" w:hAnsi="Verdana"/>
      <w:sz w:val="20"/>
      <w:szCs w:val="20"/>
      <w:lang w:eastAsia="en-US"/>
    </w:rPr>
  </w:style>
  <w:style w:type="paragraph" w:styleId="956" w:customStyle="1">
    <w:name w:val="xl28"/>
    <w:basedOn w:val="67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7" w:customStyle="1">
    <w:name w:val=" Char Char Char Char Char Char Char Char"/>
    <w:basedOn w:val="672"/>
    <w:uiPriority w:val="0"/>
    <w:pPr>
      <w:jc w:val="left"/>
      <w:spacing w:after="160" w:line="240" w:lineRule="exact"/>
      <w:widowControl/>
    </w:pPr>
    <w:rPr>
      <w:rFonts w:ascii="Verdana" w:hAnsi="Verdana"/>
      <w:sz w:val="20"/>
      <w:szCs w:val="20"/>
      <w:lang w:eastAsia="en-US"/>
    </w:rPr>
  </w:style>
  <w:style w:type="paragraph" w:styleId="958" w:customStyle="1">
    <w:name w:val="xl30"/>
    <w:basedOn w:val="672"/>
    <w:uiPriority w:val="0"/>
    <w:pPr>
      <w:jc w:val="center"/>
      <w:spacing w:before="100" w:beforeAutospacing="1" w:after="100" w:afterAutospacing="1"/>
      <w:widowControl/>
    </w:pPr>
    <w:rPr>
      <w:rFonts w:ascii="宋体" w:hAnsi="宋体"/>
      <w:b/>
      <w:bCs/>
      <w:sz w:val="36"/>
      <w:szCs w:val="36"/>
    </w:rPr>
  </w:style>
  <w:style w:type="paragraph" w:styleId="959" w:customStyle="1">
    <w:name w:val="Char Char Char Char"/>
    <w:basedOn w:val="877"/>
    <w:uiPriority w:val="0"/>
    <w:pPr>
      <w:spacing w:line="360" w:lineRule="auto"/>
    </w:pPr>
    <w:rPr>
      <w:rFonts w:ascii="Tahoma" w:hAnsi="Tahoma"/>
      <w:sz w:val="24"/>
      <w:szCs w:val="24"/>
    </w:rPr>
  </w:style>
  <w:style w:type="paragraph" w:styleId="960" w:customStyle="1">
    <w:name w:val="table_1stline"/>
    <w:basedOn w:val="672"/>
    <w:uiPriority w:val="0"/>
    <w:pPr>
      <w:jc w:val="left"/>
      <w:spacing w:before="120"/>
      <w:widowControl/>
    </w:pPr>
    <w:rPr>
      <w:bCs/>
      <w:sz w:val="20"/>
      <w:szCs w:val="20"/>
      <w:lang w:val="de-DE" w:eastAsia="de-DE"/>
    </w:rPr>
  </w:style>
  <w:style w:type="paragraph" w:styleId="961" w:customStyle="1">
    <w:name w:val="font5"/>
    <w:basedOn w:val="672"/>
    <w:uiPriority w:val="0"/>
    <w:pPr>
      <w:jc w:val="left"/>
      <w:spacing w:before="100" w:beforeAutospacing="1" w:after="100" w:afterAutospacing="1"/>
      <w:widowControl/>
    </w:pPr>
    <w:rPr>
      <w:rFonts w:hint="eastAsia" w:ascii="宋体" w:hAnsi="宋体"/>
      <w:sz w:val="28"/>
      <w:szCs w:val="28"/>
    </w:rPr>
  </w:style>
  <w:style w:type="paragraph" w:styleId="962" w:customStyle="1">
    <w:name w:val="标题1"/>
    <w:basedOn w:val="672"/>
    <w:next w:val="672"/>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customStyle="1">
    <w:name w:val="修订"/>
    <w:uiPriority w:val="99"/>
    <w:semiHidden/>
    <w:rPr>
      <w:rFonts w:hint="default" w:ascii="Times New Roman" w:hAnsi="Times New Roman" w:eastAsia="宋体" w:cs="Times New Roman"/>
      <w:sz w:val="21"/>
      <w:szCs w:val="21"/>
      <w:lang w:val="en-US" w:eastAsia="zh-CN" w:bidi="ar-SA"/>
    </w:rPr>
  </w:style>
  <w:style w:type="paragraph" w:styleId="96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5" w:customStyle="1">
    <w:name w:val="首行缩进"/>
    <w:basedOn w:val="672"/>
    <w:uiPriority w:val="99"/>
    <w:qFormat/>
    <w:pPr>
      <w:ind w:firstLine="480"/>
      <w:spacing w:line="360" w:lineRule="auto"/>
    </w:pPr>
    <w:rPr>
      <w:rFonts w:ascii="Calibri" w:hAnsi="Calibri"/>
      <w:sz w:val="24"/>
      <w:lang w:val="zh-CN"/>
    </w:rPr>
  </w:style>
  <w:style w:type="numbering" w:styleId="10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12</cp:revision>
  <dcterms:created xsi:type="dcterms:W3CDTF">2023-03-16T18:16:00Z</dcterms:created>
  <dcterms:modified xsi:type="dcterms:W3CDTF">2025-10-15T07:20:07Z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2052-12.1.0.22529</vt:lpwstr>
  </property>
  <property fmtid="{D5CDD505-2E9C-101B-9397-08002B2CF9AE}" pid="4" name="ICV">
    <vt:lpwstr>7B63CF0CC526413E824C83C8B6CA0FF2_12</vt:lpwstr>
  </property>
</Properties>
</file>