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2B2D">
      <w:pPr>
        <w:jc w:val="center"/>
        <w:rPr>
          <w:rFonts w:ascii="黑体" w:hAnsi="黑体" w:eastAsia="黑体"/>
          <w:b/>
          <w:sz w:val="30"/>
          <w:szCs w:val="30"/>
        </w:rPr>
      </w:pPr>
      <w:r>
        <w:rPr>
          <w:rFonts w:hint="eastAsia" w:ascii="黑体" w:hAnsi="黑体" w:eastAsia="黑体"/>
          <w:b/>
          <w:sz w:val="30"/>
          <w:szCs w:val="30"/>
        </w:rPr>
        <w:t>工程量清单编制说明</w:t>
      </w:r>
    </w:p>
    <w:p w14:paraId="3179EC9F">
      <w:pPr>
        <w:spacing w:line="700" w:lineRule="exact"/>
        <w:rPr>
          <w:rFonts w:hint="eastAsia" w:ascii="宋体" w:hAnsi="宋体" w:eastAsia="宋体" w:cs="宋体"/>
          <w:b/>
          <w:bCs/>
          <w:sz w:val="24"/>
          <w:szCs w:val="24"/>
        </w:rPr>
      </w:pPr>
      <w:r>
        <w:rPr>
          <w:rFonts w:hint="eastAsia" w:ascii="宋体" w:hAnsi="宋体" w:eastAsia="宋体" w:cs="宋体"/>
          <w:b/>
          <w:bCs/>
          <w:sz w:val="24"/>
          <w:szCs w:val="24"/>
        </w:rPr>
        <w:t>一、总说明</w:t>
      </w:r>
    </w:p>
    <w:p w14:paraId="2272D3C5">
      <w:pPr>
        <w:spacing w:line="640" w:lineRule="exact"/>
        <w:rPr>
          <w:rFonts w:hint="default"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eastAsia="宋体" w:cs="Times New Roman"/>
          <w:sz w:val="24"/>
          <w:szCs w:val="24"/>
          <w:u w:val="single"/>
          <w:lang w:eastAsia="zh-CN"/>
        </w:rPr>
        <w:t>2025年锡北镇桥梁定检病害维修项目</w:t>
      </w:r>
      <w:r>
        <w:rPr>
          <w:rFonts w:hint="eastAsia" w:ascii="宋体" w:hAnsi="宋体" w:eastAsia="宋体" w:cs="宋体"/>
          <w:sz w:val="24"/>
          <w:szCs w:val="24"/>
        </w:rPr>
        <w:t>。</w:t>
      </w:r>
    </w:p>
    <w:p w14:paraId="449F4719">
      <w:pPr>
        <w:spacing w:line="6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2、工程招标范围：清单范围内的</w:t>
      </w:r>
      <w:r>
        <w:rPr>
          <w:rFonts w:hint="eastAsia" w:ascii="宋体" w:hAnsi="宋体" w:cs="宋体"/>
          <w:b w:val="0"/>
          <w:bCs w:val="0"/>
          <w:sz w:val="24"/>
          <w:szCs w:val="24"/>
          <w:u w:val="single"/>
          <w:lang w:val="en-US" w:eastAsia="zh-CN"/>
        </w:rPr>
        <w:t>市政</w:t>
      </w:r>
      <w:r>
        <w:rPr>
          <w:rFonts w:hint="eastAsia" w:ascii="宋体" w:hAnsi="宋体" w:eastAsia="宋体" w:cs="宋体"/>
          <w:b w:val="0"/>
          <w:bCs w:val="0"/>
          <w:sz w:val="24"/>
          <w:szCs w:val="24"/>
        </w:rPr>
        <w:t>工程。</w:t>
      </w:r>
      <w:r>
        <w:rPr>
          <w:rFonts w:hint="eastAsia" w:ascii="宋体" w:hAnsi="宋体" w:eastAsia="宋体" w:cs="宋体"/>
          <w:b w:val="0"/>
          <w:bCs w:val="0"/>
          <w:sz w:val="24"/>
          <w:szCs w:val="24"/>
          <w:lang w:val="en-US" w:eastAsia="zh-CN"/>
        </w:rPr>
        <w:t>工程概况</w:t>
      </w:r>
      <w:r>
        <w:rPr>
          <w:rFonts w:hint="eastAsia" w:ascii="宋体" w:hAnsi="宋体" w:eastAsia="宋体" w:cs="宋体"/>
          <w:b w:val="0"/>
          <w:bCs w:val="0"/>
          <w:sz w:val="24"/>
          <w:szCs w:val="24"/>
          <w:lang w:eastAsia="zh-CN"/>
        </w:rPr>
        <w:t>：</w:t>
      </w:r>
      <w:r>
        <w:rPr>
          <w:rFonts w:hint="eastAsia" w:ascii="宋体" w:hAnsi="宋体" w:eastAsia="宋体" w:cs="Times New Roman"/>
          <w:sz w:val="24"/>
          <w:szCs w:val="24"/>
          <w:u w:val="single"/>
          <w:lang w:eastAsia="zh-CN"/>
        </w:rPr>
        <w:t>2025年锡北镇桥梁定检病害维修项目</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rPr>
        <w:t>清单项目特征中未尽事宜按设计及相关规范</w:t>
      </w:r>
      <w:r>
        <w:rPr>
          <w:rFonts w:hint="eastAsia" w:ascii="宋体" w:hAnsi="宋体" w:eastAsia="宋体" w:cs="宋体"/>
          <w:b w:val="0"/>
          <w:bCs w:val="0"/>
          <w:sz w:val="24"/>
          <w:szCs w:val="24"/>
          <w:lang w:val="en-US" w:eastAsia="zh-CN"/>
        </w:rPr>
        <w:t>考虑</w:t>
      </w:r>
      <w:r>
        <w:rPr>
          <w:rFonts w:hint="eastAsia" w:ascii="宋体" w:hAnsi="宋体" w:eastAsia="宋体" w:cs="宋体"/>
          <w:b w:val="0"/>
          <w:bCs w:val="0"/>
          <w:sz w:val="24"/>
          <w:szCs w:val="24"/>
        </w:rPr>
        <w:t>。</w:t>
      </w:r>
    </w:p>
    <w:p w14:paraId="0D752BB0">
      <w:pPr>
        <w:spacing w:line="640" w:lineRule="exact"/>
        <w:rPr>
          <w:rFonts w:hint="eastAsia" w:ascii="宋体" w:hAnsi="宋体" w:eastAsia="宋体" w:cs="宋体"/>
          <w:sz w:val="24"/>
          <w:szCs w:val="24"/>
        </w:rPr>
      </w:pPr>
      <w:r>
        <w:rPr>
          <w:rFonts w:hint="eastAsia" w:ascii="宋体" w:hAnsi="宋体" w:eastAsia="宋体" w:cs="宋体"/>
          <w:sz w:val="24"/>
          <w:szCs w:val="24"/>
        </w:rPr>
        <w:t>3、工程量清单依据：工程</w:t>
      </w:r>
      <w:r>
        <w:rPr>
          <w:rFonts w:hint="eastAsia" w:ascii="宋体" w:hAnsi="宋体" w:eastAsia="宋体" w:cs="宋体"/>
          <w:b w:val="0"/>
          <w:bCs w:val="0"/>
          <w:sz w:val="24"/>
          <w:szCs w:val="24"/>
        </w:rPr>
        <w:t>量清单的编制及清单工程量的计算按照国家</w:t>
      </w:r>
      <w:r>
        <w:rPr>
          <w:rFonts w:hint="eastAsia"/>
          <w:sz w:val="24"/>
          <w:lang w:eastAsia="zh-CN"/>
        </w:rPr>
        <w:t>《</w:t>
      </w:r>
      <w:r>
        <w:rPr>
          <w:rFonts w:hint="eastAsia"/>
          <w:sz w:val="24"/>
          <w:lang w:val="en-US" w:eastAsia="zh-CN"/>
        </w:rPr>
        <w:t>市政工程工程量计算规范</w:t>
      </w:r>
      <w:r>
        <w:rPr>
          <w:rFonts w:hint="eastAsia"/>
          <w:sz w:val="24"/>
          <w:lang w:eastAsia="zh-CN"/>
        </w:rPr>
        <w:t>》（</w:t>
      </w:r>
      <w:r>
        <w:rPr>
          <w:rFonts w:hint="eastAsia"/>
          <w:sz w:val="24"/>
          <w:lang w:val="en-US" w:eastAsia="zh-CN"/>
        </w:rPr>
        <w:t>GB50857-2013</w:t>
      </w:r>
      <w:r>
        <w:rPr>
          <w:rFonts w:hint="eastAsia"/>
          <w:sz w:val="24"/>
          <w:lang w:eastAsia="zh-CN"/>
        </w:rPr>
        <w:t>）</w:t>
      </w:r>
      <w:r>
        <w:rPr>
          <w:rFonts w:hint="eastAsia" w:ascii="宋体" w:hAnsi="宋体"/>
          <w:sz w:val="24"/>
          <w:szCs w:val="24"/>
          <w:lang w:eastAsia="zh-CN"/>
        </w:rPr>
        <w:t>、</w:t>
      </w:r>
      <w:r>
        <w:rPr>
          <w:rFonts w:hint="eastAsia" w:ascii="宋体" w:hAnsi="宋体" w:eastAsia="宋体" w:cs="宋体"/>
          <w:sz w:val="24"/>
          <w:szCs w:val="24"/>
        </w:rPr>
        <w:t>苏建价【2014】448号省住房城乡建设厅关于《建设工程工程量清单计价规范》（GB50500-2013）及其9本</w:t>
      </w:r>
      <w:r>
        <w:rPr>
          <w:rFonts w:hint="eastAsia" w:ascii="宋体" w:hAnsi="宋体" w:eastAsia="宋体" w:cs="宋体"/>
          <w:sz w:val="24"/>
          <w:szCs w:val="24"/>
          <w:lang w:val="en-US" w:eastAsia="zh-CN"/>
        </w:rPr>
        <w:t>《</w:t>
      </w:r>
      <w:r>
        <w:rPr>
          <w:rFonts w:hint="eastAsia" w:ascii="宋体" w:hAnsi="宋体" w:eastAsia="宋体" w:cs="宋体"/>
          <w:sz w:val="24"/>
          <w:szCs w:val="24"/>
        </w:rPr>
        <w:t>工程量计算规范的贯彻意见》 中的相关规定执行。</w:t>
      </w:r>
    </w:p>
    <w:p w14:paraId="350A6B6B">
      <w:pPr>
        <w:spacing w:line="640" w:lineRule="exact"/>
        <w:rPr>
          <w:rFonts w:hint="eastAsia" w:ascii="宋体" w:hAnsi="宋体" w:eastAsia="宋体" w:cs="宋体"/>
          <w:sz w:val="24"/>
          <w:szCs w:val="24"/>
        </w:rPr>
      </w:pPr>
      <w:r>
        <w:rPr>
          <w:rFonts w:hint="eastAsia" w:ascii="宋体" w:hAnsi="宋体" w:eastAsia="宋体" w:cs="宋体"/>
          <w:sz w:val="24"/>
          <w:szCs w:val="24"/>
        </w:rPr>
        <w:t>4、各投标单位在投标报价时应注意：本工程相应工程量计算规范“工程内容”中列举了分项工程计算量范围内完成本分项工程应有的工作内容，凡说明了的工作内容均应包括在投标报价中；清单项目特征描述中没有体现完全的、施工中又必须发生的工作内容所需的费用也应包括在投标报价的综合单价内。</w:t>
      </w:r>
      <w:bookmarkStart w:id="1" w:name="_GoBack"/>
      <w:bookmarkEnd w:id="1"/>
    </w:p>
    <w:p w14:paraId="1D390B07">
      <w:pPr>
        <w:spacing w:line="640" w:lineRule="exact"/>
        <w:rPr>
          <w:rFonts w:hint="eastAsia" w:ascii="宋体" w:hAnsi="宋体" w:eastAsia="宋体" w:cs="宋体"/>
          <w:sz w:val="24"/>
          <w:szCs w:val="24"/>
        </w:rPr>
      </w:pPr>
      <w:r>
        <w:rPr>
          <w:rFonts w:hint="eastAsia" w:ascii="宋体" w:hAnsi="宋体" w:eastAsia="宋体" w:cs="宋体"/>
          <w:sz w:val="24"/>
          <w:szCs w:val="24"/>
        </w:rPr>
        <w:t>工程量清单计价格式中列明的所有需要填报的单价和合价，投标人均应填报，未填报的单价和合价，视为此项费用已包含在工程量清单的其他单价和合价中。</w:t>
      </w:r>
    </w:p>
    <w:p w14:paraId="24511B9F">
      <w:pPr>
        <w:spacing w:line="640" w:lineRule="exact"/>
        <w:rPr>
          <w:rFonts w:hint="eastAsia" w:ascii="宋体" w:hAnsi="宋体" w:eastAsia="宋体" w:cs="宋体"/>
          <w:sz w:val="24"/>
          <w:szCs w:val="24"/>
        </w:rPr>
      </w:pPr>
      <w:r>
        <w:rPr>
          <w:rFonts w:hint="eastAsia" w:ascii="宋体" w:hAnsi="宋体" w:eastAsia="宋体" w:cs="宋体"/>
          <w:sz w:val="24"/>
          <w:szCs w:val="24"/>
        </w:rPr>
        <w:t>5、工程量清单计价格式中列明的所有需要填报的单价和合价，投标人均应填报，未填报的单价和合价，视为此项费用已包含在工程量清单的其他单价和合价中。</w:t>
      </w:r>
    </w:p>
    <w:p w14:paraId="5CC50C7A">
      <w:pPr>
        <w:spacing w:line="640" w:lineRule="exact"/>
        <w:rPr>
          <w:rFonts w:hint="default" w:ascii="宋体" w:hAnsi="宋体" w:eastAsia="宋体" w:cs="宋体"/>
          <w:sz w:val="24"/>
          <w:szCs w:val="24"/>
          <w:lang w:val="en-US" w:eastAsia="zh-CN"/>
        </w:rPr>
      </w:pPr>
      <w:r>
        <w:rPr>
          <w:rFonts w:hint="eastAsia" w:ascii="宋体" w:hAnsi="宋体" w:eastAsia="宋体" w:cs="宋体"/>
          <w:sz w:val="24"/>
          <w:szCs w:val="24"/>
        </w:rPr>
        <w:t>6、工程质量、材料、施工等的特殊要求：</w:t>
      </w:r>
      <w:r>
        <w:rPr>
          <w:rFonts w:hint="eastAsia" w:ascii="宋体" w:hAnsi="宋体" w:eastAsia="宋体" w:cs="宋体"/>
          <w:sz w:val="24"/>
          <w:szCs w:val="24"/>
          <w:lang w:val="en-US" w:eastAsia="zh-CN"/>
        </w:rPr>
        <w:t>参照建设单位要求</w:t>
      </w:r>
    </w:p>
    <w:p w14:paraId="290A9F9C">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、招标人自行发包的分项工程：无。</w:t>
      </w:r>
    </w:p>
    <w:p w14:paraId="34E82A11">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、材料暂估价：</w:t>
      </w:r>
      <w:r>
        <w:rPr>
          <w:rFonts w:hint="eastAsia" w:ascii="宋体" w:hAnsi="宋体" w:eastAsia="宋体" w:cs="宋体"/>
          <w:sz w:val="24"/>
          <w:szCs w:val="24"/>
          <w:lang w:val="en-US" w:eastAsia="zh-CN"/>
        </w:rPr>
        <w:t>无</w:t>
      </w:r>
      <w:r>
        <w:rPr>
          <w:rFonts w:hint="eastAsia" w:ascii="宋体" w:hAnsi="宋体" w:eastAsia="宋体" w:cs="宋体"/>
          <w:sz w:val="24"/>
          <w:szCs w:val="24"/>
        </w:rPr>
        <w:t>。</w:t>
      </w:r>
    </w:p>
    <w:p w14:paraId="5034C1D2">
      <w:pPr>
        <w:spacing w:line="6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、专业工程暂估价：</w:t>
      </w:r>
      <w:r>
        <w:rPr>
          <w:rFonts w:hint="eastAsia" w:ascii="宋体" w:hAnsi="宋体" w:eastAsia="宋体" w:cs="宋体"/>
          <w:sz w:val="24"/>
          <w:szCs w:val="24"/>
          <w:lang w:val="en-US" w:eastAsia="zh-CN"/>
        </w:rPr>
        <w:t>无</w:t>
      </w:r>
      <w:r>
        <w:rPr>
          <w:rFonts w:hint="eastAsia" w:ascii="宋体" w:hAnsi="宋体" w:eastAsia="宋体" w:cs="宋体"/>
          <w:sz w:val="24"/>
          <w:szCs w:val="24"/>
          <w:highlight w:val="none"/>
        </w:rPr>
        <w:t>。</w:t>
      </w:r>
    </w:p>
    <w:p w14:paraId="19317F7B">
      <w:pPr>
        <w:spacing w:line="640" w:lineRule="exact"/>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、暂列金额</w:t>
      </w:r>
      <w:bookmarkStart w:id="0" w:name="_Hlk494096257"/>
      <w:r>
        <w:rPr>
          <w:rFonts w:hint="eastAsia" w:ascii="宋体" w:hAnsi="宋体" w:eastAsia="宋体" w:cs="宋体"/>
          <w:sz w:val="24"/>
          <w:szCs w:val="24"/>
          <w:highlight w:val="none"/>
        </w:rPr>
        <w:t>：</w:t>
      </w:r>
      <w:r>
        <w:rPr>
          <w:rFonts w:hint="eastAsia" w:ascii="宋体" w:hAnsi="宋体" w:cs="宋体"/>
          <w:sz w:val="24"/>
          <w:szCs w:val="24"/>
          <w:lang w:val="en-US" w:eastAsia="zh-CN"/>
        </w:rPr>
        <w:t>无</w:t>
      </w:r>
      <w:r>
        <w:rPr>
          <w:rFonts w:hint="eastAsia" w:ascii="宋体" w:hAnsi="宋体" w:eastAsia="宋体" w:cs="宋体"/>
          <w:sz w:val="24"/>
          <w:szCs w:val="24"/>
          <w:highlight w:val="none"/>
        </w:rPr>
        <w:t>。</w:t>
      </w:r>
    </w:p>
    <w:p w14:paraId="179D2F91">
      <w:pPr>
        <w:spacing w:line="6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Cs/>
          <w:sz w:val="24"/>
          <w:szCs w:val="24"/>
        </w:rPr>
        <w:t>不可竞争费费率表</w:t>
      </w:r>
    </w:p>
    <w:tbl>
      <w:tblPr>
        <w:tblStyle w:val="5"/>
        <w:tblW w:w="6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507"/>
        <w:gridCol w:w="1899"/>
      </w:tblGrid>
      <w:tr w14:paraId="5DF8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92" w:type="dxa"/>
            <w:noWrap w:val="0"/>
            <w:vAlign w:val="center"/>
          </w:tcPr>
          <w:p w14:paraId="204925EA">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内容</w:t>
            </w:r>
          </w:p>
        </w:tc>
        <w:tc>
          <w:tcPr>
            <w:tcW w:w="2507" w:type="dxa"/>
            <w:noWrap w:val="0"/>
            <w:vAlign w:val="center"/>
          </w:tcPr>
          <w:p w14:paraId="0C2B3729">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计算基础</w:t>
            </w:r>
          </w:p>
        </w:tc>
        <w:tc>
          <w:tcPr>
            <w:tcW w:w="1899" w:type="dxa"/>
            <w:noWrap w:val="0"/>
            <w:vAlign w:val="center"/>
          </w:tcPr>
          <w:p w14:paraId="332D7F05">
            <w:pPr>
              <w:widowControl w:val="0"/>
              <w:adjustRightInd/>
              <w:snapToGrid/>
              <w:spacing w:after="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市政</w:t>
            </w:r>
            <w:r>
              <w:rPr>
                <w:rFonts w:hint="eastAsia" w:ascii="宋体" w:hAnsi="宋体" w:eastAsia="宋体" w:cs="宋体"/>
                <w:color w:val="000000"/>
                <w:kern w:val="2"/>
                <w:sz w:val="24"/>
                <w:szCs w:val="24"/>
              </w:rPr>
              <w:t>(%)</w:t>
            </w:r>
          </w:p>
        </w:tc>
      </w:tr>
      <w:tr w14:paraId="1843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192" w:type="dxa"/>
            <w:noWrap w:val="0"/>
            <w:vAlign w:val="center"/>
          </w:tcPr>
          <w:p w14:paraId="68656D0F">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安全文明施工费（基本费率）</w:t>
            </w:r>
          </w:p>
        </w:tc>
        <w:tc>
          <w:tcPr>
            <w:tcW w:w="2507" w:type="dxa"/>
            <w:noWrap w:val="0"/>
            <w:vAlign w:val="center"/>
          </w:tcPr>
          <w:p w14:paraId="13A12094">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w:t>
            </w:r>
          </w:p>
        </w:tc>
        <w:tc>
          <w:tcPr>
            <w:tcW w:w="1899" w:type="dxa"/>
            <w:noWrap w:val="0"/>
            <w:vAlign w:val="center"/>
          </w:tcPr>
          <w:p w14:paraId="10BC2B07">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cs="宋体"/>
                <w:b/>
                <w:kern w:val="2"/>
                <w:sz w:val="24"/>
                <w:szCs w:val="24"/>
                <w:lang w:val="en-US" w:eastAsia="zh-CN"/>
              </w:rPr>
              <w:t>1.5</w:t>
            </w:r>
          </w:p>
        </w:tc>
      </w:tr>
      <w:tr w14:paraId="3C3D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1C263ACA">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安全文明施工费（扬尘污染防治增加费率）</w:t>
            </w:r>
          </w:p>
        </w:tc>
        <w:tc>
          <w:tcPr>
            <w:tcW w:w="2507" w:type="dxa"/>
            <w:noWrap w:val="0"/>
            <w:vAlign w:val="center"/>
          </w:tcPr>
          <w:p w14:paraId="762ABA1C">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w:t>
            </w:r>
          </w:p>
        </w:tc>
        <w:tc>
          <w:tcPr>
            <w:tcW w:w="1899" w:type="dxa"/>
            <w:noWrap w:val="0"/>
            <w:vAlign w:val="center"/>
          </w:tcPr>
          <w:p w14:paraId="4A18BC0C">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0.</w:t>
            </w:r>
            <w:r>
              <w:rPr>
                <w:rFonts w:hint="eastAsia" w:ascii="宋体" w:hAnsi="宋体" w:cs="宋体"/>
                <w:b/>
                <w:kern w:val="2"/>
                <w:sz w:val="24"/>
                <w:szCs w:val="24"/>
                <w:lang w:val="en-US" w:eastAsia="zh-CN"/>
              </w:rPr>
              <w:t>3</w:t>
            </w:r>
            <w:r>
              <w:rPr>
                <w:rFonts w:hint="eastAsia" w:ascii="宋体" w:hAnsi="宋体" w:eastAsia="宋体" w:cs="宋体"/>
                <w:b/>
                <w:kern w:val="2"/>
                <w:sz w:val="24"/>
                <w:szCs w:val="24"/>
                <w:lang w:val="en-US" w:eastAsia="zh-CN"/>
              </w:rPr>
              <w:t>1</w:t>
            </w:r>
          </w:p>
        </w:tc>
      </w:tr>
      <w:tr w14:paraId="68EE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92" w:type="dxa"/>
            <w:noWrap w:val="0"/>
            <w:vAlign w:val="center"/>
          </w:tcPr>
          <w:p w14:paraId="7A74E970">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环境保护税</w:t>
            </w:r>
          </w:p>
        </w:tc>
        <w:tc>
          <w:tcPr>
            <w:tcW w:w="2507" w:type="dxa"/>
            <w:noWrap w:val="0"/>
            <w:vAlign w:val="center"/>
          </w:tcPr>
          <w:p w14:paraId="67325104">
            <w:pPr>
              <w:widowControl w:val="0"/>
              <w:adjustRightInd/>
              <w:snapToGrid/>
              <w:spacing w:after="0"/>
              <w:jc w:val="center"/>
              <w:rPr>
                <w:rFonts w:hint="eastAsia" w:ascii="宋体" w:hAnsi="宋体" w:eastAsia="宋体" w:cs="宋体"/>
                <w:color w:val="000000"/>
                <w:kern w:val="2"/>
                <w:sz w:val="24"/>
                <w:szCs w:val="24"/>
              </w:rPr>
            </w:pPr>
          </w:p>
        </w:tc>
        <w:tc>
          <w:tcPr>
            <w:tcW w:w="1899" w:type="dxa"/>
            <w:noWrap w:val="0"/>
            <w:vAlign w:val="center"/>
          </w:tcPr>
          <w:p w14:paraId="5238BEA8">
            <w:pPr>
              <w:widowControl w:val="0"/>
              <w:adjustRightInd/>
              <w:snapToGrid/>
              <w:spacing w:after="0"/>
              <w:jc w:val="center"/>
              <w:rPr>
                <w:rFonts w:hint="eastAsia" w:ascii="宋体" w:hAnsi="宋体" w:eastAsia="宋体" w:cs="宋体"/>
                <w:b/>
                <w:kern w:val="2"/>
                <w:sz w:val="24"/>
                <w:szCs w:val="24"/>
              </w:rPr>
            </w:pPr>
          </w:p>
        </w:tc>
      </w:tr>
      <w:tr w14:paraId="1D1A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441B8B35">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社会保险费</w:t>
            </w:r>
          </w:p>
        </w:tc>
        <w:tc>
          <w:tcPr>
            <w:tcW w:w="2507" w:type="dxa"/>
            <w:noWrap w:val="0"/>
            <w:vAlign w:val="center"/>
          </w:tcPr>
          <w:p w14:paraId="4E2C3DEF">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分部分项工程费+措施项目费+其他项目费-除税工程设备费</w:t>
            </w:r>
          </w:p>
        </w:tc>
        <w:tc>
          <w:tcPr>
            <w:tcW w:w="1899" w:type="dxa"/>
            <w:noWrap w:val="0"/>
            <w:vAlign w:val="center"/>
          </w:tcPr>
          <w:p w14:paraId="0142D749">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cs="宋体"/>
                <w:b/>
                <w:kern w:val="2"/>
                <w:sz w:val="24"/>
                <w:szCs w:val="24"/>
                <w:lang w:val="en-US" w:eastAsia="zh-CN"/>
              </w:rPr>
              <w:t>2</w:t>
            </w:r>
          </w:p>
        </w:tc>
      </w:tr>
      <w:tr w14:paraId="20C2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5A30FFBA">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住房公积金</w:t>
            </w:r>
          </w:p>
        </w:tc>
        <w:tc>
          <w:tcPr>
            <w:tcW w:w="2507" w:type="dxa"/>
            <w:noWrap w:val="0"/>
            <w:vAlign w:val="center"/>
          </w:tcPr>
          <w:p w14:paraId="4CEB3B06">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分部分项工程费+措施项目费+其他项目费-除税工程设备费</w:t>
            </w:r>
          </w:p>
        </w:tc>
        <w:tc>
          <w:tcPr>
            <w:tcW w:w="1899" w:type="dxa"/>
            <w:noWrap w:val="0"/>
            <w:vAlign w:val="center"/>
          </w:tcPr>
          <w:p w14:paraId="5D94510E">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0.</w:t>
            </w:r>
            <w:r>
              <w:rPr>
                <w:rFonts w:hint="eastAsia" w:ascii="宋体" w:hAnsi="宋体" w:cs="宋体"/>
                <w:b/>
                <w:kern w:val="2"/>
                <w:sz w:val="24"/>
                <w:szCs w:val="24"/>
                <w:lang w:val="en-US" w:eastAsia="zh-CN"/>
              </w:rPr>
              <w:t>34</w:t>
            </w:r>
          </w:p>
        </w:tc>
      </w:tr>
      <w:tr w14:paraId="33AC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92" w:type="dxa"/>
            <w:noWrap w:val="0"/>
            <w:vAlign w:val="center"/>
          </w:tcPr>
          <w:p w14:paraId="21846FBF">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税金</w:t>
            </w:r>
          </w:p>
        </w:tc>
        <w:tc>
          <w:tcPr>
            <w:tcW w:w="2507" w:type="dxa"/>
            <w:noWrap w:val="0"/>
            <w:vAlign w:val="center"/>
          </w:tcPr>
          <w:p w14:paraId="48F0D915">
            <w:pPr>
              <w:widowControl w:val="0"/>
              <w:adjustRightInd/>
              <w:snapToGrid/>
              <w:spacing w:after="0"/>
              <w:jc w:val="center"/>
              <w:rPr>
                <w:rFonts w:hint="eastAsia" w:ascii="宋体" w:hAnsi="宋体" w:eastAsia="宋体" w:cs="宋体"/>
                <w:color w:val="000000"/>
                <w:kern w:val="2"/>
                <w:sz w:val="24"/>
                <w:szCs w:val="24"/>
              </w:rPr>
            </w:pPr>
          </w:p>
        </w:tc>
        <w:tc>
          <w:tcPr>
            <w:tcW w:w="1899" w:type="dxa"/>
            <w:noWrap w:val="0"/>
            <w:vAlign w:val="center"/>
          </w:tcPr>
          <w:p w14:paraId="10933CB5">
            <w:pPr>
              <w:widowControl w:val="0"/>
              <w:adjustRightInd/>
              <w:snapToGrid/>
              <w:spacing w:after="0"/>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9</w:t>
            </w:r>
          </w:p>
        </w:tc>
      </w:tr>
    </w:tbl>
    <w:p w14:paraId="2DAFB686">
      <w:pPr>
        <w:spacing w:line="640" w:lineRule="exact"/>
        <w:rPr>
          <w:rFonts w:hint="eastAsia" w:ascii="宋体" w:hAnsi="宋体" w:eastAsia="宋体" w:cs="宋体"/>
          <w:sz w:val="24"/>
          <w:szCs w:val="24"/>
        </w:rPr>
      </w:pPr>
      <w:r>
        <w:rPr>
          <w:rFonts w:hint="eastAsia" w:ascii="宋体" w:hAnsi="宋体" w:eastAsia="宋体" w:cs="宋体"/>
          <w:sz w:val="24"/>
          <w:szCs w:val="24"/>
        </w:rPr>
        <w:t>注：安全文明施工增加费按实结算暂不考虑。</w:t>
      </w:r>
    </w:p>
    <w:bookmarkEnd w:id="0"/>
    <w:p w14:paraId="55816F53">
      <w:pPr>
        <w:spacing w:line="640" w:lineRule="exact"/>
        <w:rPr>
          <w:rFonts w:hint="eastAsia" w:ascii="宋体" w:hAnsi="宋体" w:eastAsia="宋体" w:cs="宋体"/>
          <w:b/>
          <w:bCs/>
          <w:sz w:val="24"/>
          <w:szCs w:val="24"/>
        </w:rPr>
      </w:pPr>
      <w:r>
        <w:rPr>
          <w:rFonts w:hint="eastAsia" w:ascii="宋体" w:hAnsi="宋体" w:eastAsia="宋体" w:cs="宋体"/>
          <w:b/>
          <w:bCs/>
          <w:sz w:val="24"/>
          <w:szCs w:val="24"/>
        </w:rPr>
        <w:t>二、其它需说明的问题</w:t>
      </w:r>
    </w:p>
    <w:p w14:paraId="19715D55">
      <w:pPr>
        <w:spacing w:line="640" w:lineRule="exact"/>
        <w:rPr>
          <w:rFonts w:hint="eastAsia" w:ascii="宋体" w:hAnsi="宋体" w:eastAsia="宋体" w:cs="宋体"/>
          <w:sz w:val="24"/>
          <w:szCs w:val="24"/>
        </w:rPr>
      </w:pPr>
      <w:r>
        <w:rPr>
          <w:rFonts w:hint="eastAsia" w:ascii="宋体" w:hAnsi="宋体" w:eastAsia="宋体" w:cs="宋体"/>
          <w:sz w:val="24"/>
          <w:szCs w:val="24"/>
        </w:rPr>
        <w:t>1、本工程量清单所列的工程量及特征描述系本咨询人按招标人提供的</w:t>
      </w:r>
      <w:r>
        <w:rPr>
          <w:rFonts w:hint="eastAsia" w:ascii="宋体" w:hAnsi="宋体" w:cs="宋体"/>
          <w:sz w:val="24"/>
          <w:szCs w:val="24"/>
          <w:lang w:val="en-US" w:eastAsia="zh-CN"/>
        </w:rPr>
        <w:t>现场资料</w:t>
      </w:r>
      <w:r>
        <w:rPr>
          <w:rFonts w:hint="eastAsia" w:ascii="宋体" w:hAnsi="宋体" w:eastAsia="宋体" w:cs="宋体"/>
          <w:sz w:val="24"/>
          <w:szCs w:val="24"/>
        </w:rPr>
        <w:t>编制的，作为投标报价的基础，付款时由投标人计量、监理签证、跟踪审计复核、招标人核准的实际完成工程量为依据。本清单凡未能注明做法或表达不清的项目按相关规范施工并由投标单位自主报价。本工程量清单应与投标须知、合同条件、合同协议条款、工程范围和图纸一起使用。</w:t>
      </w:r>
    </w:p>
    <w:p w14:paraId="1A8FC940">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2、本工程按苏建函价2019_178号文中关于调整建设工程计价增值税税率的通知的一般计税方法规定的费率计算。依据《江苏省建筑</w:t>
      </w:r>
      <w:r>
        <w:rPr>
          <w:rFonts w:hint="eastAsia" w:ascii="宋体" w:hAnsi="宋体" w:eastAsia="宋体" w:cs="宋体"/>
          <w:sz w:val="24"/>
          <w:szCs w:val="24"/>
        </w:rPr>
        <w:t>与装饰工程计价表》及《江苏省建设工程费用定额》（2014年）</w:t>
      </w:r>
      <w:r>
        <w:rPr>
          <w:rFonts w:hint="eastAsia" w:ascii="宋体" w:hAnsi="宋体" w:eastAsia="宋体" w:cs="宋体"/>
          <w:sz w:val="24"/>
          <w:szCs w:val="24"/>
          <w:lang w:val="en-US" w:eastAsia="zh-CN"/>
        </w:rPr>
        <w:t>等</w:t>
      </w:r>
      <w:r>
        <w:rPr>
          <w:rFonts w:hint="eastAsia" w:ascii="宋体" w:hAnsi="宋体" w:eastAsia="宋体" w:cs="宋体"/>
          <w:sz w:val="24"/>
          <w:szCs w:val="24"/>
        </w:rPr>
        <w:t>进行编制</w:t>
      </w:r>
    </w:p>
    <w:p w14:paraId="487B5677">
      <w:pPr>
        <w:spacing w:line="6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、竣工结算时工程量计算应严格按照《建设工程工程量清单计价规范》（GB50500—2013）</w:t>
      </w:r>
      <w:r>
        <w:rPr>
          <w:rFonts w:hint="eastAsia" w:ascii="宋体" w:hAnsi="宋体" w:eastAsia="宋体" w:cs="宋体"/>
          <w:sz w:val="24"/>
          <w:szCs w:val="24"/>
          <w:lang w:val="en-US" w:eastAsia="zh-CN"/>
        </w:rPr>
        <w:t>等的工程量计算规则执行（项目特征中有明确描述的以项目特征的描述为准）。</w:t>
      </w:r>
    </w:p>
    <w:p w14:paraId="4865E4F2">
      <w:pPr>
        <w:spacing w:line="6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招标人所列的措施项目，投标人可根据工程实际的施工组织设计进行增补，但不应更改招标人已列措施项目。结算时，除工程变更引起施工方案改变外，中标人不得以招标工程措施项目清单缺项为由要求新增措施项目。</w:t>
      </w:r>
    </w:p>
    <w:p w14:paraId="7851F874">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、竣工结算时除工程变更引起施工方案改变外，中标人不得以招标工程措施项目清单缺项为由要求新增措施项目。</w:t>
      </w:r>
    </w:p>
    <w:p w14:paraId="2BF90A5F">
      <w:pPr>
        <w:spacing w:line="640" w:lineRule="exact"/>
        <w:rPr>
          <w:rFonts w:hint="default" w:ascii="宋体" w:hAnsi="宋体" w:eastAsia="宋体" w:cs="宋体"/>
          <w:sz w:val="24"/>
          <w:szCs w:val="24"/>
          <w:lang w:val="en-US" w:eastAsia="zh-CN"/>
        </w:rPr>
      </w:pPr>
    </w:p>
    <w:p w14:paraId="548E626D">
      <w:pPr>
        <w:spacing w:line="640" w:lineRule="exact"/>
        <w:rPr>
          <w:rFonts w:hint="eastAsia" w:ascii="宋体" w:hAnsi="宋体" w:eastAsia="宋体" w:cs="宋体"/>
          <w:sz w:val="24"/>
          <w:szCs w:val="24"/>
        </w:rPr>
      </w:pPr>
    </w:p>
    <w:sectPr>
      <w:footerReference r:id="rId4" w:type="default"/>
      <w:pgSz w:w="11906" w:h="16838"/>
      <w:pgMar w:top="1440" w:right="1080" w:bottom="1440" w:left="108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A8C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E3B13">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7E3B13">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DZmZDFiY2VmOTJkMzgxNGQ5YjdmNGNlYTZkOWQifQ=="/>
  </w:docVars>
  <w:rsids>
    <w:rsidRoot w:val="00E80128"/>
    <w:rsid w:val="00006042"/>
    <w:rsid w:val="00006394"/>
    <w:rsid w:val="00027FDD"/>
    <w:rsid w:val="00050CC1"/>
    <w:rsid w:val="000600C3"/>
    <w:rsid w:val="000709B0"/>
    <w:rsid w:val="00083CCB"/>
    <w:rsid w:val="0009725A"/>
    <w:rsid w:val="000A7DFC"/>
    <w:rsid w:val="000D6606"/>
    <w:rsid w:val="000E4797"/>
    <w:rsid w:val="000F4403"/>
    <w:rsid w:val="00101231"/>
    <w:rsid w:val="00135B36"/>
    <w:rsid w:val="00157686"/>
    <w:rsid w:val="0016718E"/>
    <w:rsid w:val="001703EC"/>
    <w:rsid w:val="001711B6"/>
    <w:rsid w:val="00171B18"/>
    <w:rsid w:val="0018325B"/>
    <w:rsid w:val="001832B8"/>
    <w:rsid w:val="00195DA8"/>
    <w:rsid w:val="001A2C5A"/>
    <w:rsid w:val="001A6EE5"/>
    <w:rsid w:val="001D06DD"/>
    <w:rsid w:val="001D1B86"/>
    <w:rsid w:val="001D56C7"/>
    <w:rsid w:val="001D5AB5"/>
    <w:rsid w:val="00200299"/>
    <w:rsid w:val="002159DE"/>
    <w:rsid w:val="00226893"/>
    <w:rsid w:val="00233BB3"/>
    <w:rsid w:val="002349F9"/>
    <w:rsid w:val="002423BD"/>
    <w:rsid w:val="002523F1"/>
    <w:rsid w:val="00263A5E"/>
    <w:rsid w:val="00272038"/>
    <w:rsid w:val="00275AE9"/>
    <w:rsid w:val="002779B6"/>
    <w:rsid w:val="00277B21"/>
    <w:rsid w:val="00281064"/>
    <w:rsid w:val="00281FF1"/>
    <w:rsid w:val="002942CB"/>
    <w:rsid w:val="002A4B62"/>
    <w:rsid w:val="002B16C9"/>
    <w:rsid w:val="002B61E6"/>
    <w:rsid w:val="002C5B91"/>
    <w:rsid w:val="002E40B3"/>
    <w:rsid w:val="002E670A"/>
    <w:rsid w:val="003059C7"/>
    <w:rsid w:val="00317F0E"/>
    <w:rsid w:val="00323B43"/>
    <w:rsid w:val="00341AA1"/>
    <w:rsid w:val="00344700"/>
    <w:rsid w:val="003463AF"/>
    <w:rsid w:val="00352702"/>
    <w:rsid w:val="00357493"/>
    <w:rsid w:val="00363B00"/>
    <w:rsid w:val="00366194"/>
    <w:rsid w:val="0036679C"/>
    <w:rsid w:val="003973C0"/>
    <w:rsid w:val="003A6204"/>
    <w:rsid w:val="003B46B3"/>
    <w:rsid w:val="003D37D8"/>
    <w:rsid w:val="003E5C55"/>
    <w:rsid w:val="003F6D5A"/>
    <w:rsid w:val="0040116D"/>
    <w:rsid w:val="004114C5"/>
    <w:rsid w:val="00433206"/>
    <w:rsid w:val="00433A12"/>
    <w:rsid w:val="004358AB"/>
    <w:rsid w:val="00450862"/>
    <w:rsid w:val="00457CD8"/>
    <w:rsid w:val="004635F0"/>
    <w:rsid w:val="00474AD9"/>
    <w:rsid w:val="0047525E"/>
    <w:rsid w:val="004765A0"/>
    <w:rsid w:val="00486C70"/>
    <w:rsid w:val="00494C5E"/>
    <w:rsid w:val="004B300A"/>
    <w:rsid w:val="004C0779"/>
    <w:rsid w:val="004C0947"/>
    <w:rsid w:val="004C6D70"/>
    <w:rsid w:val="004D36EF"/>
    <w:rsid w:val="004E0B39"/>
    <w:rsid w:val="004E336C"/>
    <w:rsid w:val="00512F4A"/>
    <w:rsid w:val="005130B0"/>
    <w:rsid w:val="0052100E"/>
    <w:rsid w:val="0053180F"/>
    <w:rsid w:val="00543166"/>
    <w:rsid w:val="005447F8"/>
    <w:rsid w:val="005547E2"/>
    <w:rsid w:val="00567AE2"/>
    <w:rsid w:val="00572587"/>
    <w:rsid w:val="00572EBC"/>
    <w:rsid w:val="00576E16"/>
    <w:rsid w:val="005772D0"/>
    <w:rsid w:val="0059285A"/>
    <w:rsid w:val="00596DC2"/>
    <w:rsid w:val="005D2648"/>
    <w:rsid w:val="005E2BC7"/>
    <w:rsid w:val="005E32D3"/>
    <w:rsid w:val="005E4B8D"/>
    <w:rsid w:val="00612876"/>
    <w:rsid w:val="00625A7F"/>
    <w:rsid w:val="00675C3B"/>
    <w:rsid w:val="006A63C4"/>
    <w:rsid w:val="006C76F5"/>
    <w:rsid w:val="006D3445"/>
    <w:rsid w:val="006E22BD"/>
    <w:rsid w:val="006E3072"/>
    <w:rsid w:val="006E7DC2"/>
    <w:rsid w:val="00710364"/>
    <w:rsid w:val="00711132"/>
    <w:rsid w:val="00725D6F"/>
    <w:rsid w:val="00733458"/>
    <w:rsid w:val="00764B7C"/>
    <w:rsid w:val="00776C9D"/>
    <w:rsid w:val="00777A29"/>
    <w:rsid w:val="00780E94"/>
    <w:rsid w:val="00784A2D"/>
    <w:rsid w:val="00786B60"/>
    <w:rsid w:val="0079220B"/>
    <w:rsid w:val="007B0A57"/>
    <w:rsid w:val="007D6898"/>
    <w:rsid w:val="007F19F2"/>
    <w:rsid w:val="007F377C"/>
    <w:rsid w:val="00804036"/>
    <w:rsid w:val="0080524F"/>
    <w:rsid w:val="00820895"/>
    <w:rsid w:val="00820D33"/>
    <w:rsid w:val="00824CE0"/>
    <w:rsid w:val="008261F0"/>
    <w:rsid w:val="008371C2"/>
    <w:rsid w:val="008742C6"/>
    <w:rsid w:val="008873BA"/>
    <w:rsid w:val="00890340"/>
    <w:rsid w:val="008B7726"/>
    <w:rsid w:val="008E2587"/>
    <w:rsid w:val="008E643C"/>
    <w:rsid w:val="008E7517"/>
    <w:rsid w:val="00906A35"/>
    <w:rsid w:val="00906BFB"/>
    <w:rsid w:val="009176DF"/>
    <w:rsid w:val="00942329"/>
    <w:rsid w:val="009431D7"/>
    <w:rsid w:val="00983B05"/>
    <w:rsid w:val="00992027"/>
    <w:rsid w:val="009A3118"/>
    <w:rsid w:val="009B4E76"/>
    <w:rsid w:val="009B5265"/>
    <w:rsid w:val="009D27F3"/>
    <w:rsid w:val="009D3F66"/>
    <w:rsid w:val="009E6621"/>
    <w:rsid w:val="00A01AA4"/>
    <w:rsid w:val="00A041E5"/>
    <w:rsid w:val="00A3067E"/>
    <w:rsid w:val="00A313E8"/>
    <w:rsid w:val="00A31D05"/>
    <w:rsid w:val="00A32138"/>
    <w:rsid w:val="00A43FE4"/>
    <w:rsid w:val="00A4518A"/>
    <w:rsid w:val="00A51343"/>
    <w:rsid w:val="00A51455"/>
    <w:rsid w:val="00A55998"/>
    <w:rsid w:val="00A86FA1"/>
    <w:rsid w:val="00AB1F8E"/>
    <w:rsid w:val="00AB79A1"/>
    <w:rsid w:val="00AE7CAB"/>
    <w:rsid w:val="00B2435D"/>
    <w:rsid w:val="00B42E2A"/>
    <w:rsid w:val="00B43A38"/>
    <w:rsid w:val="00B73599"/>
    <w:rsid w:val="00B90CBE"/>
    <w:rsid w:val="00B94B8B"/>
    <w:rsid w:val="00B955D4"/>
    <w:rsid w:val="00BA4585"/>
    <w:rsid w:val="00BB0227"/>
    <w:rsid w:val="00BB0E8B"/>
    <w:rsid w:val="00BB15CD"/>
    <w:rsid w:val="00BD09A2"/>
    <w:rsid w:val="00C158EE"/>
    <w:rsid w:val="00C16A42"/>
    <w:rsid w:val="00C20E26"/>
    <w:rsid w:val="00C34988"/>
    <w:rsid w:val="00C36C32"/>
    <w:rsid w:val="00C37B1A"/>
    <w:rsid w:val="00C40D3D"/>
    <w:rsid w:val="00C44AAF"/>
    <w:rsid w:val="00C53795"/>
    <w:rsid w:val="00C61B7C"/>
    <w:rsid w:val="00C842C5"/>
    <w:rsid w:val="00CB6BB2"/>
    <w:rsid w:val="00CC027C"/>
    <w:rsid w:val="00CC28BE"/>
    <w:rsid w:val="00CC4F0C"/>
    <w:rsid w:val="00CE0060"/>
    <w:rsid w:val="00CF13CD"/>
    <w:rsid w:val="00D02AA1"/>
    <w:rsid w:val="00D35042"/>
    <w:rsid w:val="00D36282"/>
    <w:rsid w:val="00D37D4F"/>
    <w:rsid w:val="00D73F85"/>
    <w:rsid w:val="00D953BC"/>
    <w:rsid w:val="00DA54BE"/>
    <w:rsid w:val="00DE54F8"/>
    <w:rsid w:val="00DF265E"/>
    <w:rsid w:val="00E03F8E"/>
    <w:rsid w:val="00E041A1"/>
    <w:rsid w:val="00E140DB"/>
    <w:rsid w:val="00E21510"/>
    <w:rsid w:val="00E27092"/>
    <w:rsid w:val="00E301E6"/>
    <w:rsid w:val="00E80128"/>
    <w:rsid w:val="00E93AC5"/>
    <w:rsid w:val="00EA4FA9"/>
    <w:rsid w:val="00EA7AE5"/>
    <w:rsid w:val="00EB560F"/>
    <w:rsid w:val="00EE3941"/>
    <w:rsid w:val="00EF018A"/>
    <w:rsid w:val="00EF26D7"/>
    <w:rsid w:val="00F03DFE"/>
    <w:rsid w:val="00F256A1"/>
    <w:rsid w:val="00F43AC3"/>
    <w:rsid w:val="00F51567"/>
    <w:rsid w:val="00F66D5B"/>
    <w:rsid w:val="00F72C4C"/>
    <w:rsid w:val="00F72E63"/>
    <w:rsid w:val="00F7623C"/>
    <w:rsid w:val="00F85468"/>
    <w:rsid w:val="00F967AE"/>
    <w:rsid w:val="00FA6ACB"/>
    <w:rsid w:val="00FA6B5C"/>
    <w:rsid w:val="00FB3AFD"/>
    <w:rsid w:val="00FE73F9"/>
    <w:rsid w:val="01291852"/>
    <w:rsid w:val="015A0F75"/>
    <w:rsid w:val="01666283"/>
    <w:rsid w:val="01AD4AF5"/>
    <w:rsid w:val="01E96BD0"/>
    <w:rsid w:val="02F94B1E"/>
    <w:rsid w:val="04BA1142"/>
    <w:rsid w:val="04E44251"/>
    <w:rsid w:val="050E6A00"/>
    <w:rsid w:val="053D666D"/>
    <w:rsid w:val="05A70F17"/>
    <w:rsid w:val="074F3DC9"/>
    <w:rsid w:val="07840B91"/>
    <w:rsid w:val="079E06C7"/>
    <w:rsid w:val="07E76962"/>
    <w:rsid w:val="088604D1"/>
    <w:rsid w:val="08DD58A1"/>
    <w:rsid w:val="08F82A76"/>
    <w:rsid w:val="08FB7A02"/>
    <w:rsid w:val="0A9B6453"/>
    <w:rsid w:val="0AD4096E"/>
    <w:rsid w:val="0B8643D7"/>
    <w:rsid w:val="0C1C2D20"/>
    <w:rsid w:val="0C3520A6"/>
    <w:rsid w:val="0C7A7B2E"/>
    <w:rsid w:val="0D415D46"/>
    <w:rsid w:val="0E0E6BB2"/>
    <w:rsid w:val="0EEF7B35"/>
    <w:rsid w:val="0F482C4C"/>
    <w:rsid w:val="101751C1"/>
    <w:rsid w:val="109D2C7C"/>
    <w:rsid w:val="11DE3439"/>
    <w:rsid w:val="143B6DDA"/>
    <w:rsid w:val="14656E95"/>
    <w:rsid w:val="14AA4A6F"/>
    <w:rsid w:val="161A5B8E"/>
    <w:rsid w:val="16531595"/>
    <w:rsid w:val="16761B17"/>
    <w:rsid w:val="17261E55"/>
    <w:rsid w:val="19080B8C"/>
    <w:rsid w:val="193858F2"/>
    <w:rsid w:val="198A25A2"/>
    <w:rsid w:val="1A2027B9"/>
    <w:rsid w:val="1A21206B"/>
    <w:rsid w:val="1A3A31DF"/>
    <w:rsid w:val="1A852043"/>
    <w:rsid w:val="1B7510A6"/>
    <w:rsid w:val="1D0C55F3"/>
    <w:rsid w:val="1D7276BC"/>
    <w:rsid w:val="1D807E56"/>
    <w:rsid w:val="1DB24404"/>
    <w:rsid w:val="1DBF487C"/>
    <w:rsid w:val="1DC868AC"/>
    <w:rsid w:val="1E04163C"/>
    <w:rsid w:val="201B3785"/>
    <w:rsid w:val="201E386D"/>
    <w:rsid w:val="20462312"/>
    <w:rsid w:val="2116556C"/>
    <w:rsid w:val="211B179B"/>
    <w:rsid w:val="222B62ED"/>
    <w:rsid w:val="223730B5"/>
    <w:rsid w:val="23C34E34"/>
    <w:rsid w:val="24A34E2B"/>
    <w:rsid w:val="24D44E35"/>
    <w:rsid w:val="2543672F"/>
    <w:rsid w:val="25E44649"/>
    <w:rsid w:val="26BC2875"/>
    <w:rsid w:val="27843C21"/>
    <w:rsid w:val="27E365B2"/>
    <w:rsid w:val="27E92A9C"/>
    <w:rsid w:val="28297297"/>
    <w:rsid w:val="28A15125"/>
    <w:rsid w:val="28D000F3"/>
    <w:rsid w:val="29D419EF"/>
    <w:rsid w:val="2A6616FF"/>
    <w:rsid w:val="2A756BCA"/>
    <w:rsid w:val="2A9F5DF4"/>
    <w:rsid w:val="2C6A5466"/>
    <w:rsid w:val="2D776A6F"/>
    <w:rsid w:val="2E185837"/>
    <w:rsid w:val="2EFC1307"/>
    <w:rsid w:val="300C2594"/>
    <w:rsid w:val="30211B24"/>
    <w:rsid w:val="30316E29"/>
    <w:rsid w:val="308C67AC"/>
    <w:rsid w:val="30C82C1C"/>
    <w:rsid w:val="318F3990"/>
    <w:rsid w:val="32F969E0"/>
    <w:rsid w:val="33B60796"/>
    <w:rsid w:val="33C004DB"/>
    <w:rsid w:val="341202EF"/>
    <w:rsid w:val="341E4A09"/>
    <w:rsid w:val="34BD3A6F"/>
    <w:rsid w:val="36BA4B0E"/>
    <w:rsid w:val="36C55DA1"/>
    <w:rsid w:val="36DF6E32"/>
    <w:rsid w:val="3708321A"/>
    <w:rsid w:val="3A4E4F85"/>
    <w:rsid w:val="3C587223"/>
    <w:rsid w:val="3CC03789"/>
    <w:rsid w:val="3D0E3E74"/>
    <w:rsid w:val="3E633F57"/>
    <w:rsid w:val="3F2E652B"/>
    <w:rsid w:val="3FE27F39"/>
    <w:rsid w:val="411F1A6E"/>
    <w:rsid w:val="42C61336"/>
    <w:rsid w:val="43191B8B"/>
    <w:rsid w:val="432A33C9"/>
    <w:rsid w:val="44561FBF"/>
    <w:rsid w:val="445C5D3F"/>
    <w:rsid w:val="454A7866"/>
    <w:rsid w:val="45AA2F25"/>
    <w:rsid w:val="45B9068A"/>
    <w:rsid w:val="469D39AC"/>
    <w:rsid w:val="46C129C8"/>
    <w:rsid w:val="46D736C6"/>
    <w:rsid w:val="47066BA6"/>
    <w:rsid w:val="47706188"/>
    <w:rsid w:val="47B70FD7"/>
    <w:rsid w:val="48F732BF"/>
    <w:rsid w:val="48F94A12"/>
    <w:rsid w:val="4967046E"/>
    <w:rsid w:val="49BF3281"/>
    <w:rsid w:val="49F0755A"/>
    <w:rsid w:val="4AE31C27"/>
    <w:rsid w:val="4B7A6B32"/>
    <w:rsid w:val="4BAC4B6D"/>
    <w:rsid w:val="4CF17FCB"/>
    <w:rsid w:val="4DA665D5"/>
    <w:rsid w:val="4E092CA1"/>
    <w:rsid w:val="4F98434D"/>
    <w:rsid w:val="50B6669B"/>
    <w:rsid w:val="519C30EF"/>
    <w:rsid w:val="51B5320F"/>
    <w:rsid w:val="520A4E5D"/>
    <w:rsid w:val="53B37937"/>
    <w:rsid w:val="53E95B97"/>
    <w:rsid w:val="542B2BE7"/>
    <w:rsid w:val="543333F6"/>
    <w:rsid w:val="55065754"/>
    <w:rsid w:val="550F1E3E"/>
    <w:rsid w:val="55986CA0"/>
    <w:rsid w:val="559F503F"/>
    <w:rsid w:val="55A30B71"/>
    <w:rsid w:val="55B02901"/>
    <w:rsid w:val="560B3097"/>
    <w:rsid w:val="5616549D"/>
    <w:rsid w:val="564570EB"/>
    <w:rsid w:val="57CF3567"/>
    <w:rsid w:val="588D6338"/>
    <w:rsid w:val="58B34B90"/>
    <w:rsid w:val="59C76C87"/>
    <w:rsid w:val="5B023471"/>
    <w:rsid w:val="5B2D0FE5"/>
    <w:rsid w:val="5BFC727A"/>
    <w:rsid w:val="5C362AB0"/>
    <w:rsid w:val="5C5B0FD2"/>
    <w:rsid w:val="5CD72D65"/>
    <w:rsid w:val="5EEF5A58"/>
    <w:rsid w:val="5F41782B"/>
    <w:rsid w:val="5F9D6F4F"/>
    <w:rsid w:val="61A80259"/>
    <w:rsid w:val="628A03FC"/>
    <w:rsid w:val="62915C36"/>
    <w:rsid w:val="62B265B5"/>
    <w:rsid w:val="63491EAC"/>
    <w:rsid w:val="64B12CA2"/>
    <w:rsid w:val="64BE405F"/>
    <w:rsid w:val="662D406A"/>
    <w:rsid w:val="673E531F"/>
    <w:rsid w:val="68BA4E6C"/>
    <w:rsid w:val="69310C7F"/>
    <w:rsid w:val="694A5131"/>
    <w:rsid w:val="6B005822"/>
    <w:rsid w:val="6BF031DF"/>
    <w:rsid w:val="6C131ECE"/>
    <w:rsid w:val="6D6E4304"/>
    <w:rsid w:val="6DE66065"/>
    <w:rsid w:val="6FAB4CC6"/>
    <w:rsid w:val="6FFC6061"/>
    <w:rsid w:val="71BB4C59"/>
    <w:rsid w:val="71F26C2D"/>
    <w:rsid w:val="72D44945"/>
    <w:rsid w:val="72D84361"/>
    <w:rsid w:val="734C0DB6"/>
    <w:rsid w:val="73940ACB"/>
    <w:rsid w:val="754A0EBE"/>
    <w:rsid w:val="76851E53"/>
    <w:rsid w:val="77873B77"/>
    <w:rsid w:val="78F71B8A"/>
    <w:rsid w:val="79585A77"/>
    <w:rsid w:val="7BB0282A"/>
    <w:rsid w:val="7BF36563"/>
    <w:rsid w:val="7D61007A"/>
    <w:rsid w:val="7E543DAB"/>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qFormat/>
    <w:uiPriority w:val="0"/>
  </w:style>
  <w:style w:type="character" w:styleId="8">
    <w:name w:val="Emphasis"/>
    <w:basedOn w:val="6"/>
    <w:qFormat/>
    <w:uiPriority w:val="20"/>
    <w:rPr>
      <w:i/>
    </w:rPr>
  </w:style>
  <w:style w:type="character" w:customStyle="1" w:styleId="9">
    <w:name w:val="页脚 Char"/>
    <w:link w:val="3"/>
    <w:qFormat/>
    <w:uiPriority w:val="99"/>
    <w:rPr>
      <w:rFonts w:ascii="Tahoma" w:hAnsi="Tahoma"/>
      <w:sz w:val="18"/>
      <w:szCs w:val="18"/>
    </w:rPr>
  </w:style>
  <w:style w:type="character" w:customStyle="1" w:styleId="10">
    <w:name w:val="页眉 Char"/>
    <w:link w:val="4"/>
    <w:qFormat/>
    <w:uiPriority w:val="99"/>
    <w:rPr>
      <w:rFonts w:ascii="Tahoma" w:hAnsi="Tahoma"/>
      <w:sz w:val="18"/>
      <w:szCs w:val="18"/>
    </w:rPr>
  </w:style>
  <w:style w:type="character" w:customStyle="1" w:styleId="11">
    <w:name w:val="font51"/>
    <w:qFormat/>
    <w:uiPriority w:val="0"/>
    <w:rPr>
      <w:rFonts w:hint="default" w:ascii="华文中宋" w:hAnsi="华文中宋" w:eastAsia="华文中宋" w:cs="华文中宋"/>
      <w:b/>
      <w:color w:val="000000"/>
      <w:sz w:val="24"/>
      <w:szCs w:val="24"/>
      <w:u w:val="none"/>
    </w:rPr>
  </w:style>
  <w:style w:type="character" w:customStyle="1" w:styleId="12">
    <w:name w:val="font61"/>
    <w:qFormat/>
    <w:uiPriority w:val="0"/>
    <w:rPr>
      <w:rFonts w:hint="eastAsia" w:ascii="仿宋_GB2312" w:eastAsia="仿宋_GB2312" w:cs="仿宋_GB2312"/>
      <w:color w:val="000000"/>
      <w:sz w:val="24"/>
      <w:szCs w:val="24"/>
      <w:u w:val="none"/>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15">
    <w:name w:val="font101"/>
    <w:basedOn w:val="6"/>
    <w:qFormat/>
    <w:uiPriority w:val="0"/>
    <w:rPr>
      <w:rFonts w:hint="default" w:ascii="Times New Roman" w:hAnsi="Times New Roman" w:cs="Times New Roman"/>
      <w:color w:val="000000"/>
      <w:sz w:val="22"/>
      <w:szCs w:val="22"/>
      <w:u w:val="none"/>
    </w:rPr>
  </w:style>
  <w:style w:type="character" w:customStyle="1" w:styleId="16">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1224</Words>
  <Characters>1282</Characters>
  <Lines>19</Lines>
  <Paragraphs>5</Paragraphs>
  <TotalTime>21</TotalTime>
  <ScaleCrop>false</ScaleCrop>
  <LinksUpToDate>false</LinksUpToDate>
  <CharactersWithSpaces>1283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2016-05-24T11:36:00Z</dcterms:created>
  <dc:creator>Administrator</dc:creator>
  <cp:lastModifiedBy>周君</cp:lastModifiedBy>
  <cp:lastPrinted>2016-05-26T00:23:00Z</cp:lastPrinted>
  <dcterms:modified xsi:type="dcterms:W3CDTF">2025-03-29T11:13:15Z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B16F41B355E0467C817E2B36C32F6583_13</vt:lpwstr>
  </property>
  <property fmtid="{D5CDD505-2E9C-101B-9397-08002B2CF9AE}" pid="4" name="KSOTemplateDocerSaveRecord">
    <vt:lpwstr>eyJoZGlkIjoiOTYxODZmZDFiY2VmOTJkMzgxNGQ5YjdmNGNlYTZkOWQiLCJ1c2VySWQiOiI1NzU5OTQ5ODAifQ==</vt:lpwstr>
  </property>
</Properties>
</file>