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21E16">
      <w:pPr>
        <w:keepNext/>
        <w:keepLines/>
        <w:pageBreakBefore/>
        <w:widowControl w:val="0"/>
        <w:kinsoku/>
        <w:wordWrap/>
        <w:overflowPunct/>
        <w:topLinePunct w:val="0"/>
        <w:autoSpaceDE/>
        <w:autoSpaceDN/>
        <w:bidi w:val="0"/>
        <w:adjustRightInd/>
        <w:snapToGrid/>
        <w:ind w:firstLine="883" w:firstLineChars="200"/>
        <w:jc w:val="center"/>
        <w:textAlignment w:val="auto"/>
        <w:outlineLvl w:val="0"/>
        <w:rPr>
          <w:rFonts w:hint="default" w:ascii="黑体" w:hAnsi="黑体" w:eastAsia="黑体" w:cs="黑体"/>
          <w:b/>
          <w:sz w:val="44"/>
          <w:szCs w:val="44"/>
          <w:lang w:val="en-US" w:eastAsia="zh-CN"/>
        </w:rPr>
      </w:pPr>
      <w:r>
        <w:rPr>
          <w:rFonts w:hint="eastAsia" w:ascii="黑体" w:hAnsi="黑体" w:eastAsia="黑体" w:cs="黑体"/>
          <w:b/>
          <w:bCs w:val="0"/>
          <w:sz w:val="44"/>
          <w:szCs w:val="44"/>
        </w:rPr>
        <w:t xml:space="preserve">  </w:t>
      </w:r>
      <w:r>
        <w:rPr>
          <w:rFonts w:hint="eastAsia" w:ascii="黑体" w:hAnsi="黑体" w:eastAsia="黑体" w:cs="黑体"/>
          <w:b/>
          <w:bCs w:val="0"/>
          <w:sz w:val="44"/>
          <w:szCs w:val="44"/>
          <w:lang w:val="en-US" w:eastAsia="zh-CN"/>
        </w:rPr>
        <w:t>上海路初级中学油印服务采购合同</w:t>
      </w:r>
    </w:p>
    <w:p w14:paraId="0B582A75">
      <w:pPr>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bCs/>
          <w:sz w:val="24"/>
          <w:szCs w:val="24"/>
        </w:rPr>
      </w:pPr>
    </w:p>
    <w:p w14:paraId="2D8C8FB1">
      <w:pPr>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bookmarkStart w:id="0" w:name="_Toc20823315"/>
      <w:bookmarkStart w:id="1" w:name="_Toc16938559"/>
      <w:bookmarkStart w:id="2" w:name="_Toc513029243"/>
      <w:r>
        <w:rPr>
          <w:rFonts w:hint="eastAsia" w:ascii="方正仿宋_GB2312" w:hAnsi="方正仿宋_GB2312" w:eastAsia="方正仿宋_GB2312" w:cs="方正仿宋_GB2312"/>
          <w:b/>
          <w:bCs/>
          <w:sz w:val="24"/>
          <w:szCs w:val="22"/>
          <w:highlight w:val="none"/>
          <w:lang w:val="en-US" w:eastAsia="en-US" w:bidi="ar-SA"/>
        </w:rPr>
        <w:t>江苏省政府采购合同（服务）（合同编号）</w:t>
      </w:r>
    </w:p>
    <w:p w14:paraId="35B5890C">
      <w:pPr>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项目名称</w:t>
      </w:r>
      <w:r>
        <w:rPr>
          <w:rFonts w:hint="eastAsia" w:ascii="方正仿宋_GB2312" w:hAnsi="方正仿宋_GB2312" w:eastAsia="方正仿宋_GB2312" w:cs="方正仿宋_GB2312"/>
          <w:sz w:val="24"/>
          <w:szCs w:val="22"/>
          <w:highlight w:val="none"/>
          <w:lang w:val="en-US" w:eastAsia="zh-CN" w:bidi="ar-SA"/>
        </w:rPr>
        <w:t>：泗阳县上海路初级中学油印室油印服务采购项目</w:t>
      </w:r>
      <w:r>
        <w:rPr>
          <w:rFonts w:hint="eastAsia" w:ascii="方正仿宋_GB2312" w:hAnsi="方正仿宋_GB2312" w:eastAsia="方正仿宋_GB2312" w:cs="方正仿宋_GB2312"/>
          <w:sz w:val="24"/>
          <w:szCs w:val="22"/>
          <w:highlight w:val="none"/>
          <w:lang w:val="en-US" w:eastAsia="en-US" w:bidi="ar-SA"/>
        </w:rPr>
        <w:t xml:space="preserve">                            </w:t>
      </w:r>
    </w:p>
    <w:p w14:paraId="1AC4CA18">
      <w:pPr>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项目编号：</w:t>
      </w:r>
      <w:r>
        <w:rPr>
          <w:rFonts w:hint="eastAsia" w:ascii="方正仿宋_GB2312" w:hAnsi="方正仿宋_GB2312" w:eastAsia="方正仿宋_GB2312" w:cs="方正仿宋_GB2312"/>
          <w:sz w:val="24"/>
          <w:szCs w:val="22"/>
          <w:highlight w:val="none"/>
          <w:lang w:val="en-US" w:eastAsia="zh-CN" w:bidi="ar-SA"/>
        </w:rPr>
        <w:t>JSZC-321323-JZCG-T2025-0016</w:t>
      </w:r>
      <w:r>
        <w:rPr>
          <w:rFonts w:hint="eastAsia" w:ascii="方正仿宋_GB2312" w:hAnsi="方正仿宋_GB2312" w:eastAsia="方正仿宋_GB2312" w:cs="方正仿宋_GB2312"/>
          <w:sz w:val="24"/>
          <w:szCs w:val="22"/>
          <w:highlight w:val="none"/>
          <w:lang w:val="en-US" w:eastAsia="en-US" w:bidi="ar-SA"/>
        </w:rPr>
        <w:t xml:space="preserve">  </w:t>
      </w:r>
    </w:p>
    <w:p w14:paraId="142E49B9">
      <w:pPr>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甲方：（买方）</w:t>
      </w:r>
      <w:r>
        <w:rPr>
          <w:rFonts w:hint="eastAsia" w:ascii="方正仿宋_GB2312" w:hAnsi="方正仿宋_GB2312" w:eastAsia="方正仿宋_GB2312" w:cs="方正仿宋_GB2312"/>
          <w:sz w:val="24"/>
          <w:szCs w:val="22"/>
          <w:highlight w:val="none"/>
          <w:lang w:val="en-US" w:eastAsia="zh-CN" w:bidi="ar-SA"/>
        </w:rPr>
        <w:t>泗阳县上海路初级中学</w:t>
      </w:r>
    </w:p>
    <w:p w14:paraId="225558B0">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 xml:space="preserve">乙方：（卖方） </w:t>
      </w:r>
      <w:r>
        <w:rPr>
          <w:rFonts w:hint="eastAsia" w:ascii="方正仿宋_GB2312" w:hAnsi="方正仿宋_GB2312" w:eastAsia="方正仿宋_GB2312" w:cs="方正仿宋_GB2312"/>
          <w:sz w:val="24"/>
          <w:szCs w:val="22"/>
          <w:highlight w:val="none"/>
          <w:lang w:val="en-US" w:eastAsia="zh-CN" w:bidi="ar-SA"/>
        </w:rPr>
        <w:t>泗阳县宏艺广告有限公司</w:t>
      </w:r>
      <w:r>
        <w:rPr>
          <w:rFonts w:hint="eastAsia" w:ascii="方正仿宋_GB2312" w:hAnsi="方正仿宋_GB2312" w:eastAsia="方正仿宋_GB2312" w:cs="方正仿宋_GB2312"/>
          <w:sz w:val="24"/>
          <w:szCs w:val="22"/>
          <w:highlight w:val="none"/>
          <w:lang w:val="en-US" w:eastAsia="en-US" w:bidi="ar-SA"/>
        </w:rPr>
        <w:t xml:space="preserve">                        </w:t>
      </w:r>
    </w:p>
    <w:p w14:paraId="2B3920A5">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甲、乙双方根据</w:t>
      </w:r>
      <w:r>
        <w:rPr>
          <w:rFonts w:hint="eastAsia" w:ascii="方正仿宋_GB2312" w:hAnsi="方正仿宋_GB2312" w:eastAsia="方正仿宋_GB2312" w:cs="方正仿宋_GB2312"/>
          <w:sz w:val="24"/>
          <w:szCs w:val="22"/>
          <w:highlight w:val="none"/>
          <w:lang w:val="en-US" w:eastAsia="zh-CN" w:bidi="ar-SA"/>
        </w:rPr>
        <w:t>泗阳县上海路初级中学油印室油印服务采购项目</w:t>
      </w:r>
      <w:r>
        <w:rPr>
          <w:rFonts w:hint="eastAsia" w:ascii="方正仿宋_GB2312" w:hAnsi="方正仿宋_GB2312" w:eastAsia="方正仿宋_GB2312" w:cs="方正仿宋_GB2312"/>
          <w:sz w:val="24"/>
          <w:szCs w:val="22"/>
          <w:highlight w:val="none"/>
          <w:lang w:val="en-US" w:eastAsia="en-US" w:bidi="ar-SA"/>
        </w:rPr>
        <w:t>（项目编号：</w:t>
      </w:r>
      <w:r>
        <w:rPr>
          <w:rFonts w:hint="eastAsia" w:ascii="方正仿宋_GB2312" w:hAnsi="方正仿宋_GB2312" w:eastAsia="方正仿宋_GB2312" w:cs="方正仿宋_GB2312"/>
          <w:sz w:val="24"/>
          <w:szCs w:val="22"/>
          <w:highlight w:val="none"/>
          <w:lang w:val="en-US" w:eastAsia="zh-CN" w:bidi="ar-SA"/>
        </w:rPr>
        <w:t>JSZC-321323-JZCG-T2025-0016</w:t>
      </w:r>
      <w:r>
        <w:rPr>
          <w:rFonts w:hint="eastAsia" w:ascii="方正仿宋_GB2312" w:hAnsi="方正仿宋_GB2312" w:eastAsia="方正仿宋_GB2312" w:cs="方正仿宋_GB2312"/>
          <w:sz w:val="24"/>
          <w:szCs w:val="22"/>
          <w:highlight w:val="none"/>
          <w:lang w:val="en-US" w:eastAsia="en-US" w:bidi="ar-SA"/>
        </w:rPr>
        <w:t>）</w:t>
      </w:r>
      <w:r>
        <w:rPr>
          <w:rFonts w:hint="eastAsia" w:ascii="方正仿宋_GB2312" w:hAnsi="方正仿宋_GB2312" w:eastAsia="方正仿宋_GB2312" w:cs="方正仿宋_GB2312"/>
          <w:sz w:val="24"/>
          <w:szCs w:val="22"/>
          <w:highlight w:val="none"/>
          <w:lang w:val="en-US" w:eastAsia="zh-CN" w:bidi="ar-SA"/>
        </w:rPr>
        <w:t>竞争性谈判</w:t>
      </w:r>
      <w:r>
        <w:rPr>
          <w:rFonts w:hint="eastAsia" w:ascii="方正仿宋_GB2312" w:hAnsi="方正仿宋_GB2312" w:eastAsia="方正仿宋_GB2312" w:cs="方正仿宋_GB2312"/>
          <w:sz w:val="24"/>
          <w:szCs w:val="22"/>
          <w:highlight w:val="none"/>
          <w:lang w:val="en-US" w:eastAsia="en-US" w:bidi="ar-SA"/>
        </w:rPr>
        <w:t>的结果，签署本合同。</w:t>
      </w:r>
    </w:p>
    <w:p w14:paraId="0BCD9406">
      <w:pPr>
        <w:pStyle w:val="5"/>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en-US" w:bidi="ar-SA"/>
        </w:rPr>
        <w:t>一、合同内容</w:t>
      </w:r>
    </w:p>
    <w:p w14:paraId="5AB8EAA4">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1.1 标的名称：</w:t>
      </w:r>
      <w:r>
        <w:rPr>
          <w:rFonts w:hint="eastAsia" w:ascii="方正仿宋_GB2312" w:hAnsi="方正仿宋_GB2312" w:eastAsia="方正仿宋_GB2312" w:cs="方正仿宋_GB2312"/>
          <w:sz w:val="24"/>
          <w:szCs w:val="22"/>
          <w:highlight w:val="none"/>
          <w:lang w:val="en-US" w:eastAsia="zh-CN" w:bidi="ar-SA"/>
        </w:rPr>
        <w:t>泗阳县上海路初级中学油印室油印服务采购项目</w:t>
      </w:r>
    </w:p>
    <w:p w14:paraId="78BD93AD">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en-US" w:bidi="ar-SA"/>
        </w:rPr>
        <w:t>1.2 标的质量：</w:t>
      </w:r>
      <w:r>
        <w:rPr>
          <w:rFonts w:hint="eastAsia" w:ascii="方正仿宋_GB2312" w:hAnsi="方正仿宋_GB2312" w:eastAsia="方正仿宋_GB2312" w:cs="方正仿宋_GB2312"/>
          <w:sz w:val="24"/>
          <w:szCs w:val="22"/>
          <w:highlight w:val="none"/>
          <w:lang w:val="en-US" w:eastAsia="zh-CN" w:bidi="ar-SA"/>
        </w:rPr>
        <w:t>合格</w:t>
      </w:r>
    </w:p>
    <w:p w14:paraId="42AE3920">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1.3 标的数量（规模）：</w:t>
      </w:r>
      <w:r>
        <w:rPr>
          <w:rFonts w:hint="eastAsia" w:ascii="方正仿宋_GB2312" w:hAnsi="方正仿宋_GB2312" w:eastAsia="方正仿宋_GB2312" w:cs="方正仿宋_GB2312"/>
          <w:sz w:val="24"/>
          <w:szCs w:val="22"/>
          <w:highlight w:val="none"/>
          <w:lang w:val="en-US" w:eastAsia="zh-CN" w:bidi="ar-SA"/>
        </w:rPr>
        <w:t>为泗阳县上海路初级中学提供常规材料印刷、装订等服务，目前在校生数约3100人，详细内容见采购需求。</w:t>
      </w:r>
    </w:p>
    <w:p w14:paraId="0F3FB27D">
      <w:pPr>
        <w:pStyle w:val="5"/>
        <w:widowControl w:val="0"/>
        <w:kinsoku/>
        <w:wordWrap/>
        <w:overflowPunct/>
        <w:topLinePunct w:val="0"/>
        <w:autoSpaceDE/>
        <w:autoSpaceDN/>
        <w:bidi w:val="0"/>
        <w:adjustRightInd/>
        <w:snapToGrid/>
        <w:spacing w:line="480" w:lineRule="exact"/>
        <w:ind w:firstLine="480" w:firstLineChars="200"/>
        <w:textAlignment w:val="auto"/>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en-US" w:bidi="ar-SA"/>
        </w:rPr>
        <w:t>1.4 履行时间（期限）：</w:t>
      </w:r>
      <w:r>
        <w:rPr>
          <w:rFonts w:hint="eastAsia" w:ascii="方正仿宋_GB2312" w:hAnsi="方正仿宋_GB2312" w:eastAsia="方正仿宋_GB2312" w:cs="方正仿宋_GB2312"/>
          <w:sz w:val="24"/>
          <w:szCs w:val="22"/>
          <w:highlight w:val="none"/>
          <w:lang w:val="en-US" w:eastAsia="zh-CN" w:bidi="ar-SA"/>
        </w:rPr>
        <w:t>1年，2025年11月5日-2026年11月4 日。</w:t>
      </w:r>
    </w:p>
    <w:p w14:paraId="53AFA2CE">
      <w:pPr>
        <w:pStyle w:val="5"/>
        <w:widowControl w:val="0"/>
        <w:kinsoku/>
        <w:wordWrap/>
        <w:overflowPunct/>
        <w:topLinePunct w:val="0"/>
        <w:autoSpaceDE/>
        <w:autoSpaceDN/>
        <w:bidi w:val="0"/>
        <w:adjustRightInd/>
        <w:snapToGrid/>
        <w:spacing w:line="480" w:lineRule="exact"/>
        <w:ind w:firstLine="480" w:firstLineChars="200"/>
        <w:textAlignment w:val="auto"/>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en-US" w:bidi="ar-SA"/>
        </w:rPr>
        <w:t>1.5 履行地点：</w:t>
      </w:r>
      <w:r>
        <w:rPr>
          <w:rFonts w:hint="eastAsia" w:ascii="方正仿宋_GB2312" w:hAnsi="方正仿宋_GB2312" w:eastAsia="方正仿宋_GB2312" w:cs="方正仿宋_GB2312"/>
          <w:sz w:val="24"/>
          <w:szCs w:val="22"/>
          <w:highlight w:val="none"/>
          <w:lang w:val="en-US" w:eastAsia="zh-CN" w:bidi="ar-SA"/>
        </w:rPr>
        <w:t>上海路初级中学院内。</w:t>
      </w:r>
    </w:p>
    <w:p w14:paraId="6B0BEC1F">
      <w:pPr>
        <w:pStyle w:val="5"/>
        <w:widowControl w:val="0"/>
        <w:kinsoku/>
        <w:wordWrap/>
        <w:overflowPunct/>
        <w:topLinePunct w:val="0"/>
        <w:autoSpaceDE/>
        <w:autoSpaceDN/>
        <w:bidi w:val="0"/>
        <w:adjustRightInd/>
        <w:snapToGrid/>
        <w:spacing w:line="480" w:lineRule="exact"/>
        <w:ind w:firstLine="480" w:firstLineChars="200"/>
        <w:textAlignment w:val="auto"/>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en-US" w:bidi="ar-SA"/>
        </w:rPr>
        <w:t>1.6 履行方式：</w:t>
      </w:r>
      <w:r>
        <w:rPr>
          <w:rFonts w:hint="eastAsia" w:ascii="方正仿宋_GB2312" w:hAnsi="方正仿宋_GB2312" w:eastAsia="方正仿宋_GB2312" w:cs="方正仿宋_GB2312"/>
          <w:sz w:val="24"/>
          <w:szCs w:val="22"/>
          <w:highlight w:val="none"/>
          <w:lang w:val="en-US" w:eastAsia="zh-CN" w:bidi="ar-SA"/>
        </w:rPr>
        <w:t>现场服务。</w:t>
      </w:r>
    </w:p>
    <w:p w14:paraId="0CD32C4B">
      <w:pPr>
        <w:pStyle w:val="5"/>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en-US" w:bidi="ar-SA"/>
        </w:rPr>
        <w:t>二、合同金额</w:t>
      </w:r>
      <w:bookmarkStart w:id="8" w:name="_GoBack"/>
      <w:bookmarkEnd w:id="8"/>
    </w:p>
    <w:p w14:paraId="5CCF5A89">
      <w:pPr>
        <w:pStyle w:val="5"/>
        <w:widowControl w:val="0"/>
        <w:kinsoku/>
        <w:wordWrap/>
        <w:overflowPunct/>
        <w:topLinePunct w:val="0"/>
        <w:autoSpaceDE/>
        <w:autoSpaceDN/>
        <w:bidi w:val="0"/>
        <w:adjustRightInd/>
        <w:snapToGrid/>
        <w:spacing w:line="480" w:lineRule="exact"/>
        <w:ind w:left="410" w:firstLine="480" w:firstLineChars="200"/>
        <w:textAlignment w:val="auto"/>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en-US" w:bidi="ar-SA"/>
        </w:rPr>
        <w:t xml:space="preserve">2.1 </w:t>
      </w:r>
      <w:r>
        <w:rPr>
          <w:rFonts w:hint="eastAsia" w:ascii="方正仿宋_GB2312" w:hAnsi="方正仿宋_GB2312" w:eastAsia="方正仿宋_GB2312" w:cs="方正仿宋_GB2312"/>
          <w:sz w:val="24"/>
          <w:szCs w:val="22"/>
          <w:highlight w:val="none"/>
          <w:lang w:val="en-US" w:eastAsia="zh-CN" w:bidi="ar-SA"/>
        </w:rPr>
        <w:t>单价合同：本合同约定纸型为60g8开单面纸型成品，</w:t>
      </w:r>
      <w:r>
        <w:rPr>
          <w:rFonts w:hint="eastAsia" w:ascii="方正仿宋_GB2312" w:hAnsi="方正仿宋_GB2312" w:eastAsia="方正仿宋_GB2312" w:cs="方正仿宋_GB2312"/>
          <w:sz w:val="24"/>
          <w:szCs w:val="22"/>
          <w:highlight w:val="none"/>
          <w:lang w:val="en-US" w:eastAsia="en-US" w:bidi="ar-SA"/>
        </w:rPr>
        <w:t>金额为（大写）：</w:t>
      </w:r>
      <w:r>
        <w:rPr>
          <w:rFonts w:hint="eastAsia" w:ascii="方正仿宋_GB2312" w:hAnsi="方正仿宋_GB2312" w:eastAsia="方正仿宋_GB2312" w:cs="方正仿宋_GB2312"/>
          <w:sz w:val="24"/>
          <w:szCs w:val="22"/>
          <w:highlight w:val="none"/>
          <w:lang w:val="en-US" w:eastAsia="zh-CN" w:bidi="ar-SA"/>
        </w:rPr>
        <w:t>每张按零点零贰柒元整结算，</w:t>
      </w:r>
      <w:r>
        <w:rPr>
          <w:rFonts w:hint="eastAsia" w:ascii="方正仿宋_GB2312" w:hAnsi="方正仿宋_GB2312" w:eastAsia="方正仿宋_GB2312" w:cs="方正仿宋_GB2312"/>
          <w:sz w:val="24"/>
          <w:szCs w:val="22"/>
          <w:highlight w:val="none"/>
          <w:lang w:val="en-US" w:eastAsia="en-US" w:bidi="ar-SA"/>
        </w:rPr>
        <w:t>（</w:t>
      </w:r>
      <w:r>
        <w:rPr>
          <w:rFonts w:hint="eastAsia" w:ascii="方正仿宋_GB2312" w:hAnsi="方正仿宋_GB2312" w:eastAsia="方正仿宋_GB2312" w:cs="方正仿宋_GB2312"/>
          <w:sz w:val="24"/>
          <w:szCs w:val="22"/>
          <w:highlight w:val="none"/>
          <w:lang w:val="en-US" w:eastAsia="zh-CN" w:bidi="ar-SA"/>
        </w:rPr>
        <w:t>0.027</w:t>
      </w:r>
      <w:r>
        <w:rPr>
          <w:rFonts w:hint="eastAsia" w:ascii="方正仿宋_GB2312" w:hAnsi="方正仿宋_GB2312" w:eastAsia="方正仿宋_GB2312" w:cs="方正仿宋_GB2312"/>
          <w:sz w:val="24"/>
          <w:szCs w:val="22"/>
          <w:highlight w:val="none"/>
          <w:lang w:val="en-US" w:eastAsia="en-US" w:bidi="ar-SA"/>
        </w:rPr>
        <w:t>元）人民币</w:t>
      </w:r>
      <w:r>
        <w:rPr>
          <w:rFonts w:hint="eastAsia" w:ascii="方正仿宋_GB2312" w:hAnsi="方正仿宋_GB2312" w:eastAsia="方正仿宋_GB2312" w:cs="方正仿宋_GB2312"/>
          <w:sz w:val="24"/>
          <w:szCs w:val="22"/>
          <w:highlight w:val="none"/>
          <w:lang w:val="en-US" w:eastAsia="zh-CN" w:bidi="ar-SA"/>
        </w:rPr>
        <w:t>；其他印刷成品纸型参照上海路初级中学油印室招标非常用纸型定价表进行结算；全年印刷总量根据学校实际使用量结算（备注：因本合同需在苏采云平台上进行签订，在中标价格输入时，系统默认保留2位小数，双方认同实际价格以中标价0.027元结算，系统默认价格不作为结算依据。）</w:t>
      </w:r>
    </w:p>
    <w:tbl>
      <w:tblPr>
        <w:tblStyle w:val="6"/>
        <w:tblW w:w="88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6"/>
        <w:gridCol w:w="2004"/>
        <w:gridCol w:w="1933"/>
        <w:gridCol w:w="1594"/>
        <w:gridCol w:w="2250"/>
      </w:tblGrid>
      <w:tr w14:paraId="47D39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837" w:type="dxa"/>
            <w:gridSpan w:val="5"/>
            <w:tcBorders>
              <w:top w:val="nil"/>
              <w:left w:val="nil"/>
              <w:bottom w:val="nil"/>
              <w:right w:val="nil"/>
            </w:tcBorders>
            <w:shd w:val="clear" w:color="auto" w:fill="auto"/>
            <w:noWrap w:val="0"/>
            <w:vAlign w:val="center"/>
          </w:tcPr>
          <w:p w14:paraId="579BDD87">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上海路初级中学油印室控制价及定价表</w:t>
            </w:r>
          </w:p>
        </w:tc>
      </w:tr>
      <w:tr w14:paraId="61162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96426">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类别</w:t>
            </w: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41ECD">
            <w:pPr>
              <w:jc w:val="center"/>
              <w:rPr>
                <w:rFonts w:hint="eastAsia" w:ascii="方正仿宋_GB2312" w:hAnsi="方正仿宋_GB2312" w:eastAsia="方正仿宋_GB2312" w:cs="方正仿宋_GB2312"/>
                <w:sz w:val="24"/>
                <w:szCs w:val="22"/>
                <w:highlight w:val="none"/>
                <w:lang w:val="en-US" w:eastAsia="zh-CN" w:bidi="ar-SA"/>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22185">
            <w:pPr>
              <w:keepNext w:val="0"/>
              <w:keepLines w:val="0"/>
              <w:widowControl/>
              <w:suppressLineNumbers w:val="0"/>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常用规格（以下为印刷后的成品）</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710AE">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价格</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5E9A5">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对应计价方式（元）</w:t>
            </w:r>
          </w:p>
        </w:tc>
      </w:tr>
      <w:tr w14:paraId="63BED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56" w:type="dxa"/>
            <w:vMerge w:val="restart"/>
            <w:tcBorders>
              <w:top w:val="single" w:color="000000" w:sz="4" w:space="0"/>
              <w:left w:val="single" w:color="000000" w:sz="4" w:space="0"/>
              <w:bottom w:val="nil"/>
              <w:right w:val="single" w:color="000000" w:sz="4" w:space="0"/>
            </w:tcBorders>
            <w:shd w:val="clear" w:color="auto" w:fill="auto"/>
            <w:noWrap w:val="0"/>
            <w:vAlign w:val="center"/>
          </w:tcPr>
          <w:p w14:paraId="485E98BC">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（讲义、告家长书等）</w:t>
            </w: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9D946">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报价纸型</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5BE0C">
            <w:pPr>
              <w:keepNext w:val="0"/>
              <w:keepLines w:val="0"/>
              <w:widowControl/>
              <w:suppressLineNumbers w:val="0"/>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60g8开单面</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E13F4">
            <w:pPr>
              <w:keepNext w:val="0"/>
              <w:keepLines w:val="0"/>
              <w:widowControl/>
              <w:suppressLineNumbers w:val="0"/>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0.027</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4DBAF">
            <w:pPr>
              <w:keepNext w:val="0"/>
              <w:keepLines w:val="0"/>
              <w:widowControl/>
              <w:suppressLineNumbers w:val="0"/>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x</w:t>
            </w:r>
          </w:p>
        </w:tc>
      </w:tr>
      <w:tr w14:paraId="2850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56" w:type="dxa"/>
            <w:vMerge w:val="continue"/>
            <w:tcBorders>
              <w:top w:val="single" w:color="000000" w:sz="4" w:space="0"/>
              <w:left w:val="single" w:color="000000" w:sz="4" w:space="0"/>
              <w:bottom w:val="nil"/>
              <w:right w:val="single" w:color="000000" w:sz="4" w:space="0"/>
            </w:tcBorders>
            <w:shd w:val="clear" w:color="auto" w:fill="auto"/>
            <w:noWrap w:val="0"/>
            <w:vAlign w:val="center"/>
          </w:tcPr>
          <w:p w14:paraId="2F985541">
            <w:pPr>
              <w:jc w:val="center"/>
              <w:rPr>
                <w:rFonts w:hint="eastAsia" w:ascii="方正仿宋_GB2312" w:hAnsi="方正仿宋_GB2312" w:eastAsia="方正仿宋_GB2312" w:cs="方正仿宋_GB2312"/>
                <w:sz w:val="24"/>
                <w:szCs w:val="22"/>
                <w:highlight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7E730">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非报价纸型</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D85BA">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60g8开双面</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38B8A">
            <w:pPr>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0.035</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FF748">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x+0.008</w:t>
            </w:r>
          </w:p>
        </w:tc>
      </w:tr>
      <w:tr w14:paraId="658F1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56" w:type="dxa"/>
            <w:vMerge w:val="continue"/>
            <w:tcBorders>
              <w:top w:val="single" w:color="000000" w:sz="4" w:space="0"/>
              <w:left w:val="single" w:color="000000" w:sz="4" w:space="0"/>
              <w:bottom w:val="nil"/>
              <w:right w:val="single" w:color="000000" w:sz="4" w:space="0"/>
            </w:tcBorders>
            <w:shd w:val="clear" w:color="auto" w:fill="auto"/>
            <w:noWrap w:val="0"/>
            <w:vAlign w:val="center"/>
          </w:tcPr>
          <w:p w14:paraId="55B425B2">
            <w:pPr>
              <w:jc w:val="center"/>
              <w:rPr>
                <w:rFonts w:hint="eastAsia" w:ascii="方正仿宋_GB2312" w:hAnsi="方正仿宋_GB2312" w:eastAsia="方正仿宋_GB2312" w:cs="方正仿宋_GB2312"/>
                <w:sz w:val="24"/>
                <w:szCs w:val="22"/>
                <w:highlight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2C567">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非报价纸型</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E95EF">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60g16开单面</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50D47">
            <w:pPr>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0.0135</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AA13C">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X/2</w:t>
            </w:r>
          </w:p>
        </w:tc>
      </w:tr>
      <w:tr w14:paraId="76263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56" w:type="dxa"/>
            <w:vMerge w:val="continue"/>
            <w:tcBorders>
              <w:top w:val="single" w:color="000000" w:sz="4" w:space="0"/>
              <w:left w:val="single" w:color="000000" w:sz="4" w:space="0"/>
              <w:bottom w:val="nil"/>
              <w:right w:val="single" w:color="000000" w:sz="4" w:space="0"/>
            </w:tcBorders>
            <w:shd w:val="clear" w:color="auto" w:fill="auto"/>
            <w:noWrap w:val="0"/>
            <w:vAlign w:val="center"/>
          </w:tcPr>
          <w:p w14:paraId="35984D41">
            <w:pPr>
              <w:jc w:val="center"/>
              <w:rPr>
                <w:rFonts w:hint="eastAsia" w:ascii="方正仿宋_GB2312" w:hAnsi="方正仿宋_GB2312" w:eastAsia="方正仿宋_GB2312" w:cs="方正仿宋_GB2312"/>
                <w:sz w:val="24"/>
                <w:szCs w:val="22"/>
                <w:highlight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22AB9">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非报价纸型</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28E07">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60g16开双面</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69E9D">
            <w:pPr>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0.0185</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2AE62">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(X+0.01)/2</w:t>
            </w:r>
          </w:p>
        </w:tc>
      </w:tr>
      <w:tr w14:paraId="4A82B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56" w:type="dxa"/>
            <w:vMerge w:val="continue"/>
            <w:tcBorders>
              <w:top w:val="single" w:color="000000" w:sz="4" w:space="0"/>
              <w:left w:val="single" w:color="000000" w:sz="4" w:space="0"/>
              <w:bottom w:val="nil"/>
              <w:right w:val="single" w:color="000000" w:sz="4" w:space="0"/>
            </w:tcBorders>
            <w:shd w:val="clear" w:color="auto" w:fill="auto"/>
            <w:noWrap w:val="0"/>
            <w:vAlign w:val="center"/>
          </w:tcPr>
          <w:p w14:paraId="15876F19">
            <w:pPr>
              <w:jc w:val="center"/>
              <w:rPr>
                <w:rFonts w:hint="eastAsia" w:ascii="方正仿宋_GB2312" w:hAnsi="方正仿宋_GB2312" w:eastAsia="方正仿宋_GB2312" w:cs="方正仿宋_GB2312"/>
                <w:sz w:val="24"/>
                <w:szCs w:val="22"/>
                <w:highlight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2A15A">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非报价纸型</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91FC7">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70gA4单面</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83D18">
            <w:pPr>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0.027</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6D1ED">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x</w:t>
            </w:r>
          </w:p>
        </w:tc>
      </w:tr>
      <w:tr w14:paraId="33400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56" w:type="dxa"/>
            <w:vMerge w:val="continue"/>
            <w:tcBorders>
              <w:top w:val="single" w:color="000000" w:sz="4" w:space="0"/>
              <w:left w:val="single" w:color="000000" w:sz="4" w:space="0"/>
              <w:bottom w:val="nil"/>
              <w:right w:val="single" w:color="000000" w:sz="4" w:space="0"/>
            </w:tcBorders>
            <w:shd w:val="clear" w:color="auto" w:fill="auto"/>
            <w:noWrap w:val="0"/>
            <w:vAlign w:val="center"/>
          </w:tcPr>
          <w:p w14:paraId="4E572F7F">
            <w:pPr>
              <w:jc w:val="center"/>
              <w:rPr>
                <w:rFonts w:hint="eastAsia" w:ascii="方正仿宋_GB2312" w:hAnsi="方正仿宋_GB2312" w:eastAsia="方正仿宋_GB2312" w:cs="方正仿宋_GB2312"/>
                <w:sz w:val="24"/>
                <w:szCs w:val="22"/>
                <w:highlight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253BF">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非报价纸型</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518A9">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70gA4双面</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2ACF4">
            <w:pPr>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0.032</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AD3A1">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X+0.005</w:t>
            </w:r>
          </w:p>
        </w:tc>
      </w:tr>
      <w:tr w14:paraId="10DB3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56" w:type="dxa"/>
            <w:vMerge w:val="continue"/>
            <w:tcBorders>
              <w:top w:val="single" w:color="000000" w:sz="4" w:space="0"/>
              <w:left w:val="single" w:color="000000" w:sz="4" w:space="0"/>
              <w:bottom w:val="nil"/>
              <w:right w:val="single" w:color="000000" w:sz="4" w:space="0"/>
            </w:tcBorders>
            <w:shd w:val="clear" w:color="auto" w:fill="auto"/>
            <w:noWrap w:val="0"/>
            <w:vAlign w:val="center"/>
          </w:tcPr>
          <w:p w14:paraId="5FAD4BB5">
            <w:pPr>
              <w:jc w:val="center"/>
              <w:rPr>
                <w:rFonts w:hint="eastAsia" w:ascii="方正仿宋_GB2312" w:hAnsi="方正仿宋_GB2312" w:eastAsia="方正仿宋_GB2312" w:cs="方正仿宋_GB2312"/>
                <w:sz w:val="24"/>
                <w:szCs w:val="22"/>
                <w:highlight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99343">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非报价纸型</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CC000">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70gA3单面</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C11B0">
            <w:pPr>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0.064</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6E59F">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（X+0.005）*2</w:t>
            </w:r>
          </w:p>
        </w:tc>
      </w:tr>
      <w:tr w14:paraId="71530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56" w:type="dxa"/>
            <w:vMerge w:val="continue"/>
            <w:tcBorders>
              <w:top w:val="single" w:color="000000" w:sz="4" w:space="0"/>
              <w:left w:val="single" w:color="000000" w:sz="4" w:space="0"/>
              <w:bottom w:val="nil"/>
              <w:right w:val="single" w:color="000000" w:sz="4" w:space="0"/>
            </w:tcBorders>
            <w:shd w:val="clear" w:color="auto" w:fill="auto"/>
            <w:noWrap w:val="0"/>
            <w:vAlign w:val="center"/>
          </w:tcPr>
          <w:p w14:paraId="56ADF69D">
            <w:pPr>
              <w:jc w:val="center"/>
              <w:rPr>
                <w:rFonts w:hint="eastAsia" w:ascii="方正仿宋_GB2312" w:hAnsi="方正仿宋_GB2312" w:eastAsia="方正仿宋_GB2312" w:cs="方正仿宋_GB2312"/>
                <w:sz w:val="24"/>
                <w:szCs w:val="22"/>
                <w:highlight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4A25D">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非报价纸型</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78D4F">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70gA3双面</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840CA">
            <w:pPr>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0.114</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DEE83">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（X+0.005）*2+0.05</w:t>
            </w:r>
          </w:p>
        </w:tc>
      </w:tr>
      <w:tr w14:paraId="4A095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56" w:type="dxa"/>
            <w:vMerge w:val="continue"/>
            <w:tcBorders>
              <w:top w:val="single" w:color="000000" w:sz="4" w:space="0"/>
              <w:left w:val="single" w:color="000000" w:sz="4" w:space="0"/>
              <w:bottom w:val="nil"/>
              <w:right w:val="single" w:color="000000" w:sz="4" w:space="0"/>
            </w:tcBorders>
            <w:shd w:val="clear" w:color="auto" w:fill="auto"/>
            <w:noWrap w:val="0"/>
            <w:vAlign w:val="center"/>
          </w:tcPr>
          <w:p w14:paraId="0F648D74">
            <w:pPr>
              <w:jc w:val="center"/>
              <w:rPr>
                <w:rFonts w:hint="eastAsia" w:ascii="方正仿宋_GB2312" w:hAnsi="方正仿宋_GB2312" w:eastAsia="方正仿宋_GB2312" w:cs="方正仿宋_GB2312"/>
                <w:sz w:val="24"/>
                <w:szCs w:val="22"/>
                <w:highlight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B4662">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非报价纸型</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418FD">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粉色16开单面</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2F646">
            <w:pPr>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0.047</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81867">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x+0.02</w:t>
            </w:r>
          </w:p>
        </w:tc>
      </w:tr>
      <w:tr w14:paraId="50055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56" w:type="dxa"/>
            <w:vMerge w:val="continue"/>
            <w:tcBorders>
              <w:top w:val="single" w:color="000000" w:sz="4" w:space="0"/>
              <w:left w:val="single" w:color="000000" w:sz="4" w:space="0"/>
              <w:bottom w:val="nil"/>
              <w:right w:val="single" w:color="000000" w:sz="4" w:space="0"/>
            </w:tcBorders>
            <w:shd w:val="clear" w:color="auto" w:fill="auto"/>
            <w:noWrap w:val="0"/>
            <w:vAlign w:val="center"/>
          </w:tcPr>
          <w:p w14:paraId="72B52A13">
            <w:pPr>
              <w:jc w:val="center"/>
              <w:rPr>
                <w:rFonts w:hint="eastAsia" w:ascii="方正仿宋_GB2312" w:hAnsi="方正仿宋_GB2312" w:eastAsia="方正仿宋_GB2312" w:cs="方正仿宋_GB2312"/>
                <w:sz w:val="24"/>
                <w:szCs w:val="22"/>
                <w:highlight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D3C1B">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非报价纸型</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92753">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粉色16开双面</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F2B71">
            <w:pPr>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0.097</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98247">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x+0.07</w:t>
            </w:r>
          </w:p>
        </w:tc>
      </w:tr>
      <w:tr w14:paraId="1171D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56" w:type="dxa"/>
            <w:vMerge w:val="continue"/>
            <w:tcBorders>
              <w:top w:val="single" w:color="000000" w:sz="4" w:space="0"/>
              <w:left w:val="single" w:color="000000" w:sz="4" w:space="0"/>
              <w:bottom w:val="nil"/>
              <w:right w:val="single" w:color="000000" w:sz="4" w:space="0"/>
            </w:tcBorders>
            <w:shd w:val="clear" w:color="auto" w:fill="auto"/>
            <w:noWrap w:val="0"/>
            <w:vAlign w:val="center"/>
          </w:tcPr>
          <w:p w14:paraId="6958ACAD">
            <w:pPr>
              <w:jc w:val="center"/>
              <w:rPr>
                <w:rFonts w:hint="eastAsia" w:ascii="方正仿宋_GB2312" w:hAnsi="方正仿宋_GB2312" w:eastAsia="方正仿宋_GB2312" w:cs="方正仿宋_GB2312"/>
                <w:sz w:val="24"/>
                <w:szCs w:val="22"/>
                <w:highlight w:val="none"/>
                <w:lang w:val="en-US" w:eastAsia="zh-CN" w:bidi="ar-SA"/>
              </w:rPr>
            </w:pP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0D69A">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非报价纸型</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8CC26">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粉色8开单面</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B3436">
            <w:pPr>
              <w:jc w:val="center"/>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0.117</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5DE11">
            <w:pPr>
              <w:keepNext w:val="0"/>
              <w:keepLines w:val="0"/>
              <w:widowControl/>
              <w:suppressLineNumbers w:val="0"/>
              <w:jc w:val="center"/>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x+0.09</w:t>
            </w:r>
          </w:p>
        </w:tc>
      </w:tr>
    </w:tbl>
    <w:p w14:paraId="4A03AE09">
      <w:pPr>
        <w:pStyle w:val="5"/>
        <w:widowControl w:val="0"/>
        <w:kinsoku/>
        <w:wordWrap/>
        <w:overflowPunct/>
        <w:topLinePunct w:val="0"/>
        <w:autoSpaceDE/>
        <w:autoSpaceDN/>
        <w:bidi w:val="0"/>
        <w:adjustRightInd/>
        <w:snapToGrid/>
        <w:spacing w:line="480" w:lineRule="exact"/>
        <w:textAlignment w:val="auto"/>
        <w:rPr>
          <w:rFonts w:hint="default" w:ascii="方正仿宋_GB2312" w:hAnsi="方正仿宋_GB2312" w:eastAsia="方正仿宋_GB2312" w:cs="方正仿宋_GB2312"/>
          <w:sz w:val="24"/>
          <w:szCs w:val="22"/>
          <w:highlight w:val="none"/>
          <w:lang w:val="en-US" w:eastAsia="zh-CN" w:bidi="ar-SA"/>
        </w:rPr>
      </w:pPr>
    </w:p>
    <w:p w14:paraId="370A8752">
      <w:pPr>
        <w:pStyle w:val="5"/>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en-US" w:bidi="ar-SA"/>
        </w:rPr>
        <w:t>三、技术资料</w:t>
      </w:r>
    </w:p>
    <w:p w14:paraId="1BDDF0B8">
      <w:pPr>
        <w:pStyle w:val="5"/>
        <w:widowControl w:val="0"/>
        <w:kinsoku/>
        <w:wordWrap/>
        <w:overflowPunct/>
        <w:topLinePunct w:val="0"/>
        <w:autoSpaceDE/>
        <w:autoSpaceDN/>
        <w:bidi w:val="0"/>
        <w:adjustRightInd/>
        <w:snapToGrid/>
        <w:spacing w:line="480" w:lineRule="exact"/>
        <w:ind w:left="410"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3.1乙方应按招标文件规定的时间向甲方提供服务（包含与服务相关的货物）的有关技术资料。</w:t>
      </w:r>
    </w:p>
    <w:p w14:paraId="424123F9">
      <w:pPr>
        <w:pStyle w:val="5"/>
        <w:widowControl w:val="0"/>
        <w:kinsoku/>
        <w:wordWrap/>
        <w:overflowPunct/>
        <w:topLinePunct w:val="0"/>
        <w:autoSpaceDE/>
        <w:autoSpaceDN/>
        <w:bidi w:val="0"/>
        <w:adjustRightInd/>
        <w:snapToGrid/>
        <w:spacing w:line="480" w:lineRule="exact"/>
        <w:ind w:left="410"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67329DDA">
      <w:pPr>
        <w:pStyle w:val="5"/>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en-US" w:bidi="ar-SA"/>
        </w:rPr>
        <w:t>四、知识产权</w:t>
      </w:r>
    </w:p>
    <w:p w14:paraId="4B9EE1C2">
      <w:pPr>
        <w:pStyle w:val="5"/>
        <w:widowControl w:val="0"/>
        <w:kinsoku/>
        <w:wordWrap/>
        <w:overflowPunct/>
        <w:topLinePunct w:val="0"/>
        <w:autoSpaceDE/>
        <w:autoSpaceDN/>
        <w:bidi w:val="0"/>
        <w:adjustRightInd/>
        <w:snapToGrid/>
        <w:spacing w:line="480" w:lineRule="exact"/>
        <w:ind w:left="408"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4.1乙方应保证甲方在使用、接受本合同服务（包含与服务相关的货物）或其任何一部分时不受第三方提出侵犯其专利权、版权、商标权和工业设计权等知识产权的起诉。一旦出现侵权，由乙方负全部责任。</w:t>
      </w:r>
    </w:p>
    <w:p w14:paraId="189F0DE9">
      <w:pPr>
        <w:pStyle w:val="5"/>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en-US" w:bidi="ar-SA"/>
        </w:rPr>
        <w:t>五、产权担保</w:t>
      </w:r>
    </w:p>
    <w:p w14:paraId="63886885">
      <w:pPr>
        <w:pStyle w:val="5"/>
        <w:widowControl w:val="0"/>
        <w:kinsoku/>
        <w:wordWrap/>
        <w:overflowPunct/>
        <w:topLinePunct w:val="0"/>
        <w:autoSpaceDE/>
        <w:autoSpaceDN/>
        <w:bidi w:val="0"/>
        <w:adjustRightInd/>
        <w:snapToGrid/>
        <w:spacing w:line="480" w:lineRule="exact"/>
        <w:ind w:left="408" w:firstLine="480" w:firstLineChars="200"/>
        <w:textAlignment w:val="auto"/>
        <w:rPr>
          <w:rFonts w:hint="eastAsia" w:ascii="方正仿宋_GB2312" w:hAnsi="方正仿宋_GB2312" w:eastAsia="方正仿宋_GB2312" w:cs="方正仿宋_GB2312"/>
          <w:sz w:val="24"/>
          <w:szCs w:val="22"/>
          <w:highlight w:val="none"/>
          <w:lang w:val="zh-CN" w:eastAsia="en-US" w:bidi="ar-SA"/>
        </w:rPr>
      </w:pPr>
      <w:r>
        <w:rPr>
          <w:rFonts w:hint="eastAsia" w:ascii="方正仿宋_GB2312" w:hAnsi="方正仿宋_GB2312" w:eastAsia="方正仿宋_GB2312" w:cs="方正仿宋_GB2312"/>
          <w:sz w:val="24"/>
          <w:szCs w:val="22"/>
          <w:highlight w:val="none"/>
          <w:lang w:val="zh-CN" w:eastAsia="en-US" w:bidi="ar-SA"/>
        </w:rPr>
        <w:t>5.1 乙方保证所交付的服务（包含与服务相关的货物）的所有权完全属于乙方且无任何抵押、查封等产权瑕疵。</w:t>
      </w:r>
    </w:p>
    <w:p w14:paraId="65232FDA">
      <w:pPr>
        <w:pStyle w:val="5"/>
        <w:widowControl w:val="0"/>
        <w:kinsoku/>
        <w:wordWrap/>
        <w:overflowPunct/>
        <w:topLinePunct w:val="0"/>
        <w:autoSpaceDE/>
        <w:autoSpaceDN/>
        <w:bidi w:val="0"/>
        <w:adjustRightInd/>
        <w:snapToGrid/>
        <w:spacing w:line="480" w:lineRule="exact"/>
        <w:ind w:left="410"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en-US" w:bidi="ar-SA"/>
        </w:rPr>
        <w:t>六、履约保证金</w:t>
      </w:r>
    </w:p>
    <w:p w14:paraId="395FC657">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2312" w:hAnsi="方正仿宋_GB2312" w:eastAsia="方正仿宋_GB2312" w:cs="方正仿宋_GB2312"/>
          <w:color w:val="000000"/>
          <w:sz w:val="24"/>
          <w:highlight w:val="none"/>
        </w:rPr>
      </w:pPr>
      <w:r>
        <w:rPr>
          <w:rFonts w:hint="eastAsia" w:ascii="方正仿宋_GB2312" w:hAnsi="方正仿宋_GB2312" w:eastAsia="方正仿宋_GB2312" w:cs="方正仿宋_GB2312"/>
          <w:color w:val="000000"/>
          <w:sz w:val="24"/>
          <w:highlight w:val="none"/>
        </w:rPr>
        <w:t>履约保证金应在采购合同签订前提交，履约保证金的金额：</w:t>
      </w:r>
      <w:r>
        <w:rPr>
          <w:rFonts w:hint="eastAsia" w:ascii="方正仿宋_GB2312" w:hAnsi="方正仿宋_GB2312" w:eastAsia="方正仿宋_GB2312" w:cs="方正仿宋_GB2312"/>
          <w:color w:val="000000"/>
          <w:sz w:val="24"/>
          <w:highlight w:val="none"/>
          <w:lang w:val="en-US" w:eastAsia="zh-CN"/>
        </w:rPr>
        <w:t>1万元</w:t>
      </w:r>
      <w:r>
        <w:rPr>
          <w:rFonts w:hint="eastAsia" w:ascii="方正仿宋_GB2312" w:hAnsi="方正仿宋_GB2312" w:eastAsia="方正仿宋_GB2312" w:cs="方正仿宋_GB2312"/>
          <w:color w:val="000000"/>
          <w:sz w:val="24"/>
          <w:highlight w:val="none"/>
        </w:rPr>
        <w:t>（使用江苏政府采购电子履约保函（保险）代替缴纳履约保证金，按采购合同总价的</w:t>
      </w:r>
      <w:r>
        <w:rPr>
          <w:rFonts w:hint="eastAsia" w:ascii="方正仿宋_GB2312" w:hAnsi="方正仿宋_GB2312" w:eastAsia="方正仿宋_GB2312" w:cs="方正仿宋_GB2312"/>
          <w:color w:val="000000"/>
          <w:sz w:val="24"/>
          <w:highlight w:val="none"/>
          <w:lang w:val="en-US" w:eastAsia="zh-CN"/>
        </w:rPr>
        <w:t>6</w:t>
      </w:r>
      <w:r>
        <w:rPr>
          <w:rFonts w:hint="eastAsia" w:ascii="方正仿宋_GB2312" w:hAnsi="方正仿宋_GB2312" w:eastAsia="方正仿宋_GB2312" w:cs="方正仿宋_GB2312"/>
          <w:color w:val="000000"/>
          <w:sz w:val="24"/>
          <w:highlight w:val="none"/>
        </w:rPr>
        <w:t>%）计取。除银行电汇、网上银行、数字人民币外，供应商还可选用银行保函、担保公司的保证担保或保险公司的保证保险等多种形式向采购人缴纳；</w:t>
      </w:r>
    </w:p>
    <w:p w14:paraId="3BAA1D6D">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2312" w:hAnsi="方正仿宋_GB2312" w:eastAsia="方正仿宋_GB2312" w:cs="方正仿宋_GB2312"/>
          <w:color w:val="000000"/>
          <w:sz w:val="24"/>
          <w:highlight w:val="none"/>
          <w:lang w:val="zh-CN"/>
        </w:rPr>
      </w:pPr>
      <w:r>
        <w:rPr>
          <w:rFonts w:hint="eastAsia" w:ascii="方正仿宋_GB2312" w:hAnsi="方正仿宋_GB2312" w:eastAsia="方正仿宋_GB2312" w:cs="方正仿宋_GB2312"/>
          <w:color w:val="000000"/>
          <w:sz w:val="24"/>
          <w:highlight w:val="none"/>
          <w:lang w:val="zh-CN"/>
        </w:rPr>
        <w:t>履约保证金退还的方式：以银行电汇、网上银行、数字人民币形式缴纳履约保证金的，退回至投标人存款账户或投标人数字人民币账户；以保函、担保、保险等形式缴纳履约保证金的，在保函、担保、保险约定的保证期限届满之日起自行失效；</w:t>
      </w:r>
    </w:p>
    <w:p w14:paraId="1A3F39B4">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2312" w:hAnsi="方正仿宋_GB2312" w:eastAsia="方正仿宋_GB2312" w:cs="方正仿宋_GB2312"/>
          <w:color w:val="000000"/>
          <w:sz w:val="24"/>
          <w:highlight w:val="none"/>
        </w:rPr>
      </w:pPr>
      <w:r>
        <w:rPr>
          <w:rFonts w:hint="eastAsia" w:ascii="方正仿宋_GB2312" w:hAnsi="方正仿宋_GB2312" w:eastAsia="方正仿宋_GB2312" w:cs="方正仿宋_GB2312"/>
          <w:color w:val="000000"/>
          <w:sz w:val="24"/>
          <w:highlight w:val="none"/>
        </w:rPr>
        <w:t xml:space="preserve">履约保证金退还的条件：按以下第 </w:t>
      </w:r>
      <w:r>
        <w:rPr>
          <w:rFonts w:hint="eastAsia" w:ascii="方正仿宋_GB2312" w:hAnsi="方正仿宋_GB2312" w:eastAsia="方正仿宋_GB2312" w:cs="方正仿宋_GB2312"/>
          <w:color w:val="000000"/>
          <w:sz w:val="24"/>
          <w:highlight w:val="none"/>
          <w:lang w:val="en-US" w:eastAsia="zh-CN"/>
        </w:rPr>
        <w:t>b</w:t>
      </w:r>
      <w:r>
        <w:rPr>
          <w:rFonts w:hint="eastAsia" w:ascii="方正仿宋_GB2312" w:hAnsi="方正仿宋_GB2312" w:eastAsia="方正仿宋_GB2312" w:cs="方正仿宋_GB2312"/>
          <w:color w:val="000000"/>
          <w:sz w:val="24"/>
          <w:highlight w:val="none"/>
        </w:rPr>
        <w:t xml:space="preserve"> 种方式实行：</w:t>
      </w:r>
    </w:p>
    <w:p w14:paraId="670C291B">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2312" w:hAnsi="方正仿宋_GB2312" w:eastAsia="方正仿宋_GB2312" w:cs="方正仿宋_GB2312"/>
          <w:color w:val="000000"/>
          <w:sz w:val="24"/>
          <w:highlight w:val="none"/>
        </w:rPr>
      </w:pPr>
      <w:r>
        <w:rPr>
          <w:rFonts w:hint="eastAsia" w:ascii="方正仿宋_GB2312" w:hAnsi="方正仿宋_GB2312" w:eastAsia="方正仿宋_GB2312" w:cs="方正仿宋_GB2312"/>
          <w:color w:val="000000"/>
          <w:sz w:val="24"/>
          <w:highlight w:val="none"/>
        </w:rPr>
        <w:t>a、货物类项目，项目验收合格，出具验收报告及履约保证金收据申请退付；</w:t>
      </w:r>
    </w:p>
    <w:p w14:paraId="4B8AC5BC">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2312" w:hAnsi="方正仿宋_GB2312" w:eastAsia="方正仿宋_GB2312" w:cs="方正仿宋_GB2312"/>
          <w:color w:val="000000"/>
          <w:sz w:val="24"/>
          <w:highlight w:val="none"/>
        </w:rPr>
      </w:pPr>
      <w:r>
        <w:rPr>
          <w:rFonts w:hint="eastAsia" w:ascii="方正仿宋_GB2312" w:hAnsi="方正仿宋_GB2312" w:eastAsia="方正仿宋_GB2312" w:cs="方正仿宋_GB2312"/>
          <w:color w:val="000000"/>
          <w:sz w:val="24"/>
          <w:highlight w:val="none"/>
        </w:rPr>
        <w:t>b、服务类项目，项目履约期满评价合格，出具履约评价报告及履约保证金收据申请退付；</w:t>
      </w:r>
    </w:p>
    <w:p w14:paraId="14188108">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2312" w:hAnsi="方正仿宋_GB2312" w:eastAsia="方正仿宋_GB2312" w:cs="方正仿宋_GB2312"/>
          <w:color w:val="000000"/>
          <w:sz w:val="24"/>
          <w:highlight w:val="none"/>
        </w:rPr>
      </w:pPr>
      <w:r>
        <w:rPr>
          <w:rFonts w:hint="eastAsia" w:ascii="方正仿宋_GB2312" w:hAnsi="方正仿宋_GB2312" w:eastAsia="方正仿宋_GB2312" w:cs="方正仿宋_GB2312"/>
          <w:color w:val="000000"/>
          <w:sz w:val="24"/>
          <w:highlight w:val="none"/>
        </w:rPr>
        <w:t>c、工程类项目，项目完工验收合格，出具完工证明及履约保证金收据申请退付；</w:t>
      </w:r>
    </w:p>
    <w:p w14:paraId="7C120EAE">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2312" w:hAnsi="方正仿宋_GB2312" w:eastAsia="方正仿宋_GB2312" w:cs="方正仿宋_GB2312"/>
          <w:color w:val="000000"/>
          <w:sz w:val="24"/>
          <w:highlight w:val="none"/>
          <w:lang w:val="zh-CN"/>
        </w:rPr>
      </w:pPr>
      <w:r>
        <w:rPr>
          <w:rFonts w:hint="eastAsia" w:ascii="方正仿宋_GB2312" w:hAnsi="方正仿宋_GB2312" w:eastAsia="方正仿宋_GB2312" w:cs="方正仿宋_GB2312"/>
          <w:color w:val="000000"/>
          <w:sz w:val="24"/>
          <w:highlight w:val="none"/>
          <w:lang w:val="zh-CN"/>
        </w:rPr>
        <w:t>履约保证金退还时间：采购单位收到投标人退付申请后5个工作日内退还；</w:t>
      </w:r>
    </w:p>
    <w:p w14:paraId="75C0D306">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2312" w:hAnsi="方正仿宋_GB2312" w:eastAsia="方正仿宋_GB2312" w:cs="方正仿宋_GB2312"/>
          <w:color w:val="000000"/>
          <w:sz w:val="24"/>
          <w:highlight w:val="none"/>
          <w:lang w:val="zh-CN"/>
        </w:rPr>
      </w:pPr>
      <w:r>
        <w:rPr>
          <w:rFonts w:hint="eastAsia" w:ascii="方正仿宋_GB2312" w:hAnsi="方正仿宋_GB2312" w:eastAsia="方正仿宋_GB2312" w:cs="方正仿宋_GB2312"/>
          <w:color w:val="000000"/>
          <w:sz w:val="24"/>
          <w:highlight w:val="none"/>
          <w:lang w:val="zh-CN"/>
        </w:rPr>
        <w:t>履约保证金不予退还情形：除不可抗力外，投标人不履行与采购人订立的采购合同的，履约保证金不予退还，给采购人造成的损失超过履约保证金数额的，还应当对超过部分予以赔偿；</w:t>
      </w:r>
    </w:p>
    <w:p w14:paraId="397D1308">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color w:val="000000"/>
          <w:sz w:val="24"/>
          <w:highlight w:val="none"/>
          <w:lang w:val="zh-CN"/>
        </w:rPr>
        <w:t>逾期退还履约保证金的违约责任：除应当退还履约保证金外，还应当按中国人民银行同期贷款基准利率上浮 20％后的利率支付超期资金占用费，但因投标人自身原因导致无法及时退还的除外。</w:t>
      </w:r>
    </w:p>
    <w:p w14:paraId="5232968A">
      <w:pPr>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en-US" w:bidi="ar-SA"/>
        </w:rPr>
        <w:t>七、合同转包或分包</w:t>
      </w:r>
    </w:p>
    <w:p w14:paraId="6C84B679">
      <w:pPr>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7.1乙方不得将合同标的转包给他人履行。</w:t>
      </w:r>
    </w:p>
    <w:p w14:paraId="076F4169">
      <w:pPr>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7.2乙方不得将合同标的分包给他人履行。或乙方应当按照投标文件中提供的分包意向协议履行合同。</w:t>
      </w:r>
    </w:p>
    <w:p w14:paraId="428FE433">
      <w:pPr>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7.3乙方如有转包或未经甲方同意的分包行为，甲方有权解除合同。</w:t>
      </w:r>
    </w:p>
    <w:p w14:paraId="461F5CBF">
      <w:pPr>
        <w:pStyle w:val="5"/>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en-US" w:bidi="ar-SA"/>
        </w:rPr>
        <w:t>八、合同款项支付</w:t>
      </w:r>
    </w:p>
    <w:p w14:paraId="2819212E">
      <w:pPr>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进度款：根据油印服务实际发生量计算按月支付，每月10号前经教务处审核签字并履行有关报批手续开具有效完税发票后到财务部门结算账目。</w:t>
      </w:r>
    </w:p>
    <w:p w14:paraId="116DE52D">
      <w:pPr>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zh-CN" w:bidi="ar-SA"/>
        </w:rPr>
        <w:t>九</w:t>
      </w:r>
      <w:r>
        <w:rPr>
          <w:rFonts w:hint="eastAsia" w:ascii="方正仿宋_GB2312" w:hAnsi="方正仿宋_GB2312" w:eastAsia="方正仿宋_GB2312" w:cs="方正仿宋_GB2312"/>
          <w:b/>
          <w:bCs/>
          <w:sz w:val="24"/>
          <w:szCs w:val="22"/>
          <w:highlight w:val="none"/>
          <w:lang w:val="en-US" w:eastAsia="en-US" w:bidi="ar-SA"/>
        </w:rPr>
        <w:t>、落实绿色数据中心政府采购需求标准</w:t>
      </w:r>
    </w:p>
    <w:p w14:paraId="265BBBCE">
      <w:pPr>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绿色</w:t>
      </w:r>
      <w:bookmarkStart w:id="3" w:name="OLE_LINK10"/>
      <w:r>
        <w:rPr>
          <w:rFonts w:hint="eastAsia" w:ascii="方正仿宋_GB2312" w:hAnsi="方正仿宋_GB2312" w:eastAsia="方正仿宋_GB2312" w:cs="方正仿宋_GB2312"/>
          <w:sz w:val="24"/>
          <w:szCs w:val="22"/>
          <w:highlight w:val="none"/>
          <w:lang w:val="en-US" w:eastAsia="en-US" w:bidi="ar-SA"/>
        </w:rPr>
        <w:t>数据中心</w:t>
      </w:r>
      <w:bookmarkEnd w:id="3"/>
      <w:r>
        <w:rPr>
          <w:rFonts w:hint="eastAsia" w:ascii="方正仿宋_GB2312" w:hAnsi="方正仿宋_GB2312" w:eastAsia="方正仿宋_GB2312" w:cs="方正仿宋_GB2312"/>
          <w:sz w:val="24"/>
          <w:szCs w:val="22"/>
          <w:highlight w:val="none"/>
          <w:lang w:val="en-US" w:eastAsia="en-US" w:bidi="ar-SA"/>
        </w:rPr>
        <w:t>需执行《财政部 生态环境部 工业和信息化部关于印发 《绿色数据中心政</w:t>
      </w:r>
      <w:bookmarkStart w:id="4" w:name="OLE_LINK13"/>
      <w:r>
        <w:rPr>
          <w:rFonts w:hint="eastAsia" w:ascii="方正仿宋_GB2312" w:hAnsi="方正仿宋_GB2312" w:eastAsia="方正仿宋_GB2312" w:cs="方正仿宋_GB2312"/>
          <w:sz w:val="24"/>
          <w:szCs w:val="22"/>
          <w:highlight w:val="none"/>
          <w:lang w:val="en-US" w:eastAsia="en-US" w:bidi="ar-SA"/>
        </w:rPr>
        <w:t>府采购</w:t>
      </w:r>
      <w:bookmarkEnd w:id="4"/>
      <w:r>
        <w:rPr>
          <w:rFonts w:hint="eastAsia" w:ascii="方正仿宋_GB2312" w:hAnsi="方正仿宋_GB2312" w:eastAsia="方正仿宋_GB2312" w:cs="方正仿宋_GB2312"/>
          <w:sz w:val="24"/>
          <w:szCs w:val="22"/>
          <w:highlight w:val="none"/>
          <w:lang w:val="en-US" w:eastAsia="en-US" w:bidi="ar-SA"/>
        </w:rPr>
        <w:t>需求</w:t>
      </w:r>
      <w:bookmarkStart w:id="5" w:name="OLE_LINK12"/>
      <w:r>
        <w:rPr>
          <w:rFonts w:hint="eastAsia" w:ascii="方正仿宋_GB2312" w:hAnsi="方正仿宋_GB2312" w:eastAsia="方正仿宋_GB2312" w:cs="方正仿宋_GB2312"/>
          <w:sz w:val="24"/>
          <w:szCs w:val="22"/>
          <w:highlight w:val="none"/>
          <w:lang w:val="en-US" w:eastAsia="en-US" w:bidi="ar-SA"/>
        </w:rPr>
        <w:t>标推</w:t>
      </w:r>
      <w:bookmarkEnd w:id="5"/>
      <w:r>
        <w:rPr>
          <w:rFonts w:hint="eastAsia" w:ascii="方正仿宋_GB2312" w:hAnsi="方正仿宋_GB2312" w:eastAsia="方正仿宋_GB2312" w:cs="方正仿宋_GB2312"/>
          <w:sz w:val="24"/>
          <w:szCs w:val="22"/>
          <w:highlight w:val="none"/>
          <w:lang w:val="en-US" w:eastAsia="en-US" w:bidi="ar-SA"/>
        </w:rPr>
        <w:t>(试行)》的通知》(财库(2023〕7号)的要求</w:t>
      </w:r>
      <w:r>
        <w:rPr>
          <w:rFonts w:hint="eastAsia" w:ascii="方正仿宋_GB2312" w:hAnsi="方正仿宋_GB2312" w:eastAsia="方正仿宋_GB2312" w:cs="方正仿宋_GB2312"/>
          <w:sz w:val="24"/>
          <w:szCs w:val="22"/>
          <w:highlight w:val="none"/>
          <w:lang w:val="en-US" w:eastAsia="zh-CN" w:bidi="ar-SA"/>
        </w:rPr>
        <w:t>，</w:t>
      </w:r>
      <w:bookmarkStart w:id="6" w:name="OLE_LINK11"/>
      <w:r>
        <w:rPr>
          <w:rFonts w:hint="eastAsia" w:ascii="方正仿宋_GB2312" w:hAnsi="方正仿宋_GB2312" w:eastAsia="方正仿宋_GB2312" w:cs="方正仿宋_GB2312"/>
          <w:sz w:val="24"/>
          <w:szCs w:val="22"/>
          <w:highlight w:val="none"/>
          <w:lang w:val="en-US" w:eastAsia="zh-CN" w:bidi="ar-SA"/>
        </w:rPr>
        <w:t xml:space="preserve">如涉及绿色数据中心，投标人应当提供符合需求标准的产品 </w:t>
      </w:r>
      <w:bookmarkEnd w:id="6"/>
      <w:r>
        <w:rPr>
          <w:rFonts w:hint="eastAsia" w:ascii="方正仿宋_GB2312" w:hAnsi="方正仿宋_GB2312" w:eastAsia="方正仿宋_GB2312" w:cs="方正仿宋_GB2312"/>
          <w:sz w:val="24"/>
          <w:szCs w:val="22"/>
          <w:highlight w:val="none"/>
          <w:lang w:val="en-US" w:eastAsia="en-US" w:bidi="ar-SA"/>
        </w:rPr>
        <w:t>。在履约验收时按照本条款执行，违反本约定的对照合同违约条款追究违约责任。</w:t>
      </w:r>
    </w:p>
    <w:p w14:paraId="79BC690D">
      <w:pPr>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zh-CN" w:bidi="ar-SA"/>
        </w:rPr>
        <w:t>十</w:t>
      </w:r>
      <w:r>
        <w:rPr>
          <w:rFonts w:hint="eastAsia" w:ascii="方正仿宋_GB2312" w:hAnsi="方正仿宋_GB2312" w:eastAsia="方正仿宋_GB2312" w:cs="方正仿宋_GB2312"/>
          <w:b/>
          <w:bCs/>
          <w:sz w:val="24"/>
          <w:szCs w:val="22"/>
          <w:highlight w:val="none"/>
          <w:lang w:val="en-US" w:eastAsia="en-US" w:bidi="ar-SA"/>
        </w:rPr>
        <w:t>、税费</w:t>
      </w:r>
    </w:p>
    <w:p w14:paraId="1453A952">
      <w:pPr>
        <w:widowControl w:val="0"/>
        <w:kinsoku/>
        <w:wordWrap/>
        <w:overflowPunct/>
        <w:topLinePunct w:val="0"/>
        <w:autoSpaceDE/>
        <w:autoSpaceDN/>
        <w:bidi w:val="0"/>
        <w:adjustRightInd/>
        <w:snapToGrid/>
        <w:spacing w:line="480" w:lineRule="exact"/>
        <w:ind w:firstLine="720" w:firstLineChars="3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本合同执行中相关的一切税费均由乙方负担。</w:t>
      </w:r>
    </w:p>
    <w:p w14:paraId="43B00D0A">
      <w:pPr>
        <w:pStyle w:val="5"/>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en-US" w:bidi="ar-SA"/>
        </w:rPr>
        <w:t>十</w:t>
      </w:r>
      <w:r>
        <w:rPr>
          <w:rFonts w:hint="eastAsia" w:ascii="方正仿宋_GB2312" w:hAnsi="方正仿宋_GB2312" w:eastAsia="方正仿宋_GB2312" w:cs="方正仿宋_GB2312"/>
          <w:b/>
          <w:bCs/>
          <w:sz w:val="24"/>
          <w:szCs w:val="22"/>
          <w:highlight w:val="none"/>
          <w:lang w:val="en-US" w:eastAsia="zh-CN" w:bidi="ar-SA"/>
        </w:rPr>
        <w:t>一</w:t>
      </w:r>
      <w:r>
        <w:rPr>
          <w:rFonts w:hint="eastAsia" w:ascii="方正仿宋_GB2312" w:hAnsi="方正仿宋_GB2312" w:eastAsia="方正仿宋_GB2312" w:cs="方正仿宋_GB2312"/>
          <w:b/>
          <w:bCs/>
          <w:sz w:val="24"/>
          <w:szCs w:val="22"/>
          <w:highlight w:val="none"/>
          <w:lang w:val="en-US" w:eastAsia="en-US" w:bidi="ar-SA"/>
        </w:rPr>
        <w:t>、项目验收</w:t>
      </w:r>
    </w:p>
    <w:p w14:paraId="3117A4E5">
      <w:pPr>
        <w:pStyle w:val="5"/>
        <w:widowControl w:val="0"/>
        <w:kinsoku/>
        <w:wordWrap/>
        <w:overflowPunct/>
        <w:topLinePunct w:val="0"/>
        <w:autoSpaceDE/>
        <w:autoSpaceDN/>
        <w:bidi w:val="0"/>
        <w:adjustRightInd/>
        <w:snapToGrid/>
        <w:spacing w:line="480" w:lineRule="exact"/>
        <w:ind w:left="480"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1</w:t>
      </w:r>
      <w:r>
        <w:rPr>
          <w:rFonts w:hint="eastAsia" w:ascii="方正仿宋_GB2312" w:hAnsi="方正仿宋_GB2312" w:eastAsia="方正仿宋_GB2312" w:cs="方正仿宋_GB2312"/>
          <w:sz w:val="24"/>
          <w:szCs w:val="22"/>
          <w:highlight w:val="none"/>
          <w:lang w:val="en-US" w:eastAsia="en-US" w:bidi="ar-SA"/>
        </w:rPr>
        <w:t>.1 甲方依法组织履约验收工作。</w:t>
      </w:r>
      <w:bookmarkStart w:id="7" w:name="OLE_LINK14"/>
    </w:p>
    <w:p w14:paraId="57CD6847">
      <w:pPr>
        <w:pStyle w:val="5"/>
        <w:widowControl w:val="0"/>
        <w:kinsoku/>
        <w:wordWrap/>
        <w:overflowPunct/>
        <w:topLinePunct w:val="0"/>
        <w:autoSpaceDE/>
        <w:autoSpaceDN/>
        <w:bidi w:val="0"/>
        <w:adjustRightInd/>
        <w:snapToGrid/>
        <w:spacing w:line="480" w:lineRule="exact"/>
        <w:ind w:left="480"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1</w:t>
      </w:r>
      <w:r>
        <w:rPr>
          <w:rFonts w:hint="eastAsia" w:ascii="方正仿宋_GB2312" w:hAnsi="方正仿宋_GB2312" w:eastAsia="方正仿宋_GB2312" w:cs="方正仿宋_GB2312"/>
          <w:sz w:val="24"/>
          <w:szCs w:val="22"/>
          <w:highlight w:val="none"/>
          <w:lang w:val="en-US" w:eastAsia="en-US" w:bidi="ar-SA"/>
        </w:rPr>
        <w:t>.2 甲方在组织履约验收前，将根据</w:t>
      </w:r>
      <w:bookmarkEnd w:id="7"/>
      <w:r>
        <w:rPr>
          <w:rFonts w:hint="eastAsia" w:ascii="方正仿宋_GB2312" w:hAnsi="方正仿宋_GB2312" w:eastAsia="方正仿宋_GB2312" w:cs="方正仿宋_GB2312"/>
          <w:sz w:val="24"/>
          <w:szCs w:val="22"/>
          <w:highlight w:val="none"/>
          <w:lang w:val="en-US" w:eastAsia="en-US" w:bidi="ar-SA"/>
        </w:rPr>
        <w:t>项目特点制定验收方案，明确履约验收的时间、方式、程序等内容，并可根据项目特点对服务期内的服务实施情况进行分期考核，综合考核情况和服务效果进行验收。乙方应根据验收方案内容做好相应配合工作。</w:t>
      </w:r>
    </w:p>
    <w:p w14:paraId="69E98994">
      <w:pPr>
        <w:pStyle w:val="5"/>
        <w:widowControl w:val="0"/>
        <w:kinsoku/>
        <w:wordWrap/>
        <w:overflowPunct/>
        <w:topLinePunct w:val="0"/>
        <w:autoSpaceDE/>
        <w:autoSpaceDN/>
        <w:bidi w:val="0"/>
        <w:adjustRightInd/>
        <w:snapToGrid/>
        <w:spacing w:line="480" w:lineRule="exact"/>
        <w:ind w:left="480"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1</w:t>
      </w:r>
      <w:r>
        <w:rPr>
          <w:rFonts w:hint="eastAsia" w:ascii="方正仿宋_GB2312" w:hAnsi="方正仿宋_GB2312" w:eastAsia="方正仿宋_GB2312" w:cs="方正仿宋_GB2312"/>
          <w:sz w:val="24"/>
          <w:szCs w:val="22"/>
          <w:highlight w:val="none"/>
          <w:lang w:val="en-US" w:eastAsia="en-US" w:bidi="ar-SA"/>
        </w:rPr>
        <w:t>.3 对于实际使用人和甲方分离的项目，甲方邀请实际使用人参与验收。</w:t>
      </w:r>
    </w:p>
    <w:p w14:paraId="59CCC951">
      <w:pPr>
        <w:pStyle w:val="5"/>
        <w:widowControl w:val="0"/>
        <w:kinsoku/>
        <w:wordWrap/>
        <w:overflowPunct/>
        <w:topLinePunct w:val="0"/>
        <w:autoSpaceDE/>
        <w:autoSpaceDN/>
        <w:bidi w:val="0"/>
        <w:adjustRightInd/>
        <w:snapToGrid/>
        <w:spacing w:line="480" w:lineRule="exact"/>
        <w:ind w:left="480"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1</w:t>
      </w:r>
      <w:r>
        <w:rPr>
          <w:rFonts w:hint="eastAsia" w:ascii="方正仿宋_GB2312" w:hAnsi="方正仿宋_GB2312" w:eastAsia="方正仿宋_GB2312" w:cs="方正仿宋_GB2312"/>
          <w:sz w:val="24"/>
          <w:szCs w:val="22"/>
          <w:highlight w:val="none"/>
          <w:lang w:val="en-US" w:eastAsia="en-US" w:bidi="ar-SA"/>
        </w:rPr>
        <w:t>.4 如有必要，甲方邀请参加本项目的其他投标人或第三方专业机构及专家参与验收，相关意见将作为验收书的参考资料。</w:t>
      </w:r>
    </w:p>
    <w:p w14:paraId="0ABD26DC">
      <w:pPr>
        <w:pStyle w:val="5"/>
        <w:widowControl w:val="0"/>
        <w:kinsoku/>
        <w:wordWrap/>
        <w:overflowPunct/>
        <w:topLinePunct w:val="0"/>
        <w:autoSpaceDE/>
        <w:autoSpaceDN/>
        <w:bidi w:val="0"/>
        <w:adjustRightInd/>
        <w:snapToGrid/>
        <w:spacing w:line="480" w:lineRule="exact"/>
        <w:ind w:left="480"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1</w:t>
      </w:r>
      <w:r>
        <w:rPr>
          <w:rFonts w:hint="eastAsia" w:ascii="方正仿宋_GB2312" w:hAnsi="方正仿宋_GB2312" w:eastAsia="方正仿宋_GB2312" w:cs="方正仿宋_GB2312"/>
          <w:sz w:val="24"/>
          <w:szCs w:val="22"/>
          <w:highlight w:val="none"/>
          <w:lang w:val="en-US" w:eastAsia="en-US" w:bidi="ar-SA"/>
        </w:rPr>
        <w:t>.5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2AC6BE6F">
      <w:pPr>
        <w:pStyle w:val="5"/>
        <w:widowControl w:val="0"/>
        <w:kinsoku/>
        <w:wordWrap/>
        <w:overflowPunct/>
        <w:topLinePunct w:val="0"/>
        <w:autoSpaceDE/>
        <w:autoSpaceDN/>
        <w:bidi w:val="0"/>
        <w:adjustRightInd/>
        <w:snapToGrid/>
        <w:spacing w:line="480" w:lineRule="exact"/>
        <w:ind w:left="480"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1</w:t>
      </w:r>
      <w:r>
        <w:rPr>
          <w:rFonts w:hint="eastAsia" w:ascii="方正仿宋_GB2312" w:hAnsi="方正仿宋_GB2312" w:eastAsia="方正仿宋_GB2312" w:cs="方正仿宋_GB2312"/>
          <w:sz w:val="24"/>
          <w:szCs w:val="22"/>
          <w:highlight w:val="none"/>
          <w:lang w:val="en-US" w:eastAsia="en-US" w:bidi="ar-SA"/>
        </w:rPr>
        <w:t>.6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14:paraId="2961AB4F">
      <w:pPr>
        <w:pStyle w:val="5"/>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en-US" w:bidi="ar-SA"/>
        </w:rPr>
        <w:t>十</w:t>
      </w:r>
      <w:r>
        <w:rPr>
          <w:rFonts w:hint="eastAsia" w:ascii="方正仿宋_GB2312" w:hAnsi="方正仿宋_GB2312" w:eastAsia="方正仿宋_GB2312" w:cs="方正仿宋_GB2312"/>
          <w:b/>
          <w:bCs/>
          <w:sz w:val="24"/>
          <w:szCs w:val="22"/>
          <w:highlight w:val="none"/>
          <w:lang w:val="en-US" w:eastAsia="zh-CN" w:bidi="ar-SA"/>
        </w:rPr>
        <w:t>二</w:t>
      </w:r>
      <w:r>
        <w:rPr>
          <w:rFonts w:hint="eastAsia" w:ascii="方正仿宋_GB2312" w:hAnsi="方正仿宋_GB2312" w:eastAsia="方正仿宋_GB2312" w:cs="方正仿宋_GB2312"/>
          <w:b/>
          <w:bCs/>
          <w:sz w:val="24"/>
          <w:szCs w:val="22"/>
          <w:highlight w:val="none"/>
          <w:lang w:val="en-US" w:eastAsia="en-US" w:bidi="ar-SA"/>
        </w:rPr>
        <w:t>、违约责任</w:t>
      </w:r>
    </w:p>
    <w:p w14:paraId="5C9C02D9">
      <w:pPr>
        <w:pStyle w:val="5"/>
        <w:widowControl w:val="0"/>
        <w:kinsoku/>
        <w:wordWrap/>
        <w:overflowPunct/>
        <w:topLinePunct w:val="0"/>
        <w:autoSpaceDE/>
        <w:autoSpaceDN/>
        <w:bidi w:val="0"/>
        <w:adjustRightInd/>
        <w:snapToGrid/>
        <w:spacing w:line="480" w:lineRule="exact"/>
        <w:ind w:left="410" w:firstLine="480" w:firstLineChars="200"/>
        <w:textAlignment w:val="auto"/>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12.1见招标文件的全部内容。</w:t>
      </w:r>
    </w:p>
    <w:p w14:paraId="2422C5D0">
      <w:pPr>
        <w:pStyle w:val="5"/>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en-US" w:bidi="ar-SA"/>
        </w:rPr>
        <w:t>十</w:t>
      </w:r>
      <w:r>
        <w:rPr>
          <w:rFonts w:hint="eastAsia" w:ascii="方正仿宋_GB2312" w:hAnsi="方正仿宋_GB2312" w:eastAsia="方正仿宋_GB2312" w:cs="方正仿宋_GB2312"/>
          <w:b/>
          <w:bCs/>
          <w:sz w:val="24"/>
          <w:szCs w:val="22"/>
          <w:highlight w:val="none"/>
          <w:lang w:val="en-US" w:eastAsia="zh-CN" w:bidi="ar-SA"/>
        </w:rPr>
        <w:t>三</w:t>
      </w:r>
      <w:r>
        <w:rPr>
          <w:rFonts w:hint="eastAsia" w:ascii="方正仿宋_GB2312" w:hAnsi="方正仿宋_GB2312" w:eastAsia="方正仿宋_GB2312" w:cs="方正仿宋_GB2312"/>
          <w:b/>
          <w:bCs/>
          <w:sz w:val="24"/>
          <w:szCs w:val="22"/>
          <w:highlight w:val="none"/>
          <w:lang w:val="en-US" w:eastAsia="en-US" w:bidi="ar-SA"/>
        </w:rPr>
        <w:t>、不可抗力事件处理</w:t>
      </w:r>
    </w:p>
    <w:p w14:paraId="0B6DA258">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3</w:t>
      </w:r>
      <w:r>
        <w:rPr>
          <w:rFonts w:hint="eastAsia" w:ascii="方正仿宋_GB2312" w:hAnsi="方正仿宋_GB2312" w:eastAsia="方正仿宋_GB2312" w:cs="方正仿宋_GB2312"/>
          <w:sz w:val="24"/>
          <w:szCs w:val="22"/>
          <w:highlight w:val="none"/>
          <w:lang w:val="en-US" w:eastAsia="en-US" w:bidi="ar-SA"/>
        </w:rPr>
        <w:t>.1 在合同有效期内，任何一方因不可抗力事件导致不能履行合同，则合同履行期可延长，其延长期与不可抗力影响 期相同。</w:t>
      </w:r>
    </w:p>
    <w:p w14:paraId="17C26D8A">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3</w:t>
      </w:r>
      <w:r>
        <w:rPr>
          <w:rFonts w:hint="eastAsia" w:ascii="方正仿宋_GB2312" w:hAnsi="方正仿宋_GB2312" w:eastAsia="方正仿宋_GB2312" w:cs="方正仿宋_GB2312"/>
          <w:sz w:val="24"/>
          <w:szCs w:val="22"/>
          <w:highlight w:val="none"/>
          <w:lang w:val="en-US" w:eastAsia="en-US" w:bidi="ar-SA"/>
        </w:rPr>
        <w:t>.2 不可抗力事件发生后，应立即通知对方，并寄送有关权威机构出具的证明。</w:t>
      </w:r>
    </w:p>
    <w:p w14:paraId="1998543A">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3</w:t>
      </w:r>
      <w:r>
        <w:rPr>
          <w:rFonts w:hint="eastAsia" w:ascii="方正仿宋_GB2312" w:hAnsi="方正仿宋_GB2312" w:eastAsia="方正仿宋_GB2312" w:cs="方正仿宋_GB2312"/>
          <w:sz w:val="24"/>
          <w:szCs w:val="22"/>
          <w:highlight w:val="none"/>
          <w:lang w:val="en-US" w:eastAsia="en-US" w:bidi="ar-SA"/>
        </w:rPr>
        <w:t>.3 不可抗力事件延续120天以上，双方应通过友好协商，确定是否继续履行合同。</w:t>
      </w:r>
    </w:p>
    <w:p w14:paraId="684426D6">
      <w:pPr>
        <w:pStyle w:val="5"/>
        <w:widowControl w:val="0"/>
        <w:kinsoku/>
        <w:wordWrap/>
        <w:overflowPunct/>
        <w:topLinePunct w:val="0"/>
        <w:autoSpaceDE/>
        <w:autoSpaceDN/>
        <w:bidi w:val="0"/>
        <w:adjustRightInd/>
        <w:snapToGrid/>
        <w:spacing w:line="480" w:lineRule="exact"/>
        <w:ind w:firstLine="482" w:firstLineChars="200"/>
        <w:textAlignment w:val="auto"/>
        <w:rPr>
          <w:rFonts w:hint="eastAsia" w:ascii="方正仿宋_GB2312" w:hAnsi="方正仿宋_GB2312" w:eastAsia="方正仿宋_GB2312" w:cs="方正仿宋_GB2312"/>
          <w:b/>
          <w:bCs/>
          <w:sz w:val="24"/>
          <w:szCs w:val="22"/>
          <w:highlight w:val="none"/>
          <w:lang w:val="en-US" w:eastAsia="en-US" w:bidi="ar-SA"/>
        </w:rPr>
      </w:pPr>
      <w:r>
        <w:rPr>
          <w:rFonts w:hint="eastAsia" w:ascii="方正仿宋_GB2312" w:hAnsi="方正仿宋_GB2312" w:eastAsia="方正仿宋_GB2312" w:cs="方正仿宋_GB2312"/>
          <w:b/>
          <w:bCs/>
          <w:sz w:val="24"/>
          <w:szCs w:val="22"/>
          <w:highlight w:val="none"/>
          <w:lang w:val="en-US" w:eastAsia="en-US" w:bidi="ar-SA"/>
        </w:rPr>
        <w:t>十</w:t>
      </w:r>
      <w:r>
        <w:rPr>
          <w:rFonts w:hint="eastAsia" w:ascii="方正仿宋_GB2312" w:hAnsi="方正仿宋_GB2312" w:eastAsia="方正仿宋_GB2312" w:cs="方正仿宋_GB2312"/>
          <w:b/>
          <w:bCs/>
          <w:sz w:val="24"/>
          <w:szCs w:val="22"/>
          <w:highlight w:val="none"/>
          <w:lang w:val="en-US" w:eastAsia="zh-CN" w:bidi="ar-SA"/>
        </w:rPr>
        <w:t>四</w:t>
      </w:r>
      <w:r>
        <w:rPr>
          <w:rFonts w:hint="eastAsia" w:ascii="方正仿宋_GB2312" w:hAnsi="方正仿宋_GB2312" w:eastAsia="方正仿宋_GB2312" w:cs="方正仿宋_GB2312"/>
          <w:b/>
          <w:bCs/>
          <w:sz w:val="24"/>
          <w:szCs w:val="22"/>
          <w:highlight w:val="none"/>
          <w:lang w:val="en-US" w:eastAsia="en-US" w:bidi="ar-SA"/>
        </w:rPr>
        <w:t>、解决争议的方法</w:t>
      </w:r>
    </w:p>
    <w:p w14:paraId="242FB505">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4</w:t>
      </w:r>
      <w:r>
        <w:rPr>
          <w:rFonts w:hint="eastAsia" w:ascii="方正仿宋_GB2312" w:hAnsi="方正仿宋_GB2312" w:eastAsia="方正仿宋_GB2312" w:cs="方正仿宋_GB2312"/>
          <w:sz w:val="24"/>
          <w:szCs w:val="22"/>
          <w:highlight w:val="none"/>
          <w:lang w:val="en-US" w:eastAsia="en-US" w:bidi="ar-SA"/>
        </w:rPr>
        <w:t>.1双方在签订、履行合同中所发生的一切争议，应通过友好协商解决。如协商不成，由甲方住所地人民法院管辖。</w:t>
      </w:r>
    </w:p>
    <w:p w14:paraId="7FC61D63">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十</w:t>
      </w:r>
      <w:r>
        <w:rPr>
          <w:rFonts w:hint="eastAsia" w:ascii="方正仿宋_GB2312" w:hAnsi="方正仿宋_GB2312" w:eastAsia="方正仿宋_GB2312" w:cs="方正仿宋_GB2312"/>
          <w:sz w:val="24"/>
          <w:szCs w:val="22"/>
          <w:highlight w:val="none"/>
          <w:lang w:val="en-US" w:eastAsia="zh-CN" w:bidi="ar-SA"/>
        </w:rPr>
        <w:t>五</w:t>
      </w:r>
      <w:r>
        <w:rPr>
          <w:rFonts w:hint="eastAsia" w:ascii="方正仿宋_GB2312" w:hAnsi="方正仿宋_GB2312" w:eastAsia="方正仿宋_GB2312" w:cs="方正仿宋_GB2312"/>
          <w:sz w:val="24"/>
          <w:szCs w:val="22"/>
          <w:highlight w:val="none"/>
          <w:lang w:val="en-US" w:eastAsia="en-US" w:bidi="ar-SA"/>
        </w:rPr>
        <w:t>、合同生效及其它</w:t>
      </w:r>
    </w:p>
    <w:p w14:paraId="55CE75FE">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5</w:t>
      </w:r>
      <w:r>
        <w:rPr>
          <w:rFonts w:hint="eastAsia" w:ascii="方正仿宋_GB2312" w:hAnsi="方正仿宋_GB2312" w:eastAsia="方正仿宋_GB2312" w:cs="方正仿宋_GB2312"/>
          <w:sz w:val="24"/>
          <w:szCs w:val="22"/>
          <w:highlight w:val="none"/>
          <w:lang w:val="en-US" w:eastAsia="en-US" w:bidi="ar-SA"/>
        </w:rPr>
        <w:t>.1 合同经双方法定代表人或授权委托代表人签字并加盖单位公章后生效。</w:t>
      </w:r>
    </w:p>
    <w:p w14:paraId="6FC38F47">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5</w:t>
      </w:r>
      <w:r>
        <w:rPr>
          <w:rFonts w:hint="eastAsia" w:ascii="方正仿宋_GB2312" w:hAnsi="方正仿宋_GB2312" w:eastAsia="方正仿宋_GB2312" w:cs="方正仿宋_GB2312"/>
          <w:sz w:val="24"/>
          <w:szCs w:val="22"/>
          <w:highlight w:val="none"/>
          <w:lang w:val="en-US" w:eastAsia="en-US" w:bidi="ar-SA"/>
        </w:rPr>
        <w:t>.2本合同未尽事宜，遵照《民法典》、《政府采购法》有关条文执行。</w:t>
      </w:r>
    </w:p>
    <w:p w14:paraId="2B81BBDC">
      <w:pPr>
        <w:pStyle w:val="3"/>
        <w:spacing w:before="120" w:after="120" w:line="500" w:lineRule="exact"/>
        <w:textAlignment w:val="baseline"/>
        <w:rPr>
          <w:rFonts w:hint="default" w:ascii="宋体" w:hAnsi="宋体" w:eastAsia="黑体"/>
          <w:sz w:val="24"/>
          <w:szCs w:val="24"/>
          <w:lang w:val="en-US" w:eastAsia="zh-CN"/>
        </w:rPr>
      </w:pPr>
      <w:r>
        <w:rPr>
          <w:rFonts w:ascii="宋体" w:hAnsi="宋体"/>
          <w:b w:val="0"/>
          <w:sz w:val="24"/>
          <w:szCs w:val="24"/>
        </w:rPr>
        <w:t xml:space="preserve"> </w:t>
      </w:r>
      <w:r>
        <w:rPr>
          <w:rFonts w:hint="eastAsia" w:ascii="宋体" w:hAnsi="宋体"/>
          <w:b w:val="0"/>
          <w:sz w:val="24"/>
          <w:szCs w:val="24"/>
          <w:lang w:val="en-US" w:eastAsia="zh-CN"/>
        </w:rPr>
        <w:t xml:space="preserve"> 15.3 合同构成</w:t>
      </w:r>
    </w:p>
    <w:p w14:paraId="298CB371">
      <w:pPr>
        <w:spacing w:line="500" w:lineRule="exact"/>
        <w:ind w:firstLine="480" w:firstLineChars="200"/>
        <w:textAlignment w:val="baseline"/>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本协议书与下列文件一起构成合同文件（如有共同构成）：</w:t>
      </w:r>
    </w:p>
    <w:p w14:paraId="3C2B578B">
      <w:pPr>
        <w:spacing w:line="500" w:lineRule="exact"/>
        <w:ind w:firstLine="480" w:firstLineChars="200"/>
        <w:textAlignment w:val="baseline"/>
        <w:rPr>
          <w:rFonts w:hint="default" w:ascii="方正仿宋_GB2312" w:hAnsi="方正仿宋_GB2312" w:eastAsia="方正仿宋_GB2312" w:cs="方正仿宋_GB2312"/>
          <w:sz w:val="24"/>
          <w:szCs w:val="22"/>
          <w:highlight w:val="none"/>
          <w:lang w:val="en-US" w:eastAsia="zh-CN" w:bidi="ar-SA"/>
        </w:rPr>
      </w:pPr>
      <w:r>
        <w:rPr>
          <w:rFonts w:hint="eastAsia" w:ascii="方正仿宋_GB2312" w:hAnsi="方正仿宋_GB2312" w:eastAsia="方正仿宋_GB2312" w:cs="方正仿宋_GB2312"/>
          <w:sz w:val="24"/>
          <w:szCs w:val="22"/>
          <w:highlight w:val="none"/>
          <w:lang w:val="en-US" w:eastAsia="zh-CN" w:bidi="ar-SA"/>
        </w:rPr>
        <w:t>（1）招标文件全部内容，</w:t>
      </w:r>
    </w:p>
    <w:p w14:paraId="71CDE993">
      <w:pPr>
        <w:spacing w:line="500" w:lineRule="exact"/>
        <w:ind w:firstLine="480" w:firstLineChars="200"/>
        <w:jc w:val="left"/>
        <w:textAlignment w:val="baseline"/>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w:t>
      </w:r>
      <w:r>
        <w:rPr>
          <w:rFonts w:hint="eastAsia" w:ascii="方正仿宋_GB2312" w:hAnsi="方正仿宋_GB2312" w:eastAsia="方正仿宋_GB2312" w:cs="方正仿宋_GB2312"/>
          <w:sz w:val="24"/>
          <w:szCs w:val="22"/>
          <w:highlight w:val="none"/>
          <w:lang w:val="en-US" w:eastAsia="zh-CN" w:bidi="ar-SA"/>
        </w:rPr>
        <w:t>2</w:t>
      </w:r>
      <w:r>
        <w:rPr>
          <w:rFonts w:hint="eastAsia" w:ascii="方正仿宋_GB2312" w:hAnsi="方正仿宋_GB2312" w:eastAsia="方正仿宋_GB2312" w:cs="方正仿宋_GB2312"/>
          <w:sz w:val="24"/>
          <w:szCs w:val="22"/>
          <w:highlight w:val="none"/>
          <w:lang w:val="en-US" w:eastAsia="en-US" w:bidi="ar-SA"/>
        </w:rPr>
        <w:t>）中标通知书；</w:t>
      </w:r>
    </w:p>
    <w:p w14:paraId="48C5968F">
      <w:pPr>
        <w:spacing w:line="500" w:lineRule="exact"/>
        <w:ind w:firstLine="480" w:firstLineChars="200"/>
        <w:jc w:val="left"/>
        <w:textAlignment w:val="baseline"/>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w:t>
      </w:r>
      <w:r>
        <w:rPr>
          <w:rFonts w:hint="eastAsia" w:ascii="方正仿宋_GB2312" w:hAnsi="方正仿宋_GB2312" w:eastAsia="方正仿宋_GB2312" w:cs="方正仿宋_GB2312"/>
          <w:sz w:val="24"/>
          <w:szCs w:val="22"/>
          <w:highlight w:val="none"/>
          <w:lang w:val="en-US" w:eastAsia="zh-CN" w:bidi="ar-SA"/>
        </w:rPr>
        <w:t>3</w:t>
      </w:r>
      <w:r>
        <w:rPr>
          <w:rFonts w:hint="eastAsia" w:ascii="方正仿宋_GB2312" w:hAnsi="方正仿宋_GB2312" w:eastAsia="方正仿宋_GB2312" w:cs="方正仿宋_GB2312"/>
          <w:sz w:val="24"/>
          <w:szCs w:val="22"/>
          <w:highlight w:val="none"/>
          <w:lang w:val="en-US" w:eastAsia="en-US" w:bidi="ar-SA"/>
        </w:rPr>
        <w:t xml:space="preserve">）投标函、文件及其附录； </w:t>
      </w:r>
    </w:p>
    <w:p w14:paraId="12817257">
      <w:pPr>
        <w:spacing w:line="500" w:lineRule="exact"/>
        <w:ind w:firstLine="480" w:firstLineChars="200"/>
        <w:jc w:val="left"/>
        <w:textAlignment w:val="baseline"/>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w:t>
      </w:r>
      <w:r>
        <w:rPr>
          <w:rFonts w:hint="eastAsia" w:ascii="方正仿宋_GB2312" w:hAnsi="方正仿宋_GB2312" w:eastAsia="方正仿宋_GB2312" w:cs="方正仿宋_GB2312"/>
          <w:sz w:val="24"/>
          <w:szCs w:val="22"/>
          <w:highlight w:val="none"/>
          <w:lang w:val="en-US" w:eastAsia="zh-CN" w:bidi="ar-SA"/>
        </w:rPr>
        <w:t>4</w:t>
      </w:r>
      <w:r>
        <w:rPr>
          <w:rFonts w:hint="eastAsia" w:ascii="方正仿宋_GB2312" w:hAnsi="方正仿宋_GB2312" w:eastAsia="方正仿宋_GB2312" w:cs="方正仿宋_GB2312"/>
          <w:sz w:val="24"/>
          <w:szCs w:val="22"/>
          <w:highlight w:val="none"/>
          <w:lang w:val="en-US" w:eastAsia="en-US" w:bidi="ar-SA"/>
        </w:rPr>
        <w:t>）技术标准和要求；</w:t>
      </w:r>
    </w:p>
    <w:p w14:paraId="1B5A2803">
      <w:pPr>
        <w:spacing w:line="500" w:lineRule="exact"/>
        <w:ind w:firstLine="480" w:firstLineChars="200"/>
        <w:jc w:val="left"/>
        <w:textAlignment w:val="baseline"/>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w:t>
      </w:r>
      <w:r>
        <w:rPr>
          <w:rFonts w:hint="eastAsia" w:ascii="方正仿宋_GB2312" w:hAnsi="方正仿宋_GB2312" w:eastAsia="方正仿宋_GB2312" w:cs="方正仿宋_GB2312"/>
          <w:sz w:val="24"/>
          <w:szCs w:val="22"/>
          <w:highlight w:val="none"/>
          <w:lang w:val="en-US" w:eastAsia="zh-CN" w:bidi="ar-SA"/>
        </w:rPr>
        <w:t>5</w:t>
      </w:r>
      <w:r>
        <w:rPr>
          <w:rFonts w:hint="eastAsia" w:ascii="方正仿宋_GB2312" w:hAnsi="方正仿宋_GB2312" w:eastAsia="方正仿宋_GB2312" w:cs="方正仿宋_GB2312"/>
          <w:sz w:val="24"/>
          <w:szCs w:val="22"/>
          <w:highlight w:val="none"/>
          <w:lang w:val="en-US" w:eastAsia="en-US" w:bidi="ar-SA"/>
        </w:rPr>
        <w:t>）其他合同文件。</w:t>
      </w:r>
    </w:p>
    <w:p w14:paraId="1EFC34E2">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1</w:t>
      </w:r>
      <w:r>
        <w:rPr>
          <w:rFonts w:hint="eastAsia" w:ascii="方正仿宋_GB2312" w:hAnsi="方正仿宋_GB2312" w:eastAsia="方正仿宋_GB2312" w:cs="方正仿宋_GB2312"/>
          <w:sz w:val="24"/>
          <w:szCs w:val="22"/>
          <w:highlight w:val="none"/>
          <w:lang w:val="en-US" w:eastAsia="zh-CN" w:bidi="ar-SA"/>
        </w:rPr>
        <w:t>5</w:t>
      </w:r>
      <w:r>
        <w:rPr>
          <w:rFonts w:hint="eastAsia" w:ascii="方正仿宋_GB2312" w:hAnsi="方正仿宋_GB2312" w:eastAsia="方正仿宋_GB2312" w:cs="方正仿宋_GB2312"/>
          <w:sz w:val="24"/>
          <w:szCs w:val="22"/>
          <w:highlight w:val="none"/>
          <w:lang w:val="en-US" w:eastAsia="en-US" w:bidi="ar-SA"/>
        </w:rPr>
        <w:t>.</w:t>
      </w:r>
      <w:r>
        <w:rPr>
          <w:rFonts w:hint="eastAsia" w:ascii="方正仿宋_GB2312" w:hAnsi="方正仿宋_GB2312" w:eastAsia="方正仿宋_GB2312" w:cs="方正仿宋_GB2312"/>
          <w:sz w:val="24"/>
          <w:szCs w:val="22"/>
          <w:highlight w:val="none"/>
          <w:lang w:val="en-US" w:eastAsia="zh-CN" w:bidi="ar-SA"/>
        </w:rPr>
        <w:t>4</w:t>
      </w:r>
      <w:r>
        <w:rPr>
          <w:rFonts w:hint="eastAsia" w:ascii="方正仿宋_GB2312" w:hAnsi="方正仿宋_GB2312" w:eastAsia="方正仿宋_GB2312" w:cs="方正仿宋_GB2312"/>
          <w:sz w:val="24"/>
          <w:szCs w:val="22"/>
          <w:highlight w:val="none"/>
          <w:lang w:val="en-US" w:eastAsia="en-US" w:bidi="ar-SA"/>
        </w:rPr>
        <w:t xml:space="preserve"> 本合同正本一式两份，具有同等法律效力，甲方、乙方各执一份。</w:t>
      </w:r>
    </w:p>
    <w:p w14:paraId="28A08454">
      <w:pPr>
        <w:pStyle w:val="5"/>
        <w:widowControl w:val="0"/>
        <w:kinsoku/>
        <w:wordWrap/>
        <w:overflowPunct/>
        <w:topLinePunct w:val="0"/>
        <w:autoSpaceDE/>
        <w:autoSpaceDN/>
        <w:bidi w:val="0"/>
        <w:adjustRightInd/>
        <w:snapToGrid/>
        <w:spacing w:line="480" w:lineRule="exact"/>
        <w:ind w:firstLine="720" w:firstLineChars="3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 xml:space="preserve">甲方：                            乙方： </w:t>
      </w:r>
    </w:p>
    <w:p w14:paraId="16B8300B">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 xml:space="preserve">  地址：                            地址： </w:t>
      </w:r>
    </w:p>
    <w:p w14:paraId="304AC42F">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 xml:space="preserve">  法定代表人或授权代表：            法定代表人或授权代表：</w:t>
      </w:r>
    </w:p>
    <w:p w14:paraId="0E380451">
      <w:pPr>
        <w:pStyle w:val="5"/>
        <w:widowControl w:val="0"/>
        <w:kinsoku/>
        <w:wordWrap/>
        <w:overflowPunct/>
        <w:topLinePunct w:val="0"/>
        <w:autoSpaceDE/>
        <w:autoSpaceDN/>
        <w:bidi w:val="0"/>
        <w:adjustRightInd/>
        <w:snapToGrid/>
        <w:spacing w:line="480" w:lineRule="exact"/>
        <w:ind w:firstLine="720" w:firstLineChars="3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 xml:space="preserve">联系电话：                       </w:t>
      </w:r>
      <w:r>
        <w:rPr>
          <w:rFonts w:hint="eastAsia" w:ascii="方正仿宋_GB2312" w:hAnsi="方正仿宋_GB2312" w:eastAsia="方正仿宋_GB2312" w:cs="方正仿宋_GB2312"/>
          <w:sz w:val="24"/>
          <w:szCs w:val="22"/>
          <w:highlight w:val="none"/>
          <w:lang w:val="en-US" w:eastAsia="zh-CN" w:bidi="ar-SA"/>
        </w:rPr>
        <w:t xml:space="preserve">  </w:t>
      </w:r>
      <w:r>
        <w:rPr>
          <w:rFonts w:hint="eastAsia" w:ascii="方正仿宋_GB2312" w:hAnsi="方正仿宋_GB2312" w:eastAsia="方正仿宋_GB2312" w:cs="方正仿宋_GB2312"/>
          <w:sz w:val="24"/>
          <w:szCs w:val="22"/>
          <w:highlight w:val="none"/>
          <w:lang w:val="en-US" w:eastAsia="en-US" w:bidi="ar-SA"/>
        </w:rPr>
        <w:t xml:space="preserve"> 联系电话：         </w:t>
      </w:r>
    </w:p>
    <w:p w14:paraId="003CEF54">
      <w:pPr>
        <w:pStyle w:val="5"/>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 xml:space="preserve">                                        </w:t>
      </w:r>
    </w:p>
    <w:p w14:paraId="391A9B84">
      <w:pPr>
        <w:pStyle w:val="5"/>
        <w:widowControl w:val="0"/>
        <w:kinsoku/>
        <w:wordWrap/>
        <w:overflowPunct/>
        <w:topLinePunct w:val="0"/>
        <w:autoSpaceDE/>
        <w:autoSpaceDN/>
        <w:bidi w:val="0"/>
        <w:adjustRightInd/>
        <w:snapToGrid/>
        <w:spacing w:line="480" w:lineRule="exact"/>
        <w:ind w:firstLine="480" w:firstLineChars="200"/>
        <w:jc w:val="center"/>
        <w:textAlignment w:val="auto"/>
        <w:rPr>
          <w:rFonts w:hint="eastAsia" w:ascii="方正仿宋_GB2312" w:hAnsi="方正仿宋_GB2312" w:eastAsia="方正仿宋_GB2312" w:cs="方正仿宋_GB2312"/>
          <w:sz w:val="24"/>
          <w:szCs w:val="22"/>
          <w:highlight w:val="none"/>
          <w:lang w:val="en-US" w:eastAsia="en-US" w:bidi="ar-SA"/>
        </w:rPr>
      </w:pPr>
      <w:r>
        <w:rPr>
          <w:rFonts w:hint="eastAsia" w:ascii="方正仿宋_GB2312" w:hAnsi="方正仿宋_GB2312" w:eastAsia="方正仿宋_GB2312" w:cs="方正仿宋_GB2312"/>
          <w:sz w:val="24"/>
          <w:szCs w:val="22"/>
          <w:highlight w:val="none"/>
          <w:lang w:val="en-US" w:eastAsia="en-US" w:bidi="ar-SA"/>
        </w:rPr>
        <w:t xml:space="preserve">签订日期：  </w:t>
      </w:r>
      <w:r>
        <w:rPr>
          <w:rFonts w:hint="eastAsia" w:ascii="方正仿宋_GB2312" w:hAnsi="方正仿宋_GB2312" w:eastAsia="方正仿宋_GB2312" w:cs="方正仿宋_GB2312"/>
          <w:sz w:val="24"/>
          <w:szCs w:val="22"/>
          <w:highlight w:val="none"/>
          <w:lang w:val="en-US" w:eastAsia="zh-CN" w:bidi="ar-SA"/>
        </w:rPr>
        <w:t>2025</w:t>
      </w:r>
      <w:r>
        <w:rPr>
          <w:rFonts w:hint="eastAsia" w:ascii="方正仿宋_GB2312" w:hAnsi="方正仿宋_GB2312" w:eastAsia="方正仿宋_GB2312" w:cs="方正仿宋_GB2312"/>
          <w:sz w:val="24"/>
          <w:szCs w:val="22"/>
          <w:highlight w:val="none"/>
          <w:lang w:val="en-US" w:eastAsia="en-US" w:bidi="ar-SA"/>
        </w:rPr>
        <w:t xml:space="preserve">  年 </w:t>
      </w:r>
      <w:r>
        <w:rPr>
          <w:rFonts w:hint="eastAsia" w:ascii="方正仿宋_GB2312" w:hAnsi="方正仿宋_GB2312" w:eastAsia="方正仿宋_GB2312" w:cs="方正仿宋_GB2312"/>
          <w:sz w:val="24"/>
          <w:szCs w:val="22"/>
          <w:highlight w:val="none"/>
          <w:lang w:val="en-US" w:eastAsia="zh-CN" w:bidi="ar-SA"/>
        </w:rPr>
        <w:t>11</w:t>
      </w:r>
      <w:r>
        <w:rPr>
          <w:rFonts w:hint="eastAsia" w:ascii="方正仿宋_GB2312" w:hAnsi="方正仿宋_GB2312" w:eastAsia="方正仿宋_GB2312" w:cs="方正仿宋_GB2312"/>
          <w:sz w:val="24"/>
          <w:szCs w:val="22"/>
          <w:highlight w:val="none"/>
          <w:lang w:val="en-US" w:eastAsia="en-US" w:bidi="ar-SA"/>
        </w:rPr>
        <w:t>月</w:t>
      </w:r>
      <w:r>
        <w:rPr>
          <w:rFonts w:hint="eastAsia" w:ascii="方正仿宋_GB2312" w:hAnsi="方正仿宋_GB2312" w:eastAsia="方正仿宋_GB2312" w:cs="方正仿宋_GB2312"/>
          <w:sz w:val="24"/>
          <w:szCs w:val="22"/>
          <w:highlight w:val="none"/>
          <w:lang w:val="en-US" w:eastAsia="zh-CN" w:bidi="ar-SA"/>
        </w:rPr>
        <w:t>4</w:t>
      </w:r>
      <w:r>
        <w:rPr>
          <w:rFonts w:hint="eastAsia" w:ascii="方正仿宋_GB2312" w:hAnsi="方正仿宋_GB2312" w:eastAsia="方正仿宋_GB2312" w:cs="方正仿宋_GB2312"/>
          <w:sz w:val="24"/>
          <w:szCs w:val="22"/>
          <w:highlight w:val="none"/>
          <w:lang w:val="en-US" w:eastAsia="en-US" w:bidi="ar-SA"/>
        </w:rPr>
        <w:t xml:space="preserve"> 日</w:t>
      </w:r>
      <w:bookmarkEnd w:id="0"/>
      <w:bookmarkEnd w:id="1"/>
      <w:bookmarkEnd w:id="2"/>
    </w:p>
    <w:p w14:paraId="46CF67FD">
      <w:pPr>
        <w:pStyle w:val="2"/>
        <w:widowControl w:val="0"/>
        <w:kinsoku/>
        <w:wordWrap/>
        <w:overflowPunct/>
        <w:topLinePunct w:val="0"/>
        <w:autoSpaceDE/>
        <w:autoSpaceDN/>
        <w:bidi w:val="0"/>
        <w:adjustRightInd/>
        <w:snapToGrid/>
        <w:ind w:firstLine="800" w:firstLineChars="200"/>
        <w:jc w:val="both"/>
        <w:textAlignment w:val="auto"/>
        <w:rPr>
          <w:rFonts w:hint="eastAsia" w:ascii="黑体" w:hAnsi="黑体" w:eastAsia="黑体" w:cs="黑体"/>
          <w:color w:val="auto"/>
        </w:rPr>
      </w:pPr>
    </w:p>
    <w:p w14:paraId="3C29C15E">
      <w:pPr>
        <w:widowControl w:val="0"/>
        <w:kinsoku/>
        <w:wordWrap/>
        <w:overflowPunct/>
        <w:topLinePunct w:val="0"/>
        <w:autoSpaceDE/>
        <w:autoSpaceDN/>
        <w:bidi w:val="0"/>
        <w:adjustRightInd/>
        <w:snapToGrid/>
        <w:ind w:firstLine="420" w:firstLineChars="200"/>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20B0503020202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8A5F71"/>
    <w:rsid w:val="02377801"/>
    <w:rsid w:val="044D771D"/>
    <w:rsid w:val="108A5F71"/>
    <w:rsid w:val="17B62B1E"/>
    <w:rsid w:val="1D7354C0"/>
    <w:rsid w:val="20562707"/>
    <w:rsid w:val="24FB6014"/>
    <w:rsid w:val="3FE67B95"/>
    <w:rsid w:val="4B23633E"/>
    <w:rsid w:val="76C23869"/>
    <w:rsid w:val="7F3D2A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Calibri" w:hAnsi="Calibri" w:eastAsia="宋体" w:cs="Times New Roman"/>
      <w:sz w:val="21"/>
      <w:szCs w:val="22"/>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ind w:firstLine="225"/>
    </w:pPr>
    <w:rPr>
      <w:rFonts w:ascii="仿宋_GB2312" w:eastAsia="仿宋_GB2312"/>
      <w:sz w:val="32"/>
    </w:rPr>
  </w:style>
  <w:style w:type="paragraph" w:styleId="5">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2842</Words>
  <Characters>3141</Characters>
  <Lines>0</Lines>
  <Paragraphs>0</Paragraphs>
  <TotalTime>10</TotalTime>
  <ScaleCrop>false</ScaleCrop>
  <LinksUpToDate>false</LinksUpToDate>
  <CharactersWithSpaces>3387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2025-10-23T06:20:00Z</dcterms:created>
  <dc:creator>世界很小</dc:creator>
  <cp:lastModifiedBy>世界很小</cp:lastModifiedBy>
  <dcterms:modified xsi:type="dcterms:W3CDTF">2025-11-04T06:30:03Z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AAB3C453709043A495197E3027C35230_11</vt:lpwstr>
  </property>
  <property fmtid="{D5CDD505-2E9C-101B-9397-08002B2CF9AE}" pid="4" name="KSOTemplateDocerSaveRecord">
    <vt:lpwstr>eyJoZGlkIjoiODZhYTAxNTJjOGVlMWQxZjVlMWZkNzlkZDVhOTZiNmQiLCJ1c2VySWQiOiI1ODY1OTAyODIifQ==</vt:lpwstr>
  </property>
</Properties>
</file>