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-154940</wp:posOffset>
                </wp:positionV>
                <wp:extent cx="1824990" cy="13157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824990" cy="1315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2.2pt;mso-position-vertical:absolute;width:143.7pt;height:103.6pt;mso-wrap-distance-left:9.0pt;mso-wrap-distance-top:0.0pt;mso-wrap-distance-right:9.0pt;mso-wrap-distance-bottom:0.0pt;" wrapcoords="99963 -8 0 0 0 100000 99963 100009 37 100009 100000 100000 100000 0 37 -8 99963 -8" stroked="f">
                <v:path textboxrect="0,0,0,0"/>
                <w10:wrap type="tight"/>
                <v:imagedata r:id="rId12"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10"/>
          <w:szCs w:val="10"/>
          <w:highlight w:val="none"/>
        </w:rPr>
      </w:pPr>
      <w:r>
        <w:rPr>
          <w:rFonts w:ascii="华文琥珀" w:eastAsia="华文琥珀"/>
          <w:sz w:val="10"/>
          <w:szCs w:val="10"/>
          <w:highlight w:val="none"/>
        </w:rPr>
      </w:r>
      <w:r/>
    </w:p>
    <w:p>
      <w:pPr>
        <w:rPr>
          <w:rFonts w:ascii="华文琥珀" w:eastAsia="华文琥珀"/>
          <w:sz w:val="21"/>
          <w:szCs w:val="21"/>
          <w:highlight w:val="none"/>
        </w:rPr>
      </w:pPr>
      <w:r>
        <w:rPr>
          <w:rFonts w:ascii="华文琥珀" w:eastAsia="华文琥珀"/>
          <w:sz w:val="21"/>
          <w:szCs w:val="21"/>
          <w:highlight w:val="none"/>
        </w:rPr>
      </w:r>
      <w:r/>
    </w:p>
    <w:p>
      <w:pPr>
        <w:ind w:right="120"/>
        <w:jc w:val="both"/>
        <w:spacing w:line="360" w:lineRule="auto"/>
        <w:rPr>
          <w:rFonts w:hint="eastAsia" w:ascii="仿宋" w:hAnsi="仿宋" w:eastAsia="仿宋" w:cs="仿宋"/>
          <w:b/>
          <w:bCs/>
          <w:sz w:val="60"/>
          <w:szCs w:val="60"/>
          <w:highlight w:val="none"/>
        </w:rPr>
      </w:pPr>
      <w:r/>
      <w:bookmarkStart w:id="2" w:name="_Toc5147"/>
      <w:r/>
      <w:bookmarkEnd w:id="2"/>
      <w:r/>
      <w:r/>
    </w:p>
    <w:p>
      <w:pPr>
        <w:ind w:right="120"/>
        <w:jc w:val="center"/>
        <w:spacing w:line="360" w:lineRule="auto"/>
        <w:rPr>
          <w:rFonts w:hint="eastAsia" w:ascii="仿宋" w:hAnsi="仿宋" w:eastAsia="仿宋" w:cs="仿宋"/>
          <w:b/>
          <w:bCs/>
          <w:sz w:val="96"/>
          <w:szCs w:val="96"/>
          <w:highlight w:val="none"/>
          <w:lang w:eastAsia="zh-CN"/>
        </w:rPr>
      </w:pPr>
      <w:r>
        <w:rPr>
          <w:rFonts w:hint="eastAsia" w:ascii="仿宋" w:hAnsi="仿宋" w:eastAsia="仿宋" w:cs="仿宋"/>
          <w:b/>
          <w:bCs/>
          <w:sz w:val="60"/>
          <w:szCs w:val="60"/>
          <w:highlight w:val="none"/>
          <w:lang w:eastAsia="zh-CN"/>
        </w:rPr>
        <w:t xml:space="preserve">江苏省第二中医院成本管理系统</w:t>
      </w:r>
      <w:r/>
    </w:p>
    <w:p>
      <w:pPr>
        <w:ind w:right="120"/>
        <w:jc w:val="both"/>
        <w:rPr>
          <w:rFonts w:ascii="仿宋" w:hAnsi="仿宋" w:eastAsia="仿宋" w:cs="仿宋"/>
          <w:b/>
          <w:bCs/>
          <w:sz w:val="28"/>
          <w:szCs w:val="28"/>
          <w:highlight w:val="none"/>
        </w:rPr>
      </w:pPr>
      <w:r>
        <w:rPr>
          <w:rFonts w:ascii="仿宋" w:hAnsi="仿宋" w:eastAsia="仿宋" w:cs="仿宋"/>
          <w:b/>
          <w:bCs/>
          <w:sz w:val="28"/>
          <w:szCs w:val="28"/>
          <w:highlight w:val="none"/>
        </w:rPr>
      </w:r>
      <w:r/>
    </w:p>
    <w:p>
      <w:pPr>
        <w:ind w:right="120"/>
        <w:jc w:val="both"/>
        <w:rPr>
          <w:rFonts w:ascii="仿宋" w:hAnsi="仿宋" w:eastAsia="仿宋" w:cs="仿宋"/>
          <w:b/>
          <w:bCs/>
          <w:sz w:val="28"/>
          <w:szCs w:val="28"/>
          <w:highlight w:val="none"/>
        </w:rPr>
      </w:pPr>
      <w:r>
        <w:rPr>
          <w:rFonts w:ascii="仿宋" w:hAnsi="仿宋" w:eastAsia="仿宋" w:cs="仿宋"/>
          <w:b/>
          <w:bCs/>
          <w:sz w:val="28"/>
          <w:szCs w:val="28"/>
          <w:highlight w:val="none"/>
        </w:rPr>
      </w:r>
      <w:r/>
    </w:p>
    <w:p>
      <w:pPr>
        <w:ind w:right="120"/>
        <w:jc w:val="center"/>
        <w:rPr>
          <w:rFonts w:ascii="仿宋" w:hAnsi="仿宋" w:eastAsia="仿宋" w:cs="仿宋"/>
          <w:b/>
          <w:bCs/>
          <w:sz w:val="82"/>
          <w:szCs w:val="82"/>
          <w:highlight w:val="none"/>
        </w:rPr>
      </w:pPr>
      <w:r>
        <w:rPr>
          <w:rFonts w:ascii="仿宋" w:hAnsi="仿宋" w:eastAsia="仿宋" w:cs="仿宋"/>
          <w:b/>
          <w:bCs/>
          <w:sz w:val="82"/>
          <w:szCs w:val="82"/>
          <w:highlight w:val="none"/>
        </w:rPr>
      </w:r>
      <w:r/>
    </w:p>
    <w:p>
      <w:pPr>
        <w:ind w:right="120"/>
        <w:jc w:val="center"/>
        <w:spacing w:line="360" w:lineRule="auto"/>
        <w:rPr>
          <w:rFonts w:ascii="仿宋" w:hAnsi="仿宋" w:eastAsia="仿宋" w:cs="仿宋"/>
          <w:b/>
          <w:bCs/>
          <w:sz w:val="72"/>
          <w:szCs w:val="72"/>
          <w:highlight w:val="none"/>
        </w:rPr>
      </w:pPr>
      <w:r>
        <w:rPr>
          <w:rFonts w:hint="eastAsia" w:ascii="仿宋" w:hAnsi="仿宋" w:eastAsia="仿宋" w:cs="仿宋"/>
          <w:b/>
          <w:bCs/>
          <w:sz w:val="72"/>
          <w:szCs w:val="72"/>
          <w:highlight w:val="none"/>
        </w:rPr>
        <w:t xml:space="preserve">招标文件</w:t>
      </w:r>
      <w:r/>
    </w:p>
    <w:p>
      <w:pPr>
        <w:ind w:firstLine="1980"/>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ind w:firstLine="1980"/>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ind w:right="120"/>
        <w:jc w:val="center"/>
        <w:spacing w:line="360" w:lineRule="auto"/>
        <w:rPr>
          <w:rFonts w:hint="eastAsia" w:ascii="仿宋" w:hAnsi="仿宋" w:eastAsia="仿宋" w:cs="仿宋"/>
          <w:sz w:val="40"/>
          <w:szCs w:val="40"/>
          <w:highlight w:val="none"/>
          <w:lang w:eastAsia="zh-CN"/>
        </w:rPr>
      </w:pPr>
      <w:r>
        <w:rPr>
          <w:rFonts w:hint="eastAsia" w:ascii="仿宋" w:hAnsi="仿宋" w:eastAsia="仿宋" w:cs="仿宋"/>
          <w:sz w:val="40"/>
          <w:szCs w:val="40"/>
          <w:highlight w:val="none"/>
        </w:rPr>
        <w:t xml:space="preserve">项目编号：</w:t>
      </w:r>
      <w:r>
        <w:rPr>
          <w:rFonts w:hint="eastAsia" w:ascii="仿宋" w:hAnsi="仿宋" w:eastAsia="仿宋" w:cs="仿宋"/>
          <w:sz w:val="40"/>
          <w:szCs w:val="40"/>
          <w:lang w:eastAsia="zh-CN"/>
        </w:rPr>
        <w:t xml:space="preserve">JSZC-320000-NJXD-G2025-0050</w:t>
      </w:r>
      <w:r/>
    </w:p>
    <w:p>
      <w:pPr>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ind w:firstLine="1980"/>
        <w:jc w:val="left"/>
        <w:spacing w:line="500" w:lineRule="exact"/>
        <w:rPr>
          <w:rFonts w:ascii="仿宋" w:hAnsi="仿宋" w:eastAsia="仿宋" w:cs="仿宋"/>
          <w:b/>
          <w:bCs/>
          <w:sz w:val="36"/>
          <w:szCs w:val="36"/>
          <w:highlight w:val="none"/>
        </w:rPr>
      </w:pPr>
      <w:r>
        <w:rPr>
          <w:rFonts w:ascii="仿宋" w:hAnsi="仿宋" w:eastAsia="仿宋" w:cs="仿宋"/>
          <w:b/>
          <w:bCs/>
          <w:sz w:val="36"/>
          <w:szCs w:val="36"/>
          <w:highlight w:val="none"/>
        </w:rPr>
      </w:r>
      <w:r/>
    </w:p>
    <w:p>
      <w:pPr>
        <w:rPr>
          <w:rFonts w:ascii="仿宋" w:hAnsi="仿宋" w:eastAsia="仿宋" w:cs="仿宋"/>
          <w:b/>
          <w:bCs/>
          <w:sz w:val="36"/>
          <w:szCs w:val="36"/>
          <w:highlight w:val="none"/>
        </w:rPr>
      </w:pPr>
      <w:r>
        <w:rPr>
          <w:rFonts w:ascii="仿宋" w:hAnsi="仿宋" w:eastAsia="仿宋" w:cs="仿宋"/>
          <w:b/>
          <w:bCs/>
          <w:sz w:val="36"/>
          <w:szCs w:val="36"/>
          <w:highlight w:val="none"/>
        </w:rPr>
      </w:r>
      <w:r/>
    </w:p>
    <w:p>
      <w:pPr>
        <w:rPr>
          <w:rFonts w:ascii="仿宋" w:hAnsi="仿宋" w:eastAsia="仿宋" w:cs="仿宋"/>
          <w:b/>
          <w:bCs/>
          <w:sz w:val="20"/>
          <w:highlight w:val="none"/>
        </w:rPr>
      </w:pPr>
      <w:r>
        <w:rPr>
          <w:rFonts w:ascii="仿宋" w:hAnsi="仿宋" w:eastAsia="仿宋" w:cs="仿宋"/>
          <w:b/>
          <w:bCs/>
          <w:sz w:val="20"/>
          <w:highlight w:val="none"/>
        </w:rPr>
      </w:r>
      <w:r/>
    </w:p>
    <w:p>
      <w:pPr>
        <w:jc w:val="center"/>
        <w:spacing w:line="360" w:lineRule="auto"/>
        <w:rPr>
          <w:rFonts w:ascii="仿宋" w:hAnsi="仿宋" w:eastAsia="仿宋" w:cs="仿宋"/>
          <w:color w:val="000000"/>
          <w:sz w:val="36"/>
          <w:szCs w:val="36"/>
          <w:highlight w:val="none"/>
        </w:rPr>
      </w:pPr>
      <w:r>
        <w:rPr>
          <w:rFonts w:hint="eastAsia" w:ascii="仿宋" w:hAnsi="仿宋" w:eastAsia="仿宋" w:cs="仿宋"/>
          <w:color w:val="000000"/>
          <w:sz w:val="36"/>
          <w:szCs w:val="36"/>
          <w:highlight w:val="none"/>
          <w:lang w:val="en-US" w:eastAsia="zh-CN"/>
        </w:rPr>
        <w:t xml:space="preserve">采购</w:t>
      </w:r>
      <w:r>
        <w:rPr>
          <w:rFonts w:hint="eastAsia" w:ascii="仿宋" w:hAnsi="仿宋" w:eastAsia="仿宋" w:cs="仿宋"/>
          <w:color w:val="000000"/>
          <w:sz w:val="36"/>
          <w:szCs w:val="36"/>
          <w:highlight w:val="none"/>
        </w:rPr>
        <w:t xml:space="preserve">代理机构</w:t>
      </w:r>
      <w:r>
        <w:rPr>
          <w:rFonts w:hint="eastAsia" w:ascii="仿宋" w:hAnsi="仿宋" w:eastAsia="仿宋" w:cs="仿宋"/>
          <w:color w:val="000000"/>
          <w:sz w:val="36"/>
          <w:szCs w:val="36"/>
          <w:highlight w:val="none"/>
          <w:lang w:eastAsia="zh-CN"/>
        </w:rPr>
        <w:t xml:space="preserve">：</w:t>
      </w:r>
      <w:r>
        <w:rPr>
          <w:rFonts w:hint="eastAsia" w:ascii="仿宋" w:hAnsi="仿宋" w:eastAsia="仿宋" w:cs="仿宋"/>
          <w:color w:val="000000"/>
          <w:sz w:val="36"/>
          <w:szCs w:val="36"/>
          <w:highlight w:val="none"/>
        </w:rPr>
        <w:t xml:space="preserve">南京相度工程咨询有限公司</w:t>
      </w:r>
      <w:r/>
    </w:p>
    <w:p>
      <w:pPr>
        <w:jc w:val="center"/>
        <w:rPr>
          <w:rFonts w:ascii="仿宋" w:hAnsi="仿宋" w:eastAsia="仿宋" w:cs="仿宋"/>
          <w:highlight w:val="none"/>
        </w:rPr>
      </w:pPr>
      <w:r>
        <w:rPr>
          <w:rFonts w:hint="eastAsia" w:ascii="仿宋" w:hAnsi="仿宋" w:eastAsia="仿宋" w:cs="仿宋"/>
          <w:color w:val="000000"/>
          <w:sz w:val="36"/>
          <w:szCs w:val="36"/>
          <w:highlight w:val="none"/>
        </w:rPr>
        <w:t xml:space="preserve">日期</w:t>
      </w:r>
      <w:r>
        <w:rPr>
          <w:rFonts w:hint="eastAsia" w:ascii="仿宋" w:hAnsi="仿宋" w:eastAsia="仿宋" w:cs="仿宋"/>
          <w:color w:val="000000"/>
          <w:sz w:val="36"/>
          <w:szCs w:val="36"/>
          <w:highlight w:val="none"/>
          <w:lang w:eastAsia="zh-CN"/>
        </w:rPr>
        <w:t xml:space="preserve">：</w:t>
      </w:r>
      <w:r>
        <w:rPr>
          <w:rFonts w:hint="eastAsia" w:ascii="仿宋" w:hAnsi="仿宋" w:eastAsia="仿宋" w:cs="仿宋"/>
          <w:color w:val="000000"/>
          <w:sz w:val="36"/>
          <w:szCs w:val="36"/>
        </w:rPr>
        <w:t xml:space="preserve">2025年</w:t>
      </w:r>
      <w:r>
        <w:rPr>
          <w:rFonts w:hint="eastAsia" w:ascii="仿宋" w:hAnsi="仿宋" w:eastAsia="仿宋" w:cs="仿宋"/>
          <w:color w:val="000000"/>
          <w:sz w:val="36"/>
          <w:szCs w:val="36"/>
          <w:highlight w:val="none"/>
        </w:rPr>
        <w:t xml:space="preserve">9月</w:t>
      </w:r>
      <w:r/>
    </w:p>
    <w:p>
      <w:pPr>
        <w:jc w:val="center"/>
        <w:spacing w:before="312" w:after="312"/>
        <w:rPr>
          <w:rFonts w:ascii="宋体" w:hAnsi="Calibri"/>
          <w:b/>
          <w:sz w:val="52"/>
          <w:szCs w:val="22"/>
          <w:highlight w:val="none"/>
        </w:rPr>
      </w:pPr>
      <w:r>
        <w:rPr>
          <w:rFonts w:hint="eastAsia" w:ascii="宋体"/>
          <w:b/>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sz w:val="32"/>
          <w:szCs w:val="32"/>
          <w:highlight w:val="none"/>
        </w:rPr>
        <w:fldChar w:fldCharType="begin"/>
      </w:r>
      <w:r>
        <w:rPr>
          <w:rFonts w:ascii="宋体" w:hAnsi="宋体"/>
          <w:b/>
          <w:sz w:val="32"/>
          <w:szCs w:val="32"/>
          <w:highlight w:val="none"/>
        </w:rPr>
        <w:instrText xml:space="preserve"> </w:instrText>
      </w:r>
      <w:r>
        <w:rPr>
          <w:rFonts w:hint="eastAsia" w:ascii="宋体" w:hAnsi="宋体"/>
          <w:b/>
          <w:sz w:val="32"/>
          <w:szCs w:val="32"/>
          <w:highlight w:val="none"/>
        </w:rPr>
        <w:instrText xml:space="preserve">TOC \o "1-3" \h \z \u</w:instrText>
      </w:r>
      <w:r>
        <w:rPr>
          <w:rFonts w:ascii="宋体" w:hAnsi="宋体"/>
          <w:b/>
          <w:sz w:val="32"/>
          <w:szCs w:val="32"/>
          <w:highlight w:val="none"/>
        </w:rPr>
        <w:instrText xml:space="preserve"> </w:instrText>
      </w:r>
      <w:r>
        <w:rPr>
          <w:rFonts w:ascii="宋体" w:hAnsi="宋体"/>
          <w:b/>
          <w:sz w:val="32"/>
          <w:szCs w:val="32"/>
          <w:highlight w:val="none"/>
        </w:rPr>
        <w:fldChar w:fldCharType="separate"/>
      </w:r>
      <w:r/>
    </w:p>
    <w:p>
      <w:pPr>
        <w:spacing w:before="312" w:after="312"/>
        <w:rPr>
          <w:highlight w:val="none"/>
        </w:rPr>
      </w:pPr>
      <w:r>
        <w:rPr>
          <w:rFonts w:ascii="宋体"/>
          <w:b/>
          <w:sz w:val="52"/>
          <w:highlight w:val="none"/>
        </w:rPr>
        <w:fldChar w:fldCharType="end"/>
      </w:r>
      <w:r/>
    </w:p>
    <w:sdt>
      <w:sdtPr>
        <w15:appearance w15:val="boundingBox"/>
        <w15:color w:val="dbdbdb"/>
        <w:id w:val="147469067"/>
        <w:docPartObj>
          <w:docPartGallery w:val="Table of Contents"/>
          <w:docPartUnique w:val="true"/>
        </w:docPartObj>
        <w:rPr>
          <w:rFonts w:hint="eastAsia" w:ascii="仿宋" w:hAnsi="仿宋" w:eastAsia="仿宋" w:cs="仿宋"/>
          <w:sz w:val="28"/>
          <w:szCs w:val="28"/>
          <w:highlight w:val="none"/>
        </w:rPr>
      </w:sdtPr>
      <w:sdtContent>
        <w:p>
          <w:pPr>
            <w:spacing w:before="312" w:after="312"/>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75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28"/>
              <w:szCs w:val="28"/>
              <w:highlight w:val="none"/>
            </w:rPr>
            <w:fldChar w:fldCharType="begin"/>
          </w:r>
          <w:r>
            <w:rPr>
              <w:rFonts w:hint="eastAsia" w:ascii="仿宋" w:hAnsi="仿宋" w:eastAsia="仿宋" w:cs="仿宋"/>
              <w:b/>
              <w:sz w:val="28"/>
              <w:szCs w:val="28"/>
              <w:highlight w:val="none"/>
            </w:rPr>
            <w:instrText xml:space="preserve">TOC \o "1-1" \h \u </w:instrText>
          </w:r>
          <w:r>
            <w:rPr>
              <w:rFonts w:hint="eastAsia" w:ascii="仿宋" w:hAnsi="仿宋" w:eastAsia="仿宋" w:cs="仿宋"/>
              <w:b/>
              <w:sz w:val="28"/>
              <w:szCs w:val="28"/>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_Toc6112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_Toc6112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_Toc2104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_Toc2104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_Toc29669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_Toc29669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25</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_Toc12463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_Toc12463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30</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5"/>
            <w:keepLines w:val="0"/>
            <w:keepNext w:val="0"/>
            <w:pageBreakBefore w:val="0"/>
            <w:spacing w:after="0"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_Toc6412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w:t>
          </w:r>
          <w:r>
            <w:rPr>
              <w:rFonts w:hint="eastAsia" w:ascii="仿宋" w:hAnsi="仿宋" w:eastAsia="仿宋" w:cs="仿宋"/>
              <w:sz w:val="28"/>
              <w:szCs w:val="28"/>
              <w:highlight w:val="none"/>
              <w:lang w:val="en-US" w:eastAsia="zh-CN"/>
            </w:rPr>
            <w:t xml:space="preserve">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_Toc6412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56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5"/>
            <w:keepLines w:val="0"/>
            <w:keepNext w:val="0"/>
            <w:pageBreakBefore w:val="0"/>
            <w:spacing w:after="0"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_Toc26933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_Toc26933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jc w:val="center"/>
            <w:spacing w:before="120" w:after="120" w:line="520" w:lineRule="exact"/>
            <w:rPr>
              <w:rFonts w:ascii="宋体"/>
              <w:b/>
              <w:sz w:val="52"/>
              <w:highlight w:val="none"/>
            </w:rPr>
          </w:pPr>
          <w:r>
            <w:rPr>
              <w:rFonts w:hint="eastAsia" w:ascii="仿宋" w:hAnsi="仿宋" w:eastAsia="仿宋" w:cs="仿宋"/>
              <w:szCs w:val="28"/>
              <w:highlight w:val="none"/>
            </w:rPr>
            <w:fldChar w:fldCharType="end"/>
          </w:r>
          <w:r/>
        </w:p>
      </w:sdtContent>
    </w:sdt>
    <w:p>
      <w:pPr>
        <w:pStyle w:val="933"/>
        <w:jc w:val="center"/>
        <w:spacing w:line="240" w:lineRule="auto"/>
        <w:rPr>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3" w:name="_Toc8061"/>
      <w:r/>
      <w:r/>
    </w:p>
    <w:p>
      <w:pPr>
        <w:pStyle w:val="933"/>
        <w:jc w:val="center"/>
        <w:spacing w:line="240" w:lineRule="auto"/>
        <w:rPr>
          <w:highlight w:val="none"/>
        </w:rPr>
      </w:pPr>
      <w:r/>
      <w:bookmarkStart w:id="4" w:name="_Toc6112"/>
      <w:r>
        <w:rPr>
          <w:rFonts w:hint="eastAsia"/>
          <w:highlight w:val="none"/>
        </w:rPr>
        <w:t xml:space="preserve">第一部分  </w:t>
      </w:r>
      <w:bookmarkEnd w:id="3"/>
      <w:r>
        <w:rPr>
          <w:rFonts w:hint="eastAsia"/>
          <w:highlight w:val="none"/>
        </w:rPr>
        <w:t xml:space="preserve">招标公告</w:t>
      </w:r>
      <w:bookmarkEnd w:id="4"/>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江苏省第二中医院成本管理系统</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lang w:eastAsia="zh-CN"/>
        </w:rPr>
        <w:t xml:space="preserve">JSZC-320000-NJXD-G2025-0050</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的潜在投标人应在南京相度工程咨询</w:t>
      </w:r>
      <w:r>
        <w:rPr>
          <w:rFonts w:hint="eastAsia" w:ascii="仿宋" w:hAnsi="仿宋" w:eastAsia="仿宋" w:cs="仿宋"/>
          <w:bCs/>
          <w:iCs/>
          <w:color w:val="auto"/>
          <w:highlight w:val="none"/>
        </w:rPr>
        <w:t xml:space="preserve">有限公司获取招标文件，并于</w:t>
      </w:r>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5</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9月22日 14:30</w:t>
      </w:r>
      <w:r>
        <w:rPr>
          <w:rFonts w:hint="eastAsia" w:ascii="仿宋" w:hAnsi="仿宋" w:eastAsia="仿宋" w:cs="仿宋"/>
          <w:bCs/>
          <w:iCs/>
          <w:color w:val="auto"/>
          <w:highlight w:val="none"/>
        </w:rPr>
        <w:t xml:space="preserve">（北京时间）前递交投标文件。</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bCs/>
          <w:iCs/>
          <w:color w:val="000000"/>
          <w:highlight w:val="none"/>
          <w:lang w:eastAsia="zh-CN"/>
        </w:rPr>
        <w:t xml:space="preserve">JSZC-320000-NJXD-G2025-0050</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highlight w:val="none"/>
          <w:lang w:eastAsia="zh-CN"/>
        </w:rPr>
        <w:t xml:space="preserve">江苏省第二中医院成本管理系统</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（三）预算金额：</w:t>
      </w:r>
      <w:bookmarkStart w:id="5" w:name="EB839e973c1f9b45a6b4f805f81d6f9994"/>
      <w:r/>
      <w:bookmarkEnd w:id="5"/>
      <w:r>
        <w:rPr>
          <w:rFonts w:hint="eastAsia" w:ascii="仿宋" w:hAnsi="仿宋" w:eastAsia="仿宋" w:cs="仿宋"/>
          <w:color w:val="auto"/>
          <w:highlight w:val="none"/>
          <w:lang w:val="en-US" w:eastAsia="zh-CN"/>
        </w:rPr>
        <w:t xml:space="preserve">120万元</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（四）最高限价（如有）：</w:t>
      </w:r>
      <w:r>
        <w:rPr>
          <w:rFonts w:hint="eastAsia" w:ascii="仿宋" w:hAnsi="仿宋" w:eastAsia="仿宋" w:cs="仿宋"/>
          <w:color w:val="auto"/>
          <w:highlight w:val="none"/>
          <w:lang w:val="en-US" w:eastAsia="zh-CN"/>
        </w:rPr>
        <w:t xml:space="preserve">120万元</w:t>
      </w:r>
      <w:r/>
    </w:p>
    <w:p>
      <w:pPr>
        <w:ind w:firstLine="480"/>
        <w:keepLines w:val="0"/>
        <w:keepNext w:val="0"/>
        <w:pageBreakBefore w:val="0"/>
        <w:spacing w:line="520" w:lineRule="exact"/>
        <w:rPr>
          <w:rFonts w:hint="eastAsia"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highlight w:val="none"/>
          <w:lang w:eastAsia="zh-CN"/>
        </w:rPr>
        <w:t xml:space="preserve">江苏省第二中医院</w:t>
      </w:r>
      <w:r>
        <w:rPr>
          <w:rFonts w:hint="eastAsia" w:ascii="仿宋" w:hAnsi="仿宋" w:eastAsia="仿宋" w:cs="仿宋"/>
          <w:highlight w:val="none"/>
          <w:lang w:val="en-US" w:eastAsia="zh-CN"/>
        </w:rPr>
        <w:t xml:space="preserve">采购医院</w:t>
      </w:r>
      <w:r>
        <w:rPr>
          <w:rFonts w:hint="eastAsia" w:ascii="仿宋" w:hAnsi="仿宋" w:eastAsia="仿宋" w:cs="仿宋"/>
          <w:highlight w:val="none"/>
          <w:lang w:eastAsia="zh-CN"/>
        </w:rPr>
        <w:t xml:space="preserve">成本管理系统、DRG运营分析系统</w:t>
      </w:r>
      <w:r>
        <w:rPr>
          <w:rFonts w:hint="eastAsia" w:ascii="仿宋" w:hAnsi="仿宋" w:eastAsia="仿宋" w:cs="仿宋"/>
          <w:highlight w:val="none"/>
        </w:rPr>
        <w:t xml:space="preserve">，具体要求见招标文件。</w:t>
      </w:r>
      <w:r/>
    </w:p>
    <w:tbl>
      <w:tblPr>
        <w:tblStyle w:val="741"/>
        <w:tblW w:w="7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2673"/>
        <w:gridCol w:w="1254"/>
        <w:gridCol w:w="2728"/>
      </w:tblGrid>
      <w:tr>
        <w:trPr>
          <w:jc w:val="center"/>
          <w:trHeight w:val="604"/>
        </w:trPr>
        <w:tc>
          <w:tcPr>
            <w:tcW w:w="884"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673"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rPr>
              <w:t xml:space="preserve">标项内容</w:t>
            </w:r>
            <w:r/>
          </w:p>
        </w:tc>
        <w:tc>
          <w:tcPr>
            <w:shd w:val="clear" w:color="auto" w:fill="auto"/>
            <w:tcW w:w="1254"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2728"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4"/>
                <w:szCs w:val="24"/>
                <w:highlight w:val="yellow"/>
              </w:rPr>
            </w:pPr>
            <w:r>
              <w:rPr>
                <w:rFonts w:hint="eastAsia" w:ascii="仿宋" w:hAnsi="仿宋" w:eastAsia="仿宋" w:cs="仿宋"/>
                <w:sz w:val="24"/>
                <w:szCs w:val="24"/>
              </w:rPr>
              <w:t xml:space="preserve">预算金额</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万元</w:t>
            </w:r>
            <w:r>
              <w:rPr>
                <w:rFonts w:hint="eastAsia" w:ascii="仿宋" w:hAnsi="仿宋" w:eastAsia="仿宋" w:cs="仿宋"/>
                <w:sz w:val="24"/>
                <w:szCs w:val="24"/>
                <w:lang w:eastAsia="zh-CN"/>
              </w:rPr>
              <w:t xml:space="preserve">）</w:t>
            </w:r>
            <w:r/>
          </w:p>
        </w:tc>
      </w:tr>
      <w:tr>
        <w:trPr>
          <w:jc w:val="center"/>
          <w:trHeight w:val="648"/>
        </w:trPr>
        <w:tc>
          <w:tcPr>
            <w:tcW w:w="884"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2673"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医院</w:t>
            </w:r>
            <w:r>
              <w:rPr>
                <w:rFonts w:hint="eastAsia" w:ascii="仿宋" w:hAnsi="仿宋" w:eastAsia="仿宋" w:cs="仿宋"/>
                <w:sz w:val="24"/>
                <w:szCs w:val="24"/>
              </w:rPr>
              <w:t xml:space="preserve">成本管理系统</w:t>
            </w:r>
            <w:r/>
          </w:p>
        </w:tc>
        <w:tc>
          <w:tcPr>
            <w:shd w:val="clear" w:color="auto" w:fill="auto"/>
            <w:tcW w:w="1254"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rPr>
              <w:t xml:space="preserve">1套</w:t>
            </w:r>
            <w:r/>
          </w:p>
        </w:tc>
        <w:tc>
          <w:tcPr>
            <w:tcW w:w="2728" w:type="dxa"/>
            <w:vAlign w:val="center"/>
            <w:vMerge w:val="restart"/>
            <w:textDirection w:val="lrTb"/>
            <w:noWrap w:val="false"/>
          </w:tcPr>
          <w:p>
            <w:pPr>
              <w:jc w:val="center"/>
              <w:keepLines w:val="0"/>
              <w:keepNext w:val="0"/>
              <w:pageBreakBefore w:val="0"/>
              <w:spacing w:line="52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120</w:t>
            </w:r>
            <w:r>
              <w:rPr>
                <w:rFonts w:hint="eastAsia" w:ascii="仿宋" w:hAnsi="仿宋" w:eastAsia="仿宋" w:cs="仿宋"/>
                <w:sz w:val="24"/>
                <w:szCs w:val="24"/>
                <w:highlight w:val="none"/>
              </w:rPr>
              <w:t xml:space="preserve">万元</w:t>
            </w:r>
            <w:r/>
          </w:p>
        </w:tc>
      </w:tr>
      <w:tr>
        <w:trPr>
          <w:jc w:val="center"/>
          <w:trHeight w:val="754"/>
        </w:trPr>
        <w:tc>
          <w:tcPr>
            <w:tcW w:w="884"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2673"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rPr>
              <w:t xml:space="preserve">DRG运营分析系统</w:t>
            </w:r>
            <w:r/>
          </w:p>
        </w:tc>
        <w:tc>
          <w:tcPr>
            <w:shd w:val="clear" w:color="auto" w:fill="auto"/>
            <w:tcW w:w="1254" w:type="dxa"/>
            <w:vAlign w:val="center"/>
            <w:textDirection w:val="lrTb"/>
            <w:noWrap w:val="false"/>
          </w:tcPr>
          <w:p>
            <w:pPr>
              <w:jc w:val="center"/>
              <w:keepLines w:val="0"/>
              <w:keepNext w:val="0"/>
              <w:pageBreakBefore w:val="0"/>
              <w:spacing w:line="520" w:lineRule="exact"/>
              <w:widowControl/>
              <w:rPr>
                <w:rFonts w:hint="eastAsia" w:ascii="仿宋" w:hAnsi="仿宋" w:eastAsia="仿宋" w:cs="仿宋"/>
                <w:sz w:val="24"/>
                <w:szCs w:val="24"/>
              </w:rPr>
            </w:pPr>
            <w:r>
              <w:rPr>
                <w:rFonts w:hint="eastAsia" w:ascii="仿宋" w:hAnsi="仿宋" w:eastAsia="仿宋" w:cs="仿宋"/>
                <w:sz w:val="24"/>
                <w:szCs w:val="24"/>
              </w:rPr>
              <w:t xml:space="preserve">1套</w:t>
            </w:r>
            <w:r/>
          </w:p>
        </w:tc>
        <w:tc>
          <w:tcPr>
            <w:tcW w:w="2728" w:type="dxa"/>
            <w:vAlign w:val="center"/>
            <w:vMerge w:val="continue"/>
            <w:textDirection w:val="lrTb"/>
            <w:noWrap w:val="false"/>
          </w:tcPr>
          <w:p>
            <w:pPr>
              <w:jc w:val="center"/>
              <w:keepLines w:val="0"/>
              <w:keepNext w:val="0"/>
              <w:pageBreakBefore w:val="0"/>
              <w:spacing w:line="520" w:lineRule="exact"/>
              <w:widowControl/>
              <w:rPr>
                <w:rFonts w:hint="eastAsia" w:ascii="仿宋" w:hAnsi="仿宋" w:eastAsia="仿宋" w:cs="仿宋"/>
                <w:sz w:val="24"/>
                <w:szCs w:val="24"/>
                <w:highlight w:val="yellow"/>
              </w:rPr>
            </w:pPr>
            <w:r>
              <w:rPr>
                <w:rFonts w:hint="eastAsia" w:ascii="仿宋" w:hAnsi="仿宋" w:eastAsia="仿宋" w:cs="仿宋"/>
                <w:sz w:val="24"/>
                <w:szCs w:val="24"/>
                <w:highlight w:val="yellow"/>
              </w:rPr>
            </w:r>
            <w:r/>
          </w:p>
        </w:tc>
      </w:tr>
    </w:tbl>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（六）合同履行期限：</w:t>
      </w:r>
      <w:r>
        <w:rPr>
          <w:rFonts w:hint="eastAsia" w:ascii="仿宋" w:hAnsi="仿宋" w:eastAsia="仿宋" w:cs="仿宋"/>
          <w:color w:val="auto"/>
          <w:highlight w:val="none"/>
          <w:lang w:val="en-US" w:eastAsia="zh-CN"/>
        </w:rPr>
        <w:t xml:space="preserve">合同签订后5个月内。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1.具有独立承担民事责任的能力</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法人或者其他组织的营业执照等证明文件，自然人的身份证明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2.具有良好的商业信誉和健全的财务会计制度</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上一年度的财务状况报告，至少包括利润表和资产负债表，成立不满一年的无需提供</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3.依法缴纳税收和社会保障资金的</w:t>
      </w:r>
      <w:r>
        <w:rPr>
          <w:rFonts w:hint="eastAsia" w:ascii="仿宋" w:hAnsi="仿宋" w:eastAsia="仿宋" w:cs="仿宋"/>
          <w:color w:val="auto"/>
          <w:highlight w:val="none"/>
          <w:lang w:val="en-US" w:eastAsia="zh-CN"/>
        </w:rPr>
        <w:t xml:space="preserve">相关材料</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4.具备履行合同所必需的设备和专业技术能力</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lang w:val="en-US" w:eastAsia="zh-CN"/>
        </w:rPr>
        <w:t xml:space="preserve">书面声明</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5.参加采购活动前3年内在经营活动中没有重大违法记录</w:t>
      </w:r>
      <w:r>
        <w:rPr>
          <w:rFonts w:hint="eastAsia" w:ascii="仿宋" w:hAnsi="仿宋" w:eastAsia="仿宋" w:cs="仿宋"/>
          <w:color w:val="auto"/>
          <w:highlight w:val="none"/>
          <w:lang w:eastAsia="zh-CN"/>
        </w:rPr>
        <w:t xml:space="preserve">的</w:t>
      </w:r>
      <w:r>
        <w:rPr>
          <w:rFonts w:hint="eastAsia" w:ascii="仿宋" w:hAnsi="仿宋" w:eastAsia="仿宋" w:cs="仿宋"/>
          <w:color w:val="auto"/>
          <w:highlight w:val="none"/>
          <w:lang w:val="en-US" w:eastAsia="zh-CN"/>
        </w:rPr>
        <w:t xml:space="preserve">书面声明</w:t>
      </w:r>
      <w:r>
        <w:rPr>
          <w:rFonts w:hint="eastAsia" w:ascii="仿宋" w:hAnsi="仿宋" w:eastAsia="仿宋" w:cs="仿宋"/>
          <w:color w:val="auto"/>
          <w:highlight w:val="none"/>
        </w:rPr>
        <w:t xml:space="preserve">。</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auto"/>
          <w:highlight w:val="none"/>
        </w:rPr>
        <w:t xml:space="preserve">6.</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rPr>
          <w:rFonts w:hint="eastAsia" w:ascii="仿宋" w:hAnsi="仿宋" w:eastAsia="仿宋" w:cs="仿宋"/>
          <w:color w:val="000000"/>
          <w:highlight w:val="none"/>
        </w:rPr>
        <w:t xml:space="preserve">。</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法律、行政法规规定的其他条件。</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（二）落实政府采购政策需满足的资格要求：本项目无落实政府采购政策需满足的资格要求</w:t>
      </w:r>
      <w:r>
        <w:rPr>
          <w:rFonts w:hint="eastAsia" w:ascii="仿宋" w:hAnsi="仿宋" w:eastAsia="仿宋" w:cs="仿宋"/>
          <w:color w:val="000000"/>
          <w:highlight w:val="none"/>
          <w:lang w:eastAsia="zh-CN"/>
        </w:rPr>
        <w:t xml:space="preserve">。</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（三）本项目的特定资格要求：本项目无特定资格要求</w:t>
      </w:r>
      <w:r>
        <w:rPr>
          <w:rFonts w:hint="eastAsia" w:ascii="仿宋" w:hAnsi="仿宋" w:eastAsia="仿宋" w:cs="仿宋"/>
          <w:color w:val="000000"/>
          <w:highlight w:val="none"/>
          <w:lang w:eastAsia="zh-CN"/>
        </w:rPr>
        <w:t xml:space="preserve">。</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highlight w:val="none"/>
        </w:rPr>
        <w:t xml:space="preserve">（一）时间：</w:t>
      </w:r>
      <w:bookmarkStart w:id="6" w:name="EBd6e08bd78d674b669f89e3eb71dbbd3d"/>
      <w:r>
        <w:rPr>
          <w:rFonts w:hint="eastAsia" w:ascii="仿宋" w:hAnsi="仿宋" w:eastAsia="仿宋" w:cs="仿宋"/>
          <w:bCs/>
          <w:color w:val="000000"/>
          <w:sz w:val="24"/>
          <w:szCs w:val="24"/>
          <w:highlight w:val="none"/>
        </w:rPr>
        <w:t xml:space="preserve">2025年</w:t>
      </w:r>
      <w:r>
        <w:rPr>
          <w:rFonts w:hint="eastAsia" w:ascii="仿宋" w:hAnsi="仿宋" w:eastAsia="仿宋" w:cs="仿宋"/>
          <w:bCs/>
          <w:color w:val="000000"/>
          <w:sz w:val="24"/>
          <w:szCs w:val="24"/>
          <w:highlight w:val="none"/>
        </w:rPr>
        <w:t xml:space="preserve">9月</w:t>
      </w:r>
      <w:r>
        <w:rPr>
          <w:rFonts w:hint="eastAsia" w:ascii="仿宋" w:hAnsi="仿宋" w:eastAsia="仿宋" w:cs="仿宋"/>
          <w:bCs/>
          <w:color w:val="000000"/>
          <w:sz w:val="24"/>
          <w:szCs w:val="24"/>
          <w:highlight w:val="none"/>
        </w:rPr>
        <w:t xml:space="preserve">1日</w:t>
      </w:r>
      <w:r>
        <w:rPr>
          <w:rFonts w:hint="eastAsia" w:ascii="仿宋" w:hAnsi="仿宋" w:eastAsia="仿宋" w:cs="仿宋"/>
          <w:bCs/>
          <w:color w:val="000000"/>
          <w:sz w:val="24"/>
          <w:szCs w:val="24"/>
          <w:highlight w:val="none"/>
          <w:lang w:val="en-US" w:eastAsia="zh-CN"/>
        </w:rPr>
        <w:t xml:space="preserve">09</w:t>
      </w:r>
      <w:r>
        <w:rPr>
          <w:rFonts w:hint="eastAsia" w:ascii="仿宋" w:hAnsi="仿宋" w:eastAsia="仿宋" w:cs="仿宋"/>
          <w:bCs/>
          <w:color w:val="000000"/>
          <w:sz w:val="24"/>
          <w:szCs w:val="24"/>
          <w:highlight w:val="none"/>
        </w:rPr>
        <w:t xml:space="preserve">:00</w:t>
      </w:r>
      <w:bookmarkEnd w:id="6"/>
      <w:r>
        <w:rPr>
          <w:rFonts w:hint="eastAsia" w:ascii="仿宋" w:hAnsi="仿宋" w:eastAsia="仿宋" w:cs="仿宋"/>
          <w:bCs/>
          <w:color w:val="000000"/>
          <w:sz w:val="24"/>
          <w:szCs w:val="24"/>
          <w:highlight w:val="none"/>
        </w:rPr>
        <w:t xml:space="preserve">至</w:t>
      </w:r>
      <w:bookmarkStart w:id="7" w:name="EB4a82fe30d91a48338ebb02b9012d939c"/>
      <w:r>
        <w:rPr>
          <w:rFonts w:hint="eastAsia" w:ascii="仿宋" w:hAnsi="仿宋" w:eastAsia="仿宋" w:cs="仿宋"/>
          <w:bCs/>
          <w:color w:val="000000"/>
          <w:sz w:val="24"/>
          <w:szCs w:val="24"/>
          <w:highlight w:val="none"/>
        </w:rPr>
        <w:t xml:space="preserve">2025年</w:t>
      </w:r>
      <w:r>
        <w:rPr>
          <w:rFonts w:hint="eastAsia" w:ascii="仿宋" w:hAnsi="仿宋" w:eastAsia="仿宋" w:cs="仿宋"/>
          <w:bCs/>
          <w:color w:val="000000"/>
          <w:sz w:val="24"/>
          <w:szCs w:val="24"/>
          <w:highlight w:val="none"/>
          <w:lang w:val="en-US" w:eastAsia="zh-CN"/>
        </w:rPr>
        <w:t xml:space="preserve">9</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rPr>
        <w:t xml:space="preserve">8日</w:t>
      </w:r>
      <w:r>
        <w:rPr>
          <w:rFonts w:hint="eastAsia" w:ascii="仿宋" w:hAnsi="仿宋" w:eastAsia="仿宋" w:cs="仿宋"/>
          <w:bCs/>
          <w:color w:val="000000"/>
          <w:sz w:val="24"/>
          <w:szCs w:val="24"/>
          <w:highlight w:val="none"/>
        </w:rPr>
        <w:t xml:space="preserve">17:00</w:t>
      </w:r>
      <w:bookmarkEnd w:id="7"/>
      <w:r>
        <w:rPr>
          <w:rFonts w:hint="eastAsia" w:ascii="仿宋" w:hAnsi="仿宋" w:eastAsia="仿宋" w:cs="仿宋"/>
          <w:bCs/>
          <w:color w:val="000000"/>
          <w:sz w:val="24"/>
          <w:szCs w:val="24"/>
          <w:highlight w:val="none"/>
        </w:rPr>
        <w:t xml:space="preserve">，每天上午9:00-11:30，下午14:00-17:00（北京时间）。</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提供期限届满后，获取采购文件的潜在供应商不足3家的，可以顺延提供期限，并予公告。</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（二）地点：南京相度工程咨询有限公司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bCs/>
          <w:color w:val="000000"/>
          <w:highlight w:val="none"/>
        </w:rPr>
        <w:t xml:space="preserve">（三）方式：</w:t>
      </w:r>
      <w:r>
        <w:rPr>
          <w:rFonts w:ascii="FangSong" w:hAnsi="FangSong" w:eastAsia="FangSong" w:cs="FangSong"/>
          <w:color w:val="000000"/>
          <w:sz w:val="24"/>
        </w:rPr>
        <w:t xml:space="preserve">微信公众号（服务号）下方菜单栏“文件获取”中填写信息，获取纸质采购文件。微信公众号（服务号）名称：南京相度工程咨询有限公司。</w:t>
      </w:r>
      <w:r/>
    </w:p>
    <w:p>
      <w:pPr>
        <w:jc w:val="center"/>
        <w:keepLines w:val="0"/>
        <w:keepNext w:val="0"/>
        <w:pageBreakBefore w:val="0"/>
        <w:spacing w:line="240" w:lineRule="auto"/>
        <w:widowControl w:val="off"/>
        <w:rPr>
          <w:rFonts w:hint="eastAsia" w:ascii="仿宋" w:hAnsi="仿宋" w:eastAsia="仿宋" w:cs="仿宋"/>
          <w:bCs/>
          <w:color w:val="000000"/>
          <w:highlight w:val="none"/>
        </w:rPr>
      </w:pPr>
      <w:r>
        <w:rPr>
          <w:rFonts w:hint="eastAsia" w:ascii="Times New Roman" w:hAnsi="仿宋_GB2312" w:eastAsia="仿宋_GB2312" w:cs="Times New Roman"/>
          <w:bCs/>
          <w:color w:val="000000"/>
          <w:sz w:val="24"/>
          <w:szCs w:val="24"/>
          <w:highlight w:val="none"/>
          <w:lang w:eastAsia="zh-CN"/>
        </w:rPr>
        <mc:AlternateContent>
          <mc:Choice Requires="wpg">
            <w:drawing>
              <wp:inline xmlns:wp="http://schemas.openxmlformats.org/drawingml/2006/wordprocessingDrawing" distT="0" distB="0" distL="0" distR="0">
                <wp:extent cx="1403985" cy="1403985"/>
                <wp:effectExtent l="0" t="0" r="5715" b="5715"/>
                <wp:docPr id="3"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图片1"/>
                        <pic:cNvPicPr>
                          <a:picLocks noChangeAspect="1"/>
                        </pic:cNvPicPr>
                        <pic:nvPr/>
                      </pic:nvPicPr>
                      <pic:blipFill>
                        <a:blip r:embed="rId13"/>
                        <a:stretch/>
                      </pic:blipFill>
                      <pic:spPr bwMode="auto">
                        <a:xfrm>
                          <a:off x="0" y="0"/>
                          <a:ext cx="1403985" cy="1403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0.5pt;height:110.5pt;mso-wrap-distance-left:0.0pt;mso-wrap-distance-top:0.0pt;mso-wrap-distance-right:0.0pt;mso-wrap-distance-bottom:0.0pt;" stroked="f">
                <v:path textboxrect="0,0,0,0"/>
                <v:imagedata r:id="rId13" o:title=""/>
              </v:shape>
            </w:pict>
          </mc:Fallback>
        </mc:AlternateConten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00元/</w:t>
      </w:r>
      <w:r>
        <w:rPr>
          <w:rFonts w:hint="eastAsia" w:ascii="仿宋" w:hAnsi="仿宋" w:eastAsia="仿宋" w:cs="仿宋"/>
          <w:color w:val="000000"/>
          <w:highlight w:val="none"/>
          <w:lang w:val="en-US" w:eastAsia="zh-CN"/>
        </w:rPr>
        <w:t xml:space="preserve">包</w:t>
      </w:r>
      <w:r>
        <w:rPr>
          <w:rFonts w:hint="eastAsia" w:ascii="仿宋" w:hAnsi="仿宋" w:eastAsia="仿宋" w:cs="仿宋"/>
          <w:color w:val="000000"/>
          <w:highlight w:val="none"/>
        </w:rPr>
        <w:t xml:space="preserve">，售后不</w:t>
      </w:r>
      <w:r>
        <w:rPr>
          <w:rFonts w:hint="eastAsia" w:ascii="仿宋" w:hAnsi="仿宋" w:eastAsia="仿宋" w:cs="仿宋"/>
          <w:bCs/>
          <w:color w:val="000000"/>
          <w:highlight w:val="none"/>
        </w:rPr>
        <w:t xml:space="preserve">退。</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r>
        <w:rPr>
          <w:rFonts w:hint="eastAsia" w:ascii="仿宋" w:hAnsi="仿宋" w:eastAsia="仿宋" w:cs="仿宋"/>
          <w:color w:val="auto"/>
          <w:highlight w:val="none"/>
        </w:rPr>
        <w:t xml:space="preserve">：</w:t>
      </w:r>
      <w:bookmarkStart w:id="8" w:name="EB32f26f7a56ea4234ac2c058c48587799"/>
      <w:r/>
      <w:bookmarkEnd w:id="8"/>
      <w:r>
        <w:rPr>
          <w:rFonts w:hint="eastAsia" w:ascii="仿宋" w:hAnsi="仿宋" w:eastAsia="仿宋" w:cs="仿宋"/>
          <w:bCs/>
          <w:color w:val="000000"/>
          <w:sz w:val="24"/>
          <w:szCs w:val="24"/>
          <w:highlight w:val="none"/>
        </w:rPr>
        <w:t xml:space="preserve">2025年</w:t>
      </w:r>
      <w:bookmarkStart w:id="91" w:name="_GoBack"/>
      <w:r>
        <w:rPr>
          <w:rFonts w:hint="eastAsia" w:ascii="仿宋" w:hAnsi="仿宋" w:eastAsia="仿宋" w:cs="仿宋"/>
          <w:bCs/>
          <w:color w:val="000000"/>
          <w:sz w:val="24"/>
          <w:szCs w:val="24"/>
          <w:highlight w:val="none"/>
          <w:lang w:val="en-US" w:eastAsia="zh-CN"/>
        </w:rPr>
        <w:t xml:space="preserve">9</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22</w:t>
      </w:r>
      <w:r>
        <w:rPr>
          <w:rFonts w:hint="eastAsia" w:ascii="仿宋" w:hAnsi="仿宋" w:eastAsia="仿宋" w:cs="仿宋"/>
          <w:bCs/>
          <w:color w:val="000000"/>
          <w:sz w:val="24"/>
          <w:szCs w:val="24"/>
          <w:highlight w:val="none"/>
        </w:rPr>
        <w:t xml:space="preserve">日</w:t>
      </w:r>
      <w:r>
        <w:rPr>
          <w:rFonts w:hint="eastAsia" w:ascii="仿宋" w:hAnsi="仿宋" w:eastAsia="仿宋" w:cs="仿宋"/>
          <w:bCs/>
          <w:iCs/>
          <w:color w:val="000000"/>
          <w:sz w:val="24"/>
          <w:highlight w:val="none"/>
        </w:rPr>
        <w:t xml:space="preserve"> </w:t>
      </w:r>
      <w:r>
        <w:rPr>
          <w:rFonts w:hint="eastAsia" w:ascii="仿宋" w:hAnsi="仿宋" w:eastAsia="仿宋" w:cs="仿宋"/>
          <w:bCs/>
          <w:iCs/>
          <w:color w:val="000000"/>
          <w:sz w:val="24"/>
          <w:highlight w:val="none"/>
          <w:lang w:val="en-US" w:eastAsia="zh-CN"/>
        </w:rPr>
        <w:t xml:space="preserve">14:3</w:t>
      </w:r>
      <w:r>
        <w:rPr>
          <w:rFonts w:hint="eastAsia" w:ascii="仿宋" w:hAnsi="仿宋" w:eastAsia="仿宋" w:cs="仿宋"/>
          <w:bCs/>
          <w:iCs/>
          <w:color w:val="000000"/>
          <w:sz w:val="24"/>
          <w:highlight w:val="none"/>
        </w:rPr>
        <w:t xml:space="preserve">0</w:t>
      </w:r>
      <w:r>
        <w:rPr>
          <w:rFonts w:hint="eastAsia" w:ascii="仿宋" w:hAnsi="仿宋" w:eastAsia="仿宋" w:cs="仿宋"/>
          <w:bCs/>
          <w:iCs/>
          <w:color w:val="auto"/>
          <w:highlight w:val="none"/>
        </w:rPr>
        <w:t xml:space="preserve">（</w:t>
      </w:r>
      <w:bookmarkEnd w:id="91"/>
      <w:r>
        <w:rPr>
          <w:rFonts w:hint="eastAsia" w:ascii="仿宋" w:hAnsi="仿宋" w:eastAsia="仿宋" w:cs="仿宋"/>
          <w:bCs/>
          <w:iCs/>
          <w:color w:val="auto"/>
          <w:highlight w:val="none"/>
        </w:rPr>
        <w:t xml:space="preserve">北</w:t>
      </w:r>
      <w:r>
        <w:rPr>
          <w:rFonts w:hint="eastAsia" w:ascii="仿宋" w:hAnsi="仿宋" w:eastAsia="仿宋" w:cs="仿宋"/>
          <w:bCs/>
          <w:iCs/>
          <w:color w:val="000000"/>
          <w:highlight w:val="none"/>
        </w:rPr>
        <w:t xml:space="preserve">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9" w:name="EB5915918a541e40afa5d8d4e64ad5179a"/>
      <w:r>
        <w:rPr>
          <w:rFonts w:hint="eastAsia" w:ascii="仿宋" w:hAnsi="仿宋" w:eastAsia="仿宋" w:cs="仿宋"/>
          <w:color w:val="000000"/>
          <w:highlight w:val="none"/>
        </w:rPr>
        <w:t xml:space="preserve">南京市中山南路414号投资大厦A层（13层）C室开标厅。</w:t>
      </w:r>
      <w:bookmarkEnd w:id="9"/>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六、其他补充事宜</w:t>
      </w:r>
      <w:r/>
    </w:p>
    <w:p>
      <w:pPr>
        <w:ind w:firstLine="482"/>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lang w:val="en-US" w:eastAsia="zh-CN"/>
        </w:rPr>
        <w:t xml:space="preserve">无</w:t>
      </w:r>
      <w:r/>
    </w:p>
    <w:p>
      <w:pPr>
        <w:ind w:firstLine="482"/>
        <w:spacing w:line="50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七、对本次采购提出询问，请按以下方式联系。</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名称：</w:t>
      </w:r>
      <w:r>
        <w:rPr>
          <w:rFonts w:hint="eastAsia" w:ascii="仿宋" w:hAnsi="仿宋" w:eastAsia="仿宋" w:cs="仿宋"/>
          <w:highlight w:val="none"/>
          <w:lang w:eastAsia="zh-CN"/>
        </w:rPr>
        <w:t xml:space="preserve">江苏省第二中医院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地址：南京市建邺区南湖路23号</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highlight w:val="none"/>
          <w:lang w:val="en-US" w:eastAsia="zh-CN"/>
        </w:rPr>
        <w:t xml:space="preserve">纪老师</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联系方式：025-83291402</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地址：南京市中山南路414号投资大厦A层（13层）C室</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联系人：阮登湖</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项目负责人</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bookmarkStart w:id="10" w:name="EB6c5d4254c80a4b9cbed1a4ace593426e"/>
      <w:r>
        <w:rPr>
          <w:rFonts w:hint="eastAsia" w:ascii="仿宋" w:hAnsi="仿宋" w:eastAsia="仿宋" w:cs="仿宋"/>
          <w:highlight w:val="none"/>
        </w:rPr>
        <w:t xml:space="preserve">项目联系人：阮登湖</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项目负责人</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万晗晓</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10"/>
      <w:r/>
      <w:r/>
    </w:p>
    <w:p>
      <w:pPr>
        <w:rPr>
          <w:highlight w:val="none"/>
        </w:rPr>
      </w:pPr>
      <w:r>
        <w:rPr>
          <w:highlight w:val="none"/>
        </w:rPr>
        <w:br w:type="page" w:clear="all"/>
      </w:r>
      <w:r/>
    </w:p>
    <w:p>
      <w:pPr>
        <w:pStyle w:val="933"/>
        <w:jc w:val="center"/>
        <w:spacing w:line="240" w:lineRule="auto"/>
        <w:rPr>
          <w:highlight w:val="none"/>
        </w:rPr>
      </w:pPr>
      <w:r/>
      <w:bookmarkStart w:id="11" w:name="_Toc2104"/>
      <w:r/>
      <w:bookmarkStart w:id="12" w:name="_Toc4509"/>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1"/>
      <w:r/>
      <w:bookmarkEnd w:id="12"/>
      <w:r/>
      <w:r/>
    </w:p>
    <w:p>
      <w:pPr>
        <w:pStyle w:val="934"/>
        <w:spacing w:before="0" w:after="0" w:line="240" w:lineRule="auto"/>
        <w:rPr>
          <w:highlight w:val="none"/>
        </w:rPr>
      </w:pPr>
      <w:r/>
      <w:bookmarkStart w:id="13" w:name="_Toc921"/>
      <w:r>
        <w:rPr>
          <w:rFonts w:hint="eastAsia"/>
          <w:highlight w:val="none"/>
          <w:lang w:eastAsia="zh-CN"/>
        </w:rPr>
        <w:t xml:space="preserve">投标人</w:t>
      </w:r>
      <w:r>
        <w:rPr>
          <w:rFonts w:hint="eastAsia"/>
          <w:highlight w:val="none"/>
        </w:rPr>
        <w:t xml:space="preserve">须知前附表：</w:t>
      </w:r>
      <w:bookmarkEnd w:id="13"/>
      <w:r/>
      <w:r/>
    </w:p>
    <w:tbl>
      <w:tblPr>
        <w:tblStyle w:val="74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4"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投标文件份数</w:t>
            </w:r>
            <w:r/>
          </w:p>
        </w:tc>
        <w:tc>
          <w:tcPr>
            <w:tcW w:w="6859" w:type="dxa"/>
            <w:vAlign w:val="center"/>
            <w:textDirection w:val="lrTb"/>
            <w:noWrap w:val="false"/>
          </w:tcPr>
          <w:p>
            <w:pPr>
              <w:spacing w:line="560" w:lineRule="exact"/>
              <w:widowControl/>
              <w:rPr>
                <w:rFonts w:hint="eastAsia" w:ascii="仿宋" w:hAnsi="仿宋" w:eastAsia="仿宋" w:cs="仿宋"/>
                <w:color w:val="000000"/>
                <w:highlight w:val="none"/>
              </w:rPr>
            </w:pPr>
            <w:r/>
            <w:bookmarkStart w:id="15" w:name="EBf2540e281f614ac8b4efc83b6e64d4d2"/>
            <w:r/>
            <w:bookmarkEnd w:id="15"/>
            <w:r>
              <w:rPr>
                <w:rFonts w:hint="eastAsia" w:ascii="仿宋" w:hAnsi="仿宋" w:eastAsia="仿宋" w:cs="仿宋"/>
                <w:color w:val="000000"/>
                <w:highlight w:val="none"/>
              </w:rPr>
              <w:t xml:space="preserve">纸质版文件正本1份，副本</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份，</w:t>
            </w:r>
            <w:r>
              <w:rPr>
                <w:rFonts w:hint="eastAsia" w:ascii="仿宋" w:hAnsi="仿宋" w:eastAsia="仿宋" w:cs="仿宋"/>
                <w:highlight w:val="none"/>
              </w:rPr>
              <w:t xml:space="preserve">信用记录表1份，</w:t>
            </w:r>
            <w:r>
              <w:rPr>
                <w:rFonts w:hint="eastAsia" w:ascii="仿宋" w:hAnsi="仿宋" w:eastAsia="仿宋" w:cs="仿宋"/>
                <w:color w:val="000000"/>
                <w:highlight w:val="none"/>
              </w:rPr>
              <w:t xml:space="preserve">电子版文件1份（包含盖章pdf扫描件的U盘，在U盘上标注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名称及项目编号，U盘递交后不予退还)。</w:t>
            </w:r>
            <w:r/>
          </w:p>
          <w:p>
            <w:pPr>
              <w:spacing w:line="56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副本投标（响应）文件为正本复印件，电子版投标（响应）文件为正本扫描件，二者内容均须与正本一致。正本、副本及电子版文件须清晰可辨，内容出现不一致的，以正本为准。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投标文件的装订、密封及标记</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(1)投标文件必须装订成册，文件不可轻易拆页换页。</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(2)“开标一览表”、“投标文件正本”、“投标文件副本”、“电子投标文件”均应单独密封，单独递交。</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(3)“开标一览表”、“投标文件正本”、“投标文件副本”、“电子投标文件”在封套上注明“开标一览表”、“投标文件正本”、“投标文件副本”、“电子投标文件”。</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(4)所有封套上均须按如下格式写明：</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  招标项目名称：</w:t>
            </w:r>
            <w:r/>
          </w:p>
          <w:p>
            <w:pPr>
              <w:ind w:firstLine="240"/>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招标项目编号：</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的全称、地址、邮编和电话。</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并写明“在（投标截止时间）之前不得启封”字样。</w:t>
            </w:r>
            <w:r/>
          </w:p>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未按上述规定密封的投标文件,采购代理机构将拒绝接收。</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评分办法</w:t>
            </w:r>
            <w:r/>
          </w:p>
        </w:tc>
        <w:tc>
          <w:tcPr>
            <w:tcW w:w="6859" w:type="dxa"/>
            <w:vAlign w:val="center"/>
            <w:textDirection w:val="lrTb"/>
            <w:noWrap w:val="false"/>
          </w:tcPr>
          <w:p>
            <w:pPr>
              <w:pStyle w:val="957"/>
              <w:jc w:val="both"/>
              <w:spacing w:line="560" w:lineRule="exact"/>
              <w:rPr>
                <w:rFonts w:ascii="仿宋" w:hAnsi="仿宋" w:eastAsia="仿宋" w:cs="仿宋"/>
                <w:color w:val="000000"/>
                <w:sz w:val="21"/>
                <w:highlight w:val="none"/>
              </w:rPr>
            </w:pPr>
            <w:r>
              <w:rPr>
                <w:rFonts w:hint="eastAsia" w:ascii="仿宋" w:hAnsi="仿宋" w:eastAsia="仿宋" w:cs="仿宋"/>
                <w:color w:val="000000"/>
                <w:szCs w:val="24"/>
                <w:highlight w:val="none"/>
              </w:rPr>
              <w:t xml:space="preserve">综合评分法。具体细则详见招标文件评标办法部分。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rHeight w:val="1963"/>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tcW w:w="6859" w:type="dxa"/>
            <w:vAlign w:val="center"/>
            <w:textDirection w:val="lrTb"/>
            <w:noWrap w:val="false"/>
          </w:tcPr>
          <w:p>
            <w:pPr>
              <w:spacing w:line="56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本项目采购代理服务费按计价格</w:t>
            </w:r>
            <w:r>
              <w:rPr>
                <w:rFonts w:hint="eastAsia" w:ascii="仿宋" w:hAnsi="仿宋" w:eastAsia="仿宋" w:cs="仿宋"/>
                <w:sz w:val="24"/>
                <w:szCs w:val="24"/>
                <w:highlight w:val="none"/>
                <w:lang w:eastAsia="zh-CN"/>
              </w:rPr>
              <w:t xml:space="preserve">〔2002〕1980号</w:t>
            </w:r>
            <w:r>
              <w:rPr>
                <w:rFonts w:hint="eastAsia" w:ascii="仿宋" w:hAnsi="仿宋" w:eastAsia="仿宋" w:cs="仿宋"/>
                <w:sz w:val="24"/>
                <w:szCs w:val="24"/>
                <w:highlight w:val="none"/>
              </w:rPr>
              <w:t xml:space="preserve">文标准的60%计取，在领取成交通知书前一次性缴纳。</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b w:val="0"/>
                <w:bCs/>
                <w:highlight w:val="none"/>
                <w:lang w:val="en-US" w:eastAsia="zh-CN"/>
              </w:rPr>
              <w:t xml:space="preserve">按照招标文件付款方式约定需要缴纳履约保证金的，应按要求缴纳</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bookmarkStart w:id="16" w:name="_Toc6204"/>
            <w:r>
              <w:rPr>
                <w:rFonts w:hint="eastAsia" w:ascii="仿宋" w:hAnsi="仿宋" w:eastAsia="仿宋" w:cs="仿宋"/>
                <w:color w:val="000000"/>
                <w:highlight w:val="none"/>
              </w:rPr>
              <w:t xml:space="preserve">10</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lang w:val="en-US" w:eastAsia="zh-CN"/>
              </w:rPr>
              <w:t xml:space="preserve">零售业</w:t>
            </w:r>
            <w:r>
              <w:rPr>
                <w:rFonts w:hint="eastAsia" w:ascii="仿宋" w:hAnsi="仿宋" w:eastAsia="仿宋" w:cs="仿宋"/>
                <w:color w:val="000000"/>
                <w:highlight w:val="none"/>
              </w:rPr>
              <w:t xml:space="preserve">。</w:t>
            </w:r>
            <w:bookmarkEnd w:id="14"/>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货物类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bl>
    <w:p>
      <w:pPr>
        <w:pStyle w:val="934"/>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6"/>
      <w:r/>
      <w:r/>
    </w:p>
    <w:p>
      <w:pPr>
        <w:ind w:firstLine="482"/>
        <w:spacing w:line="520" w:lineRule="exact"/>
        <w:rPr>
          <w:rFonts w:ascii="仿宋" w:hAnsi="仿宋" w:eastAsia="仿宋" w:cs="仿宋"/>
          <w:b/>
          <w:color w:val="000000"/>
          <w:highlight w:val="none"/>
        </w:rPr>
      </w:pPr>
      <w:r/>
      <w:bookmarkStart w:id="17" w:name="EBd75356d70bcd41c3a14bfd1185da698c"/>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招标方式</w:t>
      </w:r>
      <w:r/>
    </w:p>
    <w:p>
      <w:pPr>
        <w:pStyle w:val="963"/>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必须是有能力按照本招标文件规定的要求提供设备和相关服务，且具有独立承担民事等法律责任的法人或</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经济组织。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rPr>
        <w:t xml:space="preserve">相同品牌投标</w:t>
      </w:r>
      <w:bookmarkEnd w:id="17"/>
      <w:r/>
      <w:r/>
    </w:p>
    <w:p>
      <w:pPr>
        <w:ind w:firstLine="480"/>
        <w:spacing w:line="520" w:lineRule="exact"/>
        <w:rPr>
          <w:rFonts w:ascii="仿宋" w:hAnsi="仿宋" w:eastAsia="仿宋" w:cs="仿宋"/>
          <w:highlight w:val="none"/>
        </w:rPr>
      </w:pPr>
      <w:r/>
      <w:bookmarkStart w:id="18" w:name="EBc63a4b6a45fa4577844509e4bed90a6e"/>
      <w:r>
        <w:rPr>
          <w:rFonts w:hint="eastAsia" w:ascii="仿宋" w:hAnsi="仿宋" w:eastAsia="仿宋" w:cs="仿宋"/>
          <w:highlight w:val="none"/>
        </w:rPr>
        <w:t xml:space="preserve">采用最低评标价法的采购项目，提供相同品牌产品的不同</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，其他投标无效。</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使用综合评分法的采购项目，提供相同品牌产品且通过资格审查、符合性审查的不同</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参加同一合同项下投标的，按1家</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计算，评审后得分最高的同品牌</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获得中标人推荐资格；评审得分相同的，由采购人或者采购人委托评标委员会采用随机抽取的方式确定1个</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获得中标人推荐资格，其他同品牌</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不作为中标候选人。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提供的核心产品品牌相同的，按前两款规定处理。</w:t>
      </w:r>
      <w:r/>
    </w:p>
    <w:p>
      <w:pPr>
        <w:spacing w:line="520" w:lineRule="exact"/>
        <w:rPr>
          <w:highlight w:val="none"/>
        </w:rPr>
      </w:pPr>
      <w:r>
        <w:rPr>
          <w:rFonts w:hint="eastAsia"/>
          <w:color w:val="000080"/>
          <w:sz w:val="20"/>
          <w:highlight w:val="none"/>
        </w:rPr>
        <w:t xml:space="preserve"> </w:t>
      </w:r>
      <w:bookmarkEnd w:id="18"/>
      <w:r/>
      <w:r/>
    </w:p>
    <w:p>
      <w:pPr>
        <w:pStyle w:val="934"/>
        <w:keepLines w:val="0"/>
        <w:keepNext w:val="0"/>
        <w:spacing w:before="0" w:after="0" w:line="520" w:lineRule="exact"/>
        <w:rPr>
          <w:highlight w:val="none"/>
        </w:rPr>
      </w:pPr>
      <w:r/>
      <w:bookmarkStart w:id="19" w:name="_Toc3962"/>
      <w:r>
        <w:rPr>
          <w:rFonts w:hint="eastAsia"/>
          <w:highlight w:val="none"/>
        </w:rPr>
        <w:t xml:space="preserve">二、招标文件</w:t>
      </w:r>
      <w:bookmarkEnd w:id="19"/>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9</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auto"/>
          <w:highlight w:val="none"/>
        </w:rPr>
        <w:t xml:space="preserve">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9.2招标文件的修改</w:t>
      </w:r>
      <w:r>
        <w:rPr>
          <w:rFonts w:hint="eastAsia" w:ascii="仿宋" w:hAnsi="仿宋" w:eastAsia="仿宋" w:cs="仿宋"/>
          <w:color w:val="000000"/>
          <w:highlight w:val="none"/>
          <w:lang w:eastAsia="zh-CN"/>
        </w:rPr>
        <w:t xml:space="preserve">将</w:t>
      </w:r>
      <w:r>
        <w:rPr>
          <w:rFonts w:hint="eastAsia" w:ascii="仿宋" w:hAnsi="仿宋" w:eastAsia="仿宋" w:cs="仿宋"/>
          <w:color w:val="000000"/>
          <w:highlight w:val="none"/>
        </w:rPr>
        <w:t xml:space="preserve">通过邮件通知所有已获取招标文件的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收到修改文件后，应于1个工作日内予以确认，逾期未确认的，视同已收。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9.4采购代理机构发出的所有补充、修改和变更文件均作为招标文件的组成部分，与招标文件具有同等法律效力。</w:t>
      </w:r>
      <w:r>
        <w:rPr>
          <w:rFonts w:hint="eastAsia" w:ascii="仿宋" w:hAnsi="仿宋" w:eastAsia="仿宋" w:cs="仿宋"/>
          <w:color w:val="auto"/>
          <w:highlight w:val="none"/>
        </w:rPr>
        <w:t xml:space="preserve">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highlight w:val="none"/>
        </w:rPr>
      </w:pPr>
      <w:r/>
      <w:bookmarkStart w:id="20" w:name="EBebf7ede40ba2404eabfa943e46b0c520"/>
      <w:r>
        <w:rPr>
          <w:rFonts w:hint="eastAsia" w:ascii="仿宋_GB2312" w:eastAsia="仿宋_GB2312"/>
          <w:color w:val="000080"/>
          <w:sz w:val="20"/>
          <w:highlight w:val="none"/>
        </w:rPr>
        <w:t xml:space="preserve"> </w:t>
      </w:r>
      <w:bookmarkEnd w:id="20"/>
      <w:r/>
      <w:bookmarkStart w:id="21" w:name="EB27df85fc5a574ebaaed6d5868f4535a1"/>
      <w:r>
        <w:rPr>
          <w:rFonts w:hint="eastAsia" w:ascii="仿宋_GB2312" w:eastAsia="仿宋_GB2312"/>
          <w:color w:val="000080"/>
          <w:sz w:val="20"/>
          <w:highlight w:val="none"/>
        </w:rPr>
        <w:t xml:space="preserve"> </w:t>
      </w:r>
      <w:bookmarkEnd w:id="21"/>
      <w:r/>
      <w:bookmarkStart w:id="22" w:name="EB3eb7ea0b01144628b9ffe3df796b5351"/>
      <w:r>
        <w:rPr>
          <w:rFonts w:hint="eastAsia" w:ascii="仿宋_GB2312" w:eastAsia="仿宋_GB2312"/>
          <w:color w:val="000080"/>
          <w:sz w:val="20"/>
          <w:highlight w:val="none"/>
        </w:rPr>
        <w:t xml:space="preserve"> </w:t>
      </w:r>
      <w:bookmarkEnd w:id="22"/>
      <w:r/>
      <w:r/>
    </w:p>
    <w:p>
      <w:pPr>
        <w:pStyle w:val="934"/>
        <w:keepLines w:val="0"/>
        <w:keepNext w:val="0"/>
        <w:spacing w:before="0" w:after="0" w:line="520" w:lineRule="exact"/>
        <w:rPr>
          <w:highlight w:val="none"/>
        </w:rPr>
      </w:pPr>
      <w:r/>
      <w:bookmarkStart w:id="23" w:name="_Toc27518"/>
      <w:r>
        <w:rPr>
          <w:rFonts w:hint="eastAsia"/>
          <w:highlight w:val="none"/>
        </w:rPr>
        <w:t xml:space="preserve">三、投标文件的编制</w:t>
      </w:r>
      <w:bookmarkEnd w:id="23"/>
      <w:r/>
      <w:r/>
    </w:p>
    <w:p>
      <w:pPr>
        <w:ind w:firstLine="482"/>
        <w:spacing w:line="520" w:lineRule="exact"/>
        <w:rPr>
          <w:rFonts w:ascii="仿宋" w:hAnsi="仿宋" w:eastAsia="仿宋" w:cs="仿宋"/>
          <w:b/>
          <w:color w:val="000000"/>
          <w:highlight w:val="none"/>
        </w:rPr>
      </w:pPr>
      <w:r/>
      <w:bookmarkStart w:id="24" w:name="EB2ca96763a7244d75908a3586115531a8"/>
      <w:r>
        <w:rPr>
          <w:rFonts w:hint="eastAsia" w:ascii="仿宋" w:hAnsi="仿宋" w:eastAsia="仿宋" w:cs="仿宋"/>
          <w:b/>
          <w:color w:val="000000"/>
          <w:highlight w:val="none"/>
        </w:rPr>
        <w:t xml:space="preserve">10</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000000"/>
          <w:highlight w:val="none"/>
        </w:rPr>
        <w:t xml:space="preserve">招标范围等实质性内容作出响应。</w:t>
      </w:r>
      <w:r/>
    </w:p>
    <w:p>
      <w:pPr>
        <w:ind w:firstLine="480"/>
        <w:spacing w:line="520" w:lineRule="exact"/>
        <w:rPr>
          <w:rFonts w:hint="eastAsia" w:ascii="仿宋" w:hAnsi="仿宋" w:eastAsia="仿宋" w:cs="仿宋"/>
          <w:b/>
          <w:bCs/>
          <w:color w:val="000000"/>
          <w:highlight w:val="yellow"/>
        </w:rPr>
      </w:pPr>
      <w:r>
        <w:rPr>
          <w:rFonts w:hint="eastAsia" w:ascii="宋体" w:hAnsi="宋体" w:eastAsia="宋体" w:cs="宋体"/>
          <w:b w:val="0"/>
          <w:bCs w:val="0"/>
          <w:color w:val="000000"/>
          <w:highlight w:val="none"/>
        </w:rPr>
        <w:t xml:space="preserve">※</w:t>
      </w:r>
      <w:r>
        <w:rPr>
          <w:rFonts w:hint="eastAsia" w:ascii="仿宋" w:hAnsi="仿宋" w:eastAsia="仿宋" w:cs="仿宋"/>
          <w:b/>
          <w:bCs/>
          <w:color w:val="000000"/>
          <w:highlight w:val="none"/>
          <w:lang w:val="en-US" w:eastAsia="zh-CN"/>
        </w:rPr>
        <w:t xml:space="preserve">10.3投标人</w:t>
      </w:r>
      <w:r>
        <w:rPr>
          <w:rFonts w:hint="eastAsia" w:ascii="仿宋" w:hAnsi="仿宋" w:eastAsia="仿宋" w:cs="仿宋"/>
          <w:b/>
          <w:bCs/>
          <w:color w:val="000000"/>
          <w:highlight w:val="none"/>
        </w:rPr>
        <w:t xml:space="preserve">如同时参与多个</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包（如有）</w:t>
      </w:r>
      <w:r>
        <w:rPr>
          <w:rFonts w:hint="eastAsia" w:ascii="仿宋" w:hAnsi="仿宋" w:eastAsia="仿宋" w:cs="仿宋"/>
          <w:b/>
          <w:bCs/>
          <w:color w:val="000000"/>
          <w:highlight w:val="none"/>
          <w:lang w:val="en-US" w:eastAsia="zh-CN"/>
        </w:rPr>
        <w:t xml:space="preserve">投标</w:t>
      </w:r>
      <w:r>
        <w:rPr>
          <w:rFonts w:hint="eastAsia" w:ascii="仿宋" w:hAnsi="仿宋" w:eastAsia="仿宋" w:cs="仿宋"/>
          <w:b/>
          <w:bCs/>
          <w:color w:val="000000"/>
          <w:highlight w:val="none"/>
        </w:rPr>
        <w:t xml:space="preserve">，则应按</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包分别制作</w:t>
      </w:r>
      <w:r>
        <w:rPr>
          <w:rFonts w:hint="eastAsia" w:ascii="仿宋" w:hAnsi="仿宋" w:eastAsia="仿宋" w:cs="仿宋"/>
          <w:b/>
          <w:bCs/>
          <w:color w:val="000000"/>
          <w:highlight w:val="none"/>
          <w:lang w:val="en-US" w:eastAsia="zh-CN"/>
        </w:rPr>
        <w:t xml:space="preserve">投标</w:t>
      </w:r>
      <w:r>
        <w:rPr>
          <w:rFonts w:hint="eastAsia" w:ascii="仿宋" w:hAnsi="仿宋" w:eastAsia="仿宋" w:cs="仿宋"/>
          <w:b/>
          <w:bCs/>
          <w:color w:val="000000"/>
          <w:highlight w:val="none"/>
        </w:rPr>
        <w:t xml:space="preserve">文件，否则将视为无效</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w:t>
      </w:r>
      <w:r/>
    </w:p>
    <w:p>
      <w:pPr>
        <w:ind w:firstLine="482"/>
        <w:spacing w:line="520" w:lineRule="exact"/>
        <w:rPr>
          <w:rFonts w:hint="eastAsia" w:ascii="仿宋" w:hAnsi="仿宋" w:eastAsia="仿宋" w:cs="仿宋"/>
          <w:b/>
          <w:bCs/>
          <w:color w:val="000000"/>
          <w:highlight w:val="none"/>
        </w:rPr>
      </w:pPr>
      <w:r>
        <w:rPr>
          <w:rFonts w:hint="eastAsia" w:ascii="宋体" w:hAnsi="宋体" w:eastAsia="宋体" w:cs="宋体"/>
          <w:color w:val="000000"/>
          <w:highlight w:val="none"/>
        </w:rPr>
        <w:t xml:space="preserve">※</w:t>
      </w:r>
      <w:r>
        <w:rPr>
          <w:rFonts w:hint="eastAsia" w:ascii="仿宋" w:hAnsi="仿宋" w:eastAsia="仿宋" w:cs="仿宋"/>
          <w:b/>
          <w:bCs/>
          <w:color w:val="000000"/>
          <w:highlight w:val="none"/>
        </w:rPr>
        <w:t xml:space="preserve">10.</w:t>
      </w:r>
      <w:r>
        <w:rPr>
          <w:rFonts w:hint="eastAsia" w:ascii="仿宋" w:hAnsi="仿宋" w:eastAsia="仿宋" w:cs="仿宋"/>
          <w:b/>
          <w:bCs/>
          <w:color w:val="000000"/>
          <w:highlight w:val="none"/>
          <w:lang w:val="en-US" w:eastAsia="zh-CN"/>
        </w:rPr>
        <w:t xml:space="preserve">4</w:t>
      </w:r>
      <w:r>
        <w:rPr>
          <w:rFonts w:hint="eastAsia" w:ascii="仿宋" w:hAnsi="仿宋" w:eastAsia="仿宋" w:cs="仿宋"/>
          <w:b/>
          <w:bCs/>
          <w:color w:val="000000"/>
          <w:highlight w:val="none"/>
        </w:rPr>
        <w:t xml:space="preserve"> 投标文件须加盖公章之处，应按要求加盖与投标单位名称一致的标准公章，不得使用其他形式（如带有“专用章</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合同章</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财务章</w:t>
      </w: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rPr>
        <w:t xml:space="preserve">业务章”等字样）的印章。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11.1投标声明及承诺函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11.2资格证明文件；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11.2.1招标文件第一部分《招标公告》申请人的资格要求中的证明材料；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11.2.2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11.3报价文件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11.3.1开标一览表；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11.3.2明细报价表。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11.4技术文件</w:t>
      </w:r>
      <w:r/>
    </w:p>
    <w:p>
      <w:pPr>
        <w:ind w:firstLine="480"/>
        <w:spacing w:line="520" w:lineRule="exact"/>
        <w:rPr>
          <w:rFonts w:ascii="仿宋" w:hAnsi="仿宋" w:eastAsia="仿宋" w:cs="仿宋"/>
          <w:color w:val="0000ff"/>
          <w:highlight w:val="none"/>
        </w:rPr>
      </w:pPr>
      <w:r/>
      <w:bookmarkStart w:id="25" w:name="EB7f6b24a996964930b08d6b290b36e3fd"/>
      <w:r>
        <w:rPr>
          <w:rFonts w:hint="eastAsia" w:ascii="仿宋" w:hAnsi="仿宋" w:eastAsia="仿宋" w:cs="仿宋"/>
          <w:color w:val="000000"/>
          <w:highlight w:val="none"/>
        </w:rPr>
        <w:t xml:space="preserve">11.4.1</w:t>
      </w:r>
      <w:r>
        <w:rPr>
          <w:rFonts w:hint="eastAsia" w:ascii="仿宋" w:hAnsi="仿宋" w:eastAsia="仿宋" w:cs="仿宋"/>
          <w:color w:val="000000"/>
          <w:highlight w:val="none"/>
          <w:lang w:val="en-US" w:eastAsia="zh-CN"/>
        </w:rPr>
        <w:t xml:space="preserve">服务方案</w:t>
      </w:r>
      <w:r>
        <w:rPr>
          <w:rFonts w:hint="eastAsia" w:ascii="仿宋" w:hAnsi="仿宋" w:eastAsia="仿宋" w:cs="仿宋"/>
          <w:color w:val="000000"/>
          <w:highlight w:val="none"/>
        </w:rPr>
        <w:t xml:space="preserve">等（格式自拟）；</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11.4.2配置清单、配件（耗材）清单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如有</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11.4.3主要货物技术资料（包括实物样图、使用手册、</w:t>
      </w:r>
      <w:r>
        <w:rPr>
          <w:rFonts w:hint="eastAsia" w:ascii="仿宋" w:hAnsi="仿宋" w:eastAsia="仿宋" w:cs="仿宋"/>
          <w:color w:val="000000"/>
          <w:highlight w:val="none"/>
          <w:lang w:val="en-US" w:eastAsia="zh-CN"/>
        </w:rPr>
        <w:t xml:space="preserve">彩页</w:t>
      </w:r>
      <w:r>
        <w:rPr>
          <w:rFonts w:hint="eastAsia" w:ascii="仿宋" w:hAnsi="仿宋" w:eastAsia="仿宋" w:cs="仿宋"/>
          <w:color w:val="000000"/>
          <w:highlight w:val="none"/>
        </w:rPr>
        <w:t xml:space="preserve">等）（格式自拟）；</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11.4.4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项目管理、技术及服务人员一览表；</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11.4.5质量保证及详细售后服务方案（格式自拟）；</w:t>
      </w:r>
      <w:r/>
    </w:p>
    <w:p>
      <w:pPr>
        <w:ind w:firstLine="480"/>
        <w:spacing w:line="520" w:lineRule="exact"/>
        <w:rPr>
          <w:rFonts w:ascii="仿宋" w:hAnsi="仿宋" w:eastAsia="仿宋" w:cs="仿宋"/>
          <w:color w:val="0000ff"/>
          <w:highlight w:val="none"/>
        </w:rPr>
      </w:pPr>
      <w:r>
        <w:rPr>
          <w:rFonts w:hint="eastAsia" w:ascii="仿宋" w:hAnsi="仿宋" w:eastAsia="仿宋" w:cs="仿宋"/>
          <w:color w:val="000000"/>
          <w:highlight w:val="none"/>
        </w:rPr>
        <w:t xml:space="preserve">11.4.6技术响应偏离表。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11.5商务文件</w:t>
      </w:r>
      <w:r/>
    </w:p>
    <w:p>
      <w:pPr>
        <w:ind w:firstLine="480"/>
        <w:spacing w:line="520" w:lineRule="exact"/>
        <w:rPr>
          <w:rFonts w:ascii="仿宋" w:hAnsi="仿宋" w:eastAsia="仿宋" w:cs="仿宋"/>
          <w:color w:val="000000"/>
          <w:highlight w:val="none"/>
        </w:rPr>
      </w:pPr>
      <w:r/>
      <w:bookmarkStart w:id="26" w:name="EBdc2c24f6358343e896cd43bd6621a619"/>
      <w:r>
        <w:rPr>
          <w:rFonts w:hint="eastAsia" w:ascii="仿宋" w:hAnsi="仿宋" w:eastAsia="仿宋" w:cs="仿宋"/>
          <w:color w:val="000000"/>
          <w:highlight w:val="none"/>
        </w:rPr>
        <w:t xml:space="preserve">11.5.1业绩一览表，提供</w:t>
      </w:r>
      <w:r>
        <w:rPr>
          <w:rFonts w:hint="eastAsia" w:ascii="仿宋" w:hAnsi="仿宋" w:eastAsia="仿宋" w:cs="仿宋"/>
          <w:color w:val="000000"/>
          <w:highlight w:val="none"/>
          <w:lang w:val="en-US" w:eastAsia="zh-CN"/>
        </w:rPr>
        <w:t xml:space="preserve">证明材料</w:t>
      </w:r>
      <w:r>
        <w:rPr>
          <w:rFonts w:hint="eastAsia" w:ascii="仿宋" w:hAnsi="仿宋" w:eastAsia="仿宋" w:cs="仿宋"/>
          <w:color w:val="000000"/>
          <w:highlight w:val="none"/>
        </w:rPr>
        <w:t xml:space="preserve">（以招标文件第三部分约定为准）。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11.5.2 商务响应偏离表。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11.5.3其他商务文件。</w:t>
      </w:r>
      <w:bookmarkEnd w:id="26"/>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numPr>
          <w:ilvl w:val="0"/>
          <w:numId w:val="0"/>
        </w:numPr>
        <w:ind w:firstLine="482"/>
        <w:spacing w:line="520" w:lineRule="exact"/>
        <w:rPr>
          <w:rFonts w:ascii="仿宋" w:hAnsi="仿宋" w:eastAsia="仿宋" w:cs="仿宋"/>
          <w:b/>
          <w:color w:val="000000"/>
          <w:highlight w:val="none"/>
        </w:rPr>
      </w:pPr>
      <w:r>
        <w:rPr>
          <w:rFonts w:ascii="仿宋" w:hAnsi="仿宋" w:eastAsia="仿宋" w:cs="仿宋"/>
          <w:b/>
          <w:color w:val="000000"/>
          <w:sz w:val="24"/>
          <w:szCs w:val="24"/>
          <w:highlight w:val="none"/>
          <w:lang w:val="en-US" w:eastAsia="zh-CN" w:bidi="ar-SA"/>
        </w:rPr>
        <w:t xml:space="preserve">12</w:t>
      </w:r>
      <w:r>
        <w:rPr>
          <w:rFonts w:hint="eastAsia" w:ascii="仿宋" w:hAnsi="仿宋" w:eastAsia="仿宋" w:cs="仿宋"/>
          <w:b/>
          <w:color w:val="000000"/>
          <w:sz w:val="24"/>
          <w:szCs w:val="24"/>
          <w:highlight w:val="none"/>
          <w:lang w:val="en-US" w:eastAsia="zh-CN" w:bidi="ar-SA"/>
        </w:rPr>
        <w:t xml:space="preserve">.</w:t>
      </w:r>
      <w:r>
        <w:rPr>
          <w:rFonts w:hint="eastAsia" w:ascii="仿宋" w:hAnsi="仿宋" w:eastAsia="仿宋" w:cs="仿宋"/>
          <w:b/>
          <w:color w:val="000000"/>
          <w:highlight w:val="none"/>
        </w:rPr>
        <w:t xml:space="preserve">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提供的应是与正本保持一致的清晰复印件，复印件内容无法辨析的，评标委员会可以视其未提供。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投标时携带了证书证明资料的原件，但投标文件中未包含相关资料的，评标委员会可以视同其未提供。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w:t>
      </w:r>
      <w:r>
        <w:rPr>
          <w:rFonts w:hint="eastAsia" w:ascii="仿宋" w:hAnsi="仿宋" w:eastAsia="仿宋" w:cs="仿宋"/>
          <w:b/>
          <w:bCs/>
          <w:color w:val="000000"/>
          <w:highlight w:val="none"/>
          <w:lang w:val="en-US" w:eastAsia="zh-CN"/>
        </w:rPr>
        <w:t xml:space="preserve">5</w:t>
      </w:r>
      <w:r>
        <w:rPr>
          <w:rFonts w:hint="eastAsia" w:ascii="仿宋" w:hAnsi="仿宋" w:eastAsia="仿宋" w:cs="仿宋"/>
          <w:b/>
          <w:bCs/>
          <w:color w:val="000000"/>
          <w:highlight w:val="none"/>
          <w:lang w:eastAsia="zh-CN"/>
        </w:rPr>
        <w:t xml:space="preserve">）在</w:t>
      </w:r>
      <w:r>
        <w:rPr>
          <w:rFonts w:hint="eastAsia" w:ascii="仿宋" w:hAnsi="仿宋" w:eastAsia="仿宋" w:cs="仿宋"/>
          <w:b/>
          <w:bCs/>
          <w:color w:val="000000"/>
          <w:highlight w:val="none"/>
        </w:rPr>
        <w:t xml:space="preserve">进行资格审查时，将在“信用中国”网站查询</w:t>
      </w:r>
      <w:r>
        <w:rPr>
          <w:rFonts w:hint="eastAsia" w:ascii="仿宋" w:hAnsi="仿宋" w:eastAsia="仿宋" w:cs="仿宋"/>
          <w:b/>
          <w:bCs/>
          <w:color w:val="000000"/>
          <w:highlight w:val="none"/>
          <w:lang w:val="en-US" w:eastAsia="zh-CN"/>
        </w:rPr>
        <w:t xml:space="preserve">投标人</w:t>
      </w:r>
      <w:r>
        <w:rPr>
          <w:rFonts w:hint="eastAsia" w:ascii="仿宋" w:hAnsi="仿宋" w:eastAsia="仿宋" w:cs="仿宋"/>
          <w:b/>
          <w:bCs/>
          <w:color w:val="000000"/>
          <w:highlight w:val="none"/>
        </w:rPr>
        <w:t xml:space="preserve">的信用记录</w:t>
      </w:r>
      <w:r>
        <w:rPr>
          <w:rFonts w:hint="eastAsia" w:ascii="仿宋" w:hAnsi="仿宋" w:eastAsia="仿宋" w:cs="仿宋"/>
          <w:b/>
          <w:bCs/>
          <w:color w:val="000000"/>
          <w:highlight w:val="none"/>
          <w:lang w:val="en-US" w:eastAsia="zh-CN"/>
        </w:rPr>
        <w:t xml:space="preserve">并以现场查询结果为准</w:t>
      </w:r>
      <w:r>
        <w:rPr>
          <w:rFonts w:hint="eastAsia" w:ascii="仿宋" w:hAnsi="仿宋" w:eastAsia="仿宋" w:cs="仿宋"/>
          <w:b/>
          <w:bCs/>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13.1报价为一次报价，于开标会议当场宣读。</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7" w:name="EB54dd097a55df4796bd5f9b6bdf2ddc40"/>
      <w:r>
        <w:rPr>
          <w:rFonts w:hint="eastAsia" w:ascii="仿宋" w:hAnsi="仿宋" w:eastAsia="仿宋" w:cs="仿宋"/>
          <w:color w:val="000000"/>
          <w:highlight w:val="none"/>
        </w:rPr>
        <w:t xml:space="preserve">招标文件中涉及到的其他一切费用。</w:t>
      </w:r>
      <w:bookmarkEnd w:id="27"/>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13.4本项目评审中出现下列情形之⼀的，评标委员会应当启动异常低价投标（响应）审查程序：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13.4.1投标（响应）报价低于采购项目预算50%的，即投标（响应）报价＜采购项目预算×50%；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13.4.3评标委员会认为供应商报价过低，有可能影响产品质量或者不能诚信履约的其他情形。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响应审查后，应当要求相关供应商在评审现场合理的时间内提供书面说明及必要的证明材料，对响应价格作出解释。书面说明、证明材料主要是项目具体成本测算等与报价合理性相关的说明、材料。</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投标保证金</w:t>
      </w:r>
      <w:r/>
    </w:p>
    <w:p>
      <w:pPr>
        <w:ind w:firstLine="480"/>
        <w:spacing w:line="520" w:lineRule="exact"/>
        <w:rPr>
          <w:rFonts w:ascii="仿宋" w:hAnsi="仿宋" w:eastAsia="仿宋" w:cs="仿宋"/>
          <w:color w:val="000000"/>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4"/>
      <w:r/>
      <w:bookmarkStart w:id="28" w:name="EBaba05b8f22db47c3ae604c949d101942"/>
      <w:r>
        <w:rPr>
          <w:rFonts w:hint="eastAsia" w:ascii="仿宋_GB2312" w:eastAsia="仿宋_GB2312"/>
          <w:color w:val="000080"/>
          <w:sz w:val="20"/>
          <w:highlight w:val="none"/>
        </w:rPr>
        <w:t xml:space="preserve"> </w:t>
      </w:r>
      <w:bookmarkEnd w:id="28"/>
      <w:r/>
      <w:bookmarkStart w:id="29" w:name="EB473de9cb146c4384b72e7eac9a23572d"/>
      <w:r>
        <w:rPr>
          <w:rFonts w:hint="eastAsia" w:ascii="仿宋_GB2312" w:eastAsia="仿宋_GB2312"/>
          <w:color w:val="000080"/>
          <w:sz w:val="20"/>
          <w:highlight w:val="none"/>
        </w:rPr>
        <w:t xml:space="preserve"> </w:t>
      </w:r>
      <w:bookmarkEnd w:id="29"/>
      <w:r/>
      <w:r/>
    </w:p>
    <w:p>
      <w:pPr>
        <w:pStyle w:val="934"/>
        <w:keepLines w:val="0"/>
        <w:keepNext w:val="0"/>
        <w:spacing w:before="0" w:after="0" w:line="520" w:lineRule="exact"/>
        <w:rPr>
          <w:highlight w:val="none"/>
        </w:rPr>
      </w:pPr>
      <w:r/>
      <w:bookmarkStart w:id="30" w:name="_Toc11947"/>
      <w:r>
        <w:rPr>
          <w:rFonts w:hint="eastAsia"/>
          <w:highlight w:val="none"/>
        </w:rPr>
        <w:t xml:space="preserve">四、投标文件的提交</w:t>
      </w:r>
      <w:bookmarkEnd w:id="30"/>
      <w:r/>
      <w:r/>
    </w:p>
    <w:p>
      <w:pPr>
        <w:ind w:firstLine="482"/>
        <w:spacing w:line="520" w:lineRule="exact"/>
        <w:rPr>
          <w:rFonts w:ascii="仿宋" w:hAnsi="仿宋" w:eastAsia="仿宋" w:cs="仿宋"/>
          <w:b/>
          <w:color w:val="000000"/>
          <w:highlight w:val="none"/>
        </w:rPr>
      </w:pPr>
      <w:r/>
      <w:bookmarkStart w:id="31" w:name="EB82427615ec5445cbadccda2f6802a77a"/>
      <w:r>
        <w:rPr>
          <w:rFonts w:hint="eastAsia" w:ascii="仿宋" w:hAnsi="仿宋" w:eastAsia="仿宋" w:cs="仿宋"/>
          <w:b/>
          <w:color w:val="000000"/>
          <w:highlight w:val="none"/>
        </w:rPr>
        <w:t xml:space="preserve">16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投标文件的提交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应在招标文件规定的投标截止时间前提交投标文件。投标文件提交截止时间后，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对投标报价或其他实质性内容修正的函件和增加的任何优惠条件，一律拒绝接收。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16.2在递交投标文件截止时间前，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有权修改、撤回其投标文件，以截止时间前最终完成递交的为准；在递交投标文件截止时间后，除招标文件另有规定外，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所提交的投标文件不予退还。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spacing w:line="520" w:lineRule="exact"/>
        <w:rPr>
          <w:rFonts w:ascii="仿宋_GB2312" w:eastAsia="仿宋_GB2312" w:cs="Arial"/>
          <w:highlight w:val="none"/>
        </w:rPr>
      </w:pPr>
      <w:r>
        <w:rPr>
          <w:rFonts w:hint="eastAsia" w:ascii="仿宋_GB2312" w:eastAsia="仿宋_GB2312" w:cs="Arial"/>
          <w:color w:val="000080"/>
          <w:sz w:val="20"/>
          <w:highlight w:val="none"/>
        </w:rPr>
        <w:t xml:space="preserve"> </w:t>
      </w:r>
      <w:bookmarkEnd w:id="31"/>
      <w:r/>
      <w:bookmarkStart w:id="32" w:name="EBbd858dfecb054350ab3238111d87b478"/>
      <w:r>
        <w:rPr>
          <w:rFonts w:hint="eastAsia" w:ascii="仿宋_GB2312" w:eastAsia="仿宋_GB2312" w:cs="Arial"/>
          <w:color w:val="000080"/>
          <w:sz w:val="20"/>
          <w:highlight w:val="none"/>
        </w:rPr>
        <w:t xml:space="preserve"> </w:t>
      </w:r>
      <w:bookmarkEnd w:id="32"/>
      <w:r/>
      <w:bookmarkStart w:id="33" w:name="EBe3355d5557764c49b0f869f3a4abe972"/>
      <w:r>
        <w:rPr>
          <w:rFonts w:hint="eastAsia" w:ascii="仿宋_GB2312" w:eastAsia="仿宋_GB2312" w:cs="Arial"/>
          <w:color w:val="000080"/>
          <w:sz w:val="20"/>
          <w:highlight w:val="none"/>
        </w:rPr>
        <w:t xml:space="preserve"> </w:t>
      </w:r>
      <w:bookmarkEnd w:id="33"/>
      <w:r/>
      <w:r/>
    </w:p>
    <w:p>
      <w:pPr>
        <w:pStyle w:val="934"/>
        <w:keepLines w:val="0"/>
        <w:keepNext w:val="0"/>
        <w:spacing w:before="0" w:after="0" w:line="520" w:lineRule="exact"/>
        <w:rPr>
          <w:highlight w:val="none"/>
        </w:rPr>
      </w:pPr>
      <w:r/>
      <w:bookmarkStart w:id="34" w:name="_Toc18981"/>
      <w:r>
        <w:rPr>
          <w:rFonts w:hint="eastAsia"/>
          <w:highlight w:val="none"/>
        </w:rPr>
        <w:t xml:space="preserve">五、</w:t>
      </w:r>
      <w:bookmarkEnd w:id="34"/>
      <w:r>
        <w:rPr>
          <w:rFonts w:hint="eastAsia"/>
          <w:highlight w:val="none"/>
        </w:rPr>
        <w:t xml:space="preserve">无效标、</w:t>
      </w:r>
      <w:r>
        <w:rPr>
          <w:rFonts w:hint="eastAsia"/>
          <w:highlight w:val="none"/>
          <w:lang w:val="en-US" w:eastAsia="zh-CN"/>
        </w:rPr>
        <w:t xml:space="preserve">废标</w:t>
      </w:r>
      <w:r>
        <w:rPr>
          <w:rFonts w:hint="eastAsia"/>
          <w:highlight w:val="none"/>
        </w:rPr>
        <w:t xml:space="preserve">、串通投标认定条款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17.1在招标文件规定的投标截止时间后递交的投标文件。</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未按本招标文件前附表要求密封的投标文件。“开标一览表</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投标文件正本</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投标文件副本</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电子投标文件”均应单独密封，单独递交。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以下情形将视为无效投标</w:t>
      </w:r>
      <w:bookmarkStart w:id="35" w:name="EB94942e5430df4fb8a077f3cf7667f212"/>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18.1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不符合招标文件规定的资格要求或未按规定提交资质证件的；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18.2投标文件签署、盖章不符合招标文件要求的；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18.3未按招标文件要求提供投标文件的；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18.4</w:t>
      </w:r>
      <w:r>
        <w:rPr>
          <w:rFonts w:hint="eastAsia" w:ascii="仿宋" w:hAnsi="仿宋" w:eastAsia="仿宋" w:cs="仿宋"/>
          <w:color w:val="000000"/>
          <w:highlight w:val="none"/>
          <w:lang w:val="en-US" w:eastAsia="zh-CN"/>
        </w:rPr>
        <w:t xml:space="preserve">同一投标人提交两个（含两个）以上不同的报价的；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18.5报价超过招标文件中规定的预算金额或者最高限价的；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18.6投标报价出现前后不一致，按照招标文件规定进行修正，修正后的报价，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投标文件出现重大偏离，未对招标文件进行实质性响应的（“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18.7投标文件技术参数及要求中一般指标超出招标文件规定允许偏离最大范围或最高项数的；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18.8</w:t>
      </w:r>
      <w:r>
        <w:rPr>
          <w:rFonts w:hint="eastAsia" w:ascii="仿宋" w:hAnsi="仿宋" w:eastAsia="仿宋" w:cs="仿宋"/>
          <w:color w:val="000000"/>
          <w:highlight w:val="none"/>
          <w:lang w:eastAsia="zh-CN"/>
        </w:rPr>
        <w:t xml:space="preserve">评标委员会</w:t>
      </w:r>
      <w:r>
        <w:rPr>
          <w:rFonts w:hint="eastAsia" w:ascii="仿宋" w:hAnsi="仿宋" w:eastAsia="仿宋" w:cs="仿宋"/>
          <w:color w:val="000000"/>
          <w:highlight w:val="none"/>
        </w:rPr>
        <w:t xml:space="preserve">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报价，有可能影响产品质量或者不能诚信履约的，将通过</w:t>
      </w:r>
      <w:r>
        <w:rPr>
          <w:rFonts w:hint="eastAsia" w:ascii="仿宋" w:hAnsi="仿宋" w:eastAsia="仿宋" w:cs="仿宋"/>
          <w:color w:val="000000"/>
          <w:highlight w:val="none"/>
          <w:lang w:val="en-US" w:eastAsia="zh-CN"/>
        </w:rPr>
        <w:t xml:space="preserve">书面</w:t>
      </w:r>
      <w:r>
        <w:rPr>
          <w:rFonts w:hint="eastAsia" w:ascii="仿宋" w:hAnsi="仿宋" w:eastAsia="仿宋" w:cs="仿宋"/>
          <w:color w:val="000000"/>
          <w:highlight w:val="none"/>
        </w:rPr>
        <w:t xml:space="preserve">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w:t>
      </w:r>
      <w:r>
        <w:rPr>
          <w:rFonts w:hint="eastAsia" w:ascii="仿宋" w:hAnsi="仿宋" w:eastAsia="仿宋" w:cs="仿宋"/>
          <w:color w:val="000000"/>
          <w:highlight w:val="none"/>
          <w:lang w:eastAsia="zh-CN"/>
        </w:rPr>
        <w:t xml:space="preserve">评标委员会</w:t>
      </w:r>
      <w:r>
        <w:rPr>
          <w:rFonts w:hint="eastAsia" w:ascii="仿宋" w:hAnsi="仿宋" w:eastAsia="仿宋" w:cs="仿宋"/>
          <w:color w:val="000000"/>
          <w:highlight w:val="none"/>
        </w:rPr>
        <w:t xml:space="preserve">应当将其作为无效</w:t>
      </w:r>
      <w:r>
        <w:rPr>
          <w:rFonts w:hint="eastAsia" w:ascii="仿宋" w:hAnsi="仿宋" w:eastAsia="仿宋" w:cs="仿宋"/>
          <w:color w:val="000000"/>
          <w:highlight w:val="none"/>
          <w:lang w:val="en-US" w:eastAsia="zh-CN"/>
        </w:rPr>
        <w:t xml:space="preserve">投标</w:t>
      </w:r>
      <w:r>
        <w:rPr>
          <w:rFonts w:hint="eastAsia" w:ascii="仿宋" w:hAnsi="仿宋" w:eastAsia="仿宋" w:cs="仿宋"/>
          <w:color w:val="000000"/>
          <w:highlight w:val="none"/>
        </w:rPr>
        <w:t xml:space="preserve">处理。</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18.9本项目采购产品如被财政部、国家发展改革委、生态环境部等列入“节能产品品目清单”“环境标志产品品目清单”强制采购范围，而投标人所投产品不在强制采购范围内的。（所投产品如属于政府强制采购节能产品品目清单范围内，响应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val="en-US" w:eastAsia="zh-CN"/>
        </w:rPr>
        <w:t xml:space="preserve">18.10</w:t>
      </w:r>
      <w:r>
        <w:rPr>
          <w:rFonts w:hint="eastAsia" w:ascii="仿宋" w:hAnsi="仿宋" w:eastAsia="仿宋" w:cs="仿宋"/>
          <w:color w:val="000000"/>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18.11</w:t>
      </w:r>
      <w:r>
        <w:rPr>
          <w:rFonts w:hint="eastAsia" w:ascii="仿宋" w:hAnsi="仿宋" w:eastAsia="仿宋" w:cs="仿宋"/>
          <w:color w:val="000000"/>
          <w:highlight w:val="none"/>
        </w:rPr>
        <w:t xml:space="preserve">投标文件中响应内容完全复制招标文件采购需求的内容的；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en-US" w:eastAsia="zh-CN"/>
        </w:rPr>
        <w:t xml:space="preserve">12</w:t>
      </w:r>
      <w:r>
        <w:rPr>
          <w:rFonts w:hint="eastAsia" w:ascii="仿宋" w:hAnsi="仿宋" w:eastAsia="仿宋" w:cs="仿宋"/>
          <w:color w:val="000000"/>
          <w:highlight w:val="none"/>
        </w:rPr>
        <w:t xml:space="preserve">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18.1</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18.1</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18.1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18.1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bookmarkEnd w:id="35"/>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19</w:t>
      </w:r>
      <w:r>
        <w:rPr>
          <w:rFonts w:hint="eastAsia" w:ascii="仿宋" w:hAnsi="仿宋" w:eastAsia="仿宋" w:cs="仿宋"/>
          <w:b/>
          <w:color w:val="000000"/>
          <w:highlight w:val="none"/>
          <w:lang w:val="en-US" w:eastAsia="zh-CN"/>
        </w:rPr>
        <w:t xml:space="preserve">.废标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（符合20条情形除外）；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19.3因重大变故，招标任务取消的；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19.4</w:t>
      </w:r>
      <w:r>
        <w:rPr>
          <w:rFonts w:hint="eastAsia" w:ascii="仿宋" w:hAnsi="仿宋" w:eastAsia="仿宋" w:cs="仿宋"/>
          <w:color w:val="000000"/>
          <w:highlight w:val="none"/>
          <w:lang w:eastAsia="zh-CN"/>
        </w:rPr>
        <w:t xml:space="preserve">评标委员会</w:t>
      </w:r>
      <w:r>
        <w:rPr>
          <w:rFonts w:hint="eastAsia" w:ascii="仿宋" w:hAnsi="仿宋" w:eastAsia="仿宋" w:cs="仿宋"/>
          <w:color w:val="000000"/>
          <w:highlight w:val="none"/>
        </w:rPr>
        <w:t xml:space="preserve">认定</w:t>
      </w:r>
      <w:r>
        <w:rPr>
          <w:rFonts w:hint="eastAsia" w:ascii="仿宋" w:hAnsi="仿宋" w:eastAsia="仿宋" w:cs="仿宋"/>
          <w:color w:val="000000"/>
          <w:highlight w:val="none"/>
          <w:lang w:val="en-US" w:eastAsia="zh-CN"/>
        </w:rPr>
        <w:t xml:space="preserve">招标</w:t>
      </w:r>
      <w:r>
        <w:rPr>
          <w:rFonts w:hint="eastAsia" w:ascii="仿宋" w:hAnsi="仿宋" w:eastAsia="仿宋" w:cs="仿宋"/>
          <w:color w:val="000000"/>
          <w:highlight w:val="none"/>
        </w:rPr>
        <w:t xml:space="preserve">文件存在歧义、重大缺陷导致评审工作无法进行的；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19</w:t>
      </w: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19.6</w:t>
      </w:r>
      <w:r>
        <w:rPr>
          <w:rFonts w:hint="eastAsia" w:ascii="仿宋" w:hAnsi="仿宋" w:eastAsia="仿宋" w:cs="仿宋"/>
          <w:color w:val="000000"/>
          <w:highlight w:val="none"/>
        </w:rPr>
        <w:t xml:space="preserve">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不足三家的，除招标任务取消情形外，若招标文件存在不合理条款或者招标程序不符合规定的，采购人、采购代理机构改正后依法重新招标。</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21</w:t>
      </w:r>
      <w:r>
        <w:rPr>
          <w:rFonts w:hint="eastAsia" w:ascii="仿宋" w:hAnsi="仿宋" w:eastAsia="仿宋" w:cs="仿宋"/>
          <w:color w:val="ff0000"/>
          <w:szCs w:val="22"/>
          <w:highlight w:val="none"/>
          <w:lang w:val="en-US" w:eastAsia="zh-CN"/>
        </w:rPr>
        <w:t xml:space="preserve">.</w:t>
      </w:r>
      <w:r>
        <w:rPr>
          <w:rFonts w:hint="eastAsia" w:ascii="仿宋" w:hAnsi="仿宋" w:eastAsia="仿宋" w:cs="仿宋"/>
          <w:color w:val="ff0000"/>
          <w:szCs w:val="22"/>
          <w:highlight w:val="none"/>
        </w:rPr>
        <w:t xml:space="preserve">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21.6法律、法规规定的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恶意串通投标的情形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有下列情形之一的，属于恶意串通投标：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34"/>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6" w:name="EBc833af1256b54b54a5b37c156d946632"/>
      <w:r>
        <w:rPr>
          <w:rFonts w:hint="eastAsia" w:ascii="仿宋" w:hAnsi="仿宋" w:eastAsia="仿宋" w:cs="仿宋"/>
          <w:b/>
          <w:color w:val="000000"/>
          <w:highlight w:val="none"/>
        </w:rPr>
        <w:t xml:space="preserve">23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23.1采购代理机构工作人员按招标文件规定的时间、地点组织公开开标。采购人代表及有关工作人员参加，招标监管等部门代表有权参与监管。</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23.2开标会议由采购代理机构工作人员主持。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23.3开标会议上将当众公布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名称、投标报价等主要内容。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23.4开标过程的相关记录，由参加开标的各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代表和相关工作人员签字确认。因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原因未签字确认的，视同认可开标结果。</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开标流程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主持人按下列程序进行开标，开标按分包顺序进行。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24.1宣读开标会议纪律；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24.2公布投标单位名单；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24.3唱标；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24.3.1 如项目有多个分包，按项目分包顺序依次唱标；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24.3.2 每一分包按照递交投标文件的逆顺序唱标；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24.4开标会议结束。</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资格审查</w:t>
      </w:r>
      <w:r/>
    </w:p>
    <w:p>
      <w:pPr>
        <w:ind w:firstLine="480"/>
        <w:spacing w:line="520" w:lineRule="exact"/>
        <w:rPr>
          <w:rFonts w:ascii="仿宋" w:hAnsi="仿宋" w:eastAsia="仿宋" w:cs="仿宋"/>
          <w:color w:val="000000"/>
          <w:highlight w:val="none"/>
        </w:rPr>
      </w:pPr>
      <w:r/>
      <w:bookmarkStart w:id="37"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7"/>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w:t>
      </w:r>
      <w:r>
        <w:rPr>
          <w:rFonts w:hint="eastAsia" w:ascii="仿宋" w:hAnsi="仿宋" w:eastAsia="仿宋" w:cs="仿宋"/>
          <w:color w:val="auto"/>
          <w:highlight w:val="none"/>
        </w:rPr>
        <w:t xml:space="preserve">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28.2.1对投标文件中含义不明确、同类问题表述不一致或者有明显文字和计算错误的内容，评标委员会可以书面形式（应当由评标委员会专家签字）要求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的澄清、说明或者补正应当采用书面形式，并加盖公章或者由法定代表人或其授权的代表签字。</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000000"/>
          <w:highlight w:val="none"/>
        </w:rPr>
        <w:t xml:space="preserve">28.2.2</w:t>
      </w:r>
      <w:r>
        <w:rPr>
          <w:rFonts w:hint="eastAsia" w:ascii="仿宋" w:hAnsi="仿宋" w:eastAsia="仿宋" w:cs="仿宋"/>
          <w:color w:val="auto"/>
          <w:highlight w:val="none"/>
        </w:rPr>
        <w:t xml:space="preserve">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28.2.</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接到评标委员会澄清、说明和补正要求的投标人如未按规定做出澄清、说明和补正，其风险由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的报价，有可能不能诚信履约的，应当要求其在评标现场合理的时间内提供书面说明，必要时提交相关证明材料；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6"/>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若有充分证据证明，</w:t>
      </w:r>
      <w:r>
        <w:rPr>
          <w:rFonts w:hint="eastAsia" w:ascii="仿宋" w:hAnsi="仿宋" w:eastAsia="仿宋" w:cs="仿宋"/>
          <w:color w:val="000000"/>
          <w:highlight w:val="none"/>
          <w:lang w:val="en-US" w:eastAsia="zh-CN"/>
        </w:rPr>
        <w:t xml:space="preserve">中标</w:t>
      </w:r>
      <w:r>
        <w:rPr>
          <w:rFonts w:hint="eastAsia" w:ascii="仿宋" w:hAnsi="仿宋" w:eastAsia="仿宋" w:cs="仿宋"/>
          <w:color w:val="000000"/>
          <w:highlight w:val="none"/>
        </w:rPr>
        <w:t xml:space="preserve">候选人出现下列情况之一的，一经查实，采购人有权提</w:t>
      </w:r>
      <w:r>
        <w:rPr>
          <w:rFonts w:hint="eastAsia" w:ascii="仿宋" w:hAnsi="仿宋" w:eastAsia="仿宋" w:cs="仿宋"/>
          <w:color w:val="000000"/>
          <w:highlight w:val="none"/>
          <w:lang w:val="en-US" w:eastAsia="zh-CN"/>
        </w:rPr>
        <w:t xml:space="preserve">评标委员会</w:t>
      </w:r>
      <w:r>
        <w:rPr>
          <w:rFonts w:hint="eastAsia" w:ascii="仿宋" w:hAnsi="仿宋" w:eastAsia="仿宋" w:cs="仿宋"/>
          <w:color w:val="000000"/>
          <w:highlight w:val="none"/>
        </w:rPr>
        <w:t xml:space="preserve">或财政部门重新确定其</w:t>
      </w:r>
      <w:r>
        <w:rPr>
          <w:rFonts w:hint="eastAsia" w:ascii="仿宋" w:hAnsi="仿宋" w:eastAsia="仿宋" w:cs="仿宋"/>
          <w:color w:val="000000"/>
          <w:highlight w:val="none"/>
          <w:lang w:val="en-US" w:eastAsia="zh-CN"/>
        </w:rPr>
        <w:t xml:space="preserve">中标</w:t>
      </w:r>
      <w:r>
        <w:rPr>
          <w:rFonts w:hint="eastAsia" w:ascii="仿宋" w:hAnsi="仿宋" w:eastAsia="仿宋" w:cs="仿宋"/>
          <w:color w:val="000000"/>
          <w:highlight w:val="none"/>
        </w:rPr>
        <w:t xml:space="preserve">资格：</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（2）与评审专家、采购人、其他</w:t>
      </w:r>
      <w:r>
        <w:rPr>
          <w:rFonts w:hint="eastAsia" w:ascii="仿宋" w:hAnsi="仿宋" w:eastAsia="仿宋" w:cs="仿宋"/>
          <w:color w:val="000000"/>
          <w:highlight w:val="none"/>
          <w:lang w:val="en-US" w:eastAsia="zh-CN"/>
        </w:rPr>
        <w:t xml:space="preserve">投标人</w:t>
      </w:r>
      <w:r>
        <w:rPr>
          <w:rFonts w:hint="eastAsia" w:ascii="仿宋" w:hAnsi="仿宋" w:eastAsia="仿宋" w:cs="仿宋"/>
          <w:color w:val="000000"/>
          <w:highlight w:val="none"/>
        </w:rPr>
        <w:t xml:space="preserve">或者采购代理机构工作人员恶意串通的；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（4）不满足本</w:t>
      </w:r>
      <w:r>
        <w:rPr>
          <w:rFonts w:hint="eastAsia" w:ascii="仿宋" w:hAnsi="仿宋" w:eastAsia="仿宋" w:cs="仿宋"/>
          <w:color w:val="000000"/>
          <w:highlight w:val="none"/>
          <w:lang w:val="en-US" w:eastAsia="zh-CN"/>
        </w:rPr>
        <w:t xml:space="preserve">招标</w:t>
      </w:r>
      <w:r>
        <w:rPr>
          <w:rFonts w:hint="eastAsia" w:ascii="仿宋" w:hAnsi="仿宋" w:eastAsia="仿宋" w:cs="仿宋"/>
          <w:color w:val="000000"/>
          <w:highlight w:val="none"/>
          <w:lang w:eastAsia="zh-CN"/>
        </w:rPr>
        <w:t xml:space="preserve">文件</w:t>
      </w:r>
      <w:r>
        <w:rPr>
          <w:rFonts w:hint="eastAsia" w:ascii="仿宋" w:hAnsi="仿宋" w:eastAsia="仿宋" w:cs="仿宋"/>
          <w:color w:val="000000"/>
          <w:highlight w:val="none"/>
        </w:rPr>
        <w:t xml:space="preserve">规定的实质性要求，但</w:t>
      </w:r>
      <w:r>
        <w:rPr>
          <w:rFonts w:hint="eastAsia" w:ascii="仿宋" w:hAnsi="仿宋" w:eastAsia="仿宋" w:cs="仿宋"/>
          <w:color w:val="000000"/>
          <w:highlight w:val="none"/>
          <w:lang w:val="en-US" w:eastAsia="zh-CN"/>
        </w:rPr>
        <w:t xml:space="preserve">评标</w:t>
      </w:r>
      <w:r>
        <w:rPr>
          <w:rFonts w:hint="eastAsia" w:ascii="仿宋" w:hAnsi="仿宋" w:eastAsia="仿宋" w:cs="仿宋"/>
          <w:color w:val="000000"/>
          <w:highlight w:val="none"/>
        </w:rPr>
        <w:t xml:space="preserve">过程中又未被</w:t>
      </w:r>
      <w:r>
        <w:rPr>
          <w:rFonts w:hint="eastAsia" w:ascii="仿宋" w:hAnsi="仿宋" w:eastAsia="仿宋" w:cs="仿宋"/>
          <w:color w:val="000000"/>
          <w:highlight w:val="none"/>
          <w:lang w:val="en-US" w:eastAsia="zh-CN"/>
        </w:rPr>
        <w:t xml:space="preserve">评标委员会</w:t>
      </w:r>
      <w:r>
        <w:rPr>
          <w:rFonts w:hint="eastAsia" w:ascii="仿宋" w:hAnsi="仿宋" w:eastAsia="仿宋" w:cs="仿宋"/>
          <w:color w:val="000000"/>
          <w:highlight w:val="none"/>
        </w:rPr>
        <w:t xml:space="preserve">发现的；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出现投标人</w:t>
      </w:r>
      <w:r>
        <w:rPr>
          <w:rFonts w:hint="eastAsia" w:ascii="仿宋" w:hAnsi="仿宋" w:eastAsia="仿宋" w:cs="仿宋"/>
          <w:color w:val="000000"/>
          <w:highlight w:val="none"/>
        </w:rPr>
        <w:t xml:space="preserve">串通投标</w:t>
      </w:r>
      <w:r>
        <w:rPr>
          <w:rFonts w:hint="eastAsia" w:ascii="仿宋" w:hAnsi="仿宋" w:eastAsia="仿宋" w:cs="仿宋"/>
          <w:color w:val="000000"/>
          <w:highlight w:val="none"/>
          <w:lang w:val="en-US" w:eastAsia="zh-CN"/>
        </w:rPr>
        <w:t xml:space="preserve">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不符合法定</w:t>
      </w:r>
      <w:r>
        <w:rPr>
          <w:rFonts w:hint="eastAsia" w:ascii="仿宋" w:hAnsi="仿宋" w:eastAsia="仿宋" w:cs="仿宋"/>
          <w:color w:val="000000"/>
          <w:highlight w:val="none"/>
          <w:lang w:val="en-US" w:eastAsia="zh-CN"/>
        </w:rPr>
        <w:t xml:space="preserve">中标</w:t>
      </w:r>
      <w:r>
        <w:rPr>
          <w:rFonts w:hint="eastAsia" w:ascii="仿宋" w:hAnsi="仿宋" w:eastAsia="仿宋" w:cs="仿宋"/>
          <w:color w:val="000000"/>
          <w:highlight w:val="none"/>
        </w:rPr>
        <w:t xml:space="preserve">条件的，采购人可按评委会推荐的</w:t>
      </w:r>
      <w:r>
        <w:rPr>
          <w:rFonts w:hint="eastAsia" w:ascii="仿宋" w:hAnsi="仿宋" w:eastAsia="仿宋" w:cs="仿宋"/>
          <w:color w:val="000000"/>
          <w:highlight w:val="none"/>
          <w:lang w:val="en-US" w:eastAsia="zh-CN"/>
        </w:rPr>
        <w:t xml:space="preserve">中标</w:t>
      </w:r>
      <w:r>
        <w:rPr>
          <w:rFonts w:hint="eastAsia" w:ascii="仿宋" w:hAnsi="仿宋" w:eastAsia="仿宋" w:cs="仿宋"/>
          <w:color w:val="000000"/>
          <w:highlight w:val="none"/>
        </w:rPr>
        <w:t xml:space="preserve">候选人名单排序，确定下一候选人为</w:t>
      </w:r>
      <w:r>
        <w:rPr>
          <w:rFonts w:hint="eastAsia" w:ascii="仿宋" w:hAnsi="仿宋" w:eastAsia="仿宋" w:cs="仿宋"/>
          <w:color w:val="000000"/>
          <w:highlight w:val="none"/>
          <w:lang w:val="en-US" w:eastAsia="zh-CN"/>
        </w:rPr>
        <w:t xml:space="preserve">中标人</w:t>
      </w:r>
      <w:r>
        <w:rPr>
          <w:rFonts w:hint="eastAsia" w:ascii="仿宋" w:hAnsi="仿宋" w:eastAsia="仿宋" w:cs="仿宋"/>
          <w:color w:val="000000"/>
          <w:highlight w:val="none"/>
        </w:rPr>
        <w:t xml:space="preserve">，也可以重新开展政府采购活动。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34"/>
        <w:keepLines w:val="0"/>
        <w:keepNext w:val="0"/>
        <w:spacing w:before="0" w:after="0" w:line="520" w:lineRule="exact"/>
        <w:rPr>
          <w:highlight w:val="none"/>
        </w:rPr>
      </w:pPr>
      <w:r/>
      <w:bookmarkStart w:id="38" w:name="_Toc6774"/>
      <w:r>
        <w:rPr>
          <w:rFonts w:hint="eastAsia"/>
          <w:highlight w:val="none"/>
        </w:rPr>
        <w:t xml:space="preserve">七、中标及合同签订</w:t>
      </w:r>
      <w:bookmarkEnd w:id="38"/>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标后审查</w:t>
      </w:r>
      <w:r/>
    </w:p>
    <w:p>
      <w:pPr>
        <w:ind w:firstLine="480"/>
        <w:spacing w:line="520" w:lineRule="exact"/>
        <w:rPr>
          <w:rFonts w:ascii="仿宋" w:hAnsi="仿宋" w:eastAsia="仿宋" w:cs="仿宋"/>
          <w:color w:val="000000"/>
          <w:highlight w:val="none"/>
        </w:rPr>
      </w:pPr>
      <w:r/>
      <w:bookmarkStart w:id="39" w:name="EB17cdacdfdd1244abbb73389fe0bfffe7"/>
      <w:r>
        <w:rPr>
          <w:rFonts w:hint="eastAsia" w:ascii="仿宋" w:hAnsi="仿宋" w:eastAsia="仿宋" w:cs="仿宋"/>
          <w:color w:val="000000"/>
          <w:highlight w:val="none"/>
        </w:rPr>
        <w:t xml:space="preserve">29.1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r>
        <w:rPr>
          <w:rFonts w:hint="eastAsia" w:ascii="仿宋" w:hAnsi="仿宋" w:eastAsia="仿宋" w:cs="仿宋"/>
          <w:color w:val="auto"/>
          <w:highlight w:val="none"/>
        </w:rPr>
        <w:t xml:space="preserve">或重新招标</w:t>
      </w:r>
      <w:r>
        <w:rPr>
          <w:rFonts w:hint="eastAsia" w:ascii="仿宋" w:hAnsi="仿宋" w:eastAsia="仿宋" w:cs="仿宋"/>
          <w:color w:val="000000"/>
          <w:highlight w:val="none"/>
        </w:rPr>
        <w:t xml:space="preserve">。</w:t>
      </w:r>
      <w:bookmarkEnd w:id="39"/>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30.2在中标结果公告届满之前，中标人被列为失信被执行人的，取消其中标资格，并重新确定中标人</w:t>
      </w:r>
      <w:r>
        <w:rPr>
          <w:rFonts w:hint="eastAsia" w:ascii="仿宋" w:hAnsi="仿宋" w:eastAsia="仿宋" w:cs="仿宋"/>
          <w:color w:val="auto"/>
          <w:highlight w:val="none"/>
        </w:rPr>
        <w:t xml:space="preserve">或重新招标</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31.1中标结果在指定信息媒体上发布公告，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auto"/>
          <w:highlight w:val="none"/>
        </w:rPr>
        <w:t xml:space="preserve">31.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w:t>
      </w:r>
      <w:r>
        <w:rPr>
          <w:rFonts w:hint="eastAsia" w:ascii="仿宋" w:hAnsi="仿宋" w:eastAsia="仿宋" w:cs="仿宋"/>
          <w:color w:val="auto"/>
          <w:highlight w:val="none"/>
          <w:lang w:val="en-US" w:eastAsia="zh-CN"/>
        </w:rPr>
        <w:t xml:space="preserve">且正常使用一年后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收到</w:t>
      </w:r>
      <w:r>
        <w:rPr>
          <w:rFonts w:hint="eastAsia" w:ascii="仿宋" w:hAnsi="仿宋" w:eastAsia="仿宋" w:cs="仿宋"/>
          <w:color w:val="auto"/>
          <w:highlight w:val="none"/>
        </w:rPr>
        <w:t xml:space="preserve">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015"/>
        <w:ind w:left="0"/>
        <w:spacing w:line="520" w:lineRule="exact"/>
        <w:rPr>
          <w:highlight w:val="none"/>
        </w:rPr>
      </w:pPr>
      <w:r>
        <w:rPr>
          <w:highlight w:val="none"/>
        </w:rPr>
      </w:r>
      <w:r/>
    </w:p>
    <w:p>
      <w:pPr>
        <w:pStyle w:val="934"/>
        <w:keepLines w:val="0"/>
        <w:keepNext w:val="0"/>
        <w:spacing w:before="0" w:after="0" w:line="520" w:lineRule="exact"/>
        <w:rPr>
          <w:highlight w:val="none"/>
        </w:rPr>
      </w:pPr>
      <w:r/>
      <w:bookmarkStart w:id="40" w:name="_Toc15475"/>
      <w:r>
        <w:rPr>
          <w:rFonts w:hint="eastAsia"/>
          <w:highlight w:val="none"/>
        </w:rPr>
        <w:t xml:space="preserve">八、验收及付款</w:t>
      </w:r>
      <w:bookmarkEnd w:id="40"/>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验收及付款</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34.1采购人或采购代理机构应当组成验收小组，验收人员应当按照约定的验收标准，对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34.2按照招标文件和合同约定的付款方式，采购人及时办理付款手续</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 </w:t>
      </w:r>
      <w:r/>
    </w:p>
    <w:p>
      <w:pPr>
        <w:ind w:firstLine="480"/>
        <w:spacing w:line="520" w:lineRule="exact"/>
        <w:rPr>
          <w:rFonts w:hint="eastAsia" w:ascii="仿宋" w:hAnsi="仿宋" w:eastAsia="仿宋" w:cs="仿宋"/>
          <w:color w:val="auto"/>
          <w:highlight w:val="none"/>
        </w:rPr>
      </w:pPr>
      <w:r/>
      <w:bookmarkStart w:id="41" w:name="EB120ac03ab710494bb42e662066a04c8d"/>
      <w:r>
        <w:rPr>
          <w:rFonts w:hint="eastAsia" w:ascii="仿宋" w:hAnsi="仿宋" w:eastAsia="仿宋" w:cs="仿宋"/>
          <w:color w:val="auto"/>
          <w:highlight w:val="none"/>
        </w:rPr>
        <w:t xml:space="preserve">34.3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highlight w:val="none"/>
        </w:rPr>
      </w:pPr>
      <w:r>
        <w:rPr>
          <w:rFonts w:hint="eastAsia" w:ascii="仿宋_GB2312" w:hAnsi="宋体" w:eastAsia="仿宋_GB2312"/>
          <w:color w:val="0000ff"/>
          <w:highlight w:val="none"/>
        </w:rPr>
        <w:t xml:space="preserve"> </w:t>
      </w:r>
      <w:bookmarkEnd w:id="41"/>
      <w:r/>
      <w:bookmarkStart w:id="42" w:name="EB3dfb2d4b0d1a4c49b19eebbcbcf2070f"/>
      <w:r>
        <w:rPr>
          <w:rFonts w:hint="eastAsia" w:ascii="仿宋_GB2312" w:eastAsia="仿宋_GB2312"/>
          <w:color w:val="000080"/>
          <w:sz w:val="20"/>
          <w:highlight w:val="none"/>
        </w:rPr>
        <w:t xml:space="preserve"> </w:t>
      </w:r>
      <w:bookmarkEnd w:id="42"/>
      <w:r/>
      <w:bookmarkStart w:id="43" w:name="EBd8825445671b41caa2ae06e4240964e2"/>
      <w:r>
        <w:rPr>
          <w:rFonts w:hint="eastAsia" w:ascii="仿宋_GB2312" w:eastAsia="仿宋_GB2312"/>
          <w:color w:val="000080"/>
          <w:sz w:val="20"/>
          <w:highlight w:val="none"/>
        </w:rPr>
        <w:t xml:space="preserve"> </w:t>
      </w:r>
      <w:bookmarkEnd w:id="43"/>
      <w:r/>
      <w:bookmarkStart w:id="44" w:name="EBb2af26a7e37c4a4e85e6f11d4b1f7485"/>
      <w:r>
        <w:rPr>
          <w:rFonts w:hint="eastAsia" w:ascii="仿宋_GB2312" w:eastAsia="仿宋_GB2312"/>
          <w:color w:val="000080"/>
          <w:sz w:val="20"/>
          <w:highlight w:val="none"/>
        </w:rPr>
        <w:t xml:space="preserve"> </w:t>
      </w:r>
      <w:bookmarkEnd w:id="44"/>
      <w:r/>
      <w:r/>
    </w:p>
    <w:p>
      <w:pPr>
        <w:pStyle w:val="934"/>
        <w:keepLines w:val="0"/>
        <w:keepNext w:val="0"/>
        <w:spacing w:before="0" w:after="0" w:line="520" w:lineRule="exact"/>
        <w:rPr>
          <w:highlight w:val="none"/>
        </w:rPr>
      </w:pPr>
      <w:r/>
      <w:bookmarkStart w:id="45" w:name="_Toc20991"/>
      <w:r>
        <w:rPr>
          <w:rFonts w:hint="eastAsia"/>
          <w:highlight w:val="none"/>
        </w:rPr>
        <w:t xml:space="preserve">九、质疑与投诉</w:t>
      </w:r>
      <w:bookmarkEnd w:id="45"/>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6" w:name="EBf7accddeb64e419786dca6f2920f0c2c"/>
      <w:r>
        <w:rPr>
          <w:rFonts w:hint="eastAsia" w:ascii="仿宋" w:hAnsi="仿宋" w:eastAsia="仿宋" w:cs="仿宋"/>
          <w:color w:val="0000ff"/>
          <w:highlight w:val="none"/>
        </w:rPr>
        <w:t xml:space="preserve"> </w:t>
      </w:r>
      <w:bookmarkEnd w:id="46"/>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通讯地址：南京市中山南路414号投资大厦A层（13层）C室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35.6质疑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35.7投标人在全国范围12个月内三次以上投诉查无实据的，由财政部门列入不良行为记录名单。</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35.8投标人有下列行为之一的，属于虚假、恶意投诉，由财政部门列入不良行为记录名单，禁止其1至3年内参加政府采购活动：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（一）捏造事实;</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（二）提供虚假材料;</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（三）以非法手段取得证明材料。证据来源的合法性存在明显疑问，投标人无法证明其取得方式合法的，视为以非法手段取得证明材料。</w:t>
      </w:r>
      <w:r/>
    </w:p>
    <w:p>
      <w:pPr>
        <w:pStyle w:val="963"/>
        <w:spacing w:line="520" w:lineRule="exact"/>
        <w:rPr>
          <w:highlight w:val="none"/>
        </w:rPr>
      </w:pPr>
      <w:r>
        <w:rPr>
          <w:highlight w:val="none"/>
        </w:rPr>
      </w:r>
      <w:r/>
    </w:p>
    <w:p>
      <w:pPr>
        <w:pStyle w:val="934"/>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w:t>
      </w:r>
      <w:r>
        <w:rPr>
          <w:rFonts w:hint="eastAsia" w:ascii="仿宋" w:hAnsi="仿宋" w:eastAsia="仿宋" w:cs="仿宋"/>
          <w:highlight w:val="none"/>
          <w:lang w:val="en-US" w:eastAsia="zh-CN"/>
        </w:rPr>
        <w:t xml:space="preserve">公开招标</w:t>
      </w:r>
      <w:r>
        <w:rPr>
          <w:rFonts w:hint="eastAsia" w:ascii="仿宋" w:hAnsi="仿宋" w:eastAsia="仿宋" w:cs="仿宋"/>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w:t>
      </w:r>
      <w:r>
        <w:rPr>
          <w:rFonts w:hint="eastAsia" w:ascii="仿宋" w:hAnsi="仿宋" w:eastAsia="仿宋" w:cs="仿宋"/>
          <w:highlight w:val="none"/>
          <w:lang w:val="en-US" w:eastAsia="zh-CN"/>
        </w:rPr>
        <w:t xml:space="preserve">公开招标</w:t>
      </w:r>
      <w:r>
        <w:rPr>
          <w:rFonts w:hint="eastAsia" w:ascii="仿宋" w:hAnsi="仿宋" w:eastAsia="仿宋" w:cs="仿宋"/>
          <w:highlight w:val="none"/>
        </w:rPr>
        <w:t xml:space="preserve">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w:t>
      </w:r>
      <w:r>
        <w:rPr>
          <w:rFonts w:hint="eastAsia" w:ascii="仿宋" w:hAnsi="仿宋" w:eastAsia="仿宋" w:cs="仿宋"/>
          <w:highlight w:val="none"/>
          <w:lang w:val="en-US" w:eastAsia="zh-CN"/>
        </w:rPr>
        <w:t xml:space="preserve">公开招标</w:t>
      </w:r>
      <w:r>
        <w:rPr>
          <w:rFonts w:hint="eastAsia" w:ascii="仿宋" w:hAnsi="仿宋" w:eastAsia="仿宋" w:cs="仿宋"/>
          <w:highlight w:val="none"/>
        </w:rPr>
        <w:t xml:space="preserve">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w:t>
      </w:r>
      <w:r>
        <w:rPr>
          <w:rFonts w:hint="eastAsia" w:ascii="仿宋" w:hAnsi="仿宋" w:eastAsia="仿宋" w:cs="仿宋"/>
          <w:highlight w:val="none"/>
          <w:lang w:val="en-US" w:eastAsia="zh-CN"/>
        </w:rPr>
        <w:t xml:space="preserve">公开招标</w:t>
      </w:r>
      <w:r>
        <w:rPr>
          <w:rFonts w:hint="eastAsia" w:ascii="仿宋" w:hAnsi="仿宋" w:eastAsia="仿宋" w:cs="仿宋"/>
          <w:highlight w:val="none"/>
        </w:rPr>
        <w:t xml:space="preserve">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仿宋" w:hAnsi="仿宋" w:eastAsia="仿宋" w:cs="仿宋"/>
          <w:highlight w:val="none"/>
          <w:lang w:eastAsia="zh-CN"/>
        </w:rPr>
        <w:t xml:space="preserve">响应文件</w:t>
      </w:r>
      <w:r>
        <w:rPr>
          <w:rFonts w:hint="eastAsia" w:ascii="仿宋" w:hAnsi="仿宋" w:eastAsia="仿宋" w:cs="仿宋"/>
          <w:highlight w:val="none"/>
        </w:rPr>
        <w:t xml:space="preserve">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w:t>
      </w:r>
      <w:r>
        <w:rPr>
          <w:rFonts w:hint="eastAsia" w:ascii="仿宋" w:hAnsi="仿宋" w:eastAsia="仿宋" w:cs="仿宋"/>
          <w:highlight w:val="none"/>
          <w:lang w:val="en-US" w:eastAsia="zh-CN"/>
        </w:rPr>
        <w:t xml:space="preserve">公开招标</w:t>
      </w:r>
      <w:r>
        <w:rPr>
          <w:rFonts w:hint="eastAsia" w:ascii="仿宋" w:hAnsi="仿宋" w:eastAsia="仿宋" w:cs="仿宋"/>
          <w:highlight w:val="none"/>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的扣除，用扣除后的价格参加评审。（是否接受联合体以</w:t>
      </w:r>
      <w:r>
        <w:rPr>
          <w:rFonts w:hint="eastAsia" w:ascii="仿宋" w:hAnsi="仿宋" w:eastAsia="仿宋" w:cs="仿宋"/>
          <w:highlight w:val="none"/>
          <w:lang w:val="en-US" w:eastAsia="zh-CN"/>
        </w:rPr>
        <w:t xml:space="preserve">招标</w:t>
      </w:r>
      <w:r>
        <w:rPr>
          <w:rFonts w:hint="eastAsia" w:ascii="仿宋" w:hAnsi="仿宋" w:eastAsia="仿宋" w:cs="仿宋"/>
          <w:highlight w:val="none"/>
          <w:lang w:eastAsia="zh-CN"/>
        </w:rPr>
        <w:t xml:space="preserve">文件</w:t>
      </w:r>
      <w:r>
        <w:rPr>
          <w:rFonts w:hint="eastAsia" w:ascii="仿宋" w:hAnsi="仿宋" w:eastAsia="仿宋" w:cs="仿宋"/>
          <w:highlight w:val="none"/>
        </w:rPr>
        <w:t xml:space="preserve">中相关内容为准，是否允许大中型企业向一家或者多家小微企业分包以</w:t>
      </w:r>
      <w:r>
        <w:rPr>
          <w:rFonts w:hint="eastAsia" w:ascii="仿宋" w:hAnsi="仿宋" w:eastAsia="仿宋" w:cs="仿宋"/>
          <w:highlight w:val="none"/>
          <w:lang w:val="en-US" w:eastAsia="zh-CN"/>
        </w:rPr>
        <w:t xml:space="preserve">招标</w:t>
      </w:r>
      <w:r>
        <w:rPr>
          <w:rFonts w:hint="eastAsia" w:ascii="仿宋" w:hAnsi="仿宋" w:eastAsia="仿宋" w:cs="仿宋"/>
          <w:highlight w:val="none"/>
          <w:lang w:eastAsia="zh-CN"/>
        </w:rPr>
        <w:t xml:space="preserve">文件</w:t>
      </w:r>
      <w:r>
        <w:rPr>
          <w:rFonts w:hint="eastAsia" w:ascii="仿宋" w:hAnsi="仿宋" w:eastAsia="仿宋" w:cs="仿宋"/>
          <w:highlight w:val="none"/>
        </w:rPr>
        <w:t xml:space="preserve">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⑤</w:t>
      </w: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34"/>
        <w:keepLines w:val="0"/>
        <w:keepNext w:val="0"/>
        <w:spacing w:before="0" w:after="0" w:line="520" w:lineRule="exact"/>
        <w:rPr>
          <w:rFonts w:hint="eastAsia"/>
          <w:highlight w:val="none"/>
        </w:rPr>
        <w:outlineLvl w:val="9"/>
      </w:pPr>
      <w:r/>
      <w:bookmarkStart w:id="47" w:name="_Toc23826"/>
      <w:r/>
      <w:r/>
    </w:p>
    <w:p>
      <w:pPr>
        <w:pStyle w:val="934"/>
        <w:keepLines w:val="0"/>
        <w:keepNext w:val="0"/>
        <w:spacing w:before="0" w:after="0" w:line="520" w:lineRule="exact"/>
        <w:rPr>
          <w:highlight w:val="none"/>
        </w:rPr>
      </w:pPr>
      <w:r>
        <w:rPr>
          <w:rFonts w:hint="eastAsia"/>
          <w:highlight w:val="none"/>
        </w:rPr>
        <w:t xml:space="preserve">十一、保密</w:t>
      </w:r>
      <w:bookmarkEnd w:id="47"/>
      <w:r/>
      <w:r/>
    </w:p>
    <w:p>
      <w:pPr>
        <w:ind w:firstLine="482"/>
        <w:spacing w:line="520" w:lineRule="exact"/>
        <w:rPr>
          <w:rFonts w:hint="eastAsia" w:ascii="仿宋" w:hAnsi="仿宋" w:eastAsia="仿宋" w:cs="仿宋"/>
          <w:b/>
          <w:bCs/>
          <w:color w:val="000000"/>
          <w:sz w:val="24"/>
          <w:szCs w:val="22"/>
          <w:highlight w:val="none"/>
          <w:lang w:val="en-US" w:eastAsia="zh-CN" w:bidi="ar-SA"/>
        </w:rPr>
      </w:pPr>
      <w:r>
        <w:rPr>
          <w:rFonts w:hint="eastAsia" w:ascii="仿宋" w:hAnsi="仿宋" w:eastAsia="仿宋" w:cs="仿宋"/>
          <w:b/>
          <w:bCs/>
          <w:color w:val="000000"/>
          <w:sz w:val="24"/>
          <w:szCs w:val="22"/>
          <w:highlight w:val="none"/>
          <w:lang w:val="en-US" w:eastAsia="zh-CN" w:bidi="ar-SA"/>
        </w:rPr>
        <w:t xml:space="preserve">38.保密</w:t>
      </w:r>
      <w:r/>
    </w:p>
    <w:p>
      <w:pPr>
        <w:pStyle w:val="1015"/>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38</w:t>
      </w:r>
      <w:r>
        <w:rPr>
          <w:rFonts w:hint="eastAsia" w:ascii="仿宋" w:hAnsi="仿宋" w:eastAsia="仿宋" w:cs="仿宋"/>
          <w:color w:val="000000"/>
          <w:szCs w:val="22"/>
          <w:highlight w:val="none"/>
        </w:rPr>
        <w:t xml:space="preserve">.1参与本次招标投标活动的各方应对招标文件和投标文件中的商业和技术等秘密保密，违者应对由此造成的后果承担法律责任。 </w:t>
      </w:r>
      <w:r/>
    </w:p>
    <w:p>
      <w:pPr>
        <w:pStyle w:val="1015"/>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38.2</w:t>
      </w:r>
      <w:r>
        <w:rPr>
          <w:rFonts w:hint="eastAsia" w:ascii="仿宋" w:hAnsi="仿宋" w:eastAsia="仿宋" w:cs="仿宋"/>
          <w:color w:val="000000"/>
          <w:szCs w:val="22"/>
          <w:highlight w:val="none"/>
        </w:rPr>
        <w:t xml:space="preserve">凡是与审查、澄清、评价和</w:t>
      </w:r>
      <w:r>
        <w:rPr>
          <w:rFonts w:hint="eastAsia" w:ascii="仿宋" w:hAnsi="仿宋" w:eastAsia="仿宋" w:cs="仿宋"/>
          <w:color w:val="000000"/>
          <w:szCs w:val="22"/>
          <w:highlight w:val="none"/>
          <w:lang w:val="en-US" w:eastAsia="zh-CN"/>
        </w:rPr>
        <w:t xml:space="preserve">招标文件</w:t>
      </w:r>
      <w:r>
        <w:rPr>
          <w:rFonts w:hint="eastAsia" w:ascii="仿宋" w:hAnsi="仿宋" w:eastAsia="仿宋" w:cs="仿宋"/>
          <w:color w:val="000000"/>
          <w:szCs w:val="22"/>
          <w:highlight w:val="none"/>
        </w:rPr>
        <w:t xml:space="preserve">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w:t>
      </w:r>
      <w:r>
        <w:rPr>
          <w:rFonts w:hint="eastAsia" w:ascii="仿宋" w:hAnsi="仿宋" w:eastAsia="仿宋" w:cs="仿宋"/>
          <w:color w:val="000000"/>
          <w:szCs w:val="22"/>
          <w:highlight w:val="none"/>
          <w:lang w:val="en-US" w:eastAsia="zh-CN"/>
        </w:rPr>
        <w:t xml:space="preserve">招标</w:t>
      </w:r>
      <w:r>
        <w:rPr>
          <w:rFonts w:hint="eastAsia" w:ascii="仿宋" w:hAnsi="仿宋" w:eastAsia="仿宋" w:cs="仿宋"/>
          <w:color w:val="000000"/>
          <w:szCs w:val="22"/>
          <w:highlight w:val="none"/>
        </w:rPr>
        <w:t xml:space="preserve">无关的其他人员透露。</w:t>
      </w:r>
      <w:r/>
    </w:p>
    <w:p>
      <w:pPr>
        <w:pStyle w:val="1015"/>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38.3</w:t>
      </w:r>
      <w:r>
        <w:rPr>
          <w:rFonts w:hint="eastAsia" w:ascii="仿宋" w:hAnsi="仿宋" w:eastAsia="仿宋" w:cs="仿宋"/>
          <w:color w:val="000000"/>
          <w:szCs w:val="22"/>
          <w:highlight w:val="none"/>
        </w:rPr>
        <w:t xml:space="preserve">在</w:t>
      </w:r>
      <w:r>
        <w:rPr>
          <w:rFonts w:hint="eastAsia" w:ascii="仿宋" w:hAnsi="仿宋" w:eastAsia="仿宋" w:cs="仿宋"/>
          <w:color w:val="000000"/>
          <w:szCs w:val="22"/>
          <w:highlight w:val="none"/>
          <w:lang w:val="en-US" w:eastAsia="zh-CN"/>
        </w:rPr>
        <w:t xml:space="preserve">招标</w:t>
      </w:r>
      <w:r>
        <w:rPr>
          <w:rFonts w:hint="eastAsia" w:ascii="仿宋" w:hAnsi="仿宋" w:eastAsia="仿宋" w:cs="仿宋"/>
          <w:color w:val="000000"/>
          <w:szCs w:val="22"/>
          <w:highlight w:val="none"/>
        </w:rPr>
        <w:t xml:space="preserve">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w:t>
      </w:r>
      <w:r>
        <w:rPr>
          <w:rFonts w:hint="eastAsia" w:ascii="仿宋" w:hAnsi="仿宋" w:eastAsia="仿宋" w:cs="仿宋"/>
          <w:color w:val="000000"/>
          <w:szCs w:val="22"/>
          <w:highlight w:val="none"/>
          <w:lang w:val="en-US" w:eastAsia="zh-CN"/>
        </w:rPr>
        <w:t xml:space="preserve">招标</w:t>
      </w:r>
      <w:r>
        <w:rPr>
          <w:rFonts w:hint="eastAsia" w:ascii="仿宋" w:hAnsi="仿宋" w:eastAsia="仿宋" w:cs="仿宋"/>
          <w:color w:val="000000"/>
          <w:szCs w:val="22"/>
          <w:highlight w:val="none"/>
        </w:rPr>
        <w:t xml:space="preserve">过程，否则其</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将被作为无效</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w:t>
      </w:r>
      <w:r/>
    </w:p>
    <w:p>
      <w:pPr>
        <w:pStyle w:val="1015"/>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38.4</w:t>
      </w:r>
      <w:r>
        <w:rPr>
          <w:rFonts w:hint="eastAsia" w:ascii="仿宋" w:hAnsi="仿宋" w:eastAsia="仿宋" w:cs="仿宋"/>
          <w:color w:val="000000"/>
          <w:szCs w:val="22"/>
          <w:highlight w:val="none"/>
        </w:rPr>
        <w:t xml:space="preserve">采购代理机构和</w:t>
      </w:r>
      <w:r>
        <w:rPr>
          <w:rFonts w:hint="eastAsia" w:ascii="仿宋" w:hAnsi="仿宋" w:eastAsia="仿宋" w:cs="仿宋"/>
          <w:color w:val="000000"/>
          <w:szCs w:val="22"/>
          <w:highlight w:val="none"/>
          <w:lang w:val="en-US" w:eastAsia="zh-CN"/>
        </w:rPr>
        <w:t xml:space="preserve">评标委员会</w:t>
      </w:r>
      <w:r>
        <w:rPr>
          <w:rFonts w:hint="eastAsia" w:ascii="仿宋" w:hAnsi="仿宋" w:eastAsia="仿宋" w:cs="仿宋"/>
          <w:color w:val="000000"/>
          <w:szCs w:val="22"/>
          <w:highlight w:val="none"/>
        </w:rPr>
        <w:t xml:space="preserve">不向未</w:t>
      </w:r>
      <w:r>
        <w:rPr>
          <w:rFonts w:hint="eastAsia" w:ascii="仿宋" w:hAnsi="仿宋" w:eastAsia="仿宋" w:cs="仿宋"/>
          <w:color w:val="000000"/>
          <w:szCs w:val="22"/>
          <w:highlight w:val="none"/>
          <w:lang w:val="en-US" w:eastAsia="zh-CN"/>
        </w:rPr>
        <w:t xml:space="preserve">中标</w:t>
      </w:r>
      <w:r>
        <w:rPr>
          <w:rFonts w:hint="eastAsia" w:ascii="仿宋" w:hAnsi="仿宋" w:eastAsia="仿宋" w:cs="仿宋"/>
          <w:color w:val="000000"/>
          <w:szCs w:val="22"/>
          <w:highlight w:val="none"/>
        </w:rPr>
        <w:t xml:space="preserve">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w:t>
      </w:r>
      <w:r>
        <w:rPr>
          <w:rFonts w:hint="eastAsia" w:ascii="仿宋" w:hAnsi="仿宋" w:eastAsia="仿宋" w:cs="仿宋"/>
          <w:color w:val="000000"/>
          <w:szCs w:val="22"/>
          <w:highlight w:val="none"/>
          <w:lang w:val="en-US" w:eastAsia="zh-CN"/>
        </w:rPr>
        <w:t xml:space="preserve">中标</w:t>
      </w:r>
      <w:r>
        <w:rPr>
          <w:rFonts w:hint="eastAsia" w:ascii="仿宋" w:hAnsi="仿宋" w:eastAsia="仿宋" w:cs="仿宋"/>
          <w:color w:val="000000"/>
          <w:szCs w:val="22"/>
          <w:highlight w:val="none"/>
        </w:rPr>
        <w:t xml:space="preserve">原因，也不公布</w:t>
      </w:r>
      <w:r>
        <w:rPr>
          <w:rFonts w:hint="eastAsia" w:ascii="仿宋" w:hAnsi="仿宋" w:eastAsia="仿宋" w:cs="仿宋"/>
          <w:color w:val="000000"/>
          <w:szCs w:val="22"/>
          <w:highlight w:val="none"/>
          <w:lang w:val="en-US" w:eastAsia="zh-CN"/>
        </w:rPr>
        <w:t xml:space="preserve">评标</w:t>
      </w:r>
      <w:r>
        <w:rPr>
          <w:rFonts w:hint="eastAsia" w:ascii="仿宋" w:hAnsi="仿宋" w:eastAsia="仿宋" w:cs="仿宋"/>
          <w:color w:val="000000"/>
          <w:szCs w:val="22"/>
          <w:highlight w:val="none"/>
        </w:rPr>
        <w:t xml:space="preserve">过程中的相关细节。</w:t>
      </w:r>
      <w:r/>
    </w:p>
    <w:p>
      <w:pPr>
        <w:rPr>
          <w:highlight w:val="none"/>
        </w:rPr>
      </w:pPr>
      <w:r>
        <w:rPr>
          <w:highlight w:val="none"/>
        </w:rPr>
      </w:r>
      <w:r/>
    </w:p>
    <w:p>
      <w:pPr>
        <w:rPr>
          <w:rFonts w:hint="eastAsia"/>
          <w:highlight w:val="none"/>
        </w:rPr>
      </w:pPr>
      <w:r/>
      <w:bookmarkStart w:id="48" w:name="_Toc6597"/>
      <w:r>
        <w:rPr>
          <w:rFonts w:hint="eastAsia"/>
          <w:highlight w:val="none"/>
        </w:rPr>
        <w:br w:type="page" w:clear="all"/>
      </w:r>
      <w:r/>
    </w:p>
    <w:p>
      <w:pPr>
        <w:pStyle w:val="933"/>
        <w:jc w:val="center"/>
        <w:spacing w:line="240" w:lineRule="auto"/>
        <w:rPr>
          <w:rFonts w:hint="eastAsia" w:eastAsia="宋体"/>
          <w:highlight w:val="none"/>
          <w:lang w:eastAsia="zh-CN"/>
        </w:rPr>
      </w:pPr>
      <w:r/>
      <w:bookmarkStart w:id="49" w:name="_Toc29669"/>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9"/>
      <w:r/>
      <w:r/>
    </w:p>
    <w:p>
      <w:pP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（以下为成交后签订本项目合同的通用条款，成交供应商不得提出实质性修改，关于专用条款将由采购人与成交供应商结合本项目具体情况协商后签订）</w:t>
      </w:r>
      <w:r/>
    </w:p>
    <w:p>
      <w:pPr>
        <w:ind w:firstLine="420"/>
        <w:jc w:val="both"/>
        <w:widowControl w:val="off"/>
        <w:rPr>
          <w:rFonts w:hint="eastAsia" w:ascii="宋体" w:hAnsi="Times New Roman" w:eastAsia="Times New Roman" w:cs="Times New Roman"/>
          <w:color w:val="000000"/>
          <w:sz w:val="24"/>
          <w:szCs w:val="20"/>
          <w:lang w:val="en-US" w:eastAsia="zh-CN" w:bidi="ar-SA"/>
        </w:rPr>
      </w:pPr>
      <w:r>
        <w:rPr>
          <w:rFonts w:hint="eastAsia" w:ascii="宋体" w:hAnsi="Times New Roman" w:eastAsia="Times New Roman" w:cs="Times New Roman"/>
          <w:color w:val="000000"/>
          <w:sz w:val="24"/>
          <w:szCs w:val="20"/>
          <w:lang w:val="en-US" w:eastAsia="zh-CN" w:bidi="ar-SA"/>
        </w:rPr>
      </w:r>
      <w:r/>
    </w:p>
    <w:p>
      <w:pPr>
        <w:jc w:val="both"/>
        <w:spacing w:line="480" w:lineRule="exact"/>
        <w:widowControl w:val="off"/>
        <w:rPr>
          <w:rFonts w:hint="eastAsia" w:ascii="仿宋" w:hAnsi="仿宋" w:eastAsia="仿宋" w:cs="仿宋"/>
          <w:sz w:val="24"/>
          <w:szCs w:val="24"/>
          <w:u w:val="single"/>
          <w:lang w:val="en-US" w:eastAsia="zh-CN" w:bidi="ar-SA"/>
        </w:rPr>
      </w:pPr>
      <w:r>
        <w:rPr>
          <w:rFonts w:hint="eastAsia" w:ascii="仿宋" w:hAnsi="仿宋" w:eastAsia="仿宋" w:cs="仿宋"/>
          <w:sz w:val="24"/>
          <w:szCs w:val="24"/>
          <w:lang w:val="en-US" w:eastAsia="zh-CN" w:bidi="ar-SA"/>
        </w:rPr>
        <w:t xml:space="preserve">采购人（甲方）：</w:t>
      </w:r>
      <w:r>
        <w:rPr>
          <w:rFonts w:hint="eastAsia" w:ascii="仿宋" w:hAnsi="仿宋" w:eastAsia="仿宋" w:cs="仿宋"/>
          <w:sz w:val="24"/>
          <w:szCs w:val="24"/>
          <w:u w:val="single"/>
          <w:lang w:val="en-US" w:eastAsia="zh-CN" w:bidi="ar-SA"/>
        </w:rPr>
        <w:t xml:space="preserve">               </w:t>
      </w:r>
      <w:r/>
    </w:p>
    <w:p>
      <w:pPr>
        <w:jc w:val="both"/>
        <w:spacing w:line="480" w:lineRule="exact"/>
        <w:widowControl w:val="off"/>
        <w:rPr>
          <w:rFonts w:hint="eastAsia" w:ascii="仿宋" w:hAnsi="仿宋" w:eastAsia="仿宋" w:cs="仿宋"/>
          <w:sz w:val="24"/>
          <w:szCs w:val="24"/>
          <w:u w:val="single"/>
          <w:lang w:val="en-US" w:eastAsia="zh-CN" w:bidi="ar-SA"/>
        </w:rPr>
      </w:pPr>
      <w:r>
        <w:rPr>
          <w:rFonts w:hint="eastAsia" w:ascii="仿宋" w:hAnsi="仿宋" w:eastAsia="仿宋" w:cs="仿宋"/>
          <w:sz w:val="24"/>
          <w:szCs w:val="24"/>
          <w:lang w:val="en-US" w:eastAsia="zh-CN" w:bidi="ar-SA"/>
        </w:rPr>
        <w:t xml:space="preserve">供应商（乙方）：</w:t>
      </w:r>
      <w:r>
        <w:rPr>
          <w:rFonts w:hint="eastAsia" w:ascii="仿宋" w:hAnsi="仿宋" w:eastAsia="仿宋" w:cs="仿宋"/>
          <w:sz w:val="24"/>
          <w:szCs w:val="24"/>
          <w:u w:val="single"/>
          <w:lang w:val="en-US" w:eastAsia="zh-CN" w:bidi="ar-SA"/>
        </w:rPr>
        <w:t xml:space="preserve">               </w:t>
      </w:r>
      <w:r/>
    </w:p>
    <w:p>
      <w:pPr>
        <w:ind w:firstLine="480"/>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ind w:firstLine="480"/>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兹经甲、乙双方充分协商，签订本合同，共同信守。</w:t>
      </w:r>
      <w:r/>
    </w:p>
    <w:p>
      <w:pPr>
        <w:jc w:val="both"/>
        <w:spacing w:line="480" w:lineRule="exact"/>
        <w:widowControl w:val="off"/>
        <w:rPr>
          <w:rFonts w:hint="eastAsia"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一、设备清单</w:t>
      </w:r>
      <w:r/>
    </w:p>
    <w:tbl>
      <w:tblPr>
        <w:tblStyle w:val="741"/>
        <w:tblpPr w:horzAnchor="page" w:tblpX="1334" w:vertAnchor="text" w:tblpY="122" w:leftFromText="180" w:topFromText="0" w:rightFromText="180" w:bottomFromText="0"/>
        <w:tblW w:w="91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6"/>
        <w:gridCol w:w="1247"/>
        <w:gridCol w:w="853"/>
        <w:gridCol w:w="1379"/>
        <w:gridCol w:w="1031"/>
        <w:gridCol w:w="617"/>
        <w:gridCol w:w="679"/>
        <w:gridCol w:w="1041"/>
        <w:gridCol w:w="1024"/>
      </w:tblGrid>
      <w:tr>
        <w:trPr>
          <w:trHeight w:val="752"/>
        </w:trPr>
        <w:tc>
          <w:tcPr>
            <w:tcW w:w="1266" w:type="dxa"/>
            <w:vAlign w:val="center"/>
            <w:textDirection w:val="lrTb"/>
            <w:noWrap w:val="false"/>
          </w:tcPr>
          <w:p>
            <w:pPr>
              <w:jc w:val="center"/>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设备或器械名称</w:t>
            </w:r>
            <w:r/>
          </w:p>
        </w:tc>
        <w:tc>
          <w:tcPr>
            <w:tcW w:w="1247" w:type="dxa"/>
            <w:vAlign w:val="center"/>
            <w:textDirection w:val="lrTb"/>
            <w:noWrap w:val="false"/>
          </w:tcPr>
          <w:p>
            <w:pPr>
              <w:jc w:val="center"/>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品牌</w:t>
            </w:r>
            <w:r/>
          </w:p>
        </w:tc>
        <w:tc>
          <w:tcPr>
            <w:tcW w:w="853" w:type="dxa"/>
            <w:vAlign w:val="center"/>
            <w:textDirection w:val="lrTb"/>
            <w:noWrap w:val="false"/>
          </w:tcPr>
          <w:p>
            <w:pPr>
              <w:jc w:val="center"/>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型号规格</w:t>
            </w:r>
            <w:r/>
          </w:p>
        </w:tc>
        <w:tc>
          <w:tcPr>
            <w:tcW w:w="1379" w:type="dxa"/>
            <w:vAlign w:val="center"/>
            <w:textDirection w:val="lrTb"/>
            <w:noWrap w:val="false"/>
          </w:tcPr>
          <w:p>
            <w:pPr>
              <w:jc w:val="center"/>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医疗器械注册证</w:t>
            </w:r>
            <w:r/>
          </w:p>
        </w:tc>
        <w:tc>
          <w:tcPr>
            <w:tcW w:w="1031" w:type="dxa"/>
            <w:vAlign w:val="center"/>
            <w:textDirection w:val="lrTb"/>
            <w:noWrap w:val="false"/>
          </w:tcPr>
          <w:p>
            <w:pPr>
              <w:jc w:val="center"/>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产地</w:t>
            </w:r>
            <w:r/>
          </w:p>
        </w:tc>
        <w:tc>
          <w:tcPr>
            <w:tcW w:w="617" w:type="dxa"/>
            <w:vAlign w:val="center"/>
            <w:textDirection w:val="lrTb"/>
            <w:noWrap w:val="false"/>
          </w:tcPr>
          <w:p>
            <w:pPr>
              <w:jc w:val="center"/>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单位</w:t>
            </w:r>
            <w:r/>
          </w:p>
        </w:tc>
        <w:tc>
          <w:tcPr>
            <w:tcW w:w="679" w:type="dxa"/>
            <w:vAlign w:val="center"/>
            <w:textDirection w:val="lrTb"/>
            <w:noWrap w:val="false"/>
          </w:tcPr>
          <w:p>
            <w:pPr>
              <w:jc w:val="center"/>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数量</w:t>
            </w:r>
            <w:r/>
          </w:p>
        </w:tc>
        <w:tc>
          <w:tcPr>
            <w:tcW w:w="1041" w:type="dxa"/>
            <w:vAlign w:val="center"/>
            <w:textDirection w:val="lrTb"/>
            <w:noWrap w:val="false"/>
          </w:tcPr>
          <w:p>
            <w:pPr>
              <w:jc w:val="center"/>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单价（元）</w:t>
            </w:r>
            <w:r/>
          </w:p>
        </w:tc>
        <w:tc>
          <w:tcPr>
            <w:tcW w:w="1024" w:type="dxa"/>
            <w:vAlign w:val="center"/>
            <w:textDirection w:val="lrTb"/>
            <w:noWrap w:val="false"/>
          </w:tcPr>
          <w:p>
            <w:pPr>
              <w:jc w:val="center"/>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总价（元）</w:t>
            </w:r>
            <w:r/>
          </w:p>
        </w:tc>
      </w:tr>
      <w:tr>
        <w:trPr>
          <w:trHeight w:val="612"/>
        </w:trPr>
        <w:tc>
          <w:tcPr>
            <w:tcW w:w="1266" w:type="dxa"/>
            <w:vAlign w:val="center"/>
            <w:textDirection w:val="lrTb"/>
            <w:noWrap w:val="false"/>
          </w:tcPr>
          <w:p>
            <w:pPr>
              <w:jc w:val="center"/>
              <w:spacing w:line="480" w:lineRule="exact"/>
              <w:widowControl w:val="off"/>
              <w:tabs>
                <w:tab w:val="center" w:pos="675" w:leader="none"/>
                <w:tab w:val="right" w:pos="1231"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247" w:type="dxa"/>
            <w:vAlign w:val="center"/>
            <w:textDirection w:val="lrTb"/>
            <w:noWrap w:val="false"/>
          </w:tcPr>
          <w:p>
            <w:pPr>
              <w:jc w:val="center"/>
              <w:spacing w:line="480" w:lineRule="exact"/>
              <w:widowControl w:val="off"/>
              <w:tabs>
                <w:tab w:val="center" w:pos="675" w:leader="none"/>
                <w:tab w:val="right" w:pos="1231"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853" w:type="dxa"/>
            <w:vAlign w:val="center"/>
            <w:textDirection w:val="lrTb"/>
            <w:noWrap w:val="false"/>
          </w:tcPr>
          <w:p>
            <w:pPr>
              <w:jc w:val="center"/>
              <w:spacing w:line="480" w:lineRule="exact"/>
              <w:widowControl w:val="off"/>
              <w:tabs>
                <w:tab w:val="center" w:pos="675" w:leader="none"/>
                <w:tab w:val="right" w:pos="1231"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379" w:type="dxa"/>
            <w:vAlign w:val="center"/>
            <w:textDirection w:val="lrTb"/>
            <w:noWrap w:val="false"/>
          </w:tcPr>
          <w:p>
            <w:pPr>
              <w:jc w:val="both"/>
              <w:spacing w:line="480" w:lineRule="exact"/>
              <w:widowControl w:val="off"/>
              <w:tabs>
                <w:tab w:val="center" w:pos="675" w:leader="none"/>
                <w:tab w:val="right" w:pos="1231"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031" w:type="dxa"/>
            <w:vAlign w:val="center"/>
            <w:textDirection w:val="lrTb"/>
            <w:noWrap w:val="false"/>
          </w:tcPr>
          <w:p>
            <w:pPr>
              <w:jc w:val="center"/>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617" w:type="dxa"/>
            <w:vAlign w:val="center"/>
            <w:textDirection w:val="lrTb"/>
            <w:noWrap w:val="false"/>
          </w:tcPr>
          <w:p>
            <w:pPr>
              <w:jc w:val="center"/>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679" w:type="dxa"/>
            <w:vAlign w:val="center"/>
            <w:textDirection w:val="lrTb"/>
            <w:noWrap w:val="false"/>
          </w:tcPr>
          <w:p>
            <w:pPr>
              <w:jc w:val="center"/>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041" w:type="dxa"/>
            <w:vAlign w:val="center"/>
            <w:textDirection w:val="lrTb"/>
            <w:noWrap w:val="false"/>
          </w:tcPr>
          <w:p>
            <w:pPr>
              <w:jc w:val="center"/>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c>
          <w:tcPr>
            <w:tcW w:w="1024" w:type="dxa"/>
            <w:vAlign w:val="center"/>
            <w:textDirection w:val="lrTb"/>
            <w:noWrap w:val="false"/>
          </w:tcPr>
          <w:p>
            <w:pPr>
              <w:jc w:val="center"/>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tc>
      </w:tr>
    </w:tbl>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备注:上述价格含设备、包装、仓储、运输、安装及验收合格之前及质保期内备品、备件发生的所有含税费用，以及包装拆除物的清理费用。</w:t>
      </w:r>
      <w:r/>
    </w:p>
    <w:p>
      <w:pPr>
        <w:jc w:val="both"/>
        <w:spacing w:line="480" w:lineRule="exact"/>
        <w:widowControl w:val="off"/>
        <w:rPr>
          <w:rFonts w:hint="eastAsia"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二、合同金额</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 本合同金额为（大写）：人民币</w:t>
      </w:r>
      <w:r>
        <w:rPr>
          <w:rFonts w:hint="eastAsia" w:ascii="仿宋" w:hAnsi="仿宋" w:eastAsia="仿宋" w:cs="仿宋"/>
          <w:sz w:val="24"/>
          <w:szCs w:val="24"/>
          <w:u w:val="single"/>
        </w:rPr>
        <w:t xml:space="preserve">       元整</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jc w:val="both"/>
        <w:spacing w:line="480" w:lineRule="exact"/>
        <w:widowControl w:val="off"/>
        <w:rPr>
          <w:rFonts w:hint="eastAsia"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三、货款支付</w:t>
      </w:r>
      <w:r/>
    </w:p>
    <w:p>
      <w:pPr>
        <w:ind w:firstLine="480"/>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bCs/>
          <w:sz w:val="24"/>
          <w:szCs w:val="24"/>
          <w:lang w:val="en-US" w:eastAsia="zh-CN" w:bidi="ar-SA"/>
        </w:rPr>
        <w:t xml:space="preserve">3.1 付款方式：</w:t>
      </w:r>
      <w:r/>
    </w:p>
    <w:p>
      <w:pPr>
        <w:jc w:val="both"/>
        <w:spacing w:line="480" w:lineRule="exact"/>
        <w:widowControl w:val="off"/>
        <w:rPr>
          <w:rFonts w:hint="eastAsia"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四、质保期</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4.1 免费质保期：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年。（自交货验收合格之日起计算）</w:t>
      </w:r>
      <w:r/>
    </w:p>
    <w:p>
      <w:pPr>
        <w:jc w:val="both"/>
        <w:spacing w:line="480" w:lineRule="exact"/>
        <w:widowControl w:val="off"/>
        <w:rPr>
          <w:rFonts w:hint="eastAsia"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五、交货期、交货方式及验收</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5.1 交货期：合同签订后</w:t>
      </w:r>
      <w:r>
        <w:rPr>
          <w:rFonts w:hint="eastAsia" w:ascii="仿宋" w:hAnsi="仿宋" w:eastAsia="仿宋" w:cs="仿宋"/>
          <w:sz w:val="24"/>
          <w:szCs w:val="24"/>
          <w:u w:val="single"/>
        </w:rPr>
        <w:t xml:space="preserve">      个</w:t>
      </w:r>
      <w:r>
        <w:rPr>
          <w:rFonts w:hint="eastAsia" w:ascii="仿宋" w:hAnsi="仿宋" w:eastAsia="仿宋" w:cs="仿宋"/>
          <w:sz w:val="24"/>
          <w:szCs w:val="24"/>
        </w:rPr>
        <w:t xml:space="preserve">日历天内。交货地点：免费送货到甲方指定地点。           </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5.2乙方保证向甲方提供的设备满足中国国家标准及相关行业标准。根据国家规定，如需要提供3C认证证书和标记的设备及有关配置，必须提供上述证书和标记。</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5.3乙方应按合同和投标文件规定的设备性能、技术要求、质量标准提供未经使用的全新、原包装产品。如果设备的质量或规格与合同（包括投标文件）不符，或证实设备有缺陷(包括潜在的缺陷或使用不符合要求的材料等)，乙方应在接到甲方通知后5个工作日内更换成达标设备，其费用由乙方负责。同时，甲方有权要求延长设备的质保期。由于设备质量问题引起的医疗事故和纠纷，乙方承担全部的法律和经济责任。</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5.4设备安装后，乙方应配合甲方按厂方技术参数、国家标准等进行质量验收。若有歧义，甲方有权委托国内具有相关资质的单位对该设备进行质量检测，费用由乙方承担。</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5.5乙方所供设备如验收不合格，根据甲方的要求，乙方必须无条件换货或退货，由此引起的一切损失由乙方承担。</w:t>
      </w:r>
      <w:r/>
    </w:p>
    <w:p>
      <w:pPr>
        <w:jc w:val="both"/>
        <w:spacing w:line="480" w:lineRule="exact"/>
        <w:widowControl w:val="off"/>
        <w:rPr>
          <w:rFonts w:hint="eastAsia" w:ascii="仿宋" w:hAnsi="仿宋" w:eastAsia="仿宋" w:cs="仿宋"/>
          <w:sz w:val="24"/>
          <w:szCs w:val="24"/>
          <w:lang w:val="en-US" w:eastAsia="zh-CN" w:bidi="ar-SA"/>
        </w:rPr>
      </w:pPr>
      <w:r>
        <w:rPr>
          <w:rFonts w:hint="eastAsia" w:ascii="仿宋" w:hAnsi="仿宋" w:eastAsia="仿宋" w:cs="仿宋"/>
          <w:b/>
          <w:sz w:val="24"/>
          <w:szCs w:val="24"/>
          <w:lang w:val="en-US" w:eastAsia="zh-CN" w:bidi="ar-SA"/>
        </w:rPr>
        <w:t xml:space="preserve">六、质量保证、权利与义务</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6.1乙方免费提前为甲方提供设备安装图纸，并充分协助甲方做好设备安装前的准备工作(需要时)。</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6.2设备安装时，乙方负责设备的免费安装和调试，但乙方必须事先与甲方的设备科联系，并与设备科共同参与，否则引起的一切责任由乙方承担。</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6.3设备安装、调试结束后，甲方对设备试用后进行验收(时间由甲、乙双方商定)，乙方免费派工程师到达现场协助验收工作。质保期自甲方验收合格之日算起，质保期外故障待修复后只收取配件费（详见附件），免收上门费、人工费和其他工时杂费。</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6.4免费保修范围包括合同中所有配置（有特别约定的除外），并确保设备质保期内开机率≥</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%（按一年365天计算，停机最多</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日历天，超过1天，质保期延长</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天）。质保期外乙方对本设备终身负责维修，并确保原厂消耗品及维修备件十年内正常供应。</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6.5如设备发生故障，乙方在接到甲方报修电话后</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小时之内响应，</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小时内到达甲方现场(若无维修站点，</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小时内到达现场)，</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小时内修复或免费提供备用机，所产生的所有费用包括但不限于人工费、差旅费、配件费等均由乙方承担。否则甲方可自行采取必要的措施，由此产生的风险和费用由乙方承担。如有特殊情况，乙方应立即电话通知甲方不能响应的原因，在获得甲方同意后，方可推迟响应时间。</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6.6质保期内提供每年≥</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次定期维护保养。</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6.7无论在质保期内还是质保期外，乙方必须上门维修。乙方工程师至甲方维修时，必须事先与甲方设备科取得联系，并做相应登记:在维修过程中与甲方工程师共同完成维修工作。否则引起的一切责任由乙方负责。</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6.8如设备软件升级，乙方负责免费软件升级，保证软件为最新、最高版本。</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6.9如有设备具有远程维修诊断功能，乙方负责免费为甲方安装。</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6.10乙方免费提供全套资料并加盖公章，含产品合格证、出厂计量合格证(强检设备)、操作手册、维修手册(含详细电路图)、海关报关单、商检合格证明，如技术资料不全，甲方有权不支付货款，因此产生的损失由乙方自行承担。</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6.11技术培训:在安装过程中或安装结束后，乙方工程师或有关</w:t>
      </w:r>
      <w:r>
        <w:rPr>
          <w:rFonts w:hint="eastAsia" w:ascii="仿宋" w:hAnsi="仿宋" w:eastAsia="仿宋" w:cs="仿宋"/>
          <w:sz w:val="24"/>
          <w:szCs w:val="24"/>
          <w:lang w:eastAsia="zh-CN"/>
        </w:rPr>
        <w:t xml:space="preserve">人员</w:t>
      </w:r>
      <w:r>
        <w:rPr>
          <w:rFonts w:hint="eastAsia" w:ascii="仿宋" w:hAnsi="仿宋" w:eastAsia="仿宋" w:cs="仿宋"/>
          <w:sz w:val="24"/>
          <w:szCs w:val="24"/>
        </w:rPr>
        <w:t xml:space="preserve">负责对操作人员和甲方工程师进行现场维修、保养、操作培训，并提供快捷操作指南(过塑后封好，挂在设备上)，解答甲方人员提出的问题。必要时免费安排正规培训班培训，确保操作人员掌握完成日常工作所需的基本操作方法为止，工程师掌握基本的维护保养操作技术为止。</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6.12如乙方提供的设备设有维修密码，乙方保证无条件地为甲方永久免费打开，直至最底层维修模式。</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6.13若该设备涉及网络问题，甲方只负责提供一个网络接口，设备内部的局域网建设由乙方负责提供。</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6.14 乙方提供的设备在质保期内因设备本身的质量问题发生故障，乙方应负责免费维修。对维修后达不到技术要求者，根据实际情况，经双方协商，可按以下办法处理：</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⑴ 更换：由乙方承担所发生的全部费用。</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⑵ 贬值处理：由甲乙双方合议定价。</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⑶ 退货处理：乙方应退还甲方支付的合同款，同时应承担该设备的直接费用（运输、保险、检验、货款利息及银行手续费等）。</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6.15 在质保期内，乙方应对设备出现的质量及安全问题负责处理解决并承担一切费用。</w:t>
      </w:r>
      <w:r/>
    </w:p>
    <w:p>
      <w:pPr>
        <w:jc w:val="both"/>
        <w:spacing w:line="480" w:lineRule="exact"/>
        <w:widowControl w:val="off"/>
        <w:rPr>
          <w:rFonts w:hint="eastAsia"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七、违约责任及合同纠纷处理</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7.1自本合同生效之日起，双方应严格依约履行。任何一方违反本合同规定，应赔偿由此给守约方造成的损失。</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7.2如果乙方没有按照合同规定时间交货的，每逾期一日，乙方应按逾期交付设备价款总值的</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计算，向甲方支付逾期交货违约金。乙方延期交货10日以上的，则视为乙方不能交货，甲方有权因此解除本合同。</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7.3乙方向甲方提供假冒伪劣产品的，乙方应按合同总金额的</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倍向甲方支付违约金。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7.4乙方有其他违约行为的，乙方应按合同总金额的</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%/次计算，向甲方支付违约金。如果乙方违约，在收到甲方通知后的</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日内没有或拒不承担违约责任的，则甲方有权从尚未支付乙方的购货价款中扣回违约金。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7.5乙方若违反本合同5.2、9.1任一条均视为对本合同的重大违约，甲方随时有权书面通知乙方立即终止本合同。</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7.6因乙方的违约行为给甲方造成损失的(包括所有直接和间接损失)，如果违约金不足以补偿该损失部分的，甲方有权继续要求乙方赔偿甲方所有实际损失，并保留起诉的权利。</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7.7乙方对本合同所约定的设备价格负责，如果产生与设备价值、成本相关的任何法律纠纷由乙方承担，甲方不承担任何相关法律责任。</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7.8乙方保证提供的设备、服务不存在任何法律纠纷，甲方在使用该设备或服务以及其中的任何一部分时，不侵犯任何的专利权、商标权、工业设计权或其他知识产权，如收到来自第三方的侵权诉讼或索赔，所有责任及由此造成的损失由乙方承担。</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7.9设备运到甲方使用现场，安装调试超过一个月仍然不能正常使用的，甲方有权退货并终止合同。</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7.10有关纠纷的未尽事宜，甲乙双方应友好协商解决，协商不成的，合同任一方均可向甲方所在地人民法院提起诉讼。</w:t>
      </w:r>
      <w:r/>
    </w:p>
    <w:p>
      <w:pPr>
        <w:jc w:val="both"/>
        <w:spacing w:line="480" w:lineRule="exact"/>
        <w:widowControl w:val="off"/>
        <w:rPr>
          <w:rFonts w:hint="eastAsia"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九、合同生效及其他</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9.1《医疗卫生机构医疗设备廉洁购销合同》作为本合同的附件，具有同等法律效力。双方均不可撤销地认同并遵守《医疗卫生机构医疗设备廉洁购销合同》。</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9.2 本合同经双方法定代表人或授权代表签字并加盖单位公章（合同章）后生效。本合同生效后，双方对合同内容的变更或补充应当采取书面形式，并经双方签字确认，作为本合同的附件。合同附件为本合同组成部分，具有同等法律效力。</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9.3本合同未尽事宜，遵照《中华人民共和国民法典》有关条款执行。</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9.4本合同一式</w:t>
      </w:r>
      <w:r>
        <w:rPr>
          <w:rFonts w:hint="eastAsia" w:ascii="仿宋" w:hAnsi="仿宋" w:eastAsia="仿宋" w:cs="仿宋"/>
          <w:sz w:val="24"/>
          <w:szCs w:val="24"/>
          <w:u w:val="single"/>
          <w:lang w:val="en-US" w:eastAsia="zh-CN"/>
        </w:rPr>
        <w:t xml:space="preserve">陆</w:t>
      </w:r>
      <w:r>
        <w:rPr>
          <w:rFonts w:hint="eastAsia" w:ascii="仿宋" w:hAnsi="仿宋" w:eastAsia="仿宋" w:cs="仿宋"/>
          <w:sz w:val="24"/>
          <w:szCs w:val="24"/>
        </w:rPr>
        <w:t xml:space="preserve">份，甲方</w:t>
      </w:r>
      <w:r>
        <w:rPr>
          <w:rFonts w:hint="eastAsia" w:ascii="仿宋" w:hAnsi="仿宋" w:eastAsia="仿宋" w:cs="仿宋"/>
          <w:sz w:val="24"/>
          <w:szCs w:val="24"/>
          <w:u w:val="single"/>
        </w:rPr>
        <w:t xml:space="preserve">肆</w:t>
      </w:r>
      <w:r>
        <w:rPr>
          <w:rFonts w:hint="eastAsia" w:ascii="仿宋" w:hAnsi="仿宋" w:eastAsia="仿宋" w:cs="仿宋"/>
          <w:sz w:val="24"/>
          <w:szCs w:val="24"/>
        </w:rPr>
        <w:t xml:space="preserve">份，乙方</w:t>
      </w:r>
      <w:r>
        <w:rPr>
          <w:rFonts w:hint="eastAsia" w:ascii="仿宋" w:hAnsi="仿宋" w:eastAsia="仿宋" w:cs="仿宋"/>
          <w:sz w:val="24"/>
          <w:szCs w:val="24"/>
          <w:u w:val="single"/>
          <w:lang w:val="en-US" w:eastAsia="zh-CN"/>
        </w:rPr>
        <w:t xml:space="preserve">贰</w:t>
      </w:r>
      <w:r>
        <w:rPr>
          <w:rFonts w:hint="eastAsia" w:ascii="仿宋" w:hAnsi="仿宋" w:eastAsia="仿宋" w:cs="仿宋"/>
          <w:sz w:val="24"/>
          <w:szCs w:val="24"/>
        </w:rPr>
        <w:t xml:space="preserve">份，具同等法律效力。</w:t>
      </w:r>
      <w:r/>
    </w:p>
    <w:p>
      <w:pPr>
        <w:ind w:firstLine="480"/>
        <w:spacing w:line="480" w:lineRule="exact"/>
        <w:rPr>
          <w:rFonts w:hint="default" w:ascii="仿宋" w:hAnsi="仿宋" w:eastAsia="仿宋" w:cs="仿宋"/>
          <w:sz w:val="24"/>
          <w:szCs w:val="24"/>
          <w:u w:val="single"/>
          <w:lang w:val="en-US" w:eastAsia="zh-CN"/>
        </w:rPr>
      </w:pPr>
      <w:r>
        <w:rPr>
          <w:rFonts w:hint="eastAsia" w:ascii="仿宋" w:hAnsi="仿宋" w:eastAsia="仿宋" w:cs="仿宋"/>
          <w:sz w:val="24"/>
          <w:szCs w:val="24"/>
        </w:rPr>
        <w:t xml:space="preserve">9.5合同签署地点:</w:t>
      </w:r>
      <w:r>
        <w:rPr>
          <w:rFonts w:hint="eastAsia" w:ascii="仿宋" w:hAnsi="仿宋" w:eastAsia="仿宋" w:cs="仿宋"/>
          <w:sz w:val="24"/>
          <w:szCs w:val="24"/>
          <w:u w:val="single"/>
          <w:lang w:val="en-US" w:eastAsia="zh-CN"/>
        </w:rPr>
        <w:t xml:space="preserve">                  </w:t>
      </w:r>
      <w:r/>
    </w:p>
    <w:p>
      <w:pPr>
        <w:spacing w:line="480" w:lineRule="exact"/>
        <w:rPr>
          <w:rFonts w:hint="eastAsia" w:ascii="仿宋" w:hAnsi="仿宋" w:eastAsia="仿宋" w:cs="仿宋"/>
          <w:bCs/>
          <w:sz w:val="24"/>
          <w:szCs w:val="24"/>
        </w:rPr>
      </w:pPr>
      <w:r>
        <w:rPr>
          <w:rFonts w:hint="eastAsia" w:ascii="仿宋" w:hAnsi="仿宋" w:eastAsia="仿宋" w:cs="仿宋"/>
          <w:bCs/>
          <w:sz w:val="24"/>
          <w:szCs w:val="24"/>
        </w:rPr>
      </w:r>
      <w:r/>
    </w:p>
    <w:p>
      <w:pPr>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甲方（单位公章）：</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     乙方（单位公章）：</w:t>
      </w:r>
      <w:r/>
    </w:p>
    <w:p>
      <w:pPr>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法定代表人或                         法定代表人或</w:t>
      </w:r>
      <w:r/>
    </w:p>
    <w:p>
      <w:pPr>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授权代表签字：                       授权代表签字：</w:t>
      </w:r>
      <w:r/>
    </w:p>
    <w:p>
      <w:pPr>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单位地址：</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   单位地址： </w:t>
      </w:r>
      <w:r/>
    </w:p>
    <w:p>
      <w:pPr>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电话：</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                   电话： </w:t>
      </w:r>
      <w:r/>
    </w:p>
    <w:p>
      <w:pPr>
        <w:spacing w:line="480" w:lineRule="exact"/>
        <w:rPr>
          <w:rFonts w:hint="eastAsia" w:ascii="仿宋" w:hAnsi="仿宋" w:eastAsia="仿宋" w:cs="仿宋"/>
          <w:bCs/>
          <w:sz w:val="24"/>
          <w:szCs w:val="24"/>
        </w:rPr>
      </w:pPr>
      <w:r>
        <w:rPr>
          <w:rFonts w:hint="eastAsia" w:ascii="仿宋" w:hAnsi="仿宋" w:eastAsia="仿宋" w:cs="仿宋"/>
          <w:bCs/>
          <w:sz w:val="24"/>
          <w:szCs w:val="24"/>
        </w:rPr>
        <w:t xml:space="preserve">开户行：</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                            开户行： </w:t>
      </w:r>
      <w:r/>
    </w:p>
    <w:p>
      <w:pPr>
        <w:spacing w:line="480" w:lineRule="exact"/>
        <w:rPr>
          <w:rFonts w:hint="eastAsia" w:ascii="仿宋" w:hAnsi="仿宋" w:eastAsia="仿宋" w:cs="仿宋"/>
          <w:b/>
          <w:bCs/>
          <w:sz w:val="24"/>
          <w:szCs w:val="24"/>
          <w:u w:val="single"/>
        </w:rPr>
      </w:pPr>
      <w:r>
        <w:rPr>
          <w:rFonts w:hint="eastAsia" w:ascii="仿宋" w:hAnsi="仿宋" w:eastAsia="仿宋" w:cs="仿宋"/>
          <w:bCs/>
          <w:sz w:val="24"/>
          <w:szCs w:val="24"/>
        </w:rPr>
        <w:t xml:space="preserve">账号： </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                            账号： </w:t>
      </w:r>
      <w:r/>
    </w:p>
    <w:p>
      <w:pPr>
        <w:spacing w:line="480" w:lineRule="exact"/>
        <w:rPr>
          <w:rFonts w:hint="eastAsia" w:ascii="仿宋" w:hAnsi="仿宋" w:eastAsia="仿宋" w:cs="仿宋"/>
          <w:bCs/>
          <w:sz w:val="24"/>
          <w:szCs w:val="24"/>
        </w:rPr>
      </w:pPr>
      <w:r>
        <w:rPr>
          <w:rFonts w:hint="eastAsia" w:ascii="仿宋" w:hAnsi="仿宋" w:eastAsia="仿宋" w:cs="仿宋"/>
          <w:sz w:val="24"/>
          <w:szCs w:val="24"/>
        </w:rPr>
        <w:t xml:space="preserve">邮编：</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邮编：</w:t>
      </w:r>
      <w:r/>
    </w:p>
    <w:p>
      <w:pPr>
        <w:spacing w:line="480" w:lineRule="exact"/>
        <w:rPr>
          <w:rFonts w:hint="eastAsia" w:ascii="仿宋" w:hAnsi="仿宋" w:eastAsia="仿宋" w:cs="仿宋"/>
          <w:sz w:val="24"/>
          <w:szCs w:val="24"/>
        </w:rPr>
      </w:pPr>
      <w:r/>
      <w:bookmarkStart w:id="50" w:name="_Toc26165"/>
      <w:r>
        <w:rPr>
          <w:rFonts w:hint="eastAsia" w:ascii="仿宋" w:hAnsi="仿宋" w:eastAsia="仿宋" w:cs="仿宋"/>
          <w:sz w:val="24"/>
          <w:szCs w:val="24"/>
        </w:rPr>
        <w:t xml:space="preserve">日期：     年    月   日             日期：      年     月   日</w:t>
      </w:r>
      <w:bookmarkEnd w:id="50"/>
      <w:r>
        <w:rPr>
          <w:rFonts w:hint="eastAsia" w:ascii="仿宋" w:hAnsi="仿宋" w:eastAsia="仿宋" w:cs="仿宋"/>
          <w:sz w:val="24"/>
          <w:szCs w:val="24"/>
        </w:rPr>
        <w:t xml:space="preserve">     </w:t>
      </w:r>
      <w:r/>
    </w:p>
    <w:p>
      <w:pPr>
        <w:pStyle w:val="745"/>
        <w:rPr>
          <w:rFonts w:hint="eastAsia"/>
          <w:highlight w:val="none"/>
        </w:rPr>
        <w:outlineLvl w:val="9"/>
      </w:pPr>
      <w:r>
        <w:rPr>
          <w:rFonts w:hint="eastAsia"/>
          <w:highlight w:val="none"/>
        </w:rPr>
      </w:r>
      <w:r/>
    </w:p>
    <w:p>
      <w:pPr>
        <w:pStyle w:val="933"/>
        <w:jc w:val="center"/>
        <w:spacing w:line="240" w:lineRule="auto"/>
        <w:rPr>
          <w:rFonts w:hint="eastAsia"/>
          <w:highlight w:val="none"/>
        </w:rPr>
        <w:outlineLvl w:val="9"/>
      </w:pPr>
      <w:r/>
      <w:bookmarkStart w:id="51" w:name="_Toc30821"/>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numPr>
          <w:ilvl w:val="0"/>
          <w:numId w:val="0"/>
        </w:numPr>
        <w:jc w:val="center"/>
        <w:spacing w:line="360" w:lineRule="auto"/>
        <w:rPr>
          <w:rFonts w:hint="eastAsia" w:ascii="Times New Roman" w:hAnsi="Times New Roman" w:eastAsia="宋体" w:cs="Times New Roman"/>
          <w:highlight w:val="none"/>
        </w:rPr>
        <w:outlineLvl w:val="0"/>
      </w:pPr>
      <w:r>
        <w:rPr>
          <w:rFonts w:hint="eastAsia"/>
          <w:highlight w:val="none"/>
        </w:rPr>
        <w:br w:type="page" w:clear="all"/>
      </w:r>
      <w:bookmarkStart w:id="52" w:name="_Toc12463"/>
      <w:r>
        <w:rPr>
          <w:rFonts w:hint="eastAsia" w:ascii="Times New Roman" w:hAnsi="Times New Roman" w:eastAsia="宋体" w:cs="Times New Roman"/>
          <w:b/>
          <w:sz w:val="44"/>
          <w:szCs w:val="20"/>
          <w:highlight w:val="none"/>
          <w:lang w:val="en-US" w:eastAsia="zh-CN" w:bidi="ar-SA"/>
        </w:rPr>
        <w:t xml:space="preserve">第四部分  采购需求</w:t>
      </w:r>
      <w:bookmarkEnd w:id="51"/>
      <w:r/>
      <w:bookmarkEnd w:id="52"/>
      <w:r/>
      <w:r/>
    </w:p>
    <w:p>
      <w:pPr>
        <w:jc w:val="center"/>
        <w:spacing w:line="360" w:lineRule="auto"/>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t xml:space="preserve">一、货物需求一览表</w:t>
      </w:r>
      <w:r/>
    </w:p>
    <w:tbl>
      <w:tblPr>
        <w:tblStyle w:val="74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21"/>
        <w:gridCol w:w="3464"/>
        <w:gridCol w:w="705"/>
        <w:gridCol w:w="868"/>
        <w:gridCol w:w="2911"/>
      </w:tblGrid>
      <w:tr>
        <w:trPr>
          <w:jc w:val="center"/>
          <w:trHeight w:val="454"/>
        </w:trPr>
        <w:tc>
          <w:tcPr>
            <w:shd w:val="clear" w:color="auto" w:fill="auto"/>
            <w:tcMar>
              <w:left w:w="15" w:type="dxa"/>
              <w:top w:w="15" w:type="dxa"/>
              <w:right w:w="15" w:type="dxa"/>
            </w:tcMar>
            <w:tcW w:w="536"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序号</w:t>
            </w:r>
            <w:r/>
          </w:p>
        </w:tc>
        <w:tc>
          <w:tcPr>
            <w:shd w:val="clear" w:color="auto" w:fill="auto"/>
            <w:tcMar>
              <w:left w:w="15" w:type="dxa"/>
              <w:top w:w="15" w:type="dxa"/>
              <w:right w:w="15" w:type="dxa"/>
            </w:tcMar>
            <w:tcW w:w="1969"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名称</w:t>
            </w:r>
            <w:r/>
          </w:p>
        </w:tc>
        <w:tc>
          <w:tcPr>
            <w:shd w:val="clear" w:color="auto" w:fill="auto"/>
            <w:tcMar>
              <w:left w:w="15" w:type="dxa"/>
              <w:top w:w="15" w:type="dxa"/>
              <w:right w:w="15" w:type="dxa"/>
            </w:tcMar>
            <w:tcW w:w="414"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单位</w:t>
            </w:r>
            <w:r/>
          </w:p>
        </w:tc>
        <w:tc>
          <w:tcPr>
            <w:shd w:val="clear" w:color="auto" w:fill="ffffff"/>
            <w:tcMar>
              <w:left w:w="15" w:type="dxa"/>
              <w:top w:w="15" w:type="dxa"/>
              <w:right w:w="15" w:type="dxa"/>
            </w:tcMar>
            <w:tcW w:w="506" w:type="pct"/>
            <w:vAlign w:val="center"/>
            <w:textDirection w:val="lrTb"/>
            <w:noWrap/>
          </w:tcPr>
          <w:p>
            <w:pPr>
              <w:jc w:val="center"/>
              <w:widowControl/>
              <w:rPr>
                <w:rFonts w:hint="eastAsia" w:ascii="仿宋" w:hAnsi="仿宋" w:eastAsia="仿宋" w:cs="仿宋"/>
                <w:b/>
                <w:bCs/>
                <w:color w:val="auto"/>
              </w:rPr>
            </w:pPr>
            <w:r>
              <w:rPr>
                <w:rFonts w:hint="eastAsia" w:ascii="仿宋" w:hAnsi="仿宋" w:eastAsia="仿宋" w:cs="仿宋"/>
                <w:b/>
                <w:bCs/>
                <w:color w:val="auto"/>
                <w:lang w:bidi="ar"/>
              </w:rPr>
              <w:t xml:space="preserve">数量</w:t>
            </w:r>
            <w:r/>
          </w:p>
        </w:tc>
        <w:tc>
          <w:tcPr>
            <w:shd w:val="clear" w:color="auto" w:fill="auto"/>
            <w:tcMar>
              <w:left w:w="15" w:type="dxa"/>
              <w:top w:w="15" w:type="dxa"/>
              <w:right w:w="15" w:type="dxa"/>
            </w:tcMar>
            <w:tcW w:w="1573" w:type="pct"/>
            <w:vAlign w:val="center"/>
            <w:textDirection w:val="lrTb"/>
            <w:noWrap/>
          </w:tcPr>
          <w:p>
            <w:pPr>
              <w:jc w:val="center"/>
              <w:rPr>
                <w:rFonts w:hint="eastAsia" w:ascii="仿宋" w:hAnsi="仿宋" w:eastAsia="仿宋" w:cs="仿宋"/>
                <w:b/>
                <w:bCs/>
                <w:color w:val="auto"/>
              </w:rPr>
            </w:pPr>
            <w:r>
              <w:rPr>
                <w:rFonts w:hint="eastAsia" w:ascii="仿宋" w:hAnsi="仿宋" w:eastAsia="仿宋" w:cs="仿宋"/>
                <w:b/>
                <w:bCs/>
                <w:color w:val="auto"/>
                <w:szCs w:val="21"/>
                <w:highlight w:val="none"/>
              </w:rPr>
              <w:t xml:space="preserve">交货地点</w:t>
            </w:r>
            <w:r/>
          </w:p>
        </w:tc>
      </w:tr>
      <w:tr>
        <w:trPr>
          <w:jc w:val="center"/>
          <w:trHeight w:val="454"/>
        </w:trPr>
        <w:tc>
          <w:tcPr>
            <w:shd w:val="clear" w:color="auto" w:fill="auto"/>
            <w:tcMar>
              <w:left w:w="15" w:type="dxa"/>
              <w:top w:w="15" w:type="dxa"/>
              <w:right w:w="15" w:type="dxa"/>
            </w:tcMar>
            <w:tcW w:w="536" w:type="pct"/>
            <w:vAlign w:val="center"/>
            <w:textDirection w:val="lrTb"/>
            <w:noWrap/>
          </w:tcPr>
          <w:p>
            <w:pPr>
              <w:jc w:val="center"/>
              <w:widowControl/>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p>
        </w:tc>
        <w:tc>
          <w:tcPr>
            <w:shd w:val="clear" w:color="auto" w:fill="auto"/>
            <w:tcMar>
              <w:left w:w="15" w:type="dxa"/>
              <w:top w:w="15" w:type="dxa"/>
              <w:right w:w="15" w:type="dxa"/>
            </w:tcMar>
            <w:tcW w:w="1969" w:type="pct"/>
            <w:vAlign w:val="center"/>
            <w:textDirection w:val="lrTb"/>
            <w:noWrap/>
          </w:tcPr>
          <w:p>
            <w:pPr>
              <w:jc w:val="center"/>
              <w:widowControl/>
              <w:rPr>
                <w:rFonts w:hint="eastAsia" w:ascii="仿宋" w:hAnsi="仿宋" w:eastAsia="仿宋" w:cs="仿宋"/>
                <w:color w:val="auto"/>
                <w:highlight w:val="none"/>
              </w:rPr>
            </w:pPr>
            <w:r>
              <w:rPr>
                <w:rFonts w:hint="eastAsia" w:ascii="宋体" w:hAnsi="宋体" w:eastAsia="宋体" w:cs="宋体"/>
                <w:b w:val="0"/>
                <w:bCs w:val="0"/>
                <w:color w:val="auto"/>
                <w:highlight w:val="none"/>
              </w:rPr>
              <w:t xml:space="preserve">◎</w:t>
            </w:r>
            <w:r>
              <w:rPr>
                <w:rFonts w:hint="eastAsia" w:ascii="仿宋" w:hAnsi="仿宋" w:eastAsia="仿宋" w:cs="仿宋"/>
                <w:b w:val="0"/>
                <w:bCs w:val="0"/>
                <w:color w:val="auto"/>
                <w:highlight w:val="none"/>
                <w:lang w:val="en-US" w:eastAsia="zh-CN"/>
              </w:rPr>
              <w:t xml:space="preserve">医院</w:t>
            </w:r>
            <w:r>
              <w:rPr>
                <w:rFonts w:hint="eastAsia" w:ascii="仿宋" w:hAnsi="仿宋" w:eastAsia="仿宋" w:cs="仿宋"/>
                <w:color w:val="auto"/>
                <w:highlight w:val="none"/>
              </w:rPr>
              <w:t xml:space="preserve">成本管理系统</w:t>
            </w:r>
            <w:r/>
          </w:p>
        </w:tc>
        <w:tc>
          <w:tcPr>
            <w:shd w:val="clear" w:color="auto" w:fill="auto"/>
            <w:tcMar>
              <w:left w:w="15" w:type="dxa"/>
              <w:top w:w="15" w:type="dxa"/>
              <w:right w:w="15" w:type="dxa"/>
            </w:tcMar>
            <w:tcW w:w="414" w:type="pct"/>
            <w:vAlign w:val="center"/>
            <w:textDirection w:val="lrTb"/>
            <w:noWrap/>
          </w:tcPr>
          <w:p>
            <w:pPr>
              <w:jc w:val="center"/>
              <w:widowControl/>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套</w:t>
            </w:r>
            <w:r/>
          </w:p>
        </w:tc>
        <w:tc>
          <w:tcPr>
            <w:shd w:val="clear" w:color="auto" w:fill="ffffff"/>
            <w:tcMar>
              <w:left w:w="15" w:type="dxa"/>
              <w:top w:w="15" w:type="dxa"/>
              <w:right w:w="15" w:type="dxa"/>
            </w:tcMar>
            <w:tcW w:w="506" w:type="pct"/>
            <w:vAlign w:val="center"/>
            <w:textDirection w:val="lrTb"/>
            <w:noWrap/>
          </w:tcPr>
          <w:p>
            <w:pPr>
              <w:jc w:val="center"/>
              <w:widowControl/>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p>
        </w:tc>
        <w:tc>
          <w:tcPr>
            <w:shd w:val="clear" w:color="auto" w:fill="auto"/>
            <w:tcMar>
              <w:left w:w="15" w:type="dxa"/>
              <w:top w:w="15" w:type="dxa"/>
              <w:right w:w="15" w:type="dxa"/>
            </w:tcMar>
            <w:tcW w:w="1573" w:type="pct"/>
            <w:vAlign w:val="center"/>
            <w:vMerge w:val="restart"/>
            <w:textDirection w:val="lrTb"/>
            <w:noWrap/>
          </w:tcPr>
          <w:p>
            <w:pPr>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江苏省第二中医院指定地点</w:t>
            </w:r>
            <w:r/>
          </w:p>
        </w:tc>
      </w:tr>
      <w:tr>
        <w:trPr>
          <w:jc w:val="center"/>
          <w:trHeight w:val="454"/>
        </w:trPr>
        <w:tc>
          <w:tcPr>
            <w:shd w:val="clear" w:color="auto" w:fill="auto"/>
            <w:tcMar>
              <w:left w:w="15" w:type="dxa"/>
              <w:top w:w="15" w:type="dxa"/>
              <w:right w:w="15" w:type="dxa"/>
            </w:tcMar>
            <w:tcW w:w="536" w:type="pct"/>
            <w:vAlign w:val="center"/>
            <w:textDirection w:val="lrTb"/>
            <w:noWrap/>
          </w:tcPr>
          <w:p>
            <w:pPr>
              <w:jc w:val="center"/>
              <w:widowControl/>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w:t>
            </w:r>
            <w:r/>
          </w:p>
        </w:tc>
        <w:tc>
          <w:tcPr>
            <w:shd w:val="clear" w:color="auto" w:fill="auto"/>
            <w:tcMar>
              <w:left w:w="15" w:type="dxa"/>
              <w:top w:w="15" w:type="dxa"/>
              <w:right w:w="15" w:type="dxa"/>
            </w:tcMar>
            <w:tcW w:w="1969" w:type="pct"/>
            <w:vAlign w:val="center"/>
            <w:textDirection w:val="lrTb"/>
            <w:noWrap/>
          </w:tcPr>
          <w:p>
            <w:pPr>
              <w:jc w:val="center"/>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DRG运营分析系统</w:t>
            </w:r>
            <w:r/>
          </w:p>
        </w:tc>
        <w:tc>
          <w:tcPr>
            <w:shd w:val="clear" w:color="auto" w:fill="auto"/>
            <w:tcMar>
              <w:left w:w="15" w:type="dxa"/>
              <w:top w:w="15" w:type="dxa"/>
              <w:right w:w="15" w:type="dxa"/>
            </w:tcMar>
            <w:tcW w:w="414" w:type="pct"/>
            <w:vAlign w:val="center"/>
            <w:textDirection w:val="lrTb"/>
            <w:noWrap/>
          </w:tcPr>
          <w:p>
            <w:pPr>
              <w:jc w:val="center"/>
              <w:widowControl/>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套</w:t>
            </w:r>
            <w:r/>
          </w:p>
        </w:tc>
        <w:tc>
          <w:tcPr>
            <w:shd w:val="clear" w:color="auto" w:fill="ffffff"/>
            <w:tcMar>
              <w:left w:w="15" w:type="dxa"/>
              <w:top w:w="15" w:type="dxa"/>
              <w:right w:w="15" w:type="dxa"/>
            </w:tcMar>
            <w:tcW w:w="506" w:type="pct"/>
            <w:vAlign w:val="center"/>
            <w:textDirection w:val="lrTb"/>
            <w:noWrap/>
          </w:tcPr>
          <w:p>
            <w:pPr>
              <w:jc w:val="center"/>
              <w:widowControl/>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w:t>
            </w:r>
            <w:r/>
          </w:p>
        </w:tc>
        <w:tc>
          <w:tcPr>
            <w:shd w:val="clear" w:color="auto" w:fill="auto"/>
            <w:tcMar>
              <w:left w:w="15" w:type="dxa"/>
              <w:top w:w="15" w:type="dxa"/>
              <w:right w:w="15" w:type="dxa"/>
            </w:tcMar>
            <w:tcW w:w="1573" w:type="pct"/>
            <w:vAlign w:val="center"/>
            <w:vMerge w:val="continue"/>
            <w:textDirection w:val="lrTb"/>
            <w:noWrap/>
          </w:tcPr>
          <w:p>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r>
            <w:r/>
          </w:p>
        </w:tc>
      </w:tr>
    </w:tbl>
    <w:p>
      <w:pPr>
        <w:rPr>
          <w:rFonts w:hint="eastAsia" w:ascii="仿宋" w:hAnsi="仿宋" w:eastAsia="仿宋" w:cs="仿宋"/>
          <w:b/>
          <w:color w:val="auto"/>
          <w:sz w:val="24"/>
          <w:szCs w:val="24"/>
          <w:highlight w:val="yellow"/>
          <w:lang w:val="en-US" w:eastAsia="zh-CN"/>
        </w:rPr>
      </w:pPr>
      <w:r>
        <w:rPr>
          <w:rFonts w:hint="eastAsia" w:ascii="仿宋" w:hAnsi="仿宋" w:eastAsia="仿宋" w:cs="仿宋"/>
          <w:b/>
          <w:color w:val="auto"/>
          <w:sz w:val="24"/>
          <w:szCs w:val="24"/>
          <w:highlight w:val="none"/>
          <w:lang w:val="en-US" w:eastAsia="zh-CN"/>
        </w:rPr>
        <w:t xml:space="preserve">注：标注“◎”的为核心产品</w:t>
      </w:r>
      <w:r/>
    </w:p>
    <w:p>
      <w:pPr>
        <w:rPr>
          <w:rFonts w:hint="default" w:ascii="仿宋" w:hAnsi="仿宋" w:eastAsia="仿宋" w:cs="仿宋"/>
          <w:b/>
          <w:color w:val="auto"/>
          <w:sz w:val="24"/>
          <w:szCs w:val="24"/>
          <w:highlight w:val="none"/>
          <w:lang w:val="en-US" w:eastAsia="zh-CN"/>
        </w:rPr>
      </w:pPr>
      <w:r>
        <w:rPr>
          <w:rFonts w:hint="default" w:ascii="仿宋" w:hAnsi="仿宋" w:eastAsia="仿宋" w:cs="仿宋"/>
          <w:b/>
          <w:color w:val="auto"/>
          <w:sz w:val="24"/>
          <w:szCs w:val="24"/>
          <w:highlight w:val="none"/>
          <w:lang w:val="en-US" w:eastAsia="zh-CN"/>
        </w:rPr>
      </w:r>
      <w:r/>
    </w:p>
    <w:p>
      <w:pPr>
        <w:jc w:val="center"/>
        <w:keepLines w:val="0"/>
        <w:keepNext w:val="0"/>
        <w:pageBreakBefore w:val="0"/>
        <w:spacing w:line="520" w:lineRule="exact"/>
        <w:widowControl w:val="off"/>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lang w:val="en-US" w:eastAsia="zh-CN"/>
        </w:rPr>
        <w:t xml:space="preserve">二、</w:t>
      </w:r>
      <w:r>
        <w:rPr>
          <w:rFonts w:hint="eastAsia" w:ascii="黑体" w:hAnsi="黑体" w:eastAsia="黑体" w:cs="宋体"/>
          <w:b/>
          <w:color w:val="auto"/>
          <w:sz w:val="36"/>
          <w:szCs w:val="36"/>
          <w:highlight w:val="none"/>
        </w:rPr>
        <w:t xml:space="preserve">技术参数及要求（逐一应答）</w:t>
      </w:r>
      <w:r/>
    </w:p>
    <w:p>
      <w:pPr>
        <w:numPr>
          <w:ilvl w:val="0"/>
          <w:numId w:val="0"/>
        </w:numPr>
        <w:ind w:left="0" w:firstLine="482"/>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（一）技术要求</w:t>
      </w:r>
      <w:bookmarkStart w:id="53" w:name="_Toc202991339"/>
      <w:r/>
      <w:bookmarkStart w:id="54" w:name="_Toc166148137"/>
      <w:r/>
      <w:r/>
    </w:p>
    <w:p>
      <w:pPr>
        <w:numPr>
          <w:ilvl w:val="0"/>
          <w:numId w:val="0"/>
        </w:numPr>
        <w:ind w:left="0" w:firstLine="482"/>
        <w:jc w:val="both"/>
        <w:keepLines w:val="0"/>
        <w:keepNext w:val="0"/>
        <w:pageBreakBefore w:val="0"/>
        <w:spacing w:line="44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1.项目目标</w:t>
      </w:r>
      <w:bookmarkEnd w:id="53"/>
      <w:r/>
      <w:bookmarkEnd w:id="54"/>
      <w:r/>
      <w:r/>
    </w:p>
    <w:p>
      <w:pPr>
        <w:ind w:left="0" w:firstLine="480"/>
        <w:keepLines w:val="0"/>
        <w:keepNext w:val="0"/>
        <w:pageBreakBefore w:val="0"/>
        <w:spacing w:line="440" w:lineRule="exact"/>
        <w:widowControl/>
        <w:rPr>
          <w:rFonts w:hint="eastAsia" w:ascii="仿宋" w:hAnsi="仿宋" w:eastAsia="仿宋" w:cs="仿宋"/>
          <w:color w:val="auto"/>
          <w:sz w:val="24"/>
          <w:szCs w:val="24"/>
          <w:shd w:val="clear" w:color="auto" w:fill="ffffff"/>
        </w:rPr>
      </w:pPr>
      <w:r/>
      <w:bookmarkStart w:id="55" w:name="_Hlk32999059"/>
      <w:r>
        <w:rPr>
          <w:rFonts w:hint="eastAsia" w:ascii="仿宋" w:hAnsi="仿宋" w:eastAsia="仿宋" w:cs="仿宋"/>
          <w:sz w:val="24"/>
          <w:szCs w:val="24"/>
          <w:shd w:val="clear" w:color="auto" w:fill="ffffff"/>
        </w:rPr>
        <w:t xml:space="preserve">为满足《公立医院成本核算规范》要求，通过原医院成本管理系统升级，规范源头数据存储过程，拆分细化支出项目列支渠道及科室国标分类，产生对内对外的标准报表格式，发挥成本核算在医疗服务定价、公立医院成本控制和绩效评价中的</w:t>
      </w:r>
      <w:r>
        <w:rPr>
          <w:rFonts w:hint="eastAsia" w:ascii="仿宋" w:hAnsi="仿宋" w:eastAsia="仿宋" w:cs="仿宋"/>
          <w:color w:val="auto"/>
          <w:sz w:val="24"/>
          <w:szCs w:val="24"/>
          <w:shd w:val="clear" w:color="auto" w:fill="ffffff"/>
        </w:rPr>
        <w:t xml:space="preserve">作用，提升单位内部管理水平和运营效率，推进公立医院高质量发展。本项目</w:t>
      </w:r>
      <w:r>
        <w:rPr>
          <w:rFonts w:hint="eastAsia" w:ascii="仿宋" w:hAnsi="仿宋" w:eastAsia="仿宋" w:cs="仿宋"/>
          <w:color w:val="auto"/>
          <w:sz w:val="24"/>
          <w:szCs w:val="24"/>
          <w:shd w:val="clear" w:color="auto" w:fill="ffffff"/>
          <w:lang w:val="en-US" w:eastAsia="zh-CN"/>
        </w:rPr>
        <w:t xml:space="preserve">采购成本管理系统</w:t>
      </w:r>
      <w:r>
        <w:rPr>
          <w:rFonts w:hint="eastAsia" w:ascii="仿宋" w:hAnsi="仿宋" w:eastAsia="仿宋" w:cs="仿宋"/>
          <w:color w:val="auto"/>
          <w:sz w:val="24"/>
          <w:szCs w:val="24"/>
          <w:shd w:val="clear" w:color="auto" w:fill="ffffff"/>
        </w:rPr>
        <w:t xml:space="preserve">需完成以下目标：</w:t>
      </w:r>
      <w:bookmarkEnd w:id="55"/>
      <w:r/>
      <w:r/>
    </w:p>
    <w:p>
      <w:pPr>
        <w:numPr>
          <w:ilvl w:val="0"/>
          <w:numId w:val="0"/>
        </w:numPr>
        <w:ind w:left="0" w:firstLine="480"/>
        <w:jc w:val="both"/>
        <w:keepLines w:val="0"/>
        <w:keepNext w:val="0"/>
        <w:pageBreakBefore w:val="0"/>
        <w:spacing w:line="440" w:lineRule="exact"/>
        <w:widowControl w:val="off"/>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1.1全面支持最新《政府会计制度》及2021年国家卫健委《公立医院成本核算规范》科室成本核算要求，建立基于全院所有核算单元的科室成本核算体系。</w:t>
      </w:r>
      <w:r/>
    </w:p>
    <w:p>
      <w:pPr>
        <w:numPr>
          <w:ilvl w:val="0"/>
          <w:numId w:val="0"/>
        </w:numPr>
        <w:ind w:left="0" w:firstLine="480"/>
        <w:jc w:val="both"/>
        <w:keepLines w:val="0"/>
        <w:keepNext w:val="0"/>
        <w:pageBreakBefore w:val="0"/>
        <w:spacing w:line="440" w:lineRule="exact"/>
        <w:widowControl w:val="off"/>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1.2通过规范源头数据存储过程，拆分细化支出项目列支渠道及科室国标分类，产生对内对外的标准报表格式。</w:t>
      </w:r>
      <w:r/>
    </w:p>
    <w:p>
      <w:pPr>
        <w:numPr>
          <w:ilvl w:val="0"/>
          <w:numId w:val="0"/>
        </w:numPr>
        <w:ind w:left="0" w:firstLine="480"/>
        <w:jc w:val="both"/>
        <w:keepLines w:val="0"/>
        <w:keepNext w:val="0"/>
        <w:pageBreakBefore w:val="0"/>
        <w:spacing w:line="440" w:lineRule="exact"/>
        <w:widowControl w:val="off"/>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1.3根据报表中《医院医疗服务项目成本汇总表》项目类别定义项目分类规则，拆分医疗收费项目对应分类，增加报表查询功能；增加DRGS成本分配及相关查询报表。</w:t>
      </w:r>
      <w:r/>
    </w:p>
    <w:p>
      <w:pPr>
        <w:numPr>
          <w:ilvl w:val="0"/>
          <w:numId w:val="0"/>
        </w:numPr>
        <w:ind w:left="0" w:firstLine="480"/>
        <w:jc w:val="both"/>
        <w:keepLines w:val="0"/>
        <w:keepNext w:val="0"/>
        <w:pageBreakBefore w:val="0"/>
        <w:spacing w:line="440" w:lineRule="exact"/>
        <w:widowControl w:val="off"/>
        <w:rPr>
          <w:rFonts w:hint="eastAsia" w:ascii="仿宋" w:hAnsi="仿宋" w:eastAsia="仿宋" w:cs="仿宋"/>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1.4通过DRGs数据治理服务的建模处理将临床医生使用的疾病诊断和手术操作诊断转化为医保DRGs支付政策所要求的ICD-10和ICD-9-CM3，以减少病案室人工纠</w:t>
      </w:r>
      <w:r>
        <w:rPr>
          <w:rFonts w:hint="eastAsia" w:ascii="仿宋" w:hAnsi="仿宋" w:eastAsia="仿宋" w:cs="仿宋"/>
          <w:sz w:val="24"/>
          <w:szCs w:val="24"/>
          <w:shd w:val="clear" w:color="auto" w:fill="ffffff"/>
          <w:lang w:val="en-US" w:eastAsia="zh-CN" w:bidi="ar-SA"/>
        </w:rPr>
        <w:t xml:space="preserve">错率，提升医保费用获取率。</w:t>
      </w:r>
      <w:r/>
    </w:p>
    <w:p>
      <w:pPr>
        <w:numPr>
          <w:ilvl w:val="0"/>
          <w:numId w:val="0"/>
        </w:numPr>
        <w:ind w:left="0" w:firstLine="480"/>
        <w:jc w:val="both"/>
        <w:keepLines w:val="0"/>
        <w:keepNext w:val="0"/>
        <w:pageBreakBefore w:val="0"/>
        <w:spacing w:line="440" w:lineRule="exact"/>
        <w:widowControl w:val="off"/>
        <w:rPr>
          <w:rFonts w:hint="eastAsia" w:ascii="仿宋" w:hAnsi="仿宋" w:eastAsia="仿宋" w:cs="仿宋"/>
          <w:sz w:val="24"/>
          <w:szCs w:val="24"/>
          <w:shd w:val="clear" w:color="auto" w:fill="ffffff"/>
          <w:lang w:val="en-US" w:eastAsia="zh-CN" w:bidi="ar-SA"/>
        </w:rPr>
      </w:pPr>
      <w:r>
        <w:rPr>
          <w:rFonts w:hint="eastAsia" w:ascii="仿宋" w:hAnsi="仿宋" w:eastAsia="仿宋" w:cs="仿宋"/>
          <w:sz w:val="24"/>
          <w:szCs w:val="24"/>
          <w:shd w:val="clear" w:color="auto" w:fill="ffffff"/>
          <w:lang w:val="en-US" w:eastAsia="zh-CN" w:bidi="ar-SA"/>
        </w:rPr>
        <w:t xml:space="preserve">1.5</w:t>
      </w:r>
      <w:r>
        <w:rPr>
          <w:rFonts w:hint="eastAsia" w:ascii="仿宋" w:hAnsi="仿宋" w:eastAsia="仿宋" w:cs="仿宋"/>
          <w:sz w:val="24"/>
          <w:szCs w:val="24"/>
          <w:shd w:val="clear" w:color="auto" w:fill="ffffff"/>
          <w:lang w:val="en-US" w:eastAsia="zh-CN" w:bidi="ar-SA"/>
        </w:rPr>
        <w:t xml:space="preserve">应根据当地统筹医保局返回的医保支付数据模拟分组器，在临床治疗过程中“事前提醒”，避免病人出院或诊疗结束后出现来不及补救的现象，以减少医院的事实性损失。</w:t>
      </w:r>
      <w:r/>
    </w:p>
    <w:p>
      <w:pPr>
        <w:numPr>
          <w:ilvl w:val="0"/>
          <w:numId w:val="0"/>
        </w:numPr>
        <w:ind w:left="0" w:firstLine="480"/>
        <w:jc w:val="both"/>
        <w:keepLines w:val="0"/>
        <w:keepNext w:val="0"/>
        <w:pageBreakBefore w:val="0"/>
        <w:spacing w:line="440" w:lineRule="exact"/>
        <w:widowControl w:val="off"/>
        <w:rPr>
          <w:rFonts w:hint="eastAsia" w:ascii="仿宋" w:hAnsi="仿宋" w:eastAsia="仿宋" w:cs="仿宋"/>
          <w:sz w:val="24"/>
          <w:szCs w:val="24"/>
          <w:shd w:val="clear" w:color="auto" w:fill="ffffff"/>
          <w:lang w:val="en-US" w:eastAsia="zh-CN" w:bidi="ar-SA"/>
        </w:rPr>
      </w:pPr>
      <w:r>
        <w:rPr>
          <w:rFonts w:hint="eastAsia" w:ascii="仿宋" w:hAnsi="仿宋" w:eastAsia="仿宋" w:cs="仿宋"/>
          <w:sz w:val="24"/>
          <w:szCs w:val="24"/>
          <w:shd w:val="clear" w:color="auto" w:fill="ffffff"/>
          <w:lang w:val="en-US" w:eastAsia="zh-CN" w:bidi="ar-SA"/>
        </w:rPr>
        <w:t xml:space="preserve">1.6</w:t>
      </w:r>
      <w:r>
        <w:rPr>
          <w:rFonts w:hint="eastAsia" w:ascii="仿宋" w:hAnsi="仿宋" w:eastAsia="仿宋" w:cs="仿宋"/>
          <w:sz w:val="24"/>
          <w:szCs w:val="24"/>
          <w:shd w:val="clear" w:color="auto" w:fill="ffffff"/>
          <w:lang w:val="en-US" w:eastAsia="zh-CN" w:bidi="ar-SA"/>
        </w:rPr>
        <w:t xml:space="preserve">在保障医疗质量的前提下，有效降低医疗成本，实现医院付费方式改革的信息化，给DRGs的推广提供有力支撑。</w:t>
      </w:r>
      <w:r/>
    </w:p>
    <w:p>
      <w:pPr>
        <w:numPr>
          <w:ilvl w:val="0"/>
          <w:numId w:val="0"/>
        </w:numPr>
        <w:ind w:left="0" w:firstLine="480"/>
        <w:jc w:val="both"/>
        <w:keepLines w:val="0"/>
        <w:keepNext w:val="0"/>
        <w:pageBreakBefore w:val="0"/>
        <w:spacing w:line="440" w:lineRule="exact"/>
        <w:widowControl w:val="off"/>
        <w:rPr>
          <w:rFonts w:hint="eastAsia" w:ascii="仿宋" w:hAnsi="仿宋" w:eastAsia="仿宋" w:cs="仿宋"/>
          <w:sz w:val="24"/>
          <w:szCs w:val="24"/>
          <w:shd w:val="clear" w:color="auto" w:fill="ffffff"/>
          <w:lang w:val="en-US" w:eastAsia="zh-CN" w:bidi="ar-SA"/>
        </w:rPr>
      </w:pPr>
      <w:r>
        <w:rPr>
          <w:rFonts w:hint="eastAsia" w:ascii="仿宋" w:hAnsi="仿宋" w:eastAsia="仿宋" w:cs="仿宋"/>
          <w:sz w:val="24"/>
          <w:szCs w:val="24"/>
          <w:shd w:val="clear" w:color="auto" w:fill="ffffff"/>
          <w:lang w:val="en-US" w:eastAsia="zh-CN" w:bidi="ar-SA"/>
        </w:rPr>
        <w:t xml:space="preserve">1.7</w:t>
      </w:r>
      <w:r>
        <w:rPr>
          <w:rFonts w:hint="eastAsia" w:ascii="仿宋" w:hAnsi="仿宋" w:eastAsia="仿宋" w:cs="仿宋"/>
          <w:sz w:val="24"/>
          <w:szCs w:val="24"/>
          <w:shd w:val="clear" w:color="auto" w:fill="ffffff"/>
          <w:lang w:val="en-US" w:eastAsia="zh-CN" w:bidi="ar-SA"/>
        </w:rPr>
        <w:t xml:space="preserve">为管理决策层提供经营决策的辅助依据，实现对医院运营情况及时监控，提前预判，从而优化资源配置，有效提高医务工作者的工作效率，提升医院整体经济效益。</w:t>
      </w:r>
      <w:bookmarkStart w:id="56" w:name="_Toc202991340"/>
      <w:r/>
      <w:r/>
    </w:p>
    <w:p>
      <w:pPr>
        <w:numPr>
          <w:ilvl w:val="0"/>
          <w:numId w:val="0"/>
        </w:numPr>
        <w:ind w:left="0" w:firstLine="482"/>
        <w:jc w:val="both"/>
        <w:keepLines w:val="0"/>
        <w:keepNext w:val="0"/>
        <w:pageBreakBefore w:val="0"/>
        <w:spacing w:line="440" w:lineRule="exact"/>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2.项目要求</w:t>
      </w:r>
      <w:bookmarkEnd w:id="56"/>
      <w:r/>
      <w:r/>
    </w:p>
    <w:p>
      <w:pPr>
        <w:numPr>
          <w:ilvl w:val="1"/>
          <w:numId w:val="0"/>
        </w:numPr>
        <w:ind w:left="0" w:firstLine="482"/>
        <w:jc w:val="both"/>
        <w:keepLines/>
        <w:keepNext/>
        <w:pageBreakBefore w:val="0"/>
        <w:spacing w:line="440" w:lineRule="exact"/>
        <w:rPr>
          <w:rFonts w:hint="eastAsia" w:ascii="仿宋" w:hAnsi="仿宋" w:eastAsia="仿宋" w:cs="仿宋"/>
          <w:b/>
          <w:bCs/>
          <w:sz w:val="24"/>
          <w:szCs w:val="24"/>
          <w:lang w:val="en-US" w:eastAsia="zh-CN" w:bidi="ar-SA"/>
        </w:rPr>
        <w:outlineLvl w:val="9"/>
      </w:pPr>
      <w:r/>
      <w:bookmarkStart w:id="57" w:name="_Toc202991341"/>
      <w:r/>
      <w:bookmarkStart w:id="58" w:name="_Toc166148139"/>
      <w:r/>
      <w:bookmarkStart w:id="59" w:name="_Toc22746229"/>
      <w:r>
        <w:rPr>
          <w:rFonts w:hint="eastAsia" w:ascii="仿宋" w:hAnsi="仿宋" w:eastAsia="仿宋" w:cs="仿宋"/>
          <w:b/>
          <w:bCs/>
          <w:sz w:val="24"/>
          <w:szCs w:val="24"/>
          <w:lang w:val="en-US" w:eastAsia="zh-CN" w:bidi="ar-SA"/>
        </w:rPr>
        <w:t xml:space="preserve">2.1总体技术要求</w:t>
      </w:r>
      <w:bookmarkEnd w:id="57"/>
      <w:r/>
      <w:bookmarkEnd w:id="58"/>
      <w:r/>
      <w:bookmarkEnd w:id="59"/>
      <w:r/>
      <w:r/>
    </w:p>
    <w:p>
      <w:pPr>
        <w:ind w:left="0" w:firstLine="48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本次项目为软件系统采购项目，网络、安全</w:t>
      </w:r>
      <w:r>
        <w:rPr>
          <w:rFonts w:hint="eastAsia" w:ascii="仿宋" w:hAnsi="仿宋" w:eastAsia="仿宋" w:cs="仿宋"/>
          <w:sz w:val="24"/>
          <w:szCs w:val="24"/>
          <w:lang w:eastAsia="zh-CN"/>
        </w:rPr>
        <w:t xml:space="preserve">等</w:t>
      </w:r>
      <w:r>
        <w:rPr>
          <w:rFonts w:hint="eastAsia" w:ascii="仿宋" w:hAnsi="仿宋" w:eastAsia="仿宋" w:cs="仿宋"/>
          <w:sz w:val="24"/>
          <w:szCs w:val="24"/>
        </w:rPr>
        <w:t xml:space="preserve">利用现有医院资源，不另行采购。总体技术需求如下：</w:t>
      </w:r>
      <w:r/>
    </w:p>
    <w:p>
      <w:pPr>
        <w:ind w:left="0"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2.1.1</w:t>
      </w:r>
      <w:r>
        <w:rPr>
          <w:rFonts w:hint="eastAsia" w:ascii="仿宋" w:hAnsi="仿宋" w:eastAsia="仿宋" w:cs="仿宋"/>
          <w:sz w:val="24"/>
          <w:szCs w:val="24"/>
        </w:rPr>
        <w:t xml:space="preserve">采用多层架构的B/S结构，应用展示端建议采用HTML5技术；</w:t>
      </w:r>
      <w:r/>
    </w:p>
    <w:p>
      <w:pPr>
        <w:ind w:left="0"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2.1.2</w:t>
      </w:r>
      <w:r>
        <w:rPr>
          <w:rFonts w:hint="eastAsia" w:ascii="仿宋" w:hAnsi="仿宋" w:eastAsia="仿宋" w:cs="仿宋"/>
          <w:sz w:val="24"/>
          <w:szCs w:val="24"/>
        </w:rPr>
        <w:t xml:space="preserve">考虑到平台将来的可扩展性，平台必须是开放式的：展示页面可视化配置；具有数据集，且数据集可自定义配置；</w:t>
      </w:r>
      <w:r/>
    </w:p>
    <w:p>
      <w:pPr>
        <w:ind w:left="0"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2.1.3</w:t>
      </w:r>
      <w:r>
        <w:rPr>
          <w:rFonts w:hint="eastAsia" w:ascii="仿宋" w:hAnsi="仿宋" w:eastAsia="仿宋" w:cs="仿宋"/>
          <w:sz w:val="24"/>
          <w:szCs w:val="24"/>
        </w:rPr>
        <w:t xml:space="preserve">要有数据展现引擎，可以根据医院需求配置相关管理指标的呈现；</w:t>
      </w:r>
      <w:r/>
    </w:p>
    <w:p>
      <w:pPr>
        <w:ind w:left="0"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2.1.4</w:t>
      </w:r>
      <w:r>
        <w:rPr>
          <w:rFonts w:hint="eastAsia" w:ascii="仿宋" w:hAnsi="仿宋" w:eastAsia="仿宋" w:cs="仿宋"/>
          <w:sz w:val="24"/>
          <w:szCs w:val="24"/>
        </w:rPr>
        <w:t xml:space="preserve">系统支持ORACLE数据库系统，</w:t>
      </w:r>
      <w:r>
        <w:rPr>
          <w:rFonts w:hint="eastAsia" w:ascii="仿宋" w:hAnsi="仿宋" w:eastAsia="仿宋" w:cs="仿宋"/>
          <w:sz w:val="24"/>
          <w:szCs w:val="24"/>
          <w:lang w:val="en-US" w:eastAsia="zh-CN"/>
        </w:rPr>
        <w:t xml:space="preserve">主流</w:t>
      </w:r>
      <w:r>
        <w:rPr>
          <w:rFonts w:hint="eastAsia" w:ascii="仿宋" w:hAnsi="仿宋" w:eastAsia="仿宋" w:cs="仿宋"/>
          <w:sz w:val="24"/>
          <w:szCs w:val="24"/>
        </w:rPr>
        <w:t xml:space="preserve">大型数</w:t>
      </w:r>
      <w:r>
        <w:rPr>
          <w:rFonts w:hint="eastAsia" w:ascii="仿宋" w:hAnsi="仿宋" w:eastAsia="仿宋" w:cs="仿宋"/>
          <w:sz w:val="24"/>
          <w:szCs w:val="24"/>
          <w:highlight w:val="none"/>
        </w:rPr>
        <w:t xml:space="preserve">据库；支持</w:t>
      </w:r>
      <w:r>
        <w:rPr>
          <w:rFonts w:hint="eastAsia" w:ascii="仿宋" w:hAnsi="仿宋" w:eastAsia="仿宋" w:cs="仿宋"/>
          <w:sz w:val="24"/>
          <w:szCs w:val="24"/>
          <w:highlight w:val="none"/>
          <w:lang w:val="en-US" w:eastAsia="zh-CN"/>
        </w:rPr>
        <w:t xml:space="preserve">主流</w:t>
      </w:r>
      <w:r>
        <w:rPr>
          <w:rFonts w:hint="eastAsia" w:ascii="仿宋" w:hAnsi="仿宋" w:eastAsia="仿宋" w:cs="仿宋"/>
          <w:sz w:val="24"/>
          <w:szCs w:val="24"/>
          <w:highlight w:val="none"/>
        </w:rPr>
        <w:t xml:space="preserve">厂商的硬件及操作系统平台；支持Unix、Linux 、Windows</w:t>
      </w:r>
      <w:r>
        <w:rPr>
          <w:rFonts w:hint="eastAsia" w:ascii="仿宋" w:hAnsi="仿宋" w:eastAsia="仿宋" w:cs="仿宋"/>
          <w:sz w:val="24"/>
          <w:szCs w:val="24"/>
          <w:highlight w:val="none"/>
          <w:lang w:val="en-US" w:eastAsia="zh-CN"/>
        </w:rPr>
        <w:t xml:space="preserve">等</w:t>
      </w:r>
      <w:r>
        <w:rPr>
          <w:rFonts w:hint="eastAsia" w:ascii="仿宋" w:hAnsi="仿宋" w:eastAsia="仿宋" w:cs="仿宋"/>
          <w:sz w:val="24"/>
          <w:szCs w:val="24"/>
          <w:highlight w:val="none"/>
        </w:rPr>
        <w:t xml:space="preserve">操作系统，支持C/S或B/S的体系结构；支持关系模型，支持分布式处理；支持</w:t>
      </w:r>
      <w:r>
        <w:rPr>
          <w:rFonts w:hint="eastAsia" w:ascii="仿宋" w:hAnsi="仿宋" w:eastAsia="仿宋" w:cs="仿宋"/>
          <w:sz w:val="24"/>
          <w:szCs w:val="24"/>
          <w:highlight w:val="none"/>
          <w:lang w:val="en-US" w:eastAsia="zh-CN"/>
        </w:rPr>
        <w:t xml:space="preserve">主流的</w:t>
      </w:r>
      <w:r>
        <w:rPr>
          <w:rFonts w:hint="eastAsia" w:ascii="仿宋" w:hAnsi="仿宋" w:eastAsia="仿宋" w:cs="仿宋"/>
          <w:sz w:val="24"/>
          <w:szCs w:val="24"/>
          <w:highlight w:val="none"/>
        </w:rPr>
        <w:t xml:space="preserve">网络协议（TCP/IP、IPX/S</w:t>
      </w:r>
      <w:r>
        <w:rPr>
          <w:rFonts w:hint="eastAsia" w:ascii="仿宋" w:hAnsi="仿宋" w:eastAsia="仿宋" w:cs="仿宋"/>
          <w:sz w:val="24"/>
          <w:szCs w:val="24"/>
        </w:rPr>
        <w:t xml:space="preserve">PX、NETBIOS及混合协议等）；</w:t>
      </w:r>
      <w:r/>
    </w:p>
    <w:p>
      <w:pPr>
        <w:ind w:left="0"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2.1.5</w:t>
      </w:r>
      <w:r>
        <w:rPr>
          <w:rFonts w:hint="eastAsia" w:ascii="仿宋" w:hAnsi="仿宋" w:eastAsia="仿宋" w:cs="仿宋"/>
          <w:sz w:val="24"/>
          <w:szCs w:val="24"/>
        </w:rPr>
        <w:t xml:space="preserve">提供配套的ETL工具、数据订阅工具、消息引擎、规则库、报表工具、数据共享引擎等一系列应用工具，可确保各种临床和管理应用效果的配置扩展实现。</w:t>
      </w:r>
      <w:r/>
    </w:p>
    <w:p>
      <w:pPr>
        <w:ind w:left="0"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2.1.6</w:t>
      </w:r>
      <w:r>
        <w:rPr>
          <w:rFonts w:hint="eastAsia" w:ascii="仿宋" w:hAnsi="仿宋" w:eastAsia="仿宋" w:cs="仿宋"/>
          <w:sz w:val="24"/>
          <w:szCs w:val="24"/>
        </w:rPr>
        <w:t xml:space="preserve">为确保业务系统的稳定，要求有独立的DRG数据中心的数据模型,要求不能直接引用当前业务系统模型或消息模型。要通过ETL技术对原始业务数据进行抽取、转换、清洗并转存到CDR数据模型中，形成集中存储的DRG数据集。</w:t>
      </w:r>
      <w:r/>
    </w:p>
    <w:p>
      <w:pPr>
        <w:ind w:left="0" w:firstLine="480"/>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p>
      <w:pPr>
        <w:numPr>
          <w:ilvl w:val="1"/>
          <w:numId w:val="0"/>
        </w:numPr>
        <w:ind w:left="0" w:firstLine="482"/>
        <w:jc w:val="both"/>
        <w:keepLines/>
        <w:keepNext/>
        <w:pageBreakBefore/>
        <w:spacing w:line="440" w:lineRule="exact"/>
        <w:widowControl w:val="off"/>
        <w:rPr>
          <w:rFonts w:hint="default" w:ascii="仿宋" w:hAnsi="仿宋" w:eastAsia="仿宋" w:cs="仿宋"/>
          <w:b/>
          <w:bCs/>
          <w:sz w:val="24"/>
          <w:szCs w:val="24"/>
          <w:lang w:val="en-US" w:eastAsia="zh-CN" w:bidi="ar-SA"/>
        </w:rPr>
        <w:outlineLvl w:val="9"/>
      </w:pPr>
      <w:r/>
      <w:bookmarkStart w:id="60" w:name="_Toc202991342"/>
      <w:r>
        <w:rPr>
          <w:rFonts w:hint="eastAsia" w:ascii="仿宋" w:hAnsi="仿宋" w:eastAsia="仿宋" w:cs="仿宋"/>
          <w:b/>
          <w:bCs/>
          <w:sz w:val="24"/>
          <w:szCs w:val="24"/>
          <w:lang w:val="en-US" w:eastAsia="zh-CN" w:bidi="ar-SA"/>
        </w:rPr>
        <w:t xml:space="preserve">2.2系统具体</w:t>
      </w:r>
      <w:bookmarkEnd w:id="60"/>
      <w:r>
        <w:rPr>
          <w:rFonts w:hint="eastAsia" w:ascii="仿宋" w:hAnsi="仿宋" w:eastAsia="仿宋" w:cs="仿宋"/>
          <w:b/>
          <w:bCs/>
          <w:sz w:val="24"/>
          <w:szCs w:val="24"/>
          <w:lang w:val="en-US" w:eastAsia="zh-CN" w:bidi="ar-SA"/>
        </w:rPr>
        <w:t xml:space="preserve">技术和性能要求</w:t>
      </w:r>
      <w:r/>
    </w:p>
    <w:p>
      <w:pPr>
        <w:numPr>
          <w:ilvl w:val="2"/>
          <w:numId w:val="0"/>
        </w:numPr>
        <w:ind w:left="0" w:firstLine="482"/>
        <w:jc w:val="both"/>
        <w:keepLines/>
        <w:keepNext/>
        <w:spacing w:line="440" w:lineRule="exact"/>
        <w:widowControl w:val="off"/>
        <w:rPr>
          <w:rFonts w:hint="eastAsia" w:ascii="仿宋" w:hAnsi="仿宋" w:eastAsia="仿宋" w:cs="仿宋"/>
          <w:b/>
          <w:bCs/>
          <w:sz w:val="24"/>
          <w:szCs w:val="24"/>
          <w:lang w:val="en-US" w:eastAsia="zh-CN" w:bidi="ar-SA"/>
        </w:rPr>
        <w:outlineLvl w:val="9"/>
      </w:pPr>
      <w:r/>
      <w:bookmarkStart w:id="61" w:name="_Toc202991343"/>
      <w:r>
        <w:rPr>
          <w:rFonts w:hint="eastAsia" w:ascii="仿宋" w:hAnsi="仿宋" w:eastAsia="仿宋" w:cs="仿宋"/>
          <w:b/>
          <w:bCs/>
          <w:sz w:val="24"/>
          <w:szCs w:val="24"/>
          <w:lang w:val="en-US" w:eastAsia="zh-CN" w:bidi="ar-SA"/>
        </w:rPr>
        <w:t xml:space="preserve">2.2.1医院成本管理系统</w:t>
      </w:r>
      <w:bookmarkEnd w:id="61"/>
      <w:r/>
      <w:r/>
    </w:p>
    <w:tbl>
      <w:tblPr>
        <w:tblStyle w:val="741"/>
        <w:tblW w:w="8573" w:type="dxa"/>
        <w:jc w:val="center"/>
        <w:tblLayout w:type="fixed"/>
        <w:tblCellMar>
          <w:left w:w="108" w:type="dxa"/>
          <w:top w:w="0" w:type="dxa"/>
          <w:right w:w="108" w:type="dxa"/>
          <w:bottom w:w="0" w:type="dxa"/>
        </w:tblCellMar>
        <w:tblLook w:val="04A0" w:firstRow="1" w:lastRow="0" w:firstColumn="1" w:lastColumn="0" w:noHBand="0" w:noVBand="1"/>
      </w:tblPr>
      <w:tblGrid>
        <w:gridCol w:w="2573"/>
        <w:gridCol w:w="6000"/>
      </w:tblGrid>
      <w:tr>
        <w:trPr>
          <w:jc w:val="center"/>
          <w:trHeight w:val="285"/>
        </w:trPr>
        <w:tc>
          <w:tcPr>
            <w:shd w:val="clear" w:color="auto" w:fill="auto"/>
            <w:tcBorders>
              <w:top w:val="single" w:color="auto" w:sz="4" w:space="0"/>
              <w:left w:val="none" w:color="000000" w:sz="4" w:space="0"/>
              <w:bottom w:val="single" w:color="auto" w:sz="4" w:space="0"/>
              <w:right w:val="single" w:color="auto" w:sz="4" w:space="0"/>
            </w:tcBorders>
            <w:tcW w:w="2573" w:type="dxa"/>
            <w:vAlign w:val="center"/>
            <w:textDirection w:val="lrTb"/>
            <w:noWrap w:val="false"/>
          </w:tcPr>
          <w:p>
            <w:pPr>
              <w:ind w:left="0"/>
              <w:jc w:val="center"/>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功能名称</w:t>
            </w:r>
            <w:r/>
          </w:p>
        </w:tc>
        <w:tc>
          <w:tcPr>
            <w:shd w:val="clear" w:color="auto" w:fill="auto"/>
            <w:tcBorders>
              <w:top w:val="single" w:color="auto" w:sz="4" w:space="0"/>
              <w:left w:val="none" w:color="000000" w:sz="4" w:space="0"/>
              <w:bottom w:val="single" w:color="auto" w:sz="4" w:space="0"/>
              <w:right w:val="single" w:color="auto" w:sz="4" w:space="0"/>
            </w:tcBorders>
            <w:tcW w:w="6000" w:type="dxa"/>
            <w:textDirection w:val="lrTb"/>
            <w:noWrap w:val="false"/>
          </w:tcPr>
          <w:p>
            <w:pPr>
              <w:ind w:left="0"/>
              <w:jc w:val="center"/>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技术和性能参数</w:t>
            </w:r>
            <w:r/>
          </w:p>
        </w:tc>
      </w:tr>
      <w:tr>
        <w:trPr>
          <w:jc w:val="center"/>
          <w:trHeight w:val="523"/>
        </w:trPr>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基本功能</w:t>
            </w:r>
            <w:r/>
          </w:p>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要求</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全面支持最新《政府会计制度》及2021年国家卫健委《公立医院成本核算规范》科室成本核算要求，建立基于全院所有核算单元的科室成本核算体系；</w:t>
            </w:r>
            <w:r/>
          </w:p>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提供基础信息维护功能，包含成本核算单元、人员基本信息、成本项目、收入项目、支出项目、内部服务项目、分摊规则、参数值等基础信息进行维护的功能，支持科室成本、床日成本、诊次成本、医疗服务项目成本、病种成本、DRGs成本的归集与分摊。能够进行制度所定义的医疗业务成本、医疗成本、医疗全成本及医院全成本核算。</w:t>
            </w:r>
            <w:r/>
          </w:p>
        </w:tc>
      </w:tr>
      <w:tr>
        <w:trPr>
          <w:jc w:val="center"/>
          <w:trHeight w:val="523"/>
        </w:trPr>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基础体系分类更新</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责任中心定义增加三个分类：国标分类、国标分类2、服务单元分类；删除原有成本分类中不计入成本选项；</w:t>
            </w:r>
            <w:r/>
          </w:p>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支出项目定义增加两个分类：列支渠道、成本口径；调整原有两个分类：成本项目分类、费用要素分类；</w:t>
            </w:r>
            <w:r/>
          </w:p>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项目成本基础定义增加国标分类；</w:t>
            </w:r>
            <w:r/>
          </w:p>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新增DRG基础定义界面：获取DRG接口数据，更新病人的DRG分组信息，满足DRG成本报表的需要；</w:t>
            </w:r>
            <w:r/>
          </w:p>
        </w:tc>
      </w:tr>
      <w:tr>
        <w:trPr>
          <w:jc w:val="center"/>
          <w:trHeight w:val="523"/>
        </w:trPr>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ind w:left="0"/>
              <w:jc w:val="center"/>
              <w:spacing w:line="440" w:lineRule="exact"/>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报表功能</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highlight w:val="none"/>
              </w:rPr>
              <w:t xml:space="preserve">根据规范中附件2中的报表格式要求，通</w:t>
            </w:r>
            <w:r>
              <w:rPr>
                <w:rFonts w:hint="eastAsia" w:ascii="仿宋" w:hAnsi="仿宋" w:eastAsia="仿宋" w:cs="仿宋"/>
                <w:color w:val="000000"/>
                <w:sz w:val="24"/>
                <w:szCs w:val="24"/>
              </w:rPr>
              <w:t xml:space="preserve">过规范源头数据存储过程，拆分细化支出项目列支渠道及科室国标分类，产生对内对外的标准报表格式；</w:t>
            </w:r>
            <w:r/>
          </w:p>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国标18种报表，其中对外报表3张，对内报表15张；其中科室成本6个（对外3个），分别是《科室01表 医院科室直接成本表（医疗成本）</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科室02表 医院科室直接成本表（医疗全成本和医院全成本）</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科室03表 医院临床服务类科室全成本表（医疗成本）</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科室04表 医院临床服务类科室全成本表（医疗全成本和医院全成本）</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科室05表 医院临床服务类科室全成本构成分析表》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科室06表 医院科室成本分摊汇总表》；诊次床日成本4个，分别是：《诊次01表 医院诊次成本构成表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诊次02表 医院科室诊次成本表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床日01表 医院床日成本构成表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床日02表 医院科室床日成本表》；项目成本2个，分别是：《项目01表 医院医疗服务项目成本汇总表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项目02表 医院医疗服务项目成本明细表》；病种成本3个，分别是：《病种01表 医院病种成本明细表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病种02表 医院病种成本构成明细表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病种03表 医院服务单元病种成本构成明细表》；DRG成本3个，分别是：《DRG01表 医院DRG成本明细表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DRG02表 医院DRG成本构成明细表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DRG 03表 医院服务单元DRG成本构成明细表》。分别集成在责任成本、项目成本、病种成本报表菜单中（原国标三个自定义报表停用）；</w:t>
            </w:r>
            <w:r/>
          </w:p>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国标报表中增加选项，同时用于内部的需要；如：科室分类选择、成本口径、院区、科室级别、单位成本总成本的选择等；</w:t>
            </w:r>
            <w:r/>
          </w:p>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科室成本报表内容中不能区分医疗成本、医疗全成本、医院全成本的基本都增加了“成本口径”选项；</w:t>
            </w:r>
            <w:r/>
          </w:p>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针对医院对各分院（区）不同需求报表汇总的需求，大部分报表支持院区多选，实现多院区组合汇总报表的生成，自定义报表全面支持多选功能，便于满足不同需要的不同口径汇报表的生成。</w:t>
            </w:r>
            <w:r/>
          </w:p>
        </w:tc>
      </w:tr>
      <w:tr>
        <w:trPr>
          <w:jc w:val="center"/>
          <w:trHeight w:val="523"/>
        </w:trPr>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项目病种成本报表升级</w:t>
            </w:r>
            <w:r/>
          </w:p>
        </w:tc>
        <w:tc>
          <w:tcPr>
            <w:tcBorders>
              <w:top w:val="single" w:color="auto" w:sz="4" w:space="0"/>
              <w:left w:val="single" w:color="auto" w:sz="4" w:space="0"/>
              <w:bottom w:val="single" w:color="auto" w:sz="4" w:space="0"/>
              <w:right w:val="single" w:color="auto" w:sz="4" w:space="0"/>
            </w:tcBorders>
            <w:tcW w:w="6000" w:type="dxa"/>
            <w:textDirection w:val="lrTb"/>
            <w:noWrap w:val="false"/>
          </w:tcPr>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根据报表中《医院医疗服务项目成本汇总表》项目类别定义项目分类规则，拆分医疗收费项目对应分类，增加报表查询功能；增加DRGS成本分配及相关查询报表；</w:t>
            </w:r>
            <w:r/>
          </w:p>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项目成本与报表国标分类的对照；</w:t>
            </w:r>
            <w:r/>
          </w:p>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病种成本增加按科室病种分析，病种科室的分析表；</w:t>
            </w:r>
            <w:r/>
          </w:p>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项目成本、病种成本报表增加 “成本口径”选项。</w:t>
            </w:r>
            <w:r/>
          </w:p>
        </w:tc>
      </w:tr>
      <w:tr>
        <w:trPr>
          <w:jc w:val="center"/>
          <w:trHeight w:val="523"/>
        </w:trPr>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与HIS系统数据对接</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获取门诊收入、住院收入、业务量、医技执行收入、药剂执行收入、病人诊断信息等业务数据。</w:t>
            </w:r>
            <w:r/>
          </w:p>
        </w:tc>
      </w:tr>
      <w:tr>
        <w:trPr>
          <w:jc w:val="center"/>
          <w:trHeight w:val="523"/>
        </w:trPr>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与财务核算软件对接</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生成财务凭证传送到财务核算软件。</w:t>
            </w:r>
            <w:r/>
          </w:p>
        </w:tc>
      </w:tr>
      <w:tr>
        <w:trPr>
          <w:jc w:val="center"/>
          <w:trHeight w:val="523"/>
        </w:trPr>
        <w:tc>
          <w:tcPr>
            <w:tcBorders>
              <w:top w:val="single" w:color="auto" w:sz="4" w:space="0"/>
              <w:left w:val="single" w:color="auto" w:sz="4" w:space="0"/>
              <w:bottom w:val="single" w:color="auto" w:sz="4" w:space="0"/>
              <w:right w:val="single" w:color="auto" w:sz="4" w:space="0"/>
            </w:tcBorders>
            <w:tcW w:w="257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DRG成本</w:t>
            </w:r>
            <w:r/>
          </w:p>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核算系统</w:t>
            </w:r>
            <w:r/>
          </w:p>
        </w:tc>
        <w:tc>
          <w:tcPr>
            <w:tcBorders>
              <w:top w:val="single" w:color="auto" w:sz="4" w:space="0"/>
              <w:left w:val="single" w:color="auto" w:sz="4" w:space="0"/>
              <w:bottom w:val="single" w:color="auto" w:sz="4" w:space="0"/>
              <w:right w:val="single" w:color="auto" w:sz="4" w:space="0"/>
            </w:tcBorders>
            <w:tcW w:w="6000" w:type="dxa"/>
            <w:vAlign w:val="center"/>
            <w:textDirection w:val="lrTb"/>
            <w:noWrap w:val="false"/>
          </w:tcPr>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支持以DRG组为核算对象，按照自下而上的流程和方法归集相关费用计算DRG组成本。</w:t>
            </w:r>
            <w:r/>
          </w:p>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DRG基础定义界面：获取DRG接口数据，更新病人的DRG分组信息，满足DRG成本报表的需要；</w:t>
            </w:r>
            <w:r/>
          </w:p>
          <w:p>
            <w:pPr>
              <w:ind w:left="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DRG成本报表主要包括DRG成本明细表、DRG成本构成明细表和医院服务单元DRG成本构成明细表。</w:t>
            </w:r>
            <w:r/>
          </w:p>
        </w:tc>
      </w:tr>
    </w:tbl>
    <w:p>
      <w:pPr>
        <w:ind w:left="0"/>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p>
      <w:pPr>
        <w:numPr>
          <w:ilvl w:val="2"/>
          <w:numId w:val="0"/>
        </w:numPr>
        <w:ind w:left="-720" w:firstLine="1134"/>
        <w:jc w:val="both"/>
        <w:keepLines/>
        <w:keepNext/>
        <w:pageBreakBefore w:val="0"/>
        <w:spacing w:line="440" w:lineRule="exact"/>
        <w:widowControl w:val="off"/>
        <w:rPr>
          <w:rFonts w:hint="eastAsia" w:ascii="仿宋" w:hAnsi="仿宋" w:eastAsia="仿宋" w:cs="仿宋"/>
          <w:b/>
          <w:bCs/>
          <w:sz w:val="24"/>
          <w:szCs w:val="24"/>
          <w:lang w:val="en-US" w:eastAsia="zh-CN" w:bidi="ar-SA"/>
        </w:rPr>
        <w:outlineLvl w:val="9"/>
      </w:pPr>
      <w:r/>
      <w:bookmarkStart w:id="62" w:name="_Toc202991344"/>
      <w:r>
        <w:rPr>
          <w:rFonts w:hint="eastAsia" w:ascii="仿宋" w:hAnsi="仿宋" w:eastAsia="仿宋" w:cs="仿宋"/>
          <w:b/>
          <w:bCs/>
          <w:sz w:val="24"/>
          <w:szCs w:val="24"/>
          <w:lang w:val="en-US" w:eastAsia="zh-CN" w:bidi="ar-SA"/>
        </w:rPr>
        <w:t xml:space="preserve">2.2.2数据中心</w:t>
      </w:r>
      <w:bookmarkEnd w:id="62"/>
      <w:r/>
      <w:r/>
    </w:p>
    <w:tbl>
      <w:tblPr>
        <w:tblStyle w:val="7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908"/>
        <w:gridCol w:w="1452"/>
        <w:gridCol w:w="5917"/>
      </w:tblGrid>
      <w:tr>
        <w:trPr>
          <w:jc w:val="center"/>
        </w:trPr>
        <w:tc>
          <w:tcPr>
            <w:tcW w:w="432" w:type="pct"/>
            <w:vAlign w:val="center"/>
            <w:textDirection w:val="lrTb"/>
            <w:noWrap w:val="false"/>
          </w:tcPr>
          <w:p>
            <w:pPr>
              <w:ind w:left="0"/>
              <w:jc w:val="center"/>
              <w:spacing w:line="44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大类</w:t>
            </w:r>
            <w:r/>
          </w:p>
        </w:tc>
        <w:tc>
          <w:tcPr>
            <w:shd w:val="clear" w:color="auto" w:fill="auto"/>
            <w:tcW w:w="501" w:type="pct"/>
            <w:vAlign w:val="center"/>
            <w:textDirection w:val="lrTb"/>
            <w:noWrap w:val="false"/>
          </w:tcPr>
          <w:p>
            <w:pPr>
              <w:ind w:left="0"/>
              <w:jc w:val="center"/>
              <w:spacing w:line="44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模块</w:t>
            </w:r>
            <w:r/>
          </w:p>
        </w:tc>
        <w:tc>
          <w:tcPr>
            <w:shd w:val="clear" w:color="auto" w:fill="auto"/>
            <w:tcW w:w="801" w:type="pct"/>
            <w:vAlign w:val="center"/>
            <w:textDirection w:val="lrTb"/>
            <w:noWrap w:val="false"/>
          </w:tcPr>
          <w:p>
            <w:pPr>
              <w:ind w:left="0"/>
              <w:jc w:val="center"/>
              <w:spacing w:line="44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功能点</w:t>
            </w:r>
            <w:r/>
          </w:p>
        </w:tc>
        <w:tc>
          <w:tcPr>
            <w:shd w:val="clear" w:color="auto" w:fill="auto"/>
            <w:tcW w:w="3263" w:type="pct"/>
            <w:vAlign w:val="center"/>
            <w:textDirection w:val="lrTb"/>
            <w:noWrap w:val="false"/>
          </w:tcPr>
          <w:p>
            <w:pPr>
              <w:ind w:left="0"/>
              <w:jc w:val="center"/>
              <w:spacing w:line="44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详细参数</w:t>
            </w:r>
            <w:r/>
          </w:p>
        </w:tc>
      </w:tr>
      <w:tr>
        <w:trPr>
          <w:jc w:val="center"/>
        </w:trPr>
        <w:tc>
          <w:tcPr>
            <w:tcW w:w="432" w:type="pct"/>
            <w:vAlign w:val="center"/>
            <w:vMerge w:val="restart"/>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DRG数据中心</w:t>
            </w:r>
            <w:r/>
          </w:p>
        </w:tc>
        <w:tc>
          <w:tcPr>
            <w:shd w:val="clear" w:color="auto" w:fill="auto"/>
            <w:tcW w:w="501" w:type="pct"/>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数据配置</w:t>
            </w:r>
            <w:r/>
          </w:p>
        </w:tc>
        <w:tc>
          <w:tcPr>
            <w:shd w:val="clear" w:color="auto" w:fill="auto"/>
            <w:tcW w:w="801" w:type="pct"/>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对各种异构数据源类型通过可视化的方式配置接入</w:t>
            </w:r>
            <w:r/>
          </w:p>
        </w:tc>
        <w:tc>
          <w:tcPr>
            <w:shd w:val="clear" w:color="auto" w:fill="auto"/>
            <w:tcW w:w="3263" w:type="pct"/>
            <w:vAlign w:val="center"/>
            <w:textDirection w:val="lrTb"/>
            <w:noWrap w:val="false"/>
          </w:tcPr>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lang w:val="en-US" w:eastAsia="zh-Hans" w:bidi="ar-SA"/>
              </w:rPr>
              <w:t xml:space="preserve">支持多种数据源接入包含Oracle、SqlServer、MySql、GP,Cache</w:t>
            </w:r>
            <w:r>
              <w:rPr>
                <w:rFonts w:hint="eastAsia" w:ascii="仿宋" w:hAnsi="仿宋" w:eastAsia="仿宋" w:cs="仿宋"/>
                <w:sz w:val="24"/>
                <w:szCs w:val="24"/>
                <w:lang w:val="en-US" w:eastAsia="zh-CN" w:bidi="ar-SA"/>
              </w:rPr>
              <w:t xml:space="preserve">等</w:t>
            </w:r>
            <w:r>
              <w:rPr>
                <w:rFonts w:hint="eastAsia" w:ascii="仿宋" w:hAnsi="仿宋" w:eastAsia="仿宋" w:cs="仿宋"/>
                <w:sz w:val="24"/>
                <w:szCs w:val="24"/>
                <w:lang w:val="en-US" w:eastAsia="zh-Hans" w:bidi="ar-SA"/>
              </w:rPr>
              <w:t xml:space="preserve">，支持Oracle集群模式接入；</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lang w:val="en-US" w:eastAsia="zh-Hans" w:bidi="ar-SA"/>
              </w:rPr>
              <w:t xml:space="preserve">支持DB接入和WebService接入方式；</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(3)</w:t>
            </w:r>
            <w:r>
              <w:rPr>
                <w:rFonts w:hint="eastAsia" w:ascii="仿宋" w:hAnsi="仿宋" w:eastAsia="仿宋" w:cs="仿宋"/>
                <w:sz w:val="24"/>
                <w:szCs w:val="24"/>
                <w:lang w:val="en-US" w:eastAsia="zh-Hans" w:bidi="ar-SA"/>
              </w:rPr>
              <w:t xml:space="preserve">DB接入全程可视化配置，只需要勾选需要同步的表即可完成数据接入任务的创建；</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lang w:val="en-US" w:eastAsia="zh-Hans" w:bidi="ar-SA"/>
              </w:rPr>
              <w:t xml:space="preserve">支持表创建、注释、主键一键式同步；</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(5)</w:t>
            </w:r>
            <w:r>
              <w:rPr>
                <w:rFonts w:hint="eastAsia" w:ascii="仿宋" w:hAnsi="仿宋" w:eastAsia="仿宋" w:cs="仿宋"/>
                <w:sz w:val="24"/>
                <w:szCs w:val="24"/>
                <w:lang w:val="en-US" w:eastAsia="zh-Hans" w:bidi="ar-SA"/>
              </w:rPr>
              <w:t xml:space="preserve">支持对数据源的全量同步和增量同步；</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(6)</w:t>
            </w:r>
            <w:r>
              <w:rPr>
                <w:rFonts w:hint="eastAsia" w:ascii="仿宋" w:hAnsi="仿宋" w:eastAsia="仿宋" w:cs="仿宋"/>
                <w:sz w:val="24"/>
                <w:szCs w:val="24"/>
                <w:lang w:val="en-US" w:eastAsia="zh-Hans" w:bidi="ar-SA"/>
              </w:rPr>
              <w:t xml:space="preserve">支持WebService接入增量全量同步方式；</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(7)</w:t>
            </w:r>
            <w:r>
              <w:rPr>
                <w:rFonts w:hint="eastAsia" w:ascii="仿宋" w:hAnsi="仿宋" w:eastAsia="仿宋" w:cs="仿宋"/>
                <w:sz w:val="24"/>
                <w:szCs w:val="24"/>
                <w:lang w:val="en-US" w:eastAsia="zh-Hans" w:bidi="ar-SA"/>
              </w:rPr>
              <w:t xml:space="preserve">支持对XML、XML&lt;Json&gt;解析，支持属性提取；</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(8)</w:t>
            </w:r>
            <w:r>
              <w:rPr>
                <w:rFonts w:hint="eastAsia" w:ascii="仿宋" w:hAnsi="仿宋" w:eastAsia="仿宋" w:cs="仿宋"/>
                <w:sz w:val="24"/>
                <w:szCs w:val="24"/>
                <w:lang w:val="en-US" w:eastAsia="zh-Hans" w:bidi="ar-SA"/>
              </w:rPr>
              <w:t xml:space="preserve">支持按单个病人、时间区间获取数据，支持自定义请求头、请求体；</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(9)</w:t>
            </w:r>
            <w:r>
              <w:rPr>
                <w:rFonts w:hint="eastAsia" w:ascii="仿宋" w:hAnsi="仿宋" w:eastAsia="仿宋" w:cs="仿宋"/>
                <w:sz w:val="24"/>
                <w:szCs w:val="24"/>
                <w:lang w:val="en-US" w:eastAsia="zh-Hans" w:bidi="ar-SA"/>
              </w:rPr>
              <w:t xml:space="preserve">支持发布接入数据接入方式（通过WebService主动推送数据）；</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(10)</w:t>
            </w:r>
            <w:r>
              <w:rPr>
                <w:rFonts w:hint="eastAsia" w:ascii="仿宋" w:hAnsi="仿宋" w:eastAsia="仿宋" w:cs="仿宋"/>
                <w:sz w:val="24"/>
                <w:szCs w:val="24"/>
                <w:lang w:val="en-US" w:eastAsia="zh-Hans" w:bidi="ar-SA"/>
              </w:rPr>
              <w:t xml:space="preserve">支持文件格式的数据同步，根据文件信息自动创建实体表。</w:t>
            </w:r>
            <w:r/>
          </w:p>
        </w:tc>
      </w:tr>
      <w:tr>
        <w:trPr>
          <w:jc w:val="center"/>
        </w:trPr>
        <w:tc>
          <w:tcPr>
            <w:tcW w:w="432" w:type="pct"/>
            <w:vAlign w:val="center"/>
            <w:vMerge w:val="continue"/>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501" w:type="pct"/>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项目管理</w:t>
            </w:r>
            <w:r/>
          </w:p>
        </w:tc>
        <w:tc>
          <w:tcPr>
            <w:shd w:val="clear" w:color="auto" w:fill="auto"/>
            <w:tcW w:w="801" w:type="pct"/>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实现工作流自助开发，并支持对工作流的导入导出</w:t>
            </w:r>
            <w:r/>
          </w:p>
        </w:tc>
        <w:tc>
          <w:tcPr>
            <w:shd w:val="clear" w:color="auto" w:fill="auto"/>
            <w:tcW w:w="3263" w:type="pct"/>
            <w:vAlign w:val="center"/>
            <w:textDirection w:val="lrTb"/>
            <w:noWrap w:val="false"/>
          </w:tcPr>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lang w:val="en-US" w:eastAsia="zh-Hans" w:bidi="ar-SA"/>
              </w:rPr>
              <w:t xml:space="preserve">同时支持数据接入和数据模型项目的定义；</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lang w:val="en-US" w:eastAsia="zh-Hans" w:bidi="ar-SA"/>
              </w:rPr>
              <w:t xml:space="preserve">图形化操作通过拖拉、连接的方式即可完成工作流的定义；</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(3)</w:t>
            </w:r>
            <w:r>
              <w:rPr>
                <w:rFonts w:hint="eastAsia" w:ascii="仿宋" w:hAnsi="仿宋" w:eastAsia="仿宋" w:cs="仿宋"/>
                <w:sz w:val="24"/>
                <w:szCs w:val="24"/>
                <w:lang w:val="en-US" w:eastAsia="zh-Hans" w:bidi="ar-SA"/>
              </w:rPr>
              <w:t xml:space="preserve">支持丰富的组件库包含SQL、Spark、Python、Http</w:t>
            </w:r>
            <w:r>
              <w:rPr>
                <w:rFonts w:hint="eastAsia" w:ascii="仿宋" w:hAnsi="仿宋" w:eastAsia="仿宋" w:cs="仿宋"/>
                <w:sz w:val="24"/>
                <w:szCs w:val="24"/>
                <w:lang w:val="en-US" w:eastAsia="zh-CN" w:bidi="ar-SA"/>
              </w:rPr>
              <w:t xml:space="preserve">等</w:t>
            </w:r>
            <w:r>
              <w:rPr>
                <w:rFonts w:hint="eastAsia" w:ascii="仿宋" w:hAnsi="仿宋" w:eastAsia="仿宋" w:cs="仿宋"/>
                <w:sz w:val="24"/>
                <w:szCs w:val="24"/>
                <w:lang w:val="en-US" w:eastAsia="zh-Hans" w:bidi="ar-SA"/>
              </w:rPr>
              <w:t xml:space="preserve">节点组件，底层基于大数据组件完成同步任务；</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lang w:val="en-US" w:eastAsia="zh-Hans" w:bidi="ar-SA"/>
              </w:rPr>
              <w:t xml:space="preserve">支持多任务同时执行不小于5个；</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(5)</w:t>
            </w:r>
            <w:r>
              <w:rPr>
                <w:rFonts w:hint="eastAsia" w:ascii="仿宋" w:hAnsi="仿宋" w:eastAsia="仿宋" w:cs="仿宋"/>
                <w:sz w:val="24"/>
                <w:szCs w:val="24"/>
                <w:lang w:val="en-US" w:eastAsia="zh-Hans" w:bidi="ar-SA"/>
              </w:rPr>
              <w:t xml:space="preserve">在800M内存限制的条件下同步速度在每秒钟1万条以上；</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(6)</w:t>
            </w:r>
            <w:r>
              <w:rPr>
                <w:rFonts w:hint="eastAsia" w:ascii="仿宋" w:hAnsi="仿宋" w:eastAsia="仿宋" w:cs="仿宋"/>
                <w:sz w:val="24"/>
                <w:szCs w:val="24"/>
                <w:lang w:val="en-US" w:eastAsia="zh-Hans" w:bidi="ar-SA"/>
              </w:rPr>
              <w:t xml:space="preserve">支持可视化自定义任务执行频率配置；</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(7)</w:t>
            </w:r>
            <w:r>
              <w:rPr>
                <w:rFonts w:hint="eastAsia" w:ascii="仿宋" w:hAnsi="仿宋" w:eastAsia="仿宋" w:cs="仿宋"/>
                <w:sz w:val="24"/>
                <w:szCs w:val="24"/>
                <w:lang w:val="en-US" w:eastAsia="zh-Hans" w:bidi="ar-SA"/>
              </w:rPr>
              <w:t xml:space="preserve">支持预览最近任务执行时间；</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(8)</w:t>
            </w:r>
            <w:r>
              <w:rPr>
                <w:rFonts w:hint="eastAsia" w:ascii="仿宋" w:hAnsi="仿宋" w:eastAsia="仿宋" w:cs="仿宋"/>
                <w:sz w:val="24"/>
                <w:szCs w:val="24"/>
                <w:lang w:val="en-US" w:eastAsia="zh-Hans" w:bidi="ar-SA"/>
              </w:rPr>
              <w:t xml:space="preserve">支持任务通知策略自定义；</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(9)</w:t>
            </w:r>
            <w:r>
              <w:rPr>
                <w:rFonts w:hint="eastAsia" w:ascii="仿宋" w:hAnsi="仿宋" w:eastAsia="仿宋" w:cs="仿宋"/>
                <w:sz w:val="24"/>
                <w:szCs w:val="24"/>
                <w:lang w:val="en-US" w:eastAsia="zh-Hans" w:bidi="ar-SA"/>
              </w:rPr>
              <w:t xml:space="preserve">支持工作流任务的导入导出；</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(10)</w:t>
            </w:r>
            <w:r>
              <w:rPr>
                <w:rFonts w:hint="eastAsia" w:ascii="仿宋" w:hAnsi="仿宋" w:eastAsia="仿宋" w:cs="仿宋"/>
                <w:sz w:val="24"/>
                <w:szCs w:val="24"/>
                <w:lang w:val="en-US" w:eastAsia="zh-Hans" w:bidi="ar-SA"/>
              </w:rPr>
              <w:t xml:space="preserve">支持任务重试；</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(11)</w:t>
            </w:r>
            <w:r>
              <w:rPr>
                <w:rFonts w:hint="eastAsia" w:ascii="仿宋" w:hAnsi="仿宋" w:eastAsia="仿宋" w:cs="仿宋"/>
                <w:sz w:val="24"/>
                <w:szCs w:val="24"/>
                <w:lang w:val="en-US" w:eastAsia="zh-Hans" w:bidi="ar-SA"/>
              </w:rPr>
              <w:t xml:space="preserve">支持任务日志实时查看；</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(12)</w:t>
            </w:r>
            <w:r>
              <w:rPr>
                <w:rFonts w:hint="eastAsia" w:ascii="仿宋" w:hAnsi="仿宋" w:eastAsia="仿宋" w:cs="仿宋"/>
                <w:sz w:val="24"/>
                <w:szCs w:val="24"/>
                <w:lang w:val="en-US" w:eastAsia="zh-Hans" w:bidi="ar-SA"/>
              </w:rPr>
              <w:t xml:space="preserve">支持任务失败自动重试。</w:t>
            </w:r>
            <w:r/>
          </w:p>
        </w:tc>
      </w:tr>
      <w:tr>
        <w:trPr>
          <w:jc w:val="center"/>
        </w:trPr>
        <w:tc>
          <w:tcPr>
            <w:tcW w:w="432" w:type="pct"/>
            <w:vAlign w:val="center"/>
            <w:vMerge w:val="continue"/>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501" w:type="pct"/>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资源中心</w:t>
            </w:r>
            <w:r/>
          </w:p>
        </w:tc>
        <w:tc>
          <w:tcPr>
            <w:shd w:val="clear" w:color="auto" w:fill="auto"/>
            <w:tcW w:w="801" w:type="pct"/>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文件管理</w:t>
            </w:r>
            <w:r/>
          </w:p>
        </w:tc>
        <w:tc>
          <w:tcPr>
            <w:shd w:val="clear" w:color="auto" w:fill="auto"/>
            <w:tcW w:w="3263" w:type="pct"/>
            <w:vAlign w:val="center"/>
            <w:textDirection w:val="lrTb"/>
            <w:noWrap w:val="false"/>
          </w:tcPr>
          <w:p>
            <w:pPr>
              <w:ind w:left="0"/>
              <w:jc w:val="both"/>
              <w:spacing w:line="440" w:lineRule="exact"/>
              <w:rPr>
                <w:rFonts w:hint="default"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lang w:val="en-US" w:eastAsia="zh-Hans" w:bidi="ar-SA"/>
              </w:rPr>
              <w:t xml:space="preserve">支持对任务资源信息查看</w:t>
            </w:r>
            <w:r>
              <w:rPr>
                <w:rFonts w:hint="eastAsia" w:ascii="仿宋" w:hAnsi="仿宋" w:eastAsia="仿宋" w:cs="仿宋"/>
                <w:sz w:val="24"/>
                <w:szCs w:val="24"/>
                <w:lang w:val="en-US" w:eastAsia="zh-CN" w:bidi="ar-SA"/>
              </w:rPr>
              <w:t xml:space="preserve">。</w:t>
            </w:r>
            <w:r/>
          </w:p>
        </w:tc>
      </w:tr>
      <w:tr>
        <w:trPr>
          <w:jc w:val="center"/>
        </w:trPr>
        <w:tc>
          <w:tcPr>
            <w:tcW w:w="432" w:type="pct"/>
            <w:vAlign w:val="center"/>
            <w:vMerge w:val="continue"/>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501" w:type="pct"/>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监控中心</w:t>
            </w:r>
            <w:r/>
          </w:p>
        </w:tc>
        <w:tc>
          <w:tcPr>
            <w:shd w:val="clear" w:color="auto" w:fill="auto"/>
            <w:tcW w:w="801" w:type="pct"/>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对各资源服务进行监控和管理，并进行常规方式的统计</w:t>
            </w:r>
            <w:r/>
          </w:p>
        </w:tc>
        <w:tc>
          <w:tcPr>
            <w:shd w:val="clear" w:color="auto" w:fill="auto"/>
            <w:tcW w:w="3263" w:type="pct"/>
            <w:vAlign w:val="center"/>
            <w:textDirection w:val="lrTb"/>
            <w:noWrap w:val="false"/>
          </w:tcPr>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lang w:val="en-US" w:eastAsia="zh-Hans" w:bidi="ar-SA"/>
              </w:rPr>
              <w:t xml:space="preserve">支持系统连接池使用情况统计并展示；</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lang w:val="en-US" w:eastAsia="zh-Hans" w:bidi="ar-SA"/>
              </w:rPr>
              <w:t xml:space="preserve">支持监控数据中心的内存和CPU使用情况；</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(3)</w:t>
            </w:r>
            <w:r>
              <w:rPr>
                <w:rFonts w:hint="eastAsia" w:ascii="仿宋" w:hAnsi="仿宋" w:eastAsia="仿宋" w:cs="仿宋"/>
                <w:sz w:val="24"/>
                <w:szCs w:val="24"/>
                <w:lang w:val="en-US" w:eastAsia="zh-Hans" w:bidi="ar-SA"/>
              </w:rPr>
              <w:t xml:space="preserve">支持对所使用的的中间件如zookeeper</w:t>
            </w:r>
            <w:r>
              <w:rPr>
                <w:rFonts w:hint="eastAsia" w:ascii="仿宋" w:hAnsi="仿宋" w:eastAsia="仿宋" w:cs="仿宋"/>
                <w:sz w:val="24"/>
                <w:szCs w:val="24"/>
                <w:lang w:val="en-US" w:eastAsia="zh-CN" w:bidi="ar-SA"/>
              </w:rPr>
              <w:t xml:space="preserve">等</w:t>
            </w:r>
            <w:r>
              <w:rPr>
                <w:rFonts w:hint="eastAsia" w:ascii="仿宋" w:hAnsi="仿宋" w:eastAsia="仿宋" w:cs="仿宋"/>
                <w:sz w:val="24"/>
                <w:szCs w:val="24"/>
                <w:lang w:val="en-US" w:eastAsia="zh-Hans" w:bidi="ar-SA"/>
              </w:rPr>
              <w:t xml:space="preserve">服务的连接数、发送接收量等相关指标监控；</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lang w:val="en-US" w:eastAsia="zh-Hans" w:bidi="ar-SA"/>
              </w:rPr>
              <w:t xml:space="preserve">支持对数据库健康状态，连接数的监控；</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(5)</w:t>
            </w:r>
            <w:r>
              <w:rPr>
                <w:rFonts w:hint="eastAsia" w:ascii="仿宋" w:hAnsi="仿宋" w:eastAsia="仿宋" w:cs="仿宋"/>
                <w:sz w:val="24"/>
                <w:szCs w:val="24"/>
                <w:lang w:val="en-US" w:eastAsia="zh-Hans" w:bidi="ar-SA"/>
              </w:rPr>
              <w:t xml:space="preserve">支持对任务执行情况包含待执行的命令数、执行失败的命令数、待运行任务数、待杀死任务数统计并展示；</w:t>
            </w:r>
            <w:r/>
          </w:p>
        </w:tc>
      </w:tr>
      <w:tr>
        <w:trPr>
          <w:jc w:val="center"/>
          <w:trHeight w:val="704"/>
        </w:trPr>
        <w:tc>
          <w:tcPr>
            <w:tcW w:w="432" w:type="pct"/>
            <w:vAlign w:val="center"/>
            <w:vMerge w:val="continue"/>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501" w:type="pct"/>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配置中心</w:t>
            </w:r>
            <w:r/>
          </w:p>
        </w:tc>
        <w:tc>
          <w:tcPr>
            <w:shd w:val="clear" w:color="auto" w:fill="auto"/>
            <w:tcW w:w="801" w:type="pct"/>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监控配置</w:t>
            </w:r>
            <w:r/>
          </w:p>
        </w:tc>
        <w:tc>
          <w:tcPr>
            <w:shd w:val="clear" w:color="auto" w:fill="auto"/>
            <w:tcW w:w="3263" w:type="pct"/>
            <w:vAlign w:val="center"/>
            <w:textDirection w:val="lrTb"/>
            <w:noWrap w:val="false"/>
          </w:tcPr>
          <w:p>
            <w:pPr>
              <w:ind w:left="0"/>
              <w:jc w:val="both"/>
              <w:spacing w:line="440" w:lineRule="exact"/>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lang w:val="en-US" w:eastAsia="zh-Hans" w:bidi="ar-SA"/>
              </w:rPr>
              <w:t xml:space="preserve">支持对监控规则自定义定时时间；</w:t>
            </w:r>
            <w:r/>
          </w:p>
        </w:tc>
      </w:tr>
      <w:tr>
        <w:trPr>
          <w:jc w:val="center"/>
        </w:trPr>
        <w:tc>
          <w:tcPr>
            <w:tcW w:w="432" w:type="pct"/>
            <w:vAlign w:val="center"/>
            <w:vMerge w:val="continue"/>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501" w:type="pct"/>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数据质量</w:t>
            </w:r>
            <w:r/>
          </w:p>
        </w:tc>
        <w:tc>
          <w:tcPr>
            <w:shd w:val="clear" w:color="auto" w:fill="auto"/>
            <w:tcW w:w="801" w:type="pct"/>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数据稽核</w:t>
            </w:r>
            <w:r/>
          </w:p>
        </w:tc>
        <w:tc>
          <w:tcPr>
            <w:shd w:val="clear" w:color="auto" w:fill="auto"/>
            <w:tcW w:w="3263" w:type="pct"/>
            <w:vAlign w:val="center"/>
            <w:textDirection w:val="lrTb"/>
            <w:noWrap w:val="false"/>
          </w:tcPr>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lang w:val="en-US" w:eastAsia="zh-Hans" w:bidi="ar-SA"/>
              </w:rPr>
              <w:t xml:space="preserve">1</w:t>
            </w:r>
            <w:r>
              <w:rPr>
                <w:rFonts w:hint="eastAsia" w:ascii="仿宋" w:hAnsi="仿宋" w:eastAsia="仿宋" w:cs="仿宋"/>
                <w:sz w:val="24"/>
                <w:szCs w:val="24"/>
                <w:lang w:val="en-US" w:eastAsia="zh-CN" w:bidi="ar-SA"/>
              </w:rPr>
              <w:t xml:space="preserve">)</w:t>
            </w:r>
            <w:r>
              <w:rPr>
                <w:rFonts w:hint="eastAsia" w:ascii="仿宋" w:hAnsi="仿宋" w:eastAsia="仿宋" w:cs="仿宋"/>
                <w:sz w:val="24"/>
                <w:szCs w:val="24"/>
                <w:lang w:val="en-US" w:eastAsia="zh-Hans" w:bidi="ar-SA"/>
              </w:rPr>
              <w:t xml:space="preserve">支持对表数据进行自定义监控；</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lang w:val="en-US" w:eastAsia="zh-Hans" w:bidi="ar-SA"/>
              </w:rPr>
              <w:t xml:space="preserve">支持模板规则的配置；</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(3)</w:t>
            </w:r>
            <w:r>
              <w:rPr>
                <w:rFonts w:hint="eastAsia" w:ascii="仿宋" w:hAnsi="仿宋" w:eastAsia="仿宋" w:cs="仿宋"/>
                <w:sz w:val="24"/>
                <w:szCs w:val="24"/>
                <w:lang w:val="en-US" w:eastAsia="zh-Hans" w:bidi="ar-SA"/>
              </w:rPr>
              <w:t xml:space="preserve">支持规则的批量导出；</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lang w:val="en-US" w:eastAsia="zh-Hans" w:bidi="ar-SA"/>
              </w:rPr>
              <w:t xml:space="preserve">支持规则自定义时间执行；</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(5)</w:t>
            </w:r>
            <w:r>
              <w:rPr>
                <w:rFonts w:hint="eastAsia" w:ascii="仿宋" w:hAnsi="仿宋" w:eastAsia="仿宋" w:cs="仿宋"/>
                <w:sz w:val="24"/>
                <w:szCs w:val="24"/>
                <w:lang w:val="en-US" w:eastAsia="zh-Hans" w:bidi="ar-SA"/>
              </w:rPr>
              <w:t xml:space="preserve">支持质量报告实时生成；</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(6)</w:t>
            </w:r>
            <w:r>
              <w:rPr>
                <w:rFonts w:hint="eastAsia" w:ascii="仿宋" w:hAnsi="仿宋" w:eastAsia="仿宋" w:cs="仿宋"/>
                <w:sz w:val="24"/>
                <w:szCs w:val="24"/>
                <w:lang w:val="en-US" w:eastAsia="zh-Hans" w:bidi="ar-SA"/>
              </w:rPr>
              <w:t xml:space="preserve">支持质检分数实时查询；</w:t>
            </w:r>
            <w:r/>
          </w:p>
          <w:p>
            <w:pPr>
              <w:ind w:left="0"/>
              <w:jc w:val="both"/>
              <w:spacing w:line="440" w:lineRule="exact"/>
              <w:rPr>
                <w:rFonts w:hint="eastAsia" w:ascii="仿宋" w:hAnsi="仿宋" w:eastAsia="仿宋" w:cs="仿宋"/>
                <w:sz w:val="24"/>
                <w:szCs w:val="24"/>
                <w:lang w:val="en-US" w:eastAsia="zh-Hans" w:bidi="ar-SA"/>
              </w:rPr>
            </w:pPr>
            <w:r>
              <w:rPr>
                <w:rFonts w:hint="eastAsia" w:ascii="仿宋" w:hAnsi="仿宋" w:eastAsia="仿宋" w:cs="仿宋"/>
                <w:sz w:val="24"/>
                <w:szCs w:val="24"/>
                <w:lang w:val="en-US" w:eastAsia="zh-CN" w:bidi="ar-SA"/>
              </w:rPr>
              <w:t xml:space="preserve">(7)</w:t>
            </w:r>
            <w:r>
              <w:rPr>
                <w:rFonts w:hint="eastAsia" w:ascii="仿宋" w:hAnsi="仿宋" w:eastAsia="仿宋" w:cs="仿宋"/>
                <w:sz w:val="24"/>
                <w:szCs w:val="24"/>
                <w:lang w:val="en-US" w:eastAsia="zh-Hans" w:bidi="ar-SA"/>
              </w:rPr>
              <w:t xml:space="preserve">支持自定义稽核异常说明；</w:t>
            </w:r>
            <w:r/>
          </w:p>
        </w:tc>
      </w:tr>
    </w:tbl>
    <w:p>
      <w:pPr>
        <w:ind w:left="0"/>
        <w:spacing w:line="440" w:lineRule="exact"/>
        <w:widowControl w:val="off"/>
        <w:rPr>
          <w:rFonts w:hint="eastAsia" w:ascii="仿宋" w:hAnsi="仿宋" w:eastAsia="仿宋" w:cs="仿宋"/>
          <w:color w:val="000000"/>
          <w:sz w:val="24"/>
          <w:szCs w:val="24"/>
          <w:lang w:val="en-US" w:eastAsia="zh-CN" w:bidi="ar-SA"/>
        </w:rPr>
      </w:pPr>
      <w:r/>
      <w:bookmarkStart w:id="63" w:name="_Toc155887852"/>
      <w:r/>
      <w:bookmarkStart w:id="64" w:name="_Toc166247267"/>
      <w:r/>
      <w:r/>
    </w:p>
    <w:p>
      <w:pPr>
        <w:numPr>
          <w:ilvl w:val="2"/>
          <w:numId w:val="0"/>
        </w:numPr>
        <w:ind w:left="0" w:firstLine="482"/>
        <w:jc w:val="both"/>
        <w:keepLines/>
        <w:keepNext/>
        <w:pageBreakBefore w:val="0"/>
        <w:spacing w:line="440" w:lineRule="exact"/>
        <w:rPr>
          <w:rFonts w:hint="eastAsia" w:ascii="仿宋" w:hAnsi="仿宋" w:eastAsia="仿宋" w:cs="仿宋"/>
          <w:b/>
          <w:bCs/>
          <w:sz w:val="24"/>
          <w:szCs w:val="24"/>
          <w:lang w:val="en-US" w:eastAsia="zh-CN" w:bidi="ar-SA"/>
        </w:rPr>
        <w:outlineLvl w:val="9"/>
      </w:pPr>
      <w:r/>
      <w:bookmarkStart w:id="65" w:name="_Toc202991345"/>
      <w:r>
        <w:rPr>
          <w:rFonts w:hint="eastAsia" w:ascii="仿宋" w:hAnsi="仿宋" w:eastAsia="仿宋" w:cs="仿宋"/>
          <w:b/>
          <w:bCs/>
          <w:sz w:val="24"/>
          <w:szCs w:val="24"/>
          <w:lang w:val="en-US" w:eastAsia="zh-CN" w:bidi="ar-SA"/>
        </w:rPr>
        <w:t xml:space="preserve">2.2.3 DRG运营分析</w:t>
      </w:r>
      <w:bookmarkEnd w:id="63"/>
      <w:r/>
      <w:bookmarkEnd w:id="64"/>
      <w:r/>
      <w:bookmarkEnd w:id="65"/>
      <w:r/>
      <w:r/>
    </w:p>
    <w:p>
      <w:pPr>
        <w:numPr>
          <w:ilvl w:val="3"/>
          <w:numId w:val="0"/>
        </w:numPr>
        <w:ind w:left="0" w:firstLine="482"/>
        <w:jc w:val="both"/>
        <w:keepLines/>
        <w:keepNext/>
        <w:pageBreakBefore w:val="0"/>
        <w:spacing w:line="440" w:lineRule="exact"/>
        <w:rPr>
          <w:rFonts w:hint="eastAsia" w:ascii="仿宋" w:hAnsi="仿宋" w:eastAsia="仿宋" w:cs="仿宋"/>
          <w:b/>
          <w:bCs/>
          <w:sz w:val="24"/>
          <w:szCs w:val="24"/>
          <w:lang w:val="en-US" w:eastAsia="zh-CN" w:bidi="ar-SA"/>
        </w:rPr>
        <w:outlineLvl w:val="9"/>
      </w:pPr>
      <w:r>
        <w:rPr>
          <w:rFonts w:hint="eastAsia" w:ascii="仿宋" w:hAnsi="仿宋" w:eastAsia="仿宋" w:cs="仿宋"/>
          <w:b/>
          <w:bCs/>
          <w:sz w:val="24"/>
          <w:szCs w:val="24"/>
          <w:lang w:val="en-US" w:eastAsia="zh-CN" w:bidi="ar-SA"/>
        </w:rPr>
        <w:t xml:space="preserve">2.2.3.1在院管理</w:t>
      </w:r>
      <w:r/>
    </w:p>
    <w:tbl>
      <w:tblPr>
        <w:tblStyle w:val="741"/>
        <w:tblW w:w="8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993"/>
        <w:gridCol w:w="6237"/>
      </w:tblGrid>
      <w:tr>
        <w:trPr>
          <w:jc w:val="center"/>
          <w:tblHeader/>
        </w:trPr>
        <w:tc>
          <w:tcPr>
            <w:shd w:val="clear" w:color="auto" w:fill="auto"/>
            <w:tcW w:w="856" w:type="dxa"/>
            <w:vAlign w:val="center"/>
            <w:textDirection w:val="lrTb"/>
            <w:noWrap w:val="false"/>
          </w:tcPr>
          <w:p>
            <w:pPr>
              <w:ind w:left="0"/>
              <w:jc w:val="both"/>
              <w:pageBreakBefore w:val="0"/>
              <w:spacing w:line="440" w:lineRule="exact"/>
              <w:widowControl/>
              <w:rPr>
                <w:rFonts w:hint="eastAsia" w:ascii="仿宋" w:hAnsi="仿宋" w:eastAsia="仿宋" w:cs="仿宋"/>
                <w:b/>
                <w:bCs/>
                <w:color w:val="000000"/>
                <w:sz w:val="24"/>
                <w:szCs w:val="24"/>
              </w:rPr>
            </w:pPr>
            <w:r/>
            <w:bookmarkStart w:id="66" w:name="_Hlk148601236"/>
            <w:r>
              <w:rPr>
                <w:rFonts w:hint="eastAsia" w:ascii="仿宋" w:hAnsi="仿宋" w:eastAsia="仿宋" w:cs="仿宋"/>
                <w:b/>
                <w:bCs/>
                <w:color w:val="000000"/>
                <w:sz w:val="24"/>
                <w:szCs w:val="24"/>
              </w:rPr>
              <w:t xml:space="preserve">模块</w:t>
            </w:r>
            <w:r/>
          </w:p>
        </w:tc>
        <w:tc>
          <w:tcPr>
            <w:shd w:val="clear" w:color="auto" w:fill="auto"/>
            <w:tcW w:w="993" w:type="dxa"/>
            <w:vAlign w:val="center"/>
            <w:textDirection w:val="lrTb"/>
            <w:noWrap w:val="false"/>
          </w:tcPr>
          <w:p>
            <w:pPr>
              <w:ind w:left="0"/>
              <w:jc w:val="both"/>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功能点</w:t>
            </w:r>
            <w:r/>
          </w:p>
        </w:tc>
        <w:tc>
          <w:tcPr>
            <w:shd w:val="clear" w:color="auto" w:fill="auto"/>
            <w:tcW w:w="6237" w:type="dxa"/>
            <w:vAlign w:val="center"/>
            <w:textDirection w:val="lrTb"/>
            <w:noWrap w:val="false"/>
          </w:tcPr>
          <w:p>
            <w:pPr>
              <w:ind w:left="0" w:firstLine="482"/>
              <w:jc w:val="center"/>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详细参数</w:t>
            </w:r>
            <w:r/>
          </w:p>
        </w:tc>
      </w:tr>
      <w:tr>
        <w:trPr>
          <w:jc w:val="center"/>
        </w:trPr>
        <w:tc>
          <w:tcPr>
            <w:gridSpan w:val="2"/>
            <w:shd w:val="clear" w:color="auto" w:fill="auto"/>
            <w:tcW w:w="1849"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医生助手（在院DRG分组监测接口）</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提供全院病例DRG分组预测与预警信息，包括费用异常预警、病历质控预警、不合理入院预警，预警条件支持自定义设置；</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提供病例当前实时DRG预测分组信息，以及住院费用进度条，直观了解费用消耗情况；</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支持查看患者基本信息、诊断、手术，以及历史住院的DRG分组与诊断/手术信息；</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支持在院期间查看各个费用结构及费用标杆值，并能下钻查看各费用项目明细，包括药品、耗材、检查检验等；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支持大数据模拟分组，通过调整主诊断、次诊断、主手术、次手术进行模拟分组，对中医分组支持主病主症模拟分组；</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支持病例按多种结算方式进行预测对比，包括床日结算、病组结算、中医结算，并优先展示结算金额最高的结算方式；</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支持手动选择任意患者按照床日结算类型进行预测；</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支持输入主诊断后，智能推荐相匹配的常用手术；</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支持按照地区医保结算规则进行适配，包括新技术、特殊药品耗材追加、基础病组同病同价等。</w:t>
            </w:r>
            <w:r/>
          </w:p>
        </w:tc>
      </w:tr>
      <w:tr>
        <w:trPr>
          <w:jc w:val="center"/>
        </w:trPr>
        <w:tc>
          <w:tcPr>
            <w:shd w:val="clear" w:color="auto" w:fill="auto"/>
            <w:tcW w:w="856" w:type="dxa"/>
            <w:vAlign w:val="center"/>
            <w:vMerge w:val="restart"/>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事中监测分析</w:t>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在院监测</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[病例范围：当前在院患者]</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提供全院病例DRG分组预测与预警信息，包括费用异常预警、病历质控预警、不合理入院预警，预警条件支持自定义设置；</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提供病例当前实时DRG预测分组信息，以及住院费用进度条，直观了解费用消耗情况；</w:t>
            </w:r>
            <w:r/>
          </w:p>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支持查看患者基本信息、诊断、手术，以及历史住院的DRG分组与诊断/手术信息；</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支持在院期间查看各个费用结构及费用标杆值，并能下钻查看各费用项目明细，包括药品、耗材、检查检验等；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支持多种筛选条件查找数据：包括结算方式（床日结算、病组结算）、病例类型（高倍率、低倍率、正常病例等）、医保类型等；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支持筛选特殊病例：包括15天再入院、基础病组、中途出院结算、住院天数超高、24小时出入院、新技术病例等；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支持按姓名、住院号、患者ID、床位号等搜索病例；</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支持从科室、医疗组、病区、医生等维度查看预警病例；</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列表字段支持用户自定义显示与排列，包含表头字段是否显示以及固定列设置，支持列表所有数据下载；</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支持大数据模拟分组，通过调整主诊断、次诊断、主手术、次手术进行模拟分组，对中医分组支持主病主症模拟分组；</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rPr>
              <w:t xml:space="preserve">支持病例按多种结算方式进行预测对比，包括床日结算、病组结算、中医结算，并优先展示结算金额最高的结算方式；</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rPr>
              <w:t xml:space="preserve">支持手动选择任意患者按照床日结算类型进行预测；</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(13)</w:t>
            </w:r>
            <w:r>
              <w:rPr>
                <w:rFonts w:hint="eastAsia" w:ascii="仿宋" w:hAnsi="仿宋" w:eastAsia="仿宋" w:cs="仿宋"/>
                <w:color w:val="000000"/>
                <w:sz w:val="24"/>
                <w:szCs w:val="24"/>
              </w:rPr>
              <w:t xml:space="preserve">支持按照地区医保结算规则进行适配，包括新技术、特殊药品耗材追加、基础病组同病同价等。</w:t>
            </w:r>
            <w:r/>
          </w:p>
        </w:tc>
      </w:tr>
      <w:tr>
        <w:trPr>
          <w:jc w:val="center"/>
        </w:trPr>
        <w:tc>
          <w:tcPr>
            <w:tcW w:w="856" w:type="dxa"/>
            <w:vAlign w:val="center"/>
            <w:vMerge w:val="continue"/>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提交前病例监测</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[病例范围：出院但未将病历提交病案室归档的病例]</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提供全院病例DRG分组预测与预警信息，包括费用异常预警、病历质控预警、不合理入院预警，预警条件支持自定义设置；</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提供病例当前实时DRG预测分组信息，以及住院费用进度条，直观了解费用消耗情况；</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支持查看患者基本信息、诊断、手术，以及历史住院的DRG分组与诊断/手术信息；</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支持在院期间查看各个费用结构及费用标杆值，并能下钻查看各费用项目明细，包括药品、耗材、检查检验等；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支持多种筛选条件查找数据：包括结算方式（床日结算、病组结算）、病例类型（高倍率、低倍率、正常病例等）、医保类型等；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支持筛选特殊病例：包括15天再入院、基础病组、中途出院结算、住院天数超高、24小时出入院、新技术病例等；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支持按姓名、住院号、患者ID、床位号等搜索病例；</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支持从科室、医疗组、病区、医生等维度查看预警病例；</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列表字段支持用户自定义显示与排列，包含表头字段是否显示以及固定列设置，支持列表所有数据下载；</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支持大数据模拟分组，通过调整主诊断、次诊断、主手术、次手术进行模拟分组，对中医分组支持主病主症模拟分组；</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rPr>
              <w:t xml:space="preserve">支持病例按多种结算方式进行预测对比，包括床日结算、病组结算、中医结算，并优先展示结算金额最高的结算方式；</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rPr>
              <w:t xml:space="preserve">支持手动选择任意患者按照床日结算类型进行预测；</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(13)</w:t>
            </w:r>
            <w:r>
              <w:rPr>
                <w:rFonts w:hint="eastAsia" w:ascii="仿宋" w:hAnsi="仿宋" w:eastAsia="仿宋" w:cs="仿宋"/>
                <w:color w:val="000000"/>
                <w:sz w:val="24"/>
                <w:szCs w:val="24"/>
              </w:rPr>
              <w:t xml:space="preserve">支持按照地区医保结算规则进行适配，包括新技术、特殊药品耗材追加、基础病组同病同价等。</w:t>
            </w:r>
            <w:r/>
          </w:p>
        </w:tc>
      </w:tr>
      <w:tr>
        <w:trPr>
          <w:jc w:val="center"/>
        </w:trPr>
        <w:tc>
          <w:tcPr>
            <w:tcW w:w="856" w:type="dxa"/>
            <w:vAlign w:val="center"/>
            <w:vMerge w:val="continue"/>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已提交病例分析</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[病例范围：出院已提交病案归档，但未与医保局结算的病例]</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支持对比查看临床与病案编码后病例的诊断、手术、DRG分组数据，并对不一致数据进行颜色标记；</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支持多种筛选条件查找数据：包括结算方式（床日结算、病组结算）、病例类型（高倍率、低倍率、正常病例等）、医保类型等；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支持筛选特殊病例：包括15天再入院、基础病组、中途出院结算、住院天数超高、24小时出入院、新技术病例等；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支持按姓名、住院号、患者ID、床位号等搜索病例；</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列表字段支持用户自定义显示与排列，包含表头字段是否显示以及固定列设置，支持列表所有数据下载；</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支持大数据模拟分组，通过调整主诊断、次诊断、主手术、次手术进行模拟分组，对中医分组支持主病主症模拟分组；</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支持病例按多种结算方式进行预测对比，包括床日结算、病组结算、中医结算，并优先展示结算金额最高的结算方式。</w:t>
            </w:r>
            <w:bookmarkEnd w:id="66"/>
            <w:r/>
            <w:r/>
          </w:p>
        </w:tc>
      </w:tr>
    </w:tbl>
    <w:p>
      <w:pPr>
        <w:ind w:left="0"/>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sz w:val="24"/>
          <w:szCs w:val="24"/>
        </w:rPr>
        <w:br w:type="page" w:clear="all"/>
      </w:r>
      <w:r/>
    </w:p>
    <w:p>
      <w:pPr>
        <w:numPr>
          <w:ilvl w:val="3"/>
          <w:numId w:val="0"/>
        </w:numPr>
        <w:ind w:left="0" w:firstLine="482"/>
        <w:jc w:val="both"/>
        <w:keepLines/>
        <w:keepNext/>
        <w:pageBreakBefore w:val="0"/>
        <w:spacing w:line="440" w:lineRule="exact"/>
        <w:rPr>
          <w:rFonts w:hint="eastAsia" w:ascii="仿宋" w:hAnsi="仿宋" w:eastAsia="仿宋" w:cs="仿宋"/>
          <w:b/>
          <w:bCs/>
          <w:sz w:val="24"/>
          <w:szCs w:val="24"/>
          <w:lang w:val="en-US" w:eastAsia="zh-CN" w:bidi="ar-SA"/>
        </w:rPr>
        <w:outlineLvl w:val="9"/>
      </w:pPr>
      <w:r>
        <w:rPr>
          <w:rFonts w:hint="eastAsia" w:ascii="仿宋" w:hAnsi="仿宋" w:eastAsia="仿宋" w:cs="仿宋"/>
          <w:b/>
          <w:bCs/>
          <w:sz w:val="24"/>
          <w:szCs w:val="24"/>
          <w:lang w:val="en-US" w:eastAsia="zh-CN" w:bidi="ar-SA"/>
        </w:rPr>
        <w:t xml:space="preserve">2.2.3.2 DRG运营分析</w:t>
      </w:r>
      <w:r/>
    </w:p>
    <w:tbl>
      <w:tblPr>
        <w:tblStyle w:val="741"/>
        <w:tblW w:w="8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993"/>
        <w:gridCol w:w="6237"/>
      </w:tblGrid>
      <w:tr>
        <w:trPr>
          <w:jc w:val="center"/>
          <w:tblHeader/>
        </w:trPr>
        <w:tc>
          <w:tcPr>
            <w:shd w:val="clear" w:color="auto" w:fill="auto"/>
            <w:tcW w:w="856" w:type="dxa"/>
            <w:vAlign w:val="center"/>
            <w:textDirection w:val="lrTb"/>
            <w:noWrap w:val="false"/>
          </w:tcPr>
          <w:p>
            <w:pPr>
              <w:ind w:left="0"/>
              <w:jc w:val="both"/>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模块</w:t>
            </w:r>
            <w:r/>
          </w:p>
        </w:tc>
        <w:tc>
          <w:tcPr>
            <w:shd w:val="clear" w:color="auto" w:fill="auto"/>
            <w:tcW w:w="993" w:type="dxa"/>
            <w:vAlign w:val="center"/>
            <w:textDirection w:val="lrTb"/>
            <w:noWrap w:val="false"/>
          </w:tcPr>
          <w:p>
            <w:pPr>
              <w:ind w:left="0"/>
              <w:jc w:val="both"/>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功能点</w:t>
            </w:r>
            <w:r/>
          </w:p>
        </w:tc>
        <w:tc>
          <w:tcPr>
            <w:shd w:val="clear" w:color="auto" w:fill="auto"/>
            <w:tcW w:w="6237" w:type="dxa"/>
            <w:vAlign w:val="center"/>
            <w:textDirection w:val="lrTb"/>
            <w:noWrap w:val="false"/>
          </w:tcPr>
          <w:p>
            <w:pPr>
              <w:ind w:left="0" w:firstLine="482"/>
              <w:jc w:val="center"/>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详细参数</w:t>
            </w:r>
            <w:r/>
          </w:p>
        </w:tc>
      </w:tr>
      <w:tr>
        <w:trPr>
          <w:jc w:val="center"/>
        </w:trPr>
        <w:tc>
          <w:tcPr>
            <w:shd w:val="clear" w:color="auto" w:fill="auto"/>
            <w:tcW w:w="856" w:type="dxa"/>
            <w:vAlign w:val="center"/>
            <w:vMerge w:val="restart"/>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DRG驾驶舱</w:t>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医院DRG整体情况</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展示筛选时间段内全院病例数、总结余、CMI、病组数等DRG核心数据，所有统计图均支持放大和下载。</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全院超支结余分析</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展示筛选时间段内的超支结余趋势、超支结余科室分布、病例类型分布、高低倍率病例占比趋势，支持下钻。</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全院费用构成分析</w:t>
            </w:r>
            <w:r/>
          </w:p>
        </w:tc>
        <w:tc>
          <w:tcPr>
            <w:shd w:val="clear" w:color="auto" w:fill="auto"/>
            <w:tcW w:w="6237" w:type="dxa"/>
            <w:vAlign w:val="center"/>
            <w:textDirection w:val="lrTb"/>
            <w:noWrap w:val="false"/>
          </w:tcPr>
          <w:p>
            <w:pPr>
              <w:ind w:left="0"/>
              <w:jc w:val="left"/>
              <w:spacing w:line="440" w:lineRule="exact"/>
              <w:widowControl/>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展示筛选时间段内各费用类型的金额及占比、药占比、耗占比、检查检验占比、医疗服务占比趋势，支持按病例类型选择统计范围。</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全院资源使用效率分析</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展示筛选时间段内次均费用、次均点数与平均住院日趋势，支持与去年同期比较。</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全院病组构成分析</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展示筛选时间段内CMI趋势，各RW区间病组分布情况，RW区间支持自定义调整和下钻。</w:t>
            </w:r>
            <w:r/>
          </w:p>
        </w:tc>
      </w:tr>
      <w:tr>
        <w:trPr>
          <w:jc w:val="center"/>
        </w:trPr>
        <w:tc>
          <w:tcPr>
            <w:shd w:val="clear" w:color="auto" w:fill="auto"/>
            <w:tcW w:w="856" w:type="dxa"/>
            <w:vAlign w:val="center"/>
            <w:vMerge w:val="restart"/>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科室综合分析</w:t>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科室对比分析</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展示科室病例数、结余、病组数、CMI、入组率、药耗占比等相关指标数据对比，支持数据下钻；</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提供按主题进行分析，包括运行指标监控、超支结余、费用构成、出院带药、不合理入院五大主题；</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支持年/季/月筛选和自定义时间区间、病例范围、超支/结余科室筛选；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支持根据不同用户设置重点关注科室，并能够快速筛选和查看重点科室数据；</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支持运行目标与标杆数据对比，其中标杆数据根据历史数据自动生成，支持自定义修改标杆值，支持快速筛选超标科室；</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支持二级科室管理，可以按照出院科室、管理科室分布查看和统计数据；</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列表字段支持用户自定义显示与排列，包含表头字段是否显示以及固定列设置，支持查看指标同比，列表数据下载。</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科室主页（科室下钻分析）</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[单科室下DRG运营数据统计分析]</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总览：支持科室多选，展示科室所选时间段内DRG核心数据概览，包含病例数、CMI、结余、药耗占比、人头人次比、N天再入院、病组构成、平均住院日等；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超支结余分析：展示科室超支结余/次均结余趋势、超支结余病组分布及趋势、超支结余病例分布及趋势、病例类型分布、高低倍率病例占比趋势；支持下钻；</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费用构成分析：展示科室在各个费用类型的金额及占比，药耗占比趋势，支持按病例类型选择统计范围；</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病组构成分析：通过矩阵象限，分析科室优势病组、劣势病组；支持数据对比与下钻，对不同象限的病组提供分析结论；</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资源使用效率分析：展示科室平均住院日趋势、次均费用趋势、时间消耗指数、费用消耗指数，支持与去年次均费用对比；</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病历质量分析：展示科室编码前后分组不一致病例数趋势、点数差趋势、结余差趋势；</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病组列表：同科室下不同病组DRG运营数据对比，支持下载；</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医疗组列表：同科室下不同医疗组DRG运营数据对比，支持下载；</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医生列表：同科室下不同医生DRG运营数据对比，支持下载；</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病例列表：展示科室所选时间段内所有病例数据，支持按医疗组、病组、医生筛选、查看病例详情、模拟分组，支持表格数据下载。</w:t>
            </w:r>
            <w:r/>
          </w:p>
        </w:tc>
      </w:tr>
      <w:tr>
        <w:trPr>
          <w:jc w:val="center"/>
        </w:trPr>
        <w:tc>
          <w:tcPr>
            <w:shd w:val="clear" w:color="auto" w:fill="auto"/>
            <w:tcW w:w="856" w:type="dxa"/>
            <w:vAlign w:val="center"/>
            <w:vMerge w:val="restart"/>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病组综合分析</w:t>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病组对比分析</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 展示各DRG病组病例数、结余、RW、药耗占比、时间消耗指数、费用消耗指数等相关指标数据对比，支持下钻；</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支持按主题进行分析，包括运行指标监控、超支结余、费用构成、RW区间分布，其中RW区间支持自定义设置；</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支持年/季/月筛选和自定义时间区间、病例范围、超支/结余科室筛选；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支持运行目标与标杆数据对比，其中标杆数据根据历史数据自动生成，支持自定义修改标杆值，支持快速筛选超标病组；</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列表字段支持用户自定义显示与排列，包含表头字段是否显示以及固定列设置，支持查看指标同比，列表数据下载；</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支持根据不同用户设置重点关注病组，并能够快速筛选和查看重点病组数据。</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病组主页（病组下钻分析）</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[单病组下DRG运营数据统计分析]</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总览：支持病组多选，展示病组在所选时间段内DRG核心数据概览，包含总病例数、RW、结余、药耗占比、病组构成、平均住院日等；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超支结余分析：展示病组超支结余/次均结余趋势、超支结余病例分布及趋势、病例类型分布、高低倍率病例占比趋势；支持下钻；</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费用构成分析：展示病组各个费用类型的金额、占比及超支影响率，药耗占比趋势，支持按病例类型选择统计范围；</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资源使用效率分析：展示病组平均住院日趋势、次均费用趋势、时间消耗指数、费用消耗指数；</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科室列表：同病组下不同科室DRG运营数据对比，支持下载；</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 医疗组列表：同病组下不同医疗组DRG运营数据对比，支持下载；</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病例列表：所选病组所选时间段内所有病例数据，支持筛选、查看病例详情、模拟分组、下载。</w:t>
            </w:r>
            <w:r/>
          </w:p>
        </w:tc>
      </w:tr>
      <w:tr>
        <w:trPr>
          <w:jc w:val="center"/>
        </w:trPr>
        <w:tc>
          <w:tcPr>
            <w:shd w:val="clear" w:color="auto" w:fill="auto"/>
            <w:tcW w:w="856" w:type="dxa"/>
            <w:vAlign w:val="center"/>
            <w:vMerge w:val="restart"/>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医疗组综合分析</w:t>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医疗组对比分析</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展示医疗组病例数、结余、病组数、CMI、入组率、药耗占比等DRG相关指标数据对比，支持数据下钻；</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支持快捷筛选，包括超支医疗组、结余医疗组、环比结余增加、减少等，支持年/季/月筛选和自定义时间区间、病例范围筛选；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支持根据不同用户设置重点关注科室，并能够快速筛选和查看重点科室数据；</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列表字段支持用户自定义显示与排列，包含表头字段是否显示以及固定列设置，支持查看指标同比，列表数据下载。</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医疗组主页（医疗组下钻分析）</w:t>
            </w:r>
            <w:r/>
          </w:p>
        </w:tc>
        <w:tc>
          <w:tcPr>
            <w:shd w:val="clear" w:color="auto" w:fill="auto"/>
            <w:tcW w:w="6237" w:type="dxa"/>
            <w:vAlign w:val="center"/>
            <w:textDirection w:val="lrTb"/>
            <w:noWrap w:val="false"/>
          </w:tcPr>
          <w:p>
            <w:pPr>
              <w:ind w:left="0"/>
              <w:jc w:val="left"/>
              <w:spacing w:line="440" w:lineRule="exact"/>
              <w:widowControl/>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[单医疗组下DRG运营数据统计分析]</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总览：支持医疗组多选，展示医疗组在所选时间段内DRG核心数据概览，包含病例数、CMI、总权重、结余、药耗占比、病组构成、平均住院日等；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超支结余分析：展示医疗组超支结余/次均结余趋势、超支结余病组分布及趋势、超支结余病例分布及趋势、病例类型分布、高低倍率病例占比趋势；支持下钻；</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费用构成分析：展示医疗组各个费用类型的金额及占比，药耗占比趋势，支持按病例类型选择统计范围；</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病组构成分析：通过矩阵象限，分析所选医疗组优势病组、劣势病组；支持数据对比与下钻，对不同象限的病组提供分析结论；</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资源使用效率分析：展示医疗组平均住院日趋势、次均费用趋势、时间消耗指数、费用消耗指数；</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病组列表：同医疗组下不同病组DRG运营数据对比，支持下载；</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医生列表：同医疗组下不同医生DRG运营数据对比，支持下载；</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病例列表：所选医疗组所选时间段内所有病例数据，支持筛选、查看病例详情、模拟分组、下载。</w:t>
            </w:r>
            <w:r/>
          </w:p>
        </w:tc>
      </w:tr>
      <w:tr>
        <w:trPr>
          <w:jc w:val="center"/>
        </w:trPr>
        <w:tc>
          <w:tcPr>
            <w:gridSpan w:val="2"/>
            <w:shd w:val="clear" w:color="auto" w:fill="auto"/>
            <w:tcW w:w="1849"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医生综合对比分析</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展示医生病例数、结余、CMI、次均费用、总点数、人头人次比、病组数、高低倍率病例占比等DRG相关指标数据对比，支持数据下钻；</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支持快捷筛选，包括超支医生、结余医生、环比结余增加、减少、高低倍率病例占比高/低于全院平均等；支持年/季/月筛选和自定义时间区间、病例范围筛选、按医疗组筛选病例；支持模糊搜索医生；</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列表字段支持用户自定义显示与排列，包含表头字段是否显示以及固定列设置，列表数据下载。</w:t>
            </w:r>
            <w:r/>
          </w:p>
        </w:tc>
      </w:tr>
      <w:tr>
        <w:trPr>
          <w:jc w:val="center"/>
        </w:trPr>
        <w:tc>
          <w:tcPr>
            <w:shd w:val="clear" w:color="auto" w:fill="auto"/>
            <w:tcW w:w="856" w:type="dxa"/>
            <w:vAlign w:val="center"/>
            <w:vMerge w:val="restart"/>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专题分析</w:t>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费用分摊分析</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[根据患者在各临床开单科室产生的费用占比，将DRG结余按比例分摊统计分析]</w:t>
            </w:r>
            <w:r>
              <w:rPr>
                <w:rFonts w:hint="eastAsia" w:ascii="仿宋" w:hAnsi="仿宋" w:eastAsia="仿宋" w:cs="仿宋"/>
                <w:color w:val="000000"/>
                <w:sz w:val="24"/>
                <w:szCs w:val="24"/>
              </w:rPr>
              <w:br/>
            </w:r>
            <w:r>
              <w:rPr>
                <w:rFonts w:hint="eastAsia" w:ascii="仿宋" w:hAnsi="仿宋" w:eastAsia="仿宋" w:cs="仿宋"/>
                <w:color w:val="000000"/>
                <w:sz w:val="24"/>
                <w:szCs w:val="24"/>
              </w:rPr>
              <w:t xml:space="preserve">▲(1)展示按出院科室与按费用产生科室结余对比；支持查看产生费用分摊病例明细，及病例在各科室的费用情况，支持下载；支持按时间、科室、病例范围等筛选，支持表格按不同字段排序。</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学科发展分析-学科覆盖度分析</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展示各MDC中医院病组/病例相对地区全部病组的覆盖度、各MDC医院病组/病例占比（覆盖度），以此反映医院学科广度，支持数据下载。</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学科发展分析-科室评价</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通过矩阵象限，分析在医保DRG下相对优势的科室、劣势的科室；支持指标组合维度切换、原点自定义；支持数据下钻与下载。</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学科发展分析-病组评价</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通过矩阵象限，分析在医保DRG下医院的优势病组、劣势病组；支持指标组合维度切换；支持病组范围自定义，支持数据下钻与下载。</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病例性质分析</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展示各个统筹区、各个医保类型的病例数量及比例；支持按照统筹区、医保类型分析全院及科室的核心指标，包括病例数、医疗总费用、次均费用、结余、平均住院日、CMI、药占比、耗占比、医技占比等；支持表格数据排序和下载。</w:t>
            </w:r>
            <w:r/>
          </w:p>
        </w:tc>
      </w:tr>
      <w:tr>
        <w:trPr>
          <w:jc w:val="center"/>
        </w:trPr>
        <w:tc>
          <w:tcPr>
            <w:gridSpan w:val="2"/>
            <w:shd w:val="clear" w:color="auto" w:fill="auto"/>
            <w:tcW w:w="1849"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病例数据综合查询与下载</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展示病例明细数据，支持查看详情，包含DRG分组、诊断/手术、费用占比及明细等信息；</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支持按病例类型、15天再入院、科室、结余范围等条件组合筛选；支持按住院号、患者姓名、病案号、主诊主手等模糊搜索病例；</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支持表格数据排序和筛选，支持15天再入院及其上次关联病例的数据下载；</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支持大数据模拟分组，通过调整主诊断、次诊断、主手术、次手术进行模拟分组；</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支持病例按多种结算方式进行预测对比，包括床日结算、病组结算、中医结算，并优先展示点数最高的结算方式。</w:t>
            </w:r>
            <w:r/>
          </w:p>
        </w:tc>
      </w:tr>
      <w:tr>
        <w:trPr>
          <w:jc w:val="center"/>
        </w:trPr>
        <w:tc>
          <w:tcPr>
            <w:gridSpan w:val="2"/>
            <w:shd w:val="clear" w:color="auto" w:fill="auto"/>
            <w:tcW w:w="1849"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指标综合查询与下载</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提供各个主题的指标下载，包括医疗服务能力、费用控制、DRG结算指标、费用控制等；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支持指标自定义选择数据范围、时间范围、导出维度（全院/科室/病组等）；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支持保存指标报表模板，方便同一报表重复下载；</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支持导出DRG系统点击量统计指标，维度支持全院、科室、操作工号。</w:t>
            </w:r>
            <w:r/>
          </w:p>
        </w:tc>
      </w:tr>
      <w:tr>
        <w:trPr>
          <w:jc w:val="center"/>
        </w:trPr>
        <w:tc>
          <w:tcPr>
            <w:shd w:val="clear" w:color="auto" w:fill="auto"/>
            <w:tcW w:w="856" w:type="dxa"/>
            <w:vAlign w:val="center"/>
            <w:vMerge w:val="restart"/>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系统设置</w:t>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费用构成规则设置</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支持自定义设置费用分类，系统根据该分类进行费用相关指标的统计和分析。</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风险审核规则</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支持自定义设置费用异常、不合理入院、再入院、体检入院等预警病例的条件。</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结算单导入设置</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支持结算导入字段映射和处理。</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标杆设置</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支持自定义设置病组和科室的标杆值。</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事中费用预警设置</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支持自定义高倍预警、低倍预警、超支风险三类费用预警的规则与生效范围。</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病例详情设置</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支持自定义病例详情控费进度条的展示形式，以及详情页的字段信息、指标展示。</w:t>
            </w:r>
            <w:r/>
          </w:p>
        </w:tc>
      </w:tr>
      <w:tr>
        <w:trPr>
          <w:jc w:val="center"/>
        </w:trPr>
        <w:tc>
          <w:tcPr>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特殊结算方式设置</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支持自定义事中监测优先按点数最高预测、优先按病组预测、优先按床日预测等，开关按床日结算预测和中医预测结算。</w:t>
            </w:r>
            <w:r/>
          </w:p>
        </w:tc>
      </w:tr>
      <w:tr>
        <w:trPr>
          <w:jc w:val="center"/>
        </w:trPr>
        <w:tc>
          <w:tcPr>
            <w:shd w:val="clear" w:color="auto" w:fill="auto"/>
            <w:tcW w:w="856" w:type="dxa"/>
            <w:vAlign w:val="center"/>
            <w:vMerge w:val="restart"/>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账号权限管理</w:t>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管理科室设置</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支持按出院科室设置大科室，满足医院二级科室管理。</w:t>
            </w:r>
            <w:r/>
          </w:p>
        </w:tc>
      </w:tr>
      <w:tr>
        <w:trPr>
          <w:jc w:val="center"/>
        </w:trPr>
        <w:tc>
          <w:tcPr>
            <w:shd w:val="clear" w:color="auto" w:fill="auto"/>
            <w:tcW w:w="856" w:type="dxa"/>
            <w:vAlign w:val="center"/>
            <w:vMerge w:val="continue"/>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角色与数据权限</w:t>
            </w:r>
            <w:r/>
          </w:p>
        </w:tc>
        <w:tc>
          <w:tcPr>
            <w:shd w:val="clear" w:color="auto" w:fill="auto"/>
            <w:tcW w:w="6237" w:type="dxa"/>
            <w:vAlign w:val="center"/>
            <w:textDirection w:val="lrTb"/>
            <w:noWrap w:val="false"/>
          </w:tcPr>
          <w:p>
            <w:pPr>
              <w:ind w:left="0"/>
              <w:jc w:val="left"/>
              <w:spacing w:line="440" w:lineRule="exact"/>
              <w:widowControl/>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支持根据医院需要，按照院级、科级、医生不同角色设置菜单和数据权限。</w:t>
            </w:r>
            <w:r/>
          </w:p>
        </w:tc>
      </w:tr>
    </w:tbl>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numPr>
          <w:ilvl w:val="3"/>
          <w:numId w:val="0"/>
        </w:numPr>
        <w:ind w:left="-862" w:firstLine="1134"/>
        <w:jc w:val="both"/>
        <w:keepLines/>
        <w:keepNext/>
        <w:pageBreakBefore w:val="0"/>
        <w:spacing w:line="440" w:lineRule="exact"/>
        <w:widowControl w:val="off"/>
        <w:rPr>
          <w:rFonts w:hint="eastAsia" w:ascii="仿宋" w:hAnsi="仿宋" w:eastAsia="仿宋" w:cs="仿宋"/>
          <w:b/>
          <w:bCs/>
          <w:sz w:val="24"/>
          <w:szCs w:val="24"/>
          <w:lang w:val="en-US" w:eastAsia="zh-CN" w:bidi="ar-SA"/>
        </w:rPr>
        <w:outlineLvl w:val="9"/>
      </w:pPr>
      <w:r>
        <w:rPr>
          <w:rFonts w:hint="eastAsia" w:ascii="仿宋" w:hAnsi="仿宋" w:eastAsia="仿宋" w:cs="仿宋"/>
          <w:b/>
          <w:bCs/>
          <w:sz w:val="24"/>
          <w:szCs w:val="24"/>
          <w:lang w:val="en-US" w:eastAsia="zh-CN" w:bidi="ar-SA"/>
        </w:rPr>
        <w:t xml:space="preserve">2.2.3.3结算管理</w:t>
      </w:r>
      <w:r/>
    </w:p>
    <w:tbl>
      <w:tblPr>
        <w:tblStyle w:val="741"/>
        <w:tblW w:w="8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6"/>
        <w:gridCol w:w="993"/>
        <w:gridCol w:w="6237"/>
      </w:tblGrid>
      <w:tr>
        <w:trPr>
          <w:jc w:val="center"/>
          <w:tblHeader/>
        </w:trPr>
        <w:tc>
          <w:tcPr>
            <w:shd w:val="clear" w:color="auto" w:fill="auto"/>
            <w:tcW w:w="856" w:type="dxa"/>
            <w:vAlign w:val="center"/>
            <w:textDirection w:val="lrTb"/>
            <w:noWrap w:val="false"/>
          </w:tcPr>
          <w:p>
            <w:pPr>
              <w:ind w:left="0"/>
              <w:jc w:val="center"/>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模块</w:t>
            </w:r>
            <w:r/>
          </w:p>
        </w:tc>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功能点</w:t>
            </w:r>
            <w:r/>
          </w:p>
        </w:tc>
        <w:tc>
          <w:tcPr>
            <w:shd w:val="clear" w:color="auto" w:fill="auto"/>
            <w:tcW w:w="6237" w:type="dxa"/>
            <w:vAlign w:val="center"/>
            <w:textDirection w:val="lrTb"/>
            <w:noWrap w:val="false"/>
          </w:tcPr>
          <w:p>
            <w:pPr>
              <w:ind w:left="0"/>
              <w:jc w:val="center"/>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详细参数</w:t>
            </w:r>
            <w:r/>
          </w:p>
        </w:tc>
      </w:tr>
      <w:tr>
        <w:trPr>
          <w:jc w:val="center"/>
        </w:trPr>
        <w:tc>
          <w:tcPr>
            <w:gridSpan w:val="2"/>
            <w:shd w:val="clear" w:color="auto" w:fill="auto"/>
            <w:tcW w:w="1849" w:type="dxa"/>
            <w:vAlign w:val="center"/>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结算导入管理</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支持</w:t>
            </w:r>
            <w:r>
              <w:rPr>
                <w:rFonts w:hint="eastAsia" w:ascii="仿宋" w:hAnsi="仿宋" w:eastAsia="仿宋" w:cs="仿宋"/>
                <w:color w:val="000000"/>
                <w:sz w:val="24"/>
                <w:szCs w:val="24"/>
                <w:lang w:eastAsia="zh-CN"/>
              </w:rPr>
              <w:t xml:space="preserve">导入</w:t>
            </w:r>
            <w:r>
              <w:rPr>
                <w:rFonts w:hint="eastAsia" w:ascii="仿宋" w:hAnsi="仿宋" w:eastAsia="仿宋" w:cs="仿宋"/>
                <w:color w:val="000000"/>
                <w:sz w:val="24"/>
                <w:szCs w:val="24"/>
              </w:rPr>
              <w:t xml:space="preserve">医保局下发的月度/年度结算单，支持导入后异常数据的手动处理，导入后系统以导入数据为准进行分析；</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支持根据不同统筹区灵活设置点值；</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支持根据中位数、均值或自定义等方式录入预测点费；</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支持查看不同月份、年份点费差异和对比。</w:t>
            </w:r>
            <w:r/>
          </w:p>
        </w:tc>
      </w:tr>
      <w:tr>
        <w:trPr>
          <w:jc w:val="center"/>
        </w:trPr>
        <w:tc>
          <w:tcPr>
            <w:shd w:val="clear" w:color="auto" w:fill="auto"/>
            <w:tcW w:w="856" w:type="dxa"/>
            <w:vAlign w:val="center"/>
            <w:vMerge w:val="restart"/>
            <w:textDirection w:val="lrTb"/>
            <w:noWrap w:val="false"/>
          </w:tcPr>
          <w:p>
            <w:pPr>
              <w:ind w:left="0"/>
              <w:jc w:val="center"/>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DRG结算核对</w:t>
            </w:r>
            <w:r/>
          </w:p>
        </w:tc>
        <w:tc>
          <w:tcPr>
            <w:shd w:val="clear" w:color="auto" w:fill="auto"/>
            <w:tcW w:w="993"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重点病例分组核对</w:t>
            </w:r>
            <w:r/>
          </w:p>
        </w:tc>
        <w:tc>
          <w:tcPr>
            <w:shd w:val="clear" w:color="auto" w:fill="auto"/>
            <w:tcW w:w="6237" w:type="dxa"/>
            <w:vAlign w:val="center"/>
            <w:textDirection w:val="lrTb"/>
            <w:noWrap w:val="false"/>
          </w:tcPr>
          <w:p>
            <w:pPr>
              <w:ind w:left="0"/>
              <w:jc w:val="left"/>
              <w:spacing w:line="440" w:lineRule="exact"/>
              <w:widowControl/>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支持按分组不一致、含特殊药品耗材、是否已查阅、院内已申诉、病例类型、特殊结算病例等条件筛选，可快速定位重点病例；</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支持查看病例DRG预分组与医保结算分组对比，支持查看诊断/手术、费用明细、病历文书等数据，用于核对分组，判断是否需要申诉；</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支持大数据模拟分组，通过调整主诊断、次诊断、主手术、次手术进行模拟分组；</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支持按科室统计超支结余，表格字段用户自定义显示与排列，包含表头字段是否显示以及固定列设置，支持列表数据下载；</w:t>
            </w:r>
            <w:r>
              <w:rPr>
                <w:rFonts w:hint="eastAsia" w:ascii="仿宋" w:hAnsi="仿宋" w:eastAsia="仿宋" w:cs="仿宋"/>
                <w:color w:val="000000"/>
                <w:sz w:val="24"/>
                <w:szCs w:val="24"/>
              </w:rPr>
              <w:br/>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提供医保分组与预测分组一致率的统计。</w:t>
            </w:r>
            <w:r/>
          </w:p>
        </w:tc>
      </w:tr>
      <w:tr>
        <w:trPr>
          <w:jc w:val="center"/>
        </w:trPr>
        <w:tc>
          <w:tcPr>
            <w:tcW w:w="856" w:type="dxa"/>
            <w:vAlign w:val="center"/>
            <w:vMerge w:val="continue"/>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auto"/>
            <w:tcW w:w="993"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病例申诉</w:t>
            </w:r>
            <w:r/>
          </w:p>
        </w:tc>
        <w:tc>
          <w:tcPr>
            <w:shd w:val="clear" w:color="auto" w:fill="auto"/>
            <w:tcW w:w="6237" w:type="dxa"/>
            <w:vAlign w:val="center"/>
            <w:textDirection w:val="lrTb"/>
            <w:noWrap w:val="false"/>
          </w:tcPr>
          <w:p>
            <w:pPr>
              <w:ind w:left="0"/>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支持病例申诉流程，支持医生填写申诉资料及上传图片，支持医保办对申诉进行修改、确认操作；支持查看与下载病例申诉汇总；申诉反馈：支持查看申诉前后分组数据对比。</w:t>
            </w:r>
            <w:r/>
          </w:p>
        </w:tc>
      </w:tr>
    </w:tbl>
    <w:p>
      <w:pPr>
        <w:ind w:left="0"/>
        <w:jc w:val="left"/>
        <w:spacing w:line="440" w:lineRule="exact"/>
        <w:widowControl/>
        <w:rPr>
          <w:rFonts w:hint="eastAsia" w:ascii="仿宋" w:hAnsi="仿宋" w:eastAsia="仿宋" w:cs="仿宋"/>
          <w:b/>
          <w:bCs/>
          <w:sz w:val="24"/>
          <w:szCs w:val="24"/>
        </w:rPr>
      </w:pPr>
      <w:r/>
      <w:bookmarkStart w:id="67" w:name="_Toc166247268"/>
      <w:r/>
      <w:bookmarkEnd w:id="67"/>
      <w:r/>
      <w:r/>
    </w:p>
    <w:p>
      <w:pPr>
        <w:numPr>
          <w:ilvl w:val="2"/>
          <w:numId w:val="0"/>
        </w:numPr>
        <w:ind w:left="-720" w:firstLine="1134"/>
        <w:jc w:val="both"/>
        <w:keepLines/>
        <w:keepNext/>
        <w:pageBreakBefore w:val="0"/>
        <w:spacing w:line="440" w:lineRule="exact"/>
        <w:widowControl w:val="off"/>
        <w:rPr>
          <w:rFonts w:hint="eastAsia" w:ascii="仿宋" w:hAnsi="仿宋" w:eastAsia="仿宋" w:cs="仿宋"/>
          <w:b/>
          <w:bCs/>
          <w:sz w:val="24"/>
          <w:szCs w:val="24"/>
          <w:lang w:val="en-US" w:eastAsia="zh-CN" w:bidi="ar-SA"/>
        </w:rPr>
        <w:outlineLvl w:val="9"/>
      </w:pPr>
      <w:r/>
      <w:bookmarkStart w:id="68" w:name="_Toc202991346"/>
      <w:r>
        <w:rPr>
          <w:rFonts w:hint="eastAsia" w:ascii="仿宋" w:hAnsi="仿宋" w:eastAsia="仿宋" w:cs="仿宋"/>
          <w:b/>
          <w:bCs/>
          <w:sz w:val="24"/>
          <w:szCs w:val="24"/>
          <w:lang w:val="en-US" w:eastAsia="zh-CN" w:bidi="ar-SA"/>
        </w:rPr>
        <w:t xml:space="preserve">2.2.4医保结算清单管理</w:t>
      </w:r>
      <w:bookmarkEnd w:id="68"/>
      <w:r/>
      <w:r/>
    </w:p>
    <w:tbl>
      <w:tblPr>
        <w:tblStyle w:val="741"/>
        <w:tblW w:w="8918"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134"/>
        <w:gridCol w:w="6791"/>
      </w:tblGrid>
      <w:tr>
        <w:trPr>
          <w:tblHeader/>
        </w:trPr>
        <w:tc>
          <w:tcPr>
            <w:shd w:val="clear" w:color="auto" w:fill="auto"/>
            <w:tcW w:w="993" w:type="dxa"/>
            <w:vAlign w:val="center"/>
            <w:textDirection w:val="lrTb"/>
            <w:noWrap w:val="false"/>
          </w:tcPr>
          <w:p>
            <w:pPr>
              <w:ind w:left="0"/>
              <w:jc w:val="center"/>
              <w:spacing w:line="44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模块</w:t>
            </w:r>
            <w:r/>
          </w:p>
        </w:tc>
        <w:tc>
          <w:tcPr>
            <w:shd w:val="clear" w:color="auto" w:fill="auto"/>
            <w:tcW w:w="1134" w:type="dxa"/>
            <w:vAlign w:val="center"/>
            <w:textDirection w:val="lrTb"/>
            <w:noWrap w:val="false"/>
          </w:tcPr>
          <w:p>
            <w:pPr>
              <w:ind w:left="0"/>
              <w:jc w:val="center"/>
              <w:spacing w:line="44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功能点</w:t>
            </w:r>
            <w:r/>
          </w:p>
        </w:tc>
        <w:tc>
          <w:tcPr>
            <w:shd w:val="clear" w:color="auto" w:fill="auto"/>
            <w:tcW w:w="6791" w:type="dxa"/>
            <w:vAlign w:val="center"/>
            <w:textDirection w:val="lrTb"/>
            <w:noWrap w:val="false"/>
          </w:tcPr>
          <w:p>
            <w:pPr>
              <w:ind w:left="0"/>
              <w:jc w:val="center"/>
              <w:spacing w:line="44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详细参数</w:t>
            </w:r>
            <w:r/>
          </w:p>
        </w:tc>
      </w:tr>
      <w:tr>
        <w:trPr/>
        <w:tc>
          <w:tcPr>
            <w:shd w:val="clear" w:color="auto" w:fill="auto"/>
            <w:tcW w:w="993" w:type="dxa"/>
            <w:vAlign w:val="center"/>
            <w:vMerge w:val="restart"/>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清单任务总览</w:t>
            </w:r>
            <w:r/>
          </w:p>
        </w:tc>
        <w:tc>
          <w:tcPr>
            <w:shd w:val="clear" w:color="auto" w:fill="auto"/>
            <w:tcW w:w="1134" w:type="dxa"/>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管理指标统计</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(1)支持统计筛选时间段内的审核完成率、首次上报合格率。</w:t>
            </w:r>
            <w:r/>
          </w:p>
        </w:tc>
      </w:tr>
      <w:tr>
        <w:trPr/>
        <w:tc>
          <w:tcPr>
            <w:tcW w:w="993" w:type="dxa"/>
            <w:vAlign w:val="center"/>
            <w:vMerge w:val="continue"/>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134" w:type="dxa"/>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清单任务统计</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支持展示已生成清单的数量，包含通过病案首页数据生成的清单数量和对特殊患者自动补充</w:t>
            </w:r>
            <w:r>
              <w:rPr>
                <w:rFonts w:hint="eastAsia" w:ascii="仿宋" w:hAnsi="仿宋" w:eastAsia="仿宋" w:cs="仿宋"/>
                <w:sz w:val="24"/>
                <w:szCs w:val="24"/>
                <w:lang w:eastAsia="zh-CN"/>
              </w:rPr>
              <w:t xml:space="preserve">生成</w:t>
            </w:r>
            <w:r>
              <w:rPr>
                <w:rFonts w:hint="eastAsia" w:ascii="仿宋" w:hAnsi="仿宋" w:eastAsia="仿宋" w:cs="仿宋"/>
                <w:sz w:val="24"/>
                <w:szCs w:val="24"/>
              </w:rPr>
              <w:t xml:space="preserve">的清单数量。</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支持根据医院实际配置的审核流程节点，分别展示清单初审、清单复审、清单终审任务节点中具体的清单审核状态及数量，支持下钻到对应清单列表。</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支持按院内结算日期、出院日期统计筛选时间段内以上清单的数量及状态。</w:t>
            </w:r>
            <w:r/>
          </w:p>
        </w:tc>
      </w:tr>
      <w:tr>
        <w:trPr/>
        <w:tc>
          <w:tcPr>
            <w:shd w:val="clear" w:color="auto" w:fill="auto"/>
            <w:tcW w:w="993" w:type="dxa"/>
            <w:vAlign w:val="center"/>
            <w:vMerge w:val="restart"/>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上报前清单审核</w:t>
            </w:r>
            <w:r/>
          </w:p>
        </w:tc>
        <w:tc>
          <w:tcPr>
            <w:shd w:val="clear" w:color="auto" w:fill="auto"/>
            <w:tcW w:w="1134" w:type="dxa"/>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清单生成</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支持自动获取医院各系统相关数据，生成待审核结算清单，自动对结算清单进行全量质检质控；</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支持对血液透析的患者自动生成结算清单，对于母婴同室的婴儿自动拆分结算清单，并提供全量质检质控；</w:t>
            </w:r>
            <w:r/>
          </w:p>
        </w:tc>
      </w:tr>
      <w:tr>
        <w:trPr/>
        <w:tc>
          <w:tcPr>
            <w:tcW w:w="993" w:type="dxa"/>
            <w:vAlign w:val="center"/>
            <w:vMerge w:val="continue"/>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134" w:type="dxa"/>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清单操作</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支持自定义设置清单列表展示数量，如20条/页、50条/页、100条/页；</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支持对清单标记疑问病例，并在列表内进行差异化标识展示，支持搜索查询；</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支持在列表内对于已读清单和未读清单进行差异化展示，支持搜索查询；</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支持对符合再入院条件的患者进行差异化标识展示，支持查看上次住院信息，支持搜索查询；</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支持对与病案首页不一致的清单进行标注，支持查看病案首页与结算清单不一致的具体对比情况；</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支持查看每份清单的基本信息，包括患者信息、病案号、住院号、住院医师、入组情况、预计结余、病例类型等信息；支持按费用类型查看费用明细，并展示费用分布情况和费用占比。支持对于入组异常患者展示入组解析。</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支持按病组结算和床日结算两种结算方式，对于同时符合两种结算方式的患者支持切换结算方式进行对比查看；</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支持展示清单质检结果，对不同预警级别差异化展示；支持展示诊断手术信息；支持展示清单批注信息并进行操作；</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支持通过大数据分析建立多维度优选策略，在保证清单合规的前提下提供结算更多组合的参考；支持通过大数据对疑似手术缺漏进行提醒，提供对应的优选组合，并对缺漏手术进行差异化标识；</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支持下钻查看清单详情，定位展示对应的质控问题点，支持对诊断、手术信息进行编辑，包括顺序调整、新增、删除、修改；支持在调整清单内容后模拟质检，比对查看新旧分组预测与质控结果信息；支持保存修改后的清单，保存后清单将停止自动刷新；</w:t>
            </w:r>
            <w:r>
              <w:rPr>
                <w:rFonts w:hint="eastAsia" w:ascii="仿宋" w:hAnsi="仿宋" w:eastAsia="仿宋" w:cs="仿宋"/>
                <w:sz w:val="24"/>
                <w:szCs w:val="24"/>
                <w:highlight w:val="yellow"/>
              </w:rPr>
              <w:br/>
            </w: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支持对已修改的清单，手动开启清单自动更新； </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支持对不适用的清单规则进行关闭，并记录关闭理由；支持</w:t>
            </w:r>
            <w:r>
              <w:rPr>
                <w:rFonts w:hint="eastAsia" w:ascii="仿宋" w:hAnsi="仿宋" w:eastAsia="仿宋" w:cs="仿宋"/>
                <w:sz w:val="24"/>
                <w:szCs w:val="24"/>
                <w:lang w:eastAsia="zh-CN"/>
              </w:rPr>
              <w:t xml:space="preserve">针对</w:t>
            </w:r>
            <w:r>
              <w:rPr>
                <w:rFonts w:hint="eastAsia" w:ascii="仿宋" w:hAnsi="仿宋" w:eastAsia="仿宋" w:cs="仿宋"/>
                <w:sz w:val="24"/>
                <w:szCs w:val="24"/>
              </w:rPr>
              <w:t xml:space="preserve">个别患者无需修改的规则进行关闭，并记录关闭理由；</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(13)</w:t>
            </w:r>
            <w:r>
              <w:rPr>
                <w:rFonts w:hint="eastAsia" w:ascii="仿宋" w:hAnsi="仿宋" w:eastAsia="仿宋" w:cs="仿宋"/>
                <w:sz w:val="24"/>
                <w:szCs w:val="24"/>
              </w:rPr>
              <w:t xml:space="preserve">支持查看清单编辑日志，日志记录所有操作人员、时间、操作内容，可查看修改前后对比，支持查看与初始清单的对比；</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支持对清单发起批注信息，选择发送至指定用户，支持立即发送或暂不发送仅保存；</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(15)</w:t>
            </w:r>
            <w:r>
              <w:rPr>
                <w:rFonts w:hint="eastAsia" w:ascii="仿宋" w:hAnsi="仿宋" w:eastAsia="仿宋" w:cs="仿宋"/>
                <w:sz w:val="24"/>
                <w:szCs w:val="24"/>
              </w:rPr>
              <w:t xml:space="preserve">支持通过调整主次诊断、手术顺序对清单进行模拟</w:t>
            </w:r>
            <w:r>
              <w:rPr>
                <w:rFonts w:hint="eastAsia" w:ascii="仿宋" w:hAnsi="仿宋" w:eastAsia="仿宋" w:cs="仿宋"/>
                <w:sz w:val="24"/>
                <w:szCs w:val="24"/>
                <w:lang w:eastAsia="zh-CN"/>
              </w:rPr>
              <w:t xml:space="preserve">分组</w:t>
            </w:r>
            <w:r>
              <w:rPr>
                <w:rFonts w:hint="eastAsia" w:ascii="仿宋" w:hAnsi="仿宋" w:eastAsia="仿宋" w:cs="仿宋"/>
                <w:sz w:val="24"/>
                <w:szCs w:val="24"/>
              </w:rPr>
              <w:t xml:space="preserve">，比对查看新旧分组预测与质控结果信息，支持将模拟分组结果快捷添加至批注或详情页；</w:t>
            </w:r>
            <w:r/>
          </w:p>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t xml:space="preserve">支持通过手动刷新HIS实时信息，更新待审核清单</w:t>
            </w:r>
            <w:r>
              <w:rPr>
                <w:rFonts w:hint="eastAsia" w:ascii="仿宋" w:hAnsi="仿宋" w:eastAsia="仿宋" w:cs="仿宋"/>
                <w:sz w:val="24"/>
                <w:szCs w:val="24"/>
                <w:lang w:eastAsia="zh-CN"/>
              </w:rPr>
              <w:t xml:space="preserve">数据</w:t>
            </w:r>
            <w:r>
              <w:rPr>
                <w:rFonts w:hint="eastAsia" w:ascii="仿宋" w:hAnsi="仿宋" w:eastAsia="仿宋" w:cs="仿宋"/>
                <w:sz w:val="24"/>
                <w:szCs w:val="24"/>
                <w:lang w:val="en-US" w:eastAsia="zh-CN"/>
              </w:rPr>
              <w:t xml:space="preserve">。</w:t>
            </w:r>
            <w:r/>
          </w:p>
        </w:tc>
      </w:tr>
      <w:tr>
        <w:trPr/>
        <w:tc>
          <w:tcPr>
            <w:tcW w:w="993" w:type="dxa"/>
            <w:vAlign w:val="center"/>
            <w:vMerge w:val="continue"/>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134" w:type="dxa"/>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我的清单</w:t>
            </w:r>
            <w:r/>
          </w:p>
        </w:tc>
        <w:tc>
          <w:tcPr>
            <w:shd w:val="clear" w:color="auto" w:fill="auto"/>
            <w:tcW w:w="6791" w:type="dxa"/>
            <w:vAlign w:val="center"/>
            <w:textDirection w:val="lrTb"/>
            <w:noWrap w:val="false"/>
          </w:tcPr>
          <w:p>
            <w:pPr>
              <w:numPr>
                <w:ilvl w:val="0"/>
                <w:numId w:val="0"/>
              </w:num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支持按分配的数据权限，查看本人负责的全部流程节点下的所有结算清单；</w:t>
            </w:r>
            <w:r/>
          </w:p>
          <w:p>
            <w:pPr>
              <w:numPr>
                <w:ilvl w:val="0"/>
                <w:numId w:val="0"/>
              </w:num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支持查看结算清单当前审核状态，支持按姓名、住院号、病案号、医生、分组、主诊断、主手术进行搜索，支持下载导出列表。</w:t>
            </w:r>
            <w:r/>
          </w:p>
          <w:p>
            <w:pPr>
              <w:numPr>
                <w:ilvl w:val="0"/>
                <w:numId w:val="0"/>
              </w:num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支持对于重点问题主动进行推送，如已审核清单被退回、收到批注消息、清单数据源头发生变更</w:t>
            </w:r>
            <w:r/>
          </w:p>
        </w:tc>
      </w:tr>
      <w:tr>
        <w:trPr/>
        <w:tc>
          <w:tcPr>
            <w:tcW w:w="993" w:type="dxa"/>
            <w:vAlign w:val="center"/>
            <w:vMerge w:val="continue"/>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134" w:type="dxa"/>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待审核清单</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支持按分配的数据权限，查看本人负责的所有待审核的结算清单；</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支持对待审核清单操作审核通过，支持批量勾选操作审核通过，支持一键全部审核通过；已审核通过的清单根据审核流程配置，自动分配进入下一节点审核人员的待审核列表，并自动保存固化清单数据；</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支持设置自定义校验条件，对符合条件的清单自动审核通过并进入本人审核通过列表，未通过审核的清单进入待审核列表等待人工处理审核；</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支持对审核不通过的清单进行退回操作，可选择退回至指定流程的待审核列表；</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支持下载导出本人所有待审核清单列表。</w:t>
            </w:r>
            <w:r/>
          </w:p>
        </w:tc>
      </w:tr>
      <w:tr>
        <w:trPr/>
        <w:tc>
          <w:tcPr>
            <w:tcW w:w="993" w:type="dxa"/>
            <w:vAlign w:val="center"/>
            <w:vMerge w:val="continue"/>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134" w:type="dxa"/>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审核通过清单</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支持查看所有本人审核通过的清单；</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支持批量勾选撤销本人已审核通过的清单，撤销审核后的清单变为本人待审核状态；</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支持下载导出本人所有审核通过清单列表；</w:t>
            </w:r>
            <w:r/>
          </w:p>
        </w:tc>
      </w:tr>
      <w:tr>
        <w:trPr/>
        <w:tc>
          <w:tcPr>
            <w:tcW w:w="993" w:type="dxa"/>
            <w:vAlign w:val="center"/>
            <w:vMerge w:val="continue"/>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134" w:type="dxa"/>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审核退回清单</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支持查看所有本人被审核退回的清单；</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支持重新对清单进行审核通过操作，重新进入下一节点审核人员的待审核列表。</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支持下载导出本人所有审核被退回清单列表。</w:t>
            </w:r>
            <w:r/>
          </w:p>
        </w:tc>
      </w:tr>
      <w:tr>
        <w:trPr/>
        <w:tc>
          <w:tcPr>
            <w:tcW w:w="993" w:type="dxa"/>
            <w:vAlign w:val="center"/>
            <w:vMerge w:val="continue"/>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134" w:type="dxa"/>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超时未审核清单</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根据每个审核节点设置的时限要求，系统自动将超过时限的清单置为超时未审核；</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支持查看所有本人超时未审核的清单；</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支持对清单进行审核通过操作，进入下一节点审核人员的待审核列表。</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支持下载导出本人所有超时未审核清单列表。</w:t>
            </w:r>
            <w:r/>
          </w:p>
        </w:tc>
      </w:tr>
      <w:tr>
        <w:trPr/>
        <w:tc>
          <w:tcPr>
            <w:tcW w:w="993" w:type="dxa"/>
            <w:vAlign w:val="center"/>
            <w:vMerge w:val="continue"/>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134" w:type="dxa"/>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自定义快捷筛选</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支持按照病例类型、质控问题、异常住院、特殊患者、费用相关条件类型，选择对应的指标，组合形成自定义快捷筛类型，针对每个审核环节，筛选出对应的清单列表；</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支持对筛选类型进行重命名；</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支持自定义添加多个快捷筛选类型；</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支持初始化重点问题清单的快捷筛选类型；</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支持下载导出快捷筛选类型下的清单列表。</w:t>
            </w:r>
            <w:r/>
          </w:p>
        </w:tc>
      </w:tr>
      <w:tr>
        <w:trPr/>
        <w:tc>
          <w:tcPr>
            <w:tcW w:w="993" w:type="dxa"/>
            <w:vAlign w:val="center"/>
            <w:vMerge w:val="continue"/>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134" w:type="dxa"/>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其他筛选</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支持对未读清单、疑问病例的筛选；</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支持筛选与病案首页不一致的清单；</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支持筛选与初始清单不一致的清单，区分因数据源变更、清单调整变更原因导致的不一致清单。</w:t>
            </w:r>
            <w:r/>
          </w:p>
        </w:tc>
      </w:tr>
      <w:tr>
        <w:trPr/>
        <w:tc>
          <w:tcPr>
            <w:gridSpan w:val="2"/>
            <w:shd w:val="clear" w:color="auto" w:fill="auto"/>
            <w:tcW w:w="2127" w:type="dxa"/>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消息中心</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支持分类查看当前用户收到的、发起的、仅保存的批注，同时支持按照待处理、已接受、不接受进行分类筛选；</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支持对于整改批注消息进行处理，选择是否接受，支持填写不接受理由；</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消息列表支持直接打开清单详情页，支持对清单进行编辑与审核操作；</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支持在收到批注、批注回复消息时在系统内主动弹窗提示。</w:t>
            </w:r>
            <w:r/>
          </w:p>
        </w:tc>
      </w:tr>
      <w:tr>
        <w:trPr/>
        <w:tc>
          <w:tcPr>
            <w:shd w:val="clear" w:color="auto" w:fill="auto"/>
            <w:tcW w:w="993" w:type="dxa"/>
            <w:vAlign w:val="center"/>
            <w:vMerge w:val="restart"/>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清单质量分析</w:t>
            </w:r>
            <w:r/>
          </w:p>
        </w:tc>
        <w:tc>
          <w:tcPr>
            <w:shd w:val="clear" w:color="auto" w:fill="auto"/>
            <w:tcW w:w="1134"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问题分布情况</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支持以月、季、年为统计区间，按院内结算时间或出院时间、科室、医疗组等维度分析问题清单。</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支持按重要性、质控内容、影响范围维度查看问题清单分布概况，包括强制性问题、提示性问题、编码问题、非编码问题、影响入组问题、可能影响入组问题、不影响入组问题清单的数量和占比；</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支持按问题清单类型，查看各科室的分布情况及占比，支持查看科室下对应的清单问题类型分布及占比情况，可下钻查看对应的清单详情；</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支持按主治医师、编码员分析问题清单的数量，可下钻查看对应的清单详情，支持下载导出列表。</w:t>
            </w:r>
            <w:r/>
          </w:p>
        </w:tc>
      </w:tr>
      <w:tr>
        <w:trPr/>
        <w:tc>
          <w:tcPr>
            <w:tcW w:w="993" w:type="dxa"/>
            <w:vAlign w:val="center"/>
            <w:vMerge w:val="continue"/>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134"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问题清单趋势</w:t>
            </w:r>
            <w:r/>
          </w:p>
        </w:tc>
        <w:tc>
          <w:tcPr>
            <w:shd w:val="clear" w:color="auto" w:fill="auto"/>
            <w:tcW w:w="6791" w:type="dxa"/>
            <w:vAlign w:val="center"/>
            <w:textDirection w:val="lrTb"/>
            <w:noWrap w:val="false"/>
          </w:tcPr>
          <w:p>
            <w:pPr>
              <w:ind w:left="0"/>
              <w:jc w:val="left"/>
              <w:spacing w:line="44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支持多维度筛选条件，通过图表展示问题清单数量、占比的变化趋势。</w:t>
            </w:r>
            <w:r/>
          </w:p>
        </w:tc>
      </w:tr>
      <w:tr>
        <w:trPr/>
        <w:tc>
          <w:tcPr>
            <w:shd w:val="clear" w:color="auto" w:fill="auto"/>
            <w:tcW w:w="993" w:type="dxa"/>
            <w:vAlign w:val="center"/>
            <w:vMerge w:val="restart"/>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清单成就分析</w:t>
            </w:r>
            <w:r/>
          </w:p>
        </w:tc>
        <w:tc>
          <w:tcPr>
            <w:shd w:val="clear" w:color="auto" w:fill="auto"/>
            <w:tcW w:w="1134"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清单调整情况</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支持以月、季、年为统计区间，按院内结算时间或出院时间、科室、医疗组等维度分析清单调整情况。</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支持多维度筛选结算清单，可视化展示已调整清单和未调整清单的具体数量及占比。</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支持对已调整清单进行分类筛选，包括调整前后分组不一致、主要诊断不一致、</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诊断不一致、主要手术不一致、</w:t>
            </w:r>
            <w:r>
              <w:rPr>
                <w:rFonts w:hint="eastAsia" w:ascii="仿宋" w:hAnsi="仿宋" w:eastAsia="仿宋" w:cs="仿宋"/>
                <w:sz w:val="24"/>
                <w:szCs w:val="24"/>
                <w:lang w:eastAsia="zh-CN"/>
              </w:rPr>
              <w:t xml:space="preserve">其他手术</w:t>
            </w:r>
            <w:r>
              <w:rPr>
                <w:rFonts w:hint="eastAsia" w:ascii="仿宋" w:hAnsi="仿宋" w:eastAsia="仿宋" w:cs="仿宋"/>
                <w:sz w:val="24"/>
                <w:szCs w:val="24"/>
              </w:rPr>
              <w:t xml:space="preserve">不一致；</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支持查看调整清单分类的具体数量及占比，支持查看每一分类下具体科室和病例情况，支持查看具体科室清单调整前后点数差、结余差、修正问题数，支持查看清单调整前后具体对比，支持下载导出列表。</w:t>
            </w:r>
            <w:r/>
          </w:p>
        </w:tc>
      </w:tr>
      <w:tr>
        <w:trPr/>
        <w:tc>
          <w:tcPr>
            <w:tcW w:w="993" w:type="dxa"/>
            <w:vAlign w:val="center"/>
            <w:vMerge w:val="continue"/>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134"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清单调整前后对比分析</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sz w:val="24"/>
                <w:szCs w:val="24"/>
              </w:rPr>
              <w:t xml:space="preserve">支持多维度筛选条件，通过图表展示清单调整前后结余分析、质控问题分析，支持查看总点数差、结余差、修正问题数。</w:t>
            </w:r>
            <w:r/>
          </w:p>
        </w:tc>
      </w:tr>
      <w:tr>
        <w:trPr/>
        <w:tc>
          <w:tcPr>
            <w:shd w:val="clear" w:color="auto" w:fill="auto"/>
            <w:tcW w:w="993" w:type="dxa"/>
            <w:vAlign w:val="center"/>
            <w:vMerge w:val="restart"/>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系统设置</w:t>
            </w:r>
            <w:r/>
          </w:p>
        </w:tc>
        <w:tc>
          <w:tcPr>
            <w:shd w:val="clear" w:color="auto" w:fill="auto"/>
            <w:tcW w:w="1134" w:type="dxa"/>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医保结算清单质控规则</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系统提供专家知识库规则、DRG专项规则，费用专项规则，通过实时质控保证清单的完整性、逻辑性和准确性；</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支持个性化开启/关闭质控规则，支持批量启用/停用；</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支持个性化配置质控规则的强制性/提示性属性，强制性规则校验不通过时，不允许提交结算清单。</w:t>
            </w:r>
            <w:r/>
          </w:p>
        </w:tc>
      </w:tr>
      <w:tr>
        <w:trPr/>
        <w:tc>
          <w:tcPr>
            <w:tcW w:w="993" w:type="dxa"/>
            <w:vAlign w:val="center"/>
            <w:vMerge w:val="continue"/>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134" w:type="dxa"/>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清单流程设置</w:t>
            </w:r>
            <w:r/>
          </w:p>
        </w:tc>
        <w:tc>
          <w:tcPr>
            <w:shd w:val="clear" w:color="auto" w:fill="auto"/>
            <w:tcW w:w="6791" w:type="dxa"/>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支持根据医院实际情况，自定义配置结算清单管理流程；</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支持个性化配置结算清单管理全流程，例如：生成-初审-上报、生成-初审-复审-上报、生成-初审-复审-终审-上报；</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支持在结算清单管理流程节点中配置对应角色和用户；</w:t>
            </w:r>
            <w:r>
              <w:rPr>
                <w:rFonts w:hint="eastAsia" w:ascii="仿宋" w:hAnsi="仿宋" w:eastAsia="仿宋" w:cs="仿宋"/>
                <w:sz w:val="24"/>
                <w:szCs w:val="24"/>
              </w:rPr>
              <w:br/>
            </w:r>
            <w:r>
              <w:rPr>
                <w:rFonts w:hint="eastAsia" w:ascii="仿宋" w:hAnsi="仿宋" w:eastAsia="仿宋" w:cs="仿宋"/>
                <w:color w:val="000000"/>
                <w:sz w:val="24"/>
                <w:szCs w:val="24"/>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流程节点支持多种审核类型，包括全量人工审核、人工+条件自动审核、无条件自动审核；</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支持按照患者结算时间、出院时间、上报日期设置审核时限；支持对审核超时的清单配置进入下一流程或保持当前流程；</w:t>
            </w:r>
            <w:r>
              <w:rPr>
                <w:rFonts w:hint="eastAsia" w:ascii="仿宋" w:hAnsi="仿宋" w:eastAsia="仿宋" w:cs="仿宋"/>
                <w:sz w:val="24"/>
                <w:szCs w:val="24"/>
              </w:rPr>
              <w:br/>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支持按病例类型、质控问题、异常入院的维度配置自动审核条件；满足校验条件通过的清单可自动进入下一个流程。</w:t>
            </w:r>
            <w:r/>
          </w:p>
        </w:tc>
      </w:tr>
    </w:tbl>
    <w:p>
      <w:pPr>
        <w:ind w:left="0"/>
        <w:jc w:val="left"/>
        <w:spacing w:line="440" w:lineRule="exact"/>
        <w:widowControl/>
        <w:rPr>
          <w:rFonts w:hint="eastAsia" w:ascii="仿宋" w:hAnsi="仿宋" w:eastAsia="仿宋" w:cs="仿宋"/>
          <w:b/>
          <w:bCs/>
          <w:sz w:val="24"/>
          <w:szCs w:val="24"/>
        </w:rPr>
      </w:pPr>
      <w:r>
        <w:rPr>
          <w:rFonts w:hint="eastAsia" w:ascii="仿宋" w:hAnsi="仿宋" w:eastAsia="仿宋" w:cs="仿宋"/>
          <w:b/>
          <w:bCs/>
          <w:sz w:val="24"/>
          <w:szCs w:val="24"/>
        </w:rPr>
      </w:r>
      <w:r/>
    </w:p>
    <w:p>
      <w:pPr>
        <w:numPr>
          <w:ilvl w:val="2"/>
          <w:numId w:val="0"/>
        </w:numPr>
        <w:ind w:left="-720" w:firstLine="1134"/>
        <w:jc w:val="both"/>
        <w:keepLines/>
        <w:keepNext/>
        <w:pageBreakBefore w:val="0"/>
        <w:spacing w:line="440" w:lineRule="exact"/>
        <w:widowControl w:val="off"/>
        <w:rPr>
          <w:rFonts w:hint="eastAsia" w:ascii="仿宋" w:hAnsi="仿宋" w:eastAsia="仿宋" w:cs="仿宋"/>
          <w:b/>
          <w:bCs/>
          <w:sz w:val="24"/>
          <w:szCs w:val="24"/>
          <w:lang w:val="en-US" w:eastAsia="zh-CN" w:bidi="ar-SA"/>
        </w:rPr>
        <w:outlineLvl w:val="9"/>
      </w:pPr>
      <w:r/>
      <w:bookmarkStart w:id="69" w:name="_Toc202991347"/>
      <w:r>
        <w:rPr>
          <w:rFonts w:hint="eastAsia" w:ascii="仿宋" w:hAnsi="仿宋" w:eastAsia="仿宋" w:cs="仿宋"/>
          <w:b/>
          <w:bCs/>
          <w:sz w:val="24"/>
          <w:szCs w:val="24"/>
          <w:lang w:val="en-US" w:eastAsia="zh-CN" w:bidi="ar-SA"/>
        </w:rPr>
        <w:t xml:space="preserve">2.2.5医保结算清单上报接口与上报服务</w:t>
      </w:r>
      <w:bookmarkEnd w:id="69"/>
      <w:r/>
      <w:r/>
    </w:p>
    <w:tbl>
      <w:tblPr>
        <w:tblStyle w:val="741"/>
        <w:tblW w:w="46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1"/>
        <w:gridCol w:w="7260"/>
      </w:tblGrid>
      <w:tr>
        <w:trPr>
          <w:tblHeader/>
        </w:trPr>
        <w:tc>
          <w:tcPr>
            <w:shd w:val="clear" w:color="auto" w:fill="auto"/>
            <w:tcW w:w="725" w:type="pct"/>
            <w:vAlign w:val="center"/>
            <w:textDirection w:val="lrTb"/>
            <w:noWrap w:val="false"/>
          </w:tcPr>
          <w:p>
            <w:pPr>
              <w:ind w:left="0"/>
              <w:jc w:val="center"/>
              <w:spacing w:line="44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模块</w:t>
            </w:r>
            <w:r/>
          </w:p>
        </w:tc>
        <w:tc>
          <w:tcPr>
            <w:shd w:val="clear" w:color="auto" w:fill="auto"/>
            <w:tcW w:w="4274" w:type="pct"/>
            <w:vAlign w:val="center"/>
            <w:textDirection w:val="lrTb"/>
            <w:noWrap w:val="false"/>
          </w:tcPr>
          <w:p>
            <w:pPr>
              <w:ind w:left="0"/>
              <w:jc w:val="center"/>
              <w:spacing w:line="440" w:lineRule="exact"/>
              <w:widowControl/>
              <w:rPr>
                <w:rFonts w:hint="eastAsia" w:ascii="仿宋" w:hAnsi="仿宋" w:eastAsia="仿宋" w:cs="仿宋"/>
                <w:b/>
                <w:bCs/>
                <w:sz w:val="24"/>
                <w:szCs w:val="24"/>
              </w:rPr>
            </w:pPr>
            <w:r>
              <w:rPr>
                <w:rFonts w:hint="eastAsia" w:ascii="仿宋" w:hAnsi="仿宋" w:eastAsia="仿宋" w:cs="仿宋"/>
                <w:b/>
                <w:bCs/>
                <w:sz w:val="24"/>
                <w:szCs w:val="24"/>
              </w:rPr>
              <w:t xml:space="preserve">详细参数</w:t>
            </w:r>
            <w:r/>
          </w:p>
        </w:tc>
      </w:tr>
      <w:tr>
        <w:trPr/>
        <w:tc>
          <w:tcPr>
            <w:shd w:val="clear" w:color="auto" w:fill="auto"/>
            <w:tcW w:w="725" w:type="pct"/>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医保上报管理</w:t>
            </w:r>
            <w:r/>
          </w:p>
        </w:tc>
        <w:tc>
          <w:tcPr>
            <w:shd w:val="clear" w:color="auto" w:fill="auto"/>
            <w:tcW w:w="4274" w:type="pct"/>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提供清单上传可视化界面，方便医院对清单上报进行管理；</w:t>
            </w:r>
            <w:r/>
          </w:p>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支持按姓名、住院号、病案号、医生、主诊断、主手术等搜索清单；</w:t>
            </w:r>
            <w:r/>
          </w:p>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支持手动上报和定时自动上报，支持批量一键上报，对自动上传失败的结算清单进行手动上报；</w:t>
            </w:r>
            <w:r/>
          </w:p>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支持对未上传清单进行批量退回操作，可选择退回至指定审核流程；</w:t>
            </w:r>
            <w:r/>
          </w:p>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支持对已上报的清单，撤销提交后重新进行上报；</w:t>
            </w:r>
            <w:r/>
          </w:p>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支持查看清单上报日志，包括上报时间、上报结果、接口返回信息；</w:t>
            </w:r>
            <w:r/>
          </w:p>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支持筛选查看自定义时间范围内上报的结算清单和对应诊断的统计情况；</w:t>
            </w:r>
            <w:r/>
          </w:p>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支持预览结算清单，支持下载导出pdf版结算清单，可选择默认模板和紧凑模板。</w:t>
            </w:r>
            <w:r/>
          </w:p>
        </w:tc>
      </w:tr>
      <w:tr>
        <w:trPr/>
        <w:tc>
          <w:tcPr>
            <w:shd w:val="clear" w:color="auto" w:fill="auto"/>
            <w:tcW w:w="725" w:type="pct"/>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医保结算清单上报接口</w:t>
            </w:r>
            <w:r/>
          </w:p>
        </w:tc>
        <w:tc>
          <w:tcPr>
            <w:shd w:val="clear" w:color="auto" w:fill="auto"/>
            <w:tcW w:w="4274" w:type="pct"/>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支持适配医保局端加密对接方式，适配签到接口，完成上报前的身份验证；</w:t>
            </w:r>
            <w:r/>
          </w:p>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支持对接医保局端医疗保障基金结算清单信息上传接口，支持将所有完成审核的清单上传至医保局；</w:t>
            </w:r>
            <w:r/>
          </w:p>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支持对接医保局端医疗保障基金结算清单信息状态修改接口，修改结算清单提交状态；</w:t>
            </w:r>
            <w:r/>
          </w:p>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支持对接医保局端医疗保障基金结算清单信息查询接口，获取医保局端返回的上报结果；</w:t>
            </w:r>
            <w:r/>
          </w:p>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支持对不同院区配置不同的上报参数，使用不同的定点医疗机构编码、定点医疗机构名称、就医地医保区划，完成不同院区数据的上报。</w:t>
            </w:r>
            <w:r/>
          </w:p>
        </w:tc>
      </w:tr>
      <w:tr>
        <w:trPr/>
        <w:tc>
          <w:tcPr>
            <w:shd w:val="clear" w:color="auto" w:fill="auto"/>
            <w:tcW w:w="725" w:type="pct"/>
            <w:vAlign w:val="center"/>
            <w:textDirection w:val="lrTb"/>
            <w:noWrap w:val="false"/>
          </w:tcPr>
          <w:p>
            <w:pPr>
              <w:ind w:left="0"/>
              <w:jc w:val="center"/>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医保结算清单上报服务</w:t>
            </w:r>
            <w:r/>
          </w:p>
        </w:tc>
        <w:tc>
          <w:tcPr>
            <w:shd w:val="clear" w:color="auto" w:fill="auto"/>
            <w:tcW w:w="4274" w:type="pct"/>
            <w:vAlign w:val="center"/>
            <w:textDirection w:val="lrTb"/>
            <w:noWrap w:val="false"/>
          </w:tcPr>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根据医保局结算清单上传要求，为医院提供在要求的时限内完成结算清单上传至医保局的全流程上传服务；</w:t>
            </w:r>
            <w:r/>
          </w:p>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支持对清单上传过程中发生的问题进行自动化识别，分派任务至指定服务工程师进行及时处理，可视化跟踪问题处理进度和完成情况；</w:t>
            </w:r>
            <w:r/>
          </w:p>
          <w:p>
            <w:pPr>
              <w:ind w:left="0"/>
              <w:jc w:val="left"/>
              <w:spacing w:line="440" w:lineRule="exact"/>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提供因患者或其他非技术原因，需要医院重新生成清单并上传的处理服务，如：自费转医保、医保反交易、跨月冲销等情况；</w:t>
            </w:r>
            <w:r/>
          </w:p>
          <w:p>
            <w:pPr>
              <w:ind w:left="0"/>
              <w:jc w:val="left"/>
              <w:spacing w:line="440" w:lineRule="exact"/>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提供上传失败清单的问题定位、协调处理、重新上传、补传服务，确保每一份有效清单均成功上传至医保局。</w:t>
            </w:r>
            <w:r/>
          </w:p>
        </w:tc>
      </w:tr>
    </w:tbl>
    <w:p>
      <w:pPr>
        <w:ind w:left="0"/>
        <w:spacing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p>
      <w:pPr>
        <w:numPr>
          <w:ilvl w:val="-1"/>
          <w:numId w:val="0"/>
        </w:numPr>
        <w:jc w:val="left"/>
        <w:keepLines w:val="0"/>
        <w:keepNext w:val="0"/>
        <w:pageBreakBefore w:val="0"/>
        <w:spacing w:line="240" w:lineRule="auto"/>
        <w:widowControl/>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1.付款方式</w:t>
      </w:r>
      <w:r/>
    </w:p>
    <w:p>
      <w:pPr>
        <w:ind w:firstLine="480"/>
        <w:keepLines w:val="0"/>
        <w:keepNext w:val="0"/>
        <w:pageBreakBefore w:val="0"/>
        <w:spacing w:line="440" w:lineRule="exact"/>
        <w:widowControl/>
        <w:rPr>
          <w:rFonts w:hint="eastAsia" w:ascii="仿宋" w:hAnsi="仿宋" w:eastAsia="仿宋" w:cs="仿宋"/>
          <w:sz w:val="24"/>
          <w:szCs w:val="24"/>
          <w:lang w:eastAsia="zh-CN"/>
        </w:rPr>
      </w:pPr>
      <w:r>
        <w:rPr>
          <w:rFonts w:hint="eastAsia" w:ascii="仿宋" w:hAnsi="仿宋" w:eastAsia="仿宋" w:cs="仿宋"/>
          <w:sz w:val="24"/>
          <w:szCs w:val="24"/>
        </w:rPr>
        <w:t xml:space="preserve">合同签订后付款30%，项目交付完成后付</w:t>
      </w:r>
      <w:r>
        <w:rPr>
          <w:rFonts w:hint="eastAsia" w:ascii="仿宋" w:hAnsi="仿宋" w:eastAsia="仿宋" w:cs="仿宋"/>
          <w:sz w:val="24"/>
          <w:szCs w:val="24"/>
          <w:highlight w:val="none"/>
        </w:rPr>
        <w:t xml:space="preserve">款60%，质保期满一年后付款10%。</w:t>
      </w:r>
      <w:r>
        <w:rPr>
          <w:rFonts w:hint="eastAsia" w:ascii="仿宋" w:hAnsi="仿宋" w:eastAsia="仿宋" w:cs="仿宋"/>
          <w:sz w:val="24"/>
          <w:szCs w:val="24"/>
          <w:highlight w:val="none"/>
          <w:lang w:eastAsia="zh-CN"/>
        </w:rPr>
        <w:t xml:space="preserve">（如中小微企业中标，合同签订前缴纳合同总价10%的履约保证金，项目交付完成并收到中标供应商发票的60日内支付合同金额）</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2.售后服务</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2.1整体项目提供质保期</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年，自验收合格之日起计。</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2.2供应商所承诺的服务内容应包括：供应商的服务响应及</w:t>
      </w:r>
      <w:r>
        <w:rPr>
          <w:rFonts w:hint="eastAsia" w:ascii="仿宋" w:hAnsi="仿宋" w:eastAsia="仿宋" w:cs="仿宋"/>
          <w:sz w:val="24"/>
          <w:szCs w:val="24"/>
          <w:lang w:val="en-US" w:eastAsia="zh-CN"/>
        </w:rPr>
        <w:t xml:space="preserve">系统维护</w:t>
      </w:r>
      <w:r>
        <w:rPr>
          <w:rFonts w:hint="eastAsia" w:ascii="仿宋" w:hAnsi="仿宋" w:eastAsia="仿宋" w:cs="仿宋"/>
          <w:sz w:val="24"/>
          <w:szCs w:val="24"/>
        </w:rPr>
        <w:t xml:space="preserve">等承诺，详细说明服务能力、服务时间、人员配备、系统故障响应、诊断、应急处理、</w:t>
      </w:r>
      <w:r>
        <w:rPr>
          <w:rFonts w:hint="eastAsia" w:ascii="仿宋" w:hAnsi="仿宋" w:eastAsia="仿宋" w:cs="仿宋"/>
          <w:sz w:val="24"/>
          <w:szCs w:val="24"/>
          <w:lang w:val="en-US" w:eastAsia="zh-CN"/>
        </w:rPr>
        <w:t xml:space="preserve">系统维护</w:t>
      </w:r>
      <w:r>
        <w:rPr>
          <w:rFonts w:hint="eastAsia" w:ascii="仿宋" w:hAnsi="仿宋" w:eastAsia="仿宋" w:cs="仿宋"/>
          <w:sz w:val="24"/>
          <w:szCs w:val="24"/>
        </w:rPr>
        <w:t xml:space="preserve">和相应的设备更换计划等；供应商的技术支持和相应软件的升级承诺等。</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2.3在系统的服务期内，供应商应确保系统的正常使用。在接到用户服务要求后应立即做出回应，并在承诺的服务时间内实施服务。</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2.4 7×24小时的免费上门保修服务半小时内响应，供应商可借助网络工具远程实时维护系统，通过远程协助对采购人系统进行远程系统维护及操作指导，帮助采购人快速解决软件及系统方面的问题。对于电话不能很好解决及其他必须亲临现场服务的内容，供应商应在第一时间根据具体情况迅速安排人员24小时内快速到达现场提供服务。</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2.5热线电话服务提供技术咨询、故障诊断、故障排除</w:t>
      </w:r>
      <w:r>
        <w:rPr>
          <w:rFonts w:hint="eastAsia" w:ascii="仿宋" w:hAnsi="仿宋" w:eastAsia="仿宋" w:cs="仿宋"/>
          <w:sz w:val="24"/>
          <w:szCs w:val="24"/>
          <w:lang w:eastAsia="zh-CN"/>
        </w:rPr>
        <w:t xml:space="preserve">，以及</w:t>
      </w:r>
      <w:r>
        <w:rPr>
          <w:rFonts w:hint="eastAsia" w:ascii="仿宋" w:hAnsi="仿宋" w:eastAsia="仿宋" w:cs="仿宋"/>
          <w:sz w:val="24"/>
          <w:szCs w:val="24"/>
        </w:rPr>
        <w:t xml:space="preserve">现场支持等具体的技术支持工作，并对客户投诉做出相应处理。为使用方提供 7×24 小时的全方位服务，除了提供公司的技术服务支持电话外，还应注明项目主要技术成员的移动电话，用于双方及时沟通并解决问题，电话支持即时响应。</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2.6定期巡检及调优系统，复杂的运行环境等种种原因会造成系统性能的逐渐下降。通过定期的技术检查，可及时排除故障隐患，以免问题发生后影响业务运作，还能及时调优系统性能，使系统始终处于高效率运行状态。</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培训</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3.1培训：供应商应制定详细的培训计划，对使用人员进行操作及相关技术培训。</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3.2所有的培训费用必须计入投标总价。</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交货及安装调试</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4.1安装地点：</w:t>
      </w:r>
      <w:r>
        <w:rPr>
          <w:rFonts w:hint="eastAsia" w:ascii="仿宋" w:hAnsi="仿宋" w:eastAsia="仿宋" w:cs="仿宋"/>
        </w:rPr>
        <w:t xml:space="preserve">南京市建邺区南湖路23号</w:t>
      </w:r>
      <w:r>
        <w:rPr>
          <w:rFonts w:hint="eastAsia" w:ascii="仿宋" w:hAnsi="仿宋" w:eastAsia="仿宋" w:cs="仿宋"/>
          <w:sz w:val="24"/>
          <w:szCs w:val="24"/>
          <w:lang w:val="en-US" w:eastAsia="zh-CN"/>
        </w:rPr>
        <w:t xml:space="preserve">江苏省第二中医院</w:t>
      </w:r>
      <w:r>
        <w:rPr>
          <w:rFonts w:hint="eastAsia" w:ascii="仿宋" w:hAnsi="仿宋" w:eastAsia="仿宋" w:cs="仿宋"/>
          <w:sz w:val="24"/>
          <w:szCs w:val="24"/>
        </w:rPr>
        <w:t xml:space="preserve">指定地点。</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4.2实施周期：自合同签订后5个月内，软件系统到货、安装完成(因医院硬件环境准备、第三方系统接口对接、政策文件未下发等造成的工期延迟不计算在内)。如在规定的时间内由于供应商的原因不能完成安装和调试，供应商应承担由此给用户造成的损失。</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4.3供应商应提供高质量的实施团队，并尽快在规定的时间内完成项目的升级改造，由专业技术人员上门安装、调试、配置系统。</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4.4安装标准：符合国家有关技术规范要求和技术标准。</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4.5安装调试过程中发生的费用由供应商负责。</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4.6在项目实施过程中，向医院提供齐全的电子版和书面的操作说明等文档。</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验收</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5.1供应商应提供项目相关软件、设备的有效验收文件，经用户认可后，作为验收标准。用户对项目验收合格后，双方共同签署验收合格证书并加盖公章。验收中发现软件、设备达不到验收标准或合同规定的性能指标，</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必须修改相应内容，以满足用户需求。</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5.2自合同签订后，5个月内完成系统的初试，试运行正常一个月后，组织项目终验。</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5.3验收费用由供应商负责，如项目验收医院需请第三方监理公司，则第三方监理公司的费用由医院自身承担。</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5.4因本项目用户实际新增或系统升级引起的软件功能与现有招标建设内容要求有所出入的，不作为不符合或不满足招标人要求的条件，应视为项目合格。 </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报价方式</w:t>
      </w:r>
      <w:r/>
    </w:p>
    <w:p>
      <w:pPr>
        <w:ind w:firstLine="480"/>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6.1所有报价为到医院人民币价（含税费、安装调试等伴随服务费）。</w:t>
      </w:r>
      <w:r/>
    </w:p>
    <w:p>
      <w:pPr>
        <w:numPr>
          <w:ilvl w:val="0"/>
          <w:numId w:val="0"/>
        </w:numPr>
        <w:ind w:firstLine="420"/>
        <w:jc w:val="both"/>
        <w:keepLines w:val="0"/>
        <w:keepNext w:val="0"/>
        <w:pageBreakBefore w:val="0"/>
        <w:spacing w:line="52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1"/>
          <w:numId w:val="0"/>
        </w:numPr>
        <w:jc w:val="left"/>
        <w:keepLines w:val="0"/>
        <w:keepNext w:val="0"/>
        <w:pageBreakBefore w:val="0"/>
        <w:spacing w:line="240" w:lineRule="auto"/>
        <w:widowControl/>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52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1.技术方案</w:t>
      </w:r>
      <w:r/>
    </w:p>
    <w:p>
      <w:pPr>
        <w:numPr>
          <w:ilvl w:val="0"/>
          <w:numId w:val="0"/>
        </w:numPr>
        <w:ind w:firstLine="420"/>
        <w:jc w:val="both"/>
        <w:keepLines w:val="0"/>
        <w:keepNext w:val="0"/>
        <w:pageBreakBefore w:val="0"/>
        <w:spacing w:line="52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本项目制定技术方案，包括但不限于技术方案总体设计、DRG数据中心、应用中心、接口方案、建设方案等，详细阐述系统的体系架构、实现思路和非功能性设计、安全设计、对项目需求分析、总体实现流程、功能模块等。</w:t>
      </w:r>
      <w:r/>
    </w:p>
    <w:p>
      <w:pPr>
        <w:numPr>
          <w:ilvl w:val="0"/>
          <w:numId w:val="0"/>
        </w:numPr>
        <w:ind w:firstLine="420"/>
        <w:jc w:val="both"/>
        <w:keepLines w:val="0"/>
        <w:keepNext w:val="0"/>
        <w:pageBreakBefore w:val="0"/>
        <w:spacing w:line="52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2.实施方案</w:t>
      </w:r>
      <w:r/>
    </w:p>
    <w:p>
      <w:pPr>
        <w:numPr>
          <w:ilvl w:val="0"/>
          <w:numId w:val="0"/>
        </w:numPr>
        <w:ind w:firstLine="420"/>
        <w:jc w:val="both"/>
        <w:keepLines w:val="0"/>
        <w:keepNext w:val="0"/>
        <w:pageBreakBefore w:val="0"/>
        <w:spacing w:line="52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根据本项目制定项目实施方案，内容包括但不限于系统实施方案、项目质量保障措施、项目实施进度安排等是否具有科学性、合理性和可执行性。</w:t>
      </w:r>
      <w:r/>
    </w:p>
    <w:p>
      <w:pPr>
        <w:numPr>
          <w:ilvl w:val="0"/>
          <w:numId w:val="0"/>
        </w:numPr>
        <w:ind w:firstLine="420"/>
        <w:jc w:val="both"/>
        <w:keepLines w:val="0"/>
        <w:keepNext w:val="0"/>
        <w:pageBreakBefore w:val="0"/>
        <w:spacing w:line="52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lang w:val="en-US" w:eastAsia="zh-CN" w:bidi="ar-SA"/>
        </w:rPr>
        <w:t xml:space="preserve">3.</w:t>
      </w:r>
      <w:r>
        <w:rPr>
          <w:rFonts w:hint="eastAsia" w:ascii="仿宋" w:hAnsi="仿宋" w:eastAsia="仿宋" w:cs="仿宋"/>
          <w:bCs/>
          <w:color w:val="auto"/>
          <w:sz w:val="24"/>
          <w:szCs w:val="24"/>
          <w:highlight w:val="none"/>
          <w:lang w:val="en-US" w:eastAsia="zh-CN" w:bidi="ar-SA"/>
        </w:rPr>
        <w:t xml:space="preserve">售后服务方案</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根据本项目制定售后服务方案，方案包括但不限于售后服务承诺、服务保障措施、故障排除流程及维护期内外的后续技术支持和维护能力方案、售后人员、响应时间。</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lang w:val="en-US" w:eastAsia="zh-CN" w:bidi="ar-SA"/>
        </w:rPr>
        <w:t xml:space="preserve">4</w:t>
      </w:r>
      <w:r>
        <w:rPr>
          <w:rFonts w:hint="default" w:ascii="仿宋" w:hAnsi="仿宋" w:eastAsia="仿宋" w:cs="仿宋"/>
          <w:bCs/>
          <w:color w:val="auto"/>
          <w:sz w:val="24"/>
          <w:szCs w:val="24"/>
          <w:lang w:val="en-US" w:eastAsia="zh-CN" w:bidi="ar-SA"/>
        </w:rPr>
        <w:t xml:space="preserve">.</w:t>
      </w:r>
      <w:r>
        <w:rPr>
          <w:rFonts w:hint="default" w:ascii="仿宋" w:hAnsi="仿宋" w:eastAsia="仿宋" w:cs="仿宋"/>
          <w:bCs/>
          <w:color w:val="auto"/>
          <w:sz w:val="24"/>
          <w:szCs w:val="24"/>
          <w:highlight w:val="none"/>
          <w:lang w:val="en-US" w:eastAsia="zh-CN" w:bidi="ar-SA"/>
        </w:rPr>
        <w:t xml:space="preserve">培训及技术支持方案</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根据本项目制定培训服务方案及技术支持方案，方案包括但不限于人员的操作培训以及采购人所需的技术和学术支持及其他供应商可提供的服务。</w:t>
      </w:r>
      <w:r/>
    </w:p>
    <w:p>
      <w:pPr>
        <w:pStyle w:val="933"/>
        <w:jc w:val="center"/>
        <w:spacing w:line="240" w:lineRule="auto"/>
        <w:rPr>
          <w:rFonts w:hint="default" w:ascii="Times New Roman" w:hAnsi="Times New Roman" w:eastAsia="宋体" w:cs="Times New Roman"/>
          <w:highlight w:val="none"/>
          <w:lang w:val="en-US" w:eastAsia="zh-CN"/>
        </w:rPr>
      </w:pPr>
      <w:r>
        <w:rPr>
          <w:rFonts w:hint="eastAsia"/>
          <w:highlight w:val="none"/>
        </w:rPr>
        <w:br w:type="page" w:clear="all"/>
      </w:r>
      <w:bookmarkStart w:id="70" w:name="_Toc6412"/>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评标</w:t>
      </w:r>
      <w:bookmarkEnd w:id="48"/>
      <w:r>
        <w:rPr>
          <w:rFonts w:hint="eastAsia" w:ascii="Times New Roman" w:hAnsi="Times New Roman" w:eastAsia="宋体" w:cs="Times New Roman"/>
          <w:highlight w:val="none"/>
          <w:lang w:val="en-US" w:eastAsia="zh-CN"/>
        </w:rPr>
        <w:t xml:space="preserve">方法和标准</w:t>
      </w:r>
      <w:bookmarkEnd w:id="70"/>
      <w:r/>
      <w:r/>
    </w:p>
    <w:p>
      <w:pPr>
        <w:keepLines w:val="0"/>
        <w:keepNext w:val="0"/>
        <w:pageBreakBefore w:val="0"/>
        <w:spacing w:line="40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keepLines w:val="0"/>
        <w:keepNext w:val="0"/>
        <w:pageBreakBefore w:val="0"/>
        <w:spacing w:line="400" w:lineRule="exact"/>
        <w:widowControl w:val="off"/>
        <w:rPr>
          <w:rFonts w:ascii="仿宋" w:hAnsi="仿宋" w:eastAsia="仿宋" w:cs="仿宋"/>
          <w:b/>
          <w:highlight w:val="none"/>
        </w:rPr>
      </w:pPr>
      <w:r/>
      <w:bookmarkStart w:id="71" w:name="EB1a5d8b2c3833482f95a1f101c76adb9d"/>
      <w:r>
        <w:rPr>
          <w:rFonts w:hint="eastAsia" w:ascii="仿宋" w:hAnsi="仿宋" w:eastAsia="仿宋" w:cs="仿宋"/>
          <w:b/>
          <w:highlight w:val="none"/>
        </w:rPr>
        <w:t xml:space="preserve">资格性审查</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400" w:lineRule="exact"/>
        <w:widowControl w:val="off"/>
        <w:rPr>
          <w:rFonts w:hint="eastAsia"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r/>
    </w:p>
    <w:tbl>
      <w:tblPr>
        <w:tblStyle w:val="741"/>
        <w:tblW w:w="5226"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31"/>
        <w:gridCol w:w="3063"/>
        <w:gridCol w:w="4960"/>
      </w:tblGrid>
      <w:tr>
        <w:trPr>
          <w:trHeight w:val="528"/>
        </w:trPr>
        <w:tc>
          <w:tcPr>
            <w:tcW w:w="1230"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符合性要求</w:t>
            </w:r>
            <w:r/>
          </w:p>
        </w:tc>
        <w:tc>
          <w:tcPr>
            <w:tcW w:w="3060" w:type="dxa"/>
            <w:vAlign w:val="center"/>
            <w:textDirection w:val="lrTb"/>
            <w:noWrap w:val="false"/>
          </w:tcPr>
          <w:p>
            <w:pPr>
              <w:jc w:val="center"/>
              <w:keepLines w:val="0"/>
              <w:keepNext w:val="0"/>
              <w:pageBreakBefore w:val="0"/>
              <w:spacing w:line="40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符合性审查因素</w:t>
            </w:r>
            <w:r/>
          </w:p>
        </w:tc>
        <w:tc>
          <w:tcPr>
            <w:tcW w:w="4954" w:type="dxa"/>
            <w:vAlign w:val="center"/>
            <w:textDirection w:val="lrTb"/>
            <w:noWrap w:val="false"/>
          </w:tcPr>
          <w:p>
            <w:pPr>
              <w:jc w:val="center"/>
              <w:keepLines w:val="0"/>
              <w:keepNext w:val="0"/>
              <w:pageBreakBefore w:val="0"/>
              <w:spacing w:line="40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评审标准</w:t>
            </w:r>
            <w:r/>
          </w:p>
        </w:tc>
      </w:tr>
      <w:tr>
        <w:trPr>
          <w:trHeight w:val="727"/>
        </w:trPr>
        <w:tc>
          <w:tcPr>
            <w:tcW w:w="123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报价要求</w:t>
            </w:r>
            <w:r/>
          </w:p>
        </w:tc>
        <w:tc>
          <w:tcPr>
            <w:shd w:val="clear" w:color="auto" w:fill="auto"/>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报价一览表及报价</w:t>
            </w:r>
            <w:r/>
          </w:p>
        </w:tc>
        <w:tc>
          <w:tcPr>
            <w:shd w:val="clear" w:color="auto" w:fill="auto"/>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格式、填写要求符合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规定，报价未超过预算或最高限价</w:t>
            </w:r>
            <w:r/>
          </w:p>
        </w:tc>
      </w:tr>
      <w:tr>
        <w:trPr>
          <w:trHeight w:val="528"/>
        </w:trPr>
        <w:tc>
          <w:tcPr>
            <w:tcW w:w="1230"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商务要求</w:t>
            </w:r>
            <w:r/>
          </w:p>
        </w:tc>
        <w:tc>
          <w:tcPr>
            <w:tcW w:w="3060" w:type="dxa"/>
            <w:vAlign w:val="center"/>
            <w:textDirection w:val="lrTb"/>
            <w:noWrap w:val="false"/>
          </w:tcPr>
          <w:p>
            <w:pPr>
              <w:jc w:val="center"/>
              <w:keepLines w:val="0"/>
              <w:keepNext w:val="0"/>
              <w:pageBreakBefore w:val="0"/>
              <w:spacing w:line="40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投标</w:t>
            </w:r>
            <w:r>
              <w:rPr>
                <w:rFonts w:hint="eastAsia" w:ascii="仿宋" w:hAnsi="仿宋" w:eastAsia="仿宋" w:cs="仿宋"/>
                <w:sz w:val="21"/>
                <w:szCs w:val="21"/>
                <w:highlight w:val="none"/>
              </w:rPr>
              <w:t xml:space="preserve">声明及承诺函</w:t>
            </w:r>
            <w:r/>
          </w:p>
        </w:tc>
        <w:tc>
          <w:tcPr>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内容符合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要求，并且按照要求</w:t>
            </w:r>
            <w:r>
              <w:rPr>
                <w:rFonts w:hint="eastAsia" w:ascii="仿宋" w:hAnsi="仿宋" w:eastAsia="仿宋" w:cs="仿宋"/>
                <w:sz w:val="21"/>
                <w:szCs w:val="21"/>
                <w:highlight w:val="none"/>
                <w:lang w:val="en-US" w:eastAsia="zh-CN"/>
              </w:rPr>
              <w:t xml:space="preserve">签章</w:t>
            </w:r>
            <w:r/>
          </w:p>
        </w:tc>
      </w:tr>
      <w:tr>
        <w:trPr>
          <w:trHeight w:val="528"/>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法定代表人身份证明或法定代表人授权书</w:t>
            </w:r>
            <w:r/>
          </w:p>
        </w:tc>
        <w:tc>
          <w:tcPr>
            <w:shd w:val="clear" w:color="auto" w:fill="auto"/>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内容符合招标文件要求，并且按照要求签章</w:t>
            </w:r>
            <w:r/>
          </w:p>
        </w:tc>
      </w:tr>
      <w:tr>
        <w:trPr>
          <w:trHeight w:val="402"/>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投标</w:t>
            </w:r>
            <w:r>
              <w:rPr>
                <w:rFonts w:hint="eastAsia" w:ascii="仿宋" w:hAnsi="仿宋" w:eastAsia="仿宋" w:cs="仿宋"/>
                <w:sz w:val="21"/>
                <w:szCs w:val="21"/>
                <w:highlight w:val="none"/>
              </w:rPr>
              <w:t xml:space="preserve">文件签署、盖章</w:t>
            </w:r>
            <w:r>
              <w:rPr>
                <w:rFonts w:hint="eastAsia" w:ascii="仿宋" w:hAnsi="仿宋" w:eastAsia="仿宋" w:cs="仿宋"/>
                <w:sz w:val="21"/>
                <w:szCs w:val="21"/>
                <w:highlight w:val="none"/>
                <w:lang w:val="en-US" w:eastAsia="zh-CN"/>
              </w:rPr>
              <w:t xml:space="preserve">齐全完整</w:t>
            </w:r>
            <w:r/>
          </w:p>
        </w:tc>
        <w:tc>
          <w:tcPr>
            <w:shd w:val="clear" w:color="auto" w:fill="auto"/>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w:t>
            </w:r>
            <w:r/>
          </w:p>
        </w:tc>
      </w:tr>
      <w:tr>
        <w:trPr>
          <w:trHeight w:val="505"/>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投标文件份数</w:t>
            </w:r>
            <w:r/>
          </w:p>
        </w:tc>
        <w:tc>
          <w:tcPr>
            <w:shd w:val="clear" w:color="auto" w:fill="auto"/>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w:t>
            </w:r>
            <w:r/>
          </w:p>
        </w:tc>
      </w:tr>
      <w:tr>
        <w:trPr>
          <w:trHeight w:val="540"/>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联合体响应</w:t>
            </w:r>
            <w:r/>
          </w:p>
        </w:tc>
        <w:tc>
          <w:tcPr>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本项目不接受联合体响应，</w:t>
            </w:r>
            <w:r>
              <w:rPr>
                <w:rFonts w:hint="eastAsia" w:ascii="仿宋" w:hAnsi="仿宋" w:eastAsia="仿宋" w:cs="仿宋"/>
                <w:sz w:val="21"/>
                <w:szCs w:val="21"/>
                <w:highlight w:val="none"/>
                <w:lang w:eastAsia="zh-CN"/>
              </w:rPr>
              <w:t xml:space="preserve">投标人</w:t>
            </w:r>
            <w:r>
              <w:rPr>
                <w:rFonts w:hint="eastAsia" w:ascii="仿宋" w:hAnsi="仿宋" w:eastAsia="仿宋" w:cs="仿宋"/>
                <w:sz w:val="21"/>
                <w:szCs w:val="21"/>
                <w:highlight w:val="none"/>
              </w:rPr>
              <w:t xml:space="preserve">不存在联合体</w:t>
            </w:r>
            <w:r/>
          </w:p>
        </w:tc>
      </w:tr>
      <w:tr>
        <w:trPr>
          <w:trHeight w:val="515"/>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投标</w:t>
            </w:r>
            <w:r>
              <w:rPr>
                <w:rFonts w:hint="eastAsia" w:ascii="仿宋" w:hAnsi="仿宋" w:eastAsia="仿宋" w:cs="仿宋"/>
                <w:sz w:val="21"/>
                <w:szCs w:val="21"/>
                <w:highlight w:val="none"/>
              </w:rPr>
              <w:t xml:space="preserve">有效期</w:t>
            </w:r>
            <w:r/>
          </w:p>
        </w:tc>
        <w:tc>
          <w:tcPr>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w:t>
            </w:r>
            <w:r/>
          </w:p>
        </w:tc>
      </w:tr>
      <w:tr>
        <w:trPr>
          <w:trHeight w:val="503"/>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商务</w:t>
            </w:r>
            <w:r>
              <w:rPr>
                <w:rFonts w:hint="eastAsia" w:ascii="仿宋" w:hAnsi="仿宋" w:eastAsia="仿宋" w:cs="仿宋"/>
                <w:sz w:val="21"/>
                <w:szCs w:val="21"/>
                <w:highlight w:val="none"/>
                <w:lang w:val="en-US" w:eastAsia="zh-CN"/>
              </w:rPr>
              <w:t xml:space="preserve">要求</w:t>
            </w:r>
            <w:r>
              <w:rPr>
                <w:rFonts w:hint="eastAsia" w:ascii="仿宋" w:hAnsi="仿宋" w:eastAsia="仿宋" w:cs="仿宋"/>
                <w:sz w:val="21"/>
                <w:szCs w:val="21"/>
                <w:highlight w:val="none"/>
              </w:rPr>
              <w:t xml:space="preserve">响应</w:t>
            </w:r>
            <w:r/>
          </w:p>
        </w:tc>
        <w:tc>
          <w:tcPr>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填写符合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要求，并且不存在偏离</w:t>
            </w:r>
            <w:r/>
          </w:p>
        </w:tc>
      </w:tr>
      <w:tr>
        <w:trPr>
          <w:trHeight w:val="490"/>
        </w:trPr>
        <w:tc>
          <w:tcPr>
            <w:tcW w:w="1230"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技术要求</w:t>
            </w:r>
            <w:r/>
          </w:p>
        </w:tc>
        <w:tc>
          <w:tcPr>
            <w:tcW w:w="3060" w:type="dxa"/>
            <w:vAlign w:val="center"/>
            <w:textDirection w:val="lrTb"/>
            <w:noWrap w:val="false"/>
          </w:tcPr>
          <w:p>
            <w:pPr>
              <w:jc w:val="center"/>
              <w:keepLines w:val="0"/>
              <w:keepNext w:val="0"/>
              <w:pageBreakBefore w:val="0"/>
              <w:spacing w:line="400" w:lineRule="exact"/>
              <w:widowControl w:val="off"/>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技术要求响应</w:t>
            </w:r>
            <w:r/>
          </w:p>
        </w:tc>
        <w:tc>
          <w:tcPr>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填写符合招标文件要求</w:t>
            </w:r>
            <w:r/>
          </w:p>
        </w:tc>
      </w:tr>
      <w:tr>
        <w:trPr>
          <w:trHeight w:val="475"/>
        </w:trPr>
        <w:tc>
          <w:tcPr>
            <w:tcW w:w="1230"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306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对实质性条款的响应性</w:t>
            </w:r>
            <w:r/>
          </w:p>
        </w:tc>
        <w:tc>
          <w:tcPr>
            <w:shd w:val="clear" w:color="auto" w:fill="auto"/>
            <w:tcW w:w="4954" w:type="dxa"/>
            <w:vAlign w:val="center"/>
            <w:textDirection w:val="lrTb"/>
            <w:noWrap w:val="false"/>
          </w:tcPr>
          <w:p>
            <w:pPr>
              <w:jc w:val="left"/>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招标文件</w:t>
            </w:r>
            <w:r>
              <w:rPr>
                <w:rFonts w:hint="eastAsia" w:ascii="仿宋" w:hAnsi="仿宋" w:eastAsia="仿宋" w:cs="仿宋"/>
                <w:sz w:val="21"/>
                <w:szCs w:val="21"/>
                <w:highlight w:val="none"/>
              </w:rPr>
              <w:t xml:space="preserve">要求，并且不存在重大偏离</w:t>
            </w:r>
            <w:bookmarkEnd w:id="71"/>
            <w:r/>
            <w:r/>
          </w:p>
        </w:tc>
      </w:tr>
    </w:tbl>
    <w:p>
      <w:pPr>
        <w:numPr>
          <w:ilvl w:val="0"/>
          <w:numId w:val="4"/>
        </w:numPr>
        <w:ind w:firstLine="482"/>
        <w:jc w:val="left"/>
        <w:keepLines w:val="0"/>
        <w:keepNext w:val="0"/>
        <w:pageBreakBefore w:val="0"/>
        <w:spacing w:line="40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说明：所有认证、证明和业绩均以复印件/扫描件加盖公章作为依据（文件中明确要求原件的除外），原件标后备查。</w:t>
      </w:r>
      <w:r/>
    </w:p>
    <w:p>
      <w:pPr>
        <w:spacing w:line="440" w:lineRule="exact"/>
        <w:rPr>
          <w:rFonts w:ascii="仿宋" w:hAnsi="仿宋" w:eastAsia="仿宋" w:cs="仿宋"/>
          <w:b/>
          <w:highlight w:val="none"/>
        </w:rPr>
        <w:outlineLvl w:val="2"/>
      </w:pPr>
      <w:r>
        <w:rPr>
          <w:rFonts w:hint="eastAsia" w:ascii="仿宋" w:hAnsi="仿宋" w:eastAsia="仿宋" w:cs="仿宋"/>
          <w:b/>
          <w:highlight w:val="none"/>
        </w:rPr>
        <w:br w:type="page" w:clear="all"/>
      </w:r>
      <w:r>
        <w:rPr>
          <w:rFonts w:hint="eastAsia" w:ascii="仿宋" w:hAnsi="仿宋" w:eastAsia="仿宋" w:cs="仿宋"/>
          <w:b/>
          <w:highlight w:val="none"/>
        </w:rPr>
        <w:t xml:space="preserve">综合评分表：</w:t>
      </w:r>
      <w:r/>
    </w:p>
    <w:tbl>
      <w:tblPr>
        <w:tblStyle w:val="74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923"/>
        </w:trPr>
        <w:tc>
          <w:tcPr>
            <w:tcW w:w="750"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jc w:val="center"/>
              <w:rPr>
                <w:rFonts w:hint="eastAsia" w:ascii="仿宋" w:hAnsi="仿宋" w:eastAsia="仿宋" w:cs="仿宋"/>
                <w:b/>
                <w:color w:val="auto"/>
                <w:highlight w:val="none"/>
              </w:rPr>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30</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文件要求且投标价格最低的投标报价为评标基准价，其价格分为满分。其他供应商的价格分按照下列公式计算，保留小数点后2位：投标报价得分=（评标基准价／投标报价）×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750"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w:t>
            </w:r>
            <w:r>
              <w:rPr>
                <w:rFonts w:hint="eastAsia" w:ascii="仿宋" w:hAnsi="仿宋" w:eastAsia="仿宋" w:cs="仿宋"/>
                <w:color w:val="auto"/>
                <w:highlight w:val="none"/>
              </w:rPr>
              <w:t xml:space="preserve">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完全满足招标文件第四部分采购需求二、技术参数</w:t>
            </w:r>
            <w:r>
              <w:rPr>
                <w:rFonts w:hint="eastAsia" w:ascii="仿宋" w:hAnsi="仿宋" w:eastAsia="仿宋" w:cs="仿宋"/>
                <w:color w:val="auto"/>
                <w:highlight w:val="none"/>
                <w:lang w:val="en-US" w:eastAsia="zh-CN"/>
              </w:rPr>
              <w:t xml:space="preserve">中2.项目要求</w:t>
            </w:r>
            <w:r>
              <w:rPr>
                <w:rFonts w:hint="eastAsia" w:ascii="仿宋" w:hAnsi="仿宋" w:eastAsia="仿宋" w:cs="仿宋"/>
                <w:color w:val="auto"/>
                <w:highlight w:val="none"/>
              </w:rPr>
              <w:t xml:space="preserve">的得满分，★参数为核心参数，每负偏离一项视为无效文件；▲参数</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需提供软件界面截图</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为重要参数，每负偏离一项扣</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分；其余为一般项参数，每负偏离一项扣0.1分。</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注：1.一个序号中的完整内容为一“项”；</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2.技术参数须按要求在投标文件中提供证明文件等相关材料，且均需在技术响应偏差表详尽真实</w:t>
            </w:r>
            <w:r>
              <w:rPr>
                <w:rFonts w:hint="eastAsia" w:ascii="仿宋" w:hAnsi="仿宋" w:eastAsia="仿宋" w:cs="仿宋"/>
                <w:color w:val="auto"/>
                <w:highlight w:val="none"/>
                <w:lang w:eastAsia="zh-CN"/>
              </w:rPr>
              <w:t xml:space="preserve">地</w:t>
            </w:r>
            <w:r>
              <w:rPr>
                <w:rFonts w:hint="eastAsia" w:ascii="仿宋" w:hAnsi="仿宋" w:eastAsia="仿宋" w:cs="仿宋"/>
                <w:color w:val="auto"/>
                <w:highlight w:val="none"/>
              </w:rPr>
              <w:t xml:space="preserve">提供偏差情况及证明材料页码，否则视为负偏离。</w:t>
            </w:r>
            <w:r/>
          </w:p>
        </w:tc>
      </w:tr>
      <w:tr>
        <w:trPr>
          <w:jc w:val="center"/>
          <w:trHeight w:val="1107"/>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产品资质</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具有本次招标系统软件著作权的（具有“DRG</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关键字、</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结算清单”关键字），每个得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分，最高得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w:t>
            </w:r>
            <w:r/>
          </w:p>
          <w:p>
            <w:pPr>
              <w:rPr>
                <w:rFonts w:hint="eastAsia" w:ascii="仿宋" w:hAnsi="仿宋" w:eastAsia="仿宋" w:cs="仿宋"/>
                <w:color w:val="auto"/>
                <w:highlight w:val="none"/>
              </w:rPr>
            </w:pPr>
            <w:r>
              <w:rPr>
                <w:rFonts w:hint="eastAsia" w:ascii="仿宋" w:hAnsi="仿宋" w:eastAsia="仿宋" w:cs="仿宋"/>
                <w:color w:val="auto"/>
                <w:sz w:val="24"/>
                <w:highlight w:val="none"/>
                <w:lang w:eastAsia="zh-CN"/>
              </w:rPr>
              <w:t xml:space="preserve">提供计算机软件著作权登记证书</w:t>
            </w:r>
            <w:r>
              <w:rPr>
                <w:rFonts w:hint="eastAsia" w:ascii="仿宋" w:hAnsi="仿宋" w:eastAsia="仿宋" w:cs="仿宋"/>
                <w:color w:val="auto"/>
                <w:sz w:val="24"/>
                <w:highlight w:val="none"/>
                <w:lang w:val="en-US" w:eastAsia="zh-CN"/>
              </w:rPr>
              <w:t xml:space="preserve">复印件，并加盖公章；若为授权使用，须提交相应的授权书。</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为确保信息标准化、互联互通，数字基础设施国产化是医院信息化建设的战略共识，为护航医院数字化转型，供应商所投产品应与</w:t>
            </w:r>
            <w:r>
              <w:rPr>
                <w:rFonts w:hint="eastAsia" w:ascii="仿宋" w:hAnsi="仿宋" w:eastAsia="仿宋" w:cs="仿宋"/>
                <w:color w:val="auto"/>
                <w:highlight w:val="none"/>
                <w:lang w:val="en-US" w:eastAsia="zh-CN"/>
              </w:rPr>
              <w:t xml:space="preserve">主要的</w:t>
            </w:r>
            <w:r>
              <w:rPr>
                <w:rFonts w:hint="eastAsia" w:ascii="仿宋" w:hAnsi="仿宋" w:eastAsia="仿宋" w:cs="仿宋"/>
                <w:color w:val="auto"/>
                <w:highlight w:val="none"/>
              </w:rPr>
              <w:t xml:space="preserve">国产化操作系统和数据库具有良好的兼容性。</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供应商所投产品具备与</w:t>
            </w:r>
            <w:r>
              <w:rPr>
                <w:rFonts w:hint="eastAsia" w:ascii="仿宋" w:hAnsi="仿宋" w:eastAsia="仿宋" w:cs="仿宋"/>
                <w:color w:val="auto"/>
                <w:highlight w:val="none"/>
                <w:lang w:val="en-US" w:eastAsia="zh-CN"/>
              </w:rPr>
              <w:t xml:space="preserve">主流的</w:t>
            </w:r>
            <w:r>
              <w:rPr>
                <w:rFonts w:hint="eastAsia" w:ascii="仿宋" w:hAnsi="仿宋" w:eastAsia="仿宋" w:cs="仿宋"/>
                <w:color w:val="auto"/>
                <w:highlight w:val="none"/>
              </w:rPr>
              <w:t xml:space="preserve">国产化操作系统和数据库兼容性互认，并具有认证证书的，每提供1份得0.5分，满分</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w:t>
            </w:r>
            <w:r/>
          </w:p>
          <w:p>
            <w:pPr>
              <w:rPr>
                <w:rFonts w:hint="eastAsia" w:ascii="仿宋" w:hAnsi="仿宋" w:eastAsia="仿宋" w:cs="仿宋"/>
                <w:color w:val="auto"/>
                <w:highlight w:val="yellow"/>
              </w:rPr>
            </w:pPr>
            <w:r>
              <w:rPr>
                <w:rFonts w:hint="eastAsia" w:ascii="仿宋" w:hAnsi="仿宋" w:eastAsia="仿宋" w:cs="仿宋"/>
                <w:color w:val="auto"/>
                <w:highlight w:val="none"/>
              </w:rPr>
              <w:t xml:space="preserve">注：不同产品但是同一厂商认证的证书不重复计分。须提供证书复印件并加盖供应商公章，未提供不得分。</w:t>
            </w:r>
            <w:r/>
          </w:p>
        </w:tc>
      </w:tr>
      <w:tr>
        <w:trPr>
          <w:jc w:val="center"/>
          <w:trHeight w:val="998"/>
        </w:trPr>
        <w:tc>
          <w:tcPr>
            <w:shd w:val="clear" w:color="auto" w:fill="auto"/>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供应商实力</w:t>
            </w:r>
            <w:r/>
          </w:p>
        </w:tc>
        <w:tc>
          <w:tcPr>
            <w:shd w:val="clear" w:color="auto" w:fill="auto"/>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2分</w:t>
            </w:r>
            <w:r/>
          </w:p>
        </w:tc>
        <w:tc>
          <w:tcPr>
            <w:shd w:val="clear" w:color="auto" w:fill="auto"/>
            <w:tcW w:w="6075" w:type="dxa"/>
            <w:vAlign w:val="center"/>
            <w:textDirection w:val="lrTb"/>
            <w:noWrap w:val="false"/>
          </w:tcPr>
          <w:p>
            <w:pPr>
              <w:rPr>
                <w:rFonts w:hint="eastAsia" w:ascii="仿宋" w:hAnsi="仿宋" w:eastAsia="仿宋" w:cs="仿宋"/>
                <w:color w:val="auto"/>
                <w:highlight w:val="yellow"/>
              </w:rPr>
            </w:pPr>
            <w:r>
              <w:rPr>
                <w:rFonts w:hint="eastAsia" w:ascii="仿宋" w:hAnsi="仿宋" w:eastAsia="仿宋" w:cs="仿宋"/>
                <w:color w:val="auto"/>
                <w:highlight w:val="none"/>
              </w:rPr>
              <w:t xml:space="preserve">供应商具备配套的ETL工具，提供所需接口，确保各种临床和管理应用效果的配置扩展实现。供应商所采用的应用工具</w:t>
            </w:r>
            <w:r>
              <w:rPr>
                <w:rFonts w:hint="eastAsia" w:ascii="仿宋" w:hAnsi="仿宋" w:eastAsia="仿宋" w:cs="仿宋"/>
                <w:color w:val="auto"/>
                <w:highlight w:val="none"/>
                <w:lang w:val="en-US" w:eastAsia="zh-CN"/>
              </w:rPr>
              <w:t xml:space="preserve">证明，</w:t>
            </w:r>
            <w:r>
              <w:rPr>
                <w:rFonts w:hint="eastAsia" w:ascii="仿宋" w:hAnsi="仿宋" w:eastAsia="仿宋" w:cs="仿宋"/>
                <w:color w:val="auto"/>
                <w:highlight w:val="none"/>
              </w:rPr>
              <w:t xml:space="preserve">提供医疗数据ETL系统和ETL管理工具软件的资质证书或软著，每提供1个得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分，共</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val="en-US" w:eastAsia="zh-CN"/>
              </w:rPr>
              <w:t xml:space="preserve">提供</w:t>
            </w:r>
            <w:r>
              <w:rPr>
                <w:rFonts w:hint="eastAsia" w:ascii="仿宋" w:hAnsi="仿宋" w:eastAsia="仿宋" w:cs="仿宋"/>
                <w:color w:val="auto"/>
                <w:sz w:val="24"/>
                <w:highlight w:val="none"/>
                <w:lang w:val="en-US" w:eastAsia="zh-CN"/>
              </w:rPr>
              <w:t xml:space="preserve">复印件并加盖公章；若为授权使用，须提交相应的授权书。</w:t>
            </w:r>
            <w:r/>
          </w:p>
        </w:tc>
      </w:tr>
      <w:tr>
        <w:trPr>
          <w:jc w:val="center"/>
          <w:trHeight w:val="998"/>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项目组成员</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项目经理</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具备</w:t>
            </w:r>
            <w:r>
              <w:rPr>
                <w:rFonts w:hint="eastAsia" w:ascii="仿宋" w:hAnsi="仿宋" w:eastAsia="仿宋" w:cs="仿宋"/>
                <w:i w:val="0"/>
                <w:iCs w:val="0"/>
                <w:caps w:val="0"/>
                <w:color w:val="auto"/>
                <w:spacing w:val="0"/>
                <w:sz w:val="24"/>
                <w:szCs w:val="24"/>
                <w:highlight w:val="none"/>
                <w:shd w:val="clear" w:color="auto"/>
              </w:rPr>
              <w:t xml:space="preserve">计算机软件考试</w:t>
            </w:r>
            <w:r>
              <w:rPr>
                <w:rFonts w:hint="eastAsia" w:ascii="仿宋" w:hAnsi="仿宋" w:eastAsia="仿宋" w:cs="仿宋"/>
                <w:i w:val="0"/>
                <w:iCs w:val="0"/>
                <w:caps w:val="0"/>
                <w:color w:val="auto"/>
                <w:spacing w:val="0"/>
                <w:sz w:val="24"/>
                <w:szCs w:val="24"/>
                <w:highlight w:val="none"/>
                <w:shd w:val="clear" w:color="auto"/>
                <w:lang w:val="en-US" w:eastAsia="zh-CN"/>
              </w:rPr>
              <w:t xml:space="preserve">中级（软件评测师、软件设计师、</w:t>
            </w:r>
            <w:r>
              <w:rPr>
                <w:rFonts w:hint="eastAsia" w:ascii="仿宋" w:hAnsi="仿宋" w:eastAsia="仿宋" w:cs="仿宋"/>
                <w:color w:val="auto"/>
                <w:highlight w:val="none"/>
              </w:rPr>
              <w:t xml:space="preserve">数据库系统工程师</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信息系统管理工程师</w:t>
            </w:r>
            <w:r>
              <w:rPr>
                <w:rFonts w:hint="eastAsia" w:ascii="仿宋" w:hAnsi="仿宋" w:eastAsia="仿宋" w:cs="仿宋"/>
                <w:i w:val="0"/>
                <w:iCs w:val="0"/>
                <w:caps w:val="0"/>
                <w:color w:val="auto"/>
                <w:spacing w:val="0"/>
                <w:sz w:val="24"/>
                <w:szCs w:val="24"/>
                <w:highlight w:val="none"/>
                <w:shd w:val="clear" w:color="auto"/>
                <w:lang w:val="en-US" w:eastAsia="zh-CN"/>
              </w:rPr>
              <w:t xml:space="preserve">）的得2分，具备</w:t>
            </w:r>
            <w:r>
              <w:rPr>
                <w:rFonts w:hint="eastAsia" w:ascii="仿宋" w:hAnsi="仿宋" w:eastAsia="仿宋" w:cs="仿宋"/>
                <w:color w:val="auto"/>
                <w:highlight w:val="none"/>
              </w:rPr>
              <w:t xml:space="preserve">高级</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信息系统项目管理师</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系统规划与管理师</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证书</w:t>
            </w:r>
            <w:r>
              <w:rPr>
                <w:rFonts w:hint="eastAsia" w:ascii="仿宋" w:hAnsi="仿宋" w:eastAsia="仿宋" w:cs="仿宋"/>
                <w:color w:val="auto"/>
                <w:highlight w:val="none"/>
                <w:lang w:val="en-US" w:eastAsia="zh-CN"/>
              </w:rPr>
              <w:t xml:space="preserve">的，</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不提供或证明材料不全不得分</w:t>
            </w:r>
            <w:r>
              <w:rPr>
                <w:rFonts w:hint="eastAsia" w:ascii="仿宋" w:hAnsi="仿宋" w:eastAsia="仿宋" w:cs="仿宋"/>
                <w:color w:val="auto"/>
                <w:highlight w:val="none"/>
                <w:lang w:eastAsia="zh-CN"/>
              </w:rPr>
              <w:t xml:space="preserve">；</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数据分析人员</w:t>
            </w:r>
            <w:r/>
          </w:p>
          <w:p>
            <w:pPr>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具有统计专业技术资格中级</w:t>
            </w:r>
            <w:r>
              <w:rPr>
                <w:rFonts w:hint="eastAsia" w:ascii="仿宋" w:hAnsi="仿宋" w:eastAsia="仿宋" w:cs="仿宋"/>
                <w:color w:val="auto"/>
                <w:highlight w:val="none"/>
                <w:lang w:val="en-US" w:eastAsia="zh-CN"/>
              </w:rPr>
              <w:t xml:space="preserve">或以上</w:t>
            </w:r>
            <w:r>
              <w:rPr>
                <w:rFonts w:hint="eastAsia" w:ascii="仿宋" w:hAnsi="仿宋" w:eastAsia="仿宋" w:cs="仿宋"/>
                <w:color w:val="auto"/>
                <w:highlight w:val="none"/>
              </w:rPr>
              <w:t xml:space="preserve">证书的</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3</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软件设计人员</w:t>
            </w:r>
            <w:r/>
          </w:p>
          <w:p>
            <w:pPr>
              <w:rPr>
                <w:rFonts w:hint="eastAsia" w:ascii="仿宋" w:hAnsi="仿宋" w:eastAsia="仿宋" w:cs="仿宋"/>
                <w:color w:val="auto"/>
                <w:highlight w:val="yellow"/>
              </w:rPr>
            </w:pPr>
            <w:r>
              <w:rPr>
                <w:rFonts w:hint="eastAsia" w:ascii="仿宋" w:hAnsi="仿宋" w:eastAsia="仿宋" w:cs="仿宋"/>
                <w:color w:val="auto"/>
                <w:highlight w:val="none"/>
              </w:rPr>
              <w:t xml:space="preserve">具备</w:t>
            </w:r>
            <w:r>
              <w:rPr>
                <w:rFonts w:hint="eastAsia" w:ascii="仿宋" w:hAnsi="仿宋" w:eastAsia="仿宋" w:cs="仿宋"/>
                <w:i w:val="0"/>
                <w:iCs w:val="0"/>
                <w:caps w:val="0"/>
                <w:color w:val="auto"/>
                <w:spacing w:val="0"/>
                <w:sz w:val="24"/>
                <w:szCs w:val="24"/>
                <w:highlight w:val="none"/>
                <w:shd w:val="clear" w:color="auto"/>
              </w:rPr>
              <w:t xml:space="preserve">计算机软件考试</w:t>
            </w:r>
            <w:r>
              <w:rPr>
                <w:rFonts w:hint="eastAsia" w:ascii="仿宋" w:hAnsi="仿宋" w:eastAsia="仿宋" w:cs="仿宋"/>
                <w:i w:val="0"/>
                <w:iCs w:val="0"/>
                <w:caps w:val="0"/>
                <w:color w:val="auto"/>
                <w:spacing w:val="0"/>
                <w:sz w:val="24"/>
                <w:szCs w:val="24"/>
                <w:highlight w:val="none"/>
                <w:shd w:val="clear" w:color="auto"/>
                <w:lang w:val="en-US" w:eastAsia="zh-CN"/>
              </w:rPr>
              <w:t xml:space="preserve">中级（软件评测师、软件设计师、</w:t>
            </w:r>
            <w:r>
              <w:rPr>
                <w:rFonts w:hint="eastAsia" w:ascii="仿宋" w:hAnsi="仿宋" w:eastAsia="仿宋" w:cs="仿宋"/>
                <w:color w:val="auto"/>
                <w:highlight w:val="none"/>
              </w:rPr>
              <w:t xml:space="preserve">数据库系统工程师</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信息系统管理工程师</w:t>
            </w:r>
            <w:r>
              <w:rPr>
                <w:rFonts w:hint="eastAsia" w:ascii="仿宋" w:hAnsi="仿宋" w:eastAsia="仿宋" w:cs="仿宋"/>
                <w:i w:val="0"/>
                <w:iCs w:val="0"/>
                <w:caps w:val="0"/>
                <w:color w:val="auto"/>
                <w:spacing w:val="0"/>
                <w:sz w:val="24"/>
                <w:szCs w:val="24"/>
                <w:highlight w:val="none"/>
                <w:shd w:val="clear" w:color="auto"/>
                <w:lang w:val="en-US" w:eastAsia="zh-CN"/>
              </w:rPr>
              <w:t xml:space="preserve">）的得2分。</w:t>
            </w:r>
            <w:r>
              <w:rPr>
                <w:rFonts w:hint="eastAsia" w:ascii="仿宋" w:hAnsi="仿宋" w:eastAsia="仿宋" w:cs="仿宋"/>
                <w:color w:val="auto"/>
                <w:highlight w:val="none"/>
              </w:rPr>
              <w:t xml:space="preserve">（须提供符合上述要求人员的相关证书复印件及近</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个月内在本单位参保的社保缴费证明，</w:t>
            </w:r>
            <w:r>
              <w:rPr>
                <w:rFonts w:hint="eastAsia" w:ascii="仿宋" w:hAnsi="仿宋" w:eastAsia="仿宋" w:cs="仿宋"/>
                <w:color w:val="auto"/>
                <w:highlight w:val="none"/>
                <w:lang w:val="en-US" w:eastAsia="zh-CN"/>
              </w:rPr>
              <w:t xml:space="preserve">同一人具有多个证书</w:t>
            </w:r>
            <w:r>
              <w:rPr>
                <w:rFonts w:hint="eastAsia" w:ascii="仿宋" w:hAnsi="仿宋" w:eastAsia="仿宋" w:cs="仿宋"/>
                <w:color w:val="auto"/>
                <w:highlight w:val="none"/>
              </w:rPr>
              <w:t xml:space="preserve">不重复计分）</w:t>
            </w:r>
            <w:r/>
          </w:p>
        </w:tc>
      </w:tr>
      <w:tr>
        <w:trPr>
          <w:jc w:val="center"/>
          <w:trHeight w:val="998"/>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yellow"/>
                <w:lang w:val="en-US" w:eastAsia="zh-CN"/>
              </w:rPr>
            </w:pPr>
            <w:r>
              <w:rPr>
                <w:rFonts w:hint="eastAsia" w:ascii="仿宋" w:hAnsi="仿宋" w:eastAsia="仿宋" w:cs="仿宋"/>
                <w:color w:val="auto"/>
                <w:highlight w:val="none"/>
                <w:lang w:val="en-US" w:eastAsia="zh-CN"/>
              </w:rPr>
              <w:t xml:space="preserve">技术方案</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根据本项目制定</w:t>
            </w:r>
            <w:r>
              <w:rPr>
                <w:rFonts w:hint="eastAsia" w:ascii="仿宋" w:hAnsi="仿宋" w:eastAsia="仿宋" w:cs="仿宋"/>
                <w:color w:val="auto"/>
                <w:highlight w:val="none"/>
              </w:rPr>
              <w:t xml:space="preserve">技术方案，包括但不限于技术方案总体设计、DRG数据中心、应用中心、接口方案、建设方案等，详细阐述系统的体系架构、实现思路和非功能性设计、安全设计、对项目需求分析、总体实现流程、功能模块等。</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方案内容完整全面，思路清晰，体系架构合理，设计思路</w:t>
            </w:r>
            <w:r>
              <w:rPr>
                <w:rFonts w:hint="eastAsia" w:ascii="仿宋" w:hAnsi="仿宋" w:eastAsia="仿宋" w:cs="仿宋"/>
                <w:color w:val="auto"/>
                <w:highlight w:val="none"/>
                <w:lang w:val="en-US" w:eastAsia="zh-CN"/>
              </w:rPr>
              <w:t xml:space="preserve">优于</w:t>
            </w:r>
            <w:r>
              <w:rPr>
                <w:rFonts w:hint="eastAsia" w:ascii="仿宋" w:hAnsi="仿宋" w:eastAsia="仿宋" w:cs="仿宋"/>
                <w:color w:val="auto"/>
                <w:highlight w:val="none"/>
              </w:rPr>
              <w:t xml:space="preserve">采购需求，得5分；方案内容较完整，思路</w:t>
            </w:r>
            <w:r>
              <w:rPr>
                <w:rFonts w:hint="eastAsia" w:ascii="仿宋" w:hAnsi="仿宋" w:eastAsia="仿宋" w:cs="仿宋"/>
                <w:color w:val="auto"/>
                <w:highlight w:val="none"/>
                <w:lang w:val="en-US" w:eastAsia="zh-CN"/>
              </w:rPr>
              <w:t xml:space="preserve">较</w:t>
            </w:r>
            <w:r>
              <w:rPr>
                <w:rFonts w:hint="eastAsia" w:ascii="仿宋" w:hAnsi="仿宋" w:eastAsia="仿宋" w:cs="仿宋"/>
                <w:color w:val="auto"/>
                <w:highlight w:val="none"/>
              </w:rPr>
              <w:t xml:space="preserve">清晰，体系架构</w:t>
            </w:r>
            <w:r>
              <w:rPr>
                <w:rFonts w:hint="eastAsia" w:ascii="仿宋" w:hAnsi="仿宋" w:eastAsia="仿宋" w:cs="仿宋"/>
                <w:color w:val="auto"/>
                <w:highlight w:val="none"/>
                <w:lang w:val="en-US" w:eastAsia="zh-CN"/>
              </w:rPr>
              <w:t xml:space="preserve">较</w:t>
            </w:r>
            <w:r>
              <w:rPr>
                <w:rFonts w:hint="eastAsia" w:ascii="仿宋" w:hAnsi="仿宋" w:eastAsia="仿宋" w:cs="仿宋"/>
                <w:color w:val="auto"/>
                <w:highlight w:val="none"/>
              </w:rPr>
              <w:t xml:space="preserve">合理，设计思路符合采购需求，得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分；方案内容</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完整，思路</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清晰，体系架构合理性一般，设计思路</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符合采购需求，得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val="en-US" w:eastAsia="zh-CN"/>
              </w:rPr>
              <w:t xml:space="preserve">其余或不提供不得分。</w:t>
            </w:r>
            <w:r/>
          </w:p>
        </w:tc>
      </w:tr>
      <w:tr>
        <w:trPr>
          <w:jc w:val="center"/>
          <w:trHeight w:val="998"/>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实施方案</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tcW w:w="6075" w:type="dxa"/>
            <w:vAlign w:val="center"/>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根据本项目制定</w:t>
            </w:r>
            <w:r>
              <w:rPr>
                <w:rFonts w:hint="eastAsia" w:ascii="仿宋" w:hAnsi="仿宋" w:eastAsia="仿宋" w:cs="仿宋"/>
                <w:color w:val="auto"/>
                <w:highlight w:val="none"/>
              </w:rPr>
              <w:t xml:space="preserve">项目实施方案，内容包括但</w:t>
            </w:r>
            <w:r>
              <w:rPr>
                <w:rFonts w:hint="eastAsia" w:ascii="仿宋" w:hAnsi="仿宋" w:eastAsia="仿宋" w:cs="仿宋"/>
                <w:color w:val="auto"/>
                <w:highlight w:val="none"/>
                <w:lang w:val="en-US" w:eastAsia="zh-CN"/>
              </w:rPr>
              <w:t xml:space="preserve">不</w:t>
            </w:r>
            <w:r>
              <w:rPr>
                <w:rFonts w:hint="eastAsia" w:ascii="仿宋" w:hAnsi="仿宋" w:eastAsia="仿宋" w:cs="仿宋"/>
                <w:color w:val="auto"/>
                <w:highlight w:val="none"/>
              </w:rPr>
              <w:t xml:space="preserve">限于系统实施方案、项目质量保障措施、项目实施进度安排等是否具有科学性、合理性和可执行性。</w:t>
            </w:r>
            <w:r/>
          </w:p>
          <w:p>
            <w:pPr>
              <w:jc w:val="both"/>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系统</w:t>
            </w:r>
            <w:r>
              <w:rPr>
                <w:rFonts w:hint="eastAsia" w:ascii="仿宋" w:hAnsi="仿宋" w:eastAsia="仿宋" w:cs="仿宋"/>
                <w:color w:val="auto"/>
                <w:highlight w:val="none"/>
              </w:rPr>
              <w:t xml:space="preserve">实施方案步骤清晰，质量保障措施</w:t>
            </w:r>
            <w:r>
              <w:rPr>
                <w:rFonts w:hint="eastAsia" w:ascii="仿宋" w:hAnsi="仿宋" w:eastAsia="仿宋" w:cs="仿宋"/>
                <w:color w:val="auto"/>
                <w:highlight w:val="none"/>
                <w:lang w:val="en-US" w:eastAsia="zh-CN"/>
              </w:rPr>
              <w:t xml:space="preserve">全面；</w:t>
            </w:r>
            <w:r>
              <w:rPr>
                <w:rFonts w:hint="eastAsia" w:ascii="仿宋" w:hAnsi="仿宋" w:eastAsia="仿宋" w:cs="仿宋"/>
                <w:color w:val="auto"/>
                <w:highlight w:val="none"/>
              </w:rPr>
              <w:t xml:space="preserve">进度安排科学、合理，</w:t>
            </w:r>
            <w:r>
              <w:rPr>
                <w:rFonts w:hint="eastAsia" w:ascii="仿宋" w:hAnsi="仿宋" w:eastAsia="仿宋" w:cs="仿宋"/>
                <w:color w:val="auto"/>
                <w:highlight w:val="none"/>
                <w:lang w:val="en-US" w:eastAsia="zh-CN"/>
              </w:rPr>
              <w:t xml:space="preserve">可执行性高，优于采购需求，</w:t>
            </w:r>
            <w:r>
              <w:rPr>
                <w:rFonts w:hint="eastAsia" w:ascii="仿宋" w:hAnsi="仿宋" w:eastAsia="仿宋" w:cs="仿宋"/>
                <w:color w:val="auto"/>
                <w:highlight w:val="none"/>
              </w:rPr>
              <w:t xml:space="preserve">得5分；系统实施方案步骤</w:t>
            </w:r>
            <w:r>
              <w:rPr>
                <w:rFonts w:hint="eastAsia" w:ascii="仿宋" w:hAnsi="仿宋" w:eastAsia="仿宋" w:cs="仿宋"/>
                <w:color w:val="auto"/>
                <w:highlight w:val="none"/>
                <w:lang w:val="en-US" w:eastAsia="zh-CN"/>
              </w:rPr>
              <w:t xml:space="preserve">较为</w:t>
            </w:r>
            <w:r>
              <w:rPr>
                <w:rFonts w:hint="eastAsia" w:ascii="仿宋" w:hAnsi="仿宋" w:eastAsia="仿宋" w:cs="仿宋"/>
                <w:color w:val="auto"/>
                <w:highlight w:val="none"/>
              </w:rPr>
              <w:t xml:space="preserve">清晰，质量保障措施</w:t>
            </w:r>
            <w:r>
              <w:rPr>
                <w:rFonts w:hint="eastAsia" w:ascii="仿宋" w:hAnsi="仿宋" w:eastAsia="仿宋" w:cs="仿宋"/>
                <w:color w:val="auto"/>
                <w:highlight w:val="none"/>
                <w:lang w:val="en-US" w:eastAsia="zh-CN"/>
              </w:rPr>
              <w:t xml:space="preserve">比较</w:t>
            </w:r>
            <w:r>
              <w:rPr>
                <w:rFonts w:hint="eastAsia" w:ascii="仿宋" w:hAnsi="仿宋" w:eastAsia="仿宋" w:cs="仿宋"/>
                <w:color w:val="auto"/>
                <w:highlight w:val="none"/>
              </w:rPr>
              <w:t xml:space="preserve">全面；进度安排</w:t>
            </w:r>
            <w:r>
              <w:rPr>
                <w:rFonts w:hint="eastAsia" w:ascii="仿宋" w:hAnsi="仿宋" w:eastAsia="仿宋" w:cs="仿宋"/>
                <w:color w:val="auto"/>
                <w:highlight w:val="none"/>
                <w:lang w:val="en-US" w:eastAsia="zh-CN"/>
              </w:rPr>
              <w:t xml:space="preserve">较为</w:t>
            </w:r>
            <w:r>
              <w:rPr>
                <w:rFonts w:hint="eastAsia" w:ascii="仿宋" w:hAnsi="仿宋" w:eastAsia="仿宋" w:cs="仿宋"/>
                <w:color w:val="auto"/>
                <w:highlight w:val="none"/>
              </w:rPr>
              <w:t xml:space="preserve">科学、合理，可执行性</w:t>
            </w:r>
            <w:r>
              <w:rPr>
                <w:rFonts w:hint="eastAsia" w:ascii="仿宋" w:hAnsi="仿宋" w:eastAsia="仿宋" w:cs="仿宋"/>
                <w:color w:val="auto"/>
                <w:highlight w:val="none"/>
                <w:lang w:val="en-US" w:eastAsia="zh-CN"/>
              </w:rPr>
              <w:t xml:space="preserve">较</w:t>
            </w:r>
            <w:r>
              <w:rPr>
                <w:rFonts w:hint="eastAsia" w:ascii="仿宋" w:hAnsi="仿宋" w:eastAsia="仿宋" w:cs="仿宋"/>
                <w:color w:val="auto"/>
                <w:highlight w:val="none"/>
              </w:rPr>
              <w:t xml:space="preserve">高，符合采购需求</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分；系统实施方案步骤</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清晰，质量保障措施</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全面；进度安排</w:t>
            </w:r>
            <w:r>
              <w:rPr>
                <w:rFonts w:hint="eastAsia" w:ascii="仿宋" w:hAnsi="仿宋" w:eastAsia="仿宋" w:cs="仿宋"/>
                <w:color w:val="auto"/>
                <w:highlight w:val="none"/>
                <w:lang w:val="en-US" w:eastAsia="zh-CN"/>
              </w:rPr>
              <w:t xml:space="preserve">不太</w:t>
            </w:r>
            <w:r>
              <w:rPr>
                <w:rFonts w:hint="eastAsia" w:ascii="仿宋" w:hAnsi="仿宋" w:eastAsia="仿宋" w:cs="仿宋"/>
                <w:color w:val="auto"/>
                <w:highlight w:val="none"/>
              </w:rPr>
              <w:t xml:space="preserve">科学、合理，可执行性</w:t>
            </w:r>
            <w:r>
              <w:rPr>
                <w:rFonts w:hint="eastAsia" w:ascii="仿宋" w:hAnsi="仿宋" w:eastAsia="仿宋" w:cs="仿宋"/>
                <w:color w:val="auto"/>
                <w:highlight w:val="none"/>
                <w:lang w:val="en-US" w:eastAsia="zh-CN"/>
              </w:rPr>
              <w:t xml:space="preserve">低</w:t>
            </w:r>
            <w:r>
              <w:rPr>
                <w:rFonts w:hint="eastAsia" w:ascii="仿宋" w:hAnsi="仿宋" w:eastAsia="仿宋" w:cs="仿宋"/>
                <w:color w:val="auto"/>
                <w:highlight w:val="none"/>
              </w:rPr>
              <w:t xml:space="preserve">，得</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val="en-US" w:eastAsia="zh-CN"/>
              </w:rPr>
              <w:t xml:space="preserve">其余或不提供不得分。</w:t>
            </w:r>
            <w:r/>
          </w:p>
        </w:tc>
      </w:tr>
      <w:tr>
        <w:trPr>
          <w:jc w:val="center"/>
          <w:trHeight w:val="998"/>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售后服务方案</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tcW w:w="6075" w:type="dxa"/>
            <w:vAlign w:val="center"/>
            <w:textDirection w:val="lrTb"/>
            <w:noWrap w:val="false"/>
          </w:tcPr>
          <w:p>
            <w:pPr>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根据</w:t>
            </w:r>
            <w:r>
              <w:rPr>
                <w:rFonts w:hint="eastAsia" w:ascii="仿宋" w:hAnsi="仿宋" w:eastAsia="仿宋" w:cs="仿宋"/>
                <w:color w:val="auto"/>
                <w:highlight w:val="none"/>
                <w:lang w:val="en-US" w:eastAsia="zh-CN"/>
              </w:rPr>
              <w:t xml:space="preserve">本</w:t>
            </w:r>
            <w:r>
              <w:rPr>
                <w:rFonts w:hint="eastAsia" w:ascii="仿宋" w:hAnsi="仿宋" w:eastAsia="仿宋" w:cs="仿宋"/>
                <w:color w:val="auto"/>
                <w:highlight w:val="none"/>
              </w:rPr>
              <w:t xml:space="preserve">项目</w:t>
            </w:r>
            <w:r>
              <w:rPr>
                <w:rFonts w:hint="eastAsia" w:ascii="仿宋" w:hAnsi="仿宋" w:eastAsia="仿宋" w:cs="仿宋"/>
                <w:color w:val="auto"/>
                <w:highlight w:val="none"/>
                <w:lang w:val="en-US" w:eastAsia="zh-CN"/>
              </w:rPr>
              <w:t xml:space="preserve">制定</w:t>
            </w:r>
            <w:r>
              <w:rPr>
                <w:rFonts w:hint="eastAsia" w:ascii="仿宋" w:hAnsi="仿宋" w:eastAsia="仿宋" w:cs="仿宋"/>
                <w:color w:val="auto"/>
                <w:highlight w:val="none"/>
              </w:rPr>
              <w:t xml:space="preserve">售后服务方案，方案包括但不限于售后服务承诺、服务保障措施、故障排除流程及维护期内外的后续技术支持和维护能力方案</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售后人员、响应时间</w:t>
            </w:r>
            <w:r>
              <w:rPr>
                <w:rFonts w:hint="eastAsia" w:ascii="仿宋" w:hAnsi="仿宋" w:eastAsia="仿宋" w:cs="仿宋"/>
                <w:color w:val="auto"/>
                <w:highlight w:val="none"/>
                <w:lang w:eastAsia="zh-CN"/>
              </w:rPr>
              <w:t xml:space="preserve">。</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方案合理全面且详细，响应时间迅速，服务人员齐备，技术人员专业素养高且有经验，</w:t>
            </w:r>
            <w:r>
              <w:rPr>
                <w:rFonts w:hint="eastAsia" w:ascii="仿宋" w:hAnsi="仿宋" w:eastAsia="仿宋" w:cs="仿宋"/>
                <w:color w:val="auto"/>
                <w:highlight w:val="none"/>
                <w:lang w:val="en-US" w:eastAsia="zh-CN"/>
              </w:rPr>
              <w:t xml:space="preserve">服务保障</w:t>
            </w:r>
            <w:r>
              <w:rPr>
                <w:rFonts w:hint="eastAsia" w:ascii="仿宋" w:hAnsi="仿宋" w:eastAsia="仿宋" w:cs="仿宋"/>
                <w:color w:val="auto"/>
                <w:highlight w:val="none"/>
              </w:rPr>
              <w:t xml:space="preserve">措施完善有效，优于采购需求得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分；方案较合理，响应时间较迅速，服务人员较齐全，管理力量比较雄厚，技术人员专业素养较高且有一定经验，服务保障措施比较丰富，符合采购需求得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分；方案简单，响应时间速度较慢，服务人员较少，专业素养较低或没有经验，服务保障措施较少得1分；其余或不提供不得分。</w:t>
            </w:r>
            <w:r/>
          </w:p>
        </w:tc>
      </w:tr>
      <w:tr>
        <w:trPr>
          <w:jc w:val="center"/>
          <w:trHeight w:val="998"/>
        </w:trPr>
        <w:tc>
          <w:tcPr>
            <w:tcW w:w="750"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培训及技术支持方案</w:t>
            </w:r>
            <w:r/>
          </w:p>
        </w:tc>
        <w:tc>
          <w:tcPr>
            <w:tcW w:w="875"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5分</w:t>
            </w:r>
            <w:r/>
          </w:p>
        </w:tc>
        <w:tc>
          <w:tcPr>
            <w:tcW w:w="6075" w:type="dxa"/>
            <w:vAlign w:val="center"/>
            <w:textDirection w:val="lrTb"/>
            <w:noWrap w:val="false"/>
          </w:tcPr>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根据本项目制定培训服务方案及技术支持方案，方案包括但不限于人员的操作培训以及采购人所需的技术和学术支持及其他供应商可提供的服务。</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培训承诺</w:t>
            </w:r>
            <w:r>
              <w:rPr>
                <w:rFonts w:hint="eastAsia" w:ascii="仿宋" w:hAnsi="仿宋" w:eastAsia="仿宋" w:cs="仿宋"/>
                <w:color w:val="auto"/>
                <w:highlight w:val="none"/>
                <w:lang w:val="en-US" w:eastAsia="zh-CN"/>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1117"/>
        </w:trPr>
        <w:tc>
          <w:tcPr>
            <w:tcW w:w="750" w:type="dxa"/>
            <w:vAlign w:val="center"/>
            <w:textDirection w:val="lrTb"/>
            <w:noWrap w:val="false"/>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jc w:val="center"/>
              <w:widowControl/>
              <w:rPr>
                <w:rFonts w:hint="default" w:ascii="仿宋" w:hAnsi="仿宋" w:eastAsia="仿宋" w:cs="仿宋"/>
                <w:color w:val="auto"/>
                <w:highlight w:val="yellow"/>
                <w:lang w:val="en-US" w:eastAsia="zh-CN" w:bidi="ar"/>
              </w:rPr>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jc w:val="center"/>
              <w:widowControl/>
              <w:rPr>
                <w:rFonts w:hint="default" w:ascii="仿宋" w:hAnsi="仿宋" w:eastAsia="仿宋" w:cs="仿宋"/>
                <w:color w:val="auto"/>
                <w:highlight w:val="yellow"/>
                <w:lang w:val="en-US" w:eastAsia="zh-CN" w:bidi="ar"/>
              </w:rPr>
            </w:pPr>
            <w:r>
              <w:rPr>
                <w:rFonts w:hint="eastAsia" w:ascii="仿宋" w:hAnsi="仿宋" w:eastAsia="仿宋" w:cs="仿宋"/>
                <w:color w:val="auto"/>
                <w:highlight w:val="none"/>
                <w:lang w:val="en-US" w:eastAsia="zh-CN" w:bidi="ar"/>
              </w:rPr>
              <w:t xml:space="preserve">2分</w:t>
            </w:r>
            <w:r/>
          </w:p>
        </w:tc>
        <w:tc>
          <w:tcPr>
            <w:shd w:val="clear" w:color="auto" w:fill="auto"/>
            <w:tcW w:w="6075" w:type="dxa"/>
            <w:vAlign w:val="center"/>
            <w:textDirection w:val="lrTb"/>
            <w:noWrap w:val="false"/>
          </w:tcPr>
          <w:p>
            <w:pPr>
              <w:jc w:val="left"/>
              <w:widowControl/>
              <w:rPr>
                <w:rFonts w:hint="eastAsia" w:ascii="仿宋" w:hAnsi="仿宋" w:eastAsia="仿宋" w:cs="仿宋"/>
                <w:color w:val="auto"/>
                <w:highlight w:val="yellow"/>
                <w:lang w:bidi="ar"/>
              </w:rPr>
            </w:pPr>
            <w:r>
              <w:rPr>
                <w:rFonts w:hint="eastAsia" w:ascii="仿宋" w:hAnsi="仿宋" w:eastAsia="仿宋" w:cs="仿宋"/>
                <w:color w:val="auto"/>
                <w:highlight w:val="none"/>
                <w:lang w:val="en-US" w:eastAsia="zh-CN" w:bidi="ar"/>
              </w:rPr>
              <w:t xml:space="preserve">投标人自</w:t>
            </w:r>
            <w:r>
              <w:rPr>
                <w:rFonts w:hint="eastAsia" w:ascii="仿宋" w:hAnsi="仿宋" w:eastAsia="仿宋" w:cs="仿宋"/>
                <w:color w:val="auto"/>
                <w:highlight w:val="none"/>
                <w:lang w:bidi="ar"/>
              </w:rPr>
              <w:t xml:space="preserve">2022年</w:t>
            </w:r>
            <w:r>
              <w:rPr>
                <w:rFonts w:hint="eastAsia" w:ascii="仿宋" w:hAnsi="仿宋" w:eastAsia="仿宋" w:cs="仿宋"/>
                <w:color w:val="auto"/>
                <w:highlight w:val="none"/>
                <w:lang w:val="en-US" w:eastAsia="zh-CN" w:bidi="ar"/>
              </w:rPr>
              <w:t xml:space="preserve">8</w:t>
            </w:r>
            <w:r>
              <w:rPr>
                <w:rFonts w:hint="eastAsia" w:ascii="仿宋" w:hAnsi="仿宋" w:eastAsia="仿宋" w:cs="仿宋"/>
                <w:color w:val="auto"/>
                <w:highlight w:val="none"/>
                <w:lang w:bidi="ar"/>
              </w:rPr>
              <w:t xml:space="preserve">月1日以来（以合同签订时间为准）</w:t>
            </w:r>
            <w:r>
              <w:rPr>
                <w:rFonts w:hint="eastAsia" w:ascii="仿宋" w:hAnsi="仿宋" w:eastAsia="仿宋" w:cs="仿宋"/>
                <w:color w:val="auto"/>
                <w:highlight w:val="none"/>
                <w:lang w:val="en-US" w:eastAsia="zh-CN" w:bidi="ar"/>
              </w:rPr>
              <w:t xml:space="preserve">具有类似项目业绩的（类似项目是指具备本项目相同功能的成本管理或DRG系统）</w:t>
            </w:r>
            <w:r>
              <w:rPr>
                <w:rFonts w:hint="eastAsia" w:ascii="仿宋" w:hAnsi="仿宋" w:eastAsia="仿宋" w:cs="仿宋"/>
                <w:color w:val="auto"/>
                <w:highlight w:val="none"/>
                <w:lang w:bidi="ar"/>
              </w:rPr>
              <w:t xml:space="preserve">，每一份得</w:t>
            </w:r>
            <w:r>
              <w:rPr>
                <w:rFonts w:hint="eastAsia" w:ascii="仿宋" w:hAnsi="仿宋" w:eastAsia="仿宋" w:cs="仿宋"/>
                <w:color w:val="auto"/>
                <w:highlight w:val="none"/>
                <w:lang w:val="en-US" w:eastAsia="zh-CN" w:bidi="ar"/>
              </w:rPr>
              <w:t xml:space="preserve">0.5</w:t>
            </w:r>
            <w:r>
              <w:rPr>
                <w:rFonts w:hint="eastAsia" w:ascii="仿宋" w:hAnsi="仿宋" w:eastAsia="仿宋" w:cs="仿宋"/>
                <w:color w:val="auto"/>
                <w:highlight w:val="none"/>
                <w:lang w:bidi="ar"/>
              </w:rPr>
              <w:t xml:space="preserve">分，最高</w:t>
            </w:r>
            <w:r>
              <w:rPr>
                <w:rFonts w:hint="eastAsia" w:ascii="仿宋" w:hAnsi="仿宋" w:eastAsia="仿宋" w:cs="仿宋"/>
                <w:color w:val="auto"/>
                <w:highlight w:val="none"/>
                <w:lang w:val="en-US" w:eastAsia="zh-CN" w:bidi="ar"/>
              </w:rPr>
              <w:t xml:space="preserve">2</w:t>
            </w:r>
            <w:r>
              <w:rPr>
                <w:rFonts w:hint="eastAsia" w:ascii="仿宋" w:hAnsi="仿宋" w:eastAsia="仿宋" w:cs="仿宋"/>
                <w:color w:val="auto"/>
                <w:highlight w:val="none"/>
                <w:lang w:bidi="ar"/>
              </w:rPr>
              <w:t xml:space="preserve">分。（响应文件中提供合同</w:t>
            </w:r>
            <w:r>
              <w:rPr>
                <w:rFonts w:hint="eastAsia" w:ascii="仿宋" w:hAnsi="仿宋" w:eastAsia="仿宋" w:cs="仿宋"/>
                <w:color w:val="auto"/>
                <w:highlight w:val="none"/>
                <w:lang w:val="en-US" w:eastAsia="zh-CN" w:bidi="ar"/>
              </w:rPr>
              <w:t xml:space="preserve">及验收报告</w:t>
            </w:r>
            <w:r>
              <w:rPr>
                <w:rFonts w:hint="eastAsia" w:ascii="仿宋" w:hAnsi="仿宋" w:eastAsia="仿宋" w:cs="仿宋"/>
                <w:color w:val="auto"/>
                <w:highlight w:val="none"/>
                <w:lang w:bidi="ar"/>
              </w:rPr>
              <w:t xml:space="preserve">复印件</w:t>
            </w:r>
            <w:r>
              <w:rPr>
                <w:rFonts w:hint="eastAsia" w:ascii="仿宋" w:hAnsi="仿宋" w:eastAsia="仿宋" w:cs="仿宋"/>
                <w:color w:val="auto"/>
                <w:highlight w:val="none"/>
                <w:lang w:val="en-US" w:eastAsia="zh-CN" w:bidi="ar"/>
              </w:rPr>
              <w:t xml:space="preserve">加盖公章</w:t>
            </w:r>
            <w:r>
              <w:rPr>
                <w:rFonts w:hint="eastAsia" w:ascii="仿宋" w:hAnsi="仿宋" w:eastAsia="仿宋" w:cs="仿宋"/>
                <w:color w:val="auto"/>
                <w:highlight w:val="none"/>
                <w:lang w:bidi="ar"/>
              </w:rPr>
              <w:t xml:space="preserve">，合同须明确显示双方签章，提供不全的不得分</w:t>
            </w:r>
            <w:r>
              <w:rPr>
                <w:rFonts w:hint="eastAsia" w:ascii="仿宋" w:hAnsi="仿宋" w:eastAsia="仿宋" w:cs="仿宋"/>
                <w:color w:val="auto"/>
                <w:highlight w:val="none"/>
                <w:lang w:eastAsia="zh-CN" w:bidi="ar"/>
              </w:rPr>
              <w:t xml:space="preserve">。</w:t>
            </w:r>
            <w:r>
              <w:rPr>
                <w:rFonts w:hint="eastAsia" w:ascii="仿宋" w:hAnsi="仿宋" w:eastAsia="仿宋" w:cs="仿宋"/>
                <w:color w:val="auto"/>
                <w:highlight w:val="none"/>
                <w:lang w:val="en-US" w:eastAsia="zh-CN" w:bidi="ar"/>
              </w:rPr>
              <w:t xml:space="preserve">同一采购单位的多个项目不重复计分</w:t>
            </w:r>
            <w:r>
              <w:rPr>
                <w:rFonts w:hint="eastAsia" w:ascii="仿宋" w:hAnsi="仿宋" w:eastAsia="仿宋" w:cs="仿宋"/>
                <w:color w:val="auto"/>
                <w:highlight w:val="none"/>
                <w:lang w:bidi="ar"/>
              </w:rPr>
              <w:t xml:space="preserve">）</w:t>
            </w:r>
            <w:r/>
          </w:p>
        </w:tc>
      </w:tr>
    </w:tbl>
    <w:p>
      <w:pPr>
        <w:spacing w:line="440" w:lineRule="exact"/>
        <w:rPr>
          <w:rFonts w:ascii="仿宋" w:hAnsi="仿宋" w:eastAsia="仿宋" w:cs="仿宋"/>
          <w:highlight w:val="none"/>
        </w:rPr>
      </w:pPr>
      <w:r>
        <w:rPr>
          <w:rFonts w:hint="eastAsia" w:ascii="仿宋" w:hAnsi="仿宋" w:eastAsia="仿宋" w:cs="仿宋"/>
          <w:highlight w:val="none"/>
        </w:rPr>
        <w:t xml:space="preserve"> 说明：</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3%（工程2%）的扣除，用扣除后的价格参加评审。联合体各方均为小微企业的，联合体视同为小微企业，享受10%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6.实质性要求不得负偏离；否则，按照无效投标处理</w:t>
      </w:r>
      <w:r/>
    </w:p>
    <w:p>
      <w:pPr>
        <w:spacing w:line="440" w:lineRule="exact"/>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评标委员会按照本办法规定推荐中标候选人，并形成评标报告。</w:t>
      </w:r>
      <w:r/>
    </w:p>
    <w:p>
      <w:pPr>
        <w:rPr>
          <w:highlight w:val="none"/>
        </w:rPr>
      </w:pPr>
      <w:r>
        <w:rPr>
          <w:highlight w:val="none"/>
        </w:rPr>
      </w:r>
      <w:r/>
    </w:p>
    <w:p>
      <w:pPr>
        <w:rPr>
          <w:rFonts w:hint="eastAsia"/>
          <w:highlight w:val="none"/>
        </w:rPr>
      </w:pPr>
      <w:r/>
      <w:bookmarkStart w:id="72" w:name="_Toc477287606"/>
      <w:r/>
      <w:bookmarkStart w:id="73" w:name="_Toc1493"/>
      <w:r/>
      <w:bookmarkStart w:id="74" w:name="_Toc26933"/>
      <w:r>
        <w:rPr>
          <w:rFonts w:hint="eastAsia"/>
          <w:highlight w:val="none"/>
        </w:rPr>
        <w:br w:type="page" w:clear="all"/>
      </w:r>
      <w:r/>
    </w:p>
    <w:p>
      <w:pPr>
        <w:pStyle w:val="933"/>
        <w:jc w:val="center"/>
        <w:spacing w:line="240" w:lineRule="auto"/>
        <w:rPr>
          <w:highlight w:val="none"/>
        </w:rPr>
      </w:pPr>
      <w:r>
        <w:rPr>
          <w:rFonts w:hint="eastAsia"/>
          <w:highlight w:val="none"/>
        </w:rPr>
        <w:t xml:space="preserve">第六部分  投标文件格式</w:t>
      </w:r>
      <w:bookmarkEnd w:id="72"/>
      <w:r/>
      <w:bookmarkEnd w:id="73"/>
      <w:r/>
      <w:bookmarkEnd w:id="74"/>
      <w:r/>
      <w:r/>
    </w:p>
    <w:p>
      <w:pPr>
        <w:rPr>
          <w:rFonts w:ascii="仿宋" w:hAnsi="仿宋" w:eastAsia="仿宋" w:cs="仿宋"/>
          <w:highlight w:val="none"/>
        </w:rPr>
      </w:pPr>
      <w:r/>
      <w:bookmarkStart w:id="75" w:name="_Toc8423"/>
      <w:r/>
      <w:r/>
    </w:p>
    <w:p>
      <w:pPr>
        <w:rPr>
          <w:rFonts w:ascii="仿宋" w:hAnsi="仿宋" w:eastAsia="仿宋" w:cs="仿宋"/>
          <w:highlight w:val="none"/>
        </w:rPr>
      </w:pPr>
      <w:r>
        <w:rPr>
          <w:rFonts w:ascii="仿宋" w:hAnsi="仿宋" w:eastAsia="仿宋" w:cs="仿宋"/>
          <w:highlight w:val="none"/>
        </w:rPr>
      </w:r>
      <w:r/>
    </w:p>
    <w:p>
      <w:pPr>
        <w:pStyle w:val="1018"/>
        <w:rPr>
          <w:rFonts w:ascii="仿宋" w:hAnsi="仿宋" w:eastAsia="仿宋" w:cs="仿宋"/>
          <w:highlight w:val="none"/>
        </w:rPr>
      </w:pPr>
      <w:r/>
      <w:bookmarkStart w:id="76" w:name="_Toc18720"/>
      <w:r>
        <w:rPr>
          <w:rFonts w:hint="eastAsia" w:ascii="仿宋" w:hAnsi="仿宋" w:eastAsia="仿宋" w:cs="仿宋"/>
          <w:highlight w:val="none"/>
        </w:rPr>
        <w:t xml:space="preserve">封面</w:t>
      </w:r>
      <w:bookmarkEnd w:id="76"/>
      <w:r/>
      <w:r/>
    </w:p>
    <w:p>
      <w:pPr>
        <w:pStyle w:val="1019"/>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19"/>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19"/>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（项目名称）</w:t>
      </w:r>
      <w:r/>
    </w:p>
    <w:p>
      <w:pPr>
        <w:pStyle w:val="1019"/>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（项目编号）</w:t>
      </w:r>
      <w:r/>
    </w:p>
    <w:p>
      <w:pPr>
        <w:pStyle w:val="1019"/>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19"/>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19"/>
        <w:jc w:val="center"/>
        <w:rPr>
          <w:rFonts w:ascii="仿宋" w:hAnsi="仿宋" w:eastAsia="仿宋" w:cs="仿宋"/>
          <w:color w:val="000000"/>
          <w:sz w:val="72"/>
          <w:szCs w:val="72"/>
          <w:highlight w:val="none"/>
        </w:rPr>
      </w:pPr>
      <w:r>
        <w:rPr>
          <w:rFonts w:hint="eastAsia" w:ascii="仿宋" w:hAnsi="仿宋" w:eastAsia="仿宋" w:cs="仿宋"/>
          <w:color w:val="000000"/>
          <w:sz w:val="72"/>
          <w:szCs w:val="72"/>
          <w:highlight w:val="none"/>
        </w:rPr>
        <w:t xml:space="preserve">投 标 文 件</w:t>
      </w:r>
      <w:r/>
    </w:p>
    <w:p>
      <w:pPr>
        <w:pStyle w:val="101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9"/>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9"/>
        <w:jc w:val="cente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19"/>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（盖章）</w:t>
      </w:r>
      <w:r/>
    </w:p>
    <w:p>
      <w:pPr>
        <w:pStyle w:val="1019"/>
        <w:ind w:right="420"/>
        <w:jc w:val="center"/>
        <w:spacing w:line="4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法定代表人（或授权代表）：</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（签字或盖章）</w:t>
      </w:r>
      <w:r/>
    </w:p>
    <w:p>
      <w:pPr>
        <w:pStyle w:val="1019"/>
        <w:ind w:right="980"/>
        <w:jc w:val="center"/>
        <w:spacing w:line="440" w:lineRule="exact"/>
        <w:rPr>
          <w:rFonts w:ascii="仿宋" w:hAnsi="仿宋" w:eastAsia="仿宋" w:cs="仿宋"/>
          <w:highlight w:val="none"/>
        </w:rPr>
      </w:pPr>
      <w:r>
        <w:rPr>
          <w:rFonts w:hint="eastAsia" w:ascii="仿宋" w:hAnsi="仿宋" w:eastAsia="仿宋" w:cs="仿宋"/>
          <w:color w:val="000000"/>
          <w:sz w:val="28"/>
          <w:szCs w:val="28"/>
          <w:highlight w:val="none"/>
        </w:rPr>
        <w:t xml:space="preserve">年    月    日</w:t>
      </w:r>
      <w:r/>
    </w:p>
    <w:p>
      <w:pPr>
        <w:rPr>
          <w:rFonts w:ascii="仿宋" w:hAnsi="仿宋" w:eastAsia="仿宋" w:cs="仿宋"/>
          <w:highlight w:val="none"/>
        </w:rPr>
      </w:pPr>
      <w:r>
        <w:rPr>
          <w:rFonts w:ascii="仿宋" w:hAnsi="仿宋" w:eastAsia="仿宋" w:cs="仿宋"/>
          <w:highlight w:val="none"/>
        </w:rPr>
      </w:r>
      <w:r/>
    </w:p>
    <w:p>
      <w:pPr>
        <w:pStyle w:val="1015"/>
        <w:ind w:left="0"/>
        <w:jc w:val="center"/>
        <w:rPr>
          <w:rFonts w:ascii="仿宋" w:hAnsi="仿宋" w:eastAsia="仿宋" w:cs="仿宋"/>
          <w:b/>
          <w:bCs/>
          <w:color w:val="000000"/>
          <w:sz w:val="28"/>
          <w:szCs w:val="28"/>
          <w:highlight w:val="none"/>
        </w:rPr>
      </w:pPr>
      <w:r>
        <w:rPr>
          <w:rFonts w:hint="eastAsia" w:ascii="仿宋" w:hAnsi="仿宋" w:eastAsia="仿宋" w:cs="仿宋"/>
          <w:highlight w:val="none"/>
        </w:rPr>
        <w:br w:type="page" w:clear="all"/>
      </w:r>
      <w:bookmarkStart w:id="77" w:name="_Toc25080"/>
      <w:r>
        <w:rPr>
          <w:rFonts w:hint="eastAsia" w:ascii="仿宋" w:hAnsi="仿宋" w:eastAsia="仿宋" w:cs="仿宋"/>
          <w:b/>
          <w:bCs/>
          <w:color w:val="000000"/>
          <w:sz w:val="28"/>
          <w:szCs w:val="28"/>
          <w:highlight w:val="none"/>
        </w:rPr>
        <w:t xml:space="preserve">资格审查索引表</w:t>
      </w:r>
      <w:r/>
    </w:p>
    <w:p>
      <w:pPr>
        <w:jc w:val="center"/>
        <w:rPr>
          <w:rFonts w:ascii="仿宋" w:hAnsi="仿宋" w:eastAsia="仿宋" w:cs="仿宋"/>
          <w:b/>
          <w:bCs/>
          <w:color w:val="000000"/>
          <w:highlight w:val="none"/>
        </w:rPr>
      </w:pPr>
      <w:r>
        <w:rPr>
          <w:rFonts w:hint="eastAsia" w:ascii="仿宋" w:hAnsi="仿宋" w:eastAsia="仿宋" w:cs="仿宋"/>
          <w:b/>
          <w:bCs/>
          <w:color w:val="000000"/>
          <w:highlight w:val="none"/>
        </w:rPr>
        <w:t xml:space="preserve">（具体详见第一部分《招标公告》中申请人的资格要求，按照顺序逐一填写）</w:t>
      </w:r>
      <w:r/>
    </w:p>
    <w:tbl>
      <w:tblPr>
        <w:tblStyle w:val="741"/>
        <w:tblW w:w="88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5826"/>
        <w:gridCol w:w="1944"/>
      </w:tblGrid>
      <w:tr>
        <w:trPr>
          <w:jc w:val="center"/>
          <w:trHeight w:val="703"/>
        </w:trPr>
        <w:tc>
          <w:tcPr>
            <w:tcW w:w="1065"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序号</w:t>
            </w:r>
            <w:r/>
          </w:p>
        </w:tc>
        <w:tc>
          <w:tcPr>
            <w:tcW w:w="5826"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资格要求</w:t>
            </w:r>
            <w:r/>
          </w:p>
        </w:tc>
        <w:tc>
          <w:tcPr>
            <w:tcW w:w="1944"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投标文件所在页码</w:t>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p>
        </w:tc>
        <w:tc>
          <w:tcPr>
            <w:tcW w:w="5826" w:type="dxa"/>
            <w:vAlign w:val="center"/>
            <w:textDirection w:val="lrTb"/>
            <w:noWrap w:val="false"/>
          </w:tcPr>
          <w:p>
            <w:pPr>
              <w:jc w:val="left"/>
              <w:spacing w:line="50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（例）</w:t>
            </w:r>
            <w:r>
              <w:rPr>
                <w:rFonts w:hint="eastAsia" w:ascii="仿宋" w:hAnsi="仿宋" w:eastAsia="仿宋" w:cs="仿宋"/>
                <w:color w:val="000000"/>
                <w:highlight w:val="none"/>
              </w:rPr>
              <w:t xml:space="preserve">（一）基本资格条件</w:t>
            </w:r>
            <w:r/>
          </w:p>
        </w:tc>
        <w:tc>
          <w:tcPr>
            <w:tcW w:w="1944"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（例）P2</w:t>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p>
        </w:tc>
        <w:tc>
          <w:tcPr>
            <w:tcW w:w="5826"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p>
        </w:tc>
        <w:tc>
          <w:tcPr>
            <w:tcW w:w="5826"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p>
        </w:tc>
        <w:tc>
          <w:tcPr>
            <w:tcW w:w="5826"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jc w:val="center"/>
          <w:trHeight w:val="703"/>
        </w:trPr>
        <w:tc>
          <w:tcPr>
            <w:tcW w:w="106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5826"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1944" w:type="dxa"/>
            <w:vAlign w:val="center"/>
            <w:textDirection w:val="lrTb"/>
            <w:noWrap w:val="false"/>
          </w:tcPr>
          <w:p>
            <w:pP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bl>
    <w:p>
      <w:pPr>
        <w:pStyle w:val="1020"/>
        <w:jc w:val="left"/>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20"/>
        <w:jc w:val="left"/>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注：1、表格中填写（例）仅为</w:t>
      </w:r>
      <w:r>
        <w:rPr>
          <w:rFonts w:hint="eastAsia" w:ascii="仿宋" w:hAnsi="仿宋" w:eastAsia="仿宋" w:cs="仿宋"/>
          <w:b/>
          <w:bCs/>
          <w:sz w:val="24"/>
          <w:szCs w:val="28"/>
          <w:highlight w:val="none"/>
          <w:lang w:eastAsia="zh-CN"/>
        </w:rPr>
        <w:t xml:space="preserve">投标人</w:t>
      </w:r>
      <w:r>
        <w:rPr>
          <w:rFonts w:hint="eastAsia" w:ascii="仿宋" w:hAnsi="仿宋" w:eastAsia="仿宋" w:cs="仿宋"/>
          <w:b/>
          <w:bCs/>
          <w:sz w:val="24"/>
          <w:szCs w:val="28"/>
          <w:highlight w:val="none"/>
        </w:rPr>
        <w:t xml:space="preserve">理解表格使用，</w:t>
      </w:r>
      <w:r>
        <w:rPr>
          <w:rFonts w:hint="eastAsia" w:ascii="仿宋" w:hAnsi="仿宋" w:eastAsia="仿宋" w:cs="仿宋"/>
          <w:b/>
          <w:bCs/>
          <w:sz w:val="24"/>
          <w:szCs w:val="28"/>
          <w:highlight w:val="none"/>
          <w:lang w:eastAsia="zh-CN"/>
        </w:rPr>
        <w:t xml:space="preserve">投标人</w:t>
      </w:r>
      <w:r>
        <w:rPr>
          <w:rFonts w:hint="eastAsia" w:ascii="仿宋" w:hAnsi="仿宋" w:eastAsia="仿宋" w:cs="仿宋"/>
          <w:b/>
          <w:bCs/>
          <w:sz w:val="24"/>
          <w:szCs w:val="28"/>
          <w:highlight w:val="none"/>
        </w:rPr>
        <w:t xml:space="preserve">制作文件时请删除。</w:t>
      </w:r>
      <w:r/>
    </w:p>
    <w:p>
      <w:pPr>
        <w:pStyle w:val="1015"/>
        <w:ind w:left="0" w:firstLine="482"/>
        <w:rPr>
          <w:rFonts w:ascii="仿宋" w:hAnsi="仿宋" w:eastAsia="仿宋" w:cs="仿宋"/>
          <w:b/>
          <w:bCs/>
          <w:szCs w:val="28"/>
          <w:highlight w:val="none"/>
        </w:rPr>
      </w:pPr>
      <w:r>
        <w:rPr>
          <w:rFonts w:hint="eastAsia" w:ascii="仿宋" w:hAnsi="仿宋" w:eastAsia="仿宋" w:cs="仿宋"/>
          <w:b/>
          <w:bCs/>
          <w:szCs w:val="28"/>
          <w:highlight w:val="none"/>
        </w:rPr>
        <w:t xml:space="preserve">2、行数不够请自行添加。</w:t>
      </w:r>
      <w:r/>
    </w:p>
    <w:p>
      <w:pPr>
        <w:pStyle w:val="1015"/>
        <w:ind w:left="0"/>
        <w:jc w:val="center"/>
        <w:rPr>
          <w:rFonts w:ascii="仿宋" w:hAnsi="仿宋" w:eastAsia="仿宋" w:cs="仿宋"/>
          <w:b/>
          <w:bCs/>
          <w:color w:val="000000"/>
          <w:sz w:val="28"/>
          <w:szCs w:val="28"/>
          <w:highlight w:val="none"/>
        </w:rPr>
      </w:pPr>
      <w:r>
        <w:rPr>
          <w:rFonts w:hint="eastAsia" w:ascii="仿宋" w:hAnsi="仿宋" w:eastAsia="仿宋" w:cs="仿宋"/>
          <w:b/>
          <w:bCs/>
          <w:szCs w:val="28"/>
          <w:highlight w:val="none"/>
        </w:rPr>
        <w:br w:type="page" w:clear="all"/>
      </w:r>
      <w:r>
        <w:rPr>
          <w:rFonts w:hint="eastAsia" w:ascii="仿宋" w:hAnsi="仿宋" w:eastAsia="仿宋" w:cs="仿宋"/>
          <w:b/>
          <w:bCs/>
          <w:color w:val="000000"/>
          <w:sz w:val="28"/>
          <w:szCs w:val="28"/>
          <w:highlight w:val="none"/>
        </w:rPr>
        <w:t xml:space="preserve">评分索引表</w:t>
      </w:r>
      <w:r/>
    </w:p>
    <w:p>
      <w:pPr>
        <w:jc w:val="center"/>
        <w:rPr>
          <w:rFonts w:ascii="仿宋" w:hAnsi="仿宋" w:eastAsia="仿宋" w:cs="仿宋"/>
          <w:b/>
          <w:bCs/>
          <w:color w:val="000000"/>
          <w:highlight w:val="none"/>
        </w:rPr>
      </w:pPr>
      <w:r>
        <w:rPr>
          <w:rFonts w:hint="eastAsia" w:ascii="仿宋" w:hAnsi="仿宋" w:eastAsia="仿宋" w:cs="仿宋"/>
          <w:b/>
          <w:bCs/>
          <w:color w:val="000000"/>
          <w:highlight w:val="none"/>
        </w:rPr>
        <w:t xml:space="preserve">（具体详见第五部分《评标方法和标准》中详细评审，按照顺序逐一填写）</w:t>
      </w:r>
      <w:r/>
    </w:p>
    <w:tbl>
      <w:tblPr>
        <w:tblStyle w:val="741"/>
        <w:tblW w:w="9232" w:type="dxa"/>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5"/>
        <w:gridCol w:w="6013"/>
        <w:gridCol w:w="2004"/>
      </w:tblGrid>
      <w:tr>
        <w:trPr>
          <w:trHeight w:val="703"/>
        </w:trPr>
        <w:tc>
          <w:tcPr>
            <w:tcW w:w="1215"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序号</w:t>
            </w:r>
            <w:r/>
          </w:p>
        </w:tc>
        <w:tc>
          <w:tcPr>
            <w:tcW w:w="6013"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评分标准</w:t>
            </w:r>
            <w:r/>
          </w:p>
        </w:tc>
        <w:tc>
          <w:tcPr>
            <w:tcW w:w="2004" w:type="dxa"/>
            <w:vAlign w:val="center"/>
            <w:textDirection w:val="lrTb"/>
            <w:noWrap w:val="false"/>
          </w:tcPr>
          <w:p>
            <w:pPr>
              <w:jc w:val="center"/>
              <w:spacing w:line="350" w:lineRule="exact"/>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投标文件所在页码</w:t>
            </w:r>
            <w:r/>
          </w:p>
        </w:tc>
      </w:tr>
      <w:tr>
        <w:trPr>
          <w:trHeight w:val="703"/>
        </w:trPr>
        <w:tc>
          <w:tcPr>
            <w:tcW w:w="1215" w:type="dxa"/>
            <w:vAlign w:val="center"/>
            <w:textDirection w:val="lrTb"/>
            <w:noWrap w:val="false"/>
          </w:tcPr>
          <w:p>
            <w:pPr>
              <w:jc w:val="center"/>
              <w:spacing w:line="440" w:lineRule="exact"/>
              <w:rPr>
                <w:rFonts w:ascii="仿宋" w:hAnsi="仿宋" w:eastAsia="仿宋" w:cs="仿宋"/>
                <w:color w:val="000000"/>
                <w:sz w:val="21"/>
                <w:szCs w:val="21"/>
                <w:highlight w:val="none"/>
              </w:rPr>
            </w:pPr>
            <w:r>
              <w:rPr>
                <w:rFonts w:hint="eastAsia" w:ascii="仿宋" w:hAnsi="仿宋" w:eastAsia="仿宋" w:cs="仿宋"/>
                <w:color w:val="000000"/>
                <w:szCs w:val="21"/>
                <w:highlight w:val="none"/>
              </w:rPr>
              <w:t xml:space="preserve">1</w:t>
            </w:r>
            <w:r/>
          </w:p>
        </w:tc>
        <w:tc>
          <w:tcPr>
            <w:tcW w:w="6013" w:type="dxa"/>
            <w:vAlign w:val="center"/>
            <w:textDirection w:val="lrTb"/>
            <w:noWrap w:val="false"/>
          </w:tcPr>
          <w:p>
            <w:pPr>
              <w:jc w:val="left"/>
              <w:spacing w:line="440" w:lineRule="exact"/>
              <w:tabs>
                <w:tab w:val="left" w:pos="3600" w:leader="none"/>
              </w:tabs>
              <w:rPr>
                <w:rFonts w:hint="default" w:ascii="仿宋" w:hAnsi="仿宋" w:eastAsia="仿宋" w:cs="仿宋"/>
                <w:color w:val="000000"/>
                <w:sz w:val="21"/>
                <w:szCs w:val="21"/>
                <w:highlight w:val="none"/>
                <w:lang w:val="en-US"/>
              </w:rPr>
            </w:pPr>
            <w:r>
              <w:rPr>
                <w:rFonts w:hint="eastAsia" w:ascii="仿宋" w:hAnsi="仿宋" w:eastAsia="仿宋" w:cs="仿宋"/>
                <w:color w:val="000000"/>
                <w:szCs w:val="21"/>
                <w:highlight w:val="none"/>
              </w:rPr>
              <w:t xml:space="preserve">（例）价格分采用低价优先法计算，即满足招标文件要求且投标价格最低的投标报价为评标基准价，其价格分为满分。其他供应商的价格分按照下列公式计算，保留小数点后2位：投标报价得分=（评标基准价／投标报价）×30。</w:t>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（例）P2</w:t>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r>
        <w:trPr>
          <w:trHeight w:val="703"/>
        </w:trPr>
        <w:tc>
          <w:tcPr>
            <w:tcW w:w="1215"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6013"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c>
          <w:tcPr>
            <w:tcW w:w="2004" w:type="dxa"/>
            <w:vAlign w:val="center"/>
            <w:textDirection w:val="lrTb"/>
            <w:noWrap w:val="false"/>
          </w:tcPr>
          <w:p>
            <w:pPr>
              <w:jc w:val="center"/>
              <w:spacing w:line="350" w:lineRule="exact"/>
              <w:rPr>
                <w:rFonts w:ascii="仿宋" w:hAnsi="仿宋" w:eastAsia="仿宋" w:cs="仿宋"/>
                <w:color w:val="000000"/>
                <w:szCs w:val="21"/>
                <w:highlight w:val="none"/>
              </w:rPr>
            </w:pPr>
            <w:r>
              <w:rPr>
                <w:rFonts w:ascii="仿宋" w:hAnsi="仿宋" w:eastAsia="仿宋" w:cs="仿宋"/>
                <w:color w:val="000000"/>
                <w:szCs w:val="21"/>
                <w:highlight w:val="none"/>
              </w:rPr>
            </w:r>
            <w:r/>
          </w:p>
        </w:tc>
      </w:tr>
    </w:tbl>
    <w:p>
      <w:pPr>
        <w:pStyle w:val="1020"/>
        <w:jc w:val="left"/>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注：1、表格中填写（例）仅为</w:t>
      </w:r>
      <w:r>
        <w:rPr>
          <w:rFonts w:hint="eastAsia" w:ascii="仿宋" w:hAnsi="仿宋" w:eastAsia="仿宋" w:cs="仿宋"/>
          <w:b/>
          <w:bCs/>
          <w:sz w:val="24"/>
          <w:szCs w:val="28"/>
          <w:highlight w:val="none"/>
          <w:lang w:eastAsia="zh-CN"/>
        </w:rPr>
        <w:t xml:space="preserve">投标人</w:t>
      </w:r>
      <w:r>
        <w:rPr>
          <w:rFonts w:hint="eastAsia" w:ascii="仿宋" w:hAnsi="仿宋" w:eastAsia="仿宋" w:cs="仿宋"/>
          <w:b/>
          <w:bCs/>
          <w:sz w:val="24"/>
          <w:szCs w:val="28"/>
          <w:highlight w:val="none"/>
        </w:rPr>
        <w:t xml:space="preserve">理解表格使用，</w:t>
      </w:r>
      <w:r>
        <w:rPr>
          <w:rFonts w:hint="eastAsia" w:ascii="仿宋" w:hAnsi="仿宋" w:eastAsia="仿宋" w:cs="仿宋"/>
          <w:b/>
          <w:bCs/>
          <w:sz w:val="24"/>
          <w:szCs w:val="28"/>
          <w:highlight w:val="none"/>
          <w:lang w:eastAsia="zh-CN"/>
        </w:rPr>
        <w:t xml:space="preserve">投标人</w:t>
      </w:r>
      <w:r>
        <w:rPr>
          <w:rFonts w:hint="eastAsia" w:ascii="仿宋" w:hAnsi="仿宋" w:eastAsia="仿宋" w:cs="仿宋"/>
          <w:b/>
          <w:bCs/>
          <w:sz w:val="24"/>
          <w:szCs w:val="28"/>
          <w:highlight w:val="none"/>
        </w:rPr>
        <w:t xml:space="preserve">制作文件时请删除。</w:t>
      </w:r>
      <w:r/>
    </w:p>
    <w:p>
      <w:pPr>
        <w:pStyle w:val="1020"/>
        <w:ind w:firstLine="482"/>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2、行数不够请自行添加。</w:t>
      </w:r>
      <w:r/>
    </w:p>
    <w:p>
      <w:pPr>
        <w:pStyle w:val="1020"/>
        <w:jc w:val="center"/>
        <w:rPr>
          <w:rFonts w:ascii="仿宋" w:hAnsi="仿宋" w:eastAsia="仿宋" w:cs="仿宋"/>
          <w:b/>
          <w:bCs/>
          <w:sz w:val="32"/>
          <w:szCs w:val="36"/>
          <w:highlight w:val="none"/>
        </w:rPr>
      </w:pPr>
      <w:r>
        <w:rPr>
          <w:rFonts w:hint="eastAsia" w:ascii="仿宋" w:hAnsi="仿宋" w:eastAsia="仿宋" w:cs="仿宋"/>
          <w:b/>
          <w:bCs/>
          <w:sz w:val="24"/>
          <w:szCs w:val="28"/>
          <w:highlight w:val="none"/>
        </w:rPr>
        <w:br w:type="page" w:clear="all"/>
      </w:r>
      <w:r>
        <w:rPr>
          <w:rFonts w:hint="eastAsia" w:ascii="仿宋" w:hAnsi="仿宋" w:eastAsia="仿宋" w:cs="仿宋"/>
          <w:b/>
          <w:bCs/>
          <w:sz w:val="32"/>
          <w:szCs w:val="36"/>
          <w:highlight w:val="none"/>
        </w:rPr>
        <w:t xml:space="preserve">目录</w:t>
      </w:r>
      <w:bookmarkEnd w:id="77"/>
      <w:r/>
      <w:r/>
    </w:p>
    <w:p>
      <w:pPr>
        <w:pStyle w:val="1021"/>
        <w:numPr>
          <w:ilvl w:val="0"/>
          <w:numId w:val="5"/>
        </w:numPr>
        <w:spacing w:line="560" w:lineRule="exact"/>
        <w:rPr>
          <w:rFonts w:hint="eastAsia" w:ascii="仿宋" w:hAnsi="仿宋" w:eastAsia="仿宋" w:cs="仿宋"/>
        </w:rPr>
      </w:pPr>
      <w:r>
        <w:rPr>
          <w:rFonts w:hint="eastAsia" w:ascii="仿宋" w:hAnsi="仿宋" w:eastAsia="仿宋" w:cs="仿宋"/>
        </w:rPr>
        <w:t xml:space="preserve">投标声明及承诺函</w:t>
      </w:r>
      <w:r/>
    </w:p>
    <w:p>
      <w:pPr>
        <w:pStyle w:val="1021"/>
        <w:numPr>
          <w:ilvl w:val="0"/>
          <w:numId w:val="5"/>
        </w:numPr>
        <w:spacing w:line="560" w:lineRule="exact"/>
        <w:rPr>
          <w:rFonts w:hint="eastAsia" w:ascii="仿宋" w:hAnsi="仿宋" w:eastAsia="仿宋" w:cs="仿宋"/>
        </w:rPr>
      </w:pPr>
      <w:r>
        <w:rPr>
          <w:rFonts w:hint="eastAsia" w:ascii="仿宋" w:hAnsi="仿宋" w:eastAsia="仿宋" w:cs="仿宋"/>
        </w:rPr>
        <w:t xml:space="preserve">法定代表人身份证明或法定代表人授权委托书</w:t>
      </w:r>
      <w:r/>
    </w:p>
    <w:p>
      <w:pPr>
        <w:pStyle w:val="1021"/>
        <w:numPr>
          <w:ilvl w:val="0"/>
          <w:numId w:val="5"/>
        </w:numPr>
        <w:spacing w:line="560" w:lineRule="exact"/>
        <w:rPr>
          <w:rFonts w:hint="eastAsia" w:ascii="仿宋" w:hAnsi="仿宋" w:eastAsia="仿宋" w:cs="仿宋"/>
        </w:rPr>
      </w:pPr>
      <w:r>
        <w:rPr>
          <w:rFonts w:hint="eastAsia" w:ascii="仿宋" w:hAnsi="仿宋" w:eastAsia="仿宋" w:cs="仿宋"/>
          <w:lang w:eastAsia="zh-CN"/>
        </w:rPr>
        <w:t xml:space="preserve">投标人</w:t>
      </w:r>
      <w:r>
        <w:rPr>
          <w:rFonts w:hint="eastAsia" w:ascii="仿宋" w:hAnsi="仿宋" w:eastAsia="仿宋" w:cs="仿宋"/>
        </w:rPr>
        <w:t xml:space="preserve">基本信息</w:t>
      </w:r>
      <w:r/>
    </w:p>
    <w:p>
      <w:pPr>
        <w:pStyle w:val="1021"/>
        <w:numPr>
          <w:ilvl w:val="0"/>
          <w:numId w:val="5"/>
        </w:numPr>
        <w:spacing w:line="560" w:lineRule="exact"/>
        <w:rPr>
          <w:rFonts w:hint="eastAsia" w:ascii="仿宋" w:hAnsi="仿宋" w:eastAsia="仿宋" w:cs="仿宋"/>
        </w:rPr>
      </w:pPr>
      <w:r>
        <w:rPr>
          <w:rFonts w:hint="eastAsia" w:ascii="仿宋" w:hAnsi="仿宋" w:eastAsia="仿宋" w:cs="仿宋"/>
          <w:lang w:eastAsia="zh-CN"/>
        </w:rPr>
        <w:t xml:space="preserve">投标人</w:t>
      </w:r>
      <w:r>
        <w:rPr>
          <w:rFonts w:hint="eastAsia" w:ascii="仿宋" w:hAnsi="仿宋" w:eastAsia="仿宋" w:cs="仿宋"/>
        </w:rPr>
        <w:t xml:space="preserve">资质</w:t>
      </w:r>
      <w:r/>
    </w:p>
    <w:p>
      <w:pPr>
        <w:pStyle w:val="1021"/>
        <w:numPr>
          <w:ilvl w:val="0"/>
          <w:numId w:val="5"/>
        </w:numPr>
        <w:spacing w:line="560" w:lineRule="exact"/>
        <w:rPr>
          <w:rFonts w:hint="eastAsia" w:ascii="仿宋" w:hAnsi="仿宋" w:eastAsia="仿宋" w:cs="仿宋"/>
        </w:rPr>
      </w:pPr>
      <w:r>
        <w:rPr>
          <w:rFonts w:hint="eastAsia" w:ascii="仿宋" w:hAnsi="仿宋" w:eastAsia="仿宋" w:cs="仿宋"/>
          <w:lang w:val="en-US" w:eastAsia="zh-CN"/>
        </w:rPr>
        <w:t xml:space="preserve">开标</w:t>
      </w:r>
      <w:r>
        <w:rPr>
          <w:rFonts w:hint="eastAsia" w:ascii="仿宋" w:hAnsi="仿宋" w:eastAsia="仿宋" w:cs="仿宋"/>
        </w:rPr>
        <w:t xml:space="preserve">一览表</w:t>
      </w:r>
      <w:r/>
    </w:p>
    <w:p>
      <w:pPr>
        <w:pStyle w:val="1021"/>
        <w:numPr>
          <w:ilvl w:val="0"/>
          <w:numId w:val="5"/>
        </w:numPr>
        <w:spacing w:line="560" w:lineRule="exact"/>
        <w:rPr>
          <w:rFonts w:hint="eastAsia" w:ascii="仿宋" w:hAnsi="仿宋" w:eastAsia="仿宋" w:cs="仿宋"/>
        </w:rPr>
      </w:pPr>
      <w:r>
        <w:rPr>
          <w:rFonts w:hint="eastAsia" w:ascii="仿宋" w:hAnsi="仿宋" w:eastAsia="仿宋" w:cs="仿宋"/>
        </w:rPr>
        <w:t xml:space="preserve">明细报价表</w:t>
      </w:r>
      <w:r/>
    </w:p>
    <w:p>
      <w:pPr>
        <w:pStyle w:val="1021"/>
        <w:numPr>
          <w:ilvl w:val="0"/>
          <w:numId w:val="5"/>
        </w:numPr>
        <w:spacing w:line="560" w:lineRule="exact"/>
        <w:rPr>
          <w:rFonts w:hint="eastAsia" w:ascii="仿宋" w:hAnsi="仿宋" w:eastAsia="仿宋" w:cs="仿宋"/>
        </w:rPr>
      </w:pPr>
      <w:r>
        <w:rPr>
          <w:rFonts w:hint="eastAsia" w:ascii="仿宋" w:hAnsi="仿宋" w:eastAsia="仿宋" w:cs="仿宋"/>
        </w:rPr>
        <w:t xml:space="preserve">技术响应偏离表</w:t>
      </w:r>
      <w:r/>
    </w:p>
    <w:p>
      <w:pPr>
        <w:pStyle w:val="1021"/>
        <w:numPr>
          <w:ilvl w:val="0"/>
          <w:numId w:val="5"/>
        </w:numPr>
        <w:spacing w:line="560" w:lineRule="exact"/>
        <w:rPr>
          <w:rFonts w:hint="eastAsia" w:ascii="仿宋" w:hAnsi="仿宋" w:eastAsia="仿宋" w:cs="仿宋"/>
        </w:rPr>
      </w:pPr>
      <w:r>
        <w:rPr>
          <w:rFonts w:hint="eastAsia" w:ascii="仿宋" w:hAnsi="仿宋" w:eastAsia="仿宋" w:cs="仿宋"/>
        </w:rPr>
        <w:t xml:space="preserve">商务响应偏离表</w:t>
      </w:r>
      <w:r/>
    </w:p>
    <w:p>
      <w:pPr>
        <w:pStyle w:val="1021"/>
        <w:numPr>
          <w:ilvl w:val="0"/>
          <w:numId w:val="5"/>
        </w:numPr>
        <w:spacing w:line="560" w:lineRule="exact"/>
        <w:rPr>
          <w:rFonts w:hint="eastAsia" w:ascii="仿宋" w:hAnsi="仿宋" w:eastAsia="仿宋" w:cs="仿宋"/>
        </w:rPr>
      </w:pPr>
      <w:r>
        <w:rPr>
          <w:rFonts w:hint="eastAsia" w:ascii="仿宋" w:hAnsi="仿宋" w:eastAsia="仿宋" w:cs="仿宋"/>
        </w:rPr>
        <w:t xml:space="preserve">配置清单、配件（耗材）清单</w:t>
      </w:r>
      <w:r>
        <w:rPr>
          <w:rFonts w:hint="eastAsia" w:ascii="仿宋" w:hAnsi="仿宋" w:eastAsia="仿宋" w:cs="仿宋"/>
          <w:lang w:eastAsia="zh-CN"/>
        </w:rPr>
        <w:t xml:space="preserve">（</w:t>
      </w:r>
      <w:r>
        <w:rPr>
          <w:rFonts w:hint="eastAsia" w:ascii="仿宋" w:hAnsi="仿宋" w:eastAsia="仿宋" w:cs="仿宋"/>
          <w:lang w:val="en-US" w:eastAsia="zh-CN"/>
        </w:rPr>
        <w:t xml:space="preserve">如有</w:t>
      </w:r>
      <w:r>
        <w:rPr>
          <w:rFonts w:hint="eastAsia" w:ascii="仿宋" w:hAnsi="仿宋" w:eastAsia="仿宋" w:cs="仿宋"/>
          <w:lang w:eastAsia="zh-CN"/>
        </w:rPr>
        <w:t xml:space="preserve">）</w:t>
      </w:r>
      <w:r/>
    </w:p>
    <w:p>
      <w:pPr>
        <w:pStyle w:val="1021"/>
        <w:numPr>
          <w:ilvl w:val="0"/>
          <w:numId w:val="5"/>
        </w:numPr>
        <w:spacing w:line="560" w:lineRule="exact"/>
        <w:rPr>
          <w:rFonts w:hint="eastAsia" w:ascii="仿宋" w:hAnsi="仿宋" w:eastAsia="仿宋" w:cs="仿宋"/>
        </w:rPr>
      </w:pPr>
      <w:r>
        <w:rPr>
          <w:rFonts w:hint="eastAsia" w:ascii="仿宋" w:hAnsi="仿宋" w:eastAsia="仿宋" w:cs="仿宋"/>
        </w:rPr>
        <w:t xml:space="preserve">服务方案等</w:t>
      </w:r>
      <w:r/>
    </w:p>
    <w:p>
      <w:pPr>
        <w:pStyle w:val="1021"/>
        <w:numPr>
          <w:ilvl w:val="0"/>
          <w:numId w:val="5"/>
        </w:numPr>
        <w:spacing w:line="560" w:lineRule="exact"/>
        <w:rPr>
          <w:rFonts w:hint="eastAsia" w:ascii="仿宋" w:hAnsi="仿宋" w:eastAsia="仿宋" w:cs="仿宋"/>
        </w:rPr>
      </w:pPr>
      <w:r>
        <w:rPr>
          <w:rFonts w:hint="eastAsia" w:ascii="仿宋" w:hAnsi="仿宋" w:eastAsia="仿宋" w:cs="仿宋"/>
          <w:lang w:eastAsia="zh-CN"/>
        </w:rPr>
        <w:t xml:space="preserve">投标人</w:t>
      </w:r>
      <w:r>
        <w:rPr>
          <w:rFonts w:hint="eastAsia" w:ascii="仿宋" w:hAnsi="仿宋" w:eastAsia="仿宋" w:cs="仿宋"/>
        </w:rPr>
        <w:t xml:space="preserve">项目管理、技术及服务人员一览表</w:t>
      </w:r>
      <w:r/>
    </w:p>
    <w:p>
      <w:pPr>
        <w:pStyle w:val="1021"/>
        <w:numPr>
          <w:ilvl w:val="0"/>
          <w:numId w:val="5"/>
        </w:numPr>
        <w:spacing w:line="560" w:lineRule="exact"/>
        <w:rPr>
          <w:rFonts w:hint="eastAsia" w:ascii="仿宋" w:hAnsi="仿宋" w:eastAsia="仿宋" w:cs="仿宋"/>
        </w:rPr>
      </w:pPr>
      <w:r>
        <w:rPr>
          <w:rFonts w:hint="eastAsia" w:ascii="仿宋" w:hAnsi="仿宋" w:eastAsia="仿宋" w:cs="仿宋"/>
        </w:rPr>
        <w:t xml:space="preserve">业绩一览表</w:t>
      </w:r>
      <w:r/>
    </w:p>
    <w:p>
      <w:pPr>
        <w:pStyle w:val="1021"/>
        <w:numPr>
          <w:ilvl w:val="0"/>
          <w:numId w:val="5"/>
        </w:numPr>
        <w:spacing w:line="560" w:lineRule="exact"/>
        <w:rPr>
          <w:rFonts w:hint="eastAsia" w:ascii="仿宋" w:hAnsi="仿宋" w:eastAsia="仿宋" w:cs="仿宋"/>
        </w:rPr>
      </w:pPr>
      <w:r>
        <w:rPr>
          <w:rFonts w:hint="eastAsia" w:ascii="仿宋" w:hAnsi="仿宋" w:eastAsia="仿宋" w:cs="仿宋"/>
        </w:rPr>
        <w:t xml:space="preserve">中小企业或残疾人福利性单位声明函</w:t>
      </w:r>
      <w:r/>
    </w:p>
    <w:p>
      <w:pPr>
        <w:pStyle w:val="1021"/>
        <w:numPr>
          <w:ilvl w:val="0"/>
          <w:numId w:val="5"/>
        </w:numPr>
        <w:spacing w:line="560" w:lineRule="exact"/>
        <w:rPr>
          <w:rFonts w:hint="eastAsia" w:ascii="仿宋" w:hAnsi="仿宋" w:eastAsia="仿宋" w:cs="仿宋"/>
        </w:rPr>
      </w:pPr>
      <w:r>
        <w:rPr>
          <w:rFonts w:hint="eastAsia" w:ascii="仿宋" w:hAnsi="仿宋" w:eastAsia="仿宋" w:cs="仿宋"/>
        </w:rPr>
        <w:t xml:space="preserve">投标所需的其他资料</w:t>
      </w:r>
      <w:r/>
    </w:p>
    <w:p>
      <w:pPr>
        <w:rPr>
          <w:rFonts w:ascii="仿宋" w:hAnsi="仿宋" w:eastAsia="仿宋" w:cs="仿宋"/>
          <w:highlight w:val="none"/>
        </w:rPr>
      </w:pPr>
      <w:r>
        <w:rPr>
          <w:rFonts w:ascii="仿宋" w:hAnsi="仿宋" w:eastAsia="仿宋" w:cs="仿宋"/>
          <w:highlight w:val="none"/>
        </w:rPr>
      </w:r>
      <w:r/>
    </w:p>
    <w:p>
      <w:pPr>
        <w:pStyle w:val="1022"/>
        <w:rPr>
          <w:rFonts w:ascii="仿宋" w:hAnsi="仿宋" w:eastAsia="仿宋" w:cs="仿宋"/>
          <w:highlight w:val="none"/>
        </w:rPr>
        <w:outlineLvl w:val="1"/>
      </w:pPr>
      <w:r>
        <w:rPr>
          <w:rFonts w:hint="eastAsia" w:ascii="仿宋" w:hAnsi="仿宋" w:eastAsia="仿宋" w:cs="仿宋"/>
          <w:highlight w:val="none"/>
        </w:rPr>
        <w:br w:type="page" w:clear="all"/>
      </w:r>
      <w:bookmarkStart w:id="78" w:name="_Toc26424"/>
      <w:r>
        <w:rPr>
          <w:rFonts w:hint="eastAsia" w:ascii="仿宋" w:hAnsi="仿宋" w:eastAsia="仿宋" w:cs="仿宋"/>
          <w:highlight w:val="none"/>
        </w:rPr>
        <w:t xml:space="preserve">一、</w:t>
      </w:r>
      <w:bookmarkEnd w:id="78"/>
      <w:r>
        <w:rPr>
          <w:rFonts w:hint="eastAsia" w:ascii="仿宋" w:hAnsi="仿宋" w:eastAsia="仿宋" w:cs="仿宋"/>
          <w:highlight w:val="none"/>
        </w:rPr>
        <w:t xml:space="preserve">投标声明及承诺函</w:t>
      </w:r>
      <w:r/>
    </w:p>
    <w:p>
      <w:pPr>
        <w:pStyle w:val="1023"/>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23"/>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23"/>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23"/>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2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2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2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2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w:t>
      </w:r>
      <w:r>
        <w:rPr>
          <w:rFonts w:hint="eastAsia" w:ascii="仿宋" w:hAnsi="仿宋" w:eastAsia="仿宋" w:cs="仿宋"/>
          <w:color w:val="000000"/>
          <w:sz w:val="24"/>
          <w:szCs w:val="24"/>
          <w:highlight w:val="none"/>
          <w:lang w:eastAsia="zh-CN"/>
        </w:rPr>
        <w:t xml:space="preserve">们将</w:t>
      </w:r>
      <w:r>
        <w:rPr>
          <w:rFonts w:hint="eastAsia" w:ascii="仿宋" w:hAnsi="仿宋" w:eastAsia="仿宋" w:cs="仿宋"/>
          <w:color w:val="000000"/>
          <w:sz w:val="24"/>
          <w:szCs w:val="24"/>
          <w:highlight w:val="none"/>
        </w:rPr>
        <w:t xml:space="preserve">酌情决定是否参加当场变更的竞争性谈判采购或单一来源方式采购。</w:t>
      </w:r>
      <w:r/>
    </w:p>
    <w:p>
      <w:pPr>
        <w:pStyle w:val="102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2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w:t>
      </w:r>
      <w:r>
        <w:rPr>
          <w:rFonts w:hint="eastAsia" w:ascii="仿宋" w:hAnsi="仿宋" w:eastAsia="仿宋" w:cs="仿宋"/>
          <w:color w:val="000000"/>
          <w:sz w:val="24"/>
          <w:szCs w:val="24"/>
          <w:highlight w:val="none"/>
          <w:lang w:eastAsia="zh-CN"/>
        </w:rPr>
        <w:t xml:space="preserve">按照</w:t>
      </w:r>
      <w:r>
        <w:rPr>
          <w:rFonts w:hint="eastAsia" w:ascii="仿宋" w:hAnsi="仿宋" w:eastAsia="仿宋" w:cs="仿宋"/>
          <w:color w:val="000000"/>
          <w:sz w:val="24"/>
          <w:szCs w:val="24"/>
          <w:highlight w:val="none"/>
        </w:rPr>
        <w:t xml:space="preserve">《中华人民共和国民法典（第三编合同）》及其他有关法律、法规的规定，按期、按质提供服务给采购单位，全面做到履约守信；</w:t>
      </w:r>
      <w:r/>
    </w:p>
    <w:p>
      <w:pPr>
        <w:pStyle w:val="102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2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九、我司承诺若获得中标/成交资格，我司保证在领取中标/成交通知书前按照招标文件约定的标准，向采购代理机构一次性缴纳采购代理服务费。</w:t>
      </w:r>
      <w:r/>
    </w:p>
    <w:p>
      <w:pPr>
        <w:pStyle w:val="1023"/>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23"/>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2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十、我方承诺，我单位递交的投标（响应）文件正本、副本、电子版文件清晰可辨，三者内容一致。我方决不提供虚假材料谋取中标（成交）、决不采取不正当手段诋毁、排挤其他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23"/>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十一、我单位未组成联合体响应，中标/成交后不进行分包、转包。</w:t>
      </w:r>
      <w:r/>
    </w:p>
    <w:p>
      <w:pPr>
        <w:pStyle w:val="102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2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2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2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23"/>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23"/>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23"/>
        <w:ind w:firstLine="48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名称：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（盖章）</w:t>
      </w:r>
      <w:r/>
    </w:p>
    <w:p>
      <w:pPr>
        <w:pStyle w:val="1023"/>
        <w:ind w:firstLine="48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（签字或盖章）</w:t>
      </w:r>
      <w:r/>
    </w:p>
    <w:p>
      <w:pPr>
        <w:pStyle w:val="1023"/>
        <w:ind w:firstLine="480"/>
        <w:spacing w:line="360" w:lineRule="auto"/>
        <w:rPr>
          <w:rFonts w:ascii="仿宋" w:hAnsi="仿宋" w:eastAsia="仿宋" w:cs="仿宋"/>
          <w:highlight w:val="none"/>
        </w:rPr>
      </w:pPr>
      <w:r>
        <w:rPr>
          <w:rFonts w:hint="eastAsia" w:ascii="仿宋" w:hAnsi="仿宋" w:eastAsia="仿宋" w:cs="仿宋"/>
          <w:sz w:val="24"/>
          <w:szCs w:val="24"/>
          <w:highlight w:val="none"/>
        </w:rPr>
        <w:t xml:space="preserve">日期：    年    月   日</w:t>
      </w:r>
      <w:r/>
    </w:p>
    <w:p>
      <w:pPr>
        <w:pStyle w:val="102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3"/>
        <w:jc w:val="both"/>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3"/>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3"/>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3"/>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24"/>
        <w:rPr>
          <w:rFonts w:ascii="仿宋" w:hAnsi="仿宋" w:eastAsia="仿宋" w:cs="仿宋"/>
          <w:highlight w:val="none"/>
        </w:rPr>
        <w:outlineLvl w:val="1"/>
      </w:pPr>
      <w:r>
        <w:rPr>
          <w:rFonts w:hint="eastAsia" w:ascii="仿宋" w:hAnsi="仿宋" w:eastAsia="仿宋" w:cs="仿宋"/>
          <w:highlight w:val="none"/>
        </w:rPr>
        <w:br w:type="page" w:clear="all"/>
      </w:r>
      <w:bookmarkStart w:id="79" w:name="_Toc14797"/>
      <w:r>
        <w:rPr>
          <w:rFonts w:hint="eastAsia" w:ascii="仿宋" w:hAnsi="仿宋" w:eastAsia="仿宋" w:cs="仿宋"/>
          <w:highlight w:val="none"/>
        </w:rPr>
        <w:t xml:space="preserve">二、</w:t>
      </w:r>
      <w:bookmarkEnd w:id="79"/>
      <w:r>
        <w:rPr>
          <w:rFonts w:hint="eastAsia" w:ascii="仿宋" w:hAnsi="仿宋" w:eastAsia="仿宋" w:cs="仿宋"/>
          <w:highlight w:val="none"/>
        </w:rPr>
        <w:t xml:space="preserve">法定代表人身份证明或法定代表人授权委托书</w:t>
      </w:r>
      <w:r/>
    </w:p>
    <w:p>
      <w:pPr>
        <w:pStyle w:val="1025"/>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25"/>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26"/>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26"/>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26"/>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26"/>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26"/>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26"/>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26"/>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26"/>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26"/>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27"/>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（法定代表人出席开标会议的提供，未出席的可不提供。附法定代表人身份证复印件）</w:t>
      </w:r>
      <w:r/>
    </w:p>
    <w:p>
      <w:pPr>
        <w:pStyle w:val="1028"/>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28"/>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（盖章）</w:t>
      </w:r>
      <w:r/>
    </w:p>
    <w:p>
      <w:pPr>
        <w:pStyle w:val="1028"/>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（签字或盖章）</w:t>
      </w:r>
      <w:r/>
    </w:p>
    <w:p>
      <w:pPr>
        <w:pStyle w:val="1028"/>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25"/>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25"/>
        <w:spacing w:line="600" w:lineRule="exact"/>
        <w:rPr>
          <w:rFonts w:ascii="仿宋" w:hAnsi="仿宋" w:eastAsia="仿宋" w:cs="仿宋"/>
          <w:sz w:val="32"/>
          <w:highlight w:val="none"/>
        </w:rPr>
      </w:pPr>
      <w:r>
        <w:rPr>
          <w:rFonts w:ascii="仿宋" w:hAnsi="仿宋" w:eastAsia="仿宋" w:cs="仿宋"/>
          <w:sz w:val="32"/>
          <w:highlight w:val="none"/>
        </w:rPr>
      </w:r>
      <w:r/>
    </w:p>
    <w:p>
      <w:pPr>
        <w:pStyle w:val="1028"/>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28"/>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招标活动的一切事宜。</w:t>
      </w:r>
      <w:r/>
    </w:p>
    <w:p>
      <w:pPr>
        <w:pStyle w:val="1028"/>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28"/>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28"/>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28"/>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（授权委托人出席开标会议的提供，附法定代表人及被授权人身份证复印件）</w:t>
      </w:r>
      <w:r/>
    </w:p>
    <w:p>
      <w:pPr>
        <w:pStyle w:val="1028"/>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28"/>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（盖章）</w:t>
      </w:r>
      <w:r/>
    </w:p>
    <w:p>
      <w:pPr>
        <w:pStyle w:val="1028"/>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（签字或盖章）</w:t>
      </w:r>
      <w:r/>
    </w:p>
    <w:p>
      <w:pPr>
        <w:pStyle w:val="1028"/>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授权委托人：</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（签字）</w:t>
      </w:r>
      <w:r/>
    </w:p>
    <w:p>
      <w:pPr>
        <w:pStyle w:val="1028"/>
        <w:ind w:firstLine="629"/>
        <w:spacing w:line="70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29"/>
        <w:rPr>
          <w:rFonts w:ascii="仿宋" w:hAnsi="仿宋" w:eastAsia="仿宋" w:cs="仿宋"/>
          <w:highlight w:val="none"/>
        </w:rPr>
        <w:outlineLvl w:val="1"/>
      </w:pPr>
      <w:r>
        <w:rPr>
          <w:rFonts w:hint="eastAsia" w:ascii="仿宋" w:hAnsi="仿宋" w:eastAsia="仿宋" w:cs="仿宋"/>
          <w:highlight w:val="none"/>
        </w:rPr>
        <w:br w:type="page" w:clear="all"/>
      </w:r>
      <w:bookmarkStart w:id="80" w:name="_Toc26108"/>
      <w:r>
        <w:rPr>
          <w:rFonts w:hint="eastAsia" w:ascii="仿宋" w:hAnsi="仿宋" w:eastAsia="仿宋" w:cs="仿宋"/>
          <w:highlight w:val="none"/>
        </w:rPr>
        <w:t xml:space="preserve">三、</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bookmarkEnd w:id="80"/>
      <w:r/>
      <w:r/>
    </w:p>
    <w:p>
      <w:pPr>
        <w:pStyle w:val="1030"/>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4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0"/>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0"/>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0"/>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0"/>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0"/>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1030"/>
        <w:jc w:val="center"/>
        <w:spacing w:line="560" w:lineRule="exact"/>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030"/>
        <w:spacing w:line="560" w:lineRule="exact"/>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pStyle w:val="1031"/>
        <w:jc w:val="left"/>
        <w:rPr>
          <w:rFonts w:hint="eastAsia" w:ascii="仿宋" w:hAnsi="仿宋" w:eastAsia="仿宋" w:cs="仿宋"/>
          <w:b/>
          <w:sz w:val="32"/>
          <w:szCs w:val="24"/>
          <w:highlight w:val="none"/>
        </w:rPr>
        <w:outlineLvl w:val="1"/>
      </w:pPr>
      <w:r>
        <w:rPr>
          <w:rFonts w:hint="eastAsia" w:ascii="仿宋" w:hAnsi="仿宋" w:eastAsia="仿宋" w:cs="仿宋"/>
          <w:highlight w:val="none"/>
        </w:rPr>
        <w:br w:type="page" w:clear="all"/>
      </w:r>
      <w:bookmarkStart w:id="81" w:name="_Toc21718"/>
      <w:r>
        <w:rPr>
          <w:rFonts w:hint="eastAsia" w:ascii="仿宋" w:hAnsi="仿宋" w:eastAsia="仿宋" w:cs="仿宋"/>
          <w:b/>
          <w:sz w:val="32"/>
          <w:szCs w:val="24"/>
          <w:highlight w:val="none"/>
        </w:rPr>
        <w:t xml:space="preserve">四、</w:t>
      </w:r>
      <w:r>
        <w:rPr>
          <w:rFonts w:hint="eastAsia" w:ascii="仿宋" w:hAnsi="仿宋" w:eastAsia="仿宋" w:cs="仿宋"/>
          <w:b/>
          <w:sz w:val="32"/>
          <w:szCs w:val="24"/>
          <w:highlight w:val="none"/>
          <w:lang w:eastAsia="zh-CN"/>
        </w:rPr>
        <w:t xml:space="preserve">投标人</w:t>
      </w:r>
      <w:r>
        <w:rPr>
          <w:rFonts w:hint="eastAsia" w:ascii="仿宋" w:hAnsi="仿宋" w:eastAsia="仿宋" w:cs="仿宋"/>
          <w:b/>
          <w:sz w:val="32"/>
          <w:szCs w:val="24"/>
          <w:highlight w:val="none"/>
        </w:rPr>
        <w:t xml:space="preserve">资质</w:t>
      </w:r>
      <w:bookmarkEnd w:id="81"/>
      <w:r>
        <w:rPr>
          <w:rFonts w:hint="eastAsia" w:ascii="仿宋" w:hAnsi="仿宋" w:eastAsia="仿宋" w:cs="仿宋"/>
          <w:b/>
          <w:sz w:val="32"/>
          <w:szCs w:val="24"/>
          <w:highlight w:val="none"/>
        </w:rPr>
        <w:t xml:space="preserve">（按资格要求提供）</w:t>
      </w:r>
      <w:r/>
    </w:p>
    <w:p>
      <w:pPr>
        <w:pStyle w:val="1032"/>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(1)具有独立承担民事责任的能力</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pStyle w:val="1033"/>
        <w:jc w:val="left"/>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(2)具有良好的商业信誉和健全的财务会计制度</w:t>
      </w:r>
      <w:r>
        <w:rPr>
          <w:rFonts w:hint="eastAsia" w:ascii="仿宋" w:hAnsi="仿宋" w:eastAsia="仿宋" w:cs="仿宋"/>
          <w:bCs/>
          <w:color w:val="auto"/>
          <w:sz w:val="28"/>
          <w:szCs w:val="28"/>
          <w:highlight w:val="none"/>
        </w:rPr>
        <w:br w:type="page" w:clear="all"/>
      </w:r>
      <w:r/>
    </w:p>
    <w:p>
      <w:pPr>
        <w:pStyle w:val="1033"/>
        <w:jc w:val="left"/>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(3)具有履行合同所必需的设备和专业技术能力</w:t>
      </w:r>
      <w:r/>
    </w:p>
    <w:p>
      <w:pPr>
        <w:pStyle w:val="1033"/>
        <w:jc w:val="left"/>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1033"/>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具备履行合同所必需的设备和专业技术能力的声明</w:t>
      </w:r>
      <w:r/>
    </w:p>
    <w:p>
      <w:pPr>
        <w:pStyle w:val="1033"/>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033"/>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033"/>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   我公司具备履行编号为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项目合同的设备和专业技术能力。</w:t>
      </w:r>
      <w:r/>
    </w:p>
    <w:p>
      <w:pPr>
        <w:pStyle w:val="1033"/>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3"/>
        <w:ind w:firstLine="480"/>
        <w:spacing w:line="60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033"/>
        <w:jc w:val="center"/>
        <w:spacing w:line="6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02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7"/>
        <w:ind w:firstLine="723"/>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     年      月      日</w:t>
      </w:r>
      <w:r/>
    </w:p>
    <w:p>
      <w:pPr>
        <w:pStyle w:val="1033"/>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注：可后附佐证材料</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Cs/>
          <w:sz w:val="28"/>
          <w:szCs w:val="28"/>
        </w:rPr>
        <w:t xml:space="preserve">(4)有依法缴纳税收和社会保障资金的良好记录；</w:t>
      </w:r>
      <w:r>
        <w:rPr>
          <w:rFonts w:hint="eastAsia" w:ascii="仿宋" w:hAnsi="仿宋" w:eastAsia="仿宋" w:cs="仿宋"/>
          <w:b/>
          <w:color w:val="auto"/>
          <w:sz w:val="32"/>
          <w:szCs w:val="32"/>
          <w:highlight w:val="none"/>
        </w:rPr>
        <w:br w:type="page" w:clear="all"/>
      </w:r>
      <w:r/>
    </w:p>
    <w:p>
      <w:pPr>
        <w:pStyle w:val="1032"/>
        <w:jc w:val="center"/>
        <w:spacing w:line="580" w:lineRule="exact"/>
        <w:tabs>
          <w:tab w:val="left" w:pos="1498" w:leader="none"/>
        </w:tabs>
        <w:rPr>
          <w:rFonts w:hint="eastAsia" w:ascii="仿宋" w:hAnsi="仿宋" w:eastAsia="仿宋" w:cs="仿宋"/>
          <w:b/>
          <w:color w:val="auto"/>
          <w:sz w:val="32"/>
          <w:szCs w:val="32"/>
          <w:highlight w:val="none"/>
        </w:rPr>
      </w:pPr>
      <w:r>
        <w:rPr>
          <w:rFonts w:hint="eastAsia" w:ascii="仿宋" w:hAnsi="仿宋" w:eastAsia="仿宋" w:cs="仿宋"/>
          <w:bCs/>
          <w:sz w:val="28"/>
          <w:szCs w:val="28"/>
        </w:rPr>
        <w:t xml:space="preserve">(5)参加本项目采购活动前三年内，在经营活动中没有重大违法记录；</w:t>
      </w:r>
      <w:r/>
    </w:p>
    <w:p>
      <w:pPr>
        <w:pStyle w:val="1032"/>
        <w:jc w:val="center"/>
        <w:spacing w:line="580" w:lineRule="exact"/>
        <w:tabs>
          <w:tab w:val="left" w:pos="1498"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32"/>
        <w:jc w:val="center"/>
        <w:spacing w:line="580" w:lineRule="exact"/>
        <w:tabs>
          <w:tab w:val="left" w:pos="1498" w:leader="none"/>
        </w:tabs>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无重大违法行为声明</w:t>
      </w:r>
      <w:r/>
    </w:p>
    <w:p>
      <w:pPr>
        <w:pStyle w:val="1032"/>
        <w:spacing w:line="580" w:lineRule="exact"/>
        <w:tabs>
          <w:tab w:val="left" w:pos="1498" w:leader="none"/>
        </w:tabs>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w:t>
      </w:r>
      <w:r/>
    </w:p>
    <w:p>
      <w:pPr>
        <w:pStyle w:val="1032"/>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我公司在参加编号为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32"/>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032"/>
        <w:ind w:firstLine="60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（说明：重大违法记录是指</w:t>
      </w:r>
      <w:r>
        <w:rPr>
          <w:rFonts w:hint="eastAsia" w:ascii="仿宋" w:hAnsi="仿宋" w:eastAsia="仿宋" w:cs="仿宋"/>
          <w:bCs/>
          <w:color w:val="auto"/>
          <w:sz w:val="24"/>
          <w:szCs w:val="20"/>
          <w:highlight w:val="none"/>
          <w:lang w:eastAsia="zh-CN"/>
        </w:rPr>
        <w:t xml:space="preserve">投标人</w:t>
      </w:r>
      <w:r>
        <w:rPr>
          <w:rFonts w:hint="eastAsia" w:ascii="仿宋" w:hAnsi="仿宋" w:eastAsia="仿宋" w:cs="仿宋"/>
          <w:bCs/>
          <w:color w:val="auto"/>
          <w:sz w:val="24"/>
          <w:szCs w:val="20"/>
          <w:highlight w:val="none"/>
        </w:rPr>
        <w:t xml:space="preserve">因违法经营受到刑事处罚或者责令停产停业、吊销许可证或者执照、较大数额罚款等行政处罚， 其中较大数额罚款指200万元以上的罚款。）</w:t>
      </w:r>
      <w:r/>
    </w:p>
    <w:p>
      <w:pPr>
        <w:pStyle w:val="1032"/>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32"/>
        <w:ind w:firstLine="600"/>
        <w:spacing w:line="6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28"/>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6"/>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037"/>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lang w:val="en-US" w:eastAsia="zh-CN"/>
        </w:rPr>
        <w:t xml:space="preserve">日期： </w:t>
      </w:r>
      <w:r>
        <w:rPr>
          <w:rFonts w:hint="eastAsia" w:ascii="仿宋" w:hAnsi="仿宋" w:eastAsia="仿宋" w:cs="仿宋"/>
          <w:b/>
          <w:color w:val="auto"/>
          <w:sz w:val="24"/>
          <w:szCs w:val="20"/>
          <w:highlight w:val="none"/>
        </w:rPr>
        <w:t xml:space="preserve">     年      月      日</w:t>
      </w:r>
      <w:r/>
    </w:p>
    <w:p>
      <w:pPr>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left="0" w:right="0"/>
        <w:jc w:val="both"/>
        <w:keepLines w:val="0"/>
        <w:keepNext w:val="0"/>
        <w:spacing w:before="0" w:beforeAutospacing="0" w:after="0" w:afterAutospacing="0"/>
        <w:widowControl w:val="off"/>
        <w:suppressLineNumbers w:val="0"/>
      </w:pPr>
      <w:r>
        <w:rPr>
          <w:rFonts w:hint="eastAsia" w:ascii="仿宋" w:hAnsi="仿宋" w:eastAsia="仿宋" w:cs="仿宋"/>
          <w:bCs/>
          <w:sz w:val="28"/>
          <w:szCs w:val="28"/>
          <w:highlight w:val="none"/>
        </w:rPr>
        <w:br w:type="page" w:clear="all"/>
      </w:r>
      <w:r/>
    </w:p>
    <w:p>
      <w:pPr>
        <w:spacing w:line="500" w:lineRule="exact"/>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（6）法律、行政法规规定的其他条件</w:t>
      </w:r>
      <w:r/>
    </w:p>
    <w:p>
      <w:pPr>
        <w:rPr>
          <w:rFonts w:ascii="仿宋" w:hAnsi="仿宋" w:eastAsia="仿宋" w:cs="仿宋"/>
          <w:highlight w:val="none"/>
        </w:rPr>
      </w:pPr>
      <w:r>
        <w:rPr>
          <w:rFonts w:ascii="仿宋" w:hAnsi="仿宋" w:eastAsia="仿宋" w:cs="仿宋"/>
          <w:highlight w:val="none"/>
        </w:rPr>
        <w:br w:type="page" w:clear="all"/>
      </w:r>
      <w:r/>
    </w:p>
    <w:p>
      <w:pPr>
        <w:pStyle w:val="1032"/>
        <w:rPr>
          <w:rFonts w:ascii="仿宋" w:hAnsi="仿宋" w:eastAsia="仿宋" w:cs="仿宋"/>
          <w:b/>
          <w:sz w:val="32"/>
          <w:szCs w:val="24"/>
          <w:highlight w:val="none"/>
        </w:rPr>
        <w:outlineLvl w:val="9"/>
      </w:pPr>
      <w:r>
        <w:rPr>
          <w:rFonts w:hint="eastAsia" w:ascii="仿宋" w:hAnsi="仿宋" w:eastAsia="仿宋" w:cs="仿宋"/>
          <w:bCs/>
          <w:sz w:val="28"/>
          <w:szCs w:val="28"/>
          <w:highlight w:val="none"/>
        </w:rPr>
        <w:t xml:space="preserve">（7）本项目的其他资格要求</w:t>
      </w:r>
      <w:r>
        <w:rPr>
          <w:rFonts w:hint="eastAsia" w:ascii="仿宋" w:hAnsi="仿宋" w:eastAsia="仿宋" w:cs="仿宋"/>
          <w:highlight w:val="none"/>
        </w:rPr>
        <w:br w:type="page" w:clear="all"/>
      </w:r>
      <w:bookmarkStart w:id="82" w:name="_Toc23916"/>
      <w:r>
        <w:rPr>
          <w:rFonts w:hint="eastAsia" w:ascii="仿宋" w:hAnsi="仿宋" w:eastAsia="仿宋" w:cs="仿宋"/>
          <w:b/>
          <w:sz w:val="32"/>
          <w:szCs w:val="24"/>
          <w:highlight w:val="none"/>
        </w:rPr>
        <w:t xml:space="preserve">五、</w:t>
      </w:r>
      <w:bookmarkEnd w:id="82"/>
      <w:r>
        <w:rPr>
          <w:rFonts w:hint="eastAsia" w:ascii="仿宋" w:hAnsi="仿宋" w:eastAsia="仿宋" w:cs="仿宋"/>
          <w:b/>
          <w:sz w:val="32"/>
          <w:szCs w:val="24"/>
          <w:highlight w:val="none"/>
        </w:rPr>
        <w:t xml:space="preserve">开标一览表</w:t>
      </w:r>
      <w:r/>
    </w:p>
    <w:p>
      <w:pPr>
        <w:jc w:val="left"/>
        <w:spacing w:line="520" w:lineRule="exact"/>
        <w:widowControl/>
        <w:rPr>
          <w:rFonts w:ascii="仿宋" w:hAnsi="仿宋" w:eastAsia="仿宋" w:cs="仿宋"/>
          <w:highlight w:val="none"/>
        </w:rPr>
      </w:pPr>
      <w:r>
        <w:rPr>
          <w:rFonts w:hint="eastAsia" w:ascii="仿宋" w:hAnsi="仿宋" w:eastAsia="仿宋" w:cs="仿宋"/>
          <w:highlight w:val="none"/>
        </w:rPr>
        <w:t xml:space="preserve">项目编号：</w:t>
      </w:r>
      <w:r/>
    </w:p>
    <w:p>
      <w:pPr>
        <w:jc w:val="left"/>
        <w:spacing w:line="520" w:lineRule="exact"/>
        <w:widowControl/>
        <w:rPr>
          <w:highlight w:val="none"/>
        </w:rPr>
      </w:pPr>
      <w:r>
        <w:rPr>
          <w:rFonts w:hint="eastAsia" w:ascii="仿宋" w:hAnsi="仿宋" w:eastAsia="仿宋" w:cs="仿宋"/>
          <w:highlight w:val="none"/>
        </w:rPr>
        <w:t xml:space="preserve">项目名称：</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39"/>
              <w:jc w:val="center"/>
              <w:spacing w:line="440" w:lineRule="exact"/>
              <w:rPr>
                <w:rFonts w:ascii="仿宋" w:hAnsi="仿宋" w:eastAsia="仿宋" w:cs="仿宋"/>
                <w:b/>
                <w:highlight w:val="none"/>
              </w:rPr>
            </w:pPr>
            <w:r>
              <w:rPr>
                <w:rFonts w:hint="eastAsia" w:ascii="仿宋" w:hAnsi="仿宋" w:eastAsia="仿宋" w:cs="仿宋"/>
                <w:b/>
                <w:highlight w:val="none"/>
              </w:rPr>
              <w:t xml:space="preserve">标题</w:t>
            </w:r>
            <w:r/>
          </w:p>
        </w:tc>
        <w:tc>
          <w:tcPr>
            <w:tcMar>
              <w:top w:w="100" w:type="dxa"/>
              <w:bottom w:w="100" w:type="dxa"/>
            </w:tcMar>
            <w:tcW w:w="5587" w:type="dxa"/>
            <w:vAlign w:val="center"/>
            <w:textDirection w:val="lrTb"/>
            <w:noWrap w:val="false"/>
          </w:tcPr>
          <w:p>
            <w:pPr>
              <w:pStyle w:val="1039"/>
              <w:jc w:val="center"/>
              <w:spacing w:line="440" w:lineRule="exact"/>
              <w:rPr>
                <w:rFonts w:ascii="仿宋" w:hAnsi="仿宋" w:eastAsia="仿宋" w:cs="仿宋"/>
                <w:b/>
                <w:highlight w:val="none"/>
              </w:rPr>
            </w:pPr>
            <w:r>
              <w:rPr>
                <w:rFonts w:hint="eastAsia" w:ascii="仿宋" w:hAnsi="仿宋" w:eastAsia="仿宋" w:cs="仿宋"/>
                <w:b/>
                <w:highlight w:val="none"/>
              </w:rPr>
              <w:t xml:space="preserve">内容</w:t>
            </w:r>
            <w:r/>
          </w:p>
        </w:tc>
      </w:tr>
      <w:tr>
        <w:trPr>
          <w:tblHeader/>
        </w:trPr>
        <w:tc>
          <w:tcPr>
            <w:tcMar>
              <w:top w:w="100" w:type="dxa"/>
              <w:bottom w:w="100" w:type="dxa"/>
            </w:tcMar>
            <w:tcW w:w="3473" w:type="dxa"/>
            <w:vAlign w:val="center"/>
            <w:textDirection w:val="lrTb"/>
            <w:noWrap w:val="false"/>
          </w:tcPr>
          <w:p>
            <w:pPr>
              <w:pStyle w:val="1039"/>
              <w:spacing w:line="440" w:lineRule="exact"/>
              <w:rPr>
                <w:rFonts w:hint="eastAsia" w:ascii="仿宋" w:hAnsi="仿宋" w:eastAsia="仿宋" w:cs="仿宋"/>
                <w:bCs/>
                <w:highlight w:val="none"/>
              </w:rPr>
            </w:pPr>
            <w:r>
              <w:rPr>
                <w:rFonts w:hint="eastAsia" w:ascii="仿宋" w:hAnsi="仿宋" w:eastAsia="仿宋" w:cs="仿宋"/>
                <w:bCs/>
                <w:highlight w:val="none"/>
              </w:rPr>
              <w:t xml:space="preserve">成本管理系统</w:t>
            </w:r>
            <w:r/>
          </w:p>
        </w:tc>
        <w:tc>
          <w:tcPr>
            <w:tcMar>
              <w:top w:w="100" w:type="dxa"/>
              <w:bottom w:w="100" w:type="dxa"/>
            </w:tcMar>
            <w:tcW w:w="5587" w:type="dxa"/>
            <w:vAlign w:val="center"/>
            <w:textDirection w:val="lrTb"/>
            <w:noWrap w:val="false"/>
          </w:tcPr>
          <w:p>
            <w:pPr>
              <w:pStyle w:val="1039"/>
              <w:spacing w:line="440" w:lineRule="exact"/>
              <w:rPr>
                <w:rFonts w:ascii="仿宋" w:hAnsi="仿宋" w:eastAsia="仿宋" w:cs="仿宋"/>
                <w:bCs/>
                <w:highlight w:val="none"/>
              </w:rPr>
            </w:pPr>
            <w:r>
              <w:rPr>
                <w:rFonts w:hint="eastAsia" w:ascii="仿宋" w:hAnsi="仿宋" w:eastAsia="仿宋" w:cs="仿宋"/>
                <w:bCs/>
                <w:highlight w:val="none"/>
              </w:rPr>
              <w:t xml:space="preserve">大写：人民币</w:t>
            </w: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p>
            <w:pPr>
              <w:pStyle w:val="1039"/>
              <w:spacing w:line="440" w:lineRule="exact"/>
              <w:rPr>
                <w:rFonts w:hint="eastAsia" w:ascii="仿宋" w:hAnsi="仿宋" w:eastAsia="仿宋" w:cs="仿宋"/>
                <w:bCs/>
                <w:highlight w:val="none"/>
              </w:rPr>
            </w:pPr>
            <w:r>
              <w:rPr>
                <w:rFonts w:hint="eastAsia" w:ascii="仿宋" w:hAnsi="仿宋" w:eastAsia="仿宋" w:cs="仿宋"/>
                <w:bCs/>
                <w:highlight w:val="none"/>
              </w:rPr>
              <w:t xml:space="preserve">小写：CNY</w:t>
            </w: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 </w:t>
            </w:r>
            <w:r/>
          </w:p>
        </w:tc>
      </w:tr>
      <w:tr>
        <w:trPr>
          <w:tblHeader/>
        </w:trPr>
        <w:tc>
          <w:tcPr>
            <w:tcMar>
              <w:top w:w="100" w:type="dxa"/>
              <w:bottom w:w="100" w:type="dxa"/>
            </w:tcMar>
            <w:tcW w:w="3473" w:type="dxa"/>
            <w:vAlign w:val="center"/>
            <w:textDirection w:val="lrTb"/>
            <w:noWrap w:val="false"/>
          </w:tcPr>
          <w:p>
            <w:pPr>
              <w:pStyle w:val="1039"/>
              <w:spacing w:line="440" w:lineRule="exact"/>
              <w:rPr>
                <w:rFonts w:hint="eastAsia" w:ascii="仿宋" w:hAnsi="仿宋" w:eastAsia="仿宋" w:cs="仿宋"/>
                <w:bCs/>
                <w:highlight w:val="none"/>
              </w:rPr>
            </w:pPr>
            <w:r>
              <w:rPr>
                <w:rFonts w:hint="eastAsia" w:ascii="仿宋" w:hAnsi="仿宋" w:eastAsia="仿宋" w:cs="仿宋"/>
                <w:bCs/>
                <w:highlight w:val="none"/>
              </w:rPr>
              <w:t xml:space="preserve">DRG运营分析系统</w:t>
            </w:r>
            <w:r/>
          </w:p>
        </w:tc>
        <w:tc>
          <w:tcPr>
            <w:tcMar>
              <w:top w:w="100" w:type="dxa"/>
              <w:bottom w:w="100" w:type="dxa"/>
            </w:tcMar>
            <w:tcW w:w="5587" w:type="dxa"/>
            <w:vAlign w:val="center"/>
            <w:textDirection w:val="lrTb"/>
            <w:noWrap w:val="false"/>
          </w:tcPr>
          <w:p>
            <w:pPr>
              <w:pStyle w:val="1039"/>
              <w:spacing w:line="440" w:lineRule="exact"/>
              <w:rPr>
                <w:rFonts w:ascii="仿宋" w:hAnsi="仿宋" w:eastAsia="仿宋" w:cs="仿宋"/>
                <w:bCs/>
                <w:highlight w:val="none"/>
              </w:rPr>
            </w:pPr>
            <w:r>
              <w:rPr>
                <w:rFonts w:hint="eastAsia" w:ascii="仿宋" w:hAnsi="仿宋" w:eastAsia="仿宋" w:cs="仿宋"/>
                <w:bCs/>
                <w:highlight w:val="none"/>
              </w:rPr>
              <w:t xml:space="preserve">大写：人民币</w:t>
            </w: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p>
            <w:pPr>
              <w:pStyle w:val="1039"/>
              <w:spacing w:line="440" w:lineRule="exact"/>
              <w:rPr>
                <w:rFonts w:hint="eastAsia" w:ascii="仿宋" w:hAnsi="仿宋" w:eastAsia="仿宋" w:cs="仿宋"/>
                <w:bCs/>
                <w:highlight w:val="none"/>
              </w:rPr>
            </w:pPr>
            <w:r>
              <w:rPr>
                <w:rFonts w:hint="eastAsia" w:ascii="仿宋" w:hAnsi="仿宋" w:eastAsia="仿宋" w:cs="仿宋"/>
                <w:bCs/>
                <w:highlight w:val="none"/>
              </w:rPr>
              <w:t xml:space="preserve">小写：CNY</w:t>
            </w: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 </w:t>
            </w:r>
            <w:r/>
          </w:p>
        </w:tc>
      </w:tr>
      <w:tr>
        <w:trPr>
          <w:tblHeader/>
        </w:trPr>
        <w:tc>
          <w:tcPr>
            <w:tcMar>
              <w:top w:w="100" w:type="dxa"/>
              <w:bottom w:w="100" w:type="dxa"/>
            </w:tcMar>
            <w:tcW w:w="3473" w:type="dxa"/>
            <w:vAlign w:val="center"/>
            <w:textDirection w:val="lrTb"/>
            <w:noWrap w:val="false"/>
          </w:tcPr>
          <w:p>
            <w:pPr>
              <w:pStyle w:val="1039"/>
              <w:spacing w:line="440" w:lineRule="exact"/>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合计</w:t>
            </w:r>
            <w:r/>
          </w:p>
        </w:tc>
        <w:tc>
          <w:tcPr>
            <w:tcMar>
              <w:top w:w="100" w:type="dxa"/>
              <w:bottom w:w="100" w:type="dxa"/>
            </w:tcMar>
            <w:tcW w:w="5587" w:type="dxa"/>
            <w:vAlign w:val="center"/>
            <w:textDirection w:val="lrTb"/>
            <w:noWrap w:val="false"/>
          </w:tcPr>
          <w:p>
            <w:pPr>
              <w:pStyle w:val="1039"/>
              <w:spacing w:line="440" w:lineRule="exact"/>
              <w:rPr>
                <w:rFonts w:ascii="仿宋" w:hAnsi="仿宋" w:eastAsia="仿宋" w:cs="仿宋"/>
                <w:bCs/>
                <w:highlight w:val="none"/>
              </w:rPr>
            </w:pPr>
            <w:r>
              <w:rPr>
                <w:rFonts w:hint="eastAsia" w:ascii="仿宋" w:hAnsi="仿宋" w:eastAsia="仿宋" w:cs="仿宋"/>
                <w:bCs/>
                <w:highlight w:val="none"/>
              </w:rPr>
              <w:t xml:space="preserve">大写：人民币</w:t>
            </w: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p>
            <w:pPr>
              <w:pStyle w:val="1039"/>
              <w:spacing w:line="440" w:lineRule="exact"/>
              <w:rPr>
                <w:rFonts w:ascii="仿宋" w:hAnsi="仿宋" w:eastAsia="仿宋" w:cs="仿宋"/>
                <w:bCs/>
                <w:highlight w:val="none"/>
              </w:rPr>
            </w:pPr>
            <w:r>
              <w:rPr>
                <w:rFonts w:hint="eastAsia" w:ascii="仿宋" w:hAnsi="仿宋" w:eastAsia="仿宋" w:cs="仿宋"/>
                <w:bCs/>
                <w:highlight w:val="none"/>
              </w:rPr>
              <w:t xml:space="preserve">小写：CNY</w:t>
            </w: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   </w:t>
            </w:r>
            <w:r/>
          </w:p>
        </w:tc>
      </w:tr>
      <w:tr>
        <w:trPr>
          <w:tblHeader/>
        </w:trPr>
        <w:tc>
          <w:tcPr>
            <w:tcMar>
              <w:top w:w="100" w:type="dxa"/>
              <w:bottom w:w="100" w:type="dxa"/>
            </w:tcMar>
            <w:tcW w:w="3473" w:type="dxa"/>
            <w:vAlign w:val="center"/>
            <w:textDirection w:val="lrTb"/>
            <w:noWrap w:val="false"/>
          </w:tcPr>
          <w:p>
            <w:pPr>
              <w:pStyle w:val="1039"/>
              <w:spacing w:line="440" w:lineRule="exact"/>
              <w:rPr>
                <w:rFonts w:ascii="仿宋" w:hAnsi="仿宋" w:eastAsia="仿宋" w:cs="仿宋"/>
                <w:bCs/>
                <w:highlight w:val="none"/>
              </w:rPr>
            </w:pPr>
            <w:r>
              <w:rPr>
                <w:rFonts w:hint="eastAsia" w:ascii="仿宋" w:hAnsi="仿宋" w:eastAsia="仿宋" w:cs="仿宋"/>
                <w:bCs/>
                <w:highlight w:val="none"/>
              </w:rPr>
              <w:t xml:space="preserve">实施周期</w:t>
            </w:r>
            <w:r/>
          </w:p>
        </w:tc>
        <w:tc>
          <w:tcPr>
            <w:tcMar>
              <w:top w:w="100" w:type="dxa"/>
              <w:bottom w:w="100" w:type="dxa"/>
            </w:tcMar>
            <w:tcW w:w="5587" w:type="dxa"/>
            <w:vAlign w:val="center"/>
            <w:textDirection w:val="lrTb"/>
            <w:noWrap w:val="false"/>
          </w:tcPr>
          <w:p>
            <w:pPr>
              <w:pStyle w:val="1039"/>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u w:val="single"/>
                <w:lang w:val="en-US" w:eastAsia="zh-CN"/>
              </w:rPr>
              <w:t xml:space="preserve">   </w:t>
            </w:r>
            <w:r>
              <w:rPr>
                <w:rFonts w:hint="eastAsia" w:ascii="仿宋" w:hAnsi="仿宋" w:eastAsia="仿宋" w:cs="仿宋"/>
                <w:bCs/>
                <w:highlight w:val="none"/>
                <w:u w:val="single"/>
              </w:rPr>
              <w:t xml:space="preserve">  </w:t>
            </w:r>
            <w:r/>
          </w:p>
        </w:tc>
      </w:tr>
      <w:tr>
        <w:trPr>
          <w:tblHeader/>
        </w:trPr>
        <w:tc>
          <w:tcPr>
            <w:tcMar>
              <w:top w:w="100" w:type="dxa"/>
              <w:bottom w:w="100" w:type="dxa"/>
            </w:tcMar>
            <w:tcW w:w="3473" w:type="dxa"/>
            <w:vAlign w:val="center"/>
            <w:textDirection w:val="lrTb"/>
            <w:noWrap w:val="false"/>
          </w:tcPr>
          <w:p>
            <w:pPr>
              <w:pStyle w:val="1039"/>
              <w:spacing w:line="440" w:lineRule="exact"/>
              <w:rPr>
                <w:rFonts w:ascii="仿宋" w:hAnsi="仿宋" w:eastAsia="仿宋" w:cs="仿宋"/>
                <w:bCs/>
                <w:highlight w:val="none"/>
              </w:rPr>
            </w:pPr>
            <w:r>
              <w:rPr>
                <w:rFonts w:hint="eastAsia" w:ascii="仿宋" w:hAnsi="仿宋" w:eastAsia="仿宋" w:cs="仿宋"/>
                <w:bCs/>
                <w:highlight w:val="none"/>
              </w:rPr>
              <w:t xml:space="preserve">是否符合小微型企业或监狱企业或残疾人福利性单位的政策</w:t>
            </w:r>
            <w:r/>
          </w:p>
        </w:tc>
        <w:tc>
          <w:tcPr>
            <w:tcMar>
              <w:top w:w="100" w:type="dxa"/>
              <w:bottom w:w="100" w:type="dxa"/>
            </w:tcMar>
            <w:tcW w:w="5587" w:type="dxa"/>
            <w:vAlign w:val="center"/>
            <w:textDirection w:val="lrTb"/>
            <w:noWrap w:val="false"/>
          </w:tcPr>
          <w:p>
            <w:pPr>
              <w:pStyle w:val="1039"/>
              <w:spacing w:line="440" w:lineRule="exact"/>
              <w:rPr>
                <w:rFonts w:ascii="仿宋" w:hAnsi="仿宋" w:eastAsia="仿宋" w:cs="仿宋"/>
                <w:bCs/>
                <w:highlight w:val="none"/>
                <w:u w:val="single"/>
              </w:rPr>
            </w:pPr>
            <w:r>
              <w:rPr>
                <w:rFonts w:ascii="仿宋" w:hAnsi="仿宋" w:eastAsia="仿宋" w:cs="仿宋"/>
                <w:bCs/>
                <w:highlight w:val="none"/>
                <w:u w:val="single"/>
              </w:rPr>
            </w:r>
            <w:r/>
          </w:p>
        </w:tc>
      </w:tr>
      <w:tr>
        <w:trPr>
          <w:tblHeader/>
        </w:trPr>
        <w:tc>
          <w:tcPr>
            <w:tcMar>
              <w:top w:w="100" w:type="dxa"/>
              <w:bottom w:w="100" w:type="dxa"/>
            </w:tcMar>
            <w:tcW w:w="3473" w:type="dxa"/>
            <w:vAlign w:val="center"/>
            <w:textDirection w:val="lrTb"/>
            <w:noWrap w:val="false"/>
          </w:tcPr>
          <w:p>
            <w:pPr>
              <w:pStyle w:val="1039"/>
              <w:spacing w:line="440" w:lineRule="exact"/>
              <w:rPr>
                <w:rFonts w:ascii="仿宋" w:hAnsi="仿宋" w:eastAsia="仿宋" w:cs="仿宋"/>
                <w:bCs/>
                <w:highlight w:val="none"/>
              </w:rPr>
            </w:pPr>
            <w:r>
              <w:rPr>
                <w:rFonts w:hint="eastAsia" w:ascii="仿宋" w:hAnsi="仿宋" w:eastAsia="仿宋" w:cs="仿宋"/>
                <w:bCs/>
                <w:highlight w:val="none"/>
              </w:rPr>
              <w:t xml:space="preserve">其他</w:t>
            </w:r>
            <w:r/>
          </w:p>
        </w:tc>
        <w:tc>
          <w:tcPr>
            <w:tcMar>
              <w:top w:w="100" w:type="dxa"/>
              <w:bottom w:w="100" w:type="dxa"/>
            </w:tcMar>
            <w:tcW w:w="5587" w:type="dxa"/>
            <w:vAlign w:val="center"/>
            <w:textDirection w:val="lrTb"/>
            <w:noWrap w:val="false"/>
          </w:tcPr>
          <w:p>
            <w:pPr>
              <w:pStyle w:val="1039"/>
              <w:spacing w:line="440" w:lineRule="exact"/>
              <w:rPr>
                <w:rFonts w:ascii="仿宋" w:hAnsi="仿宋" w:eastAsia="仿宋" w:cs="仿宋"/>
                <w:bCs/>
                <w:highlight w:val="none"/>
              </w:rPr>
            </w:pPr>
            <w:r>
              <w:rPr>
                <w:rFonts w:hint="eastAsia" w:ascii="仿宋" w:hAnsi="仿宋" w:eastAsia="仿宋" w:cs="仿宋"/>
                <w:bCs/>
                <w:highlight w:val="none"/>
              </w:rPr>
              <w:t xml:space="preserve">（没有请打“/”）</w:t>
            </w:r>
            <w:r/>
          </w:p>
        </w:tc>
      </w:tr>
    </w:tbl>
    <w:p>
      <w:pPr>
        <w:pStyle w:val="1040"/>
        <w:rPr>
          <w:rFonts w:ascii="仿宋" w:hAnsi="仿宋" w:eastAsia="仿宋" w:cs="仿宋"/>
          <w:highlight w:val="none"/>
        </w:rPr>
      </w:pPr>
      <w:r>
        <w:rPr>
          <w:rFonts w:ascii="仿宋" w:hAnsi="仿宋" w:eastAsia="仿宋" w:cs="仿宋"/>
          <w:highlight w:val="none"/>
        </w:rPr>
      </w:r>
      <w:r/>
    </w:p>
    <w:p>
      <w:pPr>
        <w:pStyle w:val="1041"/>
        <w:rPr>
          <w:rFonts w:ascii="仿宋" w:hAnsi="仿宋" w:eastAsia="仿宋" w:cs="仿宋"/>
          <w:highlight w:val="none"/>
        </w:rPr>
      </w:pPr>
      <w:r>
        <w:rPr>
          <w:rFonts w:hint="eastAsia" w:ascii="仿宋" w:hAnsi="仿宋" w:eastAsia="仿宋" w:cs="仿宋"/>
          <w:highlight w:val="none"/>
        </w:rPr>
        <w:t xml:space="preserve"> </w:t>
      </w:r>
      <w:r/>
    </w:p>
    <w:p>
      <w:pPr>
        <w:pStyle w:val="1028"/>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9"/>
        <w:spacing w:line="520" w:lineRule="exact"/>
        <w:rPr>
          <w:rFonts w:ascii="仿宋" w:hAnsi="仿宋" w:eastAsia="仿宋" w:cs="仿宋"/>
          <w:b/>
          <w:sz w:val="32"/>
          <w:highlight w:val="none"/>
        </w:rPr>
        <w:outlineLvl w:val="1"/>
      </w:pPr>
      <w:r>
        <w:rPr>
          <w:rFonts w:hint="eastAsia" w:ascii="仿宋" w:hAnsi="仿宋" w:eastAsia="仿宋" w:cs="仿宋"/>
          <w:highlight w:val="none"/>
        </w:rPr>
        <w:br w:type="page" w:clear="all"/>
      </w:r>
      <w:bookmarkStart w:id="83" w:name="_Toc27852"/>
      <w:r>
        <w:rPr>
          <w:rFonts w:hint="eastAsia" w:ascii="仿宋" w:hAnsi="仿宋" w:eastAsia="仿宋" w:cs="仿宋"/>
          <w:b/>
          <w:sz w:val="32"/>
          <w:highlight w:val="none"/>
        </w:rPr>
        <w:t xml:space="preserve">六、明细报价表</w:t>
      </w:r>
      <w:bookmarkEnd w:id="83"/>
      <w:r/>
      <w:r/>
    </w:p>
    <w:p>
      <w:pPr>
        <w:jc w:val="center"/>
        <w:spacing w:line="600" w:lineRule="exact"/>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1"/>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2446"/>
        <w:gridCol w:w="1288"/>
        <w:gridCol w:w="1106"/>
        <w:gridCol w:w="1027"/>
        <w:gridCol w:w="1252"/>
        <w:gridCol w:w="991"/>
      </w:tblGrid>
      <w:tr>
        <w:trPr>
          <w:cantSplit/>
          <w:trHeight w:val="980"/>
        </w:trPr>
        <w:tc>
          <w:tcPr>
            <w:tcW w:w="875" w:type="dxa"/>
            <w:vAlign w:val="center"/>
            <w:textDirection w:val="lrTb"/>
            <w:noWrap w:val="false"/>
          </w:tcPr>
          <w:p>
            <w:pPr>
              <w:pStyle w:val="1033"/>
              <w:jc w:val="center"/>
              <w:spacing w:line="360" w:lineRule="exact"/>
              <w:widowControl/>
              <w:rPr>
                <w:rStyle w:val="941"/>
                <w:rFonts w:hint="eastAsia" w:ascii="仿宋" w:hAnsi="仿宋" w:eastAsia="仿宋" w:cs="仿宋"/>
                <w:sz w:val="28"/>
                <w:szCs w:val="28"/>
              </w:rPr>
            </w:pPr>
            <w:r>
              <w:rPr>
                <w:rStyle w:val="941"/>
                <w:rFonts w:hint="eastAsia" w:ascii="仿宋" w:hAnsi="仿宋" w:eastAsia="仿宋" w:cs="仿宋"/>
                <w:sz w:val="28"/>
                <w:szCs w:val="28"/>
              </w:rPr>
              <w:t xml:space="preserve">序号</w:t>
            </w:r>
            <w:r/>
          </w:p>
        </w:tc>
        <w:tc>
          <w:tcPr>
            <w:tcW w:w="2446" w:type="dxa"/>
            <w:vAlign w:val="center"/>
            <w:textDirection w:val="lrTb"/>
            <w:noWrap w:val="false"/>
          </w:tcPr>
          <w:p>
            <w:pPr>
              <w:pStyle w:val="1033"/>
              <w:jc w:val="center"/>
              <w:spacing w:line="360" w:lineRule="exact"/>
              <w:widowControl/>
              <w:rPr>
                <w:rStyle w:val="941"/>
                <w:rFonts w:hint="eastAsia" w:ascii="仿宋" w:hAnsi="仿宋" w:eastAsia="仿宋" w:cs="仿宋"/>
                <w:sz w:val="28"/>
                <w:szCs w:val="28"/>
              </w:rPr>
            </w:pPr>
            <w:r>
              <w:rPr>
                <w:rStyle w:val="941"/>
                <w:rFonts w:hint="eastAsia" w:ascii="仿宋" w:hAnsi="仿宋" w:eastAsia="仿宋" w:cs="仿宋"/>
                <w:sz w:val="28"/>
                <w:szCs w:val="28"/>
              </w:rPr>
              <w:t xml:space="preserve">货物名称</w:t>
            </w:r>
            <w:r/>
          </w:p>
        </w:tc>
        <w:tc>
          <w:tcPr>
            <w:tcW w:w="1288" w:type="dxa"/>
            <w:vAlign w:val="center"/>
            <w:textDirection w:val="lrTb"/>
            <w:noWrap w:val="false"/>
          </w:tcPr>
          <w:p>
            <w:pPr>
              <w:pStyle w:val="1033"/>
              <w:jc w:val="center"/>
              <w:spacing w:line="360" w:lineRule="exact"/>
              <w:widowControl/>
              <w:rPr>
                <w:rStyle w:val="941"/>
                <w:rFonts w:hint="eastAsia" w:ascii="仿宋" w:hAnsi="仿宋" w:eastAsia="仿宋" w:cs="仿宋"/>
                <w:sz w:val="28"/>
                <w:szCs w:val="28"/>
              </w:rPr>
            </w:pPr>
            <w:r>
              <w:rPr>
                <w:rStyle w:val="941"/>
                <w:rFonts w:hint="eastAsia" w:ascii="仿宋" w:hAnsi="仿宋" w:eastAsia="仿宋" w:cs="仿宋"/>
                <w:sz w:val="28"/>
                <w:szCs w:val="28"/>
              </w:rPr>
              <w:t xml:space="preserve">品牌.型号.产地</w:t>
            </w:r>
            <w:r/>
          </w:p>
        </w:tc>
        <w:tc>
          <w:tcPr>
            <w:tcW w:w="1106" w:type="dxa"/>
            <w:vAlign w:val="center"/>
            <w:textDirection w:val="lrTb"/>
            <w:noWrap w:val="false"/>
          </w:tcPr>
          <w:p>
            <w:pPr>
              <w:pStyle w:val="1033"/>
              <w:jc w:val="center"/>
              <w:spacing w:line="360" w:lineRule="exact"/>
              <w:widowControl/>
              <w:rPr>
                <w:rStyle w:val="941"/>
                <w:rFonts w:hint="eastAsia" w:ascii="仿宋" w:hAnsi="仿宋" w:eastAsia="仿宋" w:cs="仿宋"/>
                <w:sz w:val="28"/>
                <w:szCs w:val="28"/>
              </w:rPr>
            </w:pPr>
            <w:r>
              <w:rPr>
                <w:rStyle w:val="941"/>
                <w:rFonts w:hint="eastAsia" w:ascii="仿宋" w:hAnsi="仿宋" w:eastAsia="仿宋" w:cs="仿宋"/>
                <w:sz w:val="28"/>
                <w:szCs w:val="28"/>
              </w:rPr>
              <w:t xml:space="preserve">单价</w:t>
            </w:r>
            <w:r/>
          </w:p>
          <w:p>
            <w:pPr>
              <w:pStyle w:val="1033"/>
              <w:jc w:val="center"/>
              <w:spacing w:line="360" w:lineRule="exact"/>
              <w:widowControl/>
              <w:rPr>
                <w:rStyle w:val="941"/>
                <w:rFonts w:hint="eastAsia" w:ascii="仿宋" w:hAnsi="仿宋" w:eastAsia="仿宋" w:cs="仿宋"/>
                <w:sz w:val="28"/>
                <w:szCs w:val="28"/>
              </w:rPr>
            </w:pPr>
            <w:r>
              <w:rPr>
                <w:rStyle w:val="941"/>
                <w:rFonts w:hint="eastAsia" w:ascii="仿宋" w:hAnsi="仿宋" w:eastAsia="仿宋" w:cs="仿宋"/>
                <w:sz w:val="28"/>
                <w:szCs w:val="28"/>
              </w:rPr>
              <w:t xml:space="preserve">（元）</w:t>
            </w:r>
            <w:r/>
          </w:p>
        </w:tc>
        <w:tc>
          <w:tcPr>
            <w:tcW w:w="1027" w:type="dxa"/>
            <w:vAlign w:val="center"/>
            <w:textDirection w:val="lrTb"/>
            <w:noWrap w:val="false"/>
          </w:tcPr>
          <w:p>
            <w:pPr>
              <w:pStyle w:val="1033"/>
              <w:jc w:val="center"/>
              <w:spacing w:line="360" w:lineRule="exact"/>
              <w:widowControl/>
              <w:rPr>
                <w:rStyle w:val="941"/>
                <w:rFonts w:hint="eastAsia" w:ascii="仿宋" w:hAnsi="仿宋" w:eastAsia="仿宋" w:cs="仿宋"/>
                <w:sz w:val="28"/>
                <w:szCs w:val="28"/>
              </w:rPr>
            </w:pPr>
            <w:r>
              <w:rPr>
                <w:rStyle w:val="941"/>
                <w:rFonts w:hint="eastAsia" w:ascii="仿宋" w:hAnsi="仿宋" w:eastAsia="仿宋" w:cs="仿宋"/>
                <w:sz w:val="28"/>
                <w:szCs w:val="28"/>
              </w:rPr>
              <w:t xml:space="preserve">数量</w:t>
            </w:r>
            <w:r/>
          </w:p>
        </w:tc>
        <w:tc>
          <w:tcPr>
            <w:tcW w:w="1252" w:type="dxa"/>
            <w:vAlign w:val="center"/>
            <w:textDirection w:val="lrTb"/>
            <w:noWrap w:val="false"/>
          </w:tcPr>
          <w:p>
            <w:pPr>
              <w:pStyle w:val="1033"/>
              <w:jc w:val="center"/>
              <w:spacing w:line="360" w:lineRule="exact"/>
              <w:widowControl/>
              <w:rPr>
                <w:rStyle w:val="941"/>
                <w:rFonts w:hint="eastAsia" w:ascii="仿宋" w:hAnsi="仿宋" w:eastAsia="仿宋" w:cs="仿宋"/>
                <w:sz w:val="28"/>
                <w:szCs w:val="28"/>
              </w:rPr>
            </w:pPr>
            <w:r>
              <w:rPr>
                <w:rStyle w:val="941"/>
                <w:rFonts w:hint="eastAsia" w:ascii="仿宋" w:hAnsi="仿宋" w:eastAsia="仿宋" w:cs="仿宋"/>
                <w:sz w:val="28"/>
                <w:szCs w:val="28"/>
              </w:rPr>
              <w:t xml:space="preserve">合价</w:t>
            </w:r>
            <w:r/>
          </w:p>
          <w:p>
            <w:pPr>
              <w:pStyle w:val="1033"/>
              <w:jc w:val="center"/>
              <w:spacing w:line="360" w:lineRule="exact"/>
              <w:widowControl/>
              <w:rPr>
                <w:rStyle w:val="941"/>
                <w:rFonts w:hint="eastAsia" w:ascii="仿宋" w:hAnsi="仿宋" w:eastAsia="仿宋" w:cs="仿宋"/>
                <w:sz w:val="28"/>
                <w:szCs w:val="28"/>
              </w:rPr>
            </w:pPr>
            <w:r>
              <w:rPr>
                <w:rStyle w:val="941"/>
                <w:rFonts w:hint="eastAsia" w:ascii="仿宋" w:hAnsi="仿宋" w:eastAsia="仿宋" w:cs="仿宋"/>
                <w:sz w:val="28"/>
                <w:szCs w:val="28"/>
              </w:rPr>
              <w:t xml:space="preserve">（元）</w:t>
            </w:r>
            <w:r/>
          </w:p>
        </w:tc>
        <w:tc>
          <w:tcPr>
            <w:tcW w:w="991" w:type="dxa"/>
            <w:vAlign w:val="center"/>
            <w:textDirection w:val="lrTb"/>
            <w:noWrap w:val="false"/>
          </w:tcPr>
          <w:p>
            <w:pPr>
              <w:pStyle w:val="1033"/>
              <w:jc w:val="center"/>
              <w:spacing w:line="360" w:lineRule="exact"/>
              <w:widowControl/>
              <w:rPr>
                <w:rStyle w:val="941"/>
                <w:rFonts w:hint="eastAsia" w:ascii="仿宋" w:hAnsi="仿宋" w:eastAsia="仿宋" w:cs="仿宋"/>
                <w:sz w:val="28"/>
                <w:szCs w:val="28"/>
              </w:rPr>
            </w:pPr>
            <w:r>
              <w:rPr>
                <w:rStyle w:val="941"/>
                <w:rFonts w:hint="eastAsia" w:ascii="仿宋" w:hAnsi="仿宋" w:eastAsia="仿宋" w:cs="仿宋"/>
                <w:sz w:val="28"/>
                <w:szCs w:val="28"/>
              </w:rPr>
              <w:t xml:space="preserve">备注</w:t>
            </w:r>
            <w:r/>
          </w:p>
        </w:tc>
      </w:tr>
      <w:tr>
        <w:trPr>
          <w:cantSplit/>
          <w:trHeight w:val="482"/>
        </w:trPr>
        <w:tc>
          <w:tcPr>
            <w:tcW w:w="875" w:type="dxa"/>
            <w:vAlign w:val="center"/>
            <w:textDirection w:val="lrTb"/>
            <w:noWrap w:val="false"/>
          </w:tcPr>
          <w:p>
            <w:pPr>
              <w:pStyle w:val="1033"/>
              <w:jc w:val="center"/>
              <w:spacing w:line="560" w:lineRule="exact"/>
              <w:widowControl/>
              <w:rPr>
                <w:rStyle w:val="941"/>
                <w:rFonts w:hint="eastAsia" w:ascii="仿宋" w:hAnsi="仿宋" w:eastAsia="仿宋" w:cs="仿宋"/>
                <w:sz w:val="28"/>
                <w:szCs w:val="28"/>
              </w:rPr>
            </w:pPr>
            <w:r>
              <w:rPr>
                <w:rStyle w:val="941"/>
                <w:rFonts w:hint="eastAsia" w:ascii="仿宋" w:hAnsi="仿宋" w:eastAsia="仿宋" w:cs="仿宋"/>
                <w:sz w:val="28"/>
                <w:szCs w:val="28"/>
              </w:rPr>
              <w:t xml:space="preserve">1</w:t>
            </w:r>
            <w:r/>
          </w:p>
        </w:tc>
        <w:tc>
          <w:tcPr>
            <w:tcW w:w="2446" w:type="dxa"/>
            <w:vAlign w:val="center"/>
            <w:textDirection w:val="lrTb"/>
            <w:noWrap w:val="false"/>
          </w:tcPr>
          <w:p>
            <w:pPr>
              <w:jc w:val="center"/>
              <w:rPr>
                <w:rStyle w:val="941"/>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1288" w:type="dxa"/>
            <w:vAlign w:val="center"/>
            <w:textDirection w:val="lrTb"/>
            <w:noWrap w:val="false"/>
          </w:tcPr>
          <w:p>
            <w:pPr>
              <w:jc w:val="center"/>
              <w:rPr>
                <w:rStyle w:val="941"/>
                <w:rFonts w:hint="eastAsia" w:ascii="仿宋" w:hAnsi="仿宋" w:eastAsia="仿宋" w:cs="仿宋"/>
                <w:sz w:val="28"/>
                <w:szCs w:val="28"/>
              </w:rPr>
            </w:pPr>
            <w:r>
              <w:rPr>
                <w:rFonts w:hint="eastAsia" w:ascii="仿宋" w:hAnsi="仿宋" w:eastAsia="仿宋" w:cs="仿宋"/>
                <w:sz w:val="28"/>
                <w:szCs w:val="28"/>
              </w:rPr>
            </w:r>
            <w:r/>
          </w:p>
        </w:tc>
        <w:tc>
          <w:tcPr>
            <w:tcW w:w="1106"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c>
          <w:tcPr>
            <w:tcW w:w="1027" w:type="dxa"/>
            <w:vAlign w:val="center"/>
            <w:textDirection w:val="lrTb"/>
            <w:noWrap w:val="false"/>
          </w:tcPr>
          <w:p>
            <w:pPr>
              <w:jc w:val="center"/>
              <w:rPr>
                <w:rStyle w:val="941"/>
                <w:rFonts w:hint="eastAsia" w:ascii="仿宋" w:hAnsi="仿宋" w:eastAsia="仿宋" w:cs="仿宋"/>
                <w:sz w:val="28"/>
                <w:szCs w:val="28"/>
              </w:rPr>
            </w:pPr>
            <w:r>
              <w:rPr>
                <w:rFonts w:hint="eastAsia" w:ascii="仿宋" w:hAnsi="仿宋" w:eastAsia="仿宋" w:cs="仿宋"/>
                <w:sz w:val="28"/>
                <w:szCs w:val="28"/>
              </w:rPr>
            </w:r>
            <w:r/>
          </w:p>
        </w:tc>
        <w:tc>
          <w:tcPr>
            <w:tcW w:w="1252"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r>
      <w:tr>
        <w:trPr>
          <w:cantSplit/>
          <w:trHeight w:val="376"/>
        </w:trPr>
        <w:tc>
          <w:tcPr>
            <w:tcW w:w="875" w:type="dxa"/>
            <w:vAlign w:val="center"/>
            <w:textDirection w:val="lrTb"/>
            <w:noWrap w:val="false"/>
          </w:tcPr>
          <w:p>
            <w:pPr>
              <w:pStyle w:val="1033"/>
              <w:jc w:val="center"/>
              <w:spacing w:line="560" w:lineRule="exact"/>
              <w:widowControl/>
              <w:rPr>
                <w:rStyle w:val="941"/>
                <w:rFonts w:hint="eastAsia" w:ascii="仿宋" w:hAnsi="仿宋" w:eastAsia="仿宋" w:cs="仿宋"/>
                <w:sz w:val="28"/>
                <w:szCs w:val="28"/>
              </w:rPr>
            </w:pPr>
            <w:r>
              <w:rPr>
                <w:rStyle w:val="941"/>
                <w:rFonts w:hint="eastAsia" w:ascii="仿宋" w:hAnsi="仿宋" w:eastAsia="仿宋" w:cs="仿宋"/>
                <w:sz w:val="28"/>
                <w:szCs w:val="28"/>
              </w:rPr>
              <w:t xml:space="preserve">2</w:t>
            </w:r>
            <w:r/>
          </w:p>
        </w:tc>
        <w:tc>
          <w:tcPr>
            <w:tcW w:w="2446" w:type="dxa"/>
            <w:vAlign w:val="center"/>
            <w:textDirection w:val="lrTb"/>
            <w:noWrap w:val="false"/>
          </w:tcPr>
          <w:p>
            <w:pPr>
              <w:jc w:val="center"/>
              <w:rPr>
                <w:rStyle w:val="941"/>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1288" w:type="dxa"/>
            <w:vAlign w:val="center"/>
            <w:textDirection w:val="lrTb"/>
            <w:noWrap w:val="false"/>
          </w:tcPr>
          <w:p>
            <w:pPr>
              <w:jc w:val="center"/>
              <w:rPr>
                <w:rStyle w:val="941"/>
                <w:rFonts w:hint="eastAsia" w:ascii="仿宋" w:hAnsi="仿宋" w:eastAsia="仿宋" w:cs="仿宋"/>
                <w:sz w:val="28"/>
                <w:szCs w:val="28"/>
              </w:rPr>
            </w:pPr>
            <w:r>
              <w:rPr>
                <w:rFonts w:hint="eastAsia" w:ascii="仿宋" w:hAnsi="仿宋" w:eastAsia="仿宋" w:cs="仿宋"/>
                <w:sz w:val="28"/>
                <w:szCs w:val="28"/>
              </w:rPr>
            </w:r>
            <w:r/>
          </w:p>
        </w:tc>
        <w:tc>
          <w:tcPr>
            <w:tcW w:w="1106"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c>
          <w:tcPr>
            <w:tcW w:w="1027" w:type="dxa"/>
            <w:vAlign w:val="center"/>
            <w:textDirection w:val="lrTb"/>
            <w:noWrap w:val="false"/>
          </w:tcPr>
          <w:p>
            <w:pPr>
              <w:jc w:val="center"/>
              <w:rPr>
                <w:rStyle w:val="941"/>
                <w:rFonts w:hint="eastAsia" w:ascii="仿宋" w:hAnsi="仿宋" w:eastAsia="仿宋" w:cs="仿宋"/>
                <w:sz w:val="28"/>
                <w:szCs w:val="28"/>
              </w:rPr>
            </w:pPr>
            <w:r>
              <w:rPr>
                <w:rFonts w:hint="eastAsia" w:ascii="仿宋" w:hAnsi="仿宋" w:eastAsia="仿宋" w:cs="仿宋"/>
                <w:sz w:val="28"/>
                <w:szCs w:val="28"/>
              </w:rPr>
            </w:r>
            <w:r/>
          </w:p>
        </w:tc>
        <w:tc>
          <w:tcPr>
            <w:tcW w:w="1252"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r>
      <w:tr>
        <w:trPr>
          <w:cantSplit/>
          <w:trHeight w:val="200"/>
        </w:trPr>
        <w:tc>
          <w:tcPr>
            <w:tcW w:w="875" w:type="dxa"/>
            <w:vAlign w:val="center"/>
            <w:textDirection w:val="lrTb"/>
            <w:noWrap w:val="false"/>
          </w:tcPr>
          <w:p>
            <w:pPr>
              <w:pStyle w:val="1033"/>
              <w:jc w:val="center"/>
              <w:spacing w:line="560" w:lineRule="exact"/>
              <w:widowControl/>
              <w:rPr>
                <w:rStyle w:val="941"/>
                <w:rFonts w:hint="eastAsia" w:ascii="仿宋" w:hAnsi="仿宋" w:eastAsia="仿宋" w:cs="仿宋"/>
                <w:sz w:val="28"/>
                <w:szCs w:val="28"/>
                <w:lang w:val="en-US" w:eastAsia="zh-CN"/>
              </w:rPr>
            </w:pPr>
            <w:r>
              <w:rPr>
                <w:rStyle w:val="941"/>
                <w:rFonts w:hint="eastAsia" w:ascii="仿宋" w:hAnsi="仿宋" w:eastAsia="仿宋" w:cs="仿宋"/>
                <w:sz w:val="28"/>
                <w:szCs w:val="28"/>
                <w:lang w:val="en-US" w:eastAsia="zh-CN"/>
              </w:rPr>
              <w:t xml:space="preserve">3</w:t>
            </w:r>
            <w:r/>
          </w:p>
        </w:tc>
        <w:tc>
          <w:tcPr>
            <w:tcW w:w="2446" w:type="dxa"/>
            <w:vAlign w:val="center"/>
            <w:textDirection w:val="lrTb"/>
            <w:noWrap w:val="false"/>
          </w:tcPr>
          <w:p>
            <w:pPr>
              <w:jc w:val="center"/>
              <w:rPr>
                <w:rStyle w:val="941"/>
                <w:rFonts w:hint="default" w:ascii="仿宋" w:hAnsi="仿宋" w:eastAsia="仿宋" w:cs="仿宋"/>
                <w:sz w:val="28"/>
                <w:szCs w:val="28"/>
                <w:lang w:val="en-US" w:eastAsia="zh-CN"/>
              </w:rPr>
            </w:pPr>
            <w:r>
              <w:rPr>
                <w:rFonts w:hint="default" w:ascii="仿宋" w:hAnsi="仿宋" w:eastAsia="仿宋" w:cs="仿宋"/>
                <w:sz w:val="28"/>
                <w:szCs w:val="28"/>
                <w:lang w:val="en-US" w:eastAsia="zh-CN"/>
              </w:rPr>
            </w:r>
            <w:r/>
          </w:p>
        </w:tc>
        <w:tc>
          <w:tcPr>
            <w:tcW w:w="1288" w:type="dxa"/>
            <w:vAlign w:val="center"/>
            <w:textDirection w:val="lrTb"/>
            <w:noWrap w:val="false"/>
          </w:tcPr>
          <w:p>
            <w:pPr>
              <w:jc w:val="center"/>
              <w:rPr>
                <w:rStyle w:val="941"/>
                <w:rFonts w:hint="eastAsia" w:ascii="仿宋" w:hAnsi="仿宋" w:eastAsia="仿宋" w:cs="仿宋"/>
                <w:sz w:val="28"/>
                <w:szCs w:val="28"/>
              </w:rPr>
            </w:pPr>
            <w:r>
              <w:rPr>
                <w:rFonts w:hint="eastAsia" w:ascii="仿宋" w:hAnsi="仿宋" w:eastAsia="仿宋" w:cs="仿宋"/>
                <w:sz w:val="28"/>
                <w:szCs w:val="28"/>
              </w:rPr>
            </w:r>
            <w:r/>
          </w:p>
        </w:tc>
        <w:tc>
          <w:tcPr>
            <w:tcW w:w="1106"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c>
          <w:tcPr>
            <w:tcW w:w="1027" w:type="dxa"/>
            <w:vAlign w:val="center"/>
            <w:textDirection w:val="lrTb"/>
            <w:noWrap w:val="false"/>
          </w:tcPr>
          <w:p>
            <w:pPr>
              <w:jc w:val="center"/>
              <w:rPr>
                <w:rStyle w:val="941"/>
                <w:rFonts w:hint="eastAsia" w:ascii="仿宋" w:hAnsi="仿宋" w:eastAsia="仿宋" w:cs="仿宋"/>
                <w:sz w:val="28"/>
                <w:szCs w:val="28"/>
              </w:rPr>
            </w:pPr>
            <w:r>
              <w:rPr>
                <w:rFonts w:hint="eastAsia" w:ascii="仿宋" w:hAnsi="仿宋" w:eastAsia="仿宋" w:cs="仿宋"/>
                <w:sz w:val="28"/>
                <w:szCs w:val="28"/>
              </w:rPr>
            </w:r>
            <w:r/>
          </w:p>
        </w:tc>
        <w:tc>
          <w:tcPr>
            <w:tcW w:w="1252"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r>
      <w:tr>
        <w:trPr>
          <w:cantSplit/>
          <w:trHeight w:val="200"/>
        </w:trPr>
        <w:tc>
          <w:tcPr>
            <w:tcW w:w="875" w:type="dxa"/>
            <w:vAlign w:val="center"/>
            <w:textDirection w:val="lrTb"/>
            <w:noWrap w:val="false"/>
          </w:tcPr>
          <w:p>
            <w:pPr>
              <w:pStyle w:val="1033"/>
              <w:jc w:val="center"/>
              <w:spacing w:line="560" w:lineRule="exact"/>
              <w:widowControl/>
              <w:rPr>
                <w:rStyle w:val="941"/>
                <w:rFonts w:hint="eastAsia" w:ascii="仿宋" w:hAnsi="仿宋" w:eastAsia="仿宋" w:cs="仿宋"/>
                <w:sz w:val="28"/>
                <w:szCs w:val="28"/>
                <w:lang w:val="en-US" w:eastAsia="zh-CN"/>
              </w:rPr>
            </w:pPr>
            <w:r>
              <w:rPr>
                <w:rStyle w:val="941"/>
                <w:rFonts w:hint="eastAsia" w:ascii="仿宋" w:hAnsi="仿宋" w:eastAsia="仿宋" w:cs="仿宋"/>
                <w:sz w:val="28"/>
                <w:szCs w:val="28"/>
                <w:lang w:val="en-US" w:eastAsia="zh-CN"/>
              </w:rPr>
              <w:t xml:space="preserve">4</w:t>
            </w:r>
            <w:r/>
          </w:p>
        </w:tc>
        <w:tc>
          <w:tcPr>
            <w:tcW w:w="2446" w:type="dxa"/>
            <w:vAlign w:val="center"/>
            <w:textDirection w:val="lrTb"/>
            <w:noWrap w:val="false"/>
          </w:tcPr>
          <w:p>
            <w:pPr>
              <w:jc w:val="center"/>
              <w:rPr>
                <w:rStyle w:val="941"/>
                <w:rFonts w:hint="eastAsia" w:ascii="仿宋" w:hAnsi="仿宋" w:eastAsia="仿宋" w:cs="仿宋"/>
                <w:sz w:val="28"/>
                <w:szCs w:val="28"/>
              </w:rPr>
            </w:pPr>
            <w:r>
              <w:rPr>
                <w:rFonts w:hint="eastAsia" w:ascii="仿宋" w:hAnsi="仿宋" w:eastAsia="仿宋" w:cs="仿宋"/>
                <w:sz w:val="28"/>
                <w:szCs w:val="28"/>
              </w:rPr>
            </w:r>
            <w:r/>
          </w:p>
        </w:tc>
        <w:tc>
          <w:tcPr>
            <w:tcW w:w="1288" w:type="dxa"/>
            <w:vAlign w:val="center"/>
            <w:textDirection w:val="lrTb"/>
            <w:noWrap w:val="false"/>
          </w:tcPr>
          <w:p>
            <w:pPr>
              <w:jc w:val="center"/>
              <w:rPr>
                <w:rStyle w:val="941"/>
                <w:rFonts w:hint="eastAsia" w:ascii="仿宋" w:hAnsi="仿宋" w:eastAsia="仿宋" w:cs="仿宋"/>
                <w:sz w:val="28"/>
                <w:szCs w:val="28"/>
              </w:rPr>
            </w:pPr>
            <w:r>
              <w:rPr>
                <w:rFonts w:hint="eastAsia" w:ascii="仿宋" w:hAnsi="仿宋" w:eastAsia="仿宋" w:cs="仿宋"/>
                <w:sz w:val="28"/>
                <w:szCs w:val="28"/>
              </w:rPr>
            </w:r>
            <w:r/>
          </w:p>
        </w:tc>
        <w:tc>
          <w:tcPr>
            <w:tcW w:w="1106"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c>
          <w:tcPr>
            <w:tcW w:w="1027" w:type="dxa"/>
            <w:vAlign w:val="center"/>
            <w:textDirection w:val="lrTb"/>
            <w:noWrap w:val="false"/>
          </w:tcPr>
          <w:p>
            <w:pPr>
              <w:jc w:val="center"/>
              <w:rPr>
                <w:rStyle w:val="941"/>
                <w:rFonts w:hint="eastAsia" w:ascii="仿宋" w:hAnsi="仿宋" w:eastAsia="仿宋" w:cs="仿宋"/>
                <w:sz w:val="28"/>
                <w:szCs w:val="28"/>
              </w:rPr>
            </w:pPr>
            <w:r>
              <w:rPr>
                <w:rFonts w:hint="eastAsia" w:ascii="仿宋" w:hAnsi="仿宋" w:eastAsia="仿宋" w:cs="仿宋"/>
                <w:sz w:val="28"/>
                <w:szCs w:val="28"/>
              </w:rPr>
            </w:r>
            <w:r/>
          </w:p>
        </w:tc>
        <w:tc>
          <w:tcPr>
            <w:tcW w:w="1252"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r>
      <w:tr>
        <w:trPr>
          <w:cantSplit/>
          <w:trHeight w:val="200"/>
        </w:trPr>
        <w:tc>
          <w:tcPr>
            <w:tcW w:w="875" w:type="dxa"/>
            <w:vAlign w:val="center"/>
            <w:textDirection w:val="lrTb"/>
            <w:noWrap w:val="false"/>
          </w:tcPr>
          <w:p>
            <w:pPr>
              <w:pStyle w:val="1033"/>
              <w:jc w:val="center"/>
              <w:spacing w:line="560" w:lineRule="exact"/>
              <w:widowControl/>
              <w:rPr>
                <w:rStyle w:val="941"/>
                <w:rFonts w:hint="eastAsia" w:ascii="仿宋" w:hAnsi="仿宋" w:eastAsia="仿宋" w:cs="仿宋"/>
                <w:sz w:val="28"/>
                <w:szCs w:val="28"/>
                <w:lang w:eastAsia="zh-CN"/>
              </w:rPr>
            </w:pPr>
            <w:r>
              <w:rPr>
                <w:rStyle w:val="941"/>
                <w:rFonts w:hint="eastAsia" w:ascii="仿宋" w:hAnsi="仿宋" w:eastAsia="仿宋" w:cs="仿宋"/>
                <w:sz w:val="28"/>
                <w:szCs w:val="28"/>
                <w:lang w:val="en-US" w:eastAsia="zh-CN"/>
              </w:rPr>
              <w:t xml:space="preserve">5</w:t>
            </w:r>
            <w:r/>
          </w:p>
        </w:tc>
        <w:tc>
          <w:tcPr>
            <w:tcW w:w="2446" w:type="dxa"/>
            <w:vAlign w:val="center"/>
            <w:textDirection w:val="lrTb"/>
            <w:noWrap w:val="false"/>
          </w:tcPr>
          <w:p>
            <w:pPr>
              <w:jc w:val="center"/>
              <w:rPr>
                <w:rStyle w:val="941"/>
                <w:rFonts w:hint="eastAsia" w:ascii="仿宋" w:hAnsi="仿宋" w:eastAsia="仿宋" w:cs="仿宋"/>
                <w:sz w:val="28"/>
                <w:szCs w:val="28"/>
              </w:rPr>
            </w:pPr>
            <w:r>
              <w:rPr>
                <w:rFonts w:hint="eastAsia" w:ascii="仿宋" w:hAnsi="仿宋" w:eastAsia="仿宋" w:cs="仿宋"/>
                <w:sz w:val="28"/>
                <w:szCs w:val="28"/>
              </w:rPr>
            </w:r>
            <w:r/>
          </w:p>
        </w:tc>
        <w:tc>
          <w:tcPr>
            <w:tcW w:w="1288" w:type="dxa"/>
            <w:vAlign w:val="center"/>
            <w:textDirection w:val="lrTb"/>
            <w:noWrap w:val="false"/>
          </w:tcPr>
          <w:p>
            <w:pPr>
              <w:jc w:val="center"/>
              <w:rPr>
                <w:rStyle w:val="941"/>
                <w:rFonts w:hint="eastAsia" w:ascii="仿宋" w:hAnsi="仿宋" w:eastAsia="仿宋" w:cs="仿宋"/>
                <w:sz w:val="28"/>
                <w:szCs w:val="28"/>
              </w:rPr>
            </w:pPr>
            <w:r>
              <w:rPr>
                <w:rFonts w:hint="eastAsia" w:ascii="仿宋" w:hAnsi="仿宋" w:eastAsia="仿宋" w:cs="仿宋"/>
                <w:sz w:val="28"/>
                <w:szCs w:val="28"/>
              </w:rPr>
            </w:r>
            <w:r/>
          </w:p>
        </w:tc>
        <w:tc>
          <w:tcPr>
            <w:tcW w:w="1106"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c>
          <w:tcPr>
            <w:tcW w:w="1027" w:type="dxa"/>
            <w:vAlign w:val="center"/>
            <w:textDirection w:val="lrTb"/>
            <w:noWrap w:val="false"/>
          </w:tcPr>
          <w:p>
            <w:pPr>
              <w:jc w:val="center"/>
              <w:rPr>
                <w:rStyle w:val="941"/>
                <w:rFonts w:hint="eastAsia" w:ascii="仿宋" w:hAnsi="仿宋" w:eastAsia="仿宋" w:cs="仿宋"/>
                <w:sz w:val="28"/>
                <w:szCs w:val="28"/>
              </w:rPr>
            </w:pPr>
            <w:r>
              <w:rPr>
                <w:rFonts w:hint="eastAsia" w:ascii="仿宋" w:hAnsi="仿宋" w:eastAsia="仿宋" w:cs="仿宋"/>
                <w:sz w:val="28"/>
                <w:szCs w:val="28"/>
              </w:rPr>
            </w:r>
            <w:r/>
          </w:p>
        </w:tc>
        <w:tc>
          <w:tcPr>
            <w:tcW w:w="1252"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r>
      <w:tr>
        <w:trPr>
          <w:cantSplit/>
          <w:trHeight w:val="200"/>
        </w:trPr>
        <w:tc>
          <w:tcPr>
            <w:tcW w:w="875" w:type="dxa"/>
            <w:vAlign w:val="center"/>
            <w:textDirection w:val="lrTb"/>
            <w:noWrap w:val="false"/>
          </w:tcPr>
          <w:p>
            <w:pPr>
              <w:pStyle w:val="1033"/>
              <w:jc w:val="center"/>
              <w:spacing w:line="560" w:lineRule="exact"/>
              <w:widowControl/>
              <w:rPr>
                <w:rStyle w:val="941"/>
                <w:rFonts w:hint="default" w:ascii="仿宋" w:hAnsi="仿宋" w:eastAsia="仿宋" w:cs="仿宋"/>
                <w:sz w:val="28"/>
                <w:szCs w:val="28"/>
                <w:lang w:val="en-US" w:eastAsia="zh-CN"/>
              </w:rPr>
            </w:pPr>
            <w:r>
              <w:rPr>
                <w:rStyle w:val="941"/>
                <w:rFonts w:hint="eastAsia" w:ascii="仿宋" w:hAnsi="仿宋" w:eastAsia="仿宋" w:cs="仿宋"/>
                <w:sz w:val="28"/>
                <w:szCs w:val="28"/>
                <w:lang w:val="en-US" w:eastAsia="zh-CN"/>
              </w:rPr>
              <w:t xml:space="preserve">...</w:t>
            </w:r>
            <w:r/>
          </w:p>
        </w:tc>
        <w:tc>
          <w:tcPr>
            <w:tcW w:w="2446" w:type="dxa"/>
            <w:vAlign w:val="center"/>
            <w:textDirection w:val="lrTb"/>
            <w:noWrap w:val="false"/>
          </w:tcPr>
          <w:p>
            <w:pPr>
              <w:jc w:val="center"/>
              <w:rPr>
                <w:rStyle w:val="941"/>
                <w:rFonts w:hint="eastAsia" w:ascii="仿宋" w:hAnsi="仿宋" w:eastAsia="仿宋" w:cs="仿宋"/>
                <w:sz w:val="28"/>
                <w:szCs w:val="28"/>
              </w:rPr>
            </w:pPr>
            <w:r>
              <w:rPr>
                <w:rFonts w:hint="eastAsia" w:ascii="仿宋" w:hAnsi="仿宋" w:eastAsia="仿宋" w:cs="仿宋"/>
                <w:sz w:val="28"/>
                <w:szCs w:val="28"/>
              </w:rPr>
            </w:r>
            <w:r/>
          </w:p>
        </w:tc>
        <w:tc>
          <w:tcPr>
            <w:tcW w:w="1288" w:type="dxa"/>
            <w:vAlign w:val="center"/>
            <w:textDirection w:val="lrTb"/>
            <w:noWrap w:val="false"/>
          </w:tcPr>
          <w:p>
            <w:pPr>
              <w:jc w:val="center"/>
              <w:rPr>
                <w:rStyle w:val="941"/>
                <w:rFonts w:hint="eastAsia" w:ascii="仿宋" w:hAnsi="仿宋" w:eastAsia="仿宋" w:cs="仿宋"/>
                <w:sz w:val="28"/>
                <w:szCs w:val="28"/>
              </w:rPr>
            </w:pPr>
            <w:r>
              <w:rPr>
                <w:rFonts w:hint="eastAsia" w:ascii="仿宋" w:hAnsi="仿宋" w:eastAsia="仿宋" w:cs="仿宋"/>
                <w:sz w:val="28"/>
                <w:szCs w:val="28"/>
              </w:rPr>
            </w:r>
            <w:r/>
          </w:p>
        </w:tc>
        <w:tc>
          <w:tcPr>
            <w:tcW w:w="1106"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c>
          <w:tcPr>
            <w:tcW w:w="1027" w:type="dxa"/>
            <w:vAlign w:val="center"/>
            <w:textDirection w:val="lrTb"/>
            <w:noWrap w:val="false"/>
          </w:tcPr>
          <w:p>
            <w:pPr>
              <w:jc w:val="center"/>
              <w:rPr>
                <w:rStyle w:val="941"/>
                <w:rFonts w:hint="eastAsia" w:ascii="仿宋" w:hAnsi="仿宋" w:eastAsia="仿宋" w:cs="仿宋"/>
                <w:sz w:val="28"/>
                <w:szCs w:val="28"/>
              </w:rPr>
            </w:pPr>
            <w:r>
              <w:rPr>
                <w:rFonts w:hint="eastAsia" w:ascii="仿宋" w:hAnsi="仿宋" w:eastAsia="仿宋" w:cs="仿宋"/>
                <w:sz w:val="28"/>
                <w:szCs w:val="28"/>
              </w:rPr>
            </w:r>
            <w:r/>
          </w:p>
        </w:tc>
        <w:tc>
          <w:tcPr>
            <w:tcW w:w="1252"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1033"/>
              <w:jc w:val="center"/>
              <w:spacing w:line="560" w:lineRule="exact"/>
              <w:rPr>
                <w:rStyle w:val="941"/>
                <w:rFonts w:hint="eastAsia" w:ascii="仿宋" w:hAnsi="仿宋" w:eastAsia="仿宋" w:cs="仿宋"/>
                <w:sz w:val="28"/>
                <w:szCs w:val="28"/>
              </w:rPr>
            </w:pPr>
            <w:r>
              <w:rPr>
                <w:rFonts w:hint="eastAsia" w:ascii="仿宋" w:hAnsi="仿宋" w:eastAsia="仿宋" w:cs="仿宋"/>
                <w:sz w:val="28"/>
                <w:szCs w:val="28"/>
              </w:rPr>
            </w:r>
            <w:r/>
          </w:p>
        </w:tc>
      </w:tr>
      <w:tr>
        <w:trPr>
          <w:cantSplit/>
          <w:trHeight w:val="1406"/>
        </w:trPr>
        <w:tc>
          <w:tcPr>
            <w:gridSpan w:val="2"/>
            <w:tcW w:w="3321" w:type="dxa"/>
            <w:vAlign w:val="center"/>
            <w:textDirection w:val="lrTb"/>
            <w:noWrap w:val="false"/>
          </w:tcPr>
          <w:p>
            <w:pPr>
              <w:pStyle w:val="1033"/>
              <w:jc w:val="center"/>
              <w:spacing w:line="500" w:lineRule="exact"/>
              <w:rPr>
                <w:rStyle w:val="941"/>
                <w:rFonts w:hint="eastAsia" w:ascii="仿宋" w:hAnsi="仿宋" w:eastAsia="仿宋" w:cs="仿宋"/>
                <w:b/>
                <w:bCs/>
                <w:sz w:val="28"/>
                <w:szCs w:val="28"/>
              </w:rPr>
            </w:pPr>
            <w:r>
              <w:rPr>
                <w:rStyle w:val="941"/>
                <w:rFonts w:hint="eastAsia" w:ascii="仿宋" w:hAnsi="仿宋" w:eastAsia="仿宋" w:cs="仿宋"/>
                <w:b/>
                <w:bCs/>
                <w:sz w:val="28"/>
                <w:szCs w:val="28"/>
              </w:rPr>
              <w:t xml:space="preserve">报价总计</w:t>
            </w:r>
            <w:r/>
          </w:p>
        </w:tc>
        <w:tc>
          <w:tcPr>
            <w:gridSpan w:val="5"/>
            <w:tcW w:w="5664" w:type="dxa"/>
            <w:vAlign w:val="center"/>
            <w:textDirection w:val="lrTb"/>
            <w:noWrap w:val="false"/>
          </w:tcPr>
          <w:p>
            <w:pPr>
              <w:pStyle w:val="1033"/>
              <w:spacing w:line="500" w:lineRule="exact"/>
              <w:rPr>
                <w:rStyle w:val="941"/>
                <w:rFonts w:hint="eastAsia" w:ascii="仿宋" w:hAnsi="仿宋" w:eastAsia="仿宋" w:cs="仿宋"/>
                <w:b/>
                <w:bCs/>
                <w:sz w:val="28"/>
                <w:szCs w:val="28"/>
              </w:rPr>
            </w:pPr>
            <w:r>
              <w:rPr>
                <w:rStyle w:val="941"/>
                <w:rFonts w:hint="eastAsia" w:ascii="仿宋" w:hAnsi="仿宋" w:eastAsia="仿宋" w:cs="仿宋"/>
                <w:b/>
                <w:bCs/>
                <w:sz w:val="28"/>
                <w:szCs w:val="28"/>
              </w:rPr>
              <w:t xml:space="preserve">￥</w:t>
            </w:r>
            <w:r>
              <w:rPr>
                <w:rStyle w:val="941"/>
                <w:rFonts w:hint="eastAsia" w:ascii="仿宋" w:hAnsi="仿宋" w:eastAsia="仿宋" w:cs="仿宋"/>
                <w:sz w:val="28"/>
                <w:szCs w:val="28"/>
              </w:rPr>
              <w:t xml:space="preserve">  </w:t>
            </w:r>
            <w:r>
              <w:rPr>
                <w:rStyle w:val="941"/>
                <w:rFonts w:hint="eastAsia" w:ascii="仿宋" w:hAnsi="仿宋" w:eastAsia="仿宋" w:cs="仿宋"/>
                <w:sz w:val="28"/>
                <w:szCs w:val="28"/>
                <w:u w:val="single"/>
              </w:rPr>
              <w:t xml:space="preserve">              </w:t>
            </w:r>
            <w:r>
              <w:rPr>
                <w:rStyle w:val="941"/>
                <w:rFonts w:hint="eastAsia" w:ascii="仿宋" w:hAnsi="仿宋" w:eastAsia="仿宋" w:cs="仿宋"/>
                <w:sz w:val="28"/>
                <w:szCs w:val="28"/>
              </w:rPr>
              <w:t xml:space="preserve">                 </w:t>
            </w:r>
            <w:r/>
          </w:p>
          <w:p>
            <w:pPr>
              <w:pStyle w:val="1033"/>
              <w:spacing w:line="500" w:lineRule="exact"/>
              <w:rPr>
                <w:rStyle w:val="941"/>
                <w:rFonts w:hint="eastAsia" w:ascii="仿宋" w:hAnsi="仿宋" w:eastAsia="仿宋" w:cs="仿宋"/>
                <w:b/>
                <w:bCs/>
                <w:sz w:val="28"/>
                <w:szCs w:val="28"/>
              </w:rPr>
            </w:pPr>
            <w:r>
              <w:rPr>
                <w:rStyle w:val="941"/>
                <w:rFonts w:hint="eastAsia" w:ascii="仿宋" w:hAnsi="仿宋" w:eastAsia="仿宋" w:cs="仿宋"/>
                <w:b/>
                <w:bCs/>
                <w:sz w:val="28"/>
                <w:szCs w:val="28"/>
              </w:rPr>
              <w:t xml:space="preserve">人民币（大写）：</w:t>
            </w:r>
            <w:r>
              <w:rPr>
                <w:rStyle w:val="941"/>
                <w:rFonts w:hint="eastAsia" w:ascii="仿宋" w:hAnsi="仿宋" w:eastAsia="仿宋" w:cs="仿宋"/>
                <w:sz w:val="28"/>
                <w:szCs w:val="28"/>
                <w:u w:val="single"/>
              </w:rPr>
              <w:t xml:space="preserve">     </w:t>
            </w:r>
            <w:r>
              <w:rPr>
                <w:rStyle w:val="941"/>
                <w:rFonts w:hint="eastAsia" w:ascii="仿宋" w:hAnsi="仿宋" w:eastAsia="仿宋" w:cs="仿宋"/>
                <w:bCs/>
                <w:sz w:val="28"/>
                <w:szCs w:val="28"/>
              </w:rPr>
              <w:t xml:space="preserve">佰</w:t>
            </w:r>
            <w:r>
              <w:rPr>
                <w:rStyle w:val="941"/>
                <w:rFonts w:hint="eastAsia" w:ascii="仿宋" w:hAnsi="仿宋" w:eastAsia="仿宋" w:cs="仿宋"/>
                <w:sz w:val="28"/>
                <w:szCs w:val="28"/>
                <w:u w:val="single"/>
              </w:rPr>
              <w:t xml:space="preserve">    </w:t>
            </w:r>
            <w:r>
              <w:rPr>
                <w:rStyle w:val="941"/>
                <w:rFonts w:hint="eastAsia" w:ascii="仿宋" w:hAnsi="仿宋" w:eastAsia="仿宋" w:cs="仿宋"/>
                <w:bCs/>
                <w:sz w:val="28"/>
                <w:szCs w:val="28"/>
              </w:rPr>
              <w:t xml:space="preserve">拾</w:t>
            </w:r>
            <w:r>
              <w:rPr>
                <w:rStyle w:val="941"/>
                <w:rFonts w:hint="eastAsia" w:ascii="仿宋" w:hAnsi="仿宋" w:eastAsia="仿宋" w:cs="仿宋"/>
                <w:sz w:val="28"/>
                <w:szCs w:val="28"/>
                <w:u w:val="single"/>
              </w:rPr>
              <w:t xml:space="preserve">    </w:t>
            </w:r>
            <w:r>
              <w:rPr>
                <w:rStyle w:val="941"/>
                <w:rFonts w:hint="eastAsia" w:ascii="仿宋" w:hAnsi="仿宋" w:eastAsia="仿宋" w:cs="仿宋"/>
                <w:bCs/>
                <w:sz w:val="28"/>
                <w:szCs w:val="28"/>
              </w:rPr>
              <w:t xml:space="preserve"> 万</w:t>
            </w:r>
            <w:r>
              <w:rPr>
                <w:rStyle w:val="941"/>
                <w:rFonts w:hint="eastAsia" w:ascii="仿宋" w:hAnsi="仿宋" w:eastAsia="仿宋" w:cs="仿宋"/>
                <w:bCs/>
                <w:sz w:val="28"/>
                <w:szCs w:val="28"/>
                <w:u w:val="single"/>
              </w:rPr>
              <w:t xml:space="preserve">    </w:t>
            </w:r>
            <w:r>
              <w:rPr>
                <w:rStyle w:val="941"/>
                <w:rFonts w:hint="eastAsia" w:ascii="仿宋" w:hAnsi="仿宋" w:eastAsia="仿宋" w:cs="仿宋"/>
                <w:bCs/>
                <w:sz w:val="28"/>
                <w:szCs w:val="28"/>
              </w:rPr>
              <w:t xml:space="preserve">仟</w:t>
            </w:r>
            <w:r>
              <w:rPr>
                <w:rStyle w:val="941"/>
                <w:rFonts w:hint="eastAsia" w:ascii="仿宋" w:hAnsi="仿宋" w:eastAsia="仿宋" w:cs="仿宋"/>
                <w:sz w:val="28"/>
                <w:szCs w:val="28"/>
                <w:u w:val="single"/>
              </w:rPr>
              <w:t xml:space="preserve">     </w:t>
            </w:r>
            <w:r>
              <w:rPr>
                <w:rStyle w:val="941"/>
                <w:rFonts w:hint="eastAsia" w:ascii="仿宋" w:hAnsi="仿宋" w:eastAsia="仿宋" w:cs="仿宋"/>
                <w:bCs/>
                <w:sz w:val="28"/>
                <w:szCs w:val="28"/>
              </w:rPr>
              <w:t xml:space="preserve">佰</w:t>
            </w:r>
            <w:r>
              <w:rPr>
                <w:rStyle w:val="941"/>
                <w:rFonts w:hint="eastAsia" w:ascii="仿宋" w:hAnsi="仿宋" w:eastAsia="仿宋" w:cs="仿宋"/>
                <w:sz w:val="28"/>
                <w:szCs w:val="28"/>
                <w:u w:val="single"/>
              </w:rPr>
              <w:t xml:space="preserve">     </w:t>
            </w:r>
            <w:r>
              <w:rPr>
                <w:rStyle w:val="941"/>
                <w:rFonts w:hint="eastAsia" w:ascii="仿宋" w:hAnsi="仿宋" w:eastAsia="仿宋" w:cs="仿宋"/>
                <w:bCs/>
                <w:sz w:val="28"/>
                <w:szCs w:val="28"/>
              </w:rPr>
              <w:t xml:space="preserve">拾</w:t>
            </w:r>
            <w:r>
              <w:rPr>
                <w:rStyle w:val="941"/>
                <w:rFonts w:hint="eastAsia" w:ascii="仿宋" w:hAnsi="仿宋" w:eastAsia="仿宋" w:cs="仿宋"/>
                <w:sz w:val="28"/>
                <w:szCs w:val="28"/>
                <w:u w:val="single"/>
              </w:rPr>
              <w:t xml:space="preserve">    </w:t>
            </w:r>
            <w:r>
              <w:rPr>
                <w:rStyle w:val="941"/>
                <w:rFonts w:hint="eastAsia" w:ascii="仿宋" w:hAnsi="仿宋" w:eastAsia="仿宋" w:cs="仿宋"/>
                <w:bCs/>
                <w:sz w:val="28"/>
                <w:szCs w:val="28"/>
              </w:rPr>
              <w:t xml:space="preserve">元</w:t>
            </w:r>
            <w:r>
              <w:rPr>
                <w:rStyle w:val="941"/>
                <w:rFonts w:hint="eastAsia" w:ascii="仿宋" w:hAnsi="仿宋" w:eastAsia="仿宋" w:cs="仿宋"/>
                <w:sz w:val="28"/>
                <w:szCs w:val="28"/>
                <w:u w:val="single"/>
              </w:rPr>
              <w:t xml:space="preserve">      </w:t>
            </w:r>
            <w:r>
              <w:rPr>
                <w:rStyle w:val="941"/>
                <w:rFonts w:hint="eastAsia" w:ascii="仿宋" w:hAnsi="仿宋" w:eastAsia="仿宋" w:cs="仿宋"/>
                <w:bCs/>
                <w:sz w:val="28"/>
                <w:szCs w:val="28"/>
              </w:rPr>
              <w:t xml:space="preserve">角</w:t>
            </w:r>
            <w:r>
              <w:rPr>
                <w:rStyle w:val="941"/>
                <w:rFonts w:hint="eastAsia" w:ascii="仿宋" w:hAnsi="仿宋" w:eastAsia="仿宋" w:cs="仿宋"/>
                <w:sz w:val="28"/>
                <w:szCs w:val="28"/>
                <w:u w:val="single"/>
              </w:rPr>
              <w:t xml:space="preserve">      </w:t>
            </w:r>
            <w:r>
              <w:rPr>
                <w:rStyle w:val="941"/>
                <w:rFonts w:hint="eastAsia" w:ascii="仿宋" w:hAnsi="仿宋" w:eastAsia="仿宋" w:cs="仿宋"/>
                <w:bCs/>
                <w:sz w:val="28"/>
                <w:szCs w:val="28"/>
              </w:rPr>
              <w:t xml:space="preserve">分</w:t>
            </w:r>
            <w:r/>
          </w:p>
        </w:tc>
      </w:tr>
    </w:tbl>
    <w:p>
      <w:pPr>
        <w:ind w:firstLine="480"/>
        <w:jc w:val="left"/>
        <w:spacing w:line="400" w:lineRule="exact"/>
        <w:widowControl/>
        <w:rPr>
          <w:rFonts w:ascii="仿宋" w:hAnsi="仿宋" w:eastAsia="仿宋" w:cs="仿宋"/>
          <w:b/>
          <w:highlight w:val="none"/>
        </w:rPr>
      </w:pPr>
      <w:r>
        <w:rPr>
          <w:rFonts w:hint="eastAsia" w:ascii="仿宋" w:hAnsi="仿宋" w:eastAsia="仿宋" w:cs="仿宋"/>
          <w:highlight w:val="none"/>
        </w:rPr>
        <w:t xml:space="preserve">注：</w:t>
      </w: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表中报价总计应与对应开标一览表中总价一致</w:t>
      </w:r>
      <w:r>
        <w:rPr>
          <w:rFonts w:hint="eastAsia" w:ascii="仿宋" w:hAnsi="仿宋" w:eastAsia="仿宋" w:cs="仿宋"/>
          <w:b/>
          <w:highlight w:val="none"/>
        </w:rPr>
        <w:t xml:space="preserve">。</w:t>
      </w:r>
      <w:r/>
    </w:p>
    <w:p>
      <w:pPr>
        <w:pStyle w:val="1037"/>
        <w:ind w:firstLine="482"/>
        <w:jc w:val="left"/>
        <w:spacing w:line="400" w:lineRule="exact"/>
        <w:widowControl/>
        <w:rPr>
          <w:rFonts w:ascii="仿宋" w:hAnsi="仿宋" w:eastAsia="仿宋" w:cs="仿宋"/>
          <w:b/>
          <w:sz w:val="24"/>
          <w:highlight w:val="none"/>
        </w:rPr>
      </w:pPr>
      <w:r>
        <w:rPr>
          <w:rFonts w:ascii="仿宋" w:hAnsi="仿宋" w:eastAsia="仿宋" w:cs="仿宋"/>
          <w:b/>
          <w:sz w:val="24"/>
          <w:highlight w:val="none"/>
        </w:rPr>
      </w:r>
      <w:r/>
    </w:p>
    <w:p>
      <w:pPr>
        <w:pStyle w:val="1037"/>
        <w:jc w:val="right"/>
        <w:rPr>
          <w:rFonts w:ascii="仿宋" w:hAnsi="仿宋" w:eastAsia="仿宋" w:cs="仿宋"/>
          <w:sz w:val="24"/>
          <w:highlight w:val="none"/>
        </w:rPr>
      </w:pPr>
      <w:r>
        <w:rPr>
          <w:rFonts w:ascii="仿宋" w:hAnsi="仿宋" w:eastAsia="仿宋" w:cs="仿宋"/>
          <w:sz w:val="24"/>
          <w:highlight w:val="none"/>
        </w:rPr>
      </w:r>
      <w:r/>
    </w:p>
    <w:p>
      <w:pPr>
        <w:pStyle w:val="1028"/>
        <w:spacing w:line="520" w:lineRule="exact"/>
        <w:rPr>
          <w:rFonts w:ascii="仿宋" w:hAnsi="仿宋" w:eastAsia="仿宋" w:cs="仿宋"/>
          <w:b/>
          <w:sz w:val="24"/>
          <w:szCs w:val="20"/>
          <w:highlight w:val="none"/>
        </w:rPr>
      </w:pPr>
      <w:r/>
      <w:bookmarkStart w:id="84" w:name="_Toc17048"/>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6"/>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967"/>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42"/>
        <w:rPr>
          <w:rFonts w:ascii="仿宋" w:hAnsi="仿宋" w:eastAsia="仿宋" w:cs="仿宋"/>
          <w:highlight w:val="none"/>
        </w:rPr>
        <w:outlineLvl w:val="1"/>
      </w:pPr>
      <w:r>
        <w:rPr>
          <w:rFonts w:hint="eastAsia" w:ascii="仿宋" w:hAnsi="仿宋" w:eastAsia="仿宋" w:cs="仿宋"/>
          <w:highlight w:val="none"/>
        </w:rPr>
        <w:br w:type="page" w:clear="all"/>
      </w:r>
      <w:r>
        <w:rPr>
          <w:rFonts w:hint="eastAsia" w:ascii="仿宋" w:hAnsi="仿宋" w:eastAsia="仿宋" w:cs="仿宋"/>
          <w:highlight w:val="none"/>
        </w:rPr>
        <w:t xml:space="preserve">七、技术响应偏离表</w:t>
      </w:r>
      <w:bookmarkEnd w:id="84"/>
      <w:r/>
      <w:r/>
    </w:p>
    <w:p>
      <w:pPr>
        <w:pStyle w:val="1043"/>
        <w:jc w:val="center"/>
        <w:rPr>
          <w:rFonts w:ascii="仿宋" w:hAnsi="仿宋" w:eastAsia="仿宋" w:cs="仿宋"/>
          <w:sz w:val="32"/>
          <w:szCs w:val="32"/>
          <w:highlight w:val="none"/>
        </w:rPr>
      </w:pPr>
      <w:r>
        <w:rPr>
          <w:rFonts w:hint="eastAsia" w:ascii="仿宋" w:hAnsi="仿宋" w:eastAsia="仿宋" w:cs="仿宋"/>
          <w:sz w:val="32"/>
          <w:szCs w:val="32"/>
          <w:highlight w:val="none"/>
        </w:rPr>
        <w:t xml:space="preserve">技术响应偏离表</w:t>
      </w:r>
      <w:r/>
    </w:p>
    <w:p>
      <w:pPr>
        <w:pStyle w:val="1045"/>
        <w:ind w:firstLine="480"/>
        <w:rPr>
          <w:rFonts w:ascii="仿宋" w:hAnsi="仿宋" w:eastAsia="仿宋" w:cs="仿宋"/>
          <w:sz w:val="24"/>
          <w:szCs w:val="20"/>
          <w:highlight w:val="none"/>
        </w:rPr>
      </w:pPr>
      <w:r>
        <w:rPr>
          <w:rFonts w:ascii="仿宋" w:hAnsi="仿宋" w:eastAsia="仿宋" w:cs="仿宋"/>
          <w:sz w:val="24"/>
          <w:szCs w:val="20"/>
          <w:highlight w:val="none"/>
        </w:rPr>
      </w:r>
      <w:r/>
    </w:p>
    <w:tbl>
      <w:tblPr>
        <w:tblStyle w:val="74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8"/>
        <w:gridCol w:w="2867"/>
        <w:gridCol w:w="1866"/>
        <w:gridCol w:w="1732"/>
      </w:tblGrid>
      <w:tr>
        <w:trPr>
          <w:jc w:val="center"/>
          <w:trHeight w:val="655"/>
        </w:trPr>
        <w:tc>
          <w:tcPr>
            <w:tcW w:w="2838" w:type="dxa"/>
            <w:vAlign w:val="center"/>
            <w:textDirection w:val="lrTb"/>
            <w:noWrap w:val="false"/>
          </w:tcPr>
          <w:p>
            <w:pPr>
              <w:pStyle w:val="1043"/>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招标文件内容</w:t>
            </w:r>
            <w:r/>
          </w:p>
        </w:tc>
        <w:tc>
          <w:tcPr>
            <w:tcW w:w="2867" w:type="dxa"/>
            <w:vAlign w:val="center"/>
            <w:textDirection w:val="lrTb"/>
            <w:noWrap w:val="false"/>
          </w:tcPr>
          <w:p>
            <w:pPr>
              <w:pStyle w:val="1043"/>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投标文件内容</w:t>
            </w:r>
            <w:r/>
          </w:p>
        </w:tc>
        <w:tc>
          <w:tcPr>
            <w:tcW w:w="1866" w:type="dxa"/>
            <w:vAlign w:val="center"/>
            <w:textDirection w:val="lrTb"/>
            <w:noWrap w:val="false"/>
          </w:tcPr>
          <w:p>
            <w:pPr>
              <w:pStyle w:val="1043"/>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偏离内容及说明</w:t>
            </w:r>
            <w:r/>
          </w:p>
        </w:tc>
        <w:tc>
          <w:tcPr>
            <w:tcW w:w="1732" w:type="dxa"/>
            <w:vAlign w:val="center"/>
            <w:textDirection w:val="lrTb"/>
            <w:noWrap w:val="false"/>
          </w:tcPr>
          <w:p>
            <w:pPr>
              <w:pStyle w:val="1043"/>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技术支持资料对应页码</w:t>
            </w:r>
            <w:r/>
          </w:p>
        </w:tc>
      </w:tr>
      <w:tr>
        <w:trPr>
          <w:jc w:val="center"/>
          <w:trHeight w:val="650"/>
        </w:trPr>
        <w:tc>
          <w:tcPr>
            <w:tcW w:w="2838" w:type="dxa"/>
            <w:vAlign w:val="center"/>
            <w:textDirection w:val="lrTb"/>
            <w:noWrap w:val="false"/>
          </w:tcPr>
          <w:p>
            <w:pPr>
              <w:spacing w:line="440" w:lineRule="exact"/>
              <w:rPr>
                <w:rFonts w:ascii="仿宋" w:hAnsi="仿宋" w:eastAsia="仿宋" w:cs="仿宋"/>
                <w:highlight w:val="none"/>
              </w:rPr>
            </w:pPr>
            <w:r>
              <w:rPr>
                <w:rFonts w:ascii="仿宋" w:hAnsi="仿宋" w:eastAsia="仿宋" w:cs="仿宋"/>
                <w:highlight w:val="none"/>
              </w:rPr>
            </w:r>
            <w:r/>
          </w:p>
        </w:tc>
        <w:tc>
          <w:tcPr>
            <w:tcW w:w="2867" w:type="dxa"/>
            <w:vAlign w:val="center"/>
            <w:textDirection w:val="lrTb"/>
            <w:noWrap w:val="false"/>
          </w:tcPr>
          <w:p>
            <w:pPr>
              <w:spacing w:line="460" w:lineRule="exact"/>
              <w:rPr>
                <w:rFonts w:ascii="仿宋" w:hAnsi="仿宋" w:eastAsia="仿宋" w:cs="仿宋"/>
                <w:highlight w:val="none"/>
              </w:rPr>
            </w:pPr>
            <w:r>
              <w:rPr>
                <w:rFonts w:ascii="仿宋" w:hAnsi="仿宋" w:eastAsia="仿宋" w:cs="仿宋"/>
                <w:highlight w:val="none"/>
              </w:rPr>
            </w:r>
            <w:r/>
          </w:p>
        </w:tc>
        <w:tc>
          <w:tcPr>
            <w:tcW w:w="1866" w:type="dxa"/>
            <w:vAlign w:val="center"/>
            <w:textDirection w:val="lrTb"/>
            <w:noWrap w:val="false"/>
          </w:tcPr>
          <w:p>
            <w:pPr>
              <w:pStyle w:val="1043"/>
              <w:jc w:val="center"/>
              <w:spacing w:line="560" w:lineRule="exact"/>
              <w:rPr>
                <w:rFonts w:ascii="仿宋" w:hAnsi="仿宋" w:eastAsia="仿宋" w:cs="仿宋"/>
                <w:sz w:val="24"/>
                <w:szCs w:val="24"/>
                <w:highlight w:val="none"/>
              </w:rPr>
            </w:pPr>
            <w:r>
              <w:rPr>
                <w:rFonts w:ascii="仿宋" w:hAnsi="仿宋" w:eastAsia="仿宋" w:cs="仿宋"/>
                <w:sz w:val="24"/>
                <w:szCs w:val="24"/>
                <w:highlight w:val="none"/>
              </w:rPr>
            </w:r>
            <w:r/>
          </w:p>
        </w:tc>
        <w:tc>
          <w:tcPr>
            <w:tcW w:w="1732" w:type="dxa"/>
            <w:vAlign w:val="center"/>
            <w:textDirection w:val="lrTb"/>
            <w:noWrap w:val="false"/>
          </w:tcPr>
          <w:p>
            <w:pPr>
              <w:pStyle w:val="1043"/>
              <w:jc w:val="center"/>
              <w:spacing w:line="560" w:lineRule="exact"/>
              <w:rPr>
                <w:rFonts w:ascii="仿宋" w:hAnsi="仿宋" w:eastAsia="仿宋" w:cs="仿宋"/>
                <w:sz w:val="24"/>
                <w:szCs w:val="24"/>
                <w:highlight w:val="none"/>
              </w:rPr>
            </w:pPr>
            <w:r>
              <w:rPr>
                <w:rFonts w:ascii="仿宋" w:hAnsi="仿宋" w:eastAsia="仿宋" w:cs="仿宋"/>
                <w:sz w:val="24"/>
                <w:szCs w:val="24"/>
                <w:highlight w:val="none"/>
              </w:rPr>
            </w:r>
            <w:r/>
          </w:p>
        </w:tc>
      </w:tr>
      <w:tr>
        <w:trPr>
          <w:jc w:val="center"/>
          <w:trHeight w:val="567"/>
        </w:trPr>
        <w:tc>
          <w:tcPr>
            <w:tcW w:w="2838"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867"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1866" w:type="dxa"/>
            <w:vAlign w:val="center"/>
            <w:textDirection w:val="lrTb"/>
            <w:noWrap w:val="false"/>
          </w:tcPr>
          <w:p>
            <w:pPr>
              <w:pStyle w:val="104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c>
          <w:tcPr>
            <w:tcW w:w="1732" w:type="dxa"/>
            <w:vAlign w:val="center"/>
            <w:textDirection w:val="lrTb"/>
            <w:noWrap w:val="false"/>
          </w:tcPr>
          <w:p>
            <w:pPr>
              <w:pStyle w:val="104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r>
      <w:tr>
        <w:trPr>
          <w:jc w:val="center"/>
          <w:trHeight w:val="567"/>
        </w:trPr>
        <w:tc>
          <w:tcPr>
            <w:tcW w:w="2838"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867"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1866" w:type="dxa"/>
            <w:vAlign w:val="center"/>
            <w:textDirection w:val="lrTb"/>
            <w:noWrap w:val="false"/>
          </w:tcPr>
          <w:p>
            <w:pPr>
              <w:pStyle w:val="104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c>
          <w:tcPr>
            <w:tcW w:w="1732" w:type="dxa"/>
            <w:vAlign w:val="center"/>
            <w:textDirection w:val="lrTb"/>
            <w:noWrap w:val="false"/>
          </w:tcPr>
          <w:p>
            <w:pPr>
              <w:pStyle w:val="104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r>
      <w:tr>
        <w:trPr>
          <w:jc w:val="center"/>
          <w:trHeight w:val="567"/>
        </w:trPr>
        <w:tc>
          <w:tcPr>
            <w:tcW w:w="2838"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867"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1866" w:type="dxa"/>
            <w:vAlign w:val="center"/>
            <w:textDirection w:val="lrTb"/>
            <w:noWrap w:val="false"/>
          </w:tcPr>
          <w:p>
            <w:pPr>
              <w:pStyle w:val="104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c>
          <w:tcPr>
            <w:tcW w:w="1732" w:type="dxa"/>
            <w:vAlign w:val="center"/>
            <w:textDirection w:val="lrTb"/>
            <w:noWrap w:val="false"/>
          </w:tcPr>
          <w:p>
            <w:pPr>
              <w:pStyle w:val="104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r>
      <w:tr>
        <w:trPr>
          <w:jc w:val="center"/>
          <w:trHeight w:val="567"/>
        </w:trPr>
        <w:tc>
          <w:tcPr>
            <w:tcW w:w="2838"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2867" w:type="dxa"/>
            <w:vAlign w:val="center"/>
            <w:textDirection w:val="lrTb"/>
            <w:noWrap w:val="false"/>
          </w:tcPr>
          <w:p>
            <w:pPr>
              <w:spacing w:line="460" w:lineRule="exact"/>
              <w:rPr>
                <w:rFonts w:ascii="仿宋" w:hAnsi="仿宋" w:eastAsia="仿宋" w:cs="仿宋"/>
                <w:szCs w:val="22"/>
                <w:highlight w:val="none"/>
              </w:rPr>
            </w:pPr>
            <w:r>
              <w:rPr>
                <w:rFonts w:ascii="仿宋" w:hAnsi="仿宋" w:eastAsia="仿宋" w:cs="仿宋"/>
                <w:szCs w:val="22"/>
                <w:highlight w:val="none"/>
              </w:rPr>
            </w:r>
            <w:r/>
          </w:p>
        </w:tc>
        <w:tc>
          <w:tcPr>
            <w:tcW w:w="1866" w:type="dxa"/>
            <w:vAlign w:val="center"/>
            <w:textDirection w:val="lrTb"/>
            <w:noWrap w:val="false"/>
          </w:tcPr>
          <w:p>
            <w:pPr>
              <w:pStyle w:val="104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c>
          <w:tcPr>
            <w:tcW w:w="1732" w:type="dxa"/>
            <w:vAlign w:val="center"/>
            <w:textDirection w:val="lrTb"/>
            <w:noWrap w:val="false"/>
          </w:tcPr>
          <w:p>
            <w:pPr>
              <w:pStyle w:val="1043"/>
              <w:jc w:val="center"/>
              <w:spacing w:line="560" w:lineRule="exact"/>
              <w:rPr>
                <w:rFonts w:ascii="仿宋" w:hAnsi="仿宋" w:eastAsia="仿宋" w:cs="仿宋"/>
                <w:sz w:val="24"/>
                <w:szCs w:val="22"/>
                <w:highlight w:val="none"/>
              </w:rPr>
            </w:pPr>
            <w:r>
              <w:rPr>
                <w:rFonts w:ascii="仿宋" w:hAnsi="仿宋" w:eastAsia="仿宋" w:cs="仿宋"/>
                <w:sz w:val="24"/>
                <w:szCs w:val="22"/>
                <w:highlight w:val="none"/>
              </w:rPr>
            </w:r>
            <w:r/>
          </w:p>
        </w:tc>
      </w:tr>
    </w:tbl>
    <w:p>
      <w:pPr>
        <w:pStyle w:val="1028"/>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6"/>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6"/>
        <w:numPr>
          <w:ilvl w:val="0"/>
          <w:numId w:val="6"/>
        </w:numPr>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招标文件</w:t>
      </w:r>
      <w:r>
        <w:rPr>
          <w:rFonts w:hint="eastAsia" w:ascii="仿宋" w:hAnsi="仿宋" w:eastAsia="仿宋" w:cs="仿宋"/>
          <w:b/>
          <w:bCs/>
          <w:color w:val="auto"/>
          <w:sz w:val="24"/>
          <w:szCs w:val="28"/>
          <w:highlight w:val="none"/>
        </w:rPr>
        <w:t xml:space="preserve">第四部分采购需求</w:t>
      </w:r>
      <w:r>
        <w:rPr>
          <w:rFonts w:hint="eastAsia" w:ascii="仿宋" w:hAnsi="仿宋" w:eastAsia="仿宋" w:cs="仿宋"/>
          <w:b/>
          <w:bCs/>
          <w:color w:val="auto"/>
          <w:sz w:val="24"/>
          <w:szCs w:val="28"/>
          <w:highlight w:val="none"/>
          <w:lang w:val="en-US" w:eastAsia="zh-CN"/>
        </w:rPr>
        <w:t xml:space="preserve">中（一）技术要求</w:t>
      </w:r>
      <w:r>
        <w:rPr>
          <w:rFonts w:hint="eastAsia" w:ascii="仿宋" w:hAnsi="仿宋" w:eastAsia="仿宋" w:cs="仿宋"/>
          <w:b/>
          <w:bCs/>
          <w:sz w:val="24"/>
          <w:szCs w:val="28"/>
          <w:highlight w:val="none"/>
        </w:rPr>
        <w:t xml:space="preserve">的</w:t>
      </w:r>
      <w:r>
        <w:rPr>
          <w:rFonts w:hint="eastAsia" w:ascii="仿宋" w:hAnsi="仿宋" w:eastAsia="仿宋" w:cs="仿宋"/>
          <w:b/>
          <w:bCs/>
          <w:sz w:val="24"/>
          <w:szCs w:val="28"/>
          <w:highlight w:val="none"/>
          <w:lang w:val="en-US" w:eastAsia="zh-CN"/>
        </w:rPr>
        <w:t xml:space="preserve">所有</w:t>
      </w:r>
      <w:r>
        <w:rPr>
          <w:rFonts w:hint="eastAsia" w:ascii="仿宋" w:hAnsi="仿宋" w:eastAsia="仿宋" w:cs="仿宋"/>
          <w:b/>
          <w:bCs/>
          <w:sz w:val="24"/>
          <w:szCs w:val="28"/>
          <w:highlight w:val="none"/>
        </w:rPr>
        <w:t xml:space="preserve">内容应当逐条在此表中列明并由</w:t>
      </w:r>
      <w:r>
        <w:rPr>
          <w:rFonts w:hint="eastAsia" w:ascii="仿宋" w:hAnsi="仿宋" w:eastAsia="仿宋" w:cs="仿宋"/>
          <w:b/>
          <w:bCs/>
          <w:sz w:val="24"/>
          <w:szCs w:val="28"/>
          <w:highlight w:val="none"/>
          <w:lang w:eastAsia="zh-CN"/>
        </w:rPr>
        <w:t xml:space="preserve">投标人</w:t>
      </w:r>
      <w:r>
        <w:rPr>
          <w:rFonts w:hint="eastAsia" w:ascii="仿宋" w:hAnsi="仿宋" w:eastAsia="仿宋" w:cs="仿宋"/>
          <w:b/>
          <w:bCs/>
          <w:sz w:val="24"/>
          <w:szCs w:val="28"/>
          <w:highlight w:val="none"/>
        </w:rPr>
        <w:t xml:space="preserve">逐条响应，所提供</w:t>
      </w:r>
      <w:r>
        <w:rPr>
          <w:rFonts w:hint="eastAsia" w:ascii="仿宋" w:hAnsi="仿宋" w:eastAsia="仿宋" w:cs="仿宋"/>
          <w:b/>
          <w:bCs/>
          <w:sz w:val="24"/>
          <w:szCs w:val="28"/>
          <w:highlight w:val="none"/>
          <w:lang w:val="en-US" w:eastAsia="zh-CN"/>
        </w:rPr>
        <w:t xml:space="preserve">货物</w:t>
      </w:r>
      <w:r>
        <w:rPr>
          <w:rFonts w:hint="eastAsia" w:ascii="仿宋" w:hAnsi="仿宋" w:eastAsia="仿宋" w:cs="仿宋"/>
          <w:b/>
          <w:bCs/>
          <w:sz w:val="24"/>
          <w:szCs w:val="28"/>
          <w:highlight w:val="none"/>
        </w:rPr>
        <w:t xml:space="preserve">与招标文件没有偏离的，应在此表偏离内容及说明中注明“无偏离”；凡投标文件中所提供</w:t>
      </w:r>
      <w:r>
        <w:rPr>
          <w:rFonts w:hint="eastAsia" w:ascii="仿宋" w:hAnsi="仿宋" w:eastAsia="仿宋" w:cs="仿宋"/>
          <w:b/>
          <w:bCs/>
          <w:sz w:val="24"/>
          <w:szCs w:val="28"/>
          <w:highlight w:val="none"/>
          <w:lang w:val="en-US" w:eastAsia="zh-CN"/>
        </w:rPr>
        <w:t xml:space="preserve">货物</w:t>
      </w:r>
      <w:r>
        <w:rPr>
          <w:rFonts w:hint="eastAsia" w:ascii="仿宋" w:hAnsi="仿宋" w:eastAsia="仿宋" w:cs="仿宋"/>
          <w:b/>
          <w:bCs/>
          <w:sz w:val="24"/>
          <w:szCs w:val="28"/>
          <w:highlight w:val="none"/>
        </w:rPr>
        <w:t xml:space="preserve">与招标文件有偏离的（包括正偏离和负偏离），均应在此表偏离内容及说明中注明“正偏离”或“负偏离”并详细列出偏离内容或说明理由。</w:t>
      </w:r>
      <w:r/>
    </w:p>
    <w:p>
      <w:pPr>
        <w:pStyle w:val="1036"/>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2、应后附详细说明及技术资料，并注明投标文件中对应的页码范围。</w:t>
      </w:r>
      <w:r/>
    </w:p>
    <w:p>
      <w:pPr>
        <w:pStyle w:val="1020"/>
        <w:jc w:val="left"/>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3、响应内容不得完全复制采购需求的内容，须</w:t>
      </w:r>
      <w:r>
        <w:rPr>
          <w:rFonts w:hint="eastAsia" w:ascii="仿宋" w:hAnsi="仿宋" w:eastAsia="仿宋" w:cs="仿宋"/>
          <w:b/>
          <w:bCs/>
          <w:sz w:val="24"/>
          <w:szCs w:val="28"/>
          <w:highlight w:val="none"/>
          <w:lang w:eastAsia="zh-CN"/>
        </w:rPr>
        <w:t xml:space="preserve">投标人</w:t>
      </w:r>
      <w:r>
        <w:rPr>
          <w:rFonts w:hint="eastAsia" w:ascii="仿宋" w:hAnsi="仿宋" w:eastAsia="仿宋" w:cs="仿宋"/>
          <w:b/>
          <w:bCs/>
          <w:sz w:val="24"/>
          <w:szCs w:val="28"/>
          <w:highlight w:val="none"/>
        </w:rPr>
        <w:t xml:space="preserve">自行进行响应。</w:t>
      </w:r>
      <w:r/>
    </w:p>
    <w:p>
      <w:pPr>
        <w:pStyle w:val="1020"/>
        <w:jc w:val="left"/>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4、表格中填写（例）仅为</w:t>
      </w:r>
      <w:r>
        <w:rPr>
          <w:rFonts w:hint="eastAsia" w:ascii="仿宋" w:hAnsi="仿宋" w:eastAsia="仿宋" w:cs="仿宋"/>
          <w:b/>
          <w:bCs/>
          <w:sz w:val="24"/>
          <w:szCs w:val="28"/>
          <w:highlight w:val="none"/>
          <w:lang w:eastAsia="zh-CN"/>
        </w:rPr>
        <w:t xml:space="preserve">投标人</w:t>
      </w:r>
      <w:r>
        <w:rPr>
          <w:rFonts w:hint="eastAsia" w:ascii="仿宋" w:hAnsi="仿宋" w:eastAsia="仿宋" w:cs="仿宋"/>
          <w:b/>
          <w:bCs/>
          <w:sz w:val="24"/>
          <w:szCs w:val="28"/>
          <w:highlight w:val="none"/>
        </w:rPr>
        <w:t xml:space="preserve">理解表格使用，</w:t>
      </w:r>
      <w:r>
        <w:rPr>
          <w:rFonts w:hint="eastAsia" w:ascii="仿宋" w:hAnsi="仿宋" w:eastAsia="仿宋" w:cs="仿宋"/>
          <w:b/>
          <w:bCs/>
          <w:sz w:val="24"/>
          <w:szCs w:val="28"/>
          <w:highlight w:val="none"/>
          <w:lang w:eastAsia="zh-CN"/>
        </w:rPr>
        <w:t xml:space="preserve">投标人</w:t>
      </w:r>
      <w:r>
        <w:rPr>
          <w:rFonts w:hint="eastAsia" w:ascii="仿宋" w:hAnsi="仿宋" w:eastAsia="仿宋" w:cs="仿宋"/>
          <w:b/>
          <w:bCs/>
          <w:sz w:val="24"/>
          <w:szCs w:val="28"/>
          <w:highlight w:val="none"/>
        </w:rPr>
        <w:t xml:space="preserve">制作文件时请删除。</w:t>
      </w:r>
      <w:r/>
    </w:p>
    <w:p>
      <w:pPr>
        <w:pStyle w:val="1020"/>
        <w:jc w:val="left"/>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5、行数不够请自行添加。</w:t>
      </w:r>
      <w:r/>
    </w:p>
    <w:p>
      <w:pPr>
        <w:pStyle w:val="1020"/>
        <w:jc w:val="left"/>
        <w:rPr>
          <w:rFonts w:ascii="仿宋" w:hAnsi="仿宋" w:eastAsia="仿宋" w:cs="仿宋"/>
          <w:b/>
          <w:sz w:val="32"/>
          <w:szCs w:val="24"/>
          <w:highlight w:val="none"/>
        </w:rPr>
        <w:outlineLvl w:val="1"/>
      </w:pPr>
      <w:r>
        <w:rPr>
          <w:rFonts w:hint="eastAsia" w:ascii="仿宋" w:hAnsi="仿宋" w:eastAsia="仿宋" w:cs="仿宋"/>
          <w:b/>
          <w:bCs/>
          <w:sz w:val="24"/>
          <w:szCs w:val="28"/>
          <w:highlight w:val="none"/>
        </w:rPr>
        <w:br w:type="page" w:clear="all"/>
      </w:r>
      <w:bookmarkStart w:id="85" w:name="_Toc26098"/>
      <w:r>
        <w:rPr>
          <w:rFonts w:hint="eastAsia" w:ascii="仿宋" w:hAnsi="仿宋" w:eastAsia="仿宋" w:cs="仿宋"/>
          <w:b/>
          <w:sz w:val="32"/>
          <w:szCs w:val="24"/>
          <w:highlight w:val="none"/>
        </w:rPr>
        <w:t xml:space="preserve">八、</w:t>
      </w:r>
      <w:bookmarkStart w:id="86" w:name="_Toc9396"/>
      <w:r/>
      <w:bookmarkStart w:id="87" w:name="_Toc8566"/>
      <w:r>
        <w:rPr>
          <w:rFonts w:hint="eastAsia" w:ascii="仿宋" w:hAnsi="仿宋" w:eastAsia="仿宋" w:cs="仿宋"/>
          <w:b/>
          <w:sz w:val="32"/>
          <w:szCs w:val="24"/>
          <w:highlight w:val="none"/>
        </w:rPr>
        <w:t xml:space="preserve">商务</w:t>
      </w:r>
      <w:r>
        <w:rPr>
          <w:rFonts w:hint="eastAsia" w:ascii="仿宋" w:hAnsi="仿宋" w:eastAsia="仿宋" w:cs="仿宋"/>
          <w:b/>
          <w:sz w:val="32"/>
          <w:szCs w:val="24"/>
          <w:highlight w:val="none"/>
          <w:lang w:val="en-US" w:eastAsia="zh-CN"/>
        </w:rPr>
        <w:t xml:space="preserve">响应</w:t>
      </w:r>
      <w:r>
        <w:rPr>
          <w:rFonts w:hint="eastAsia" w:ascii="仿宋" w:hAnsi="仿宋" w:eastAsia="仿宋" w:cs="仿宋"/>
          <w:b/>
          <w:sz w:val="32"/>
          <w:szCs w:val="24"/>
          <w:highlight w:val="none"/>
        </w:rPr>
        <w:t xml:space="preserve">偏离表</w:t>
      </w:r>
      <w:bookmarkEnd w:id="86"/>
      <w:r/>
      <w:bookmarkEnd w:id="87"/>
      <w:r/>
      <w:r/>
    </w:p>
    <w:p>
      <w:pPr>
        <w:pStyle w:val="1043"/>
        <w:jc w:val="center"/>
        <w:rPr>
          <w:rFonts w:ascii="仿宋" w:hAnsi="仿宋" w:eastAsia="仿宋" w:cs="仿宋"/>
          <w:b/>
          <w:bCs/>
          <w:highlight w:val="none"/>
        </w:rPr>
      </w:pPr>
      <w:r>
        <w:rPr>
          <w:rFonts w:hint="eastAsia" w:ascii="仿宋" w:hAnsi="仿宋" w:eastAsia="仿宋" w:cs="仿宋"/>
          <w:sz w:val="32"/>
          <w:szCs w:val="32"/>
          <w:highlight w:val="none"/>
        </w:rPr>
        <w:t xml:space="preserve">商务响应偏离表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34"/>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招标文件内容</w:t>
            </w:r>
            <w:r/>
          </w:p>
        </w:tc>
        <w:tc>
          <w:tcPr>
            <w:tcW w:w="3632" w:type="dxa"/>
            <w:vAlign w:val="center"/>
            <w:textDirection w:val="lrTb"/>
            <w:noWrap w:val="false"/>
          </w:tcPr>
          <w:p>
            <w:pPr>
              <w:pStyle w:val="1034"/>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投标文件内容</w:t>
            </w:r>
            <w:r/>
          </w:p>
        </w:tc>
        <w:tc>
          <w:tcPr>
            <w:tcW w:w="1863" w:type="dxa"/>
            <w:vAlign w:val="center"/>
            <w:textDirection w:val="lrTb"/>
            <w:noWrap w:val="false"/>
          </w:tcPr>
          <w:p>
            <w:pPr>
              <w:pStyle w:val="1034"/>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偏离内容及说明</w:t>
            </w:r>
            <w:r/>
          </w:p>
        </w:tc>
      </w:tr>
      <w:tr>
        <w:trPr>
          <w:jc w:val="center"/>
          <w:trHeight w:val="672"/>
        </w:trPr>
        <w:tc>
          <w:tcPr>
            <w:tcW w:w="3012" w:type="dxa"/>
            <w:vAlign w:val="center"/>
            <w:textDirection w:val="lrTb"/>
            <w:noWrap w:val="false"/>
          </w:tcPr>
          <w:p>
            <w:pPr>
              <w:pStyle w:val="1034"/>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34"/>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pStyle w:val="1034"/>
              <w:jc w:val="center"/>
              <w:spacing w:line="56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672"/>
        </w:trPr>
        <w:tc>
          <w:tcPr>
            <w:tcW w:w="3012" w:type="dxa"/>
            <w:vAlign w:val="center"/>
            <w:textDirection w:val="lrTb"/>
            <w:noWrap w:val="false"/>
          </w:tcPr>
          <w:p>
            <w:pPr>
              <w:pStyle w:val="1034"/>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34"/>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r>
        <w:trPr>
          <w:jc w:val="center"/>
          <w:trHeight w:val="672"/>
        </w:trPr>
        <w:tc>
          <w:tcPr>
            <w:tcW w:w="3012" w:type="dxa"/>
            <w:vAlign w:val="center"/>
            <w:textDirection w:val="lrTb"/>
            <w:noWrap w:val="false"/>
          </w:tcPr>
          <w:p>
            <w:pPr>
              <w:pStyle w:val="1034"/>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34"/>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bl>
    <w:p>
      <w:pPr>
        <w:pStyle w:val="1036"/>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36"/>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36"/>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注：</w:t>
      </w:r>
      <w:r>
        <w:rPr>
          <w:rFonts w:hint="eastAsia" w:ascii="仿宋" w:hAnsi="仿宋" w:eastAsia="仿宋" w:cs="仿宋"/>
          <w:b/>
          <w:bCs/>
          <w:sz w:val="24"/>
          <w:szCs w:val="28"/>
          <w:highlight w:val="none"/>
          <w:lang w:val="en-US" w:eastAsia="zh-CN"/>
        </w:rPr>
        <w:t xml:space="preserve">1.</w:t>
      </w:r>
      <w:r>
        <w:rPr>
          <w:rFonts w:hint="eastAsia" w:ascii="仿宋" w:hAnsi="仿宋" w:eastAsia="仿宋" w:cs="仿宋"/>
          <w:b/>
          <w:bCs/>
          <w:sz w:val="24"/>
          <w:szCs w:val="28"/>
          <w:highlight w:val="none"/>
        </w:rPr>
        <w:t xml:space="preserve">招标文件</w:t>
      </w:r>
      <w:r>
        <w:rPr>
          <w:rFonts w:hint="eastAsia" w:ascii="仿宋" w:hAnsi="仿宋" w:eastAsia="仿宋" w:cs="仿宋"/>
          <w:b/>
          <w:bCs/>
          <w:color w:val="auto"/>
          <w:sz w:val="24"/>
          <w:szCs w:val="28"/>
          <w:highlight w:val="none"/>
        </w:rPr>
        <w:t xml:space="preserve">第四部分采购需求</w:t>
      </w:r>
      <w:r>
        <w:rPr>
          <w:rFonts w:hint="eastAsia" w:ascii="仿宋" w:hAnsi="仿宋" w:eastAsia="仿宋" w:cs="仿宋"/>
          <w:b/>
          <w:bCs/>
          <w:color w:val="auto"/>
          <w:sz w:val="24"/>
          <w:szCs w:val="28"/>
          <w:highlight w:val="none"/>
          <w:lang w:val="en-US" w:eastAsia="zh-CN"/>
        </w:rPr>
        <w:t xml:space="preserve">中（二）</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sz w:val="24"/>
          <w:szCs w:val="28"/>
          <w:highlight w:val="none"/>
        </w:rPr>
        <w:t xml:space="preserve">应当逐条在此表中列明并由</w:t>
      </w:r>
      <w:r>
        <w:rPr>
          <w:rFonts w:hint="eastAsia" w:ascii="仿宋" w:hAnsi="仿宋" w:eastAsia="仿宋" w:cs="仿宋"/>
          <w:b/>
          <w:bCs/>
          <w:sz w:val="24"/>
          <w:szCs w:val="28"/>
          <w:highlight w:val="none"/>
          <w:lang w:eastAsia="zh-CN"/>
        </w:rPr>
        <w:t xml:space="preserve">投标人</w:t>
      </w:r>
      <w:r>
        <w:rPr>
          <w:rFonts w:hint="eastAsia" w:ascii="仿宋" w:hAnsi="仿宋" w:eastAsia="仿宋" w:cs="仿宋"/>
          <w:b/>
          <w:bCs/>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sz w:val="24"/>
          <w:szCs w:val="28"/>
          <w:highlight w:val="none"/>
          <w:lang w:val="en-US" w:eastAsia="zh-CN"/>
        </w:rPr>
        <w:t xml:space="preserve">内容</w:t>
      </w:r>
      <w:r>
        <w:rPr>
          <w:rFonts w:hint="eastAsia" w:ascii="仿宋" w:hAnsi="仿宋" w:eastAsia="仿宋" w:cs="仿宋"/>
          <w:b/>
          <w:bCs/>
          <w:sz w:val="24"/>
          <w:szCs w:val="28"/>
          <w:highlight w:val="none"/>
        </w:rPr>
        <w:t xml:space="preserve">与招标文件有偏离的，均应在此表偏离内容及说明中注明“正偏离”或“负偏离”并详细列出偏离内容或说明理由。</w:t>
      </w:r>
      <w:r/>
    </w:p>
    <w:p>
      <w:pPr>
        <w:pStyle w:val="1036"/>
        <w:rPr>
          <w:rFonts w:hint="default"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047"/>
        <w:jc w:val="center"/>
        <w:rPr>
          <w:rFonts w:ascii="仿宋" w:hAnsi="仿宋" w:eastAsia="仿宋" w:cs="仿宋"/>
          <w:sz w:val="24"/>
          <w:szCs w:val="21"/>
          <w:highlight w:val="none"/>
        </w:rPr>
      </w:pPr>
      <w:r>
        <w:rPr>
          <w:rFonts w:hint="eastAsia" w:ascii="仿宋" w:hAnsi="仿宋" w:eastAsia="仿宋" w:cs="仿宋"/>
          <w:highlight w:val="none"/>
        </w:rPr>
        <w:br w:type="page" w:clear="all"/>
      </w:r>
      <w:bookmarkEnd w:id="85"/>
      <w:r/>
      <w:r/>
    </w:p>
    <w:p>
      <w:pPr>
        <w:pStyle w:val="1050"/>
        <w:rPr>
          <w:rFonts w:ascii="仿宋" w:hAnsi="仿宋" w:eastAsia="仿宋" w:cs="仿宋"/>
          <w:highlight w:val="none"/>
        </w:rPr>
        <w:outlineLvl w:val="1"/>
      </w:pPr>
      <w:r/>
      <w:bookmarkStart w:id="88" w:name="_Toc27225"/>
      <w:r>
        <w:rPr>
          <w:rFonts w:hint="eastAsia" w:ascii="仿宋" w:hAnsi="仿宋" w:eastAsia="仿宋" w:cs="仿宋"/>
          <w:highlight w:val="none"/>
          <w:lang w:val="en-US" w:eastAsia="zh-CN"/>
        </w:rPr>
        <w:t xml:space="preserve">九</w:t>
      </w:r>
      <w:r>
        <w:rPr>
          <w:rFonts w:hint="eastAsia" w:ascii="仿宋" w:hAnsi="仿宋" w:eastAsia="仿宋" w:cs="仿宋"/>
          <w:highlight w:val="none"/>
        </w:rPr>
        <w:t xml:space="preserve">、</w:t>
      </w:r>
      <w:bookmarkEnd w:id="88"/>
      <w:r>
        <w:rPr>
          <w:rFonts w:hint="eastAsia" w:ascii="仿宋" w:hAnsi="仿宋" w:eastAsia="仿宋" w:cs="仿宋"/>
          <w:highlight w:val="none"/>
        </w:rPr>
        <w:t xml:space="preserve">服务方案等</w:t>
      </w:r>
      <w:r/>
    </w:p>
    <w:p>
      <w:pPr>
        <w:pStyle w:val="1051"/>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51"/>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（根据招标文件要求提供方案）格式自拟</w:t>
      </w:r>
      <w:r/>
    </w:p>
    <w:p>
      <w:pPr>
        <w:pStyle w:val="1028"/>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6"/>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52"/>
        <w:numPr>
          <w:ilvl w:val="0"/>
          <w:numId w:val="0"/>
        </w:numPr>
        <w:rPr>
          <w:rFonts w:ascii="仿宋" w:hAnsi="仿宋" w:eastAsia="仿宋" w:cs="仿宋"/>
          <w:highlight w:val="none"/>
        </w:rPr>
        <w:outlineLvl w:val="1"/>
      </w:pPr>
      <w:r>
        <w:rPr>
          <w:rFonts w:hint="eastAsia" w:ascii="仿宋" w:hAnsi="仿宋" w:eastAsia="仿宋" w:cs="仿宋"/>
          <w:highlight w:val="none"/>
        </w:rPr>
        <w:br w:type="page" w:clear="all"/>
      </w:r>
      <w:r>
        <w:rPr>
          <w:rFonts w:hint="eastAsia" w:ascii="仿宋" w:hAnsi="仿宋" w:eastAsia="仿宋" w:cs="仿宋"/>
          <w:highlight w:val="none"/>
          <w:lang w:val="en-US" w:eastAsia="zh-CN"/>
        </w:rPr>
        <w:t xml:space="preserve">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项目管理、技术及服务人员一览表</w:t>
      </w:r>
      <w:r/>
    </w:p>
    <w:p>
      <w:pPr>
        <w:pStyle w:val="1052"/>
        <w:jc w:val="center"/>
        <w:rPr>
          <w:rFonts w:ascii="仿宋" w:hAnsi="仿宋" w:eastAsia="仿宋" w:cs="仿宋"/>
          <w:highlight w:val="none"/>
        </w:rPr>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项目管理、技术及服务人员一览表</w:t>
      </w:r>
      <w:r/>
    </w:p>
    <w:tbl>
      <w:tblPr>
        <w:tblStyle w:val="74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pStyle w:val="105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姓  名</w:t>
            </w:r>
            <w:r/>
          </w:p>
        </w:tc>
        <w:tc>
          <w:tcPr>
            <w:tcW w:w="1800" w:type="dxa"/>
            <w:vAlign w:val="center"/>
            <w:textDirection w:val="lrTb"/>
            <w:noWrap w:val="false"/>
          </w:tcPr>
          <w:p>
            <w:pPr>
              <w:pStyle w:val="105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本项目</w:t>
            </w:r>
            <w:r/>
          </w:p>
          <w:p>
            <w:pPr>
              <w:pStyle w:val="105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拟任职务</w:t>
            </w:r>
            <w:r/>
          </w:p>
        </w:tc>
        <w:tc>
          <w:tcPr>
            <w:tcW w:w="1080" w:type="dxa"/>
            <w:vAlign w:val="center"/>
            <w:textDirection w:val="lrTb"/>
            <w:noWrap w:val="false"/>
          </w:tcPr>
          <w:p>
            <w:pPr>
              <w:pStyle w:val="105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学 历</w:t>
            </w:r>
            <w:r/>
          </w:p>
        </w:tc>
        <w:tc>
          <w:tcPr>
            <w:tcW w:w="1920" w:type="dxa"/>
            <w:vAlign w:val="center"/>
            <w:textDirection w:val="lrTb"/>
            <w:noWrap w:val="false"/>
          </w:tcPr>
          <w:p>
            <w:pPr>
              <w:pStyle w:val="105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身份证号</w:t>
            </w:r>
            <w:r/>
          </w:p>
        </w:tc>
        <w:tc>
          <w:tcPr>
            <w:tcW w:w="960" w:type="dxa"/>
            <w:vAlign w:val="center"/>
            <w:textDirection w:val="lrTb"/>
            <w:noWrap w:val="false"/>
          </w:tcPr>
          <w:p>
            <w:pPr>
              <w:pStyle w:val="105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电话</w:t>
            </w:r>
            <w:r/>
          </w:p>
        </w:tc>
        <w:tc>
          <w:tcPr>
            <w:tcW w:w="1493" w:type="dxa"/>
            <w:vAlign w:val="center"/>
            <w:textDirection w:val="lrTb"/>
            <w:noWrap w:val="false"/>
          </w:tcPr>
          <w:p>
            <w:pPr>
              <w:pStyle w:val="1056"/>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备注</w:t>
            </w:r>
            <w:r/>
          </w:p>
        </w:tc>
      </w:tr>
      <w:tr>
        <w:trPr>
          <w:trHeight w:val="729"/>
        </w:trPr>
        <w:tc>
          <w:tcPr>
            <w:tcW w:w="1188"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r>
        <w:trPr>
          <w:trHeight w:val="729"/>
        </w:trPr>
        <w:tc>
          <w:tcPr>
            <w:tcW w:w="1188"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80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08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92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960"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c>
          <w:tcPr>
            <w:tcW w:w="1493" w:type="dxa"/>
            <w:vAlign w:val="center"/>
            <w:textDirection w:val="lrTb"/>
            <w:noWrap w:val="false"/>
          </w:tcPr>
          <w:p>
            <w:pPr>
              <w:pStyle w:val="1056"/>
              <w:jc w:val="center"/>
              <w:spacing w:line="560" w:lineRule="exact"/>
              <w:rPr>
                <w:rFonts w:ascii="仿宋" w:hAnsi="仿宋" w:eastAsia="仿宋" w:cs="仿宋"/>
                <w:sz w:val="28"/>
                <w:szCs w:val="28"/>
                <w:highlight w:val="none"/>
              </w:rPr>
            </w:pPr>
            <w:r>
              <w:rPr>
                <w:rFonts w:ascii="仿宋" w:hAnsi="仿宋" w:eastAsia="仿宋" w:cs="仿宋"/>
                <w:sz w:val="28"/>
                <w:szCs w:val="28"/>
                <w:highlight w:val="none"/>
              </w:rPr>
            </w:r>
            <w:r/>
          </w:p>
        </w:tc>
      </w:tr>
    </w:tbl>
    <w:p>
      <w:pPr>
        <w:pStyle w:val="1056"/>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注：如</w:t>
      </w:r>
      <w:r>
        <w:rPr>
          <w:rFonts w:hint="eastAsia" w:ascii="仿宋" w:hAnsi="仿宋" w:eastAsia="仿宋" w:cs="仿宋"/>
          <w:b/>
          <w:sz w:val="24"/>
          <w:highlight w:val="none"/>
          <w:lang w:eastAsia="zh-CN"/>
        </w:rPr>
        <w:t xml:space="preserve">投标人</w:t>
      </w:r>
      <w:r>
        <w:rPr>
          <w:rFonts w:hint="eastAsia" w:ascii="仿宋" w:hAnsi="仿宋" w:eastAsia="仿宋" w:cs="仿宋"/>
          <w:b/>
          <w:sz w:val="24"/>
          <w:highlight w:val="none"/>
        </w:rPr>
        <w:t xml:space="preserve">中标/成交，项目管理、技术及服务人员必须按本表承诺人员操作，不得随意更换。按招标文件要求附相关人员证书。</w:t>
      </w:r>
      <w:r/>
    </w:p>
    <w:p>
      <w:pPr>
        <w:pStyle w:val="1028"/>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6"/>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57"/>
        <w:rPr>
          <w:rFonts w:ascii="仿宋" w:hAnsi="仿宋" w:eastAsia="仿宋" w:cs="仿宋"/>
          <w:highlight w:val="none"/>
        </w:rPr>
        <w:outlineLvl w:val="1"/>
      </w:pPr>
      <w:r>
        <w:rPr>
          <w:rFonts w:hint="eastAsia" w:ascii="仿宋" w:hAnsi="仿宋" w:eastAsia="仿宋" w:cs="仿宋"/>
          <w:highlight w:val="none"/>
        </w:rPr>
        <w:br w:type="page" w:clear="all"/>
      </w:r>
      <w:bookmarkStart w:id="89" w:name="_Toc12503"/>
      <w:r>
        <w:rPr>
          <w:rFonts w:hint="eastAsia" w:ascii="仿宋" w:hAnsi="仿宋" w:eastAsia="仿宋" w:cs="仿宋"/>
          <w:highlight w:val="none"/>
        </w:rPr>
        <w:t xml:space="preserve">十</w:t>
      </w:r>
      <w:r>
        <w:rPr>
          <w:rFonts w:hint="eastAsia" w:ascii="仿宋" w:hAnsi="仿宋" w:eastAsia="仿宋" w:cs="仿宋"/>
          <w:highlight w:val="none"/>
          <w:lang w:val="en-US" w:eastAsia="zh-CN"/>
        </w:rPr>
        <w:t xml:space="preserve">一</w:t>
      </w:r>
      <w:r>
        <w:rPr>
          <w:rFonts w:hint="eastAsia" w:ascii="仿宋" w:hAnsi="仿宋" w:eastAsia="仿宋" w:cs="仿宋"/>
          <w:highlight w:val="none"/>
        </w:rPr>
        <w:t xml:space="preserve">、业绩一览表</w:t>
      </w:r>
      <w:bookmarkEnd w:id="89"/>
      <w:r/>
      <w:r/>
    </w:p>
    <w:p>
      <w:pPr>
        <w:pStyle w:val="1058"/>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58"/>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58"/>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58"/>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58"/>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58"/>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58"/>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56"/>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56"/>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w:t>
      </w:r>
      <w:r>
        <w:rPr>
          <w:rFonts w:hint="eastAsia" w:ascii="仿宋" w:hAnsi="仿宋" w:eastAsia="仿宋" w:cs="仿宋"/>
          <w:b/>
          <w:color w:val="auto"/>
          <w:sz w:val="24"/>
          <w:highlight w:val="none"/>
        </w:rPr>
        <w:t xml:space="preserve">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028"/>
        <w:spacing w:line="70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（盖章）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rPr>
          <w:rFonts w:ascii="仿宋" w:hAnsi="仿宋" w:eastAsia="仿宋" w:cs="仿宋"/>
          <w:highlight w:val="none"/>
        </w:rPr>
      </w:pPr>
      <w:r>
        <w:rPr>
          <w:rFonts w:hint="eastAsia" w:ascii="仿宋" w:hAnsi="仿宋" w:eastAsia="仿宋" w:cs="仿宋"/>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（签字）                    </w:t>
      </w:r>
      <w:r>
        <w:rPr>
          <w:rFonts w:hint="eastAsia" w:ascii="仿宋" w:hAnsi="仿宋" w:eastAsia="仿宋" w:cs="仿宋"/>
          <w:highlight w:val="none"/>
        </w:rPr>
        <w:br w:type="page" w:clear="all"/>
      </w:r>
      <w:bookmarkEnd w:id="75"/>
      <w:r/>
      <w:bookmarkStart w:id="90" w:name="_Toc15017"/>
      <w:r/>
      <w:r/>
    </w:p>
    <w:p>
      <w:pPr>
        <w:pStyle w:val="1042"/>
        <w:rPr>
          <w:rStyle w:val="941"/>
          <w:rFonts w:ascii="仿宋" w:hAnsi="仿宋" w:eastAsia="仿宋" w:cs="仿宋"/>
          <w:highlight w:val="none"/>
        </w:rPr>
        <w:outlineLvl w:val="1"/>
      </w:pPr>
      <w:r>
        <w:rPr>
          <w:rStyle w:val="941"/>
          <w:rFonts w:hint="eastAsia" w:ascii="仿宋" w:hAnsi="仿宋" w:eastAsia="仿宋" w:cs="仿宋"/>
          <w:highlight w:val="none"/>
        </w:rPr>
        <w:t xml:space="preserve">十</w:t>
      </w:r>
      <w:r>
        <w:rPr>
          <w:rStyle w:val="941"/>
          <w:rFonts w:hint="eastAsia" w:ascii="仿宋" w:hAnsi="仿宋" w:eastAsia="仿宋" w:cs="仿宋"/>
          <w:highlight w:val="none"/>
          <w:lang w:val="en-US" w:eastAsia="zh-CN"/>
        </w:rPr>
        <w:t xml:space="preserve">二</w:t>
      </w:r>
      <w:r>
        <w:rPr>
          <w:rStyle w:val="941"/>
          <w:rFonts w:hint="eastAsia" w:ascii="仿宋" w:hAnsi="仿宋" w:eastAsia="仿宋" w:cs="仿宋"/>
          <w:highlight w:val="none"/>
        </w:rPr>
        <w:t xml:space="preserve">、中小企业或残疾人福利性单位声明函</w:t>
      </w:r>
      <w:r/>
    </w:p>
    <w:p>
      <w:pPr>
        <w:pStyle w:val="1020"/>
        <w:rPr>
          <w:rStyle w:val="941"/>
          <w:rFonts w:ascii="仿宋" w:hAnsi="仿宋" w:eastAsia="仿宋" w:cs="仿宋"/>
          <w:b/>
          <w:sz w:val="36"/>
          <w:szCs w:val="36"/>
          <w:highlight w:val="none"/>
        </w:rPr>
      </w:pPr>
      <w:r>
        <w:rPr>
          <w:rFonts w:ascii="仿宋" w:hAnsi="仿宋" w:eastAsia="仿宋" w:cs="仿宋"/>
          <w:b/>
          <w:sz w:val="36"/>
          <w:szCs w:val="36"/>
          <w:highlight w:val="none"/>
        </w:rPr>
      </w:r>
      <w:r/>
    </w:p>
    <w:p>
      <w:pPr>
        <w:pStyle w:val="1020"/>
        <w:jc w:val="center"/>
        <w:rPr>
          <w:rStyle w:val="941"/>
          <w:rFonts w:ascii="仿宋" w:hAnsi="仿宋" w:eastAsia="仿宋" w:cs="仿宋"/>
          <w:b/>
          <w:sz w:val="36"/>
          <w:szCs w:val="36"/>
          <w:highlight w:val="none"/>
        </w:rPr>
      </w:pPr>
      <w:r>
        <w:rPr>
          <w:rStyle w:val="941"/>
          <w:rFonts w:hint="eastAsia" w:ascii="仿宋" w:hAnsi="仿宋" w:eastAsia="仿宋" w:cs="仿宋"/>
          <w:b/>
          <w:sz w:val="36"/>
          <w:szCs w:val="36"/>
          <w:highlight w:val="none"/>
        </w:rPr>
        <w:t xml:space="preserve">中小企业声明函（货物）</w:t>
      </w:r>
      <w:r/>
    </w:p>
    <w:p>
      <w:pPr>
        <w:pStyle w:val="1020"/>
        <w:jc w:val="left"/>
        <w:rPr>
          <w:rStyle w:val="941"/>
          <w:rFonts w:ascii="仿宋" w:hAnsi="仿宋" w:eastAsia="仿宋" w:cs="仿宋"/>
          <w:b/>
          <w:sz w:val="32"/>
          <w:szCs w:val="32"/>
          <w:highlight w:val="none"/>
        </w:rPr>
      </w:pPr>
      <w:r>
        <w:rPr>
          <w:rFonts w:ascii="仿宋" w:hAnsi="仿宋" w:eastAsia="仿宋" w:cs="仿宋"/>
          <w:b/>
          <w:sz w:val="32"/>
          <w:szCs w:val="32"/>
          <w:highlight w:val="none"/>
        </w:rPr>
      </w:r>
      <w:r/>
    </w:p>
    <w:p>
      <w:pPr>
        <w:pStyle w:val="1020"/>
        <w:ind w:firstLine="480"/>
        <w:jc w:val="left"/>
        <w:spacing w:line="500" w:lineRule="exact"/>
        <w:rPr>
          <w:rStyle w:val="941"/>
          <w:rFonts w:ascii="仿宋" w:hAnsi="仿宋" w:eastAsia="仿宋" w:cs="仿宋"/>
          <w:sz w:val="24"/>
          <w:szCs w:val="24"/>
          <w:highlight w:val="none"/>
        </w:rPr>
      </w:pPr>
      <w:r>
        <w:rPr>
          <w:rStyle w:val="941"/>
          <w:rFonts w:hint="eastAsia" w:ascii="仿宋" w:hAnsi="仿宋" w:eastAsia="仿宋" w:cs="仿宋"/>
          <w:sz w:val="24"/>
          <w:szCs w:val="24"/>
          <w:highlight w:val="none"/>
        </w:rPr>
        <w:t xml:space="preserve">本公司（联合体）郑重声明，根据《政府采购促进中小企业发展管理办法》（财库﹝2020﹞46 号）的规定，本公司（联合体）参加</w:t>
      </w:r>
      <w:r>
        <w:rPr>
          <w:rStyle w:val="941"/>
          <w:rFonts w:hint="eastAsia" w:ascii="仿宋" w:hAnsi="仿宋" w:eastAsia="仿宋" w:cs="仿宋"/>
          <w:sz w:val="24"/>
          <w:szCs w:val="24"/>
          <w:highlight w:val="none"/>
          <w:u w:val="single"/>
        </w:rPr>
        <w:t xml:space="preserve">（单位名称）</w:t>
      </w:r>
      <w:r>
        <w:rPr>
          <w:rStyle w:val="941"/>
          <w:rFonts w:hint="eastAsia" w:ascii="仿宋" w:hAnsi="仿宋" w:eastAsia="仿宋" w:cs="仿宋"/>
          <w:sz w:val="24"/>
          <w:szCs w:val="24"/>
          <w:highlight w:val="none"/>
        </w:rPr>
        <w:t xml:space="preserve">的</w:t>
      </w:r>
      <w:r>
        <w:rPr>
          <w:rStyle w:val="941"/>
          <w:rFonts w:hint="eastAsia" w:ascii="仿宋" w:hAnsi="仿宋" w:eastAsia="仿宋" w:cs="仿宋"/>
          <w:sz w:val="24"/>
          <w:szCs w:val="24"/>
          <w:highlight w:val="none"/>
          <w:u w:val="single"/>
        </w:rPr>
        <w:t xml:space="preserve">（项目名称）</w:t>
      </w:r>
      <w:r>
        <w:rPr>
          <w:rStyle w:val="941"/>
          <w:rFonts w:hint="eastAsia" w:ascii="仿宋" w:hAnsi="仿宋" w:eastAsia="仿宋" w:cs="仿宋"/>
          <w:sz w:val="24"/>
          <w:szCs w:val="24"/>
          <w:highlight w:val="none"/>
        </w:rPr>
        <w:t xml:space="preserve">采购活动，提供的货物全部由符合政策要求的中小企业制造。相关企业（含联合体中的中小企业、签订分包意向协议的中小企业）的具体情况如下：</w:t>
      </w:r>
      <w:r/>
    </w:p>
    <w:p>
      <w:pPr>
        <w:pStyle w:val="1020"/>
        <w:ind w:firstLine="480"/>
        <w:jc w:val="left"/>
        <w:spacing w:line="500" w:lineRule="exact"/>
        <w:rPr>
          <w:rStyle w:val="941"/>
          <w:rFonts w:ascii="仿宋" w:hAnsi="仿宋" w:eastAsia="仿宋" w:cs="仿宋"/>
          <w:sz w:val="24"/>
          <w:szCs w:val="24"/>
          <w:highlight w:val="none"/>
        </w:rPr>
      </w:pPr>
      <w:r>
        <w:rPr>
          <w:rStyle w:val="941"/>
          <w:rFonts w:hint="eastAsia" w:ascii="仿宋" w:hAnsi="仿宋" w:eastAsia="仿宋" w:cs="仿宋"/>
          <w:sz w:val="24"/>
          <w:szCs w:val="24"/>
          <w:highlight w:val="none"/>
        </w:rPr>
        <w:t xml:space="preserve">1.</w:t>
      </w:r>
      <w:r>
        <w:rPr>
          <w:rStyle w:val="941"/>
          <w:rFonts w:hint="eastAsia" w:ascii="仿宋" w:hAnsi="仿宋" w:eastAsia="仿宋" w:cs="仿宋"/>
          <w:sz w:val="24"/>
          <w:szCs w:val="24"/>
          <w:highlight w:val="none"/>
          <w:u w:val="single"/>
        </w:rPr>
        <w:t xml:space="preserve">（标的名称）</w:t>
      </w:r>
      <w:r>
        <w:rPr>
          <w:rStyle w:val="941"/>
          <w:rFonts w:hint="eastAsia" w:ascii="仿宋" w:hAnsi="仿宋" w:eastAsia="仿宋" w:cs="仿宋"/>
          <w:sz w:val="24"/>
          <w:szCs w:val="24"/>
          <w:highlight w:val="none"/>
        </w:rPr>
        <w:t xml:space="preserve">，属于</w:t>
      </w:r>
      <w:r>
        <w:rPr>
          <w:rStyle w:val="941"/>
          <w:rFonts w:hint="eastAsia" w:ascii="仿宋" w:hAnsi="仿宋" w:eastAsia="仿宋" w:cs="仿宋"/>
          <w:sz w:val="24"/>
          <w:szCs w:val="24"/>
          <w:highlight w:val="none"/>
          <w:u w:val="single"/>
        </w:rPr>
        <w:t xml:space="preserve">（采购文件中明确的所属行业）</w:t>
      </w:r>
      <w:r>
        <w:rPr>
          <w:rStyle w:val="941"/>
          <w:rFonts w:hint="eastAsia" w:ascii="仿宋" w:hAnsi="仿宋" w:eastAsia="仿宋" w:cs="仿宋"/>
          <w:sz w:val="24"/>
          <w:szCs w:val="24"/>
          <w:highlight w:val="none"/>
        </w:rPr>
        <w:t xml:space="preserve">行业；制造商为</w:t>
      </w:r>
      <w:r>
        <w:rPr>
          <w:rStyle w:val="941"/>
          <w:rFonts w:hint="eastAsia" w:ascii="仿宋" w:hAnsi="仿宋" w:eastAsia="仿宋" w:cs="仿宋"/>
          <w:sz w:val="24"/>
          <w:szCs w:val="24"/>
          <w:highlight w:val="none"/>
          <w:u w:val="single"/>
        </w:rPr>
        <w:t xml:space="preserve">（企业名称）</w:t>
      </w:r>
      <w:r>
        <w:rPr>
          <w:rStyle w:val="941"/>
          <w:rFonts w:hint="eastAsia" w:ascii="仿宋" w:hAnsi="仿宋" w:eastAsia="仿宋" w:cs="仿宋"/>
          <w:sz w:val="24"/>
          <w:szCs w:val="24"/>
          <w:highlight w:val="none"/>
        </w:rPr>
        <w:t xml:space="preserve">，从业人员</w:t>
      </w:r>
      <w:r>
        <w:rPr>
          <w:rStyle w:val="941"/>
          <w:rFonts w:hint="eastAsia" w:ascii="仿宋" w:hAnsi="仿宋" w:eastAsia="仿宋" w:cs="仿宋"/>
          <w:sz w:val="24"/>
          <w:szCs w:val="24"/>
          <w:highlight w:val="none"/>
          <w:u w:val="single"/>
        </w:rPr>
        <w:t xml:space="preserve">   </w:t>
      </w:r>
      <w:r>
        <w:rPr>
          <w:rStyle w:val="941"/>
          <w:rFonts w:hint="eastAsia" w:ascii="仿宋" w:hAnsi="仿宋" w:eastAsia="仿宋" w:cs="仿宋"/>
          <w:sz w:val="24"/>
          <w:szCs w:val="24"/>
          <w:highlight w:val="none"/>
        </w:rPr>
        <w:t xml:space="preserve">人，营业收入为</w:t>
      </w:r>
      <w:r>
        <w:rPr>
          <w:rStyle w:val="941"/>
          <w:rFonts w:hint="eastAsia" w:ascii="仿宋" w:hAnsi="仿宋" w:eastAsia="仿宋" w:cs="仿宋"/>
          <w:sz w:val="24"/>
          <w:szCs w:val="24"/>
          <w:highlight w:val="none"/>
          <w:u w:val="single"/>
        </w:rPr>
        <w:t xml:space="preserve">   </w:t>
      </w:r>
      <w:r>
        <w:rPr>
          <w:rStyle w:val="941"/>
          <w:rFonts w:hint="eastAsia" w:ascii="仿宋" w:hAnsi="仿宋" w:eastAsia="仿宋" w:cs="仿宋"/>
          <w:sz w:val="24"/>
          <w:szCs w:val="24"/>
          <w:highlight w:val="none"/>
        </w:rPr>
        <w:t xml:space="preserve">万元，资产总额为</w:t>
      </w:r>
      <w:r>
        <w:rPr>
          <w:rStyle w:val="941"/>
          <w:rFonts w:hint="eastAsia" w:ascii="仿宋" w:hAnsi="仿宋" w:eastAsia="仿宋" w:cs="仿宋"/>
          <w:sz w:val="24"/>
          <w:szCs w:val="24"/>
          <w:highlight w:val="none"/>
          <w:u w:val="single"/>
        </w:rPr>
        <w:t xml:space="preserve">   </w:t>
      </w:r>
      <w:r>
        <w:rPr>
          <w:rStyle w:val="941"/>
          <w:rFonts w:hint="eastAsia" w:ascii="仿宋" w:hAnsi="仿宋" w:eastAsia="仿宋" w:cs="仿宋"/>
          <w:sz w:val="24"/>
          <w:szCs w:val="24"/>
          <w:highlight w:val="none"/>
        </w:rPr>
        <w:t xml:space="preserve">万元</w:t>
      </w:r>
      <w:r>
        <w:rPr>
          <w:rStyle w:val="771"/>
          <w:rFonts w:hint="eastAsia" w:ascii="仿宋" w:hAnsi="仿宋" w:eastAsia="仿宋" w:cs="仿宋"/>
          <w:sz w:val="24"/>
          <w:szCs w:val="24"/>
          <w:highlight w:val="none"/>
        </w:rPr>
        <w:footnoteReference w:id="2"/>
      </w:r>
      <w:r>
        <w:rPr>
          <w:rStyle w:val="941"/>
          <w:rFonts w:hint="eastAsia" w:ascii="仿宋" w:hAnsi="仿宋" w:eastAsia="仿宋" w:cs="仿宋"/>
          <w:sz w:val="24"/>
          <w:szCs w:val="24"/>
          <w:highlight w:val="none"/>
        </w:rPr>
        <w:t xml:space="preserve">，属于</w:t>
      </w:r>
      <w:r>
        <w:rPr>
          <w:rStyle w:val="941"/>
          <w:rFonts w:hint="eastAsia" w:ascii="仿宋" w:hAnsi="仿宋" w:eastAsia="仿宋" w:cs="仿宋"/>
          <w:sz w:val="24"/>
          <w:szCs w:val="24"/>
          <w:highlight w:val="none"/>
          <w:u w:val="single"/>
        </w:rPr>
        <w:t xml:space="preserve">（中型企业、小型企业、微型企业）</w:t>
      </w:r>
      <w:r>
        <w:rPr>
          <w:rStyle w:val="941"/>
          <w:rFonts w:hint="eastAsia" w:ascii="仿宋" w:hAnsi="仿宋" w:eastAsia="仿宋" w:cs="仿宋"/>
          <w:sz w:val="24"/>
          <w:szCs w:val="24"/>
          <w:highlight w:val="none"/>
        </w:rPr>
        <w:t xml:space="preserve">；</w:t>
      </w:r>
      <w:r/>
    </w:p>
    <w:p>
      <w:pPr>
        <w:pStyle w:val="1020"/>
        <w:ind w:firstLine="480"/>
        <w:jc w:val="left"/>
        <w:spacing w:line="500" w:lineRule="exact"/>
        <w:rPr>
          <w:rStyle w:val="941"/>
          <w:rFonts w:ascii="仿宋" w:hAnsi="仿宋" w:eastAsia="仿宋" w:cs="仿宋"/>
          <w:sz w:val="24"/>
          <w:szCs w:val="24"/>
          <w:highlight w:val="none"/>
        </w:rPr>
      </w:pPr>
      <w:r>
        <w:rPr>
          <w:rStyle w:val="941"/>
          <w:rFonts w:hint="eastAsia" w:ascii="仿宋" w:hAnsi="仿宋" w:eastAsia="仿宋" w:cs="仿宋"/>
          <w:sz w:val="24"/>
          <w:szCs w:val="24"/>
          <w:highlight w:val="none"/>
        </w:rPr>
        <w:t xml:space="preserve">2.</w:t>
      </w:r>
      <w:r>
        <w:rPr>
          <w:rStyle w:val="941"/>
          <w:rFonts w:hint="eastAsia" w:ascii="仿宋" w:hAnsi="仿宋" w:eastAsia="仿宋" w:cs="仿宋"/>
          <w:sz w:val="24"/>
          <w:szCs w:val="24"/>
          <w:highlight w:val="none"/>
          <w:u w:val="single"/>
        </w:rPr>
        <w:t xml:space="preserve">（标的名称）</w:t>
      </w:r>
      <w:r>
        <w:rPr>
          <w:rStyle w:val="941"/>
          <w:rFonts w:hint="eastAsia" w:ascii="仿宋" w:hAnsi="仿宋" w:eastAsia="仿宋" w:cs="仿宋"/>
          <w:sz w:val="24"/>
          <w:szCs w:val="24"/>
          <w:highlight w:val="none"/>
        </w:rPr>
        <w:t xml:space="preserve">，属于</w:t>
      </w:r>
      <w:r>
        <w:rPr>
          <w:rStyle w:val="941"/>
          <w:rFonts w:hint="eastAsia" w:ascii="仿宋" w:hAnsi="仿宋" w:eastAsia="仿宋" w:cs="仿宋"/>
          <w:sz w:val="24"/>
          <w:szCs w:val="24"/>
          <w:highlight w:val="none"/>
          <w:u w:val="single"/>
        </w:rPr>
        <w:t xml:space="preserve">（采购文件中明确的所属行业）</w:t>
      </w:r>
      <w:r>
        <w:rPr>
          <w:rStyle w:val="941"/>
          <w:rFonts w:hint="eastAsia" w:ascii="仿宋" w:hAnsi="仿宋" w:eastAsia="仿宋" w:cs="仿宋"/>
          <w:sz w:val="24"/>
          <w:szCs w:val="24"/>
          <w:highlight w:val="none"/>
        </w:rPr>
        <w:t xml:space="preserve">行业；制造商为</w:t>
      </w:r>
      <w:r>
        <w:rPr>
          <w:rStyle w:val="941"/>
          <w:rFonts w:hint="eastAsia" w:ascii="仿宋" w:hAnsi="仿宋" w:eastAsia="仿宋" w:cs="仿宋"/>
          <w:sz w:val="24"/>
          <w:szCs w:val="24"/>
          <w:highlight w:val="none"/>
          <w:u w:val="single"/>
        </w:rPr>
        <w:t xml:space="preserve">（企业名称）</w:t>
      </w:r>
      <w:r>
        <w:rPr>
          <w:rStyle w:val="941"/>
          <w:rFonts w:hint="eastAsia" w:ascii="仿宋" w:hAnsi="仿宋" w:eastAsia="仿宋" w:cs="仿宋"/>
          <w:sz w:val="24"/>
          <w:szCs w:val="24"/>
          <w:highlight w:val="none"/>
        </w:rPr>
        <w:t xml:space="preserve">，从业人员</w:t>
      </w:r>
      <w:r>
        <w:rPr>
          <w:rStyle w:val="941"/>
          <w:rFonts w:hint="eastAsia" w:ascii="仿宋" w:hAnsi="仿宋" w:eastAsia="仿宋" w:cs="仿宋"/>
          <w:sz w:val="24"/>
          <w:szCs w:val="24"/>
          <w:highlight w:val="none"/>
          <w:u w:val="single"/>
        </w:rPr>
        <w:t xml:space="preserve">   </w:t>
      </w:r>
      <w:r>
        <w:rPr>
          <w:rStyle w:val="941"/>
          <w:rFonts w:hint="eastAsia" w:ascii="仿宋" w:hAnsi="仿宋" w:eastAsia="仿宋" w:cs="仿宋"/>
          <w:sz w:val="24"/>
          <w:szCs w:val="24"/>
          <w:highlight w:val="none"/>
        </w:rPr>
        <w:t xml:space="preserve">人，营业收入为</w:t>
      </w:r>
      <w:r>
        <w:rPr>
          <w:rStyle w:val="941"/>
          <w:rFonts w:hint="eastAsia" w:ascii="仿宋" w:hAnsi="仿宋" w:eastAsia="仿宋" w:cs="仿宋"/>
          <w:sz w:val="24"/>
          <w:szCs w:val="24"/>
          <w:highlight w:val="none"/>
          <w:u w:val="single"/>
        </w:rPr>
        <w:t xml:space="preserve">   </w:t>
      </w:r>
      <w:r>
        <w:rPr>
          <w:rStyle w:val="941"/>
          <w:rFonts w:hint="eastAsia" w:ascii="仿宋" w:hAnsi="仿宋" w:eastAsia="仿宋" w:cs="仿宋"/>
          <w:sz w:val="24"/>
          <w:szCs w:val="24"/>
          <w:highlight w:val="none"/>
        </w:rPr>
        <w:t xml:space="preserve">万元，资产总额为</w:t>
      </w:r>
      <w:r>
        <w:rPr>
          <w:rStyle w:val="941"/>
          <w:rFonts w:hint="eastAsia" w:ascii="仿宋" w:hAnsi="仿宋" w:eastAsia="仿宋" w:cs="仿宋"/>
          <w:sz w:val="24"/>
          <w:szCs w:val="24"/>
          <w:highlight w:val="none"/>
          <w:u w:val="single"/>
        </w:rPr>
        <w:t xml:space="preserve">   </w:t>
      </w:r>
      <w:r>
        <w:rPr>
          <w:rStyle w:val="941"/>
          <w:rFonts w:hint="eastAsia" w:ascii="仿宋" w:hAnsi="仿宋" w:eastAsia="仿宋" w:cs="仿宋"/>
          <w:sz w:val="24"/>
          <w:szCs w:val="24"/>
          <w:highlight w:val="none"/>
        </w:rPr>
        <w:t xml:space="preserve">万元，属于</w:t>
      </w:r>
      <w:r>
        <w:rPr>
          <w:rStyle w:val="941"/>
          <w:rFonts w:hint="eastAsia" w:ascii="仿宋" w:hAnsi="仿宋" w:eastAsia="仿宋" w:cs="仿宋"/>
          <w:sz w:val="24"/>
          <w:szCs w:val="24"/>
          <w:highlight w:val="none"/>
          <w:u w:val="single"/>
        </w:rPr>
        <w:t xml:space="preserve">（中型企业、小型企业、微型企业）</w:t>
      </w:r>
      <w:r>
        <w:rPr>
          <w:rStyle w:val="941"/>
          <w:rFonts w:hint="eastAsia" w:ascii="仿宋" w:hAnsi="仿宋" w:eastAsia="仿宋" w:cs="仿宋"/>
          <w:sz w:val="24"/>
          <w:szCs w:val="24"/>
          <w:highlight w:val="none"/>
        </w:rPr>
        <w:t xml:space="preserve">；</w:t>
      </w:r>
      <w:r/>
    </w:p>
    <w:p>
      <w:pPr>
        <w:pStyle w:val="1020"/>
        <w:ind w:firstLine="480"/>
        <w:jc w:val="left"/>
        <w:spacing w:line="500" w:lineRule="exact"/>
        <w:rPr>
          <w:rStyle w:val="941"/>
          <w:rFonts w:ascii="仿宋" w:hAnsi="仿宋" w:eastAsia="仿宋" w:cs="仿宋"/>
          <w:sz w:val="24"/>
          <w:szCs w:val="24"/>
          <w:highlight w:val="none"/>
        </w:rPr>
      </w:pPr>
      <w:r>
        <w:rPr>
          <w:rStyle w:val="941"/>
          <w:rFonts w:hint="eastAsia" w:ascii="仿宋" w:hAnsi="仿宋" w:eastAsia="仿宋" w:cs="仿宋"/>
          <w:sz w:val="24"/>
          <w:szCs w:val="24"/>
          <w:highlight w:val="none"/>
        </w:rPr>
        <w:t xml:space="preserve">……</w:t>
      </w:r>
      <w:r/>
    </w:p>
    <w:p>
      <w:pPr>
        <w:pStyle w:val="1020"/>
        <w:ind w:firstLine="480"/>
        <w:jc w:val="left"/>
        <w:spacing w:line="500" w:lineRule="exact"/>
        <w:rPr>
          <w:rStyle w:val="941"/>
          <w:rFonts w:ascii="仿宋" w:hAnsi="仿宋" w:eastAsia="仿宋" w:cs="仿宋"/>
          <w:sz w:val="24"/>
          <w:szCs w:val="24"/>
          <w:highlight w:val="none"/>
        </w:rPr>
      </w:pPr>
      <w:r>
        <w:rPr>
          <w:rStyle w:val="941"/>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pStyle w:val="1020"/>
        <w:ind w:firstLine="480"/>
        <w:jc w:val="left"/>
        <w:spacing w:line="500" w:lineRule="exact"/>
        <w:rPr>
          <w:rStyle w:val="941"/>
          <w:rFonts w:ascii="仿宋" w:hAnsi="仿宋" w:eastAsia="仿宋" w:cs="仿宋"/>
          <w:sz w:val="24"/>
          <w:szCs w:val="24"/>
          <w:highlight w:val="none"/>
        </w:rPr>
      </w:pPr>
      <w:r>
        <w:rPr>
          <w:rStyle w:val="941"/>
          <w:rFonts w:hint="eastAsia" w:ascii="仿宋" w:hAnsi="仿宋" w:eastAsia="仿宋" w:cs="仿宋"/>
          <w:sz w:val="24"/>
          <w:szCs w:val="24"/>
          <w:highlight w:val="none"/>
        </w:rPr>
        <w:t xml:space="preserve">本企业对上述声明内容的真实性负责。如有虚假，将依法承担相应责任。</w:t>
      </w:r>
      <w:r/>
    </w:p>
    <w:p>
      <w:pPr>
        <w:pStyle w:val="1020"/>
        <w:ind w:firstLine="480"/>
        <w:jc w:val="center"/>
        <w:spacing w:line="500" w:lineRule="exact"/>
        <w:rPr>
          <w:rStyle w:val="941"/>
          <w:rFonts w:ascii="仿宋" w:hAnsi="仿宋" w:eastAsia="仿宋" w:cs="仿宋"/>
          <w:sz w:val="24"/>
          <w:szCs w:val="24"/>
          <w:highlight w:val="none"/>
        </w:rPr>
      </w:pPr>
      <w:r>
        <w:rPr>
          <w:rFonts w:ascii="仿宋" w:hAnsi="仿宋" w:eastAsia="仿宋" w:cs="仿宋"/>
          <w:sz w:val="24"/>
          <w:szCs w:val="24"/>
          <w:highlight w:val="none"/>
        </w:rPr>
      </w:r>
      <w:r/>
    </w:p>
    <w:p>
      <w:pPr>
        <w:pStyle w:val="1020"/>
        <w:ind w:firstLine="480"/>
        <w:jc w:val="right"/>
        <w:spacing w:line="500" w:lineRule="exact"/>
        <w:rPr>
          <w:rStyle w:val="941"/>
          <w:rFonts w:ascii="仿宋" w:hAnsi="仿宋" w:eastAsia="仿宋" w:cs="仿宋"/>
          <w:sz w:val="24"/>
          <w:szCs w:val="24"/>
          <w:highlight w:val="none"/>
        </w:rPr>
      </w:pPr>
      <w:r>
        <w:rPr>
          <w:rStyle w:val="941"/>
          <w:rFonts w:hint="eastAsia" w:ascii="仿宋" w:hAnsi="仿宋" w:eastAsia="仿宋" w:cs="仿宋"/>
          <w:sz w:val="24"/>
          <w:szCs w:val="24"/>
          <w:highlight w:val="none"/>
        </w:rPr>
        <w:t xml:space="preserve">企业名称（盖章）：                 </w:t>
      </w:r>
      <w:r/>
    </w:p>
    <w:p>
      <w:pPr>
        <w:pStyle w:val="1020"/>
        <w:ind w:firstLine="480"/>
        <w:jc w:val="right"/>
        <w:spacing w:line="500" w:lineRule="exact"/>
        <w:rPr>
          <w:rStyle w:val="941"/>
          <w:rFonts w:ascii="仿宋" w:hAnsi="仿宋" w:eastAsia="仿宋" w:cs="仿宋"/>
          <w:sz w:val="24"/>
          <w:szCs w:val="24"/>
          <w:highlight w:val="none"/>
        </w:rPr>
      </w:pPr>
      <w:r>
        <w:rPr>
          <w:rStyle w:val="941"/>
          <w:rFonts w:hint="eastAsia" w:ascii="仿宋" w:hAnsi="仿宋" w:eastAsia="仿宋" w:cs="仿宋"/>
          <w:sz w:val="24"/>
          <w:szCs w:val="24"/>
          <w:highlight w:val="none"/>
        </w:rPr>
        <w:t xml:space="preserve">日期：    年   月   日          </w:t>
      </w:r>
      <w:r/>
    </w:p>
    <w:p>
      <w:pPr>
        <w:pStyle w:val="1020"/>
        <w:ind w:firstLine="480"/>
        <w:spacing w:line="500" w:lineRule="exact"/>
        <w:rPr>
          <w:rStyle w:val="941"/>
          <w:rFonts w:ascii="仿宋" w:hAnsi="仿宋" w:eastAsia="仿宋" w:cs="仿宋"/>
          <w:sz w:val="24"/>
          <w:szCs w:val="24"/>
          <w:highlight w:val="none"/>
        </w:rPr>
      </w:pPr>
      <w:r>
        <w:rPr>
          <w:rFonts w:ascii="仿宋" w:hAnsi="仿宋" w:eastAsia="仿宋" w:cs="仿宋"/>
          <w:sz w:val="24"/>
          <w:szCs w:val="24"/>
          <w:highlight w:val="none"/>
        </w:rPr>
      </w:r>
      <w:r/>
    </w:p>
    <w:p>
      <w:pPr>
        <w:pStyle w:val="1020"/>
        <w:ind w:firstLine="360"/>
        <w:spacing w:line="560" w:lineRule="exact"/>
        <w:rPr>
          <w:rStyle w:val="941"/>
          <w:rFonts w:ascii="仿宋" w:hAnsi="仿宋" w:eastAsia="仿宋" w:cs="仿宋"/>
          <w:sz w:val="18"/>
          <w:szCs w:val="18"/>
          <w:highlight w:val="none"/>
        </w:rPr>
      </w:pPr>
      <w:r>
        <w:rPr>
          <w:rFonts w:ascii="仿宋" w:hAnsi="仿宋" w:eastAsia="仿宋" w:cs="仿宋"/>
          <w:sz w:val="18"/>
          <w:szCs w:val="18"/>
          <w:highlight w:val="none"/>
        </w:rPr>
      </w:r>
      <w:r/>
    </w:p>
    <w:p>
      <w:pPr>
        <w:pStyle w:val="1020"/>
        <w:jc w:val="center"/>
        <w:spacing w:before="151" w:after="151" w:line="600" w:lineRule="exact"/>
        <w:rPr>
          <w:rStyle w:val="941"/>
          <w:rFonts w:ascii="仿宋" w:hAnsi="仿宋" w:eastAsia="仿宋" w:cs="仿宋"/>
          <w:b/>
          <w:bCs/>
          <w:sz w:val="32"/>
          <w:szCs w:val="32"/>
          <w:highlight w:val="none"/>
        </w:rPr>
      </w:pPr>
      <w:r>
        <w:rPr>
          <w:rFonts w:ascii="仿宋" w:hAnsi="仿宋" w:eastAsia="仿宋" w:cs="仿宋"/>
          <w:b/>
          <w:bCs/>
          <w:sz w:val="32"/>
          <w:szCs w:val="32"/>
          <w:highlight w:val="none"/>
        </w:rPr>
      </w:r>
      <w:r/>
    </w:p>
    <w:p>
      <w:pPr>
        <w:pStyle w:val="1329"/>
        <w:ind w:firstLine="445"/>
        <w:spacing w:before="151" w:after="151" w:line="240" w:lineRule="atLeast"/>
        <w:rPr>
          <w:rStyle w:val="941"/>
          <w:rFonts w:ascii="仿宋" w:hAnsi="仿宋" w:eastAsia="仿宋" w:cs="仿宋"/>
          <w:color w:val="ff0000"/>
          <w:sz w:val="24"/>
          <w:highlight w:val="none"/>
        </w:rPr>
      </w:pPr>
      <w:r>
        <w:rPr>
          <w:rFonts w:hint="eastAsia" w:hAnsi="宋体"/>
          <w:szCs w:val="24"/>
          <w:highlight w:val="none"/>
        </w:rPr>
        <w:br w:type="page" w:clear="all"/>
      </w:r>
      <w:r>
        <w:rPr>
          <w:rStyle w:val="941"/>
          <w:rFonts w:hint="eastAsia" w:ascii="仿宋" w:hAnsi="仿宋" w:eastAsia="仿宋" w:cs="仿宋"/>
          <w:color w:val="ff0000"/>
          <w:sz w:val="24"/>
          <w:highlight w:val="none"/>
        </w:rPr>
        <w:t xml:space="preserve">根据</w:t>
      </w:r>
      <w:r>
        <w:rPr>
          <w:rStyle w:val="941"/>
          <w:rFonts w:hint="eastAsia" w:ascii="仿宋" w:hAnsi="仿宋" w:eastAsia="仿宋" w:cs="仿宋"/>
          <w:color w:val="ff0000"/>
          <w:sz w:val="24"/>
          <w:highlight w:val="none"/>
          <w:lang w:eastAsia="zh-CN"/>
        </w:rPr>
        <w:t xml:space="preserve">投标人</w:t>
      </w:r>
      <w:r>
        <w:rPr>
          <w:rStyle w:val="941"/>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1"/>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29"/>
        <w:jc w:val="center"/>
        <w:spacing w:before="151" w:after="151" w:line="600" w:lineRule="exact"/>
        <w:rPr>
          <w:rStyle w:val="941"/>
          <w:rFonts w:ascii="仿宋" w:hAnsi="仿宋" w:eastAsia="仿宋" w:cs="仿宋"/>
          <w:b/>
          <w:bCs/>
          <w:sz w:val="32"/>
          <w:szCs w:val="32"/>
          <w:highlight w:val="none"/>
        </w:rPr>
      </w:pPr>
      <w:r>
        <w:rPr>
          <w:rStyle w:val="941"/>
          <w:rFonts w:hint="eastAsia" w:ascii="仿宋" w:hAnsi="仿宋" w:eastAsia="仿宋" w:cs="仿宋"/>
          <w:b/>
          <w:bCs/>
          <w:sz w:val="32"/>
          <w:szCs w:val="32"/>
          <w:highlight w:val="none"/>
        </w:rPr>
        <w:t xml:space="preserve">残疾人福利性单位声明函</w:t>
      </w:r>
      <w:r/>
    </w:p>
    <w:p>
      <w:pPr>
        <w:pStyle w:val="1330"/>
        <w:spacing w:line="588" w:lineRule="exact"/>
        <w:rPr>
          <w:rStyle w:val="941"/>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29"/>
        <w:ind w:firstLine="480"/>
        <w:spacing w:line="500" w:lineRule="exact"/>
        <w:rPr>
          <w:rStyle w:val="941"/>
          <w:rFonts w:ascii="仿宋" w:hAnsi="仿宋" w:eastAsia="仿宋" w:cs="仿宋"/>
          <w:sz w:val="24"/>
          <w:highlight w:val="none"/>
        </w:rPr>
      </w:pPr>
      <w:r>
        <w:rPr>
          <w:rStyle w:val="941"/>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1"/>
          <w:rFonts w:hint="eastAsia" w:ascii="仿宋" w:hAnsi="仿宋" w:eastAsia="仿宋" w:cs="仿宋"/>
          <w:sz w:val="24"/>
          <w:highlight w:val="none"/>
          <w:u w:val="single"/>
        </w:rPr>
        <w:t xml:space="preserve">          </w:t>
      </w:r>
      <w:r>
        <w:rPr>
          <w:rStyle w:val="941"/>
          <w:rFonts w:hint="eastAsia" w:ascii="仿宋" w:hAnsi="仿宋" w:eastAsia="仿宋" w:cs="仿宋"/>
          <w:sz w:val="24"/>
          <w:highlight w:val="none"/>
        </w:rPr>
        <w:t xml:space="preserve">的</w:t>
      </w:r>
      <w:r>
        <w:rPr>
          <w:rStyle w:val="941"/>
          <w:rFonts w:hint="eastAsia" w:ascii="仿宋" w:hAnsi="仿宋" w:eastAsia="仿宋" w:cs="仿宋"/>
          <w:sz w:val="24"/>
          <w:highlight w:val="none"/>
          <w:u w:val="single"/>
        </w:rPr>
        <w:t xml:space="preserve">                  </w:t>
      </w:r>
      <w:r>
        <w:rPr>
          <w:rStyle w:val="941"/>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29"/>
        <w:ind w:firstLine="480"/>
        <w:spacing w:line="500" w:lineRule="exact"/>
        <w:rPr>
          <w:rStyle w:val="941"/>
          <w:rFonts w:ascii="仿宋" w:hAnsi="仿宋" w:eastAsia="仿宋" w:cs="仿宋"/>
          <w:sz w:val="24"/>
          <w:highlight w:val="none"/>
        </w:rPr>
      </w:pPr>
      <w:r>
        <w:rPr>
          <w:rStyle w:val="941"/>
          <w:rFonts w:hint="eastAsia" w:ascii="仿宋" w:hAnsi="仿宋" w:eastAsia="仿宋" w:cs="仿宋"/>
          <w:sz w:val="24"/>
          <w:highlight w:val="none"/>
        </w:rPr>
        <w:t xml:space="preserve">本单位对上述声明的真实性负责。如有虚假，将依法承担相应责任。</w:t>
      </w:r>
      <w:r/>
    </w:p>
    <w:p>
      <w:pPr>
        <w:pStyle w:val="1331"/>
        <w:ind w:firstLine="3810"/>
        <w:spacing w:line="500" w:lineRule="exact"/>
        <w:rPr>
          <w:rStyle w:val="941"/>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31"/>
        <w:ind w:firstLine="3628"/>
        <w:jc w:val="left"/>
        <w:spacing w:line="500" w:lineRule="exact"/>
        <w:rPr>
          <w:rStyle w:val="941"/>
          <w:rFonts w:ascii="仿宋" w:hAnsi="仿宋" w:eastAsia="仿宋" w:cs="仿宋"/>
          <w:sz w:val="24"/>
          <w:highlight w:val="none"/>
        </w:rPr>
      </w:pPr>
      <w:r>
        <w:rPr>
          <w:rFonts w:ascii="仿宋" w:hAnsi="仿宋" w:eastAsia="仿宋" w:cs="仿宋"/>
          <w:sz w:val="24"/>
          <w:highlight w:val="none"/>
        </w:rPr>
      </w:r>
      <w:r/>
    </w:p>
    <w:p>
      <w:pPr>
        <w:pStyle w:val="1331"/>
        <w:ind w:firstLine="480"/>
        <w:jc w:val="left"/>
        <w:spacing w:line="500" w:lineRule="exact"/>
        <w:rPr>
          <w:rStyle w:val="941"/>
          <w:rFonts w:ascii="仿宋" w:hAnsi="仿宋" w:eastAsia="仿宋" w:cs="仿宋"/>
          <w:sz w:val="24"/>
          <w:highlight w:val="none"/>
        </w:rPr>
      </w:pPr>
      <w:r>
        <w:rPr>
          <w:rStyle w:val="941"/>
          <w:rFonts w:hint="eastAsia" w:ascii="仿宋" w:hAnsi="仿宋" w:eastAsia="仿宋" w:cs="仿宋"/>
          <w:sz w:val="24"/>
          <w:highlight w:val="none"/>
        </w:rPr>
        <w:t xml:space="preserve">单位名称：</w:t>
      </w:r>
      <w:r>
        <w:rPr>
          <w:rStyle w:val="941"/>
          <w:rFonts w:hint="eastAsia" w:ascii="仿宋" w:hAnsi="仿宋" w:eastAsia="仿宋" w:cs="仿宋"/>
          <w:sz w:val="24"/>
          <w:highlight w:val="none"/>
          <w:u w:val="single"/>
        </w:rPr>
        <w:t xml:space="preserve">              </w:t>
      </w:r>
      <w:r>
        <w:rPr>
          <w:rStyle w:val="941"/>
          <w:rFonts w:hint="eastAsia" w:ascii="仿宋" w:hAnsi="仿宋" w:eastAsia="仿宋" w:cs="仿宋"/>
          <w:sz w:val="24"/>
          <w:highlight w:val="none"/>
        </w:rPr>
        <w:t xml:space="preserve">（盖章）</w:t>
      </w:r>
      <w:r/>
    </w:p>
    <w:p>
      <w:pPr>
        <w:pStyle w:val="1020"/>
        <w:ind w:firstLine="480"/>
        <w:jc w:val="left"/>
        <w:spacing w:line="500" w:lineRule="exact"/>
        <w:rPr>
          <w:rStyle w:val="941"/>
          <w:rFonts w:ascii="仿宋" w:hAnsi="仿宋" w:eastAsia="仿宋" w:cs="仿宋"/>
          <w:sz w:val="24"/>
          <w:szCs w:val="20"/>
          <w:highlight w:val="none"/>
        </w:rPr>
      </w:pPr>
      <w:r>
        <w:rPr>
          <w:rStyle w:val="941"/>
          <w:rFonts w:hint="eastAsia" w:ascii="仿宋" w:hAnsi="仿宋" w:eastAsia="仿宋" w:cs="仿宋"/>
          <w:sz w:val="24"/>
          <w:szCs w:val="20"/>
          <w:highlight w:val="none"/>
        </w:rPr>
        <w:t xml:space="preserve">日期：  年  月  日</w:t>
      </w:r>
      <w:r/>
    </w:p>
    <w:p>
      <w:pPr>
        <w:pStyle w:val="1332"/>
        <w:ind w:firstLine="0"/>
        <w:spacing w:line="500" w:lineRule="exact"/>
        <w:rPr>
          <w:rStyle w:val="941"/>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Ansi="宋体"/>
          <w:highlight w:val="none"/>
        </w:rPr>
      </w:pPr>
      <w:r>
        <w:rPr>
          <w:rFonts w:hint="eastAsia" w:hAnsi="宋体"/>
          <w:highlight w:val="none"/>
        </w:rPr>
        <w:t xml:space="preserve">提供由省级以上监狱管理局、戒毒管理局(含新疆生产建设兵团)出具的属于监狱企业的证明文件</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（三）节能产品认证文件</w:t>
      </w:r>
      <w:r/>
    </w:p>
    <w:p>
      <w:pPr>
        <w:ind w:firstLine="480"/>
        <w:spacing w:line="360" w:lineRule="auto"/>
        <w:rPr>
          <w:rFonts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Ansi="宋体"/>
          <w:highlight w:val="none"/>
        </w:rPr>
      </w:pPr>
      <w:r>
        <w:rPr>
          <w:rFonts w:hAnsi="宋体"/>
          <w:highlight w:val="none"/>
        </w:rPr>
      </w:r>
      <w:r/>
    </w:p>
    <w:p>
      <w:pPr>
        <w:ind w:left="100"/>
        <w:jc w:val="left"/>
        <w:spacing w:before="50" w:line="360" w:lineRule="auto"/>
        <w:rPr>
          <w:rFonts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Ansi="宋体"/>
          <w:highlight w:val="none"/>
        </w:rPr>
      </w:pPr>
      <w:r>
        <w:rPr>
          <w:rFonts w:hint="eastAsia" w:hAnsi="宋体"/>
          <w:highlight w:val="none"/>
        </w:rPr>
        <w:t xml:space="preserve">提供其投标产品在《环境标志产品政府采购清单》中相应的页面截图及相关证明材料</w:t>
      </w:r>
      <w:r/>
    </w:p>
    <w:p>
      <w:pPr>
        <w:pStyle w:val="1059"/>
        <w:rPr>
          <w:rFonts w:ascii="仿宋" w:hAnsi="仿宋" w:eastAsia="仿宋" w:cs="仿宋"/>
          <w:b/>
          <w:sz w:val="32"/>
          <w:szCs w:val="24"/>
          <w:highlight w:val="none"/>
        </w:rPr>
        <w:outlineLvl w:val="1"/>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十</w:t>
      </w:r>
      <w:r>
        <w:rPr>
          <w:rFonts w:hint="eastAsia" w:ascii="仿宋" w:hAnsi="仿宋" w:eastAsia="仿宋" w:cs="仿宋"/>
          <w:b/>
          <w:sz w:val="32"/>
          <w:szCs w:val="24"/>
          <w:highlight w:val="none"/>
          <w:lang w:val="en-US" w:eastAsia="zh-CN"/>
        </w:rPr>
        <w:t xml:space="preserve">三</w:t>
      </w:r>
      <w:r>
        <w:rPr>
          <w:rFonts w:hint="eastAsia" w:ascii="仿宋" w:hAnsi="仿宋" w:eastAsia="仿宋" w:cs="仿宋"/>
          <w:b/>
          <w:sz w:val="32"/>
          <w:szCs w:val="24"/>
          <w:highlight w:val="none"/>
        </w:rPr>
        <w:t xml:space="preserve">、投标所需的其他资料</w:t>
      </w:r>
      <w:bookmarkEnd w:id="90"/>
      <w:r/>
      <w:r/>
    </w:p>
    <w:p>
      <w:pPr>
        <w:pStyle w:val="1059"/>
        <w:ind w:firstLine="420"/>
        <w:rPr>
          <w:rFonts w:ascii="仿宋" w:hAnsi="仿宋" w:eastAsia="仿宋" w:cs="仿宋"/>
          <w:highlight w:val="none"/>
        </w:rPr>
      </w:pPr>
      <w:r>
        <w:rPr>
          <w:rFonts w:hint="eastAsia" w:ascii="仿宋" w:hAnsi="仿宋" w:eastAsia="仿宋" w:cs="仿宋"/>
          <w:highlight w:val="none"/>
        </w:rPr>
        <w:t xml:space="preserve">请在此文档中增加投标所需其他相关内容（包括但不限于资格要求、评分办法、采购需求中涉及的证件证明及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华文琥珀">
    <w:panose1 w:val="0201080004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rStyle w:val="1006"/>
      </w:rPr>
      <w:framePr w:wrap="around" w:vAnchor="text" w:hAnchor="margin" w:xAlign="right" w:y="1"/>
    </w:pPr>
    <w:r/>
    <w:r/>
  </w:p>
  <w:p>
    <w:pPr>
      <w:pStyle w:val="97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rPr>
        <w:rStyle w:val="1006"/>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p>
    <w:pPr>
      <w:pStyle w:val="97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8"/>
      </w:pPr>
      <w:r>
        <w:rPr>
          <w:rStyle w:val="771"/>
        </w:rPr>
        <w:footnoteRef/>
      </w:r>
      <w:r>
        <w:t xml:space="preserve"> </w:t>
      </w:r>
      <w:r>
        <w:rPr>
          <w:rStyle w:val="941"/>
          <w:rFonts w:hint="eastAsia" w:ascii="仿宋" w:hAnsi="仿宋" w:eastAsia="仿宋" w:cs="仿宋"/>
          <w:szCs w:val="18"/>
        </w:rPr>
        <w:t xml:space="preserve">从业人员、营业收入、资产总额填报上一年数据，无上一年数据的新成立企业可不填报。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4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1">
    <w:name w:val="Heading 1"/>
    <w:basedOn w:val="730"/>
    <w:next w:val="730"/>
    <w:link w:val="791"/>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92"/>
    <w:uiPriority w:val="9"/>
    <w:unhideWhenUsed/>
    <w:qFormat/>
    <w:pPr>
      <w:keepLines/>
      <w:keepNext/>
      <w:spacing w:before="320" w:after="200"/>
      <w:outlineLvl w:val="4"/>
    </w:pPr>
    <w:rPr>
      <w:rFonts w:ascii="Arial" w:hAnsi="Arial" w:eastAsia="Arial" w:cs="Arial"/>
      <w:b/>
      <w:bCs/>
    </w:rPr>
  </w:style>
  <w:style w:type="paragraph" w:styleId="736">
    <w:name w:val="Heading 6"/>
    <w:basedOn w:val="730"/>
    <w:next w:val="730"/>
    <w:link w:val="793"/>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95"/>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96"/>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annotation text"/>
    <w:basedOn w:val="730"/>
    <w:link w:val="1345"/>
    <w:uiPriority w:val="99"/>
    <w:semiHidden/>
    <w:unhideWhenUsed/>
    <w:qFormat/>
    <w:pPr>
      <w:jc w:val="left"/>
    </w:pPr>
  </w:style>
  <w:style w:type="paragraph" w:styleId="745">
    <w:name w:val="Body Text"/>
    <w:basedOn w:val="730"/>
    <w:next w:val="730"/>
    <w:uiPriority w:val="0"/>
    <w:qFormat/>
    <w:pPr>
      <w:spacing w:line="60" w:lineRule="auto"/>
    </w:pPr>
    <w:rPr>
      <w:rFonts w:ascii="仿宋_GB2312" w:eastAsia="仿宋_GB2312"/>
      <w:sz w:val="32"/>
    </w:rPr>
  </w:style>
  <w:style w:type="paragraph" w:styleId="746">
    <w:name w:val="Body Text Indent"/>
    <w:basedOn w:val="730"/>
    <w:next w:val="730"/>
    <w:uiPriority w:val="0"/>
    <w:qFormat/>
    <w:pPr>
      <w:ind w:firstLine="225"/>
    </w:pPr>
    <w:rPr>
      <w:rFonts w:ascii="仿宋_GB2312" w:eastAsia="仿宋_GB2312"/>
      <w:sz w:val="32"/>
    </w:rPr>
  </w:style>
  <w:style w:type="paragraph" w:styleId="747">
    <w:name w:val="toc 5"/>
    <w:basedOn w:val="730"/>
    <w:next w:val="730"/>
    <w:uiPriority w:val="39"/>
    <w:unhideWhenUsed/>
    <w:qFormat/>
    <w:pPr>
      <w:ind w:left="1134"/>
      <w:spacing w:after="57"/>
    </w:pPr>
  </w:style>
  <w:style w:type="paragraph" w:styleId="748">
    <w:name w:val="toc 3"/>
    <w:basedOn w:val="730"/>
    <w:next w:val="730"/>
    <w:uiPriority w:val="39"/>
    <w:unhideWhenUsed/>
    <w:qFormat/>
    <w:pPr>
      <w:ind w:left="567"/>
      <w:spacing w:after="57"/>
    </w:pPr>
  </w:style>
  <w:style w:type="paragraph" w:styleId="749">
    <w:name w:val="Plain Text"/>
    <w:basedOn w:val="730"/>
    <w:uiPriority w:val="0"/>
    <w:qFormat/>
    <w:rPr>
      <w:rFonts w:ascii="宋体" w:cs="Courier New"/>
    </w:rPr>
  </w:style>
  <w:style w:type="paragraph" w:styleId="750">
    <w:name w:val="toc 8"/>
    <w:basedOn w:val="730"/>
    <w:next w:val="730"/>
    <w:uiPriority w:val="39"/>
    <w:unhideWhenUsed/>
    <w:qFormat/>
    <w:pPr>
      <w:ind w:left="1984"/>
      <w:spacing w:after="57"/>
    </w:pPr>
  </w:style>
  <w:style w:type="paragraph" w:styleId="751">
    <w:name w:val="endnote text"/>
    <w:basedOn w:val="730"/>
    <w:link w:val="931"/>
    <w:uiPriority w:val="99"/>
    <w:semiHidden/>
    <w:unhideWhenUsed/>
    <w:qFormat/>
    <w:rPr>
      <w:sz w:val="20"/>
    </w:rPr>
  </w:style>
  <w:style w:type="paragraph" w:styleId="752">
    <w:name w:val="Balloon Text"/>
    <w:basedOn w:val="730"/>
    <w:link w:val="1344"/>
    <w:uiPriority w:val="99"/>
    <w:semiHidden/>
    <w:unhideWhenUsed/>
    <w:qFormat/>
    <w:rPr>
      <w:sz w:val="18"/>
      <w:szCs w:val="18"/>
    </w:rPr>
  </w:style>
  <w:style w:type="paragraph" w:styleId="753">
    <w:name w:val="Footer"/>
    <w:basedOn w:val="730"/>
    <w:link w:val="804"/>
    <w:uiPriority w:val="99"/>
    <w:unhideWhenUsed/>
    <w:qFormat/>
    <w:pPr>
      <w:tabs>
        <w:tab w:val="center" w:pos="7143" w:leader="none"/>
        <w:tab w:val="right" w:pos="14287" w:leader="none"/>
      </w:tabs>
    </w:pPr>
  </w:style>
  <w:style w:type="paragraph" w:styleId="754">
    <w:name w:val="Header"/>
    <w:basedOn w:val="730"/>
    <w:uiPriority w:val="99"/>
    <w:unhideWhenUsed/>
    <w:qFormat/>
    <w:pPr>
      <w:tabs>
        <w:tab w:val="center" w:pos="7143" w:leader="none"/>
        <w:tab w:val="right" w:pos="14287" w:leader="none"/>
      </w:tabs>
    </w:pPr>
  </w:style>
  <w:style w:type="paragraph" w:styleId="755">
    <w:name w:val="toc 1"/>
    <w:basedOn w:val="730"/>
    <w:next w:val="730"/>
    <w:uiPriority w:val="39"/>
    <w:unhideWhenUsed/>
    <w:qFormat/>
    <w:pPr>
      <w:spacing w:after="57"/>
    </w:pPr>
  </w:style>
  <w:style w:type="paragraph" w:styleId="756">
    <w:name w:val="toc 4"/>
    <w:basedOn w:val="730"/>
    <w:next w:val="730"/>
    <w:uiPriority w:val="39"/>
    <w:unhideWhenUsed/>
    <w:qFormat/>
    <w:pPr>
      <w:ind w:left="850"/>
      <w:spacing w:after="57"/>
    </w:pPr>
  </w:style>
  <w:style w:type="paragraph" w:styleId="757">
    <w:name w:val="Subtitle"/>
    <w:basedOn w:val="730"/>
    <w:next w:val="730"/>
    <w:link w:val="799"/>
    <w:uiPriority w:val="11"/>
    <w:qFormat/>
    <w:pPr>
      <w:spacing w:before="200" w:after="200"/>
    </w:pPr>
  </w:style>
  <w:style w:type="paragraph" w:styleId="758">
    <w:name w:val="footnote text"/>
    <w:basedOn w:val="730"/>
    <w:link w:val="930"/>
    <w:uiPriority w:val="99"/>
    <w:semiHidden/>
    <w:unhideWhenUsed/>
    <w:qFormat/>
    <w:pPr>
      <w:spacing w:after="40"/>
    </w:pPr>
    <w:rPr>
      <w:sz w:val="18"/>
    </w:rPr>
  </w:style>
  <w:style w:type="paragraph" w:styleId="759">
    <w:name w:val="toc 6"/>
    <w:basedOn w:val="730"/>
    <w:next w:val="730"/>
    <w:uiPriority w:val="39"/>
    <w:unhideWhenUsed/>
    <w:qFormat/>
    <w:pPr>
      <w:ind w:left="1417"/>
      <w:spacing w:after="57"/>
    </w:pPr>
  </w:style>
  <w:style w:type="paragraph" w:styleId="760">
    <w:name w:val="table of figures"/>
    <w:basedOn w:val="730"/>
    <w:next w:val="730"/>
    <w:uiPriority w:val="99"/>
    <w:unhideWhenUsed/>
    <w:qFormat/>
  </w:style>
  <w:style w:type="paragraph" w:styleId="761">
    <w:name w:val="toc 2"/>
    <w:basedOn w:val="730"/>
    <w:next w:val="730"/>
    <w:uiPriority w:val="39"/>
    <w:unhideWhenUsed/>
    <w:qFormat/>
    <w:pPr>
      <w:ind w:left="283"/>
      <w:spacing w:after="57"/>
    </w:pPr>
  </w:style>
  <w:style w:type="paragraph" w:styleId="762">
    <w:name w:val="toc 9"/>
    <w:basedOn w:val="730"/>
    <w:next w:val="730"/>
    <w:uiPriority w:val="39"/>
    <w:unhideWhenUsed/>
    <w:qFormat/>
    <w:pPr>
      <w:ind w:left="2268"/>
      <w:spacing w:after="57"/>
    </w:pPr>
  </w:style>
  <w:style w:type="paragraph" w:styleId="763">
    <w:name w:val="Normal (Web)"/>
    <w:basedOn w:val="730"/>
    <w:uiPriority w:val="99"/>
    <w:semiHidden/>
    <w:unhideWhenUsed/>
    <w:qFormat/>
    <w:pPr>
      <w:jc w:val="left"/>
      <w:spacing w:beforeAutospacing="1" w:afterAutospacing="1"/>
    </w:pPr>
  </w:style>
  <w:style w:type="paragraph" w:styleId="764">
    <w:name w:val="Title"/>
    <w:basedOn w:val="730"/>
    <w:next w:val="730"/>
    <w:link w:val="798"/>
    <w:uiPriority w:val="10"/>
    <w:qFormat/>
    <w:pPr>
      <w:contextualSpacing/>
      <w:spacing w:before="300" w:after="200"/>
    </w:pPr>
    <w:rPr>
      <w:sz w:val="48"/>
      <w:szCs w:val="48"/>
    </w:rPr>
  </w:style>
  <w:style w:type="paragraph" w:styleId="765">
    <w:name w:val="annotation subject"/>
    <w:basedOn w:val="744"/>
    <w:next w:val="744"/>
    <w:link w:val="1346"/>
    <w:uiPriority w:val="99"/>
    <w:semiHidden/>
    <w:unhideWhenUsed/>
    <w:qFormat/>
    <w:rPr>
      <w:b/>
      <w:bCs/>
    </w:rPr>
  </w:style>
  <w:style w:type="table" w:styleId="7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page number"/>
    <w:uiPriority w:val="0"/>
    <w:qFormat/>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annotation reference"/>
    <w:basedOn w:val="740"/>
    <w:uiPriority w:val="99"/>
    <w:semiHidden/>
    <w:unhideWhenUsed/>
    <w:qFormat/>
    <w:rPr>
      <w:sz w:val="21"/>
      <w:szCs w:val="21"/>
    </w:rPr>
  </w:style>
  <w:style w:type="character" w:styleId="771">
    <w:name w:val="footnote reference"/>
    <w:uiPriority w:val="99"/>
    <w:unhideWhenUsed/>
    <w:qFormat/>
    <w:rPr>
      <w:vertAlign w:val="superscript"/>
    </w:rPr>
  </w:style>
  <w:style w:type="paragraph" w:styleId="772" w:customStyle="1">
    <w:name w:val="BodyText"/>
    <w:basedOn w:val="730"/>
    <w:next w:val="773"/>
    <w:uiPriority w:val="0"/>
    <w:qFormat/>
    <w:pPr>
      <w:spacing w:line="360" w:lineRule="exact"/>
    </w:pPr>
  </w:style>
  <w:style w:type="paragraph" w:styleId="773" w:customStyle="1">
    <w:name w:val="UserStyle_6"/>
    <w:basedOn w:val="774"/>
    <w:next w:val="775"/>
    <w:uiPriority w:val="0"/>
    <w:qFormat/>
    <w:pPr>
      <w:ind w:left="420"/>
      <w:spacing w:line="240" w:lineRule="auto"/>
    </w:pPr>
  </w:style>
  <w:style w:type="paragraph" w:styleId="774" w:customStyle="1">
    <w:name w:val="UserStyle_7"/>
    <w:next w:val="730"/>
    <w:uiPriority w:val="0"/>
    <w:qFormat/>
    <w:pPr>
      <w:jc w:val="both"/>
      <w:spacing w:line="360" w:lineRule="auto"/>
    </w:pPr>
    <w:rPr>
      <w:rFonts w:ascii="黑体" w:hAnsi="等线" w:eastAsia="黑体" w:cs="等线"/>
      <w:sz w:val="21"/>
      <w:szCs w:val="21"/>
      <w:lang w:val="en-US" w:eastAsia="zh-CN" w:bidi="ar-SA"/>
    </w:rPr>
  </w:style>
  <w:style w:type="paragraph" w:styleId="775" w:customStyle="1">
    <w:name w:val="UserStyle_8"/>
    <w:next w:val="730"/>
    <w:uiPriority w:val="0"/>
    <w:qFormat/>
    <w:pPr>
      <w:ind w:firstLine="200"/>
      <w:jc w:val="both"/>
    </w:pPr>
    <w:rPr>
      <w:rFonts w:ascii="宋体" w:hAnsi="等线" w:eastAsia="等线" w:cs="等线"/>
      <w:sz w:val="21"/>
      <w:szCs w:val="21"/>
      <w:lang w:val="en-US" w:eastAsia="zh-CN" w:bidi="ar-SA"/>
    </w:rPr>
  </w:style>
  <w:style w:type="paragraph" w:styleId="776" w:customStyle="1">
    <w:name w:val="标题 31"/>
    <w:basedOn w:val="730"/>
    <w:next w:val="730"/>
    <w:link w:val="943"/>
    <w:uiPriority w:val="0"/>
    <w:qFormat/>
    <w:pPr>
      <w:keepLines/>
      <w:keepNext/>
      <w:spacing w:before="260" w:after="260" w:line="413" w:lineRule="auto"/>
      <w:outlineLvl w:val="2"/>
    </w:pPr>
    <w:rPr>
      <w:rFonts w:eastAsia="宋体"/>
      <w:b/>
      <w:sz w:val="32"/>
      <w:szCs w:val="20"/>
    </w:rPr>
  </w:style>
  <w:style w:type="character" w:styleId="777" w:customStyle="1">
    <w:name w:val="Heading 1 Char"/>
    <w:basedOn w:val="740"/>
    <w:uiPriority w:val="9"/>
    <w:qFormat/>
    <w:rPr>
      <w:rFonts w:ascii="Arial" w:hAnsi="Arial" w:eastAsia="Arial" w:cs="Arial"/>
      <w:sz w:val="40"/>
      <w:szCs w:val="40"/>
    </w:rPr>
  </w:style>
  <w:style w:type="character" w:styleId="778" w:customStyle="1">
    <w:name w:val="Heading 5 Char"/>
    <w:basedOn w:val="740"/>
    <w:uiPriority w:val="9"/>
    <w:qFormat/>
    <w:rPr>
      <w:rFonts w:ascii="Arial" w:hAnsi="Arial" w:eastAsia="Arial" w:cs="Arial"/>
      <w:b/>
      <w:bCs/>
      <w:sz w:val="24"/>
      <w:szCs w:val="24"/>
    </w:rPr>
  </w:style>
  <w:style w:type="character" w:styleId="779" w:customStyle="1">
    <w:name w:val="Heading 6 Char"/>
    <w:basedOn w:val="740"/>
    <w:uiPriority w:val="9"/>
    <w:qFormat/>
    <w:rPr>
      <w:rFonts w:ascii="Arial" w:hAnsi="Arial" w:eastAsia="Arial" w:cs="Arial"/>
      <w:b/>
      <w:bCs/>
      <w:sz w:val="22"/>
      <w:szCs w:val="22"/>
    </w:rPr>
  </w:style>
  <w:style w:type="character" w:styleId="780" w:customStyle="1">
    <w:name w:val="Heading 7 Char"/>
    <w:basedOn w:val="740"/>
    <w:uiPriority w:val="9"/>
    <w:qFormat/>
    <w:rPr>
      <w:rFonts w:ascii="Arial" w:hAnsi="Arial" w:eastAsia="Arial" w:cs="Arial"/>
      <w:b/>
      <w:bCs/>
      <w:i/>
      <w:iCs/>
      <w:sz w:val="22"/>
      <w:szCs w:val="22"/>
    </w:rPr>
  </w:style>
  <w:style w:type="character" w:styleId="781" w:customStyle="1">
    <w:name w:val="Heading 8 Char"/>
    <w:basedOn w:val="740"/>
    <w:uiPriority w:val="9"/>
    <w:qFormat/>
    <w:rPr>
      <w:rFonts w:ascii="Arial" w:hAnsi="Arial" w:eastAsia="Arial" w:cs="Arial"/>
      <w:i/>
      <w:iCs/>
      <w:sz w:val="22"/>
      <w:szCs w:val="22"/>
    </w:rPr>
  </w:style>
  <w:style w:type="character" w:styleId="782" w:customStyle="1">
    <w:name w:val="Heading 9 Char"/>
    <w:basedOn w:val="740"/>
    <w:uiPriority w:val="9"/>
    <w:qFormat/>
    <w:rPr>
      <w:rFonts w:ascii="Arial" w:hAnsi="Arial" w:eastAsia="Arial" w:cs="Arial"/>
      <w:i/>
      <w:iCs/>
      <w:sz w:val="21"/>
      <w:szCs w:val="21"/>
    </w:rPr>
  </w:style>
  <w:style w:type="character" w:styleId="783" w:customStyle="1">
    <w:name w:val="Title Char"/>
    <w:basedOn w:val="740"/>
    <w:uiPriority w:val="10"/>
    <w:qFormat/>
    <w:rPr>
      <w:sz w:val="48"/>
      <w:szCs w:val="48"/>
    </w:rPr>
  </w:style>
  <w:style w:type="character" w:styleId="784" w:customStyle="1">
    <w:name w:val="Subtitle Char"/>
    <w:basedOn w:val="740"/>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Caption Char"/>
    <w:uiPriority w:val="99"/>
    <w:qFormat/>
  </w:style>
  <w:style w:type="character" w:styleId="788" w:customStyle="1">
    <w:name w:val="Footnote Text Char"/>
    <w:uiPriority w:val="99"/>
    <w:qFormat/>
    <w:rPr>
      <w:sz w:val="18"/>
    </w:rPr>
  </w:style>
  <w:style w:type="character" w:styleId="789" w:customStyle="1">
    <w:name w:val="Endnote Text Char"/>
    <w:uiPriority w:val="99"/>
    <w:qFormat/>
    <w:rPr>
      <w:sz w:val="20"/>
    </w:rPr>
  </w:style>
  <w:style w:type="paragraph" w:styleId="790" w:customStyle="1">
    <w:name w:val="TOC 标题1"/>
    <w:uiPriority w:val="39"/>
    <w:unhideWhenUsed/>
    <w:qFormat/>
    <w:rPr>
      <w:rFonts w:ascii="Times New Roman" w:hAnsi="Times New Roman" w:eastAsia="宋体" w:cs="Times New Roman"/>
      <w:lang w:val="en-US" w:eastAsia="zh-CN" w:bidi="ar-SA"/>
    </w:rPr>
  </w:style>
  <w:style w:type="character" w:styleId="791" w:customStyle="1">
    <w:name w:val="标题 1 字符"/>
    <w:link w:val="731"/>
    <w:uiPriority w:val="9"/>
    <w:qFormat/>
    <w:rPr>
      <w:rFonts w:ascii="Arial" w:hAnsi="Arial" w:eastAsia="Arial" w:cs="Arial"/>
      <w:sz w:val="40"/>
      <w:szCs w:val="40"/>
    </w:rPr>
  </w:style>
  <w:style w:type="character" w:styleId="792" w:customStyle="1">
    <w:name w:val="标题 5 字符"/>
    <w:link w:val="735"/>
    <w:uiPriority w:val="9"/>
    <w:qFormat/>
    <w:rPr>
      <w:rFonts w:ascii="Arial" w:hAnsi="Arial" w:eastAsia="Arial" w:cs="Arial"/>
      <w:b/>
      <w:bCs/>
      <w:sz w:val="24"/>
      <w:szCs w:val="24"/>
    </w:rPr>
  </w:style>
  <w:style w:type="character" w:styleId="793" w:customStyle="1">
    <w:name w:val="标题 6 字符"/>
    <w:link w:val="736"/>
    <w:uiPriority w:val="9"/>
    <w:qFormat/>
    <w:rPr>
      <w:rFonts w:ascii="Arial" w:hAnsi="Arial" w:eastAsia="Arial" w:cs="Arial"/>
      <w:b/>
      <w:bCs/>
      <w:sz w:val="22"/>
      <w:szCs w:val="22"/>
    </w:rPr>
  </w:style>
  <w:style w:type="character" w:styleId="794" w:customStyle="1">
    <w:name w:val="标题 7 字符"/>
    <w:link w:val="737"/>
    <w:uiPriority w:val="9"/>
    <w:qFormat/>
    <w:rPr>
      <w:rFonts w:ascii="Arial" w:hAnsi="Arial" w:eastAsia="Arial" w:cs="Arial"/>
      <w:b/>
      <w:bCs/>
      <w:i/>
      <w:iCs/>
      <w:sz w:val="22"/>
      <w:szCs w:val="22"/>
    </w:rPr>
  </w:style>
  <w:style w:type="character" w:styleId="795" w:customStyle="1">
    <w:name w:val="标题 8 字符"/>
    <w:link w:val="738"/>
    <w:uiPriority w:val="9"/>
    <w:qFormat/>
    <w:rPr>
      <w:rFonts w:ascii="Arial" w:hAnsi="Arial" w:eastAsia="Arial" w:cs="Arial"/>
      <w:i/>
      <w:iCs/>
      <w:sz w:val="22"/>
      <w:szCs w:val="22"/>
    </w:rPr>
  </w:style>
  <w:style w:type="character" w:styleId="796" w:customStyle="1">
    <w:name w:val="标题 9 字符"/>
    <w:link w:val="739"/>
    <w:uiPriority w:val="9"/>
    <w:qFormat/>
    <w:rPr>
      <w:rFonts w:ascii="Arial" w:hAnsi="Arial" w:eastAsia="Arial" w:cs="Arial"/>
      <w:i/>
      <w:iCs/>
      <w:sz w:val="21"/>
      <w:szCs w:val="21"/>
    </w:rPr>
  </w:style>
  <w:style w:type="paragraph" w:styleId="797">
    <w:name w:val="No Spacing"/>
    <w:uiPriority w:val="1"/>
    <w:qFormat/>
    <w:rPr>
      <w:rFonts w:ascii="Times New Roman" w:hAnsi="Times New Roman" w:eastAsia="宋体" w:cs="Times New Roman"/>
      <w:lang w:val="en-US" w:eastAsia="zh-CN" w:bidi="ar-SA"/>
    </w:rPr>
  </w:style>
  <w:style w:type="character" w:styleId="798" w:customStyle="1">
    <w:name w:val="标题 字符"/>
    <w:link w:val="764"/>
    <w:uiPriority w:val="10"/>
    <w:qFormat/>
    <w:rPr>
      <w:sz w:val="48"/>
      <w:szCs w:val="48"/>
    </w:rPr>
  </w:style>
  <w:style w:type="character" w:styleId="799" w:customStyle="1">
    <w:name w:val="副标题 字符"/>
    <w:link w:val="757"/>
    <w:uiPriority w:val="11"/>
    <w:qFormat/>
    <w:rPr>
      <w:sz w:val="24"/>
      <w:szCs w:val="24"/>
    </w:rPr>
  </w:style>
  <w:style w:type="paragraph" w:styleId="800">
    <w:name w:val="Quote"/>
    <w:basedOn w:val="730"/>
    <w:next w:val="730"/>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730"/>
    <w:next w:val="730"/>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qFormat/>
    <w:rPr>
      <w:i/>
    </w:rPr>
  </w:style>
  <w:style w:type="character" w:styleId="804" w:customStyle="1">
    <w:name w:val="页脚 字符"/>
    <w:link w:val="753"/>
    <w:uiPriority w:val="99"/>
    <w:qFormat/>
  </w:style>
  <w:style w:type="table" w:styleId="80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脚注文本 字符"/>
    <w:link w:val="758"/>
    <w:uiPriority w:val="99"/>
    <w:qFormat/>
    <w:rPr>
      <w:sz w:val="18"/>
    </w:rPr>
  </w:style>
  <w:style w:type="character" w:styleId="931" w:customStyle="1">
    <w:name w:val="尾注文本 字符"/>
    <w:link w:val="751"/>
    <w:uiPriority w:val="99"/>
    <w:qFormat/>
    <w:rPr>
      <w:sz w:val="20"/>
    </w:rPr>
  </w:style>
  <w:style w:type="paragraph" w:styleId="932" w:customStyle="1">
    <w:name w:val="TOC 标题11"/>
    <w:uiPriority w:val="39"/>
    <w:unhideWhenUsed/>
    <w:qFormat/>
    <w:rPr>
      <w:rFonts w:ascii="Times New Roman" w:hAnsi="Times New Roman" w:eastAsia="宋体" w:cs="Times New Roman"/>
      <w:lang w:val="en-US" w:eastAsia="zh-CN" w:bidi="ar-SA"/>
    </w:rPr>
  </w:style>
  <w:style w:type="paragraph" w:styleId="933" w:customStyle="1">
    <w:name w:val="标题 11"/>
    <w:basedOn w:val="730"/>
    <w:next w:val="730"/>
    <w:link w:val="944"/>
    <w:uiPriority w:val="0"/>
    <w:qFormat/>
    <w:pPr>
      <w:keepLines/>
      <w:keepNext/>
      <w:spacing w:before="340" w:after="330" w:line="576" w:lineRule="auto"/>
      <w:outlineLvl w:val="0"/>
    </w:pPr>
    <w:rPr>
      <w:rFonts w:eastAsia="宋体"/>
      <w:b/>
      <w:sz w:val="44"/>
      <w:szCs w:val="20"/>
    </w:rPr>
  </w:style>
  <w:style w:type="paragraph" w:styleId="934" w:customStyle="1">
    <w:name w:val="标题 21"/>
    <w:basedOn w:val="730"/>
    <w:next w:val="730"/>
    <w:link w:val="945"/>
    <w:uiPriority w:val="0"/>
    <w:qFormat/>
    <w:pPr>
      <w:keepLines/>
      <w:keepNext/>
      <w:spacing w:before="260" w:after="260" w:line="413" w:lineRule="auto"/>
      <w:outlineLvl w:val="1"/>
    </w:pPr>
    <w:rPr>
      <w:rFonts w:ascii="Arial" w:hAnsi="Arial" w:eastAsia="黑体"/>
      <w:b/>
      <w:sz w:val="32"/>
      <w:szCs w:val="20"/>
    </w:rPr>
  </w:style>
  <w:style w:type="paragraph" w:styleId="935" w:customStyle="1">
    <w:name w:val="标题 41"/>
    <w:basedOn w:val="730"/>
    <w:next w:val="730"/>
    <w:link w:val="946"/>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36" w:customStyle="1">
    <w:name w:val="标题 51"/>
    <w:basedOn w:val="730"/>
    <w:next w:val="73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37" w:customStyle="1">
    <w:name w:val="标题 61"/>
    <w:basedOn w:val="730"/>
    <w:next w:val="73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38" w:customStyle="1">
    <w:name w:val="标题 71"/>
    <w:basedOn w:val="730"/>
    <w:next w:val="73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39" w:customStyle="1">
    <w:name w:val="标题 81"/>
    <w:basedOn w:val="730"/>
    <w:next w:val="73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0" w:customStyle="1">
    <w:name w:val="标题 91"/>
    <w:basedOn w:val="730"/>
    <w:next w:val="730"/>
    <w:uiPriority w:val="0"/>
    <w:qFormat/>
    <w:pPr>
      <w:jc w:val="center"/>
      <w:keepNext/>
      <w:spacing w:line="600" w:lineRule="exact"/>
      <w:outlineLvl w:val="8"/>
    </w:pPr>
    <w:rPr>
      <w:rFonts w:ascii="仿宋_GB2312" w:eastAsia="仿宋_GB2312"/>
      <w:sz w:val="32"/>
    </w:rPr>
  </w:style>
  <w:style w:type="character" w:styleId="941" w:customStyle="1">
    <w:name w:val="默认段落字体1"/>
    <w:uiPriority w:val="0"/>
    <w:qFormat/>
    <w:rPr>
      <w:rFonts w:ascii="Times New Roman" w:hAnsi="Times New Roman" w:eastAsia="宋体" w:cs="Times New Roman"/>
    </w:rPr>
  </w:style>
  <w:style w:type="table" w:styleId="942" w:customStyle="1">
    <w:name w:val="普通表格1"/>
    <w:uiPriority w:val="0"/>
    <w:qFormat/>
    <w:tblPr>
      <w:tblCellMar>
        <w:left w:w="0" w:type="dxa"/>
        <w:top w:w="0" w:type="dxa"/>
        <w:right w:w="0" w:type="dxa"/>
        <w:bottom w:w="0" w:type="dxa"/>
      </w:tblCellMar>
    </w:tblPr>
  </w:style>
  <w:style w:type="character" w:styleId="943" w:customStyle="1">
    <w:name w:val="标题 3 Char"/>
    <w:link w:val="776"/>
    <w:uiPriority w:val="0"/>
    <w:qFormat/>
    <w:rPr>
      <w:rFonts w:ascii="Times New Roman" w:hAnsi="Times New Roman" w:eastAsia="宋体" w:cs="Times New Roman"/>
      <w:b/>
      <w:sz w:val="32"/>
    </w:rPr>
  </w:style>
  <w:style w:type="character" w:styleId="944" w:customStyle="1">
    <w:name w:val="标题 1 Char"/>
    <w:link w:val="933"/>
    <w:uiPriority w:val="0"/>
    <w:qFormat/>
    <w:rPr>
      <w:rFonts w:ascii="Times New Roman" w:hAnsi="Times New Roman" w:eastAsia="宋体" w:cs="Times New Roman"/>
      <w:b/>
      <w:sz w:val="44"/>
    </w:rPr>
  </w:style>
  <w:style w:type="character" w:styleId="945" w:customStyle="1">
    <w:name w:val="标题 2 Char"/>
    <w:link w:val="934"/>
    <w:uiPriority w:val="0"/>
    <w:qFormat/>
    <w:rPr>
      <w:rFonts w:ascii="Arial" w:hAnsi="Arial" w:eastAsia="黑体" w:cs="Times New Roman"/>
      <w:b/>
      <w:sz w:val="32"/>
    </w:rPr>
  </w:style>
  <w:style w:type="character" w:styleId="946" w:customStyle="1">
    <w:name w:val="标题 4 Char"/>
    <w:link w:val="935"/>
    <w:uiPriority w:val="0"/>
    <w:qFormat/>
    <w:rPr>
      <w:rFonts w:ascii="宋体" w:hAnsi="Times New Roman" w:eastAsia="宋体" w:cs="Times New Roman"/>
      <w:color w:val="800000"/>
      <w:sz w:val="28"/>
      <w:lang w:val="en-US" w:eastAsia="zh-CN" w:bidi="ar-SA"/>
    </w:rPr>
  </w:style>
  <w:style w:type="paragraph" w:styleId="947" w:customStyle="1">
    <w:name w:val="目录 71"/>
    <w:basedOn w:val="730"/>
    <w:next w:val="730"/>
    <w:uiPriority w:val="0"/>
    <w:qFormat/>
    <w:pPr>
      <w:ind w:left="1260"/>
      <w:jc w:val="left"/>
    </w:pPr>
    <w:rPr>
      <w:rFonts w:ascii="Calibri" w:hAnsi="Calibri" w:eastAsia="宋体" w:cs="Calibri"/>
      <w:sz w:val="18"/>
      <w:szCs w:val="18"/>
    </w:rPr>
  </w:style>
  <w:style w:type="paragraph" w:styleId="948" w:customStyle="1">
    <w:name w:val="列表项目符号 41"/>
    <w:basedOn w:val="730"/>
    <w:uiPriority w:val="0"/>
    <w:qFormat/>
    <w:pPr>
      <w:ind w:left="360" w:hanging="360"/>
      <w:spacing w:line="380" w:lineRule="exact"/>
      <w:tabs>
        <w:tab w:val="left" w:pos="360" w:leader="none"/>
      </w:tabs>
    </w:pPr>
    <w:rPr>
      <w:rFonts w:ascii="Calibri" w:hAnsi="Calibri" w:eastAsia="宋体"/>
      <w:sz w:val="28"/>
      <w:szCs w:val="22"/>
    </w:rPr>
  </w:style>
  <w:style w:type="paragraph" w:styleId="949" w:customStyle="1">
    <w:name w:val="索引 81"/>
    <w:basedOn w:val="730"/>
    <w:next w:val="730"/>
    <w:uiPriority w:val="0"/>
    <w:qFormat/>
    <w:pPr>
      <w:ind w:left="1400"/>
    </w:pPr>
    <w:rPr>
      <w:rFonts w:ascii="Calibri" w:hAnsi="Calibri" w:eastAsia="宋体"/>
      <w:szCs w:val="22"/>
    </w:rPr>
  </w:style>
  <w:style w:type="paragraph" w:styleId="950" w:customStyle="1">
    <w:name w:val="列表编号1"/>
    <w:basedOn w:val="730"/>
    <w:uiPriority w:val="0"/>
    <w:qFormat/>
    <w:pPr>
      <w:spacing w:line="360" w:lineRule="auto"/>
      <w:tabs>
        <w:tab w:val="left" w:pos="0" w:leader="none"/>
        <w:tab w:val="left" w:pos="840" w:leader="none"/>
      </w:tabs>
    </w:pPr>
    <w:rPr>
      <w:rFonts w:eastAsia="宋体"/>
    </w:rPr>
  </w:style>
  <w:style w:type="paragraph" w:styleId="951" w:customStyle="1">
    <w:name w:val="正文缩进1"/>
    <w:basedOn w:val="730"/>
    <w:uiPriority w:val="0"/>
    <w:qFormat/>
    <w:pPr>
      <w:ind w:firstLine="420"/>
    </w:pPr>
    <w:rPr>
      <w:rFonts w:ascii="宋体" w:eastAsia="宋体"/>
      <w:color w:val="000000"/>
      <w:szCs w:val="20"/>
    </w:rPr>
  </w:style>
  <w:style w:type="paragraph" w:styleId="952" w:customStyle="1">
    <w:name w:val="题注1"/>
    <w:basedOn w:val="730"/>
    <w:next w:val="730"/>
    <w:link w:val="953"/>
    <w:uiPriority w:val="0"/>
    <w:qFormat/>
    <w:pPr>
      <w:spacing w:line="360" w:lineRule="auto"/>
      <w:tabs>
        <w:tab w:val="left" w:pos="0" w:leader="none"/>
      </w:tabs>
    </w:pPr>
    <w:rPr>
      <w:rFonts w:ascii="Arial" w:hAnsi="Arial" w:eastAsia="黑体"/>
      <w:sz w:val="20"/>
      <w:szCs w:val="20"/>
    </w:rPr>
  </w:style>
  <w:style w:type="character" w:styleId="953" w:customStyle="1">
    <w:name w:val="题注 Char"/>
    <w:link w:val="952"/>
    <w:uiPriority w:val="0"/>
    <w:qFormat/>
    <w:rPr>
      <w:rFonts w:ascii="Arial" w:hAnsi="Arial" w:eastAsia="黑体" w:cs="Arial"/>
    </w:rPr>
  </w:style>
  <w:style w:type="paragraph" w:styleId="954" w:customStyle="1">
    <w:name w:val="索引 51"/>
    <w:basedOn w:val="730"/>
    <w:next w:val="730"/>
    <w:uiPriority w:val="0"/>
    <w:qFormat/>
    <w:pPr>
      <w:ind w:left="800"/>
    </w:pPr>
    <w:rPr>
      <w:rFonts w:ascii="Calibri" w:hAnsi="Calibri" w:eastAsia="宋体"/>
      <w:szCs w:val="22"/>
    </w:rPr>
  </w:style>
  <w:style w:type="paragraph" w:styleId="955" w:customStyle="1">
    <w:name w:val="列表项目符号1"/>
    <w:basedOn w:val="730"/>
    <w:uiPriority w:val="0"/>
    <w:qFormat/>
    <w:pPr>
      <w:ind w:left="962" w:hanging="480"/>
      <w:spacing w:line="360" w:lineRule="auto"/>
      <w:tabs>
        <w:tab w:val="left" w:pos="840" w:leader="none"/>
      </w:tabs>
    </w:pPr>
    <w:rPr>
      <w:rFonts w:eastAsia="宋体"/>
    </w:rPr>
  </w:style>
  <w:style w:type="paragraph" w:styleId="956" w:customStyle="1">
    <w:name w:val="文档结构图1"/>
    <w:basedOn w:val="730"/>
    <w:uiPriority w:val="0"/>
    <w:qFormat/>
    <w:pPr>
      <w:shd w:val="clear" w:color="auto" w:fill="000080"/>
    </w:pPr>
    <w:rPr>
      <w:rFonts w:eastAsia="宋体"/>
    </w:rPr>
  </w:style>
  <w:style w:type="paragraph" w:styleId="957" w:customStyle="1">
    <w:name w:val="批注文字1"/>
    <w:basedOn w:val="730"/>
    <w:link w:val="958"/>
    <w:uiPriority w:val="0"/>
    <w:qFormat/>
    <w:pPr>
      <w:jc w:val="left"/>
    </w:pPr>
    <w:rPr>
      <w:rFonts w:eastAsia="宋体"/>
      <w:szCs w:val="20"/>
    </w:rPr>
  </w:style>
  <w:style w:type="character" w:styleId="958" w:customStyle="1">
    <w:name w:val="批注文字 Char"/>
    <w:link w:val="957"/>
    <w:uiPriority w:val="0"/>
    <w:qFormat/>
    <w:rPr>
      <w:rFonts w:ascii="Calibri" w:hAnsi="Calibri" w:eastAsia="宋体" w:cs="Times New Roman"/>
      <w:sz w:val="21"/>
    </w:rPr>
  </w:style>
  <w:style w:type="paragraph" w:styleId="959" w:customStyle="1">
    <w:name w:val="索引 61"/>
    <w:basedOn w:val="730"/>
    <w:next w:val="730"/>
    <w:uiPriority w:val="0"/>
    <w:qFormat/>
    <w:pPr>
      <w:ind w:left="1000"/>
    </w:pPr>
    <w:rPr>
      <w:rFonts w:ascii="Calibri" w:hAnsi="Calibri" w:eastAsia="宋体"/>
      <w:szCs w:val="22"/>
    </w:rPr>
  </w:style>
  <w:style w:type="paragraph" w:styleId="960" w:customStyle="1">
    <w:name w:val="正文文本 31"/>
    <w:basedOn w:val="730"/>
    <w:uiPriority w:val="0"/>
    <w:qFormat/>
    <w:rPr>
      <w:rFonts w:eastAsia="宋体"/>
      <w:color w:val="000000"/>
    </w:rPr>
  </w:style>
  <w:style w:type="paragraph" w:styleId="961" w:customStyle="1">
    <w:name w:val="列表项目符号 31"/>
    <w:basedOn w:val="730"/>
    <w:uiPriority w:val="0"/>
    <w:qFormat/>
    <w:pPr>
      <w:ind w:left="1200" w:hanging="360"/>
      <w:spacing w:line="380" w:lineRule="exact"/>
      <w:tabs>
        <w:tab w:val="left" w:pos="1200" w:leader="none"/>
      </w:tabs>
    </w:pPr>
    <w:rPr>
      <w:rFonts w:ascii="Calibri" w:hAnsi="Calibri" w:eastAsia="宋体"/>
      <w:sz w:val="28"/>
      <w:szCs w:val="22"/>
    </w:rPr>
  </w:style>
  <w:style w:type="paragraph" w:styleId="962" w:customStyle="1">
    <w:name w:val="正文文本11"/>
    <w:basedOn w:val="730"/>
    <w:uiPriority w:val="0"/>
    <w:qFormat/>
    <w:pPr>
      <w:spacing w:line="60" w:lineRule="auto"/>
    </w:pPr>
    <w:rPr>
      <w:rFonts w:ascii="仿宋_GB2312" w:eastAsia="仿宋_GB2312"/>
      <w:sz w:val="32"/>
    </w:rPr>
  </w:style>
  <w:style w:type="paragraph" w:styleId="963" w:customStyle="1">
    <w:name w:val="正文文本缩进1"/>
    <w:basedOn w:val="730"/>
    <w:uiPriority w:val="0"/>
    <w:qFormat/>
    <w:pPr>
      <w:ind w:firstLine="225"/>
    </w:pPr>
    <w:rPr>
      <w:rFonts w:ascii="仿宋_GB2312" w:eastAsia="仿宋_GB2312"/>
      <w:sz w:val="32"/>
    </w:rPr>
  </w:style>
  <w:style w:type="paragraph" w:styleId="964" w:customStyle="1">
    <w:name w:val="文本块1"/>
    <w:basedOn w:val="730"/>
    <w:uiPriority w:val="0"/>
    <w:qFormat/>
    <w:pPr>
      <w:ind w:left="1548" w:right="12" w:hanging="2405"/>
      <w:spacing w:line="360" w:lineRule="exact"/>
    </w:pPr>
    <w:rPr>
      <w:rFonts w:ascii="宋体" w:eastAsia="宋体"/>
      <w:bCs/>
      <w:sz w:val="28"/>
      <w:szCs w:val="22"/>
    </w:rPr>
  </w:style>
  <w:style w:type="paragraph" w:styleId="965" w:customStyle="1">
    <w:name w:val="列表项目符号 21"/>
    <w:basedOn w:val="730"/>
    <w:uiPriority w:val="0"/>
    <w:qFormat/>
    <w:pPr>
      <w:ind w:left="720" w:hanging="360"/>
      <w:spacing w:line="360" w:lineRule="auto"/>
      <w:tabs>
        <w:tab w:val="left" w:pos="720" w:leader="none"/>
      </w:tabs>
    </w:pPr>
    <w:rPr>
      <w:rFonts w:eastAsia="宋体"/>
    </w:rPr>
  </w:style>
  <w:style w:type="paragraph" w:styleId="966" w:customStyle="1">
    <w:name w:val="HTML 地址1"/>
    <w:basedOn w:val="730"/>
    <w:uiPriority w:val="0"/>
    <w:qFormat/>
    <w:rPr>
      <w:rFonts w:eastAsia="宋体"/>
      <w:i/>
      <w:iCs/>
    </w:rPr>
  </w:style>
  <w:style w:type="paragraph" w:styleId="967" w:customStyle="1">
    <w:name w:val="索引 411"/>
    <w:basedOn w:val="730"/>
    <w:next w:val="730"/>
    <w:uiPriority w:val="0"/>
    <w:qFormat/>
    <w:pPr>
      <w:ind w:left="600"/>
    </w:pPr>
    <w:rPr>
      <w:rFonts w:ascii="Calibri" w:hAnsi="Calibri" w:eastAsia="宋体"/>
      <w:szCs w:val="22"/>
    </w:rPr>
  </w:style>
  <w:style w:type="paragraph" w:styleId="968" w:customStyle="1">
    <w:name w:val="目录 51"/>
    <w:basedOn w:val="730"/>
    <w:next w:val="730"/>
    <w:uiPriority w:val="0"/>
    <w:qFormat/>
    <w:pPr>
      <w:ind w:left="840"/>
      <w:jc w:val="left"/>
    </w:pPr>
    <w:rPr>
      <w:rFonts w:ascii="Calibri" w:hAnsi="Calibri" w:eastAsia="宋体" w:cs="Calibri"/>
      <w:sz w:val="18"/>
      <w:szCs w:val="18"/>
    </w:rPr>
  </w:style>
  <w:style w:type="paragraph" w:styleId="969" w:customStyle="1">
    <w:name w:val="目录 31"/>
    <w:basedOn w:val="730"/>
    <w:next w:val="730"/>
    <w:uiPriority w:val="0"/>
    <w:qFormat/>
    <w:pPr>
      <w:ind w:left="420"/>
      <w:jc w:val="left"/>
    </w:pPr>
    <w:rPr>
      <w:rFonts w:ascii="Calibri" w:hAnsi="Calibri" w:eastAsia="宋体" w:cs="Calibri"/>
      <w:i/>
      <w:iCs/>
      <w:sz w:val="20"/>
      <w:szCs w:val="20"/>
    </w:rPr>
  </w:style>
  <w:style w:type="paragraph" w:styleId="970" w:customStyle="1">
    <w:name w:val="纯文本1"/>
    <w:basedOn w:val="730"/>
    <w:link w:val="971"/>
    <w:uiPriority w:val="0"/>
    <w:qFormat/>
    <w:rPr>
      <w:rFonts w:ascii="宋体" w:eastAsia="宋体"/>
      <w:szCs w:val="21"/>
    </w:rPr>
  </w:style>
  <w:style w:type="character" w:styleId="971" w:customStyle="1">
    <w:name w:val="纯文本 Char1"/>
    <w:link w:val="970"/>
    <w:uiPriority w:val="0"/>
    <w:qFormat/>
    <w:rPr>
      <w:rFonts w:ascii="宋体" w:hAnsi="Calibri" w:eastAsia="宋体" w:cs="Times New Roman"/>
      <w:sz w:val="21"/>
      <w:szCs w:val="21"/>
      <w:lang w:val="en-US" w:eastAsia="zh-CN" w:bidi="ar-SA"/>
    </w:rPr>
  </w:style>
  <w:style w:type="paragraph" w:styleId="972" w:customStyle="1">
    <w:name w:val="列表项目符号 51"/>
    <w:basedOn w:val="730"/>
    <w:uiPriority w:val="0"/>
    <w:qFormat/>
    <w:pPr>
      <w:ind w:left="720" w:hanging="360"/>
      <w:spacing w:line="380" w:lineRule="exact"/>
      <w:tabs>
        <w:tab w:val="left" w:pos="720" w:leader="none"/>
      </w:tabs>
    </w:pPr>
    <w:rPr>
      <w:rFonts w:ascii="Calibri" w:hAnsi="Calibri" w:eastAsia="宋体"/>
      <w:sz w:val="28"/>
      <w:szCs w:val="22"/>
    </w:rPr>
  </w:style>
  <w:style w:type="paragraph" w:styleId="973" w:customStyle="1">
    <w:name w:val="目录 81"/>
    <w:basedOn w:val="730"/>
    <w:next w:val="730"/>
    <w:uiPriority w:val="0"/>
    <w:qFormat/>
    <w:pPr>
      <w:ind w:left="1470"/>
      <w:jc w:val="left"/>
    </w:pPr>
    <w:rPr>
      <w:rFonts w:ascii="Calibri" w:hAnsi="Calibri" w:eastAsia="宋体" w:cs="Calibri"/>
      <w:sz w:val="18"/>
      <w:szCs w:val="18"/>
    </w:rPr>
  </w:style>
  <w:style w:type="paragraph" w:styleId="974" w:customStyle="1">
    <w:name w:val="索引 31"/>
    <w:basedOn w:val="730"/>
    <w:next w:val="730"/>
    <w:uiPriority w:val="0"/>
    <w:qFormat/>
    <w:pPr>
      <w:ind w:left="400"/>
    </w:pPr>
    <w:rPr>
      <w:rFonts w:ascii="Calibri" w:hAnsi="Calibri" w:eastAsia="宋体"/>
      <w:szCs w:val="22"/>
    </w:rPr>
  </w:style>
  <w:style w:type="paragraph" w:styleId="975" w:customStyle="1">
    <w:name w:val="日期1"/>
    <w:basedOn w:val="730"/>
    <w:next w:val="730"/>
    <w:uiPriority w:val="0"/>
    <w:qFormat/>
    <w:pPr>
      <w:ind w:left="2500"/>
    </w:pPr>
    <w:rPr>
      <w:rFonts w:eastAsia="宋体"/>
    </w:rPr>
  </w:style>
  <w:style w:type="paragraph" w:styleId="976" w:customStyle="1">
    <w:name w:val="正文文本缩进 21"/>
    <w:basedOn w:val="730"/>
    <w:uiPriority w:val="0"/>
    <w:qFormat/>
    <w:pPr>
      <w:ind w:firstLine="225"/>
      <w:jc w:val="left"/>
      <w:spacing w:line="540" w:lineRule="exact"/>
    </w:pPr>
    <w:rPr>
      <w:rFonts w:ascii="仿宋_GB2312" w:eastAsia="仿宋_GB2312"/>
      <w:sz w:val="32"/>
    </w:rPr>
  </w:style>
  <w:style w:type="paragraph" w:styleId="977" w:customStyle="1">
    <w:name w:val="尾注文本1"/>
    <w:basedOn w:val="730"/>
    <w:uiPriority w:val="0"/>
    <w:qFormat/>
    <w:pPr>
      <w:jc w:val="left"/>
      <w:widowControl/>
    </w:pPr>
    <w:rPr>
      <w:rFonts w:ascii="宋体" w:eastAsia="宋体"/>
      <w:bCs/>
      <w:szCs w:val="21"/>
    </w:rPr>
  </w:style>
  <w:style w:type="paragraph" w:styleId="978" w:customStyle="1">
    <w:name w:val="批注框文本1"/>
    <w:basedOn w:val="730"/>
    <w:uiPriority w:val="0"/>
    <w:qFormat/>
    <w:rPr>
      <w:rFonts w:eastAsia="宋体"/>
      <w:sz w:val="18"/>
      <w:szCs w:val="20"/>
    </w:rPr>
  </w:style>
  <w:style w:type="paragraph" w:styleId="979" w:customStyle="1">
    <w:name w:val="页脚1"/>
    <w:basedOn w:val="730"/>
    <w:uiPriority w:val="0"/>
    <w:qFormat/>
    <w:pPr>
      <w:jc w:val="left"/>
      <w:tabs>
        <w:tab w:val="center" w:pos="4153" w:leader="none"/>
        <w:tab w:val="right" w:pos="8306" w:leader="none"/>
      </w:tabs>
    </w:pPr>
    <w:rPr>
      <w:rFonts w:eastAsia="宋体"/>
      <w:sz w:val="18"/>
      <w:szCs w:val="18"/>
    </w:rPr>
  </w:style>
  <w:style w:type="paragraph" w:styleId="980" w:customStyle="1">
    <w:name w:val="页眉1"/>
    <w:basedOn w:val="73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1" w:customStyle="1">
    <w:name w:val="目录 11"/>
    <w:basedOn w:val="730"/>
    <w:next w:val="730"/>
    <w:uiPriority w:val="0"/>
    <w:qFormat/>
    <w:pPr>
      <w:jc w:val="left"/>
      <w:spacing w:before="120" w:after="120"/>
    </w:pPr>
    <w:rPr>
      <w:rFonts w:ascii="Calibri" w:hAnsi="Calibri" w:eastAsia="宋体" w:cs="Calibri"/>
      <w:b/>
      <w:bCs/>
      <w:caps/>
      <w:sz w:val="20"/>
      <w:szCs w:val="20"/>
    </w:rPr>
  </w:style>
  <w:style w:type="paragraph" w:styleId="982" w:customStyle="1">
    <w:name w:val="目录 41"/>
    <w:basedOn w:val="730"/>
    <w:next w:val="730"/>
    <w:uiPriority w:val="0"/>
    <w:qFormat/>
    <w:pPr>
      <w:ind w:left="630"/>
      <w:jc w:val="left"/>
    </w:pPr>
    <w:rPr>
      <w:rFonts w:ascii="Calibri" w:hAnsi="Calibri" w:eastAsia="宋体" w:cs="Calibri"/>
      <w:sz w:val="18"/>
      <w:szCs w:val="18"/>
    </w:rPr>
  </w:style>
  <w:style w:type="paragraph" w:styleId="983" w:customStyle="1">
    <w:name w:val="索引标题1"/>
    <w:basedOn w:val="730"/>
    <w:next w:val="984"/>
    <w:uiPriority w:val="0"/>
    <w:qFormat/>
    <w:rPr>
      <w:rFonts w:ascii="Calibri" w:hAnsi="Calibri" w:eastAsia="宋体"/>
      <w:szCs w:val="22"/>
    </w:rPr>
  </w:style>
  <w:style w:type="paragraph" w:styleId="984" w:customStyle="1">
    <w:name w:val="索引 11"/>
    <w:basedOn w:val="730"/>
    <w:next w:val="730"/>
    <w:uiPriority w:val="0"/>
    <w:qFormat/>
    <w:rPr>
      <w:rFonts w:ascii="Calibri" w:hAnsi="Calibri" w:eastAsia="宋体"/>
      <w:szCs w:val="22"/>
    </w:rPr>
  </w:style>
  <w:style w:type="paragraph" w:styleId="985" w:customStyle="1">
    <w:name w:val="脚注文本1"/>
    <w:basedOn w:val="730"/>
    <w:uiPriority w:val="0"/>
    <w:qFormat/>
    <w:pPr>
      <w:jc w:val="left"/>
    </w:pPr>
    <w:rPr>
      <w:rFonts w:ascii="宋体" w:eastAsia="宋体"/>
      <w:bCs/>
      <w:sz w:val="18"/>
      <w:szCs w:val="18"/>
    </w:rPr>
  </w:style>
  <w:style w:type="paragraph" w:styleId="986" w:customStyle="1">
    <w:name w:val="目录 61"/>
    <w:basedOn w:val="730"/>
    <w:next w:val="730"/>
    <w:uiPriority w:val="0"/>
    <w:qFormat/>
    <w:pPr>
      <w:ind w:left="1050"/>
      <w:jc w:val="left"/>
    </w:pPr>
    <w:rPr>
      <w:rFonts w:ascii="Calibri" w:hAnsi="Calibri" w:eastAsia="宋体" w:cs="Calibri"/>
      <w:sz w:val="18"/>
      <w:szCs w:val="18"/>
    </w:rPr>
  </w:style>
  <w:style w:type="paragraph" w:styleId="987" w:customStyle="1">
    <w:name w:val="正文文本缩进 31"/>
    <w:basedOn w:val="730"/>
    <w:uiPriority w:val="0"/>
    <w:qFormat/>
    <w:pPr>
      <w:ind w:firstLine="213"/>
    </w:pPr>
    <w:rPr>
      <w:rFonts w:ascii="仿宋_GB2312" w:eastAsia="仿宋_GB2312"/>
      <w:sz w:val="30"/>
    </w:rPr>
  </w:style>
  <w:style w:type="paragraph" w:styleId="988" w:customStyle="1">
    <w:name w:val="索引 71"/>
    <w:basedOn w:val="730"/>
    <w:next w:val="730"/>
    <w:uiPriority w:val="0"/>
    <w:qFormat/>
    <w:pPr>
      <w:ind w:left="1200"/>
    </w:pPr>
    <w:rPr>
      <w:rFonts w:ascii="Calibri" w:hAnsi="Calibri" w:eastAsia="宋体"/>
      <w:szCs w:val="22"/>
    </w:rPr>
  </w:style>
  <w:style w:type="paragraph" w:styleId="989" w:customStyle="1">
    <w:name w:val="索引 91"/>
    <w:basedOn w:val="730"/>
    <w:next w:val="730"/>
    <w:uiPriority w:val="0"/>
    <w:qFormat/>
    <w:pPr>
      <w:ind w:left="1600"/>
    </w:pPr>
    <w:rPr>
      <w:rFonts w:ascii="Calibri" w:hAnsi="Calibri" w:eastAsia="宋体"/>
      <w:szCs w:val="22"/>
    </w:rPr>
  </w:style>
  <w:style w:type="paragraph" w:styleId="990" w:customStyle="1">
    <w:name w:val="图表目录11"/>
    <w:basedOn w:val="730"/>
    <w:next w:val="730"/>
    <w:uiPriority w:val="0"/>
    <w:qFormat/>
    <w:pPr>
      <w:ind w:left="400" w:hanging="200"/>
      <w:jc w:val="left"/>
      <w:widowControl/>
    </w:pPr>
    <w:rPr>
      <w:rFonts w:ascii="宋体" w:eastAsia="宋体"/>
      <w:bCs/>
      <w:szCs w:val="21"/>
    </w:rPr>
  </w:style>
  <w:style w:type="paragraph" w:styleId="991" w:customStyle="1">
    <w:name w:val="目录 21"/>
    <w:basedOn w:val="730"/>
    <w:next w:val="730"/>
    <w:uiPriority w:val="0"/>
    <w:qFormat/>
    <w:pPr>
      <w:ind w:left="210"/>
      <w:jc w:val="left"/>
    </w:pPr>
    <w:rPr>
      <w:rFonts w:ascii="Calibri" w:hAnsi="Calibri" w:eastAsia="宋体" w:cs="Calibri"/>
      <w:smallCaps/>
      <w:sz w:val="20"/>
      <w:szCs w:val="20"/>
    </w:rPr>
  </w:style>
  <w:style w:type="paragraph" w:styleId="992" w:customStyle="1">
    <w:name w:val="目录 91"/>
    <w:basedOn w:val="730"/>
    <w:next w:val="730"/>
    <w:uiPriority w:val="0"/>
    <w:qFormat/>
    <w:pPr>
      <w:ind w:left="1680"/>
      <w:jc w:val="left"/>
    </w:pPr>
    <w:rPr>
      <w:rFonts w:ascii="Calibri" w:hAnsi="Calibri" w:eastAsia="宋体" w:cs="Calibri"/>
      <w:sz w:val="18"/>
      <w:szCs w:val="18"/>
    </w:rPr>
  </w:style>
  <w:style w:type="paragraph" w:styleId="993" w:customStyle="1">
    <w:name w:val="正文文本 21"/>
    <w:basedOn w:val="730"/>
    <w:uiPriority w:val="0"/>
    <w:qFormat/>
    <w:pPr>
      <w:spacing w:line="560" w:lineRule="exact"/>
    </w:pPr>
    <w:rPr>
      <w:rFonts w:ascii="仿宋_GB2312" w:eastAsia="仿宋_GB2312"/>
      <w:sz w:val="28"/>
      <w:szCs w:val="30"/>
    </w:rPr>
  </w:style>
  <w:style w:type="paragraph" w:styleId="994" w:customStyle="1">
    <w:name w:val="列表接续 21"/>
    <w:basedOn w:val="730"/>
    <w:next w:val="982"/>
    <w:uiPriority w:val="0"/>
    <w:qFormat/>
    <w:pPr>
      <w:ind w:left="840"/>
      <w:spacing w:after="120"/>
    </w:pPr>
    <w:rPr>
      <w:rFonts w:eastAsia="宋体"/>
    </w:rPr>
  </w:style>
  <w:style w:type="paragraph" w:styleId="995"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996" w:customStyle="1">
    <w:name w:val="普通(网站)1"/>
    <w:basedOn w:val="730"/>
    <w:uiPriority w:val="0"/>
    <w:qFormat/>
    <w:pPr>
      <w:jc w:val="left"/>
      <w:spacing w:before="100" w:beforeAutospacing="1" w:after="100" w:afterAutospacing="1"/>
      <w:widowControl/>
    </w:pPr>
    <w:rPr>
      <w:rFonts w:ascii="宋体" w:eastAsia="宋体"/>
      <w:szCs w:val="20"/>
    </w:rPr>
  </w:style>
  <w:style w:type="paragraph" w:styleId="997" w:customStyle="1">
    <w:name w:val="索引 21"/>
    <w:basedOn w:val="730"/>
    <w:next w:val="730"/>
    <w:uiPriority w:val="0"/>
    <w:qFormat/>
    <w:pPr>
      <w:ind w:left="200"/>
    </w:pPr>
    <w:rPr>
      <w:rFonts w:ascii="Calibri" w:hAnsi="Calibri" w:eastAsia="宋体"/>
      <w:szCs w:val="22"/>
    </w:rPr>
  </w:style>
  <w:style w:type="paragraph" w:styleId="998" w:customStyle="1">
    <w:name w:val="标题1"/>
    <w:basedOn w:val="730"/>
    <w:uiPriority w:val="0"/>
    <w:qFormat/>
    <w:pPr>
      <w:jc w:val="center"/>
      <w:spacing w:before="240" w:after="60"/>
      <w:outlineLvl w:val="0"/>
    </w:pPr>
    <w:rPr>
      <w:rFonts w:ascii="Cambria" w:hAnsi="Cambria" w:eastAsia="宋体"/>
      <w:b/>
      <w:bCs/>
      <w:sz w:val="32"/>
      <w:szCs w:val="32"/>
    </w:rPr>
  </w:style>
  <w:style w:type="paragraph" w:styleId="999" w:customStyle="1">
    <w:name w:val="批注主题1"/>
    <w:basedOn w:val="957"/>
    <w:next w:val="957"/>
    <w:uiPriority w:val="0"/>
    <w:qFormat/>
    <w:rPr>
      <w:b/>
    </w:rPr>
  </w:style>
  <w:style w:type="paragraph" w:styleId="1000" w:customStyle="1">
    <w:name w:val="正文首行缩进1"/>
    <w:basedOn w:val="962"/>
    <w:uiPriority w:val="0"/>
    <w:qFormat/>
    <w:pPr>
      <w:ind w:firstLine="100"/>
      <w:spacing w:after="120" w:line="240" w:lineRule="auto"/>
    </w:pPr>
    <w:rPr>
      <w:rFonts w:ascii="Times New Roman" w:eastAsia="宋体"/>
      <w:sz w:val="21"/>
    </w:rPr>
  </w:style>
  <w:style w:type="paragraph" w:styleId="1001" w:customStyle="1">
    <w:name w:val="正文首行缩进 21"/>
    <w:basedOn w:val="963"/>
    <w:link w:val="1002"/>
    <w:uiPriority w:val="0"/>
    <w:qFormat/>
    <w:pPr>
      <w:ind w:left="200" w:firstLine="200"/>
      <w:spacing w:after="120"/>
    </w:pPr>
    <w:rPr>
      <w:rFonts w:ascii="Times New Roman" w:eastAsia="宋体"/>
      <w:sz w:val="24"/>
    </w:rPr>
  </w:style>
  <w:style w:type="character" w:styleId="1002" w:customStyle="1">
    <w:name w:val="正文首行缩进 2 Char"/>
    <w:link w:val="1001"/>
    <w:uiPriority w:val="0"/>
    <w:qFormat/>
    <w:rPr>
      <w:rFonts w:ascii="Times New Roman" w:hAnsi="Times New Roman" w:eastAsia="仿宋_GB2312" w:cs="Times New Roman"/>
      <w:sz w:val="24"/>
      <w:szCs w:val="24"/>
      <w:lang w:bidi="ar-SA"/>
    </w:rPr>
  </w:style>
  <w:style w:type="table" w:styleId="1003" w:customStyle="1">
    <w:name w:val="网格型1"/>
    <w:basedOn w:val="942"/>
    <w:uiPriority w:val="0"/>
    <w:qFormat/>
    <w:tblPr/>
  </w:style>
  <w:style w:type="character" w:styleId="1004" w:customStyle="1">
    <w:name w:val="要点1"/>
    <w:uiPriority w:val="0"/>
    <w:qFormat/>
    <w:rPr>
      <w:rFonts w:ascii="Times New Roman" w:hAnsi="Times New Roman" w:eastAsia="宋体" w:cs="Times New Roman"/>
      <w:b/>
    </w:rPr>
  </w:style>
  <w:style w:type="character" w:styleId="1005" w:customStyle="1">
    <w:name w:val="尾注引用1"/>
    <w:uiPriority w:val="0"/>
    <w:qFormat/>
    <w:rPr>
      <w:rFonts w:ascii="Times New Roman" w:hAnsi="Times New Roman" w:eastAsia="宋体" w:cs="Times New Roman"/>
      <w:vertAlign w:val="superscript"/>
    </w:rPr>
  </w:style>
  <w:style w:type="character" w:styleId="1006" w:customStyle="1">
    <w:name w:val="页码1"/>
    <w:basedOn w:val="941"/>
    <w:uiPriority w:val="0"/>
    <w:qFormat/>
    <w:rPr>
      <w:rFonts w:ascii="Times New Roman" w:hAnsi="Times New Roman" w:eastAsia="宋体" w:cs="Times New Roman"/>
    </w:rPr>
  </w:style>
  <w:style w:type="character" w:styleId="1007" w:customStyle="1">
    <w:name w:val="已访问的超链接1"/>
    <w:uiPriority w:val="0"/>
    <w:qFormat/>
    <w:rPr>
      <w:rFonts w:ascii="Times New Roman" w:hAnsi="Times New Roman" w:eastAsia="宋体" w:cs="Times New Roman"/>
      <w:color w:val="800080"/>
      <w:u w:val="single"/>
    </w:rPr>
  </w:style>
  <w:style w:type="character" w:styleId="1008" w:customStyle="1">
    <w:name w:val="强调1"/>
    <w:uiPriority w:val="0"/>
    <w:qFormat/>
    <w:rPr>
      <w:rFonts w:ascii="Times New Roman" w:hAnsi="Times New Roman" w:eastAsia="宋体" w:cs="Times New Roman"/>
      <w:color w:val="cc0033"/>
    </w:rPr>
  </w:style>
  <w:style w:type="character" w:styleId="1009" w:customStyle="1">
    <w:name w:val="HTML 打字机1"/>
    <w:uiPriority w:val="0"/>
    <w:qFormat/>
    <w:rPr>
      <w:rFonts w:ascii="宋体" w:hAnsi="Times New Roman" w:eastAsia="宋体" w:cs="宋体"/>
      <w:sz w:val="24"/>
      <w:szCs w:val="24"/>
      <w:lang w:bidi="ar-SA"/>
    </w:rPr>
  </w:style>
  <w:style w:type="character" w:styleId="1010" w:customStyle="1">
    <w:name w:val="超链接1"/>
    <w:uiPriority w:val="0"/>
    <w:qFormat/>
    <w:rPr>
      <w:rFonts w:ascii="Times New Roman" w:hAnsi="Times New Roman" w:eastAsia="宋体" w:cs="Times New Roman"/>
      <w:color w:val="0000ff"/>
      <w:u w:val="single"/>
    </w:rPr>
  </w:style>
  <w:style w:type="character" w:styleId="1011" w:customStyle="1">
    <w:name w:val="批注引用1"/>
    <w:uiPriority w:val="0"/>
    <w:qFormat/>
    <w:rPr>
      <w:rFonts w:ascii="Times New Roman" w:hAnsi="Times New Roman" w:eastAsia="宋体" w:cs="Times New Roman"/>
      <w:sz w:val="21"/>
    </w:rPr>
  </w:style>
  <w:style w:type="character" w:styleId="1012" w:customStyle="1">
    <w:name w:val="脚注引用1"/>
    <w:uiPriority w:val="0"/>
    <w:qFormat/>
    <w:rPr>
      <w:rFonts w:ascii="Times New Roman" w:hAnsi="Times New Roman" w:eastAsia="宋体" w:cs="Times New Roman"/>
      <w:vertAlign w:val="superscript"/>
    </w:rPr>
  </w:style>
  <w:style w:type="paragraph" w:styleId="1013" w:customStyle="1">
    <w:name w:val="标题二、"/>
    <w:basedOn w:val="730"/>
    <w:uiPriority w:val="0"/>
    <w:qFormat/>
    <w:pPr>
      <w:ind w:firstLine="200"/>
      <w:spacing w:line="360" w:lineRule="auto"/>
      <w:outlineLvl w:val="2"/>
    </w:pPr>
    <w:rPr>
      <w:rFonts w:ascii="宋体" w:hAnsi="宋体" w:eastAsia="微软雅黑"/>
      <w:b/>
      <w:szCs w:val="21"/>
    </w:rPr>
  </w:style>
  <w:style w:type="paragraph" w:styleId="1014" w:customStyle="1">
    <w:name w:val="Normal_0"/>
    <w:uiPriority w:val="0"/>
    <w:qFormat/>
    <w:rPr>
      <w:rFonts w:ascii="黑体" w:hAnsi="黑体" w:eastAsia="黑体" w:cs="Times New Roman"/>
      <w:b/>
      <w:sz w:val="32"/>
      <w:szCs w:val="24"/>
      <w:lang w:val="en-US" w:eastAsia="zh-CN" w:bidi="ar-SA"/>
    </w:rPr>
  </w:style>
  <w:style w:type="paragraph" w:styleId="1015" w:customStyle="1">
    <w:name w:val="索引 41"/>
    <w:basedOn w:val="730"/>
    <w:next w:val="730"/>
    <w:uiPriority w:val="0"/>
    <w:qFormat/>
    <w:pPr>
      <w:ind w:left="600"/>
    </w:pPr>
    <w:rPr>
      <w:rFonts w:ascii="Verdana" w:hAnsi="Verdana" w:eastAsia="宋体"/>
      <w:szCs w:val="20"/>
    </w:rPr>
  </w:style>
  <w:style w:type="paragraph" w:styleId="1016" w:customStyle="1">
    <w:name w:val="列出段落1"/>
    <w:basedOn w:val="730"/>
    <w:uiPriority w:val="0"/>
    <w:qFormat/>
    <w:pPr>
      <w:ind w:firstLine="420"/>
    </w:pPr>
    <w:rPr>
      <w:rFonts w:eastAsia="宋体"/>
    </w:rPr>
  </w:style>
  <w:style w:type="character" w:styleId="1017" w:customStyle="1">
    <w:name w:val="fontstyle01"/>
    <w:uiPriority w:val="0"/>
    <w:qFormat/>
    <w:rPr>
      <w:rFonts w:hint="eastAsia" w:ascii="宋体" w:hAnsi="宋体" w:eastAsia="宋体" w:cs="Times New Roman"/>
      <w:color w:val="000000"/>
      <w:sz w:val="24"/>
      <w:szCs w:val="24"/>
    </w:rPr>
  </w:style>
  <w:style w:type="paragraph" w:styleId="1018" w:customStyle="1">
    <w:name w:val="Normal_0_3"/>
    <w:uiPriority w:val="0"/>
    <w:qFormat/>
    <w:rPr>
      <w:rFonts w:ascii="黑体" w:hAnsi="黑体" w:eastAsia="黑体" w:cs="黑体"/>
      <w:b/>
      <w:sz w:val="32"/>
      <w:szCs w:val="24"/>
      <w:lang w:val="en-US" w:eastAsia="zh-CN" w:bidi="ar-SA"/>
    </w:rPr>
  </w:style>
  <w:style w:type="paragraph" w:styleId="1019"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0"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1" w:customStyle="1">
    <w:name w:val="Normal_1_2"/>
    <w:uiPriority w:val="0"/>
    <w:qFormat/>
    <w:rPr>
      <w:rFonts w:ascii="Times New Roman" w:hAnsi="Times New Roman" w:eastAsia="Times New Roman" w:cs="Times New Roman"/>
      <w:sz w:val="24"/>
      <w:szCs w:val="24"/>
      <w:lang w:val="en-US" w:eastAsia="zh-CN" w:bidi="ar-SA"/>
    </w:rPr>
  </w:style>
  <w:style w:type="paragraph" w:styleId="1022" w:customStyle="1">
    <w:name w:val="Normal_0_1"/>
    <w:uiPriority w:val="0"/>
    <w:qFormat/>
    <w:rPr>
      <w:rFonts w:ascii="黑体" w:hAnsi="黑体" w:eastAsia="黑体" w:cs="黑体"/>
      <w:b/>
      <w:sz w:val="32"/>
      <w:szCs w:val="24"/>
      <w:lang w:val="en-US" w:eastAsia="zh-CN" w:bidi="ar-SA"/>
    </w:rPr>
  </w:style>
  <w:style w:type="paragraph" w:styleId="1023"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24" w:customStyle="1">
    <w:name w:val="Normal_2_0"/>
    <w:uiPriority w:val="0"/>
    <w:qFormat/>
    <w:rPr>
      <w:rFonts w:ascii="黑体" w:hAnsi="黑体" w:eastAsia="黑体" w:cs="黑体"/>
      <w:b/>
      <w:sz w:val="32"/>
      <w:szCs w:val="24"/>
      <w:lang w:val="en-US" w:eastAsia="zh-CN" w:bidi="ar-SA"/>
    </w:rPr>
  </w:style>
  <w:style w:type="paragraph" w:styleId="1025"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26"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27"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28"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29" w:customStyle="1">
    <w:name w:val="Normal_3_0"/>
    <w:uiPriority w:val="0"/>
    <w:qFormat/>
    <w:rPr>
      <w:rFonts w:ascii="黑体" w:hAnsi="黑体" w:eastAsia="黑体" w:cs="黑体"/>
      <w:b/>
      <w:sz w:val="32"/>
      <w:szCs w:val="24"/>
      <w:lang w:val="en-US" w:eastAsia="zh-CN" w:bidi="ar-SA"/>
    </w:rPr>
  </w:style>
  <w:style w:type="paragraph" w:styleId="1030"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1"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3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33"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34"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35" w:customStyle="1">
    <w:name w:val="纯文本 Char_0_0"/>
    <w:link w:val="1036"/>
    <w:uiPriority w:val="0"/>
    <w:qFormat/>
    <w:rPr>
      <w:rFonts w:ascii="宋体" w:hAnsi="Courier New" w:eastAsia="宋体" w:cs="Times New Roman"/>
      <w:sz w:val="21"/>
      <w:szCs w:val="21"/>
    </w:rPr>
  </w:style>
  <w:style w:type="paragraph" w:styleId="1036" w:customStyle="1">
    <w:name w:val="纯文本_0_0"/>
    <w:basedOn w:val="1034"/>
    <w:link w:val="1035"/>
    <w:uiPriority w:val="0"/>
    <w:qFormat/>
    <w:rPr>
      <w:rFonts w:ascii="宋体" w:hAnsi="Courier New"/>
      <w:szCs w:val="21"/>
    </w:rPr>
  </w:style>
  <w:style w:type="paragraph" w:styleId="1037"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Normal_3_0_0"/>
    <w:uiPriority w:val="0"/>
    <w:qFormat/>
    <w:rPr>
      <w:rFonts w:ascii="黑体" w:hAnsi="黑体" w:eastAsia="黑体" w:cs="Times New Roman"/>
      <w:b/>
      <w:sz w:val="32"/>
      <w:szCs w:val="24"/>
      <w:lang w:val="en-US" w:eastAsia="zh-CN" w:bidi="ar-SA"/>
    </w:rPr>
  </w:style>
  <w:style w:type="paragraph" w:styleId="1039" w:customStyle="1">
    <w:name w:val="Normal_9_0"/>
    <w:uiPriority w:val="0"/>
    <w:qFormat/>
    <w:rPr>
      <w:rFonts w:ascii="Times New Roman" w:hAnsi="Times New Roman" w:eastAsia="Times New Roman" w:cs="Times New Roman"/>
      <w:sz w:val="24"/>
      <w:szCs w:val="24"/>
      <w:lang w:val="en-US" w:eastAsia="zh-CN" w:bidi="ar-SA"/>
    </w:rPr>
  </w:style>
  <w:style w:type="paragraph" w:styleId="1040"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1" w:customStyle="1">
    <w:name w:val="Normal_8_0"/>
    <w:uiPriority w:val="0"/>
    <w:qFormat/>
    <w:rPr>
      <w:rFonts w:ascii="黑体" w:hAnsi="黑体" w:eastAsia="黑体" w:cs="黑体"/>
      <w:b/>
      <w:sz w:val="32"/>
      <w:szCs w:val="24"/>
      <w:lang w:val="en-US" w:eastAsia="zh-CN" w:bidi="ar-SA"/>
    </w:rPr>
  </w:style>
  <w:style w:type="paragraph" w:styleId="1042" w:customStyle="1">
    <w:name w:val="Normal_12_0"/>
    <w:uiPriority w:val="0"/>
    <w:qFormat/>
    <w:rPr>
      <w:rFonts w:ascii="黑体" w:hAnsi="黑体" w:eastAsia="黑体" w:cs="黑体"/>
      <w:b/>
      <w:sz w:val="32"/>
      <w:szCs w:val="24"/>
      <w:lang w:val="en-US" w:eastAsia="zh-CN" w:bidi="ar-SA"/>
    </w:rPr>
  </w:style>
  <w:style w:type="paragraph" w:styleId="1043"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44" w:customStyle="1">
    <w:name w:val="正文缩进 Char1_0_0"/>
    <w:link w:val="1045"/>
    <w:uiPriority w:val="0"/>
    <w:qFormat/>
    <w:rPr>
      <w:rFonts w:ascii="Times New Roman" w:hAnsi="Times New Roman" w:eastAsia="宋体" w:cs="Times New Roman"/>
      <w:sz w:val="21"/>
      <w:szCs w:val="22"/>
    </w:rPr>
  </w:style>
  <w:style w:type="paragraph" w:styleId="1045" w:customStyle="1">
    <w:name w:val="正文缩进_0_0"/>
    <w:basedOn w:val="1043"/>
    <w:link w:val="1044"/>
    <w:uiPriority w:val="0"/>
    <w:qFormat/>
    <w:pPr>
      <w:ind w:firstLine="420"/>
    </w:pPr>
    <w:rPr>
      <w:rFonts w:ascii="Calibri" w:hAnsi="Calibri"/>
      <w:szCs w:val="22"/>
    </w:rPr>
  </w:style>
  <w:style w:type="paragraph" w:styleId="1046"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47" w:customStyle="1">
    <w:name w:val="Normal_14_0"/>
    <w:uiPriority w:val="0"/>
    <w:qFormat/>
    <w:rPr>
      <w:rFonts w:ascii="黑体" w:hAnsi="黑体" w:eastAsia="黑体" w:cs="黑体"/>
      <w:b/>
      <w:sz w:val="32"/>
      <w:szCs w:val="24"/>
      <w:lang w:val="en-US" w:eastAsia="zh-CN" w:bidi="ar-SA"/>
    </w:rPr>
  </w:style>
  <w:style w:type="paragraph" w:styleId="104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49"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0" w:customStyle="1">
    <w:name w:val="Normal_15_0"/>
    <w:uiPriority w:val="0"/>
    <w:qFormat/>
    <w:rPr>
      <w:rFonts w:ascii="黑体" w:hAnsi="黑体" w:eastAsia="黑体" w:cs="黑体"/>
      <w:b/>
      <w:sz w:val="32"/>
      <w:szCs w:val="24"/>
      <w:lang w:val="en-US" w:eastAsia="zh-CN" w:bidi="ar-SA"/>
    </w:rPr>
  </w:style>
  <w:style w:type="paragraph" w:styleId="1051"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52" w:customStyle="1">
    <w:name w:val="Normal_17_0"/>
    <w:uiPriority w:val="0"/>
    <w:qFormat/>
    <w:rPr>
      <w:rFonts w:ascii="黑体" w:hAnsi="黑体" w:eastAsia="黑体" w:cs="黑体"/>
      <w:b/>
      <w:sz w:val="32"/>
      <w:szCs w:val="24"/>
      <w:lang w:val="en-US" w:eastAsia="zh-CN" w:bidi="ar-SA"/>
    </w:rPr>
  </w:style>
  <w:style w:type="paragraph" w:styleId="1053"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54"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Normal_14_0_0"/>
    <w:uiPriority w:val="0"/>
    <w:qFormat/>
    <w:rPr>
      <w:rFonts w:ascii="黑体" w:hAnsi="黑体" w:eastAsia="黑体" w:cs="Times New Roman"/>
      <w:b/>
      <w:sz w:val="32"/>
      <w:szCs w:val="24"/>
      <w:lang w:val="en-US" w:eastAsia="zh-CN" w:bidi="ar-SA"/>
    </w:rPr>
  </w:style>
  <w:style w:type="paragraph" w:styleId="1056"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57" w:customStyle="1">
    <w:name w:val="Normal_18_0"/>
    <w:uiPriority w:val="0"/>
    <w:qFormat/>
    <w:rPr>
      <w:rFonts w:ascii="黑体" w:hAnsi="黑体" w:eastAsia="黑体" w:cs="黑体"/>
      <w:b/>
      <w:sz w:val="32"/>
      <w:szCs w:val="24"/>
      <w:lang w:val="en-US" w:eastAsia="zh-CN" w:bidi="ar-SA"/>
    </w:rPr>
  </w:style>
  <w:style w:type="paragraph" w:styleId="105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5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1" w:customStyle="1">
    <w:name w:val="正文文本1"/>
    <w:basedOn w:val="730"/>
    <w:next w:val="1060"/>
    <w:uiPriority w:val="0"/>
    <w:qFormat/>
    <w:pPr>
      <w:spacing w:before="120" w:line="22" w:lineRule="atLeast"/>
      <w:tabs>
        <w:tab w:val="left" w:pos="567" w:leader="none"/>
      </w:tabs>
    </w:pPr>
    <w:rPr>
      <w:rFonts w:ascii="宋体" w:hAnsi="宋体" w:eastAsia="宋体" w:cs="宋体"/>
    </w:rPr>
  </w:style>
  <w:style w:type="character" w:styleId="1062" w:customStyle="1">
    <w:name w:val="正文（标记） Char2"/>
    <w:link w:val="1063"/>
    <w:uiPriority w:val="0"/>
    <w:qFormat/>
    <w:rPr>
      <w:rFonts w:ascii="Times New Roman" w:hAnsi="Times New Roman" w:eastAsia="宋体" w:cs="Times New Roman"/>
      <w:sz w:val="24"/>
      <w:szCs w:val="24"/>
    </w:rPr>
  </w:style>
  <w:style w:type="paragraph" w:styleId="1063" w:customStyle="1">
    <w:name w:val="正文（标记）"/>
    <w:basedOn w:val="730"/>
    <w:link w:val="1062"/>
    <w:uiPriority w:val="0"/>
    <w:qFormat/>
    <w:pPr>
      <w:spacing w:before="50" w:after="50"/>
      <w:tabs>
        <w:tab w:val="left" w:pos="0" w:leader="none"/>
        <w:tab w:val="left" w:pos="840" w:leader="none"/>
      </w:tabs>
    </w:pPr>
    <w:rPr>
      <w:rFonts w:eastAsia="宋体"/>
    </w:rPr>
  </w:style>
  <w:style w:type="character" w:styleId="1064" w:customStyle="1">
    <w:name w:val="Char Char2"/>
    <w:uiPriority w:val="0"/>
    <w:qFormat/>
    <w:rPr>
      <w:rFonts w:ascii="Times New Roman" w:hAnsi="Times New Roman" w:eastAsia="宋体" w:cs="Times New Roman"/>
      <w:sz w:val="18"/>
      <w:szCs w:val="18"/>
    </w:rPr>
  </w:style>
  <w:style w:type="character" w:styleId="1065" w:customStyle="1">
    <w:name w:val="maywed421"/>
    <w:uiPriority w:val="0"/>
    <w:qFormat/>
    <w:rPr>
      <w:rFonts w:ascii="Times New Roman" w:hAnsi="Times New Roman" w:eastAsia="宋体" w:cs="Times New Roman"/>
      <w:color w:val="366fb6"/>
      <w:u w:val="none"/>
    </w:rPr>
  </w:style>
  <w:style w:type="paragraph" w:styleId="1066"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67"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68" w:customStyle="1">
    <w:name w:val="Comment Text Char"/>
    <w:uiPriority w:val="0"/>
    <w:qFormat/>
    <w:rPr>
      <w:rFonts w:ascii="Times New Roman" w:hAnsi="Times New Roman" w:eastAsia="宋体" w:cs="Times New Roman"/>
      <w:sz w:val="21"/>
      <w:szCs w:val="21"/>
      <w:lang w:bidi="ar-SA"/>
    </w:rPr>
  </w:style>
  <w:style w:type="character" w:styleId="1069" w:customStyle="1">
    <w:name w:val="Footer Char"/>
    <w:uiPriority w:val="0"/>
    <w:qFormat/>
    <w:rPr>
      <w:rFonts w:ascii="Times New Roman" w:hAnsi="Times New Roman" w:eastAsia="宋体" w:cs="Times New Roman"/>
      <w:sz w:val="18"/>
      <w:lang w:val="en-US" w:eastAsia="zh-CN"/>
    </w:rPr>
  </w:style>
  <w:style w:type="character" w:styleId="1070" w:customStyle="1">
    <w:name w:val="ca-41"/>
    <w:uiPriority w:val="0"/>
    <w:qFormat/>
    <w:rPr>
      <w:rFonts w:ascii="宋体" w:hAnsi="Times New Roman" w:eastAsia="宋体" w:cs="Times New Roman"/>
      <w:b/>
      <w:bCs/>
      <w:color w:val="000000"/>
      <w:spacing w:val="-20"/>
      <w:sz w:val="21"/>
      <w:szCs w:val="21"/>
    </w:rPr>
  </w:style>
  <w:style w:type="character" w:styleId="1071" w:customStyle="1">
    <w:name w:val="ca-1"/>
    <w:basedOn w:val="941"/>
    <w:uiPriority w:val="0"/>
    <w:qFormat/>
    <w:rPr>
      <w:rFonts w:ascii="Times New Roman" w:hAnsi="Times New Roman" w:eastAsia="宋体" w:cs="Times New Roman"/>
    </w:rPr>
  </w:style>
  <w:style w:type="character" w:styleId="1072" w:customStyle="1">
    <w:name w:val="Plain Text Char"/>
    <w:uiPriority w:val="0"/>
    <w:qFormat/>
    <w:rPr>
      <w:rFonts w:ascii="宋体" w:hAnsi="Times New Roman" w:eastAsia="宋体" w:cs="Times New Roman"/>
      <w:sz w:val="21"/>
      <w:lang w:val="en-US" w:eastAsia="zh-CN"/>
    </w:rPr>
  </w:style>
  <w:style w:type="character" w:styleId="1073" w:customStyle="1">
    <w:name w:val="Header Char"/>
    <w:uiPriority w:val="0"/>
    <w:qFormat/>
    <w:rPr>
      <w:rFonts w:ascii="Times New Roman" w:hAnsi="Times New Roman" w:eastAsia="宋体" w:cs="Times New Roman"/>
      <w:sz w:val="18"/>
      <w:lang w:val="en-US" w:eastAsia="zh-CN"/>
    </w:rPr>
  </w:style>
  <w:style w:type="character" w:styleId="1074" w:customStyle="1">
    <w:name w:val="marklong"/>
    <w:basedOn w:val="941"/>
    <w:uiPriority w:val="0"/>
    <w:qFormat/>
    <w:rPr>
      <w:rFonts w:ascii="Times New Roman" w:hAnsi="Times New Roman" w:eastAsia="宋体" w:cs="Times New Roman"/>
    </w:rPr>
  </w:style>
  <w:style w:type="character" w:styleId="1075" w:customStyle="1">
    <w:name w:val="普通文字1 Char"/>
    <w:uiPriority w:val="0"/>
    <w:qFormat/>
    <w:rPr>
      <w:rFonts w:ascii="宋体" w:hAnsi="Times New Roman" w:eastAsia="宋体" w:cs="Courier New"/>
      <w:sz w:val="21"/>
      <w:szCs w:val="21"/>
      <w:lang w:val="en-US" w:eastAsia="zh-CN" w:bidi="ar-SA"/>
    </w:rPr>
  </w:style>
  <w:style w:type="character" w:styleId="1076" w:customStyle="1">
    <w:name w:val="ca-21"/>
    <w:uiPriority w:val="0"/>
    <w:qFormat/>
    <w:rPr>
      <w:rFonts w:ascii="宋体" w:hAnsi="Times New Roman" w:eastAsia="宋体" w:cs="Times New Roman"/>
      <w:sz w:val="21"/>
    </w:rPr>
  </w:style>
  <w:style w:type="paragraph" w:styleId="1077" w:customStyle="1">
    <w:name w:val="正文（缩进）"/>
    <w:basedOn w:val="730"/>
    <w:uiPriority w:val="0"/>
    <w:qFormat/>
    <w:pPr>
      <w:ind w:firstLine="200"/>
      <w:spacing w:before="50" w:after="50" w:line="360" w:lineRule="auto"/>
    </w:pPr>
    <w:rPr>
      <w:rFonts w:eastAsia="宋体"/>
    </w:rPr>
  </w:style>
  <w:style w:type="character" w:styleId="1078" w:customStyle="1">
    <w:name w:val="Heading 3 Char"/>
    <w:uiPriority w:val="0"/>
    <w:qFormat/>
    <w:rPr>
      <w:rFonts w:ascii="Times New Roman" w:hAnsi="Times New Roman" w:eastAsia="宋体" w:cs="Times New Roman"/>
      <w:b/>
      <w:bCs/>
      <w:sz w:val="32"/>
      <w:szCs w:val="32"/>
      <w:lang w:bidi="ar-SA"/>
    </w:rPr>
  </w:style>
  <w:style w:type="character" w:styleId="1079" w:customStyle="1">
    <w:name w:val="z12 style23"/>
    <w:basedOn w:val="941"/>
    <w:uiPriority w:val="0"/>
    <w:qFormat/>
    <w:rPr>
      <w:rFonts w:ascii="Times New Roman" w:hAnsi="Times New Roman" w:eastAsia="宋体" w:cs="Times New Roman"/>
    </w:rPr>
  </w:style>
  <w:style w:type="paragraph" w:styleId="1080" w:customStyle="1">
    <w:name w:val="Indent Normal"/>
    <w:basedOn w:val="730"/>
    <w:uiPriority w:val="0"/>
    <w:qFormat/>
    <w:pPr>
      <w:ind w:firstLine="150"/>
    </w:pPr>
    <w:rPr>
      <w:rFonts w:eastAsia="宋体"/>
      <w:szCs w:val="20"/>
    </w:rPr>
  </w:style>
  <w:style w:type="character" w:styleId="1081" w:customStyle="1">
    <w:name w:val="Char Char21"/>
    <w:uiPriority w:val="0"/>
    <w:qFormat/>
    <w:rPr>
      <w:rFonts w:ascii="Times New Roman" w:hAnsi="Times New Roman" w:eastAsia="宋体" w:cs="Times New Roman"/>
      <w:sz w:val="18"/>
      <w:szCs w:val="18"/>
    </w:rPr>
  </w:style>
  <w:style w:type="character" w:styleId="1082" w:customStyle="1">
    <w:name w:val="ca-31"/>
    <w:uiPriority w:val="0"/>
    <w:qFormat/>
    <w:rPr>
      <w:rFonts w:ascii="宋体" w:hAnsi="Times New Roman" w:eastAsia="宋体" w:cs="Times New Roman"/>
      <w:color w:val="000000"/>
      <w:sz w:val="21"/>
      <w:szCs w:val="21"/>
    </w:rPr>
  </w:style>
  <w:style w:type="character" w:styleId="1083" w:customStyle="1">
    <w:name w:val="apple-converted-space"/>
    <w:basedOn w:val="941"/>
    <w:uiPriority w:val="0"/>
    <w:qFormat/>
    <w:rPr>
      <w:rFonts w:ascii="Times New Roman" w:hAnsi="Times New Roman" w:eastAsia="宋体" w:cs="Times New Roman"/>
    </w:rPr>
  </w:style>
  <w:style w:type="character" w:styleId="1084" w:customStyle="1">
    <w:name w:val="Char Char1"/>
    <w:uiPriority w:val="0"/>
    <w:qFormat/>
    <w:rPr>
      <w:rFonts w:ascii="宋体" w:hAnsi="Times New Roman" w:eastAsia="宋体" w:cs="Times New Roman"/>
      <w:sz w:val="21"/>
      <w:lang w:val="en-US" w:eastAsia="zh-CN"/>
    </w:rPr>
  </w:style>
  <w:style w:type="character" w:styleId="1085" w:customStyle="1">
    <w:name w:val="font21"/>
    <w:uiPriority w:val="0"/>
    <w:qFormat/>
    <w:rPr>
      <w:rFonts w:ascii="Times New Roman" w:hAnsi="Times New Roman" w:eastAsia="宋体" w:cs="Times New Roman"/>
      <w:color w:val="000000"/>
      <w:sz w:val="20"/>
      <w:u w:val="none"/>
    </w:rPr>
  </w:style>
  <w:style w:type="character" w:styleId="1086" w:customStyle="1">
    <w:name w:val="ca-01"/>
    <w:uiPriority w:val="0"/>
    <w:qFormat/>
    <w:rPr>
      <w:rFonts w:ascii="宋体" w:hAnsi="Times New Roman" w:eastAsia="宋体" w:cs="Times New Roman"/>
      <w:b/>
      <w:bCs/>
      <w:spacing w:val="-20"/>
      <w:sz w:val="24"/>
      <w:szCs w:val="24"/>
    </w:rPr>
  </w:style>
  <w:style w:type="character" w:styleId="1087" w:customStyle="1">
    <w:name w:val="Char Char23"/>
    <w:uiPriority w:val="0"/>
    <w:qFormat/>
    <w:rPr>
      <w:rFonts w:ascii="Times New Roman" w:hAnsi="Times New Roman" w:eastAsia="宋体" w:cs="Times New Roman"/>
      <w:sz w:val="24"/>
      <w:szCs w:val="21"/>
      <w:lang w:bidi="ar-SA"/>
    </w:rPr>
  </w:style>
  <w:style w:type="character" w:styleId="1088" w:customStyle="1">
    <w:name w:val="Char Char"/>
    <w:uiPriority w:val="0"/>
    <w:qFormat/>
    <w:rPr>
      <w:rFonts w:ascii="Times New Roman" w:hAnsi="Times New Roman" w:eastAsia="宋体" w:cs="Times New Roman"/>
      <w:sz w:val="18"/>
      <w:lang w:val="en-US" w:eastAsia="zh-CN"/>
    </w:rPr>
  </w:style>
  <w:style w:type="character" w:styleId="1089" w:customStyle="1">
    <w:name w:val="Char Char3"/>
    <w:uiPriority w:val="0"/>
    <w:qFormat/>
    <w:rPr>
      <w:rFonts w:ascii="宋体" w:hAnsi="Times New Roman" w:eastAsia="宋体" w:cs="Times New Roman"/>
      <w:sz w:val="18"/>
      <w:szCs w:val="18"/>
      <w:lang w:val="en-US" w:eastAsia="zh-CN" w:bidi="ar-SA"/>
    </w:rPr>
  </w:style>
  <w:style w:type="paragraph" w:styleId="1090"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1" w:customStyle="1">
    <w:name w:val="Heading 4 Char"/>
    <w:uiPriority w:val="0"/>
    <w:qFormat/>
    <w:rPr>
      <w:rFonts w:ascii="Cambria" w:hAnsi="Cambria" w:eastAsia="宋体" w:cs="Cambria"/>
      <w:b/>
      <w:bCs/>
      <w:sz w:val="28"/>
      <w:szCs w:val="28"/>
      <w:lang w:bidi="ar-SA"/>
    </w:rPr>
  </w:style>
  <w:style w:type="character" w:styleId="1092" w:customStyle="1">
    <w:name w:val="Header Char1"/>
    <w:uiPriority w:val="0"/>
    <w:qFormat/>
    <w:rPr>
      <w:rFonts w:ascii="Times New Roman" w:hAnsi="Times New Roman" w:eastAsia="宋体" w:cs="Times New Roman"/>
      <w:sz w:val="18"/>
      <w:szCs w:val="18"/>
      <w:lang w:bidi="ar-SA"/>
    </w:rPr>
  </w:style>
  <w:style w:type="character" w:styleId="1093" w:customStyle="1">
    <w:name w:val="Footer Char1"/>
    <w:uiPriority w:val="0"/>
    <w:qFormat/>
    <w:rPr>
      <w:rFonts w:ascii="Times New Roman" w:hAnsi="Times New Roman" w:eastAsia="宋体" w:cs="Times New Roman"/>
      <w:sz w:val="18"/>
      <w:szCs w:val="18"/>
      <w:lang w:bidi="ar-SA"/>
    </w:rPr>
  </w:style>
  <w:style w:type="character" w:styleId="1094" w:customStyle="1">
    <w:name w:val="wj1"/>
    <w:uiPriority w:val="0"/>
    <w:qFormat/>
    <w:rPr>
      <w:rFonts w:ascii="Times New Roman" w:hAnsi="Times New Roman" w:eastAsia="宋体" w:cs="Times New Roman"/>
      <w:color w:val="000000"/>
      <w:sz w:val="18"/>
      <w:szCs w:val="18"/>
      <w:u w:val="none"/>
    </w:rPr>
  </w:style>
  <w:style w:type="character" w:styleId="1095" w:customStyle="1">
    <w:name w:val="ca-11"/>
    <w:uiPriority w:val="0"/>
    <w:qFormat/>
    <w:rPr>
      <w:rFonts w:ascii="宋体" w:hAnsi="Times New Roman" w:eastAsia="宋体" w:cs="Times New Roman"/>
      <w:b/>
      <w:bCs/>
      <w:color w:val="000000"/>
      <w:spacing w:val="-20"/>
      <w:sz w:val="28"/>
      <w:szCs w:val="28"/>
    </w:rPr>
  </w:style>
  <w:style w:type="paragraph" w:styleId="1096"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97" w:customStyle="1">
    <w:name w:val="Plain Text Char1"/>
    <w:uiPriority w:val="0"/>
    <w:qFormat/>
    <w:rPr>
      <w:rFonts w:ascii="宋体" w:hAnsi="Times New Roman" w:eastAsia="宋体" w:cs="Times New Roman"/>
      <w:sz w:val="21"/>
      <w:szCs w:val="21"/>
      <w:lang w:val="en-US" w:eastAsia="zh-CN" w:bidi="ar-SA"/>
    </w:rPr>
  </w:style>
  <w:style w:type="character" w:styleId="1098" w:customStyle="1">
    <w:name w:val="段落 Char"/>
    <w:uiPriority w:val="0"/>
    <w:qFormat/>
    <w:rPr>
      <w:rFonts w:ascii="仿宋_GB2312" w:hAnsi="Times New Roman" w:eastAsia="仿宋_GB2312" w:cs="Times New Roman"/>
      <w:sz w:val="24"/>
      <w:szCs w:val="24"/>
      <w:lang w:val="en-US" w:eastAsia="zh-CN" w:bidi="ar-SA"/>
    </w:rPr>
  </w:style>
  <w:style w:type="character" w:styleId="1099" w:customStyle="1">
    <w:name w:val="Heading 2 Char"/>
    <w:uiPriority w:val="0"/>
    <w:qFormat/>
    <w:rPr>
      <w:rFonts w:ascii="Arial" w:hAnsi="Arial" w:eastAsia="黑体" w:cs="Times New Roman"/>
      <w:b/>
      <w:bCs/>
      <w:sz w:val="32"/>
      <w:szCs w:val="32"/>
      <w:lang w:val="en-US" w:eastAsia="zh-CN" w:bidi="ar-SA"/>
    </w:rPr>
  </w:style>
  <w:style w:type="paragraph" w:styleId="1100"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1" w:customStyle="1">
    <w:name w:val="Char Char31"/>
    <w:uiPriority w:val="0"/>
    <w:qFormat/>
    <w:rPr>
      <w:rFonts w:ascii="Arial" w:hAnsi="Arial" w:eastAsia="黑体" w:cs="Times New Roman"/>
      <w:b/>
      <w:bCs/>
      <w:sz w:val="32"/>
      <w:szCs w:val="32"/>
      <w:lang w:val="en-US" w:eastAsia="zh-CN" w:bidi="ar-SA"/>
    </w:rPr>
  </w:style>
  <w:style w:type="paragraph" w:styleId="1102" w:customStyle="1">
    <w:name w:val="正文（黑体）"/>
    <w:basedOn w:val="730"/>
    <w:next w:val="730"/>
    <w:uiPriority w:val="0"/>
    <w:qFormat/>
    <w:pPr>
      <w:ind w:firstLine="200"/>
      <w:spacing w:before="50" w:after="50" w:line="360" w:lineRule="auto"/>
    </w:pPr>
    <w:rPr>
      <w:rFonts w:ascii="黑体" w:eastAsia="黑体"/>
      <w:color w:val="000080"/>
    </w:rPr>
  </w:style>
  <w:style w:type="character" w:styleId="1103" w:customStyle="1">
    <w:name w:val="ca-51"/>
    <w:uiPriority w:val="0"/>
    <w:qFormat/>
    <w:rPr>
      <w:rFonts w:ascii="楷体_GB2312" w:hAnsi="Times New Roman" w:eastAsia="楷体_GB2312" w:cs="Times New Roman"/>
      <w:b/>
      <w:bCs/>
      <w:spacing w:val="-20"/>
      <w:sz w:val="24"/>
      <w:szCs w:val="24"/>
    </w:rPr>
  </w:style>
  <w:style w:type="paragraph" w:styleId="1104" w:customStyle="1">
    <w:name w:val="加点正文缩进"/>
    <w:basedOn w:val="730"/>
    <w:uiPriority w:val="0"/>
    <w:qFormat/>
    <w:pPr>
      <w:ind w:left="962" w:hanging="480"/>
      <w:spacing w:line="300" w:lineRule="auto"/>
      <w:tabs>
        <w:tab w:val="left" w:pos="840" w:leader="none"/>
      </w:tabs>
    </w:pPr>
    <w:rPr>
      <w:rFonts w:eastAsia="宋体"/>
    </w:rPr>
  </w:style>
  <w:style w:type="paragraph" w:styleId="1105" w:customStyle="1">
    <w:name w:val="默认段落字体 Para Char Char Char Char Char Char Char Char Char Char Char Char Char Char"/>
    <w:basedOn w:val="956"/>
    <w:uiPriority w:val="0"/>
    <w:qFormat/>
    <w:rPr>
      <w:rFonts w:ascii="Tahoma" w:hAnsi="Tahoma"/>
    </w:rPr>
  </w:style>
  <w:style w:type="paragraph" w:styleId="1106">
    <w:name w:val="List Paragraph"/>
    <w:basedOn w:val="730"/>
    <w:uiPriority w:val="0"/>
    <w:qFormat/>
    <w:pPr>
      <w:ind w:firstLine="200"/>
    </w:pPr>
    <w:rPr>
      <w:rFonts w:ascii="Calibri" w:hAnsi="Calibri" w:eastAsia="宋体"/>
      <w:szCs w:val="22"/>
    </w:rPr>
  </w:style>
  <w:style w:type="paragraph" w:styleId="1107" w:customStyle="1">
    <w:name w:val="序号"/>
    <w:next w:val="730"/>
    <w:uiPriority w:val="0"/>
    <w:qFormat/>
    <w:pPr>
      <w:jc w:val="center"/>
    </w:pPr>
    <w:rPr>
      <w:rFonts w:ascii="Times New Roman" w:hAnsi="Times New Roman" w:eastAsia="仿宋_GB2312" w:cs="Times New Roman"/>
      <w:bCs/>
      <w:sz w:val="21"/>
      <w:szCs w:val="44"/>
      <w:lang w:val="en-US" w:eastAsia="zh-CN" w:bidi="ar-SA"/>
    </w:rPr>
  </w:style>
  <w:style w:type="paragraph" w:styleId="1108" w:customStyle="1">
    <w:name w:val="Char"/>
    <w:basedOn w:val="730"/>
    <w:uiPriority w:val="0"/>
    <w:qFormat/>
    <w:pPr>
      <w:tabs>
        <w:tab w:val="left" w:pos="360" w:leader="none"/>
      </w:tabs>
    </w:pPr>
    <w:rPr>
      <w:rFonts w:ascii="仿宋_GB2312" w:eastAsia="仿宋_GB2312"/>
      <w:b/>
    </w:rPr>
  </w:style>
  <w:style w:type="paragraph" w:styleId="1109" w:customStyle="1">
    <w:name w:val="xl3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0" w:customStyle="1">
    <w:name w:val="xl36"/>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1" w:customStyle="1">
    <w:name w:val="Char Char Char"/>
    <w:basedOn w:val="730"/>
    <w:uiPriority w:val="0"/>
    <w:qFormat/>
    <w:rPr>
      <w:rFonts w:ascii="Tahoma" w:hAnsi="Tahoma" w:eastAsia="宋体"/>
      <w:szCs w:val="20"/>
    </w:rPr>
  </w:style>
  <w:style w:type="paragraph" w:styleId="1112" w:customStyle="1">
    <w:name w:val="Char12"/>
    <w:basedOn w:val="730"/>
    <w:uiPriority w:val="0"/>
    <w:qFormat/>
    <w:pPr>
      <w:ind w:left="360" w:right="202" w:firstLine="360"/>
      <w:spacing w:line="480" w:lineRule="auto"/>
      <w:tabs>
        <w:tab w:val="left" w:pos="360" w:leader="none"/>
      </w:tabs>
    </w:pPr>
    <w:rPr>
      <w:rFonts w:eastAsia="宋体"/>
    </w:rPr>
  </w:style>
  <w:style w:type="paragraph" w:styleId="1113" w:customStyle="1">
    <w:name w:val="Char Char Char Char Char Char Char Char Char Char"/>
    <w:basedOn w:val="730"/>
    <w:uiPriority w:val="0"/>
    <w:qFormat/>
    <w:rPr>
      <w:rFonts w:ascii="Tahoma" w:hAnsi="Tahoma" w:eastAsia="宋体"/>
      <w:szCs w:val="20"/>
    </w:rPr>
  </w:style>
  <w:style w:type="paragraph" w:styleId="1114" w:customStyle="1">
    <w:name w:val="正文段"/>
    <w:basedOn w:val="730"/>
    <w:uiPriority w:val="0"/>
    <w:qFormat/>
    <w:pPr>
      <w:ind w:firstLine="425"/>
      <w:spacing w:after="240" w:line="240" w:lineRule="atLeast"/>
      <w:widowControl/>
    </w:pPr>
    <w:rPr>
      <w:rFonts w:eastAsia="宋体"/>
      <w:szCs w:val="20"/>
    </w:rPr>
  </w:style>
  <w:style w:type="paragraph" w:styleId="1115" w:customStyle="1">
    <w:name w:val="段"/>
    <w:uiPriority w:val="0"/>
    <w:qFormat/>
    <w:pPr>
      <w:ind w:firstLine="200"/>
      <w:jc w:val="both"/>
    </w:pPr>
    <w:rPr>
      <w:rFonts w:ascii="宋体" w:hAnsi="Times New Roman" w:eastAsia="宋体" w:cs="Times New Roman"/>
      <w:sz w:val="21"/>
      <w:lang w:val="en-US" w:eastAsia="zh-CN" w:bidi="ar-SA"/>
    </w:rPr>
  </w:style>
  <w:style w:type="paragraph" w:styleId="1116" w:customStyle="1">
    <w:name w:val="Char Char Char Char Char Char Char Char Char Char1"/>
    <w:basedOn w:val="730"/>
    <w:uiPriority w:val="0"/>
    <w:qFormat/>
    <w:rPr>
      <w:rFonts w:ascii="Tahoma" w:hAnsi="Tahoma" w:eastAsia="宋体" w:cs="Tahoma"/>
    </w:rPr>
  </w:style>
  <w:style w:type="paragraph" w:styleId="1117" w:customStyle="1">
    <w:name w:val="xl34"/>
    <w:basedOn w:val="730"/>
    <w:uiPriority w:val="0"/>
    <w:qFormat/>
    <w:pPr>
      <w:jc w:val="center"/>
      <w:spacing w:before="100" w:beforeAutospacing="1" w:after="100" w:afterAutospacing="1"/>
      <w:widowControl/>
    </w:pPr>
    <w:rPr>
      <w:rFonts w:ascii="Arial Unicode MS" w:hAnsi="Arial Unicode MS" w:eastAsia="Arial Unicode MS"/>
    </w:rPr>
  </w:style>
  <w:style w:type="paragraph" w:styleId="1118" w:customStyle="1">
    <w:name w:val="前言、引言标题"/>
    <w:next w:val="73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19" w:customStyle="1">
    <w:name w:val="Char Char Char Char Char Char 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20" w:customStyle="1">
    <w:name w:val="pa-0"/>
    <w:basedOn w:val="730"/>
    <w:uiPriority w:val="0"/>
    <w:qFormat/>
    <w:pPr>
      <w:ind w:firstLine="480"/>
      <w:spacing w:line="360" w:lineRule="atLeast"/>
      <w:widowControl/>
    </w:pPr>
    <w:rPr>
      <w:rFonts w:ascii="宋体" w:eastAsia="宋体" w:cs="宋体"/>
    </w:rPr>
  </w:style>
  <w:style w:type="paragraph" w:styleId="1121" w:customStyle="1">
    <w:name w:val="Char111"/>
    <w:basedOn w:val="730"/>
    <w:uiPriority w:val="0"/>
    <w:qFormat/>
    <w:pPr>
      <w:jc w:val="left"/>
      <w:spacing w:after="160" w:line="240" w:lineRule="exact"/>
      <w:widowControl/>
    </w:pPr>
    <w:rPr>
      <w:rFonts w:ascii="Verdana" w:hAnsi="Verdana" w:eastAsia="宋体"/>
      <w:sz w:val="20"/>
      <w:szCs w:val="20"/>
      <w:lang w:eastAsia="en-US"/>
    </w:rPr>
  </w:style>
  <w:style w:type="paragraph" w:styleId="1122" w:customStyle="1">
    <w:name w:val="一级条标题"/>
    <w:next w:val="1115"/>
    <w:uiPriority w:val="0"/>
    <w:qFormat/>
    <w:pPr>
      <w:outlineLvl w:val="2"/>
    </w:pPr>
    <w:rPr>
      <w:rFonts w:ascii="Times New Roman" w:hAnsi="Times New Roman" w:eastAsia="黑体" w:cs="Times New Roman"/>
      <w:sz w:val="21"/>
      <w:lang w:val="en-US" w:eastAsia="zh-CN" w:bidi="ar-SA"/>
    </w:rPr>
  </w:style>
  <w:style w:type="paragraph" w:styleId="1123" w:customStyle="1">
    <w:name w:val="二级条标题"/>
    <w:basedOn w:val="1122"/>
    <w:next w:val="1115"/>
    <w:uiPriority w:val="0"/>
    <w:qFormat/>
    <w:pPr>
      <w:ind w:left="360"/>
      <w:outlineLvl w:val="3"/>
    </w:pPr>
    <w:rPr>
      <w:rFonts w:eastAsia="宋体"/>
    </w:rPr>
  </w:style>
  <w:style w:type="paragraph" w:styleId="1124" w:customStyle="1">
    <w:name w:val="三级条标题"/>
    <w:basedOn w:val="1123"/>
    <w:next w:val="1115"/>
    <w:uiPriority w:val="0"/>
    <w:qFormat/>
    <w:pPr>
      <w:ind w:left="1050"/>
      <w:outlineLvl w:val="4"/>
    </w:pPr>
  </w:style>
  <w:style w:type="paragraph" w:styleId="1125" w:customStyle="1">
    <w:name w:val="FA正文+标号"/>
    <w:basedOn w:val="73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26" w:customStyle="1">
    <w:name w:val="表文1"/>
    <w:basedOn w:val="730"/>
    <w:uiPriority w:val="0"/>
    <w:qFormat/>
    <w:pPr>
      <w:ind w:firstLine="196"/>
      <w:spacing w:line="360" w:lineRule="auto"/>
      <w:widowControl/>
    </w:pPr>
    <w:rPr>
      <w:rFonts w:ascii="宋体" w:eastAsia="宋体"/>
    </w:rPr>
  </w:style>
  <w:style w:type="paragraph" w:styleId="1127" w:customStyle="1">
    <w:name w:val="正文1"/>
    <w:basedOn w:val="730"/>
    <w:uiPriority w:val="0"/>
    <w:qFormat/>
    <w:pPr>
      <w:ind w:left="357" w:firstLine="420"/>
      <w:jc w:val="left"/>
      <w:spacing w:line="360" w:lineRule="auto"/>
      <w:widowControl/>
    </w:pPr>
    <w:rPr>
      <w:rFonts w:eastAsia="宋体" w:cs="Arial"/>
      <w:szCs w:val="20"/>
    </w:rPr>
  </w:style>
  <w:style w:type="paragraph" w:styleId="1128" w:customStyle="1">
    <w:name w:val="表内容"/>
    <w:basedOn w:val="1127"/>
    <w:uiPriority w:val="0"/>
    <w:qFormat/>
    <w:pPr>
      <w:ind w:left="0" w:firstLine="0"/>
      <w:spacing w:line="320" w:lineRule="exact"/>
    </w:pPr>
    <w:rPr>
      <w:rFonts w:cs="Times New Roman"/>
      <w:sz w:val="20"/>
    </w:rPr>
  </w:style>
  <w:style w:type="paragraph" w:styleId="1129" w:customStyle="1">
    <w:name w:val="Char Char1 Char Char Char Char Char Char"/>
    <w:basedOn w:val="730"/>
    <w:uiPriority w:val="0"/>
    <w:qFormat/>
    <w:pPr>
      <w:jc w:val="center"/>
      <w:widowControl/>
    </w:pPr>
    <w:rPr>
      <w:rFonts w:eastAsia="宋体"/>
      <w:szCs w:val="20"/>
    </w:rPr>
  </w:style>
  <w:style w:type="paragraph" w:styleId="1130" w:customStyle="1">
    <w:name w:val="xl2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1" w:customStyle="1">
    <w:name w:val="普通正文"/>
    <w:basedOn w:val="730"/>
    <w:uiPriority w:val="0"/>
    <w:qFormat/>
    <w:pPr>
      <w:ind w:firstLine="425"/>
      <w:jc w:val="left"/>
    </w:pPr>
    <w:rPr>
      <w:rFonts w:ascii="宋体" w:eastAsia="宋体"/>
      <w:sz w:val="20"/>
      <w:szCs w:val="20"/>
    </w:rPr>
  </w:style>
  <w:style w:type="paragraph" w:styleId="113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3" w:customStyle="1">
    <w:name w:val="附图标题"/>
    <w:basedOn w:val="952"/>
    <w:next w:val="951"/>
    <w:uiPriority w:val="0"/>
    <w:qFormat/>
    <w:pPr>
      <w:ind w:left="780" w:hanging="480"/>
      <w:jc w:val="center"/>
      <w:spacing w:after="100"/>
      <w:tabs>
        <w:tab w:val="left" w:pos="780" w:leader="none"/>
      </w:tabs>
    </w:pPr>
    <w:rPr>
      <w:rFonts w:ascii="Times New Roman" w:hAnsi="Times New Roman" w:eastAsia="宋体"/>
      <w:b/>
      <w:sz w:val="21"/>
    </w:rPr>
  </w:style>
  <w:style w:type="paragraph" w:styleId="1134" w:customStyle="1">
    <w:name w:val="图号"/>
    <w:basedOn w:val="73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35" w:customStyle="1">
    <w:name w:val="xl40"/>
    <w:basedOn w:val="73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36" w:customStyle="1">
    <w:name w:val="缩进正文"/>
    <w:basedOn w:val="730"/>
    <w:uiPriority w:val="0"/>
    <w:qFormat/>
    <w:pPr>
      <w:ind w:left="1418" w:firstLine="425"/>
      <w:jc w:val="left"/>
      <w:spacing w:after="200" w:line="400" w:lineRule="exact"/>
      <w:widowControl/>
    </w:pPr>
    <w:rPr>
      <w:rFonts w:ascii="宋体" w:eastAsia="宋体"/>
      <w:szCs w:val="20"/>
    </w:rPr>
  </w:style>
  <w:style w:type="paragraph" w:styleId="1137"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38"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9" w:customStyle="1">
    <w:name w:val="Char1"/>
    <w:basedOn w:val="730"/>
    <w:uiPriority w:val="0"/>
    <w:qFormat/>
    <w:pPr>
      <w:ind w:left="360" w:right="202" w:firstLine="360"/>
      <w:spacing w:line="480" w:lineRule="auto"/>
      <w:tabs>
        <w:tab w:val="left" w:pos="360" w:leader="none"/>
      </w:tabs>
    </w:pPr>
    <w:rPr>
      <w:rFonts w:eastAsia="宋体"/>
    </w:rPr>
  </w:style>
  <w:style w:type="paragraph" w:styleId="1140" w:customStyle="1">
    <w:name w:val="首页标题"/>
    <w:uiPriority w:val="0"/>
    <w:qFormat/>
    <w:pPr>
      <w:jc w:val="center"/>
    </w:pPr>
    <w:rPr>
      <w:rFonts w:ascii="宋体" w:hAnsi="Times New Roman" w:eastAsia="宋体" w:cs="宋体"/>
      <w:sz w:val="72"/>
      <w:szCs w:val="72"/>
      <w:lang w:val="en-US" w:eastAsia="zh-CN" w:bidi="ar-SA"/>
    </w:rPr>
  </w:style>
  <w:style w:type="paragraph" w:styleId="1141" w:customStyle="1">
    <w:name w:val="pa-10"/>
    <w:basedOn w:val="730"/>
    <w:uiPriority w:val="0"/>
    <w:qFormat/>
    <w:pPr>
      <w:spacing w:line="240" w:lineRule="atLeast"/>
      <w:widowControl/>
    </w:pPr>
    <w:rPr>
      <w:rFonts w:ascii="宋体" w:eastAsia="宋体" w:cs="宋体"/>
    </w:rPr>
  </w:style>
  <w:style w:type="paragraph" w:styleId="1142" w:customStyle="1">
    <w:name w:val="特点"/>
    <w:basedOn w:val="730"/>
    <w:next w:val="730"/>
    <w:uiPriority w:val="0"/>
    <w:qFormat/>
    <w:pPr>
      <w:jc w:val="center"/>
      <w:spacing w:line="360" w:lineRule="auto"/>
    </w:pPr>
    <w:rPr>
      <w:rFonts w:ascii="Arial" w:hAnsi="Arial" w:eastAsia="宋体"/>
      <w:szCs w:val="20"/>
    </w:rPr>
  </w:style>
  <w:style w:type="paragraph" w:styleId="1143" w:customStyle="1">
    <w:name w:val="pa-4"/>
    <w:basedOn w:val="730"/>
    <w:uiPriority w:val="0"/>
    <w:qFormat/>
    <w:pPr>
      <w:jc w:val="center"/>
      <w:spacing w:line="280" w:lineRule="atLeast"/>
      <w:widowControl/>
    </w:pPr>
    <w:rPr>
      <w:rFonts w:ascii="宋体" w:eastAsia="宋体" w:cs="宋体"/>
    </w:rPr>
  </w:style>
  <w:style w:type="paragraph" w:styleId="1144" w:customStyle="1">
    <w:name w:val="编号"/>
    <w:basedOn w:val="730"/>
    <w:next w:val="1090"/>
    <w:uiPriority w:val="0"/>
    <w:qFormat/>
    <w:pPr>
      <w:ind w:left="420" w:right="-136" w:hanging="420"/>
      <w:widowControl/>
      <w:tabs>
        <w:tab w:val="left" w:pos="420" w:leader="none"/>
      </w:tabs>
    </w:pPr>
    <w:rPr>
      <w:rFonts w:ascii="仿宋_GB2312" w:eastAsia="仿宋_GB2312"/>
      <w:b/>
      <w:bCs/>
      <w:szCs w:val="21"/>
    </w:rPr>
  </w:style>
  <w:style w:type="paragraph" w:styleId="1145"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46" w:customStyle="1">
    <w:name w:val="xl3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7" w:customStyle="1">
    <w:name w:val="编号1"/>
    <w:next w:val="1090"/>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48" w:customStyle="1">
    <w:name w:val="xl3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9" w:customStyle="1">
    <w:name w:val="CM17"/>
    <w:basedOn w:val="730"/>
    <w:next w:val="730"/>
    <w:uiPriority w:val="0"/>
    <w:qFormat/>
    <w:pPr>
      <w:jc w:val="left"/>
      <w:spacing w:after="273" w:line="360" w:lineRule="auto"/>
    </w:pPr>
    <w:rPr>
      <w:rFonts w:ascii="宋体" w:eastAsia="宋体"/>
    </w:rPr>
  </w:style>
  <w:style w:type="paragraph" w:styleId="1150" w:customStyle="1">
    <w:name w:val="xl38"/>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1" w:customStyle="1">
    <w:name w:val="参考资料清单+倾斜+蓝色"/>
    <w:basedOn w:val="730"/>
    <w:uiPriority w:val="0"/>
    <w:qFormat/>
    <w:pPr>
      <w:spacing w:line="360" w:lineRule="auto"/>
    </w:pPr>
    <w:rPr>
      <w:rFonts w:ascii="Arial" w:hAnsi="Arial" w:eastAsia="宋体"/>
      <w:i/>
      <w:iCs/>
      <w:color w:val="0000ff"/>
      <w:szCs w:val="21"/>
    </w:rPr>
  </w:style>
  <w:style w:type="paragraph" w:styleId="1152"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3" w:customStyle="1">
    <w:name w:val="pa-8"/>
    <w:basedOn w:val="730"/>
    <w:uiPriority w:val="0"/>
    <w:qFormat/>
    <w:pPr>
      <w:ind w:firstLine="480"/>
      <w:spacing w:line="280" w:lineRule="atLeast"/>
      <w:widowControl/>
    </w:pPr>
    <w:rPr>
      <w:rFonts w:ascii="宋体" w:eastAsia="宋体" w:cs="宋体"/>
    </w:rPr>
  </w:style>
  <w:style w:type="paragraph" w:styleId="1154" w:customStyle="1">
    <w:name w:val="标书2"/>
    <w:next w:val="1090"/>
    <w:uiPriority w:val="0"/>
    <w:qFormat/>
    <w:rPr>
      <w:rFonts w:ascii="Times New Roman" w:hAnsi="Times New Roman" w:eastAsia="黑体" w:cs="宋体"/>
      <w:b/>
      <w:sz w:val="44"/>
      <w:lang w:val="en-US" w:eastAsia="zh-CN" w:bidi="ar-SA"/>
    </w:rPr>
  </w:style>
  <w:style w:type="paragraph" w:styleId="1155" w:customStyle="1">
    <w:name w:val="表格文字"/>
    <w:basedOn w:val="730"/>
    <w:uiPriority w:val="0"/>
    <w:qFormat/>
    <w:pPr>
      <w:jc w:val="left"/>
    </w:pPr>
    <w:rPr>
      <w:rFonts w:eastAsia="宋体"/>
      <w:sz w:val="18"/>
    </w:rPr>
  </w:style>
  <w:style w:type="paragraph" w:styleId="1156" w:customStyle="1">
    <w:name w:val="首页空格"/>
    <w:uiPriority w:val="0"/>
    <w:qFormat/>
    <w:pPr>
      <w:jc w:val="center"/>
    </w:pPr>
    <w:rPr>
      <w:rFonts w:ascii="Times New Roman" w:hAnsi="Times New Roman" w:eastAsia="宋体" w:cs="宋体"/>
      <w:sz w:val="72"/>
      <w:lang w:val="en-US" w:eastAsia="zh-CN" w:bidi="ar-SA"/>
    </w:rPr>
  </w:style>
  <w:style w:type="paragraph" w:styleId="1157" w:customStyle="1">
    <w:name w:val="保密事宜格式"/>
    <w:basedOn w:val="95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8"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59" w:customStyle="1">
    <w:name w:val="È±Ê¡ÎÄ±¾"/>
    <w:basedOn w:val="730"/>
    <w:uiPriority w:val="0"/>
    <w:qFormat/>
    <w:pPr>
      <w:jc w:val="left"/>
      <w:spacing w:line="360" w:lineRule="auto"/>
      <w:widowControl/>
    </w:pPr>
    <w:rPr>
      <w:rFonts w:eastAsia="宋体"/>
      <w:szCs w:val="20"/>
    </w:rPr>
  </w:style>
  <w:style w:type="paragraph" w:styleId="1160" w:customStyle="1">
    <w:name w:val="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61" w:customStyle="1">
    <w:name w:val="xl2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2" w:customStyle="1">
    <w:name w:val="附图居中"/>
    <w:basedOn w:val="730"/>
    <w:next w:val="1133"/>
    <w:uiPriority w:val="0"/>
    <w:qFormat/>
    <w:pPr>
      <w:ind w:left="1271" w:hanging="420"/>
      <w:jc w:val="center"/>
      <w:keepNext/>
      <w:spacing w:line="360" w:lineRule="auto"/>
      <w:tabs>
        <w:tab w:val="left" w:pos="0" w:leader="none"/>
      </w:tabs>
    </w:pPr>
    <w:rPr>
      <w:rFonts w:eastAsia="宋体"/>
      <w:caps/>
    </w:rPr>
  </w:style>
  <w:style w:type="paragraph" w:styleId="1163" w:customStyle="1">
    <w:name w:val="pa-6"/>
    <w:basedOn w:val="730"/>
    <w:uiPriority w:val="0"/>
    <w:qFormat/>
    <w:pPr>
      <w:spacing w:line="360" w:lineRule="atLeast"/>
      <w:widowControl/>
    </w:pPr>
    <w:rPr>
      <w:rFonts w:ascii="宋体" w:eastAsia="宋体"/>
      <w:szCs w:val="20"/>
    </w:rPr>
  </w:style>
  <w:style w:type="paragraph" w:styleId="1164" w:customStyle="1">
    <w:name w:val="规范正文"/>
    <w:basedOn w:val="730"/>
    <w:uiPriority w:val="0"/>
    <w:qFormat/>
    <w:pPr>
      <w:ind w:left="480"/>
      <w:spacing w:line="360" w:lineRule="auto"/>
    </w:pPr>
    <w:rPr>
      <w:rFonts w:eastAsia="宋体"/>
      <w:szCs w:val="20"/>
    </w:rPr>
  </w:style>
  <w:style w:type="paragraph" w:styleId="1165" w:customStyle="1">
    <w:name w:val="font7"/>
    <w:basedOn w:val="730"/>
    <w:uiPriority w:val="0"/>
    <w:qFormat/>
    <w:pPr>
      <w:jc w:val="left"/>
      <w:spacing w:before="100" w:beforeAutospacing="1" w:after="100" w:afterAutospacing="1"/>
      <w:widowControl/>
    </w:pPr>
    <w:rPr>
      <w:rFonts w:ascii="宋体" w:eastAsia="宋体"/>
      <w:sz w:val="20"/>
      <w:szCs w:val="20"/>
    </w:rPr>
  </w:style>
  <w:style w:type="paragraph" w:styleId="1166" w:customStyle="1">
    <w:name w:val="缺省文本"/>
    <w:basedOn w:val="730"/>
    <w:uiPriority w:val="0"/>
    <w:qFormat/>
    <w:pPr>
      <w:jc w:val="left"/>
    </w:pPr>
    <w:rPr>
      <w:rFonts w:eastAsia="宋体"/>
      <w:szCs w:val="20"/>
    </w:rPr>
  </w:style>
  <w:style w:type="paragraph" w:styleId="1167" w:customStyle="1">
    <w:name w:val="序号-----------"/>
    <w:basedOn w:val="730"/>
    <w:uiPriority w:val="0"/>
    <w:qFormat/>
    <w:pPr>
      <w:jc w:val="left"/>
      <w:widowControl/>
    </w:pPr>
    <w:rPr>
      <w:rFonts w:ascii="宋体" w:eastAsia="宋体"/>
      <w:bCs/>
      <w:szCs w:val="21"/>
    </w:rPr>
  </w:style>
  <w:style w:type="paragraph" w:styleId="1168" w:customStyle="1">
    <w:name w:val="font8"/>
    <w:basedOn w:val="73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69" w:customStyle="1">
    <w:name w:val="表格标题"/>
    <w:basedOn w:val="730"/>
    <w:uiPriority w:val="0"/>
    <w:qFormat/>
    <w:pPr>
      <w:jc w:val="center"/>
    </w:pPr>
    <w:rPr>
      <w:rFonts w:eastAsia="宋体"/>
      <w:b/>
    </w:rPr>
  </w:style>
  <w:style w:type="paragraph" w:styleId="1170" w:customStyle="1">
    <w:name w:val="章标题"/>
    <w:next w:val="111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1" w:customStyle="1">
    <w:name w:val="首页单位日期"/>
    <w:basedOn w:val="730"/>
    <w:uiPriority w:val="0"/>
    <w:qFormat/>
    <w:pPr>
      <w:jc w:val="center"/>
      <w:widowControl/>
    </w:pPr>
    <w:rPr>
      <w:rFonts w:ascii="宋体" w:eastAsia="宋体" w:cs="宋体"/>
      <w:bCs/>
      <w:sz w:val="28"/>
      <w:szCs w:val="20"/>
    </w:rPr>
  </w:style>
  <w:style w:type="paragraph" w:styleId="1172" w:customStyle="1">
    <w:name w:val="样式 正文缩进 + (中文) 仿宋_GB2312 小四 Char"/>
    <w:basedOn w:val="951"/>
    <w:uiPriority w:val="0"/>
    <w:qFormat/>
    <w:pPr>
      <w:ind w:firstLine="200"/>
      <w:spacing w:line="360" w:lineRule="auto"/>
    </w:pPr>
    <w:rPr>
      <w:szCs w:val="24"/>
    </w:rPr>
  </w:style>
  <w:style w:type="paragraph" w:styleId="1173" w:customStyle="1">
    <w:name w:val="项目"/>
    <w:basedOn w:val="730"/>
    <w:uiPriority w:val="0"/>
    <w:qFormat/>
    <w:pPr>
      <w:ind w:left="840" w:hanging="420"/>
      <w:spacing w:before="60" w:after="60" w:line="360" w:lineRule="auto"/>
      <w:tabs>
        <w:tab w:val="left" w:pos="840" w:leader="none"/>
      </w:tabs>
    </w:pPr>
    <w:rPr>
      <w:rFonts w:ascii="宋体" w:eastAsia="宋体"/>
      <w:szCs w:val="20"/>
    </w:rPr>
  </w:style>
  <w:style w:type="paragraph" w:styleId="1174" w:customStyle="1">
    <w:name w:val="默认段落字体 Para Char"/>
    <w:basedOn w:val="730"/>
    <w:uiPriority w:val="0"/>
    <w:qFormat/>
    <w:rPr>
      <w:rFonts w:ascii="宋体" w:eastAsia="宋体"/>
      <w:b/>
      <w:sz w:val="28"/>
      <w:szCs w:val="28"/>
    </w:rPr>
  </w:style>
  <w:style w:type="paragraph" w:styleId="1175" w:customStyle="1">
    <w:name w:val="篇名"/>
    <w:next w:val="933"/>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76" w:customStyle="1">
    <w:name w:val="Char13"/>
    <w:basedOn w:val="730"/>
    <w:uiPriority w:val="0"/>
    <w:qFormat/>
    <w:rPr>
      <w:rFonts w:eastAsia="宋体"/>
    </w:rPr>
  </w:style>
  <w:style w:type="paragraph" w:styleId="1177" w:customStyle="1">
    <w:name w:val="表头"/>
    <w:basedOn w:val="1127"/>
    <w:uiPriority w:val="0"/>
    <w:qFormat/>
    <w:pPr>
      <w:ind w:left="0" w:firstLine="0"/>
      <w:spacing w:line="240" w:lineRule="auto"/>
    </w:pPr>
    <w:rPr>
      <w:rFonts w:cs="Times New Roman"/>
      <w:sz w:val="20"/>
    </w:rPr>
  </w:style>
  <w:style w:type="paragraph" w:styleId="1178" w:customStyle="1">
    <w:name w:val="表格序号"/>
    <w:uiPriority w:val="0"/>
    <w:qFormat/>
    <w:rPr>
      <w:rFonts w:ascii="Times New Roman" w:hAnsi="Times New Roman" w:eastAsia="仿宋_GB2312" w:cs="宋体"/>
      <w:sz w:val="21"/>
      <w:lang w:val="en-US" w:eastAsia="zh-CN" w:bidi="ar-SA"/>
    </w:rPr>
  </w:style>
  <w:style w:type="paragraph" w:styleId="1179" w:customStyle="1">
    <w:name w:val="Char Char Char Char1"/>
    <w:basedOn w:val="730"/>
    <w:uiPriority w:val="0"/>
    <w:qFormat/>
    <w:pPr>
      <w:ind w:firstLine="200"/>
      <w:spacing w:line="360" w:lineRule="auto"/>
    </w:pPr>
    <w:rPr>
      <w:rFonts w:eastAsia="宋体"/>
      <w:szCs w:val="20"/>
    </w:rPr>
  </w:style>
  <w:style w:type="paragraph" w:styleId="1180" w:customStyle="1">
    <w:name w:val="标书3"/>
    <w:next w:val="1090"/>
    <w:uiPriority w:val="0"/>
    <w:qFormat/>
    <w:pPr>
      <w:jc w:val="center"/>
      <w:widowControl w:val="off"/>
    </w:pPr>
    <w:rPr>
      <w:rFonts w:ascii="Times New Roman" w:hAnsi="Times New Roman" w:eastAsia="黑体" w:cs="Times New Roman"/>
      <w:b/>
      <w:sz w:val="44"/>
      <w:szCs w:val="24"/>
      <w:lang w:val="en-US" w:eastAsia="zh-CN" w:bidi="ar-SA"/>
    </w:rPr>
  </w:style>
  <w:style w:type="paragraph" w:styleId="1181" w:customStyle="1">
    <w:name w:val="首页小标题"/>
    <w:next w:val="1156"/>
    <w:uiPriority w:val="0"/>
    <w:qFormat/>
    <w:pPr>
      <w:jc w:val="center"/>
    </w:pPr>
    <w:rPr>
      <w:rFonts w:ascii="Times New Roman" w:hAnsi="Times New Roman" w:eastAsia="宋体" w:cs="宋体"/>
      <w:sz w:val="44"/>
      <w:lang w:val="en-US" w:eastAsia="zh-CN" w:bidi="ar-SA"/>
    </w:rPr>
  </w:style>
  <w:style w:type="paragraph" w:styleId="1182" w:customStyle="1">
    <w:name w:val="新段落缩进"/>
    <w:basedOn w:val="730"/>
    <w:uiPriority w:val="0"/>
    <w:qFormat/>
    <w:pPr>
      <w:ind w:firstLine="200"/>
      <w:spacing w:line="400" w:lineRule="exact"/>
    </w:pPr>
    <w:rPr>
      <w:rFonts w:ascii="仿宋_GB2312" w:eastAsia="仿宋_GB2312"/>
    </w:rPr>
  </w:style>
  <w:style w:type="paragraph" w:styleId="1183" w:customStyle="1">
    <w:name w:val="pa-2"/>
    <w:basedOn w:val="730"/>
    <w:uiPriority w:val="0"/>
    <w:qFormat/>
    <w:pPr>
      <w:spacing w:line="360" w:lineRule="atLeast"/>
      <w:widowControl/>
    </w:pPr>
    <w:rPr>
      <w:rFonts w:ascii="宋体" w:eastAsia="宋体" w:cs="宋体"/>
    </w:rPr>
  </w:style>
  <w:style w:type="paragraph" w:styleId="1184" w:customStyle="1">
    <w:name w:val="四级条标题"/>
    <w:basedOn w:val="1124"/>
    <w:next w:val="1115"/>
    <w:uiPriority w:val="0"/>
    <w:qFormat/>
    <w:pPr>
      <w:ind w:left="0"/>
      <w:outlineLvl w:val="5"/>
    </w:pPr>
  </w:style>
  <w:style w:type="paragraph" w:styleId="1185" w:customStyle="1">
    <w:name w:val="保密事宜内容"/>
    <w:basedOn w:val="73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86" w:customStyle="1">
    <w:name w:val="xl3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87" w:customStyle="1">
    <w:name w:val="Char1 Char Char Char"/>
    <w:basedOn w:val="730"/>
    <w:uiPriority w:val="0"/>
    <w:qFormat/>
    <w:rPr>
      <w:rFonts w:eastAsia="宋体"/>
      <w:szCs w:val="20"/>
    </w:rPr>
  </w:style>
  <w:style w:type="paragraph" w:styleId="1188" w:customStyle="1">
    <w:name w:val="正文 + 宋体"/>
    <w:basedOn w:val="730"/>
    <w:uiPriority w:val="0"/>
    <w:qFormat/>
    <w:pPr>
      <w:ind w:firstLine="250"/>
    </w:pPr>
    <w:rPr>
      <w:rFonts w:ascii="宋体" w:eastAsia="宋体"/>
      <w:szCs w:val="21"/>
    </w:rPr>
  </w:style>
  <w:style w:type="paragraph" w:styleId="1189" w:customStyle="1">
    <w:name w:val="xl31"/>
    <w:basedOn w:val="73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0" w:customStyle="1">
    <w:name w:val="pbody"/>
    <w:basedOn w:val="730"/>
    <w:uiPriority w:val="0"/>
    <w:qFormat/>
    <w:pPr>
      <w:jc w:val="left"/>
      <w:spacing w:before="100" w:beforeAutospacing="1" w:after="100" w:afterAutospacing="1" w:line="360" w:lineRule="auto"/>
      <w:widowControl/>
    </w:pPr>
    <w:rPr>
      <w:rFonts w:ascii="宋体" w:eastAsia="宋体" w:cs="宋体"/>
    </w:rPr>
  </w:style>
  <w:style w:type="paragraph" w:styleId="1191" w:customStyle="1">
    <w:name w:val="xl42"/>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2" w:customStyle="1">
    <w:name w:val="txt"/>
    <w:basedOn w:val="730"/>
    <w:uiPriority w:val="0"/>
    <w:qFormat/>
    <w:pPr>
      <w:jc w:val="left"/>
      <w:spacing w:before="100" w:beforeAutospacing="1" w:after="100" w:afterAutospacing="1"/>
      <w:widowControl/>
    </w:pPr>
    <w:rPr>
      <w:rFonts w:ascii="宋体" w:eastAsia="宋体" w:cs="宋体"/>
    </w:rPr>
  </w:style>
  <w:style w:type="paragraph" w:styleId="1193" w:customStyle="1">
    <w:name w:val="样式1"/>
    <w:basedOn w:val="950"/>
    <w:next w:val="730"/>
    <w:uiPriority w:val="0"/>
    <w:qFormat/>
    <w:rPr>
      <w:rFonts w:ascii="Arial" w:hAnsi="Arial" w:eastAsia="幼圆" w:cs="Arial"/>
      <w:szCs w:val="20"/>
    </w:rPr>
  </w:style>
  <w:style w:type="paragraph" w:styleId="1194" w:customStyle="1">
    <w:name w:val="xl37"/>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195" w:customStyle="1">
    <w:name w:val="图表目录1"/>
    <w:uiPriority w:val="0"/>
    <w:qFormat/>
    <w:pPr>
      <w:ind w:left="840" w:hanging="420"/>
    </w:pPr>
    <w:rPr>
      <w:rFonts w:ascii="Times New Roman" w:hAnsi="Times New Roman" w:eastAsia="宋体" w:cs="宋体"/>
      <w:sz w:val="21"/>
      <w:lang w:val="en-US" w:eastAsia="zh-CN" w:bidi="ar-SA"/>
    </w:rPr>
  </w:style>
  <w:style w:type="paragraph" w:styleId="1196" w:customStyle="1">
    <w:name w:val="样式 序号----------- + 仿宋_GB2312"/>
    <w:basedOn w:val="1167"/>
    <w:uiPriority w:val="0"/>
    <w:qFormat/>
    <w:pPr>
      <w:ind w:firstLine="200"/>
      <w:spacing w:line="360" w:lineRule="auto"/>
    </w:pPr>
    <w:rPr>
      <w:rFonts w:ascii="仿宋_GB2312" w:eastAsia="仿宋_GB2312"/>
      <w:bCs w:val="0"/>
    </w:rPr>
  </w:style>
  <w:style w:type="paragraph" w:styleId="1197" w:customStyle="1">
    <w:name w:val="xl41"/>
    <w:basedOn w:val="73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198" w:customStyle="1">
    <w:name w:val="Char11"/>
    <w:basedOn w:val="730"/>
    <w:uiPriority w:val="0"/>
    <w:qFormat/>
    <w:rPr>
      <w:rFonts w:eastAsia="宋体"/>
      <w:szCs w:val="21"/>
    </w:rPr>
  </w:style>
  <w:style w:type="paragraph" w:styleId="1199" w:customStyle="1">
    <w:name w:val="样式 序号----------- + 仿宋_GB23121"/>
    <w:basedOn w:val="1167"/>
    <w:uiPriority w:val="0"/>
    <w:qFormat/>
    <w:pPr>
      <w:spacing w:line="360" w:lineRule="auto"/>
    </w:pPr>
    <w:rPr>
      <w:rFonts w:ascii="仿宋_GB2312" w:eastAsia="仿宋_GB2312"/>
      <w:bCs w:val="0"/>
    </w:rPr>
  </w:style>
  <w:style w:type="paragraph" w:styleId="1200" w:customStyle="1">
    <w:name w:val="pa-9"/>
    <w:basedOn w:val="730"/>
    <w:uiPriority w:val="0"/>
    <w:qFormat/>
    <w:pPr>
      <w:jc w:val="center"/>
      <w:spacing w:line="360" w:lineRule="atLeast"/>
      <w:widowControl/>
    </w:pPr>
    <w:rPr>
      <w:rFonts w:ascii="宋体" w:eastAsia="宋体" w:cs="宋体"/>
    </w:rPr>
  </w:style>
  <w:style w:type="paragraph" w:styleId="1201" w:customStyle="1">
    <w:name w:val="pa-3"/>
    <w:basedOn w:val="730"/>
    <w:uiPriority w:val="0"/>
    <w:qFormat/>
    <w:pPr>
      <w:jc w:val="left"/>
      <w:spacing w:before="150" w:after="150"/>
      <w:widowControl/>
    </w:pPr>
    <w:rPr>
      <w:rFonts w:ascii="宋体" w:eastAsia="宋体" w:cs="宋体"/>
    </w:rPr>
  </w:style>
  <w:style w:type="paragraph" w:styleId="1202" w:customStyle="1">
    <w:name w:val="font5"/>
    <w:basedOn w:val="730"/>
    <w:uiPriority w:val="0"/>
    <w:qFormat/>
    <w:pPr>
      <w:jc w:val="left"/>
      <w:spacing w:before="100" w:beforeAutospacing="1" w:after="100" w:afterAutospacing="1"/>
      <w:widowControl/>
    </w:pPr>
    <w:rPr>
      <w:rFonts w:ascii="宋体" w:eastAsia="宋体"/>
      <w:sz w:val="18"/>
      <w:szCs w:val="18"/>
    </w:rPr>
  </w:style>
  <w:style w:type="paragraph" w:styleId="1203" w:customStyle="1">
    <w:name w:val="pa-5"/>
    <w:basedOn w:val="730"/>
    <w:uiPriority w:val="0"/>
    <w:qFormat/>
    <w:pPr>
      <w:spacing w:line="280" w:lineRule="atLeast"/>
      <w:widowControl/>
    </w:pPr>
    <w:rPr>
      <w:rFonts w:ascii="宋体" w:eastAsia="宋体" w:cs="宋体"/>
    </w:rPr>
  </w:style>
  <w:style w:type="paragraph" w:styleId="1204" w:customStyle="1">
    <w:name w:val="xl39"/>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05" w:customStyle="1">
    <w:name w:val="font6"/>
    <w:basedOn w:val="730"/>
    <w:uiPriority w:val="0"/>
    <w:qFormat/>
    <w:pPr>
      <w:jc w:val="left"/>
      <w:spacing w:before="100" w:beforeAutospacing="1" w:after="100" w:afterAutospacing="1"/>
      <w:widowControl/>
    </w:pPr>
    <w:rPr>
      <w:rFonts w:eastAsia="宋体"/>
      <w:sz w:val="20"/>
      <w:szCs w:val="20"/>
    </w:rPr>
  </w:style>
  <w:style w:type="paragraph" w:styleId="1206" w:customStyle="1">
    <w:name w:val="font9"/>
    <w:basedOn w:val="730"/>
    <w:uiPriority w:val="0"/>
    <w:qFormat/>
    <w:pPr>
      <w:jc w:val="left"/>
      <w:spacing w:before="100" w:beforeAutospacing="1" w:after="100" w:afterAutospacing="1"/>
      <w:widowControl/>
    </w:pPr>
    <w:rPr>
      <w:rFonts w:ascii="宋体" w:eastAsia="宋体"/>
      <w:color w:val="000000"/>
      <w:sz w:val="18"/>
      <w:szCs w:val="18"/>
    </w:rPr>
  </w:style>
  <w:style w:type="paragraph" w:styleId="1207" w:customStyle="1">
    <w:name w:val="列出段落11"/>
    <w:basedOn w:val="730"/>
    <w:uiPriority w:val="0"/>
    <w:qFormat/>
    <w:pPr>
      <w:ind w:firstLine="200"/>
    </w:pPr>
    <w:rPr>
      <w:rFonts w:ascii="Calibri" w:hAnsi="Calibri" w:eastAsia="宋体"/>
      <w:szCs w:val="22"/>
    </w:rPr>
  </w:style>
  <w:style w:type="paragraph" w:styleId="1208" w:customStyle="1">
    <w:name w:val="p0"/>
    <w:basedOn w:val="730"/>
    <w:uiPriority w:val="0"/>
    <w:qFormat/>
    <w:pPr>
      <w:widowControl/>
    </w:pPr>
    <w:rPr>
      <w:rFonts w:eastAsia="宋体"/>
      <w:szCs w:val="21"/>
    </w:rPr>
  </w:style>
  <w:style w:type="paragraph" w:styleId="1209" w:customStyle="1">
    <w:name w:val="Char Char Char Char Char Char Char Char Char Char21"/>
    <w:basedOn w:val="730"/>
    <w:uiPriority w:val="0"/>
    <w:qFormat/>
    <w:rPr>
      <w:rFonts w:ascii="Tahoma" w:hAnsi="Tahoma" w:eastAsia="宋体"/>
      <w:szCs w:val="20"/>
    </w:rPr>
  </w:style>
  <w:style w:type="paragraph" w:styleId="1210"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1" w:customStyle="1">
    <w:name w:val="表格正文"/>
    <w:basedOn w:val="730"/>
    <w:uiPriority w:val="0"/>
    <w:qFormat/>
    <w:pPr>
      <w:spacing w:line="300" w:lineRule="auto"/>
      <w:tabs>
        <w:tab w:val="left" w:pos="420" w:leader="none"/>
      </w:tabs>
    </w:pPr>
    <w:rPr>
      <w:rFonts w:eastAsia="宋体"/>
    </w:rPr>
  </w:style>
  <w:style w:type="paragraph" w:styleId="1212" w:customStyle="1">
    <w:name w:val="首页标题小初"/>
    <w:uiPriority w:val="0"/>
    <w:qFormat/>
    <w:pPr>
      <w:jc w:val="center"/>
    </w:pPr>
    <w:rPr>
      <w:rFonts w:ascii="黑体" w:hAnsi="Times New Roman" w:eastAsia="黑体" w:cs="宋体"/>
      <w:sz w:val="72"/>
      <w:lang w:val="en-US" w:eastAsia="zh-CN" w:bidi="ar-SA"/>
    </w:rPr>
  </w:style>
  <w:style w:type="paragraph" w:styleId="1213" w:customStyle="1">
    <w:name w:val="五级条标题"/>
    <w:basedOn w:val="1184"/>
    <w:next w:val="1115"/>
    <w:uiPriority w:val="0"/>
    <w:qFormat/>
    <w:pPr>
      <w:outlineLvl w:val="6"/>
    </w:pPr>
  </w:style>
  <w:style w:type="paragraph" w:styleId="1214" w:customStyle="1">
    <w:name w:val="Char Char Char Char Char Char Char1"/>
    <w:basedOn w:val="730"/>
    <w:uiPriority w:val="0"/>
    <w:qFormat/>
    <w:pPr>
      <w:jc w:val="left"/>
      <w:spacing w:after="160" w:line="240" w:lineRule="exact"/>
      <w:widowControl/>
    </w:pPr>
    <w:rPr>
      <w:rFonts w:ascii="Verdana" w:hAnsi="Verdana" w:eastAsia="宋体"/>
      <w:sz w:val="20"/>
      <w:szCs w:val="20"/>
      <w:lang w:eastAsia="en-US"/>
    </w:rPr>
  </w:style>
  <w:style w:type="paragraph" w:styleId="1215" w:customStyle="1">
    <w:name w:val="ibm-list-next"/>
    <w:basedOn w:val="730"/>
    <w:uiPriority w:val="0"/>
    <w:qFormat/>
    <w:pPr>
      <w:jc w:val="left"/>
      <w:spacing w:before="100" w:beforeAutospacing="1" w:after="100" w:afterAutospacing="1"/>
      <w:widowControl/>
    </w:pPr>
    <w:rPr>
      <w:rFonts w:ascii="宋体" w:eastAsia="宋体" w:cs="宋体"/>
    </w:rPr>
  </w:style>
  <w:style w:type="paragraph" w:styleId="1216" w:customStyle="1">
    <w:name w:val="首页标题 一号"/>
    <w:basedOn w:val="1212"/>
    <w:uiPriority w:val="0"/>
    <w:qFormat/>
    <w:rPr>
      <w:rFonts w:ascii="Times New Roman" w:eastAsia="宋体" w:cs="Times New Roman"/>
      <w:sz w:val="52"/>
    </w:rPr>
  </w:style>
  <w:style w:type="paragraph" w:styleId="1217" w:customStyle="1">
    <w:name w:val="Char Char Char Char Char Char Char Char Char Char2"/>
    <w:basedOn w:val="730"/>
    <w:uiPriority w:val="0"/>
    <w:qFormat/>
    <w:rPr>
      <w:rFonts w:ascii="Tahoma" w:hAnsi="Tahoma" w:eastAsia="宋体"/>
      <w:szCs w:val="20"/>
    </w:rPr>
  </w:style>
  <w:style w:type="character" w:styleId="1218" w:customStyle="1">
    <w:name w:val="正文（编号） Char Char"/>
    <w:link w:val="1219"/>
    <w:uiPriority w:val="0"/>
    <w:qFormat/>
    <w:rPr>
      <w:rFonts w:ascii="Times New Roman" w:hAnsi="Times New Roman" w:eastAsia="宋体" w:cs="Times New Roman"/>
      <w:sz w:val="24"/>
      <w:szCs w:val="24"/>
    </w:rPr>
  </w:style>
  <w:style w:type="paragraph" w:styleId="1219" w:customStyle="1">
    <w:name w:val="正文（编号）"/>
    <w:basedOn w:val="1077"/>
    <w:link w:val="1218"/>
    <w:uiPriority w:val="0"/>
    <w:qFormat/>
    <w:pPr>
      <w:ind w:left="720" w:firstLine="0"/>
      <w:tabs>
        <w:tab w:val="left" w:pos="720" w:leader="none"/>
        <w:tab w:val="left" w:pos="780" w:leader="none"/>
      </w:tabs>
    </w:pPr>
  </w:style>
  <w:style w:type="paragraph" w:styleId="1220" w:customStyle="1">
    <w:name w:val="表格"/>
    <w:basedOn w:val="730"/>
    <w:uiPriority w:val="0"/>
    <w:qFormat/>
    <w:pPr>
      <w:ind w:firstLine="21"/>
    </w:pPr>
    <w:rPr>
      <w:rFonts w:ascii="宋体" w:eastAsia="宋体"/>
      <w:szCs w:val="20"/>
    </w:rPr>
  </w:style>
  <w:style w:type="character" w:styleId="1221" w:customStyle="1">
    <w:name w:val="正文（缩进） Char Char"/>
    <w:uiPriority w:val="0"/>
    <w:qFormat/>
    <w:rPr>
      <w:rFonts w:ascii="Times New Roman" w:hAnsi="Times New Roman" w:eastAsia="宋体" w:cs="Times New Roman"/>
      <w:sz w:val="24"/>
      <w:szCs w:val="24"/>
      <w:lang w:val="en-US" w:eastAsia="zh-CN" w:bidi="ar-SA"/>
    </w:rPr>
  </w:style>
  <w:style w:type="paragraph" w:styleId="1222" w:customStyle="1">
    <w:name w:val="Char Char Char1"/>
    <w:basedOn w:val="730"/>
    <w:uiPriority w:val="0"/>
    <w:qFormat/>
    <w:rPr>
      <w:rFonts w:ascii="Calibri" w:hAnsi="Calibri" w:eastAsia="宋体"/>
      <w:szCs w:val="21"/>
    </w:rPr>
  </w:style>
  <w:style w:type="paragraph" w:styleId="1223" w:customStyle="1">
    <w:name w:val="样式 正文2 + 首行缩进:  0 厘米 段后: 1.5 行"/>
    <w:basedOn w:val="73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24" w:customStyle="1">
    <w:name w:val="表中文字"/>
    <w:basedOn w:val="730"/>
    <w:uiPriority w:val="0"/>
    <w:qFormat/>
    <w:pPr>
      <w:widowControl/>
    </w:pPr>
    <w:rPr>
      <w:rFonts w:ascii="Calibri" w:hAnsi="Calibri" w:eastAsia="宋体"/>
      <w:szCs w:val="20"/>
    </w:rPr>
  </w:style>
  <w:style w:type="character" w:styleId="1225" w:customStyle="1">
    <w:name w:val="z1"/>
    <w:basedOn w:val="941"/>
    <w:uiPriority w:val="0"/>
    <w:qFormat/>
    <w:rPr>
      <w:rFonts w:ascii="Times New Roman" w:hAnsi="Times New Roman" w:eastAsia="宋体" w:cs="Times New Roman"/>
    </w:rPr>
  </w:style>
  <w:style w:type="paragraph" w:styleId="1226" w:customStyle="1">
    <w:name w:val="a1"/>
    <w:basedOn w:val="730"/>
    <w:uiPriority w:val="0"/>
    <w:qFormat/>
    <w:pPr>
      <w:jc w:val="left"/>
      <w:spacing w:before="100" w:beforeAutospacing="1" w:after="100" w:afterAutospacing="1"/>
      <w:widowControl/>
    </w:pPr>
    <w:rPr>
      <w:rFonts w:ascii="宋体" w:eastAsia="宋体"/>
      <w:szCs w:val="22"/>
    </w:rPr>
  </w:style>
  <w:style w:type="paragraph" w:styleId="1227" w:customStyle="1">
    <w:name w:val="a0"/>
    <w:basedOn w:val="730"/>
    <w:uiPriority w:val="0"/>
    <w:qFormat/>
    <w:pPr>
      <w:jc w:val="left"/>
      <w:spacing w:before="100" w:beforeAutospacing="1" w:after="100" w:afterAutospacing="1"/>
      <w:widowControl/>
    </w:pPr>
    <w:rPr>
      <w:rFonts w:ascii="宋体" w:eastAsia="宋体"/>
      <w:szCs w:val="22"/>
    </w:rPr>
  </w:style>
  <w:style w:type="paragraph" w:styleId="1228" w:customStyle="1">
    <w:name w:val="tabletext"/>
    <w:basedOn w:val="730"/>
    <w:uiPriority w:val="0"/>
    <w:qFormat/>
    <w:pPr>
      <w:jc w:val="left"/>
      <w:spacing w:before="100" w:beforeAutospacing="1" w:after="100" w:afterAutospacing="1"/>
      <w:widowControl/>
    </w:pPr>
    <w:rPr>
      <w:rFonts w:ascii="宋体" w:eastAsia="宋体"/>
      <w:szCs w:val="22"/>
    </w:rPr>
  </w:style>
  <w:style w:type="paragraph" w:styleId="1229" w:customStyle="1">
    <w:name w:val="我的样式"/>
    <w:basedOn w:val="730"/>
    <w:uiPriority w:val="0"/>
    <w:qFormat/>
    <w:pPr>
      <w:ind w:firstLine="420"/>
      <w:jc w:val="left"/>
      <w:spacing w:after="120"/>
      <w:widowControl/>
    </w:pPr>
    <w:rPr>
      <w:rFonts w:ascii="宋体" w:eastAsia="宋体"/>
      <w:color w:val="000000"/>
      <w:szCs w:val="16"/>
    </w:rPr>
  </w:style>
  <w:style w:type="paragraph" w:styleId="1230" w:customStyle="1">
    <w:name w:val="Figure and Table Title"/>
    <w:basedOn w:val="730"/>
    <w:uiPriority w:val="0"/>
    <w:qFormat/>
    <w:pPr>
      <w:ind w:left="2160"/>
      <w:jc w:val="left"/>
      <w:widowControl/>
    </w:pPr>
    <w:rPr>
      <w:rFonts w:ascii="Helvetica-Light" w:hAnsi="Helvetica-Light" w:eastAsia="宋体"/>
      <w:b/>
      <w:bCs/>
      <w:sz w:val="20"/>
      <w:szCs w:val="22"/>
      <w:lang w:eastAsia="en-US"/>
    </w:rPr>
  </w:style>
  <w:style w:type="paragraph" w:styleId="1231" w:customStyle="1">
    <w:name w:val="Table Text/Title"/>
    <w:basedOn w:val="730"/>
    <w:uiPriority w:val="0"/>
    <w:qFormat/>
    <w:pPr>
      <w:jc w:val="left"/>
      <w:widowControl/>
    </w:pPr>
    <w:rPr>
      <w:rFonts w:ascii="宋体" w:eastAsia="宋体"/>
      <w:b/>
      <w:bCs/>
      <w:sz w:val="20"/>
      <w:szCs w:val="20"/>
      <w:lang w:eastAsia="en-US"/>
    </w:rPr>
  </w:style>
  <w:style w:type="paragraph" w:styleId="1232" w:customStyle="1">
    <w:name w:val="Sourcetext bullet"/>
    <w:basedOn w:val="73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3" w:customStyle="1">
    <w:name w:val="无标题正文 Char Char Char Char Char Char Char Char Char Char Char Char Char Char Char Char Char Char Char Char Char Char Char Char Char Char Char1 Char"/>
    <w:basedOn w:val="730"/>
    <w:uiPriority w:val="0"/>
    <w:qFormat/>
    <w:pPr>
      <w:jc w:val="center"/>
      <w:spacing w:after="160" w:line="240" w:lineRule="exact"/>
      <w:widowControl/>
    </w:pPr>
    <w:rPr>
      <w:rFonts w:ascii="Arial" w:hAnsi="Arial" w:eastAsia="宋体"/>
      <w:sz w:val="20"/>
      <w:szCs w:val="20"/>
      <w:lang w:eastAsia="en-US"/>
    </w:rPr>
  </w:style>
  <w:style w:type="paragraph" w:styleId="1234" w:customStyle="1">
    <w:name w:val="Char Char Char Char"/>
    <w:basedOn w:val="730"/>
    <w:uiPriority w:val="0"/>
    <w:qFormat/>
    <w:pPr>
      <w:ind w:left="560" w:firstLine="200"/>
      <w:jc w:val="left"/>
      <w:spacing w:after="120" w:line="360" w:lineRule="auto"/>
      <w:widowControl/>
    </w:pPr>
    <w:rPr>
      <w:rFonts w:ascii="Verdana" w:hAnsi="Verdana" w:eastAsia="宋体"/>
      <w:szCs w:val="22"/>
    </w:rPr>
  </w:style>
  <w:style w:type="character" w:styleId="1235" w:customStyle="1">
    <w:name w:val="style91"/>
    <w:uiPriority w:val="0"/>
    <w:qFormat/>
    <w:rPr>
      <w:rFonts w:ascii="Times New Roman" w:hAnsi="Times New Roman" w:eastAsia="宋体" w:cs="Times New Roman"/>
      <w:color w:val="2060c0"/>
      <w:sz w:val="24"/>
      <w:szCs w:val="24"/>
    </w:rPr>
  </w:style>
  <w:style w:type="paragraph" w:styleId="1236" w:customStyle="1">
    <w:name w:val="标准小四"/>
    <w:basedOn w:val="730"/>
    <w:uiPriority w:val="0"/>
    <w:qFormat/>
    <w:pPr>
      <w:ind w:firstLine="200"/>
      <w:spacing w:line="360" w:lineRule="auto"/>
    </w:pPr>
    <w:rPr>
      <w:rFonts w:ascii="Arial" w:hAnsi="Arial" w:eastAsia="宋体"/>
      <w:szCs w:val="21"/>
    </w:rPr>
  </w:style>
  <w:style w:type="paragraph" w:styleId="1237" w:customStyle="1">
    <w:name w:val="样式 正文首行缩进 + 宋体 首行缩进:  0.74 厘米"/>
    <w:basedOn w:val="1000"/>
    <w:uiPriority w:val="0"/>
    <w:qFormat/>
    <w:pPr>
      <w:ind w:firstLine="210"/>
      <w:spacing w:before="120" w:after="0" w:line="380" w:lineRule="exact"/>
    </w:pPr>
    <w:rPr>
      <w:rFonts w:ascii="宋体" w:cs="宋体"/>
      <w:sz w:val="24"/>
      <w:szCs w:val="20"/>
    </w:rPr>
  </w:style>
  <w:style w:type="paragraph" w:styleId="1238" w:customStyle="1">
    <w:name w:val="默认段落字体 Para Char Char Char Char Char Char Char Char Char1"/>
    <w:basedOn w:val="730"/>
    <w:uiPriority w:val="0"/>
    <w:qFormat/>
    <w:rPr>
      <w:rFonts w:ascii="Tahoma" w:hAnsi="Tahoma" w:eastAsia="宋体"/>
      <w:szCs w:val="20"/>
    </w:rPr>
  </w:style>
  <w:style w:type="paragraph" w:styleId="1239" w:customStyle="1">
    <w:name w:val="正文小四"/>
    <w:basedOn w:val="730"/>
    <w:uiPriority w:val="0"/>
    <w:qFormat/>
    <w:pPr>
      <w:spacing w:line="312" w:lineRule="auto"/>
    </w:pPr>
    <w:rPr>
      <w:rFonts w:ascii="Calibri" w:hAnsi="Calibri" w:eastAsia="宋体"/>
      <w:szCs w:val="22"/>
    </w:rPr>
  </w:style>
  <w:style w:type="paragraph" w:styleId="1240" w:customStyle="1">
    <w:name w:val="ul"/>
    <w:basedOn w:val="73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1" w:customStyle="1">
    <w:name w:val="Bullet"/>
    <w:basedOn w:val="73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2" w:customStyle="1">
    <w:name w:val="正文（首行缩进）"/>
    <w:basedOn w:val="730"/>
    <w:uiPriority w:val="0"/>
    <w:qFormat/>
    <w:pPr>
      <w:ind w:firstLine="482"/>
      <w:spacing w:before="120" w:line="360" w:lineRule="auto"/>
      <w:widowControl/>
    </w:pPr>
    <w:rPr>
      <w:rFonts w:ascii="Calibri" w:hAnsi="Calibri" w:eastAsia="宋体"/>
      <w:szCs w:val="20"/>
    </w:rPr>
  </w:style>
  <w:style w:type="character" w:styleId="1243" w:customStyle="1">
    <w:name w:val="style161"/>
    <w:uiPriority w:val="0"/>
    <w:qFormat/>
    <w:rPr>
      <w:rFonts w:ascii="Verdana" w:hAnsi="Verdana" w:eastAsia="宋体" w:cs="Times New Roman"/>
      <w:b/>
      <w:color w:val="0a246a"/>
      <w:sz w:val="24"/>
      <w:szCs w:val="24"/>
      <w:lang w:val="en-US" w:eastAsia="zh-CN" w:bidi="ar-SA"/>
    </w:rPr>
  </w:style>
  <w:style w:type="paragraph" w:styleId="1244" w:customStyle="1">
    <w:name w:val="正文（首行缩进两字）"/>
    <w:basedOn w:val="730"/>
    <w:uiPriority w:val="0"/>
    <w:qFormat/>
    <w:pPr>
      <w:spacing w:line="312" w:lineRule="auto"/>
    </w:pPr>
    <w:rPr>
      <w:rFonts w:ascii="宋体" w:eastAsia="宋体" w:cs="宋体"/>
      <w:szCs w:val="22"/>
    </w:rPr>
  </w:style>
  <w:style w:type="paragraph" w:styleId="1245" w:customStyle="1">
    <w:name w:val="正文文字缩进 3"/>
    <w:basedOn w:val="730"/>
    <w:uiPriority w:val="0"/>
    <w:qFormat/>
    <w:pPr>
      <w:ind w:left="420" w:firstLine="420"/>
      <w:spacing w:line="312" w:lineRule="auto"/>
    </w:pPr>
    <w:rPr>
      <w:rFonts w:ascii="黑体" w:hAnsi="黑体" w:eastAsia="宋体" w:cs="宋体"/>
      <w:bCs/>
      <w:color w:val="000000"/>
      <w:szCs w:val="22"/>
    </w:rPr>
  </w:style>
  <w:style w:type="paragraph" w:styleId="1246" w:customStyle="1">
    <w:name w:val="技术方案3"/>
    <w:basedOn w:val="730"/>
    <w:uiPriority w:val="0"/>
    <w:qFormat/>
    <w:pPr>
      <w:spacing w:line="360" w:lineRule="auto"/>
    </w:pPr>
    <w:rPr>
      <w:rFonts w:ascii="宋体" w:eastAsia="宋体"/>
      <w:b/>
      <w:bCs/>
      <w:sz w:val="32"/>
      <w:szCs w:val="22"/>
    </w:rPr>
  </w:style>
  <w:style w:type="paragraph" w:styleId="1247" w:customStyle="1">
    <w:name w:val="技术方案2"/>
    <w:basedOn w:val="730"/>
    <w:uiPriority w:val="0"/>
    <w:qFormat/>
    <w:pPr>
      <w:spacing w:line="480" w:lineRule="auto"/>
    </w:pPr>
    <w:rPr>
      <w:rFonts w:ascii="宋体" w:eastAsia="宋体"/>
      <w:b/>
      <w:bCs/>
      <w:sz w:val="36"/>
      <w:szCs w:val="22"/>
    </w:rPr>
  </w:style>
  <w:style w:type="paragraph" w:styleId="1248" w:customStyle="1">
    <w:name w:val="技术方案正文"/>
    <w:basedOn w:val="730"/>
    <w:uiPriority w:val="0"/>
    <w:qFormat/>
    <w:pPr>
      <w:ind w:firstLine="480"/>
      <w:spacing w:line="360" w:lineRule="auto"/>
    </w:pPr>
    <w:rPr>
      <w:rFonts w:ascii="宋体" w:eastAsia="宋体"/>
      <w:szCs w:val="22"/>
    </w:rPr>
  </w:style>
  <w:style w:type="paragraph" w:styleId="1249" w:customStyle="1">
    <w:name w:val="Normal Paragraph"/>
    <w:basedOn w:val="730"/>
    <w:uiPriority w:val="0"/>
    <w:qFormat/>
    <w:pPr>
      <w:ind w:firstLine="425"/>
      <w:spacing w:before="120" w:line="360" w:lineRule="auto"/>
      <w:widowControl/>
    </w:pPr>
    <w:rPr>
      <w:rFonts w:ascii="Calibri" w:hAnsi="Calibri" w:eastAsia="宋体"/>
      <w:szCs w:val="20"/>
    </w:rPr>
  </w:style>
  <w:style w:type="paragraph" w:styleId="1250" w:customStyle="1">
    <w:name w:val="Normal Paragraph Char"/>
    <w:basedOn w:val="730"/>
    <w:uiPriority w:val="0"/>
    <w:qFormat/>
    <w:pPr>
      <w:ind w:firstLine="425"/>
      <w:spacing w:before="120" w:line="360" w:lineRule="auto"/>
      <w:widowControl/>
    </w:pPr>
    <w:rPr>
      <w:rFonts w:ascii="Calibri" w:hAnsi="Calibri" w:eastAsia="宋体"/>
      <w:szCs w:val="22"/>
    </w:rPr>
  </w:style>
  <w:style w:type="paragraph" w:styleId="1251" w:customStyle="1">
    <w:name w:val="文档正文"/>
    <w:basedOn w:val="730"/>
    <w:uiPriority w:val="0"/>
    <w:qFormat/>
    <w:rPr>
      <w:rFonts w:ascii="宋体" w:eastAsia="宋体"/>
      <w:szCs w:val="20"/>
    </w:rPr>
  </w:style>
  <w:style w:type="paragraph" w:styleId="1252" w:customStyle="1">
    <w:name w:val="默认段落字体 Para Char Char Char Char Char"/>
    <w:basedOn w:val="73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3" w:customStyle="1">
    <w:name w:val="标题2"/>
    <w:basedOn w:val="730"/>
    <w:uiPriority w:val="0"/>
    <w:qFormat/>
    <w:pPr>
      <w:tabs>
        <w:tab w:val="left" w:pos="0" w:leader="none"/>
      </w:tabs>
    </w:pPr>
    <w:rPr>
      <w:rFonts w:ascii="黑体" w:eastAsia="黑体"/>
      <w:szCs w:val="22"/>
    </w:rPr>
  </w:style>
  <w:style w:type="paragraph" w:styleId="1254" w:customStyle="1">
    <w:name w:val="Char Char Char Char Char Char Char Char Char Char Char Char Char1"/>
    <w:basedOn w:val="730"/>
    <w:uiPriority w:val="0"/>
    <w:qFormat/>
    <w:pPr>
      <w:jc w:val="left"/>
      <w:spacing w:after="160" w:line="240" w:lineRule="exact"/>
      <w:widowControl/>
    </w:pPr>
    <w:rPr>
      <w:rFonts w:ascii="Arial" w:hAnsi="Arial" w:cs="Verdana"/>
      <w:b/>
      <w:szCs w:val="32"/>
      <w:lang w:eastAsia="en-US"/>
    </w:rPr>
  </w:style>
  <w:style w:type="paragraph" w:styleId="1255" w:customStyle="1">
    <w:name w:val="样式2"/>
    <w:basedOn w:val="776"/>
    <w:uiPriority w:val="0"/>
    <w:qFormat/>
    <w:pPr>
      <w:spacing w:line="415" w:lineRule="auto"/>
    </w:pPr>
    <w:rPr>
      <w:rFonts w:ascii="Calibri" w:hAnsi="Calibri"/>
      <w:bCs/>
      <w:color w:val="000000"/>
      <w:sz w:val="28"/>
      <w:szCs w:val="28"/>
    </w:rPr>
  </w:style>
  <w:style w:type="paragraph" w:styleId="1256" w:customStyle="1">
    <w:name w:val="样式3"/>
    <w:basedOn w:val="776"/>
    <w:uiPriority w:val="0"/>
    <w:qFormat/>
    <w:pPr>
      <w:spacing w:line="415" w:lineRule="auto"/>
    </w:pPr>
    <w:rPr>
      <w:rFonts w:ascii="Calibri" w:hAnsi="Calibri"/>
      <w:bCs/>
      <w:color w:val="000000"/>
      <w:sz w:val="28"/>
      <w:szCs w:val="28"/>
    </w:rPr>
  </w:style>
  <w:style w:type="paragraph" w:styleId="1257" w:customStyle="1">
    <w:name w:val="样式4"/>
    <w:basedOn w:val="776"/>
    <w:uiPriority w:val="0"/>
    <w:qFormat/>
    <w:pPr>
      <w:spacing w:line="415" w:lineRule="auto"/>
    </w:pPr>
    <w:rPr>
      <w:rFonts w:ascii="Calibri" w:hAnsi="Calibri"/>
      <w:bCs/>
      <w:color w:val="000000"/>
      <w:sz w:val="28"/>
      <w:szCs w:val="28"/>
    </w:rPr>
  </w:style>
  <w:style w:type="paragraph" w:styleId="1258" w:customStyle="1">
    <w:name w:val="样式5"/>
    <w:basedOn w:val="776"/>
    <w:uiPriority w:val="0"/>
    <w:qFormat/>
    <w:pPr>
      <w:spacing w:line="415" w:lineRule="auto"/>
    </w:pPr>
    <w:rPr>
      <w:rFonts w:ascii="Calibri" w:hAnsi="Calibri"/>
      <w:bCs/>
      <w:color w:val="000000"/>
      <w:sz w:val="28"/>
      <w:szCs w:val="28"/>
    </w:rPr>
  </w:style>
  <w:style w:type="paragraph" w:styleId="1259" w:customStyle="1">
    <w:name w:val="样式6"/>
    <w:basedOn w:val="1193"/>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0" w:customStyle="1">
    <w:name w:val="大汉方案正文 Char"/>
    <w:basedOn w:val="730"/>
    <w:uiPriority w:val="0"/>
    <w:qFormat/>
    <w:pPr>
      <w:ind w:firstLine="200"/>
      <w:spacing w:line="360" w:lineRule="auto"/>
    </w:pPr>
    <w:rPr>
      <w:rFonts w:ascii="Arial" w:hAnsi="Arial" w:eastAsia="宋体"/>
      <w:szCs w:val="22"/>
    </w:rPr>
  </w:style>
  <w:style w:type="character" w:styleId="1261" w:customStyle="1">
    <w:name w:val="标题 2 Char Char Char"/>
    <w:uiPriority w:val="0"/>
    <w:qFormat/>
    <w:rPr>
      <w:rFonts w:ascii="Arial" w:hAnsi="Arial" w:eastAsia="宋体" w:cs="Arial"/>
      <w:b/>
      <w:bCs/>
      <w:i/>
      <w:iCs/>
      <w:sz w:val="28"/>
      <w:szCs w:val="28"/>
      <w:lang w:val="en-US" w:eastAsia="zh-CN" w:bidi="ar-SA"/>
    </w:rPr>
  </w:style>
  <w:style w:type="character" w:styleId="1262" w:customStyle="1">
    <w:name w:val="question-title"/>
    <w:basedOn w:val="941"/>
    <w:uiPriority w:val="0"/>
    <w:qFormat/>
    <w:rPr>
      <w:rFonts w:ascii="Times New Roman" w:hAnsi="Times New Roman" w:eastAsia="宋体" w:cs="Times New Roman"/>
    </w:rPr>
  </w:style>
  <w:style w:type="paragraph" w:styleId="1263" w:customStyle="1">
    <w:name w:val="说明书3级标题"/>
    <w:basedOn w:val="730"/>
    <w:next w:val="730"/>
    <w:uiPriority w:val="0"/>
    <w:qFormat/>
    <w:pPr>
      <w:numPr>
        <w:ilvl w:val="2"/>
        <w:numId w:val="2"/>
      </w:numPr>
      <w:spacing w:line="360" w:lineRule="auto"/>
    </w:pPr>
    <w:rPr>
      <w:rFonts w:ascii="Calibri" w:hAnsi="Calibri" w:eastAsia="黑体"/>
      <w:szCs w:val="22"/>
    </w:rPr>
  </w:style>
  <w:style w:type="paragraph" w:styleId="1264" w:customStyle="1">
    <w:name w:val="说明书2级标题"/>
    <w:basedOn w:val="730"/>
    <w:next w:val="1263"/>
    <w:uiPriority w:val="0"/>
    <w:qFormat/>
    <w:pPr>
      <w:numPr>
        <w:ilvl w:val="2"/>
        <w:numId w:val="3"/>
      </w:numPr>
      <w:spacing w:before="100"/>
    </w:pPr>
    <w:rPr>
      <w:rFonts w:ascii="Calibri" w:hAnsi="Calibri" w:eastAsia="黑体"/>
      <w:sz w:val="28"/>
      <w:szCs w:val="28"/>
    </w:rPr>
  </w:style>
  <w:style w:type="character" w:styleId="1265" w:customStyle="1">
    <w:name w:val="style15"/>
    <w:basedOn w:val="941"/>
    <w:uiPriority w:val="0"/>
    <w:qFormat/>
    <w:rPr>
      <w:rFonts w:ascii="Times New Roman" w:hAnsi="Times New Roman" w:eastAsia="宋体" w:cs="Times New Roman"/>
    </w:rPr>
  </w:style>
  <w:style w:type="paragraph" w:styleId="1266" w:customStyle="1">
    <w:name w:val="列出段落[858D7CFB-ED40-4347-BF05-701D383B685F][858D7CFB-ED40-4347-BF05-701D383B685F]"/>
    <w:basedOn w:val="730"/>
    <w:uiPriority w:val="0"/>
    <w:qFormat/>
    <w:pPr>
      <w:ind w:firstLine="200"/>
    </w:pPr>
    <w:rPr>
      <w:rFonts w:ascii="Calibri" w:hAnsi="Calibri" w:eastAsia="宋体"/>
      <w:szCs w:val="22"/>
    </w:rPr>
  </w:style>
  <w:style w:type="paragraph" w:styleId="1267" w:customStyle="1">
    <w:name w:val="默认段落字体 Para Char Char Char Char Char Char Char Char Char1 Char Char Char Char Char Char Char Char"/>
    <w:basedOn w:val="956"/>
    <w:uiPriority w:val="0"/>
    <w:qFormat/>
    <w:rPr>
      <w:rFonts w:ascii="Calibri" w:hAnsi="Calibri"/>
      <w:szCs w:val="22"/>
    </w:rPr>
  </w:style>
  <w:style w:type="paragraph" w:styleId="1268" w:customStyle="1">
    <w:name w:val="style42"/>
    <w:basedOn w:val="730"/>
    <w:uiPriority w:val="0"/>
    <w:qFormat/>
    <w:pPr>
      <w:jc w:val="left"/>
      <w:spacing w:before="100" w:beforeAutospacing="1" w:after="100" w:afterAutospacing="1"/>
      <w:widowControl/>
    </w:pPr>
    <w:rPr>
      <w:rFonts w:ascii="宋体" w:eastAsia="宋体" w:cs="宋体"/>
      <w:color w:val="000000"/>
      <w:sz w:val="15"/>
      <w:szCs w:val="15"/>
    </w:rPr>
  </w:style>
  <w:style w:type="paragraph" w:styleId="1269" w:customStyle="1">
    <w:name w:val="Char Char1 Char Char Char Char Char Char Char Char"/>
    <w:basedOn w:val="730"/>
    <w:uiPriority w:val="0"/>
    <w:qFormat/>
    <w:pPr>
      <w:jc w:val="left"/>
      <w:spacing w:after="160" w:line="240" w:lineRule="exact"/>
      <w:widowControl/>
    </w:pPr>
    <w:rPr>
      <w:rFonts w:eastAsia="宋体"/>
    </w:rPr>
  </w:style>
  <w:style w:type="paragraph" w:styleId="1270" w:customStyle="1">
    <w:name w:val="技术方案正文样式"/>
    <w:basedOn w:val="730"/>
    <w:uiPriority w:val="0"/>
    <w:qFormat/>
    <w:pPr>
      <w:ind w:firstLine="200"/>
      <w:spacing w:line="400" w:lineRule="exact"/>
    </w:pPr>
    <w:rPr>
      <w:rFonts w:ascii="宋体" w:eastAsia="宋体" w:cs="宋体"/>
      <w:szCs w:val="21"/>
    </w:rPr>
  </w:style>
  <w:style w:type="paragraph" w:styleId="1271" w:customStyle="1">
    <w:name w:val="修订1"/>
    <w:uiPriority w:val="0"/>
    <w:qFormat/>
    <w:rPr>
      <w:rFonts w:ascii="Times New Roman" w:hAnsi="Times New Roman" w:eastAsia="宋体" w:cs="Times New Roman"/>
      <w:sz w:val="21"/>
      <w:szCs w:val="24"/>
      <w:lang w:val="en-US" w:eastAsia="zh-CN" w:bidi="ar-SA"/>
    </w:rPr>
  </w:style>
  <w:style w:type="paragraph" w:styleId="1272" w:customStyle="1">
    <w:name w:val="D&amp;L"/>
    <w:basedOn w:val="980"/>
    <w:uiPriority w:val="0"/>
    <w:qFormat/>
    <w:pPr>
      <w:spacing w:line="240" w:lineRule="atLeast"/>
      <w:pBdr>
        <w:bottom w:val="single" w:color="000000" w:sz="18" w:space="1"/>
      </w:pBdr>
    </w:pPr>
    <w:rPr>
      <w:sz w:val="24"/>
      <w:szCs w:val="20"/>
    </w:rPr>
  </w:style>
  <w:style w:type="paragraph" w:styleId="1273" w:customStyle="1">
    <w:name w:val="样式 标题 2 + Times New Roman 四号 非加粗 段前: 5 磅 段后: 0 磅 行距: 固定值 20..."/>
    <w:basedOn w:val="934"/>
    <w:uiPriority w:val="0"/>
    <w:qFormat/>
    <w:pPr>
      <w:spacing w:before="100" w:after="0" w:line="400" w:lineRule="exact"/>
    </w:pPr>
    <w:rPr>
      <w:rFonts w:ascii="Times New Roman" w:hAnsi="Times New Roman" w:eastAsia="宋体" w:cs="宋体"/>
      <w:b w:val="0"/>
      <w:sz w:val="28"/>
    </w:rPr>
  </w:style>
  <w:style w:type="paragraph" w:styleId="1274" w:customStyle="1">
    <w:name w:val="Char Char Char Char Char Char Char1 Char"/>
    <w:basedOn w:val="730"/>
    <w:uiPriority w:val="0"/>
    <w:qFormat/>
    <w:rPr>
      <w:rFonts w:ascii="Tahoma" w:hAnsi="Tahoma" w:eastAsia="宋体"/>
      <w:szCs w:val="20"/>
    </w:rPr>
  </w:style>
  <w:style w:type="paragraph" w:styleId="1275" w:customStyle="1">
    <w:name w:val="TOC 标题2"/>
    <w:basedOn w:val="933"/>
    <w:next w:val="730"/>
    <w:uiPriority w:val="0"/>
    <w:qFormat/>
    <w:pPr>
      <w:spacing w:before="480" w:after="0" w:line="276" w:lineRule="auto"/>
      <w:widowControl/>
      <w:outlineLvl w:val="9"/>
    </w:pPr>
    <w:rPr>
      <w:rFonts w:ascii="Cambria" w:hAnsi="Cambria"/>
      <w:color w:val="365f91"/>
      <w:sz w:val="28"/>
    </w:rPr>
  </w:style>
  <w:style w:type="character" w:styleId="1276" w:customStyle="1">
    <w:name w:val="无间隔 Char"/>
    <w:link w:val="1277"/>
    <w:uiPriority w:val="0"/>
    <w:qFormat/>
    <w:rPr>
      <w:rFonts w:ascii="Calibri" w:hAnsi="Calibri" w:eastAsia="宋体" w:cs="Times New Roman"/>
      <w:sz w:val="22"/>
      <w:lang w:bidi="ar-SA"/>
    </w:rPr>
  </w:style>
  <w:style w:type="paragraph" w:styleId="1277" w:customStyle="1">
    <w:name w:val="无间隔1"/>
    <w:link w:val="1276"/>
    <w:uiPriority w:val="0"/>
    <w:qFormat/>
    <w:rPr>
      <w:rFonts w:ascii="Calibri" w:hAnsi="Calibri" w:eastAsia="宋体" w:cs="Times New Roman"/>
      <w:sz w:val="22"/>
      <w:lang w:val="en-US" w:eastAsia="zh-CN" w:bidi="ar-SA"/>
    </w:rPr>
  </w:style>
  <w:style w:type="paragraph" w:styleId="127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79" w:customStyle="1">
    <w:name w:val="Normal_1"/>
    <w:uiPriority w:val="0"/>
    <w:qFormat/>
    <w:rPr>
      <w:rFonts w:ascii="黑体" w:hAnsi="黑体" w:eastAsia="黑体" w:cs="Times New Roman"/>
      <w:b/>
      <w:sz w:val="32"/>
      <w:szCs w:val="24"/>
      <w:lang w:val="en-US" w:eastAsia="zh-CN" w:bidi="ar-SA"/>
    </w:rPr>
  </w:style>
  <w:style w:type="paragraph" w:styleId="128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Normal_2"/>
    <w:uiPriority w:val="0"/>
    <w:qFormat/>
    <w:rPr>
      <w:rFonts w:ascii="黑体" w:hAnsi="黑体" w:eastAsia="黑体" w:cs="Times New Roman"/>
      <w:b/>
      <w:sz w:val="32"/>
      <w:szCs w:val="24"/>
      <w:lang w:val="en-US" w:eastAsia="zh-CN" w:bidi="ar-SA"/>
    </w:rPr>
  </w:style>
  <w:style w:type="paragraph" w:styleId="1284"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Normal_3"/>
    <w:uiPriority w:val="0"/>
    <w:qFormat/>
    <w:rPr>
      <w:rFonts w:ascii="黑体" w:hAnsi="黑体" w:eastAsia="黑体" w:cs="Times New Roman"/>
      <w:b/>
      <w:sz w:val="32"/>
      <w:szCs w:val="24"/>
      <w:lang w:val="en-US" w:eastAsia="zh-CN" w:bidi="ar-SA"/>
    </w:rPr>
  </w:style>
  <w:style w:type="paragraph" w:styleId="1286" w:customStyle="1">
    <w:name w:val="Normal_4"/>
    <w:uiPriority w:val="0"/>
    <w:qFormat/>
    <w:rPr>
      <w:rFonts w:ascii="黑体" w:hAnsi="黑体" w:eastAsia="黑体" w:cs="Times New Roman"/>
      <w:b/>
      <w:sz w:val="32"/>
      <w:szCs w:val="24"/>
      <w:lang w:val="en-US" w:eastAsia="zh-CN" w:bidi="ar-SA"/>
    </w:rPr>
  </w:style>
  <w:style w:type="paragraph" w:styleId="1287" w:customStyle="1">
    <w:name w:val="Normal_5"/>
    <w:uiPriority w:val="0"/>
    <w:qFormat/>
    <w:rPr>
      <w:rFonts w:ascii="黑体" w:hAnsi="黑体" w:eastAsia="黑体" w:cs="Times New Roman"/>
      <w:b/>
      <w:sz w:val="32"/>
      <w:szCs w:val="24"/>
      <w:lang w:val="en-US" w:eastAsia="zh-CN" w:bidi="ar-SA"/>
    </w:rPr>
  </w:style>
  <w:style w:type="paragraph" w:styleId="128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Normal_6"/>
    <w:uiPriority w:val="0"/>
    <w:qFormat/>
    <w:rPr>
      <w:rFonts w:ascii="黑体" w:hAnsi="黑体" w:eastAsia="黑体" w:cs="Times New Roman"/>
      <w:b/>
      <w:sz w:val="32"/>
      <w:szCs w:val="24"/>
      <w:lang w:val="en-US" w:eastAsia="zh-CN" w:bidi="ar-SA"/>
    </w:rPr>
  </w:style>
  <w:style w:type="paragraph" w:styleId="1290"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1" w:customStyle="1">
    <w:name w:val="Normal_7"/>
    <w:uiPriority w:val="0"/>
    <w:qFormat/>
    <w:rPr>
      <w:rFonts w:ascii="黑体" w:hAnsi="黑体" w:eastAsia="黑体" w:cs="Times New Roman"/>
      <w:b/>
      <w:sz w:val="32"/>
      <w:szCs w:val="24"/>
      <w:lang w:val="en-US" w:eastAsia="zh-CN" w:bidi="ar-SA"/>
    </w:rPr>
  </w:style>
  <w:style w:type="paragraph" w:styleId="1292" w:customStyle="1">
    <w:name w:val="Normal_8"/>
    <w:uiPriority w:val="0"/>
    <w:qFormat/>
    <w:rPr>
      <w:rFonts w:ascii="Times New Roman" w:hAnsi="Times New Roman" w:eastAsia="Times New Roman" w:cs="Times New Roman"/>
      <w:sz w:val="24"/>
      <w:szCs w:val="24"/>
      <w:lang w:val="en-US" w:eastAsia="zh-CN" w:bidi="ar-SA"/>
    </w:rPr>
  </w:style>
  <w:style w:type="paragraph" w:styleId="1293" w:customStyle="1">
    <w:name w:val="Normal_9"/>
    <w:uiPriority w:val="0"/>
    <w:qFormat/>
    <w:rPr>
      <w:rFonts w:ascii="黑体" w:hAnsi="黑体" w:eastAsia="黑体" w:cs="Times New Roman"/>
      <w:b/>
      <w:sz w:val="32"/>
      <w:szCs w:val="24"/>
      <w:lang w:val="en-US" w:eastAsia="zh-CN" w:bidi="ar-SA"/>
    </w:rPr>
  </w:style>
  <w:style w:type="paragraph" w:styleId="1294"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95" w:customStyle="1">
    <w:name w:val="Normal_10"/>
    <w:uiPriority w:val="0"/>
    <w:qFormat/>
    <w:rPr>
      <w:rFonts w:ascii="黑体" w:hAnsi="黑体" w:eastAsia="黑体" w:cs="Times New Roman"/>
      <w:b/>
      <w:sz w:val="32"/>
      <w:szCs w:val="24"/>
      <w:lang w:val="en-US" w:eastAsia="zh-CN" w:bidi="ar-SA"/>
    </w:rPr>
  </w:style>
  <w:style w:type="paragraph" w:styleId="1296"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297" w:customStyle="1">
    <w:name w:val="正文缩进 Char1_0"/>
    <w:link w:val="1298"/>
    <w:uiPriority w:val="0"/>
    <w:qFormat/>
    <w:rPr>
      <w:rFonts w:ascii="Times New Roman" w:hAnsi="Times New Roman" w:eastAsia="宋体" w:cs="Times New Roman"/>
      <w:sz w:val="21"/>
      <w:szCs w:val="22"/>
    </w:rPr>
  </w:style>
  <w:style w:type="paragraph" w:styleId="1298" w:customStyle="1">
    <w:name w:val="正文缩进_0"/>
    <w:basedOn w:val="1296"/>
    <w:link w:val="1297"/>
    <w:uiPriority w:val="0"/>
    <w:qFormat/>
    <w:pPr>
      <w:ind w:firstLine="420"/>
    </w:pPr>
    <w:rPr>
      <w:szCs w:val="22"/>
    </w:rPr>
  </w:style>
  <w:style w:type="character" w:styleId="1299" w:customStyle="1">
    <w:name w:val="纯文本 Char_0"/>
    <w:link w:val="1300"/>
    <w:uiPriority w:val="0"/>
    <w:qFormat/>
    <w:rPr>
      <w:rFonts w:ascii="宋体" w:hAnsi="Courier New" w:eastAsia="宋体" w:cs="Courier New"/>
      <w:sz w:val="21"/>
      <w:szCs w:val="21"/>
    </w:rPr>
  </w:style>
  <w:style w:type="paragraph" w:styleId="1300" w:customStyle="1">
    <w:name w:val="纯文本_0"/>
    <w:basedOn w:val="1296"/>
    <w:link w:val="1299"/>
    <w:uiPriority w:val="0"/>
    <w:qFormat/>
    <w:rPr>
      <w:rFonts w:ascii="宋体" w:hAnsi="Courier New"/>
      <w:szCs w:val="21"/>
    </w:rPr>
  </w:style>
  <w:style w:type="paragraph" w:styleId="1301" w:customStyle="1">
    <w:name w:val="Normal_11"/>
    <w:uiPriority w:val="0"/>
    <w:qFormat/>
    <w:rPr>
      <w:rFonts w:ascii="黑体" w:hAnsi="黑体" w:eastAsia="黑体" w:cs="Times New Roman"/>
      <w:b/>
      <w:sz w:val="32"/>
      <w:szCs w:val="24"/>
      <w:lang w:val="en-US" w:eastAsia="zh-CN" w:bidi="ar-SA"/>
    </w:rPr>
  </w:style>
  <w:style w:type="paragraph" w:styleId="1302"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3" w:customStyle="1">
    <w:name w:val="Normal_12"/>
    <w:uiPriority w:val="0"/>
    <w:qFormat/>
    <w:rPr>
      <w:rFonts w:ascii="黑体" w:hAnsi="黑体" w:eastAsia="黑体" w:cs="Times New Roman"/>
      <w:b/>
      <w:sz w:val="32"/>
      <w:szCs w:val="24"/>
      <w:lang w:val="en-US" w:eastAsia="zh-CN" w:bidi="ar-SA"/>
    </w:rPr>
  </w:style>
  <w:style w:type="paragraph" w:styleId="1304"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5" w:customStyle="1">
    <w:name w:val="Normal_13"/>
    <w:uiPriority w:val="0"/>
    <w:qFormat/>
    <w:rPr>
      <w:rFonts w:ascii="黑体" w:hAnsi="黑体" w:eastAsia="黑体" w:cs="Times New Roman"/>
      <w:b/>
      <w:sz w:val="32"/>
      <w:szCs w:val="24"/>
      <w:lang w:val="en-US" w:eastAsia="zh-CN" w:bidi="ar-SA"/>
    </w:rPr>
  </w:style>
  <w:style w:type="paragraph" w:styleId="1306"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Normal_14"/>
    <w:uiPriority w:val="0"/>
    <w:qFormat/>
    <w:rPr>
      <w:rFonts w:ascii="黑体" w:hAnsi="黑体" w:eastAsia="黑体" w:cs="Times New Roman"/>
      <w:b/>
      <w:sz w:val="32"/>
      <w:szCs w:val="24"/>
      <w:lang w:val="en-US" w:eastAsia="zh-CN" w:bidi="ar-SA"/>
    </w:rPr>
  </w:style>
  <w:style w:type="paragraph" w:styleId="1308"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Normal_15"/>
    <w:uiPriority w:val="0"/>
    <w:qFormat/>
    <w:rPr>
      <w:rFonts w:ascii="黑体" w:hAnsi="黑体" w:eastAsia="黑体" w:cs="Times New Roman"/>
      <w:b/>
      <w:sz w:val="32"/>
      <w:szCs w:val="24"/>
      <w:lang w:val="en-US" w:eastAsia="zh-CN" w:bidi="ar-SA"/>
    </w:rPr>
  </w:style>
  <w:style w:type="paragraph" w:styleId="1310"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Normal_16"/>
    <w:uiPriority w:val="0"/>
    <w:qFormat/>
    <w:rPr>
      <w:rFonts w:ascii="黑体" w:hAnsi="黑体" w:eastAsia="黑体" w:cs="Times New Roman"/>
      <w:b/>
      <w:sz w:val="32"/>
      <w:szCs w:val="24"/>
      <w:lang w:val="en-US" w:eastAsia="zh-CN" w:bidi="ar-SA"/>
    </w:rPr>
  </w:style>
  <w:style w:type="paragraph" w:styleId="1312"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4" w:customStyle="1">
    <w:name w:val="Normal_17"/>
    <w:uiPriority w:val="0"/>
    <w:qFormat/>
    <w:rPr>
      <w:rFonts w:ascii="黑体" w:hAnsi="黑体" w:eastAsia="黑体" w:cs="Times New Roman"/>
      <w:b/>
      <w:sz w:val="32"/>
      <w:szCs w:val="24"/>
      <w:lang w:val="en-US" w:eastAsia="zh-CN" w:bidi="ar-SA"/>
    </w:rPr>
  </w:style>
  <w:style w:type="paragraph" w:styleId="1315" w:customStyle="1">
    <w:name w:val="Normal_18"/>
    <w:uiPriority w:val="0"/>
    <w:qFormat/>
    <w:rPr>
      <w:rFonts w:ascii="黑体" w:hAnsi="黑体" w:eastAsia="黑体" w:cs="Times New Roman"/>
      <w:b/>
      <w:sz w:val="32"/>
      <w:szCs w:val="24"/>
      <w:lang w:val="en-US" w:eastAsia="zh-CN" w:bidi="ar-SA"/>
    </w:rPr>
  </w:style>
  <w:style w:type="paragraph" w:styleId="1316"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17" w:customStyle="1">
    <w:name w:val="Normal_0_0"/>
    <w:uiPriority w:val="0"/>
    <w:qFormat/>
    <w:rPr>
      <w:rFonts w:ascii="黑体" w:hAnsi="黑体" w:eastAsia="黑体" w:cs="Times New Roman"/>
      <w:b/>
      <w:sz w:val="40"/>
      <w:szCs w:val="24"/>
      <w:lang w:val="en-US" w:eastAsia="zh-CN" w:bidi="ar-SA"/>
    </w:rPr>
  </w:style>
  <w:style w:type="paragraph" w:styleId="1318" w:customStyle="1">
    <w:name w:val="Normal_1_0"/>
    <w:uiPriority w:val="0"/>
    <w:qFormat/>
    <w:rPr>
      <w:rFonts w:ascii="Times New Roman" w:hAnsi="Times New Roman" w:eastAsia="Times New Roman" w:cs="Times New Roman"/>
      <w:sz w:val="24"/>
      <w:szCs w:val="24"/>
      <w:lang w:val="en-US" w:eastAsia="zh-CN" w:bidi="ar-SA"/>
    </w:rPr>
  </w:style>
  <w:style w:type="paragraph" w:styleId="1319" w:customStyle="1">
    <w:name w:val="Normal1"/>
    <w:uiPriority w:val="0"/>
    <w:qFormat/>
    <w:rPr>
      <w:rFonts w:ascii="Times New Roman" w:hAnsi="Times New Roman" w:eastAsia="Times New Roman" w:cs="Times New Roman"/>
      <w:sz w:val="24"/>
      <w:szCs w:val="24"/>
      <w:lang w:val="en-US" w:eastAsia="zh-CN" w:bidi="ar-SA"/>
    </w:rPr>
  </w:style>
  <w:style w:type="paragraph" w:styleId="1320"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Normal_19"/>
    <w:uiPriority w:val="0"/>
    <w:qFormat/>
    <w:rPr>
      <w:rFonts w:ascii="Times New Roman" w:hAnsi="Times New Roman" w:eastAsia="Times New Roman" w:cs="Times New Roman"/>
      <w:sz w:val="24"/>
      <w:szCs w:val="24"/>
      <w:lang w:val="en-US" w:eastAsia="zh-CN" w:bidi="ar-SA"/>
    </w:rPr>
  </w:style>
  <w:style w:type="paragraph" w:styleId="1323" w:customStyle="1">
    <w:name w:val="Normal_5_0"/>
    <w:uiPriority w:val="0"/>
    <w:qFormat/>
    <w:rPr>
      <w:rFonts w:ascii="黑体" w:hAnsi="黑体" w:eastAsia="黑体" w:cs="黑体"/>
      <w:b/>
      <w:sz w:val="32"/>
      <w:szCs w:val="24"/>
      <w:lang w:val="en-US" w:eastAsia="zh-CN" w:bidi="ar-SA"/>
    </w:rPr>
  </w:style>
  <w:style w:type="paragraph" w:styleId="1324" w:customStyle="1">
    <w:name w:val="Normal_6_0"/>
    <w:uiPriority w:val="0"/>
    <w:qFormat/>
    <w:rPr>
      <w:rFonts w:ascii="黑体" w:hAnsi="黑体" w:eastAsia="黑体" w:cs="黑体"/>
      <w:b/>
      <w:sz w:val="32"/>
      <w:szCs w:val="24"/>
      <w:lang w:val="en-US" w:eastAsia="zh-CN" w:bidi="ar-SA"/>
    </w:rPr>
  </w:style>
  <w:style w:type="paragraph" w:styleId="1325" w:customStyle="1">
    <w:name w:val="Normal_10_0"/>
    <w:uiPriority w:val="0"/>
    <w:qFormat/>
    <w:rPr>
      <w:rFonts w:ascii="Times New Roman" w:hAnsi="Times New Roman" w:eastAsia="Times New Roman" w:cs="Times New Roman"/>
      <w:sz w:val="24"/>
      <w:szCs w:val="24"/>
      <w:lang w:val="en-US" w:eastAsia="zh-CN" w:bidi="ar-SA"/>
    </w:rPr>
  </w:style>
  <w:style w:type="paragraph" w:styleId="1326" w:customStyle="1">
    <w:name w:val="Normal_11_0"/>
    <w:uiPriority w:val="0"/>
    <w:qFormat/>
    <w:rPr>
      <w:rFonts w:ascii="黑体" w:hAnsi="黑体" w:eastAsia="黑体" w:cs="黑体"/>
      <w:b/>
      <w:sz w:val="32"/>
      <w:szCs w:val="24"/>
      <w:lang w:val="en-US" w:eastAsia="zh-CN" w:bidi="ar-SA"/>
    </w:rPr>
  </w:style>
  <w:style w:type="paragraph" w:styleId="132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28"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29"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1"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2" w:customStyle="1">
    <w:name w:val="列出段落_2"/>
    <w:basedOn w:val="1330"/>
    <w:uiPriority w:val="0"/>
    <w:qFormat/>
    <w:pPr>
      <w:ind w:firstLine="420"/>
    </w:pPr>
  </w:style>
  <w:style w:type="paragraph" w:styleId="1333"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34" w:customStyle="1">
    <w:name w:val="Normal_16_0"/>
    <w:uiPriority w:val="0"/>
    <w:qFormat/>
    <w:rPr>
      <w:rFonts w:ascii="黑体" w:hAnsi="黑体" w:eastAsia="黑体" w:cs="黑体"/>
      <w:b/>
      <w:sz w:val="32"/>
      <w:szCs w:val="24"/>
      <w:lang w:val="en-US" w:eastAsia="zh-CN" w:bidi="ar-SA"/>
    </w:rPr>
  </w:style>
  <w:style w:type="paragraph" w:styleId="1335"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37" w:customStyle="1">
    <w:name w:val="Normal_19_0"/>
    <w:uiPriority w:val="0"/>
    <w:qFormat/>
    <w:rPr>
      <w:rFonts w:ascii="黑体" w:hAnsi="黑体" w:eastAsia="黑体" w:cs="黑体"/>
      <w:b/>
      <w:sz w:val="32"/>
      <w:szCs w:val="24"/>
      <w:lang w:val="en-US" w:eastAsia="zh-CN" w:bidi="ar-SA"/>
    </w:rPr>
  </w:style>
  <w:style w:type="paragraph" w:styleId="1338"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39" w:customStyle="1">
    <w:name w:val="Normal_20"/>
    <w:uiPriority w:val="0"/>
    <w:qFormat/>
    <w:rPr>
      <w:rFonts w:ascii="黑体" w:hAnsi="黑体" w:eastAsia="黑体" w:cs="黑体"/>
      <w:b/>
      <w:sz w:val="32"/>
      <w:szCs w:val="24"/>
      <w:lang w:val="en-US" w:eastAsia="zh-CN" w:bidi="ar-SA"/>
    </w:rPr>
  </w:style>
  <w:style w:type="paragraph" w:styleId="1340" w:customStyle="1">
    <w:name w:val="Normal_21"/>
    <w:uiPriority w:val="0"/>
    <w:qFormat/>
    <w:rPr>
      <w:rFonts w:ascii="黑体" w:hAnsi="黑体" w:eastAsia="黑体" w:cs="黑体"/>
      <w:b/>
      <w:sz w:val="32"/>
      <w:szCs w:val="24"/>
      <w:lang w:val="en-US" w:eastAsia="zh-CN" w:bidi="ar-SA"/>
    </w:rPr>
  </w:style>
  <w:style w:type="paragraph" w:styleId="1341" w:customStyle="1">
    <w:name w:val="Normal_0_2"/>
    <w:uiPriority w:val="0"/>
    <w:qFormat/>
    <w:rPr>
      <w:rFonts w:ascii="黑体" w:hAnsi="黑体" w:eastAsia="黑体" w:cs="黑体"/>
      <w:b/>
      <w:sz w:val="32"/>
      <w:szCs w:val="24"/>
      <w:lang w:val="en-US" w:eastAsia="zh-CN" w:bidi="ar-SA"/>
    </w:rPr>
  </w:style>
  <w:style w:type="paragraph" w:styleId="1342" w:customStyle="1">
    <w:name w:val="首行缩进"/>
    <w:basedOn w:val="730"/>
    <w:uiPriority w:val="0"/>
    <w:qFormat/>
    <w:pPr>
      <w:ind w:firstLine="480"/>
    </w:pPr>
    <w:rPr>
      <w:rFonts w:eastAsia="宋体"/>
      <w:szCs w:val="20"/>
      <w:lang w:val="zh-CN"/>
    </w:rPr>
  </w:style>
  <w:style w:type="paragraph" w:styleId="1343" w:customStyle="1">
    <w:name w:val="列出段落2"/>
    <w:basedOn w:val="730"/>
    <w:uiPriority w:val="0"/>
    <w:qFormat/>
    <w:pPr>
      <w:widowControl/>
    </w:pPr>
    <w:rPr>
      <w:rFonts w:eastAsia="宋体"/>
      <w:szCs w:val="20"/>
      <w:lang w:eastAsia="ar-SA"/>
    </w:rPr>
  </w:style>
  <w:style w:type="character" w:styleId="1344" w:customStyle="1">
    <w:name w:val="批注框文本 字符"/>
    <w:basedOn w:val="740"/>
    <w:link w:val="752"/>
    <w:uiPriority w:val="99"/>
    <w:semiHidden/>
    <w:qFormat/>
    <w:rPr>
      <w:rFonts w:eastAsia="Times New Roman"/>
      <w:sz w:val="18"/>
      <w:szCs w:val="18"/>
    </w:rPr>
  </w:style>
  <w:style w:type="character" w:styleId="1345" w:customStyle="1">
    <w:name w:val="批注文字 字符"/>
    <w:basedOn w:val="740"/>
    <w:link w:val="744"/>
    <w:uiPriority w:val="99"/>
    <w:semiHidden/>
    <w:qFormat/>
    <w:rPr>
      <w:rFonts w:eastAsia="Times New Roman"/>
      <w:sz w:val="24"/>
      <w:szCs w:val="24"/>
    </w:rPr>
  </w:style>
  <w:style w:type="character" w:styleId="1346" w:customStyle="1">
    <w:name w:val="批注主题 字符"/>
    <w:basedOn w:val="1345"/>
    <w:link w:val="765"/>
    <w:uiPriority w:val="0"/>
    <w:qFormat/>
    <w:rPr>
      <w:rFonts w:eastAsia="Times New Roman"/>
      <w:sz w:val="24"/>
      <w:szCs w:val="24"/>
    </w:rPr>
  </w:style>
  <w:style w:type="paragraph" w:styleId="1347" w:customStyle="1">
    <w:name w:val="WPSOffice手动目录 1"/>
    <w:uiPriority w:val="0"/>
    <w:qFormat/>
    <w:rPr>
      <w:rFonts w:ascii="Times New Roman" w:hAnsi="Times New Roman" w:eastAsia="宋体" w:cs="Times New Roman"/>
      <w:lang w:val="en-US" w:eastAsia="zh-CN" w:bidi="ar-SA"/>
    </w:rPr>
  </w:style>
  <w:style w:type="character" w:styleId="1348" w:customStyle="1">
    <w:name w:val="16"/>
    <w:basedOn w:val="740"/>
    <w:uiPriority w:val="0"/>
    <w:qFormat/>
    <w:rPr>
      <w:rFonts w:hint="default" w:ascii="Times New Roman" w:hAnsi="Times New Roman" w:eastAsia="宋体" w:cs="Times New Roman"/>
    </w:rPr>
  </w:style>
  <w:style w:type="character" w:styleId="1349" w:customStyle="1">
    <w:name w:val="15"/>
    <w:basedOn w:val="740"/>
    <w:uiPriority w:val="0"/>
    <w:qFormat/>
    <w:rPr>
      <w:rFonts w:hint="default" w:ascii="Times New Roman" w:hAnsi="Times New Roman" w:eastAsia="宋体" w:cs="Times New Roman"/>
    </w:rPr>
  </w:style>
  <w:style w:type="numbering" w:styleId="13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4</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6</cp:revision>
  <dcterms:created xsi:type="dcterms:W3CDTF">2024-08-29T02:47:00Z</dcterms:created>
  <dcterms:modified xsi:type="dcterms:W3CDTF">2025-09-01T05:44:27Z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8975126B33BA4602A90FF22BDD9E62E1_13</vt:lpwstr>
  </property>
  <property fmtid="{D5CDD505-2E9C-101B-9397-08002B2CF9AE}" pid="4" name="KSOTemplateDocerSaveRecord">
    <vt:lpwstr>eyJoZGlkIjoiMjYyZmZlM2RiNzNkODYzMmRmMzE4MjFlOTcxMTVjYTIiLCJ1c2VySWQiOiIzMDIxMTIwMyJ9</vt:lpwstr>
  </property>
</Properties>
</file>