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72D24">
      <w:pPr>
        <w:bidi w:val="0"/>
        <w:rPr>
          <w:rFonts w:hint="eastAsia"/>
          <w:color w:val="auto"/>
          <w:highlight w:val="none"/>
        </w:rPr>
      </w:pPr>
      <w:bookmarkStart w:id="0" w:name="_Toc55204177"/>
      <w:bookmarkStart w:id="1" w:name="_Toc55204178"/>
      <w:bookmarkStart w:id="2" w:name="_Toc55204179"/>
      <w:bookmarkStart w:id="3" w:name="_Hlk69392822"/>
      <w:bookmarkStart w:id="4" w:name="_Toc55204181"/>
    </w:p>
    <w:p w14:paraId="63EB2116">
      <w:pPr>
        <w:jc w:val="right"/>
        <w:rPr>
          <w:rFonts w:hint="eastAsia" w:ascii="宋体" w:hAnsi="宋体" w:eastAsia="宋体" w:cs="宋体"/>
          <w:color w:val="auto"/>
          <w:sz w:val="28"/>
          <w:szCs w:val="28"/>
          <w:highlight w:val="none"/>
          <w:lang w:val="en-US" w:eastAsia="zh-CN"/>
        </w:rPr>
      </w:pPr>
      <w:r>
        <w:rPr>
          <w:rFonts w:hint="eastAsia" w:ascii="宋体" w:hAnsi="宋体" w:cs="宋体"/>
          <w:b/>
          <w:bCs/>
          <w:color w:val="auto"/>
          <w:sz w:val="28"/>
          <w:szCs w:val="28"/>
          <w:highlight w:val="none"/>
        </w:rPr>
        <w:t>编号：JSZC-321084-ZZZX-G2025-0012</w:t>
      </w:r>
      <w:r>
        <w:rPr>
          <w:rFonts w:hint="eastAsia" w:ascii="宋体" w:hAnsi="宋体" w:cs="宋体"/>
          <w:b/>
          <w:bCs/>
          <w:color w:val="auto"/>
          <w:sz w:val="28"/>
          <w:szCs w:val="28"/>
          <w:highlight w:val="none"/>
          <w:lang w:val="en-US" w:eastAsia="zh-CN"/>
        </w:rPr>
        <w:t>号</w:t>
      </w:r>
    </w:p>
    <w:p w14:paraId="5A0AB8E4">
      <w:pPr>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 xml:space="preserve"> </w:t>
      </w:r>
      <w:bookmarkStart w:id="5" w:name="_Hlk173335841"/>
      <w:r>
        <w:rPr>
          <w:rFonts w:hint="eastAsia" w:ascii="宋体" w:hAnsi="宋体" w:cs="宋体"/>
          <w:color w:val="auto"/>
          <w:sz w:val="36"/>
          <w:szCs w:val="36"/>
          <w:highlight w:val="none"/>
        </w:rPr>
        <w:t xml:space="preserve"> </w:t>
      </w:r>
    </w:p>
    <w:p w14:paraId="57112DA4">
      <w:pPr>
        <w:jc w:val="center"/>
        <w:rPr>
          <w:rFonts w:hint="eastAsia" w:ascii="宋体" w:hAnsi="宋体" w:cs="宋体"/>
          <w:color w:val="auto"/>
          <w:sz w:val="36"/>
          <w:szCs w:val="36"/>
          <w:highlight w:val="none"/>
        </w:rPr>
      </w:pPr>
    </w:p>
    <w:p w14:paraId="116ACAD8">
      <w:pPr>
        <w:jc w:val="center"/>
        <w:rPr>
          <w:rFonts w:hint="eastAsia" w:ascii="宋体" w:hAnsi="宋体" w:cs="宋体"/>
          <w:b/>
          <w:bCs/>
          <w:color w:val="auto"/>
          <w:sz w:val="40"/>
          <w:szCs w:val="40"/>
          <w:highlight w:val="none"/>
        </w:rPr>
      </w:pPr>
      <w:r>
        <w:rPr>
          <w:rFonts w:hint="eastAsia" w:ascii="宋体" w:hAnsi="宋体" w:cs="宋体"/>
          <w:b/>
          <w:bCs/>
          <w:color w:val="auto"/>
          <w:sz w:val="40"/>
          <w:szCs w:val="40"/>
          <w:highlight w:val="none"/>
        </w:rPr>
        <w:t>江苏省高邮中等专业学校汽车虚仿基地二期</w:t>
      </w:r>
    </w:p>
    <w:p w14:paraId="661E1F33">
      <w:pPr>
        <w:jc w:val="center"/>
        <w:rPr>
          <w:rFonts w:hint="eastAsia" w:ascii="宋体" w:hAnsi="宋体" w:cs="宋体"/>
          <w:b/>
          <w:bCs/>
          <w:color w:val="auto"/>
          <w:sz w:val="40"/>
          <w:szCs w:val="40"/>
          <w:highlight w:val="none"/>
        </w:rPr>
      </w:pPr>
      <w:r>
        <w:rPr>
          <w:rFonts w:hint="eastAsia" w:ascii="宋体" w:hAnsi="宋体" w:cs="宋体"/>
          <w:b/>
          <w:bCs/>
          <w:color w:val="auto"/>
          <w:sz w:val="40"/>
          <w:szCs w:val="40"/>
          <w:highlight w:val="none"/>
        </w:rPr>
        <w:t>建设采购项目</w:t>
      </w:r>
      <w:bookmarkEnd w:id="5"/>
      <w:r>
        <w:rPr>
          <w:rFonts w:hint="eastAsia" w:ascii="宋体" w:hAnsi="宋体" w:cs="宋体"/>
          <w:b/>
          <w:bCs/>
          <w:color w:val="auto"/>
          <w:sz w:val="40"/>
          <w:szCs w:val="40"/>
          <w:highlight w:val="none"/>
        </w:rPr>
        <w:t>公开招标文件</w:t>
      </w:r>
    </w:p>
    <w:p w14:paraId="0BA88B83">
      <w:pPr>
        <w:jc w:val="center"/>
        <w:rPr>
          <w:rFonts w:hint="eastAsia" w:ascii="宋体" w:hAnsi="宋体" w:cs="宋体"/>
          <w:color w:val="auto"/>
          <w:sz w:val="36"/>
          <w:szCs w:val="36"/>
          <w:highlight w:val="none"/>
        </w:rPr>
      </w:pPr>
    </w:p>
    <w:p w14:paraId="2EF86F2A">
      <w:pPr>
        <w:jc w:val="center"/>
        <w:rPr>
          <w:rFonts w:hint="eastAsia" w:ascii="宋体" w:hAnsi="宋体" w:cs="宋体"/>
          <w:color w:val="auto"/>
          <w:sz w:val="36"/>
          <w:szCs w:val="36"/>
          <w:highlight w:val="none"/>
        </w:rPr>
      </w:pPr>
    </w:p>
    <w:p w14:paraId="2F9A752E">
      <w:pPr>
        <w:jc w:val="center"/>
        <w:rPr>
          <w:rFonts w:hint="eastAsia" w:ascii="宋体" w:hAnsi="宋体" w:cs="宋体"/>
          <w:color w:val="auto"/>
          <w:sz w:val="36"/>
          <w:szCs w:val="36"/>
          <w:highlight w:val="none"/>
        </w:rPr>
      </w:pPr>
    </w:p>
    <w:p w14:paraId="5040DAE1">
      <w:pPr>
        <w:jc w:val="center"/>
        <w:rPr>
          <w:rFonts w:hint="eastAsia" w:ascii="宋体" w:hAnsi="宋体" w:cs="宋体"/>
          <w:color w:val="auto"/>
          <w:sz w:val="36"/>
          <w:szCs w:val="36"/>
          <w:highlight w:val="none"/>
        </w:rPr>
      </w:pPr>
    </w:p>
    <w:p w14:paraId="17188BC9">
      <w:pPr>
        <w:jc w:val="center"/>
        <w:rPr>
          <w:rFonts w:hint="eastAsia" w:ascii="宋体" w:hAnsi="宋体" w:cs="宋体"/>
          <w:color w:val="auto"/>
          <w:sz w:val="36"/>
          <w:szCs w:val="36"/>
          <w:highlight w:val="none"/>
        </w:rPr>
      </w:pPr>
    </w:p>
    <w:p w14:paraId="45F254FD">
      <w:pPr>
        <w:jc w:val="center"/>
        <w:rPr>
          <w:rFonts w:hint="eastAsia" w:ascii="宋体" w:hAnsi="宋体" w:cs="宋体"/>
          <w:color w:val="auto"/>
          <w:sz w:val="36"/>
          <w:szCs w:val="36"/>
          <w:highlight w:val="none"/>
        </w:rPr>
      </w:pPr>
    </w:p>
    <w:p w14:paraId="7C8939D4">
      <w:pPr>
        <w:jc w:val="center"/>
        <w:rPr>
          <w:rFonts w:hint="eastAsia" w:ascii="宋体" w:hAnsi="宋体" w:cs="宋体"/>
          <w:color w:val="auto"/>
          <w:sz w:val="36"/>
          <w:szCs w:val="36"/>
          <w:highlight w:val="none"/>
        </w:rPr>
      </w:pPr>
    </w:p>
    <w:p w14:paraId="7AAA94AD">
      <w:pPr>
        <w:jc w:val="center"/>
        <w:rPr>
          <w:rFonts w:hint="eastAsia" w:ascii="宋体" w:hAnsi="宋体" w:cs="宋体"/>
          <w:color w:val="auto"/>
          <w:sz w:val="36"/>
          <w:szCs w:val="36"/>
          <w:highlight w:val="none"/>
        </w:rPr>
      </w:pPr>
    </w:p>
    <w:p w14:paraId="0B468203">
      <w:pPr>
        <w:jc w:val="center"/>
        <w:rPr>
          <w:rFonts w:hint="eastAsia" w:ascii="宋体" w:hAnsi="宋体" w:cs="宋体"/>
          <w:color w:val="auto"/>
          <w:sz w:val="36"/>
          <w:szCs w:val="36"/>
          <w:highlight w:val="none"/>
        </w:rPr>
      </w:pPr>
    </w:p>
    <w:p w14:paraId="04B5DDC1">
      <w:pPr>
        <w:jc w:val="center"/>
        <w:rPr>
          <w:rFonts w:hint="eastAsia" w:ascii="宋体" w:hAnsi="宋体" w:cs="宋体"/>
          <w:color w:val="auto"/>
          <w:sz w:val="36"/>
          <w:szCs w:val="36"/>
          <w:highlight w:val="none"/>
        </w:rPr>
      </w:pPr>
    </w:p>
    <w:p w14:paraId="59AFF9FD">
      <w:pPr>
        <w:ind w:firstLine="1440" w:firstLineChars="400"/>
        <w:rPr>
          <w:rFonts w:hint="eastAsia" w:ascii="宋体" w:hAnsi="宋体" w:cs="宋体"/>
          <w:color w:val="auto"/>
          <w:sz w:val="36"/>
          <w:szCs w:val="36"/>
          <w:highlight w:val="none"/>
        </w:rPr>
      </w:pPr>
      <w:r>
        <w:rPr>
          <w:rFonts w:hint="eastAsia" w:ascii="宋体" w:hAnsi="宋体" w:cs="宋体"/>
          <w:color w:val="auto"/>
          <w:sz w:val="36"/>
          <w:szCs w:val="36"/>
          <w:highlight w:val="none"/>
        </w:rPr>
        <w:t>采购人： 江苏省高邮中等专业学校</w:t>
      </w:r>
    </w:p>
    <w:p w14:paraId="45E1A8C7">
      <w:pPr>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 xml:space="preserve">  招标代理机构：江苏中兆工程咨询有限公司</w:t>
      </w:r>
    </w:p>
    <w:p w14:paraId="41B4D6A5">
      <w:pPr>
        <w:jc w:val="center"/>
        <w:rPr>
          <w:rFonts w:hint="eastAsia" w:ascii="宋体" w:hAnsi="宋体" w:cs="宋体"/>
          <w:color w:val="auto"/>
          <w:sz w:val="36"/>
          <w:szCs w:val="36"/>
          <w:highlight w:val="none"/>
        </w:rPr>
      </w:pPr>
      <w:bookmarkStart w:id="6" w:name="FMFBSJ_1"/>
      <w:r>
        <w:rPr>
          <w:rFonts w:hint="eastAsia" w:ascii="宋体" w:hAnsi="宋体" w:cs="宋体"/>
          <w:color w:val="auto"/>
          <w:sz w:val="36"/>
          <w:szCs w:val="36"/>
          <w:highlight w:val="none"/>
        </w:rPr>
        <w:t>2025年0</w:t>
      </w:r>
      <w:r>
        <w:rPr>
          <w:rFonts w:hint="eastAsia" w:ascii="宋体" w:hAnsi="宋体" w:cs="宋体"/>
          <w:color w:val="auto"/>
          <w:sz w:val="36"/>
          <w:szCs w:val="36"/>
          <w:highlight w:val="none"/>
          <w:lang w:val="en-US" w:eastAsia="zh-CN"/>
        </w:rPr>
        <w:t>8</w:t>
      </w:r>
      <w:r>
        <w:rPr>
          <w:rFonts w:hint="eastAsia" w:ascii="宋体" w:hAnsi="宋体" w:cs="宋体"/>
          <w:color w:val="auto"/>
          <w:sz w:val="36"/>
          <w:szCs w:val="36"/>
          <w:highlight w:val="none"/>
        </w:rPr>
        <w:t>月</w:t>
      </w:r>
      <w:bookmarkEnd w:id="6"/>
      <w:r>
        <w:rPr>
          <w:rFonts w:hint="eastAsia" w:ascii="宋体" w:hAnsi="宋体" w:cs="宋体"/>
          <w:color w:val="auto"/>
          <w:sz w:val="36"/>
          <w:szCs w:val="36"/>
          <w:highlight w:val="none"/>
        </w:rPr>
        <w:t xml:space="preserve"> </w:t>
      </w:r>
    </w:p>
    <w:p w14:paraId="46DEC24A">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68DF054F">
      <w:pPr>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目 录</w:t>
      </w:r>
    </w:p>
    <w:p w14:paraId="6228032D">
      <w:pPr>
        <w:pStyle w:val="16"/>
        <w:tabs>
          <w:tab w:val="right" w:leader="dot" w:pos="8296"/>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TOC \o "1-3" \f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第一章 招标公告</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_Toc170832690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w:t>
      </w:r>
      <w:r>
        <w:rPr>
          <w:rFonts w:hint="eastAsia" w:ascii="宋体" w:hAnsi="宋体" w:cs="宋体"/>
          <w:color w:val="auto"/>
          <w:sz w:val="24"/>
          <w:szCs w:val="24"/>
          <w:highlight w:val="none"/>
        </w:rPr>
        <w:fldChar w:fldCharType="end"/>
      </w:r>
    </w:p>
    <w:p w14:paraId="4ADD2556">
      <w:pPr>
        <w:pStyle w:val="16"/>
        <w:tabs>
          <w:tab w:val="right" w:leader="dot" w:pos="8296"/>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第二章 投标人须知</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_Toc170832691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8</w:t>
      </w:r>
      <w:r>
        <w:rPr>
          <w:rFonts w:hint="eastAsia" w:ascii="宋体" w:hAnsi="宋体" w:cs="宋体"/>
          <w:color w:val="auto"/>
          <w:sz w:val="24"/>
          <w:szCs w:val="24"/>
          <w:highlight w:val="none"/>
        </w:rPr>
        <w:fldChar w:fldCharType="end"/>
      </w:r>
    </w:p>
    <w:p w14:paraId="624B7ED2">
      <w:pPr>
        <w:pStyle w:val="16"/>
        <w:tabs>
          <w:tab w:val="right" w:leader="dot" w:pos="8296"/>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第三章 合同条款及格式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_Toc170832692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21</w:t>
      </w:r>
      <w:r>
        <w:rPr>
          <w:rFonts w:hint="eastAsia" w:ascii="宋体" w:hAnsi="宋体" w:cs="宋体"/>
          <w:color w:val="auto"/>
          <w:sz w:val="24"/>
          <w:szCs w:val="24"/>
          <w:highlight w:val="none"/>
        </w:rPr>
        <w:fldChar w:fldCharType="end"/>
      </w:r>
    </w:p>
    <w:p w14:paraId="7FF9302B">
      <w:pPr>
        <w:pStyle w:val="16"/>
        <w:tabs>
          <w:tab w:val="right" w:leader="dot" w:pos="8296"/>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第四章 项目需求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_Toc170832693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27</w:t>
      </w:r>
      <w:r>
        <w:rPr>
          <w:rFonts w:hint="eastAsia" w:ascii="宋体" w:hAnsi="宋体" w:cs="宋体"/>
          <w:color w:val="auto"/>
          <w:sz w:val="24"/>
          <w:szCs w:val="24"/>
          <w:highlight w:val="none"/>
        </w:rPr>
        <w:fldChar w:fldCharType="end"/>
      </w:r>
    </w:p>
    <w:p w14:paraId="61BD6C0E">
      <w:pPr>
        <w:pStyle w:val="16"/>
        <w:tabs>
          <w:tab w:val="right" w:leader="dot" w:pos="8296"/>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第五章 评标方法及评标标准</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_Toc170832694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55</w:t>
      </w:r>
      <w:r>
        <w:rPr>
          <w:rFonts w:hint="eastAsia" w:ascii="宋体" w:hAnsi="宋体" w:cs="宋体"/>
          <w:color w:val="auto"/>
          <w:sz w:val="24"/>
          <w:szCs w:val="24"/>
          <w:highlight w:val="none"/>
        </w:rPr>
        <w:fldChar w:fldCharType="end"/>
      </w:r>
    </w:p>
    <w:p w14:paraId="1D266EDA">
      <w:pPr>
        <w:pStyle w:val="16"/>
        <w:tabs>
          <w:tab w:val="right" w:leader="dot" w:pos="8296"/>
        </w:tabs>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第六章 投标文件格式</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60</w:t>
      </w:r>
    </w:p>
    <w:p w14:paraId="11894CC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end"/>
      </w:r>
    </w:p>
    <w:p w14:paraId="5D59D76D">
      <w:pPr>
        <w:numPr>
          <w:ilvl w:val="0"/>
          <w:numId w:val="2"/>
        </w:numPr>
        <w:jc w:val="center"/>
        <w:outlineLvl w:val="0"/>
        <w:rPr>
          <w:rFonts w:hint="eastAsia" w:ascii="宋体" w:hAnsi="宋体" w:cs="宋体"/>
          <w:color w:val="auto"/>
          <w:sz w:val="36"/>
          <w:szCs w:val="36"/>
          <w:highlight w:val="none"/>
        </w:rPr>
      </w:pPr>
      <w:r>
        <w:rPr>
          <w:rFonts w:hint="eastAsia" w:ascii="宋体" w:hAnsi="宋体" w:cs="宋体"/>
          <w:color w:val="auto"/>
          <w:sz w:val="24"/>
          <w:szCs w:val="24"/>
          <w:highlight w:val="none"/>
        </w:rPr>
        <w:br w:type="page"/>
      </w:r>
      <w:bookmarkStart w:id="7" w:name="_Toc170832690"/>
      <w:r>
        <w:rPr>
          <w:rFonts w:hint="eastAsia" w:ascii="宋体" w:hAnsi="宋体" w:eastAsia="宋体" w:cs="宋体"/>
          <w:b/>
          <w:bCs/>
          <w:color w:val="auto"/>
          <w:sz w:val="36"/>
          <w:szCs w:val="36"/>
          <w:highlight w:val="none"/>
        </w:rPr>
        <w:t>江苏省高邮中等专业学校关于江苏省高邮中等</w:t>
      </w:r>
      <w:r>
        <w:rPr>
          <w:rFonts w:hint="eastAsia" w:ascii="宋体" w:hAnsi="宋体" w:cs="宋体"/>
          <w:b/>
          <w:bCs/>
          <w:color w:val="auto"/>
          <w:sz w:val="36"/>
          <w:szCs w:val="36"/>
          <w:highlight w:val="none"/>
        </w:rPr>
        <w:t>专业学校汽车虚仿基地二期建设采购项目</w:t>
      </w:r>
    </w:p>
    <w:p w14:paraId="4C0F4F75">
      <w:pPr>
        <w:jc w:val="center"/>
        <w:outlineLvl w:val="0"/>
        <w:rPr>
          <w:rFonts w:hint="eastAsia" w:ascii="宋体" w:hAnsi="宋体" w:cs="宋体"/>
          <w:color w:val="auto"/>
          <w:sz w:val="36"/>
          <w:szCs w:val="36"/>
          <w:highlight w:val="none"/>
        </w:rPr>
      </w:pPr>
      <w:r>
        <w:rPr>
          <w:rFonts w:hint="eastAsia" w:ascii="宋体" w:hAnsi="宋体" w:cs="宋体"/>
          <w:b/>
          <w:bCs/>
          <w:color w:val="auto"/>
          <w:sz w:val="36"/>
          <w:szCs w:val="36"/>
          <w:highlight w:val="none"/>
        </w:rPr>
        <w:t>招标公告</w:t>
      </w:r>
      <w:bookmarkEnd w:id="0"/>
      <w:bookmarkEnd w:id="7"/>
    </w:p>
    <w:p w14:paraId="4AD04F98">
      <w:pPr>
        <w:tabs>
          <w:tab w:val="left" w:pos="266"/>
        </w:tabs>
        <w:spacing w:line="360" w:lineRule="auto"/>
        <w:ind w:firstLine="480" w:firstLineChars="200"/>
        <w:rPr>
          <w:rFonts w:hint="eastAsia" w:ascii="宋体" w:hAnsi="宋体" w:cs="宋体"/>
          <w:color w:val="auto"/>
          <w:sz w:val="24"/>
          <w:szCs w:val="24"/>
          <w:highlight w:val="none"/>
        </w:rPr>
      </w:pPr>
    </w:p>
    <w:p w14:paraId="243F3C12">
      <w:pPr>
        <w:tabs>
          <w:tab w:val="left" w:pos="266"/>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江苏中兆工程咨询有限公司受江苏省高邮中等专业学校的委托，就江苏省高邮中等专业学校汽车虚仿基地二期建设采购项目进行公开招标采购，欢迎符合条件的投标人投标。</w:t>
      </w:r>
    </w:p>
    <w:p w14:paraId="41ABF8D8">
      <w:pPr>
        <w:pBdr>
          <w:top w:val="single" w:color="auto" w:sz="4" w:space="1"/>
          <w:left w:val="single" w:color="auto" w:sz="4" w:space="4"/>
          <w:bottom w:val="single" w:color="auto" w:sz="4" w:space="1"/>
          <w:right w:val="single" w:color="auto" w:sz="4" w:space="4"/>
        </w:pBd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项目概况： </w:t>
      </w:r>
    </w:p>
    <w:p w14:paraId="0ECCC56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江苏省高邮中等专业学校汽车虚仿基地二期建设采购项目</w:t>
      </w:r>
      <w:r>
        <w:rPr>
          <w:rFonts w:hint="eastAsia" w:ascii="宋体" w:hAnsi="宋体" w:cs="宋体"/>
          <w:color w:val="auto"/>
          <w:sz w:val="24"/>
          <w:szCs w:val="24"/>
          <w:highlight w:val="none"/>
        </w:rPr>
        <w:t xml:space="preserve"> 招标项目的潜在投标人可在</w:t>
      </w:r>
      <w:r>
        <w:rPr>
          <w:rFonts w:hint="eastAsia" w:ascii="宋体" w:hAnsi="宋体" w:cs="宋体"/>
          <w:color w:val="auto"/>
          <w:sz w:val="24"/>
          <w:szCs w:val="24"/>
          <w:highlight w:val="none"/>
          <w:u w:val="single"/>
        </w:rPr>
        <w:t>“江苏省政府采购网”、 “扬州市政府采购网”自行免费下载</w:t>
      </w:r>
      <w:r>
        <w:rPr>
          <w:rFonts w:hint="eastAsia" w:ascii="宋体" w:hAnsi="宋体" w:cs="宋体"/>
          <w:color w:val="auto"/>
          <w:sz w:val="24"/>
          <w:szCs w:val="24"/>
          <w:highlight w:val="none"/>
        </w:rPr>
        <w:t>招标文件，并于</w:t>
      </w:r>
      <w:bookmarkStart w:id="8" w:name="XMTBJSR_1"/>
      <w:r>
        <w:rPr>
          <w:rFonts w:hint="eastAsia" w:ascii="宋体" w:hAnsi="宋体" w:cs="宋体"/>
          <w:b/>
          <w:color w:val="auto"/>
          <w:sz w:val="24"/>
          <w:szCs w:val="24"/>
          <w:highlight w:val="none"/>
          <w:u w:val="single"/>
        </w:rPr>
        <w:t>2025年 0</w:t>
      </w:r>
      <w:r>
        <w:rPr>
          <w:rFonts w:hint="eastAsia" w:ascii="宋体" w:hAnsi="宋体" w:cs="宋体"/>
          <w:b/>
          <w:color w:val="auto"/>
          <w:sz w:val="24"/>
          <w:szCs w:val="24"/>
          <w:highlight w:val="none"/>
          <w:u w:val="single"/>
          <w:lang w:val="en-US" w:eastAsia="zh-CN"/>
        </w:rPr>
        <w:t>9</w:t>
      </w:r>
      <w:r>
        <w:rPr>
          <w:rFonts w:hint="eastAsia" w:ascii="宋体" w:hAnsi="宋体" w:cs="宋体"/>
          <w:b/>
          <w:color w:val="auto"/>
          <w:sz w:val="24"/>
          <w:szCs w:val="24"/>
          <w:highlight w:val="none"/>
          <w:u w:val="single"/>
        </w:rPr>
        <w:t xml:space="preserve">月 </w:t>
      </w:r>
      <w:r>
        <w:rPr>
          <w:rFonts w:hint="eastAsia" w:ascii="宋体" w:hAnsi="宋体" w:cs="宋体"/>
          <w:b/>
          <w:color w:val="auto"/>
          <w:sz w:val="24"/>
          <w:szCs w:val="24"/>
          <w:highlight w:val="none"/>
          <w:u w:val="single"/>
          <w:lang w:val="en-US" w:eastAsia="zh-CN"/>
        </w:rPr>
        <w:t>09</w:t>
      </w:r>
      <w:r>
        <w:rPr>
          <w:rFonts w:hint="eastAsia" w:ascii="宋体" w:hAnsi="宋体" w:cs="宋体"/>
          <w:b/>
          <w:color w:val="auto"/>
          <w:sz w:val="24"/>
          <w:szCs w:val="24"/>
          <w:highlight w:val="none"/>
          <w:u w:val="single"/>
        </w:rPr>
        <w:t xml:space="preserve">日 </w:t>
      </w:r>
      <w:r>
        <w:rPr>
          <w:rFonts w:hint="eastAsia" w:ascii="宋体" w:hAnsi="宋体" w:cs="宋体"/>
          <w:b/>
          <w:color w:val="auto"/>
          <w:sz w:val="24"/>
          <w:szCs w:val="24"/>
          <w:highlight w:val="none"/>
          <w:u w:val="single"/>
          <w:lang w:val="en-US" w:eastAsia="zh-CN"/>
        </w:rPr>
        <w:t>14</w:t>
      </w:r>
      <w:r>
        <w:rPr>
          <w:rFonts w:hint="eastAsia" w:ascii="宋体" w:hAnsi="宋体" w:cs="宋体"/>
          <w:b/>
          <w:color w:val="auto"/>
          <w:sz w:val="24"/>
          <w:szCs w:val="24"/>
          <w:highlight w:val="none"/>
          <w:u w:val="single"/>
        </w:rPr>
        <w:t xml:space="preserve"> 点 </w:t>
      </w:r>
      <w:r>
        <w:rPr>
          <w:rFonts w:hint="eastAsia" w:ascii="宋体" w:hAnsi="宋体" w:cs="宋体"/>
          <w:b/>
          <w:color w:val="auto"/>
          <w:sz w:val="24"/>
          <w:szCs w:val="24"/>
          <w:highlight w:val="none"/>
          <w:u w:val="single"/>
          <w:lang w:val="en-US" w:eastAsia="zh-CN"/>
        </w:rPr>
        <w:t>30</w:t>
      </w:r>
      <w:r>
        <w:rPr>
          <w:rFonts w:hint="eastAsia" w:ascii="宋体" w:hAnsi="宋体" w:cs="宋体"/>
          <w:b/>
          <w:color w:val="auto"/>
          <w:sz w:val="24"/>
          <w:szCs w:val="24"/>
          <w:highlight w:val="none"/>
          <w:u w:val="single"/>
        </w:rPr>
        <w:t>分</w:t>
      </w:r>
      <w:bookmarkEnd w:id="8"/>
      <w:r>
        <w:rPr>
          <w:rFonts w:hint="eastAsia" w:ascii="宋体" w:hAnsi="宋体" w:cs="宋体"/>
          <w:b/>
          <w:color w:val="auto"/>
          <w:sz w:val="24"/>
          <w:szCs w:val="24"/>
          <w:highlight w:val="none"/>
          <w:u w:val="single"/>
        </w:rPr>
        <w:t>（</w:t>
      </w:r>
      <w:r>
        <w:rPr>
          <w:rFonts w:hint="eastAsia" w:ascii="宋体" w:hAnsi="宋体" w:cs="宋体"/>
          <w:bCs/>
          <w:color w:val="auto"/>
          <w:sz w:val="24"/>
          <w:szCs w:val="24"/>
          <w:highlight w:val="none"/>
        </w:rPr>
        <w:t>北京时间）前递交投标文件</w:t>
      </w:r>
      <w:r>
        <w:rPr>
          <w:rFonts w:hint="eastAsia" w:ascii="宋体" w:hAnsi="宋体" w:cs="宋体"/>
          <w:color w:val="auto"/>
          <w:sz w:val="24"/>
          <w:szCs w:val="24"/>
          <w:highlight w:val="none"/>
        </w:rPr>
        <w:t>。</w:t>
      </w:r>
    </w:p>
    <w:p w14:paraId="50F2E9B7">
      <w:pPr>
        <w:tabs>
          <w:tab w:val="left" w:pos="266"/>
        </w:tabs>
        <w:spacing w:line="360" w:lineRule="auto"/>
        <w:outlineLvl w:val="0"/>
        <w:rPr>
          <w:rFonts w:hint="eastAsia" w:ascii="宋体" w:hAnsi="宋体" w:cs="宋体"/>
          <w:b/>
          <w:bCs/>
          <w:color w:val="auto"/>
          <w:sz w:val="24"/>
          <w:szCs w:val="24"/>
          <w:highlight w:val="none"/>
        </w:rPr>
      </w:pPr>
      <w:bookmarkStart w:id="9" w:name="_Toc35393621"/>
      <w:bookmarkStart w:id="10" w:name="_Toc35393790"/>
      <w:bookmarkStart w:id="11" w:name="_Toc38985263"/>
      <w:bookmarkStart w:id="12" w:name="_Toc28359002"/>
      <w:bookmarkStart w:id="13" w:name="_Toc28359079"/>
      <w:bookmarkStart w:id="14" w:name="_Hlk24379207"/>
      <w:r>
        <w:rPr>
          <w:rFonts w:hint="eastAsia" w:ascii="宋体" w:hAnsi="宋体" w:cs="宋体"/>
          <w:b/>
          <w:bCs/>
          <w:color w:val="auto"/>
          <w:sz w:val="24"/>
          <w:szCs w:val="24"/>
          <w:highlight w:val="none"/>
        </w:rPr>
        <w:t>一、项目基本情况</w:t>
      </w:r>
      <w:bookmarkEnd w:id="9"/>
      <w:bookmarkEnd w:id="10"/>
      <w:bookmarkEnd w:id="11"/>
      <w:bookmarkEnd w:id="12"/>
      <w:bookmarkEnd w:id="13"/>
    </w:p>
    <w:p w14:paraId="0CC5DBB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1.项目编号：JSZC-321084-ZZZX-G2025-0012</w:t>
      </w:r>
    </w:p>
    <w:p w14:paraId="61DC152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2.项目名称：江苏省高邮中等专业学校汽车虚仿基地二期建设采购项目</w:t>
      </w:r>
    </w:p>
    <w:bookmarkEnd w:id="14"/>
    <w:p w14:paraId="483BA344">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sz w:val="24"/>
          <w:szCs w:val="24"/>
          <w:highlight w:val="none"/>
        </w:rPr>
        <w:t>3. 预算金额：00万元</w:t>
      </w:r>
    </w:p>
    <w:p w14:paraId="568C0FD3">
      <w:pPr>
        <w:autoSpaceDE w:val="0"/>
        <w:autoSpaceDN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 最高限价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98万元(投标报价超过最高限价作无效投标处理）</w:t>
      </w:r>
    </w:p>
    <w:p w14:paraId="1731B43C">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5.采购需求：见招标文件第四章</w:t>
      </w:r>
    </w:p>
    <w:p w14:paraId="719C0387">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6.合同履行期限：30日历天</w:t>
      </w:r>
    </w:p>
    <w:p w14:paraId="12D75283">
      <w:pPr>
        <w:spacing w:line="360" w:lineRule="auto"/>
        <w:ind w:firstLine="480" w:firstLineChars="200"/>
        <w:rPr>
          <w:rFonts w:hint="eastAsia" w:ascii="宋体" w:hAnsi="宋体" w:cs="宋体"/>
          <w:color w:val="auto"/>
          <w:sz w:val="24"/>
          <w:szCs w:val="24"/>
          <w:highlight w:val="none"/>
        </w:rPr>
      </w:pPr>
      <w:bookmarkStart w:id="15" w:name="_Toc28359003"/>
      <w:bookmarkStart w:id="16" w:name="_Toc35393622"/>
      <w:bookmarkStart w:id="17" w:name="_Toc38985264"/>
      <w:bookmarkStart w:id="18" w:name="_Toc28359080"/>
      <w:bookmarkStart w:id="19" w:name="_Toc35393791"/>
      <w:r>
        <w:rPr>
          <w:rFonts w:hint="eastAsia" w:ascii="宋体" w:hAnsi="宋体" w:cs="宋体"/>
          <w:color w:val="auto"/>
          <w:sz w:val="24"/>
          <w:szCs w:val="24"/>
          <w:highlight w:val="none"/>
        </w:rPr>
        <w:t>7.本项目</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不接受</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联合体投标且中标后禁止转包和分包。</w:t>
      </w:r>
    </w:p>
    <w:p w14:paraId="168CFA40">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sz w:val="24"/>
          <w:szCs w:val="24"/>
          <w:highlight w:val="none"/>
        </w:rPr>
        <w:t>8.本项目</w:t>
      </w:r>
      <w:r>
        <w:rPr>
          <w:rFonts w:hint="eastAsia" w:ascii="宋体" w:hAnsi="宋体" w:cs="宋体"/>
          <w:color w:val="auto"/>
          <w:sz w:val="24"/>
          <w:szCs w:val="24"/>
          <w:highlight w:val="none"/>
          <w:u w:val="single"/>
        </w:rPr>
        <w:t xml:space="preserve"> 不接受 </w:t>
      </w:r>
      <w:r>
        <w:rPr>
          <w:rFonts w:hint="eastAsia" w:ascii="宋体" w:hAnsi="宋体" w:cs="宋体"/>
          <w:color w:val="auto"/>
          <w:sz w:val="24"/>
          <w:szCs w:val="24"/>
          <w:highlight w:val="none"/>
        </w:rPr>
        <w:t>进口产品投标.</w:t>
      </w:r>
    </w:p>
    <w:p w14:paraId="025399DB">
      <w:pPr>
        <w:tabs>
          <w:tab w:val="left" w:pos="266"/>
        </w:tabs>
        <w:spacing w:line="360" w:lineRule="auto"/>
        <w:outlineLvl w:val="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二、申请人的资格要求：</w:t>
      </w:r>
      <w:bookmarkEnd w:id="15"/>
      <w:bookmarkEnd w:id="16"/>
      <w:bookmarkEnd w:id="17"/>
      <w:bookmarkEnd w:id="18"/>
      <w:bookmarkEnd w:id="19"/>
    </w:p>
    <w:p w14:paraId="789D84A5">
      <w:pPr>
        <w:spacing w:line="360" w:lineRule="auto"/>
        <w:ind w:firstLine="480" w:firstLineChars="200"/>
        <w:rPr>
          <w:rFonts w:hint="eastAsia" w:ascii="宋体" w:hAnsi="宋体" w:cs="宋体"/>
          <w:color w:val="auto"/>
          <w:sz w:val="24"/>
          <w:szCs w:val="24"/>
          <w:highlight w:val="none"/>
        </w:rPr>
      </w:pPr>
      <w:bookmarkStart w:id="20" w:name="_Toc35393623"/>
      <w:bookmarkStart w:id="21" w:name="_Toc28359081"/>
      <w:bookmarkStart w:id="22" w:name="_Toc28359004"/>
      <w:bookmarkStart w:id="23" w:name="_Toc35393792"/>
      <w:bookmarkStart w:id="24" w:name="_Toc38985265"/>
      <w:r>
        <w:rPr>
          <w:rFonts w:hint="eastAsia" w:ascii="宋体" w:hAnsi="宋体" w:cs="宋体"/>
          <w:color w:val="auto"/>
          <w:sz w:val="24"/>
          <w:szCs w:val="24"/>
          <w:highlight w:val="none"/>
        </w:rPr>
        <w:t>1.满足《中华人民共和国政府采购法》第二十二条规定，并提供下列材料：</w:t>
      </w:r>
    </w:p>
    <w:p w14:paraId="156B185B">
      <w:pPr>
        <w:spacing w:line="360" w:lineRule="auto"/>
        <w:ind w:firstLine="480" w:firstLineChars="200"/>
        <w:rPr>
          <w:rFonts w:hint="eastAsia" w:ascii="宋体" w:hAnsi="宋体" w:cs="宋体"/>
          <w:i/>
          <w:iCs/>
          <w:color w:val="auto"/>
          <w:sz w:val="24"/>
          <w:szCs w:val="24"/>
          <w:highlight w:val="none"/>
          <w:u w:val="single"/>
        </w:rPr>
      </w:pPr>
      <w:r>
        <w:rPr>
          <w:rFonts w:hint="eastAsia" w:ascii="宋体" w:hAnsi="宋体" w:cs="宋体"/>
          <w:i/>
          <w:iCs/>
          <w:color w:val="auto"/>
          <w:sz w:val="24"/>
          <w:szCs w:val="24"/>
          <w:highlight w:val="none"/>
          <w:u w:val="single"/>
        </w:rPr>
        <w:t>1.1法人或者其他组织的营业执照等证明文件，自然人的身份证明</w:t>
      </w:r>
    </w:p>
    <w:p w14:paraId="7DDFC1CD">
      <w:pPr>
        <w:spacing w:line="360" w:lineRule="auto"/>
        <w:ind w:firstLine="480" w:firstLineChars="200"/>
        <w:rPr>
          <w:rFonts w:hint="eastAsia" w:ascii="宋体" w:hAnsi="宋体" w:cs="宋体"/>
          <w:i/>
          <w:iCs/>
          <w:color w:val="auto"/>
          <w:sz w:val="24"/>
          <w:szCs w:val="24"/>
          <w:highlight w:val="none"/>
          <w:u w:val="single"/>
        </w:rPr>
      </w:pPr>
      <w:r>
        <w:rPr>
          <w:rFonts w:hint="eastAsia" w:ascii="宋体" w:hAnsi="宋体" w:cs="宋体"/>
          <w:i/>
          <w:iCs/>
          <w:color w:val="auto"/>
          <w:sz w:val="24"/>
          <w:szCs w:val="24"/>
          <w:highlight w:val="none"/>
          <w:u w:val="single"/>
        </w:rPr>
        <w:t>1.2 依法缴纳职工社会保障资金的证明材料</w:t>
      </w:r>
      <w:r>
        <w:rPr>
          <w:rFonts w:hint="eastAsia" w:ascii="宋体" w:hAnsi="宋体" w:cs="宋体"/>
          <w:b/>
          <w:bCs/>
          <w:i/>
          <w:iCs/>
          <w:color w:val="auto"/>
          <w:sz w:val="24"/>
          <w:szCs w:val="24"/>
          <w:highlight w:val="none"/>
          <w:u w:val="single"/>
        </w:rPr>
        <w:t>(税务、银行或社会保险基金管理部门出具的近三个月内任意一个月缴纳职工社会保障资金的缴款凭证或缴款证明)（投标人依法享受缓缴、免缴的提供证明材料）</w:t>
      </w:r>
    </w:p>
    <w:p w14:paraId="2A4AAFD8">
      <w:pPr>
        <w:spacing w:line="360" w:lineRule="auto"/>
        <w:ind w:firstLine="480" w:firstLineChars="200"/>
        <w:rPr>
          <w:rFonts w:hint="eastAsia" w:ascii="宋体" w:hAnsi="宋体" w:cs="宋体"/>
          <w:b/>
          <w:bCs/>
          <w:i/>
          <w:iCs/>
          <w:color w:val="auto"/>
          <w:sz w:val="24"/>
          <w:szCs w:val="24"/>
          <w:highlight w:val="none"/>
          <w:u w:val="single"/>
        </w:rPr>
      </w:pPr>
      <w:r>
        <w:rPr>
          <w:rFonts w:hint="eastAsia" w:ascii="宋体" w:hAnsi="宋体" w:cs="宋体"/>
          <w:i/>
          <w:iCs/>
          <w:color w:val="auto"/>
          <w:sz w:val="24"/>
          <w:szCs w:val="24"/>
          <w:highlight w:val="none"/>
          <w:u w:val="single"/>
        </w:rPr>
        <w:t>1.3 投标人近三个月内任意一份依法纳税的缴款凭证</w:t>
      </w:r>
      <w:r>
        <w:rPr>
          <w:rFonts w:hint="eastAsia" w:ascii="宋体" w:hAnsi="宋体" w:cs="宋体"/>
          <w:b/>
          <w:bCs/>
          <w:i/>
          <w:iCs/>
          <w:color w:val="auto"/>
          <w:sz w:val="24"/>
          <w:szCs w:val="24"/>
          <w:highlight w:val="none"/>
          <w:u w:val="single"/>
        </w:rPr>
        <w:t>（投标人依法享受缓缴、免缴的提供证明材料）</w:t>
      </w:r>
    </w:p>
    <w:p w14:paraId="0CB1546C">
      <w:pPr>
        <w:spacing w:line="360" w:lineRule="auto"/>
        <w:ind w:firstLine="480" w:firstLineChars="200"/>
        <w:rPr>
          <w:rFonts w:hint="eastAsia" w:ascii="宋体" w:hAnsi="宋体" w:cs="宋体"/>
          <w:b/>
          <w:bCs/>
          <w:i/>
          <w:iCs/>
          <w:color w:val="auto"/>
          <w:sz w:val="24"/>
          <w:szCs w:val="24"/>
          <w:highlight w:val="none"/>
          <w:u w:val="single"/>
        </w:rPr>
      </w:pPr>
      <w:r>
        <w:rPr>
          <w:rFonts w:hint="eastAsia" w:ascii="宋体" w:hAnsi="宋体" w:cs="宋体"/>
          <w:i/>
          <w:iCs/>
          <w:color w:val="auto"/>
          <w:sz w:val="24"/>
          <w:szCs w:val="24"/>
          <w:highlight w:val="none"/>
          <w:u w:val="single"/>
        </w:rPr>
        <w:t>1.4 上一年度的财务报告情况（</w:t>
      </w:r>
      <w:r>
        <w:rPr>
          <w:rFonts w:hint="eastAsia" w:ascii="宋体" w:hAnsi="宋体" w:cs="宋体"/>
          <w:b/>
          <w:bCs/>
          <w:i/>
          <w:iCs/>
          <w:color w:val="auto"/>
          <w:sz w:val="24"/>
          <w:szCs w:val="24"/>
          <w:highlight w:val="none"/>
          <w:u w:val="single"/>
        </w:rPr>
        <w:t>成立不满一年不需提供）</w:t>
      </w:r>
    </w:p>
    <w:p w14:paraId="76C8C761">
      <w:pPr>
        <w:spacing w:line="360" w:lineRule="auto"/>
        <w:ind w:firstLine="480" w:firstLineChars="200"/>
        <w:rPr>
          <w:rFonts w:hint="eastAsia" w:ascii="宋体" w:hAnsi="宋体" w:cs="宋体"/>
          <w:i/>
          <w:iCs/>
          <w:color w:val="auto"/>
          <w:sz w:val="24"/>
          <w:szCs w:val="24"/>
          <w:highlight w:val="none"/>
          <w:u w:val="single"/>
        </w:rPr>
      </w:pPr>
      <w:r>
        <w:rPr>
          <w:rFonts w:hint="eastAsia" w:ascii="宋体" w:hAnsi="宋体" w:cs="宋体"/>
          <w:i/>
          <w:iCs/>
          <w:color w:val="auto"/>
          <w:sz w:val="24"/>
          <w:szCs w:val="24"/>
          <w:highlight w:val="none"/>
          <w:u w:val="single"/>
        </w:rPr>
        <w:t>1.5 具备履行合同所必需的设备和专业技术能力的证明材料</w:t>
      </w:r>
    </w:p>
    <w:p w14:paraId="7DF607A9">
      <w:pPr>
        <w:spacing w:line="360" w:lineRule="auto"/>
        <w:ind w:firstLine="480" w:firstLineChars="200"/>
        <w:rPr>
          <w:rFonts w:hint="eastAsia" w:ascii="宋体" w:hAnsi="宋体" w:cs="宋体"/>
          <w:i/>
          <w:iCs/>
          <w:color w:val="auto"/>
          <w:sz w:val="24"/>
          <w:szCs w:val="24"/>
          <w:highlight w:val="none"/>
          <w:u w:val="single"/>
        </w:rPr>
      </w:pPr>
      <w:r>
        <w:rPr>
          <w:rFonts w:hint="eastAsia" w:ascii="宋体" w:hAnsi="宋体" w:cs="宋体"/>
          <w:i/>
          <w:iCs/>
          <w:color w:val="auto"/>
          <w:sz w:val="24"/>
          <w:szCs w:val="24"/>
          <w:highlight w:val="none"/>
          <w:u w:val="single"/>
        </w:rPr>
        <w:t>1.6 参加本次政府采购活动前3年内在经营活动中没有重大违法记录的书面声明</w:t>
      </w:r>
    </w:p>
    <w:p w14:paraId="42795253">
      <w:pPr>
        <w:spacing w:line="360" w:lineRule="auto"/>
        <w:ind w:firstLine="480" w:firstLineChars="200"/>
        <w:rPr>
          <w:rFonts w:hint="eastAsia" w:ascii="宋体" w:hAnsi="宋体" w:cs="宋体"/>
          <w:b/>
          <w:bCs/>
          <w:i/>
          <w:iCs/>
          <w:color w:val="auto"/>
          <w:sz w:val="24"/>
          <w:szCs w:val="24"/>
          <w:highlight w:val="none"/>
          <w:u w:val="single"/>
        </w:rPr>
      </w:pPr>
      <w:r>
        <w:rPr>
          <w:rFonts w:hint="eastAsia" w:ascii="宋体" w:hAnsi="宋体" w:cs="宋体"/>
          <w:i/>
          <w:iCs/>
          <w:color w:val="auto"/>
          <w:sz w:val="24"/>
          <w:szCs w:val="24"/>
          <w:highlight w:val="none"/>
          <w:u w:val="single"/>
        </w:rPr>
        <w:t>1.7 未被“信用中国”网站（www.creditchina.gov.cn）、“中国政府采购网"(www.ccgp.gov.cn)列入失信被执行人、重大税收违法案件当事人名单、政府采购严重违法失信行为记录名单</w:t>
      </w:r>
    </w:p>
    <w:p w14:paraId="1C8FB9DD">
      <w:pPr>
        <w:spacing w:line="360" w:lineRule="auto"/>
        <w:ind w:firstLine="480" w:firstLineChars="200"/>
        <w:rPr>
          <w:rFonts w:hint="eastAsia" w:ascii="宋体" w:hAnsi="宋体" w:cs="宋体"/>
          <w:i/>
          <w:iCs/>
          <w:color w:val="auto"/>
          <w:sz w:val="24"/>
          <w:szCs w:val="24"/>
          <w:highlight w:val="none"/>
          <w:u w:val="single"/>
        </w:rPr>
      </w:pPr>
      <w:r>
        <w:rPr>
          <w:rFonts w:hint="eastAsia" w:ascii="宋体" w:hAnsi="宋体" w:cs="宋体"/>
          <w:i/>
          <w:iCs/>
          <w:color w:val="auto"/>
          <w:sz w:val="24"/>
          <w:szCs w:val="24"/>
          <w:highlight w:val="none"/>
          <w:u w:val="single"/>
        </w:rPr>
        <w:t>1.8供应商信用承诺函</w:t>
      </w:r>
    </w:p>
    <w:p w14:paraId="30CC8564">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sz w:val="24"/>
          <w:szCs w:val="24"/>
          <w:highlight w:val="none"/>
        </w:rPr>
        <w:t>2.落实政府采购政策需满足的资格要求：</w:t>
      </w:r>
      <w:r>
        <w:rPr>
          <w:rFonts w:hint="eastAsia" w:ascii="宋体" w:hAnsi="宋体" w:cs="宋体"/>
          <w:i/>
          <w:iCs/>
          <w:color w:val="auto"/>
          <w:sz w:val="24"/>
          <w:szCs w:val="24"/>
          <w:highlight w:val="none"/>
          <w:u w:val="single"/>
          <w:shd w:val="clear" w:color="auto" w:fill="FFFFFF"/>
          <w:lang w:bidi="ar"/>
        </w:rPr>
        <w:t>根据《政府采购促进中小企业发展管理办法》的规定，本项目专门面向中小企业采购，供应商投标时须提供《中小企业声明函》，《中小企业声明函》不符合要求或未提供的，投标文件无效。本项目采购标的按中小企业划分标准所属行业区分为工业。</w:t>
      </w:r>
    </w:p>
    <w:p w14:paraId="32109E14">
      <w:pPr>
        <w:spacing w:line="360" w:lineRule="auto"/>
        <w:ind w:firstLine="480" w:firstLineChars="200"/>
        <w:rPr>
          <w:rFonts w:hint="eastAsia" w:ascii="宋体" w:hAnsi="宋体" w:cs="宋体"/>
          <w:b/>
          <w:color w:val="auto"/>
          <w:sz w:val="24"/>
          <w:szCs w:val="24"/>
          <w:highlight w:val="none"/>
        </w:rPr>
      </w:pPr>
      <w:r>
        <w:rPr>
          <w:rFonts w:hint="eastAsia" w:ascii="宋体" w:hAnsi="宋体" w:cs="宋体"/>
          <w:color w:val="auto"/>
          <w:sz w:val="24"/>
          <w:szCs w:val="24"/>
          <w:highlight w:val="none"/>
        </w:rPr>
        <w:t>3.本项目的特定资格要求：</w:t>
      </w:r>
      <w:r>
        <w:rPr>
          <w:rFonts w:hint="eastAsia" w:ascii="宋体" w:hAnsi="宋体" w:cs="宋体"/>
          <w:b/>
          <w:color w:val="auto"/>
          <w:sz w:val="24"/>
          <w:szCs w:val="24"/>
          <w:highlight w:val="none"/>
          <w:u w:val="single"/>
        </w:rPr>
        <w:t xml:space="preserve"> </w:t>
      </w:r>
      <w:r>
        <w:rPr>
          <w:rFonts w:hint="eastAsia" w:ascii="宋体" w:hAnsi="宋体" w:cs="宋体"/>
          <w:i/>
          <w:iCs/>
          <w:color w:val="auto"/>
          <w:sz w:val="24"/>
          <w:szCs w:val="24"/>
          <w:highlight w:val="none"/>
          <w:u w:val="single"/>
          <w:shd w:val="clear" w:color="auto" w:fill="FFFFFF"/>
          <w:lang w:bidi="ar"/>
        </w:rPr>
        <w:t xml:space="preserve">无。 </w:t>
      </w:r>
    </w:p>
    <w:p w14:paraId="5924A318">
      <w:pPr>
        <w:tabs>
          <w:tab w:val="left" w:pos="266"/>
        </w:tabs>
        <w:spacing w:line="360" w:lineRule="auto"/>
        <w:outlineLvl w:val="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三、获取招标文件</w:t>
      </w:r>
      <w:bookmarkEnd w:id="20"/>
      <w:bookmarkEnd w:id="21"/>
      <w:bookmarkEnd w:id="22"/>
      <w:bookmarkEnd w:id="23"/>
      <w:bookmarkEnd w:id="24"/>
    </w:p>
    <w:p w14:paraId="0A0F06AC">
      <w:pPr>
        <w:spacing w:line="360" w:lineRule="auto"/>
        <w:ind w:firstLine="540"/>
        <w:rPr>
          <w:rFonts w:hint="eastAsia" w:ascii="宋体" w:hAnsi="宋体" w:cs="宋体"/>
          <w:color w:val="auto"/>
          <w:sz w:val="24"/>
          <w:szCs w:val="24"/>
          <w:highlight w:val="none"/>
        </w:rPr>
      </w:pPr>
      <w:bookmarkStart w:id="25" w:name="_Toc28359082"/>
      <w:bookmarkStart w:id="26" w:name="_Toc35393624"/>
      <w:bookmarkStart w:id="27" w:name="_Toc38985266"/>
      <w:bookmarkStart w:id="28" w:name="_Toc28359005"/>
      <w:bookmarkStart w:id="29" w:name="_Toc35393793"/>
      <w:r>
        <w:rPr>
          <w:rFonts w:hint="eastAsia" w:ascii="宋体" w:hAnsi="宋体" w:cs="宋体"/>
          <w:color w:val="auto"/>
          <w:sz w:val="24"/>
          <w:szCs w:val="24"/>
          <w:highlight w:val="none"/>
        </w:rPr>
        <w:t>1、时间: 自招标文件公告发布之日起5个工作日，5个工作日后仍可下载招标文件，但不作为供应商权益受到损害的证明材料和依据。</w:t>
      </w:r>
    </w:p>
    <w:p w14:paraId="60EA9A16">
      <w:pPr>
        <w:spacing w:line="360"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2．获取方式：本项目采用网上注册登记方式。</w:t>
      </w:r>
    </w:p>
    <w:p w14:paraId="5C5AD579">
      <w:pPr>
        <w:spacing w:line="360"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3.潜在投标人访问政府采购管理交易系统（苏采云）的网络地址和方法：</w:t>
      </w:r>
    </w:p>
    <w:p w14:paraId="44DC0993">
      <w:pPr>
        <w:spacing w:line="360"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1）潜在供应商访问政府采购管理交易系统（苏采云）的方法：“苏采云”系统用户注册--获取“CA数字证书”--CA绑定与登录--网上报名--下载采购文件（后缀名为“.kedt”）--将后缀名为“.kedt”的采购文件导入政府采购客户端工具--制作投标文件--导出加密的投标文件（后缀名为zip）--通过“苏采云”系统上传投标文件。</w:t>
      </w:r>
    </w:p>
    <w:p w14:paraId="7C87C162">
      <w:pPr>
        <w:spacing w:line="360"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（2）“CA数字证书”的获取：供应商需办理CA锁，“苏采云”系统目前仅支持“苏采云”系统下的政务CA，省内各地区办理的“苏采云”系统下的政务CA全省通用。</w:t>
      </w:r>
    </w:p>
    <w:p w14:paraId="0E355480">
      <w:pPr>
        <w:spacing w:line="360"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（3）“CA数字证书”的办理材料以及供应商操作手册详见：</w:t>
      </w:r>
    </w:p>
    <w:p w14:paraId="609EB3CC">
      <w:pPr>
        <w:spacing w:line="360"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http://zfcg.yangzhou.gov.cn/zfcg/xzzx/202309/4d7de1f7865f4a2894fc22bc452f94d8.shtml。</w:t>
      </w:r>
    </w:p>
    <w:p w14:paraId="54D177DE">
      <w:pPr>
        <w:spacing w:line="360"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（4）潜在供应商访问“苏采云”系统的网络地址和方法：“苏采云”系统的网址：http://jszfcg.jsczt.cn/。</w:t>
      </w:r>
    </w:p>
    <w:p w14:paraId="66880822">
      <w:pPr>
        <w:spacing w:line="360"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（5）采购文件（后缀名为“.kedt”）、供应商操作手册及政府采购客户端工具也可通过“苏采云”系统--已报名项目--报名详情页面内相应链接进行下载。</w:t>
      </w:r>
    </w:p>
    <w:p w14:paraId="493624AA">
      <w:pPr>
        <w:spacing w:line="360"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（6）招标代理机构（采购代理机构）将数据电文形式的采购文件加载至“苏采云”系统，供潜在供应商下载或者查阅。</w:t>
      </w:r>
    </w:p>
    <w:p w14:paraId="18A8BCEA">
      <w:pPr>
        <w:spacing w:line="360"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（7）苏采云系统使用谷歌浏览器参与不见面开标。</w:t>
      </w:r>
    </w:p>
    <w:p w14:paraId="66EDA2CE">
      <w:pPr>
        <w:tabs>
          <w:tab w:val="left" w:pos="266"/>
        </w:tabs>
        <w:spacing w:line="360" w:lineRule="auto"/>
        <w:outlineLvl w:val="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四、提交投标文件截止时间、开标时间和地点</w:t>
      </w:r>
    </w:p>
    <w:p w14:paraId="4AB6D119">
      <w:pPr>
        <w:spacing w:line="360"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时间：2025年 0</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09</w:t>
      </w:r>
      <w:bookmarkStart w:id="89" w:name="_GoBack"/>
      <w:bookmarkEnd w:id="89"/>
      <w:r>
        <w:rPr>
          <w:rFonts w:hint="eastAsia" w:ascii="宋体" w:hAnsi="宋体" w:cs="宋体"/>
          <w:color w:val="auto"/>
          <w:sz w:val="24"/>
          <w:szCs w:val="24"/>
          <w:highlight w:val="none"/>
        </w:rPr>
        <w:t xml:space="preserve"> 日</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 xml:space="preserve"> 点</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 分（北京时间）</w:t>
      </w:r>
    </w:p>
    <w:p w14:paraId="7722CEE6">
      <w:pPr>
        <w:spacing w:line="360"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地点：“苏采云”系统（网址：http://jszfcg.jsczt.cn/）“开标大厅”</w:t>
      </w:r>
    </w:p>
    <w:p w14:paraId="6431431C">
      <w:pPr>
        <w:tabs>
          <w:tab w:val="left" w:pos="266"/>
        </w:tabs>
        <w:spacing w:line="360" w:lineRule="auto"/>
        <w:outlineLvl w:val="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五、公告期限</w:t>
      </w:r>
    </w:p>
    <w:p w14:paraId="5ED6B95D">
      <w:pPr>
        <w:spacing w:line="360"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自本公告发布之日起5个工作日。</w:t>
      </w:r>
    </w:p>
    <w:p w14:paraId="67773FF9">
      <w:pPr>
        <w:tabs>
          <w:tab w:val="left" w:pos="266"/>
        </w:tabs>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六、评标方法:综合评分法。</w:t>
      </w:r>
    </w:p>
    <w:p w14:paraId="52A7E001">
      <w:pPr>
        <w:tabs>
          <w:tab w:val="left" w:pos="266"/>
        </w:tabs>
        <w:spacing w:line="360" w:lineRule="auto"/>
        <w:outlineLvl w:val="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七、其他补充事宜</w:t>
      </w:r>
    </w:p>
    <w:p w14:paraId="5EFEAED1">
      <w:pPr>
        <w:spacing w:line="360"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1、有关招投标事务和本项目的补充公告，敬请及时关注“扬州市政府采购网”、“江苏省政府采购网”发布的信息。</w:t>
      </w:r>
    </w:p>
    <w:bookmarkEnd w:id="25"/>
    <w:bookmarkEnd w:id="26"/>
    <w:bookmarkEnd w:id="27"/>
    <w:bookmarkEnd w:id="28"/>
    <w:bookmarkEnd w:id="29"/>
    <w:p w14:paraId="1E207611">
      <w:pPr>
        <w:tabs>
          <w:tab w:val="left" w:pos="266"/>
        </w:tabs>
        <w:spacing w:line="360" w:lineRule="auto"/>
        <w:outlineLvl w:val="0"/>
        <w:rPr>
          <w:rFonts w:hint="eastAsia" w:ascii="宋体" w:hAnsi="宋体" w:cs="宋体"/>
          <w:b/>
          <w:bCs/>
          <w:color w:val="auto"/>
          <w:sz w:val="24"/>
          <w:szCs w:val="24"/>
          <w:highlight w:val="none"/>
        </w:rPr>
      </w:pPr>
      <w:bookmarkStart w:id="30" w:name="_Toc38985269"/>
      <w:bookmarkStart w:id="31" w:name="_Toc35393627"/>
      <w:bookmarkStart w:id="32" w:name="_Toc35393796"/>
      <w:bookmarkStart w:id="33" w:name="_Toc28359085"/>
      <w:bookmarkStart w:id="34" w:name="_Toc28359008"/>
      <w:r>
        <w:rPr>
          <w:rFonts w:hint="eastAsia" w:ascii="宋体" w:hAnsi="宋体" w:cs="宋体"/>
          <w:b/>
          <w:bCs/>
          <w:color w:val="auto"/>
          <w:sz w:val="24"/>
          <w:szCs w:val="24"/>
          <w:highlight w:val="none"/>
        </w:rPr>
        <w:t>八、本次招标联系方式</w:t>
      </w:r>
      <w:bookmarkEnd w:id="30"/>
      <w:bookmarkEnd w:id="31"/>
      <w:bookmarkEnd w:id="32"/>
      <w:bookmarkEnd w:id="33"/>
      <w:bookmarkEnd w:id="34"/>
    </w:p>
    <w:p w14:paraId="7905AB5E">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1.采购人信息</w:t>
      </w:r>
    </w:p>
    <w:p w14:paraId="5D94DD3E">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u w:val="single"/>
        </w:rPr>
        <w:t xml:space="preserve"> 江苏省高邮中等专业学校</w:t>
      </w:r>
    </w:p>
    <w:p w14:paraId="6FAEC6A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rPr>
        <w:t>高邮市海潮东路98号</w:t>
      </w:r>
    </w:p>
    <w:p w14:paraId="1DF8D62C">
      <w:pPr>
        <w:spacing w:line="360"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rPr>
        <w:t>刘先生</w:t>
      </w:r>
    </w:p>
    <w:p w14:paraId="04F14CBE">
      <w:pPr>
        <w:spacing w:line="360" w:lineRule="auto"/>
        <w:ind w:firstLine="540"/>
        <w:rPr>
          <w:rFonts w:ascii="宋体" w:hAnsi="宋体" w:cs="宋体"/>
          <w:color w:val="auto"/>
          <w:sz w:val="24"/>
          <w:szCs w:val="24"/>
          <w:highlight w:val="none"/>
        </w:rPr>
      </w:pPr>
      <w:r>
        <w:rPr>
          <w:rFonts w:hint="eastAsia" w:ascii="宋体" w:hAnsi="宋体" w:cs="宋体"/>
          <w:color w:val="auto"/>
          <w:sz w:val="24"/>
          <w:szCs w:val="24"/>
          <w:highlight w:val="none"/>
        </w:rPr>
        <w:t>联系方式：</w:t>
      </w:r>
      <w:bookmarkStart w:id="35" w:name="_Toc28359009"/>
      <w:bookmarkStart w:id="36" w:name="_Toc28359086"/>
      <w:r>
        <w:rPr>
          <w:rFonts w:hint="eastAsia" w:ascii="宋体" w:hAnsi="宋体" w:cs="宋体"/>
          <w:color w:val="auto"/>
          <w:sz w:val="24"/>
          <w:szCs w:val="24"/>
          <w:highlight w:val="none"/>
          <w:u w:val="single"/>
        </w:rPr>
        <w:t>13921928332</w:t>
      </w:r>
    </w:p>
    <w:bookmarkEnd w:id="35"/>
    <w:bookmarkEnd w:id="36"/>
    <w:p w14:paraId="33DA4C70">
      <w:pPr>
        <w:numPr>
          <w:ilvl w:val="0"/>
          <w:numId w:val="3"/>
        </w:num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采购代理机构信息</w:t>
      </w:r>
    </w:p>
    <w:p w14:paraId="2AC4C67E">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u w:val="single"/>
        </w:rPr>
        <w:t>江苏中兆工程咨询有限公司</w:t>
      </w:r>
    </w:p>
    <w:p w14:paraId="5503C93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rPr>
        <w:t>高邮市文游南路198号瑞丰商务大厦五楼</w:t>
      </w:r>
    </w:p>
    <w:p w14:paraId="06E4379B">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rPr>
        <w:t xml:space="preserve"> 董先生  </w:t>
      </w:r>
    </w:p>
    <w:p w14:paraId="63E82475">
      <w:pP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u w:val="single"/>
        </w:rPr>
        <w:t>17321503955</w:t>
      </w:r>
    </w:p>
    <w:p w14:paraId="477BD8C8">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九、为提升政府采购供应商的融资可得性，解决中小企业融资难问题，中国人民银行、市财政局、市公共资源交易中心推出了政府采购线上应收账款融资模式。各供应商如果有融资需求，可以凭借政府采购中标（成交）通知书或政府采购合同，通过中国人民银行征信中心“中征应收账款融资服务平台（https://www.crcrfsp.com）”向参与政府采购融资业务的金融机构申请线上融资，相关事宜可向市人民银行咨询，联系电话：0514-87936653。</w:t>
      </w:r>
    </w:p>
    <w:p w14:paraId="6CF914D7">
      <w:pPr>
        <w:widowControl/>
        <w:shd w:val="clear" w:color="auto" w:fill="FFFFFF"/>
        <w:spacing w:line="480" w:lineRule="auto"/>
        <w:ind w:firstLine="413" w:firstLineChars="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十、其他</w:t>
      </w:r>
    </w:p>
    <w:p w14:paraId="3F880D84">
      <w:pPr>
        <w:widowControl/>
        <w:shd w:val="clear" w:color="auto" w:fill="FFFFFF"/>
        <w:spacing w:line="480" w:lineRule="auto"/>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1.本次采购采用“政府采购管理交易系统（苏采云）”，招标、投标、评标和中标结果发布全程电子化，开标方式为不见面开标。投标人应当按照《政府采购管理交易系统（苏采云）供应商操作手册》参加投标活动。如投标人未按要求操作，由此所产生的风险由投标人自行承担。</w:t>
      </w:r>
    </w:p>
    <w:p w14:paraId="010FFE5A">
      <w:pPr>
        <w:widowControl/>
        <w:shd w:val="clear" w:color="auto" w:fill="FFFFFF"/>
        <w:spacing w:line="480" w:lineRule="auto"/>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2.供应商如确定参加投标，可自行下载招标文件及有关资料，按照《操作手册》进行注册，领取CA和办理电子签章，并按《操作手册》要求制作、上传电子投标文件，技术支持联系方式：13813140731。</w:t>
      </w:r>
    </w:p>
    <w:p w14:paraId="0BC2361B">
      <w:pPr>
        <w:widowControl/>
        <w:shd w:val="clear" w:color="auto" w:fill="FFFFFF"/>
        <w:spacing w:line="480" w:lineRule="auto"/>
        <w:ind w:firstLine="412"/>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响应文件中提供所投产品的相关证书(由国家确定的认证机构出具的、处于有效期之内的节能产品、环境标志产品认证证书)。节能产品、环境标志产品品目清单以递交响应文件截止时已正式公布的最近一期信息为准，如属政府强制采购产品未提供认证证书的或认证证书提供不全的将视为未实质性响应采购要求。</w:t>
      </w:r>
    </w:p>
    <w:p w14:paraId="20C7D7BC">
      <w:pPr>
        <w:widowControl/>
        <w:shd w:val="clear" w:color="auto" w:fill="FFFFFF"/>
        <w:spacing w:line="480" w:lineRule="auto"/>
        <w:ind w:firstLine="42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4.潜在投标人对招标文件项目需求部分的询问、质疑请向采购人提出，由采购人负责答复。</w:t>
      </w:r>
    </w:p>
    <w:p w14:paraId="60531378">
      <w:pPr>
        <w:widowControl/>
        <w:shd w:val="clear" w:color="auto" w:fill="FFFFFF"/>
        <w:spacing w:line="480" w:lineRule="auto"/>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5.本次招标不收取投标保证金。</w:t>
      </w:r>
    </w:p>
    <w:p w14:paraId="5B6B4ECA">
      <w:pPr>
        <w:widowControl/>
        <w:shd w:val="clear" w:color="auto" w:fill="FFFFFF"/>
        <w:spacing w:line="480" w:lineRule="auto"/>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6.落实好政府采购履约资金扶持政策。中标/成交供应商可凭政府采购合同办理融资贷款，详见江苏政府采购网“政采贷”专栏。”</w:t>
      </w:r>
    </w:p>
    <w:p w14:paraId="7D05E116">
      <w:pPr>
        <w:widowControl/>
        <w:shd w:val="clear" w:color="auto" w:fill="FFFFFF"/>
        <w:spacing w:line="480" w:lineRule="auto"/>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.有关本次招标的事项若存在变动或修改，敬请及时关注、“扬州市政府采购网”、“江苏省政府采购网”发布的信息。</w:t>
      </w:r>
    </w:p>
    <w:p w14:paraId="69C57A61">
      <w:pPr>
        <w:widowControl/>
        <w:shd w:val="clear" w:color="auto" w:fill="FFFFFF"/>
        <w:ind w:firstLine="310"/>
        <w:rPr>
          <w:rFonts w:hint="eastAsia" w:ascii="宋体" w:hAnsi="宋体" w:cs="宋体"/>
          <w:b/>
          <w:bCs/>
          <w:i/>
          <w:iCs/>
          <w:color w:val="auto"/>
          <w:kern w:val="0"/>
          <w:sz w:val="24"/>
          <w:szCs w:val="24"/>
          <w:highlight w:val="none"/>
          <w:u w:val="single"/>
        </w:rPr>
      </w:pPr>
      <w:r>
        <w:rPr>
          <w:rFonts w:hint="eastAsia" w:ascii="宋体" w:hAnsi="宋体" w:cs="宋体"/>
          <w:b/>
          <w:bCs/>
          <w:i/>
          <w:iCs/>
          <w:color w:val="auto"/>
          <w:kern w:val="0"/>
          <w:sz w:val="24"/>
          <w:szCs w:val="24"/>
          <w:highlight w:val="none"/>
          <w:u w:val="single"/>
          <w:lang w:val="en-US" w:eastAsia="zh-CN"/>
        </w:rPr>
        <w:t>8</w:t>
      </w:r>
      <w:r>
        <w:rPr>
          <w:rFonts w:hint="eastAsia" w:ascii="宋体" w:hAnsi="宋体" w:cs="宋体"/>
          <w:b/>
          <w:bCs/>
          <w:i/>
          <w:iCs/>
          <w:color w:val="auto"/>
          <w:kern w:val="0"/>
          <w:sz w:val="24"/>
          <w:szCs w:val="24"/>
          <w:highlight w:val="none"/>
          <w:u w:val="single"/>
        </w:rPr>
        <w:t>.本项目招标文件中所有斜体下划线部分为实质性条款，如不满足，则为无效投标。</w:t>
      </w:r>
    </w:p>
    <w:p w14:paraId="69FD9C0C">
      <w:pPr>
        <w:widowControl/>
        <w:shd w:val="clear" w:color="auto" w:fill="FFFFFF"/>
        <w:ind w:firstLine="310"/>
        <w:rPr>
          <w:rFonts w:hint="eastAsia" w:ascii="宋体" w:hAnsi="宋体" w:cs="宋体"/>
          <w:color w:val="auto"/>
          <w:kern w:val="0"/>
          <w:sz w:val="24"/>
          <w:szCs w:val="24"/>
          <w:highlight w:val="none"/>
        </w:rPr>
      </w:pPr>
    </w:p>
    <w:p w14:paraId="2DFA0AD6">
      <w:pPr>
        <w:pStyle w:val="42"/>
        <w:jc w:val="right"/>
        <w:rPr>
          <w:rFonts w:hint="eastAsia" w:hAnsi="宋体"/>
          <w:color w:val="auto"/>
          <w:highlight w:val="none"/>
        </w:rPr>
      </w:pPr>
    </w:p>
    <w:p w14:paraId="4D46333F">
      <w:pPr>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bookmarkStart w:id="37" w:name="_Toc170832691"/>
      <w:r>
        <w:rPr>
          <w:rFonts w:hint="eastAsia" w:ascii="宋体" w:hAnsi="宋体" w:cs="宋体"/>
          <w:b/>
          <w:bCs/>
          <w:color w:val="auto"/>
          <w:sz w:val="36"/>
          <w:szCs w:val="36"/>
          <w:highlight w:val="none"/>
        </w:rPr>
        <w:t>第二章 投标人须知</w:t>
      </w:r>
      <w:bookmarkEnd w:id="1"/>
      <w:bookmarkEnd w:id="37"/>
    </w:p>
    <w:p w14:paraId="51DDFA9D">
      <w:pPr>
        <w:spacing w:line="440" w:lineRule="exact"/>
        <w:ind w:firstLine="482" w:firstLineChars="200"/>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1、招标方式</w:t>
      </w:r>
    </w:p>
    <w:p w14:paraId="4838438B">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1.1 本次招标采取公开招标方式，本招标文件仅适用于JSZC-321084-ZZZX-G2025-0012号项目。</w:t>
      </w:r>
    </w:p>
    <w:p w14:paraId="67D079A1">
      <w:pPr>
        <w:spacing w:line="440" w:lineRule="exact"/>
        <w:ind w:firstLine="482" w:firstLineChars="200"/>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2、投标人</w:t>
      </w:r>
    </w:p>
    <w:p w14:paraId="24DCC4A6">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2.1 本招标文件中“供应商”，即“投标人”，是指参加投标竞争，并符合招标文件规定资格条件的法人、其他组织或者自然人。</w:t>
      </w:r>
    </w:p>
    <w:p w14:paraId="4982275E">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2.2合格的投标人</w:t>
      </w:r>
    </w:p>
    <w:p w14:paraId="2FAF8E32">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2.2.1 满足招标公告中供应商的资格条件要求的规定。</w:t>
      </w:r>
    </w:p>
    <w:p w14:paraId="66343010">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2.2.2 满足本文件实质性条款的规定。</w:t>
      </w:r>
    </w:p>
    <w:p w14:paraId="7AECE051">
      <w:pPr>
        <w:spacing w:line="440" w:lineRule="exact"/>
        <w:ind w:firstLine="482" w:firstLineChars="200"/>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3、适用法律</w:t>
      </w:r>
    </w:p>
    <w:p w14:paraId="68018C19">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3.1 本次招标及由此产生的合同受中华人民共和国有关的法律法规制约和保护。</w:t>
      </w:r>
    </w:p>
    <w:p w14:paraId="4A8D27B1">
      <w:pPr>
        <w:spacing w:line="440" w:lineRule="exact"/>
        <w:ind w:firstLine="482" w:firstLineChars="200"/>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4、投标费用</w:t>
      </w:r>
    </w:p>
    <w:p w14:paraId="70DDE7F7">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4.1 投标人应自行承担所有与参加投标有关的费用，无论投标过程中的做法和结果如何，招标代理机构在任何情况下均无义务和责任承担这些费用。</w:t>
      </w:r>
    </w:p>
    <w:p w14:paraId="7797410D">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4.2本次招标由各分包中标人在领取中标通知书前根据国家计委印发的《招标代理服务收费管理暂行办法》（计价格[2002]1980号文）标准一次性支付给招标代理机构服务费。</w:t>
      </w:r>
    </w:p>
    <w:p w14:paraId="59B70D42">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（1）代理服务费：中标价*1.5%，不足3000元按3000元计收；</w:t>
      </w:r>
    </w:p>
    <w:p w14:paraId="35198561">
      <w:pPr>
        <w:spacing w:line="440" w:lineRule="exact"/>
        <w:ind w:firstLine="420"/>
        <w:rPr>
          <w:rFonts w:hint="eastAsia" w:ascii="宋体" w:hAnsi="宋体" w:cs="宋体"/>
          <w:bCs/>
          <w:color w:val="auto"/>
          <w:sz w:val="24"/>
          <w:szCs w:val="24"/>
          <w:highlight w:val="none"/>
        </w:rPr>
      </w:pPr>
      <w:r>
        <w:rPr>
          <w:rFonts w:hint="eastAsia" w:ascii="宋体" w:hAnsi="宋体" w:cs="宋体"/>
          <w:bCs/>
          <w:color w:val="auto"/>
          <w:sz w:val="24"/>
          <w:szCs w:val="24"/>
          <w:highlight w:val="none"/>
        </w:rPr>
        <w:t>4.3专家评审费暂定500元/人，如有外地评委或评审时间较长，将适当增加相关费用，按实结算，不提供发票。</w:t>
      </w:r>
    </w:p>
    <w:p w14:paraId="3D13490D">
      <w:pPr>
        <w:spacing w:line="440" w:lineRule="exact"/>
        <w:ind w:firstLine="482" w:firstLineChars="200"/>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5、招标文件的约束力</w:t>
      </w:r>
    </w:p>
    <w:p w14:paraId="08835A5E">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5.1投标人一旦参加本项目采购活动，即被认为接受了本招标文件的规定和约束。</w:t>
      </w:r>
    </w:p>
    <w:p w14:paraId="52C59F80">
      <w:pPr>
        <w:spacing w:line="440" w:lineRule="exact"/>
        <w:ind w:firstLine="482" w:firstLineChars="200"/>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6、招标文件构成</w:t>
      </w:r>
    </w:p>
    <w:p w14:paraId="72B320E9">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6.1 招标文件有以下部分组成：</w:t>
      </w:r>
    </w:p>
    <w:p w14:paraId="1F965128">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（1）招标公告</w:t>
      </w:r>
    </w:p>
    <w:p w14:paraId="5B35AF5B">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（2）投标人须知</w:t>
      </w:r>
      <w:r>
        <w:rPr>
          <w:rFonts w:hint="eastAsia" w:ascii="宋体" w:hAnsi="宋体" w:cs="宋体"/>
          <w:bCs/>
          <w:color w:val="auto"/>
          <w:sz w:val="24"/>
          <w:szCs w:val="24"/>
          <w:highlight w:val="none"/>
        </w:rPr>
        <w:tab/>
      </w:r>
    </w:p>
    <w:p w14:paraId="0F95C297">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（3）合同条款及格式</w:t>
      </w:r>
    </w:p>
    <w:p w14:paraId="6C0342B7">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（4）项目需求</w:t>
      </w:r>
    </w:p>
    <w:p w14:paraId="20CE1F49">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（5）评标方法与评标标准</w:t>
      </w:r>
    </w:p>
    <w:p w14:paraId="70B1707A">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（6）投标文件格式</w:t>
      </w:r>
    </w:p>
    <w:p w14:paraId="2A5F1824">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请仔细检查招标文件是否齐全，如有缺漏请立即与代理机构联系解决。</w:t>
      </w:r>
    </w:p>
    <w:p w14:paraId="3472608D">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6.2 招标的最小单位是包。招标服务数量及技术要求中未分包的，供应商对要求提供的服务不得部分投标；招标服务数量及技术要求中已经分包的，应当以包为单位投标。</w:t>
      </w:r>
    </w:p>
    <w:p w14:paraId="23043A77">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6.3 招标文件如果要求供应商提交备选投标方案的，供应商可以提交备选方案；否则，备选方案将被拒绝。</w:t>
      </w:r>
    </w:p>
    <w:p w14:paraId="6F1052EE">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6.4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5433C1C5">
      <w:pPr>
        <w:spacing w:line="440" w:lineRule="exact"/>
        <w:ind w:firstLine="482" w:firstLineChars="200"/>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7、招标文件的澄清</w:t>
      </w:r>
    </w:p>
    <w:p w14:paraId="52829057">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7.1 任何要求对招标文件进行澄清的投标人，应在投标截止日期的十日前按招标公告中的通讯地址，以书面形式通知代理机构。</w:t>
      </w:r>
    </w:p>
    <w:p w14:paraId="0B08CADE">
      <w:pPr>
        <w:spacing w:line="440" w:lineRule="exact"/>
        <w:ind w:firstLine="482" w:firstLineChars="200"/>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8、招标文件的修改</w:t>
      </w:r>
    </w:p>
    <w:p w14:paraId="60872EC7">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8.1 在投标截止时间前，代理机构可以对招标文件进行修改。</w:t>
      </w:r>
    </w:p>
    <w:p w14:paraId="041C010C">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8.2代理机构在招标文件要求提交投标文件截止时间前，有权按照法定要求推迟投标截止时间和开标时间，</w:t>
      </w:r>
      <w:r>
        <w:rPr>
          <w:rFonts w:hint="eastAsia" w:ascii="宋体" w:hAnsi="宋体" w:cs="宋体"/>
          <w:color w:val="auto"/>
          <w:sz w:val="24"/>
          <w:szCs w:val="24"/>
          <w:highlight w:val="none"/>
        </w:rPr>
        <w:t>并在原采购信息发布媒体上发布变更公告</w:t>
      </w:r>
      <w:r>
        <w:rPr>
          <w:rFonts w:hint="eastAsia" w:ascii="宋体" w:hAnsi="宋体" w:cs="宋体"/>
          <w:bCs/>
          <w:color w:val="auto"/>
          <w:sz w:val="24"/>
          <w:szCs w:val="24"/>
          <w:highlight w:val="none"/>
        </w:rPr>
        <w:t>。</w:t>
      </w:r>
    </w:p>
    <w:p w14:paraId="46554DB6">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8.3招标文件的修改将在“扬州市政府采购网”、“江苏省政府采购网”公布，补充文件将作为招标文件的组成部分，并对投标人具有约束力。</w:t>
      </w:r>
    </w:p>
    <w:p w14:paraId="3D12C136">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8.4投标人应在投标截止时间前关注原采购信息发布媒体上有关本招标项目有无变更公告。</w:t>
      </w:r>
    </w:p>
    <w:p w14:paraId="2EC9E12A">
      <w:pPr>
        <w:spacing w:line="440" w:lineRule="exact"/>
        <w:ind w:firstLine="482" w:firstLineChars="200"/>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9、投标文件的语言、度量衡单位、货币</w:t>
      </w:r>
    </w:p>
    <w:p w14:paraId="4F5DA1F1">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9.1投标人提交的投标文件以及投标人与代理机构就有关投标的所有来往通知、函件和文件均应使用简体中文。</w:t>
      </w:r>
    </w:p>
    <w:p w14:paraId="333D6A7E">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9.2 除技术性能另有规定外，投标文件所使用的度量衡单位，均须采用国家法定计量单位。</w:t>
      </w:r>
    </w:p>
    <w:p w14:paraId="7E646B89">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9.3投标人应使用人民币报价。</w:t>
      </w:r>
    </w:p>
    <w:p w14:paraId="1DBEC46D">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9.4</w:t>
      </w:r>
      <w:r>
        <w:rPr>
          <w:rFonts w:hint="eastAsia" w:ascii="宋体" w:hAnsi="宋体" w:cs="宋体"/>
          <w:color w:val="auto"/>
          <w:sz w:val="24"/>
          <w:szCs w:val="24"/>
          <w:highlight w:val="none"/>
        </w:rPr>
        <w:t>投标文件应字迹清楚、内容齐全、不得涂改。如有修改，修改处须有投标人加盖公章和法定代表人或其授权代表签字。</w:t>
      </w:r>
    </w:p>
    <w:p w14:paraId="04464B91">
      <w:pPr>
        <w:spacing w:line="440" w:lineRule="exact"/>
        <w:ind w:firstLine="482" w:firstLineChars="200"/>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10、投标文件构成</w:t>
      </w:r>
    </w:p>
    <w:p w14:paraId="629B396F">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10.1按电子投标模块组成。</w:t>
      </w:r>
    </w:p>
    <w:p w14:paraId="1E5C7C99">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10.2投标人应将投标文件按顺序逐页编码，不得跳页（包括但不限于证明材料、声明及产品介绍、彩页等），并编制投标文件资料目录。由于编排混乱导致投标文件被误读或查找不到，责任由投标人承担。</w:t>
      </w:r>
    </w:p>
    <w:p w14:paraId="7F5098E7">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10.3投标人应当根据招标文件要求编制投标文件，投标文件应对招标文件提出的要求和条件作出实质性响应，并在相应的投标文件中逐条标明满足与否。</w:t>
      </w:r>
    </w:p>
    <w:p w14:paraId="6FEBEDBA">
      <w:pPr>
        <w:spacing w:line="440" w:lineRule="exact"/>
        <w:ind w:firstLine="482" w:firstLineChars="200"/>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11、证明投标人资格及符合招标文件规定的文件</w:t>
      </w:r>
    </w:p>
    <w:p w14:paraId="73110BA3">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11.1投标人应按要求提交资格证明文件及符合招标文件规定的文件。</w:t>
      </w:r>
    </w:p>
    <w:p w14:paraId="45A90481">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11.2投标人应提交证明其有资格参加投标和中标后有能力独立履行合同的文件。</w:t>
      </w:r>
    </w:p>
    <w:p w14:paraId="106B9854">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11.3投标人除必须具有履行合同所需提供的产品或服务的能力外，还必须具备相应的财务、技术方面的能力。</w:t>
      </w:r>
    </w:p>
    <w:p w14:paraId="22CA4EA7">
      <w:pPr>
        <w:spacing w:line="44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    11.4投标人应提交根据合同要求提供的证明服务质量合格以及符合招标文件规定的证明文件。</w:t>
      </w:r>
    </w:p>
    <w:p w14:paraId="30D5F8A9">
      <w:pPr>
        <w:spacing w:line="44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    11.5证明投标人所提供服务与招标文件的要求相一致的文件可以是手册、图纸、文字资料和数据。</w:t>
      </w:r>
    </w:p>
    <w:p w14:paraId="3D9325F8">
      <w:pPr>
        <w:spacing w:line="440" w:lineRule="exact"/>
        <w:ind w:firstLine="482" w:firstLineChars="200"/>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12、供货一览表和投标配置与分项报价表</w:t>
      </w:r>
    </w:p>
    <w:p w14:paraId="55EC836C">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12.1 投标人应按照招标文件规定格式填报投标配置与分项报价表，在表中标明所提供的设备品牌或服务名称、规格、型号、原产地、主要部件型号及其功能的中文说明和供货期。每项货物和服务等只允许有一个报价，任何有选择的报价将不予接受(如有备选配件，备选配件的报价不属于选择的报价)。</w:t>
      </w:r>
    </w:p>
    <w:p w14:paraId="1266A2FC">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12.2 标的物</w:t>
      </w:r>
    </w:p>
    <w:p w14:paraId="75D94651">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采购人需求的服务供应、安装，调试及有关技术服务等。</w:t>
      </w:r>
    </w:p>
    <w:p w14:paraId="167A11C7">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12.3有关费用处理</w:t>
      </w:r>
    </w:p>
    <w:p w14:paraId="348BF22B">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14:paraId="7A228D5C">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12.4其它费用处理</w:t>
      </w:r>
    </w:p>
    <w:p w14:paraId="4A56D612">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招标文件未列明，而投标人认为必需的费用也需列入报价。</w:t>
      </w:r>
    </w:p>
    <w:p w14:paraId="0FF0C2CB">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12.5投标货币</w:t>
      </w:r>
    </w:p>
    <w:p w14:paraId="1BD3458E">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投标文件中的服务单价和总价无特殊规定的采用人民币报价，以元为单位标注。招标文件中另有规定的按规定执行。</w:t>
      </w:r>
    </w:p>
    <w:p w14:paraId="185B6BB0">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12.6 投标配置与分项报价表上的价格应按下列方式分开填写：</w:t>
      </w:r>
    </w:p>
    <w:p w14:paraId="231E34B7">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1、项目总价：包括采购人需求的产品价格、质量保证费用、培训费用及售后服务费用，项目在指定地点、环境交付、安装、调试、验收所需费用和所有相关税金费用及为完成整个项目所产生的其他所有费用。</w:t>
      </w:r>
    </w:p>
    <w:p w14:paraId="21C513A4">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2、项目单价按投标配置及分项报价表中要求填报。</w:t>
      </w:r>
    </w:p>
    <w:p w14:paraId="00ED35DA">
      <w:pPr>
        <w:spacing w:line="440" w:lineRule="exact"/>
        <w:ind w:firstLine="482" w:firstLineChars="200"/>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13、技术参数响应及偏离表、商务条款响应及偏离表及投标货物说明</w:t>
      </w:r>
    </w:p>
    <w:p w14:paraId="1171097E">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13.1 对招标文件中的技术与商务条款要求逐项作出响应或偏离，并说明原因；</w:t>
      </w:r>
    </w:p>
    <w:p w14:paraId="0533F4E5">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13.2 提供参加本项目类似案例简介；</w:t>
      </w:r>
    </w:p>
    <w:p w14:paraId="6DF307C3">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13.3 培训计划；</w:t>
      </w:r>
    </w:p>
    <w:p w14:paraId="44525540">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13.4 详细阐述所投货物的主要组成部分、功能设计、实现思路及关键技术；</w:t>
      </w:r>
    </w:p>
    <w:p w14:paraId="6FA31592">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13.5 投标人认为需要的其他技术文件或说明。</w:t>
      </w:r>
    </w:p>
    <w:p w14:paraId="2B164D58">
      <w:pPr>
        <w:spacing w:line="440" w:lineRule="exact"/>
        <w:ind w:firstLine="482" w:firstLineChars="200"/>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14、服务承诺及售后服务机构、人员的情况介绍</w:t>
      </w:r>
    </w:p>
    <w:p w14:paraId="64395F41">
      <w:pPr>
        <w:spacing w:line="44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    14.1投标人的服务承诺应按不低于招标文件中商务要求的标准。</w:t>
      </w:r>
    </w:p>
    <w:p w14:paraId="0883333C">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14.2提供投标人有关售后服务的管理制度、售后服务机构的分布情况、售后服务人员的数量、素质、技术水平及售后服务的反应能力。</w:t>
      </w:r>
    </w:p>
    <w:p w14:paraId="39927689">
      <w:pPr>
        <w:spacing w:line="440" w:lineRule="exact"/>
        <w:ind w:firstLine="482" w:firstLineChars="200"/>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15、投标函和开标一览表</w:t>
      </w:r>
    </w:p>
    <w:p w14:paraId="6D1783EF">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15.1 投标人应按照招标文件中提供的格式完整、正确填写投标函、开标一览表。</w:t>
      </w:r>
    </w:p>
    <w:p w14:paraId="78FB063E">
      <w:pPr>
        <w:spacing w:line="440" w:lineRule="exact"/>
        <w:ind w:firstLine="480" w:firstLineChars="200"/>
        <w:rPr>
          <w:rFonts w:hint="eastAsia" w:ascii="宋体" w:hAnsi="宋体" w:cs="宋体"/>
          <w:bCs/>
          <w:i/>
          <w:iCs/>
          <w:color w:val="auto"/>
          <w:sz w:val="24"/>
          <w:szCs w:val="24"/>
          <w:highlight w:val="none"/>
          <w:u w:val="single"/>
        </w:rPr>
      </w:pPr>
      <w:r>
        <w:rPr>
          <w:rFonts w:hint="eastAsia" w:ascii="宋体" w:hAnsi="宋体" w:cs="宋体"/>
          <w:bCs/>
          <w:color w:val="auto"/>
          <w:sz w:val="24"/>
          <w:szCs w:val="24"/>
          <w:highlight w:val="none"/>
        </w:rPr>
        <w:t>15.2</w:t>
      </w:r>
      <w:r>
        <w:rPr>
          <w:rFonts w:hint="eastAsia" w:ascii="宋体" w:hAnsi="宋体" w:cs="宋体"/>
          <w:bCs/>
          <w:i/>
          <w:iCs/>
          <w:color w:val="auto"/>
          <w:sz w:val="24"/>
          <w:szCs w:val="24"/>
          <w:highlight w:val="none"/>
          <w:u w:val="single"/>
        </w:rPr>
        <w:t xml:space="preserve"> 开标一览表中的价格应与投标文件中分项报价表中的价格一致，如不一致，不作为无效投标处理，但评标时按开标一览表中价格为准。</w:t>
      </w:r>
    </w:p>
    <w:p w14:paraId="20079ADE">
      <w:pPr>
        <w:spacing w:line="440" w:lineRule="exact"/>
        <w:ind w:firstLine="482" w:firstLineChars="200"/>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16、投标保证金。</w:t>
      </w:r>
    </w:p>
    <w:p w14:paraId="0E5AE6D7">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本项目免收投标保证金。</w:t>
      </w:r>
    </w:p>
    <w:p w14:paraId="18F9EC84">
      <w:pPr>
        <w:spacing w:line="440" w:lineRule="exact"/>
        <w:ind w:firstLine="482" w:firstLineChars="200"/>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投标有效期</w:t>
      </w:r>
    </w:p>
    <w:p w14:paraId="7DED4CAF">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17.1 投标有效期为代理机构规定的开标之日起六十（60）天。投标有效期比规定短的将被视为非响应性投标而予以拒绝。</w:t>
      </w:r>
    </w:p>
    <w:p w14:paraId="28A67A45">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17.2 在特殊情况下，代理机构于原投标有效期满之前，可向投标人提出延长投标有效期的要求。这种要求与答复均应采用书面形式。投标人可以拒绝代理机构的这一要求而放弃投标；同意延长投标有效期的投标人既不能要求也不允许修改其投标文件。本招标文件受投标有效期约束的所有权利与义务均延长至新的有效期。</w:t>
      </w:r>
    </w:p>
    <w:p w14:paraId="26B21F2E">
      <w:pPr>
        <w:spacing w:line="440" w:lineRule="exact"/>
        <w:ind w:firstLine="482" w:firstLineChars="200"/>
        <w:outlineLvl w:val="0"/>
        <w:rPr>
          <w:rFonts w:hint="eastAsia" w:ascii="宋体" w:hAnsi="宋体" w:cs="宋体"/>
          <w:b/>
          <w:color w:val="auto"/>
          <w:sz w:val="24"/>
          <w:szCs w:val="24"/>
          <w:highlight w:val="none"/>
        </w:rPr>
      </w:pPr>
      <w:bookmarkStart w:id="38" w:name="_Toc20823297"/>
      <w:bookmarkStart w:id="39" w:name="_Toc513029225"/>
      <w:bookmarkStart w:id="40" w:name="_Toc16938541"/>
      <w:bookmarkStart w:id="41" w:name="_Toc462564084"/>
      <w:r>
        <w:rPr>
          <w:rFonts w:hint="eastAsia" w:ascii="宋体" w:hAnsi="宋体" w:cs="宋体"/>
          <w:b/>
          <w:color w:val="auto"/>
          <w:sz w:val="24"/>
          <w:szCs w:val="24"/>
          <w:highlight w:val="none"/>
        </w:rPr>
        <w:t>18、投标文件</w:t>
      </w:r>
      <w:bookmarkEnd w:id="38"/>
      <w:bookmarkEnd w:id="39"/>
      <w:bookmarkEnd w:id="40"/>
      <w:bookmarkEnd w:id="41"/>
      <w:r>
        <w:rPr>
          <w:rFonts w:hint="eastAsia" w:ascii="宋体" w:hAnsi="宋体" w:cs="宋体"/>
          <w:b/>
          <w:color w:val="auto"/>
          <w:sz w:val="24"/>
          <w:szCs w:val="24"/>
          <w:highlight w:val="none"/>
        </w:rPr>
        <w:t>的递交</w:t>
      </w:r>
    </w:p>
    <w:p w14:paraId="6EEFDE5B">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18.1 电子投标文件的递交投标人应当按照《操作手册》规定，在投标截止时间前制作并上传电子投标文件。</w:t>
      </w:r>
      <w:bookmarkStart w:id="42" w:name="_Toc20823298"/>
      <w:bookmarkStart w:id="43" w:name="_Toc513029226"/>
      <w:bookmarkStart w:id="44" w:name="_Toc16938542"/>
    </w:p>
    <w:p w14:paraId="1F117F2B">
      <w:pPr>
        <w:spacing w:line="440" w:lineRule="exact"/>
        <w:ind w:firstLine="482" w:firstLineChars="200"/>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19、投标截止日期</w:t>
      </w:r>
      <w:bookmarkEnd w:id="42"/>
      <w:bookmarkEnd w:id="43"/>
      <w:bookmarkEnd w:id="44"/>
    </w:p>
    <w:p w14:paraId="4E9FDBBB">
      <w:pPr>
        <w:spacing w:line="440" w:lineRule="exact"/>
        <w:ind w:firstLine="480" w:firstLineChars="200"/>
        <w:rPr>
          <w:rFonts w:hint="eastAsia" w:ascii="宋体" w:hAnsi="宋体" w:cs="宋体"/>
          <w:bCs/>
          <w:i/>
          <w:iCs/>
          <w:color w:val="auto"/>
          <w:sz w:val="24"/>
          <w:szCs w:val="24"/>
          <w:highlight w:val="none"/>
          <w:u w:val="single"/>
        </w:rPr>
      </w:pPr>
      <w:r>
        <w:rPr>
          <w:rFonts w:hint="eastAsia" w:ascii="宋体" w:hAnsi="宋体" w:cs="宋体"/>
          <w:bCs/>
          <w:i/>
          <w:iCs/>
          <w:color w:val="auto"/>
          <w:sz w:val="24"/>
          <w:szCs w:val="24"/>
          <w:highlight w:val="none"/>
          <w:u w:val="single"/>
        </w:rPr>
        <w:t>19.1 投标人上传电子投标文件的时间不得迟于招标公告中规定的投标截止时间。</w:t>
      </w:r>
    </w:p>
    <w:p w14:paraId="277DD9F1">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投标人应充分考虑到网络环境、网络带宽等风险因素，如因投标人自身原因造成的电子投标文件上传不成功由投标人自行承担全部责任。</w:t>
      </w:r>
    </w:p>
    <w:p w14:paraId="496F1668">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19.2 代理机构可以按照规定，通过修改招标文件延长投标截止日期，在此情况下，投标人的所有权利和义务以及投标人受制的截止日期均应以延长后新的截止日期为准。</w:t>
      </w:r>
    </w:p>
    <w:p w14:paraId="70B368E5">
      <w:pPr>
        <w:spacing w:line="440" w:lineRule="exact"/>
        <w:ind w:firstLine="482" w:firstLineChars="200"/>
        <w:outlineLvl w:val="0"/>
        <w:rPr>
          <w:rFonts w:hint="eastAsia" w:ascii="宋体" w:hAnsi="宋体" w:cs="宋体"/>
          <w:b/>
          <w:color w:val="auto"/>
          <w:sz w:val="24"/>
          <w:szCs w:val="24"/>
          <w:highlight w:val="none"/>
        </w:rPr>
      </w:pPr>
      <w:bookmarkStart w:id="45" w:name="_Toc16938543"/>
      <w:bookmarkStart w:id="46" w:name="_Toc513029227"/>
      <w:bookmarkStart w:id="47" w:name="_Toc20823299"/>
      <w:r>
        <w:rPr>
          <w:rFonts w:hint="eastAsia" w:ascii="宋体" w:hAnsi="宋体" w:cs="宋体"/>
          <w:b/>
          <w:color w:val="auto"/>
          <w:sz w:val="24"/>
          <w:szCs w:val="24"/>
          <w:highlight w:val="none"/>
        </w:rPr>
        <w:t>20、投标文件</w:t>
      </w:r>
      <w:bookmarkEnd w:id="45"/>
      <w:bookmarkEnd w:id="46"/>
      <w:bookmarkEnd w:id="47"/>
      <w:r>
        <w:rPr>
          <w:rFonts w:hint="eastAsia" w:ascii="宋体" w:hAnsi="宋体" w:cs="宋体"/>
          <w:b/>
          <w:color w:val="auto"/>
          <w:sz w:val="24"/>
          <w:szCs w:val="24"/>
          <w:highlight w:val="none"/>
        </w:rPr>
        <w:t>的拒收</w:t>
      </w:r>
    </w:p>
    <w:p w14:paraId="6578233C">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20.1代理机构拒绝接收在其规定的投标截止时间后上传的任何投标文件。</w:t>
      </w:r>
    </w:p>
    <w:p w14:paraId="5EBC94FC">
      <w:pPr>
        <w:spacing w:line="440" w:lineRule="exact"/>
        <w:ind w:firstLine="482" w:firstLineChars="200"/>
        <w:outlineLvl w:val="0"/>
        <w:rPr>
          <w:rFonts w:hint="eastAsia" w:ascii="宋体" w:hAnsi="宋体" w:cs="宋体"/>
          <w:b/>
          <w:color w:val="auto"/>
          <w:sz w:val="24"/>
          <w:szCs w:val="24"/>
          <w:highlight w:val="none"/>
        </w:rPr>
      </w:pPr>
      <w:bookmarkStart w:id="48" w:name="_Toc513029228"/>
      <w:bookmarkStart w:id="49" w:name="_Toc16938544"/>
      <w:bookmarkStart w:id="50" w:name="_Toc20823300"/>
      <w:r>
        <w:rPr>
          <w:rFonts w:hint="eastAsia" w:ascii="宋体" w:hAnsi="宋体" w:cs="宋体"/>
          <w:b/>
          <w:color w:val="auto"/>
          <w:sz w:val="24"/>
          <w:szCs w:val="24"/>
          <w:highlight w:val="none"/>
        </w:rPr>
        <w:t>21、投标文件的撤回和修改</w:t>
      </w:r>
      <w:bookmarkEnd w:id="48"/>
      <w:bookmarkEnd w:id="49"/>
      <w:bookmarkEnd w:id="50"/>
    </w:p>
    <w:p w14:paraId="60203273">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21.1 投标文件的撤回</w:t>
      </w:r>
    </w:p>
    <w:p w14:paraId="0310700B">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21.1.1 电子投标文件的撤回</w:t>
      </w:r>
    </w:p>
    <w:p w14:paraId="52F4B9A0">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投标人可在投标截止时间前，撤回其电子投标文件，具体操作方法见《操作手册》。</w:t>
      </w:r>
    </w:p>
    <w:p w14:paraId="540CEC05">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21.1.2 投标人撤回电子投标文件，则认为其不再参与本项目投标活动。</w:t>
      </w:r>
    </w:p>
    <w:p w14:paraId="43CA80AD">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21.2 投标文件的修改</w:t>
      </w:r>
    </w:p>
    <w:p w14:paraId="18651CD3">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投标人可在投标截止时间前，对其电子投标文件进行修改，具体操作方法见《操作手册》。</w:t>
      </w:r>
    </w:p>
    <w:p w14:paraId="6C7888AD">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21.3 在投标截止时间之后，投标人不得对其电子投标文件作任何修改。</w:t>
      </w:r>
    </w:p>
    <w:p w14:paraId="2EACFC55">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21.4 在投标截止时间至招标文件中规定的投标有效期满之间的这段时间内，投标人不得撤回其投标。</w:t>
      </w:r>
    </w:p>
    <w:p w14:paraId="1F4C3577">
      <w:pPr>
        <w:spacing w:line="440" w:lineRule="exact"/>
        <w:ind w:firstLine="482" w:firstLineChars="200"/>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22、开标</w:t>
      </w:r>
    </w:p>
    <w:p w14:paraId="6C9FA7F9">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22.1 代理机构将在招标公告中规定的时间和地点组织公开开标。投标人应当按照《操作手册》规定，参加开标活动。投标人未参加开标的，视同认可开标结果。</w:t>
      </w:r>
    </w:p>
    <w:p w14:paraId="36393D98">
      <w:pPr>
        <w:spacing w:line="44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    22.2开标仪式由代理机构组织。</w:t>
      </w:r>
      <w:bookmarkStart w:id="51" w:name="_Hlk164936589"/>
      <w:r>
        <w:rPr>
          <w:rFonts w:hint="eastAsia" w:ascii="宋体" w:hAnsi="宋体" w:cs="宋体"/>
          <w:bCs/>
          <w:color w:val="auto"/>
          <w:sz w:val="24"/>
          <w:szCs w:val="24"/>
          <w:highlight w:val="none"/>
        </w:rPr>
        <w:t>政府采购管理交易系统（苏采云）</w:t>
      </w:r>
      <w:bookmarkEnd w:id="51"/>
      <w:r>
        <w:rPr>
          <w:rFonts w:hint="eastAsia" w:ascii="宋体" w:hAnsi="宋体" w:cs="宋体"/>
          <w:bCs/>
          <w:color w:val="auto"/>
          <w:sz w:val="24"/>
          <w:szCs w:val="24"/>
          <w:highlight w:val="none"/>
        </w:rPr>
        <w:t>将自动对项目进行开标，并宣读各投标人的《开标一览表》。</w:t>
      </w:r>
    </w:p>
    <w:p w14:paraId="525FD325">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22.3投标人在开标过程中涉及到的投标文件解密、开标结果确认等工作，应按照《操作手册》规定执行。</w:t>
      </w:r>
    </w:p>
    <w:p w14:paraId="799AC9C5">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22.4投标人如果对开标过程和开标记录有疑义，应当根据《操作手册》规定提出， 政府采购管理交易系统（苏采云）中《开标记录表》宣布后5分钟内未提出的，视同认可开标结果。</w:t>
      </w:r>
    </w:p>
    <w:p w14:paraId="4FEF4B31">
      <w:pPr>
        <w:spacing w:line="440" w:lineRule="exact"/>
        <w:ind w:firstLine="482" w:firstLineChars="200"/>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23、评标委员会</w:t>
      </w:r>
    </w:p>
    <w:p w14:paraId="4F35BB86">
      <w:pPr>
        <w:spacing w:line="44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    23.1 开标后，代理机构将立即组织评标委员会（以下简称评委会）进行评标。</w:t>
      </w:r>
    </w:p>
    <w:p w14:paraId="6AC2F6C3">
      <w:pPr>
        <w:spacing w:line="44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    23.2 评委会由采购人代表和有关技术、经济等方面的专家组成，且人员构成符合政府采购有关规定。</w:t>
      </w:r>
    </w:p>
    <w:p w14:paraId="5452735B">
      <w:pPr>
        <w:spacing w:line="44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    23.3评委会独立工作，负责评审所有投标文件并确定中标候选人。</w:t>
      </w:r>
    </w:p>
    <w:p w14:paraId="2AA1065E">
      <w:pPr>
        <w:spacing w:line="440" w:lineRule="exact"/>
        <w:ind w:firstLine="482" w:firstLineChars="200"/>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24、评标过程的保密与公正</w:t>
      </w:r>
    </w:p>
    <w:p w14:paraId="5F45B579">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24.1公开开标后，直至签订合同之日止，凡是与审查、澄清、评价和比较投标的有关资料以及授标建议等，采购人、评委、代理机构工作人员均不得向投标人或与评标无关的其他人员透露。</w:t>
      </w:r>
    </w:p>
    <w:p w14:paraId="0EEF3AD5">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24.2在评标过程中，投标人不得以任何行为影响评标过程，否则其投标文件将被作为无效投标文件。</w:t>
      </w:r>
    </w:p>
    <w:p w14:paraId="59B01940">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24.3 在评标期间，代理机构将设专门工作人员与投标人联系。</w:t>
      </w:r>
    </w:p>
    <w:p w14:paraId="7A752B95">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24.4 代理机构和评委会不向未中标的投标人解释未中标原因，也不公布评标过程中的相关细节。</w:t>
      </w:r>
    </w:p>
    <w:p w14:paraId="2C9F3897">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24.5 采用综合评分法的项目，未中标的投标人可于中标结果公告期限届满之日起通过“政府采购管理交易系统（苏采云）”查看自己的评审得分及排序情况。</w:t>
      </w:r>
    </w:p>
    <w:p w14:paraId="73949239">
      <w:pPr>
        <w:spacing w:line="440" w:lineRule="exact"/>
        <w:ind w:firstLine="482" w:firstLineChars="200"/>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25、投标的澄清</w:t>
      </w:r>
    </w:p>
    <w:p w14:paraId="1B2F9369">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25.1评标期间，为有助于对投标文件的审查、评价和比较，评委会有权以电子函件形式要求投标人对其投标文件进行澄清，但并非对每个投标人都作澄清要求。</w:t>
      </w:r>
    </w:p>
    <w:p w14:paraId="5CEF148C">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25.2接到评委会澄清要求的投标人应派人按评委会规定的时间和地点做出澄清，书面澄清的内容须由投标人法定代表人或授权代表签署，并作为投标文件的补充部分，但投标的价格和实质性的内容不得做任何更改。具体操作方式见《操作手册》。</w:t>
      </w:r>
    </w:p>
    <w:p w14:paraId="3ABF88D2">
      <w:pPr>
        <w:spacing w:line="44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    25.3 接到评委会澄清要求的投标人如未按规定做出澄清，其风险由投标人自行承担。</w:t>
      </w:r>
    </w:p>
    <w:p w14:paraId="489FE8F3">
      <w:pPr>
        <w:spacing w:line="440" w:lineRule="exact"/>
        <w:ind w:firstLine="482" w:firstLineChars="200"/>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26、对投标文件的初审</w:t>
      </w:r>
    </w:p>
    <w:p w14:paraId="2183DD9D">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26.1投标文件初审分为资格审查和符合性审查。</w:t>
      </w:r>
    </w:p>
    <w:p w14:paraId="34012CBC">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26.1.1资格审查：依据法律法规和招标文件的规定，由采购人对投标文件中的资格证明文件进行审查。并将审查结论以书面形式向评委会反馈。</w:t>
      </w:r>
    </w:p>
    <w:p w14:paraId="227786D5">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采购人在进行资格性审查的同时，将在“信用中国”网站（www.creditchina.gov.cn）、“中国政府采购网"(www.ccgp.gov.cn)对投标人是否被列入失信被执行人、重大税收违法案件当事人名单、政府采购严重失信行为记录名单情况进行查询，以确定投标人是否具备投标资格。查询结果将以网页打印的形式留存并归档。</w:t>
      </w:r>
    </w:p>
    <w:p w14:paraId="2032667D">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若接受联合体投标的项目，两个以上的自然人、法人或者其他组织组成一个联合体，以一个供应商的身份共同参加政府采购活动的,联合体成员存在不良信用记录的，视同联合体存在不良信用记录。</w:t>
      </w:r>
    </w:p>
    <w:p w14:paraId="6C236AC9">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26.1.2符合性检查：依据招标文件的规定，由评委会从投标文件的有效性、完整性和对招标文件的响应程度进行审查，以确定是否对招标文件的实质性要求作出响应。</w:t>
      </w:r>
    </w:p>
    <w:p w14:paraId="3A7784C0">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26.1.3 未通过资格审查或符合性审查的投标人，代理机构将在“政府采购交易管理系统（苏采云）”中告知未通过资格审查或符合性审查的原因，评审结束后，代理机构将不再告知未通过资格审查或符合性审查的原因。</w:t>
      </w:r>
    </w:p>
    <w:p w14:paraId="5B904308">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26.2在详细评标之前，评委会将首先审查每份投标文件是否实质性响应了招标文件的要求。实质性响应的投标应该是与招标文件要求的全部条款、条件和规格相符，没有重大偏离或保留的投标。</w:t>
      </w:r>
    </w:p>
    <w:p w14:paraId="097F4157">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所谓重大偏离或保留是指与招标文件规定的实质性要求存在负偏离，或者在实质上与招标文件不一致，而且限制了合同中买方（采购人）和见证方（代理机构）的权利或投标人的义务，纠正这些偏离或保留将会对其他实质性响应要求的投标人的竞争地位产生不公正的影响。是否属于重大偏离由评委会按照少数服从多数的原则作出结论。评委决定投标文件的响应性只根据投标文件本身的内容，而不寻求外部的证据。</w:t>
      </w:r>
    </w:p>
    <w:p w14:paraId="5F2DF034">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26.3如果投标文件实质上没有响应招标文件的要求，评委会将予以拒绝，投标人不得通过修改或撤销不合要求的偏离或保留而使其投标成为实质性响应的投标。</w:t>
      </w:r>
    </w:p>
    <w:p w14:paraId="4A943299">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26.4评委会将对确定为实质性响应的投标进行进一步审核，看其是否有计算上或累加上的算术错误，修正错误的原则如下：</w:t>
      </w:r>
    </w:p>
    <w:p w14:paraId="63F3D46D">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（1）投标文件中开标一览表内容与投标文件中相应内容不一致的，以开标一览表为准。</w:t>
      </w:r>
    </w:p>
    <w:p w14:paraId="07F5AD90">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（2）大写金额与小写金额不一致的，以大写金额为准。</w:t>
      </w:r>
    </w:p>
    <w:p w14:paraId="616B35BF">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（3）单价金额小数点或者百分比有明显错位的，以开标一览表的总价为准，并修改单价。</w:t>
      </w:r>
    </w:p>
    <w:p w14:paraId="28C4815D">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（4）总价金额与按单价汇总金额不一致的，以单价金额计算结果为准。</w:t>
      </w:r>
    </w:p>
    <w:p w14:paraId="4CF0A42B">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同时出现两种以上错误的，按照前款规定的顺序修正</w:t>
      </w:r>
      <w:r>
        <w:rPr>
          <w:rFonts w:hint="eastAsia" w:ascii="宋体" w:hAnsi="宋体" w:cs="宋体"/>
          <w:color w:val="auto"/>
          <w:sz w:val="24"/>
          <w:szCs w:val="24"/>
          <w:highlight w:val="none"/>
        </w:rPr>
        <w:t>。对不同文字文本投标文件的解释发生异议的，以中文文本为准。</w:t>
      </w:r>
    </w:p>
    <w:p w14:paraId="21333CC8">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26.5评委会将按上述修正错误的方法调整投标文件中的投标报价，并通过“扬州市政府采购交易管理系统”告知投标人，调整后的价格应对投标人具有约束力。如果投标人不接受修正后的价格，则其投标将被拒绝。</w:t>
      </w:r>
    </w:p>
    <w:p w14:paraId="63487225">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26.6评委会将允许修正投标文件中不构成重大偏离的、微小的、非正规的、不一致的或不规则的地方，但这些修改不能影响任何投标人相应的名次排列。</w:t>
      </w:r>
    </w:p>
    <w:p w14:paraId="383E40F6">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26.7采用最低评标价法的采购项目，提供相同品牌产品的不同投标人参加同一合同项下投标的，以其中通过资格审查、符合性审查且报价最低的参加评标；报价相同的，由评委会按照招标文件规定的方式确定，招标文件未规定的通过随机抽取的方式确定一个参加评标的投标人，其他投标无效。</w:t>
      </w:r>
    </w:p>
    <w:p w14:paraId="3483D5B8">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评委会根据招标文件规定的方式确定，招标文件未规定的采取随机抽取的方式确定一个中标候选人，其他同品牌投标人不作为中标候选人。</w:t>
      </w:r>
    </w:p>
    <w:p w14:paraId="62241899">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非单一产品采购项目，招标文件中将载明其中的核心产品。多家投标人提供的核心产品品牌相同的，按前两款规定处理。</w:t>
      </w:r>
    </w:p>
    <w:p w14:paraId="5A49AE86">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26.8 投标人在开、评标全过程中应保持通讯畅通，并安排专人与招标代理及评委会联系。</w:t>
      </w:r>
    </w:p>
    <w:p w14:paraId="323879AB">
      <w:pPr>
        <w:spacing w:line="440" w:lineRule="exact"/>
        <w:ind w:firstLine="482" w:firstLineChars="200"/>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27、无效投标、废标及投标人不足三家的处理</w:t>
      </w:r>
    </w:p>
    <w:p w14:paraId="276F833D">
      <w:pPr>
        <w:spacing w:line="440" w:lineRule="exact"/>
        <w:ind w:firstLine="480" w:firstLineChars="200"/>
        <w:outlineLvl w:val="1"/>
        <w:rPr>
          <w:rFonts w:hint="eastAsia" w:ascii="宋体" w:hAnsi="宋体" w:cs="宋体"/>
          <w:bCs/>
          <w:color w:val="auto"/>
          <w:sz w:val="24"/>
          <w:szCs w:val="24"/>
          <w:highlight w:val="none"/>
        </w:rPr>
      </w:pPr>
      <w:r>
        <w:rPr>
          <w:rFonts w:hint="eastAsia" w:ascii="宋体" w:hAnsi="宋体" w:cs="宋体"/>
          <w:bCs/>
          <w:color w:val="auto"/>
          <w:sz w:val="24"/>
          <w:szCs w:val="24"/>
          <w:highlight w:val="none"/>
        </w:rPr>
        <w:t>27.1无效投标条款</w:t>
      </w:r>
    </w:p>
    <w:p w14:paraId="290F1670">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27.1.1 投标人未成功解密电子投标文件的。</w:t>
      </w:r>
    </w:p>
    <w:p w14:paraId="65133296">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27.1.2 投标人未按照招标文件要求上传电子投标文件的。</w:t>
      </w:r>
    </w:p>
    <w:p w14:paraId="6ED3DADA">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27.1.3投标人在报价时采用选择性报价的。</w:t>
      </w:r>
    </w:p>
    <w:p w14:paraId="41C9EDA0">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27.1.4投标人不具备招标文件中规定资格要求的。</w:t>
      </w:r>
    </w:p>
    <w:p w14:paraId="3F26F4B5">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27.1.5投标人的报价超过了采购预算或最高限价的。</w:t>
      </w:r>
    </w:p>
    <w:p w14:paraId="36E2D6A3">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27.1.6未通过符合性审查的。</w:t>
      </w:r>
    </w:p>
    <w:p w14:paraId="606D437C">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27.1.7不符合招标文件中规定的其他实质性要求和条件的</w:t>
      </w:r>
      <w:r>
        <w:rPr>
          <w:rFonts w:hint="eastAsia" w:ascii="宋体" w:hAnsi="宋体" w:cs="宋体"/>
          <w:color w:val="auto"/>
          <w:sz w:val="24"/>
          <w:szCs w:val="24"/>
          <w:highlight w:val="none"/>
        </w:rPr>
        <w:t>规定的其他实质性要求和条件的</w:t>
      </w:r>
      <w:r>
        <w:rPr>
          <w:rFonts w:hint="eastAsia" w:ascii="宋体" w:hAnsi="宋体" w:cs="宋体"/>
          <w:i/>
          <w:iCs/>
          <w:color w:val="auto"/>
          <w:sz w:val="24"/>
          <w:szCs w:val="24"/>
          <w:highlight w:val="none"/>
          <w:u w:val="single"/>
        </w:rPr>
        <w:t>（本招标文件中斜体且有下划线部分为实质性要求和条件，包括但不限于该范围）；</w:t>
      </w:r>
    </w:p>
    <w:p w14:paraId="6C5B6025">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27.1.8 投标人被 “信用中国”网站（www.creditchina.gov.cn）、“中国政府采购网"(www.ccgp.gov.cn)列入失信被执行人或重大税收违法案件当事人名单或政府采购严重失信行为记录名单。若接受联合体的项目，两个以上的自然人、法人或者其他组织组成一个联合体，以一个供应商的身份共同参加政府采购活动的，联合体成员存在不良信用记录的，视同联合体存在不良应用记录。</w:t>
      </w:r>
    </w:p>
    <w:p w14:paraId="488351D4">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27.1.9  投标文件含有采购人不能接受的附加条件的。</w:t>
      </w:r>
    </w:p>
    <w:p w14:paraId="6ACC4F9B">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27.1.10 评委会认为投标人的报价明显低于其他通过符合性审查投标人的报价，有可能影响产品质量或者不能诚信履约的，要求其在合理的时间内提供说明，必要时提交相关证明材料；投标人不能证明其报价合理性的，评委会应当将其作为无效投标处理。</w:t>
      </w:r>
    </w:p>
    <w:p w14:paraId="53A3593B">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27.1.11 本项目采购产品被财政部、国家发改委、生态环境部等列入“节能产品品目清单”、“环境标志产品品目清单”强制采购范围，而投标人所投标产品不在强制采购范围内的。</w:t>
      </w:r>
    </w:p>
    <w:p w14:paraId="590B2CBF">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27.1.12 投标文件未按照招标文件要求加盖电子签章。</w:t>
      </w:r>
    </w:p>
    <w:p w14:paraId="56B47E5B">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27.1.13其他法律、法规及本招标文件规定的属无效投标的情形。</w:t>
      </w:r>
    </w:p>
    <w:p w14:paraId="54CE5F37">
      <w:pPr>
        <w:spacing w:line="440" w:lineRule="exact"/>
        <w:ind w:firstLine="480" w:firstLineChars="200"/>
        <w:outlineLvl w:val="1"/>
        <w:rPr>
          <w:rFonts w:hint="eastAsia" w:ascii="宋体" w:hAnsi="宋体" w:cs="宋体"/>
          <w:bCs/>
          <w:color w:val="auto"/>
          <w:sz w:val="24"/>
          <w:szCs w:val="24"/>
          <w:highlight w:val="none"/>
        </w:rPr>
      </w:pPr>
      <w:r>
        <w:rPr>
          <w:rFonts w:hint="eastAsia" w:ascii="宋体" w:hAnsi="宋体" w:cs="宋体"/>
          <w:bCs/>
          <w:color w:val="auto"/>
          <w:sz w:val="24"/>
          <w:szCs w:val="24"/>
          <w:highlight w:val="none"/>
        </w:rPr>
        <w:t>27.2废标条款：</w:t>
      </w:r>
    </w:p>
    <w:p w14:paraId="2FDB9BF3">
      <w:pPr>
        <w:spacing w:line="440" w:lineRule="exact"/>
        <w:ind w:left="420" w:left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27.2.1符合专业条件的供应商或者对招标文件作实质响应的供应商不足三家的。27.2.2 投标人的报价均超过采购预算或最高限价。</w:t>
      </w:r>
    </w:p>
    <w:p w14:paraId="399EB4EA">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27.2.3 出现影响采购公正的违法、违规行为的。</w:t>
      </w:r>
    </w:p>
    <w:p w14:paraId="2EEB34E4">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27.2.4因重大变故，采购任务取消的。</w:t>
      </w:r>
    </w:p>
    <w:p w14:paraId="43B9C287">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27.2.5评委会认定招标文件存在歧义、重大缺陷导致评审工作无法进行。</w:t>
      </w:r>
    </w:p>
    <w:p w14:paraId="3A4E44AB">
      <w:pPr>
        <w:spacing w:line="440" w:lineRule="exact"/>
        <w:ind w:firstLine="480" w:firstLineChars="200"/>
        <w:outlineLvl w:val="1"/>
        <w:rPr>
          <w:rFonts w:hint="eastAsia" w:ascii="宋体" w:hAnsi="宋体" w:cs="宋体"/>
          <w:bCs/>
          <w:color w:val="auto"/>
          <w:sz w:val="24"/>
          <w:szCs w:val="24"/>
          <w:highlight w:val="none"/>
        </w:rPr>
      </w:pPr>
      <w:r>
        <w:rPr>
          <w:rFonts w:hint="eastAsia" w:ascii="宋体" w:hAnsi="宋体" w:cs="宋体"/>
          <w:bCs/>
          <w:color w:val="auto"/>
          <w:sz w:val="24"/>
          <w:szCs w:val="24"/>
          <w:highlight w:val="none"/>
        </w:rPr>
        <w:t>27. 3 投标截止时间结束后参加投标的供应商不足三家的处理：</w:t>
      </w:r>
    </w:p>
    <w:p w14:paraId="40ACE982">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27.3.1如出现投标截止时间结束后参加投标的供应商或者在评标期间对招标文件做出实质性响应的供应商不足三家情况，按政府采购相关规定执行。</w:t>
      </w:r>
    </w:p>
    <w:p w14:paraId="36B1A687">
      <w:pPr>
        <w:spacing w:line="440" w:lineRule="exact"/>
        <w:ind w:firstLine="482" w:firstLineChars="200"/>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28、确定中标单位</w:t>
      </w:r>
    </w:p>
    <w:p w14:paraId="1F448751">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28.1评委会根据本招标文件规定评标方法与评标标准向采购人推荐出中标候选人。</w:t>
      </w:r>
    </w:p>
    <w:p w14:paraId="41EC028F">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28.2 采购人应根据评委会推荐的中标候选人确定中标人。</w:t>
      </w:r>
    </w:p>
    <w:p w14:paraId="51E3D657">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28.3代理机构将在 “扬州市政府采购网”和“江苏省政府采购网”发布中标公告，公告期限为1个工作日。</w:t>
      </w:r>
    </w:p>
    <w:p w14:paraId="314244C6">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28.4若有充分证据证明，中标人出现下列情况之一的，一经查实，将被取消中标资格：</w:t>
      </w:r>
    </w:p>
    <w:p w14:paraId="0C3BFE84">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28.4.1提供虚假材料谋取中标的；</w:t>
      </w:r>
    </w:p>
    <w:p w14:paraId="2E6A98B8">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28.4.2向采购人、代理机构行贿或者提供其他不正当利益的；</w:t>
      </w:r>
    </w:p>
    <w:p w14:paraId="22A12092">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28.4.3恶意竞争，投标总报价明显低于其自身合理成本且又无法提供证明的；</w:t>
      </w:r>
    </w:p>
    <w:p w14:paraId="6E03FB62">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28.4.4属于本文件规定的无效条件，但在评标过程中又未被评委会发现的；</w:t>
      </w:r>
    </w:p>
    <w:p w14:paraId="752E25ED">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28.4.5与采购人或者其他投标人恶意串通的；</w:t>
      </w:r>
    </w:p>
    <w:p w14:paraId="3E709238">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28.4.6采取不正当手段诋毁、排挤其他供应商的；</w:t>
      </w:r>
    </w:p>
    <w:p w14:paraId="28B89097">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28.4.7不符合法律、法规的规定的。</w:t>
      </w:r>
    </w:p>
    <w:p w14:paraId="6D4FEA7D">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28.5. 有下列情形之一的，视为投标人串通投标，投标无效：</w:t>
      </w:r>
    </w:p>
    <w:p w14:paraId="3AF8AEC2">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28.5.1不同投标人的投标文件由同一单位或者个人编制。</w:t>
      </w:r>
    </w:p>
    <w:p w14:paraId="66761514">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28.5.2不同投标人委托同一单位或者个人办理投标事宜。</w:t>
      </w:r>
    </w:p>
    <w:p w14:paraId="60D8F791">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28.5.3 不同投标人的投标文件载明的项目管理成员或者联系人员为同一人。</w:t>
      </w:r>
    </w:p>
    <w:p w14:paraId="1EEC06E4">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28.5.4不同投标人的投标文件异常一致或者投标报价呈规律性差异。</w:t>
      </w:r>
    </w:p>
    <w:p w14:paraId="06046624">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28.5.5不同投标人的投标文件相互混装。</w:t>
      </w:r>
    </w:p>
    <w:p w14:paraId="36A069A6">
      <w:pPr>
        <w:spacing w:line="440" w:lineRule="exact"/>
        <w:ind w:firstLine="482" w:firstLineChars="200"/>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29、质疑处理</w:t>
      </w:r>
    </w:p>
    <w:p w14:paraId="27A7509B">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29.1提出质疑的供应商应当是参与所质疑项目采购活动的供应商。潜在供应商依法获取其可质疑的采购文件的，可以对采购文件提出质疑。</w:t>
      </w:r>
    </w:p>
    <w:p w14:paraId="68BC16E3">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对项目需求部分的质疑，潜在供应商应向采购人提出，由采购人负责答复。</w:t>
      </w:r>
    </w:p>
    <w:p w14:paraId="20EAC2D1">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29.2投标人认为采购文件、采购过程和中标或成交结果使自己的权益受到损害的，可以在知道或应知其权益受到损害之日起7个工作日内，以书面形式向采购人或代理机构提出质疑。</w:t>
      </w:r>
    </w:p>
    <w:p w14:paraId="5B2AA63B">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29.2.1对采购文件提出质疑的，应当在获取采购文件之日或者采购文件公告期限届满之日起7个工作日内提出。</w:t>
      </w:r>
    </w:p>
    <w:p w14:paraId="5030F098">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29.2.2对采购过程提出质疑的，为各采购程序环节结束之日起7个工作日内提出。</w:t>
      </w:r>
    </w:p>
    <w:p w14:paraId="79911B4F">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29.2.3对中标结果提出质疑的，为中标结果公告期限届满之日起7个工作日内提出。</w:t>
      </w:r>
    </w:p>
    <w:p w14:paraId="45B1909D">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29.3供应商应在法定质疑期内一次性提出针对同一采购程序环节的质疑。供应商如在法定期限内对同一采购程序环节提出多次质疑的，代理机构、采购人将只对供应商第一次质疑作出答复。</w:t>
      </w:r>
    </w:p>
    <w:p w14:paraId="17A68405">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29.4质疑函必须按照《质疑函范本》及《授权委托书》要求的格式和内容进行填写，格式见网址：http://zfcg.yangzhou.gov.cn。供应商如组成联合体参加投标，则《质疑函范本》及《授权委托书》中要求签字、盖章、加盖公章之处，联合体各方均须按要求签字、盖章、加盖公章。</w:t>
      </w:r>
    </w:p>
    <w:p w14:paraId="33709B25">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29.5 代理机构及采购人只接收以纸质原件形式送达的质疑。</w:t>
      </w:r>
    </w:p>
    <w:p w14:paraId="063CE7FF">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采购人质疑接收人及联系方式见招标文件第一章。</w:t>
      </w:r>
    </w:p>
    <w:p w14:paraId="11346AB6">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29.6代理机构收到质疑申请后，将对质疑的形式和内容进行审查，如质疑内容、格式不符合规定，代理机构将告知质疑人进行补正。</w:t>
      </w:r>
    </w:p>
    <w:p w14:paraId="268542A6">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29.7质疑人应当在法定质疑期限内进行补正并重新提交质疑函。</w:t>
      </w:r>
    </w:p>
    <w:p w14:paraId="6205E1BD">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29.8 以下情形的质疑不予受理</w:t>
      </w:r>
    </w:p>
    <w:p w14:paraId="6D3C6565">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29.8.1 内容不符合《政府采购质疑和投诉办法》第十二条规定的质疑。</w:t>
      </w:r>
    </w:p>
    <w:p w14:paraId="0251A29B">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29.8.2 超出政府采购法定期限的质疑。</w:t>
      </w:r>
    </w:p>
    <w:p w14:paraId="72AFE992">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29.8.3 以传真、电子邮件等方式递交的非原件形式的质疑。</w:t>
      </w:r>
    </w:p>
    <w:p w14:paraId="3FAD829C">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29.8.4 未参加投标活动的供应商或在投标活动中自身权益未受到损害的供应商所提出的质疑。</w:t>
      </w:r>
    </w:p>
    <w:p w14:paraId="5D6DA151">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29.8.5供应商组成联合体参加投标，联合体中任何一方或多方未按要求签字、盖章、加盖公章的质疑。</w:t>
      </w:r>
    </w:p>
    <w:p w14:paraId="3D5077D8">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29.9 供应商提出书面质疑必须有理、有据，不得捏造事实、提供虚假材料进行恶意质疑。否则，一经查实，代理机构有权依据政府采购的有关规定，报请政府采购监管部门对该供应商进行相应的行政处罚和记录该供应商的失信信息。 </w:t>
      </w:r>
    </w:p>
    <w:p w14:paraId="73696927">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29.10代理机构应当在收到供应商的书面质疑后7个工作日内作出答复，并以书面形式通知质疑供应商和其他有关供应商，但答复的内容不得涉及商业秘密。</w:t>
      </w:r>
    </w:p>
    <w:p w14:paraId="06DA7664">
      <w:pPr>
        <w:spacing w:line="440" w:lineRule="exact"/>
        <w:ind w:firstLine="482" w:firstLineChars="200"/>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30、中标通知书</w:t>
      </w:r>
    </w:p>
    <w:p w14:paraId="44139F1E">
      <w:pPr>
        <w:spacing w:line="440" w:lineRule="exact"/>
        <w:ind w:firstLine="480" w:firstLineChars="200"/>
        <w:outlineLvl w:val="1"/>
        <w:rPr>
          <w:rFonts w:hint="eastAsia" w:ascii="宋体" w:hAnsi="宋体" w:cs="宋体"/>
          <w:bCs/>
          <w:color w:val="auto"/>
          <w:sz w:val="24"/>
          <w:szCs w:val="24"/>
          <w:highlight w:val="none"/>
        </w:rPr>
      </w:pPr>
      <w:r>
        <w:rPr>
          <w:rFonts w:hint="eastAsia" w:ascii="宋体" w:hAnsi="宋体" w:cs="宋体"/>
          <w:bCs/>
          <w:color w:val="auto"/>
          <w:sz w:val="24"/>
          <w:szCs w:val="24"/>
          <w:highlight w:val="none"/>
        </w:rPr>
        <w:t>30.l 中标结果确定后，代理机构将向中标人发出中标通知书。</w:t>
      </w:r>
    </w:p>
    <w:p w14:paraId="337494D6">
      <w:pPr>
        <w:pStyle w:val="42"/>
        <w:spacing w:line="440" w:lineRule="exact"/>
        <w:ind w:firstLine="480" w:firstLineChars="200"/>
        <w:rPr>
          <w:rFonts w:hint="eastAsia" w:hAnsi="宋体"/>
          <w:bCs/>
          <w:color w:val="auto"/>
          <w:kern w:val="2"/>
          <w:highlight w:val="none"/>
        </w:rPr>
      </w:pPr>
      <w:r>
        <w:rPr>
          <w:rFonts w:hint="eastAsia" w:hAnsi="宋体"/>
          <w:bCs/>
          <w:color w:val="auto"/>
          <w:kern w:val="2"/>
          <w:highlight w:val="none"/>
        </w:rPr>
        <w:t>30.2 中标供应商收到中标通知书后，应签字确认中标通知书已收到。若无回复，则公告后视同中标供应商已经知悉并同意接受。</w:t>
      </w:r>
    </w:p>
    <w:p w14:paraId="363768FF">
      <w:pPr>
        <w:pStyle w:val="42"/>
        <w:spacing w:line="440" w:lineRule="exact"/>
        <w:ind w:firstLine="480" w:firstLineChars="200"/>
        <w:rPr>
          <w:rFonts w:hint="eastAsia" w:hAnsi="宋体"/>
          <w:bCs/>
          <w:color w:val="auto"/>
          <w:kern w:val="2"/>
          <w:highlight w:val="none"/>
        </w:rPr>
      </w:pPr>
      <w:r>
        <w:rPr>
          <w:rFonts w:hint="eastAsia" w:hAnsi="宋体"/>
          <w:bCs/>
          <w:color w:val="auto"/>
          <w:kern w:val="2"/>
          <w:highlight w:val="none"/>
        </w:rPr>
        <w:t>30.3 中标通知书将是合同的一个组成部分。对采购人和中标供应商均具有法律效力。中标通知书发出后，采购人改变中标结果的，或者中标供应商放弃中标项目的，应当依法承担法律责任。</w:t>
      </w:r>
    </w:p>
    <w:p w14:paraId="49808D45">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30.4 所有投标文件都将作为档案保存，不论中标与否，代理机构均不退回。。</w:t>
      </w:r>
    </w:p>
    <w:p w14:paraId="49CB702D">
      <w:pPr>
        <w:spacing w:line="440" w:lineRule="exact"/>
        <w:ind w:firstLine="482" w:firstLineChars="200"/>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31、 签订合同</w:t>
      </w:r>
    </w:p>
    <w:p w14:paraId="09272AE5">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31.l</w:t>
      </w:r>
      <w:r>
        <w:rPr>
          <w:rFonts w:hint="eastAsia" w:ascii="宋体" w:hAnsi="宋体" w:cs="宋体"/>
          <w:color w:val="auto"/>
          <w:sz w:val="24"/>
          <w:szCs w:val="24"/>
          <w:highlight w:val="none"/>
        </w:rPr>
        <w:t>中标供应商应按中标通知书规定的时间、地点,按照招标文件确定的事项与采购人签订政府采购合同，且不得迟于中标通知书发出之日起三十日，否则由此给采购人造成损失的，中标供应商还应承担赔偿责任</w:t>
      </w:r>
      <w:r>
        <w:rPr>
          <w:rFonts w:hint="eastAsia" w:ascii="宋体" w:hAnsi="宋体" w:cs="宋体"/>
          <w:bCs/>
          <w:color w:val="auto"/>
          <w:sz w:val="24"/>
          <w:szCs w:val="24"/>
          <w:highlight w:val="none"/>
        </w:rPr>
        <w:t>。</w:t>
      </w:r>
    </w:p>
    <w:p w14:paraId="0EA93AC1">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31.2 招标文件、中标人的投标文件及招标过程中有关澄清、承诺文件均应作为合同附件。</w:t>
      </w:r>
    </w:p>
    <w:p w14:paraId="1347E94D">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31.3也不得采用分包的形式履行合同，否则采购人有权终止合同，中标人的履约保证金将不予退还。转包或分包造成采购人损失的，中标人应承担赔偿责任。</w:t>
      </w:r>
    </w:p>
    <w:p w14:paraId="5859FEE3">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31.4采购人不得向中标人提出任何不合理的要求作为签订合同的条件，不得与中标人私下订立背离合同实质性内容的协议。所签订的合同不得对招标文件确定事项和中标人投标文件作实质性修改。</w:t>
      </w:r>
    </w:p>
    <w:p w14:paraId="40C834E9">
      <w:pPr>
        <w:pStyle w:val="42"/>
        <w:ind w:firstLine="482" w:firstLineChars="200"/>
        <w:outlineLvl w:val="0"/>
        <w:rPr>
          <w:rFonts w:hint="eastAsia" w:hAnsi="宋体"/>
          <w:b/>
          <w:bCs/>
          <w:color w:val="auto"/>
          <w:kern w:val="2"/>
          <w:highlight w:val="none"/>
        </w:rPr>
      </w:pPr>
      <w:r>
        <w:rPr>
          <w:rFonts w:hint="eastAsia" w:hAnsi="宋体"/>
          <w:b/>
          <w:bCs/>
          <w:color w:val="auto"/>
          <w:kern w:val="2"/>
          <w:highlight w:val="none"/>
        </w:rPr>
        <w:t>32、货物和服务的追加、减少和添购</w:t>
      </w:r>
    </w:p>
    <w:p w14:paraId="1007DF02">
      <w:pPr>
        <w:pStyle w:val="42"/>
        <w:spacing w:line="440" w:lineRule="exact"/>
        <w:ind w:firstLine="480" w:firstLineChars="200"/>
        <w:rPr>
          <w:rFonts w:hint="eastAsia" w:hAnsi="宋体"/>
          <w:color w:val="auto"/>
          <w:highlight w:val="none"/>
        </w:rPr>
      </w:pPr>
      <w:r>
        <w:rPr>
          <w:rFonts w:hint="eastAsia" w:hAnsi="宋体"/>
          <w:color w:val="auto"/>
          <w:highlight w:val="none"/>
        </w:rPr>
        <w:t>32.1 政府采购合同履行中，采购人需追加与合同标的相同的货物和服务的，在不改变合同其他条款的前提下，可以与中标供应商协商签订补充合同，但所有补充合同的采购金额不超过原合同金额10%。</w:t>
      </w:r>
    </w:p>
    <w:p w14:paraId="6CCC75A5">
      <w:pPr>
        <w:pStyle w:val="42"/>
        <w:spacing w:line="440" w:lineRule="exact"/>
        <w:ind w:firstLine="480" w:firstLineChars="200"/>
        <w:rPr>
          <w:rFonts w:hint="eastAsia" w:hAnsi="宋体"/>
          <w:color w:val="auto"/>
          <w:highlight w:val="none"/>
        </w:rPr>
      </w:pPr>
      <w:r>
        <w:rPr>
          <w:rFonts w:hint="eastAsia" w:hAnsi="宋体"/>
          <w:color w:val="auto"/>
          <w:highlight w:val="none"/>
        </w:rPr>
        <w:t>32.2 采购结束后，采购人若由于各种客观原因，必须对采购项目所牵涉的货物和服务进行适当的减少时，在双方协商一致的前提下，可以按照招标采购时的价格水平做相应的调减，并据此签订补充合同。</w:t>
      </w:r>
    </w:p>
    <w:p w14:paraId="61FF35A2">
      <w:pPr>
        <w:pStyle w:val="42"/>
        <w:spacing w:line="440" w:lineRule="exact"/>
        <w:ind w:firstLine="241" w:firstLineChars="100"/>
        <w:outlineLvl w:val="0"/>
        <w:rPr>
          <w:rFonts w:hint="eastAsia" w:hAnsi="宋体"/>
          <w:b/>
          <w:bCs/>
          <w:color w:val="auto"/>
          <w:kern w:val="2"/>
          <w:highlight w:val="none"/>
        </w:rPr>
      </w:pPr>
      <w:r>
        <w:rPr>
          <w:rFonts w:hint="eastAsia" w:hAnsi="宋体"/>
          <w:b/>
          <w:bCs/>
          <w:color w:val="auto"/>
          <w:kern w:val="2"/>
          <w:highlight w:val="none"/>
        </w:rPr>
        <w:t>33、样品</w:t>
      </w:r>
    </w:p>
    <w:p w14:paraId="2662E337">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color w:val="auto"/>
          <w:sz w:val="24"/>
          <w:szCs w:val="24"/>
          <w:highlight w:val="none"/>
        </w:rPr>
        <w:t>若项目要求提供样品的，中标人的样品由采购单位负责保管、封存，并作为履约验收的参考。未中标人的样品将及时退还。</w:t>
      </w:r>
    </w:p>
    <w:p w14:paraId="005A96E5">
      <w:pPr>
        <w:spacing w:line="440" w:lineRule="exact"/>
        <w:ind w:firstLine="482" w:firstLineChars="200"/>
        <w:outlineLvl w:val="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34、其他</w:t>
      </w:r>
    </w:p>
    <w:p w14:paraId="29B97563">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34.1 依据《政府采购促进中小企业发展管理办法》享受扶持政策获得政府采购合同的，小微企业不得将合同分包给大中型企业，中型企业不得将合同分包给大型企业。</w:t>
      </w:r>
    </w:p>
    <w:p w14:paraId="305B9F01">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color w:val="auto"/>
          <w:sz w:val="24"/>
          <w:szCs w:val="24"/>
          <w:highlight w:val="none"/>
        </w:rPr>
        <w:t>34.2成交供应商需在中标通知书发出后3日内，向代理机构提供纸质投标文件并加盖公章（一正两副）。</w:t>
      </w:r>
    </w:p>
    <w:p w14:paraId="32179BC1">
      <w:pPr>
        <w:spacing w:line="440" w:lineRule="exact"/>
        <w:jc w:val="center"/>
        <w:outlineLvl w:val="0"/>
        <w:rPr>
          <w:rFonts w:hint="eastAsia" w:ascii="宋体" w:hAnsi="宋体" w:cs="宋体"/>
          <w:color w:val="auto"/>
          <w:sz w:val="36"/>
          <w:szCs w:val="36"/>
          <w:highlight w:val="none"/>
        </w:rPr>
      </w:pPr>
      <w:r>
        <w:rPr>
          <w:rFonts w:hint="eastAsia" w:ascii="宋体" w:hAnsi="宋体" w:cs="宋体"/>
          <w:bCs/>
          <w:color w:val="auto"/>
          <w:sz w:val="24"/>
          <w:szCs w:val="24"/>
          <w:highlight w:val="none"/>
        </w:rPr>
        <w:br w:type="page"/>
      </w:r>
      <w:bookmarkStart w:id="52" w:name="_Toc170832692"/>
      <w:r>
        <w:rPr>
          <w:rFonts w:hint="eastAsia" w:ascii="宋体" w:hAnsi="宋体" w:cs="宋体"/>
          <w:b/>
          <w:bCs/>
          <w:color w:val="auto"/>
          <w:sz w:val="36"/>
          <w:szCs w:val="36"/>
          <w:highlight w:val="none"/>
        </w:rPr>
        <w:t>第三章 合同条款及格式</w:t>
      </w:r>
      <w:bookmarkEnd w:id="2"/>
      <w:bookmarkEnd w:id="52"/>
    </w:p>
    <w:p w14:paraId="37C6DC42">
      <w:pPr>
        <w:pStyle w:val="12"/>
        <w:snapToGrid w:val="0"/>
        <w:spacing w:before="120" w:after="12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以下为中标后签定本项目合同的通用条款，中标人不得提出实质性的修改，关于专用条款将由采购人与中标人结合本项目具体情况协商后签订。</w:t>
      </w:r>
    </w:p>
    <w:p w14:paraId="578B9662">
      <w:pPr>
        <w:pStyle w:val="12"/>
        <w:snapToGrid w:val="0"/>
        <w:spacing w:before="120" w:after="120" w:line="360" w:lineRule="auto"/>
        <w:ind w:firstLine="482" w:firstLineChars="200"/>
        <w:jc w:val="center"/>
        <w:outlineLvl w:val="0"/>
        <w:rPr>
          <w:rFonts w:hint="eastAsia" w:hAnsi="宋体" w:cs="宋体"/>
          <w:b/>
          <w:bCs/>
          <w:color w:val="auto"/>
          <w:sz w:val="24"/>
          <w:szCs w:val="24"/>
          <w:highlight w:val="none"/>
        </w:rPr>
      </w:pPr>
      <w:r>
        <w:rPr>
          <w:rFonts w:hint="eastAsia" w:hAnsi="宋体" w:cs="宋体"/>
          <w:b/>
          <w:bCs/>
          <w:color w:val="auto"/>
          <w:sz w:val="24"/>
          <w:szCs w:val="24"/>
          <w:highlight w:val="none"/>
        </w:rPr>
        <w:t>高邮市政府采购合同（货物)（合同编号）</w:t>
      </w:r>
    </w:p>
    <w:p w14:paraId="5B590D43">
      <w:pPr>
        <w:pStyle w:val="12"/>
        <w:snapToGrid w:val="0"/>
        <w:spacing w:before="120" w:after="120" w:line="360" w:lineRule="auto"/>
        <w:ind w:left="420" w:leftChars="200"/>
        <w:rPr>
          <w:rFonts w:hint="eastAsia" w:hAnsi="宋体" w:cs="宋体"/>
          <w:color w:val="auto"/>
          <w:sz w:val="24"/>
          <w:szCs w:val="24"/>
          <w:highlight w:val="none"/>
        </w:rPr>
      </w:pPr>
      <w:r>
        <w:rPr>
          <w:rFonts w:hint="eastAsia" w:hAnsi="宋体" w:cs="宋体"/>
          <w:color w:val="auto"/>
          <w:sz w:val="24"/>
          <w:szCs w:val="24"/>
          <w:highlight w:val="none"/>
        </w:rPr>
        <w:t>项目名称： 江苏省高邮中等专业学校汽车虚仿基地二期建设采购项目                             项目编号：  JSZC-321084-ZZZX-G2025-0012</w:t>
      </w:r>
    </w:p>
    <w:p w14:paraId="5E6FE434">
      <w:pPr>
        <w:pStyle w:val="12"/>
        <w:snapToGrid w:val="0"/>
        <w:spacing w:before="120" w:after="12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甲方：（买方） </w:t>
      </w:r>
      <w:r>
        <w:rPr>
          <w:rFonts w:hint="eastAsia" w:hAnsi="宋体" w:cs="宋体"/>
          <w:color w:val="auto"/>
          <w:sz w:val="24"/>
          <w:szCs w:val="24"/>
          <w:highlight w:val="none"/>
          <w:u w:val="single"/>
        </w:rPr>
        <w:t>江苏省高邮中等专业学校</w:t>
      </w:r>
    </w:p>
    <w:p w14:paraId="5C41B0C0">
      <w:pPr>
        <w:pStyle w:val="12"/>
        <w:snapToGrid w:val="0"/>
        <w:spacing w:before="120" w:after="120" w:line="360" w:lineRule="auto"/>
        <w:ind w:firstLine="480" w:firstLineChars="200"/>
        <w:rPr>
          <w:rFonts w:hint="eastAsia" w:hAnsi="宋体" w:cs="宋体"/>
          <w:color w:val="auto"/>
          <w:sz w:val="24"/>
          <w:szCs w:val="24"/>
          <w:highlight w:val="none"/>
          <w:u w:val="single"/>
        </w:rPr>
      </w:pPr>
      <w:r>
        <w:rPr>
          <w:rFonts w:hint="eastAsia" w:hAnsi="宋体" w:cs="宋体"/>
          <w:color w:val="auto"/>
          <w:sz w:val="24"/>
          <w:szCs w:val="24"/>
          <w:highlight w:val="none"/>
        </w:rPr>
        <w:t>乙方：（卖方）</w:t>
      </w:r>
      <w:r>
        <w:rPr>
          <w:rFonts w:hint="eastAsia" w:hAnsi="宋体" w:cs="宋体"/>
          <w:color w:val="auto"/>
          <w:sz w:val="24"/>
          <w:szCs w:val="24"/>
          <w:highlight w:val="none"/>
          <w:u w:val="single"/>
        </w:rPr>
        <w:t xml:space="preserve">                       </w:t>
      </w:r>
    </w:p>
    <w:p w14:paraId="094199BB">
      <w:pPr>
        <w:pStyle w:val="12"/>
        <w:snapToGrid w:val="0"/>
        <w:spacing w:before="120" w:after="12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见证方：</w:t>
      </w:r>
      <w:r>
        <w:rPr>
          <w:rFonts w:hint="eastAsia" w:hAnsi="宋体" w:cs="宋体"/>
          <w:color w:val="auto"/>
          <w:sz w:val="24"/>
          <w:szCs w:val="24"/>
          <w:highlight w:val="none"/>
          <w:u w:val="single"/>
        </w:rPr>
        <w:t xml:space="preserve">江苏中兆工程咨询有限公司    </w:t>
      </w:r>
    </w:p>
    <w:p w14:paraId="60521B1C">
      <w:pPr>
        <w:pStyle w:val="12"/>
        <w:snapToGrid w:val="0"/>
        <w:spacing w:before="120" w:after="12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甲、乙双方根据</w:t>
      </w:r>
      <w:r>
        <w:rPr>
          <w:rFonts w:hint="eastAsia" w:hAnsi="宋体" w:cs="宋体"/>
          <w:color w:val="auto"/>
          <w:sz w:val="24"/>
          <w:szCs w:val="24"/>
          <w:highlight w:val="none"/>
          <w:u w:val="single"/>
        </w:rPr>
        <w:t>江苏省高邮中等专业学校汽车虚仿基地二期建设采购项目公开招标</w:t>
      </w:r>
      <w:r>
        <w:rPr>
          <w:rFonts w:hint="eastAsia" w:hAnsi="宋体" w:cs="宋体"/>
          <w:color w:val="auto"/>
          <w:sz w:val="24"/>
          <w:szCs w:val="24"/>
          <w:highlight w:val="none"/>
        </w:rPr>
        <w:t>的结果，签署本合同。</w:t>
      </w:r>
    </w:p>
    <w:p w14:paraId="1E1C6DCF">
      <w:pPr>
        <w:pStyle w:val="12"/>
        <w:snapToGrid w:val="0"/>
        <w:spacing w:before="120" w:after="120" w:line="360" w:lineRule="auto"/>
        <w:ind w:firstLine="482" w:firstLineChars="200"/>
        <w:outlineLvl w:val="0"/>
        <w:rPr>
          <w:rFonts w:hint="eastAsia" w:hAnsi="宋体" w:cs="宋体"/>
          <w:b/>
          <w:bCs/>
          <w:color w:val="auto"/>
          <w:sz w:val="24"/>
          <w:szCs w:val="24"/>
          <w:highlight w:val="none"/>
        </w:rPr>
      </w:pPr>
      <w:r>
        <w:rPr>
          <w:rFonts w:hint="eastAsia" w:hAnsi="宋体" w:cs="宋体"/>
          <w:b/>
          <w:bCs/>
          <w:color w:val="auto"/>
          <w:sz w:val="24"/>
          <w:szCs w:val="24"/>
          <w:highlight w:val="none"/>
        </w:rPr>
        <w:t>一、货物及伴随服务</w:t>
      </w:r>
    </w:p>
    <w:p w14:paraId="6F7452D0">
      <w:pPr>
        <w:pStyle w:val="12"/>
        <w:snapToGrid w:val="0"/>
        <w:spacing w:before="120" w:after="12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1.1 货物及服务名称：</w:t>
      </w:r>
    </w:p>
    <w:p w14:paraId="30068C18">
      <w:pPr>
        <w:pStyle w:val="12"/>
        <w:snapToGrid w:val="0"/>
        <w:spacing w:before="120" w:after="12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1.2 型号规格：</w:t>
      </w:r>
    </w:p>
    <w:p w14:paraId="59EFBD64">
      <w:pPr>
        <w:pStyle w:val="12"/>
        <w:snapToGrid w:val="0"/>
        <w:spacing w:before="120" w:after="12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1.3 数量（单位）</w:t>
      </w:r>
    </w:p>
    <w:p w14:paraId="314E2886">
      <w:pPr>
        <w:pStyle w:val="12"/>
        <w:snapToGrid w:val="0"/>
        <w:spacing w:before="120" w:after="120" w:line="360" w:lineRule="auto"/>
        <w:ind w:firstLine="482" w:firstLineChars="200"/>
        <w:outlineLvl w:val="0"/>
        <w:rPr>
          <w:rFonts w:hint="eastAsia" w:hAnsi="宋体" w:cs="宋体"/>
          <w:b/>
          <w:bCs/>
          <w:color w:val="auto"/>
          <w:sz w:val="24"/>
          <w:szCs w:val="24"/>
          <w:highlight w:val="none"/>
        </w:rPr>
      </w:pPr>
      <w:r>
        <w:rPr>
          <w:rFonts w:hint="eastAsia" w:hAnsi="宋体" w:cs="宋体"/>
          <w:b/>
          <w:bCs/>
          <w:color w:val="auto"/>
          <w:sz w:val="24"/>
          <w:szCs w:val="24"/>
          <w:highlight w:val="none"/>
        </w:rPr>
        <w:t>二、合同金额</w:t>
      </w:r>
    </w:p>
    <w:p w14:paraId="0D0C49A2">
      <w:pPr>
        <w:pStyle w:val="12"/>
        <w:snapToGrid w:val="0"/>
        <w:spacing w:before="120" w:after="12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2.1 本合同金额为（大写）：_________________________圆（_______________元）人民币。</w:t>
      </w:r>
    </w:p>
    <w:p w14:paraId="7653BC81">
      <w:pPr>
        <w:pStyle w:val="12"/>
        <w:snapToGrid w:val="0"/>
        <w:spacing w:before="120" w:after="120" w:line="360" w:lineRule="auto"/>
        <w:ind w:firstLine="482" w:firstLineChars="200"/>
        <w:outlineLvl w:val="0"/>
        <w:rPr>
          <w:rFonts w:hint="eastAsia" w:hAnsi="宋体" w:cs="宋体"/>
          <w:b/>
          <w:bCs/>
          <w:color w:val="auto"/>
          <w:sz w:val="24"/>
          <w:szCs w:val="24"/>
          <w:highlight w:val="none"/>
        </w:rPr>
      </w:pPr>
      <w:r>
        <w:rPr>
          <w:rFonts w:hint="eastAsia" w:hAnsi="宋体" w:cs="宋体"/>
          <w:b/>
          <w:bCs/>
          <w:color w:val="auto"/>
          <w:sz w:val="24"/>
          <w:szCs w:val="24"/>
          <w:highlight w:val="none"/>
        </w:rPr>
        <w:t>三、技术资料</w:t>
      </w:r>
    </w:p>
    <w:p w14:paraId="6F576FD3">
      <w:pPr>
        <w:pStyle w:val="12"/>
        <w:snapToGrid w:val="0"/>
        <w:spacing w:before="120" w:after="12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3.1乙方应按招标文件规定的时间向甲方提供使用货物及服务的有关技术资料。</w:t>
      </w:r>
    </w:p>
    <w:p w14:paraId="0F35AC0A">
      <w:pPr>
        <w:pStyle w:val="12"/>
        <w:snapToGrid w:val="0"/>
        <w:spacing w:before="120" w:after="12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CAE10D5">
      <w:pPr>
        <w:pStyle w:val="12"/>
        <w:snapToGrid w:val="0"/>
        <w:spacing w:before="120" w:after="120" w:line="360" w:lineRule="auto"/>
        <w:ind w:firstLine="482" w:firstLineChars="200"/>
        <w:outlineLvl w:val="0"/>
        <w:rPr>
          <w:rFonts w:hint="eastAsia" w:hAnsi="宋体" w:cs="宋体"/>
          <w:b/>
          <w:bCs/>
          <w:color w:val="auto"/>
          <w:sz w:val="24"/>
          <w:szCs w:val="24"/>
          <w:highlight w:val="none"/>
        </w:rPr>
      </w:pPr>
      <w:r>
        <w:rPr>
          <w:rFonts w:hint="eastAsia" w:hAnsi="宋体" w:cs="宋体"/>
          <w:b/>
          <w:bCs/>
          <w:color w:val="auto"/>
          <w:sz w:val="24"/>
          <w:szCs w:val="24"/>
          <w:highlight w:val="none"/>
        </w:rPr>
        <w:t>四、知识产权</w:t>
      </w:r>
    </w:p>
    <w:p w14:paraId="1BF7A0F6">
      <w:pPr>
        <w:pStyle w:val="12"/>
        <w:snapToGrid w:val="0"/>
        <w:spacing w:before="120" w:after="12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4.1乙方应保证甲方在使用、接受本合同货物及服务或其任何一部分时不受第三方提出侵犯其专利权、版权、商标权和工业设计权等知识产权的起诉。一旦出现侵权，由乙方负全部责任。</w:t>
      </w:r>
    </w:p>
    <w:p w14:paraId="542A209A">
      <w:pPr>
        <w:pStyle w:val="12"/>
        <w:snapToGrid w:val="0"/>
        <w:spacing w:before="120" w:after="120" w:line="360" w:lineRule="auto"/>
        <w:ind w:firstLine="482" w:firstLineChars="200"/>
        <w:outlineLvl w:val="0"/>
        <w:rPr>
          <w:rFonts w:hint="eastAsia" w:hAnsi="宋体" w:cs="宋体"/>
          <w:b/>
          <w:bCs/>
          <w:color w:val="auto"/>
          <w:sz w:val="24"/>
          <w:szCs w:val="24"/>
          <w:highlight w:val="none"/>
        </w:rPr>
      </w:pPr>
      <w:r>
        <w:rPr>
          <w:rFonts w:hint="eastAsia" w:hAnsi="宋体" w:cs="宋体"/>
          <w:b/>
          <w:bCs/>
          <w:color w:val="auto"/>
          <w:sz w:val="24"/>
          <w:szCs w:val="24"/>
          <w:highlight w:val="none"/>
        </w:rPr>
        <w:t>五、产权担保</w:t>
      </w:r>
    </w:p>
    <w:p w14:paraId="42DFC2F7">
      <w:pPr>
        <w:pStyle w:val="12"/>
        <w:snapToGrid w:val="0"/>
        <w:spacing w:before="120" w:after="12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乙方保证所交付的货物及服务的所有权完全属于乙方且无任何抵押、查封等产权瑕疵。</w:t>
      </w:r>
    </w:p>
    <w:p w14:paraId="7958AEA5">
      <w:pPr>
        <w:pStyle w:val="12"/>
        <w:snapToGrid w:val="0"/>
        <w:spacing w:before="120" w:after="120" w:line="360" w:lineRule="auto"/>
        <w:ind w:firstLine="482" w:firstLineChars="200"/>
        <w:outlineLvl w:val="0"/>
        <w:rPr>
          <w:rFonts w:hint="eastAsia" w:hAnsi="宋体" w:cs="宋体"/>
          <w:b/>
          <w:bCs/>
          <w:color w:val="auto"/>
          <w:sz w:val="24"/>
          <w:szCs w:val="24"/>
          <w:highlight w:val="none"/>
        </w:rPr>
      </w:pPr>
      <w:r>
        <w:rPr>
          <w:rFonts w:hint="eastAsia" w:hAnsi="宋体" w:cs="宋体"/>
          <w:b/>
          <w:bCs/>
          <w:color w:val="auto"/>
          <w:sz w:val="24"/>
          <w:szCs w:val="24"/>
          <w:highlight w:val="none"/>
        </w:rPr>
        <w:t>六、履约保证金</w:t>
      </w:r>
    </w:p>
    <w:p w14:paraId="61E18867">
      <w:pPr>
        <w:pStyle w:val="12"/>
        <w:snapToGrid w:val="0"/>
        <w:spacing w:before="120" w:after="12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6.1 收取履约保证金的，允许中标人自主选择支票、汇票、本票、保函等非现金形式缴纳或提交，应当在采购合同中约定履约保证金退还的方式、时间、条件和不予退还的情形，明确逾期退还履约保证金的违约责任。</w:t>
      </w:r>
    </w:p>
    <w:p w14:paraId="1461D3BF">
      <w:pPr>
        <w:pStyle w:val="12"/>
        <w:snapToGrid w:val="0"/>
        <w:spacing w:before="120" w:after="12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6.2履约保证金用以约束乙方在合同履行中的行为，以及弥补合同履行中由于乙方自身行为可能给甲方带来的各种损失；若履约保证金额不足以弥补乙方违约造成甲方损失的，甲方可继续向乙方主张索赔。</w:t>
      </w:r>
    </w:p>
    <w:p w14:paraId="7BE905FF">
      <w:pPr>
        <w:pStyle w:val="12"/>
        <w:snapToGrid w:val="0"/>
        <w:spacing w:before="120" w:after="12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6.3 履约保证金扣除甲方应得的补偿后的余额，在本合同履行结束后由甲方无息退还。逾期退还的，按中国人民银行同期贷款基准利率上浮20%后的利率支付超期资金占用费，但因乙方自身原因导致无法及时退还的除外。 </w:t>
      </w:r>
    </w:p>
    <w:p w14:paraId="4475D415">
      <w:pPr>
        <w:pStyle w:val="12"/>
        <w:snapToGrid w:val="0"/>
        <w:spacing w:before="120" w:after="12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6.4 履约保证金收取：无</w:t>
      </w:r>
    </w:p>
    <w:p w14:paraId="6A7B3D0C">
      <w:pPr>
        <w:pStyle w:val="12"/>
        <w:snapToGrid w:val="0"/>
        <w:spacing w:before="120" w:after="120" w:line="360" w:lineRule="auto"/>
        <w:ind w:firstLine="482" w:firstLineChars="200"/>
        <w:outlineLvl w:val="0"/>
        <w:rPr>
          <w:rFonts w:hint="eastAsia" w:hAnsi="宋体" w:cs="宋体"/>
          <w:b/>
          <w:bCs/>
          <w:color w:val="auto"/>
          <w:sz w:val="24"/>
          <w:szCs w:val="24"/>
          <w:highlight w:val="none"/>
        </w:rPr>
      </w:pPr>
      <w:r>
        <w:rPr>
          <w:rFonts w:hint="eastAsia" w:hAnsi="宋体" w:cs="宋体"/>
          <w:b/>
          <w:bCs/>
          <w:color w:val="auto"/>
          <w:sz w:val="24"/>
          <w:szCs w:val="24"/>
          <w:highlight w:val="none"/>
        </w:rPr>
        <w:t>七、转包或分包</w:t>
      </w:r>
    </w:p>
    <w:p w14:paraId="6846CA9D">
      <w:pPr>
        <w:pStyle w:val="12"/>
        <w:snapToGrid w:val="0"/>
        <w:spacing w:before="120" w:after="12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7.1本合同范围的货物及服务，应由乙方直接供应，不得转让他人供应；</w:t>
      </w:r>
    </w:p>
    <w:p w14:paraId="7955295B">
      <w:pPr>
        <w:pStyle w:val="12"/>
        <w:snapToGrid w:val="0"/>
        <w:spacing w:before="120" w:after="12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7.2 除非得到甲方的书面同意，乙方不得部分分包给他人供应。</w:t>
      </w:r>
    </w:p>
    <w:p w14:paraId="09B295EF">
      <w:pPr>
        <w:pStyle w:val="12"/>
        <w:snapToGrid w:val="0"/>
        <w:spacing w:before="120" w:after="12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7.3如有转让和未经甲方同意的分包行为，甲方有权给予终止合同。</w:t>
      </w:r>
    </w:p>
    <w:p w14:paraId="12E58F5B">
      <w:pPr>
        <w:pStyle w:val="12"/>
        <w:snapToGrid w:val="0"/>
        <w:spacing w:before="120" w:after="120" w:line="360" w:lineRule="auto"/>
        <w:ind w:firstLine="482" w:firstLineChars="200"/>
        <w:outlineLvl w:val="0"/>
        <w:rPr>
          <w:rFonts w:hint="eastAsia" w:hAnsi="宋体" w:cs="宋体"/>
          <w:b/>
          <w:bCs/>
          <w:color w:val="auto"/>
          <w:sz w:val="24"/>
          <w:szCs w:val="24"/>
          <w:highlight w:val="none"/>
        </w:rPr>
      </w:pPr>
      <w:r>
        <w:rPr>
          <w:rFonts w:hint="eastAsia" w:hAnsi="宋体" w:cs="宋体"/>
          <w:b/>
          <w:bCs/>
          <w:color w:val="auto"/>
          <w:sz w:val="24"/>
          <w:szCs w:val="24"/>
          <w:highlight w:val="none"/>
        </w:rPr>
        <w:t>八、质保期</w:t>
      </w:r>
    </w:p>
    <w:p w14:paraId="30C8F971">
      <w:pPr>
        <w:pStyle w:val="12"/>
        <w:snapToGrid w:val="0"/>
        <w:spacing w:before="120" w:after="12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8.1 质保期壹年。（自交货验收合格之日起计）</w:t>
      </w:r>
    </w:p>
    <w:p w14:paraId="283DD6BD">
      <w:pPr>
        <w:pStyle w:val="12"/>
        <w:snapToGrid w:val="0"/>
        <w:spacing w:before="120" w:after="120" w:line="360" w:lineRule="auto"/>
        <w:ind w:firstLine="482" w:firstLineChars="200"/>
        <w:outlineLvl w:val="0"/>
        <w:rPr>
          <w:rFonts w:hint="eastAsia" w:hAnsi="宋体" w:cs="宋体"/>
          <w:b/>
          <w:bCs/>
          <w:color w:val="auto"/>
          <w:sz w:val="24"/>
          <w:szCs w:val="24"/>
          <w:highlight w:val="none"/>
        </w:rPr>
      </w:pPr>
      <w:r>
        <w:rPr>
          <w:rFonts w:hint="eastAsia" w:hAnsi="宋体" w:cs="宋体"/>
          <w:b/>
          <w:bCs/>
          <w:color w:val="auto"/>
          <w:sz w:val="24"/>
          <w:szCs w:val="24"/>
          <w:highlight w:val="none"/>
        </w:rPr>
        <w:t>九、交付期、交付方式及交付地点</w:t>
      </w:r>
    </w:p>
    <w:p w14:paraId="58A7FB79">
      <w:pPr>
        <w:pStyle w:val="12"/>
        <w:snapToGrid w:val="0"/>
        <w:spacing w:line="360" w:lineRule="auto"/>
        <w:ind w:firstLine="480" w:firstLineChars="200"/>
        <w:rPr>
          <w:rFonts w:hint="eastAsia" w:hAnsi="宋体" w:cs="宋体"/>
          <w:bCs/>
          <w:color w:val="auto"/>
          <w:sz w:val="24"/>
          <w:szCs w:val="24"/>
          <w:highlight w:val="none"/>
          <w:lang w:val="zh-CN"/>
        </w:rPr>
      </w:pPr>
      <w:r>
        <w:rPr>
          <w:rFonts w:hint="eastAsia" w:hAnsi="宋体" w:cs="宋体"/>
          <w:color w:val="auto"/>
          <w:sz w:val="24"/>
          <w:szCs w:val="24"/>
          <w:highlight w:val="none"/>
        </w:rPr>
        <w:t>9.1 交货期：自签订合同后30天内完成供货、安装、调试完毕，</w:t>
      </w:r>
      <w:r>
        <w:rPr>
          <w:rFonts w:hint="eastAsia" w:hAnsi="宋体" w:cs="宋体"/>
          <w:color w:val="auto"/>
          <w:sz w:val="24"/>
          <w:szCs w:val="24"/>
          <w:highlight w:val="none"/>
          <w:lang w:val="zh-CN"/>
        </w:rPr>
        <w:t>交付使用方使用。</w:t>
      </w:r>
    </w:p>
    <w:p w14:paraId="17B2E8BF">
      <w:pPr>
        <w:pStyle w:val="12"/>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9.2 交货方式：</w:t>
      </w:r>
      <w:r>
        <w:rPr>
          <w:rFonts w:hint="eastAsia" w:hAnsi="宋体" w:cs="宋体"/>
          <w:color w:val="auto"/>
          <w:sz w:val="24"/>
          <w:szCs w:val="24"/>
          <w:highlight w:val="none"/>
          <w:u w:val="single"/>
        </w:rPr>
        <w:t>由乙方运至甲方指定地点，并交于指定收货人确认签收，免费送货上门并按规定安装调试完毕。</w:t>
      </w:r>
    </w:p>
    <w:p w14:paraId="401DE49E">
      <w:pPr>
        <w:pStyle w:val="12"/>
        <w:snapToGrid w:val="0"/>
        <w:spacing w:before="120" w:after="120" w:line="360" w:lineRule="auto"/>
        <w:ind w:firstLine="480" w:firstLineChars="200"/>
        <w:rPr>
          <w:rFonts w:hint="eastAsia" w:hAnsi="宋体" w:cs="宋体"/>
          <w:color w:val="auto"/>
          <w:sz w:val="24"/>
          <w:szCs w:val="24"/>
          <w:highlight w:val="none"/>
          <w:u w:val="single"/>
        </w:rPr>
      </w:pPr>
      <w:r>
        <w:rPr>
          <w:rFonts w:hint="eastAsia" w:hAnsi="宋体" w:cs="宋体"/>
          <w:bCs/>
          <w:color w:val="auto"/>
          <w:sz w:val="24"/>
          <w:szCs w:val="24"/>
          <w:highlight w:val="none"/>
        </w:rPr>
        <w:t>9.3 交货及安装地点：</w:t>
      </w:r>
      <w:r>
        <w:rPr>
          <w:rFonts w:hint="eastAsia" w:hAnsi="宋体" w:cs="宋体"/>
          <w:color w:val="auto"/>
          <w:sz w:val="24"/>
          <w:szCs w:val="24"/>
          <w:highlight w:val="none"/>
          <w:u w:val="single"/>
        </w:rPr>
        <w:t>由乙方负责办理运输，直接送至采购人指定地点，并负责安装、调试完毕。</w:t>
      </w:r>
    </w:p>
    <w:p w14:paraId="01A8F4D1">
      <w:pPr>
        <w:pStyle w:val="12"/>
        <w:snapToGrid w:val="0"/>
        <w:spacing w:before="120" w:after="120" w:line="360" w:lineRule="auto"/>
        <w:ind w:firstLine="482" w:firstLineChars="200"/>
        <w:outlineLvl w:val="0"/>
        <w:rPr>
          <w:rFonts w:hint="eastAsia" w:hAnsi="宋体" w:cs="宋体"/>
          <w:b/>
          <w:bCs/>
          <w:color w:val="auto"/>
          <w:sz w:val="24"/>
          <w:szCs w:val="24"/>
          <w:highlight w:val="none"/>
        </w:rPr>
      </w:pPr>
      <w:r>
        <w:rPr>
          <w:rFonts w:hint="eastAsia" w:hAnsi="宋体" w:cs="宋体"/>
          <w:b/>
          <w:bCs/>
          <w:color w:val="auto"/>
          <w:sz w:val="24"/>
          <w:szCs w:val="24"/>
          <w:highlight w:val="none"/>
        </w:rPr>
        <w:t>十、货款支付</w:t>
      </w:r>
    </w:p>
    <w:p w14:paraId="68C94782">
      <w:pPr>
        <w:autoSpaceDE w:val="0"/>
        <w:autoSpaceDN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10.1 本合同项下所有款项均以人民币支付。 </w:t>
      </w:r>
    </w:p>
    <w:p w14:paraId="197915C8">
      <w:pPr>
        <w:autoSpaceDE w:val="0"/>
        <w:autoSpaceDN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10.2 本合同项下的采购资金由甲方支付，付款前乙方向甲方开具发票。</w:t>
      </w:r>
    </w:p>
    <w:p w14:paraId="0526AD76">
      <w:pPr>
        <w:autoSpaceDE w:val="0"/>
        <w:autoSpaceDN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10.3 甲方付款方式：</w:t>
      </w:r>
      <w:r>
        <w:rPr>
          <w:rFonts w:hint="eastAsia" w:ascii="宋体" w:hAnsi="宋体" w:cs="宋体"/>
          <w:color w:val="auto"/>
          <w:sz w:val="24"/>
          <w:szCs w:val="24"/>
          <w:highlight w:val="none"/>
          <w:u w:val="single"/>
        </w:rPr>
        <w:t>货到验收合格收到中标人全额发票后15个工作日内支付合同总额的80%，验收合格满一年后15个工作日内付清余款（不计息）。</w:t>
      </w:r>
    </w:p>
    <w:p w14:paraId="6B87C121">
      <w:pPr>
        <w:pStyle w:val="12"/>
        <w:snapToGrid w:val="0"/>
        <w:spacing w:before="120" w:after="120" w:line="360" w:lineRule="auto"/>
        <w:ind w:firstLine="482" w:firstLineChars="200"/>
        <w:outlineLvl w:val="0"/>
        <w:rPr>
          <w:rFonts w:hint="eastAsia" w:hAnsi="宋体" w:cs="宋体"/>
          <w:b/>
          <w:bCs/>
          <w:color w:val="auto"/>
          <w:sz w:val="24"/>
          <w:szCs w:val="24"/>
          <w:highlight w:val="none"/>
        </w:rPr>
      </w:pPr>
      <w:r>
        <w:rPr>
          <w:rFonts w:hint="eastAsia" w:hAnsi="宋体" w:cs="宋体"/>
          <w:b/>
          <w:bCs/>
          <w:color w:val="auto"/>
          <w:sz w:val="24"/>
          <w:szCs w:val="24"/>
          <w:highlight w:val="none"/>
        </w:rPr>
        <w:t>十一、税费</w:t>
      </w:r>
    </w:p>
    <w:p w14:paraId="3AA56340">
      <w:pPr>
        <w:pStyle w:val="12"/>
        <w:snapToGrid w:val="0"/>
        <w:spacing w:before="120" w:after="12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11.1本合同执行中相关的一切税费均由乙方负担。</w:t>
      </w:r>
    </w:p>
    <w:p w14:paraId="1372D154">
      <w:pPr>
        <w:pStyle w:val="12"/>
        <w:snapToGrid w:val="0"/>
        <w:spacing w:before="120" w:after="120" w:line="360" w:lineRule="auto"/>
        <w:ind w:firstLine="482" w:firstLineChars="200"/>
        <w:outlineLvl w:val="0"/>
        <w:rPr>
          <w:rFonts w:hint="eastAsia" w:hAnsi="宋体" w:cs="宋体"/>
          <w:b/>
          <w:bCs/>
          <w:color w:val="auto"/>
          <w:sz w:val="24"/>
          <w:szCs w:val="24"/>
          <w:highlight w:val="none"/>
        </w:rPr>
      </w:pPr>
      <w:r>
        <w:rPr>
          <w:rFonts w:hint="eastAsia" w:hAnsi="宋体" w:cs="宋体"/>
          <w:b/>
          <w:bCs/>
          <w:color w:val="auto"/>
          <w:sz w:val="24"/>
          <w:szCs w:val="24"/>
          <w:highlight w:val="none"/>
        </w:rPr>
        <w:t>十二、质量保证及售后服务</w:t>
      </w:r>
    </w:p>
    <w:p w14:paraId="543470CA">
      <w:pPr>
        <w:pStyle w:val="12"/>
        <w:snapToGrid w:val="0"/>
        <w:spacing w:before="120" w:after="12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12.1 乙方应按招标文件规定的货物及服务性能、技术要求、质量标准向甲方提供。</w:t>
      </w:r>
    </w:p>
    <w:p w14:paraId="673B529C">
      <w:pPr>
        <w:pStyle w:val="12"/>
        <w:snapToGrid w:val="0"/>
        <w:spacing w:before="120" w:after="12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12.2 乙方提供的货物及服务在质量期内因服务及产品本身的质量问题发生故障，乙方应负责免费更换。对达不到技术要求者，根据实际情况，经双方协商，可按以下办法处理：</w:t>
      </w:r>
    </w:p>
    <w:p w14:paraId="0D8B4BDD">
      <w:pPr>
        <w:pStyle w:val="12"/>
        <w:snapToGrid w:val="0"/>
        <w:spacing w:before="120" w:after="12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⑴更换：由乙方承担所发生的全部费用。</w:t>
      </w:r>
    </w:p>
    <w:p w14:paraId="7FB8A42E">
      <w:pPr>
        <w:pStyle w:val="12"/>
        <w:snapToGrid w:val="0"/>
        <w:spacing w:before="120" w:after="12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⑵贬值处理：由甲乙双方合议定价。</w:t>
      </w:r>
    </w:p>
    <w:p w14:paraId="7695B681">
      <w:pPr>
        <w:pStyle w:val="12"/>
        <w:snapToGrid w:val="0"/>
        <w:spacing w:before="120" w:after="12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⑶退还处理：乙方应退还甲方支付的合同款，同时应承担该货物及服务的直接费用（运输、保险、检验、款项利息及银行手续费等）。</w:t>
      </w:r>
    </w:p>
    <w:p w14:paraId="795E1A2B">
      <w:pPr>
        <w:pStyle w:val="12"/>
        <w:snapToGrid w:val="0"/>
        <w:spacing w:before="120" w:after="12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12.3 如在使用过程中发生质量问题，乙方在接到甲方通知后在______小时内到达甲方现场。</w:t>
      </w:r>
    </w:p>
    <w:p w14:paraId="77B7C81D">
      <w:pPr>
        <w:pStyle w:val="12"/>
        <w:snapToGrid w:val="0"/>
        <w:spacing w:before="120" w:after="12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12.4 在质保期内，乙方应对货物及服务出现的质量及安全问题负责处理解决并承担一切费用。</w:t>
      </w:r>
    </w:p>
    <w:p w14:paraId="68D937D1">
      <w:pPr>
        <w:pStyle w:val="12"/>
        <w:snapToGrid w:val="0"/>
        <w:spacing w:before="120" w:after="12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12.5上述的货物及服务免费保修期为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年，因人为因素出现的故障不在免费保修范围内。超过保修期的机器设备，终生维修，维修时只收部件成本费。</w:t>
      </w:r>
    </w:p>
    <w:p w14:paraId="43A747D1">
      <w:pPr>
        <w:pStyle w:val="12"/>
        <w:snapToGrid w:val="0"/>
        <w:spacing w:before="120" w:after="120" w:line="360" w:lineRule="auto"/>
        <w:ind w:firstLine="482" w:firstLineChars="200"/>
        <w:outlineLvl w:val="0"/>
        <w:rPr>
          <w:rFonts w:hint="eastAsia" w:hAnsi="宋体" w:cs="宋体"/>
          <w:b/>
          <w:bCs/>
          <w:color w:val="auto"/>
          <w:sz w:val="24"/>
          <w:szCs w:val="24"/>
          <w:highlight w:val="none"/>
        </w:rPr>
      </w:pPr>
      <w:r>
        <w:rPr>
          <w:rFonts w:hint="eastAsia" w:hAnsi="宋体" w:cs="宋体"/>
          <w:b/>
          <w:bCs/>
          <w:color w:val="auto"/>
          <w:sz w:val="24"/>
          <w:szCs w:val="24"/>
          <w:highlight w:val="none"/>
        </w:rPr>
        <w:t>十三、调试和验收</w:t>
      </w:r>
    </w:p>
    <w:p w14:paraId="681C7E69">
      <w:pPr>
        <w:pStyle w:val="12"/>
        <w:snapToGrid w:val="0"/>
        <w:spacing w:before="120" w:after="12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13.1 甲方对乙方提交的货物及服务依据招标文件上的技术规格要求和国家有关质量标准进行现场初步验收，外观、说明书符合招标文件技术要求的，给予签收，初步验收不合格的不予签收。交付后，甲方需在五个工作日内验收。</w:t>
      </w:r>
    </w:p>
    <w:p w14:paraId="0A882362">
      <w:pPr>
        <w:pStyle w:val="12"/>
        <w:snapToGrid w:val="0"/>
        <w:spacing w:before="120" w:after="12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13.2 乙方交付前应对货物及服务作出全面检查和对验收文件进行整理，并列出清单，作为甲方交付验收和使用的技术条件依据，检验的结果应随货物及服务交甲方。</w:t>
      </w:r>
    </w:p>
    <w:p w14:paraId="3BDE1DDE">
      <w:pPr>
        <w:pStyle w:val="12"/>
        <w:snapToGrid w:val="0"/>
        <w:spacing w:before="120" w:after="12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13.3 甲方对乙方提供的货物及服务在使用前进行调试时，乙方需负责安装并培训甲方的使用操作人员，并协助甲方一起调试，直到符合技术要求，甲方才做最终验收。</w:t>
      </w:r>
    </w:p>
    <w:p w14:paraId="6F87E75B">
      <w:pPr>
        <w:pStyle w:val="12"/>
        <w:snapToGrid w:val="0"/>
        <w:spacing w:before="120" w:after="12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13.4 对技术复杂的货物及服务，甲方可请国家认可的专业检测机构参与初步验收及最终验收，并由其出具质量检测报告。</w:t>
      </w:r>
    </w:p>
    <w:p w14:paraId="7FAC068E">
      <w:pPr>
        <w:pStyle w:val="12"/>
        <w:snapToGrid w:val="0"/>
        <w:spacing w:before="120" w:after="12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13.5 验收时乙方必须在现场，验收完毕后作出验收结果报告；验收费用由甲乙双方协商解决。</w:t>
      </w:r>
    </w:p>
    <w:p w14:paraId="57A53CF0">
      <w:pPr>
        <w:pStyle w:val="12"/>
        <w:snapToGrid w:val="0"/>
        <w:spacing w:before="120" w:after="120" w:line="360" w:lineRule="auto"/>
        <w:ind w:firstLine="482" w:firstLineChars="200"/>
        <w:outlineLvl w:val="0"/>
        <w:rPr>
          <w:rFonts w:hint="eastAsia" w:hAnsi="宋体" w:cs="宋体"/>
          <w:b/>
          <w:bCs/>
          <w:color w:val="auto"/>
          <w:sz w:val="24"/>
          <w:szCs w:val="24"/>
          <w:highlight w:val="none"/>
        </w:rPr>
      </w:pPr>
      <w:r>
        <w:rPr>
          <w:rFonts w:hint="eastAsia" w:hAnsi="宋体" w:cs="宋体"/>
          <w:b/>
          <w:bCs/>
          <w:color w:val="auto"/>
          <w:sz w:val="24"/>
          <w:szCs w:val="24"/>
          <w:highlight w:val="none"/>
        </w:rPr>
        <w:t>十四、货物及服务包装、发运及运输</w:t>
      </w:r>
    </w:p>
    <w:p w14:paraId="35FA7C68">
      <w:pPr>
        <w:pStyle w:val="12"/>
        <w:snapToGrid w:val="0"/>
        <w:spacing w:before="120" w:after="12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14.1 乙方应在货物及服务发运前对其进行满足运输距离、防潮、防震、防锈和防破损装卸等要求包装，以保证货物及服务安全运达甲方指定地点。</w:t>
      </w:r>
    </w:p>
    <w:p w14:paraId="0B966242">
      <w:pPr>
        <w:pStyle w:val="12"/>
        <w:snapToGrid w:val="0"/>
        <w:spacing w:before="120" w:after="12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14.2 使用说明书、质量检验证明书、随配附件和工具以及清单一并交付甲方。</w:t>
      </w:r>
    </w:p>
    <w:p w14:paraId="36C9A0F1">
      <w:pPr>
        <w:pStyle w:val="12"/>
        <w:snapToGrid w:val="0"/>
        <w:spacing w:before="120" w:after="12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14.3 乙方在货物及服务发运手续办理完毕后24小时内或交付到甲方48小时前通知甲方，以准备接受交付。</w:t>
      </w:r>
    </w:p>
    <w:p w14:paraId="3E3BE255">
      <w:pPr>
        <w:pStyle w:val="12"/>
        <w:snapToGrid w:val="0"/>
        <w:spacing w:before="120" w:after="12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14.4 货物在交付甲方前发生的风险均由乙方负责。</w:t>
      </w:r>
    </w:p>
    <w:p w14:paraId="0BCB6593">
      <w:pPr>
        <w:pStyle w:val="12"/>
        <w:snapToGrid w:val="0"/>
        <w:spacing w:before="120" w:after="12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14.5 货物及服务在规定的交付期限内由乙方送达甲方指定的地点视为交付，乙方同时需通知甲方货物及服务已送达。</w:t>
      </w:r>
    </w:p>
    <w:p w14:paraId="6DAD4611">
      <w:pPr>
        <w:pStyle w:val="12"/>
        <w:snapToGrid w:val="0"/>
        <w:spacing w:before="120" w:after="120" w:line="360" w:lineRule="auto"/>
        <w:ind w:firstLine="482" w:firstLineChars="200"/>
        <w:outlineLvl w:val="0"/>
        <w:rPr>
          <w:rFonts w:hint="eastAsia" w:hAnsi="宋体" w:cs="宋体"/>
          <w:b/>
          <w:bCs/>
          <w:color w:val="auto"/>
          <w:sz w:val="24"/>
          <w:szCs w:val="24"/>
          <w:highlight w:val="none"/>
        </w:rPr>
      </w:pPr>
      <w:r>
        <w:rPr>
          <w:rFonts w:hint="eastAsia" w:hAnsi="宋体" w:cs="宋体"/>
          <w:b/>
          <w:bCs/>
          <w:color w:val="auto"/>
          <w:sz w:val="24"/>
          <w:szCs w:val="24"/>
          <w:highlight w:val="none"/>
        </w:rPr>
        <w:t>十五、违约责任</w:t>
      </w:r>
    </w:p>
    <w:p w14:paraId="3E9E7A26">
      <w:pPr>
        <w:pStyle w:val="12"/>
        <w:snapToGrid w:val="0"/>
        <w:spacing w:before="120" w:after="12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15.1 甲方无正当理由拒收货物及服务的，甲方向乙方偿付拒收款项总值的百分之五违约金。</w:t>
      </w:r>
    </w:p>
    <w:p w14:paraId="462C2A7D">
      <w:pPr>
        <w:pStyle w:val="12"/>
        <w:snapToGrid w:val="0"/>
        <w:spacing w:before="120" w:after="12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15.2 甲方无故逾期验收和办理款项支付手续的,甲方应按逾期付款总额每日万分之五向乙方支付违约金。</w:t>
      </w:r>
    </w:p>
    <w:p w14:paraId="55FCE82D">
      <w:pPr>
        <w:pStyle w:val="12"/>
        <w:snapToGrid w:val="0"/>
        <w:spacing w:before="120" w:after="12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15.3 乙方逾期交付货物及服务的，乙方应按逾期交付总额每日千分之六向甲方支付违约金，由甲方从待付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23B441CE">
      <w:pPr>
        <w:pStyle w:val="12"/>
        <w:snapToGrid w:val="0"/>
        <w:spacing w:before="120" w:after="12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 乙方所交的货物及服务数量、质量不符合合同规定及招标文件规定标准的，甲方有权拒收该货物及服务，乙方愿意更换货物及服务但逾期交付的，按乙方逾期交付处理。乙方拒绝更换货物及服务的，甲方可单方面解除合同。</w:t>
      </w:r>
    </w:p>
    <w:p w14:paraId="489CC6C8">
      <w:pPr>
        <w:pStyle w:val="12"/>
        <w:snapToGrid w:val="0"/>
        <w:spacing w:before="120" w:after="120" w:line="360" w:lineRule="auto"/>
        <w:ind w:firstLine="482" w:firstLineChars="200"/>
        <w:outlineLvl w:val="0"/>
        <w:rPr>
          <w:rFonts w:hint="eastAsia" w:hAnsi="宋体" w:cs="宋体"/>
          <w:b/>
          <w:bCs/>
          <w:color w:val="auto"/>
          <w:sz w:val="24"/>
          <w:szCs w:val="24"/>
          <w:highlight w:val="none"/>
        </w:rPr>
      </w:pPr>
      <w:r>
        <w:rPr>
          <w:rFonts w:hint="eastAsia" w:hAnsi="宋体" w:cs="宋体"/>
          <w:b/>
          <w:bCs/>
          <w:color w:val="auto"/>
          <w:sz w:val="24"/>
          <w:szCs w:val="24"/>
          <w:highlight w:val="none"/>
        </w:rPr>
        <w:t>十六、不可抗力事件处理</w:t>
      </w:r>
    </w:p>
    <w:p w14:paraId="6E922088">
      <w:pPr>
        <w:pStyle w:val="12"/>
        <w:snapToGrid w:val="0"/>
        <w:spacing w:before="120" w:after="12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16.1 在合同有效期内，任何一方因不可抗力事件导致不能履行合同，则合同履行期可延长，其延长期与不可抗力影响期相同。</w:t>
      </w:r>
    </w:p>
    <w:p w14:paraId="2D6EB373">
      <w:pPr>
        <w:pStyle w:val="12"/>
        <w:snapToGrid w:val="0"/>
        <w:spacing w:before="120" w:after="12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16.2 不可抗力事件发生后，应立即通知对方，并寄送有关权威机构出具的证明。</w:t>
      </w:r>
    </w:p>
    <w:p w14:paraId="02B71293">
      <w:pPr>
        <w:pStyle w:val="12"/>
        <w:snapToGrid w:val="0"/>
        <w:spacing w:before="120" w:after="12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16.3 不可抗力事件延续120天以上，双方应通过友好协商，确定是否继续履行合同。</w:t>
      </w:r>
    </w:p>
    <w:p w14:paraId="2E2FA094">
      <w:pPr>
        <w:pStyle w:val="12"/>
        <w:snapToGrid w:val="0"/>
        <w:spacing w:before="120" w:after="120" w:line="360" w:lineRule="auto"/>
        <w:ind w:firstLine="482" w:firstLineChars="200"/>
        <w:outlineLvl w:val="0"/>
        <w:rPr>
          <w:rFonts w:hint="eastAsia" w:hAnsi="宋体" w:cs="宋体"/>
          <w:b/>
          <w:bCs/>
          <w:color w:val="auto"/>
          <w:sz w:val="24"/>
          <w:szCs w:val="24"/>
          <w:highlight w:val="none"/>
        </w:rPr>
      </w:pPr>
      <w:r>
        <w:rPr>
          <w:rFonts w:hint="eastAsia" w:hAnsi="宋体" w:cs="宋体"/>
          <w:b/>
          <w:bCs/>
          <w:color w:val="auto"/>
          <w:sz w:val="24"/>
          <w:szCs w:val="24"/>
          <w:highlight w:val="none"/>
        </w:rPr>
        <w:t>十七、诉讼</w:t>
      </w:r>
    </w:p>
    <w:p w14:paraId="7B127B93">
      <w:pPr>
        <w:pStyle w:val="12"/>
        <w:snapToGrid w:val="0"/>
        <w:spacing w:before="120" w:after="12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17.1 双方在执行合同中所发生的一切争议，应通过协商解决。如协商不成，可向合同签订地法院起诉，合同签订地在此约定为高邮市。</w:t>
      </w:r>
    </w:p>
    <w:p w14:paraId="402CA619">
      <w:pPr>
        <w:spacing w:line="360" w:lineRule="auto"/>
        <w:ind w:firstLine="482" w:firstLineChars="200"/>
        <w:rPr>
          <w:rFonts w:hint="eastAsia" w:ascii="宋体" w:hAnsi="宋体" w:cs="宋体"/>
          <w:color w:val="auto"/>
          <w:sz w:val="24"/>
          <w:szCs w:val="24"/>
          <w:highlight w:val="none"/>
        </w:rPr>
      </w:pPr>
      <w:r>
        <w:rPr>
          <w:rFonts w:hint="eastAsia" w:ascii="宋体" w:hAnsi="宋体" w:cs="宋体"/>
          <w:b/>
          <w:bCs/>
          <w:color w:val="auto"/>
          <w:kern w:val="0"/>
          <w:sz w:val="24"/>
          <w:szCs w:val="24"/>
          <w:highlight w:val="none"/>
        </w:rPr>
        <w:t>十八、</w:t>
      </w:r>
      <w:r>
        <w:rPr>
          <w:rFonts w:hint="eastAsia" w:ascii="宋体" w:hAnsi="宋体" w:cs="宋体"/>
          <w:color w:val="auto"/>
          <w:kern w:val="0"/>
          <w:sz w:val="24"/>
          <w:szCs w:val="24"/>
          <w:highlight w:val="none"/>
        </w:rPr>
        <w:t>为提升政府采购供应商的融资可得性，解决中小企业融资难问题，中国人民银行、市财政局、市公共资源代理机构推出了政府采购线上应收账款融资模式。各供应商如果有融资需求，可以凭借政府采购中标（成交）通知书或政府采购合同，通过中国人民银行征信中心“中征应收账款融资服务平台（www.crcrfsp.com）”向参与政府采购融资业务的金融机构申请线上融资，相关事宜可向市人民银行咨询，联系电话：0514-87936653。</w:t>
      </w:r>
    </w:p>
    <w:p w14:paraId="2ABFB623">
      <w:pPr>
        <w:pStyle w:val="12"/>
        <w:snapToGrid w:val="0"/>
        <w:spacing w:before="120" w:after="120" w:line="360" w:lineRule="auto"/>
        <w:ind w:firstLine="482" w:firstLineChars="200"/>
        <w:outlineLvl w:val="0"/>
        <w:rPr>
          <w:rFonts w:hint="eastAsia" w:hAnsi="宋体" w:cs="宋体"/>
          <w:b/>
          <w:bCs/>
          <w:color w:val="auto"/>
          <w:sz w:val="24"/>
          <w:szCs w:val="24"/>
          <w:highlight w:val="none"/>
        </w:rPr>
      </w:pPr>
      <w:r>
        <w:rPr>
          <w:rFonts w:hint="eastAsia" w:hAnsi="宋体" w:cs="宋体"/>
          <w:b/>
          <w:bCs/>
          <w:color w:val="auto"/>
          <w:sz w:val="24"/>
          <w:szCs w:val="24"/>
          <w:highlight w:val="none"/>
        </w:rPr>
        <w:t>十九、合同生效及其它</w:t>
      </w:r>
    </w:p>
    <w:p w14:paraId="1C0F71A4">
      <w:pPr>
        <w:pStyle w:val="12"/>
        <w:snapToGrid w:val="0"/>
        <w:spacing w:before="120" w:after="12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19.1 合同经双方法定代表人签章并加盖单位公章，并经 江苏省高邮中等专业学校见证盖章后生效。</w:t>
      </w:r>
    </w:p>
    <w:p w14:paraId="6B19CC59">
      <w:pPr>
        <w:pStyle w:val="12"/>
        <w:snapToGrid w:val="0"/>
        <w:spacing w:before="120" w:after="12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19.2本合同未尽事宜，遵照《中华人民共和国民法典》有关条文执行。</w:t>
      </w:r>
    </w:p>
    <w:p w14:paraId="48CECC58">
      <w:pPr>
        <w:pStyle w:val="12"/>
        <w:snapToGrid w:val="0"/>
        <w:spacing w:before="120" w:after="12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19.3 本合同正本一式陆份，具有同等法律效力，甲乙双方各执两份、见证方及财政监管部门（高邮市财政局政府采购管理处）各执一份。  </w:t>
      </w:r>
    </w:p>
    <w:tbl>
      <w:tblPr>
        <w:tblStyle w:val="19"/>
        <w:tblW w:w="0" w:type="auto"/>
        <w:tblInd w:w="135" w:type="dxa"/>
        <w:tblLayout w:type="fixed"/>
        <w:tblCellMar>
          <w:top w:w="0" w:type="dxa"/>
          <w:left w:w="108" w:type="dxa"/>
          <w:bottom w:w="0" w:type="dxa"/>
          <w:right w:w="108" w:type="dxa"/>
        </w:tblCellMar>
      </w:tblPr>
      <w:tblGrid>
        <w:gridCol w:w="4284"/>
        <w:gridCol w:w="4238"/>
      </w:tblGrid>
      <w:tr w14:paraId="18331642">
        <w:tblPrEx>
          <w:tblCellMar>
            <w:top w:w="0" w:type="dxa"/>
            <w:left w:w="108" w:type="dxa"/>
            <w:bottom w:w="0" w:type="dxa"/>
            <w:right w:w="108" w:type="dxa"/>
          </w:tblCellMar>
        </w:tblPrEx>
        <w:tc>
          <w:tcPr>
            <w:tcW w:w="4284" w:type="dxa"/>
            <w:tcBorders>
              <w:top w:val="nil"/>
              <w:left w:val="nil"/>
              <w:bottom w:val="nil"/>
              <w:right w:val="nil"/>
            </w:tcBorders>
            <w:noWrap w:val="0"/>
            <w:vAlign w:val="top"/>
          </w:tcPr>
          <w:p w14:paraId="41D0F852">
            <w:pPr>
              <w:pStyle w:val="12"/>
              <w:snapToGrid w:val="0"/>
              <w:spacing w:before="120" w:after="120" w:line="360" w:lineRule="auto"/>
              <w:rPr>
                <w:rFonts w:hint="eastAsia" w:hAnsi="宋体" w:cs="宋体"/>
                <w:color w:val="auto"/>
                <w:sz w:val="24"/>
                <w:szCs w:val="24"/>
                <w:highlight w:val="none"/>
              </w:rPr>
            </w:pPr>
            <w:r>
              <w:rPr>
                <w:rFonts w:hint="eastAsia" w:hAnsi="宋体" w:cs="宋体"/>
                <w:color w:val="auto"/>
                <w:sz w:val="24"/>
                <w:szCs w:val="24"/>
                <w:highlight w:val="none"/>
              </w:rPr>
              <w:t>甲方：江苏省高邮中等专业学校</w:t>
            </w:r>
          </w:p>
        </w:tc>
        <w:tc>
          <w:tcPr>
            <w:tcW w:w="4238" w:type="dxa"/>
            <w:tcBorders>
              <w:top w:val="nil"/>
              <w:left w:val="nil"/>
              <w:bottom w:val="nil"/>
              <w:right w:val="nil"/>
            </w:tcBorders>
            <w:noWrap w:val="0"/>
            <w:vAlign w:val="top"/>
          </w:tcPr>
          <w:p w14:paraId="216C5406">
            <w:pPr>
              <w:pStyle w:val="12"/>
              <w:snapToGrid w:val="0"/>
              <w:spacing w:before="120" w:after="120" w:line="360" w:lineRule="auto"/>
              <w:rPr>
                <w:rFonts w:hint="eastAsia" w:hAnsi="宋体" w:cs="宋体"/>
                <w:color w:val="auto"/>
                <w:sz w:val="24"/>
                <w:szCs w:val="24"/>
                <w:highlight w:val="none"/>
              </w:rPr>
            </w:pPr>
            <w:r>
              <w:rPr>
                <w:rFonts w:hint="eastAsia" w:hAnsi="宋体" w:cs="宋体"/>
                <w:color w:val="auto"/>
                <w:sz w:val="24"/>
                <w:szCs w:val="24"/>
                <w:highlight w:val="none"/>
              </w:rPr>
              <w:t xml:space="preserve">乙方： </w:t>
            </w:r>
          </w:p>
        </w:tc>
      </w:tr>
      <w:tr w14:paraId="4AD96D28">
        <w:tblPrEx>
          <w:tblCellMar>
            <w:top w:w="0" w:type="dxa"/>
            <w:left w:w="108" w:type="dxa"/>
            <w:bottom w:w="0" w:type="dxa"/>
            <w:right w:w="108" w:type="dxa"/>
          </w:tblCellMar>
        </w:tblPrEx>
        <w:tc>
          <w:tcPr>
            <w:tcW w:w="4284" w:type="dxa"/>
            <w:tcBorders>
              <w:top w:val="nil"/>
              <w:left w:val="nil"/>
              <w:bottom w:val="nil"/>
              <w:right w:val="nil"/>
            </w:tcBorders>
            <w:noWrap w:val="0"/>
            <w:vAlign w:val="top"/>
          </w:tcPr>
          <w:p w14:paraId="2B35967C">
            <w:pPr>
              <w:pStyle w:val="12"/>
              <w:snapToGrid w:val="0"/>
              <w:spacing w:before="120" w:after="120" w:line="360" w:lineRule="auto"/>
              <w:rPr>
                <w:rFonts w:hint="eastAsia" w:hAnsi="宋体" w:cs="宋体"/>
                <w:color w:val="auto"/>
                <w:sz w:val="24"/>
                <w:szCs w:val="24"/>
                <w:highlight w:val="none"/>
              </w:rPr>
            </w:pPr>
            <w:r>
              <w:rPr>
                <w:rFonts w:hint="eastAsia" w:hAnsi="宋体" w:cs="宋体"/>
                <w:color w:val="auto"/>
                <w:sz w:val="24"/>
                <w:szCs w:val="24"/>
                <w:highlight w:val="none"/>
              </w:rPr>
              <w:t>地址：高邮市海潮东路98号</w:t>
            </w:r>
          </w:p>
        </w:tc>
        <w:tc>
          <w:tcPr>
            <w:tcW w:w="4238" w:type="dxa"/>
            <w:tcBorders>
              <w:top w:val="nil"/>
              <w:left w:val="nil"/>
              <w:bottom w:val="nil"/>
              <w:right w:val="nil"/>
            </w:tcBorders>
            <w:noWrap w:val="0"/>
            <w:vAlign w:val="top"/>
          </w:tcPr>
          <w:p w14:paraId="735D5417">
            <w:pPr>
              <w:pStyle w:val="12"/>
              <w:snapToGrid w:val="0"/>
              <w:spacing w:before="120" w:after="120" w:line="360" w:lineRule="auto"/>
              <w:rPr>
                <w:rFonts w:hint="eastAsia" w:hAnsi="宋体" w:cs="宋体"/>
                <w:color w:val="auto"/>
                <w:sz w:val="24"/>
                <w:szCs w:val="24"/>
                <w:highlight w:val="none"/>
              </w:rPr>
            </w:pPr>
            <w:r>
              <w:rPr>
                <w:rFonts w:hint="eastAsia" w:hAnsi="宋体" w:cs="宋体"/>
                <w:color w:val="auto"/>
                <w:sz w:val="24"/>
                <w:szCs w:val="24"/>
                <w:highlight w:val="none"/>
              </w:rPr>
              <w:t xml:space="preserve">地址： </w:t>
            </w:r>
          </w:p>
        </w:tc>
      </w:tr>
      <w:tr w14:paraId="4167AC7A">
        <w:tblPrEx>
          <w:tblCellMar>
            <w:top w:w="0" w:type="dxa"/>
            <w:left w:w="108" w:type="dxa"/>
            <w:bottom w:w="0" w:type="dxa"/>
            <w:right w:w="108" w:type="dxa"/>
          </w:tblCellMar>
        </w:tblPrEx>
        <w:tc>
          <w:tcPr>
            <w:tcW w:w="4284" w:type="dxa"/>
            <w:tcBorders>
              <w:top w:val="nil"/>
              <w:left w:val="nil"/>
              <w:bottom w:val="nil"/>
              <w:right w:val="nil"/>
            </w:tcBorders>
            <w:noWrap w:val="0"/>
            <w:vAlign w:val="top"/>
          </w:tcPr>
          <w:p w14:paraId="32E5E34B">
            <w:pPr>
              <w:pStyle w:val="12"/>
              <w:snapToGrid w:val="0"/>
              <w:spacing w:before="120" w:after="120" w:line="360" w:lineRule="auto"/>
              <w:rPr>
                <w:rFonts w:hint="eastAsia" w:hAnsi="宋体" w:cs="宋体"/>
                <w:color w:val="auto"/>
                <w:sz w:val="24"/>
                <w:szCs w:val="24"/>
                <w:highlight w:val="none"/>
              </w:rPr>
            </w:pPr>
            <w:r>
              <w:rPr>
                <w:rFonts w:hint="eastAsia" w:hAnsi="宋体" w:cs="宋体"/>
                <w:color w:val="auto"/>
                <w:sz w:val="24"/>
                <w:szCs w:val="24"/>
                <w:highlight w:val="none"/>
              </w:rPr>
              <w:t>法定代表人或授权代表：</w:t>
            </w:r>
          </w:p>
        </w:tc>
        <w:tc>
          <w:tcPr>
            <w:tcW w:w="4238" w:type="dxa"/>
            <w:tcBorders>
              <w:top w:val="nil"/>
              <w:left w:val="nil"/>
              <w:bottom w:val="nil"/>
              <w:right w:val="nil"/>
            </w:tcBorders>
            <w:noWrap w:val="0"/>
            <w:vAlign w:val="top"/>
          </w:tcPr>
          <w:p w14:paraId="37ED65EB">
            <w:pPr>
              <w:pStyle w:val="12"/>
              <w:snapToGrid w:val="0"/>
              <w:spacing w:before="120" w:after="120" w:line="360" w:lineRule="auto"/>
              <w:rPr>
                <w:rFonts w:hint="eastAsia" w:hAnsi="宋体" w:cs="宋体"/>
                <w:color w:val="auto"/>
                <w:sz w:val="24"/>
                <w:szCs w:val="24"/>
                <w:highlight w:val="none"/>
              </w:rPr>
            </w:pPr>
            <w:r>
              <w:rPr>
                <w:rFonts w:hint="eastAsia" w:hAnsi="宋体" w:cs="宋体"/>
                <w:color w:val="auto"/>
                <w:sz w:val="24"/>
                <w:szCs w:val="24"/>
                <w:highlight w:val="none"/>
              </w:rPr>
              <w:t>法定代表人或授权代表：</w:t>
            </w:r>
          </w:p>
        </w:tc>
      </w:tr>
      <w:tr w14:paraId="55F43301">
        <w:tblPrEx>
          <w:tblCellMar>
            <w:top w:w="0" w:type="dxa"/>
            <w:left w:w="108" w:type="dxa"/>
            <w:bottom w:w="0" w:type="dxa"/>
            <w:right w:w="108" w:type="dxa"/>
          </w:tblCellMar>
        </w:tblPrEx>
        <w:tc>
          <w:tcPr>
            <w:tcW w:w="4284" w:type="dxa"/>
            <w:tcBorders>
              <w:top w:val="nil"/>
              <w:left w:val="nil"/>
              <w:bottom w:val="nil"/>
              <w:right w:val="nil"/>
            </w:tcBorders>
            <w:noWrap w:val="0"/>
            <w:vAlign w:val="top"/>
          </w:tcPr>
          <w:p w14:paraId="6570B571">
            <w:pPr>
              <w:pStyle w:val="12"/>
              <w:snapToGrid w:val="0"/>
              <w:spacing w:before="120" w:after="120" w:line="360" w:lineRule="auto"/>
              <w:rPr>
                <w:rFonts w:hint="eastAsia" w:hAnsi="宋体" w:cs="宋体"/>
                <w:color w:val="auto"/>
                <w:sz w:val="24"/>
                <w:szCs w:val="24"/>
                <w:highlight w:val="none"/>
              </w:rPr>
            </w:pPr>
            <w:r>
              <w:rPr>
                <w:rFonts w:hint="eastAsia" w:hAnsi="宋体" w:cs="宋体"/>
                <w:color w:val="auto"/>
                <w:sz w:val="24"/>
                <w:szCs w:val="24"/>
                <w:highlight w:val="none"/>
              </w:rPr>
              <w:t>联系电话：</w:t>
            </w:r>
          </w:p>
        </w:tc>
        <w:tc>
          <w:tcPr>
            <w:tcW w:w="4238" w:type="dxa"/>
            <w:tcBorders>
              <w:top w:val="nil"/>
              <w:left w:val="nil"/>
              <w:bottom w:val="nil"/>
              <w:right w:val="nil"/>
            </w:tcBorders>
            <w:noWrap w:val="0"/>
            <w:vAlign w:val="top"/>
          </w:tcPr>
          <w:p w14:paraId="2C32DA31">
            <w:pPr>
              <w:pStyle w:val="12"/>
              <w:snapToGrid w:val="0"/>
              <w:spacing w:before="120" w:after="120" w:line="360" w:lineRule="auto"/>
              <w:rPr>
                <w:rFonts w:hint="eastAsia" w:hAnsi="宋体" w:cs="宋体"/>
                <w:color w:val="auto"/>
                <w:sz w:val="24"/>
                <w:szCs w:val="24"/>
                <w:highlight w:val="none"/>
              </w:rPr>
            </w:pPr>
            <w:r>
              <w:rPr>
                <w:rFonts w:hint="eastAsia" w:hAnsi="宋体" w:cs="宋体"/>
                <w:color w:val="auto"/>
                <w:sz w:val="24"/>
                <w:szCs w:val="24"/>
                <w:highlight w:val="none"/>
              </w:rPr>
              <w:t>联系电话：</w:t>
            </w:r>
          </w:p>
        </w:tc>
      </w:tr>
      <w:tr w14:paraId="1A39FE16">
        <w:tblPrEx>
          <w:tblCellMar>
            <w:top w:w="0" w:type="dxa"/>
            <w:left w:w="108" w:type="dxa"/>
            <w:bottom w:w="0" w:type="dxa"/>
            <w:right w:w="108" w:type="dxa"/>
          </w:tblCellMar>
        </w:tblPrEx>
        <w:tc>
          <w:tcPr>
            <w:tcW w:w="4284" w:type="dxa"/>
            <w:tcBorders>
              <w:top w:val="nil"/>
              <w:left w:val="nil"/>
              <w:bottom w:val="nil"/>
              <w:right w:val="nil"/>
            </w:tcBorders>
            <w:noWrap w:val="0"/>
            <w:vAlign w:val="top"/>
          </w:tcPr>
          <w:p w14:paraId="03278CE0">
            <w:pPr>
              <w:pStyle w:val="12"/>
              <w:snapToGrid w:val="0"/>
              <w:spacing w:before="120" w:after="120" w:line="360" w:lineRule="auto"/>
              <w:rPr>
                <w:rFonts w:hint="eastAsia" w:hAnsi="宋体" w:cs="宋体"/>
                <w:color w:val="auto"/>
                <w:sz w:val="24"/>
                <w:szCs w:val="24"/>
                <w:highlight w:val="none"/>
              </w:rPr>
            </w:pPr>
            <w:r>
              <w:rPr>
                <w:rFonts w:hint="eastAsia" w:hAnsi="宋体" w:cs="宋体"/>
                <w:color w:val="auto"/>
                <w:sz w:val="24"/>
                <w:szCs w:val="24"/>
                <w:highlight w:val="none"/>
              </w:rPr>
              <w:t xml:space="preserve">日期：      年    月    日  </w:t>
            </w:r>
          </w:p>
        </w:tc>
        <w:tc>
          <w:tcPr>
            <w:tcW w:w="4238" w:type="dxa"/>
            <w:tcBorders>
              <w:top w:val="nil"/>
              <w:left w:val="nil"/>
              <w:bottom w:val="nil"/>
              <w:right w:val="nil"/>
            </w:tcBorders>
            <w:noWrap w:val="0"/>
            <w:vAlign w:val="top"/>
          </w:tcPr>
          <w:p w14:paraId="10F6966B">
            <w:pPr>
              <w:pStyle w:val="12"/>
              <w:snapToGrid w:val="0"/>
              <w:spacing w:before="120" w:after="120" w:line="360" w:lineRule="auto"/>
              <w:rPr>
                <w:rFonts w:hint="eastAsia" w:hAnsi="宋体" w:cs="宋体"/>
                <w:color w:val="auto"/>
                <w:sz w:val="24"/>
                <w:szCs w:val="24"/>
                <w:highlight w:val="none"/>
              </w:rPr>
            </w:pPr>
            <w:r>
              <w:rPr>
                <w:rFonts w:hint="eastAsia" w:hAnsi="宋体" w:cs="宋体"/>
                <w:color w:val="auto"/>
                <w:sz w:val="24"/>
                <w:szCs w:val="24"/>
                <w:highlight w:val="none"/>
              </w:rPr>
              <w:t>日期：      年    月    日</w:t>
            </w:r>
          </w:p>
        </w:tc>
      </w:tr>
    </w:tbl>
    <w:p w14:paraId="6799A12A">
      <w:pPr>
        <w:pStyle w:val="12"/>
        <w:snapToGrid w:val="0"/>
        <w:spacing w:before="120" w:after="120" w:line="360" w:lineRule="auto"/>
        <w:rPr>
          <w:rFonts w:hint="eastAsia" w:hAnsi="宋体" w:cs="宋体"/>
          <w:color w:val="auto"/>
          <w:sz w:val="24"/>
          <w:szCs w:val="24"/>
          <w:highlight w:val="none"/>
        </w:rPr>
      </w:pPr>
      <w:r>
        <w:rPr>
          <w:rFonts w:hint="eastAsia" w:hAnsi="宋体" w:cs="宋体"/>
          <w:color w:val="auto"/>
          <w:sz w:val="24"/>
          <w:szCs w:val="24"/>
          <w:highlight w:val="none"/>
        </w:rPr>
        <w:t xml:space="preserve"> </w:t>
      </w:r>
    </w:p>
    <w:p w14:paraId="4771CC03">
      <w:pPr>
        <w:pStyle w:val="12"/>
        <w:snapToGrid w:val="0"/>
        <w:spacing w:before="120" w:after="120" w:line="360" w:lineRule="auto"/>
        <w:rPr>
          <w:rFonts w:hint="eastAsia" w:hAnsi="宋体" w:cs="宋体"/>
          <w:color w:val="auto"/>
          <w:sz w:val="24"/>
          <w:szCs w:val="24"/>
          <w:highlight w:val="none"/>
        </w:rPr>
      </w:pPr>
      <w:r>
        <w:rPr>
          <w:rFonts w:hint="eastAsia" w:hAnsi="宋体" w:cs="宋体"/>
          <w:color w:val="auto"/>
          <w:sz w:val="24"/>
          <w:szCs w:val="24"/>
          <w:highlight w:val="none"/>
        </w:rPr>
        <w:t xml:space="preserve">  见证方： 江苏中兆工程咨询有限公司</w:t>
      </w:r>
    </w:p>
    <w:p w14:paraId="1553E8E1">
      <w:pPr>
        <w:pStyle w:val="12"/>
        <w:snapToGrid w:val="0"/>
        <w:spacing w:before="120" w:after="120" w:line="360" w:lineRule="auto"/>
        <w:ind w:firstLine="240" w:firstLineChars="100"/>
        <w:rPr>
          <w:rFonts w:hint="eastAsia" w:hAnsi="宋体" w:cs="宋体"/>
          <w:color w:val="auto"/>
          <w:sz w:val="24"/>
          <w:szCs w:val="24"/>
          <w:highlight w:val="none"/>
        </w:rPr>
      </w:pPr>
      <w:r>
        <w:rPr>
          <w:rFonts w:hint="eastAsia" w:hAnsi="宋体" w:cs="宋体"/>
          <w:color w:val="auto"/>
          <w:sz w:val="24"/>
          <w:szCs w:val="24"/>
          <w:highlight w:val="none"/>
        </w:rPr>
        <w:t xml:space="preserve">项目经办人： </w:t>
      </w:r>
    </w:p>
    <w:p w14:paraId="2E08223B">
      <w:pPr>
        <w:pStyle w:val="12"/>
        <w:snapToGrid w:val="0"/>
        <w:spacing w:before="120" w:after="120" w:line="360" w:lineRule="auto"/>
        <w:ind w:firstLine="240" w:firstLineChars="100"/>
        <w:rPr>
          <w:rFonts w:hint="eastAsia" w:hAnsi="宋体" w:cs="宋体"/>
          <w:color w:val="auto"/>
          <w:sz w:val="24"/>
          <w:szCs w:val="24"/>
          <w:highlight w:val="none"/>
        </w:rPr>
      </w:pPr>
      <w:r>
        <w:rPr>
          <w:rFonts w:hint="eastAsia" w:hAnsi="宋体" w:cs="宋体"/>
          <w:color w:val="auto"/>
          <w:sz w:val="24"/>
          <w:szCs w:val="24"/>
          <w:highlight w:val="none"/>
        </w:rPr>
        <w:t>日期：     年   月   日</w:t>
      </w:r>
    </w:p>
    <w:bookmarkEnd w:id="3"/>
    <w:p w14:paraId="3FD67549">
      <w:pPr>
        <w:rPr>
          <w:rFonts w:hint="eastAsia" w:ascii="宋体" w:hAnsi="宋体" w:cs="宋体"/>
          <w:color w:val="auto"/>
          <w:sz w:val="24"/>
          <w:szCs w:val="24"/>
          <w:highlight w:val="none"/>
        </w:rPr>
      </w:pPr>
    </w:p>
    <w:p w14:paraId="59B4EF52">
      <w:pPr>
        <w:rPr>
          <w:rFonts w:hint="eastAsia" w:ascii="宋体" w:hAnsi="宋体" w:cs="宋体"/>
          <w:color w:val="auto"/>
          <w:sz w:val="24"/>
          <w:szCs w:val="24"/>
          <w:highlight w:val="none"/>
        </w:rPr>
      </w:pPr>
    </w:p>
    <w:p w14:paraId="77BF6795">
      <w:pPr>
        <w:rPr>
          <w:rFonts w:hint="eastAsia" w:ascii="宋体" w:hAnsi="宋体" w:cs="宋体"/>
          <w:color w:val="auto"/>
          <w:sz w:val="24"/>
          <w:szCs w:val="24"/>
          <w:highlight w:val="none"/>
        </w:rPr>
      </w:pPr>
    </w:p>
    <w:bookmarkEnd w:id="4"/>
    <w:p w14:paraId="50E0E0F1">
      <w:pPr>
        <w:pStyle w:val="2"/>
        <w:outlineLvl w:val="9"/>
        <w:rPr>
          <w:rFonts w:hint="eastAsia" w:ascii="宋体" w:hAnsi="宋体" w:cs="宋体"/>
          <w:color w:val="auto"/>
          <w:sz w:val="36"/>
          <w:szCs w:val="36"/>
          <w:highlight w:val="none"/>
        </w:rPr>
      </w:pPr>
      <w:bookmarkStart w:id="53" w:name="_Toc88665262"/>
      <w:bookmarkStart w:id="54" w:name="_Toc170832693"/>
    </w:p>
    <w:p w14:paraId="4CA8E2C1">
      <w:pPr>
        <w:rPr>
          <w:rFonts w:hint="eastAsia"/>
          <w:color w:val="auto"/>
          <w:highlight w:val="none"/>
        </w:rPr>
      </w:pPr>
    </w:p>
    <w:p w14:paraId="3714BB13">
      <w:pPr>
        <w:pStyle w:val="2"/>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第四章 项目需求</w:t>
      </w:r>
      <w:bookmarkEnd w:id="53"/>
      <w:bookmarkEnd w:id="54"/>
    </w:p>
    <w:p w14:paraId="4AE3BE11">
      <w:pPr>
        <w:pStyle w:val="46"/>
        <w:numPr>
          <w:ilvl w:val="0"/>
          <w:numId w:val="4"/>
        </w:numPr>
        <w:ind w:left="720" w:leftChars="0" w:hanging="720" w:firstLineChars="0"/>
        <w:outlineLvl w:val="0"/>
        <w:rPr>
          <w:rFonts w:hint="eastAsia" w:ascii="宋体" w:hAnsi="宋体" w:cs="宋体"/>
          <w:color w:val="auto"/>
          <w:sz w:val="32"/>
          <w:szCs w:val="32"/>
          <w:highlight w:val="none"/>
        </w:rPr>
      </w:pPr>
      <w:r>
        <w:rPr>
          <w:rFonts w:hint="eastAsia" w:ascii="宋体" w:hAnsi="宋体" w:cs="宋体"/>
          <w:color w:val="auto"/>
          <w:sz w:val="32"/>
          <w:szCs w:val="32"/>
          <w:highlight w:val="none"/>
          <w:lang w:eastAsia="zh-CN"/>
        </w:rPr>
        <w:t>项目简介</w:t>
      </w:r>
      <w:r>
        <w:rPr>
          <w:rFonts w:hint="eastAsia" w:ascii="宋体" w:hAnsi="宋体" w:cs="宋体"/>
          <w:color w:val="auto"/>
          <w:sz w:val="32"/>
          <w:szCs w:val="32"/>
          <w:highlight w:val="none"/>
        </w:rPr>
        <w:t>：</w:t>
      </w:r>
    </w:p>
    <w:p w14:paraId="00F53058">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sz w:val="24"/>
          <w:szCs w:val="24"/>
          <w:highlight w:val="none"/>
        </w:rPr>
        <w:t>1. 预算金额：100万元</w:t>
      </w:r>
    </w:p>
    <w:p w14:paraId="1FE40938">
      <w:pPr>
        <w:autoSpaceDE w:val="0"/>
        <w:autoSpaceDN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 最高限价：98万元(投标报价超过最高限价作无效投标处理）</w:t>
      </w:r>
    </w:p>
    <w:p w14:paraId="398B2862">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3. 合同履行期限：30个日历天</w:t>
      </w:r>
    </w:p>
    <w:p w14:paraId="0374198E">
      <w:pPr>
        <w:pStyle w:val="46"/>
        <w:numPr>
          <w:ilvl w:val="0"/>
          <w:numId w:val="4"/>
        </w:numPr>
        <w:ind w:left="720" w:leftChars="0" w:hanging="720" w:firstLineChars="0"/>
        <w:outlineLvl w:val="0"/>
        <w:rPr>
          <w:rFonts w:hint="eastAsia" w:ascii="宋体" w:hAnsi="宋体" w:cs="宋体"/>
          <w:color w:val="auto"/>
          <w:sz w:val="32"/>
          <w:szCs w:val="32"/>
          <w:highlight w:val="none"/>
        </w:rPr>
      </w:pPr>
      <w:r>
        <w:rPr>
          <w:rFonts w:hint="eastAsia" w:ascii="宋体" w:hAnsi="宋体" w:cs="宋体"/>
          <w:color w:val="auto"/>
          <w:sz w:val="32"/>
          <w:szCs w:val="32"/>
          <w:highlight w:val="none"/>
        </w:rPr>
        <w:t>采购清单</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4985"/>
        <w:gridCol w:w="1248"/>
        <w:gridCol w:w="1271"/>
      </w:tblGrid>
      <w:tr w14:paraId="4305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97" w:type="pct"/>
            <w:vAlign w:val="center"/>
          </w:tcPr>
          <w:p w14:paraId="62BE5DA0">
            <w:pPr>
              <w:widowControl/>
              <w:jc w:val="center"/>
              <w:rPr>
                <w:rFonts w:cs="宋体" w:asciiTheme="minorEastAsia" w:hAnsiTheme="minorEastAsia"/>
                <w:b/>
                <w:bCs/>
                <w:color w:val="auto"/>
                <w:kern w:val="0"/>
                <w:sz w:val="18"/>
                <w:szCs w:val="18"/>
                <w:highlight w:val="none"/>
              </w:rPr>
            </w:pPr>
            <w:r>
              <w:rPr>
                <w:rFonts w:hint="eastAsia" w:cs="宋体" w:asciiTheme="minorEastAsia" w:hAnsiTheme="minorEastAsia"/>
                <w:b/>
                <w:bCs/>
                <w:color w:val="auto"/>
                <w:kern w:val="0"/>
                <w:sz w:val="18"/>
                <w:szCs w:val="18"/>
                <w:highlight w:val="none"/>
              </w:rPr>
              <w:t>序号</w:t>
            </w:r>
          </w:p>
        </w:tc>
        <w:tc>
          <w:tcPr>
            <w:tcW w:w="2924" w:type="pct"/>
            <w:vAlign w:val="center"/>
          </w:tcPr>
          <w:p w14:paraId="0D0C655A">
            <w:pPr>
              <w:widowControl/>
              <w:jc w:val="center"/>
              <w:rPr>
                <w:rFonts w:cs="宋体" w:asciiTheme="minorEastAsia" w:hAnsiTheme="minorEastAsia"/>
                <w:b/>
                <w:bCs/>
                <w:color w:val="auto"/>
                <w:kern w:val="0"/>
                <w:sz w:val="18"/>
                <w:szCs w:val="18"/>
                <w:highlight w:val="none"/>
              </w:rPr>
            </w:pPr>
            <w:r>
              <w:rPr>
                <w:rFonts w:hint="eastAsia" w:cs="宋体" w:asciiTheme="minorEastAsia" w:hAnsiTheme="minorEastAsia"/>
                <w:b/>
                <w:bCs/>
                <w:color w:val="auto"/>
                <w:kern w:val="0"/>
                <w:sz w:val="18"/>
                <w:szCs w:val="18"/>
                <w:highlight w:val="none"/>
              </w:rPr>
              <w:t>设备名称</w:t>
            </w:r>
          </w:p>
        </w:tc>
        <w:tc>
          <w:tcPr>
            <w:tcW w:w="732" w:type="pct"/>
            <w:vAlign w:val="center"/>
          </w:tcPr>
          <w:p w14:paraId="6F8A58E0">
            <w:pPr>
              <w:widowControl/>
              <w:jc w:val="center"/>
              <w:rPr>
                <w:rFonts w:cs="宋体" w:asciiTheme="minorEastAsia" w:hAnsiTheme="minorEastAsia"/>
                <w:b/>
                <w:bCs/>
                <w:color w:val="auto"/>
                <w:kern w:val="0"/>
                <w:sz w:val="18"/>
                <w:szCs w:val="18"/>
                <w:highlight w:val="none"/>
              </w:rPr>
            </w:pPr>
            <w:r>
              <w:rPr>
                <w:rFonts w:hint="eastAsia" w:cs="宋体" w:asciiTheme="minorEastAsia" w:hAnsiTheme="minorEastAsia"/>
                <w:b/>
                <w:bCs/>
                <w:color w:val="auto"/>
                <w:kern w:val="0"/>
                <w:sz w:val="18"/>
                <w:szCs w:val="18"/>
                <w:highlight w:val="none"/>
              </w:rPr>
              <w:t>单位</w:t>
            </w:r>
          </w:p>
        </w:tc>
        <w:tc>
          <w:tcPr>
            <w:tcW w:w="745" w:type="pct"/>
            <w:vAlign w:val="center"/>
          </w:tcPr>
          <w:p w14:paraId="10EF2BE4">
            <w:pPr>
              <w:widowControl/>
              <w:jc w:val="center"/>
              <w:rPr>
                <w:rFonts w:cs="宋体" w:asciiTheme="minorEastAsia" w:hAnsiTheme="minorEastAsia"/>
                <w:b/>
                <w:bCs/>
                <w:color w:val="auto"/>
                <w:kern w:val="0"/>
                <w:sz w:val="18"/>
                <w:szCs w:val="18"/>
                <w:highlight w:val="none"/>
              </w:rPr>
            </w:pPr>
            <w:r>
              <w:rPr>
                <w:rFonts w:hint="eastAsia" w:cs="宋体" w:asciiTheme="minorEastAsia" w:hAnsiTheme="minorEastAsia"/>
                <w:b/>
                <w:bCs/>
                <w:color w:val="auto"/>
                <w:kern w:val="0"/>
                <w:sz w:val="18"/>
                <w:szCs w:val="18"/>
                <w:highlight w:val="none"/>
              </w:rPr>
              <w:t>数量</w:t>
            </w:r>
          </w:p>
        </w:tc>
      </w:tr>
      <w:tr w14:paraId="05056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97" w:type="pct"/>
            <w:vAlign w:val="center"/>
          </w:tcPr>
          <w:p w14:paraId="1B6576C8">
            <w:pPr>
              <w:pStyle w:val="46"/>
              <w:numPr>
                <w:ilvl w:val="0"/>
                <w:numId w:val="5"/>
              </w:numPr>
              <w:jc w:val="center"/>
              <w:rPr>
                <w:rFonts w:cs="宋体" w:asciiTheme="minorEastAsia" w:hAnsiTheme="minorEastAsia"/>
                <w:color w:val="auto"/>
                <w:sz w:val="18"/>
                <w:szCs w:val="18"/>
                <w:highlight w:val="none"/>
              </w:rPr>
            </w:pPr>
          </w:p>
        </w:tc>
        <w:tc>
          <w:tcPr>
            <w:tcW w:w="2924" w:type="pct"/>
            <w:vAlign w:val="center"/>
          </w:tcPr>
          <w:p w14:paraId="1E3D6F9A">
            <w:pPr>
              <w:widowControl/>
              <w:rPr>
                <w:rFonts w:cs="宋体" w:asciiTheme="minorEastAsia" w:hAnsiTheme="minorEastAsia"/>
                <w:color w:val="auto"/>
                <w:kern w:val="0"/>
                <w:sz w:val="18"/>
                <w:szCs w:val="18"/>
                <w:highlight w:val="none"/>
              </w:rPr>
            </w:pPr>
            <w:r>
              <w:rPr>
                <w:rFonts w:hint="eastAsia"/>
                <w:color w:val="auto"/>
                <w:sz w:val="22"/>
                <w:highlight w:val="none"/>
              </w:rPr>
              <w:t>桌面VR虚拟交互一体机 （教师机）</w:t>
            </w:r>
          </w:p>
        </w:tc>
        <w:tc>
          <w:tcPr>
            <w:tcW w:w="732" w:type="pct"/>
            <w:vAlign w:val="center"/>
          </w:tcPr>
          <w:p w14:paraId="1EF2206A">
            <w:pPr>
              <w:widowControl/>
              <w:jc w:val="center"/>
              <w:rPr>
                <w:rFonts w:cs="宋体" w:asciiTheme="minorEastAsia" w:hAnsiTheme="minorEastAsia"/>
                <w:color w:val="auto"/>
                <w:kern w:val="0"/>
                <w:sz w:val="18"/>
                <w:szCs w:val="18"/>
                <w:highlight w:val="none"/>
              </w:rPr>
            </w:pPr>
            <w:r>
              <w:rPr>
                <w:rFonts w:hint="eastAsia"/>
                <w:color w:val="auto"/>
                <w:sz w:val="22"/>
                <w:highlight w:val="none"/>
              </w:rPr>
              <w:t>台</w:t>
            </w:r>
          </w:p>
        </w:tc>
        <w:tc>
          <w:tcPr>
            <w:tcW w:w="745" w:type="pct"/>
            <w:vAlign w:val="center"/>
          </w:tcPr>
          <w:p w14:paraId="6087566E">
            <w:pPr>
              <w:widowControl/>
              <w:jc w:val="center"/>
              <w:rPr>
                <w:rFonts w:cs="宋体" w:asciiTheme="minorEastAsia" w:hAnsiTheme="minorEastAsia"/>
                <w:color w:val="auto"/>
                <w:kern w:val="0"/>
                <w:sz w:val="18"/>
                <w:szCs w:val="18"/>
                <w:highlight w:val="none"/>
              </w:rPr>
            </w:pPr>
            <w:r>
              <w:rPr>
                <w:rFonts w:hint="eastAsia"/>
                <w:color w:val="auto"/>
                <w:sz w:val="22"/>
                <w:highlight w:val="none"/>
              </w:rPr>
              <w:t>1</w:t>
            </w:r>
          </w:p>
        </w:tc>
      </w:tr>
      <w:tr w14:paraId="35578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97" w:type="pct"/>
            <w:vAlign w:val="center"/>
          </w:tcPr>
          <w:p w14:paraId="1B96E73F">
            <w:pPr>
              <w:pStyle w:val="46"/>
              <w:numPr>
                <w:ilvl w:val="0"/>
                <w:numId w:val="5"/>
              </w:numPr>
              <w:jc w:val="center"/>
              <w:rPr>
                <w:rFonts w:cs="宋体" w:asciiTheme="minorEastAsia" w:hAnsiTheme="minorEastAsia"/>
                <w:color w:val="auto"/>
                <w:sz w:val="18"/>
                <w:szCs w:val="18"/>
                <w:highlight w:val="none"/>
              </w:rPr>
            </w:pPr>
          </w:p>
        </w:tc>
        <w:tc>
          <w:tcPr>
            <w:tcW w:w="2924" w:type="pct"/>
            <w:vAlign w:val="center"/>
          </w:tcPr>
          <w:p w14:paraId="5B8B8D29">
            <w:pPr>
              <w:widowControl/>
              <w:rPr>
                <w:rFonts w:cs="宋体" w:asciiTheme="minorEastAsia" w:hAnsiTheme="minorEastAsia"/>
                <w:color w:val="auto"/>
                <w:kern w:val="0"/>
                <w:sz w:val="18"/>
                <w:szCs w:val="18"/>
                <w:highlight w:val="none"/>
              </w:rPr>
            </w:pPr>
            <w:r>
              <w:rPr>
                <w:rFonts w:hint="eastAsia"/>
                <w:color w:val="auto"/>
                <w:sz w:val="22"/>
                <w:highlight w:val="none"/>
              </w:rPr>
              <w:t>增强现实系统</w:t>
            </w:r>
          </w:p>
        </w:tc>
        <w:tc>
          <w:tcPr>
            <w:tcW w:w="732" w:type="pct"/>
            <w:vAlign w:val="center"/>
          </w:tcPr>
          <w:p w14:paraId="53E714FC">
            <w:pPr>
              <w:widowControl/>
              <w:jc w:val="center"/>
              <w:rPr>
                <w:rFonts w:cs="宋体" w:asciiTheme="minorEastAsia" w:hAnsiTheme="minorEastAsia"/>
                <w:color w:val="auto"/>
                <w:kern w:val="0"/>
                <w:sz w:val="18"/>
                <w:szCs w:val="18"/>
                <w:highlight w:val="none"/>
              </w:rPr>
            </w:pPr>
            <w:r>
              <w:rPr>
                <w:rFonts w:hint="eastAsia"/>
                <w:color w:val="auto"/>
                <w:sz w:val="22"/>
                <w:highlight w:val="none"/>
              </w:rPr>
              <w:t>套</w:t>
            </w:r>
          </w:p>
        </w:tc>
        <w:tc>
          <w:tcPr>
            <w:tcW w:w="745" w:type="pct"/>
            <w:vAlign w:val="center"/>
          </w:tcPr>
          <w:p w14:paraId="102A6E44">
            <w:pPr>
              <w:widowControl/>
              <w:jc w:val="center"/>
              <w:rPr>
                <w:rFonts w:cs="宋体" w:asciiTheme="minorEastAsia" w:hAnsiTheme="minorEastAsia"/>
                <w:color w:val="auto"/>
                <w:kern w:val="0"/>
                <w:sz w:val="18"/>
                <w:szCs w:val="18"/>
                <w:highlight w:val="none"/>
              </w:rPr>
            </w:pPr>
            <w:r>
              <w:rPr>
                <w:rFonts w:hint="eastAsia"/>
                <w:color w:val="auto"/>
                <w:sz w:val="22"/>
                <w:highlight w:val="none"/>
              </w:rPr>
              <w:t>1</w:t>
            </w:r>
          </w:p>
        </w:tc>
      </w:tr>
      <w:tr w14:paraId="477E4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97" w:type="pct"/>
            <w:vAlign w:val="center"/>
          </w:tcPr>
          <w:p w14:paraId="49764295">
            <w:pPr>
              <w:pStyle w:val="46"/>
              <w:numPr>
                <w:ilvl w:val="0"/>
                <w:numId w:val="5"/>
              </w:numPr>
              <w:jc w:val="center"/>
              <w:rPr>
                <w:rFonts w:cs="宋体" w:asciiTheme="minorEastAsia" w:hAnsiTheme="minorEastAsia"/>
                <w:color w:val="auto"/>
                <w:sz w:val="18"/>
                <w:szCs w:val="18"/>
                <w:highlight w:val="none"/>
              </w:rPr>
            </w:pPr>
          </w:p>
        </w:tc>
        <w:tc>
          <w:tcPr>
            <w:tcW w:w="2924" w:type="pct"/>
            <w:vAlign w:val="center"/>
          </w:tcPr>
          <w:p w14:paraId="6846AA3B">
            <w:pPr>
              <w:widowControl/>
              <w:rPr>
                <w:rFonts w:cs="宋体" w:asciiTheme="minorEastAsia" w:hAnsiTheme="minorEastAsia"/>
                <w:color w:val="auto"/>
                <w:kern w:val="0"/>
                <w:sz w:val="18"/>
                <w:szCs w:val="18"/>
                <w:highlight w:val="none"/>
              </w:rPr>
            </w:pPr>
            <w:r>
              <w:rPr>
                <w:rFonts w:hint="eastAsia"/>
                <w:color w:val="auto"/>
                <w:sz w:val="22"/>
                <w:highlight w:val="none"/>
              </w:rPr>
              <w:t>3D_LED显示单元</w:t>
            </w:r>
          </w:p>
        </w:tc>
        <w:tc>
          <w:tcPr>
            <w:tcW w:w="732" w:type="pct"/>
            <w:vAlign w:val="center"/>
          </w:tcPr>
          <w:p w14:paraId="3B3403FA">
            <w:pPr>
              <w:widowControl/>
              <w:jc w:val="center"/>
              <w:rPr>
                <w:rFonts w:cs="宋体" w:asciiTheme="minorEastAsia" w:hAnsiTheme="minorEastAsia"/>
                <w:color w:val="auto"/>
                <w:kern w:val="0"/>
                <w:sz w:val="18"/>
                <w:szCs w:val="18"/>
                <w:highlight w:val="none"/>
              </w:rPr>
            </w:pPr>
            <w:r>
              <w:rPr>
                <w:rFonts w:hint="eastAsia"/>
                <w:color w:val="auto"/>
                <w:sz w:val="22"/>
                <w:highlight w:val="none"/>
              </w:rPr>
              <w:t>平米</w:t>
            </w:r>
          </w:p>
        </w:tc>
        <w:tc>
          <w:tcPr>
            <w:tcW w:w="745" w:type="pct"/>
            <w:vAlign w:val="center"/>
          </w:tcPr>
          <w:p w14:paraId="3E0B033F">
            <w:pPr>
              <w:widowControl/>
              <w:jc w:val="center"/>
              <w:rPr>
                <w:rFonts w:cs="宋体" w:asciiTheme="minorEastAsia" w:hAnsiTheme="minorEastAsia"/>
                <w:color w:val="auto"/>
                <w:kern w:val="0"/>
                <w:sz w:val="18"/>
                <w:szCs w:val="18"/>
                <w:highlight w:val="none"/>
              </w:rPr>
            </w:pPr>
            <w:r>
              <w:rPr>
                <w:rFonts w:hint="eastAsia"/>
                <w:color w:val="auto"/>
                <w:sz w:val="22"/>
                <w:highlight w:val="none"/>
              </w:rPr>
              <w:t>10</w:t>
            </w:r>
          </w:p>
        </w:tc>
      </w:tr>
      <w:tr w14:paraId="45E8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97" w:type="pct"/>
            <w:vAlign w:val="center"/>
          </w:tcPr>
          <w:p w14:paraId="0B0A2513">
            <w:pPr>
              <w:pStyle w:val="46"/>
              <w:numPr>
                <w:ilvl w:val="0"/>
                <w:numId w:val="5"/>
              </w:numPr>
              <w:jc w:val="center"/>
              <w:rPr>
                <w:rFonts w:cs="宋体" w:asciiTheme="minorEastAsia" w:hAnsiTheme="minorEastAsia"/>
                <w:color w:val="auto"/>
                <w:sz w:val="18"/>
                <w:szCs w:val="18"/>
                <w:highlight w:val="none"/>
              </w:rPr>
            </w:pPr>
          </w:p>
        </w:tc>
        <w:tc>
          <w:tcPr>
            <w:tcW w:w="2924" w:type="pct"/>
            <w:vAlign w:val="center"/>
          </w:tcPr>
          <w:p w14:paraId="123FEB30">
            <w:pPr>
              <w:widowControl/>
              <w:rPr>
                <w:rFonts w:cs="宋体" w:asciiTheme="minorEastAsia" w:hAnsiTheme="minorEastAsia"/>
                <w:color w:val="auto"/>
                <w:kern w:val="0"/>
                <w:sz w:val="18"/>
                <w:szCs w:val="18"/>
                <w:highlight w:val="none"/>
              </w:rPr>
            </w:pPr>
            <w:r>
              <w:rPr>
                <w:rFonts w:hint="eastAsia"/>
                <w:color w:val="auto"/>
                <w:sz w:val="22"/>
                <w:highlight w:val="none"/>
              </w:rPr>
              <w:t>3D视频发送器</w:t>
            </w:r>
          </w:p>
        </w:tc>
        <w:tc>
          <w:tcPr>
            <w:tcW w:w="732" w:type="pct"/>
            <w:vAlign w:val="center"/>
          </w:tcPr>
          <w:p w14:paraId="49BFEC48">
            <w:pPr>
              <w:widowControl/>
              <w:jc w:val="center"/>
              <w:rPr>
                <w:rFonts w:cs="宋体" w:asciiTheme="minorEastAsia" w:hAnsiTheme="minorEastAsia"/>
                <w:color w:val="auto"/>
                <w:kern w:val="0"/>
                <w:sz w:val="18"/>
                <w:szCs w:val="18"/>
                <w:highlight w:val="none"/>
              </w:rPr>
            </w:pPr>
            <w:r>
              <w:rPr>
                <w:rFonts w:hint="eastAsia"/>
                <w:color w:val="auto"/>
                <w:sz w:val="22"/>
                <w:highlight w:val="none"/>
              </w:rPr>
              <w:t>套</w:t>
            </w:r>
          </w:p>
        </w:tc>
        <w:tc>
          <w:tcPr>
            <w:tcW w:w="745" w:type="pct"/>
            <w:vAlign w:val="center"/>
          </w:tcPr>
          <w:p w14:paraId="77E9482D">
            <w:pPr>
              <w:widowControl/>
              <w:jc w:val="center"/>
              <w:rPr>
                <w:rFonts w:cs="宋体" w:asciiTheme="minorEastAsia" w:hAnsiTheme="minorEastAsia"/>
                <w:color w:val="auto"/>
                <w:kern w:val="0"/>
                <w:sz w:val="18"/>
                <w:szCs w:val="18"/>
                <w:highlight w:val="none"/>
              </w:rPr>
            </w:pPr>
            <w:r>
              <w:rPr>
                <w:rFonts w:hint="eastAsia"/>
                <w:color w:val="auto"/>
                <w:sz w:val="22"/>
                <w:highlight w:val="none"/>
              </w:rPr>
              <w:t>1</w:t>
            </w:r>
          </w:p>
        </w:tc>
      </w:tr>
      <w:tr w14:paraId="6D26E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97" w:type="pct"/>
            <w:vAlign w:val="center"/>
          </w:tcPr>
          <w:p w14:paraId="28FC98A1">
            <w:pPr>
              <w:pStyle w:val="46"/>
              <w:numPr>
                <w:ilvl w:val="0"/>
                <w:numId w:val="5"/>
              </w:numPr>
              <w:jc w:val="center"/>
              <w:rPr>
                <w:rFonts w:cs="宋体" w:asciiTheme="minorEastAsia" w:hAnsiTheme="minorEastAsia"/>
                <w:color w:val="auto"/>
                <w:sz w:val="18"/>
                <w:szCs w:val="18"/>
                <w:highlight w:val="none"/>
              </w:rPr>
            </w:pPr>
          </w:p>
        </w:tc>
        <w:tc>
          <w:tcPr>
            <w:tcW w:w="2924" w:type="pct"/>
            <w:vAlign w:val="center"/>
          </w:tcPr>
          <w:p w14:paraId="4DDB579D">
            <w:pPr>
              <w:widowControl/>
              <w:rPr>
                <w:rFonts w:cs="宋体" w:asciiTheme="minorEastAsia" w:hAnsiTheme="minorEastAsia"/>
                <w:color w:val="auto"/>
                <w:kern w:val="0"/>
                <w:sz w:val="18"/>
                <w:szCs w:val="18"/>
                <w:highlight w:val="none"/>
              </w:rPr>
            </w:pPr>
            <w:r>
              <w:rPr>
                <w:rFonts w:hint="eastAsia"/>
                <w:color w:val="auto"/>
                <w:sz w:val="22"/>
                <w:highlight w:val="none"/>
              </w:rPr>
              <w:t>3D同步信号处理器</w:t>
            </w:r>
          </w:p>
        </w:tc>
        <w:tc>
          <w:tcPr>
            <w:tcW w:w="732" w:type="pct"/>
            <w:vAlign w:val="center"/>
          </w:tcPr>
          <w:p w14:paraId="592955BA">
            <w:pPr>
              <w:widowControl/>
              <w:jc w:val="center"/>
              <w:rPr>
                <w:rFonts w:cs="宋体" w:asciiTheme="minorEastAsia" w:hAnsiTheme="minorEastAsia"/>
                <w:color w:val="auto"/>
                <w:kern w:val="0"/>
                <w:sz w:val="18"/>
                <w:szCs w:val="18"/>
                <w:highlight w:val="none"/>
              </w:rPr>
            </w:pPr>
            <w:r>
              <w:rPr>
                <w:rFonts w:hint="eastAsia"/>
                <w:color w:val="auto"/>
                <w:sz w:val="22"/>
                <w:highlight w:val="none"/>
              </w:rPr>
              <w:t>套</w:t>
            </w:r>
          </w:p>
        </w:tc>
        <w:tc>
          <w:tcPr>
            <w:tcW w:w="745" w:type="pct"/>
            <w:vAlign w:val="center"/>
          </w:tcPr>
          <w:p w14:paraId="7D5C0C43">
            <w:pPr>
              <w:widowControl/>
              <w:jc w:val="center"/>
              <w:rPr>
                <w:rFonts w:cs="宋体" w:asciiTheme="minorEastAsia" w:hAnsiTheme="minorEastAsia"/>
                <w:color w:val="auto"/>
                <w:kern w:val="0"/>
                <w:sz w:val="18"/>
                <w:szCs w:val="18"/>
                <w:highlight w:val="none"/>
              </w:rPr>
            </w:pPr>
            <w:r>
              <w:rPr>
                <w:rFonts w:hint="eastAsia"/>
                <w:color w:val="auto"/>
                <w:sz w:val="22"/>
                <w:highlight w:val="none"/>
              </w:rPr>
              <w:t>1</w:t>
            </w:r>
          </w:p>
        </w:tc>
      </w:tr>
      <w:tr w14:paraId="049DD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97" w:type="pct"/>
            <w:vAlign w:val="center"/>
          </w:tcPr>
          <w:p w14:paraId="38206810">
            <w:pPr>
              <w:pStyle w:val="46"/>
              <w:numPr>
                <w:ilvl w:val="0"/>
                <w:numId w:val="5"/>
              </w:numPr>
              <w:jc w:val="center"/>
              <w:rPr>
                <w:rFonts w:cs="宋体" w:asciiTheme="minorEastAsia" w:hAnsiTheme="minorEastAsia"/>
                <w:color w:val="auto"/>
                <w:sz w:val="18"/>
                <w:szCs w:val="18"/>
                <w:highlight w:val="none"/>
              </w:rPr>
            </w:pPr>
          </w:p>
        </w:tc>
        <w:tc>
          <w:tcPr>
            <w:tcW w:w="2924" w:type="pct"/>
            <w:vAlign w:val="center"/>
          </w:tcPr>
          <w:p w14:paraId="4AAA96D7">
            <w:pPr>
              <w:widowControl/>
              <w:rPr>
                <w:rFonts w:cs="宋体" w:asciiTheme="minorEastAsia" w:hAnsiTheme="minorEastAsia"/>
                <w:color w:val="auto"/>
                <w:kern w:val="0"/>
                <w:sz w:val="18"/>
                <w:szCs w:val="18"/>
                <w:highlight w:val="none"/>
              </w:rPr>
            </w:pPr>
            <w:r>
              <w:rPr>
                <w:rFonts w:hint="eastAsia"/>
                <w:color w:val="auto"/>
                <w:sz w:val="22"/>
                <w:highlight w:val="none"/>
              </w:rPr>
              <w:t>3D眼镜</w:t>
            </w:r>
          </w:p>
        </w:tc>
        <w:tc>
          <w:tcPr>
            <w:tcW w:w="732" w:type="pct"/>
            <w:vAlign w:val="center"/>
          </w:tcPr>
          <w:p w14:paraId="2034B886">
            <w:pPr>
              <w:widowControl/>
              <w:jc w:val="center"/>
              <w:rPr>
                <w:rFonts w:cs="宋体" w:asciiTheme="minorEastAsia" w:hAnsiTheme="minorEastAsia"/>
                <w:color w:val="auto"/>
                <w:kern w:val="0"/>
                <w:sz w:val="18"/>
                <w:szCs w:val="18"/>
                <w:highlight w:val="none"/>
              </w:rPr>
            </w:pPr>
            <w:r>
              <w:rPr>
                <w:rFonts w:hint="eastAsia"/>
                <w:color w:val="auto"/>
                <w:sz w:val="22"/>
                <w:highlight w:val="none"/>
              </w:rPr>
              <w:t>副</w:t>
            </w:r>
          </w:p>
        </w:tc>
        <w:tc>
          <w:tcPr>
            <w:tcW w:w="745" w:type="pct"/>
            <w:vAlign w:val="center"/>
          </w:tcPr>
          <w:p w14:paraId="4E493E68">
            <w:pPr>
              <w:widowControl/>
              <w:jc w:val="center"/>
              <w:rPr>
                <w:rFonts w:cs="宋体" w:asciiTheme="minorEastAsia" w:hAnsiTheme="minorEastAsia"/>
                <w:color w:val="auto"/>
                <w:kern w:val="0"/>
                <w:sz w:val="18"/>
                <w:szCs w:val="18"/>
                <w:highlight w:val="none"/>
              </w:rPr>
            </w:pPr>
            <w:r>
              <w:rPr>
                <w:rFonts w:hint="eastAsia"/>
                <w:color w:val="auto"/>
                <w:sz w:val="22"/>
                <w:highlight w:val="none"/>
              </w:rPr>
              <w:t>50</w:t>
            </w:r>
          </w:p>
        </w:tc>
      </w:tr>
      <w:tr w14:paraId="6EC4F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97" w:type="pct"/>
            <w:vAlign w:val="center"/>
          </w:tcPr>
          <w:p w14:paraId="225B89EB">
            <w:pPr>
              <w:pStyle w:val="46"/>
              <w:numPr>
                <w:ilvl w:val="0"/>
                <w:numId w:val="5"/>
              </w:numPr>
              <w:jc w:val="center"/>
              <w:rPr>
                <w:rFonts w:cs="宋体" w:asciiTheme="minorEastAsia" w:hAnsiTheme="minorEastAsia"/>
                <w:color w:val="auto"/>
                <w:sz w:val="18"/>
                <w:szCs w:val="18"/>
                <w:highlight w:val="none"/>
              </w:rPr>
            </w:pPr>
          </w:p>
        </w:tc>
        <w:tc>
          <w:tcPr>
            <w:tcW w:w="2924" w:type="pct"/>
            <w:vAlign w:val="center"/>
          </w:tcPr>
          <w:p w14:paraId="33E5B88C">
            <w:pPr>
              <w:widowControl/>
              <w:rPr>
                <w:rFonts w:cs="宋体" w:asciiTheme="minorEastAsia" w:hAnsiTheme="minorEastAsia"/>
                <w:color w:val="auto"/>
                <w:kern w:val="0"/>
                <w:sz w:val="18"/>
                <w:szCs w:val="18"/>
                <w:highlight w:val="none"/>
              </w:rPr>
            </w:pPr>
            <w:r>
              <w:rPr>
                <w:rFonts w:hint="eastAsia"/>
                <w:color w:val="auto"/>
                <w:sz w:val="22"/>
                <w:highlight w:val="none"/>
              </w:rPr>
              <w:t>3D眼镜消毒柜</w:t>
            </w:r>
          </w:p>
        </w:tc>
        <w:tc>
          <w:tcPr>
            <w:tcW w:w="732" w:type="pct"/>
            <w:vAlign w:val="center"/>
          </w:tcPr>
          <w:p w14:paraId="08EE3057">
            <w:pPr>
              <w:widowControl/>
              <w:jc w:val="center"/>
              <w:rPr>
                <w:rFonts w:cs="宋体" w:asciiTheme="minorEastAsia" w:hAnsiTheme="minorEastAsia"/>
                <w:color w:val="auto"/>
                <w:kern w:val="0"/>
                <w:sz w:val="18"/>
                <w:szCs w:val="18"/>
                <w:highlight w:val="none"/>
              </w:rPr>
            </w:pPr>
            <w:r>
              <w:rPr>
                <w:rFonts w:hint="eastAsia"/>
                <w:color w:val="auto"/>
                <w:sz w:val="22"/>
                <w:highlight w:val="none"/>
              </w:rPr>
              <w:t>台</w:t>
            </w:r>
          </w:p>
        </w:tc>
        <w:tc>
          <w:tcPr>
            <w:tcW w:w="745" w:type="pct"/>
            <w:vAlign w:val="center"/>
          </w:tcPr>
          <w:p w14:paraId="1959CF1D">
            <w:pPr>
              <w:widowControl/>
              <w:jc w:val="center"/>
              <w:rPr>
                <w:rFonts w:cs="宋体" w:asciiTheme="minorEastAsia" w:hAnsiTheme="minorEastAsia"/>
                <w:color w:val="auto"/>
                <w:kern w:val="0"/>
                <w:sz w:val="18"/>
                <w:szCs w:val="18"/>
                <w:highlight w:val="none"/>
              </w:rPr>
            </w:pPr>
            <w:r>
              <w:rPr>
                <w:rFonts w:hint="eastAsia"/>
                <w:color w:val="auto"/>
                <w:sz w:val="22"/>
                <w:highlight w:val="none"/>
              </w:rPr>
              <w:t>1</w:t>
            </w:r>
          </w:p>
        </w:tc>
      </w:tr>
      <w:tr w14:paraId="645C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97" w:type="pct"/>
            <w:vAlign w:val="center"/>
          </w:tcPr>
          <w:p w14:paraId="67BFE2B2">
            <w:pPr>
              <w:pStyle w:val="46"/>
              <w:numPr>
                <w:ilvl w:val="0"/>
                <w:numId w:val="5"/>
              </w:numPr>
              <w:jc w:val="center"/>
              <w:rPr>
                <w:rFonts w:cs="宋体" w:asciiTheme="minorEastAsia" w:hAnsiTheme="minorEastAsia"/>
                <w:color w:val="auto"/>
                <w:sz w:val="18"/>
                <w:szCs w:val="18"/>
                <w:highlight w:val="none"/>
              </w:rPr>
            </w:pPr>
          </w:p>
        </w:tc>
        <w:tc>
          <w:tcPr>
            <w:tcW w:w="2924" w:type="pct"/>
            <w:vAlign w:val="center"/>
          </w:tcPr>
          <w:p w14:paraId="287A4B2A">
            <w:pPr>
              <w:widowControl/>
              <w:rPr>
                <w:rFonts w:cs="宋体" w:asciiTheme="minorEastAsia" w:hAnsiTheme="minorEastAsia"/>
                <w:color w:val="auto"/>
                <w:kern w:val="0"/>
                <w:sz w:val="18"/>
                <w:szCs w:val="18"/>
                <w:highlight w:val="none"/>
              </w:rPr>
            </w:pPr>
            <w:r>
              <w:rPr>
                <w:rFonts w:hint="eastAsia"/>
                <w:color w:val="auto"/>
                <w:sz w:val="22"/>
                <w:highlight w:val="none"/>
              </w:rPr>
              <w:t>屏体结构</w:t>
            </w:r>
          </w:p>
        </w:tc>
        <w:tc>
          <w:tcPr>
            <w:tcW w:w="732" w:type="pct"/>
            <w:vAlign w:val="center"/>
          </w:tcPr>
          <w:p w14:paraId="4BB68FC0">
            <w:pPr>
              <w:widowControl/>
              <w:jc w:val="center"/>
              <w:rPr>
                <w:rFonts w:cs="宋体" w:asciiTheme="minorEastAsia" w:hAnsiTheme="minorEastAsia"/>
                <w:color w:val="auto"/>
                <w:kern w:val="0"/>
                <w:sz w:val="18"/>
                <w:szCs w:val="18"/>
                <w:highlight w:val="none"/>
              </w:rPr>
            </w:pPr>
            <w:r>
              <w:rPr>
                <w:rFonts w:hint="eastAsia"/>
                <w:color w:val="auto"/>
                <w:sz w:val="22"/>
                <w:highlight w:val="none"/>
              </w:rPr>
              <w:t>平米</w:t>
            </w:r>
          </w:p>
        </w:tc>
        <w:tc>
          <w:tcPr>
            <w:tcW w:w="745" w:type="pct"/>
            <w:vAlign w:val="center"/>
          </w:tcPr>
          <w:p w14:paraId="44867201">
            <w:pPr>
              <w:widowControl/>
              <w:jc w:val="center"/>
              <w:rPr>
                <w:rFonts w:cs="宋体" w:asciiTheme="minorEastAsia" w:hAnsiTheme="minorEastAsia"/>
                <w:color w:val="auto"/>
                <w:kern w:val="0"/>
                <w:sz w:val="18"/>
                <w:szCs w:val="18"/>
                <w:highlight w:val="none"/>
              </w:rPr>
            </w:pPr>
            <w:r>
              <w:rPr>
                <w:rFonts w:hint="eastAsia"/>
                <w:color w:val="auto"/>
                <w:sz w:val="22"/>
                <w:highlight w:val="none"/>
              </w:rPr>
              <w:t>10.2</w:t>
            </w:r>
          </w:p>
        </w:tc>
      </w:tr>
      <w:tr w14:paraId="13BAB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97" w:type="pct"/>
            <w:vAlign w:val="center"/>
          </w:tcPr>
          <w:p w14:paraId="3FEC0203">
            <w:pPr>
              <w:pStyle w:val="46"/>
              <w:numPr>
                <w:ilvl w:val="0"/>
                <w:numId w:val="5"/>
              </w:numPr>
              <w:jc w:val="center"/>
              <w:rPr>
                <w:rFonts w:cs="宋体" w:asciiTheme="minorEastAsia" w:hAnsiTheme="minorEastAsia"/>
                <w:color w:val="auto"/>
                <w:sz w:val="18"/>
                <w:szCs w:val="18"/>
                <w:highlight w:val="none"/>
              </w:rPr>
            </w:pPr>
          </w:p>
        </w:tc>
        <w:tc>
          <w:tcPr>
            <w:tcW w:w="2924" w:type="pct"/>
            <w:vAlign w:val="center"/>
          </w:tcPr>
          <w:p w14:paraId="72B18A5A">
            <w:pPr>
              <w:widowControl/>
              <w:rPr>
                <w:rFonts w:cs="宋体" w:asciiTheme="minorEastAsia" w:hAnsiTheme="minorEastAsia"/>
                <w:color w:val="auto"/>
                <w:kern w:val="0"/>
                <w:sz w:val="18"/>
                <w:szCs w:val="18"/>
                <w:highlight w:val="none"/>
              </w:rPr>
            </w:pPr>
            <w:r>
              <w:rPr>
                <w:rFonts w:hint="eastAsia"/>
                <w:color w:val="auto"/>
                <w:sz w:val="22"/>
                <w:highlight w:val="none"/>
              </w:rPr>
              <w:t>配电柜</w:t>
            </w:r>
          </w:p>
        </w:tc>
        <w:tc>
          <w:tcPr>
            <w:tcW w:w="732" w:type="pct"/>
            <w:vAlign w:val="center"/>
          </w:tcPr>
          <w:p w14:paraId="56EFE62C">
            <w:pPr>
              <w:widowControl/>
              <w:jc w:val="center"/>
              <w:rPr>
                <w:rFonts w:cs="宋体" w:asciiTheme="minorEastAsia" w:hAnsiTheme="minorEastAsia"/>
                <w:color w:val="auto"/>
                <w:kern w:val="0"/>
                <w:sz w:val="18"/>
                <w:szCs w:val="18"/>
                <w:highlight w:val="none"/>
              </w:rPr>
            </w:pPr>
            <w:r>
              <w:rPr>
                <w:rFonts w:hint="eastAsia"/>
                <w:color w:val="auto"/>
                <w:sz w:val="22"/>
                <w:highlight w:val="none"/>
              </w:rPr>
              <w:t>套</w:t>
            </w:r>
          </w:p>
        </w:tc>
        <w:tc>
          <w:tcPr>
            <w:tcW w:w="745" w:type="pct"/>
            <w:vAlign w:val="center"/>
          </w:tcPr>
          <w:p w14:paraId="227C1376">
            <w:pPr>
              <w:widowControl/>
              <w:jc w:val="center"/>
              <w:rPr>
                <w:rFonts w:cs="宋体" w:asciiTheme="minorEastAsia" w:hAnsiTheme="minorEastAsia"/>
                <w:color w:val="auto"/>
                <w:kern w:val="0"/>
                <w:sz w:val="18"/>
                <w:szCs w:val="18"/>
                <w:highlight w:val="none"/>
              </w:rPr>
            </w:pPr>
            <w:r>
              <w:rPr>
                <w:rFonts w:hint="eastAsia"/>
                <w:color w:val="auto"/>
                <w:sz w:val="22"/>
                <w:highlight w:val="none"/>
              </w:rPr>
              <w:t>1</w:t>
            </w:r>
          </w:p>
        </w:tc>
      </w:tr>
      <w:tr w14:paraId="39B3D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97" w:type="pct"/>
            <w:vAlign w:val="center"/>
          </w:tcPr>
          <w:p w14:paraId="58A17AFB">
            <w:pPr>
              <w:pStyle w:val="46"/>
              <w:numPr>
                <w:ilvl w:val="0"/>
                <w:numId w:val="5"/>
              </w:numPr>
              <w:jc w:val="center"/>
              <w:rPr>
                <w:rFonts w:cs="宋体" w:asciiTheme="minorEastAsia" w:hAnsiTheme="minorEastAsia"/>
                <w:color w:val="auto"/>
                <w:sz w:val="18"/>
                <w:szCs w:val="18"/>
                <w:highlight w:val="none"/>
              </w:rPr>
            </w:pPr>
          </w:p>
        </w:tc>
        <w:tc>
          <w:tcPr>
            <w:tcW w:w="2924" w:type="pct"/>
            <w:vAlign w:val="center"/>
          </w:tcPr>
          <w:p w14:paraId="5695C33E">
            <w:pPr>
              <w:widowControl/>
              <w:rPr>
                <w:rFonts w:cs="宋体" w:asciiTheme="minorEastAsia" w:hAnsiTheme="minorEastAsia"/>
                <w:color w:val="auto"/>
                <w:kern w:val="0"/>
                <w:sz w:val="18"/>
                <w:szCs w:val="18"/>
                <w:highlight w:val="none"/>
              </w:rPr>
            </w:pPr>
            <w:r>
              <w:rPr>
                <w:rFonts w:hint="eastAsia"/>
                <w:color w:val="auto"/>
                <w:sz w:val="22"/>
                <w:highlight w:val="none"/>
              </w:rPr>
              <w:t>LED显示单元安装调试服务</w:t>
            </w:r>
          </w:p>
        </w:tc>
        <w:tc>
          <w:tcPr>
            <w:tcW w:w="732" w:type="pct"/>
            <w:vAlign w:val="center"/>
          </w:tcPr>
          <w:p w14:paraId="008440DB">
            <w:pPr>
              <w:widowControl/>
              <w:jc w:val="center"/>
              <w:rPr>
                <w:rFonts w:cs="宋体" w:asciiTheme="minorEastAsia" w:hAnsiTheme="minorEastAsia"/>
                <w:color w:val="auto"/>
                <w:kern w:val="0"/>
                <w:sz w:val="18"/>
                <w:szCs w:val="18"/>
                <w:highlight w:val="none"/>
              </w:rPr>
            </w:pPr>
            <w:r>
              <w:rPr>
                <w:rFonts w:hint="eastAsia"/>
                <w:color w:val="auto"/>
                <w:sz w:val="22"/>
                <w:highlight w:val="none"/>
              </w:rPr>
              <w:t>套</w:t>
            </w:r>
          </w:p>
        </w:tc>
        <w:tc>
          <w:tcPr>
            <w:tcW w:w="745" w:type="pct"/>
            <w:vAlign w:val="center"/>
          </w:tcPr>
          <w:p w14:paraId="08A8A3FE">
            <w:pPr>
              <w:widowControl/>
              <w:jc w:val="center"/>
              <w:rPr>
                <w:rFonts w:cs="宋体" w:asciiTheme="minorEastAsia" w:hAnsiTheme="minorEastAsia"/>
                <w:color w:val="auto"/>
                <w:kern w:val="0"/>
                <w:sz w:val="18"/>
                <w:szCs w:val="18"/>
                <w:highlight w:val="none"/>
              </w:rPr>
            </w:pPr>
            <w:r>
              <w:rPr>
                <w:rFonts w:hint="eastAsia"/>
                <w:color w:val="auto"/>
                <w:sz w:val="22"/>
                <w:highlight w:val="none"/>
              </w:rPr>
              <w:t>1</w:t>
            </w:r>
          </w:p>
        </w:tc>
      </w:tr>
      <w:tr w14:paraId="6D14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97" w:type="pct"/>
            <w:vAlign w:val="center"/>
          </w:tcPr>
          <w:p w14:paraId="440DDF36">
            <w:pPr>
              <w:pStyle w:val="46"/>
              <w:numPr>
                <w:ilvl w:val="0"/>
                <w:numId w:val="5"/>
              </w:numPr>
              <w:jc w:val="center"/>
              <w:rPr>
                <w:rFonts w:cs="宋体" w:asciiTheme="minorEastAsia" w:hAnsiTheme="minorEastAsia"/>
                <w:color w:val="auto"/>
                <w:sz w:val="18"/>
                <w:szCs w:val="18"/>
                <w:highlight w:val="none"/>
              </w:rPr>
            </w:pPr>
          </w:p>
        </w:tc>
        <w:tc>
          <w:tcPr>
            <w:tcW w:w="2924" w:type="pct"/>
            <w:vAlign w:val="center"/>
          </w:tcPr>
          <w:p w14:paraId="4A1226EA">
            <w:pPr>
              <w:widowControl/>
              <w:rPr>
                <w:rFonts w:cs="宋体" w:asciiTheme="minorEastAsia" w:hAnsiTheme="minorEastAsia"/>
                <w:color w:val="auto"/>
                <w:kern w:val="0"/>
                <w:sz w:val="18"/>
                <w:szCs w:val="18"/>
                <w:highlight w:val="none"/>
              </w:rPr>
            </w:pPr>
            <w:r>
              <w:rPr>
                <w:rFonts w:hint="eastAsia"/>
                <w:color w:val="auto"/>
                <w:sz w:val="22"/>
                <w:highlight w:val="none"/>
              </w:rPr>
              <w:t>大空间动捕交互系统</w:t>
            </w:r>
          </w:p>
        </w:tc>
        <w:tc>
          <w:tcPr>
            <w:tcW w:w="732" w:type="pct"/>
            <w:vAlign w:val="center"/>
          </w:tcPr>
          <w:p w14:paraId="45126749">
            <w:pPr>
              <w:widowControl/>
              <w:jc w:val="center"/>
              <w:rPr>
                <w:rFonts w:cs="宋体" w:asciiTheme="minorEastAsia" w:hAnsiTheme="minorEastAsia"/>
                <w:color w:val="auto"/>
                <w:kern w:val="0"/>
                <w:sz w:val="18"/>
                <w:szCs w:val="18"/>
                <w:highlight w:val="none"/>
              </w:rPr>
            </w:pPr>
            <w:r>
              <w:rPr>
                <w:rFonts w:hint="eastAsia"/>
                <w:color w:val="auto"/>
                <w:sz w:val="22"/>
                <w:highlight w:val="none"/>
              </w:rPr>
              <w:t>套</w:t>
            </w:r>
          </w:p>
        </w:tc>
        <w:tc>
          <w:tcPr>
            <w:tcW w:w="745" w:type="pct"/>
            <w:vAlign w:val="center"/>
          </w:tcPr>
          <w:p w14:paraId="37C26DC6">
            <w:pPr>
              <w:widowControl/>
              <w:jc w:val="center"/>
              <w:rPr>
                <w:rFonts w:cs="宋体" w:asciiTheme="minorEastAsia" w:hAnsiTheme="minorEastAsia"/>
                <w:color w:val="auto"/>
                <w:kern w:val="0"/>
                <w:sz w:val="18"/>
                <w:szCs w:val="18"/>
                <w:highlight w:val="none"/>
              </w:rPr>
            </w:pPr>
            <w:r>
              <w:rPr>
                <w:rFonts w:hint="eastAsia"/>
                <w:color w:val="auto"/>
                <w:sz w:val="22"/>
                <w:highlight w:val="none"/>
              </w:rPr>
              <w:t>1</w:t>
            </w:r>
          </w:p>
        </w:tc>
      </w:tr>
      <w:tr w14:paraId="212C7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97" w:type="pct"/>
            <w:vAlign w:val="center"/>
          </w:tcPr>
          <w:p w14:paraId="12F2F7DE">
            <w:pPr>
              <w:pStyle w:val="46"/>
              <w:numPr>
                <w:ilvl w:val="0"/>
                <w:numId w:val="5"/>
              </w:numPr>
              <w:jc w:val="center"/>
              <w:rPr>
                <w:rFonts w:cs="宋体" w:asciiTheme="minorEastAsia" w:hAnsiTheme="minorEastAsia"/>
                <w:color w:val="auto"/>
                <w:sz w:val="18"/>
                <w:szCs w:val="18"/>
                <w:highlight w:val="none"/>
              </w:rPr>
            </w:pPr>
          </w:p>
        </w:tc>
        <w:tc>
          <w:tcPr>
            <w:tcW w:w="2924" w:type="pct"/>
            <w:vAlign w:val="center"/>
          </w:tcPr>
          <w:p w14:paraId="6CC7EDB7">
            <w:pPr>
              <w:widowControl/>
              <w:rPr>
                <w:rFonts w:cs="宋体" w:asciiTheme="minorEastAsia" w:hAnsiTheme="minorEastAsia"/>
                <w:color w:val="auto"/>
                <w:kern w:val="0"/>
                <w:sz w:val="18"/>
                <w:szCs w:val="18"/>
                <w:highlight w:val="none"/>
              </w:rPr>
            </w:pPr>
            <w:r>
              <w:rPr>
                <w:rFonts w:hint="eastAsia"/>
                <w:color w:val="auto"/>
                <w:sz w:val="22"/>
                <w:highlight w:val="none"/>
              </w:rPr>
              <w:t>工作站</w:t>
            </w:r>
          </w:p>
        </w:tc>
        <w:tc>
          <w:tcPr>
            <w:tcW w:w="732" w:type="pct"/>
            <w:vAlign w:val="center"/>
          </w:tcPr>
          <w:p w14:paraId="5327DA65">
            <w:pPr>
              <w:widowControl/>
              <w:jc w:val="center"/>
              <w:rPr>
                <w:rFonts w:cs="宋体" w:asciiTheme="minorEastAsia" w:hAnsiTheme="minorEastAsia"/>
                <w:color w:val="auto"/>
                <w:kern w:val="0"/>
                <w:sz w:val="18"/>
                <w:szCs w:val="18"/>
                <w:highlight w:val="none"/>
              </w:rPr>
            </w:pPr>
            <w:r>
              <w:rPr>
                <w:rFonts w:hint="eastAsia"/>
                <w:color w:val="auto"/>
                <w:sz w:val="22"/>
                <w:highlight w:val="none"/>
              </w:rPr>
              <w:t>台</w:t>
            </w:r>
          </w:p>
        </w:tc>
        <w:tc>
          <w:tcPr>
            <w:tcW w:w="745" w:type="pct"/>
            <w:vAlign w:val="center"/>
          </w:tcPr>
          <w:p w14:paraId="77BE36C5">
            <w:pPr>
              <w:widowControl/>
              <w:jc w:val="center"/>
              <w:rPr>
                <w:rFonts w:cs="宋体" w:asciiTheme="minorEastAsia" w:hAnsiTheme="minorEastAsia"/>
                <w:color w:val="auto"/>
                <w:kern w:val="0"/>
                <w:sz w:val="18"/>
                <w:szCs w:val="18"/>
                <w:highlight w:val="none"/>
              </w:rPr>
            </w:pPr>
            <w:r>
              <w:rPr>
                <w:rFonts w:hint="eastAsia"/>
                <w:color w:val="auto"/>
                <w:sz w:val="22"/>
                <w:highlight w:val="none"/>
              </w:rPr>
              <w:t>1</w:t>
            </w:r>
          </w:p>
        </w:tc>
      </w:tr>
      <w:tr w14:paraId="00E9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97" w:type="pct"/>
            <w:vAlign w:val="center"/>
          </w:tcPr>
          <w:p w14:paraId="29F84D55">
            <w:pPr>
              <w:pStyle w:val="46"/>
              <w:numPr>
                <w:ilvl w:val="0"/>
                <w:numId w:val="5"/>
              </w:numPr>
              <w:jc w:val="center"/>
              <w:rPr>
                <w:rFonts w:cs="宋体" w:asciiTheme="minorEastAsia" w:hAnsiTheme="minorEastAsia"/>
                <w:color w:val="auto"/>
                <w:sz w:val="18"/>
                <w:szCs w:val="18"/>
                <w:highlight w:val="none"/>
              </w:rPr>
            </w:pPr>
          </w:p>
        </w:tc>
        <w:tc>
          <w:tcPr>
            <w:tcW w:w="2924" w:type="pct"/>
            <w:vAlign w:val="center"/>
          </w:tcPr>
          <w:p w14:paraId="70AEF753">
            <w:pPr>
              <w:widowControl/>
              <w:rPr>
                <w:rFonts w:cs="宋体" w:asciiTheme="minorEastAsia" w:hAnsiTheme="minorEastAsia"/>
                <w:color w:val="auto"/>
                <w:kern w:val="0"/>
                <w:sz w:val="18"/>
                <w:szCs w:val="18"/>
                <w:highlight w:val="none"/>
              </w:rPr>
            </w:pPr>
            <w:r>
              <w:rPr>
                <w:rFonts w:hint="eastAsia"/>
                <w:color w:val="auto"/>
                <w:sz w:val="22"/>
                <w:highlight w:val="none"/>
              </w:rPr>
              <w:t>教学终端</w:t>
            </w:r>
          </w:p>
        </w:tc>
        <w:tc>
          <w:tcPr>
            <w:tcW w:w="732" w:type="pct"/>
            <w:vAlign w:val="center"/>
          </w:tcPr>
          <w:p w14:paraId="21ADD682">
            <w:pPr>
              <w:widowControl/>
              <w:jc w:val="center"/>
              <w:rPr>
                <w:rFonts w:cs="宋体" w:asciiTheme="minorEastAsia" w:hAnsiTheme="minorEastAsia"/>
                <w:color w:val="auto"/>
                <w:kern w:val="0"/>
                <w:sz w:val="18"/>
                <w:szCs w:val="18"/>
                <w:highlight w:val="none"/>
              </w:rPr>
            </w:pPr>
            <w:r>
              <w:rPr>
                <w:rFonts w:hint="eastAsia"/>
                <w:color w:val="auto"/>
                <w:sz w:val="22"/>
                <w:highlight w:val="none"/>
              </w:rPr>
              <w:t>台</w:t>
            </w:r>
          </w:p>
        </w:tc>
        <w:tc>
          <w:tcPr>
            <w:tcW w:w="745" w:type="pct"/>
            <w:vAlign w:val="center"/>
          </w:tcPr>
          <w:p w14:paraId="50530388">
            <w:pPr>
              <w:widowControl/>
              <w:jc w:val="center"/>
              <w:rPr>
                <w:rFonts w:cs="宋体" w:asciiTheme="minorEastAsia" w:hAnsiTheme="minorEastAsia"/>
                <w:color w:val="auto"/>
                <w:kern w:val="0"/>
                <w:sz w:val="18"/>
                <w:szCs w:val="18"/>
                <w:highlight w:val="none"/>
              </w:rPr>
            </w:pPr>
            <w:r>
              <w:rPr>
                <w:rFonts w:hint="eastAsia"/>
                <w:color w:val="auto"/>
                <w:sz w:val="22"/>
                <w:highlight w:val="none"/>
              </w:rPr>
              <w:t>12</w:t>
            </w:r>
          </w:p>
        </w:tc>
      </w:tr>
      <w:tr w14:paraId="66FC0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97" w:type="pct"/>
            <w:vAlign w:val="center"/>
          </w:tcPr>
          <w:p w14:paraId="368FE7CC">
            <w:pPr>
              <w:pStyle w:val="46"/>
              <w:numPr>
                <w:ilvl w:val="0"/>
                <w:numId w:val="5"/>
              </w:numPr>
              <w:jc w:val="center"/>
              <w:rPr>
                <w:rFonts w:cs="宋体" w:asciiTheme="minorEastAsia" w:hAnsiTheme="minorEastAsia"/>
                <w:color w:val="auto"/>
                <w:sz w:val="18"/>
                <w:szCs w:val="18"/>
                <w:highlight w:val="none"/>
              </w:rPr>
            </w:pPr>
          </w:p>
        </w:tc>
        <w:tc>
          <w:tcPr>
            <w:tcW w:w="2924" w:type="pct"/>
            <w:vAlign w:val="center"/>
          </w:tcPr>
          <w:p w14:paraId="7CA15A47">
            <w:pPr>
              <w:widowControl/>
              <w:rPr>
                <w:rFonts w:cs="宋体" w:asciiTheme="minorEastAsia" w:hAnsiTheme="minorEastAsia"/>
                <w:color w:val="auto"/>
                <w:kern w:val="0"/>
                <w:sz w:val="18"/>
                <w:szCs w:val="18"/>
                <w:highlight w:val="none"/>
              </w:rPr>
            </w:pPr>
            <w:r>
              <w:rPr>
                <w:rFonts w:hint="eastAsia"/>
                <w:color w:val="auto"/>
                <w:sz w:val="22"/>
                <w:highlight w:val="none"/>
              </w:rPr>
              <w:t>机柜</w:t>
            </w:r>
          </w:p>
        </w:tc>
        <w:tc>
          <w:tcPr>
            <w:tcW w:w="732" w:type="pct"/>
            <w:vAlign w:val="center"/>
          </w:tcPr>
          <w:p w14:paraId="480BDC1A">
            <w:pPr>
              <w:widowControl/>
              <w:jc w:val="center"/>
              <w:rPr>
                <w:rFonts w:cs="宋体" w:asciiTheme="minorEastAsia" w:hAnsiTheme="minorEastAsia"/>
                <w:color w:val="auto"/>
                <w:kern w:val="0"/>
                <w:sz w:val="18"/>
                <w:szCs w:val="18"/>
                <w:highlight w:val="none"/>
              </w:rPr>
            </w:pPr>
            <w:r>
              <w:rPr>
                <w:rFonts w:hint="eastAsia"/>
                <w:color w:val="auto"/>
                <w:sz w:val="22"/>
                <w:highlight w:val="none"/>
              </w:rPr>
              <w:t>台</w:t>
            </w:r>
          </w:p>
        </w:tc>
        <w:tc>
          <w:tcPr>
            <w:tcW w:w="745" w:type="pct"/>
            <w:vAlign w:val="center"/>
          </w:tcPr>
          <w:p w14:paraId="4B5E7CF0">
            <w:pPr>
              <w:widowControl/>
              <w:jc w:val="center"/>
              <w:rPr>
                <w:rFonts w:cs="宋体" w:asciiTheme="minorEastAsia" w:hAnsiTheme="minorEastAsia"/>
                <w:color w:val="auto"/>
                <w:kern w:val="0"/>
                <w:sz w:val="18"/>
                <w:szCs w:val="18"/>
                <w:highlight w:val="none"/>
              </w:rPr>
            </w:pPr>
            <w:r>
              <w:rPr>
                <w:rFonts w:hint="eastAsia"/>
                <w:color w:val="auto"/>
                <w:sz w:val="22"/>
                <w:highlight w:val="none"/>
              </w:rPr>
              <w:t>1</w:t>
            </w:r>
          </w:p>
        </w:tc>
      </w:tr>
      <w:tr w14:paraId="26293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97" w:type="pct"/>
            <w:vAlign w:val="center"/>
          </w:tcPr>
          <w:p w14:paraId="0CACC72F">
            <w:pPr>
              <w:pStyle w:val="46"/>
              <w:numPr>
                <w:ilvl w:val="0"/>
                <w:numId w:val="5"/>
              </w:numPr>
              <w:jc w:val="center"/>
              <w:rPr>
                <w:rFonts w:cs="宋体" w:asciiTheme="minorEastAsia" w:hAnsiTheme="minorEastAsia"/>
                <w:color w:val="auto"/>
                <w:sz w:val="18"/>
                <w:szCs w:val="18"/>
                <w:highlight w:val="none"/>
              </w:rPr>
            </w:pPr>
          </w:p>
        </w:tc>
        <w:tc>
          <w:tcPr>
            <w:tcW w:w="2924" w:type="pct"/>
            <w:vAlign w:val="center"/>
          </w:tcPr>
          <w:p w14:paraId="5DECD86A">
            <w:pPr>
              <w:widowControl/>
              <w:rPr>
                <w:rFonts w:cs="宋体" w:asciiTheme="minorEastAsia" w:hAnsiTheme="minorEastAsia"/>
                <w:color w:val="auto"/>
                <w:kern w:val="0"/>
                <w:sz w:val="18"/>
                <w:szCs w:val="18"/>
                <w:highlight w:val="none"/>
              </w:rPr>
            </w:pPr>
            <w:r>
              <w:rPr>
                <w:rFonts w:hint="eastAsia"/>
                <w:color w:val="auto"/>
                <w:sz w:val="22"/>
                <w:highlight w:val="none"/>
              </w:rPr>
              <w:t>音频系统</w:t>
            </w:r>
          </w:p>
        </w:tc>
        <w:tc>
          <w:tcPr>
            <w:tcW w:w="732" w:type="pct"/>
            <w:vAlign w:val="center"/>
          </w:tcPr>
          <w:p w14:paraId="0954EE76">
            <w:pPr>
              <w:widowControl/>
              <w:jc w:val="center"/>
              <w:rPr>
                <w:rFonts w:cs="宋体" w:asciiTheme="minorEastAsia" w:hAnsiTheme="minorEastAsia"/>
                <w:color w:val="auto"/>
                <w:kern w:val="0"/>
                <w:sz w:val="18"/>
                <w:szCs w:val="18"/>
                <w:highlight w:val="none"/>
              </w:rPr>
            </w:pPr>
            <w:r>
              <w:rPr>
                <w:rFonts w:hint="eastAsia"/>
                <w:color w:val="auto"/>
                <w:sz w:val="22"/>
                <w:highlight w:val="none"/>
              </w:rPr>
              <w:t>套</w:t>
            </w:r>
          </w:p>
        </w:tc>
        <w:tc>
          <w:tcPr>
            <w:tcW w:w="745" w:type="pct"/>
            <w:vAlign w:val="center"/>
          </w:tcPr>
          <w:p w14:paraId="42E2B80A">
            <w:pPr>
              <w:widowControl/>
              <w:jc w:val="center"/>
              <w:rPr>
                <w:rFonts w:cs="宋体" w:asciiTheme="minorEastAsia" w:hAnsiTheme="minorEastAsia"/>
                <w:color w:val="auto"/>
                <w:kern w:val="0"/>
                <w:sz w:val="18"/>
                <w:szCs w:val="18"/>
                <w:highlight w:val="none"/>
              </w:rPr>
            </w:pPr>
            <w:r>
              <w:rPr>
                <w:rFonts w:hint="eastAsia"/>
                <w:color w:val="auto"/>
                <w:sz w:val="22"/>
                <w:highlight w:val="none"/>
              </w:rPr>
              <w:t>1</w:t>
            </w:r>
          </w:p>
        </w:tc>
      </w:tr>
      <w:tr w14:paraId="3127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97" w:type="pct"/>
            <w:vAlign w:val="center"/>
          </w:tcPr>
          <w:p w14:paraId="79D988A7">
            <w:pPr>
              <w:pStyle w:val="46"/>
              <w:numPr>
                <w:ilvl w:val="0"/>
                <w:numId w:val="5"/>
              </w:numPr>
              <w:jc w:val="center"/>
              <w:rPr>
                <w:rFonts w:cs="宋体" w:asciiTheme="minorEastAsia" w:hAnsiTheme="minorEastAsia"/>
                <w:color w:val="auto"/>
                <w:sz w:val="18"/>
                <w:szCs w:val="18"/>
                <w:highlight w:val="none"/>
              </w:rPr>
            </w:pPr>
          </w:p>
        </w:tc>
        <w:tc>
          <w:tcPr>
            <w:tcW w:w="2924" w:type="pct"/>
            <w:vAlign w:val="center"/>
          </w:tcPr>
          <w:p w14:paraId="420DCD68">
            <w:pPr>
              <w:widowControl/>
              <w:rPr>
                <w:rFonts w:cs="宋体" w:asciiTheme="minorEastAsia" w:hAnsiTheme="minorEastAsia"/>
                <w:color w:val="auto"/>
                <w:kern w:val="0"/>
                <w:sz w:val="18"/>
                <w:szCs w:val="18"/>
                <w:highlight w:val="none"/>
              </w:rPr>
            </w:pPr>
            <w:r>
              <w:rPr>
                <w:rFonts w:hint="eastAsia"/>
                <w:color w:val="auto"/>
                <w:sz w:val="22"/>
                <w:highlight w:val="none"/>
              </w:rPr>
              <w:t>路由器</w:t>
            </w:r>
          </w:p>
        </w:tc>
        <w:tc>
          <w:tcPr>
            <w:tcW w:w="732" w:type="pct"/>
            <w:vAlign w:val="center"/>
          </w:tcPr>
          <w:p w14:paraId="2CF0DC54">
            <w:pPr>
              <w:widowControl/>
              <w:jc w:val="center"/>
              <w:rPr>
                <w:rFonts w:cs="宋体" w:asciiTheme="minorEastAsia" w:hAnsiTheme="minorEastAsia"/>
                <w:color w:val="auto"/>
                <w:kern w:val="0"/>
                <w:sz w:val="18"/>
                <w:szCs w:val="18"/>
                <w:highlight w:val="none"/>
              </w:rPr>
            </w:pPr>
            <w:r>
              <w:rPr>
                <w:rFonts w:hint="eastAsia"/>
                <w:color w:val="auto"/>
                <w:sz w:val="22"/>
                <w:highlight w:val="none"/>
              </w:rPr>
              <w:t>台</w:t>
            </w:r>
          </w:p>
        </w:tc>
        <w:tc>
          <w:tcPr>
            <w:tcW w:w="745" w:type="pct"/>
            <w:vAlign w:val="center"/>
          </w:tcPr>
          <w:p w14:paraId="692FA4D0">
            <w:pPr>
              <w:widowControl/>
              <w:jc w:val="center"/>
              <w:rPr>
                <w:rFonts w:cs="宋体" w:asciiTheme="minorEastAsia" w:hAnsiTheme="minorEastAsia"/>
                <w:color w:val="auto"/>
                <w:kern w:val="0"/>
                <w:sz w:val="18"/>
                <w:szCs w:val="18"/>
                <w:highlight w:val="none"/>
              </w:rPr>
            </w:pPr>
            <w:r>
              <w:rPr>
                <w:rFonts w:hint="eastAsia"/>
                <w:color w:val="auto"/>
                <w:sz w:val="22"/>
                <w:highlight w:val="none"/>
              </w:rPr>
              <w:t>1</w:t>
            </w:r>
          </w:p>
        </w:tc>
      </w:tr>
      <w:tr w14:paraId="7488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97" w:type="pct"/>
            <w:vAlign w:val="center"/>
          </w:tcPr>
          <w:p w14:paraId="5B27FF0D">
            <w:pPr>
              <w:pStyle w:val="46"/>
              <w:numPr>
                <w:ilvl w:val="0"/>
                <w:numId w:val="5"/>
              </w:numPr>
              <w:jc w:val="center"/>
              <w:rPr>
                <w:rFonts w:cs="宋体" w:asciiTheme="minorEastAsia" w:hAnsiTheme="minorEastAsia"/>
                <w:color w:val="auto"/>
                <w:sz w:val="18"/>
                <w:szCs w:val="18"/>
                <w:highlight w:val="none"/>
              </w:rPr>
            </w:pPr>
          </w:p>
        </w:tc>
        <w:tc>
          <w:tcPr>
            <w:tcW w:w="2924" w:type="pct"/>
            <w:vAlign w:val="center"/>
          </w:tcPr>
          <w:p w14:paraId="7F3AA3A0">
            <w:pPr>
              <w:widowControl/>
              <w:rPr>
                <w:rFonts w:cs="宋体" w:asciiTheme="minorEastAsia" w:hAnsiTheme="minorEastAsia"/>
                <w:color w:val="auto"/>
                <w:kern w:val="0"/>
                <w:sz w:val="18"/>
                <w:szCs w:val="18"/>
                <w:highlight w:val="none"/>
              </w:rPr>
            </w:pPr>
            <w:r>
              <w:rPr>
                <w:rFonts w:hint="eastAsia"/>
                <w:color w:val="auto"/>
                <w:sz w:val="22"/>
                <w:highlight w:val="none"/>
              </w:rPr>
              <w:t>教师桌</w:t>
            </w:r>
          </w:p>
        </w:tc>
        <w:tc>
          <w:tcPr>
            <w:tcW w:w="732" w:type="pct"/>
            <w:vAlign w:val="center"/>
          </w:tcPr>
          <w:p w14:paraId="0E2EABF7">
            <w:pPr>
              <w:widowControl/>
              <w:jc w:val="center"/>
              <w:rPr>
                <w:rFonts w:cs="宋体" w:asciiTheme="minorEastAsia" w:hAnsiTheme="minorEastAsia"/>
                <w:color w:val="auto"/>
                <w:kern w:val="0"/>
                <w:sz w:val="18"/>
                <w:szCs w:val="18"/>
                <w:highlight w:val="none"/>
              </w:rPr>
            </w:pPr>
            <w:r>
              <w:rPr>
                <w:rFonts w:hint="eastAsia"/>
                <w:color w:val="auto"/>
                <w:sz w:val="22"/>
                <w:highlight w:val="none"/>
              </w:rPr>
              <w:t>张</w:t>
            </w:r>
          </w:p>
        </w:tc>
        <w:tc>
          <w:tcPr>
            <w:tcW w:w="745" w:type="pct"/>
            <w:vAlign w:val="center"/>
          </w:tcPr>
          <w:p w14:paraId="63AB7234">
            <w:pPr>
              <w:widowControl/>
              <w:jc w:val="center"/>
              <w:rPr>
                <w:rFonts w:cs="宋体" w:asciiTheme="minorEastAsia" w:hAnsiTheme="minorEastAsia"/>
                <w:color w:val="auto"/>
                <w:kern w:val="0"/>
                <w:sz w:val="18"/>
                <w:szCs w:val="18"/>
                <w:highlight w:val="none"/>
              </w:rPr>
            </w:pPr>
            <w:r>
              <w:rPr>
                <w:rFonts w:hint="eastAsia"/>
                <w:color w:val="auto"/>
                <w:sz w:val="22"/>
                <w:highlight w:val="none"/>
              </w:rPr>
              <w:t>1</w:t>
            </w:r>
          </w:p>
        </w:tc>
      </w:tr>
      <w:tr w14:paraId="761CD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97" w:type="pct"/>
            <w:vAlign w:val="center"/>
          </w:tcPr>
          <w:p w14:paraId="75D8B796">
            <w:pPr>
              <w:pStyle w:val="46"/>
              <w:numPr>
                <w:ilvl w:val="0"/>
                <w:numId w:val="5"/>
              </w:numPr>
              <w:jc w:val="center"/>
              <w:rPr>
                <w:rFonts w:cs="宋体" w:asciiTheme="minorEastAsia" w:hAnsiTheme="minorEastAsia"/>
                <w:color w:val="auto"/>
                <w:sz w:val="18"/>
                <w:szCs w:val="18"/>
                <w:highlight w:val="none"/>
              </w:rPr>
            </w:pPr>
          </w:p>
        </w:tc>
        <w:tc>
          <w:tcPr>
            <w:tcW w:w="2924" w:type="pct"/>
            <w:vAlign w:val="center"/>
          </w:tcPr>
          <w:p w14:paraId="6B924041">
            <w:pPr>
              <w:widowControl/>
              <w:rPr>
                <w:rFonts w:cs="宋体" w:asciiTheme="minorEastAsia" w:hAnsiTheme="minorEastAsia"/>
                <w:color w:val="auto"/>
                <w:kern w:val="0"/>
                <w:sz w:val="18"/>
                <w:szCs w:val="18"/>
                <w:highlight w:val="none"/>
              </w:rPr>
            </w:pPr>
            <w:r>
              <w:rPr>
                <w:rFonts w:hint="eastAsia"/>
                <w:color w:val="auto"/>
                <w:sz w:val="22"/>
                <w:highlight w:val="none"/>
              </w:rPr>
              <w:t>讲台</w:t>
            </w:r>
          </w:p>
        </w:tc>
        <w:tc>
          <w:tcPr>
            <w:tcW w:w="732" w:type="pct"/>
            <w:vAlign w:val="center"/>
          </w:tcPr>
          <w:p w14:paraId="56594E62">
            <w:pPr>
              <w:widowControl/>
              <w:jc w:val="center"/>
              <w:rPr>
                <w:rFonts w:cs="宋体" w:asciiTheme="minorEastAsia" w:hAnsiTheme="minorEastAsia"/>
                <w:color w:val="auto"/>
                <w:kern w:val="0"/>
                <w:sz w:val="18"/>
                <w:szCs w:val="18"/>
                <w:highlight w:val="none"/>
              </w:rPr>
            </w:pPr>
            <w:r>
              <w:rPr>
                <w:rFonts w:hint="eastAsia"/>
                <w:color w:val="auto"/>
                <w:sz w:val="22"/>
                <w:highlight w:val="none"/>
              </w:rPr>
              <w:t>张</w:t>
            </w:r>
          </w:p>
        </w:tc>
        <w:tc>
          <w:tcPr>
            <w:tcW w:w="745" w:type="pct"/>
            <w:vAlign w:val="center"/>
          </w:tcPr>
          <w:p w14:paraId="084B569C">
            <w:pPr>
              <w:widowControl/>
              <w:jc w:val="center"/>
              <w:rPr>
                <w:rFonts w:cs="宋体" w:asciiTheme="minorEastAsia" w:hAnsiTheme="minorEastAsia"/>
                <w:color w:val="auto"/>
                <w:kern w:val="0"/>
                <w:sz w:val="18"/>
                <w:szCs w:val="18"/>
                <w:highlight w:val="none"/>
              </w:rPr>
            </w:pPr>
            <w:r>
              <w:rPr>
                <w:rFonts w:hint="eastAsia"/>
                <w:color w:val="auto"/>
                <w:sz w:val="22"/>
                <w:highlight w:val="none"/>
              </w:rPr>
              <w:t>1</w:t>
            </w:r>
          </w:p>
        </w:tc>
      </w:tr>
      <w:tr w14:paraId="472E0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97" w:type="pct"/>
            <w:vAlign w:val="center"/>
          </w:tcPr>
          <w:p w14:paraId="3F36CCE3">
            <w:pPr>
              <w:pStyle w:val="46"/>
              <w:numPr>
                <w:ilvl w:val="0"/>
                <w:numId w:val="5"/>
              </w:numPr>
              <w:jc w:val="center"/>
              <w:rPr>
                <w:rFonts w:cs="宋体" w:asciiTheme="minorEastAsia" w:hAnsiTheme="minorEastAsia"/>
                <w:color w:val="auto"/>
                <w:sz w:val="18"/>
                <w:szCs w:val="18"/>
                <w:highlight w:val="none"/>
              </w:rPr>
            </w:pPr>
          </w:p>
        </w:tc>
        <w:tc>
          <w:tcPr>
            <w:tcW w:w="2924" w:type="pct"/>
            <w:vAlign w:val="center"/>
          </w:tcPr>
          <w:p w14:paraId="326C0C9F">
            <w:pPr>
              <w:widowControl/>
              <w:rPr>
                <w:rFonts w:cs="宋体" w:asciiTheme="minorEastAsia" w:hAnsiTheme="minorEastAsia"/>
                <w:color w:val="auto"/>
                <w:kern w:val="0"/>
                <w:sz w:val="18"/>
                <w:szCs w:val="18"/>
                <w:highlight w:val="none"/>
              </w:rPr>
            </w:pPr>
            <w:r>
              <w:rPr>
                <w:rFonts w:hint="eastAsia"/>
                <w:color w:val="auto"/>
                <w:sz w:val="22"/>
                <w:highlight w:val="none"/>
              </w:rPr>
              <w:t>圆凳</w:t>
            </w:r>
          </w:p>
        </w:tc>
        <w:tc>
          <w:tcPr>
            <w:tcW w:w="732" w:type="pct"/>
            <w:vAlign w:val="center"/>
          </w:tcPr>
          <w:p w14:paraId="0F195030">
            <w:pPr>
              <w:widowControl/>
              <w:jc w:val="center"/>
              <w:rPr>
                <w:rFonts w:cs="宋体" w:asciiTheme="minorEastAsia" w:hAnsiTheme="minorEastAsia"/>
                <w:color w:val="auto"/>
                <w:kern w:val="0"/>
                <w:sz w:val="18"/>
                <w:szCs w:val="18"/>
                <w:highlight w:val="none"/>
              </w:rPr>
            </w:pPr>
            <w:r>
              <w:rPr>
                <w:rFonts w:hint="eastAsia"/>
                <w:color w:val="auto"/>
                <w:sz w:val="22"/>
                <w:highlight w:val="none"/>
              </w:rPr>
              <w:t>张</w:t>
            </w:r>
          </w:p>
        </w:tc>
        <w:tc>
          <w:tcPr>
            <w:tcW w:w="745" w:type="pct"/>
            <w:vAlign w:val="center"/>
          </w:tcPr>
          <w:p w14:paraId="5A2A77F4">
            <w:pPr>
              <w:widowControl/>
              <w:jc w:val="center"/>
              <w:rPr>
                <w:rFonts w:cs="宋体" w:asciiTheme="minorEastAsia" w:hAnsiTheme="minorEastAsia"/>
                <w:color w:val="auto"/>
                <w:kern w:val="0"/>
                <w:sz w:val="18"/>
                <w:szCs w:val="18"/>
                <w:highlight w:val="none"/>
              </w:rPr>
            </w:pPr>
            <w:r>
              <w:rPr>
                <w:rFonts w:hint="eastAsia"/>
                <w:color w:val="auto"/>
                <w:sz w:val="22"/>
                <w:highlight w:val="none"/>
              </w:rPr>
              <w:t>1</w:t>
            </w:r>
          </w:p>
        </w:tc>
      </w:tr>
      <w:tr w14:paraId="44159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97" w:type="pct"/>
            <w:vAlign w:val="center"/>
          </w:tcPr>
          <w:p w14:paraId="47A23C76">
            <w:pPr>
              <w:pStyle w:val="46"/>
              <w:numPr>
                <w:ilvl w:val="0"/>
                <w:numId w:val="5"/>
              </w:numPr>
              <w:jc w:val="center"/>
              <w:rPr>
                <w:rFonts w:cs="宋体" w:asciiTheme="minorEastAsia" w:hAnsiTheme="minorEastAsia"/>
                <w:color w:val="auto"/>
                <w:sz w:val="18"/>
                <w:szCs w:val="18"/>
                <w:highlight w:val="none"/>
              </w:rPr>
            </w:pPr>
          </w:p>
        </w:tc>
        <w:tc>
          <w:tcPr>
            <w:tcW w:w="2924" w:type="pct"/>
            <w:vAlign w:val="center"/>
          </w:tcPr>
          <w:p w14:paraId="07438217">
            <w:pPr>
              <w:widowControl/>
              <w:rPr>
                <w:rFonts w:cs="宋体" w:asciiTheme="minorEastAsia" w:hAnsiTheme="minorEastAsia"/>
                <w:color w:val="auto"/>
                <w:kern w:val="0"/>
                <w:sz w:val="18"/>
                <w:szCs w:val="18"/>
                <w:highlight w:val="none"/>
              </w:rPr>
            </w:pPr>
            <w:r>
              <w:rPr>
                <w:rFonts w:hint="eastAsia"/>
                <w:color w:val="auto"/>
                <w:sz w:val="22"/>
                <w:highlight w:val="none"/>
              </w:rPr>
              <w:t>拼接六角桌</w:t>
            </w:r>
          </w:p>
        </w:tc>
        <w:tc>
          <w:tcPr>
            <w:tcW w:w="732" w:type="pct"/>
            <w:vAlign w:val="center"/>
          </w:tcPr>
          <w:p w14:paraId="7348B29E">
            <w:pPr>
              <w:widowControl/>
              <w:jc w:val="center"/>
              <w:rPr>
                <w:rFonts w:cs="宋体" w:asciiTheme="minorEastAsia" w:hAnsiTheme="minorEastAsia"/>
                <w:color w:val="auto"/>
                <w:kern w:val="0"/>
                <w:sz w:val="18"/>
                <w:szCs w:val="18"/>
                <w:highlight w:val="none"/>
              </w:rPr>
            </w:pPr>
            <w:r>
              <w:rPr>
                <w:rFonts w:hint="eastAsia"/>
                <w:color w:val="auto"/>
                <w:sz w:val="22"/>
                <w:highlight w:val="none"/>
              </w:rPr>
              <w:t>套</w:t>
            </w:r>
          </w:p>
        </w:tc>
        <w:tc>
          <w:tcPr>
            <w:tcW w:w="745" w:type="pct"/>
            <w:vAlign w:val="center"/>
          </w:tcPr>
          <w:p w14:paraId="3525EACD">
            <w:pPr>
              <w:widowControl/>
              <w:jc w:val="center"/>
              <w:rPr>
                <w:rFonts w:cs="宋体" w:asciiTheme="minorEastAsia" w:hAnsiTheme="minorEastAsia"/>
                <w:color w:val="auto"/>
                <w:kern w:val="0"/>
                <w:sz w:val="18"/>
                <w:szCs w:val="18"/>
                <w:highlight w:val="none"/>
              </w:rPr>
            </w:pPr>
            <w:r>
              <w:rPr>
                <w:rFonts w:hint="eastAsia"/>
                <w:color w:val="auto"/>
                <w:sz w:val="22"/>
                <w:highlight w:val="none"/>
              </w:rPr>
              <w:t>4</w:t>
            </w:r>
          </w:p>
        </w:tc>
      </w:tr>
      <w:tr w14:paraId="6DFA7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97" w:type="pct"/>
            <w:vAlign w:val="center"/>
          </w:tcPr>
          <w:p w14:paraId="4C87BACB">
            <w:pPr>
              <w:pStyle w:val="46"/>
              <w:numPr>
                <w:ilvl w:val="0"/>
                <w:numId w:val="5"/>
              </w:numPr>
              <w:jc w:val="center"/>
              <w:rPr>
                <w:rFonts w:cs="宋体" w:asciiTheme="minorEastAsia" w:hAnsiTheme="minorEastAsia"/>
                <w:color w:val="auto"/>
                <w:sz w:val="18"/>
                <w:szCs w:val="18"/>
                <w:highlight w:val="none"/>
              </w:rPr>
            </w:pPr>
          </w:p>
        </w:tc>
        <w:tc>
          <w:tcPr>
            <w:tcW w:w="2924" w:type="pct"/>
            <w:vAlign w:val="center"/>
          </w:tcPr>
          <w:p w14:paraId="38F1ACD6">
            <w:pPr>
              <w:widowControl/>
              <w:rPr>
                <w:rFonts w:cs="宋体" w:asciiTheme="minorEastAsia" w:hAnsiTheme="minorEastAsia"/>
                <w:color w:val="auto"/>
                <w:kern w:val="0"/>
                <w:sz w:val="18"/>
                <w:szCs w:val="18"/>
                <w:highlight w:val="none"/>
              </w:rPr>
            </w:pPr>
            <w:r>
              <w:rPr>
                <w:rFonts w:hint="eastAsia"/>
                <w:color w:val="auto"/>
                <w:sz w:val="22"/>
                <w:highlight w:val="none"/>
              </w:rPr>
              <w:t>电源插排</w:t>
            </w:r>
          </w:p>
        </w:tc>
        <w:tc>
          <w:tcPr>
            <w:tcW w:w="732" w:type="pct"/>
            <w:vAlign w:val="center"/>
          </w:tcPr>
          <w:p w14:paraId="0FFA3B5A">
            <w:pPr>
              <w:widowControl/>
              <w:jc w:val="center"/>
              <w:rPr>
                <w:rFonts w:cs="宋体" w:asciiTheme="minorEastAsia" w:hAnsiTheme="minorEastAsia"/>
                <w:color w:val="auto"/>
                <w:kern w:val="0"/>
                <w:sz w:val="18"/>
                <w:szCs w:val="18"/>
                <w:highlight w:val="none"/>
              </w:rPr>
            </w:pPr>
            <w:r>
              <w:rPr>
                <w:rFonts w:hint="eastAsia"/>
                <w:color w:val="auto"/>
                <w:sz w:val="22"/>
                <w:highlight w:val="none"/>
              </w:rPr>
              <w:t>个</w:t>
            </w:r>
          </w:p>
        </w:tc>
        <w:tc>
          <w:tcPr>
            <w:tcW w:w="745" w:type="pct"/>
            <w:vAlign w:val="center"/>
          </w:tcPr>
          <w:p w14:paraId="47755A8A">
            <w:pPr>
              <w:widowControl/>
              <w:jc w:val="center"/>
              <w:rPr>
                <w:rFonts w:cs="宋体" w:asciiTheme="minorEastAsia" w:hAnsiTheme="minorEastAsia"/>
                <w:color w:val="auto"/>
                <w:kern w:val="0"/>
                <w:sz w:val="18"/>
                <w:szCs w:val="18"/>
                <w:highlight w:val="none"/>
              </w:rPr>
            </w:pPr>
            <w:r>
              <w:rPr>
                <w:rFonts w:hint="eastAsia"/>
                <w:color w:val="auto"/>
                <w:sz w:val="22"/>
                <w:highlight w:val="none"/>
              </w:rPr>
              <w:t>10</w:t>
            </w:r>
          </w:p>
        </w:tc>
      </w:tr>
      <w:tr w14:paraId="49F1C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97" w:type="pct"/>
            <w:vAlign w:val="center"/>
          </w:tcPr>
          <w:p w14:paraId="09369221">
            <w:pPr>
              <w:pStyle w:val="46"/>
              <w:numPr>
                <w:ilvl w:val="0"/>
                <w:numId w:val="5"/>
              </w:numPr>
              <w:jc w:val="center"/>
              <w:rPr>
                <w:rFonts w:cs="宋体" w:asciiTheme="minorEastAsia" w:hAnsiTheme="minorEastAsia"/>
                <w:color w:val="auto"/>
                <w:sz w:val="18"/>
                <w:szCs w:val="18"/>
                <w:highlight w:val="none"/>
              </w:rPr>
            </w:pPr>
          </w:p>
        </w:tc>
        <w:tc>
          <w:tcPr>
            <w:tcW w:w="2924" w:type="pct"/>
            <w:vAlign w:val="center"/>
          </w:tcPr>
          <w:p w14:paraId="07874115">
            <w:pPr>
              <w:widowControl/>
              <w:rPr>
                <w:rFonts w:cs="宋体" w:asciiTheme="minorEastAsia" w:hAnsiTheme="minorEastAsia"/>
                <w:color w:val="auto"/>
                <w:kern w:val="0"/>
                <w:sz w:val="18"/>
                <w:szCs w:val="18"/>
                <w:highlight w:val="none"/>
              </w:rPr>
            </w:pPr>
            <w:r>
              <w:rPr>
                <w:rFonts w:hint="eastAsia"/>
                <w:color w:val="auto"/>
                <w:sz w:val="22"/>
                <w:highlight w:val="none"/>
              </w:rPr>
              <w:t>汽车自动驾驶套件</w:t>
            </w:r>
          </w:p>
        </w:tc>
        <w:tc>
          <w:tcPr>
            <w:tcW w:w="732" w:type="pct"/>
            <w:vAlign w:val="center"/>
          </w:tcPr>
          <w:p w14:paraId="1D6BCBB1">
            <w:pPr>
              <w:widowControl/>
              <w:jc w:val="center"/>
              <w:rPr>
                <w:rFonts w:cs="宋体" w:asciiTheme="minorEastAsia" w:hAnsiTheme="minorEastAsia"/>
                <w:color w:val="auto"/>
                <w:kern w:val="0"/>
                <w:sz w:val="18"/>
                <w:szCs w:val="18"/>
                <w:highlight w:val="none"/>
              </w:rPr>
            </w:pPr>
            <w:r>
              <w:rPr>
                <w:rFonts w:hint="eastAsia"/>
                <w:color w:val="auto"/>
                <w:sz w:val="22"/>
                <w:highlight w:val="none"/>
              </w:rPr>
              <w:t>台</w:t>
            </w:r>
          </w:p>
        </w:tc>
        <w:tc>
          <w:tcPr>
            <w:tcW w:w="745" w:type="pct"/>
            <w:vAlign w:val="center"/>
          </w:tcPr>
          <w:p w14:paraId="4F200403">
            <w:pPr>
              <w:widowControl/>
              <w:jc w:val="center"/>
              <w:rPr>
                <w:rFonts w:cs="宋体" w:asciiTheme="minorEastAsia" w:hAnsiTheme="minorEastAsia"/>
                <w:color w:val="auto"/>
                <w:kern w:val="0"/>
                <w:sz w:val="18"/>
                <w:szCs w:val="18"/>
                <w:highlight w:val="none"/>
              </w:rPr>
            </w:pPr>
            <w:r>
              <w:rPr>
                <w:rFonts w:hint="eastAsia"/>
                <w:color w:val="auto"/>
                <w:sz w:val="22"/>
                <w:highlight w:val="none"/>
              </w:rPr>
              <w:t>2</w:t>
            </w:r>
          </w:p>
        </w:tc>
      </w:tr>
      <w:tr w14:paraId="0CAF9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97" w:type="pct"/>
            <w:vAlign w:val="center"/>
          </w:tcPr>
          <w:p w14:paraId="5CC4950B">
            <w:pPr>
              <w:pStyle w:val="46"/>
              <w:numPr>
                <w:ilvl w:val="0"/>
                <w:numId w:val="5"/>
              </w:numPr>
              <w:jc w:val="center"/>
              <w:rPr>
                <w:rFonts w:cs="宋体" w:asciiTheme="minorEastAsia" w:hAnsiTheme="minorEastAsia"/>
                <w:color w:val="auto"/>
                <w:sz w:val="18"/>
                <w:szCs w:val="18"/>
                <w:highlight w:val="none"/>
              </w:rPr>
            </w:pPr>
          </w:p>
        </w:tc>
        <w:tc>
          <w:tcPr>
            <w:tcW w:w="2924" w:type="pct"/>
            <w:vAlign w:val="center"/>
          </w:tcPr>
          <w:p w14:paraId="445BBB6B">
            <w:pPr>
              <w:widowControl/>
              <w:rPr>
                <w:rFonts w:asciiTheme="minorEastAsia" w:hAnsiTheme="minorEastAsia"/>
                <w:color w:val="auto"/>
                <w:sz w:val="22"/>
                <w:highlight w:val="none"/>
              </w:rPr>
            </w:pPr>
            <w:r>
              <w:rPr>
                <w:rFonts w:hint="eastAsia"/>
                <w:color w:val="auto"/>
                <w:sz w:val="22"/>
                <w:highlight w:val="none"/>
              </w:rPr>
              <w:t>智能网联汽车自动驾驶VR仿真教学软件</w:t>
            </w:r>
          </w:p>
        </w:tc>
        <w:tc>
          <w:tcPr>
            <w:tcW w:w="732" w:type="pct"/>
            <w:vAlign w:val="center"/>
          </w:tcPr>
          <w:p w14:paraId="043E9E13">
            <w:pPr>
              <w:widowControl/>
              <w:jc w:val="center"/>
              <w:rPr>
                <w:rFonts w:cs="宋体" w:asciiTheme="minorEastAsia" w:hAnsiTheme="minorEastAsia"/>
                <w:color w:val="auto"/>
                <w:kern w:val="0"/>
                <w:sz w:val="18"/>
                <w:szCs w:val="18"/>
                <w:highlight w:val="none"/>
              </w:rPr>
            </w:pPr>
            <w:r>
              <w:rPr>
                <w:rFonts w:hint="eastAsia"/>
                <w:color w:val="auto"/>
                <w:sz w:val="22"/>
                <w:highlight w:val="none"/>
              </w:rPr>
              <w:t>套</w:t>
            </w:r>
          </w:p>
        </w:tc>
        <w:tc>
          <w:tcPr>
            <w:tcW w:w="745" w:type="pct"/>
            <w:vAlign w:val="center"/>
          </w:tcPr>
          <w:p w14:paraId="0CC85455">
            <w:pPr>
              <w:widowControl/>
              <w:jc w:val="center"/>
              <w:rPr>
                <w:rFonts w:cs="宋体" w:asciiTheme="minorEastAsia" w:hAnsiTheme="minorEastAsia"/>
                <w:color w:val="auto"/>
                <w:kern w:val="0"/>
                <w:sz w:val="18"/>
                <w:szCs w:val="18"/>
                <w:highlight w:val="none"/>
              </w:rPr>
            </w:pPr>
            <w:r>
              <w:rPr>
                <w:rFonts w:hint="eastAsia"/>
                <w:color w:val="auto"/>
                <w:sz w:val="22"/>
                <w:highlight w:val="none"/>
              </w:rPr>
              <w:t>1</w:t>
            </w:r>
          </w:p>
        </w:tc>
      </w:tr>
      <w:tr w14:paraId="315ED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97" w:type="pct"/>
            <w:vAlign w:val="center"/>
          </w:tcPr>
          <w:p w14:paraId="03323437">
            <w:pPr>
              <w:pStyle w:val="46"/>
              <w:numPr>
                <w:ilvl w:val="0"/>
                <w:numId w:val="5"/>
              </w:numPr>
              <w:jc w:val="center"/>
              <w:rPr>
                <w:rFonts w:cs="宋体" w:asciiTheme="minorEastAsia" w:hAnsiTheme="minorEastAsia"/>
                <w:color w:val="auto"/>
                <w:sz w:val="18"/>
                <w:szCs w:val="18"/>
                <w:highlight w:val="none"/>
              </w:rPr>
            </w:pPr>
          </w:p>
        </w:tc>
        <w:tc>
          <w:tcPr>
            <w:tcW w:w="2924" w:type="pct"/>
            <w:vAlign w:val="center"/>
          </w:tcPr>
          <w:p w14:paraId="6FBDD65A">
            <w:pPr>
              <w:widowControl/>
              <w:rPr>
                <w:rFonts w:asciiTheme="minorEastAsia" w:hAnsiTheme="minorEastAsia"/>
                <w:color w:val="auto"/>
                <w:sz w:val="22"/>
                <w:highlight w:val="none"/>
              </w:rPr>
            </w:pPr>
            <w:r>
              <w:rPr>
                <w:rFonts w:hint="eastAsia"/>
                <w:color w:val="auto"/>
                <w:sz w:val="22"/>
                <w:highlight w:val="none"/>
              </w:rPr>
              <w:t>新能源汽车结构原理</w:t>
            </w:r>
            <w:r>
              <w:rPr>
                <w:rFonts w:hint="eastAsia"/>
                <w:color w:val="auto"/>
                <w:sz w:val="20"/>
                <w:szCs w:val="20"/>
                <w:highlight w:val="none"/>
              </w:rPr>
              <w:t>AR仿真教学软件</w:t>
            </w:r>
          </w:p>
        </w:tc>
        <w:tc>
          <w:tcPr>
            <w:tcW w:w="732" w:type="pct"/>
            <w:vAlign w:val="center"/>
          </w:tcPr>
          <w:p w14:paraId="67BD6F8C">
            <w:pPr>
              <w:widowControl/>
              <w:jc w:val="center"/>
              <w:rPr>
                <w:rFonts w:asciiTheme="minorEastAsia" w:hAnsiTheme="minorEastAsia"/>
                <w:color w:val="auto"/>
                <w:sz w:val="22"/>
                <w:highlight w:val="none"/>
              </w:rPr>
            </w:pPr>
            <w:r>
              <w:rPr>
                <w:rFonts w:hint="eastAsia"/>
                <w:color w:val="auto"/>
                <w:sz w:val="22"/>
                <w:highlight w:val="none"/>
              </w:rPr>
              <w:t>套</w:t>
            </w:r>
          </w:p>
        </w:tc>
        <w:tc>
          <w:tcPr>
            <w:tcW w:w="745" w:type="pct"/>
            <w:vAlign w:val="center"/>
          </w:tcPr>
          <w:p w14:paraId="6F24AC23">
            <w:pPr>
              <w:widowControl/>
              <w:jc w:val="center"/>
              <w:rPr>
                <w:rFonts w:asciiTheme="minorEastAsia" w:hAnsiTheme="minorEastAsia"/>
                <w:color w:val="auto"/>
                <w:sz w:val="22"/>
                <w:highlight w:val="none"/>
              </w:rPr>
            </w:pPr>
            <w:r>
              <w:rPr>
                <w:rFonts w:hint="eastAsia"/>
                <w:color w:val="auto"/>
                <w:sz w:val="22"/>
                <w:highlight w:val="none"/>
              </w:rPr>
              <w:t>1</w:t>
            </w:r>
          </w:p>
        </w:tc>
      </w:tr>
    </w:tbl>
    <w:p w14:paraId="61063DD5">
      <w:pPr>
        <w:jc w:val="left"/>
        <w:rPr>
          <w:rFonts w:hint="eastAsia" w:ascii="宋体" w:hAnsi="宋体" w:cs="宋体"/>
          <w:b/>
          <w:color w:val="auto"/>
          <w:sz w:val="30"/>
          <w:szCs w:val="30"/>
          <w:highlight w:val="none"/>
        </w:rPr>
      </w:pPr>
    </w:p>
    <w:p w14:paraId="2D087816">
      <w:pPr>
        <w:pStyle w:val="46"/>
        <w:numPr>
          <w:ilvl w:val="0"/>
          <w:numId w:val="4"/>
        </w:numPr>
        <w:ind w:left="720" w:leftChars="0" w:hanging="720" w:firstLineChars="0"/>
        <w:outlineLvl w:val="0"/>
        <w:rPr>
          <w:rFonts w:ascii="宋体" w:hAnsi="宋体" w:cs="宋体"/>
          <w:color w:val="auto"/>
          <w:sz w:val="28"/>
          <w:szCs w:val="30"/>
          <w:highlight w:val="none"/>
        </w:rPr>
      </w:pPr>
      <w:r>
        <w:rPr>
          <w:rFonts w:hint="eastAsia" w:ascii="宋体" w:hAnsi="宋体" w:cs="宋体"/>
          <w:color w:val="auto"/>
          <w:sz w:val="28"/>
          <w:szCs w:val="30"/>
          <w:highlight w:val="none"/>
        </w:rPr>
        <w:t>技术参数要求</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
        <w:gridCol w:w="781"/>
        <w:gridCol w:w="6338"/>
        <w:gridCol w:w="405"/>
        <w:gridCol w:w="593"/>
      </w:tblGrid>
      <w:tr w14:paraId="49BAB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8" w:type="pct"/>
            <w:vAlign w:val="center"/>
          </w:tcPr>
          <w:p w14:paraId="669A0D46">
            <w:pPr>
              <w:widowControl/>
              <w:jc w:val="center"/>
              <w:rPr>
                <w:rFonts w:cs="宋体" w:asciiTheme="minorEastAsia" w:hAnsiTheme="minorEastAsia"/>
                <w:b/>
                <w:bCs/>
                <w:color w:val="auto"/>
                <w:kern w:val="0"/>
                <w:szCs w:val="21"/>
                <w:highlight w:val="none"/>
              </w:rPr>
            </w:pPr>
            <w:r>
              <w:rPr>
                <w:rFonts w:hint="eastAsia" w:cs="宋体" w:asciiTheme="minorEastAsia" w:hAnsiTheme="minorEastAsia"/>
                <w:b/>
                <w:bCs/>
                <w:color w:val="auto"/>
                <w:kern w:val="0"/>
                <w:szCs w:val="21"/>
                <w:highlight w:val="none"/>
              </w:rPr>
              <w:t>序号</w:t>
            </w:r>
          </w:p>
        </w:tc>
        <w:tc>
          <w:tcPr>
            <w:tcW w:w="458" w:type="pct"/>
            <w:vAlign w:val="center"/>
          </w:tcPr>
          <w:p w14:paraId="0E969418">
            <w:pPr>
              <w:widowControl/>
              <w:jc w:val="center"/>
              <w:rPr>
                <w:rFonts w:cs="宋体" w:asciiTheme="minorEastAsia" w:hAnsiTheme="minorEastAsia"/>
                <w:b/>
                <w:bCs/>
                <w:color w:val="auto"/>
                <w:kern w:val="0"/>
                <w:szCs w:val="21"/>
                <w:highlight w:val="none"/>
              </w:rPr>
            </w:pPr>
            <w:r>
              <w:rPr>
                <w:rFonts w:hint="eastAsia" w:cs="宋体" w:asciiTheme="minorEastAsia" w:hAnsiTheme="minorEastAsia"/>
                <w:b/>
                <w:bCs/>
                <w:color w:val="auto"/>
                <w:kern w:val="0"/>
                <w:szCs w:val="21"/>
                <w:highlight w:val="none"/>
              </w:rPr>
              <w:t>设备名称</w:t>
            </w:r>
          </w:p>
        </w:tc>
        <w:tc>
          <w:tcPr>
            <w:tcW w:w="3719" w:type="pct"/>
            <w:vAlign w:val="center"/>
          </w:tcPr>
          <w:p w14:paraId="70CE1CC1">
            <w:pPr>
              <w:widowControl/>
              <w:jc w:val="center"/>
              <w:rPr>
                <w:rFonts w:cs="宋体" w:asciiTheme="minorEastAsia" w:hAnsiTheme="minorEastAsia"/>
                <w:b/>
                <w:bCs/>
                <w:color w:val="auto"/>
                <w:kern w:val="0"/>
                <w:szCs w:val="21"/>
                <w:highlight w:val="none"/>
              </w:rPr>
            </w:pPr>
            <w:r>
              <w:rPr>
                <w:rFonts w:hint="eastAsia" w:cs="宋体" w:asciiTheme="minorEastAsia" w:hAnsiTheme="minorEastAsia"/>
                <w:b/>
                <w:bCs/>
                <w:color w:val="auto"/>
                <w:kern w:val="0"/>
                <w:szCs w:val="21"/>
                <w:highlight w:val="none"/>
              </w:rPr>
              <w:t>详细技术参数</w:t>
            </w:r>
          </w:p>
        </w:tc>
        <w:tc>
          <w:tcPr>
            <w:tcW w:w="238" w:type="pct"/>
            <w:vAlign w:val="center"/>
          </w:tcPr>
          <w:p w14:paraId="5243610F">
            <w:pPr>
              <w:widowControl/>
              <w:jc w:val="center"/>
              <w:rPr>
                <w:rFonts w:cs="宋体" w:asciiTheme="minorEastAsia" w:hAnsiTheme="minorEastAsia"/>
                <w:b/>
                <w:bCs/>
                <w:color w:val="auto"/>
                <w:kern w:val="0"/>
                <w:szCs w:val="21"/>
                <w:highlight w:val="none"/>
              </w:rPr>
            </w:pPr>
            <w:r>
              <w:rPr>
                <w:rFonts w:hint="eastAsia" w:cs="宋体" w:asciiTheme="minorEastAsia" w:hAnsiTheme="minorEastAsia"/>
                <w:b/>
                <w:bCs/>
                <w:color w:val="auto"/>
                <w:kern w:val="0"/>
                <w:szCs w:val="21"/>
                <w:highlight w:val="none"/>
              </w:rPr>
              <w:t>单位</w:t>
            </w:r>
          </w:p>
        </w:tc>
        <w:tc>
          <w:tcPr>
            <w:tcW w:w="348" w:type="pct"/>
            <w:vAlign w:val="center"/>
          </w:tcPr>
          <w:p w14:paraId="2AA470BF">
            <w:pPr>
              <w:widowControl/>
              <w:jc w:val="center"/>
              <w:rPr>
                <w:rFonts w:cs="宋体" w:asciiTheme="minorEastAsia" w:hAnsiTheme="minorEastAsia"/>
                <w:b/>
                <w:bCs/>
                <w:color w:val="auto"/>
                <w:kern w:val="0"/>
                <w:szCs w:val="21"/>
                <w:highlight w:val="none"/>
              </w:rPr>
            </w:pPr>
            <w:r>
              <w:rPr>
                <w:rFonts w:hint="eastAsia" w:cs="宋体" w:asciiTheme="minorEastAsia" w:hAnsiTheme="minorEastAsia"/>
                <w:b/>
                <w:bCs/>
                <w:color w:val="auto"/>
                <w:kern w:val="0"/>
                <w:szCs w:val="21"/>
                <w:highlight w:val="none"/>
              </w:rPr>
              <w:t>数量</w:t>
            </w:r>
          </w:p>
        </w:tc>
      </w:tr>
      <w:tr w14:paraId="4783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8" w:type="pct"/>
            <w:vAlign w:val="center"/>
          </w:tcPr>
          <w:p w14:paraId="65DCB4EF">
            <w:pPr>
              <w:pStyle w:val="46"/>
              <w:numPr>
                <w:ilvl w:val="0"/>
                <w:numId w:val="6"/>
              </w:numPr>
              <w:jc w:val="center"/>
              <w:rPr>
                <w:rFonts w:cs="宋体" w:asciiTheme="minorEastAsia" w:hAnsiTheme="minorEastAsia"/>
                <w:color w:val="auto"/>
                <w:szCs w:val="21"/>
                <w:highlight w:val="none"/>
              </w:rPr>
            </w:pPr>
          </w:p>
        </w:tc>
        <w:tc>
          <w:tcPr>
            <w:tcW w:w="458" w:type="pct"/>
            <w:tcBorders>
              <w:top w:val="single" w:color="auto" w:sz="4" w:space="0"/>
              <w:left w:val="single" w:color="auto" w:sz="4" w:space="0"/>
              <w:bottom w:val="single" w:color="auto" w:sz="4" w:space="0"/>
              <w:right w:val="single" w:color="auto" w:sz="4" w:space="0"/>
            </w:tcBorders>
            <w:vAlign w:val="center"/>
          </w:tcPr>
          <w:p w14:paraId="028B25D0">
            <w:pPr>
              <w:widowControl/>
              <w:jc w:val="left"/>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桌面VR虚拟交互一体机 （教师机）</w:t>
            </w:r>
          </w:p>
        </w:tc>
        <w:tc>
          <w:tcPr>
            <w:tcW w:w="3719" w:type="pct"/>
            <w:tcBorders>
              <w:top w:val="single" w:color="auto" w:sz="4" w:space="0"/>
              <w:left w:val="single" w:color="auto" w:sz="4" w:space="0"/>
              <w:bottom w:val="single" w:color="auto" w:sz="4" w:space="0"/>
              <w:right w:val="single" w:color="auto" w:sz="4" w:space="0"/>
            </w:tcBorders>
            <w:vAlign w:val="center"/>
          </w:tcPr>
          <w:p w14:paraId="6F0C8728">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一、整机参数：</w:t>
            </w:r>
          </w:p>
          <w:p w14:paraId="0704AFC7">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★1、整机外壳采用铝合金制造，具有光学追踪3D眼镜和追踪操控笔收纳功能，方便使用；（提供CMA或CNAS认可的检测报告复印件并加盖制造商公章）</w:t>
            </w:r>
          </w:p>
          <w:p w14:paraId="0D589A9D">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2、支持配备高清摄像头，可实现AR/VR交互操作；</w:t>
            </w:r>
          </w:p>
          <w:p w14:paraId="46805F4A">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3、整机支持二路实时将虚拟现实交互场景立体展示在外置3D显示设备，分享给旁观者；</w:t>
            </w:r>
          </w:p>
          <w:p w14:paraId="3BC098BD">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★4、同步信号传输支持红外和蓝牙两种同步信号传输协议，支持红外和蓝牙两种3D眼镜；（提供CMA或CNAS认可的检测报告复印件并加盖制造商公章）</w:t>
            </w:r>
          </w:p>
          <w:p w14:paraId="4F71066E">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5、整机支持键鼠、触控、光学追踪笔3种交互方式；</w:t>
            </w:r>
          </w:p>
          <w:p w14:paraId="056331C6">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6、整机支持播放上下或左右或帧顺序格式的3D资源；</w:t>
            </w:r>
          </w:p>
          <w:p w14:paraId="70F9F7F9">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7、整机通过视觉健康舒适度检测，符合 CSA035.2-2017 WICO 指数1 级要求.人眼在视光学角度下的视疲劳影响包括流眼泪、视力模糊、眼痒、畏光、眼胀、异物感、眼花、眼干、头疼、头晕、恶心呕吐等各类综合症状；</w:t>
            </w:r>
          </w:p>
          <w:p w14:paraId="19151FFA">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8、整机可单独作为3D显示器使用；</w:t>
            </w:r>
          </w:p>
          <w:p w14:paraId="55CF1D9A">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9、内置智能温控系统,能自动感应系统运行温度信号,并实时调节散热系统；</w:t>
            </w:r>
          </w:p>
          <w:p w14:paraId="0931263A">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10、整机显示视角，支持摆放倾斜角度为-15 度至 30 度(直立角度),根据倾斜角度,软件系统自动调整到最佳的显示视角；</w:t>
            </w:r>
          </w:p>
          <w:p w14:paraId="16096D23">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11、设备内置8欧 3W扬声器≥2个；</w:t>
            </w:r>
          </w:p>
          <w:p w14:paraId="0C2852AE">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12、整机通过安全与稳定性能测试，设备通过250N恒定作用力试验，设备需通过冲击试验；</w:t>
            </w:r>
          </w:p>
          <w:p w14:paraId="429E28CE">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 xml:space="preserve">13、整机通过振动试验（模拟运输），采用正弦振动试验方式；振 </w:t>
            </w:r>
          </w:p>
          <w:p w14:paraId="21930418">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 xml:space="preserve">动频率：8~200HZ，0.82G；方向/时间：XY 1hr，+Z 2hr 判定 </w:t>
            </w:r>
          </w:p>
          <w:p w14:paraId="2A38A022">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 xml:space="preserve">标准：试验后主机外观和结构不应有明显损坏和异常现象，重新上 </w:t>
            </w:r>
          </w:p>
          <w:p w14:paraId="7A04017F">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电需性能正常。</w:t>
            </w:r>
          </w:p>
          <w:p w14:paraId="57158D0D">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14、内置窄带滤光片，只有840-900mm频段高透，可滤除其他频段光源，有效减少外部光源干扰。</w:t>
            </w:r>
          </w:p>
          <w:p w14:paraId="7D667166">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15、整机配件包括：光学追踪3D眼镜壹副，观看者3D眼镜贰副、追踪操控笔壹支、电源适配器壹个、AC连接线壹根；</w:t>
            </w:r>
          </w:p>
          <w:p w14:paraId="575C020E">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二、数据处理单元参数：</w:t>
            </w:r>
          </w:p>
          <w:p w14:paraId="3D1259BE">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1、计算单元处理器 ≥3.0GHz ≥6核；</w:t>
            </w:r>
          </w:p>
          <w:p w14:paraId="786E61AD">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2、固态 ≥SSD 500GB；</w:t>
            </w:r>
          </w:p>
          <w:p w14:paraId="769D39BB">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3、内存 ≥16GB DDR4；</w:t>
            </w:r>
          </w:p>
          <w:p w14:paraId="1DD46618">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4、显卡 显存≥ 4GB；</w:t>
            </w:r>
          </w:p>
          <w:p w14:paraId="4D0B48C7">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5、端口USB ≥8个，TYPE-C ≥2，DP ≥1， HDMI IN ≥1，RS232 ≥1；</w:t>
            </w:r>
          </w:p>
          <w:p w14:paraId="730AD81D">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6、支持以太网连接，支持802.11a/b/g/n高速无线传输，支持蓝牙传输；</w:t>
            </w:r>
          </w:p>
          <w:p w14:paraId="03AEED5B">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★7、设备支持5G通信模块，支持 5G/4G13G 的 M.2 通信模块，5G 和LTE-A 多种网络制式的全面覆盖；（提供CMA或CNAS认可的检测报告复印件并加盖制造商公章）</w:t>
            </w:r>
          </w:p>
          <w:p w14:paraId="00AF57EE">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三、显示参数：</w:t>
            </w:r>
          </w:p>
          <w:p w14:paraId="12F61328">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1、尺寸≥27英寸,分辨率≥1920*1080；亮度≥400cd/㎡，对比度≥1000:1；</w:t>
            </w:r>
          </w:p>
          <w:p w14:paraId="29595030">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2、显示系统兼容2D/3D模式、3D上下模式、3D左右模式、支持一键控制信浩源切换；</w:t>
            </w:r>
          </w:p>
          <w:p w14:paraId="69B61F4E">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3、支持视频信号源输入，支持多达2路 3D 视频信号源输入,DP IN≥1；HDMI IN ≥1；</w:t>
            </w:r>
          </w:p>
          <w:p w14:paraId="698A5265">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4、显示系统内置红外光学跟踪系统，一体化设计，无外部连接线；</w:t>
            </w:r>
          </w:p>
          <w:p w14:paraId="46258D3C">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5、显示</w:t>
            </w:r>
            <w:r>
              <w:rPr>
                <w:rFonts w:hint="eastAsia"/>
                <w:color w:val="auto"/>
                <w:sz w:val="22"/>
                <w:highlight w:val="none"/>
              </w:rPr>
              <w:t>单元</w:t>
            </w:r>
            <w:r>
              <w:rPr>
                <w:rFonts w:hint="eastAsia" w:asciiTheme="minorEastAsia" w:hAnsiTheme="minorEastAsia"/>
                <w:color w:val="auto"/>
                <w:szCs w:val="21"/>
                <w:highlight w:val="none"/>
              </w:rPr>
              <w:t>窗口或全屏3D模式下，每帧图像信号至少为1920*1080分辨率，非左右合成分辨率减半画面；</w:t>
            </w:r>
          </w:p>
          <w:p w14:paraId="77A3E086">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四、动捕参数：</w:t>
            </w:r>
          </w:p>
          <w:p w14:paraId="0764A346">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1、光学追踪系统内置控制单元，可实现软件对显示器的智能控制功能；能自动检测一体机主要系统实时配置信息、摄像机信息，便于硬件及外接设备管理；</w:t>
            </w:r>
          </w:p>
          <w:p w14:paraId="5AC1DD51">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2、光学追踪系统包含多组红外传感器，每组红外传感器都包含2个同步双目相机，每组红外传感器配置有4个红外光源灯，单组红外传感器即可实现对目标物的实时跟踪；多组红外传感器协同工作，可提升对目标物追踪的覆盖范围及追踪系统的精度；</w:t>
            </w:r>
          </w:p>
          <w:p w14:paraId="6AAF8238">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★3、姿态信息，光学跟踪系统可实时显示当前显示系统的姿态信息，并将当前显示系统的姿态信息映射到虚拟场景中获得最精准的3D显示成像；（提供CMA或CNAS认可的检测报告复印件并加盖制造商公章）</w:t>
            </w:r>
          </w:p>
          <w:p w14:paraId="3CF5645F">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4、光学追踪3D眼镜,结构支持挂在近视眼镜上，5点追踪设计，3点以上即准确判断眼镜位置,从而转换不同视角下的显示内容，具备头部位置追踪功能；</w:t>
            </w:r>
          </w:p>
          <w:p w14:paraId="202186E7">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5、光学追踪3D眼镜和观看者3D眼镜可支持在多台同一型号主机使用；</w:t>
            </w:r>
          </w:p>
          <w:p w14:paraId="76824D55">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6、光学追踪操控笔，支持6自由度坐标轴和空中姿态转动；追踪精度&lt;1mm,角度精度&lt;0.1度；操控笔与主机采用有线连接方式保证信号稳定，无需电池供电；握笔式人体工学设计；操控笔内置振动器,可以通过震动方式来反馈用户操作；</w:t>
            </w:r>
          </w:p>
          <w:p w14:paraId="02FCB993">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7、光学追踪操控笔具有2个红外追踪Mark点追踪操控位置；</w:t>
            </w:r>
          </w:p>
          <w:p w14:paraId="6507A4A6">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五、控制参数</w:t>
            </w:r>
          </w:p>
          <w:p w14:paraId="6F77C1B0">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控制面板，系统整合虚拟现实控制面板，可测试和调试系统虚拟现实功能及模块，包括护眼模式、服务状态检测、硬件信息检测、主控板模块、触笔跟踪测试、设置摄像头检测、参数管理、显示模式、双屏模式；</w:t>
            </w:r>
          </w:p>
          <w:p w14:paraId="73C23362">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1、护眼模式模块，可以根据需求调节屏幕亮度，减少蓝光伤害，并支持一键开启和关闭，方便便捷；</w:t>
            </w:r>
          </w:p>
          <w:p w14:paraId="4FCBD675">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2、服务状态模块，能显示该软件版本，自动检测软件运行状态，包括摄像头状态、触控笔状态，主控板状态等显示一目了然，方便问题排查；</w:t>
            </w:r>
          </w:p>
          <w:p w14:paraId="5E76F1CB">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3、硬件信息模块，能自动检测一体机主要系统实时配置信息、通用串行设备信息、摄像机信息，便于硬件及外接设备管理；</w:t>
            </w:r>
          </w:p>
          <w:p w14:paraId="39517AD4">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4、主控板模块，能显示本机序列号，及当前设备倾斜角度，并根据倾斜角度调整显示内容视角，保证最佳呈现效果。同时具备红外摄像等打开与关闭功能；</w:t>
            </w:r>
          </w:p>
          <w:p w14:paraId="54D33169">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5、操控笔模块，能检测和显示按键的按压状态及操控笔的姿态，实施显示操控笔X、Y、Z轴实时数据。可以根据需求自由调节笔的震动强弱度，保证最佳反馈；</w:t>
            </w:r>
          </w:p>
          <w:p w14:paraId="3F6907B2">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6、摄像机模块，可以对自带红外摄像机、通用摄像机进行控制和设置，保证最佳的追踪效果；</w:t>
            </w:r>
          </w:p>
          <w:p w14:paraId="08EA6F0E">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7、显示设置模块，可以对2D模式、3D显示模式、3D上下显示模式进行检测及自由设置，满足不同显示情景需求。</w:t>
            </w:r>
          </w:p>
          <w:p w14:paraId="16EF8932">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六、桌面VR学习体验软件</w:t>
            </w:r>
          </w:p>
          <w:p w14:paraId="3B2E618A">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为方便师生快速熟练使用设备，桌面VR体验馆软件提供了“蚕的生命周期、心脏循环系统、发动机内部结构、八大行星和建筑”五类课件；软件支持启动更新，具有在线自动更新功能且安装完毕后支持离线使用，支持提供每次操作的提示功能。为保证采购质量和教学效果，需提供国家版权局颁发的VR互动体验相关软件著作权复印件并加盖制造商公章。</w:t>
            </w:r>
          </w:p>
          <w:p w14:paraId="3A17532E">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1、蚕的生命周期：展现了不同时期蚕的特征变化，从卵、幼虫、蛹和成虫四个阶段。可使用尺子功能测量对比不同年龄段蚕宝宝的长度，可放大画面观察蚕的产卵过程；</w:t>
            </w:r>
          </w:p>
          <w:p w14:paraId="02EAA6F2">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2、心脏循环系统：可观察人体的循环系统以及心脏的跳动，可对其进行拆分组合，以及观察人体的正常心率和跑步心率的变化；</w:t>
            </w:r>
          </w:p>
          <w:p w14:paraId="6FEE53B9">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3、发动机内部结构：可对发动机进行拆分组合，透视功能可清晰的观察到发动机的运作原理；</w:t>
            </w:r>
          </w:p>
          <w:p w14:paraId="2DF95FBF">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4、八大行星：根据真实的行星运动轨迹以及运动速度设计出场景，高度还原，可拿起观察每颗行星。切片功能可查看行星内部结构，测试功能可以强化学生的知识点记忆；</w:t>
            </w:r>
          </w:p>
          <w:p w14:paraId="70B0DCA0">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5、建筑：一个微观的学校建筑，可以查看楼层的建筑结构；</w:t>
            </w:r>
          </w:p>
          <w:p w14:paraId="159EB84F">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6、体验软件在局域网内可支持不少于3台设备同时间在同一场景下协同操作；</w:t>
            </w:r>
          </w:p>
          <w:p w14:paraId="1A9628CE">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七、VR互动教学系统</w:t>
            </w:r>
          </w:p>
          <w:p w14:paraId="09AA6E8B">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1、包含3D模型库、AR增强现实模块、投屏模块、探究工具模块、嵌入式问答模块，各个模块与操作系统无缝衔接；</w:t>
            </w:r>
          </w:p>
          <w:p w14:paraId="5700108C">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2、资源库拥有正版VR教学模型数量≥3000个，涵盖有机械、汽车、人体、动物、植物、天体等类别，同时支持外部模型导入；</w:t>
            </w:r>
          </w:p>
          <w:p w14:paraId="7E463DC1">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3、支持教学画面屏幕录制功能，方便微课制作；</w:t>
            </w:r>
          </w:p>
          <w:p w14:paraId="437C8073">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4、支持对模型进行三维浏览、拆分、标注、放大缩小、尺寸测量、内部探查、显示/隐藏模型标签等功能；</w:t>
            </w:r>
          </w:p>
        </w:tc>
        <w:tc>
          <w:tcPr>
            <w:tcW w:w="238" w:type="pct"/>
            <w:tcBorders>
              <w:top w:val="single" w:color="auto" w:sz="4" w:space="0"/>
              <w:left w:val="single" w:color="auto" w:sz="4" w:space="0"/>
              <w:bottom w:val="single" w:color="auto" w:sz="4" w:space="0"/>
              <w:right w:val="single" w:color="auto" w:sz="4" w:space="0"/>
            </w:tcBorders>
            <w:vAlign w:val="center"/>
          </w:tcPr>
          <w:p w14:paraId="53FD4246">
            <w:pPr>
              <w:widowControl/>
              <w:jc w:val="center"/>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台</w:t>
            </w:r>
          </w:p>
        </w:tc>
        <w:tc>
          <w:tcPr>
            <w:tcW w:w="348" w:type="pct"/>
            <w:tcBorders>
              <w:top w:val="single" w:color="auto" w:sz="4" w:space="0"/>
              <w:left w:val="single" w:color="auto" w:sz="4" w:space="0"/>
              <w:bottom w:val="single" w:color="auto" w:sz="4" w:space="0"/>
              <w:right w:val="single" w:color="auto" w:sz="4" w:space="0"/>
            </w:tcBorders>
            <w:vAlign w:val="center"/>
          </w:tcPr>
          <w:p w14:paraId="1F68C0C4">
            <w:pPr>
              <w:widowControl/>
              <w:jc w:val="center"/>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1</w:t>
            </w:r>
          </w:p>
        </w:tc>
      </w:tr>
      <w:tr w14:paraId="490D1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8" w:type="pct"/>
            <w:vAlign w:val="center"/>
          </w:tcPr>
          <w:p w14:paraId="53883121">
            <w:pPr>
              <w:pStyle w:val="46"/>
              <w:numPr>
                <w:ilvl w:val="0"/>
                <w:numId w:val="6"/>
              </w:numPr>
              <w:jc w:val="center"/>
              <w:rPr>
                <w:rFonts w:cs="宋体" w:asciiTheme="minorEastAsia" w:hAnsiTheme="minorEastAsia"/>
                <w:color w:val="auto"/>
                <w:szCs w:val="21"/>
                <w:highlight w:val="none"/>
              </w:rPr>
            </w:pPr>
          </w:p>
        </w:tc>
        <w:tc>
          <w:tcPr>
            <w:tcW w:w="458" w:type="pct"/>
            <w:tcBorders>
              <w:top w:val="nil"/>
              <w:left w:val="single" w:color="auto" w:sz="4" w:space="0"/>
              <w:bottom w:val="single" w:color="auto" w:sz="4" w:space="0"/>
              <w:right w:val="single" w:color="auto" w:sz="4" w:space="0"/>
            </w:tcBorders>
            <w:vAlign w:val="center"/>
          </w:tcPr>
          <w:p w14:paraId="690F2FA0">
            <w:pPr>
              <w:widowControl/>
              <w:jc w:val="left"/>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增强现实系统</w:t>
            </w:r>
          </w:p>
        </w:tc>
        <w:tc>
          <w:tcPr>
            <w:tcW w:w="3719" w:type="pct"/>
            <w:tcBorders>
              <w:top w:val="nil"/>
              <w:left w:val="single" w:color="auto" w:sz="4" w:space="0"/>
              <w:bottom w:val="single" w:color="auto" w:sz="4" w:space="0"/>
              <w:right w:val="single" w:color="auto" w:sz="4" w:space="0"/>
            </w:tcBorders>
            <w:vAlign w:val="center"/>
          </w:tcPr>
          <w:p w14:paraId="775535FA">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AR增强现实互动软件</w:t>
            </w:r>
          </w:p>
          <w:p w14:paraId="68E518EB">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1、采集摄像头分辨率不低于1080P，USB数据连接线长度不小于1.5米；</w:t>
            </w:r>
          </w:p>
          <w:p w14:paraId="26A812FD">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2、摄像头具备自动降燥和自动对焦功能，与桌面虚拟交互一体机的配套使用，实现增强现实功能；</w:t>
            </w:r>
          </w:p>
          <w:p w14:paraId="68D99210">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3、增强现实软件采用C/S架构，支持TCP/UDP/本地传输；</w:t>
            </w:r>
          </w:p>
          <w:p w14:paraId="164F9DBB">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4、增强现实系统将真实环境与教师机图层叠加后展现给学生，实现裸眼观看浩瀚地立体显示效果，从而提高学生积极性；</w:t>
            </w:r>
          </w:p>
          <w:p w14:paraId="270CB9E5">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5、专用AR增强现实软件在标定过程中提供不少于15个二维图像参照码，可对画面截图存档；</w:t>
            </w:r>
          </w:p>
        </w:tc>
        <w:tc>
          <w:tcPr>
            <w:tcW w:w="238" w:type="pct"/>
            <w:tcBorders>
              <w:top w:val="nil"/>
              <w:left w:val="single" w:color="auto" w:sz="4" w:space="0"/>
              <w:bottom w:val="single" w:color="auto" w:sz="4" w:space="0"/>
              <w:right w:val="single" w:color="auto" w:sz="4" w:space="0"/>
            </w:tcBorders>
            <w:vAlign w:val="center"/>
          </w:tcPr>
          <w:p w14:paraId="1B361E4A">
            <w:pPr>
              <w:widowControl/>
              <w:jc w:val="center"/>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套</w:t>
            </w:r>
          </w:p>
        </w:tc>
        <w:tc>
          <w:tcPr>
            <w:tcW w:w="348" w:type="pct"/>
            <w:tcBorders>
              <w:top w:val="nil"/>
              <w:left w:val="single" w:color="auto" w:sz="4" w:space="0"/>
              <w:bottom w:val="single" w:color="auto" w:sz="4" w:space="0"/>
              <w:right w:val="single" w:color="auto" w:sz="4" w:space="0"/>
            </w:tcBorders>
            <w:vAlign w:val="center"/>
          </w:tcPr>
          <w:p w14:paraId="7E8545F6">
            <w:pPr>
              <w:widowControl/>
              <w:jc w:val="center"/>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1</w:t>
            </w:r>
          </w:p>
        </w:tc>
      </w:tr>
      <w:tr w14:paraId="60355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8" w:type="pct"/>
            <w:vAlign w:val="center"/>
          </w:tcPr>
          <w:p w14:paraId="6F642E2D">
            <w:pPr>
              <w:pStyle w:val="46"/>
              <w:numPr>
                <w:ilvl w:val="0"/>
                <w:numId w:val="6"/>
              </w:numPr>
              <w:jc w:val="center"/>
              <w:rPr>
                <w:rFonts w:cs="宋体" w:asciiTheme="minorEastAsia" w:hAnsiTheme="minorEastAsia"/>
                <w:color w:val="auto"/>
                <w:szCs w:val="21"/>
                <w:highlight w:val="none"/>
              </w:rPr>
            </w:pPr>
          </w:p>
        </w:tc>
        <w:tc>
          <w:tcPr>
            <w:tcW w:w="458" w:type="pct"/>
            <w:tcBorders>
              <w:top w:val="nil"/>
              <w:left w:val="single" w:color="auto" w:sz="4" w:space="0"/>
              <w:bottom w:val="single" w:color="auto" w:sz="4" w:space="0"/>
              <w:right w:val="single" w:color="auto" w:sz="4" w:space="0"/>
            </w:tcBorders>
            <w:vAlign w:val="center"/>
          </w:tcPr>
          <w:p w14:paraId="10FA96E4">
            <w:pPr>
              <w:widowControl/>
              <w:jc w:val="left"/>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3D_LED显示</w:t>
            </w:r>
            <w:r>
              <w:rPr>
                <w:rFonts w:hint="eastAsia"/>
                <w:color w:val="auto"/>
                <w:sz w:val="22"/>
                <w:highlight w:val="none"/>
              </w:rPr>
              <w:t>单元</w:t>
            </w:r>
          </w:p>
        </w:tc>
        <w:tc>
          <w:tcPr>
            <w:tcW w:w="3719" w:type="pct"/>
            <w:tcBorders>
              <w:top w:val="nil"/>
              <w:left w:val="single" w:color="auto" w:sz="4" w:space="0"/>
              <w:bottom w:val="single" w:color="auto" w:sz="4" w:space="0"/>
              <w:right w:val="single" w:color="auto" w:sz="4" w:space="0"/>
            </w:tcBorders>
            <w:vAlign w:val="center"/>
          </w:tcPr>
          <w:p w14:paraId="7A57F34B">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1、屏幕支持支持2D和3D两种显示模式；</w:t>
            </w:r>
          </w:p>
          <w:p w14:paraId="559CF7AF">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2、显示面积：约等于10平米（4.16*2.4m）；</w:t>
            </w:r>
          </w:p>
          <w:p w14:paraId="3D083F8D">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3、像素点间距：≤P1.86mm；</w:t>
            </w:r>
          </w:p>
          <w:p w14:paraId="00CC2240">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4、像素密度：≥288906点/㎡；</w:t>
            </w:r>
          </w:p>
          <w:p w14:paraId="0D9FD9EA">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5、模组尺寸：≥320×160mm；</w:t>
            </w:r>
          </w:p>
          <w:p w14:paraId="3CEB3A62">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6、像素失控率：≤0.0000001；</w:t>
            </w:r>
          </w:p>
          <w:p w14:paraId="6A580FF0">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7、刷新频率：≥7680Hz；</w:t>
            </w:r>
          </w:p>
          <w:p w14:paraId="4DCBD75B">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8、防护等级≥IP68；</w:t>
            </w:r>
          </w:p>
          <w:p w14:paraId="7958F9FA">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9、画面延时≤300ns</w:t>
            </w:r>
          </w:p>
          <w:p w14:paraId="7AD67BF0">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10、色深位数≥10bits</w:t>
            </w:r>
          </w:p>
          <w:p w14:paraId="3280B18D">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11、水平/垂直视角：≥180°；</w:t>
            </w:r>
          </w:p>
          <w:p w14:paraId="56B90540">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12、色温（K）介于 1000～15000；</w:t>
            </w:r>
          </w:p>
          <w:p w14:paraId="49ABAD4E">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13、最大对比度≥50000:1(全白/全黑，环境照度 0.05lux）；</w:t>
            </w:r>
          </w:p>
          <w:p w14:paraId="62981BFA">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14、亮度：≥0-1500nits,支持通过配套软件 0-100%无级调节；</w:t>
            </w:r>
          </w:p>
          <w:p w14:paraId="756FB736">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15、亮度均匀性≥99.8%；</w:t>
            </w:r>
          </w:p>
          <w:p w14:paraId="60C936FF">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16、色度均匀性介于±0.001 Cx,Cy；</w:t>
            </w:r>
          </w:p>
          <w:p w14:paraId="1A6C32D1">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17、使用寿命：≥200000小时；</w:t>
            </w:r>
          </w:p>
          <w:p w14:paraId="218B10A9">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18、最大功耗峰值功率：≤320W/m²</w:t>
            </w:r>
          </w:p>
          <w:p w14:paraId="6A9EC08C">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19、平均功耗峰值功率：≤100W/m²</w:t>
            </w:r>
          </w:p>
          <w:p w14:paraId="59F076AB">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20、自动调整：支持色彩和亮度自动调整，对色彩及亮度自动调整，保持色彩亮度一致性；</w:t>
            </w:r>
          </w:p>
          <w:p w14:paraId="11C7879D">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20、光生物安全：皮肤和眼睛的光化学紫外危害曝辐射值、眼睛的近紫外危害曝福射值、宽波段的光源对视网膜危害、蓝光对皮肤表面及角膜和视网膜的曝辐射值、眼睛的红外辐射危害曝辐射值、皮肤热危害曝辐射值检测；（提供CMA或CNAS认可的检测报告复印件并加盖制造商公章）</w:t>
            </w:r>
          </w:p>
          <w:p w14:paraId="72692DDE">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21、灰度分层校正：依据LED灯发光曲线参数，一级一级的灰度进行亮度、色度修正。分段多套校正数据，实现显示自动匹灰阶校正数据；</w:t>
            </w:r>
          </w:p>
          <w:p w14:paraId="69910AA4">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22、电路板：设计采用多层 PCB 设计，一体化驱动控制，PCB 表面沉金处理，采用抗消隐设计，无“毛毛虫”和“鬼影”跟随现象；</w:t>
            </w:r>
          </w:p>
          <w:p w14:paraId="7F9F70CA">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★23、传输方式：显示产品单元模组电源、信号传输采用一体化传输；（提供CMA或CNAS认可的检测报告复印件并加盖制造商公章）</w:t>
            </w:r>
          </w:p>
          <w:p w14:paraId="7A04ACA3">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24、电源温度控制系统：LED显示</w:t>
            </w:r>
            <w:r>
              <w:rPr>
                <w:rFonts w:hint="eastAsia"/>
                <w:color w:val="auto"/>
                <w:sz w:val="22"/>
                <w:highlight w:val="none"/>
              </w:rPr>
              <w:t>单元</w:t>
            </w:r>
            <w:r>
              <w:rPr>
                <w:rFonts w:hint="eastAsia" w:asciiTheme="minorEastAsia" w:hAnsiTheme="minorEastAsia"/>
                <w:color w:val="auto"/>
                <w:szCs w:val="21"/>
                <w:highlight w:val="none"/>
              </w:rPr>
              <w:t>具有电源温度控制系统，提供电源实时温度监控，超出设定温度自动报警，防止过温失效；</w:t>
            </w:r>
          </w:p>
          <w:p w14:paraId="12A48412">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25、故障告警：LED 显示</w:t>
            </w:r>
            <w:r>
              <w:rPr>
                <w:rFonts w:hint="eastAsia"/>
                <w:color w:val="auto"/>
                <w:sz w:val="22"/>
                <w:highlight w:val="none"/>
              </w:rPr>
              <w:t>单元</w:t>
            </w:r>
            <w:r>
              <w:rPr>
                <w:rFonts w:hint="eastAsia" w:asciiTheme="minorEastAsia" w:hAnsiTheme="minorEastAsia"/>
                <w:color w:val="auto"/>
                <w:szCs w:val="21"/>
                <w:highlight w:val="none"/>
              </w:rPr>
              <w:t>可实时监控显示</w:t>
            </w:r>
            <w:r>
              <w:rPr>
                <w:rFonts w:hint="eastAsia"/>
                <w:color w:val="auto"/>
                <w:sz w:val="22"/>
                <w:highlight w:val="none"/>
              </w:rPr>
              <w:t>单元</w:t>
            </w:r>
            <w:r>
              <w:rPr>
                <w:rFonts w:hint="eastAsia" w:asciiTheme="minorEastAsia" w:hAnsiTheme="minorEastAsia"/>
                <w:color w:val="auto"/>
                <w:szCs w:val="21"/>
                <w:highlight w:val="none"/>
              </w:rPr>
              <w:t>工作状态，具有计时功能及信号运行监测功能，具有坏点检测系统，具体故障自动告警功能；</w:t>
            </w:r>
          </w:p>
          <w:p w14:paraId="20B62F99">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26、电源冗余备份：支持双电网供电，当其中一路交流电网跳闸后，另外一路电网继续供电，实现不间断供电，支持热备份，当其中一块电源失效后，另外一块电源继续工作，从而实现不间断供电；</w:t>
            </w:r>
          </w:p>
        </w:tc>
        <w:tc>
          <w:tcPr>
            <w:tcW w:w="238" w:type="pct"/>
            <w:tcBorders>
              <w:top w:val="nil"/>
              <w:left w:val="single" w:color="auto" w:sz="4" w:space="0"/>
              <w:bottom w:val="single" w:color="auto" w:sz="4" w:space="0"/>
              <w:right w:val="single" w:color="auto" w:sz="4" w:space="0"/>
            </w:tcBorders>
            <w:vAlign w:val="center"/>
          </w:tcPr>
          <w:p w14:paraId="0025DE57">
            <w:pPr>
              <w:widowControl/>
              <w:jc w:val="center"/>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平米</w:t>
            </w:r>
          </w:p>
        </w:tc>
        <w:tc>
          <w:tcPr>
            <w:tcW w:w="348" w:type="pct"/>
            <w:tcBorders>
              <w:top w:val="nil"/>
              <w:left w:val="single" w:color="auto" w:sz="4" w:space="0"/>
              <w:bottom w:val="single" w:color="auto" w:sz="4" w:space="0"/>
              <w:right w:val="single" w:color="auto" w:sz="4" w:space="0"/>
            </w:tcBorders>
            <w:vAlign w:val="center"/>
          </w:tcPr>
          <w:p w14:paraId="24B88992">
            <w:pPr>
              <w:widowControl/>
              <w:jc w:val="center"/>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10</w:t>
            </w:r>
          </w:p>
        </w:tc>
      </w:tr>
      <w:tr w14:paraId="0D7B6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8" w:type="pct"/>
            <w:vAlign w:val="center"/>
          </w:tcPr>
          <w:p w14:paraId="30244036">
            <w:pPr>
              <w:pStyle w:val="46"/>
              <w:numPr>
                <w:ilvl w:val="0"/>
                <w:numId w:val="6"/>
              </w:numPr>
              <w:jc w:val="center"/>
              <w:rPr>
                <w:rFonts w:cs="宋体" w:asciiTheme="minorEastAsia" w:hAnsiTheme="minorEastAsia"/>
                <w:color w:val="auto"/>
                <w:szCs w:val="21"/>
                <w:highlight w:val="none"/>
              </w:rPr>
            </w:pPr>
          </w:p>
        </w:tc>
        <w:tc>
          <w:tcPr>
            <w:tcW w:w="458" w:type="pct"/>
            <w:tcBorders>
              <w:top w:val="nil"/>
              <w:left w:val="single" w:color="auto" w:sz="4" w:space="0"/>
              <w:bottom w:val="single" w:color="auto" w:sz="4" w:space="0"/>
              <w:right w:val="single" w:color="auto" w:sz="4" w:space="0"/>
            </w:tcBorders>
            <w:vAlign w:val="center"/>
          </w:tcPr>
          <w:p w14:paraId="56B4A7DD">
            <w:pPr>
              <w:widowControl/>
              <w:jc w:val="left"/>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3D视频发送器</w:t>
            </w:r>
          </w:p>
        </w:tc>
        <w:tc>
          <w:tcPr>
            <w:tcW w:w="3719" w:type="pct"/>
            <w:tcBorders>
              <w:top w:val="nil"/>
              <w:left w:val="single" w:color="auto" w:sz="4" w:space="0"/>
              <w:bottom w:val="single" w:color="auto" w:sz="4" w:space="0"/>
              <w:right w:val="single" w:color="auto" w:sz="4" w:space="0"/>
            </w:tcBorders>
            <w:vAlign w:val="center"/>
          </w:tcPr>
          <w:p w14:paraId="79318509">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1、本设备集发送、视频处理、拼接、3D功能一体式设计，非机箱+板卡组装，设备稳定性更高；</w:t>
            </w:r>
          </w:p>
          <w:p w14:paraId="49D30F7C">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2、支持DP、HDMI 2.0和DVI信号源无缝切换，切换时间≤2ms；</w:t>
            </w:r>
          </w:p>
          <w:p w14:paraId="69237C45">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3、支持独立音频输入或输出，支持HDMI或DP音频解析；</w:t>
            </w:r>
          </w:p>
          <w:p w14:paraId="72A15975">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4、支持RS232串口协议控制；</w:t>
            </w:r>
          </w:p>
          <w:p w14:paraId="7F32F85B">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5、支持主动式3D显示功能；</w:t>
            </w:r>
          </w:p>
          <w:p w14:paraId="0341837C">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6、支持HDCP协议的高带宽数字内容保护技术；</w:t>
            </w:r>
          </w:p>
          <w:p w14:paraId="7B6E14F1">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7、支持最大输入分辨率4096×2160@60Hz，支持自定义分辨率设置；</w:t>
            </w:r>
          </w:p>
          <w:p w14:paraId="4C5D3532">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8、根据显示</w:t>
            </w:r>
            <w:r>
              <w:rPr>
                <w:rFonts w:hint="eastAsia"/>
                <w:color w:val="auto"/>
                <w:sz w:val="22"/>
                <w:highlight w:val="none"/>
              </w:rPr>
              <w:t>单元</w:t>
            </w:r>
            <w:r>
              <w:rPr>
                <w:rFonts w:hint="eastAsia" w:asciiTheme="minorEastAsia" w:hAnsiTheme="minorEastAsia"/>
                <w:color w:val="auto"/>
                <w:szCs w:val="21"/>
                <w:highlight w:val="none"/>
              </w:rPr>
              <w:t>分辨率对输入图像进行任意缩放，支持画中画缩放，包括点对点模式、全屏缩放、自定义缩放等；</w:t>
            </w:r>
          </w:p>
          <w:p w14:paraId="1B13530B">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9、支持输出不少于6路视频图像，并可通过客户端软件对输出图像进行叠加、缩放、设置输出位置和图层等操作。</w:t>
            </w:r>
          </w:p>
          <w:p w14:paraId="753A1367">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10、支持中控对接，可平板控制实现一键3D/2D画面；</w:t>
            </w:r>
          </w:p>
          <w:p w14:paraId="7795A955">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11、支持一键锁屏/黑屏，解除状态后显示与数据处理单元实时画面完全同步显示；</w:t>
            </w:r>
          </w:p>
          <w:p w14:paraId="168E843B">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12、支持软件调节显示画面的亮度补偿、色调、饱和度、对比度，提升画面显示效果；</w:t>
            </w:r>
          </w:p>
          <w:p w14:paraId="07FA2482">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13、设备支持EUT连接，兼容交流电网电源的单独连接；</w:t>
            </w:r>
          </w:p>
          <w:p w14:paraId="13ED701E">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14、支持亮度和色度调节，可任意改变0-255灰阶不同灰度值的亮度显示和色温；</w:t>
            </w:r>
          </w:p>
          <w:p w14:paraId="0ECEE1C2">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15、支持任意接收卡间校正系数回读上传至PC端实时显示；</w:t>
            </w:r>
          </w:p>
          <w:p w14:paraId="5255DF7F">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16、支持3D立体的同步信号输入和输出，支持左眼和右眼2路视频合成120Hz帧序列立体；</w:t>
            </w:r>
          </w:p>
          <w:p w14:paraId="0B1929F5">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17、支持自动倍频播放，针对信号源小的采用2倍频或3倍频转高输出，提高画面显示效果；</w:t>
            </w:r>
          </w:p>
          <w:p w14:paraId="66EFAE92">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18、支持对屏幕的不同色彩空间颜色之间的转化，可以保证LED屏幕显示图片的准确性；</w:t>
            </w:r>
          </w:p>
          <w:p w14:paraId="1A206211">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19、连接关系来自发送器，可以将LED屏幕的连接方式保存至发送器内，更换LED屏体内部接收卡时，无需重新设置屏幕连接关系；</w:t>
            </w:r>
          </w:p>
          <w:p w14:paraId="1F99103F">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★20、支持上下和左右立体视频信号，支持3D信号的发射至眼镜接收的延时≤2ms，最大可接收1500付3D眼镜的3D信号同时输出，且互不影响观看体验；（提供CMA或CNAS认可的检测报告复印件并加盖制造商公章）</w:t>
            </w:r>
          </w:p>
          <w:p w14:paraId="39F395D5">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21、色彩还原，根据显示</w:t>
            </w:r>
            <w:r>
              <w:rPr>
                <w:rFonts w:hint="eastAsia"/>
                <w:color w:val="auto"/>
                <w:sz w:val="22"/>
                <w:highlight w:val="none"/>
              </w:rPr>
              <w:t>单元</w:t>
            </w:r>
            <w:r>
              <w:rPr>
                <w:rFonts w:hint="eastAsia" w:asciiTheme="minorEastAsia" w:hAnsiTheme="minorEastAsia"/>
                <w:color w:val="auto"/>
                <w:szCs w:val="21"/>
                <w:highlight w:val="none"/>
              </w:rPr>
              <w:t>所用LED的不同特性，实现白平衡校准及色域匹配，确保色彩真实还原；</w:t>
            </w:r>
          </w:p>
          <w:p w14:paraId="26A4213D">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22、帧率自适应技术，单台设备内部Vsync可自适应调整帧率，多接口画面拼接时，信号可以指定信号源帧率进行同步，有效避免画面撕裂问题；</w:t>
            </w:r>
          </w:p>
          <w:p w14:paraId="215439C6">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23、支持跨平台系统控制，控制软件支持Windows、mac0S、国产Linux、统信U0S、Ubuntu和麒麟操作系统；</w:t>
            </w:r>
          </w:p>
          <w:p w14:paraId="5206E4C7">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★24、支持屏幕除湿功能，通过自定义设置预热屏幕减少屏幕水汽，可以减少死灯、短路、暗亮等问题，延长显示</w:t>
            </w:r>
            <w:r>
              <w:rPr>
                <w:rFonts w:hint="eastAsia"/>
                <w:color w:val="auto"/>
                <w:sz w:val="22"/>
                <w:highlight w:val="none"/>
              </w:rPr>
              <w:t>单元</w:t>
            </w:r>
            <w:r>
              <w:rPr>
                <w:rFonts w:hint="eastAsia" w:asciiTheme="minorEastAsia" w:hAnsiTheme="minorEastAsia"/>
                <w:color w:val="auto"/>
                <w:szCs w:val="21"/>
                <w:highlight w:val="none"/>
              </w:rPr>
              <w:t>使用寿命；（提供CMA或CNAS认可的检测报告复印件并加盖制造商公章）</w:t>
            </w:r>
          </w:p>
          <w:p w14:paraId="5B03B5CB">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25、完善的信号检测功能，可检测信号大小、格式、分辨率、HDR，检查控制器数量接收卡数量;检查画面图层数量以及大小;检查温度、IP地址、屏幕参数；</w:t>
            </w:r>
          </w:p>
          <w:p w14:paraId="22AACDAA">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26、自动备份，支持单机网口备份、单机光口备份、双机网口备份双机光口备份;在控制系统上设置好物理连接的备份关系，可解决网口故障、信号源故障、信号线故障、控制器电源故障、以及连接源与控制器间的其他设备故障导致的显示画面异常，黑屏等异常问题；</w:t>
            </w:r>
          </w:p>
          <w:p w14:paraId="0320BDDC">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27、支持恢复出厂设置，不正当操作导致控制器内部设置错乱，可一键恢复出厂标准设置。</w:t>
            </w:r>
          </w:p>
        </w:tc>
        <w:tc>
          <w:tcPr>
            <w:tcW w:w="238" w:type="pct"/>
            <w:tcBorders>
              <w:top w:val="nil"/>
              <w:left w:val="single" w:color="auto" w:sz="4" w:space="0"/>
              <w:bottom w:val="single" w:color="auto" w:sz="4" w:space="0"/>
              <w:right w:val="single" w:color="auto" w:sz="4" w:space="0"/>
            </w:tcBorders>
            <w:vAlign w:val="center"/>
          </w:tcPr>
          <w:p w14:paraId="41D5F612">
            <w:pPr>
              <w:widowControl/>
              <w:jc w:val="center"/>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套</w:t>
            </w:r>
          </w:p>
        </w:tc>
        <w:tc>
          <w:tcPr>
            <w:tcW w:w="348" w:type="pct"/>
            <w:tcBorders>
              <w:top w:val="nil"/>
              <w:left w:val="single" w:color="auto" w:sz="4" w:space="0"/>
              <w:bottom w:val="single" w:color="auto" w:sz="4" w:space="0"/>
              <w:right w:val="single" w:color="auto" w:sz="4" w:space="0"/>
            </w:tcBorders>
            <w:vAlign w:val="center"/>
          </w:tcPr>
          <w:p w14:paraId="3AACF845">
            <w:pPr>
              <w:widowControl/>
              <w:jc w:val="center"/>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1</w:t>
            </w:r>
          </w:p>
        </w:tc>
      </w:tr>
      <w:tr w14:paraId="029CD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8" w:type="pct"/>
            <w:vAlign w:val="center"/>
          </w:tcPr>
          <w:p w14:paraId="050A8E9C">
            <w:pPr>
              <w:pStyle w:val="46"/>
              <w:numPr>
                <w:ilvl w:val="0"/>
                <w:numId w:val="6"/>
              </w:numPr>
              <w:jc w:val="center"/>
              <w:rPr>
                <w:rFonts w:cs="宋体" w:asciiTheme="minorEastAsia" w:hAnsiTheme="minorEastAsia"/>
                <w:color w:val="auto"/>
                <w:szCs w:val="21"/>
                <w:highlight w:val="none"/>
              </w:rPr>
            </w:pPr>
          </w:p>
        </w:tc>
        <w:tc>
          <w:tcPr>
            <w:tcW w:w="458" w:type="pct"/>
            <w:tcBorders>
              <w:top w:val="nil"/>
              <w:left w:val="single" w:color="auto" w:sz="4" w:space="0"/>
              <w:bottom w:val="single" w:color="auto" w:sz="4" w:space="0"/>
              <w:right w:val="single" w:color="auto" w:sz="4" w:space="0"/>
            </w:tcBorders>
            <w:vAlign w:val="center"/>
          </w:tcPr>
          <w:p w14:paraId="6B25598A">
            <w:pPr>
              <w:widowControl/>
              <w:jc w:val="left"/>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3D同步信号处理器</w:t>
            </w:r>
          </w:p>
        </w:tc>
        <w:tc>
          <w:tcPr>
            <w:tcW w:w="3719" w:type="pct"/>
            <w:tcBorders>
              <w:top w:val="nil"/>
              <w:left w:val="single" w:color="auto" w:sz="4" w:space="0"/>
              <w:bottom w:val="single" w:color="auto" w:sz="4" w:space="0"/>
              <w:right w:val="single" w:color="auto" w:sz="4" w:space="0"/>
            </w:tcBorders>
            <w:vAlign w:val="center"/>
          </w:tcPr>
          <w:p w14:paraId="3BE62864">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1、信号方式：支持同步解码或IR发射信号；</w:t>
            </w:r>
          </w:p>
          <w:p w14:paraId="1B6C281A">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2、信号帧频：90~480Hz；</w:t>
            </w:r>
          </w:p>
          <w:p w14:paraId="553C94BF">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3、信号距离：直线发射距离不小于50米；</w:t>
            </w:r>
          </w:p>
          <w:p w14:paraId="5AA4757C">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4、信号覆盖：发射信号覆盖范围不小于120度；</w:t>
            </w:r>
          </w:p>
          <w:p w14:paraId="0ABACC43">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5、信号输出：不少于三路输出接口；</w:t>
            </w:r>
          </w:p>
          <w:p w14:paraId="4727017A">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6、信号负载：具备打嗝模式，负载异常条件移除后可自动恢复；</w:t>
            </w:r>
          </w:p>
          <w:p w14:paraId="595D1DB8">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7、信号切换：具备左右眼切换功能；</w:t>
            </w:r>
          </w:p>
          <w:p w14:paraId="404EF005">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8、电压参数：100~240VAC，保护过负载，额定输出功率的110%~150%。</w:t>
            </w:r>
          </w:p>
          <w:p w14:paraId="2FB24DC1">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★9、为保证采购质量和教学效果，需提供国家版权局颁发的3D同步信号发射器相关软件著作权复印件加盖制造商公章。</w:t>
            </w:r>
          </w:p>
        </w:tc>
        <w:tc>
          <w:tcPr>
            <w:tcW w:w="238" w:type="pct"/>
            <w:tcBorders>
              <w:top w:val="nil"/>
              <w:left w:val="single" w:color="auto" w:sz="4" w:space="0"/>
              <w:bottom w:val="single" w:color="auto" w:sz="4" w:space="0"/>
              <w:right w:val="single" w:color="auto" w:sz="4" w:space="0"/>
            </w:tcBorders>
            <w:vAlign w:val="center"/>
          </w:tcPr>
          <w:p w14:paraId="17308EF1">
            <w:pPr>
              <w:widowControl/>
              <w:jc w:val="center"/>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套</w:t>
            </w:r>
          </w:p>
        </w:tc>
        <w:tc>
          <w:tcPr>
            <w:tcW w:w="348" w:type="pct"/>
            <w:tcBorders>
              <w:top w:val="nil"/>
              <w:left w:val="single" w:color="auto" w:sz="4" w:space="0"/>
              <w:bottom w:val="single" w:color="auto" w:sz="4" w:space="0"/>
              <w:right w:val="single" w:color="auto" w:sz="4" w:space="0"/>
            </w:tcBorders>
            <w:vAlign w:val="center"/>
          </w:tcPr>
          <w:p w14:paraId="0B4A8CB3">
            <w:pPr>
              <w:widowControl/>
              <w:jc w:val="center"/>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1</w:t>
            </w:r>
          </w:p>
        </w:tc>
      </w:tr>
      <w:tr w14:paraId="6F452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8" w:type="pct"/>
            <w:vAlign w:val="center"/>
          </w:tcPr>
          <w:p w14:paraId="4F0D7E3F">
            <w:pPr>
              <w:pStyle w:val="46"/>
              <w:numPr>
                <w:ilvl w:val="0"/>
                <w:numId w:val="6"/>
              </w:numPr>
              <w:jc w:val="center"/>
              <w:rPr>
                <w:rFonts w:cs="宋体" w:asciiTheme="minorEastAsia" w:hAnsiTheme="minorEastAsia"/>
                <w:color w:val="auto"/>
                <w:szCs w:val="21"/>
                <w:highlight w:val="none"/>
              </w:rPr>
            </w:pPr>
          </w:p>
        </w:tc>
        <w:tc>
          <w:tcPr>
            <w:tcW w:w="458" w:type="pct"/>
            <w:tcBorders>
              <w:top w:val="nil"/>
              <w:left w:val="single" w:color="auto" w:sz="4" w:space="0"/>
              <w:bottom w:val="single" w:color="auto" w:sz="4" w:space="0"/>
              <w:right w:val="single" w:color="auto" w:sz="4" w:space="0"/>
            </w:tcBorders>
            <w:vAlign w:val="center"/>
          </w:tcPr>
          <w:p w14:paraId="0FB413AA">
            <w:pPr>
              <w:widowControl/>
              <w:jc w:val="left"/>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3D眼镜</w:t>
            </w:r>
          </w:p>
        </w:tc>
        <w:tc>
          <w:tcPr>
            <w:tcW w:w="3719" w:type="pct"/>
            <w:tcBorders>
              <w:top w:val="nil"/>
              <w:left w:val="single" w:color="auto" w:sz="4" w:space="0"/>
              <w:bottom w:val="single" w:color="auto" w:sz="4" w:space="0"/>
              <w:right w:val="single" w:color="auto" w:sz="4" w:space="0"/>
            </w:tcBorders>
            <w:vAlign w:val="center"/>
          </w:tcPr>
          <w:p w14:paraId="5111F859">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1、工作方式为：液晶主动快门式，工作频率：96~480Hz；</w:t>
            </w:r>
          </w:p>
          <w:p w14:paraId="0FD874A5">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2、同步信号采用无线技术，有效接收距离≧10米；</w:t>
            </w:r>
          </w:p>
          <w:p w14:paraId="6F4CCF67">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3、外形符合人体工学设计；</w:t>
            </w:r>
          </w:p>
          <w:p w14:paraId="2226D2AD">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4、镜架采用ABS+PC材质，轻巧耐用，符合ROHS标准；</w:t>
            </w:r>
          </w:p>
          <w:p w14:paraId="5980342E">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5、3D眼镜透过率≧38%，对比度≧1000，3D镜片响应速度≦2ms；</w:t>
            </w:r>
          </w:p>
          <w:p w14:paraId="5412B269">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6、3D眼镜采用无开关设计，即戴即用，可智能感应3D同步信号源；</w:t>
            </w:r>
          </w:p>
          <w:p w14:paraId="33F18BA5">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7、工作电压：2.8-3.3V，工作时电流≦0.35mA ,待机电流≦5uA;</w:t>
            </w:r>
          </w:p>
        </w:tc>
        <w:tc>
          <w:tcPr>
            <w:tcW w:w="238" w:type="pct"/>
            <w:tcBorders>
              <w:top w:val="nil"/>
              <w:left w:val="single" w:color="auto" w:sz="4" w:space="0"/>
              <w:bottom w:val="single" w:color="auto" w:sz="4" w:space="0"/>
              <w:right w:val="single" w:color="auto" w:sz="4" w:space="0"/>
            </w:tcBorders>
            <w:vAlign w:val="center"/>
          </w:tcPr>
          <w:p w14:paraId="15B58E54">
            <w:pPr>
              <w:widowControl/>
              <w:jc w:val="center"/>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副</w:t>
            </w:r>
          </w:p>
        </w:tc>
        <w:tc>
          <w:tcPr>
            <w:tcW w:w="348" w:type="pct"/>
            <w:tcBorders>
              <w:top w:val="nil"/>
              <w:left w:val="single" w:color="auto" w:sz="4" w:space="0"/>
              <w:bottom w:val="single" w:color="auto" w:sz="4" w:space="0"/>
              <w:right w:val="single" w:color="auto" w:sz="4" w:space="0"/>
            </w:tcBorders>
            <w:vAlign w:val="center"/>
          </w:tcPr>
          <w:p w14:paraId="7589FFA2">
            <w:pPr>
              <w:widowControl/>
              <w:jc w:val="center"/>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50</w:t>
            </w:r>
          </w:p>
        </w:tc>
      </w:tr>
      <w:tr w14:paraId="527EC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8" w:type="pct"/>
            <w:vAlign w:val="center"/>
          </w:tcPr>
          <w:p w14:paraId="5640805D">
            <w:pPr>
              <w:pStyle w:val="46"/>
              <w:numPr>
                <w:ilvl w:val="0"/>
                <w:numId w:val="6"/>
              </w:numPr>
              <w:jc w:val="center"/>
              <w:rPr>
                <w:rFonts w:cs="宋体" w:asciiTheme="minorEastAsia" w:hAnsiTheme="minorEastAsia"/>
                <w:color w:val="auto"/>
                <w:szCs w:val="21"/>
                <w:highlight w:val="none"/>
              </w:rPr>
            </w:pPr>
          </w:p>
        </w:tc>
        <w:tc>
          <w:tcPr>
            <w:tcW w:w="458" w:type="pct"/>
            <w:tcBorders>
              <w:top w:val="nil"/>
              <w:left w:val="single" w:color="auto" w:sz="4" w:space="0"/>
              <w:bottom w:val="single" w:color="auto" w:sz="4" w:space="0"/>
              <w:right w:val="single" w:color="auto" w:sz="4" w:space="0"/>
            </w:tcBorders>
            <w:vAlign w:val="center"/>
          </w:tcPr>
          <w:p w14:paraId="4AE7ECA2">
            <w:pPr>
              <w:widowControl/>
              <w:jc w:val="left"/>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3D眼镜消毒柜</w:t>
            </w:r>
          </w:p>
        </w:tc>
        <w:tc>
          <w:tcPr>
            <w:tcW w:w="3719" w:type="pct"/>
            <w:tcBorders>
              <w:top w:val="nil"/>
              <w:left w:val="single" w:color="auto" w:sz="4" w:space="0"/>
              <w:bottom w:val="single" w:color="auto" w:sz="4" w:space="0"/>
              <w:right w:val="single" w:color="auto" w:sz="4" w:space="0"/>
            </w:tcBorders>
            <w:vAlign w:val="center"/>
          </w:tcPr>
          <w:p w14:paraId="0C3A215A">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1、主材材质选用1-1.5mmSPCC冷轧加厚钢材；</w:t>
            </w:r>
          </w:p>
          <w:p w14:paraId="03253117">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2、抽屉导轨采用三节全封闭防盗式结构；</w:t>
            </w:r>
          </w:p>
          <w:p w14:paraId="27169EF8">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3、抽屉隔板采用加厚亚克力材料，避免眼镜刮伤；</w:t>
            </w:r>
          </w:p>
          <w:p w14:paraId="7E11C9BA">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4、柜体采用烤漆处理，更耐腐蚀、耐磨、防静电等；</w:t>
            </w:r>
          </w:p>
          <w:p w14:paraId="6BDB1A1A">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5、柜体配备四轮（两轮带刹车）万向脚轮和推拉把手，方便移动；</w:t>
            </w:r>
          </w:p>
          <w:p w14:paraId="7BBBBB8C">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6、紫外线消毒灯管≥2组，配备专用电源开关键；</w:t>
            </w:r>
          </w:p>
          <w:p w14:paraId="0C4218D8">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7、柜体尺寸约高*宽*深90*80*40cm（±3cm）,可放不少于80副3D眼镜；</w:t>
            </w:r>
          </w:p>
        </w:tc>
        <w:tc>
          <w:tcPr>
            <w:tcW w:w="238" w:type="pct"/>
            <w:tcBorders>
              <w:top w:val="nil"/>
              <w:left w:val="single" w:color="auto" w:sz="4" w:space="0"/>
              <w:bottom w:val="single" w:color="auto" w:sz="4" w:space="0"/>
              <w:right w:val="single" w:color="auto" w:sz="4" w:space="0"/>
            </w:tcBorders>
            <w:vAlign w:val="center"/>
          </w:tcPr>
          <w:p w14:paraId="237A345D">
            <w:pPr>
              <w:widowControl/>
              <w:jc w:val="center"/>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台</w:t>
            </w:r>
          </w:p>
        </w:tc>
        <w:tc>
          <w:tcPr>
            <w:tcW w:w="348" w:type="pct"/>
            <w:tcBorders>
              <w:top w:val="nil"/>
              <w:left w:val="single" w:color="auto" w:sz="4" w:space="0"/>
              <w:bottom w:val="single" w:color="auto" w:sz="4" w:space="0"/>
              <w:right w:val="single" w:color="auto" w:sz="4" w:space="0"/>
            </w:tcBorders>
            <w:vAlign w:val="center"/>
          </w:tcPr>
          <w:p w14:paraId="78CC1D51">
            <w:pPr>
              <w:widowControl/>
              <w:jc w:val="center"/>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1</w:t>
            </w:r>
          </w:p>
        </w:tc>
      </w:tr>
      <w:tr w14:paraId="40FF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8" w:type="pct"/>
            <w:vAlign w:val="center"/>
          </w:tcPr>
          <w:p w14:paraId="0FFD4110">
            <w:pPr>
              <w:pStyle w:val="46"/>
              <w:numPr>
                <w:ilvl w:val="0"/>
                <w:numId w:val="6"/>
              </w:numPr>
              <w:bidi/>
              <w:jc w:val="center"/>
              <w:rPr>
                <w:rFonts w:cs="宋体" w:asciiTheme="minorEastAsia" w:hAnsiTheme="minorEastAsia"/>
                <w:color w:val="auto"/>
                <w:szCs w:val="21"/>
                <w:highlight w:val="none"/>
              </w:rPr>
            </w:pPr>
          </w:p>
        </w:tc>
        <w:tc>
          <w:tcPr>
            <w:tcW w:w="458" w:type="pct"/>
            <w:tcBorders>
              <w:top w:val="nil"/>
              <w:left w:val="single" w:color="auto" w:sz="4" w:space="0"/>
              <w:bottom w:val="single" w:color="auto" w:sz="4" w:space="0"/>
              <w:right w:val="single" w:color="auto" w:sz="4" w:space="0"/>
            </w:tcBorders>
            <w:vAlign w:val="center"/>
          </w:tcPr>
          <w:p w14:paraId="6C2567FD">
            <w:pPr>
              <w:widowControl/>
              <w:jc w:val="left"/>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屏体结构</w:t>
            </w:r>
          </w:p>
        </w:tc>
        <w:tc>
          <w:tcPr>
            <w:tcW w:w="3719" w:type="pct"/>
            <w:tcBorders>
              <w:top w:val="nil"/>
              <w:left w:val="single" w:color="auto" w:sz="4" w:space="0"/>
              <w:bottom w:val="single" w:color="auto" w:sz="4" w:space="0"/>
              <w:right w:val="single" w:color="auto" w:sz="4" w:space="0"/>
            </w:tcBorders>
            <w:vAlign w:val="center"/>
          </w:tcPr>
          <w:p w14:paraId="3527499C">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1、钢结构尺寸根据现场环境进行定制；</w:t>
            </w:r>
          </w:p>
          <w:p w14:paraId="4661AC80">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2、钢结构安装固定框架含理线架保证挤压强度；</w:t>
            </w:r>
          </w:p>
          <w:p w14:paraId="5AF6549E">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3、结合板用铝合金拼装，保证其延展性和轻便性；</w:t>
            </w:r>
          </w:p>
          <w:p w14:paraId="70B72FC4">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4、包边采用不锈钢材料或铝合金包边，简洁实用且耐腐蚀；</w:t>
            </w:r>
          </w:p>
        </w:tc>
        <w:tc>
          <w:tcPr>
            <w:tcW w:w="238" w:type="pct"/>
            <w:tcBorders>
              <w:top w:val="nil"/>
              <w:left w:val="single" w:color="auto" w:sz="4" w:space="0"/>
              <w:bottom w:val="single" w:color="auto" w:sz="4" w:space="0"/>
              <w:right w:val="single" w:color="auto" w:sz="4" w:space="0"/>
            </w:tcBorders>
            <w:vAlign w:val="center"/>
          </w:tcPr>
          <w:p w14:paraId="1A203BA7">
            <w:pPr>
              <w:widowControl/>
              <w:jc w:val="center"/>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平米</w:t>
            </w:r>
          </w:p>
        </w:tc>
        <w:tc>
          <w:tcPr>
            <w:tcW w:w="348" w:type="pct"/>
            <w:tcBorders>
              <w:top w:val="nil"/>
              <w:left w:val="single" w:color="auto" w:sz="4" w:space="0"/>
              <w:bottom w:val="single" w:color="auto" w:sz="4" w:space="0"/>
              <w:right w:val="single" w:color="auto" w:sz="4" w:space="0"/>
            </w:tcBorders>
            <w:vAlign w:val="center"/>
          </w:tcPr>
          <w:p w14:paraId="48E8E112">
            <w:pPr>
              <w:widowControl/>
              <w:jc w:val="center"/>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10.2</w:t>
            </w:r>
          </w:p>
        </w:tc>
      </w:tr>
      <w:tr w14:paraId="0584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8" w:type="pct"/>
            <w:vAlign w:val="center"/>
          </w:tcPr>
          <w:p w14:paraId="5F962B54">
            <w:pPr>
              <w:pStyle w:val="46"/>
              <w:numPr>
                <w:ilvl w:val="0"/>
                <w:numId w:val="6"/>
              </w:numPr>
              <w:jc w:val="center"/>
              <w:rPr>
                <w:rFonts w:cs="宋体" w:asciiTheme="minorEastAsia" w:hAnsiTheme="minorEastAsia"/>
                <w:color w:val="auto"/>
                <w:szCs w:val="21"/>
                <w:highlight w:val="none"/>
              </w:rPr>
            </w:pPr>
          </w:p>
        </w:tc>
        <w:tc>
          <w:tcPr>
            <w:tcW w:w="458" w:type="pct"/>
            <w:tcBorders>
              <w:top w:val="nil"/>
              <w:left w:val="single" w:color="auto" w:sz="4" w:space="0"/>
              <w:bottom w:val="single" w:color="auto" w:sz="4" w:space="0"/>
              <w:right w:val="single" w:color="auto" w:sz="4" w:space="0"/>
            </w:tcBorders>
            <w:vAlign w:val="center"/>
          </w:tcPr>
          <w:p w14:paraId="04DD0710">
            <w:pPr>
              <w:widowControl/>
              <w:jc w:val="left"/>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配电柜</w:t>
            </w:r>
          </w:p>
        </w:tc>
        <w:tc>
          <w:tcPr>
            <w:tcW w:w="3719" w:type="pct"/>
            <w:tcBorders>
              <w:top w:val="nil"/>
              <w:left w:val="single" w:color="auto" w:sz="4" w:space="0"/>
              <w:bottom w:val="single" w:color="auto" w:sz="4" w:space="0"/>
              <w:right w:val="single" w:color="auto" w:sz="4" w:space="0"/>
            </w:tcBorders>
            <w:vAlign w:val="center"/>
          </w:tcPr>
          <w:p w14:paraId="3A2E3263">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一、配电柜</w:t>
            </w:r>
          </w:p>
          <w:p w14:paraId="2A9F7151">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1、双重开关控制：具备自动/手动控制设备供电的开启和关闭；</w:t>
            </w:r>
          </w:p>
          <w:p w14:paraId="72B567FB">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2、多组输出回路：每组可独立控制，如照明输出、风机/空调输出分路、显示</w:t>
            </w:r>
            <w:r>
              <w:rPr>
                <w:rFonts w:hint="eastAsia"/>
                <w:color w:val="auto"/>
                <w:sz w:val="22"/>
                <w:highlight w:val="none"/>
              </w:rPr>
              <w:t>单元</w:t>
            </w:r>
            <w:r>
              <w:rPr>
                <w:rFonts w:hint="eastAsia" w:asciiTheme="minorEastAsia" w:hAnsiTheme="minorEastAsia"/>
                <w:color w:val="auto"/>
                <w:szCs w:val="21"/>
                <w:highlight w:val="none"/>
              </w:rPr>
              <w:t>输出分路分开控制</w:t>
            </w:r>
          </w:p>
          <w:p w14:paraId="28F03D4F">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3、上电保护功能：具有延时启动、浪涌保护、防雷、过流、短路等保护功能；</w:t>
            </w:r>
          </w:p>
          <w:p w14:paraId="79D9A7B6">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4、功能性检测：具有电源状态指示、运行状态指示、检修多功能插座及检修照明开关；</w:t>
            </w:r>
          </w:p>
          <w:p w14:paraId="2ED9DDE9">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5、支持遥控器控制设备开关，方便教师操作；</w:t>
            </w:r>
          </w:p>
          <w:p w14:paraId="44465077">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二、线材辅料</w:t>
            </w:r>
          </w:p>
          <w:p w14:paraId="74AA24DE">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1、满足大屏信号传输必备的网线、视频线、控制线等；</w:t>
            </w:r>
          </w:p>
          <w:p w14:paraId="3373134D">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2、提供满足项目实际安装需求的线缆类型；</w:t>
            </w:r>
          </w:p>
        </w:tc>
        <w:tc>
          <w:tcPr>
            <w:tcW w:w="238" w:type="pct"/>
            <w:tcBorders>
              <w:top w:val="nil"/>
              <w:left w:val="single" w:color="auto" w:sz="4" w:space="0"/>
              <w:bottom w:val="single" w:color="auto" w:sz="4" w:space="0"/>
              <w:right w:val="single" w:color="auto" w:sz="4" w:space="0"/>
            </w:tcBorders>
            <w:vAlign w:val="center"/>
          </w:tcPr>
          <w:p w14:paraId="4C9DD51B">
            <w:pPr>
              <w:widowControl/>
              <w:jc w:val="center"/>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套</w:t>
            </w:r>
          </w:p>
        </w:tc>
        <w:tc>
          <w:tcPr>
            <w:tcW w:w="348" w:type="pct"/>
            <w:tcBorders>
              <w:top w:val="nil"/>
              <w:left w:val="single" w:color="auto" w:sz="4" w:space="0"/>
              <w:bottom w:val="single" w:color="auto" w:sz="4" w:space="0"/>
              <w:right w:val="single" w:color="auto" w:sz="4" w:space="0"/>
            </w:tcBorders>
            <w:vAlign w:val="center"/>
          </w:tcPr>
          <w:p w14:paraId="79755A27">
            <w:pPr>
              <w:widowControl/>
              <w:jc w:val="center"/>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1</w:t>
            </w:r>
          </w:p>
        </w:tc>
      </w:tr>
      <w:tr w14:paraId="4DD0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8" w:type="pct"/>
            <w:vAlign w:val="center"/>
          </w:tcPr>
          <w:p w14:paraId="1BF417FA">
            <w:pPr>
              <w:pStyle w:val="46"/>
              <w:numPr>
                <w:ilvl w:val="0"/>
                <w:numId w:val="6"/>
              </w:numPr>
              <w:jc w:val="center"/>
              <w:rPr>
                <w:rFonts w:cs="宋体" w:asciiTheme="minorEastAsia" w:hAnsiTheme="minorEastAsia"/>
                <w:color w:val="auto"/>
                <w:szCs w:val="21"/>
                <w:highlight w:val="none"/>
              </w:rPr>
            </w:pPr>
          </w:p>
        </w:tc>
        <w:tc>
          <w:tcPr>
            <w:tcW w:w="458" w:type="pct"/>
            <w:tcBorders>
              <w:top w:val="nil"/>
              <w:left w:val="single" w:color="auto" w:sz="4" w:space="0"/>
              <w:bottom w:val="single" w:color="auto" w:sz="4" w:space="0"/>
              <w:right w:val="single" w:color="auto" w:sz="4" w:space="0"/>
            </w:tcBorders>
            <w:vAlign w:val="center"/>
          </w:tcPr>
          <w:p w14:paraId="01A60AFD">
            <w:pPr>
              <w:widowControl/>
              <w:jc w:val="left"/>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LED显示</w:t>
            </w:r>
            <w:r>
              <w:rPr>
                <w:rFonts w:hint="eastAsia"/>
                <w:color w:val="auto"/>
                <w:sz w:val="22"/>
                <w:highlight w:val="none"/>
              </w:rPr>
              <w:t>单元</w:t>
            </w:r>
            <w:r>
              <w:rPr>
                <w:rFonts w:hint="eastAsia" w:asciiTheme="minorEastAsia" w:hAnsiTheme="minorEastAsia"/>
                <w:color w:val="auto"/>
                <w:szCs w:val="21"/>
                <w:highlight w:val="none"/>
              </w:rPr>
              <w:t>安装调试服务</w:t>
            </w:r>
          </w:p>
        </w:tc>
        <w:tc>
          <w:tcPr>
            <w:tcW w:w="3719" w:type="pct"/>
            <w:tcBorders>
              <w:top w:val="nil"/>
              <w:left w:val="single" w:color="auto" w:sz="4" w:space="0"/>
              <w:bottom w:val="single" w:color="auto" w:sz="4" w:space="0"/>
              <w:right w:val="single" w:color="auto" w:sz="4" w:space="0"/>
            </w:tcBorders>
            <w:vAlign w:val="center"/>
          </w:tcPr>
          <w:p w14:paraId="1AC56499">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安装、调试、培训服务</w:t>
            </w:r>
          </w:p>
        </w:tc>
        <w:tc>
          <w:tcPr>
            <w:tcW w:w="238" w:type="pct"/>
            <w:tcBorders>
              <w:top w:val="nil"/>
              <w:left w:val="single" w:color="auto" w:sz="4" w:space="0"/>
              <w:bottom w:val="single" w:color="auto" w:sz="4" w:space="0"/>
              <w:right w:val="single" w:color="auto" w:sz="4" w:space="0"/>
            </w:tcBorders>
            <w:vAlign w:val="center"/>
          </w:tcPr>
          <w:p w14:paraId="0E125719">
            <w:pPr>
              <w:widowControl/>
              <w:jc w:val="center"/>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套</w:t>
            </w:r>
          </w:p>
        </w:tc>
        <w:tc>
          <w:tcPr>
            <w:tcW w:w="348" w:type="pct"/>
            <w:tcBorders>
              <w:top w:val="nil"/>
              <w:left w:val="single" w:color="auto" w:sz="4" w:space="0"/>
              <w:bottom w:val="single" w:color="auto" w:sz="4" w:space="0"/>
              <w:right w:val="single" w:color="auto" w:sz="4" w:space="0"/>
            </w:tcBorders>
            <w:vAlign w:val="center"/>
          </w:tcPr>
          <w:p w14:paraId="3D571EAB">
            <w:pPr>
              <w:widowControl/>
              <w:jc w:val="center"/>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1</w:t>
            </w:r>
          </w:p>
        </w:tc>
      </w:tr>
      <w:tr w14:paraId="34192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8" w:type="pct"/>
            <w:vAlign w:val="center"/>
          </w:tcPr>
          <w:p w14:paraId="6A7D024A">
            <w:pPr>
              <w:pStyle w:val="46"/>
              <w:numPr>
                <w:ilvl w:val="0"/>
                <w:numId w:val="6"/>
              </w:numPr>
              <w:jc w:val="center"/>
              <w:rPr>
                <w:rFonts w:cs="宋体" w:asciiTheme="minorEastAsia" w:hAnsiTheme="minorEastAsia"/>
                <w:color w:val="auto"/>
                <w:szCs w:val="21"/>
                <w:highlight w:val="none"/>
              </w:rPr>
            </w:pPr>
          </w:p>
        </w:tc>
        <w:tc>
          <w:tcPr>
            <w:tcW w:w="458" w:type="pct"/>
            <w:tcBorders>
              <w:top w:val="nil"/>
              <w:left w:val="single" w:color="auto" w:sz="4" w:space="0"/>
              <w:bottom w:val="single" w:color="auto" w:sz="4" w:space="0"/>
              <w:right w:val="single" w:color="auto" w:sz="4" w:space="0"/>
            </w:tcBorders>
            <w:vAlign w:val="center"/>
          </w:tcPr>
          <w:p w14:paraId="0CFC8128">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大空间动捕交互系统</w:t>
            </w:r>
          </w:p>
        </w:tc>
        <w:tc>
          <w:tcPr>
            <w:tcW w:w="3719" w:type="pct"/>
            <w:tcBorders>
              <w:top w:val="nil"/>
              <w:left w:val="single" w:color="auto" w:sz="4" w:space="0"/>
              <w:bottom w:val="single" w:color="auto" w:sz="4" w:space="0"/>
              <w:right w:val="single" w:color="auto" w:sz="4" w:space="0"/>
            </w:tcBorders>
            <w:vAlign w:val="center"/>
          </w:tcPr>
          <w:p w14:paraId="28665BFF">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一、相机要求：</w:t>
            </w:r>
          </w:p>
          <w:p w14:paraId="642E4FC6">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1、分辨率：≥2048 x1536；</w:t>
            </w:r>
          </w:p>
          <w:p w14:paraId="28B1952A">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2、帧速：≥210FPS，帧速率最大可达420FPS；</w:t>
            </w:r>
          </w:p>
          <w:p w14:paraId="121E7255">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3、快门类型：全局快门；</w:t>
            </w:r>
          </w:p>
          <w:p w14:paraId="1FBDE5C9">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4、延迟：≤2.5ms；</w:t>
            </w:r>
          </w:p>
          <w:p w14:paraId="7BFEC998">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5、图像处理模式：Object模式\原图模式\二值化图像调试；</w:t>
            </w:r>
          </w:p>
          <w:p w14:paraId="1B00938F">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6、LED：≥12颗红外LED灯；</w:t>
            </w:r>
          </w:p>
          <w:p w14:paraId="55EBA095">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7、视场角：≥60°x48°；</w:t>
            </w:r>
          </w:p>
          <w:p w14:paraId="3BFD59D1">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★8、捕捉距离：≥被动光标记点25m，主动光标记点40m，需出具具有CNAS认证资质的第三方检测报告；</w:t>
            </w:r>
          </w:p>
          <w:p w14:paraId="48CB3109">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9、接口：具有PoE+功能的GigE数据接口；</w:t>
            </w:r>
          </w:p>
          <w:p w14:paraId="09AC5D03">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 xml:space="preserve">10、机身显示：数字LED显示摄像机编号，全彩色LED灯环显示摄像机工作状态； </w:t>
            </w:r>
          </w:p>
          <w:p w14:paraId="266BB5A1">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11、防水：IP65防水等级；</w:t>
            </w:r>
          </w:p>
          <w:p w14:paraId="205411FE">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12、相机能在环境温度-30℃~65℃正常工作；</w:t>
            </w:r>
          </w:p>
          <w:p w14:paraId="6213DEB1">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13、相机能在96%RH的潮湿环境下正常工作；</w:t>
            </w:r>
          </w:p>
          <w:p w14:paraId="27145354">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14、相机在经历3.3g加速度55Hz的震动后仍能正常工作；</w:t>
            </w:r>
          </w:p>
          <w:p w14:paraId="4681EAB4">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15、系统精度：表现良好，偏差须≤0.02mm；</w:t>
            </w:r>
          </w:p>
          <w:p w14:paraId="1607AF37">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16、满足高速运动刚体捕捉要求，可捕捉边缘运动速度在300km/h以上；</w:t>
            </w:r>
          </w:p>
          <w:p w14:paraId="64CF74BE">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 xml:space="preserve">17、相机需具有实体按键，通过实体按键可快速切换相机至辅助瞄准状态； </w:t>
            </w:r>
          </w:p>
          <w:p w14:paraId="0EC5FB58">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18、相机数量4台</w:t>
            </w:r>
          </w:p>
          <w:p w14:paraId="28246308">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二、软件要求：</w:t>
            </w:r>
          </w:p>
          <w:p w14:paraId="035EA0BA">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1、软件支持不同型号/不同品牌的相机、新旧不同版本相机程序的相机混搭使用；</w:t>
            </w:r>
          </w:p>
          <w:p w14:paraId="634E17EC">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▲2、系统实施前，可自定义摄像机配置，规划自定义动捕空间的摄像机布局；（需提供演示）</w:t>
            </w:r>
          </w:p>
          <w:p w14:paraId="03888275">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3、软件界面支持一键中英文切换功能；</w:t>
            </w:r>
          </w:p>
          <w:p w14:paraId="758D800D">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4、支持利用体积可视化和测量工具来评估体积健康和系统准确性；</w:t>
            </w:r>
          </w:p>
          <w:p w14:paraId="40D35BA7">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5、精确的点云重建，标定重建精度高达0.1mm，最优可达0.03mm，支持实时自动优化标定质量，整个过程无需人为介入；</w:t>
            </w:r>
          </w:p>
          <w:p w14:paraId="3ED9432A">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6、软件内置支持光惯融合功能，通过结合IMU可实现0.002°的姿态稳定性；</w:t>
            </w:r>
          </w:p>
          <w:p w14:paraId="3F9F73A8">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7、系统支持标记点捕捉数量：≥1500个；</w:t>
            </w:r>
          </w:p>
          <w:p w14:paraId="500D62EA">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8、系统支持刚体捕捉数量：≥150个；</w:t>
            </w:r>
          </w:p>
          <w:p w14:paraId="79E492AD">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9、系统角度精度优于0.1°；</w:t>
            </w:r>
          </w:p>
          <w:p w14:paraId="0D488283">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10、系统支持0.3mm直径的标记点捕捉；</w:t>
            </w:r>
          </w:p>
          <w:p w14:paraId="2A428C1C">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11、具备自标定功能，自标定功能可维持系统在25天内免于二次标定；</w:t>
            </w:r>
          </w:p>
          <w:p w14:paraId="00D6575B">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12、系统最多支持同时工作的动捕相机数量：≥400台，且可以实现正常捕捉；</w:t>
            </w:r>
          </w:p>
          <w:p w14:paraId="7A4B3CDD">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13、支持系统健康状况监视、事件日志记录；支持实时查看刚体运动轨迹曲线；</w:t>
            </w:r>
          </w:p>
          <w:p w14:paraId="0C780D8C">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14、支持相机使能功能，仅使用部分相机参与标定和重建，降低标定难度，提高场地使用的灵活性；</w:t>
            </w:r>
          </w:p>
          <w:p w14:paraId="7D3DF72E">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15、智能便捷的数据修复，可一键自动修复数据；</w:t>
            </w:r>
          </w:p>
          <w:p w14:paraId="2785FB60">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16、内置动作轨迹交换工具、间隙填充工具、平滑工具和修剪轨迹工具能极大的提高动作捕捉数据修复的准确性和效率；</w:t>
            </w:r>
          </w:p>
          <w:p w14:paraId="6037D5CC">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17、可一键自动遮蔽场地内所有干扰噪点（即具备自动噪点遮蔽功能）；</w:t>
            </w:r>
          </w:p>
          <w:p w14:paraId="63C86780">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▲18、相机LED灯环可以红黄绿的灯环颜色来表征标定进度，快速识别相机标定数据采集情况；（需提供演示）</w:t>
            </w:r>
          </w:p>
          <w:p w14:paraId="5422CD7E">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19、支持相机帧速率、曝光、阈值、照明、增益等参数设置；</w:t>
            </w:r>
          </w:p>
          <w:p w14:paraId="75B7490F">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20、可选择视图显示个数和方式（单个视图或是多个视图），可选择和切换视图类型应包括 2D 视图、 3D 视图、 Marker XYZ 图表；</w:t>
            </w:r>
          </w:p>
          <w:p w14:paraId="45DB2A27">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21、支持LuMOSDK开发自定义数据接口，通过该 SDK 实时获取到的数据应包括：</w:t>
            </w:r>
          </w:p>
          <w:p w14:paraId="3B7CC677">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①标志点（Marker）坐标；</w:t>
            </w:r>
          </w:p>
          <w:p w14:paraId="7915B521">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②刚体的名称、坐标、四元数、欧拉角、速度、加速度、角速度、角加速度包含的 Marker 的数量和 Marker 坐标；</w:t>
            </w:r>
          </w:p>
          <w:p w14:paraId="7F244949">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③支持模拟通道数据传输；</w:t>
            </w:r>
          </w:p>
          <w:p w14:paraId="33542430">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④帧数据中包含绝对时间戳；</w:t>
            </w:r>
          </w:p>
          <w:p w14:paraId="0CD98748">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22、支持主动和被动标记点的同时光学捕捉；</w:t>
            </w:r>
          </w:p>
          <w:p w14:paraId="2C597FB6">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23、可实时显示相机捕捉的区域，便于校准相机；</w:t>
            </w:r>
          </w:p>
          <w:p w14:paraId="4D685065">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24、状态显示：软件自带的状态面板可实时查看的六自由度数据与精度、延迟、数据量等；</w:t>
            </w:r>
          </w:p>
          <w:p w14:paraId="6AD4CFF3">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★25、具备独特的刚体变形测量功能，可实现一定形变的刚体实时定位跟踪，需出具具有CNAS认证资质的第三方检测报告；</w:t>
            </w:r>
          </w:p>
          <w:p w14:paraId="6DD32F0A">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26、支持VRPN、TCP、UDP协议完成实时数据流传输；</w:t>
            </w:r>
          </w:p>
          <w:p w14:paraId="282574D7">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27、支持动捕数据直接接入dewesoft平台</w:t>
            </w:r>
          </w:p>
          <w:p w14:paraId="10BC6CD4">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①数据可在Math、Polygen、Measure等模块读取，利用动捕数据可在Polygen模块驱动仿真车辆；</w:t>
            </w:r>
          </w:p>
          <w:p w14:paraId="610617F5">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②目标物位置信息转换为经纬度形式输入；</w:t>
            </w:r>
          </w:p>
          <w:p w14:paraId="26D3E20F">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28、支持连接同步器，同步器可与动捕相机并联使用，支持Genlock、SMPTE时间码、同步信号输入及输出。</w:t>
            </w:r>
          </w:p>
          <w:p w14:paraId="127AA359">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★29、具备地面校准功能，针对特大场地，经过地面校准后，可实现动捕系统地面与实际地面平齐，需出具具有CNAS认证资质的第三方检测报告；</w:t>
            </w:r>
          </w:p>
          <w:p w14:paraId="3FFE3968">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★30、系统应用场景一键切换功能，内置预制优化参数，适配通用场景、计量场景、XR场景、无人机场景等应用；（投标时需提供截图佐证材料）</w:t>
            </w:r>
          </w:p>
          <w:p w14:paraId="251AC8B4">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31、支持实时输出速度、加速度、角速度、角加速度参数数据，支持显示无人机飞行轨迹路线</w:t>
            </w:r>
          </w:p>
          <w:p w14:paraId="6104CB8E">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32、支持特定标记点丢失找回后ID保持不变功能</w:t>
            </w:r>
          </w:p>
          <w:p w14:paraId="6AB11F14">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★33、提供SLAM对比工具，具有以下功能：（投标时需提供截图佐证材料）</w:t>
            </w:r>
          </w:p>
          <w:p w14:paraId="5F886FBF">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 xml:space="preserve">①自动对齐slam定位数据与光学定位数据，统一坐标系评价 </w:t>
            </w:r>
          </w:p>
          <w:p w14:paraId="4D44832F">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②可输出APE、RPE、ATE、RTE结果</w:t>
            </w:r>
          </w:p>
          <w:p w14:paraId="65AF98D2">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 xml:space="preserve">③自动对齐动捕系统数据与头显自身定位数据时间戳 </w:t>
            </w:r>
          </w:p>
          <w:p w14:paraId="07AA4B5D">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 xml:space="preserve">④可视化动捕数据轨迹及头显定位数据轨迹 </w:t>
            </w:r>
          </w:p>
          <w:p w14:paraId="7D837572">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⑤输出轨迹对比后的偏差热力图</w:t>
            </w:r>
          </w:p>
          <w:p w14:paraId="4D9C5388">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★34、通过光学运动捕捉设备定位扫地机器人，在仿真计算软件中接收定位数据，实现：（投标时需提供截图佐证材料）</w:t>
            </w:r>
          </w:p>
          <w:p w14:paraId="415A7EF1">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①记录机器人运动轨迹；</w:t>
            </w:r>
          </w:p>
          <w:p w14:paraId="4C5E235E">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②记录清洁口覆盖范围，并使用不同颜色记录重复经过范围；</w:t>
            </w:r>
          </w:p>
          <w:p w14:paraId="5DE404DA">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③计算清洁口覆盖面积及房间清洁覆盖率；</w:t>
            </w:r>
          </w:p>
          <w:p w14:paraId="6FF109F3">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④可根据实际情况增减家具障碍、调节机器人参数适配不同机型，模拟真实环境；</w:t>
            </w:r>
          </w:p>
          <w:p w14:paraId="3A4C91F6">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⑤测试完成后可输出覆盖率表格、机器人运行轨迹图、清洁口覆盖情况热力图。</w:t>
            </w:r>
          </w:p>
          <w:p w14:paraId="0AF80B39">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三、配套附件</w:t>
            </w:r>
          </w:p>
          <w:p w14:paraId="593F792E">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1.相机安装云台</w:t>
            </w:r>
          </w:p>
          <w:p w14:paraId="5A16DF9A">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2.六类千兆网线，支持POE供电</w:t>
            </w:r>
          </w:p>
          <w:p w14:paraId="664D8C2D">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3.POE数据交换机，支持4台动捕相机POE供电功率</w:t>
            </w:r>
          </w:p>
          <w:p w14:paraId="27FB5EBF">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4.专用VR交互控制器</w:t>
            </w:r>
          </w:p>
        </w:tc>
        <w:tc>
          <w:tcPr>
            <w:tcW w:w="238" w:type="pct"/>
            <w:tcBorders>
              <w:top w:val="nil"/>
              <w:left w:val="single" w:color="auto" w:sz="4" w:space="0"/>
              <w:bottom w:val="single" w:color="auto" w:sz="4" w:space="0"/>
              <w:right w:val="single" w:color="auto" w:sz="4" w:space="0"/>
            </w:tcBorders>
            <w:vAlign w:val="center"/>
          </w:tcPr>
          <w:p w14:paraId="305A7EA3">
            <w:pPr>
              <w:widowControl/>
              <w:jc w:val="center"/>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套</w:t>
            </w:r>
          </w:p>
        </w:tc>
        <w:tc>
          <w:tcPr>
            <w:tcW w:w="348" w:type="pct"/>
            <w:tcBorders>
              <w:top w:val="nil"/>
              <w:left w:val="single" w:color="auto" w:sz="4" w:space="0"/>
              <w:bottom w:val="single" w:color="auto" w:sz="4" w:space="0"/>
              <w:right w:val="single" w:color="auto" w:sz="4" w:space="0"/>
            </w:tcBorders>
            <w:vAlign w:val="center"/>
          </w:tcPr>
          <w:p w14:paraId="051A9019">
            <w:pPr>
              <w:widowControl/>
              <w:jc w:val="center"/>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1</w:t>
            </w:r>
          </w:p>
        </w:tc>
      </w:tr>
      <w:tr w14:paraId="5AC4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8" w:type="pct"/>
            <w:vAlign w:val="center"/>
          </w:tcPr>
          <w:p w14:paraId="092B63E0">
            <w:pPr>
              <w:pStyle w:val="46"/>
              <w:numPr>
                <w:ilvl w:val="0"/>
                <w:numId w:val="6"/>
              </w:numPr>
              <w:jc w:val="center"/>
              <w:rPr>
                <w:rFonts w:cs="宋体" w:asciiTheme="minorEastAsia" w:hAnsiTheme="minorEastAsia"/>
                <w:color w:val="auto"/>
                <w:szCs w:val="21"/>
                <w:highlight w:val="none"/>
              </w:rPr>
            </w:pPr>
          </w:p>
        </w:tc>
        <w:tc>
          <w:tcPr>
            <w:tcW w:w="458" w:type="pct"/>
            <w:tcBorders>
              <w:top w:val="nil"/>
              <w:left w:val="single" w:color="auto" w:sz="4" w:space="0"/>
              <w:bottom w:val="single" w:color="auto" w:sz="4" w:space="0"/>
              <w:right w:val="single" w:color="auto" w:sz="4" w:space="0"/>
            </w:tcBorders>
            <w:vAlign w:val="center"/>
          </w:tcPr>
          <w:p w14:paraId="205FEBED">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工作站</w:t>
            </w:r>
          </w:p>
        </w:tc>
        <w:tc>
          <w:tcPr>
            <w:tcW w:w="3719" w:type="pct"/>
            <w:tcBorders>
              <w:top w:val="nil"/>
              <w:left w:val="single" w:color="auto" w:sz="4" w:space="0"/>
              <w:bottom w:val="single" w:color="auto" w:sz="4" w:space="0"/>
              <w:right w:val="single" w:color="auto" w:sz="4" w:space="0"/>
            </w:tcBorders>
            <w:vAlign w:val="center"/>
          </w:tcPr>
          <w:p w14:paraId="2EF4385D">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1.CPU：≥</w:t>
            </w:r>
            <w:r>
              <w:rPr>
                <w:rFonts w:asciiTheme="minorEastAsia" w:hAnsiTheme="minorEastAsia"/>
                <w:color w:val="auto"/>
                <w:szCs w:val="21"/>
                <w:highlight w:val="none"/>
              </w:rPr>
              <w:t>2.50 GHz</w:t>
            </w:r>
            <w:r>
              <w:rPr>
                <w:rFonts w:hint="eastAsia" w:asciiTheme="minorEastAsia" w:hAnsiTheme="minorEastAsia"/>
                <w:color w:val="auto"/>
                <w:szCs w:val="21"/>
                <w:highlight w:val="none"/>
              </w:rPr>
              <w:t xml:space="preserve"> ≥6核。</w:t>
            </w:r>
          </w:p>
          <w:p w14:paraId="522731F5">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2.硬盘：≥500G SSD</w:t>
            </w:r>
          </w:p>
          <w:p w14:paraId="53FBEE57">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3.内存：≥16G DDR4</w:t>
            </w:r>
          </w:p>
          <w:p w14:paraId="4806A714">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4.显卡：显存≥8G</w:t>
            </w:r>
          </w:p>
          <w:p w14:paraId="18C779E5">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5.千兆以太网接口：≥2个</w:t>
            </w:r>
          </w:p>
        </w:tc>
        <w:tc>
          <w:tcPr>
            <w:tcW w:w="238" w:type="pct"/>
            <w:tcBorders>
              <w:top w:val="nil"/>
              <w:left w:val="single" w:color="auto" w:sz="4" w:space="0"/>
              <w:bottom w:val="single" w:color="auto" w:sz="4" w:space="0"/>
              <w:right w:val="single" w:color="auto" w:sz="4" w:space="0"/>
            </w:tcBorders>
            <w:vAlign w:val="center"/>
          </w:tcPr>
          <w:p w14:paraId="7BF89AD1">
            <w:pPr>
              <w:widowControl/>
              <w:jc w:val="center"/>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台</w:t>
            </w:r>
          </w:p>
        </w:tc>
        <w:tc>
          <w:tcPr>
            <w:tcW w:w="348" w:type="pct"/>
            <w:tcBorders>
              <w:top w:val="nil"/>
              <w:left w:val="single" w:color="auto" w:sz="4" w:space="0"/>
              <w:bottom w:val="single" w:color="auto" w:sz="4" w:space="0"/>
              <w:right w:val="single" w:color="auto" w:sz="4" w:space="0"/>
            </w:tcBorders>
            <w:vAlign w:val="center"/>
          </w:tcPr>
          <w:p w14:paraId="7ECED3D7">
            <w:pPr>
              <w:widowControl/>
              <w:jc w:val="center"/>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1</w:t>
            </w:r>
          </w:p>
        </w:tc>
      </w:tr>
      <w:tr w14:paraId="2F197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8" w:type="pct"/>
            <w:vAlign w:val="center"/>
          </w:tcPr>
          <w:p w14:paraId="7D4EB7D1">
            <w:pPr>
              <w:pStyle w:val="46"/>
              <w:numPr>
                <w:ilvl w:val="0"/>
                <w:numId w:val="6"/>
              </w:numPr>
              <w:jc w:val="center"/>
              <w:rPr>
                <w:rFonts w:cs="宋体" w:asciiTheme="minorEastAsia" w:hAnsiTheme="minorEastAsia"/>
                <w:color w:val="auto"/>
                <w:szCs w:val="21"/>
                <w:highlight w:val="none"/>
              </w:rPr>
            </w:pPr>
          </w:p>
        </w:tc>
        <w:tc>
          <w:tcPr>
            <w:tcW w:w="458" w:type="pct"/>
            <w:tcBorders>
              <w:top w:val="nil"/>
              <w:left w:val="single" w:color="auto" w:sz="4" w:space="0"/>
              <w:bottom w:val="single" w:color="auto" w:sz="4" w:space="0"/>
              <w:right w:val="single" w:color="auto" w:sz="4" w:space="0"/>
            </w:tcBorders>
            <w:vAlign w:val="center"/>
          </w:tcPr>
          <w:p w14:paraId="684226FC">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教学终端</w:t>
            </w:r>
          </w:p>
        </w:tc>
        <w:tc>
          <w:tcPr>
            <w:tcW w:w="3719" w:type="pct"/>
            <w:tcBorders>
              <w:top w:val="nil"/>
              <w:left w:val="single" w:color="auto" w:sz="4" w:space="0"/>
              <w:bottom w:val="single" w:color="auto" w:sz="4" w:space="0"/>
              <w:right w:val="single" w:color="auto" w:sz="4" w:space="0"/>
            </w:tcBorders>
            <w:vAlign w:val="bottom"/>
          </w:tcPr>
          <w:p w14:paraId="0B27AF4E">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1.CPU: ≥</w:t>
            </w:r>
            <w:r>
              <w:rPr>
                <w:rFonts w:asciiTheme="minorEastAsia" w:hAnsiTheme="minorEastAsia"/>
                <w:color w:val="auto"/>
                <w:szCs w:val="21"/>
                <w:highlight w:val="none"/>
              </w:rPr>
              <w:t>2.</w:t>
            </w:r>
            <w:r>
              <w:rPr>
                <w:rFonts w:hint="eastAsia" w:asciiTheme="minorEastAsia" w:hAnsiTheme="minorEastAsia"/>
                <w:color w:val="auto"/>
                <w:szCs w:val="21"/>
                <w:highlight w:val="none"/>
              </w:rPr>
              <w:t>0</w:t>
            </w:r>
            <w:r>
              <w:rPr>
                <w:rFonts w:asciiTheme="minorEastAsia" w:hAnsiTheme="minorEastAsia"/>
                <w:color w:val="auto"/>
                <w:szCs w:val="21"/>
                <w:highlight w:val="none"/>
              </w:rPr>
              <w:t>GHz</w:t>
            </w:r>
            <w:r>
              <w:rPr>
                <w:rFonts w:hint="eastAsia" w:asciiTheme="minorEastAsia" w:hAnsiTheme="minorEastAsia"/>
                <w:color w:val="auto"/>
                <w:szCs w:val="21"/>
                <w:highlight w:val="none"/>
              </w:rPr>
              <w:t xml:space="preserve"> ≥8核;</w:t>
            </w:r>
          </w:p>
          <w:p w14:paraId="7FAE8810">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2.内存: ≥32G DDR4;</w:t>
            </w:r>
          </w:p>
          <w:p w14:paraId="2C0D052C">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3.显示器: ≥21.7英寸, ≥1920x1080分辨率。</w:t>
            </w:r>
          </w:p>
          <w:p w14:paraId="11F51699">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4.显存: ≥8G</w:t>
            </w:r>
          </w:p>
        </w:tc>
        <w:tc>
          <w:tcPr>
            <w:tcW w:w="238" w:type="pct"/>
            <w:tcBorders>
              <w:top w:val="nil"/>
              <w:left w:val="single" w:color="auto" w:sz="4" w:space="0"/>
              <w:bottom w:val="single" w:color="auto" w:sz="4" w:space="0"/>
              <w:right w:val="single" w:color="auto" w:sz="4" w:space="0"/>
            </w:tcBorders>
            <w:vAlign w:val="center"/>
          </w:tcPr>
          <w:p w14:paraId="13A4D8E7">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台</w:t>
            </w:r>
          </w:p>
        </w:tc>
        <w:tc>
          <w:tcPr>
            <w:tcW w:w="348" w:type="pct"/>
            <w:tcBorders>
              <w:top w:val="nil"/>
              <w:left w:val="single" w:color="auto" w:sz="4" w:space="0"/>
              <w:bottom w:val="single" w:color="auto" w:sz="4" w:space="0"/>
              <w:right w:val="single" w:color="auto" w:sz="4" w:space="0"/>
            </w:tcBorders>
            <w:vAlign w:val="center"/>
          </w:tcPr>
          <w:p w14:paraId="60DD4527">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1</w:t>
            </w:r>
            <w:r>
              <w:rPr>
                <w:rFonts w:asciiTheme="minorEastAsia" w:hAnsiTheme="minorEastAsia"/>
                <w:color w:val="auto"/>
                <w:szCs w:val="21"/>
                <w:highlight w:val="none"/>
              </w:rPr>
              <w:t>2</w:t>
            </w:r>
          </w:p>
        </w:tc>
      </w:tr>
      <w:tr w14:paraId="7329B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8" w:type="pct"/>
            <w:vAlign w:val="center"/>
          </w:tcPr>
          <w:p w14:paraId="2B6FC4A0">
            <w:pPr>
              <w:pStyle w:val="46"/>
              <w:numPr>
                <w:ilvl w:val="0"/>
                <w:numId w:val="6"/>
              </w:numPr>
              <w:jc w:val="center"/>
              <w:rPr>
                <w:rFonts w:cs="宋体" w:asciiTheme="minorEastAsia" w:hAnsiTheme="minorEastAsia"/>
                <w:color w:val="auto"/>
                <w:szCs w:val="21"/>
                <w:highlight w:val="none"/>
              </w:rPr>
            </w:pPr>
          </w:p>
        </w:tc>
        <w:tc>
          <w:tcPr>
            <w:tcW w:w="458" w:type="pct"/>
            <w:tcBorders>
              <w:top w:val="nil"/>
              <w:left w:val="single" w:color="auto" w:sz="4" w:space="0"/>
              <w:bottom w:val="single" w:color="auto" w:sz="4" w:space="0"/>
              <w:right w:val="single" w:color="auto" w:sz="4" w:space="0"/>
            </w:tcBorders>
            <w:vAlign w:val="center"/>
          </w:tcPr>
          <w:p w14:paraId="5B63D35A">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机柜</w:t>
            </w:r>
          </w:p>
        </w:tc>
        <w:tc>
          <w:tcPr>
            <w:tcW w:w="3719" w:type="pct"/>
            <w:tcBorders>
              <w:top w:val="nil"/>
              <w:left w:val="single" w:color="auto" w:sz="4" w:space="0"/>
              <w:bottom w:val="single" w:color="auto" w:sz="4" w:space="0"/>
              <w:right w:val="single" w:color="auto" w:sz="4" w:space="0"/>
            </w:tcBorders>
            <w:vAlign w:val="bottom"/>
          </w:tcPr>
          <w:p w14:paraId="6BDA0F25">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材质：SPCC加厚冷轧钢材</w:t>
            </w:r>
          </w:p>
          <w:p w14:paraId="1B292E15">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尺寸：宽600mmx高1000mmx深600mm</w:t>
            </w:r>
          </w:p>
          <w:p w14:paraId="07591456">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立柱1.5框架1.2其他0.8mm</w:t>
            </w:r>
          </w:p>
          <w:p w14:paraId="131921D6">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ISO检验：通过ISO9001：2008质量管理体系</w:t>
            </w:r>
          </w:p>
          <w:p w14:paraId="633B550E">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检测报告：通过质量监督局检验</w:t>
            </w:r>
          </w:p>
          <w:p w14:paraId="5AFAF9A4">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功能用途：可安装交换机、路由器、配线架、PDU等网络设备</w:t>
            </w:r>
          </w:p>
        </w:tc>
        <w:tc>
          <w:tcPr>
            <w:tcW w:w="238" w:type="pct"/>
            <w:tcBorders>
              <w:top w:val="nil"/>
              <w:left w:val="single" w:color="auto" w:sz="4" w:space="0"/>
              <w:bottom w:val="single" w:color="auto" w:sz="4" w:space="0"/>
              <w:right w:val="single" w:color="auto" w:sz="4" w:space="0"/>
            </w:tcBorders>
            <w:vAlign w:val="center"/>
          </w:tcPr>
          <w:p w14:paraId="42AC576F">
            <w:pPr>
              <w:widowControl/>
              <w:jc w:val="center"/>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台</w:t>
            </w:r>
          </w:p>
        </w:tc>
        <w:tc>
          <w:tcPr>
            <w:tcW w:w="348" w:type="pct"/>
            <w:tcBorders>
              <w:top w:val="nil"/>
              <w:left w:val="single" w:color="auto" w:sz="4" w:space="0"/>
              <w:bottom w:val="single" w:color="auto" w:sz="4" w:space="0"/>
              <w:right w:val="single" w:color="auto" w:sz="4" w:space="0"/>
            </w:tcBorders>
            <w:vAlign w:val="center"/>
          </w:tcPr>
          <w:p w14:paraId="4AED4819">
            <w:pPr>
              <w:widowControl/>
              <w:jc w:val="center"/>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1</w:t>
            </w:r>
          </w:p>
        </w:tc>
      </w:tr>
      <w:tr w14:paraId="1923E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8" w:type="pct"/>
            <w:vAlign w:val="center"/>
          </w:tcPr>
          <w:p w14:paraId="60F08235">
            <w:pPr>
              <w:pStyle w:val="46"/>
              <w:numPr>
                <w:ilvl w:val="0"/>
                <w:numId w:val="6"/>
              </w:numPr>
              <w:jc w:val="center"/>
              <w:rPr>
                <w:rFonts w:cs="宋体" w:asciiTheme="minorEastAsia" w:hAnsiTheme="minorEastAsia"/>
                <w:color w:val="auto"/>
                <w:szCs w:val="21"/>
                <w:highlight w:val="none"/>
              </w:rPr>
            </w:pPr>
          </w:p>
        </w:tc>
        <w:tc>
          <w:tcPr>
            <w:tcW w:w="458" w:type="pct"/>
            <w:tcBorders>
              <w:top w:val="nil"/>
              <w:left w:val="single" w:color="auto" w:sz="4" w:space="0"/>
              <w:bottom w:val="single" w:color="auto" w:sz="4" w:space="0"/>
              <w:right w:val="single" w:color="auto" w:sz="4" w:space="0"/>
            </w:tcBorders>
            <w:vAlign w:val="center"/>
          </w:tcPr>
          <w:p w14:paraId="16E3EEB7">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音频系统</w:t>
            </w:r>
          </w:p>
        </w:tc>
        <w:tc>
          <w:tcPr>
            <w:tcW w:w="3719" w:type="pct"/>
            <w:tcBorders>
              <w:top w:val="nil"/>
              <w:left w:val="single" w:color="auto" w:sz="4" w:space="0"/>
              <w:bottom w:val="single" w:color="auto" w:sz="4" w:space="0"/>
              <w:right w:val="single" w:color="auto" w:sz="4" w:space="0"/>
            </w:tcBorders>
            <w:vAlign w:val="center"/>
          </w:tcPr>
          <w:p w14:paraId="10D9375D">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一、主扩音箱（1对）：</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1、音箱采用准确的相位校正技术，专业的单元位置排列，从而使音箱无需处理延时就能实现准确的频率响应。灵活多变的吊挂音箱设计，实现横、竖等多种不同吊挂方式·外型美观流畅、小巧轻便而又功能强大的专业电教功放设计，使整个系统简洁而又实现各种功能的调用。</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2、音色特性：声音清晰、明亮、细腻而柔和，同时又不缺乏穿透力。从而可以满足不同环境的各种电教需求。</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输出功率：100-200W ；</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阻抗 ≥8</w:t>
            </w:r>
            <w:r>
              <w:rPr>
                <w:rFonts w:cs="Calibri" w:asciiTheme="minorEastAsia" w:hAnsiTheme="minorEastAsia"/>
                <w:color w:val="auto"/>
                <w:szCs w:val="21"/>
                <w:highlight w:val="none"/>
              </w:rPr>
              <w:t>Ω</w:t>
            </w:r>
            <w:r>
              <w:rPr>
                <w:rFonts w:hint="eastAsia" w:asciiTheme="minorEastAsia" w:hAnsiTheme="minorEastAsia"/>
                <w:color w:val="auto"/>
                <w:szCs w:val="21"/>
                <w:highlight w:val="none"/>
              </w:rPr>
              <w:t xml:space="preserve"> </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灵敏度 ≥101dB</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 xml:space="preserve">有效频率响应：50Hz-20kHz </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低音尺寸 ≥8寸</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高音尺寸 ≥3寸</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二、功放（1个）：</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11、输出功率：≤2X100W/8</w:t>
            </w:r>
            <w:r>
              <w:rPr>
                <w:rFonts w:cs="Calibri" w:asciiTheme="minorEastAsia" w:hAnsiTheme="minorEastAsia"/>
                <w:color w:val="auto"/>
                <w:szCs w:val="21"/>
                <w:highlight w:val="none"/>
              </w:rPr>
              <w:t>Ω</w:t>
            </w:r>
            <w:r>
              <w:rPr>
                <w:rFonts w:hint="eastAsia" w:asciiTheme="minorEastAsia" w:hAnsiTheme="minorEastAsia"/>
                <w:color w:val="auto"/>
                <w:szCs w:val="21"/>
                <w:highlight w:val="none"/>
              </w:rPr>
              <w:t>或4X50W/8</w:t>
            </w:r>
            <w:r>
              <w:rPr>
                <w:rFonts w:cs="Calibri" w:asciiTheme="minorEastAsia" w:hAnsiTheme="minorEastAsia"/>
                <w:color w:val="auto"/>
                <w:szCs w:val="21"/>
                <w:highlight w:val="none"/>
              </w:rPr>
              <w:t>Ω</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2、灵敏度：≤220mV ；</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3、信噪比：≥80dB ；</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4、频率响应：20Hz-20KHz(±2dB)；</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5、音乐控制：高低音、左右平衡、音乐总音量控制旋钮；</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6、四路麦克风输入(前二后二) ，话筒1/2、话筒3/4均具一个隐藏式音量调节旋钮，话筒总音量控制旋钮；</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7、具一键蓝牙 、USB接口功能，</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8、光纤、同轴输入，2组音源线路输入，1组录音输出；</w:t>
            </w:r>
          </w:p>
          <w:p w14:paraId="4F9F3723">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9、原装进口混响IC ，高品质专业大功率管，原装进口高速大容量滤波电容， 巨型低磁漏变压器，专业混响 、残响双效果；</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 xml:space="preserve">10、话筒及音乐具有独立的高、中、低音调节旋钮，延时、残响、混响调节旋钮，防啸叫按键、话筒优先按键、声场效果模式按键。                                                                                                                                                                                                               </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三、一拖二无线麦（1台）</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1、接收技术规格：具有音量显示，数字导频；</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2、综合频率响应：45Hz~18KHz ± 3dB；</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3、频率稳定性：± 0.005% , PLL 锁相回路频率控制；</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4、载波频段：UHF 500-900 MHz内；</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5、通道：不少于200个预设通道；</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6、振荡方式：PLL 锁相回路频率控制；</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7、灵敏度：在偏移度等于25KHz,输入6dB</w:t>
            </w:r>
            <w:r>
              <w:rPr>
                <w:rFonts w:cs="Calibri" w:asciiTheme="minorEastAsia" w:hAnsiTheme="minorEastAsia"/>
                <w:color w:val="auto"/>
                <w:szCs w:val="21"/>
                <w:highlight w:val="none"/>
              </w:rPr>
              <w:t>μ</w:t>
            </w:r>
            <w:r>
              <w:rPr>
                <w:rFonts w:hint="eastAsia" w:asciiTheme="minorEastAsia" w:hAnsiTheme="minorEastAsia"/>
                <w:color w:val="auto"/>
                <w:szCs w:val="21"/>
                <w:highlight w:val="none"/>
              </w:rPr>
              <w:t>V时,S/N&gt;60dB；</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8、RF功率输出：10mW或依据国家相关法律法规 ；</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9、供电电源 ≤DC12V/1A，电流消耗 ≤140mA(典型)；</w:t>
            </w:r>
          </w:p>
        </w:tc>
        <w:tc>
          <w:tcPr>
            <w:tcW w:w="238" w:type="pct"/>
            <w:tcBorders>
              <w:top w:val="nil"/>
              <w:left w:val="single" w:color="auto" w:sz="4" w:space="0"/>
              <w:bottom w:val="single" w:color="auto" w:sz="4" w:space="0"/>
              <w:right w:val="single" w:color="auto" w:sz="4" w:space="0"/>
            </w:tcBorders>
            <w:vAlign w:val="center"/>
          </w:tcPr>
          <w:p w14:paraId="175D6C74">
            <w:pPr>
              <w:widowControl/>
              <w:jc w:val="center"/>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套</w:t>
            </w:r>
          </w:p>
        </w:tc>
        <w:tc>
          <w:tcPr>
            <w:tcW w:w="348" w:type="pct"/>
            <w:tcBorders>
              <w:top w:val="nil"/>
              <w:left w:val="single" w:color="auto" w:sz="4" w:space="0"/>
              <w:bottom w:val="single" w:color="auto" w:sz="4" w:space="0"/>
              <w:right w:val="single" w:color="auto" w:sz="4" w:space="0"/>
            </w:tcBorders>
            <w:vAlign w:val="center"/>
          </w:tcPr>
          <w:p w14:paraId="28B9C7E0">
            <w:pPr>
              <w:widowControl/>
              <w:jc w:val="center"/>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1</w:t>
            </w:r>
          </w:p>
        </w:tc>
      </w:tr>
      <w:tr w14:paraId="454A2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8" w:type="pct"/>
            <w:vAlign w:val="center"/>
          </w:tcPr>
          <w:p w14:paraId="12A93044">
            <w:pPr>
              <w:pStyle w:val="46"/>
              <w:numPr>
                <w:ilvl w:val="0"/>
                <w:numId w:val="6"/>
              </w:numPr>
              <w:jc w:val="center"/>
              <w:rPr>
                <w:rFonts w:cs="宋体" w:asciiTheme="minorEastAsia" w:hAnsiTheme="minorEastAsia"/>
                <w:color w:val="auto"/>
                <w:szCs w:val="21"/>
                <w:highlight w:val="none"/>
              </w:rPr>
            </w:pPr>
          </w:p>
        </w:tc>
        <w:tc>
          <w:tcPr>
            <w:tcW w:w="458" w:type="pct"/>
            <w:tcBorders>
              <w:top w:val="nil"/>
              <w:left w:val="single" w:color="auto" w:sz="4" w:space="0"/>
              <w:bottom w:val="single" w:color="auto" w:sz="4" w:space="0"/>
              <w:right w:val="single" w:color="auto" w:sz="4" w:space="0"/>
            </w:tcBorders>
            <w:vAlign w:val="center"/>
          </w:tcPr>
          <w:p w14:paraId="3E61EF56">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路由器</w:t>
            </w:r>
          </w:p>
        </w:tc>
        <w:tc>
          <w:tcPr>
            <w:tcW w:w="3719" w:type="pct"/>
            <w:tcBorders>
              <w:top w:val="nil"/>
              <w:left w:val="single" w:color="auto" w:sz="4" w:space="0"/>
              <w:bottom w:val="single" w:color="auto" w:sz="4" w:space="0"/>
              <w:right w:val="single" w:color="auto" w:sz="4" w:space="0"/>
            </w:tcBorders>
            <w:vAlign w:val="center"/>
          </w:tcPr>
          <w:p w14:paraId="5F9D5797">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支持协议：IEEE802.3,IEEE802.3u,IEEE802.3z ,IEEE802.3x,IEEE802.1x,IEEE802.11 b/g/n/ac</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无线规格：2.4G频段:300Mbps;5G频段:866Mbps</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端口：≥1个WAN口、≥4个LAN口</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支持动态IP/PPPOE/静态IP拨号方式WAN口自动侦测接入类型</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天线：5根7dBi高增益天线</w:t>
            </w:r>
          </w:p>
        </w:tc>
        <w:tc>
          <w:tcPr>
            <w:tcW w:w="238" w:type="pct"/>
            <w:tcBorders>
              <w:top w:val="nil"/>
              <w:left w:val="single" w:color="auto" w:sz="4" w:space="0"/>
              <w:bottom w:val="single" w:color="auto" w:sz="4" w:space="0"/>
              <w:right w:val="single" w:color="auto" w:sz="4" w:space="0"/>
            </w:tcBorders>
            <w:vAlign w:val="center"/>
          </w:tcPr>
          <w:p w14:paraId="1DA9D6AA">
            <w:pPr>
              <w:widowControl/>
              <w:jc w:val="center"/>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台</w:t>
            </w:r>
          </w:p>
        </w:tc>
        <w:tc>
          <w:tcPr>
            <w:tcW w:w="348" w:type="pct"/>
            <w:tcBorders>
              <w:top w:val="nil"/>
              <w:left w:val="single" w:color="auto" w:sz="4" w:space="0"/>
              <w:bottom w:val="single" w:color="auto" w:sz="4" w:space="0"/>
              <w:right w:val="single" w:color="auto" w:sz="4" w:space="0"/>
            </w:tcBorders>
            <w:vAlign w:val="center"/>
          </w:tcPr>
          <w:p w14:paraId="75A6BC4E">
            <w:pPr>
              <w:widowControl/>
              <w:jc w:val="center"/>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1</w:t>
            </w:r>
          </w:p>
        </w:tc>
      </w:tr>
      <w:tr w14:paraId="4EC60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8" w:type="pct"/>
            <w:vAlign w:val="center"/>
          </w:tcPr>
          <w:p w14:paraId="03823E9C">
            <w:pPr>
              <w:pStyle w:val="46"/>
              <w:numPr>
                <w:ilvl w:val="0"/>
                <w:numId w:val="6"/>
              </w:numPr>
              <w:jc w:val="center"/>
              <w:rPr>
                <w:rFonts w:cs="宋体" w:asciiTheme="minorEastAsia" w:hAnsiTheme="minorEastAsia"/>
                <w:color w:val="auto"/>
                <w:szCs w:val="21"/>
                <w:highlight w:val="none"/>
              </w:rPr>
            </w:pPr>
          </w:p>
        </w:tc>
        <w:tc>
          <w:tcPr>
            <w:tcW w:w="458" w:type="pct"/>
            <w:tcBorders>
              <w:top w:val="nil"/>
              <w:left w:val="single" w:color="auto" w:sz="4" w:space="0"/>
              <w:bottom w:val="single" w:color="auto" w:sz="4" w:space="0"/>
              <w:right w:val="single" w:color="auto" w:sz="4" w:space="0"/>
            </w:tcBorders>
            <w:vAlign w:val="center"/>
          </w:tcPr>
          <w:p w14:paraId="6F64531A">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教师桌</w:t>
            </w:r>
          </w:p>
        </w:tc>
        <w:tc>
          <w:tcPr>
            <w:tcW w:w="3719" w:type="pct"/>
            <w:tcBorders>
              <w:top w:val="nil"/>
              <w:left w:val="single" w:color="auto" w:sz="4" w:space="0"/>
              <w:bottom w:val="single" w:color="auto" w:sz="4" w:space="0"/>
              <w:right w:val="single" w:color="auto" w:sz="4" w:space="0"/>
            </w:tcBorders>
          </w:tcPr>
          <w:p w14:paraId="11A8CD79">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1、尺寸(长*宽*高)：1</w:t>
            </w:r>
            <w:r>
              <w:rPr>
                <w:rFonts w:asciiTheme="minorEastAsia" w:hAnsiTheme="minorEastAsia"/>
                <w:color w:val="auto"/>
                <w:szCs w:val="21"/>
                <w:highlight w:val="none"/>
              </w:rPr>
              <w:t>60</w:t>
            </w:r>
            <w:r>
              <w:rPr>
                <w:rFonts w:hint="eastAsia" w:asciiTheme="minorEastAsia" w:hAnsiTheme="minorEastAsia"/>
                <w:color w:val="auto"/>
                <w:szCs w:val="21"/>
                <w:highlight w:val="none"/>
              </w:rPr>
              <w:t>*60*100CM</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2、产品材质：使用环保密度板打造，韧性、硬度超过实木材质， 不生虫，不变形，不开裂，是大型办公家具的通用选材，材质上采用实木贴皮，精选的高品质胡桃木皮贴皮工艺，桌面加厚沿边可达到5公分厚度， 桌体为18mm-25mm厚度，采用家具专业环保油漆， 可达到室内使用的行业标准。</w:t>
            </w:r>
          </w:p>
        </w:tc>
        <w:tc>
          <w:tcPr>
            <w:tcW w:w="238" w:type="pct"/>
            <w:tcBorders>
              <w:top w:val="nil"/>
              <w:left w:val="single" w:color="auto" w:sz="4" w:space="0"/>
              <w:bottom w:val="single" w:color="auto" w:sz="4" w:space="0"/>
              <w:right w:val="single" w:color="auto" w:sz="4" w:space="0"/>
            </w:tcBorders>
            <w:vAlign w:val="center"/>
          </w:tcPr>
          <w:p w14:paraId="772E1809">
            <w:pPr>
              <w:widowControl/>
              <w:jc w:val="center"/>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张</w:t>
            </w:r>
          </w:p>
        </w:tc>
        <w:tc>
          <w:tcPr>
            <w:tcW w:w="348" w:type="pct"/>
            <w:tcBorders>
              <w:top w:val="nil"/>
              <w:left w:val="single" w:color="auto" w:sz="4" w:space="0"/>
              <w:bottom w:val="single" w:color="auto" w:sz="4" w:space="0"/>
              <w:right w:val="single" w:color="auto" w:sz="4" w:space="0"/>
            </w:tcBorders>
            <w:vAlign w:val="center"/>
          </w:tcPr>
          <w:p w14:paraId="0C7A4D9B">
            <w:pPr>
              <w:widowControl/>
              <w:jc w:val="center"/>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1</w:t>
            </w:r>
          </w:p>
        </w:tc>
      </w:tr>
      <w:tr w14:paraId="3C0F5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8" w:type="pct"/>
            <w:vAlign w:val="center"/>
          </w:tcPr>
          <w:p w14:paraId="20302933">
            <w:pPr>
              <w:pStyle w:val="46"/>
              <w:numPr>
                <w:ilvl w:val="0"/>
                <w:numId w:val="6"/>
              </w:numPr>
              <w:jc w:val="center"/>
              <w:rPr>
                <w:rFonts w:cs="宋体" w:asciiTheme="minorEastAsia" w:hAnsiTheme="minorEastAsia"/>
                <w:color w:val="auto"/>
                <w:szCs w:val="21"/>
                <w:highlight w:val="none"/>
              </w:rPr>
            </w:pPr>
          </w:p>
        </w:tc>
        <w:tc>
          <w:tcPr>
            <w:tcW w:w="458" w:type="pct"/>
            <w:tcBorders>
              <w:top w:val="nil"/>
              <w:left w:val="single" w:color="auto" w:sz="4" w:space="0"/>
              <w:bottom w:val="single" w:color="auto" w:sz="4" w:space="0"/>
              <w:right w:val="single" w:color="auto" w:sz="4" w:space="0"/>
            </w:tcBorders>
            <w:vAlign w:val="center"/>
          </w:tcPr>
          <w:p w14:paraId="6330C9F2">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讲台</w:t>
            </w:r>
          </w:p>
        </w:tc>
        <w:tc>
          <w:tcPr>
            <w:tcW w:w="3719" w:type="pct"/>
            <w:tcBorders>
              <w:top w:val="nil"/>
              <w:left w:val="single" w:color="auto" w:sz="4" w:space="0"/>
              <w:bottom w:val="single" w:color="auto" w:sz="4" w:space="0"/>
              <w:right w:val="single" w:color="auto" w:sz="4" w:space="0"/>
            </w:tcBorders>
            <w:vAlign w:val="center"/>
          </w:tcPr>
          <w:p w14:paraId="386E2CFA">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1.钢塑有机结合体，塑钢桌面、桌体、冷轧钢主架、防潮防锈塑钢底脚板，上层采用工业级ABS材料，注塑一体成型。整体流线型，圆弧式设计，美观、漂亮。</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2.正前方有倒V型设计，方便印校徽，并与塑钢的“树”型桌体、V型底板脚呼应；按中小学老师的人体力学设计的渐宽式扶手分层设计，即美观结实，又加固强度；整体外观流线型设计,无菱角，保护师生安全；</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3.并排一个塑钢键盘抽屉，一个塑钢抽储物抽屉；</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4.桌面采用流线式设计，留有两个外置USB接口、水杯位、粉笔盒位、防止笔滑落槽等；</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5.桌面超大的中控储物盒，可放置中控面板、鼠标、笔记本数据处理单元接线或便携展示台等；</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6.桌体内可内置19寸液晶显示器,仰角≥15度，内嵌5MM钢化防爆玻璃； 可内置侧抽拉展示台抽屉，承重≥8公斤；</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7.讲桌尺寸：长:1200mm宽:600mm高:800mm；</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8.桌体采用拆装设计，塑钢底板设计安装两个进线防鼠网。</w:t>
            </w:r>
          </w:p>
        </w:tc>
        <w:tc>
          <w:tcPr>
            <w:tcW w:w="238" w:type="pct"/>
            <w:tcBorders>
              <w:top w:val="nil"/>
              <w:left w:val="single" w:color="auto" w:sz="4" w:space="0"/>
              <w:bottom w:val="single" w:color="auto" w:sz="4" w:space="0"/>
              <w:right w:val="single" w:color="auto" w:sz="4" w:space="0"/>
            </w:tcBorders>
            <w:vAlign w:val="center"/>
          </w:tcPr>
          <w:p w14:paraId="11B2B1E8">
            <w:pPr>
              <w:widowControl/>
              <w:jc w:val="center"/>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张</w:t>
            </w:r>
          </w:p>
        </w:tc>
        <w:tc>
          <w:tcPr>
            <w:tcW w:w="348" w:type="pct"/>
            <w:tcBorders>
              <w:top w:val="nil"/>
              <w:left w:val="single" w:color="auto" w:sz="4" w:space="0"/>
              <w:bottom w:val="single" w:color="auto" w:sz="4" w:space="0"/>
              <w:right w:val="single" w:color="auto" w:sz="4" w:space="0"/>
            </w:tcBorders>
            <w:vAlign w:val="center"/>
          </w:tcPr>
          <w:p w14:paraId="22BB29BD">
            <w:pPr>
              <w:widowControl/>
              <w:jc w:val="center"/>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1</w:t>
            </w:r>
          </w:p>
        </w:tc>
      </w:tr>
      <w:tr w14:paraId="3486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8" w:type="pct"/>
            <w:vAlign w:val="center"/>
          </w:tcPr>
          <w:p w14:paraId="5A008446">
            <w:pPr>
              <w:pStyle w:val="46"/>
              <w:numPr>
                <w:ilvl w:val="0"/>
                <w:numId w:val="6"/>
              </w:numPr>
              <w:jc w:val="center"/>
              <w:rPr>
                <w:rFonts w:cs="宋体" w:asciiTheme="minorEastAsia" w:hAnsiTheme="minorEastAsia"/>
                <w:color w:val="auto"/>
                <w:szCs w:val="21"/>
                <w:highlight w:val="none"/>
              </w:rPr>
            </w:pPr>
          </w:p>
        </w:tc>
        <w:tc>
          <w:tcPr>
            <w:tcW w:w="458" w:type="pct"/>
            <w:tcBorders>
              <w:top w:val="nil"/>
              <w:left w:val="single" w:color="auto" w:sz="4" w:space="0"/>
              <w:bottom w:val="single" w:color="auto" w:sz="4" w:space="0"/>
              <w:right w:val="single" w:color="auto" w:sz="4" w:space="0"/>
            </w:tcBorders>
            <w:vAlign w:val="center"/>
          </w:tcPr>
          <w:p w14:paraId="35E9712E">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圆凳</w:t>
            </w:r>
          </w:p>
        </w:tc>
        <w:tc>
          <w:tcPr>
            <w:tcW w:w="3719" w:type="pct"/>
            <w:tcBorders>
              <w:top w:val="nil"/>
              <w:left w:val="single" w:color="auto" w:sz="4" w:space="0"/>
              <w:bottom w:val="single" w:color="auto" w:sz="4" w:space="0"/>
              <w:right w:val="single" w:color="auto" w:sz="4" w:space="0"/>
            </w:tcBorders>
            <w:vAlign w:val="bottom"/>
          </w:tcPr>
          <w:p w14:paraId="5DDBC6C1">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优质PU皮精选皮革材质，安全健康，防爆升降气杆，可360度旋转，可上下升降，</w:t>
            </w:r>
          </w:p>
        </w:tc>
        <w:tc>
          <w:tcPr>
            <w:tcW w:w="238" w:type="pct"/>
            <w:tcBorders>
              <w:top w:val="nil"/>
              <w:left w:val="single" w:color="auto" w:sz="4" w:space="0"/>
              <w:bottom w:val="single" w:color="auto" w:sz="4" w:space="0"/>
              <w:right w:val="single" w:color="auto" w:sz="4" w:space="0"/>
            </w:tcBorders>
            <w:vAlign w:val="center"/>
          </w:tcPr>
          <w:p w14:paraId="0F7D0575">
            <w:pPr>
              <w:widowControl/>
              <w:jc w:val="center"/>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张</w:t>
            </w:r>
          </w:p>
        </w:tc>
        <w:tc>
          <w:tcPr>
            <w:tcW w:w="348" w:type="pct"/>
            <w:tcBorders>
              <w:top w:val="nil"/>
              <w:left w:val="single" w:color="auto" w:sz="4" w:space="0"/>
              <w:bottom w:val="single" w:color="auto" w:sz="4" w:space="0"/>
              <w:right w:val="single" w:color="auto" w:sz="4" w:space="0"/>
            </w:tcBorders>
            <w:vAlign w:val="center"/>
          </w:tcPr>
          <w:p w14:paraId="26FCE9F2">
            <w:pPr>
              <w:widowControl/>
              <w:jc w:val="center"/>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1</w:t>
            </w:r>
          </w:p>
        </w:tc>
      </w:tr>
      <w:tr w14:paraId="214BA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8" w:type="pct"/>
            <w:vAlign w:val="center"/>
          </w:tcPr>
          <w:p w14:paraId="3996B1EA">
            <w:pPr>
              <w:pStyle w:val="46"/>
              <w:numPr>
                <w:ilvl w:val="0"/>
                <w:numId w:val="6"/>
              </w:numPr>
              <w:jc w:val="center"/>
              <w:rPr>
                <w:rFonts w:cs="宋体" w:asciiTheme="minorEastAsia" w:hAnsiTheme="minorEastAsia"/>
                <w:color w:val="auto"/>
                <w:szCs w:val="21"/>
                <w:highlight w:val="none"/>
              </w:rPr>
            </w:pPr>
          </w:p>
        </w:tc>
        <w:tc>
          <w:tcPr>
            <w:tcW w:w="458" w:type="pct"/>
            <w:tcBorders>
              <w:top w:val="nil"/>
              <w:left w:val="single" w:color="auto" w:sz="4" w:space="0"/>
              <w:bottom w:val="single" w:color="auto" w:sz="4" w:space="0"/>
              <w:right w:val="single" w:color="auto" w:sz="4" w:space="0"/>
            </w:tcBorders>
            <w:vAlign w:val="center"/>
          </w:tcPr>
          <w:p w14:paraId="1464F1B8">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拼接六角桌</w:t>
            </w:r>
          </w:p>
        </w:tc>
        <w:tc>
          <w:tcPr>
            <w:tcW w:w="3719" w:type="pct"/>
            <w:tcBorders>
              <w:top w:val="nil"/>
              <w:left w:val="single" w:color="auto" w:sz="4" w:space="0"/>
              <w:bottom w:val="single" w:color="auto" w:sz="4" w:space="0"/>
              <w:right w:val="single" w:color="auto" w:sz="4" w:space="0"/>
            </w:tcBorders>
            <w:vAlign w:val="center"/>
          </w:tcPr>
          <w:p w14:paraId="6CD3FADB">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拼接六角桌</w:t>
            </w:r>
          </w:p>
          <w:p w14:paraId="19A75F1C">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1.钢木结构</w:t>
            </w:r>
          </w:p>
          <w:p w14:paraId="0D189366">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2.规格:标准尺寸为:Ф1600*1380*750mm</w:t>
            </w:r>
          </w:p>
          <w:p w14:paraId="4FF2BF28">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3.采用 6块 25mm 防刮防划防高温组合而成，机械打磨，造型美观。四周利用机械封边机配以热溶胶高温封边，采用(PVC1.0-MM-封边条)。高密封性，不吸水，不膨胀经久耐用。</w:t>
            </w:r>
          </w:p>
          <w:p w14:paraId="5905488D">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4.立地的桌脚用优质加厚承重钢管制作，厚度不小于1.0m。安装有防滑橡胶垫，有效保护地面及防止滑到。立管采用国标优质钢材，外径3050mm，横梁采用20*40mm的方管。</w:t>
            </w:r>
          </w:p>
          <w:p w14:paraId="57C80875">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5.脚垫:采用高强度-ABS-塑料，自由调节高度&gt;20mm，具有防震、防滑、耐腐蚀功能。</w:t>
            </w:r>
          </w:p>
          <w:p w14:paraId="04C6E877">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椅子参数:</w:t>
            </w:r>
          </w:p>
          <w:p w14:paraId="252D4ED0">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尺寸480*470*450*790mm总高度坐垫及靠背为pp工程塑料，椅架为1.2cm，直径实心钢筋，坐垫优质布芝加原生海绵。</w:t>
            </w:r>
          </w:p>
        </w:tc>
        <w:tc>
          <w:tcPr>
            <w:tcW w:w="238" w:type="pct"/>
            <w:tcBorders>
              <w:top w:val="nil"/>
              <w:left w:val="single" w:color="auto" w:sz="4" w:space="0"/>
              <w:bottom w:val="single" w:color="auto" w:sz="4" w:space="0"/>
              <w:right w:val="single" w:color="auto" w:sz="4" w:space="0"/>
            </w:tcBorders>
            <w:vAlign w:val="center"/>
          </w:tcPr>
          <w:p w14:paraId="2614B742">
            <w:pPr>
              <w:widowControl/>
              <w:jc w:val="center"/>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套</w:t>
            </w:r>
          </w:p>
        </w:tc>
        <w:tc>
          <w:tcPr>
            <w:tcW w:w="348" w:type="pct"/>
            <w:tcBorders>
              <w:top w:val="nil"/>
              <w:left w:val="single" w:color="auto" w:sz="4" w:space="0"/>
              <w:bottom w:val="single" w:color="auto" w:sz="4" w:space="0"/>
              <w:right w:val="single" w:color="auto" w:sz="4" w:space="0"/>
            </w:tcBorders>
            <w:vAlign w:val="center"/>
          </w:tcPr>
          <w:p w14:paraId="544D6DDD">
            <w:pPr>
              <w:widowControl/>
              <w:jc w:val="center"/>
              <w:rPr>
                <w:rFonts w:cs="宋体" w:asciiTheme="minorEastAsia" w:hAnsiTheme="minorEastAsia"/>
                <w:color w:val="auto"/>
                <w:kern w:val="0"/>
                <w:szCs w:val="21"/>
                <w:highlight w:val="none"/>
              </w:rPr>
            </w:pPr>
            <w:r>
              <w:rPr>
                <w:rFonts w:asciiTheme="minorEastAsia" w:hAnsiTheme="minorEastAsia"/>
                <w:color w:val="auto"/>
                <w:szCs w:val="21"/>
                <w:highlight w:val="none"/>
              </w:rPr>
              <w:t>4</w:t>
            </w:r>
          </w:p>
        </w:tc>
      </w:tr>
      <w:tr w14:paraId="12A5E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8" w:type="pct"/>
            <w:vAlign w:val="center"/>
          </w:tcPr>
          <w:p w14:paraId="681E5D14">
            <w:pPr>
              <w:pStyle w:val="46"/>
              <w:numPr>
                <w:ilvl w:val="0"/>
                <w:numId w:val="6"/>
              </w:numPr>
              <w:jc w:val="center"/>
              <w:rPr>
                <w:rFonts w:cs="宋体" w:asciiTheme="minorEastAsia" w:hAnsiTheme="minorEastAsia"/>
                <w:color w:val="auto"/>
                <w:szCs w:val="21"/>
                <w:highlight w:val="none"/>
              </w:rPr>
            </w:pPr>
          </w:p>
        </w:tc>
        <w:tc>
          <w:tcPr>
            <w:tcW w:w="458" w:type="pct"/>
            <w:tcBorders>
              <w:top w:val="nil"/>
              <w:left w:val="single" w:color="auto" w:sz="4" w:space="0"/>
              <w:bottom w:val="single" w:color="auto" w:sz="4" w:space="0"/>
              <w:right w:val="single" w:color="auto" w:sz="4" w:space="0"/>
            </w:tcBorders>
            <w:vAlign w:val="center"/>
          </w:tcPr>
          <w:p w14:paraId="33814815">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电源插排</w:t>
            </w:r>
          </w:p>
        </w:tc>
        <w:tc>
          <w:tcPr>
            <w:tcW w:w="3719" w:type="pct"/>
            <w:tcBorders>
              <w:top w:val="nil"/>
              <w:left w:val="single" w:color="auto" w:sz="4" w:space="0"/>
              <w:bottom w:val="single" w:color="auto" w:sz="4" w:space="0"/>
              <w:right w:val="single" w:color="auto" w:sz="4" w:space="0"/>
            </w:tcBorders>
            <w:vAlign w:val="center"/>
          </w:tcPr>
          <w:p w14:paraId="747A419E">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220v 10A</w:t>
            </w:r>
          </w:p>
        </w:tc>
        <w:tc>
          <w:tcPr>
            <w:tcW w:w="238" w:type="pct"/>
            <w:tcBorders>
              <w:top w:val="nil"/>
              <w:left w:val="single" w:color="auto" w:sz="4" w:space="0"/>
              <w:bottom w:val="single" w:color="auto" w:sz="4" w:space="0"/>
              <w:right w:val="single" w:color="auto" w:sz="4" w:space="0"/>
            </w:tcBorders>
            <w:vAlign w:val="center"/>
          </w:tcPr>
          <w:p w14:paraId="419CCCD1">
            <w:pPr>
              <w:widowControl/>
              <w:jc w:val="center"/>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个</w:t>
            </w:r>
          </w:p>
        </w:tc>
        <w:tc>
          <w:tcPr>
            <w:tcW w:w="348" w:type="pct"/>
            <w:tcBorders>
              <w:top w:val="nil"/>
              <w:left w:val="single" w:color="auto" w:sz="4" w:space="0"/>
              <w:bottom w:val="single" w:color="auto" w:sz="4" w:space="0"/>
              <w:right w:val="single" w:color="auto" w:sz="4" w:space="0"/>
            </w:tcBorders>
            <w:vAlign w:val="center"/>
          </w:tcPr>
          <w:p w14:paraId="65CA9996">
            <w:pPr>
              <w:widowControl/>
              <w:jc w:val="center"/>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10</w:t>
            </w:r>
          </w:p>
        </w:tc>
      </w:tr>
      <w:tr w14:paraId="7857E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8" w:type="pct"/>
            <w:tcBorders>
              <w:bottom w:val="single" w:color="auto" w:sz="4" w:space="0"/>
            </w:tcBorders>
            <w:vAlign w:val="center"/>
          </w:tcPr>
          <w:p w14:paraId="3A0F8790">
            <w:pPr>
              <w:pStyle w:val="46"/>
              <w:numPr>
                <w:ilvl w:val="0"/>
                <w:numId w:val="6"/>
              </w:numPr>
              <w:jc w:val="center"/>
              <w:rPr>
                <w:rFonts w:cs="宋体" w:asciiTheme="minorEastAsia" w:hAnsiTheme="minorEastAsia"/>
                <w:color w:val="auto"/>
                <w:szCs w:val="21"/>
                <w:highlight w:val="none"/>
              </w:rPr>
            </w:pPr>
          </w:p>
        </w:tc>
        <w:tc>
          <w:tcPr>
            <w:tcW w:w="458" w:type="pct"/>
            <w:tcBorders>
              <w:top w:val="nil"/>
              <w:left w:val="single" w:color="auto" w:sz="4" w:space="0"/>
              <w:bottom w:val="single" w:color="auto" w:sz="4" w:space="0"/>
              <w:right w:val="single" w:color="auto" w:sz="4" w:space="0"/>
            </w:tcBorders>
            <w:vAlign w:val="center"/>
          </w:tcPr>
          <w:p w14:paraId="571DED68">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汽车自动驾驶套件</w:t>
            </w:r>
          </w:p>
        </w:tc>
        <w:tc>
          <w:tcPr>
            <w:tcW w:w="3719" w:type="pct"/>
            <w:tcBorders>
              <w:top w:val="nil"/>
              <w:left w:val="single" w:color="auto" w:sz="4" w:space="0"/>
              <w:bottom w:val="single" w:color="auto" w:sz="4" w:space="0"/>
              <w:right w:val="single" w:color="auto" w:sz="4" w:space="0"/>
            </w:tcBorders>
            <w:vAlign w:val="center"/>
          </w:tcPr>
          <w:p w14:paraId="71AB9099">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 xml:space="preserve">（一）造型外壳材质要求：                            </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1.包括模拟汽车，含方向盘、挡杆。</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2.传输方式：线缆。</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3.接口：USB。</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4.产品特点：震动。</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5.游戏性能：发烧级。</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 xml:space="preserve">（二）图形输出单元要求：  </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1.49英寸曲面图形输出设备</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 xml:space="preserve">（三）高性能数据处理单元要求：                                                                        </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1.处理器：≥2.50 GHz ≥6核。</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2.内存：≥16G DDR4</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3.显卡：显存≥8G</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4.硬盘：≥500G SSD</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5.配件线材 鼠标、键盘、电源线、HDMI线等</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注：硬件参数不低于上述要求</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（四）VR设备要求：</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 xml:space="preserve">屏幕：5.46" FAST LCD </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分辨率：不低于3664*1920 （单眼 ：1832*1920）</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视场角：不低于116°</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延迟率：不高于16ms</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刷新率：120HZ/90HZ/70HZ 可调</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瞳距调节：自适应54-74mm范围</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支持双MIC消噪算法音频输入</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连接口：USB3.0，DP1.4</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摄像头：4颗摄像头</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人机工学设计：自适应53-73mm瞳距</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使用方式：站姿/坐姿</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最小空间限制：无最小空间限制</w:t>
            </w:r>
          </w:p>
        </w:tc>
        <w:tc>
          <w:tcPr>
            <w:tcW w:w="238" w:type="pct"/>
            <w:tcBorders>
              <w:top w:val="nil"/>
              <w:left w:val="single" w:color="auto" w:sz="4" w:space="0"/>
              <w:bottom w:val="single" w:color="auto" w:sz="4" w:space="0"/>
              <w:right w:val="single" w:color="auto" w:sz="4" w:space="0"/>
            </w:tcBorders>
            <w:vAlign w:val="center"/>
          </w:tcPr>
          <w:p w14:paraId="3D227B4D">
            <w:pPr>
              <w:widowControl/>
              <w:jc w:val="center"/>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台</w:t>
            </w:r>
          </w:p>
        </w:tc>
        <w:tc>
          <w:tcPr>
            <w:tcW w:w="348" w:type="pct"/>
            <w:tcBorders>
              <w:top w:val="nil"/>
              <w:left w:val="single" w:color="auto" w:sz="4" w:space="0"/>
              <w:bottom w:val="single" w:color="auto" w:sz="4" w:space="0"/>
              <w:right w:val="single" w:color="auto" w:sz="4" w:space="0"/>
            </w:tcBorders>
            <w:vAlign w:val="center"/>
          </w:tcPr>
          <w:p w14:paraId="060B6001">
            <w:pPr>
              <w:widowControl/>
              <w:jc w:val="center"/>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1</w:t>
            </w:r>
          </w:p>
        </w:tc>
      </w:tr>
      <w:tr w14:paraId="7C50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8" w:type="pct"/>
            <w:tcBorders>
              <w:top w:val="single" w:color="auto" w:sz="4" w:space="0"/>
              <w:bottom w:val="single" w:color="auto" w:sz="4" w:space="0"/>
            </w:tcBorders>
            <w:vAlign w:val="center"/>
          </w:tcPr>
          <w:p w14:paraId="1775234E">
            <w:pPr>
              <w:pStyle w:val="46"/>
              <w:numPr>
                <w:ilvl w:val="0"/>
                <w:numId w:val="6"/>
              </w:numPr>
              <w:jc w:val="center"/>
              <w:rPr>
                <w:rFonts w:cs="宋体" w:asciiTheme="minorEastAsia" w:hAnsiTheme="minorEastAsia"/>
                <w:color w:val="auto"/>
                <w:szCs w:val="21"/>
                <w:highlight w:val="none"/>
              </w:rPr>
            </w:pPr>
          </w:p>
        </w:tc>
        <w:tc>
          <w:tcPr>
            <w:tcW w:w="458" w:type="pct"/>
            <w:tcBorders>
              <w:bottom w:val="single" w:color="auto" w:sz="4" w:space="0"/>
            </w:tcBorders>
            <w:vAlign w:val="center"/>
          </w:tcPr>
          <w:p w14:paraId="3260F6A9">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智能网联汽车自动驾驶VR仿真教学软件</w:t>
            </w:r>
          </w:p>
        </w:tc>
        <w:tc>
          <w:tcPr>
            <w:tcW w:w="3719" w:type="pct"/>
            <w:tcBorders>
              <w:top w:val="nil"/>
              <w:left w:val="single" w:color="auto" w:sz="4" w:space="0"/>
              <w:bottom w:val="single" w:color="auto" w:sz="4" w:space="0"/>
              <w:right w:val="single" w:color="auto" w:sz="4" w:space="0"/>
            </w:tcBorders>
            <w:vAlign w:val="center"/>
          </w:tcPr>
          <w:p w14:paraId="0B6EFD84">
            <w:pPr>
              <w:widowControl/>
              <w:jc w:val="left"/>
              <w:rPr>
                <w:color w:val="auto"/>
                <w:kern w:val="0"/>
                <w:sz w:val="20"/>
                <w:szCs w:val="20"/>
                <w:highlight w:val="none"/>
              </w:rPr>
            </w:pPr>
            <w:r>
              <w:rPr>
                <w:rFonts w:hint="eastAsia" w:asciiTheme="minorEastAsia" w:hAnsiTheme="minorEastAsia"/>
                <w:color w:val="auto"/>
                <w:szCs w:val="21"/>
                <w:highlight w:val="none"/>
              </w:rPr>
              <w:t>（一）产品特点：</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VR虚拟现实技术（Virtual Reality），是结合空 间定位技术以及触觉/力反馈、立体显示技术、网络传输等多种科技，利用交互式的三维动态视景和实体行为的系统仿真，使用者的全部视野都被VR虚拟的环境所覆盖，并且使用者在现实空间中的位移和旋转，也会带动虚拟场景随之产生变化，使用者仿佛置身于虚拟的环境当中，得到“沉浸式”体验。虚实一体：在VR的虚拟世界与现实世界结合一体，在现实世界中操作实体，同时虚拟世界同步相同的动作。本项目中主要关键技术有：虚拟仿真技术，硬件与软件中的串口通信，空间定位融合技术，识别技术，采用软件与硬件结合开发模式进行开发。利用空间定位融合技术计算空间物体坐标，达到与硬件位置相结合 ，并配合空间定位和识别技术将软件与硬件的空间位置误差缩小至1cm，我们可以在视景中通过现实的手势看到自己仿真的手，并以此操作视景模型。对驾驶中的车辆进行动力学仿真因子的仿真，通过硬件在使用时的数据传输给软件，在进行换挡，刹车，加速等操作时实时进行数据传输，使软件中的模型进行相应的同步动作；同时进行空间声音模拟仿真，达到软件内对真实驾驶声音的效果仿真。</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（二）功能设计要求：</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1. VR技术制作采用3D引擎制作的全景VR,操作者不使用手柄，在整个虚拟产品的全程操作时使用操作者的手和脚操作汽车驾驶模拟平台，同时虚拟世界动作与现实同步；操作者得到沉浸式的交互体验，并激发学习的热情。</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2. 3D模型还原实物本色，与现实中部件的颜色、材质、纹路完全一致；模型必须仿真，尤其是直线部分的表面不得出现锯齿。</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3. UI框包括文字UI框和模型UI框。</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4. 场景：模拟汽车在城市 公路、普通公路和环形高速公路驾驶，要有蓝天、白云、大山、树林、楼房、立交桥、红绿灯、指示牌，太阳能路灯和2个停车场（地面采用环氧树脂，含12个停车位），保证虚拟世界的场景与现实世界一致。</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5. 操作者在虚拟世界完成瞬移动作。</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6. 文字和模型始终保持在屏幕正前方显示，方便教与学，同时所有的文字介绍能够在屏幕前固定显示，即使操作者做任何动作，文字仍保持在屏幕前固定不动。</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7. 仿真操作工艺，完全按照实际测量工艺流程制作，不得有跨步操作。</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8. VR产品在脱网状态下，即无任何网络流量下正常操作使用。</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（四）技术要求：</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1.自动驾驶辅助系统使用文字介绍定义、作用和部件组成，组成包括7种部件，列出具体的部件名称，使用二维图介绍每种部件的位置和作用范围，在停车场有一辆汽车，点击每种部件的文字，在汽车上显示该部件和位置以及工作范围，显示每种工作范围时同时出现警报3声。</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2.使用文字介绍驾驶员辅助系统的7种功能，列出具体的功能名称。各个功能的简介，在停车场检验向前驾驶汽车和刹车的性能，并体现汽车仪表、档位、油门踏板和刹车踏板的相应变化，同时出现语音提示。</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3.使用文字介绍前部摄像头支持的8种驾驶员辅助系统，列出8种系统名称。前部摄像头的位置、作用和技术参数，在停车场360°把玩前部摄像头，把玩后前部摄像头模型落入汽车相应位置中，并闪亮5下。</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4.★使用文字介绍驾驶员辅助系统的GRA的功能、作用和实现方式，并详细指出实现GRA功能的车速范围，从停车场出发驾驶到城市公路中，驾驶过程中，在汽车上设置GRA功能，并体现汽车仪表、档位、油门踏板和刹车踏板的相应变化，同时出现语音提示。（需提供该功能截图）</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5.使用文字介绍驾驶员辅助系统的Front Assist的位置、功能、作用和实现方式，以及警告方式，并详细介绍Front Assist功能的激活条件，该功能被激活后产生的车速减速速度值。从停车场出发驾驶到城市公路中，驾驶过程中，在汽车上设置Front Assist功能，并体现汽车MID、仪表、档位、油门踏板和刹车踏板的相应变化，同时出现语音提示。</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6.使用文字介绍驾驶员辅助系统的车距报警器的功能、作用和实现方式，并且介绍了打开或关闭此功能的方法，使用二维图介绍实现制动的车辆距离范围。汽车在城市公路中行驶，驾驶过程中体现汽车仪表、档位、油门踏板和刹车踏板的相应变化，以及车距报警器的实现过程，同时出现语音提示。</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7.使用文字介绍驾驶员辅助系统的行人识别功能的警告方式、作用和实现方式，以及激活该功能的车速范围和行人身高范围，使用二维图介绍行人识别功能被激活后产生的车速减速速度值，从停车场出发驾驶到城市公路中，驾驶过程中体现汽车仪表、档位、油门踏板和刹车踏板的相应变化，以及行人识别功能的实现过程，同时出现语音提示。</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8.使用文字介绍驾驶员辅助系统的城市紧急制动功能的警告方式、作用和实现方式，以及城市紧急制动功能被激活后产生的车速减速速度值，使用二维图介绍城市紧急制动功能被激活车速范围和制动力干预的关系，在城市公路行驶，驾驶过程中体现汽车仪表、档位、油门踏板和刹车踏板的相应变化，以及城市紧急制动功能的实现过程，同时出现语音提示。</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9.使用文字介绍驾驶员辅助系统的ACC功能的组成、开关方法和驾驶模型选择，组成包括4种部件，列出具体的部件名称，使用二维图介绍介绍每种部件的位置和外观，在停车场有一辆汽车，点击每种部件的文字，相应的部件在汽车安装位置显示。</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10.使用文字介绍中程雷达传感器的作用、注意事项和技术参数，技术参数包括具体的车速激活条件、作用范围和传送频率，在停车场360°把玩中程雷达传感器，把玩后中程雷达传感器模型落入汽车相应位置中，并闪亮5下。</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11.使用文字介绍驾驶员辅助系统的自适应巡航控制系统的功能和实现方式，并介绍了两款ACC的区别和最高车速值，使用二维图展示了自适应巡航控制系统的工作方式；从停车场出发驾驶到城市公路中，驾驶过程中，在汽车上设置自适应巡航控制系统功能，并体现汽车MID、仪表、档位、油门踏板和刹车踏板的相应变化，同时出现语音提示。</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12.使用文字介绍驾驶员辅助系统的Lane Assist含义、作用和实现方式，并介绍了主动模式激活时的车速值，使用二维图展示了Lane Assist的工作方式，从停车场出发驾驶到高速公路中，驾驶过程中，在汽车上设置Lane Assist功能，并体现汽车MID、仪表、档位、油门踏板、和刹车踏板的相应变化，同时出现语音提示。</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13.使用文字介绍驾驶员辅助系统的Emergency Assist含义、作用和警告方式，警告时具体的车速值，并且介绍了Emergency Assist对车辆配置的要求，使用二维图展示了Emergency Assist激活时的工作过程，在高速公路行驶，驾驶过程中，在汽车上设置Emergency Assist功能，并体现汽车仪表、油门踏板和刹车踏板的相应变化，同时出现语音提示。</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14.★使用文字介绍驾驶员辅助系统的堵车辅助系统含义、作用和实现方式，并且介绍了堵车辅助系统在驾驶过程中的使用条件，以及堵车辅助系统关闭时的车速值，在高速公路行驶，在堵车路段中，并体现汽车车速、油门踏板和刹车踏板的相应变化，同时出现语音提示。（需提供该功能截图）</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15.使用文字介绍驾驶员辅助系统的交通标志识别系统含义、警告方式和开关方法，并且介绍了识别7种标识的具体名称和显示的标识名称，以及汽车显示标识的位置和5种警告等级，警告等级最高的车速值，从停车场出发驾驶到城市公路中，驾驶过程中体现汽车仪表、档位、油门踏板和刹车踏板的相应变化，以及城市紧急制动功能的实现过程，同时出现语音提示。</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16.使用文字介绍车尾摄像头支持的驾驶员辅助系统，车尾摄像头的位置、作用和功能，在停车场使用二维图介绍5种部件的位置和作用范围，在停车场有一辆汽车，点击汽车，在汽车上显示5种部件和位置以及工作范围，显示每种工作范围时同时出现警报3声。</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17.使用文字介绍前景摄像头的配置数量、特点和技术参数，技术参数包括工作范围和耗电量等，在停车场360°把玩前景摄像头，把玩后所有的前景摄像头模型落入汽车相应位置中，并闪亮5下。</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18.使用文字介绍全景摄像头系统控制单元的配置数量、特点和技术参数，在停车场360°把玩全景摄像头系统控制单元，把玩后所有的全景摄像头系统控制单元模型落入汽车相应位置中，并闪亮5下。</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19.使用文字介绍中全景影像系统的作用、功能和技术参数，技术参数包括具体的车速激活范围，在停车场汽车上设置全景影像系统功能，并体现汽车MID、仪表、档位、油门踏板和刹车踏板的相应变化，同时出现语音提示。</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20.使用文字介绍中汽车3D鸟瞰视图的功能和作用，在停车场汽车上设置体验3D鸟瞰功能，并体现汽车MID、仪表、档位、油门踏板和刹车踏板的相应变化，同时出现语音提示。</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21.使用文字介绍中OPS的特点和技术参数，技术参数包括具体的车速激活范围，在停车场汽车上设置OPS，并体现汽车MID、仪表、档位、油门踏板和刹车踏板的相应变化，同时出现语音提示。</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22.使用文字介绍中Park Assist的车头先进入车位的横向停车功能和技术参数，技术参数包括实现功能的尺寸范围、工作范围、激活功能的车速范围和步骤的最多数量，在停车场使用二维图介绍实现功能的工作范围和汽车运行轨迹，在停车场驾驶汽车上演示车头先进入车位的横向停车功能，并体现汽车MID、仪表、档位、油门踏板和刹车踏板的相应变化，同时出现语音提示。</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23.使用文字介绍中Park Assist的车尾先进入车位的横向停车功能和技术参数，技术参数包括实现功能的尺寸范围、工作范围和激活功能的车速范围，在停车场使用二维图介绍实现功能的工作范围和汽车运行轨迹，在停车场驾驶汽车上演示车尾先进入车位的横向停车功能，并体现汽车MID、仪表、档位、油门踏板和刹车踏板的相应变化，同时出现语音提示。</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24.使用文字介绍中Park Assist的车尾先进入车位的纵向停车功能、控制方式和作用，在停车场使用二维图介绍实现功能的工作范围和汽车运行轨迹，在停车场驾驶汽车上演示车尾先进入车位的纵向停车功能，并体现汽车MID、仪表、档位、油门踏板和刹车踏板的相应变化，同时出现语音提示。</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25.使用文字介绍中Park Assist的泊车转向辅助纵向驶出车位功能、控制方式和技术参数，技术参数包括工作范围和激活功能的车速范围，在停车场使用二维图介绍实现功能的工作范围和汽车运行轨迹，在停车场驾驶汽车上演示泊车转向辅助纵向驶出车位功能，并体现汽车MID、仪表、档位、油门踏板和刹车踏板的相应变化，同时出现语音提示。</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26.使用文字介绍中Park Assist的制动辅助系统功能、作用、工作方式和技术参数，技术参数包括激活功能的车速范围，在停车场驾驶汽车上演示泊制动辅助功能，并体现汽车MID、仪表、档位、油门踏板和刹车踏板的相应变化，同时出现语音提示。</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27.使用文字介绍RDK的功能、作用、警告方式和实现方式，使用二维图展示了RDK的组成以及组成部件在车身的安装位置，在停车场设置激活RDK功能，体现汽车MID和胎压报警状态时仪表的相应变化，同时出现语音提示。</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28.★使用文字介绍驾驶员辅助系统的Side Assist的含义、作用和实现方式，使用二维图展示了Side Assist激活时的工作过程和车辆灯光变化，在停车场激活Side Assist功能，体现汽车MID的相应变化，同时出现语音提示。（需提供该功能截图）</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29.使用文字介绍驾驶员辅助系统的Assist的结构和技术参数，结构包括雷达传感器的安装位置、数量车速范围、探测范围和探测角度，以及后视镜镜脚中的警告灯的安装位置和作用；并介绍了变道辅助系统的激活条件和受限条件，技术参数包括功能激活条件的车速值，在城市公路行驶，驾驶过程中体现警告灯、档位、油门踏板和刹车踏板的相应变化，以及变道辅助系统的实现过程、运动轨迹和不同车辆之间的变化，同时出现语音提示。</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30.使用文字介绍Side Assist中Traffic Alert的含义、作用和警示等级，以及系统的极限条件，包括雷达探测角度和范围、自身车速范围、对方车速值范围、使用二维图展示了Traffic Alert激活时的实现方式，从城市公路进入停车位，体现汽车Traffic Alert的工作过程和档位、警告灯和运动轨迹的相应变化，同时出现语音提示。</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31.使用文字介绍驾驶员辅助系统的MKE的含义、开闭方法和警告方式，以及系统激活时的车速范围和行驶时间，使用二维图展示了MKE激活时的转向角速度和汽车动作关系图，从停车场激活MKE功能，体现汽车MID的相应变化，在高速公路行驶，体现仪表、档位、油门踏板和刹车踏板的相应变化，以及MKE的工作过程，同时出现语音提示。</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32.使用文字介绍的下坡行驶辅助系统含义和功能，实现功能的档位位置，在两种坡度范围内发挥功能作用的工作条件。从停车场驾驶到城市公路，城市公路驾驶过程中，在汽车上设置下坡行驶辅助功能，并体现汽车仪表、油门踏板和刹车踏板的相应变化，同时出现语音提示。</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33.使用文字介绍的AUTO HOLD功能、作用、工作条件和技术参数，技术参数包括激活功能的车速范围。从停车场驾驶到城市公路，驾驶过程中，在汽车上设置AUTO HOLD功能，并体现汽车仪表、油门踏板和刹车踏板的相应变化，同时出现语音提示。</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34.使用文字介绍自动启停功能、作用和工作条件。从停车场驾驶到城市公路，驾驶过程中，在汽车上设置自动启停功能，并体现汽车仪表、油门踏板和刹车踏板的相应变化，同时出现语音提示。</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35.使用文字介绍的预防多重碰撞制动系统功能、作用、工作条件和技术参数，技术参数包括激活功能的车速范围。在停车场使用二维图介绍功能的运动轨迹。从停车场驾驶到城市公路，驾驶过程中，在汽车上设置预防多重碰撞制动功能，并体现汽车仪表、油门踏板和刹车踏板的相应变化，出现语音提示。同时在发生预防多重碰撞时，出现两个虚拟人身体、天窗和安全带的变化。</w:t>
            </w:r>
          </w:p>
        </w:tc>
        <w:tc>
          <w:tcPr>
            <w:tcW w:w="238" w:type="pct"/>
            <w:tcBorders>
              <w:top w:val="nil"/>
              <w:left w:val="single" w:color="auto" w:sz="4" w:space="0"/>
              <w:bottom w:val="single" w:color="auto" w:sz="4" w:space="0"/>
              <w:right w:val="single" w:color="auto" w:sz="4" w:space="0"/>
            </w:tcBorders>
            <w:vAlign w:val="center"/>
          </w:tcPr>
          <w:p w14:paraId="4739BBB0">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套</w:t>
            </w:r>
          </w:p>
        </w:tc>
        <w:tc>
          <w:tcPr>
            <w:tcW w:w="348" w:type="pct"/>
            <w:tcBorders>
              <w:top w:val="nil"/>
              <w:left w:val="single" w:color="auto" w:sz="4" w:space="0"/>
              <w:bottom w:val="single" w:color="auto" w:sz="4" w:space="0"/>
              <w:right w:val="single" w:color="auto" w:sz="4" w:space="0"/>
            </w:tcBorders>
            <w:vAlign w:val="center"/>
          </w:tcPr>
          <w:p w14:paraId="35E441A3">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1</w:t>
            </w:r>
          </w:p>
        </w:tc>
      </w:tr>
      <w:tr w14:paraId="772DC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8" w:type="pct"/>
            <w:tcBorders>
              <w:top w:val="single" w:color="auto" w:sz="4" w:space="0"/>
              <w:bottom w:val="single" w:color="auto" w:sz="4" w:space="0"/>
            </w:tcBorders>
            <w:vAlign w:val="center"/>
          </w:tcPr>
          <w:p w14:paraId="5770DCB4">
            <w:pPr>
              <w:pStyle w:val="46"/>
              <w:numPr>
                <w:ilvl w:val="0"/>
                <w:numId w:val="6"/>
              </w:numPr>
              <w:jc w:val="center"/>
              <w:rPr>
                <w:rFonts w:cs="宋体" w:asciiTheme="minorEastAsia" w:hAnsiTheme="minorEastAsia"/>
                <w:color w:val="auto"/>
                <w:szCs w:val="21"/>
                <w:highlight w:val="none"/>
              </w:rPr>
            </w:pPr>
          </w:p>
        </w:tc>
        <w:tc>
          <w:tcPr>
            <w:tcW w:w="458" w:type="pct"/>
            <w:vAlign w:val="center"/>
          </w:tcPr>
          <w:p w14:paraId="65C02F28">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新能源汽车结构原理AR仿真教学软件</w:t>
            </w:r>
          </w:p>
        </w:tc>
        <w:tc>
          <w:tcPr>
            <w:tcW w:w="3719" w:type="pct"/>
            <w:tcBorders>
              <w:top w:val="nil"/>
              <w:left w:val="single" w:color="auto" w:sz="4" w:space="0"/>
              <w:bottom w:val="single" w:color="auto" w:sz="4" w:space="0"/>
              <w:right w:val="single" w:color="auto" w:sz="4" w:space="0"/>
            </w:tcBorders>
            <w:vAlign w:val="center"/>
          </w:tcPr>
          <w:p w14:paraId="546B609D">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一. 整体设计要求</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1.★软件采用比亚迪秦EV轿车为开发模型，与教育部2022年全国院校技能大赛高职组的“汽车技术”项目中“电动汽车技术”模块车型一致；（需提供该功能截图）</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2.软件采用国际领先的三维引擎开发而成, 采用C/S架构，可流畅进行3D虚拟交互操作；</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3.开发的系统符合以下原则：安全性、实用性、开放性、可扩展性、标准化；</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4.按照1:1进行建模，贴近实际；</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5.虚拟仿真技术，空间定位融合技术，识别技术，采用软件与硬件结合开发模式进行开发；</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6.利用空间定位融合技术计算空间物体坐标，达到与硬件位置相结合 ，并配合空间定位和识别技术将软件与硬件的空间位置误差缩小至1cm；</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7.支持AR增强现实模式，将真实环境与虚拟图层叠加后展现给学生，从而提高学生积极性。</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8.采用立体式3D显示技术，搭配轻便的立体式3D眼镜，可通过触笔进行交互操作。</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二. 功能设计要求</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9.软件有展示新能源汽车整车中的动力系统、驱动系统、电源系统、热管理系统、底盘系统；</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10.动力系统结构主要展示：驱动系统、热管理系统、电源系统、充电系统；</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11.驱动系统结构主要展示：电驱冷却系统、驱动电机控制器总成、变速器总成、驱动电机总成；</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12.★电源系统结构主要展示：电池管理系统、充电系统、DC-DC转换系统、动力电池、动力电池温控系统；（需提供该功能截图）</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13.热管理系统结构主要展示：空调热管理系统、动力电池热管理系统；</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14.充电系统结构主要展示：直流充电系统、低压供电系统、交流充电系统；</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 xml:space="preserve">15.驱动电机的结构展示主要包括：驱动电机及变速器壳体、电机轴承、电机转子、电机定子线圈、后壳体、旋转变压器、旋转变压器端盖、温度插接器； </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16.驱动电机的工作原理主要展示：电机驱动模式、能量回收模式；</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17.★旋转变压器的结构展示主要包括：旋转变压器定子、旋转变压器转子、旋转变压器线圈、旋转变压器插接器；（需提供该功能截图）</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18.减速器结构展示主要包括：减速器前端盖、差速器总成、输入轴齿轮、中间轴齿轮；</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19.差速器总成结构展示主要包括：差速器外壳、二级减速从动齿轮、行星齿轮、半轴齿轮、圆锥轴承、行星齿轮轴；</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20.减速器的工作原理主要包括：行驶过程、倒车过程；</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21.电驱冷却系统的结构展示主要包括：驱动电机控制器冷却水道、冷却液储液罐、充配电总成冷却水道、电机壳体冷却水道、冷却液管路、散热器、电驱系统冷却水泵；</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22.电驱冷却系统工作原理主要展示出冷却液的液体流动特效；</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23.★</w:t>
            </w:r>
            <w:r>
              <w:rPr>
                <w:rFonts w:hint="eastAsia" w:ascii="宋体" w:hAnsi="宋体"/>
                <w:bCs/>
                <w:color w:val="auto"/>
                <w:szCs w:val="21"/>
                <w:highlight w:val="none"/>
              </w:rPr>
              <w:t>动力电池的结构展示主要包括：</w:t>
            </w:r>
            <w:r>
              <w:rPr>
                <w:rFonts w:hint="eastAsia" w:ascii="宋体" w:hAnsi="宋体"/>
                <w:color w:val="auto"/>
                <w:highlight w:val="none"/>
              </w:rPr>
              <w:t>动力电池壳体、动力电池模组、动力电池能量管理及分配单元、电池包断路单元BDU。动力电池壳体展示包括：动力电池包密封盖、动力电池托盘、阻燃棉、低压通讯插头、高压插头。动力电池模组展示包括：动力电池模组连接铜排、动力电池大模组、动力电池小模组。动力电池能量管理及分配单元展示包括：信息采集器A、信息采集器B、电池通讯转换器、采样线束、插接件固定支架座、插接件固定支架盖。电池包断路单元BDU展示包括：正极接触器、负极接触器、预充接触器、熔断器、BDU电流传感器、BDU上壳体、BDU底座、BDU支架、BDU连接银排、预充电阻</w:t>
            </w:r>
            <w:r>
              <w:rPr>
                <w:rFonts w:hint="eastAsia" w:ascii="宋体" w:hAnsi="宋体"/>
                <w:bCs/>
                <w:color w:val="auto"/>
                <w:szCs w:val="21"/>
                <w:highlight w:val="none"/>
              </w:rPr>
              <w:t>；</w:t>
            </w:r>
            <w:r>
              <w:rPr>
                <w:rFonts w:hint="eastAsia" w:asciiTheme="minorEastAsia" w:hAnsiTheme="minorEastAsia"/>
                <w:color w:val="auto"/>
                <w:szCs w:val="21"/>
                <w:highlight w:val="none"/>
              </w:rPr>
              <w:t>（需提供该功能截图）</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24.动力电池的工作原理主要包括：放电模式原理、充电模式原理、加热模式原理、冷却模式原理、信息采集管理原理；</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25.★交流充电系统的结构展示主要包括：交流充电口、交流充电枪、动力电池、交流充电高压线、充配电总成、电池信息管理器；（需提供该功能截图）</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26.直流充电系统的结构展示主要包括：直流充电枪、直流充电口、电池信息管理器、动力电池、充配电总成、直流充电高压线；</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27.软件中能够展示出交流充电系统工作原理、直流充电系统工作原理、DC-DC转换系统工作原理、低压供电系统工作原理；</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28.低压供电系统的结构展示主要包括：保险丝继电器、充配电总成、低压蓄电池、电池信息管理器、低压线束、动力电池；</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29.★充配电总成外部结构展示主要包括：辅助定位、出水口、排气口、进水口、主定位、交流充电输入、直流充电输入、空调压缩机配电、空调PTC配电、辅助定位、低压正极输出、辅助定位、低压信号、电机控制器配电、高压直流输入输出；（需提供该功能截图）</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30.▲充配电总成内部结构展示主要包括：交流充电保险丝、扼流圈、车载充电机模块、高压互锁信号线、负极直流接收器、正极直流接收器、DC-DC保险丝、DC-DC模块、空调压缩机保险丝；（需提供演示）</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31.空调制冷系统的结构展示主要包括：蒸发器、电子膨胀阀、板式交换器、冷凝器、电动压缩机、空调制冷管路；</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32.空调制热系统的结构展示主要包括：暖风水箱、空调制热系统冷却液管路、动力电池冷却液储液罐、暖风水泵、PTC加热器、板式交换器、四通水阀；</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33.动力电池制冷系统的结构展示主要包括：电子膨胀阀、板式交换器、冷凝器、电动压缩机、动力电池制冷系统冷却管路、散热器总成；</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34.▲动力电池冷却系统的结构展示主要包括：动力电池箱体冷却管路、四通水阀、动力电池冷却系统冷却管路、板式交换器、动力电池冷却液储液罐、动力电池热管理水泵、散热器总成；（需提供演示）</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35.动力电池加热系统的结构展示主要包括：动力电池加热系统冷却管路、四通水阀、PTC加热器、电驱系统冷却液储液罐、暖风水泵、动力电池热管理水泵；</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36.空调系统的原理主要展示空调制冷系统工作原理、空调制热系统工作原理；</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37.▲动力电池冷却系统的原理主要展示冷却原理、冷却循环原理、冷却制冷循环原理、四通水阀原理，原理展示时需要展示出液体流动的动态特效；（需提供演示）</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38.动力电池加热系统原理主要展示：加热原理，原理展示时需要展示出液体流动的动态特效；</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39.前悬架的结构展示主要包括：左前减振器支柱总成、左前稳定杆拉杆及球头总成、副车架主体总成、稳定杆总成、左前下摆臂及球头总成、右前转向节及轮毂单元总成；</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40.▲后悬架的结构展示主要包括：左后减振器总成、左后轮毂单元总成、左后螺旋弹簧、后扭力梁总成；（需提供演示）</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41.★制动系统的结构展示主要包括：左前制动器总成、右前制动器总成、真空辅助、制动踏板、制动管路、左后制动器总成、右后制动器总成、真空泵、ABS泵；（需提供该功能截图）</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42.▲转向系统的结构展示主要包括：电动助力转向管柱及万向节总成、方向盘总成、左外拉杆总成、机械转向器带横拉杆总成、右外拉杆总成；（需提供演示）</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43.▲软件中部件结构展示功能主要包括：爆炸、组合、自动拆装、旋转、复位、组装、拆卸、透视，还可以对拆装的速度进行自由调整；（需提供演示）</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四、空调模块功能要求</w:t>
            </w:r>
          </w:p>
          <w:p w14:paraId="31FCF184">
            <w:pPr>
              <w:widowControl/>
              <w:jc w:val="left"/>
              <w:rPr>
                <w:color w:val="auto"/>
                <w:kern w:val="0"/>
                <w:sz w:val="20"/>
                <w:szCs w:val="20"/>
                <w:highlight w:val="none"/>
              </w:rPr>
            </w:pPr>
            <w:r>
              <w:rPr>
                <w:rFonts w:hint="eastAsia" w:asciiTheme="minorEastAsia" w:hAnsiTheme="minorEastAsia"/>
                <w:color w:val="auto"/>
                <w:szCs w:val="21"/>
                <w:highlight w:val="none"/>
              </w:rPr>
              <w:t>1.软件采用常见的汽车空调系统为开发模型；</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2.教师可以使用软件进行示范演示教学，学生可以使用软件自主实训；</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3.场景中的各类模型需按照1:1进行建模，各种仪器的操作流程需贴近实际；</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4.软件采用C/S架构，可流畅进行3D虚拟交互操作，如：放大、缩小、上下左右平移、360°旋转；</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（一）手动空调(燃油汽车)内容设计要求</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5.空调与暖风系统中主要展示了控制系统、供暖系统、通风系统、制冷系统，可以进行组合、分解、旋转、复位操作；</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6.空调与暖风系统中原理展示可以进行空调冷暖调节、鼓风机风速调节、空调模式切换（吹脸吹脚、吹脸、吹脚、除雾和除霜、空气内循环模式、制冷）；</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7.制冷系统中主要展示了蒸发器、膨胀阀、高压管路、空调压缩机、低压管路、冷凝器、储液干燥器、制冷剂加注口（低压）、制冷剂加注口（高压）；</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8.▲制冷系统的工作原理可以展示出压缩机将制冷剂压缩成高温高压气体后排出，经过冷凝器散热后变成中温高压液体。然后制冷剂通过膨胀阀节流降压后变成低温低压液体进入蒸发器内蒸发吸热，从而带走车内的热量。最后制冷剂以气态形式回到压缩机继续循环工作。（需提供演示）</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9.供暖系统中主要展示了加热器芯、加热器芯出水口(连接至水泵)、加热器芯入水口(连接至发动机气缸盖侧)、加热器芯进水软管、加热器芯出水软管；</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10.控制系统中主要展示了控制面板、温度传感器、压力开关；</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11.冷凝器中主要展示了制冷剂入口、制冷剂出口、连接至储液干燥器入口、连接至储液干燥器出口、冷凝器风扇；</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12.蒸发器中主要展示了出口（连接至膨胀阀）、入口（连接至膨胀阀）、蒸发器；</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13.★膨胀阀中主要展示了感温元件、低压管路接口（连接至压缩机入口）、低压管路接口（连接至蒸发器出口）、高压管路接口（连接至储液干燥器出口）、低压管路接口（连接至蒸发器入口）、钢球、压力弹簧、钢针、壳体；（需提供该功能截图）</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14.储液干燥器主要展示了入口(连接至冷凝器)、出口(连接至膨胀阀)、干燥剂、过滤器、壳体;</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15.空调压缩机主要展示了皮带轮、前进气阀片组、斜盘、输入轴、活塞组、后进气阀片组、电磁离合器、前盖、后盖、壳体</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16.通风系统壳体主要展示了吹脸出风口、吹脚出风口、前挡风玻璃除霜出风口、外循环进风口、模式风门及电机、冷暖转换风门及电机、内外循环风门及电机、进气口总成；</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17.风门电机及风门总成主要展示了内外循环风门电机、内外循环及控制风门、前档除霜控制电机、前档除霜风门、冷暖风控制电机、冷暖风控制风门、风门挡板支架；</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18.出风口总成主要展示了出风通道、前挡除霜出风口、中央出风口、左后出风口、右后出风口、脚步出风口；</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19.蒸发箱壳体总成主要展示了通风壳体一、通风壳体二；</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20.空调滤清器总成主要展示了空调滤芯盖板、空调滤芯；</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21.鼓风机主要展示了鼓风机涡扇、鼓风机电机、鼓风机基座、鼓风机调速模块；</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22.★空调系统线束总成主要展示了空调压缩机离合器线圈线束、空调控制模块线束、鼓风机模块线束、空调蒸发箱侧温度传感器线束、空调除霜出风口温度传感器线束、室外温度传感器、压力传感器插头、风门电机控制线束；（需提供该功能截图）</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23.控制面板主要展示了温度旋钮、风量旋钮、吹脸吹脚模式按钮、吹脚模式按钮、吹脸模式按钮、后除霜按钮、除雾和除霜按钮、吹脚除霜模式按钮、空气内循环模式按钮、制冷按钮；</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24.温度传感器主要展示了车内温度传感器、蒸发器温度传感器、环境温度传感器；</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25.▲空调系统原理中主要展示了制冷系统工作原理、通风系统工作原理、供暖系统工作原理、控制系统工作原理、冷凝器工作原理、蒸发器工作原理、膨胀阀工作原理、储液干燥器工作原理、空调压缩机工作原理，原理的特效可以在模型上面呈现；（需提供演示）</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（二）手动空调（新能源汽车）内容设计要求</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26.空调与暖风系统中主要展示了控制系统、供暖系统、通风系统、制冷系统，可以进行组合、分解、旋转、复位操作；</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27.制冷系统主要展示了蒸发器、膨胀阀、空调压缩机、冷凝器、高压管路、低压管路；</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28.通风系统主要展示了通风系统壳体、鼓风机；</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29.供暖系统主要展示了PTC加热器；</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30.控制系统主要展示了控制面板、PTC温度传感器、蒸发器温度传感器、压力开关、环境温度传感器、控制线路；</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31.冷凝器主要展示了冷凝器、入口（连接至压缩机）、出口（连接至膨胀阀）、储液干燥器入口、连接至储液干燥器出口；</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32.蒸发器主要展示了蒸发器、入口（连接至膨胀阀）、出口（连接至膨胀阀）；</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33.★膨胀阀主要展示了感温元件、低压管路接口（连接至压缩机入口）、低压管路接口（连接至蒸发器出口）、高压管路接口（连接至储液干燥器出口）、低压管路接口（连接至蒸发器入口）、钢球、压力弹簧、钢针、壳体；（需提供该功能截图）</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34.储液干燥器主要展示了壳体、出口（连接至膨胀阀）、入口（连接至冷凝器）、干燥剂、过滤器；</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35.电动空调压缩机主要展示了驱动控制器、驱动电机前盖、壳体、涡轮静盘、涡轮动盘、密封圈、轴承、支架、电机转子、轴承、电机定子；</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36.通风系统壳体主要展示了左侧吹面出风口、右侧吹面出风口、前挡风玻璃除雾出风口、外循环进风口、左侧吹脚出风口、右侧吹脚出风口、模式风门执行机构、冷暖转换风门执行机构、内外循环风门执行机构；</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37.鼓风机主要展示了鼓风机涡扇、鼓风机电机、鼓风机调速模块；</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38.温度传感器主要展示了PTC温度传感器、蒸发器温度传感器、环境温度传感器；</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39.★控制面板主要展示了风量调节旋钮、A/C按钮、模式按钮、前除霜按钮、后除霜按钮、关机按钮、内外循环按钮、冷暖调节按钮、显示屏；（需提供该功能截图）</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40.▲空调系统线束总成主要展示了PTC温度传感器线束、蒸发器温度传感器线束、环境温度传感器线束、空调压缩机控制线束、压力传感器插头线束、空调控制模块线束、空调压缩机高压线束；（需提供演示）</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41.★空调系统原理中主要展示了空调与暖风系统工作原理、制冷系统工作原理、通风系统工作原理、供暖系统工作原理、PTC加热器工作原理、控制系统工作原理、冷凝器工作原理、蒸发器工作原理、膨胀阀工作原理、储液干燥器工作原理、电动空调压缩机工作原理、鼓风机工作原理；（需提供该功能截图）</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（三）自动空调（新能源汽车）内容设计要求</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42.空调与暖风系统主要展示了控制系统、通风系统、制冷系统、供暖系统；</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43.制冷系统主要展示了蒸发器、膨胀阀、电动空调压缩机、高压蓄电池热交换器、冷凝器、制冷剂导管、抽吸和加注阀（低压侧）、抽吸和加注阀（高压侧）、加热和空调装置的制冷剂截止阀；</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44.通风系统主要展示了鼓风机、通风系统壳体；</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45.▲PTC加热器主要展示了高电压接口、低电压接口、功率电子系统散热器、带有功率电子系统的高电压加热器控制单元J848、加热回路元件；（需提供演示）</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46.▲控制系统主要展示了控制面板、加热和空调装置的制冷剂截止阀、制冷剂压力和制冷剂温度传感器、制冷剂循环回路压力传感器、电动空调压缩机、新鲜空气-循环空气-速滞压力风门的伺服电机、左侧温度风门伺服电机、左前方气流分配风门伺服电机、除霜风门伺服电机、右前方气流分配风门伺服电机、右侧温度风门伺服电机、车外温度传感器、左侧出风口温度传感器、右侧出风口温度传感器、左侧脚部空间出风口温度传感器、右侧脚部空间出风口温度传感器、外部空气质量和空气湿度传感器、暖风和空调系统控制单元、车内温度传感器、鼓风机；（需提供演示）</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47.冷凝器主要展示了冷凝器、入口（连接至压缩机）、出口（连接至膨胀阀）、储液干燥器；</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48.蒸发器主要展示了蒸发器、入口（连接至膨胀阀）、出口（连接至膨胀阀）；</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49.膨胀阀主要展示了感温元件、低压管路接口（连接至压缩机入口）、低压管路接口（连接至蒸发器出口）、高压管路接口（连接至储液干燥器出口）、低压管路接口（连接至蒸发器入口）、钢球、压力弹簧、钢针、壳体；</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50.储液干燥器主要展示了壳体、出口（连接至膨胀阀）、入口（连接至冷凝器）、干燥剂、过滤器；</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51.电动空调压缩机主要展示了接线盒组件、压缩机壳体、转子、定子、静涡旋、动涡旋、主轴承座、密封垫、压缩机顶盖；</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52.通风系统壳体主要展示了前部仪表板通风管道、除霜出风口空气导管、副驾驶员侧脚部空间出风口、右侧仪表板通风管道、中间出风口的空气导管、后部中控台出风口通风管道、右后脚部空间出风口、左后方脚部空间出风口、左侧仪表板通风管道、驾驶员侧脚部空间出风口、进气箱；</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53.★温度传感器主要展示了左侧出风口温度传感器G150、右侧出风口温度传感器G151、左侧脚部空间出风口温度传感器G261、右侧脚部空间出风口温度传感器G262、外部空气质量和空气湿度传感器G935、车内温度传感器G1090、车外温度传感器G17；（需提供该功能截图）</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54.▲伺服电机主要展示了新鲜空气循环空气速滞压力风门的伺服电机V425、左侧温度风门伺服电机V158、左前方气流分配风门伺服电机V706、右前方气流分配风门伺服电机V707、右侧温度风门伺服电机V159、除霜风门伺服电机V107；（需提供演示）</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55.压力传感器主要展示了制冷剂循环回路压力传感器G805、制冷剂压力和制冷剂温度传感器G395；</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56.★空调系统线束总成主要展示了新鲜空气循环空气速滞压力风门的伺服电机线束、左侧温度风门伺服电机线束、左前方气流分配风门伺服电机线束、右前方气流分配风门伺服电机线束、右侧温度风门伺服电机线束、除霜风门伺服电机线束、制冷剂循环回路压力传感器线束、制冷剂压力和制冷剂温度传感器线束、左侧出风口温度传感器线束、右侧出风口温度传感器线束、左侧脚部空间出风口温度传感器线束、右侧脚部空间出风口温度传感器线束、外部空气质量和空气湿度传感器线束、车内温度传感器线束、车外温度传感器线束、加热和空调装置的制冷剂截止阀线束；（需提供该功能截图）</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57.▲空调系统原理主要展示了空调与暖风系统工作原理、制冷系统工作原理、通风系统工作原理、供暖系统工作原理、PTC加热器工作原理、控制系统工作原理、冷凝器工作原理、蒸发器工作原理、膨胀阀工作原理、储液干燥器工作原理、电动空调压缩机工作原理、鼓风机工作原理；（需提供演示）</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（四）热泵空调内容设计要求</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58.热泵空调系统主要展示了电动空调压缩机、AC气体冷却器、抽吸和加注阀（低压侧）、抽吸和加注阀（高压侧）、热泵阀门单元总成、蒸发器、加热气体冷却器、高电压加热器；</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59.电动空调压缩机主要展示了低压管路、高压管路、低电压接口、高电压接口、空调压缩机控制单元、电动空调压缩机；</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60.★热泵阀门单元总成主要展示了高电压蓄电池热交换器、高压管路、抽吸压力管路、制冷剂膨胀阀1（EXV1）、制冷剂膨胀阀2（EXV2）、制冷剂膨胀阀3（EXV3）、制冷剂断流阀1（ASV1）、制冷剂断流阀2（ASV2）、制冷剂断流阀3（ASV3）、制冷剂断流阀4（ASV4）、制冷剂断流阀5（ASV5）、带干燥器和内部热交换器的储液罐；（需提供该功能截图）</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61.截止阀和电动膨胀阀主要展示了步进电机、电枢、螺杆、针阀、阀座、密封塞；</w:t>
            </w:r>
            <w:r>
              <w:rPr>
                <w:rFonts w:hint="eastAsia" w:asciiTheme="minorEastAsia" w:hAnsiTheme="minorEastAsia"/>
                <w:color w:val="auto"/>
                <w:szCs w:val="21"/>
                <w:highlight w:val="none"/>
              </w:rPr>
              <w:br w:type="textWrapping"/>
            </w:r>
            <w:r>
              <w:rPr>
                <w:rFonts w:hint="eastAsia" w:asciiTheme="minorEastAsia" w:hAnsiTheme="minorEastAsia"/>
                <w:color w:val="auto"/>
                <w:szCs w:val="21"/>
                <w:highlight w:val="none"/>
              </w:rPr>
              <w:t>62.▲热泵空调系统原理主要展示了冷却汽车内部空间（夏季）运行工作原理、冷却汽车内部空间和高压蓄电池（夏季）运行工作原理、冷却高压蓄电池（夏季）运行工作原理、再加热阶段（夏季常用）运行工作原理、空气热泵（冬季运行）运行工作原理、空气/冷却液热泵（冬季运行）运行工作原理、冷却液热泵（冬季运行）运行工作原理；（需提供演示）</w:t>
            </w:r>
          </w:p>
        </w:tc>
        <w:tc>
          <w:tcPr>
            <w:tcW w:w="238" w:type="pct"/>
            <w:tcBorders>
              <w:top w:val="nil"/>
              <w:left w:val="single" w:color="auto" w:sz="4" w:space="0"/>
              <w:bottom w:val="single" w:color="auto" w:sz="4" w:space="0"/>
              <w:right w:val="single" w:color="auto" w:sz="4" w:space="0"/>
            </w:tcBorders>
            <w:vAlign w:val="center"/>
          </w:tcPr>
          <w:p w14:paraId="76E3607D">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套</w:t>
            </w:r>
          </w:p>
        </w:tc>
        <w:tc>
          <w:tcPr>
            <w:tcW w:w="348" w:type="pct"/>
            <w:tcBorders>
              <w:top w:val="nil"/>
              <w:left w:val="single" w:color="auto" w:sz="4" w:space="0"/>
              <w:bottom w:val="single" w:color="auto" w:sz="4" w:space="0"/>
              <w:right w:val="single" w:color="auto" w:sz="4" w:space="0"/>
            </w:tcBorders>
            <w:vAlign w:val="center"/>
          </w:tcPr>
          <w:p w14:paraId="36FDB645">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1</w:t>
            </w:r>
          </w:p>
        </w:tc>
      </w:tr>
    </w:tbl>
    <w:p w14:paraId="245C8D9A">
      <w:pPr>
        <w:pStyle w:val="46"/>
        <w:ind w:left="0" w:leftChars="0"/>
        <w:outlineLvl w:val="0"/>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四、实施要求</w:t>
      </w:r>
    </w:p>
    <w:p w14:paraId="357C3D75">
      <w:pPr>
        <w:spacing w:line="360" w:lineRule="auto"/>
        <w:ind w:firstLine="720" w:firstLineChars="3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 （1）所有的费用等均包含在报价内；请各投标供应商认真考虑各种风险。除合同另有规定之外，采购人不再另行支付。</w:t>
      </w:r>
    </w:p>
    <w:p w14:paraId="2E73A036">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（2）投标人所报价格包括但不限于所有设备、材料、税金、包装费、运杂费、保险费、卸力费、安装调试费、资料费、保修期内维修费用及代理服务费等直至完全交付采购人使用的所有费用。</w:t>
      </w:r>
    </w:p>
    <w:p w14:paraId="6222FEB0">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供应商报价内容必须完整，不得漏项。项目货物以人民币报出一次性不得更改的价格，报价包括：货物及附件费、保险费、辅材费、包装运输费、税金、服务等与本次投标相关的一切费用。报价产品与需求货物不允许有实质性负偏离，所投产品须符合国家相关技术规范。</w:t>
      </w:r>
    </w:p>
    <w:p w14:paraId="361534BC">
      <w:pPr>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2、项目质量：</w:t>
      </w:r>
    </w:p>
    <w:p w14:paraId="6C0E3CF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货物外型构造尺寸应满足现场安装条件；设备、材料质量必须满足采购需求；项目质量必须符合国家质量验收规范标准。</w:t>
      </w:r>
    </w:p>
    <w:p w14:paraId="6A35684D">
      <w:pPr>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3、组织实施设计方案：</w:t>
      </w:r>
    </w:p>
    <w:p w14:paraId="459420CC">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投标人均应根据项目现场实际情况编制组织实施设计方案。</w:t>
      </w:r>
    </w:p>
    <w:p w14:paraId="699D2EA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人出具针对本项目的实施方案，主要包含：针对本项目的质量保证和控制相关措施、施工人员配备情况、具体施工进度计划、设备供货保障计划以及安装调试和试运行方案。实施方案各方面要完全满足采购需求，内容详尽完善，思路清晰，表达清楚。实施方案包括但不限于：（1）质量保证和控制措施；（2）人员配备情况；（3）进度计划；（4）供货保障计划；（5）安装、调试、试运行方案。</w:t>
      </w:r>
    </w:p>
    <w:p w14:paraId="73A5BAA1">
      <w:pPr>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4、建设周期：</w:t>
      </w:r>
    </w:p>
    <w:p w14:paraId="79B23AD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为保证项目顺利建设，</w:t>
      </w:r>
      <w:r>
        <w:rPr>
          <w:rFonts w:hint="eastAsia" w:ascii="宋体" w:hAnsi="宋体" w:cs="宋体"/>
          <w:b/>
          <w:color w:val="auto"/>
          <w:sz w:val="24"/>
          <w:szCs w:val="24"/>
          <w:highlight w:val="none"/>
        </w:rPr>
        <w:t>本次设备到货、安装、调试工作应在合同签订之日起30个工作日内完成</w:t>
      </w:r>
      <w:r>
        <w:rPr>
          <w:rFonts w:hint="eastAsia" w:ascii="宋体" w:hAnsi="宋体" w:cs="宋体"/>
          <w:color w:val="auto"/>
          <w:sz w:val="24"/>
          <w:szCs w:val="24"/>
          <w:highlight w:val="none"/>
        </w:rPr>
        <w:t>，应合理安排时间，制定相应的项目实施详细进度划。</w:t>
      </w:r>
    </w:p>
    <w:p w14:paraId="366DAB53">
      <w:pPr>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5、技术团队及人员要求：</w:t>
      </w:r>
    </w:p>
    <w:p w14:paraId="65C1377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（1）投标人或产品制造商拟派项目负责人（1人）。</w:t>
      </w:r>
    </w:p>
    <w:p w14:paraId="74D62E8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（2）投标人或产品制造商拟派项目团队成员（除项目负责人外）1人。</w:t>
      </w:r>
    </w:p>
    <w:p w14:paraId="4028CF05">
      <w:pPr>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6、安装、调试与验收：</w:t>
      </w:r>
    </w:p>
    <w:p w14:paraId="72FA268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（1）中标人负责检查安装现场的安装条件，事先提出对安装的环境方面的要求。</w:t>
      </w:r>
    </w:p>
    <w:p w14:paraId="524EA00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本项目涉及的设备由中标人负责测试、安装、调试和有关配置工作，中标人应提供详细的具有时效性的测试、安装、调试方案，经采购人确认后，作为设备验收的标准，中标人应按上述方案完成测试、安装、调试和有关配置工作。</w:t>
      </w:r>
    </w:p>
    <w:p w14:paraId="2E602FE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中标人需保证设备均为制造商原产地原装产品，保证所提供货物是全新的、未使用过的，并完全符合合同规定的质量、规格和性能的要求。货物到达采购人指定的现场后，由中标人与采购人共同核对装箱单，共同开箱（若有争议，请质检机构检验确定），依照合同的货物清单清点，并进行签字确认。</w:t>
      </w:r>
    </w:p>
    <w:p w14:paraId="1F53488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（4）中标人保证其提供的货物在正确安装、正常使用和保养条件下，在使用寿命期内具有满意的性能，中标人对由于产品设计、工艺或材料的缺陷而产生的故障负责与制造商沟通解决。</w:t>
      </w:r>
    </w:p>
    <w:p w14:paraId="5D2D1F3B">
      <w:pPr>
        <w:spacing w:line="360" w:lineRule="auto"/>
        <w:ind w:firstLine="480" w:firstLineChars="200"/>
        <w:rPr>
          <w:rFonts w:hint="eastAsia" w:ascii="宋体" w:hAnsi="宋体" w:cs="宋体"/>
          <w:b/>
          <w:bCs/>
          <w:color w:val="auto"/>
          <w:kern w:val="0"/>
          <w:sz w:val="24"/>
          <w:szCs w:val="24"/>
          <w:highlight w:val="none"/>
        </w:rPr>
      </w:pPr>
      <w:r>
        <w:rPr>
          <w:rFonts w:hint="eastAsia" w:ascii="宋体" w:hAnsi="宋体" w:cs="宋体"/>
          <w:color w:val="auto"/>
          <w:sz w:val="24"/>
          <w:szCs w:val="24"/>
          <w:highlight w:val="none"/>
        </w:rPr>
        <w:t>（5）中标人承诺本次提供的所有设备满足招标文件要求及自身投标文件承诺，承诺所有的设备满足技术完整性要求。</w:t>
      </w:r>
    </w:p>
    <w:p w14:paraId="772D011A">
      <w:pPr>
        <w:pStyle w:val="46"/>
        <w:spacing w:line="360" w:lineRule="auto"/>
        <w:ind w:left="0" w:leftChars="0"/>
        <w:outlineLvl w:val="0"/>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五、售后服务要求</w:t>
      </w:r>
    </w:p>
    <w:p w14:paraId="531DA0D0">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1、中标人在免费质保期内应提供24小时运维服务，遇重大任务或事故期间，根据采购人要求需派驻一名有经验的工程师常提供驻场技术服务。</w:t>
      </w:r>
    </w:p>
    <w:p w14:paraId="1358BB96">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2、在免费质保期：</w:t>
      </w:r>
      <w:r>
        <w:rPr>
          <w:rFonts w:hint="eastAsia" w:ascii="宋体" w:hAnsi="宋体" w:cs="宋体"/>
          <w:b/>
          <w:bCs/>
          <w:color w:val="auto"/>
          <w:kern w:val="0"/>
          <w:sz w:val="24"/>
          <w:szCs w:val="24"/>
          <w:highlight w:val="none"/>
          <w:u w:val="single"/>
        </w:rPr>
        <w:t>一年</w:t>
      </w:r>
      <w:r>
        <w:rPr>
          <w:rFonts w:hint="eastAsia" w:ascii="宋体" w:hAnsi="宋体" w:cs="宋体"/>
          <w:color w:val="auto"/>
          <w:kern w:val="0"/>
          <w:sz w:val="24"/>
          <w:szCs w:val="24"/>
          <w:highlight w:val="none"/>
        </w:rPr>
        <w:t>内，中标人须对本项目中所提供的软件免费升级，系统和设备由于施工质量或产品本身质量原因造成的损伤或损坏，中标人须免费修理或更换；中标人在质保期内安装的任何零配件，必须是设备制造商原产的或是经其认可的，必须是新的未使用和未经修复的。</w:t>
      </w:r>
    </w:p>
    <w:p w14:paraId="62AD2179">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3、在质保期内，由中标人每年提供两次本项目各系统的例行巡检，并做记录，出具巡检报告。</w:t>
      </w:r>
    </w:p>
    <w:p w14:paraId="17516D51">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4、保修的范围仅限于本合同中中标人提供给采购人的设备、部件和装修。</w:t>
      </w:r>
    </w:p>
    <w:p w14:paraId="42F98E74">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5、服务内容要求</w:t>
      </w:r>
    </w:p>
    <w:p w14:paraId="2C1BCF47">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中标人在质保期内应保证所提供的设备和平台的安全性、可用性、可靠性，满足采购人的服务要求，提供快速及时的技术支持。</w:t>
      </w:r>
    </w:p>
    <w:p w14:paraId="2D49E99D">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服务范围，包括但不限于：设备日常维护、巡检；故障及其他损坏设备的修理；备件备品的购买；重大故障或特殊故障的紧急远端或现场抢修；采购人重要活动的现场技术保障；其他必须的技术服务（例如软件的版本升级）。</w:t>
      </w:r>
    </w:p>
    <w:p w14:paraId="7FB95707">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服务响应时间不超过60分钟，业务系统恢复时间4小时。</w:t>
      </w:r>
    </w:p>
    <w:p w14:paraId="049A56BD">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6、培训服务</w:t>
      </w:r>
    </w:p>
    <w:p w14:paraId="1E10DA61">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中标人免费对采购人使用人员进行操作方面的培训，并且提供免费的技术咨询服务。</w:t>
      </w:r>
    </w:p>
    <w:p w14:paraId="724AC3CA">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投标人须在投标文件中提出全面、详细的培训计划，具体执行时间在合同签定后由采购人指定。</w:t>
      </w:r>
    </w:p>
    <w:p w14:paraId="1672E83A">
      <w:pPr>
        <w:spacing w:line="360" w:lineRule="auto"/>
        <w:ind w:firstLine="480" w:firstLineChars="0"/>
        <w:outlineLvl w:val="0"/>
        <w:rPr>
          <w:rFonts w:hint="eastAsia" w:ascii="宋体" w:hAnsi="宋体" w:cs="宋体"/>
          <w:b/>
          <w:color w:val="auto"/>
          <w:kern w:val="0"/>
          <w:position w:val="-10"/>
          <w:sz w:val="28"/>
          <w:szCs w:val="28"/>
          <w:highlight w:val="none"/>
          <w:lang w:bidi="en-US"/>
        </w:rPr>
      </w:pPr>
      <w:r>
        <w:rPr>
          <w:rFonts w:hint="eastAsia" w:ascii="宋体" w:hAnsi="宋体" w:cs="宋体"/>
          <w:b/>
          <w:color w:val="auto"/>
          <w:kern w:val="0"/>
          <w:position w:val="-10"/>
          <w:sz w:val="28"/>
          <w:szCs w:val="28"/>
          <w:highlight w:val="none"/>
          <w:lang w:bidi="en-US"/>
        </w:rPr>
        <w:t>六、其他要求</w:t>
      </w:r>
    </w:p>
    <w:p w14:paraId="20D78435">
      <w:pPr>
        <w:spacing w:line="360" w:lineRule="auto"/>
        <w:ind w:firstLine="480" w:firstLineChars="200"/>
        <w:rPr>
          <w:rFonts w:hint="eastAsia" w:ascii="宋体" w:hAnsi="宋体" w:cs="宋体"/>
          <w:i/>
          <w:iCs/>
          <w:color w:val="auto"/>
          <w:kern w:val="0"/>
          <w:sz w:val="24"/>
          <w:szCs w:val="24"/>
          <w:highlight w:val="none"/>
          <w:u w:val="single"/>
        </w:rPr>
      </w:pPr>
      <w:r>
        <w:rPr>
          <w:rFonts w:hint="eastAsia" w:ascii="宋体" w:hAnsi="宋体" w:cs="宋体"/>
          <w:color w:val="auto"/>
          <w:kern w:val="0"/>
          <w:sz w:val="24"/>
          <w:szCs w:val="24"/>
          <w:highlight w:val="none"/>
        </w:rPr>
        <w:t>1.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响应文件中提供所投产品的相关证书(由国家确定的认证机构出具的、处于有效期之内的节能产品、环境标志产品认证证书)。节能产品、环境标志产品品目清单以递交响应文件截止时已正式公布的最近一期信息为准，如属政府强制采购产品未提供认证证书的或认证证书提供不全的将视为未实质性响应采购要求。其他条件相同情况下，应当优先采购节能产品、环境标志产品。</w:t>
      </w:r>
    </w:p>
    <w:p w14:paraId="6110DA22">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供应商对于投标产品的包装应按照“财办库〔2020〕123号《关于印发《商品包装政府采购需求标准（试行）》、《快递包装政府采购需求标准（试行）》的通知》”执行。</w:t>
      </w:r>
    </w:p>
    <w:p w14:paraId="05594864">
      <w:pPr>
        <w:pStyle w:val="2"/>
        <w:ind w:firstLine="420" w:firstLineChars="0"/>
        <w:jc w:val="center"/>
        <w:outlineLvl w:val="9"/>
        <w:rPr>
          <w:rFonts w:hint="eastAsia" w:ascii="宋体" w:hAnsi="宋体" w:cs="宋体"/>
          <w:color w:val="auto"/>
          <w:sz w:val="36"/>
          <w:szCs w:val="36"/>
          <w:highlight w:val="none"/>
        </w:rPr>
      </w:pPr>
      <w:bookmarkStart w:id="55" w:name="_Toc170832694"/>
    </w:p>
    <w:p w14:paraId="68EE2ED5">
      <w:pPr>
        <w:rPr>
          <w:rFonts w:hint="eastAsia" w:ascii="宋体" w:hAnsi="宋体" w:cs="宋体"/>
          <w:color w:val="auto"/>
          <w:sz w:val="36"/>
          <w:szCs w:val="36"/>
          <w:highlight w:val="none"/>
        </w:rPr>
      </w:pPr>
    </w:p>
    <w:p w14:paraId="1D9D8F1D">
      <w:pPr>
        <w:rPr>
          <w:rFonts w:hint="eastAsia" w:ascii="宋体" w:hAnsi="宋体" w:cs="宋体"/>
          <w:color w:val="auto"/>
          <w:sz w:val="36"/>
          <w:szCs w:val="36"/>
          <w:highlight w:val="none"/>
        </w:rPr>
      </w:pPr>
    </w:p>
    <w:p w14:paraId="4E6DD5A4">
      <w:pPr>
        <w:rPr>
          <w:rFonts w:hint="eastAsia" w:ascii="宋体" w:hAnsi="宋体" w:cs="宋体"/>
          <w:color w:val="auto"/>
          <w:sz w:val="36"/>
          <w:szCs w:val="36"/>
          <w:highlight w:val="none"/>
        </w:rPr>
      </w:pPr>
    </w:p>
    <w:p w14:paraId="14936F4E">
      <w:pPr>
        <w:rPr>
          <w:rFonts w:hint="eastAsia" w:ascii="宋体" w:hAnsi="宋体" w:cs="宋体"/>
          <w:color w:val="auto"/>
          <w:sz w:val="36"/>
          <w:szCs w:val="36"/>
          <w:highlight w:val="none"/>
        </w:rPr>
      </w:pPr>
    </w:p>
    <w:p w14:paraId="299B335D">
      <w:pPr>
        <w:rPr>
          <w:rFonts w:hint="eastAsia" w:ascii="宋体" w:hAnsi="宋体" w:cs="宋体"/>
          <w:color w:val="auto"/>
          <w:sz w:val="36"/>
          <w:szCs w:val="36"/>
          <w:highlight w:val="none"/>
        </w:rPr>
      </w:pPr>
    </w:p>
    <w:p w14:paraId="49294FBB">
      <w:pPr>
        <w:rPr>
          <w:rFonts w:hint="eastAsia" w:ascii="宋体" w:hAnsi="宋体" w:cs="宋体"/>
          <w:color w:val="auto"/>
          <w:sz w:val="36"/>
          <w:szCs w:val="36"/>
          <w:highlight w:val="none"/>
        </w:rPr>
      </w:pPr>
    </w:p>
    <w:p w14:paraId="3BC416D2">
      <w:pPr>
        <w:pStyle w:val="2"/>
        <w:ind w:firstLine="420" w:firstLineChars="0"/>
        <w:jc w:val="center"/>
        <w:outlineLvl w:val="9"/>
        <w:rPr>
          <w:rFonts w:hint="eastAsia" w:ascii="宋体" w:hAnsi="宋体" w:cs="宋体"/>
          <w:color w:val="auto"/>
          <w:sz w:val="36"/>
          <w:szCs w:val="36"/>
          <w:highlight w:val="none"/>
        </w:rPr>
      </w:pPr>
    </w:p>
    <w:p w14:paraId="0C5BC342">
      <w:pPr>
        <w:rPr>
          <w:rFonts w:hint="eastAsia" w:ascii="宋体" w:hAnsi="宋体" w:cs="宋体"/>
          <w:color w:val="auto"/>
          <w:sz w:val="36"/>
          <w:szCs w:val="36"/>
          <w:highlight w:val="none"/>
        </w:rPr>
      </w:pPr>
    </w:p>
    <w:p w14:paraId="7B63CC3C">
      <w:pPr>
        <w:rPr>
          <w:rFonts w:hint="eastAsia" w:ascii="宋体" w:hAnsi="宋体" w:cs="宋体"/>
          <w:color w:val="auto"/>
          <w:sz w:val="36"/>
          <w:szCs w:val="36"/>
          <w:highlight w:val="none"/>
        </w:rPr>
      </w:pPr>
    </w:p>
    <w:p w14:paraId="15AD4477">
      <w:pPr>
        <w:rPr>
          <w:rFonts w:hint="eastAsia" w:ascii="宋体" w:hAnsi="宋体" w:cs="宋体"/>
          <w:color w:val="auto"/>
          <w:sz w:val="36"/>
          <w:szCs w:val="36"/>
          <w:highlight w:val="none"/>
        </w:rPr>
      </w:pPr>
    </w:p>
    <w:p w14:paraId="547A1346">
      <w:pPr>
        <w:rPr>
          <w:rFonts w:hint="eastAsia" w:ascii="宋体" w:hAnsi="宋体" w:cs="宋体"/>
          <w:color w:val="auto"/>
          <w:sz w:val="36"/>
          <w:szCs w:val="36"/>
          <w:highlight w:val="none"/>
        </w:rPr>
      </w:pPr>
    </w:p>
    <w:p w14:paraId="020E14EC">
      <w:pPr>
        <w:pStyle w:val="2"/>
        <w:keepNext/>
        <w:keepLines/>
        <w:pageBreakBefore w:val="0"/>
        <w:widowControl w:val="0"/>
        <w:kinsoku/>
        <w:wordWrap/>
        <w:overflowPunct/>
        <w:topLinePunct w:val="0"/>
        <w:autoSpaceDE/>
        <w:autoSpaceDN/>
        <w:bidi w:val="0"/>
        <w:adjustRightInd/>
        <w:snapToGrid/>
        <w:spacing w:line="579" w:lineRule="auto"/>
        <w:ind w:firstLine="420" w:firstLineChars="0"/>
        <w:jc w:val="center"/>
        <w:textAlignment w:val="auto"/>
        <w:outlineLvl w:val="9"/>
        <w:rPr>
          <w:rFonts w:hint="eastAsia" w:ascii="宋体" w:hAnsi="宋体" w:cs="宋体"/>
          <w:color w:val="auto"/>
          <w:sz w:val="36"/>
          <w:szCs w:val="36"/>
          <w:highlight w:val="none"/>
        </w:rPr>
      </w:pPr>
    </w:p>
    <w:p w14:paraId="2CD3F2B2">
      <w:pPr>
        <w:rPr>
          <w:rFonts w:hint="eastAsia"/>
          <w:color w:val="auto"/>
          <w:highlight w:val="none"/>
        </w:rPr>
      </w:pPr>
    </w:p>
    <w:p w14:paraId="27AB1A1E">
      <w:pPr>
        <w:pStyle w:val="2"/>
        <w:keepNext/>
        <w:keepLines/>
        <w:pageBreakBefore w:val="0"/>
        <w:widowControl w:val="0"/>
        <w:kinsoku/>
        <w:wordWrap/>
        <w:overflowPunct/>
        <w:topLinePunct w:val="0"/>
        <w:autoSpaceDE/>
        <w:autoSpaceDN/>
        <w:bidi w:val="0"/>
        <w:adjustRightInd/>
        <w:snapToGrid/>
        <w:spacing w:line="579" w:lineRule="auto"/>
        <w:ind w:firstLine="420" w:firstLineChars="0"/>
        <w:jc w:val="center"/>
        <w:textAlignment w:val="auto"/>
        <w:rPr>
          <w:rFonts w:hint="eastAsia" w:ascii="宋体" w:hAnsi="宋体" w:cs="宋体"/>
          <w:color w:val="auto"/>
          <w:sz w:val="24"/>
          <w:szCs w:val="24"/>
          <w:highlight w:val="none"/>
        </w:rPr>
      </w:pPr>
      <w:r>
        <w:rPr>
          <w:rFonts w:hint="eastAsia" w:ascii="宋体" w:hAnsi="宋体" w:cs="宋体"/>
          <w:color w:val="auto"/>
          <w:sz w:val="36"/>
          <w:szCs w:val="36"/>
          <w:highlight w:val="none"/>
        </w:rPr>
        <w:t>第五章 评标方法及评标标准</w:t>
      </w:r>
    </w:p>
    <w:bookmarkEnd w:id="55"/>
    <w:p w14:paraId="7C576B3E">
      <w:pPr>
        <w:pStyle w:val="3"/>
        <w:jc w:val="left"/>
        <w:outlineLvl w:val="0"/>
        <w:rPr>
          <w:rFonts w:hint="eastAsia" w:ascii="宋体" w:hAnsi="宋体" w:eastAsia="宋体" w:cs="宋体"/>
          <w:color w:val="auto"/>
          <w:sz w:val="24"/>
          <w:szCs w:val="24"/>
          <w:highlight w:val="none"/>
        </w:rPr>
      </w:pPr>
      <w:bookmarkStart w:id="56" w:name="_Toc170832695"/>
      <w:r>
        <w:rPr>
          <w:rFonts w:hint="eastAsia" w:ascii="宋体" w:hAnsi="宋体" w:eastAsia="宋体" w:cs="宋体"/>
          <w:color w:val="auto"/>
          <w:sz w:val="24"/>
          <w:szCs w:val="24"/>
          <w:highlight w:val="none"/>
        </w:rPr>
        <w:t>一、评标方法</w:t>
      </w:r>
      <w:bookmarkEnd w:id="56"/>
    </w:p>
    <w:p w14:paraId="7D684C68">
      <w:pPr>
        <w:pStyle w:val="39"/>
        <w:ind w:firstLineChars="200"/>
        <w:rPr>
          <w:rFonts w:hint="eastAsia" w:ascii="宋体" w:hAnsi="宋体" w:cs="宋体"/>
          <w:color w:val="auto"/>
          <w:kern w:val="2"/>
          <w:highlight w:val="none"/>
        </w:rPr>
      </w:pPr>
      <w:r>
        <w:rPr>
          <w:rFonts w:hint="eastAsia" w:ascii="宋体" w:hAnsi="宋体" w:cs="宋体"/>
          <w:color w:val="auto"/>
          <w:kern w:val="2"/>
          <w:highlight w:val="none"/>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FD4BCDF">
      <w:pPr>
        <w:pStyle w:val="18"/>
        <w:spacing w:before="240" w:after="60" w:line="400" w:lineRule="exact"/>
        <w:jc w:val="both"/>
        <w:outlineLvl w:val="0"/>
        <w:rPr>
          <w:rFonts w:hint="eastAsia" w:ascii="宋体" w:hAnsi="宋体" w:cs="宋体"/>
          <w:b/>
          <w:color w:val="auto"/>
          <w:kern w:val="2"/>
          <w:highlight w:val="none"/>
        </w:rPr>
      </w:pPr>
      <w:r>
        <w:rPr>
          <w:rFonts w:hint="eastAsia" w:ascii="宋体" w:hAnsi="宋体" w:cs="宋体"/>
          <w:b/>
          <w:color w:val="auto"/>
          <w:kern w:val="2"/>
          <w:highlight w:val="none"/>
        </w:rPr>
        <w:t>二、</w:t>
      </w:r>
      <w:bookmarkStart w:id="57" w:name="_Toc449016388"/>
      <w:r>
        <w:rPr>
          <w:rFonts w:hint="eastAsia" w:ascii="宋体" w:hAnsi="宋体" w:cs="宋体"/>
          <w:b/>
          <w:color w:val="auto"/>
          <w:kern w:val="2"/>
          <w:highlight w:val="none"/>
        </w:rPr>
        <w:t>小型和微型企业产品价格扣除及政府采购不诚信记录扣分评审</w:t>
      </w:r>
      <w:bookmarkEnd w:id="57"/>
    </w:p>
    <w:p w14:paraId="42A03F5E">
      <w:pPr>
        <w:spacing w:before="120" w:after="120" w:line="320" w:lineRule="exact"/>
        <w:ind w:firstLine="42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1、本项目专门面向中小企业采购</w:t>
      </w:r>
    </w:p>
    <w:p w14:paraId="3F0D04DF">
      <w:pPr>
        <w:pStyle w:val="39"/>
        <w:spacing w:line="320" w:lineRule="exact"/>
        <w:ind w:firstLine="4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（1）供应商需按照招标文件的要求提供相应的《中小企业声明函》，《中小企业声明函》不符合要求或未提供的，投标文件无效。</w:t>
      </w:r>
    </w:p>
    <w:p w14:paraId="7D4292C3">
      <w:pPr>
        <w:pStyle w:val="39"/>
        <w:spacing w:line="320" w:lineRule="exact"/>
        <w:ind w:firstLine="4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（2）企业标准请参照《关于印发中小企业划型标准规定的通知》（工信部联企业[2011]300号）文件规定自行填写。</w:t>
      </w:r>
    </w:p>
    <w:p w14:paraId="54B1F349">
      <w:pPr>
        <w:pStyle w:val="39"/>
        <w:spacing w:line="320" w:lineRule="exact"/>
        <w:ind w:firstLine="4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2、残疾人福利单位</w:t>
      </w:r>
    </w:p>
    <w:p w14:paraId="49889AC4">
      <w:pPr>
        <w:pStyle w:val="39"/>
        <w:spacing w:line="320" w:lineRule="exact"/>
        <w:ind w:firstLine="4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（1）残疾人福利性单位视同小型、微型企业。</w:t>
      </w:r>
    </w:p>
    <w:p w14:paraId="178B5646">
      <w:pPr>
        <w:pStyle w:val="39"/>
        <w:spacing w:line="320" w:lineRule="exact"/>
        <w:ind w:firstLine="4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（2）残疾人福利单位需按照招标文件的要求提供《残疾人福利性单位声明函》。</w:t>
      </w:r>
    </w:p>
    <w:p w14:paraId="6DB1236C">
      <w:pPr>
        <w:pStyle w:val="39"/>
        <w:spacing w:line="320" w:lineRule="exact"/>
        <w:ind w:firstLine="4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（3）残疾人福利单位标准请参照《关于促进残疾人就业政府采购政策的通知》（财库</w:t>
      </w:r>
    </w:p>
    <w:p w14:paraId="09F0C4A8">
      <w:pPr>
        <w:pStyle w:val="39"/>
        <w:spacing w:line="320" w:lineRule="exact"/>
        <w:ind w:firstLine="4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〔2017〕141 号）。</w:t>
      </w:r>
    </w:p>
    <w:p w14:paraId="232EB536">
      <w:pPr>
        <w:pStyle w:val="39"/>
        <w:spacing w:line="320" w:lineRule="exact"/>
        <w:ind w:firstLine="4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3、监狱和戒毒企业</w:t>
      </w:r>
    </w:p>
    <w:p w14:paraId="36F65E90">
      <w:pPr>
        <w:pStyle w:val="39"/>
        <w:spacing w:line="320" w:lineRule="exact"/>
        <w:ind w:firstLine="4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（1）监狱和戒毒企业（简称监狱企业）视同小型、微型企业。</w:t>
      </w:r>
    </w:p>
    <w:p w14:paraId="409671FB">
      <w:pPr>
        <w:pStyle w:val="39"/>
        <w:spacing w:line="320" w:lineRule="exact"/>
        <w:ind w:firstLine="4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（2）监狱企业参加政府采购活动时，需提供由省级以上监狱管理局、戒毒管理局（含新疆生产建设兵团）出具的属于监狱企业的证明文件。供应商如不提供上述证明文件，价格将不作相应扣除。</w:t>
      </w:r>
    </w:p>
    <w:p w14:paraId="4DCDD7C1">
      <w:pPr>
        <w:pStyle w:val="39"/>
        <w:spacing w:line="320" w:lineRule="exact"/>
        <w:ind w:firstLine="4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（3）监狱企业标准请参照《关于政府采购支持监狱企业发展有关问题的通知》（财库</w:t>
      </w:r>
    </w:p>
    <w:p w14:paraId="2B695607">
      <w:pPr>
        <w:pStyle w:val="39"/>
        <w:spacing w:line="320" w:lineRule="exact"/>
        <w:ind w:firstLine="4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[2014]68 号）。</w:t>
      </w:r>
    </w:p>
    <w:p w14:paraId="45C90397">
      <w:pPr>
        <w:pStyle w:val="39"/>
        <w:spacing w:line="320" w:lineRule="exact"/>
        <w:ind w:firstLine="4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4、残疾人福利单位、监狱企业属于小型、微型企业的，不重复享受政策。</w:t>
      </w:r>
    </w:p>
    <w:p w14:paraId="1C7647CE">
      <w:pPr>
        <w:pStyle w:val="39"/>
        <w:spacing w:line="320" w:lineRule="exact"/>
        <w:ind w:firstLine="4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 30%以上的，给予联合体6%的价格扣除，用扣除后的价格参与评审。</w:t>
      </w:r>
    </w:p>
    <w:p w14:paraId="378E800C">
      <w:pPr>
        <w:pStyle w:val="39"/>
        <w:spacing w:line="320" w:lineRule="exact"/>
        <w:ind w:firstLine="4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6、组成联合体的小微企业与联合体内其他企业之间存在直接控股、管理关系的，不享受价格扣除优惠政策。</w:t>
      </w:r>
    </w:p>
    <w:p w14:paraId="2F0C8076">
      <w:pPr>
        <w:pStyle w:val="39"/>
        <w:spacing w:line="320" w:lineRule="exact"/>
        <w:ind w:firstLine="4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7、联合体各方均为小型、微型企业（残疾人福利单位、监狱企业）的，视同小型、微型企业。</w:t>
      </w:r>
    </w:p>
    <w:p w14:paraId="21971916">
      <w:pPr>
        <w:pStyle w:val="39"/>
        <w:spacing w:line="320" w:lineRule="exact"/>
        <w:ind w:firstLine="420"/>
        <w:rPr>
          <w:rFonts w:hint="eastAsia" w:ascii="宋体" w:hAnsi="宋体" w:cs="宋体"/>
          <w:color w:val="auto"/>
          <w:highlight w:val="none"/>
        </w:rPr>
      </w:pPr>
      <w:r>
        <w:rPr>
          <w:rFonts w:hint="eastAsia" w:ascii="宋体" w:hAnsi="宋体" w:eastAsia="宋体" w:cs="宋体"/>
          <w:color w:val="auto"/>
          <w:kern w:val="2"/>
          <w:sz w:val="24"/>
          <w:szCs w:val="24"/>
          <w:highlight w:val="none"/>
          <w:lang w:val="en-US" w:eastAsia="zh-CN" w:bidi="ar-SA"/>
        </w:rPr>
        <w:t>8、根据《江苏省政府采购供应商监督管理暂行办法》的规定，诚信记录分每减 10 分， 给予本项目总分值 2%的扣分，扣分最多不超过本项目总分值 6%</w:t>
      </w:r>
      <w:r>
        <w:rPr>
          <w:rFonts w:hint="eastAsia" w:ascii="宋体" w:hAnsi="宋体" w:cs="宋体"/>
          <w:color w:val="auto"/>
          <w:highlight w:val="none"/>
        </w:rPr>
        <w:t>。</w:t>
      </w:r>
    </w:p>
    <w:p w14:paraId="4D0B2D36">
      <w:pPr>
        <w:pStyle w:val="3"/>
        <w:jc w:val="left"/>
        <w:outlineLvl w:val="0"/>
        <w:rPr>
          <w:rFonts w:hint="eastAsia" w:ascii="宋体" w:hAnsi="宋体" w:eastAsia="宋体" w:cs="宋体"/>
          <w:color w:val="auto"/>
          <w:sz w:val="24"/>
          <w:szCs w:val="24"/>
          <w:highlight w:val="none"/>
        </w:rPr>
      </w:pPr>
      <w:bookmarkStart w:id="58" w:name="_Toc170832696"/>
      <w:r>
        <w:rPr>
          <w:rFonts w:hint="eastAsia" w:ascii="宋体" w:hAnsi="宋体" w:eastAsia="宋体" w:cs="宋体"/>
          <w:color w:val="auto"/>
          <w:sz w:val="24"/>
          <w:szCs w:val="24"/>
          <w:highlight w:val="none"/>
        </w:rPr>
        <w:t>三、评标标准</w:t>
      </w:r>
      <w:bookmarkEnd w:id="58"/>
    </w:p>
    <w:tbl>
      <w:tblPr>
        <w:tblStyle w:val="1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7"/>
        <w:gridCol w:w="1260"/>
        <w:gridCol w:w="697"/>
        <w:gridCol w:w="5768"/>
      </w:tblGrid>
      <w:tr w14:paraId="5293D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468" w:type="pct"/>
            <w:vAlign w:val="center"/>
          </w:tcPr>
          <w:p w14:paraId="725675E7">
            <w:pPr>
              <w:jc w:val="center"/>
              <w:rPr>
                <w:rFonts w:ascii="宋体" w:hAnsi="宋体"/>
                <w:b/>
                <w:color w:val="auto"/>
                <w:szCs w:val="21"/>
                <w:highlight w:val="none"/>
              </w:rPr>
            </w:pPr>
            <w:r>
              <w:rPr>
                <w:rFonts w:hint="eastAsia" w:ascii="宋体" w:hAnsi="宋体"/>
                <w:b/>
                <w:color w:val="auto"/>
                <w:szCs w:val="21"/>
                <w:highlight w:val="none"/>
              </w:rPr>
              <w:t>评审因素</w:t>
            </w:r>
          </w:p>
        </w:tc>
        <w:tc>
          <w:tcPr>
            <w:tcW w:w="739" w:type="pct"/>
            <w:vAlign w:val="center"/>
          </w:tcPr>
          <w:p w14:paraId="12C4F789">
            <w:pPr>
              <w:jc w:val="center"/>
              <w:rPr>
                <w:rFonts w:ascii="宋体" w:hAnsi="宋体"/>
                <w:b/>
                <w:color w:val="auto"/>
                <w:szCs w:val="21"/>
                <w:highlight w:val="none"/>
              </w:rPr>
            </w:pPr>
            <w:r>
              <w:rPr>
                <w:rFonts w:hint="eastAsia" w:ascii="宋体" w:hAnsi="宋体"/>
                <w:b/>
                <w:color w:val="auto"/>
                <w:szCs w:val="21"/>
                <w:highlight w:val="none"/>
              </w:rPr>
              <w:t>评审内容</w:t>
            </w:r>
          </w:p>
        </w:tc>
        <w:tc>
          <w:tcPr>
            <w:tcW w:w="409" w:type="pct"/>
            <w:vAlign w:val="center"/>
          </w:tcPr>
          <w:p w14:paraId="7E7D53AA">
            <w:pPr>
              <w:jc w:val="center"/>
              <w:rPr>
                <w:rFonts w:ascii="宋体" w:hAnsi="宋体"/>
                <w:b/>
                <w:color w:val="auto"/>
                <w:szCs w:val="21"/>
                <w:highlight w:val="none"/>
              </w:rPr>
            </w:pPr>
            <w:r>
              <w:rPr>
                <w:rFonts w:hint="eastAsia" w:ascii="宋体" w:hAnsi="宋体"/>
                <w:b/>
                <w:color w:val="auto"/>
                <w:szCs w:val="21"/>
                <w:highlight w:val="none"/>
              </w:rPr>
              <w:t>标准分值</w:t>
            </w:r>
          </w:p>
        </w:tc>
        <w:tc>
          <w:tcPr>
            <w:tcW w:w="3384" w:type="pct"/>
            <w:vAlign w:val="center"/>
          </w:tcPr>
          <w:p w14:paraId="36D51B86">
            <w:pPr>
              <w:jc w:val="center"/>
              <w:rPr>
                <w:rFonts w:ascii="宋体" w:hAnsi="宋体"/>
                <w:b/>
                <w:color w:val="auto"/>
                <w:szCs w:val="21"/>
                <w:highlight w:val="none"/>
              </w:rPr>
            </w:pPr>
            <w:r>
              <w:rPr>
                <w:rFonts w:hint="eastAsia" w:ascii="宋体" w:hAnsi="宋体"/>
                <w:b/>
                <w:color w:val="auto"/>
                <w:szCs w:val="21"/>
                <w:highlight w:val="none"/>
              </w:rPr>
              <w:t>评分标准</w:t>
            </w:r>
          </w:p>
        </w:tc>
      </w:tr>
      <w:tr w14:paraId="20F7F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8" w:hRule="atLeast"/>
        </w:trPr>
        <w:tc>
          <w:tcPr>
            <w:tcW w:w="468" w:type="pct"/>
            <w:vAlign w:val="center"/>
          </w:tcPr>
          <w:p w14:paraId="60FA1006">
            <w:pPr>
              <w:jc w:val="center"/>
              <w:rPr>
                <w:rFonts w:ascii="宋体" w:hAnsi="宋体" w:cs="宋体"/>
                <w:b/>
                <w:color w:val="auto"/>
                <w:szCs w:val="21"/>
                <w:highlight w:val="none"/>
              </w:rPr>
            </w:pPr>
            <w:r>
              <w:rPr>
                <w:rFonts w:hint="eastAsia" w:ascii="宋体" w:hAnsi="宋体" w:cs="宋体"/>
                <w:b/>
                <w:color w:val="auto"/>
                <w:szCs w:val="21"/>
                <w:highlight w:val="none"/>
              </w:rPr>
              <w:t>价格部分</w:t>
            </w:r>
          </w:p>
        </w:tc>
        <w:tc>
          <w:tcPr>
            <w:tcW w:w="739" w:type="pct"/>
            <w:vAlign w:val="center"/>
          </w:tcPr>
          <w:p w14:paraId="195028DD">
            <w:pPr>
              <w:spacing w:line="276" w:lineRule="auto"/>
              <w:jc w:val="center"/>
              <w:rPr>
                <w:rFonts w:ascii="宋体" w:hAnsi="宋体"/>
                <w:b/>
                <w:color w:val="auto"/>
                <w:szCs w:val="21"/>
                <w:highlight w:val="none"/>
              </w:rPr>
            </w:pPr>
            <w:r>
              <w:rPr>
                <w:rFonts w:hint="eastAsia" w:ascii="宋体" w:hAnsi="宋体"/>
                <w:b/>
                <w:color w:val="auto"/>
                <w:szCs w:val="21"/>
                <w:highlight w:val="none"/>
              </w:rPr>
              <w:t>投标报价</w:t>
            </w:r>
          </w:p>
        </w:tc>
        <w:tc>
          <w:tcPr>
            <w:tcW w:w="409" w:type="pct"/>
            <w:vAlign w:val="center"/>
          </w:tcPr>
          <w:p w14:paraId="72A0DBF5">
            <w:pPr>
              <w:jc w:val="center"/>
              <w:rPr>
                <w:rFonts w:ascii="宋体" w:hAnsi="宋体"/>
                <w:b/>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0分</w:t>
            </w:r>
          </w:p>
        </w:tc>
        <w:tc>
          <w:tcPr>
            <w:tcW w:w="3384" w:type="pct"/>
            <w:vAlign w:val="center"/>
          </w:tcPr>
          <w:p w14:paraId="74FBBFAF">
            <w:pPr>
              <w:widowControl/>
              <w:numPr>
                <w:ilvl w:val="0"/>
                <w:numId w:val="7"/>
              </w:numPr>
              <w:ind w:left="0" w:firstLine="0"/>
              <w:jc w:val="left"/>
              <w:rPr>
                <w:rFonts w:ascii="宋体" w:hAnsi="宋体" w:cs="宋体"/>
                <w:color w:val="auto"/>
                <w:szCs w:val="21"/>
                <w:highlight w:val="none"/>
              </w:rPr>
            </w:pPr>
            <w:r>
              <w:rPr>
                <w:rFonts w:hint="eastAsia" w:ascii="宋体" w:hAnsi="宋体" w:cs="宋体"/>
                <w:color w:val="auto"/>
                <w:szCs w:val="21"/>
                <w:highlight w:val="none"/>
              </w:rPr>
              <w:t>满足招标文件要求且投标价格（或者最终价格）最低的投标报价为评标基准价，其价格分为满分。</w:t>
            </w:r>
          </w:p>
          <w:p w14:paraId="4D3C4A52">
            <w:pPr>
              <w:widowControl/>
              <w:numPr>
                <w:ilvl w:val="0"/>
                <w:numId w:val="7"/>
              </w:numPr>
              <w:ind w:left="0" w:firstLine="0"/>
              <w:jc w:val="left"/>
              <w:rPr>
                <w:rFonts w:ascii="宋体" w:hAnsi="宋体" w:cs="宋体"/>
                <w:color w:val="auto"/>
                <w:szCs w:val="21"/>
                <w:highlight w:val="none"/>
              </w:rPr>
            </w:pPr>
            <w:r>
              <w:rPr>
                <w:rFonts w:hint="eastAsia" w:ascii="宋体" w:hAnsi="宋体" w:cs="宋体"/>
                <w:color w:val="auto"/>
                <w:szCs w:val="21"/>
                <w:highlight w:val="none"/>
              </w:rPr>
              <w:t>投标报价得分</w:t>
            </w:r>
            <w:r>
              <w:rPr>
                <w:rFonts w:ascii="宋体" w:hAnsi="宋体" w:cs="宋体"/>
                <w:color w:val="auto"/>
                <w:szCs w:val="21"/>
                <w:highlight w:val="none"/>
              </w:rPr>
              <w:t>=(</w:t>
            </w:r>
            <w:r>
              <w:rPr>
                <w:rFonts w:hint="eastAsia" w:ascii="宋体" w:hAnsi="宋体" w:cs="宋体"/>
                <w:color w:val="auto"/>
                <w:szCs w:val="21"/>
                <w:highlight w:val="none"/>
              </w:rPr>
              <w:t>评标基准价／投标报价</w:t>
            </w:r>
            <w:r>
              <w:rPr>
                <w:rFonts w:ascii="宋体" w:hAnsi="宋体" w:cs="宋体"/>
                <w:color w:val="auto"/>
                <w:szCs w:val="21"/>
                <w:highlight w:val="none"/>
              </w:rPr>
              <w:t>)</w:t>
            </w:r>
            <w:r>
              <w:rPr>
                <w:rFonts w:hint="eastAsia" w:ascii="宋体" w:hAnsi="宋体" w:cs="宋体"/>
                <w:color w:val="auto"/>
                <w:szCs w:val="21"/>
                <w:highlight w:val="none"/>
              </w:rPr>
              <w:t>×30×</w:t>
            </w:r>
            <w:r>
              <w:rPr>
                <w:rFonts w:ascii="宋体" w:hAnsi="宋体" w:cs="宋体"/>
                <w:color w:val="auto"/>
                <w:szCs w:val="21"/>
                <w:highlight w:val="none"/>
              </w:rPr>
              <w:t>100</w:t>
            </w:r>
            <w:r>
              <w:rPr>
                <w:rFonts w:hint="eastAsia" w:ascii="宋体" w:hAnsi="宋体" w:cs="宋体"/>
                <w:color w:val="auto"/>
                <w:szCs w:val="21"/>
                <w:highlight w:val="none"/>
              </w:rPr>
              <w:t>（精确到小数点后两位，由采购机构当场统一计算）</w:t>
            </w:r>
          </w:p>
          <w:p w14:paraId="2F1DF005">
            <w:pPr>
              <w:widowControl/>
              <w:numPr>
                <w:ilvl w:val="0"/>
                <w:numId w:val="7"/>
              </w:numPr>
              <w:ind w:left="0" w:firstLine="0"/>
              <w:jc w:val="left"/>
              <w:rPr>
                <w:rFonts w:ascii="宋体" w:hAnsi="宋体" w:cs="仿宋"/>
                <w:color w:val="auto"/>
                <w:szCs w:val="21"/>
                <w:highlight w:val="none"/>
                <w:lang w:val="zh-CN"/>
              </w:rPr>
            </w:pPr>
            <w:r>
              <w:rPr>
                <w:rFonts w:hint="eastAsia" w:ascii="宋体" w:hAnsi="宋体" w:cs="宋体"/>
                <w:color w:val="auto"/>
                <w:szCs w:val="21"/>
                <w:highlight w:val="none"/>
              </w:rPr>
              <w:t>投标报价超出招标控制价的投标无效。</w:t>
            </w:r>
          </w:p>
          <w:p w14:paraId="74EFED61">
            <w:pPr>
              <w:rPr>
                <w:rFonts w:ascii="宋体" w:hAnsi="宋体"/>
                <w:color w:val="auto"/>
                <w:szCs w:val="21"/>
                <w:highlight w:val="none"/>
              </w:rPr>
            </w:pPr>
            <w:r>
              <w:rPr>
                <w:rFonts w:hint="eastAsia" w:ascii="宋体" w:hAnsi="宋体"/>
                <w:b/>
                <w:color w:val="auto"/>
                <w:szCs w:val="21"/>
                <w:highlight w:val="none"/>
              </w:rPr>
              <w:t>注：</w:t>
            </w:r>
            <w:r>
              <w:rPr>
                <w:rFonts w:hint="eastAsia" w:ascii="宋体" w:hAnsi="宋体"/>
                <w:b/>
                <w:bCs/>
                <w:color w:val="auto"/>
                <w:szCs w:val="21"/>
                <w:highlight w:val="none"/>
              </w:rPr>
              <w:t>如果在评标过程中，评标小组发现投标人的投标报价明显低于其他投标人的综合报价或者有理由怀疑其投标综合报价可能低于其成本的，将要求该投标人在规定的时间内出具详细的成本计算清单（加盖投标人单位公章）并提供相关证明材料（相关证明材料：提供与本次采购规模、性能参数类似的业绩，以合同复印件为准，并加盖投标产品生产厂家单位公章）。投标人在规定的时间内不能出具详细的成本计算清单或不能提供相关证明材料的，视作该投标人以低于成本报价投标，其投标文件应作废标处理。</w:t>
            </w:r>
          </w:p>
        </w:tc>
      </w:tr>
      <w:tr w14:paraId="1BC42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23" w:hRule="atLeast"/>
        </w:trPr>
        <w:tc>
          <w:tcPr>
            <w:tcW w:w="468" w:type="pct"/>
            <w:vMerge w:val="restart"/>
            <w:vAlign w:val="center"/>
          </w:tcPr>
          <w:p w14:paraId="53E062BA">
            <w:pPr>
              <w:spacing w:line="276" w:lineRule="auto"/>
              <w:jc w:val="center"/>
              <w:rPr>
                <w:rFonts w:ascii="宋体" w:hAnsi="宋体"/>
                <w:color w:val="auto"/>
                <w:szCs w:val="21"/>
                <w:highlight w:val="none"/>
              </w:rPr>
            </w:pPr>
            <w:r>
              <w:rPr>
                <w:rFonts w:hint="eastAsia" w:ascii="宋体" w:hAnsi="宋体" w:cs="宋体"/>
                <w:b/>
                <w:color w:val="auto"/>
                <w:szCs w:val="21"/>
                <w:highlight w:val="none"/>
              </w:rPr>
              <w:t>技术部分</w:t>
            </w:r>
          </w:p>
        </w:tc>
        <w:tc>
          <w:tcPr>
            <w:tcW w:w="739" w:type="pct"/>
            <w:vAlign w:val="center"/>
          </w:tcPr>
          <w:p w14:paraId="01398848">
            <w:pPr>
              <w:widowControl/>
              <w:jc w:val="center"/>
              <w:rPr>
                <w:rFonts w:ascii="宋体" w:hAnsi="宋体" w:cs="宋体"/>
                <w:b/>
                <w:bCs/>
                <w:color w:val="auto"/>
                <w:szCs w:val="21"/>
                <w:highlight w:val="none"/>
              </w:rPr>
            </w:pPr>
            <w:r>
              <w:rPr>
                <w:rFonts w:hint="eastAsia" w:ascii="宋体" w:hAnsi="宋体" w:cs="宋体"/>
                <w:b/>
                <w:color w:val="auto"/>
                <w:szCs w:val="21"/>
                <w:highlight w:val="none"/>
              </w:rPr>
              <w:t>产品演示</w:t>
            </w:r>
          </w:p>
        </w:tc>
        <w:tc>
          <w:tcPr>
            <w:tcW w:w="409" w:type="pct"/>
            <w:vAlign w:val="center"/>
          </w:tcPr>
          <w:p w14:paraId="6BCE1EB6">
            <w:pPr>
              <w:spacing w:line="276" w:lineRule="auto"/>
              <w:jc w:val="center"/>
              <w:rPr>
                <w:rFonts w:ascii="宋体" w:hAnsi="宋体"/>
                <w:b/>
                <w:color w:val="auto"/>
                <w:szCs w:val="21"/>
                <w:highlight w:val="none"/>
              </w:rPr>
            </w:pPr>
            <w:r>
              <w:rPr>
                <w:rFonts w:hint="eastAsia" w:ascii="宋体" w:hAnsi="宋体"/>
                <w:b/>
                <w:color w:val="auto"/>
                <w:szCs w:val="21"/>
                <w:highlight w:val="none"/>
                <w:lang w:val="en-US" w:eastAsia="zh-CN"/>
              </w:rPr>
              <w:t>8</w:t>
            </w:r>
            <w:r>
              <w:rPr>
                <w:rFonts w:hint="eastAsia" w:ascii="宋体" w:hAnsi="宋体"/>
                <w:b/>
                <w:color w:val="auto"/>
                <w:szCs w:val="21"/>
                <w:highlight w:val="none"/>
              </w:rPr>
              <w:t>分</w:t>
            </w:r>
          </w:p>
        </w:tc>
        <w:tc>
          <w:tcPr>
            <w:tcW w:w="3384" w:type="pct"/>
            <w:vAlign w:val="center"/>
          </w:tcPr>
          <w:p w14:paraId="5ACEB525">
            <w:pPr>
              <w:rPr>
                <w:rFonts w:ascii="宋体" w:hAnsi="宋体"/>
                <w:bCs/>
                <w:color w:val="auto"/>
                <w:szCs w:val="21"/>
                <w:highlight w:val="none"/>
              </w:rPr>
            </w:pPr>
            <w:r>
              <w:rPr>
                <w:rFonts w:hint="eastAsia" w:ascii="宋体" w:hAnsi="宋体" w:cs="宋体"/>
                <w:b/>
                <w:bCs/>
                <w:color w:val="auto"/>
                <w:szCs w:val="21"/>
                <w:highlight w:val="none"/>
              </w:rPr>
              <w:t>投标人需要对提供的产品功能，提供视频演示，</w:t>
            </w:r>
            <w:r>
              <w:rPr>
                <w:rFonts w:hint="eastAsia" w:ascii="宋体" w:hAnsi="宋体" w:cs="仿宋"/>
                <w:bCs/>
                <w:color w:val="auto"/>
                <w:szCs w:val="21"/>
                <w:highlight w:val="none"/>
                <w:lang w:bidi="ar"/>
              </w:rPr>
              <w:t>对于打▲项的重要技术参数每出现一项负偏离扣</w:t>
            </w:r>
            <w:r>
              <w:rPr>
                <w:rFonts w:hint="eastAsia" w:ascii="宋体" w:hAnsi="宋体" w:cs="仿宋"/>
                <w:bCs/>
                <w:color w:val="auto"/>
                <w:szCs w:val="21"/>
                <w:highlight w:val="none"/>
                <w:lang w:val="en-US" w:eastAsia="zh-CN" w:bidi="ar"/>
              </w:rPr>
              <w:t>0.5</w:t>
            </w:r>
            <w:r>
              <w:rPr>
                <w:rFonts w:hint="eastAsia" w:ascii="宋体" w:hAnsi="宋体" w:cs="仿宋"/>
                <w:bCs/>
                <w:color w:val="auto"/>
                <w:szCs w:val="21"/>
                <w:highlight w:val="none"/>
                <w:lang w:bidi="ar"/>
              </w:rPr>
              <w:t>分（</w:t>
            </w:r>
            <w:r>
              <w:rPr>
                <w:rFonts w:hint="eastAsia" w:ascii="宋体" w:hAnsi="宋体" w:cs="仿宋"/>
                <w:b/>
                <w:bCs/>
                <w:color w:val="auto"/>
                <w:szCs w:val="21"/>
                <w:highlight w:val="none"/>
                <w:lang w:bidi="ar"/>
              </w:rPr>
              <w:t>注：其中同一款软件中的多条带▲重要技术功能演示时，必须为一个独立运行的软件，多个软件功能拼接实现为无效</w:t>
            </w:r>
            <w:r>
              <w:rPr>
                <w:rFonts w:hint="eastAsia" w:ascii="宋体" w:hAnsi="宋体" w:cs="仿宋"/>
                <w:bCs/>
                <w:color w:val="auto"/>
                <w:szCs w:val="21"/>
                <w:highlight w:val="none"/>
                <w:lang w:bidi="ar"/>
              </w:rPr>
              <w:t>）</w:t>
            </w:r>
            <w:r>
              <w:rPr>
                <w:rFonts w:hint="eastAsia" w:ascii="宋体" w:hAnsi="宋体"/>
                <w:bCs/>
                <w:color w:val="auto"/>
                <w:szCs w:val="21"/>
                <w:highlight w:val="none"/>
              </w:rPr>
              <w:t>。演示视频的时长在15分钟以内，视频的大小在200M以内，视频数量1个。</w:t>
            </w:r>
          </w:p>
        </w:tc>
      </w:tr>
      <w:tr w14:paraId="2D612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2" w:hRule="atLeast"/>
        </w:trPr>
        <w:tc>
          <w:tcPr>
            <w:tcW w:w="468" w:type="pct"/>
            <w:vMerge w:val="continue"/>
            <w:vAlign w:val="center"/>
          </w:tcPr>
          <w:p w14:paraId="7A5A1651">
            <w:pPr>
              <w:spacing w:line="276" w:lineRule="auto"/>
              <w:jc w:val="center"/>
              <w:rPr>
                <w:rFonts w:ascii="宋体" w:hAnsi="宋体" w:cs="宋体"/>
                <w:b/>
                <w:color w:val="auto"/>
                <w:szCs w:val="21"/>
                <w:highlight w:val="none"/>
              </w:rPr>
            </w:pPr>
          </w:p>
        </w:tc>
        <w:tc>
          <w:tcPr>
            <w:tcW w:w="739" w:type="pct"/>
            <w:vAlign w:val="center"/>
          </w:tcPr>
          <w:p w14:paraId="69B82E10">
            <w:pPr>
              <w:jc w:val="center"/>
              <w:rPr>
                <w:rFonts w:ascii="宋体" w:hAnsi="宋体" w:cs="宋体"/>
                <w:b/>
                <w:color w:val="auto"/>
                <w:szCs w:val="21"/>
                <w:highlight w:val="none"/>
              </w:rPr>
            </w:pPr>
            <w:r>
              <w:rPr>
                <w:rFonts w:hint="eastAsia" w:ascii="宋体" w:hAnsi="宋体" w:cs="宋体"/>
                <w:b/>
                <w:color w:val="auto"/>
                <w:szCs w:val="21"/>
                <w:highlight w:val="none"/>
              </w:rPr>
              <w:t>产品佐证</w:t>
            </w:r>
          </w:p>
        </w:tc>
        <w:tc>
          <w:tcPr>
            <w:tcW w:w="409" w:type="pct"/>
            <w:vAlign w:val="center"/>
          </w:tcPr>
          <w:p w14:paraId="3FB4CDF9">
            <w:pPr>
              <w:spacing w:line="276" w:lineRule="auto"/>
              <w:jc w:val="center"/>
              <w:rPr>
                <w:rFonts w:ascii="宋体" w:hAnsi="宋体"/>
                <w:b/>
                <w:color w:val="auto"/>
                <w:szCs w:val="21"/>
                <w:highlight w:val="none"/>
              </w:rPr>
            </w:pPr>
            <w:r>
              <w:rPr>
                <w:rFonts w:hint="eastAsia" w:ascii="宋体" w:hAnsi="宋体"/>
                <w:b/>
                <w:color w:val="auto"/>
                <w:szCs w:val="21"/>
                <w:highlight w:val="none"/>
                <w:lang w:val="en-US" w:eastAsia="zh-CN"/>
              </w:rPr>
              <w:t>17</w:t>
            </w:r>
            <w:r>
              <w:rPr>
                <w:rFonts w:hint="eastAsia" w:ascii="宋体" w:hAnsi="宋体"/>
                <w:b/>
                <w:color w:val="auto"/>
                <w:szCs w:val="21"/>
                <w:highlight w:val="none"/>
              </w:rPr>
              <w:t>分</w:t>
            </w:r>
          </w:p>
        </w:tc>
        <w:tc>
          <w:tcPr>
            <w:tcW w:w="3384" w:type="pct"/>
            <w:vAlign w:val="center"/>
          </w:tcPr>
          <w:p w14:paraId="6544B9A6">
            <w:pPr>
              <w:rPr>
                <w:rFonts w:ascii="宋体" w:hAnsi="宋体" w:cs="宋体"/>
                <w:bCs/>
                <w:color w:val="auto"/>
                <w:szCs w:val="21"/>
                <w:highlight w:val="none"/>
              </w:rPr>
            </w:pPr>
            <w:r>
              <w:rPr>
                <w:rFonts w:hint="eastAsia" w:ascii="宋体" w:hAnsi="宋体" w:cs="宋体"/>
                <w:b/>
                <w:bCs/>
                <w:color w:val="auto"/>
                <w:szCs w:val="21"/>
                <w:highlight w:val="none"/>
              </w:rPr>
              <w:t>投标人需要对提供的产品功能提供佐证材料，</w:t>
            </w:r>
            <w:r>
              <w:rPr>
                <w:rFonts w:hint="eastAsia" w:ascii="宋体" w:hAnsi="宋体" w:cs="仿宋"/>
                <w:bCs/>
                <w:color w:val="auto"/>
                <w:szCs w:val="21"/>
                <w:highlight w:val="none"/>
                <w:lang w:bidi="ar"/>
              </w:rPr>
              <w:t>对于打★项的重要技术参数每出现一项负偏离的扣</w:t>
            </w:r>
            <w:r>
              <w:rPr>
                <w:rFonts w:hint="eastAsia" w:ascii="宋体" w:hAnsi="宋体" w:cs="仿宋"/>
                <w:bCs/>
                <w:color w:val="auto"/>
                <w:szCs w:val="21"/>
                <w:highlight w:val="none"/>
                <w:lang w:val="en-US" w:eastAsia="zh-CN" w:bidi="ar"/>
              </w:rPr>
              <w:t>0.5</w:t>
            </w:r>
            <w:r>
              <w:rPr>
                <w:rFonts w:hint="eastAsia" w:ascii="宋体" w:hAnsi="宋体" w:cs="仿宋"/>
                <w:bCs/>
                <w:color w:val="auto"/>
                <w:szCs w:val="21"/>
                <w:highlight w:val="none"/>
                <w:lang w:bidi="ar"/>
              </w:rPr>
              <w:t>分。</w:t>
            </w:r>
          </w:p>
        </w:tc>
      </w:tr>
      <w:tr w14:paraId="45762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2" w:hRule="atLeast"/>
        </w:trPr>
        <w:tc>
          <w:tcPr>
            <w:tcW w:w="468" w:type="pct"/>
            <w:vMerge w:val="continue"/>
            <w:vAlign w:val="center"/>
          </w:tcPr>
          <w:p w14:paraId="18B3D52B">
            <w:pPr>
              <w:spacing w:line="276" w:lineRule="auto"/>
              <w:jc w:val="center"/>
              <w:rPr>
                <w:rFonts w:ascii="宋体" w:hAnsi="宋体" w:cs="宋体"/>
                <w:b/>
                <w:color w:val="auto"/>
                <w:szCs w:val="21"/>
                <w:highlight w:val="none"/>
              </w:rPr>
            </w:pPr>
          </w:p>
        </w:tc>
        <w:tc>
          <w:tcPr>
            <w:tcW w:w="739" w:type="pct"/>
            <w:vAlign w:val="center"/>
          </w:tcPr>
          <w:p w14:paraId="4D116782">
            <w:pPr>
              <w:jc w:val="center"/>
              <w:rPr>
                <w:rFonts w:ascii="宋体" w:hAnsi="宋体" w:cs="宋体"/>
                <w:b/>
                <w:color w:val="auto"/>
                <w:szCs w:val="21"/>
                <w:highlight w:val="none"/>
              </w:rPr>
            </w:pPr>
            <w:r>
              <w:rPr>
                <w:rFonts w:hint="eastAsia" w:ascii="宋体" w:hAnsi="宋体" w:cs="宋体"/>
                <w:b/>
                <w:color w:val="auto"/>
                <w:szCs w:val="21"/>
                <w:highlight w:val="none"/>
              </w:rPr>
              <w:t>产品综合性能</w:t>
            </w:r>
          </w:p>
        </w:tc>
        <w:tc>
          <w:tcPr>
            <w:tcW w:w="409" w:type="pct"/>
            <w:vAlign w:val="center"/>
          </w:tcPr>
          <w:p w14:paraId="3808EF09">
            <w:pPr>
              <w:spacing w:line="276" w:lineRule="auto"/>
              <w:jc w:val="center"/>
              <w:rPr>
                <w:rFonts w:ascii="宋体" w:hAnsi="宋体"/>
                <w:b/>
                <w:color w:val="auto"/>
                <w:szCs w:val="21"/>
                <w:highlight w:val="none"/>
              </w:rPr>
            </w:pPr>
            <w:r>
              <w:rPr>
                <w:rFonts w:hint="eastAsia" w:ascii="宋体" w:hAnsi="宋体"/>
                <w:b/>
                <w:color w:val="auto"/>
                <w:szCs w:val="21"/>
                <w:highlight w:val="none"/>
              </w:rPr>
              <w:t>5分</w:t>
            </w:r>
          </w:p>
        </w:tc>
        <w:tc>
          <w:tcPr>
            <w:tcW w:w="3384" w:type="pct"/>
            <w:vAlign w:val="center"/>
          </w:tcPr>
          <w:p w14:paraId="34AA8B91">
            <w:pPr>
              <w:rPr>
                <w:rFonts w:ascii="宋体" w:hAnsi="宋体"/>
                <w:b/>
                <w:color w:val="auto"/>
                <w:szCs w:val="21"/>
                <w:highlight w:val="none"/>
              </w:rPr>
            </w:pPr>
            <w:r>
              <w:rPr>
                <w:rFonts w:hint="eastAsia" w:ascii="宋体" w:hAnsi="宋体" w:cs="宋体"/>
                <w:bCs/>
                <w:color w:val="auto"/>
                <w:szCs w:val="21"/>
                <w:highlight w:val="none"/>
              </w:rPr>
              <w:t>专家评委根据投标人提供的产品性能进行综合评价，完全符合需求的得 5分， 基本符合需求的得3分，产品性能有缺陷的得1分。</w:t>
            </w:r>
          </w:p>
        </w:tc>
      </w:tr>
      <w:tr w14:paraId="5DFB4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921" w:hRule="atLeast"/>
        </w:trPr>
        <w:tc>
          <w:tcPr>
            <w:tcW w:w="468" w:type="pct"/>
            <w:vMerge w:val="restart"/>
            <w:vAlign w:val="center"/>
          </w:tcPr>
          <w:p w14:paraId="45088F2B">
            <w:pPr>
              <w:jc w:val="center"/>
              <w:rPr>
                <w:rFonts w:ascii="宋体" w:hAnsi="宋体"/>
                <w:color w:val="auto"/>
                <w:szCs w:val="21"/>
                <w:highlight w:val="none"/>
              </w:rPr>
            </w:pPr>
            <w:r>
              <w:rPr>
                <w:rFonts w:hint="eastAsia" w:ascii="宋体" w:hAnsi="宋体" w:cs="宋体"/>
                <w:b/>
                <w:color w:val="auto"/>
                <w:szCs w:val="21"/>
                <w:highlight w:val="none"/>
              </w:rPr>
              <w:t>商务部分</w:t>
            </w:r>
          </w:p>
        </w:tc>
        <w:tc>
          <w:tcPr>
            <w:tcW w:w="739" w:type="pct"/>
            <w:vAlign w:val="center"/>
          </w:tcPr>
          <w:p w14:paraId="4F7DE3A8">
            <w:pPr>
              <w:tabs>
                <w:tab w:val="left" w:pos="1988"/>
              </w:tabs>
              <w:jc w:val="center"/>
              <w:rPr>
                <w:rFonts w:ascii="宋体" w:hAnsi="宋体" w:cs="宋体"/>
                <w:b/>
                <w:bCs/>
                <w:color w:val="auto"/>
                <w:szCs w:val="21"/>
                <w:highlight w:val="none"/>
              </w:rPr>
            </w:pPr>
            <w:r>
              <w:rPr>
                <w:rFonts w:hint="eastAsia" w:ascii="宋体" w:hAnsi="宋体" w:cs="宋体"/>
                <w:b/>
                <w:bCs/>
                <w:color w:val="auto"/>
                <w:szCs w:val="21"/>
                <w:highlight w:val="none"/>
              </w:rPr>
              <w:t>企业信誉</w:t>
            </w:r>
          </w:p>
        </w:tc>
        <w:tc>
          <w:tcPr>
            <w:tcW w:w="409" w:type="pct"/>
            <w:vAlign w:val="center"/>
          </w:tcPr>
          <w:p w14:paraId="1148C5FD">
            <w:pPr>
              <w:jc w:val="left"/>
              <w:rPr>
                <w:rFonts w:ascii="宋体" w:hAnsi="宋体"/>
                <w:b/>
                <w:color w:val="auto"/>
                <w:szCs w:val="21"/>
                <w:highlight w:val="none"/>
              </w:rPr>
            </w:pPr>
            <w:r>
              <w:rPr>
                <w:rFonts w:hint="eastAsia" w:ascii="宋体" w:hAnsi="宋体"/>
                <w:b/>
                <w:color w:val="auto"/>
                <w:szCs w:val="21"/>
                <w:highlight w:val="none"/>
              </w:rPr>
              <w:t>15分</w:t>
            </w:r>
          </w:p>
        </w:tc>
        <w:tc>
          <w:tcPr>
            <w:tcW w:w="3384" w:type="pct"/>
            <w:vAlign w:val="center"/>
          </w:tcPr>
          <w:p w14:paraId="57091DCA">
            <w:pPr>
              <w:widowControl/>
              <w:numPr>
                <w:ilvl w:val="0"/>
                <w:numId w:val="8"/>
              </w:numPr>
              <w:spacing w:line="360" w:lineRule="auto"/>
              <w:ind w:left="0" w:firstLine="0"/>
              <w:jc w:val="left"/>
              <w:rPr>
                <w:rFonts w:ascii="宋体" w:hAnsi="宋体" w:cs="宋体"/>
                <w:bCs/>
                <w:color w:val="auto"/>
                <w:szCs w:val="21"/>
                <w:highlight w:val="none"/>
              </w:rPr>
            </w:pPr>
            <w:r>
              <w:rPr>
                <w:rFonts w:hint="eastAsia" w:ascii="宋体" w:hAnsi="宋体" w:cs="宋体"/>
                <w:bCs/>
                <w:color w:val="auto"/>
                <w:szCs w:val="21"/>
                <w:highlight w:val="none"/>
              </w:rPr>
              <w:t>投标人提供有效的“软件企业证书和软件产品证书”得2分，不提供少提供均不得分。（注：</w:t>
            </w:r>
            <w:r>
              <w:rPr>
                <w:rFonts w:hint="eastAsia" w:ascii="宋体" w:hAnsi="宋体" w:cs="宋体"/>
                <w:bCs/>
                <w:color w:val="auto"/>
                <w:szCs w:val="21"/>
                <w:highlight w:val="none"/>
                <w:lang w:val="en-US" w:eastAsia="zh-CN"/>
              </w:rPr>
              <w:t>原件扫描上传并加盖公章</w:t>
            </w:r>
            <w:r>
              <w:rPr>
                <w:rFonts w:hint="eastAsia" w:ascii="宋体" w:hAnsi="宋体" w:cs="宋体"/>
                <w:bCs/>
                <w:color w:val="auto"/>
                <w:szCs w:val="21"/>
                <w:highlight w:val="none"/>
              </w:rPr>
              <w:t>）</w:t>
            </w:r>
          </w:p>
          <w:p w14:paraId="2D13B386">
            <w:pPr>
              <w:pStyle w:val="46"/>
              <w:numPr>
                <w:ilvl w:val="0"/>
                <w:numId w:val="8"/>
              </w:numPr>
              <w:spacing w:line="360" w:lineRule="auto"/>
              <w:ind w:left="0" w:firstLine="0"/>
              <w:rPr>
                <w:rFonts w:ascii="宋体" w:hAnsi="宋体" w:cs="宋体"/>
                <w:bCs/>
                <w:color w:val="auto"/>
                <w:szCs w:val="21"/>
                <w:highlight w:val="none"/>
                <w:lang w:eastAsia="zh-CN"/>
              </w:rPr>
            </w:pPr>
            <w:r>
              <w:rPr>
                <w:rFonts w:hint="eastAsia" w:ascii="宋体" w:hAnsi="宋体" w:cs="宋体"/>
                <w:bCs/>
                <w:color w:val="auto"/>
                <w:szCs w:val="21"/>
                <w:highlight w:val="none"/>
                <w:lang w:eastAsia="zh-CN"/>
              </w:rPr>
              <w:t>为体现投标人在同行业领域综合能力，投标人能提供有效的国家“高新技术企业”证书的得2分；</w:t>
            </w:r>
            <w:r>
              <w:rPr>
                <w:rFonts w:hint="eastAsia" w:ascii="宋体" w:hAnsi="宋体" w:cs="宋体"/>
                <w:bCs/>
                <w:color w:val="auto"/>
                <w:szCs w:val="21"/>
                <w:highlight w:val="none"/>
              </w:rPr>
              <w:t>（注：</w:t>
            </w:r>
            <w:r>
              <w:rPr>
                <w:rFonts w:hint="eastAsia" w:ascii="宋体" w:hAnsi="宋体" w:cs="宋体"/>
                <w:bCs/>
                <w:color w:val="auto"/>
                <w:szCs w:val="21"/>
                <w:highlight w:val="none"/>
                <w:lang w:val="en-US" w:eastAsia="zh-CN"/>
              </w:rPr>
              <w:t>原件扫描上传并加盖公章</w:t>
            </w: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为体现投标人的经营规范性及产品的质量符合相关标准，投标人能提供经国家认证认可监督管理委员会认证机构颁发的有效期内的具有CNAS和IAF标识的管理体系认证证书“质量管理体系认证证书”、“环境管理体系认证证书”、“职业健康安全管理体系认证证书”证书，每提供一份得1分，最多得3分，不提供少提供均不得分；（注：投标文件中提供相关材料</w:t>
            </w:r>
            <w:r>
              <w:rPr>
                <w:rFonts w:hint="eastAsia" w:ascii="宋体" w:hAnsi="宋体" w:cs="宋体"/>
                <w:bCs/>
                <w:color w:val="auto"/>
                <w:szCs w:val="21"/>
                <w:highlight w:val="none"/>
                <w:lang w:val="en-US" w:eastAsia="zh-CN"/>
              </w:rPr>
              <w:t>扫描件</w:t>
            </w:r>
            <w:r>
              <w:rPr>
                <w:rFonts w:hint="eastAsia" w:ascii="宋体" w:hAnsi="宋体" w:cs="宋体"/>
                <w:bCs/>
                <w:color w:val="auto"/>
                <w:szCs w:val="21"/>
                <w:highlight w:val="none"/>
                <w:lang w:eastAsia="zh-CN"/>
              </w:rPr>
              <w:t>加盖公章</w:t>
            </w:r>
            <w:r>
              <w:rPr>
                <w:rFonts w:hint="eastAsia" w:ascii="宋体" w:hAnsi="宋体" w:cs="宋体"/>
                <w:bCs/>
                <w:color w:val="auto"/>
                <w:szCs w:val="21"/>
                <w:highlight w:val="none"/>
                <w:lang w:val="en-US" w:eastAsia="zh-CN"/>
              </w:rPr>
              <w:t>并上传，</w:t>
            </w:r>
            <w:r>
              <w:rPr>
                <w:rFonts w:hint="eastAsia" w:ascii="宋体" w:hAnsi="宋体" w:cs="宋体"/>
                <w:bCs/>
                <w:color w:val="auto"/>
                <w:szCs w:val="21"/>
                <w:highlight w:val="none"/>
                <w:lang w:eastAsia="zh-CN"/>
              </w:rPr>
              <w:t>同时提供国家认证认可监督管理委员会官网证书信息查询截图，否则不予计分）</w:t>
            </w:r>
          </w:p>
          <w:p w14:paraId="435CFBF1">
            <w:pPr>
              <w:widowControl/>
              <w:numPr>
                <w:ilvl w:val="0"/>
                <w:numId w:val="8"/>
              </w:numPr>
              <w:spacing w:line="360" w:lineRule="auto"/>
              <w:ind w:left="0" w:firstLine="0"/>
              <w:jc w:val="left"/>
              <w:rPr>
                <w:rFonts w:ascii="宋体" w:hAnsi="宋体" w:cs="宋体"/>
                <w:bCs/>
                <w:color w:val="auto"/>
                <w:szCs w:val="21"/>
                <w:highlight w:val="none"/>
              </w:rPr>
            </w:pPr>
            <w:r>
              <w:rPr>
                <w:rFonts w:hint="eastAsia" w:ascii="宋体" w:hAnsi="宋体" w:cs="宋体"/>
                <w:bCs/>
                <w:color w:val="auto"/>
                <w:szCs w:val="21"/>
                <w:highlight w:val="none"/>
              </w:rPr>
              <w:t>投标人拥有汽车相关发明专利证书的，每提供一份得2分，最多得</w:t>
            </w:r>
            <w:r>
              <w:rPr>
                <w:rFonts w:ascii="宋体" w:hAnsi="宋体" w:cs="宋体"/>
                <w:bCs/>
                <w:color w:val="auto"/>
                <w:szCs w:val="21"/>
                <w:highlight w:val="none"/>
              </w:rPr>
              <w:t>4</w:t>
            </w:r>
            <w:r>
              <w:rPr>
                <w:rFonts w:hint="eastAsia" w:ascii="宋体" w:hAnsi="宋体" w:cs="宋体"/>
                <w:bCs/>
                <w:color w:val="auto"/>
                <w:szCs w:val="21"/>
                <w:highlight w:val="none"/>
              </w:rPr>
              <w:t>分；（注：</w:t>
            </w:r>
            <w:r>
              <w:rPr>
                <w:rFonts w:hint="eastAsia" w:ascii="宋体" w:hAnsi="宋体" w:cs="宋体"/>
                <w:bCs/>
                <w:color w:val="auto"/>
                <w:szCs w:val="21"/>
                <w:highlight w:val="none"/>
                <w:lang w:val="en-US" w:eastAsia="zh-CN"/>
              </w:rPr>
              <w:t>原件扫描上传并加盖公章，</w:t>
            </w:r>
            <w:r>
              <w:rPr>
                <w:rFonts w:hint="eastAsia" w:ascii="宋体" w:hAnsi="宋体" w:cs="宋体"/>
                <w:bCs/>
                <w:color w:val="auto"/>
                <w:szCs w:val="21"/>
                <w:highlight w:val="none"/>
              </w:rPr>
              <w:t>证书的获取时间必须在招标公告发布日期之前，否则不予计分）</w:t>
            </w:r>
          </w:p>
          <w:p w14:paraId="18BD3497">
            <w:pPr>
              <w:widowControl/>
              <w:numPr>
                <w:ilvl w:val="0"/>
                <w:numId w:val="8"/>
              </w:numPr>
              <w:spacing w:line="360" w:lineRule="auto"/>
              <w:ind w:left="0" w:firstLine="0"/>
              <w:jc w:val="left"/>
              <w:rPr>
                <w:rFonts w:ascii="宋体" w:hAnsi="宋体" w:cs="宋体"/>
                <w:bCs/>
                <w:color w:val="auto"/>
                <w:szCs w:val="21"/>
                <w:highlight w:val="none"/>
              </w:rPr>
            </w:pPr>
            <w:r>
              <w:rPr>
                <w:rFonts w:hint="eastAsia" w:ascii="宋体" w:hAnsi="宋体" w:cs="宋体"/>
                <w:bCs/>
                <w:color w:val="auto"/>
                <w:szCs w:val="21"/>
                <w:highlight w:val="none"/>
              </w:rPr>
              <w:t>鉴于对产品质量和后续服务能力的要求，投标人能提供技术服务人员的计算机等级证书3级及以上、UI设计师高级证书、三维动画设计师证书、软件工程师证书，每提供一份得1分，最多得4分。为证明服务人员的真实性，需提供投标人服务人员近3个月任意一个月社保证明材料，不提供不得分。（注：</w:t>
            </w:r>
            <w:r>
              <w:rPr>
                <w:rFonts w:hint="eastAsia" w:ascii="宋体" w:hAnsi="宋体" w:cs="宋体"/>
                <w:bCs/>
                <w:color w:val="auto"/>
                <w:szCs w:val="21"/>
                <w:highlight w:val="none"/>
                <w:lang w:val="en-US" w:eastAsia="zh-CN"/>
              </w:rPr>
              <w:t>原件扫描上传并加盖公章</w:t>
            </w:r>
            <w:r>
              <w:rPr>
                <w:rFonts w:hint="eastAsia" w:ascii="宋体" w:hAnsi="宋体" w:cs="宋体"/>
                <w:bCs/>
                <w:color w:val="auto"/>
                <w:szCs w:val="21"/>
                <w:highlight w:val="none"/>
              </w:rPr>
              <w:t>）</w:t>
            </w:r>
          </w:p>
        </w:tc>
      </w:tr>
      <w:tr w14:paraId="1CDA4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2" w:hRule="atLeast"/>
        </w:trPr>
        <w:tc>
          <w:tcPr>
            <w:tcW w:w="468" w:type="pct"/>
            <w:vMerge w:val="continue"/>
            <w:vAlign w:val="center"/>
          </w:tcPr>
          <w:p w14:paraId="46118077">
            <w:pPr>
              <w:jc w:val="center"/>
              <w:rPr>
                <w:rFonts w:ascii="宋体" w:hAnsi="宋体" w:cs="宋体"/>
                <w:b/>
                <w:color w:val="auto"/>
                <w:szCs w:val="21"/>
                <w:highlight w:val="none"/>
              </w:rPr>
            </w:pPr>
          </w:p>
        </w:tc>
        <w:tc>
          <w:tcPr>
            <w:tcW w:w="739" w:type="pct"/>
            <w:vAlign w:val="center"/>
          </w:tcPr>
          <w:p w14:paraId="74F687E6">
            <w:pPr>
              <w:jc w:val="center"/>
              <w:rPr>
                <w:rFonts w:ascii="宋体" w:hAnsi="宋体" w:cs="宋体"/>
                <w:b/>
                <w:color w:val="auto"/>
                <w:szCs w:val="21"/>
                <w:highlight w:val="none"/>
              </w:rPr>
            </w:pPr>
            <w:r>
              <w:rPr>
                <w:rFonts w:hint="eastAsia" w:ascii="宋体" w:hAnsi="宋体" w:cs="宋体"/>
                <w:b/>
                <w:bCs/>
                <w:color w:val="auto"/>
                <w:szCs w:val="21"/>
                <w:highlight w:val="none"/>
              </w:rPr>
              <w:t>培训方案</w:t>
            </w:r>
          </w:p>
        </w:tc>
        <w:tc>
          <w:tcPr>
            <w:tcW w:w="409" w:type="pct"/>
            <w:vAlign w:val="center"/>
          </w:tcPr>
          <w:p w14:paraId="16029343">
            <w:pPr>
              <w:jc w:val="center"/>
              <w:rPr>
                <w:rFonts w:ascii="宋体" w:hAnsi="宋体"/>
                <w:b/>
                <w:color w:val="auto"/>
                <w:szCs w:val="21"/>
                <w:highlight w:val="none"/>
              </w:rPr>
            </w:pPr>
            <w:r>
              <w:rPr>
                <w:rFonts w:hint="eastAsia" w:ascii="宋体" w:hAnsi="宋体"/>
                <w:b/>
                <w:color w:val="auto"/>
                <w:szCs w:val="21"/>
                <w:highlight w:val="none"/>
              </w:rPr>
              <w:t>8分</w:t>
            </w:r>
          </w:p>
        </w:tc>
        <w:tc>
          <w:tcPr>
            <w:tcW w:w="3384" w:type="pct"/>
            <w:vAlign w:val="center"/>
          </w:tcPr>
          <w:p w14:paraId="1721776A">
            <w:pPr>
              <w:rPr>
                <w:rFonts w:ascii="宋体" w:hAnsi="宋体" w:cs="宋体"/>
                <w:bCs/>
                <w:color w:val="auto"/>
                <w:szCs w:val="21"/>
                <w:highlight w:val="none"/>
              </w:rPr>
            </w:pPr>
            <w:r>
              <w:rPr>
                <w:rFonts w:hint="eastAsia" w:ascii="宋体" w:hAnsi="宋体" w:cs="宋体"/>
                <w:bCs/>
                <w:color w:val="auto"/>
                <w:szCs w:val="21"/>
                <w:highlight w:val="none"/>
              </w:rPr>
              <w:t>培训方案：根据投标人提供的现场技术培训方案、培训内容及时间、</w:t>
            </w:r>
            <w:r>
              <w:rPr>
                <w:rFonts w:hint="eastAsia" w:ascii="宋体" w:hAnsi="宋体" w:cs="宋体"/>
                <w:b/>
                <w:color w:val="auto"/>
                <w:szCs w:val="21"/>
                <w:highlight w:val="none"/>
              </w:rPr>
              <w:t>培训讲师资质（具有职业技能大赛裁判员或评委荣誉证书，该培训讲师为投标人的正式员工，提供该人员近3个月任意一个月社保证明材料）</w:t>
            </w:r>
            <w:r>
              <w:rPr>
                <w:rFonts w:hint="eastAsia" w:ascii="宋体" w:hAnsi="宋体" w:cs="宋体"/>
                <w:bCs/>
                <w:color w:val="auto"/>
                <w:szCs w:val="21"/>
                <w:highlight w:val="none"/>
              </w:rPr>
              <w:t>等分档计分：</w:t>
            </w:r>
          </w:p>
          <w:p w14:paraId="56E9EE0D">
            <w:pPr>
              <w:rPr>
                <w:rFonts w:ascii="宋体" w:hAnsi="宋体" w:cs="宋体"/>
                <w:bCs/>
                <w:color w:val="auto"/>
                <w:szCs w:val="21"/>
                <w:highlight w:val="none"/>
              </w:rPr>
            </w:pPr>
            <w:r>
              <w:rPr>
                <w:rFonts w:hint="eastAsia" w:ascii="宋体" w:hAnsi="宋体" w:cs="宋体"/>
                <w:bCs/>
                <w:color w:val="auto"/>
                <w:szCs w:val="21"/>
                <w:highlight w:val="none"/>
              </w:rPr>
              <w:t>1.方案内容详细具体、方法科学合理、针对性和操作性强的且培训讲师具有资质的，得8分；</w:t>
            </w:r>
          </w:p>
          <w:p w14:paraId="3BAB7448">
            <w:pPr>
              <w:rPr>
                <w:rFonts w:ascii="宋体" w:hAnsi="宋体" w:cs="宋体"/>
                <w:bCs/>
                <w:color w:val="auto"/>
                <w:szCs w:val="21"/>
                <w:highlight w:val="none"/>
              </w:rPr>
            </w:pPr>
            <w:r>
              <w:rPr>
                <w:rFonts w:hint="eastAsia" w:ascii="宋体" w:hAnsi="宋体" w:cs="宋体"/>
                <w:bCs/>
                <w:color w:val="auto"/>
                <w:szCs w:val="21"/>
                <w:highlight w:val="none"/>
              </w:rPr>
              <w:t>2.方案内容较为具体，科学较为合理、针对性和可操作性一般的且培训讲师具有资质的，得5分；</w:t>
            </w:r>
          </w:p>
          <w:p w14:paraId="657E92C4">
            <w:pPr>
              <w:rPr>
                <w:rFonts w:ascii="宋体" w:hAnsi="宋体" w:cs="宋体"/>
                <w:bCs/>
                <w:color w:val="auto"/>
                <w:szCs w:val="21"/>
                <w:highlight w:val="none"/>
              </w:rPr>
            </w:pPr>
            <w:r>
              <w:rPr>
                <w:rFonts w:hint="eastAsia" w:ascii="宋体" w:hAnsi="宋体" w:cs="宋体"/>
                <w:bCs/>
                <w:color w:val="auto"/>
                <w:szCs w:val="21"/>
                <w:highlight w:val="none"/>
              </w:rPr>
              <w:t>3. 方案有内容但简单或细节有待完善或没有培训讲师资质的，得2分；</w:t>
            </w:r>
          </w:p>
          <w:p w14:paraId="286C951A">
            <w:pPr>
              <w:rPr>
                <w:rFonts w:ascii="宋体" w:hAnsi="宋体"/>
                <w:color w:val="auto"/>
                <w:szCs w:val="21"/>
                <w:highlight w:val="none"/>
              </w:rPr>
            </w:pPr>
            <w:r>
              <w:rPr>
                <w:rFonts w:hint="eastAsia" w:ascii="宋体" w:hAnsi="宋体" w:cs="宋体"/>
                <w:bCs/>
                <w:color w:val="auto"/>
                <w:szCs w:val="21"/>
                <w:highlight w:val="none"/>
              </w:rPr>
              <w:t>4.培训方案差的</w:t>
            </w:r>
            <w:r>
              <w:rPr>
                <w:rFonts w:hint="eastAsia" w:ascii="宋体" w:hAnsi="宋体" w:cs="宋体"/>
                <w:color w:val="auto"/>
                <w:szCs w:val="21"/>
                <w:highlight w:val="none"/>
              </w:rPr>
              <w:t>不得分。</w:t>
            </w:r>
          </w:p>
        </w:tc>
      </w:tr>
      <w:tr w14:paraId="49F9A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2" w:hRule="atLeast"/>
        </w:trPr>
        <w:tc>
          <w:tcPr>
            <w:tcW w:w="468" w:type="pct"/>
            <w:vMerge w:val="continue"/>
            <w:vAlign w:val="center"/>
          </w:tcPr>
          <w:p w14:paraId="663A13C9">
            <w:pPr>
              <w:jc w:val="center"/>
              <w:rPr>
                <w:rFonts w:ascii="宋体" w:hAnsi="宋体" w:cs="宋体"/>
                <w:b/>
                <w:color w:val="auto"/>
                <w:szCs w:val="21"/>
                <w:highlight w:val="none"/>
              </w:rPr>
            </w:pPr>
          </w:p>
        </w:tc>
        <w:tc>
          <w:tcPr>
            <w:tcW w:w="739" w:type="pct"/>
            <w:vAlign w:val="center"/>
          </w:tcPr>
          <w:p w14:paraId="2EBEDC8A">
            <w:pPr>
              <w:jc w:val="center"/>
              <w:rPr>
                <w:rFonts w:ascii="宋体" w:hAnsi="宋体" w:cs="宋体"/>
                <w:b/>
                <w:bCs/>
                <w:color w:val="auto"/>
                <w:szCs w:val="21"/>
                <w:highlight w:val="none"/>
              </w:rPr>
            </w:pPr>
            <w:r>
              <w:rPr>
                <w:rFonts w:hint="eastAsia" w:ascii="宋体" w:hAnsi="宋体" w:cs="宋体"/>
                <w:b/>
                <w:bCs/>
                <w:color w:val="auto"/>
                <w:szCs w:val="21"/>
                <w:highlight w:val="none"/>
              </w:rPr>
              <w:t>实施方案</w:t>
            </w:r>
          </w:p>
        </w:tc>
        <w:tc>
          <w:tcPr>
            <w:tcW w:w="409" w:type="pct"/>
            <w:vAlign w:val="center"/>
          </w:tcPr>
          <w:p w14:paraId="5BF00F27">
            <w:pPr>
              <w:spacing w:line="276" w:lineRule="auto"/>
              <w:jc w:val="center"/>
              <w:rPr>
                <w:rFonts w:ascii="宋体" w:hAnsi="宋体"/>
                <w:b/>
                <w:color w:val="auto"/>
                <w:szCs w:val="21"/>
                <w:highlight w:val="none"/>
              </w:rPr>
            </w:pPr>
            <w:r>
              <w:rPr>
                <w:rFonts w:hint="eastAsia" w:ascii="宋体" w:hAnsi="宋体"/>
                <w:b/>
                <w:color w:val="auto"/>
                <w:szCs w:val="21"/>
                <w:highlight w:val="none"/>
              </w:rPr>
              <w:t>7分</w:t>
            </w:r>
          </w:p>
        </w:tc>
        <w:tc>
          <w:tcPr>
            <w:tcW w:w="3384" w:type="pct"/>
            <w:vAlign w:val="center"/>
          </w:tcPr>
          <w:p w14:paraId="51004490">
            <w:pPr>
              <w:rPr>
                <w:rFonts w:ascii="宋体" w:hAnsi="宋体" w:cs="宋体"/>
                <w:color w:val="auto"/>
                <w:szCs w:val="21"/>
                <w:highlight w:val="none"/>
              </w:rPr>
            </w:pPr>
            <w:r>
              <w:rPr>
                <w:rFonts w:hint="eastAsia" w:ascii="宋体" w:hAnsi="宋体" w:cs="宋体"/>
                <w:color w:val="auto"/>
                <w:szCs w:val="21"/>
                <w:highlight w:val="none"/>
              </w:rPr>
              <w:t>1.项目实施方案的总体技术方案设计思路清晰、合理、可操作性强，项目实施人员中具有</w:t>
            </w:r>
            <w:r>
              <w:rPr>
                <w:rFonts w:hint="eastAsia" w:ascii="宋体" w:hAnsi="宋体" w:cs="宋体"/>
                <w:b/>
                <w:bCs/>
                <w:color w:val="auto"/>
                <w:szCs w:val="21"/>
                <w:highlight w:val="none"/>
              </w:rPr>
              <w:t>汽车维修工高级证书</w:t>
            </w:r>
            <w:r>
              <w:rPr>
                <w:rFonts w:hint="eastAsia" w:ascii="宋体" w:hAnsi="宋体" w:cs="宋体"/>
                <w:b/>
                <w:color w:val="auto"/>
                <w:szCs w:val="21"/>
                <w:highlight w:val="none"/>
              </w:rPr>
              <w:t>（该实施人员为投标人的正式员工，提供该人员近3个月任意一个月社保证明材料）</w:t>
            </w:r>
            <w:r>
              <w:rPr>
                <w:rFonts w:hint="eastAsia" w:ascii="宋体" w:hAnsi="宋体" w:cs="宋体"/>
                <w:color w:val="auto"/>
                <w:szCs w:val="21"/>
                <w:highlight w:val="none"/>
              </w:rPr>
              <w:t>，项目实施进度计划有具体时间安排及计划表，思路清晰，安排细致全面，措施完善、服务流程合理、细节处理准确得7分；</w:t>
            </w:r>
          </w:p>
          <w:p w14:paraId="555CE74C">
            <w:pPr>
              <w:rPr>
                <w:rFonts w:ascii="宋体" w:hAnsi="宋体" w:cs="宋体"/>
                <w:color w:val="auto"/>
                <w:szCs w:val="21"/>
                <w:highlight w:val="none"/>
              </w:rPr>
            </w:pPr>
            <w:r>
              <w:rPr>
                <w:rFonts w:hint="eastAsia" w:ascii="宋体" w:hAnsi="宋体" w:cs="宋体"/>
                <w:color w:val="auto"/>
                <w:szCs w:val="21"/>
                <w:highlight w:val="none"/>
              </w:rPr>
              <w:t>2.项目实施方案的总体技术方案思路一般，安排一般，措施一般、服务流程一般、细节处理一般的得5分；</w:t>
            </w:r>
          </w:p>
          <w:p w14:paraId="28181EF0">
            <w:pPr>
              <w:rPr>
                <w:rFonts w:ascii="宋体" w:hAnsi="宋体" w:cs="宋体"/>
                <w:color w:val="auto"/>
                <w:szCs w:val="21"/>
                <w:highlight w:val="none"/>
              </w:rPr>
            </w:pPr>
            <w:r>
              <w:rPr>
                <w:rFonts w:hint="eastAsia" w:ascii="宋体" w:hAnsi="宋体" w:cs="宋体"/>
                <w:color w:val="auto"/>
                <w:szCs w:val="21"/>
                <w:highlight w:val="none"/>
              </w:rPr>
              <w:t>3.项目实施方案的总体技术方案思路不够清晰，安排没有条理，措施较差、服务流程较差、细节处理较差的或项目实施人员没有</w:t>
            </w:r>
            <w:r>
              <w:rPr>
                <w:rFonts w:hint="eastAsia" w:ascii="宋体" w:hAnsi="宋体" w:cs="宋体"/>
                <w:b/>
                <w:bCs/>
                <w:color w:val="auto"/>
                <w:szCs w:val="21"/>
                <w:highlight w:val="none"/>
              </w:rPr>
              <w:t>汽车维修工高级证书</w:t>
            </w:r>
            <w:r>
              <w:rPr>
                <w:rFonts w:hint="eastAsia" w:ascii="宋体" w:hAnsi="宋体" w:cs="宋体"/>
                <w:color w:val="auto"/>
                <w:szCs w:val="21"/>
                <w:highlight w:val="none"/>
              </w:rPr>
              <w:t>得2分；</w:t>
            </w:r>
          </w:p>
          <w:p w14:paraId="6E82695A">
            <w:pPr>
              <w:rPr>
                <w:rFonts w:ascii="宋体" w:hAnsi="宋体" w:cs="宋体"/>
                <w:color w:val="auto"/>
                <w:szCs w:val="21"/>
                <w:highlight w:val="none"/>
              </w:rPr>
            </w:pPr>
            <w:r>
              <w:rPr>
                <w:rFonts w:hint="eastAsia" w:ascii="宋体" w:hAnsi="宋体" w:cs="宋体"/>
                <w:color w:val="auto"/>
                <w:szCs w:val="21"/>
                <w:highlight w:val="none"/>
              </w:rPr>
              <w:t>4.未提供或描述简单不得分。</w:t>
            </w:r>
          </w:p>
        </w:tc>
      </w:tr>
      <w:tr w14:paraId="31473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2" w:hRule="atLeast"/>
        </w:trPr>
        <w:tc>
          <w:tcPr>
            <w:tcW w:w="468" w:type="pct"/>
            <w:vMerge w:val="continue"/>
            <w:vAlign w:val="center"/>
          </w:tcPr>
          <w:p w14:paraId="28B289A5">
            <w:pPr>
              <w:jc w:val="center"/>
              <w:rPr>
                <w:rFonts w:ascii="宋体" w:hAnsi="宋体"/>
                <w:color w:val="auto"/>
                <w:szCs w:val="21"/>
                <w:highlight w:val="none"/>
              </w:rPr>
            </w:pPr>
          </w:p>
        </w:tc>
        <w:tc>
          <w:tcPr>
            <w:tcW w:w="739" w:type="pct"/>
            <w:vAlign w:val="center"/>
          </w:tcPr>
          <w:p w14:paraId="215C006B">
            <w:pPr>
              <w:jc w:val="center"/>
              <w:rPr>
                <w:rFonts w:ascii="宋体" w:hAnsi="宋体"/>
                <w:b/>
                <w:color w:val="auto"/>
                <w:szCs w:val="21"/>
                <w:highlight w:val="none"/>
              </w:rPr>
            </w:pPr>
            <w:r>
              <w:rPr>
                <w:rFonts w:hint="eastAsia" w:ascii="宋体" w:hAnsi="宋体"/>
                <w:b/>
                <w:color w:val="auto"/>
                <w:szCs w:val="21"/>
                <w:highlight w:val="none"/>
              </w:rPr>
              <w:t>售后服务</w:t>
            </w:r>
          </w:p>
        </w:tc>
        <w:tc>
          <w:tcPr>
            <w:tcW w:w="409" w:type="pct"/>
            <w:vAlign w:val="center"/>
          </w:tcPr>
          <w:p w14:paraId="656BB18E">
            <w:pPr>
              <w:jc w:val="center"/>
              <w:rPr>
                <w:rFonts w:ascii="宋体" w:hAnsi="宋体"/>
                <w:b/>
                <w:color w:val="auto"/>
                <w:szCs w:val="21"/>
                <w:highlight w:val="none"/>
              </w:rPr>
            </w:pPr>
            <w:r>
              <w:rPr>
                <w:rFonts w:hint="eastAsia" w:ascii="宋体" w:hAnsi="宋体"/>
                <w:b/>
                <w:color w:val="auto"/>
                <w:szCs w:val="21"/>
                <w:highlight w:val="none"/>
              </w:rPr>
              <w:t>7分</w:t>
            </w:r>
          </w:p>
        </w:tc>
        <w:tc>
          <w:tcPr>
            <w:tcW w:w="3384" w:type="pct"/>
            <w:vAlign w:val="center"/>
          </w:tcPr>
          <w:p w14:paraId="0F29DE17">
            <w:pPr>
              <w:rPr>
                <w:rFonts w:ascii="宋体" w:hAnsi="宋体" w:cs="宋体"/>
                <w:color w:val="auto"/>
                <w:szCs w:val="21"/>
                <w:highlight w:val="none"/>
              </w:rPr>
            </w:pPr>
            <w:r>
              <w:rPr>
                <w:rFonts w:hint="eastAsia" w:ascii="宋体" w:hAnsi="宋体" w:cs="宋体"/>
                <w:color w:val="auto"/>
                <w:szCs w:val="21"/>
                <w:highlight w:val="none"/>
              </w:rPr>
              <w:t>1、有完善合理的售后服务体系、服务方案和应急方案，方案科学、严密、合理，描述详细且具有针对性的得5分；售后服务方案基本合理、描述一般、存在可操作性得3分；售后服务方案具有不合理项、描述略欠缺、存在一定的实施难度得1分；其余不得分。</w:t>
            </w:r>
          </w:p>
          <w:p w14:paraId="745A7C2A">
            <w:pPr>
              <w:rPr>
                <w:rFonts w:ascii="宋体" w:hAnsi="宋体" w:cs="宋体"/>
                <w:color w:val="auto"/>
                <w:szCs w:val="21"/>
                <w:highlight w:val="none"/>
              </w:rPr>
            </w:pPr>
            <w:r>
              <w:rPr>
                <w:rFonts w:hint="eastAsia" w:ascii="宋体" w:hAnsi="宋体" w:cs="宋体"/>
                <w:color w:val="auto"/>
                <w:szCs w:val="21"/>
                <w:highlight w:val="none"/>
              </w:rPr>
              <w:t>2、具有2人及以上的售后服务人员并专业（汽车专业或计算机专业）对口，得2分。提供1人的得1分，不提供不得分（提供人员的技能证书或学历证书，提供人员近3个月任意一个月社保证明材料）。</w:t>
            </w:r>
          </w:p>
        </w:tc>
      </w:tr>
      <w:tr w14:paraId="18EE6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 w:hRule="atLeast"/>
        </w:trPr>
        <w:tc>
          <w:tcPr>
            <w:tcW w:w="468" w:type="pct"/>
            <w:vMerge w:val="continue"/>
            <w:vAlign w:val="center"/>
          </w:tcPr>
          <w:p w14:paraId="6C76C285">
            <w:pPr>
              <w:jc w:val="center"/>
              <w:rPr>
                <w:rFonts w:ascii="宋体" w:hAnsi="宋体"/>
                <w:color w:val="auto"/>
                <w:szCs w:val="21"/>
                <w:highlight w:val="none"/>
              </w:rPr>
            </w:pPr>
          </w:p>
        </w:tc>
        <w:tc>
          <w:tcPr>
            <w:tcW w:w="739" w:type="pct"/>
            <w:vAlign w:val="center"/>
          </w:tcPr>
          <w:p w14:paraId="046006B2">
            <w:pPr>
              <w:jc w:val="center"/>
              <w:rPr>
                <w:rFonts w:ascii="宋体" w:hAnsi="宋体"/>
                <w:b/>
                <w:color w:val="auto"/>
                <w:szCs w:val="21"/>
                <w:highlight w:val="none"/>
              </w:rPr>
            </w:pPr>
            <w:r>
              <w:rPr>
                <w:rFonts w:hint="eastAsia" w:ascii="宋体" w:hAnsi="宋体"/>
                <w:b/>
                <w:color w:val="auto"/>
                <w:szCs w:val="21"/>
                <w:highlight w:val="none"/>
              </w:rPr>
              <w:t xml:space="preserve">类似业绩 </w:t>
            </w:r>
            <w:r>
              <w:rPr>
                <w:rFonts w:hint="eastAsia" w:ascii="宋体" w:hAnsi="宋体" w:cs="宋体"/>
                <w:color w:val="auto"/>
                <w:szCs w:val="21"/>
                <w:highlight w:val="none"/>
              </w:rPr>
              <w:t xml:space="preserve">  </w:t>
            </w:r>
          </w:p>
        </w:tc>
        <w:tc>
          <w:tcPr>
            <w:tcW w:w="409" w:type="pct"/>
            <w:vAlign w:val="center"/>
          </w:tcPr>
          <w:p w14:paraId="0421F70A">
            <w:pPr>
              <w:jc w:val="center"/>
              <w:rPr>
                <w:rFonts w:ascii="宋体" w:hAnsi="宋体"/>
                <w:b/>
                <w:color w:val="auto"/>
                <w:szCs w:val="21"/>
                <w:highlight w:val="none"/>
              </w:rPr>
            </w:pPr>
            <w:r>
              <w:rPr>
                <w:rFonts w:hint="eastAsia" w:ascii="宋体" w:hAnsi="宋体"/>
                <w:b/>
                <w:color w:val="auto"/>
                <w:szCs w:val="21"/>
                <w:highlight w:val="none"/>
              </w:rPr>
              <w:t>3分</w:t>
            </w:r>
          </w:p>
        </w:tc>
        <w:tc>
          <w:tcPr>
            <w:tcW w:w="3384" w:type="pct"/>
            <w:vAlign w:val="center"/>
          </w:tcPr>
          <w:p w14:paraId="593D509B">
            <w:pPr>
              <w:widowControl/>
              <w:jc w:val="left"/>
              <w:rPr>
                <w:rFonts w:ascii="宋体" w:hAnsi="宋体" w:cs="宋体"/>
                <w:color w:val="auto"/>
                <w:szCs w:val="21"/>
                <w:highlight w:val="none"/>
              </w:rPr>
            </w:pPr>
            <w:r>
              <w:rPr>
                <w:rFonts w:hint="eastAsia" w:ascii="宋体" w:hAnsi="宋体" w:cs="宋体"/>
                <w:color w:val="auto"/>
                <w:szCs w:val="21"/>
                <w:highlight w:val="none"/>
              </w:rPr>
              <w:t>投标人自202</w:t>
            </w:r>
            <w:r>
              <w:rPr>
                <w:rFonts w:ascii="宋体" w:hAnsi="宋体" w:cs="宋体"/>
                <w:color w:val="auto"/>
                <w:szCs w:val="21"/>
                <w:highlight w:val="none"/>
              </w:rPr>
              <w:t>2</w:t>
            </w:r>
            <w:r>
              <w:rPr>
                <w:rFonts w:hint="eastAsia" w:ascii="宋体" w:hAnsi="宋体" w:cs="宋体"/>
                <w:color w:val="auto"/>
                <w:szCs w:val="21"/>
                <w:highlight w:val="none"/>
              </w:rPr>
              <w:t>年1月1日（以合同签订时间为准）以来同类项目业绩，每提供1份业绩证明文件得1分，最高得3分。</w:t>
            </w:r>
          </w:p>
          <w:p w14:paraId="50E59643">
            <w:pPr>
              <w:rPr>
                <w:rFonts w:ascii="宋体" w:hAnsi="宋体" w:cs="宋体"/>
                <w:b/>
                <w:bCs/>
                <w:color w:val="auto"/>
                <w:szCs w:val="21"/>
                <w:highlight w:val="none"/>
              </w:rPr>
            </w:pPr>
            <w:r>
              <w:rPr>
                <w:rFonts w:hint="eastAsia" w:ascii="宋体" w:hAnsi="宋体" w:cs="宋体"/>
                <w:b/>
                <w:bCs/>
                <w:color w:val="auto"/>
                <w:szCs w:val="21"/>
                <w:highlight w:val="none"/>
              </w:rPr>
              <w:t>备注:提供项目中标公示的网络截图、中标通知书、合同复印件，3项材料同时提供，缺项不得分。</w:t>
            </w:r>
          </w:p>
          <w:p w14:paraId="12164FB2">
            <w:pPr>
              <w:rPr>
                <w:rFonts w:ascii="宋体" w:hAnsi="宋体" w:cs="宋体"/>
                <w:color w:val="auto"/>
                <w:szCs w:val="21"/>
                <w:highlight w:val="none"/>
              </w:rPr>
            </w:pPr>
            <w:r>
              <w:rPr>
                <w:rFonts w:hint="eastAsia" w:ascii="宋体" w:hAnsi="宋体" w:cs="宋体"/>
                <w:bCs/>
                <w:color w:val="auto"/>
                <w:szCs w:val="21"/>
                <w:highlight w:val="none"/>
              </w:rPr>
              <w:t>（注：</w:t>
            </w:r>
            <w:r>
              <w:rPr>
                <w:rFonts w:hint="eastAsia" w:ascii="宋体" w:hAnsi="宋体" w:cs="宋体"/>
                <w:bCs/>
                <w:color w:val="auto"/>
                <w:szCs w:val="21"/>
                <w:highlight w:val="none"/>
                <w:lang w:val="en-US" w:eastAsia="zh-CN"/>
              </w:rPr>
              <w:t>原件扫描上传并加盖公章</w:t>
            </w:r>
            <w:r>
              <w:rPr>
                <w:rFonts w:hint="eastAsia" w:ascii="宋体" w:hAnsi="宋体" w:cs="宋体"/>
                <w:bCs/>
                <w:color w:val="auto"/>
                <w:szCs w:val="21"/>
                <w:highlight w:val="none"/>
              </w:rPr>
              <w:t>）</w:t>
            </w:r>
          </w:p>
        </w:tc>
      </w:tr>
    </w:tbl>
    <w:p w14:paraId="6E7CABFD">
      <w:pPr>
        <w:rPr>
          <w:rFonts w:hint="eastAsia" w:ascii="宋体" w:hAnsi="宋体" w:cs="宋体"/>
          <w:bCs/>
          <w:color w:val="auto"/>
          <w:sz w:val="24"/>
          <w:szCs w:val="24"/>
          <w:highlight w:val="none"/>
        </w:rPr>
      </w:pPr>
    </w:p>
    <w:p w14:paraId="3F94032E">
      <w:pPr>
        <w:pStyle w:val="18"/>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both"/>
        <w:rPr>
          <w:b/>
          <w:bCs/>
          <w:color w:val="auto"/>
          <w:sz w:val="24"/>
          <w:szCs w:val="24"/>
          <w:highlight w:val="none"/>
        </w:rPr>
      </w:pPr>
      <w:bookmarkStart w:id="59" w:name="_Toc170832697"/>
      <w:r>
        <w:rPr>
          <w:rFonts w:hint="eastAsia" w:ascii="宋体" w:hAnsi="宋体" w:eastAsia="宋体" w:cs="宋体"/>
          <w:b/>
          <w:bCs/>
          <w:color w:val="auto"/>
          <w:sz w:val="24"/>
          <w:szCs w:val="24"/>
          <w:highlight w:val="none"/>
        </w:rPr>
        <w:t>注：1、评委应对以上各得分项独立评分，投标人最终得分为所有评委评分汇总的平均值。</w:t>
      </w:r>
    </w:p>
    <w:p w14:paraId="457381EB">
      <w:pPr>
        <w:pStyle w:val="18"/>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根据《关于推动解决政府采购异常低价问题相关工作的通知》（苏财购〔2025〕62号）</w:t>
      </w:r>
    </w:p>
    <w:p w14:paraId="148D806E">
      <w:pPr>
        <w:pStyle w:val="18"/>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b/>
          <w:bCs/>
          <w:color w:val="auto"/>
          <w:sz w:val="24"/>
          <w:szCs w:val="24"/>
          <w:highlight w:val="none"/>
        </w:rPr>
      </w:pPr>
      <w:r>
        <w:rPr>
          <w:rFonts w:hint="eastAsia" w:ascii="宋体" w:hAnsi="宋体" w:eastAsia="宋体" w:cs="宋体"/>
          <w:b/>
          <w:bCs/>
          <w:color w:val="auto"/>
          <w:sz w:val="24"/>
          <w:szCs w:val="24"/>
          <w:highlight w:val="none"/>
        </w:rPr>
        <w:t>（一）评审过程中出现下列情形之一的，评审委员会将启动异常低价投标（响应）审查程序：</w:t>
      </w:r>
    </w:p>
    <w:p w14:paraId="0BEE6C5A">
      <w:pPr>
        <w:pStyle w:val="18"/>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b/>
          <w:bCs/>
          <w:color w:val="auto"/>
          <w:sz w:val="24"/>
          <w:szCs w:val="24"/>
          <w:highlight w:val="none"/>
        </w:rPr>
      </w:pPr>
      <w:r>
        <w:rPr>
          <w:rFonts w:hint="eastAsia" w:ascii="宋体" w:hAnsi="宋体" w:eastAsia="宋体" w:cs="宋体"/>
          <w:b/>
          <w:bCs/>
          <w:color w:val="auto"/>
          <w:sz w:val="24"/>
          <w:szCs w:val="24"/>
          <w:highlight w:val="none"/>
        </w:rPr>
        <w:t>（1）投标（响应）报价低于采购项目预算50%的，即投标（响应）报价&lt;采购项目预算×50%；</w:t>
      </w:r>
    </w:p>
    <w:p w14:paraId="6F80736D">
      <w:pPr>
        <w:pStyle w:val="18"/>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b/>
          <w:bCs/>
          <w:color w:val="auto"/>
          <w:sz w:val="24"/>
          <w:szCs w:val="24"/>
          <w:highlight w:val="none"/>
        </w:rPr>
      </w:pPr>
      <w:r>
        <w:rPr>
          <w:rFonts w:hint="eastAsia" w:ascii="宋体" w:hAnsi="宋体" w:eastAsia="宋体" w:cs="宋体"/>
          <w:b/>
          <w:bCs/>
          <w:color w:val="auto"/>
          <w:sz w:val="24"/>
          <w:szCs w:val="24"/>
          <w:highlight w:val="none"/>
        </w:rPr>
        <w:t>（2）投标（响应）报价低于采购项目最高限价45%的，即投标（响应）报价&lt;采购项目最高限价×45%；</w:t>
      </w:r>
    </w:p>
    <w:p w14:paraId="7A24D76B">
      <w:pPr>
        <w:pStyle w:val="18"/>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eastAsia="宋体"/>
          <w:b/>
          <w:bCs/>
          <w:color w:val="auto"/>
          <w:sz w:val="24"/>
          <w:szCs w:val="24"/>
          <w:highlight w:val="none"/>
          <w:lang w:val="en-US" w:eastAsia="zh-CN"/>
        </w:rPr>
      </w:pPr>
      <w:r>
        <w:rPr>
          <w:rFonts w:hint="eastAsia" w:ascii="宋体" w:hAnsi="宋体" w:eastAsia="宋体" w:cs="宋体"/>
          <w:b/>
          <w:bCs/>
          <w:color w:val="auto"/>
          <w:sz w:val="24"/>
          <w:szCs w:val="24"/>
          <w:highlight w:val="none"/>
        </w:rPr>
        <w:t>（3）评审委员会认定的供应商报价过低、有可能影响产品质量或者不能诚信履约的其他情形。</w:t>
      </w:r>
    </w:p>
    <w:p w14:paraId="554D76CA">
      <w:pPr>
        <w:pStyle w:val="18"/>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b/>
          <w:bCs/>
          <w:color w:val="auto"/>
          <w:sz w:val="24"/>
          <w:szCs w:val="24"/>
          <w:highlight w:val="none"/>
        </w:rPr>
      </w:pPr>
      <w:r>
        <w:rPr>
          <w:rFonts w:hint="eastAsia" w:ascii="宋体" w:hAnsi="宋体" w:eastAsia="宋体" w:cs="宋体"/>
          <w:b/>
          <w:bCs/>
          <w:color w:val="auto"/>
          <w:sz w:val="24"/>
          <w:szCs w:val="24"/>
          <w:highlight w:val="none"/>
        </w:rPr>
        <w:t>（二）启动异常低价投标（响应）审查后，评审委员会应当要求相关供应商在评标现场合理的时间内，提供项目具体成本测算等与报价合理性相关的书面说明及相关证明材料，对投标（响应）价格作出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将其作为无效投标（响应）处理。审查相关情况在评审报告中进行记录。</w:t>
      </w:r>
    </w:p>
    <w:p w14:paraId="27565814">
      <w:pPr>
        <w:pStyle w:val="2"/>
        <w:jc w:val="center"/>
        <w:rPr>
          <w:rFonts w:hint="eastAsia" w:ascii="宋体" w:hAnsi="宋体" w:cs="宋体"/>
          <w:color w:val="auto"/>
          <w:sz w:val="36"/>
          <w:szCs w:val="36"/>
          <w:highlight w:val="none"/>
        </w:rPr>
      </w:pPr>
      <w:r>
        <w:rPr>
          <w:rFonts w:hint="eastAsia" w:ascii="宋体" w:hAnsi="宋体" w:cs="宋体"/>
          <w:color w:val="auto"/>
          <w:sz w:val="24"/>
          <w:szCs w:val="24"/>
          <w:highlight w:val="none"/>
        </w:rPr>
        <w:br w:type="page"/>
      </w:r>
      <w:r>
        <w:rPr>
          <w:rFonts w:hint="eastAsia" w:ascii="宋体" w:hAnsi="宋体" w:cs="宋体"/>
          <w:color w:val="auto"/>
          <w:sz w:val="36"/>
          <w:szCs w:val="36"/>
          <w:highlight w:val="none"/>
        </w:rPr>
        <w:t>第六章 投标文件格式</w:t>
      </w:r>
      <w:bookmarkEnd w:id="59"/>
    </w:p>
    <w:p w14:paraId="3DADF780">
      <w:pPr>
        <w:rPr>
          <w:rFonts w:hint="eastAsia" w:ascii="宋体" w:hAnsi="宋体" w:cs="宋体"/>
          <w:bCs/>
          <w:color w:val="auto"/>
          <w:sz w:val="36"/>
          <w:szCs w:val="36"/>
          <w:highlight w:val="none"/>
        </w:rPr>
      </w:pPr>
    </w:p>
    <w:p w14:paraId="218F958C">
      <w:pPr>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投  标  文  件</w:t>
      </w:r>
    </w:p>
    <w:p w14:paraId="70AF9C73">
      <w:pPr>
        <w:jc w:val="center"/>
        <w:rPr>
          <w:rFonts w:hint="eastAsia" w:ascii="宋体" w:hAnsi="宋体" w:cs="宋体"/>
          <w:b/>
          <w:color w:val="auto"/>
          <w:sz w:val="36"/>
          <w:szCs w:val="36"/>
          <w:highlight w:val="none"/>
        </w:rPr>
      </w:pPr>
    </w:p>
    <w:p w14:paraId="29CE8DCB">
      <w:pPr>
        <w:jc w:val="center"/>
        <w:rPr>
          <w:rFonts w:hint="eastAsia" w:ascii="宋体" w:hAnsi="宋体" w:cs="宋体"/>
          <w:b/>
          <w:color w:val="auto"/>
          <w:sz w:val="36"/>
          <w:szCs w:val="36"/>
          <w:highlight w:val="none"/>
        </w:rPr>
      </w:pPr>
    </w:p>
    <w:p w14:paraId="00F8C444">
      <w:pPr>
        <w:jc w:val="center"/>
        <w:rPr>
          <w:rFonts w:hint="eastAsia" w:ascii="宋体" w:hAnsi="宋体" w:cs="宋体"/>
          <w:b/>
          <w:color w:val="auto"/>
          <w:sz w:val="36"/>
          <w:szCs w:val="36"/>
          <w:highlight w:val="none"/>
        </w:rPr>
      </w:pPr>
    </w:p>
    <w:p w14:paraId="6A31769E">
      <w:pPr>
        <w:jc w:val="center"/>
        <w:rPr>
          <w:rFonts w:hint="eastAsia" w:ascii="宋体" w:hAnsi="宋体" w:cs="宋体"/>
          <w:b/>
          <w:color w:val="auto"/>
          <w:sz w:val="36"/>
          <w:szCs w:val="36"/>
          <w:highlight w:val="none"/>
        </w:rPr>
      </w:pPr>
    </w:p>
    <w:p w14:paraId="600BFCD3">
      <w:pPr>
        <w:jc w:val="center"/>
        <w:rPr>
          <w:rFonts w:hint="eastAsia" w:ascii="宋体" w:hAnsi="宋体" w:cs="宋体"/>
          <w:b/>
          <w:color w:val="auto"/>
          <w:sz w:val="36"/>
          <w:szCs w:val="36"/>
          <w:highlight w:val="none"/>
        </w:rPr>
      </w:pPr>
    </w:p>
    <w:p w14:paraId="3F90191F">
      <w:pPr>
        <w:jc w:val="center"/>
        <w:rPr>
          <w:rFonts w:hint="eastAsia" w:ascii="宋体" w:hAnsi="宋体" w:cs="宋体"/>
          <w:b/>
          <w:color w:val="auto"/>
          <w:sz w:val="36"/>
          <w:szCs w:val="36"/>
          <w:highlight w:val="none"/>
        </w:rPr>
      </w:pPr>
    </w:p>
    <w:p w14:paraId="39B05ACB">
      <w:pPr>
        <w:rPr>
          <w:rFonts w:hint="eastAsia" w:ascii="宋体" w:hAnsi="宋体" w:cs="宋体"/>
          <w:b/>
          <w:color w:val="auto"/>
          <w:sz w:val="36"/>
          <w:szCs w:val="36"/>
          <w:highlight w:val="none"/>
        </w:rPr>
      </w:pPr>
    </w:p>
    <w:p w14:paraId="00861B82">
      <w:pPr>
        <w:jc w:val="center"/>
        <w:rPr>
          <w:rFonts w:hint="eastAsia" w:ascii="宋体" w:hAnsi="宋体" w:cs="宋体"/>
          <w:b/>
          <w:color w:val="auto"/>
          <w:sz w:val="36"/>
          <w:szCs w:val="36"/>
          <w:highlight w:val="none"/>
        </w:rPr>
      </w:pPr>
    </w:p>
    <w:p w14:paraId="478405FE">
      <w:pPr>
        <w:ind w:firstLine="1084" w:firstLineChars="300"/>
        <w:rPr>
          <w:rFonts w:hint="eastAsia" w:ascii="宋体" w:hAnsi="宋体" w:cs="宋体"/>
          <w:b/>
          <w:color w:val="auto"/>
          <w:sz w:val="36"/>
          <w:szCs w:val="36"/>
          <w:highlight w:val="none"/>
        </w:rPr>
      </w:pPr>
      <w:r>
        <w:rPr>
          <w:rFonts w:hint="eastAsia" w:ascii="宋体" w:hAnsi="宋体" w:cs="宋体"/>
          <w:b/>
          <w:color w:val="auto"/>
          <w:sz w:val="36"/>
          <w:szCs w:val="36"/>
          <w:highlight w:val="none"/>
        </w:rPr>
        <w:t>项 目 名 称：</w:t>
      </w:r>
      <w:r>
        <w:rPr>
          <w:rFonts w:hint="eastAsia" w:ascii="宋体" w:hAnsi="宋体" w:cs="宋体"/>
          <w:b/>
          <w:color w:val="auto"/>
          <w:sz w:val="36"/>
          <w:szCs w:val="36"/>
          <w:highlight w:val="none"/>
          <w:u w:val="single"/>
        </w:rPr>
        <w:t xml:space="preserve">               </w:t>
      </w:r>
    </w:p>
    <w:p w14:paraId="3C663BC1">
      <w:pPr>
        <w:ind w:firstLine="1084" w:firstLineChars="300"/>
        <w:rPr>
          <w:rFonts w:hint="eastAsia" w:ascii="宋体" w:hAnsi="宋体" w:cs="宋体"/>
          <w:b/>
          <w:color w:val="auto"/>
          <w:sz w:val="36"/>
          <w:szCs w:val="36"/>
          <w:highlight w:val="none"/>
          <w:u w:val="single"/>
        </w:rPr>
      </w:pPr>
      <w:r>
        <w:rPr>
          <w:rFonts w:hint="eastAsia" w:ascii="宋体" w:hAnsi="宋体" w:cs="宋体"/>
          <w:b/>
          <w:color w:val="auto"/>
          <w:sz w:val="36"/>
          <w:szCs w:val="36"/>
          <w:highlight w:val="none"/>
        </w:rPr>
        <w:t>招 标 编 号：</w:t>
      </w:r>
      <w:r>
        <w:rPr>
          <w:rFonts w:hint="eastAsia" w:ascii="宋体" w:hAnsi="宋体" w:cs="宋体"/>
          <w:b/>
          <w:color w:val="auto"/>
          <w:sz w:val="36"/>
          <w:szCs w:val="36"/>
          <w:highlight w:val="none"/>
          <w:u w:val="single"/>
        </w:rPr>
        <w:t xml:space="preserve">               </w:t>
      </w:r>
    </w:p>
    <w:p w14:paraId="3666A112">
      <w:pPr>
        <w:rPr>
          <w:rFonts w:hint="eastAsia" w:ascii="宋体" w:hAnsi="宋体" w:cs="宋体"/>
          <w:b/>
          <w:color w:val="auto"/>
          <w:sz w:val="36"/>
          <w:szCs w:val="36"/>
          <w:highlight w:val="none"/>
          <w:u w:val="single"/>
        </w:rPr>
      </w:pPr>
      <w:r>
        <w:rPr>
          <w:rFonts w:hint="eastAsia" w:ascii="宋体" w:hAnsi="宋体" w:cs="宋体"/>
          <w:b/>
          <w:color w:val="auto"/>
          <w:sz w:val="36"/>
          <w:szCs w:val="36"/>
          <w:highlight w:val="none"/>
        </w:rPr>
        <w:t xml:space="preserve">      投标人名称 ：</w:t>
      </w:r>
      <w:r>
        <w:rPr>
          <w:rFonts w:hint="eastAsia" w:ascii="宋体" w:hAnsi="宋体" w:cs="宋体"/>
          <w:b/>
          <w:color w:val="auto"/>
          <w:sz w:val="36"/>
          <w:szCs w:val="36"/>
          <w:highlight w:val="none"/>
          <w:u w:val="single"/>
        </w:rPr>
        <w:t xml:space="preserve">               </w:t>
      </w:r>
    </w:p>
    <w:p w14:paraId="05DA948C">
      <w:pPr>
        <w:rPr>
          <w:rFonts w:hint="eastAsia" w:ascii="宋体" w:hAnsi="宋体" w:cs="宋体"/>
          <w:b/>
          <w:color w:val="auto"/>
          <w:sz w:val="36"/>
          <w:szCs w:val="36"/>
          <w:highlight w:val="none"/>
          <w:u w:val="single"/>
        </w:rPr>
      </w:pPr>
      <w:r>
        <w:rPr>
          <w:rFonts w:hint="eastAsia" w:ascii="宋体" w:hAnsi="宋体" w:cs="宋体"/>
          <w:b/>
          <w:color w:val="auto"/>
          <w:sz w:val="36"/>
          <w:szCs w:val="36"/>
          <w:highlight w:val="none"/>
        </w:rPr>
        <w:t xml:space="preserve">      日      期 ：</w:t>
      </w:r>
      <w:r>
        <w:rPr>
          <w:rFonts w:hint="eastAsia" w:ascii="宋体" w:hAnsi="宋体" w:cs="宋体"/>
          <w:b/>
          <w:color w:val="auto"/>
          <w:sz w:val="36"/>
          <w:szCs w:val="36"/>
          <w:highlight w:val="none"/>
          <w:u w:val="single"/>
        </w:rPr>
        <w:t xml:space="preserve">               </w:t>
      </w:r>
    </w:p>
    <w:p w14:paraId="441F1B53">
      <w:pPr>
        <w:ind w:firstLine="1084" w:firstLineChars="300"/>
        <w:rPr>
          <w:rFonts w:hint="eastAsia" w:ascii="宋体" w:hAnsi="宋体" w:cs="宋体"/>
          <w:b/>
          <w:color w:val="auto"/>
          <w:sz w:val="36"/>
          <w:szCs w:val="36"/>
          <w:highlight w:val="none"/>
        </w:rPr>
      </w:pPr>
      <w:r>
        <w:rPr>
          <w:rFonts w:hint="eastAsia" w:ascii="宋体" w:hAnsi="宋体" w:cs="宋体"/>
          <w:b/>
          <w:color w:val="auto"/>
          <w:sz w:val="36"/>
          <w:szCs w:val="36"/>
          <w:highlight w:val="none"/>
        </w:rPr>
        <w:t>投  标  人：</w:t>
      </w:r>
      <w:r>
        <w:rPr>
          <w:rFonts w:hint="eastAsia" w:ascii="宋体" w:hAnsi="宋体" w:cs="宋体"/>
          <w:b/>
          <w:color w:val="auto"/>
          <w:sz w:val="36"/>
          <w:szCs w:val="36"/>
          <w:highlight w:val="none"/>
          <w:u w:val="single"/>
        </w:rPr>
        <w:t xml:space="preserve">         </w:t>
      </w:r>
      <w:r>
        <w:rPr>
          <w:rFonts w:hint="eastAsia" w:ascii="宋体" w:hAnsi="宋体" w:cs="宋体"/>
          <w:b/>
          <w:color w:val="auto"/>
          <w:sz w:val="36"/>
          <w:szCs w:val="36"/>
          <w:highlight w:val="none"/>
        </w:rPr>
        <w:t>（电子签章）</w:t>
      </w:r>
    </w:p>
    <w:p w14:paraId="7EE25944">
      <w:pPr>
        <w:spacing w:line="440" w:lineRule="exact"/>
        <w:jc w:val="center"/>
        <w:rPr>
          <w:rFonts w:hint="eastAsia" w:ascii="宋体" w:hAnsi="宋体" w:cs="宋体"/>
          <w:b/>
          <w:bCs/>
          <w:color w:val="auto"/>
          <w:sz w:val="24"/>
          <w:szCs w:val="24"/>
          <w:highlight w:val="none"/>
        </w:rPr>
      </w:pPr>
    </w:p>
    <w:p w14:paraId="794EED64">
      <w:pPr>
        <w:spacing w:line="440" w:lineRule="exact"/>
        <w:jc w:val="center"/>
        <w:rPr>
          <w:rFonts w:hint="eastAsia" w:ascii="宋体" w:hAnsi="宋体" w:cs="宋体"/>
          <w:b/>
          <w:bCs/>
          <w:color w:val="auto"/>
          <w:sz w:val="24"/>
          <w:szCs w:val="24"/>
          <w:highlight w:val="none"/>
        </w:rPr>
      </w:pPr>
    </w:p>
    <w:p w14:paraId="502A86F2">
      <w:pPr>
        <w:spacing w:line="440" w:lineRule="exact"/>
        <w:rPr>
          <w:rFonts w:hint="eastAsia" w:ascii="宋体" w:hAnsi="宋体" w:cs="宋体"/>
          <w:b/>
          <w:bCs/>
          <w:color w:val="auto"/>
          <w:sz w:val="24"/>
          <w:szCs w:val="24"/>
          <w:highlight w:val="none"/>
        </w:rPr>
      </w:pPr>
    </w:p>
    <w:p w14:paraId="25A431F2">
      <w:pPr>
        <w:spacing w:line="440" w:lineRule="exact"/>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br w:type="page"/>
      </w:r>
      <w:r>
        <w:rPr>
          <w:rFonts w:hint="eastAsia" w:ascii="宋体" w:hAnsi="宋体" w:cs="宋体"/>
          <w:b/>
          <w:bCs/>
          <w:color w:val="auto"/>
          <w:sz w:val="24"/>
          <w:szCs w:val="24"/>
          <w:highlight w:val="none"/>
        </w:rPr>
        <w:t>投标主要文件目录</w:t>
      </w:r>
    </w:p>
    <w:p w14:paraId="17DEDDC8">
      <w:pPr>
        <w:spacing w:line="440" w:lineRule="exact"/>
        <w:jc w:val="center"/>
        <w:rPr>
          <w:rFonts w:hint="eastAsia" w:ascii="宋体" w:hAnsi="宋体" w:cs="宋体"/>
          <w:b/>
          <w:bCs/>
          <w:color w:val="auto"/>
          <w:sz w:val="24"/>
          <w:szCs w:val="24"/>
          <w:highlight w:val="none"/>
        </w:rPr>
      </w:pPr>
    </w:p>
    <w:p w14:paraId="550A641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一、资格审查响应对照表</w:t>
      </w:r>
    </w:p>
    <w:p w14:paraId="1B892700">
      <w:pPr>
        <w:spacing w:line="360" w:lineRule="auto"/>
        <w:ind w:left="480"/>
        <w:rPr>
          <w:rFonts w:hint="eastAsia" w:ascii="宋体" w:hAnsi="宋体" w:cs="宋体"/>
          <w:color w:val="auto"/>
          <w:sz w:val="24"/>
          <w:szCs w:val="24"/>
          <w:highlight w:val="none"/>
        </w:rPr>
      </w:pPr>
      <w:r>
        <w:rPr>
          <w:rFonts w:hint="eastAsia" w:ascii="宋体" w:hAnsi="宋体" w:cs="宋体"/>
          <w:color w:val="auto"/>
          <w:sz w:val="24"/>
          <w:szCs w:val="24"/>
          <w:highlight w:val="none"/>
        </w:rPr>
        <w:t>二、符合性审查响应对照表</w:t>
      </w:r>
    </w:p>
    <w:p w14:paraId="50E97B9F">
      <w:pPr>
        <w:spacing w:line="360" w:lineRule="auto"/>
        <w:ind w:left="480"/>
        <w:rPr>
          <w:rFonts w:hint="eastAsia" w:ascii="宋体" w:hAnsi="宋体" w:cs="宋体"/>
          <w:color w:val="auto"/>
          <w:sz w:val="24"/>
          <w:szCs w:val="24"/>
          <w:highlight w:val="none"/>
        </w:rPr>
      </w:pPr>
      <w:r>
        <w:rPr>
          <w:rFonts w:hint="eastAsia" w:ascii="宋体" w:hAnsi="宋体" w:cs="宋体"/>
          <w:color w:val="auto"/>
          <w:sz w:val="24"/>
          <w:szCs w:val="24"/>
          <w:highlight w:val="none"/>
        </w:rPr>
        <w:t>三、非实质性响应对照表</w:t>
      </w:r>
    </w:p>
    <w:p w14:paraId="6A432F23">
      <w:pPr>
        <w:spacing w:line="360" w:lineRule="auto"/>
        <w:ind w:firstLine="480" w:firstLineChars="200"/>
        <w:rPr>
          <w:rFonts w:hint="eastAsia" w:ascii="宋体" w:hAnsi="宋体" w:cs="宋体"/>
          <w:b/>
          <w:bCs/>
          <w:color w:val="auto"/>
          <w:sz w:val="24"/>
          <w:szCs w:val="24"/>
          <w:highlight w:val="none"/>
        </w:rPr>
      </w:pPr>
      <w:r>
        <w:rPr>
          <w:rFonts w:hint="eastAsia" w:ascii="宋体" w:hAnsi="宋体" w:cs="宋体"/>
          <w:color w:val="auto"/>
          <w:sz w:val="24"/>
          <w:szCs w:val="24"/>
          <w:highlight w:val="none"/>
        </w:rPr>
        <w:t>四</w:t>
      </w:r>
      <w:r>
        <w:rPr>
          <w:rFonts w:hint="eastAsia" w:ascii="宋体" w:hAnsi="宋体" w:cs="宋体"/>
          <w:b/>
          <w:bCs/>
          <w:color w:val="auto"/>
          <w:sz w:val="24"/>
          <w:szCs w:val="24"/>
          <w:highlight w:val="none"/>
        </w:rPr>
        <w:t>、</w:t>
      </w:r>
      <w:r>
        <w:rPr>
          <w:rFonts w:hint="eastAsia" w:ascii="宋体" w:hAnsi="宋体" w:cs="宋体"/>
          <w:i/>
          <w:color w:val="auto"/>
          <w:sz w:val="24"/>
          <w:szCs w:val="24"/>
          <w:highlight w:val="none"/>
          <w:u w:val="single"/>
        </w:rPr>
        <w:t>开标一览表</w:t>
      </w:r>
    </w:p>
    <w:p w14:paraId="4320C5A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五、投标配置与分项报价表</w:t>
      </w:r>
    </w:p>
    <w:p w14:paraId="355F3C7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六、技术参数响应及偏离表</w:t>
      </w:r>
    </w:p>
    <w:p w14:paraId="1756F8C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七、商务条款响应及偏离表</w:t>
      </w:r>
    </w:p>
    <w:p w14:paraId="09129CB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八、其他 （投标人认为有必要提供的声明和文件，如有自拟并自行添加）</w:t>
      </w:r>
    </w:p>
    <w:p w14:paraId="143244CF">
      <w:pPr>
        <w:adjustRightInd w:val="0"/>
        <w:contextualSpacing/>
        <w:jc w:val="center"/>
        <w:rPr>
          <w:rFonts w:hint="eastAsia" w:ascii="宋体" w:hAnsi="宋体" w:cs="宋体"/>
          <w:b/>
          <w:color w:val="auto"/>
          <w:sz w:val="24"/>
          <w:szCs w:val="24"/>
          <w:highlight w:val="none"/>
        </w:rPr>
      </w:pPr>
    </w:p>
    <w:p w14:paraId="2C12A54B">
      <w:pPr>
        <w:adjustRightInd w:val="0"/>
        <w:spacing w:line="600" w:lineRule="exact"/>
        <w:contextualSpacing/>
        <w:jc w:val="center"/>
        <w:rPr>
          <w:rFonts w:hint="eastAsia" w:ascii="宋体" w:hAnsi="宋体" w:cs="宋体"/>
          <w:b/>
          <w:color w:val="auto"/>
          <w:sz w:val="24"/>
          <w:szCs w:val="24"/>
          <w:highlight w:val="none"/>
        </w:rPr>
      </w:pPr>
    </w:p>
    <w:p w14:paraId="61886493">
      <w:pPr>
        <w:adjustRightInd w:val="0"/>
        <w:spacing w:line="600" w:lineRule="exact"/>
        <w:contextualSpacing/>
        <w:jc w:val="center"/>
        <w:rPr>
          <w:rFonts w:hint="eastAsia" w:ascii="宋体" w:hAnsi="宋体" w:cs="宋体"/>
          <w:b/>
          <w:color w:val="auto"/>
          <w:sz w:val="24"/>
          <w:szCs w:val="24"/>
          <w:highlight w:val="none"/>
        </w:rPr>
      </w:pPr>
    </w:p>
    <w:p w14:paraId="4456442A">
      <w:pPr>
        <w:adjustRightInd w:val="0"/>
        <w:spacing w:line="600" w:lineRule="exact"/>
        <w:contextualSpacing/>
        <w:rPr>
          <w:rFonts w:hint="eastAsia" w:ascii="宋体" w:hAnsi="宋体" w:cs="宋体"/>
          <w:b/>
          <w:color w:val="auto"/>
          <w:sz w:val="24"/>
          <w:szCs w:val="24"/>
          <w:highlight w:val="none"/>
        </w:rPr>
      </w:pPr>
    </w:p>
    <w:p w14:paraId="4C214984">
      <w:pPr>
        <w:adjustRightInd w:val="0"/>
        <w:spacing w:line="600" w:lineRule="exact"/>
        <w:contextualSpacing/>
        <w:rPr>
          <w:rFonts w:hint="eastAsia" w:ascii="宋体" w:hAnsi="宋体" w:cs="宋体"/>
          <w:b/>
          <w:color w:val="auto"/>
          <w:sz w:val="24"/>
          <w:szCs w:val="24"/>
          <w:highlight w:val="none"/>
        </w:rPr>
      </w:pPr>
    </w:p>
    <w:p w14:paraId="46E29B99">
      <w:pPr>
        <w:adjustRightInd w:val="0"/>
        <w:spacing w:line="600" w:lineRule="exact"/>
        <w:contextualSpacing/>
        <w:rPr>
          <w:rFonts w:hint="eastAsia" w:ascii="宋体" w:hAnsi="宋体" w:cs="宋体"/>
          <w:b/>
          <w:color w:val="auto"/>
          <w:sz w:val="24"/>
          <w:szCs w:val="24"/>
          <w:highlight w:val="none"/>
        </w:rPr>
      </w:pPr>
    </w:p>
    <w:p w14:paraId="766E1090">
      <w:pPr>
        <w:adjustRightInd w:val="0"/>
        <w:spacing w:line="600" w:lineRule="exact"/>
        <w:contextualSpacing/>
        <w:rPr>
          <w:rFonts w:hint="eastAsia" w:ascii="宋体" w:hAnsi="宋体" w:cs="宋体"/>
          <w:b/>
          <w:color w:val="auto"/>
          <w:sz w:val="24"/>
          <w:szCs w:val="24"/>
          <w:highlight w:val="none"/>
        </w:rPr>
      </w:pPr>
    </w:p>
    <w:p w14:paraId="7E98D818">
      <w:pPr>
        <w:adjustRightInd w:val="0"/>
        <w:spacing w:line="600" w:lineRule="exact"/>
        <w:contextualSpacing/>
        <w:rPr>
          <w:rFonts w:hint="eastAsia" w:ascii="宋体" w:hAnsi="宋体" w:cs="宋体"/>
          <w:b/>
          <w:color w:val="auto"/>
          <w:sz w:val="24"/>
          <w:szCs w:val="24"/>
          <w:highlight w:val="none"/>
        </w:rPr>
      </w:pPr>
    </w:p>
    <w:p w14:paraId="44576309">
      <w:pPr>
        <w:adjustRightInd w:val="0"/>
        <w:spacing w:line="600" w:lineRule="exact"/>
        <w:contextualSpacing/>
        <w:rPr>
          <w:rFonts w:hint="eastAsia" w:ascii="宋体" w:hAnsi="宋体" w:cs="宋体"/>
          <w:b/>
          <w:color w:val="auto"/>
          <w:sz w:val="24"/>
          <w:szCs w:val="24"/>
          <w:highlight w:val="none"/>
        </w:rPr>
      </w:pPr>
    </w:p>
    <w:p w14:paraId="71A663AF">
      <w:pPr>
        <w:adjustRightInd w:val="0"/>
        <w:spacing w:line="600" w:lineRule="exact"/>
        <w:contextualSpacing/>
        <w:rPr>
          <w:rFonts w:hint="eastAsia" w:ascii="宋体" w:hAnsi="宋体" w:cs="宋体"/>
          <w:b/>
          <w:color w:val="auto"/>
          <w:sz w:val="24"/>
          <w:szCs w:val="24"/>
          <w:highlight w:val="none"/>
        </w:rPr>
      </w:pPr>
    </w:p>
    <w:p w14:paraId="6E6FF533">
      <w:pPr>
        <w:rPr>
          <w:rFonts w:hint="eastAsia" w:ascii="宋体" w:hAnsi="宋体" w:cs="宋体"/>
          <w:b/>
          <w:color w:val="auto"/>
          <w:sz w:val="24"/>
          <w:szCs w:val="24"/>
          <w:highlight w:val="none"/>
        </w:rPr>
      </w:pPr>
    </w:p>
    <w:p w14:paraId="7181413F">
      <w:pPr>
        <w:pStyle w:val="3"/>
        <w:keepNext/>
        <w:keepLines/>
        <w:pageBreakBefore w:val="0"/>
        <w:widowControl w:val="0"/>
        <w:kinsoku/>
        <w:wordWrap/>
        <w:overflowPunct/>
        <w:topLinePunct w:val="0"/>
        <w:autoSpaceDE/>
        <w:autoSpaceDN/>
        <w:bidi w:val="0"/>
        <w:adjustRightInd/>
        <w:snapToGrid/>
        <w:spacing w:line="416" w:lineRule="auto"/>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60" w:name="_Toc170832698"/>
      <w:r>
        <w:rPr>
          <w:rFonts w:hint="eastAsia" w:ascii="宋体" w:hAnsi="宋体" w:eastAsia="宋体" w:cs="宋体"/>
          <w:color w:val="auto"/>
          <w:sz w:val="24"/>
          <w:szCs w:val="24"/>
          <w:highlight w:val="none"/>
        </w:rPr>
        <w:t>一、资格审查响应对照表</w:t>
      </w:r>
      <w:bookmarkEnd w:id="60"/>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2158"/>
      </w:tblGrid>
      <w:tr w14:paraId="4E68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46" w:type="dxa"/>
            <w:noWrap w:val="0"/>
            <w:vAlign w:val="center"/>
          </w:tcPr>
          <w:p w14:paraId="711DCEB6">
            <w:pPr>
              <w:snapToGrid w:val="0"/>
              <w:spacing w:line="240" w:lineRule="atLeas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5447" w:type="dxa"/>
            <w:noWrap w:val="0"/>
            <w:vAlign w:val="center"/>
          </w:tcPr>
          <w:p w14:paraId="056DD726">
            <w:pPr>
              <w:snapToGrid w:val="0"/>
              <w:spacing w:line="240" w:lineRule="atLeas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资格审查响应内容</w:t>
            </w:r>
          </w:p>
        </w:tc>
        <w:tc>
          <w:tcPr>
            <w:tcW w:w="2158" w:type="dxa"/>
            <w:noWrap w:val="0"/>
            <w:vAlign w:val="center"/>
          </w:tcPr>
          <w:p w14:paraId="57B6B7BC">
            <w:pPr>
              <w:snapToGrid w:val="0"/>
              <w:spacing w:line="240" w:lineRule="atLeas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是否响应</w:t>
            </w:r>
          </w:p>
          <w:p w14:paraId="5B21478E">
            <w:pPr>
              <w:snapToGrid w:val="0"/>
              <w:spacing w:line="240" w:lineRule="atLeas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（填是或者否）</w:t>
            </w:r>
          </w:p>
        </w:tc>
      </w:tr>
      <w:tr w14:paraId="0C726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251" w:type="dxa"/>
            <w:gridSpan w:val="3"/>
            <w:noWrap w:val="0"/>
            <w:vAlign w:val="center"/>
          </w:tcPr>
          <w:p w14:paraId="59302B58">
            <w:pPr>
              <w:rPr>
                <w:rFonts w:hint="eastAsia" w:ascii="宋体" w:hAnsi="宋体" w:cs="宋体"/>
                <w:b/>
                <w:color w:val="auto"/>
                <w:sz w:val="24"/>
                <w:szCs w:val="24"/>
                <w:highlight w:val="none"/>
              </w:rPr>
            </w:pPr>
            <w:r>
              <w:rPr>
                <w:rFonts w:hint="eastAsia" w:ascii="宋体" w:hAnsi="宋体" w:cs="宋体"/>
                <w:b/>
                <w:color w:val="auto"/>
                <w:sz w:val="24"/>
                <w:szCs w:val="24"/>
                <w:highlight w:val="none"/>
              </w:rPr>
              <w:t>通用资格条件</w:t>
            </w:r>
          </w:p>
        </w:tc>
      </w:tr>
      <w:tr w14:paraId="015C7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46" w:type="dxa"/>
            <w:noWrap w:val="0"/>
            <w:vAlign w:val="center"/>
          </w:tcPr>
          <w:p w14:paraId="53A63DFB">
            <w:pPr>
              <w:jc w:val="center"/>
              <w:rPr>
                <w:rFonts w:hint="eastAsia" w:ascii="宋体" w:hAnsi="宋体" w:cs="宋体"/>
                <w:b/>
                <w:color w:val="auto"/>
                <w:sz w:val="24"/>
                <w:szCs w:val="24"/>
                <w:highlight w:val="none"/>
              </w:rPr>
            </w:pPr>
            <w:r>
              <w:rPr>
                <w:rFonts w:hint="eastAsia" w:ascii="宋体" w:hAnsi="宋体" w:cs="宋体"/>
                <w:color w:val="auto"/>
                <w:sz w:val="24"/>
                <w:szCs w:val="24"/>
                <w:highlight w:val="none"/>
              </w:rPr>
              <w:t>1</w:t>
            </w:r>
          </w:p>
        </w:tc>
        <w:tc>
          <w:tcPr>
            <w:tcW w:w="5447" w:type="dxa"/>
            <w:noWrap w:val="0"/>
            <w:vAlign w:val="center"/>
          </w:tcPr>
          <w:p w14:paraId="30B92980">
            <w:pPr>
              <w:spacing w:line="360" w:lineRule="auto"/>
              <w:rPr>
                <w:rFonts w:hint="eastAsia" w:ascii="宋体" w:hAnsi="宋体" w:cs="宋体"/>
                <w:iCs/>
                <w:color w:val="auto"/>
                <w:sz w:val="24"/>
                <w:szCs w:val="24"/>
                <w:highlight w:val="none"/>
              </w:rPr>
            </w:pPr>
            <w:r>
              <w:rPr>
                <w:rFonts w:hint="eastAsia" w:ascii="宋体" w:hAnsi="宋体" w:cs="宋体"/>
                <w:color w:val="auto"/>
                <w:sz w:val="24"/>
                <w:szCs w:val="24"/>
                <w:highlight w:val="none"/>
              </w:rPr>
              <w:t>法人或者其他组织的营业执照等证明文件，自然人的身份证明（身份证为正、反面）</w:t>
            </w:r>
          </w:p>
        </w:tc>
        <w:tc>
          <w:tcPr>
            <w:tcW w:w="2158" w:type="dxa"/>
            <w:noWrap w:val="0"/>
            <w:vAlign w:val="center"/>
          </w:tcPr>
          <w:p w14:paraId="7510735E">
            <w:pPr>
              <w:rPr>
                <w:rFonts w:hint="eastAsia" w:ascii="宋体" w:hAnsi="宋体" w:cs="宋体"/>
                <w:b/>
                <w:color w:val="auto"/>
                <w:sz w:val="24"/>
                <w:szCs w:val="24"/>
                <w:highlight w:val="none"/>
              </w:rPr>
            </w:pPr>
          </w:p>
        </w:tc>
      </w:tr>
      <w:tr w14:paraId="5ECF6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4FAFD5F3">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5447" w:type="dxa"/>
            <w:noWrap w:val="0"/>
            <w:vAlign w:val="center"/>
          </w:tcPr>
          <w:p w14:paraId="4D57A606">
            <w:pPr>
              <w:spacing w:line="360" w:lineRule="auto"/>
              <w:rPr>
                <w:rFonts w:hint="eastAsia" w:ascii="宋体" w:hAnsi="宋体" w:cs="宋体"/>
                <w:iCs/>
                <w:color w:val="auto"/>
                <w:sz w:val="24"/>
                <w:szCs w:val="24"/>
                <w:highlight w:val="none"/>
              </w:rPr>
            </w:pPr>
            <w:r>
              <w:rPr>
                <w:rFonts w:hint="eastAsia" w:ascii="宋体" w:hAnsi="宋体" w:cs="宋体"/>
                <w:color w:val="auto"/>
                <w:sz w:val="24"/>
                <w:szCs w:val="24"/>
                <w:highlight w:val="none"/>
              </w:rPr>
              <w:t>依法缴纳职工社会保障资金的证明材料</w:t>
            </w:r>
            <w:r>
              <w:rPr>
                <w:rFonts w:hint="eastAsia" w:ascii="宋体" w:hAnsi="宋体" w:cs="宋体"/>
                <w:b/>
                <w:bCs/>
                <w:color w:val="auto"/>
                <w:sz w:val="24"/>
                <w:szCs w:val="24"/>
                <w:highlight w:val="none"/>
              </w:rPr>
              <w:t>(税务、银行或社会保险基金管理部门出具的近三个月内任意一个月缴纳职工社会保障资金的缴款凭证或缴款证明)</w:t>
            </w:r>
          </w:p>
        </w:tc>
        <w:tc>
          <w:tcPr>
            <w:tcW w:w="2158" w:type="dxa"/>
            <w:noWrap w:val="0"/>
            <w:vAlign w:val="center"/>
          </w:tcPr>
          <w:p w14:paraId="35B6DDDD">
            <w:pPr>
              <w:rPr>
                <w:rFonts w:hint="eastAsia" w:ascii="宋体" w:hAnsi="宋体" w:cs="宋体"/>
                <w:color w:val="auto"/>
                <w:sz w:val="24"/>
                <w:szCs w:val="24"/>
                <w:highlight w:val="none"/>
              </w:rPr>
            </w:pPr>
          </w:p>
        </w:tc>
      </w:tr>
      <w:tr w14:paraId="5E9D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68825BA7">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5447" w:type="dxa"/>
            <w:noWrap w:val="0"/>
            <w:vAlign w:val="center"/>
          </w:tcPr>
          <w:p w14:paraId="6F9EB0DF">
            <w:pPr>
              <w:spacing w:line="360" w:lineRule="auto"/>
              <w:rPr>
                <w:rFonts w:hint="eastAsia" w:ascii="宋体" w:hAnsi="宋体" w:cs="宋体"/>
                <w:iCs/>
                <w:color w:val="auto"/>
                <w:sz w:val="24"/>
                <w:szCs w:val="24"/>
                <w:highlight w:val="none"/>
              </w:rPr>
            </w:pPr>
            <w:r>
              <w:rPr>
                <w:rFonts w:hint="eastAsia" w:ascii="宋体" w:hAnsi="宋体" w:cs="宋体"/>
                <w:color w:val="auto"/>
                <w:sz w:val="24"/>
                <w:szCs w:val="24"/>
                <w:highlight w:val="none"/>
              </w:rPr>
              <w:t>投标人近三个月内任意一份依法纳税的缴款凭证</w:t>
            </w:r>
          </w:p>
        </w:tc>
        <w:tc>
          <w:tcPr>
            <w:tcW w:w="2158" w:type="dxa"/>
            <w:noWrap w:val="0"/>
            <w:vAlign w:val="center"/>
          </w:tcPr>
          <w:p w14:paraId="0CA3FF64">
            <w:pPr>
              <w:rPr>
                <w:rFonts w:hint="eastAsia" w:ascii="宋体" w:hAnsi="宋体" w:cs="宋体"/>
                <w:color w:val="auto"/>
                <w:sz w:val="24"/>
                <w:szCs w:val="24"/>
                <w:highlight w:val="none"/>
              </w:rPr>
            </w:pPr>
          </w:p>
        </w:tc>
      </w:tr>
      <w:tr w14:paraId="3F96F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6" w:type="dxa"/>
            <w:noWrap w:val="0"/>
            <w:vAlign w:val="center"/>
          </w:tcPr>
          <w:p w14:paraId="4EF1AFD7">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5447" w:type="dxa"/>
            <w:noWrap w:val="0"/>
            <w:vAlign w:val="center"/>
          </w:tcPr>
          <w:p w14:paraId="4824ABF4">
            <w:pPr>
              <w:spacing w:line="360" w:lineRule="auto"/>
              <w:rPr>
                <w:rFonts w:hint="eastAsia" w:ascii="宋体" w:hAnsi="宋体" w:cs="宋体"/>
                <w:iCs/>
                <w:color w:val="auto"/>
                <w:sz w:val="24"/>
                <w:szCs w:val="24"/>
                <w:highlight w:val="none"/>
              </w:rPr>
            </w:pPr>
            <w:r>
              <w:rPr>
                <w:rFonts w:hint="eastAsia" w:ascii="宋体" w:hAnsi="宋体" w:cs="宋体"/>
                <w:color w:val="auto"/>
                <w:sz w:val="24"/>
                <w:szCs w:val="24"/>
                <w:highlight w:val="none"/>
              </w:rPr>
              <w:t>上一年度的财务报告情况（成立不满一年不需提供）</w:t>
            </w:r>
          </w:p>
        </w:tc>
        <w:tc>
          <w:tcPr>
            <w:tcW w:w="2158" w:type="dxa"/>
            <w:noWrap w:val="0"/>
            <w:vAlign w:val="center"/>
          </w:tcPr>
          <w:p w14:paraId="3E7F90E6">
            <w:pPr>
              <w:rPr>
                <w:rFonts w:hint="eastAsia" w:ascii="宋体" w:hAnsi="宋体" w:cs="宋体"/>
                <w:color w:val="auto"/>
                <w:sz w:val="24"/>
                <w:szCs w:val="24"/>
                <w:highlight w:val="none"/>
              </w:rPr>
            </w:pPr>
          </w:p>
        </w:tc>
      </w:tr>
      <w:tr w14:paraId="683FD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662B723F">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5447" w:type="dxa"/>
            <w:noWrap w:val="0"/>
            <w:vAlign w:val="center"/>
          </w:tcPr>
          <w:p w14:paraId="57C8A8BA">
            <w:pPr>
              <w:spacing w:line="360" w:lineRule="auto"/>
              <w:rPr>
                <w:rFonts w:hint="eastAsia" w:ascii="宋体" w:hAnsi="宋体" w:cs="宋体"/>
                <w:iCs/>
                <w:color w:val="auto"/>
                <w:sz w:val="24"/>
                <w:szCs w:val="24"/>
                <w:highlight w:val="none"/>
              </w:rPr>
            </w:pPr>
            <w:r>
              <w:rPr>
                <w:rFonts w:hint="eastAsia" w:ascii="宋体" w:hAnsi="宋体" w:cs="宋体"/>
                <w:color w:val="auto"/>
                <w:sz w:val="24"/>
                <w:szCs w:val="24"/>
                <w:highlight w:val="none"/>
              </w:rPr>
              <w:t>具备履行合同所必需的设备和专业技术能力的证明材料</w:t>
            </w:r>
          </w:p>
        </w:tc>
        <w:tc>
          <w:tcPr>
            <w:tcW w:w="2158" w:type="dxa"/>
            <w:noWrap w:val="0"/>
            <w:vAlign w:val="center"/>
          </w:tcPr>
          <w:p w14:paraId="6AC2947C">
            <w:pPr>
              <w:rPr>
                <w:rFonts w:hint="eastAsia" w:ascii="宋体" w:hAnsi="宋体" w:cs="宋体"/>
                <w:color w:val="auto"/>
                <w:sz w:val="24"/>
                <w:szCs w:val="24"/>
                <w:highlight w:val="none"/>
              </w:rPr>
            </w:pPr>
          </w:p>
        </w:tc>
      </w:tr>
      <w:tr w14:paraId="60D99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7C94FAF5">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6</w:t>
            </w:r>
          </w:p>
        </w:tc>
        <w:tc>
          <w:tcPr>
            <w:tcW w:w="5447" w:type="dxa"/>
            <w:noWrap w:val="0"/>
            <w:vAlign w:val="center"/>
          </w:tcPr>
          <w:p w14:paraId="7AE0B31D">
            <w:pPr>
              <w:spacing w:line="360" w:lineRule="auto"/>
              <w:rPr>
                <w:rFonts w:hint="eastAsia" w:ascii="宋体" w:hAnsi="宋体" w:cs="宋体"/>
                <w:iCs/>
                <w:color w:val="auto"/>
                <w:sz w:val="24"/>
                <w:szCs w:val="24"/>
                <w:highlight w:val="none"/>
              </w:rPr>
            </w:pPr>
            <w:r>
              <w:rPr>
                <w:rFonts w:hint="eastAsia" w:ascii="宋体" w:hAnsi="宋体" w:cs="宋体"/>
                <w:color w:val="auto"/>
                <w:sz w:val="24"/>
                <w:szCs w:val="24"/>
                <w:highlight w:val="none"/>
              </w:rPr>
              <w:t xml:space="preserve"> 参加本次政府采购活动前3年内在经营活动中没有重大违法记录的书面声明</w:t>
            </w:r>
          </w:p>
        </w:tc>
        <w:tc>
          <w:tcPr>
            <w:tcW w:w="2158" w:type="dxa"/>
            <w:noWrap w:val="0"/>
            <w:vAlign w:val="center"/>
          </w:tcPr>
          <w:p w14:paraId="15E11915">
            <w:pPr>
              <w:rPr>
                <w:rFonts w:hint="eastAsia" w:ascii="宋体" w:hAnsi="宋体" w:cs="宋体"/>
                <w:color w:val="auto"/>
                <w:sz w:val="24"/>
                <w:szCs w:val="24"/>
                <w:highlight w:val="none"/>
              </w:rPr>
            </w:pPr>
          </w:p>
        </w:tc>
      </w:tr>
      <w:tr w14:paraId="5A8EB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576ECA04">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7</w:t>
            </w:r>
          </w:p>
        </w:tc>
        <w:tc>
          <w:tcPr>
            <w:tcW w:w="5447" w:type="dxa"/>
            <w:noWrap w:val="0"/>
            <w:vAlign w:val="center"/>
          </w:tcPr>
          <w:p w14:paraId="2791B6A8">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未被“信用中国”网站（www.creditchina.gov.cn）、“中国政府采购网"(www.ccgp.gov.cn)列入失信被执行人、重大税收违法案件当事人名单、政府采购严重违法失信行为记录名单</w:t>
            </w:r>
          </w:p>
        </w:tc>
        <w:tc>
          <w:tcPr>
            <w:tcW w:w="2158" w:type="dxa"/>
            <w:noWrap w:val="0"/>
            <w:vAlign w:val="center"/>
          </w:tcPr>
          <w:p w14:paraId="6BB4D154">
            <w:pPr>
              <w:rPr>
                <w:rFonts w:hint="eastAsia" w:ascii="宋体" w:hAnsi="宋体" w:cs="宋体"/>
                <w:color w:val="auto"/>
                <w:sz w:val="24"/>
                <w:szCs w:val="24"/>
                <w:highlight w:val="none"/>
              </w:rPr>
            </w:pPr>
          </w:p>
        </w:tc>
      </w:tr>
      <w:tr w14:paraId="0E23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22BE462B">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8</w:t>
            </w:r>
          </w:p>
        </w:tc>
        <w:tc>
          <w:tcPr>
            <w:tcW w:w="5447" w:type="dxa"/>
            <w:noWrap w:val="0"/>
            <w:vAlign w:val="center"/>
          </w:tcPr>
          <w:p w14:paraId="1B770D5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供应商信用承诺函</w:t>
            </w:r>
          </w:p>
        </w:tc>
        <w:tc>
          <w:tcPr>
            <w:tcW w:w="2158" w:type="dxa"/>
            <w:noWrap w:val="0"/>
            <w:vAlign w:val="center"/>
          </w:tcPr>
          <w:p w14:paraId="12C19A49">
            <w:pPr>
              <w:rPr>
                <w:rFonts w:hint="eastAsia" w:ascii="宋体" w:hAnsi="宋体" w:cs="宋体"/>
                <w:color w:val="auto"/>
                <w:sz w:val="24"/>
                <w:szCs w:val="24"/>
                <w:highlight w:val="none"/>
              </w:rPr>
            </w:pPr>
          </w:p>
        </w:tc>
      </w:tr>
      <w:tr w14:paraId="57B8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1" w:type="dxa"/>
            <w:gridSpan w:val="3"/>
            <w:noWrap w:val="0"/>
            <w:vAlign w:val="center"/>
          </w:tcPr>
          <w:p w14:paraId="237B1DB7">
            <w:pPr>
              <w:rPr>
                <w:rFonts w:hint="eastAsia" w:ascii="宋体" w:hAnsi="宋体" w:cs="宋体"/>
                <w:color w:val="auto"/>
                <w:sz w:val="24"/>
                <w:szCs w:val="24"/>
                <w:highlight w:val="none"/>
              </w:rPr>
            </w:pPr>
            <w:r>
              <w:rPr>
                <w:rFonts w:hint="eastAsia" w:ascii="宋体" w:hAnsi="宋体" w:cs="宋体"/>
                <w:b/>
                <w:bCs/>
                <w:color w:val="auto"/>
                <w:sz w:val="24"/>
                <w:szCs w:val="24"/>
                <w:highlight w:val="none"/>
              </w:rPr>
              <w:t>落实政府采购政策需满足的资格要求</w:t>
            </w:r>
          </w:p>
        </w:tc>
      </w:tr>
      <w:tr w14:paraId="57C52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14:paraId="13882A58">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9</w:t>
            </w:r>
          </w:p>
        </w:tc>
        <w:tc>
          <w:tcPr>
            <w:tcW w:w="5447" w:type="dxa"/>
            <w:noWrap w:val="0"/>
            <w:vAlign w:val="center"/>
          </w:tcPr>
          <w:p w14:paraId="0637B694">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sz w:val="24"/>
                <w:szCs w:val="24"/>
                <w:highlight w:val="none"/>
              </w:rPr>
              <w:t>根据《政府采购促进中小企业发展管理办法》的规定，本项目专门面向中小企业采购，供应商投标时须提供《中小企业声明函》，《中小企业声明函》不符合要求或未提供的，投标文件无效。本项目采购标的按中小企业划分标准所属行业区分为</w:t>
            </w:r>
            <w:r>
              <w:rPr>
                <w:rStyle w:val="22"/>
                <w:rFonts w:hint="eastAsia" w:ascii="宋体" w:hAnsi="宋体" w:cs="宋体"/>
                <w:color w:val="auto"/>
                <w:sz w:val="24"/>
                <w:szCs w:val="24"/>
                <w:highlight w:val="none"/>
              </w:rPr>
              <w:t>工业</w:t>
            </w:r>
            <w:r>
              <w:rPr>
                <w:rFonts w:hint="eastAsia" w:ascii="宋体" w:hAnsi="宋体" w:cs="宋体"/>
                <w:color w:val="auto"/>
                <w:sz w:val="24"/>
                <w:szCs w:val="24"/>
                <w:highlight w:val="none"/>
              </w:rPr>
              <w:t>。</w:t>
            </w:r>
          </w:p>
        </w:tc>
        <w:tc>
          <w:tcPr>
            <w:tcW w:w="2158" w:type="dxa"/>
            <w:noWrap w:val="0"/>
            <w:vAlign w:val="center"/>
          </w:tcPr>
          <w:p w14:paraId="525CC111">
            <w:pPr>
              <w:rPr>
                <w:rFonts w:hint="eastAsia" w:ascii="宋体" w:hAnsi="宋体" w:cs="宋体"/>
                <w:color w:val="auto"/>
                <w:sz w:val="24"/>
                <w:szCs w:val="24"/>
                <w:highlight w:val="none"/>
              </w:rPr>
            </w:pPr>
          </w:p>
        </w:tc>
      </w:tr>
      <w:tr w14:paraId="3EA2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251" w:type="dxa"/>
            <w:gridSpan w:val="3"/>
            <w:noWrap w:val="0"/>
            <w:vAlign w:val="center"/>
          </w:tcPr>
          <w:p w14:paraId="1A1A39AD">
            <w:pPr>
              <w:spacing w:line="360" w:lineRule="auto"/>
              <w:rPr>
                <w:rFonts w:hint="eastAsia" w:ascii="宋体" w:hAnsi="宋体" w:cs="宋体"/>
                <w:color w:val="auto"/>
                <w:sz w:val="24"/>
                <w:szCs w:val="24"/>
                <w:highlight w:val="none"/>
              </w:rPr>
            </w:pPr>
            <w:r>
              <w:rPr>
                <w:rFonts w:hint="eastAsia" w:ascii="宋体" w:hAnsi="宋体" w:cs="宋体"/>
                <w:b/>
                <w:color w:val="auto"/>
                <w:sz w:val="24"/>
                <w:szCs w:val="24"/>
                <w:highlight w:val="none"/>
              </w:rPr>
              <w:t>特定资格条件</w:t>
            </w:r>
          </w:p>
        </w:tc>
      </w:tr>
      <w:tr w14:paraId="2249F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46" w:type="dxa"/>
            <w:noWrap w:val="0"/>
            <w:vAlign w:val="center"/>
          </w:tcPr>
          <w:p w14:paraId="09F31DED">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10</w:t>
            </w:r>
          </w:p>
        </w:tc>
        <w:tc>
          <w:tcPr>
            <w:tcW w:w="5447" w:type="dxa"/>
            <w:noWrap w:val="0"/>
            <w:vAlign w:val="center"/>
          </w:tcPr>
          <w:p w14:paraId="18ACA37D">
            <w:pPr>
              <w:snapToGrid w:val="0"/>
              <w:spacing w:line="360" w:lineRule="auto"/>
              <w:ind w:firstLine="480" w:firstLineChars="200"/>
              <w:rPr>
                <w:rFonts w:hint="eastAsia" w:ascii="宋体" w:hAnsi="宋体" w:cs="宋体"/>
                <w:b/>
                <w:bCs/>
                <w:color w:val="auto"/>
                <w:sz w:val="24"/>
                <w:szCs w:val="24"/>
                <w:highlight w:val="none"/>
              </w:rPr>
            </w:pPr>
            <w:r>
              <w:rPr>
                <w:rFonts w:hint="eastAsia" w:ascii="宋体" w:hAnsi="宋体" w:cs="宋体"/>
                <w:iCs/>
                <w:color w:val="auto"/>
                <w:sz w:val="24"/>
                <w:szCs w:val="24"/>
                <w:highlight w:val="none"/>
              </w:rPr>
              <w:t>无</w:t>
            </w:r>
          </w:p>
        </w:tc>
        <w:tc>
          <w:tcPr>
            <w:tcW w:w="2158" w:type="dxa"/>
            <w:noWrap w:val="0"/>
            <w:vAlign w:val="center"/>
          </w:tcPr>
          <w:p w14:paraId="64AE5CE1">
            <w:pPr>
              <w:rPr>
                <w:rFonts w:hint="eastAsia" w:ascii="宋体" w:hAnsi="宋体" w:cs="宋体"/>
                <w:color w:val="auto"/>
                <w:sz w:val="24"/>
                <w:szCs w:val="24"/>
                <w:highlight w:val="none"/>
              </w:rPr>
            </w:pPr>
          </w:p>
        </w:tc>
      </w:tr>
      <w:tr w14:paraId="19938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251" w:type="dxa"/>
            <w:gridSpan w:val="3"/>
            <w:noWrap w:val="0"/>
            <w:vAlign w:val="center"/>
          </w:tcPr>
          <w:p w14:paraId="74E4EF44">
            <w:pPr>
              <w:rPr>
                <w:rFonts w:hint="eastAsia" w:ascii="宋体" w:hAnsi="宋体" w:cs="宋体"/>
                <w:color w:val="auto"/>
                <w:sz w:val="24"/>
                <w:szCs w:val="24"/>
                <w:highlight w:val="none"/>
              </w:rPr>
            </w:pPr>
            <w:r>
              <w:rPr>
                <w:rFonts w:hint="eastAsia" w:ascii="宋体" w:hAnsi="宋体" w:cs="宋体"/>
                <w:b/>
                <w:color w:val="auto"/>
                <w:sz w:val="24"/>
                <w:szCs w:val="24"/>
                <w:highlight w:val="none"/>
              </w:rPr>
              <w:t>其他资格条件</w:t>
            </w:r>
          </w:p>
        </w:tc>
      </w:tr>
      <w:tr w14:paraId="262BF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14:paraId="1C64B53B">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w:t>
            </w:r>
          </w:p>
        </w:tc>
        <w:tc>
          <w:tcPr>
            <w:tcW w:w="5447" w:type="dxa"/>
            <w:noWrap w:val="0"/>
            <w:vAlign w:val="center"/>
          </w:tcPr>
          <w:p w14:paraId="3405B63C">
            <w:pPr>
              <w:snapToGrid w:val="0"/>
              <w:spacing w:line="0" w:lineRule="atLeast"/>
              <w:jc w:val="left"/>
              <w:rPr>
                <w:rFonts w:hint="eastAsia" w:ascii="宋体" w:hAnsi="宋体" w:cs="宋体"/>
                <w:iCs/>
                <w:color w:val="auto"/>
                <w:sz w:val="24"/>
                <w:szCs w:val="24"/>
                <w:highlight w:val="none"/>
              </w:rPr>
            </w:pPr>
            <w:r>
              <w:rPr>
                <w:rFonts w:hint="eastAsia" w:ascii="宋体" w:hAnsi="宋体" w:cs="宋体"/>
                <w:iCs/>
                <w:color w:val="auto"/>
                <w:sz w:val="24"/>
                <w:szCs w:val="24"/>
                <w:highlight w:val="none"/>
              </w:rPr>
              <w:t>投标函</w:t>
            </w:r>
          </w:p>
        </w:tc>
        <w:tc>
          <w:tcPr>
            <w:tcW w:w="2158" w:type="dxa"/>
            <w:noWrap w:val="0"/>
            <w:vAlign w:val="center"/>
          </w:tcPr>
          <w:p w14:paraId="59133A22">
            <w:pPr>
              <w:rPr>
                <w:rFonts w:hint="eastAsia" w:ascii="宋体" w:hAnsi="宋体" w:cs="宋体"/>
                <w:color w:val="auto"/>
                <w:sz w:val="24"/>
                <w:szCs w:val="24"/>
                <w:highlight w:val="none"/>
              </w:rPr>
            </w:pPr>
          </w:p>
        </w:tc>
      </w:tr>
      <w:tr w14:paraId="54C98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14:paraId="233F92F7">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12</w:t>
            </w:r>
          </w:p>
        </w:tc>
        <w:tc>
          <w:tcPr>
            <w:tcW w:w="5447" w:type="dxa"/>
            <w:noWrap w:val="0"/>
            <w:vAlign w:val="center"/>
          </w:tcPr>
          <w:p w14:paraId="34E727FF">
            <w:pPr>
              <w:snapToGrid w:val="0"/>
              <w:spacing w:line="0" w:lineRule="atLeast"/>
              <w:jc w:val="left"/>
              <w:rPr>
                <w:rFonts w:hint="eastAsia" w:ascii="宋体" w:hAnsi="宋体" w:cs="宋体"/>
                <w:iCs/>
                <w:color w:val="auto"/>
                <w:sz w:val="24"/>
                <w:szCs w:val="24"/>
                <w:highlight w:val="none"/>
              </w:rPr>
            </w:pPr>
            <w:r>
              <w:rPr>
                <w:rFonts w:hint="eastAsia" w:ascii="宋体" w:hAnsi="宋体" w:cs="宋体"/>
                <w:iCs/>
                <w:color w:val="auto"/>
                <w:sz w:val="24"/>
                <w:szCs w:val="24"/>
                <w:highlight w:val="none"/>
              </w:rPr>
              <w:t>法人授权书</w:t>
            </w:r>
          </w:p>
        </w:tc>
        <w:tc>
          <w:tcPr>
            <w:tcW w:w="2158" w:type="dxa"/>
            <w:noWrap w:val="0"/>
            <w:vAlign w:val="center"/>
          </w:tcPr>
          <w:p w14:paraId="163B845C">
            <w:pPr>
              <w:rPr>
                <w:rFonts w:hint="eastAsia" w:ascii="宋体" w:hAnsi="宋体" w:cs="宋体"/>
                <w:color w:val="auto"/>
                <w:sz w:val="24"/>
                <w:szCs w:val="24"/>
                <w:highlight w:val="none"/>
              </w:rPr>
            </w:pPr>
          </w:p>
        </w:tc>
      </w:tr>
    </w:tbl>
    <w:p w14:paraId="0094EC60">
      <w:pPr>
        <w:pStyle w:val="5"/>
        <w:jc w:val="center"/>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bookmarkStart w:id="61" w:name="_Toc170832699"/>
      <w:r>
        <w:rPr>
          <w:rFonts w:hint="eastAsia" w:ascii="宋体" w:hAnsi="宋体" w:cs="宋体"/>
          <w:color w:val="auto"/>
          <w:sz w:val="24"/>
          <w:szCs w:val="24"/>
          <w:highlight w:val="none"/>
        </w:rPr>
        <w:t>具备履行合同所必需的设备和专业技术能力的书面声明</w:t>
      </w:r>
      <w:bookmarkEnd w:id="61"/>
    </w:p>
    <w:p w14:paraId="340692FF">
      <w:pPr>
        <w:spacing w:line="460" w:lineRule="exact"/>
        <w:ind w:firstLine="492"/>
        <w:rPr>
          <w:rFonts w:hint="eastAsia" w:ascii="宋体" w:hAnsi="宋体" w:cs="宋体"/>
          <w:bCs/>
          <w:color w:val="auto"/>
          <w:sz w:val="24"/>
          <w:szCs w:val="24"/>
          <w:highlight w:val="none"/>
        </w:rPr>
      </w:pPr>
      <w:r>
        <w:rPr>
          <w:rFonts w:hint="eastAsia" w:ascii="宋体" w:hAnsi="宋体" w:cs="宋体"/>
          <w:bCs/>
          <w:color w:val="auto"/>
          <w:sz w:val="24"/>
          <w:szCs w:val="24"/>
          <w:highlight w:val="none"/>
        </w:rPr>
        <w:t>我单位郑重声明：我单位具备履行本项采购合同所必需的设备和专业技术能力，为履行本项采购合同我公司具备如下主要设备和主要专业技术能力：</w:t>
      </w:r>
    </w:p>
    <w:p w14:paraId="40A4091A">
      <w:pPr>
        <w:spacing w:line="460" w:lineRule="exact"/>
        <w:ind w:firstLine="492"/>
        <w:rPr>
          <w:rFonts w:hint="eastAsia" w:ascii="宋体" w:hAnsi="宋体" w:cs="宋体"/>
          <w:bCs/>
          <w:color w:val="auto"/>
          <w:sz w:val="24"/>
          <w:szCs w:val="24"/>
          <w:highlight w:val="none"/>
        </w:rPr>
      </w:pPr>
      <w:r>
        <w:rPr>
          <w:rFonts w:hint="eastAsia" w:ascii="宋体" w:hAnsi="宋体" w:cs="宋体"/>
          <w:bCs/>
          <w:color w:val="auto"/>
          <w:sz w:val="24"/>
          <w:szCs w:val="24"/>
          <w:highlight w:val="none"/>
        </w:rPr>
        <w:t>主要设备有：</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w:t>
      </w:r>
    </w:p>
    <w:p w14:paraId="0BD1D3CC">
      <w:pPr>
        <w:spacing w:line="460" w:lineRule="exact"/>
        <w:ind w:firstLine="492"/>
        <w:rPr>
          <w:rFonts w:hint="eastAsia" w:ascii="宋体" w:hAnsi="宋体" w:cs="宋体"/>
          <w:bCs/>
          <w:color w:val="auto"/>
          <w:sz w:val="24"/>
          <w:szCs w:val="24"/>
          <w:highlight w:val="none"/>
        </w:rPr>
      </w:pPr>
      <w:r>
        <w:rPr>
          <w:rFonts w:hint="eastAsia" w:ascii="宋体" w:hAnsi="宋体" w:cs="宋体"/>
          <w:bCs/>
          <w:color w:val="auto"/>
          <w:sz w:val="24"/>
          <w:szCs w:val="24"/>
          <w:highlight w:val="none"/>
        </w:rPr>
        <w:t>主要专业技术能力有：</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w:t>
      </w:r>
    </w:p>
    <w:p w14:paraId="15E6F7B1">
      <w:pPr>
        <w:adjustRightInd w:val="0"/>
        <w:spacing w:line="600" w:lineRule="exact"/>
        <w:contextualSpacing/>
        <w:rPr>
          <w:rFonts w:hint="eastAsia" w:ascii="宋体" w:hAnsi="宋体" w:cs="宋体"/>
          <w:b/>
          <w:color w:val="auto"/>
          <w:sz w:val="24"/>
          <w:szCs w:val="24"/>
          <w:highlight w:val="none"/>
        </w:rPr>
      </w:pPr>
    </w:p>
    <w:p w14:paraId="3AE8BAF0">
      <w:pPr>
        <w:adjustRightInd w:val="0"/>
        <w:spacing w:line="600" w:lineRule="exact"/>
        <w:contextualSpacing/>
        <w:rPr>
          <w:rFonts w:hint="eastAsia" w:ascii="宋体" w:hAnsi="宋体" w:cs="宋体"/>
          <w:b/>
          <w:color w:val="auto"/>
          <w:sz w:val="24"/>
          <w:szCs w:val="24"/>
          <w:highlight w:val="none"/>
        </w:rPr>
      </w:pPr>
    </w:p>
    <w:p w14:paraId="776E2418">
      <w:pPr>
        <w:adjustRightInd w:val="0"/>
        <w:spacing w:line="600" w:lineRule="exact"/>
        <w:contextualSpacing/>
        <w:rPr>
          <w:rFonts w:hint="eastAsia" w:ascii="宋体" w:hAnsi="宋体" w:cs="宋体"/>
          <w:b/>
          <w:color w:val="auto"/>
          <w:sz w:val="24"/>
          <w:szCs w:val="24"/>
          <w:highlight w:val="none"/>
        </w:rPr>
      </w:pPr>
    </w:p>
    <w:p w14:paraId="4D7407ED">
      <w:pPr>
        <w:adjustRightInd w:val="0"/>
        <w:spacing w:line="600" w:lineRule="exact"/>
        <w:contextualSpacing/>
        <w:rPr>
          <w:rFonts w:hint="eastAsia" w:ascii="宋体" w:hAnsi="宋体" w:cs="宋体"/>
          <w:b/>
          <w:color w:val="auto"/>
          <w:sz w:val="24"/>
          <w:szCs w:val="24"/>
          <w:highlight w:val="none"/>
        </w:rPr>
      </w:pPr>
    </w:p>
    <w:p w14:paraId="1909C089">
      <w:pPr>
        <w:adjustRightInd w:val="0"/>
        <w:spacing w:line="600" w:lineRule="exact"/>
        <w:contextualSpacing/>
        <w:rPr>
          <w:rFonts w:hint="eastAsia" w:ascii="宋体" w:hAnsi="宋体" w:cs="宋体"/>
          <w:b/>
          <w:color w:val="auto"/>
          <w:sz w:val="24"/>
          <w:szCs w:val="24"/>
          <w:highlight w:val="none"/>
        </w:rPr>
      </w:pPr>
    </w:p>
    <w:p w14:paraId="093B7905">
      <w:pPr>
        <w:adjustRightInd w:val="0"/>
        <w:spacing w:line="600" w:lineRule="exact"/>
        <w:contextualSpacing/>
        <w:rPr>
          <w:rFonts w:hint="eastAsia" w:ascii="宋体" w:hAnsi="宋体" w:cs="宋体"/>
          <w:b/>
          <w:color w:val="auto"/>
          <w:sz w:val="24"/>
          <w:szCs w:val="24"/>
          <w:highlight w:val="none"/>
        </w:rPr>
      </w:pPr>
    </w:p>
    <w:p w14:paraId="0EA515EE">
      <w:pPr>
        <w:adjustRightInd w:val="0"/>
        <w:spacing w:line="600" w:lineRule="exact"/>
        <w:contextualSpacing/>
        <w:rPr>
          <w:rFonts w:hint="eastAsia" w:ascii="宋体" w:hAnsi="宋体" w:cs="宋体"/>
          <w:b/>
          <w:color w:val="auto"/>
          <w:sz w:val="24"/>
          <w:szCs w:val="24"/>
          <w:highlight w:val="none"/>
        </w:rPr>
      </w:pPr>
    </w:p>
    <w:p w14:paraId="4C2623E9">
      <w:pPr>
        <w:adjustRightInd w:val="0"/>
        <w:spacing w:line="600" w:lineRule="exact"/>
        <w:contextualSpacing/>
        <w:rPr>
          <w:rFonts w:hint="eastAsia" w:ascii="宋体" w:hAnsi="宋体" w:cs="宋体"/>
          <w:b/>
          <w:color w:val="auto"/>
          <w:sz w:val="24"/>
          <w:szCs w:val="24"/>
          <w:highlight w:val="none"/>
        </w:rPr>
      </w:pPr>
    </w:p>
    <w:p w14:paraId="45394688">
      <w:pPr>
        <w:adjustRightInd w:val="0"/>
        <w:spacing w:line="600" w:lineRule="exact"/>
        <w:contextualSpacing/>
        <w:rPr>
          <w:rFonts w:hint="eastAsia" w:ascii="宋体" w:hAnsi="宋体" w:cs="宋体"/>
          <w:b/>
          <w:color w:val="auto"/>
          <w:sz w:val="24"/>
          <w:szCs w:val="24"/>
          <w:highlight w:val="none"/>
        </w:rPr>
      </w:pPr>
    </w:p>
    <w:p w14:paraId="681B8D8F">
      <w:pPr>
        <w:adjustRightInd w:val="0"/>
        <w:spacing w:line="600" w:lineRule="exact"/>
        <w:contextualSpacing/>
        <w:rPr>
          <w:rFonts w:hint="eastAsia" w:ascii="宋体" w:hAnsi="宋体" w:cs="宋体"/>
          <w:b/>
          <w:color w:val="auto"/>
          <w:sz w:val="24"/>
          <w:szCs w:val="24"/>
          <w:highlight w:val="none"/>
        </w:rPr>
      </w:pPr>
    </w:p>
    <w:p w14:paraId="67E4EA54">
      <w:pPr>
        <w:adjustRightInd w:val="0"/>
        <w:spacing w:line="600" w:lineRule="exact"/>
        <w:contextualSpacing/>
        <w:rPr>
          <w:rFonts w:hint="eastAsia" w:ascii="宋体" w:hAnsi="宋体" w:cs="宋体"/>
          <w:b/>
          <w:color w:val="auto"/>
          <w:sz w:val="24"/>
          <w:szCs w:val="24"/>
          <w:highlight w:val="none"/>
        </w:rPr>
      </w:pPr>
    </w:p>
    <w:p w14:paraId="63CB1109">
      <w:pPr>
        <w:adjustRightInd w:val="0"/>
        <w:spacing w:line="600" w:lineRule="exact"/>
        <w:contextualSpacing/>
        <w:rPr>
          <w:rFonts w:hint="eastAsia" w:ascii="宋体" w:hAnsi="宋体" w:cs="宋体"/>
          <w:b/>
          <w:color w:val="auto"/>
          <w:sz w:val="24"/>
          <w:szCs w:val="24"/>
          <w:highlight w:val="none"/>
        </w:rPr>
      </w:pPr>
    </w:p>
    <w:p w14:paraId="095EF584">
      <w:pPr>
        <w:adjustRightInd w:val="0"/>
        <w:spacing w:line="600" w:lineRule="exact"/>
        <w:contextualSpacing/>
        <w:rPr>
          <w:rFonts w:hint="eastAsia" w:ascii="宋体" w:hAnsi="宋体" w:cs="宋体"/>
          <w:b/>
          <w:color w:val="auto"/>
          <w:sz w:val="24"/>
          <w:szCs w:val="24"/>
          <w:highlight w:val="none"/>
        </w:rPr>
      </w:pPr>
    </w:p>
    <w:p w14:paraId="240CCA32">
      <w:pPr>
        <w:adjustRightInd w:val="0"/>
        <w:spacing w:line="600" w:lineRule="exact"/>
        <w:contextualSpacing/>
        <w:rPr>
          <w:rFonts w:hint="eastAsia" w:ascii="宋体" w:hAnsi="宋体" w:cs="宋体"/>
          <w:b/>
          <w:color w:val="auto"/>
          <w:sz w:val="24"/>
          <w:szCs w:val="24"/>
          <w:highlight w:val="none"/>
        </w:rPr>
      </w:pPr>
    </w:p>
    <w:p w14:paraId="716C4E23">
      <w:pPr>
        <w:adjustRightInd w:val="0"/>
        <w:spacing w:line="600" w:lineRule="exact"/>
        <w:contextualSpacing/>
        <w:rPr>
          <w:rFonts w:hint="eastAsia" w:ascii="宋体" w:hAnsi="宋体" w:cs="宋体"/>
          <w:b/>
          <w:color w:val="auto"/>
          <w:sz w:val="24"/>
          <w:szCs w:val="24"/>
          <w:highlight w:val="none"/>
        </w:rPr>
      </w:pPr>
    </w:p>
    <w:p w14:paraId="7086B36A">
      <w:pPr>
        <w:adjustRightInd w:val="0"/>
        <w:spacing w:line="600" w:lineRule="exact"/>
        <w:contextualSpacing/>
        <w:rPr>
          <w:rFonts w:hint="eastAsia" w:ascii="宋体" w:hAnsi="宋体" w:cs="宋体"/>
          <w:b/>
          <w:color w:val="auto"/>
          <w:sz w:val="24"/>
          <w:szCs w:val="24"/>
          <w:highlight w:val="none"/>
        </w:rPr>
      </w:pPr>
    </w:p>
    <w:p w14:paraId="62302653">
      <w:pPr>
        <w:adjustRightInd w:val="0"/>
        <w:spacing w:line="600" w:lineRule="exact"/>
        <w:contextualSpacing/>
        <w:rPr>
          <w:rFonts w:hint="eastAsia" w:ascii="宋体" w:hAnsi="宋体" w:cs="宋体"/>
          <w:b/>
          <w:color w:val="auto"/>
          <w:sz w:val="24"/>
          <w:szCs w:val="24"/>
          <w:highlight w:val="none"/>
        </w:rPr>
      </w:pPr>
    </w:p>
    <w:p w14:paraId="2B77A054">
      <w:pPr>
        <w:spacing w:line="360" w:lineRule="auto"/>
        <w:jc w:val="center"/>
        <w:rPr>
          <w:rFonts w:hint="eastAsia" w:ascii="宋体" w:hAnsi="宋体" w:cs="宋体"/>
          <w:b/>
          <w:bCs/>
          <w:color w:val="auto"/>
          <w:sz w:val="24"/>
          <w:szCs w:val="24"/>
          <w:highlight w:val="none"/>
        </w:rPr>
      </w:pPr>
    </w:p>
    <w:p w14:paraId="228137F5">
      <w:pPr>
        <w:pStyle w:val="5"/>
        <w:jc w:val="center"/>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bookmarkStart w:id="62" w:name="_Toc170832700"/>
      <w:r>
        <w:rPr>
          <w:rFonts w:hint="eastAsia" w:ascii="宋体" w:hAnsi="宋体" w:cs="宋体"/>
          <w:color w:val="auto"/>
          <w:sz w:val="24"/>
          <w:szCs w:val="24"/>
          <w:highlight w:val="none"/>
        </w:rPr>
        <w:t>参加本次政府采购活动前 3 年内在经营活动中没有重大违法记录的书面声明</w:t>
      </w:r>
      <w:bookmarkEnd w:id="62"/>
    </w:p>
    <w:p w14:paraId="7A419B63">
      <w:pPr>
        <w:spacing w:line="360" w:lineRule="auto"/>
        <w:rPr>
          <w:rFonts w:hint="eastAsia" w:ascii="宋体" w:hAnsi="宋体" w:cs="宋体"/>
          <w:color w:val="auto"/>
          <w:sz w:val="24"/>
          <w:szCs w:val="24"/>
          <w:highlight w:val="none"/>
        </w:rPr>
      </w:pPr>
    </w:p>
    <w:p w14:paraId="12D487F3">
      <w:pPr>
        <w:spacing w:after="312" w:afterLines="100"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声  明</w:t>
      </w:r>
    </w:p>
    <w:p w14:paraId="1CA4582E">
      <w:pPr>
        <w:spacing w:line="360" w:lineRule="auto"/>
        <w:rPr>
          <w:rFonts w:hint="eastAsia" w:ascii="宋体" w:hAnsi="宋体" w:cs="宋体"/>
          <w:bCs/>
          <w:color w:val="auto"/>
          <w:sz w:val="24"/>
          <w:szCs w:val="24"/>
          <w:highlight w:val="none"/>
        </w:rPr>
      </w:pPr>
      <w:r>
        <w:rPr>
          <w:rFonts w:hint="eastAsia" w:ascii="宋体" w:hAnsi="宋体" w:cs="宋体"/>
          <w:b/>
          <w:bCs/>
          <w:color w:val="auto"/>
          <w:sz w:val="24"/>
          <w:szCs w:val="24"/>
          <w:highlight w:val="none"/>
        </w:rPr>
        <w:t xml:space="preserve">    </w:t>
      </w:r>
      <w:r>
        <w:rPr>
          <w:rFonts w:hint="eastAsia" w:ascii="宋体" w:hAnsi="宋体" w:cs="宋体"/>
          <w:bCs/>
          <w:color w:val="auto"/>
          <w:sz w:val="24"/>
          <w:szCs w:val="24"/>
          <w:highlight w:val="none"/>
        </w:rPr>
        <w:t>我公司郑重声明：参加本次政府采购活动前 3 年内，我公司在经营活动中没有因违法经营受到刑事处罚或者责令停产停业、吊销许可证或者执照、较大数额罚款等行政处罚。</w:t>
      </w:r>
    </w:p>
    <w:p w14:paraId="1B239B33">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                               供应商名称（公章）：</w:t>
      </w:r>
    </w:p>
    <w:p w14:paraId="287CB37E">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                               法定代表人签章：</w:t>
      </w:r>
      <w:r>
        <w:rPr>
          <w:rFonts w:hint="eastAsia" w:ascii="宋体" w:hAnsi="宋体" w:cs="宋体"/>
          <w:bCs/>
          <w:color w:val="auto"/>
          <w:sz w:val="24"/>
          <w:szCs w:val="24"/>
          <w:highlight w:val="none"/>
          <w:u w:val="single"/>
        </w:rPr>
        <w:t>_______________________</w:t>
      </w:r>
    </w:p>
    <w:p w14:paraId="294745DF">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                               日期：______年</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月</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日</w:t>
      </w:r>
    </w:p>
    <w:p w14:paraId="71192D68">
      <w:pPr>
        <w:spacing w:line="360" w:lineRule="auto"/>
        <w:jc w:val="center"/>
        <w:rPr>
          <w:rFonts w:hint="eastAsia" w:ascii="宋体" w:hAnsi="宋体" w:cs="宋体"/>
          <w:b/>
          <w:bCs/>
          <w:color w:val="auto"/>
          <w:sz w:val="24"/>
          <w:szCs w:val="24"/>
          <w:highlight w:val="none"/>
        </w:rPr>
      </w:pPr>
    </w:p>
    <w:p w14:paraId="52D4DBC8">
      <w:pPr>
        <w:spacing w:line="360" w:lineRule="auto"/>
        <w:jc w:val="center"/>
        <w:rPr>
          <w:rFonts w:hint="eastAsia" w:ascii="宋体" w:hAnsi="宋体" w:cs="宋体"/>
          <w:b/>
          <w:bCs/>
          <w:color w:val="auto"/>
          <w:sz w:val="24"/>
          <w:szCs w:val="24"/>
          <w:highlight w:val="none"/>
        </w:rPr>
      </w:pPr>
    </w:p>
    <w:p w14:paraId="18D2A685">
      <w:pPr>
        <w:spacing w:line="360" w:lineRule="auto"/>
        <w:jc w:val="center"/>
        <w:rPr>
          <w:rFonts w:hint="eastAsia" w:ascii="宋体" w:hAnsi="宋体" w:cs="宋体"/>
          <w:b/>
          <w:bCs/>
          <w:color w:val="auto"/>
          <w:sz w:val="24"/>
          <w:szCs w:val="24"/>
          <w:highlight w:val="none"/>
        </w:rPr>
      </w:pPr>
    </w:p>
    <w:p w14:paraId="2D13158E">
      <w:pPr>
        <w:spacing w:line="360" w:lineRule="auto"/>
        <w:jc w:val="center"/>
        <w:rPr>
          <w:rFonts w:hint="eastAsia" w:ascii="宋体" w:hAnsi="宋体" w:cs="宋体"/>
          <w:b/>
          <w:bCs/>
          <w:color w:val="auto"/>
          <w:sz w:val="24"/>
          <w:szCs w:val="24"/>
          <w:highlight w:val="none"/>
        </w:rPr>
      </w:pPr>
    </w:p>
    <w:p w14:paraId="5D9A3441">
      <w:pPr>
        <w:spacing w:line="360" w:lineRule="auto"/>
        <w:jc w:val="center"/>
        <w:rPr>
          <w:rFonts w:hint="eastAsia" w:ascii="宋体" w:hAnsi="宋体" w:cs="宋体"/>
          <w:b/>
          <w:bCs/>
          <w:color w:val="auto"/>
          <w:sz w:val="24"/>
          <w:szCs w:val="24"/>
          <w:highlight w:val="none"/>
        </w:rPr>
      </w:pPr>
    </w:p>
    <w:p w14:paraId="45105377">
      <w:pPr>
        <w:spacing w:line="360" w:lineRule="auto"/>
        <w:jc w:val="center"/>
        <w:rPr>
          <w:rFonts w:hint="eastAsia" w:ascii="宋体" w:hAnsi="宋体" w:cs="宋体"/>
          <w:b/>
          <w:bCs/>
          <w:color w:val="auto"/>
          <w:sz w:val="24"/>
          <w:szCs w:val="24"/>
          <w:highlight w:val="none"/>
        </w:rPr>
      </w:pPr>
    </w:p>
    <w:p w14:paraId="7945B7EF">
      <w:pPr>
        <w:pStyle w:val="5"/>
        <w:jc w:val="center"/>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bookmarkStart w:id="63" w:name="_Toc170832701"/>
      <w:r>
        <w:rPr>
          <w:rFonts w:hint="eastAsia" w:ascii="宋体" w:hAnsi="宋体" w:cs="宋体"/>
          <w:color w:val="auto"/>
          <w:sz w:val="24"/>
          <w:szCs w:val="24"/>
          <w:highlight w:val="none"/>
        </w:rPr>
        <w:t>供应商信用承诺书</w:t>
      </w:r>
      <w:bookmarkEnd w:id="63"/>
    </w:p>
    <w:p w14:paraId="4A0C94DE">
      <w:pPr>
        <w:spacing w:line="5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承诺主体名称：</w:t>
      </w:r>
    </w:p>
    <w:p w14:paraId="06527D27">
      <w:pPr>
        <w:spacing w:line="5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统一社会信用代码：</w:t>
      </w:r>
    </w:p>
    <w:p w14:paraId="180140E8">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为维护公平竞争、规范有序的市场秩序，营造诚实守信的信用环境，共同推进社会信用体系建设完善，树立企业诚信守法形象，本企业对________________________项目政府采购活动郑重承诺如下:</w:t>
      </w:r>
    </w:p>
    <w:p w14:paraId="4DF36BD2">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一、对提供给注册登记部门、行业管理部门、司法部门、行业组织以及在政府采购活动中提交的所有资料的合法性、真实性、准确性和有效性负责；</w:t>
      </w:r>
    </w:p>
    <w:p w14:paraId="6D7EE383">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二、严格按照国家法律、法规和规章开展采购活动，全面履行应尽的责任和义务，全面做到履约守信，具备《中华人民共和国政府采购法》第二十二条第一款规定的条件;</w:t>
      </w:r>
    </w:p>
    <w:p w14:paraId="64B44DDB">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三、严格依法开展生产经营活动，主动接受行业监管，自愿接受依法开展的日常检查；违法失信经营后将自愿接受约束和惩戒，并依法承担相应责任；</w:t>
      </w:r>
    </w:p>
    <w:p w14:paraId="1C8E1E78">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四、自觉接受行政管理部门、行业组织、社会公众、新闻舆论的监督；</w:t>
      </w:r>
    </w:p>
    <w:p w14:paraId="2CD188E6">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五、自觉做到自我约束、自我管理，不制假售假、商标侵权、虚假宣传、违约毁约、恶意逃债、偷税漏税、垄断和不正当竞争，维护经营者、消费者的合法权益；</w:t>
      </w:r>
    </w:p>
    <w:p w14:paraId="0B140497">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六、提出政府采购质疑和投诉坚持依法依规、诚实信用原则，在全国范围12个月内没有三次以上查无实据的政府采购投诉；</w:t>
      </w:r>
    </w:p>
    <w:p w14:paraId="593FB408">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七、严格遵守信用信息公示相关规定，向社会公示信用信息；</w:t>
      </w:r>
    </w:p>
    <w:p w14:paraId="2D71BE49">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八、在“信用中国”和“中国政府采购网”网站中无违法违规、较重或严重失信记录；</w:t>
      </w:r>
    </w:p>
    <w:p w14:paraId="32CCFADA">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九、如违反承诺，自愿接受管理部门依法给予的行政处罚，同意将违反承诺的行为作为不良记录记入信用档案，依法依规进行信息公示，并承担所产生的一切法律责任和经济损失。</w:t>
      </w:r>
    </w:p>
    <w:p w14:paraId="110C21CE">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十、本承诺书自签订之日起生效。</w:t>
      </w:r>
    </w:p>
    <w:p w14:paraId="54F1AC47">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（注：法定代表人或负责人、主体名称发生变更的应当重新做出承诺。）</w:t>
      </w:r>
    </w:p>
    <w:p w14:paraId="3BC281FB">
      <w:pPr>
        <w:spacing w:line="560" w:lineRule="exact"/>
        <w:rPr>
          <w:rFonts w:hint="eastAsia" w:ascii="宋体" w:hAnsi="宋体" w:cs="宋体"/>
          <w:color w:val="auto"/>
          <w:sz w:val="24"/>
          <w:szCs w:val="24"/>
          <w:highlight w:val="none"/>
        </w:rPr>
      </w:pPr>
    </w:p>
    <w:p w14:paraId="07F4FA30">
      <w:pPr>
        <w:spacing w:line="5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承诺单位（签章）：           </w:t>
      </w:r>
    </w:p>
    <w:p w14:paraId="13A7083A">
      <w:pPr>
        <w:spacing w:line="5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法定代表人（负责人）：</w:t>
      </w:r>
    </w:p>
    <w:p w14:paraId="0734A0C6">
      <w:pPr>
        <w:spacing w:line="5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年    月    日</w:t>
      </w:r>
    </w:p>
    <w:p w14:paraId="39676825">
      <w:pPr>
        <w:spacing w:line="500" w:lineRule="exact"/>
        <w:jc w:val="center"/>
        <w:rPr>
          <w:rFonts w:hint="eastAsia" w:ascii="宋体" w:hAnsi="宋体" w:cs="宋体"/>
          <w:color w:val="auto"/>
          <w:sz w:val="24"/>
          <w:szCs w:val="24"/>
          <w:highlight w:val="none"/>
        </w:rPr>
      </w:pPr>
    </w:p>
    <w:p w14:paraId="7DD9E2E0">
      <w:pPr>
        <w:spacing w:line="560" w:lineRule="exact"/>
        <w:rPr>
          <w:rFonts w:hint="eastAsia" w:ascii="宋体" w:hAnsi="宋体" w:cs="宋体"/>
          <w:color w:val="auto"/>
          <w:sz w:val="24"/>
          <w:szCs w:val="24"/>
          <w:highlight w:val="none"/>
        </w:rPr>
      </w:pPr>
    </w:p>
    <w:p w14:paraId="20401C0D">
      <w:pPr>
        <w:spacing w:line="560" w:lineRule="exact"/>
        <w:rPr>
          <w:rFonts w:hint="eastAsia" w:ascii="宋体" w:hAnsi="宋体" w:cs="宋体"/>
          <w:color w:val="auto"/>
          <w:sz w:val="24"/>
          <w:szCs w:val="24"/>
          <w:highlight w:val="none"/>
        </w:rPr>
      </w:pPr>
    </w:p>
    <w:p w14:paraId="1CB70065">
      <w:pPr>
        <w:spacing w:line="560" w:lineRule="exact"/>
        <w:rPr>
          <w:rFonts w:hint="eastAsia" w:ascii="宋体" w:hAnsi="宋体" w:cs="宋体"/>
          <w:color w:val="auto"/>
          <w:sz w:val="24"/>
          <w:szCs w:val="24"/>
          <w:highlight w:val="none"/>
        </w:rPr>
      </w:pPr>
    </w:p>
    <w:p w14:paraId="4BBE2242">
      <w:pPr>
        <w:spacing w:line="360" w:lineRule="auto"/>
        <w:jc w:val="center"/>
        <w:rPr>
          <w:rFonts w:hint="eastAsia" w:ascii="宋体" w:hAnsi="宋体" w:cs="宋体"/>
          <w:b/>
          <w:bCs/>
          <w:color w:val="auto"/>
          <w:sz w:val="24"/>
          <w:szCs w:val="24"/>
          <w:highlight w:val="none"/>
        </w:rPr>
      </w:pPr>
    </w:p>
    <w:p w14:paraId="2595FE0E">
      <w:pPr>
        <w:spacing w:line="360" w:lineRule="auto"/>
        <w:jc w:val="center"/>
        <w:rPr>
          <w:rFonts w:hint="eastAsia" w:ascii="宋体" w:hAnsi="宋体" w:cs="宋体"/>
          <w:b/>
          <w:bCs/>
          <w:color w:val="auto"/>
          <w:sz w:val="24"/>
          <w:szCs w:val="24"/>
          <w:highlight w:val="none"/>
        </w:rPr>
      </w:pPr>
    </w:p>
    <w:p w14:paraId="2AA866B3">
      <w:pPr>
        <w:spacing w:line="360" w:lineRule="auto"/>
        <w:jc w:val="center"/>
        <w:rPr>
          <w:rFonts w:hint="eastAsia" w:ascii="宋体" w:hAnsi="宋体" w:cs="宋体"/>
          <w:b/>
          <w:bCs/>
          <w:color w:val="auto"/>
          <w:sz w:val="24"/>
          <w:szCs w:val="24"/>
          <w:highlight w:val="none"/>
        </w:rPr>
      </w:pPr>
    </w:p>
    <w:p w14:paraId="30D98516">
      <w:pPr>
        <w:pStyle w:val="3"/>
        <w:jc w:val="both"/>
        <w:outlineLvl w:val="9"/>
        <w:rPr>
          <w:rFonts w:hint="eastAsia" w:ascii="宋体" w:hAnsi="宋体" w:eastAsia="宋体" w:cs="宋体"/>
          <w:color w:val="auto"/>
          <w:sz w:val="24"/>
          <w:szCs w:val="24"/>
          <w:highlight w:val="none"/>
        </w:rPr>
      </w:pPr>
    </w:p>
    <w:p w14:paraId="118B31EA">
      <w:pPr>
        <w:pStyle w:val="4"/>
        <w:ind w:firstLine="480"/>
        <w:rPr>
          <w:rFonts w:hint="eastAsia" w:ascii="宋体" w:hAnsi="宋体" w:cs="宋体"/>
          <w:color w:val="auto"/>
          <w:sz w:val="24"/>
          <w:szCs w:val="24"/>
          <w:highlight w:val="none"/>
        </w:rPr>
      </w:pPr>
    </w:p>
    <w:p w14:paraId="099B6AE5">
      <w:pPr>
        <w:pStyle w:val="4"/>
        <w:ind w:firstLine="480"/>
        <w:rPr>
          <w:rFonts w:hint="eastAsia" w:ascii="宋体" w:hAnsi="宋体" w:cs="宋体"/>
          <w:color w:val="auto"/>
          <w:sz w:val="24"/>
          <w:szCs w:val="24"/>
          <w:highlight w:val="none"/>
        </w:rPr>
      </w:pPr>
    </w:p>
    <w:p w14:paraId="1B2BC90E">
      <w:pPr>
        <w:pStyle w:val="4"/>
        <w:ind w:firstLine="480"/>
        <w:rPr>
          <w:rFonts w:hint="eastAsia" w:ascii="宋体" w:hAnsi="宋体" w:cs="宋体"/>
          <w:color w:val="auto"/>
          <w:sz w:val="24"/>
          <w:szCs w:val="24"/>
          <w:highlight w:val="none"/>
        </w:rPr>
      </w:pPr>
    </w:p>
    <w:p w14:paraId="0BB47BDE">
      <w:pPr>
        <w:pStyle w:val="4"/>
        <w:ind w:firstLine="480"/>
        <w:rPr>
          <w:rFonts w:hint="eastAsia" w:ascii="宋体" w:hAnsi="宋体" w:cs="宋体"/>
          <w:color w:val="auto"/>
          <w:sz w:val="24"/>
          <w:szCs w:val="24"/>
          <w:highlight w:val="none"/>
        </w:rPr>
      </w:pPr>
    </w:p>
    <w:p w14:paraId="7F91F336">
      <w:pPr>
        <w:pStyle w:val="4"/>
        <w:ind w:firstLine="480"/>
        <w:rPr>
          <w:rFonts w:hint="eastAsia" w:ascii="宋体" w:hAnsi="宋体" w:cs="宋体"/>
          <w:color w:val="auto"/>
          <w:sz w:val="24"/>
          <w:szCs w:val="24"/>
          <w:highlight w:val="none"/>
        </w:rPr>
      </w:pPr>
    </w:p>
    <w:p w14:paraId="0B71E638">
      <w:pPr>
        <w:pStyle w:val="4"/>
        <w:ind w:firstLine="480"/>
        <w:rPr>
          <w:rFonts w:hint="eastAsia" w:ascii="宋体" w:hAnsi="宋体" w:cs="宋体"/>
          <w:color w:val="auto"/>
          <w:sz w:val="24"/>
          <w:szCs w:val="24"/>
          <w:highlight w:val="none"/>
        </w:rPr>
      </w:pPr>
    </w:p>
    <w:p w14:paraId="4AD67745">
      <w:pPr>
        <w:pStyle w:val="4"/>
        <w:ind w:firstLine="480"/>
        <w:rPr>
          <w:rFonts w:hint="eastAsia" w:ascii="宋体" w:hAnsi="宋体" w:cs="宋体"/>
          <w:color w:val="auto"/>
          <w:sz w:val="24"/>
          <w:szCs w:val="24"/>
          <w:highlight w:val="none"/>
        </w:rPr>
      </w:pPr>
    </w:p>
    <w:p w14:paraId="60F6A236">
      <w:pPr>
        <w:pStyle w:val="4"/>
        <w:ind w:firstLine="480"/>
        <w:rPr>
          <w:rFonts w:hint="eastAsia" w:ascii="宋体" w:hAnsi="宋体" w:cs="宋体"/>
          <w:color w:val="auto"/>
          <w:sz w:val="24"/>
          <w:szCs w:val="24"/>
          <w:highlight w:val="none"/>
        </w:rPr>
      </w:pPr>
    </w:p>
    <w:p w14:paraId="21893E11">
      <w:pPr>
        <w:pStyle w:val="4"/>
        <w:ind w:firstLine="480"/>
        <w:rPr>
          <w:rFonts w:hint="eastAsia" w:ascii="宋体" w:hAnsi="宋体" w:cs="宋体"/>
          <w:color w:val="auto"/>
          <w:sz w:val="24"/>
          <w:szCs w:val="24"/>
          <w:highlight w:val="none"/>
        </w:rPr>
      </w:pPr>
    </w:p>
    <w:p w14:paraId="6BCF1640">
      <w:pPr>
        <w:pStyle w:val="4"/>
        <w:ind w:firstLine="480"/>
        <w:rPr>
          <w:rFonts w:hint="eastAsia" w:ascii="宋体" w:hAnsi="宋体" w:cs="宋体"/>
          <w:color w:val="auto"/>
          <w:sz w:val="24"/>
          <w:szCs w:val="24"/>
          <w:highlight w:val="none"/>
        </w:rPr>
      </w:pPr>
    </w:p>
    <w:p w14:paraId="18451849">
      <w:pPr>
        <w:pStyle w:val="4"/>
        <w:ind w:firstLine="480"/>
        <w:rPr>
          <w:rFonts w:hint="eastAsia" w:ascii="宋体" w:hAnsi="宋体" w:cs="宋体"/>
          <w:color w:val="auto"/>
          <w:sz w:val="24"/>
          <w:szCs w:val="24"/>
          <w:highlight w:val="none"/>
        </w:rPr>
      </w:pPr>
    </w:p>
    <w:p w14:paraId="6C39CE2E">
      <w:pPr>
        <w:pStyle w:val="4"/>
        <w:ind w:firstLine="480"/>
        <w:rPr>
          <w:rFonts w:hint="eastAsia" w:ascii="宋体" w:hAnsi="宋体" w:cs="宋体"/>
          <w:color w:val="auto"/>
          <w:sz w:val="24"/>
          <w:szCs w:val="24"/>
          <w:highlight w:val="none"/>
        </w:rPr>
      </w:pPr>
    </w:p>
    <w:p w14:paraId="78EA1D4E">
      <w:pPr>
        <w:pStyle w:val="4"/>
        <w:ind w:firstLine="480"/>
        <w:rPr>
          <w:rFonts w:hint="eastAsia" w:ascii="宋体" w:hAnsi="宋体" w:cs="宋体"/>
          <w:color w:val="auto"/>
          <w:sz w:val="24"/>
          <w:szCs w:val="24"/>
          <w:highlight w:val="none"/>
        </w:rPr>
      </w:pPr>
    </w:p>
    <w:p w14:paraId="2DF2573B">
      <w:pPr>
        <w:pStyle w:val="3"/>
        <w:outlineLvl w:val="9"/>
        <w:rPr>
          <w:rFonts w:hint="eastAsia" w:ascii="宋体" w:hAnsi="宋体" w:eastAsia="宋体" w:cs="宋体"/>
          <w:color w:val="auto"/>
          <w:sz w:val="24"/>
          <w:szCs w:val="24"/>
          <w:highlight w:val="none"/>
        </w:rPr>
      </w:pPr>
      <w:bookmarkStart w:id="64" w:name="_Toc170832702"/>
      <w:r>
        <w:rPr>
          <w:rFonts w:hint="eastAsia" w:ascii="宋体" w:hAnsi="宋体" w:eastAsia="宋体" w:cs="宋体"/>
          <w:color w:val="auto"/>
          <w:sz w:val="24"/>
          <w:szCs w:val="24"/>
          <w:highlight w:val="none"/>
        </w:rPr>
        <w:t>投标函格式</w:t>
      </w:r>
      <w:bookmarkEnd w:id="64"/>
    </w:p>
    <w:p w14:paraId="412560D8">
      <w:pPr>
        <w:pStyle w:val="39"/>
        <w:spacing w:before="0" w:after="0"/>
        <w:ind w:firstLine="0"/>
        <w:rPr>
          <w:rFonts w:hint="eastAsia" w:ascii="宋体" w:hAnsi="宋体" w:cs="宋体"/>
          <w:color w:val="auto"/>
          <w:kern w:val="2"/>
          <w:highlight w:val="none"/>
        </w:rPr>
      </w:pPr>
      <w:r>
        <w:rPr>
          <w:rFonts w:hint="eastAsia" w:ascii="宋体" w:hAnsi="宋体" w:cs="宋体"/>
          <w:color w:val="auto"/>
          <w:kern w:val="2"/>
          <w:highlight w:val="none"/>
        </w:rPr>
        <w:t>致： 江苏省高邮中等专业学校</w:t>
      </w:r>
    </w:p>
    <w:p w14:paraId="6EEA35CB">
      <w:pPr>
        <w:pStyle w:val="39"/>
        <w:spacing w:before="0" w:after="0"/>
        <w:ind w:firstLineChars="200"/>
        <w:rPr>
          <w:rFonts w:hint="eastAsia" w:ascii="宋体" w:hAnsi="宋体" w:cs="宋体"/>
          <w:color w:val="auto"/>
          <w:kern w:val="2"/>
          <w:highlight w:val="none"/>
        </w:rPr>
      </w:pPr>
      <w:r>
        <w:rPr>
          <w:rFonts w:hint="eastAsia" w:ascii="宋体" w:hAnsi="宋体" w:cs="宋体"/>
          <w:color w:val="auto"/>
          <w:kern w:val="2"/>
          <w:highlight w:val="none"/>
        </w:rPr>
        <w:t>根据贵方的（）号招标文件，正式授权下述签字人_________________(姓名)代表我方______________（投标人的名称），全权处理本次项目投标的有关事宜。</w:t>
      </w:r>
    </w:p>
    <w:p w14:paraId="305A629F">
      <w:pPr>
        <w:pStyle w:val="39"/>
        <w:spacing w:before="0" w:after="0"/>
        <w:ind w:firstLineChars="200"/>
        <w:rPr>
          <w:rFonts w:hint="eastAsia" w:ascii="宋体" w:hAnsi="宋体" w:cs="宋体"/>
          <w:color w:val="auto"/>
          <w:kern w:val="2"/>
          <w:highlight w:val="none"/>
        </w:rPr>
      </w:pPr>
      <w:r>
        <w:rPr>
          <w:rFonts w:hint="eastAsia" w:ascii="宋体" w:hAnsi="宋体" w:cs="宋体"/>
          <w:color w:val="auto"/>
          <w:kern w:val="2"/>
          <w:highlight w:val="none"/>
        </w:rPr>
        <w:t>据此函，__________签字人（姓名）兹宣布同意如下：</w:t>
      </w:r>
    </w:p>
    <w:p w14:paraId="157D4C03">
      <w:pPr>
        <w:pStyle w:val="39"/>
        <w:spacing w:before="0" w:after="0"/>
        <w:ind w:firstLineChars="200"/>
        <w:rPr>
          <w:rFonts w:hint="eastAsia" w:ascii="宋体" w:hAnsi="宋体" w:cs="宋体"/>
          <w:color w:val="auto"/>
          <w:kern w:val="2"/>
          <w:highlight w:val="none"/>
        </w:rPr>
      </w:pPr>
      <w:r>
        <w:rPr>
          <w:rFonts w:hint="eastAsia" w:ascii="宋体" w:hAnsi="宋体" w:cs="宋体"/>
          <w:color w:val="auto"/>
          <w:kern w:val="2"/>
          <w:highlight w:val="none"/>
        </w:rPr>
        <w:t>1.按招标文件规定的各项要求，向买方提供所需货物与服务。</w:t>
      </w:r>
    </w:p>
    <w:p w14:paraId="1AA3C3AE">
      <w:pPr>
        <w:pStyle w:val="39"/>
        <w:spacing w:before="0" w:after="0"/>
        <w:ind w:firstLineChars="200"/>
        <w:rPr>
          <w:rFonts w:hint="eastAsia" w:ascii="宋体" w:hAnsi="宋体" w:cs="宋体"/>
          <w:color w:val="auto"/>
          <w:kern w:val="2"/>
          <w:highlight w:val="none"/>
        </w:rPr>
      </w:pPr>
      <w:r>
        <w:rPr>
          <w:rFonts w:hint="eastAsia" w:ascii="宋体" w:hAnsi="宋体" w:cs="宋体"/>
          <w:color w:val="auto"/>
          <w:kern w:val="2"/>
          <w:highlight w:val="none"/>
        </w:rPr>
        <w:t>2.我们完全理解贵方不一定将合同授予最低报价的投标人。</w:t>
      </w:r>
    </w:p>
    <w:p w14:paraId="6B21493C">
      <w:pPr>
        <w:pStyle w:val="39"/>
        <w:spacing w:before="0" w:after="0"/>
        <w:ind w:firstLineChars="200"/>
        <w:rPr>
          <w:rFonts w:hint="eastAsia" w:ascii="宋体" w:hAnsi="宋体" w:cs="宋体"/>
          <w:color w:val="auto"/>
          <w:kern w:val="2"/>
          <w:highlight w:val="none"/>
        </w:rPr>
      </w:pPr>
      <w:r>
        <w:rPr>
          <w:rFonts w:hint="eastAsia" w:ascii="宋体" w:hAnsi="宋体" w:cs="宋体"/>
          <w:color w:val="auto"/>
          <w:kern w:val="2"/>
          <w:highlight w:val="none"/>
        </w:rPr>
        <w:t>3.我们已详细审核全部招标文件及其有效补充文件，我们知道必须放弃提出含糊不清或误解问题的权利。</w:t>
      </w:r>
    </w:p>
    <w:p w14:paraId="3AEF4BC7">
      <w:pPr>
        <w:pStyle w:val="39"/>
        <w:spacing w:before="0" w:after="0"/>
        <w:rPr>
          <w:rFonts w:hint="eastAsia" w:ascii="宋体" w:hAnsi="宋体" w:cs="宋体"/>
          <w:color w:val="auto"/>
          <w:kern w:val="2"/>
          <w:highlight w:val="none"/>
        </w:rPr>
      </w:pPr>
      <w:r>
        <w:rPr>
          <w:rFonts w:hint="eastAsia" w:ascii="宋体" w:hAnsi="宋体" w:cs="宋体"/>
          <w:color w:val="auto"/>
          <w:kern w:val="2"/>
          <w:highlight w:val="none"/>
        </w:rPr>
        <w:t>4.我们同意从规定的开标日期起遵循本投标文件，并在规定的投标有效期期满之前均具有约束力。</w:t>
      </w:r>
    </w:p>
    <w:p w14:paraId="6A1A6D61">
      <w:pPr>
        <w:pStyle w:val="39"/>
        <w:spacing w:before="0" w:after="0"/>
        <w:rPr>
          <w:rFonts w:hint="eastAsia" w:ascii="宋体" w:hAnsi="宋体" w:cs="宋体"/>
          <w:color w:val="auto"/>
          <w:kern w:val="2"/>
          <w:highlight w:val="none"/>
        </w:rPr>
      </w:pPr>
      <w:r>
        <w:rPr>
          <w:rFonts w:hint="eastAsia" w:ascii="宋体" w:hAnsi="宋体" w:cs="宋体"/>
          <w:color w:val="auto"/>
          <w:kern w:val="2"/>
          <w:highlight w:val="none"/>
        </w:rPr>
        <w:t>5.同意向贵方提供贵方可能另外要求的与投标有关的任何证据或资料，并保证我方已提供和将要提供的文件是真实的、准确的。</w:t>
      </w:r>
    </w:p>
    <w:p w14:paraId="4C5EABE0">
      <w:pPr>
        <w:pStyle w:val="39"/>
        <w:spacing w:before="0" w:after="0"/>
        <w:rPr>
          <w:rFonts w:hint="eastAsia" w:ascii="宋体" w:hAnsi="宋体" w:cs="宋体"/>
          <w:color w:val="auto"/>
          <w:kern w:val="2"/>
          <w:highlight w:val="none"/>
        </w:rPr>
      </w:pPr>
      <w:r>
        <w:rPr>
          <w:rFonts w:hint="eastAsia" w:ascii="宋体" w:hAnsi="宋体" w:cs="宋体"/>
          <w:color w:val="auto"/>
          <w:kern w:val="2"/>
          <w:highlight w:val="none"/>
        </w:rPr>
        <w:t>6.一旦我方中标,我方将根据招标文件的规定，严格履行合同的责任和义务,并保证在招标文件规定的时间完成项目，交付买方验收、使用。</w:t>
      </w:r>
    </w:p>
    <w:p w14:paraId="33F3E43C">
      <w:pPr>
        <w:pStyle w:val="39"/>
        <w:spacing w:before="0" w:after="0"/>
        <w:ind w:left="425" w:firstLine="120" w:firstLineChars="50"/>
        <w:rPr>
          <w:rFonts w:hint="eastAsia" w:ascii="宋体" w:hAnsi="宋体" w:cs="宋体"/>
          <w:color w:val="auto"/>
          <w:kern w:val="2"/>
          <w:highlight w:val="none"/>
        </w:rPr>
      </w:pPr>
      <w:r>
        <w:rPr>
          <w:rFonts w:hint="eastAsia" w:ascii="宋体" w:hAnsi="宋体" w:cs="宋体"/>
          <w:color w:val="auto"/>
          <w:kern w:val="2"/>
          <w:highlight w:val="none"/>
        </w:rPr>
        <w:t>7.与本投标有关的正式通讯地址为：</w:t>
      </w:r>
    </w:p>
    <w:p w14:paraId="6BFA206C">
      <w:pPr>
        <w:pStyle w:val="39"/>
        <w:spacing w:before="0" w:after="0"/>
        <w:ind w:firstLine="547" w:firstLineChars="228"/>
        <w:rPr>
          <w:rFonts w:hint="eastAsia" w:ascii="宋体" w:hAnsi="宋体" w:cs="宋体"/>
          <w:color w:val="auto"/>
          <w:kern w:val="2"/>
          <w:highlight w:val="none"/>
        </w:rPr>
      </w:pPr>
      <w:r>
        <w:rPr>
          <w:rFonts w:hint="eastAsia" w:ascii="宋体" w:hAnsi="宋体" w:cs="宋体"/>
          <w:color w:val="auto"/>
          <w:kern w:val="2"/>
          <w:highlight w:val="none"/>
        </w:rPr>
        <w:t>地 址：</w:t>
      </w:r>
    </w:p>
    <w:p w14:paraId="4925A998">
      <w:pPr>
        <w:pStyle w:val="39"/>
        <w:spacing w:before="0" w:after="0"/>
        <w:ind w:firstLine="547" w:firstLineChars="228"/>
        <w:rPr>
          <w:rFonts w:hint="eastAsia" w:ascii="宋体" w:hAnsi="宋体" w:cs="宋体"/>
          <w:color w:val="auto"/>
          <w:kern w:val="2"/>
          <w:highlight w:val="none"/>
        </w:rPr>
      </w:pPr>
      <w:r>
        <w:rPr>
          <w:rFonts w:hint="eastAsia" w:ascii="宋体" w:hAnsi="宋体" w:cs="宋体"/>
          <w:color w:val="auto"/>
          <w:kern w:val="2"/>
          <w:highlight w:val="none"/>
        </w:rPr>
        <w:t>邮 编：</w:t>
      </w:r>
    </w:p>
    <w:p w14:paraId="0D3D208B">
      <w:pPr>
        <w:pStyle w:val="39"/>
        <w:spacing w:before="0" w:after="0"/>
        <w:ind w:firstLine="547" w:firstLineChars="228"/>
        <w:rPr>
          <w:rFonts w:hint="eastAsia" w:ascii="宋体" w:hAnsi="宋体" w:cs="宋体"/>
          <w:color w:val="auto"/>
          <w:kern w:val="2"/>
          <w:highlight w:val="none"/>
        </w:rPr>
      </w:pPr>
      <w:r>
        <w:rPr>
          <w:rFonts w:hint="eastAsia" w:ascii="宋体" w:hAnsi="宋体" w:cs="宋体"/>
          <w:color w:val="auto"/>
          <w:kern w:val="2"/>
          <w:highlight w:val="none"/>
        </w:rPr>
        <w:t xml:space="preserve">电 话： </w:t>
      </w:r>
    </w:p>
    <w:p w14:paraId="43F096A3">
      <w:pPr>
        <w:pStyle w:val="39"/>
        <w:spacing w:before="0" w:after="0"/>
        <w:ind w:firstLine="547" w:firstLineChars="228"/>
        <w:rPr>
          <w:rFonts w:hint="eastAsia" w:ascii="宋体" w:hAnsi="宋体" w:cs="宋体"/>
          <w:color w:val="auto"/>
          <w:kern w:val="2"/>
          <w:highlight w:val="none"/>
        </w:rPr>
      </w:pPr>
      <w:r>
        <w:rPr>
          <w:rFonts w:hint="eastAsia" w:ascii="宋体" w:hAnsi="宋体" w:cs="宋体"/>
          <w:color w:val="auto"/>
          <w:kern w:val="2"/>
          <w:highlight w:val="none"/>
        </w:rPr>
        <w:t xml:space="preserve">传 真： </w:t>
      </w:r>
    </w:p>
    <w:p w14:paraId="12E19BE4">
      <w:pPr>
        <w:pStyle w:val="39"/>
        <w:spacing w:before="0" w:after="0"/>
        <w:ind w:firstLine="547" w:firstLineChars="228"/>
        <w:rPr>
          <w:rFonts w:hint="eastAsia" w:ascii="宋体" w:hAnsi="宋体" w:cs="宋体"/>
          <w:color w:val="auto"/>
          <w:kern w:val="2"/>
          <w:highlight w:val="none"/>
        </w:rPr>
      </w:pPr>
      <w:r>
        <w:rPr>
          <w:rFonts w:hint="eastAsia" w:ascii="宋体" w:hAnsi="宋体" w:cs="宋体"/>
          <w:color w:val="auto"/>
          <w:kern w:val="2"/>
          <w:highlight w:val="none"/>
        </w:rPr>
        <w:t>投标人开户行：</w:t>
      </w:r>
    </w:p>
    <w:p w14:paraId="1984BAEF">
      <w:pPr>
        <w:pStyle w:val="39"/>
        <w:spacing w:before="0" w:after="0"/>
        <w:ind w:firstLine="547" w:firstLineChars="228"/>
        <w:rPr>
          <w:rFonts w:hint="eastAsia" w:ascii="宋体" w:hAnsi="宋体" w:cs="宋体"/>
          <w:color w:val="auto"/>
          <w:kern w:val="2"/>
          <w:highlight w:val="none"/>
        </w:rPr>
      </w:pPr>
      <w:r>
        <w:rPr>
          <w:rFonts w:hint="eastAsia" w:ascii="宋体" w:hAnsi="宋体" w:cs="宋体"/>
          <w:color w:val="auto"/>
          <w:kern w:val="2"/>
          <w:highlight w:val="none"/>
        </w:rPr>
        <w:t xml:space="preserve">账 户： </w:t>
      </w:r>
    </w:p>
    <w:p w14:paraId="248B9206">
      <w:pPr>
        <w:pStyle w:val="39"/>
        <w:spacing w:before="0" w:after="0"/>
        <w:ind w:firstLine="547" w:firstLineChars="228"/>
        <w:rPr>
          <w:rFonts w:hint="eastAsia" w:ascii="宋体" w:hAnsi="宋体" w:cs="宋体"/>
          <w:color w:val="auto"/>
          <w:kern w:val="2"/>
          <w:highlight w:val="none"/>
        </w:rPr>
      </w:pPr>
      <w:r>
        <w:rPr>
          <w:rFonts w:hint="eastAsia" w:ascii="宋体" w:hAnsi="宋体" w:cs="宋体"/>
          <w:color w:val="auto"/>
          <w:kern w:val="2"/>
          <w:highlight w:val="none"/>
        </w:rPr>
        <w:t>行 号：</w:t>
      </w:r>
    </w:p>
    <w:p w14:paraId="307E64EB">
      <w:pPr>
        <w:pStyle w:val="39"/>
        <w:spacing w:before="0" w:after="0"/>
        <w:ind w:firstLine="547" w:firstLineChars="228"/>
        <w:rPr>
          <w:rFonts w:hint="eastAsia" w:ascii="宋体" w:hAnsi="宋体" w:cs="宋体"/>
          <w:color w:val="auto"/>
          <w:kern w:val="2"/>
          <w:highlight w:val="none"/>
        </w:rPr>
      </w:pPr>
      <w:r>
        <w:rPr>
          <w:rFonts w:hint="eastAsia" w:ascii="宋体" w:hAnsi="宋体" w:cs="宋体"/>
          <w:color w:val="auto"/>
          <w:kern w:val="2"/>
          <w:highlight w:val="none"/>
        </w:rPr>
        <w:t>法定代表人或授权代表（签字）：</w:t>
      </w:r>
    </w:p>
    <w:p w14:paraId="6236C05C">
      <w:pPr>
        <w:pStyle w:val="39"/>
        <w:spacing w:before="0" w:after="0"/>
        <w:ind w:firstLine="547" w:firstLineChars="228"/>
        <w:rPr>
          <w:rFonts w:hint="eastAsia" w:ascii="宋体" w:hAnsi="宋体" w:cs="宋体"/>
          <w:color w:val="auto"/>
          <w:kern w:val="2"/>
          <w:highlight w:val="none"/>
        </w:rPr>
      </w:pPr>
      <w:r>
        <w:rPr>
          <w:rFonts w:hint="eastAsia" w:ascii="宋体" w:hAnsi="宋体" w:cs="宋体"/>
          <w:color w:val="auto"/>
          <w:kern w:val="2"/>
          <w:highlight w:val="none"/>
        </w:rPr>
        <w:t>投标人名称（公章）：</w:t>
      </w:r>
    </w:p>
    <w:p w14:paraId="31B3C345">
      <w:pPr>
        <w:pStyle w:val="39"/>
        <w:spacing w:before="0" w:after="0"/>
        <w:ind w:firstLine="547" w:firstLineChars="228"/>
        <w:rPr>
          <w:rFonts w:hint="eastAsia" w:ascii="宋体" w:hAnsi="宋体" w:cs="宋体"/>
          <w:color w:val="auto"/>
          <w:kern w:val="2"/>
          <w:highlight w:val="none"/>
        </w:rPr>
      </w:pPr>
      <w:r>
        <w:rPr>
          <w:rFonts w:hint="eastAsia" w:ascii="宋体" w:hAnsi="宋体" w:cs="宋体"/>
          <w:color w:val="auto"/>
          <w:kern w:val="2"/>
          <w:highlight w:val="none"/>
        </w:rPr>
        <w:t>日 期：________年____月____日</w:t>
      </w:r>
    </w:p>
    <w:p w14:paraId="6F809EA6">
      <w:pPr>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p>
    <w:p w14:paraId="7D293B5D">
      <w:pPr>
        <w:pStyle w:val="38"/>
        <w:spacing w:after="312" w:afterLines="100" w:line="360" w:lineRule="auto"/>
        <w:ind w:firstLine="482"/>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法人授权书</w:t>
      </w:r>
    </w:p>
    <w:p w14:paraId="6CC93F01">
      <w:pPr>
        <w:pStyle w:val="38"/>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本授权书声明：________________（投标人名称）授权________________（被授权人的姓名）为我方就（项目编号）号（项目名称）项目采购活动的合法代理人，以本公司名义全权处理一切与该项目采购有关的事务。</w:t>
      </w:r>
    </w:p>
    <w:p w14:paraId="10834217">
      <w:pPr>
        <w:pStyle w:val="38"/>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本授权书于______年____月____日起生效，特此声明。</w:t>
      </w:r>
    </w:p>
    <w:p w14:paraId="1E28D484">
      <w:pPr>
        <w:pStyle w:val="38"/>
        <w:spacing w:line="360" w:lineRule="auto"/>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25D960E9">
      <w:pPr>
        <w:pStyle w:val="38"/>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被授权人姓名：</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 xml:space="preserve">    </w:t>
      </w:r>
    </w:p>
    <w:p w14:paraId="7E715F34">
      <w:pPr>
        <w:pStyle w:val="38"/>
        <w:spacing w:line="360" w:lineRule="auto"/>
        <w:ind w:firstLine="48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联系电话（手机）：</w:t>
      </w:r>
      <w:r>
        <w:rPr>
          <w:rFonts w:hint="eastAsia" w:ascii="宋体" w:hAnsi="宋体" w:cs="宋体"/>
          <w:color w:val="auto"/>
          <w:sz w:val="24"/>
          <w:szCs w:val="24"/>
          <w:highlight w:val="none"/>
          <w:u w:val="single"/>
        </w:rPr>
        <w:t xml:space="preserve">                             </w:t>
      </w:r>
    </w:p>
    <w:p w14:paraId="1ADF7C0F">
      <w:pPr>
        <w:pStyle w:val="38"/>
        <w:spacing w:line="360" w:lineRule="auto"/>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单位名称：____________________________________</w:t>
      </w:r>
    </w:p>
    <w:p w14:paraId="15005B6E">
      <w:pPr>
        <w:pStyle w:val="38"/>
        <w:spacing w:line="360" w:lineRule="auto"/>
        <w:ind w:firstLine="48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单位地址：</w:t>
      </w:r>
      <w:r>
        <w:rPr>
          <w:rFonts w:hint="eastAsia" w:ascii="宋体" w:hAnsi="宋体" w:cs="宋体"/>
          <w:color w:val="auto"/>
          <w:sz w:val="24"/>
          <w:szCs w:val="24"/>
          <w:highlight w:val="none"/>
          <w:u w:val="single"/>
        </w:rPr>
        <w:t xml:space="preserve">                                         </w:t>
      </w:r>
    </w:p>
    <w:p w14:paraId="70FCD123">
      <w:pPr>
        <w:pStyle w:val="38"/>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1E3BD827">
      <w:pPr>
        <w:spacing w:line="460" w:lineRule="exact"/>
        <w:rPr>
          <w:rFonts w:hint="eastAsia" w:ascii="宋体" w:hAnsi="宋体" w:cs="宋体"/>
          <w:bCs/>
          <w:color w:val="auto"/>
          <w:sz w:val="24"/>
          <w:szCs w:val="24"/>
          <w:highlight w:val="none"/>
        </w:rPr>
      </w:pPr>
    </w:p>
    <w:p w14:paraId="51404B18">
      <w:pPr>
        <w:spacing w:line="460" w:lineRule="exact"/>
        <w:rPr>
          <w:rFonts w:hint="eastAsia" w:ascii="宋体" w:hAnsi="宋体" w:cs="宋体"/>
          <w:bCs/>
          <w:color w:val="auto"/>
          <w:sz w:val="24"/>
          <w:szCs w:val="24"/>
          <w:highlight w:val="none"/>
        </w:rPr>
      </w:pPr>
    </w:p>
    <w:p w14:paraId="64961593">
      <w:pPr>
        <w:spacing w:line="460" w:lineRule="exact"/>
        <w:ind w:firstLine="480" w:firstLineChars="200"/>
        <w:rPr>
          <w:rFonts w:hint="eastAsia" w:ascii="宋体" w:hAnsi="宋体" w:cs="宋体"/>
          <w:bCs/>
          <w:color w:val="auto"/>
          <w:sz w:val="24"/>
          <w:szCs w:val="24"/>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宋体" w:hAnsi="宋体" w:cs="宋体"/>
          <w:bCs/>
          <w:color w:val="auto"/>
          <w:sz w:val="24"/>
          <w:szCs w:val="24"/>
          <w:highlight w:val="none"/>
        </w:rPr>
        <w:t>被授权人身份证复印件</w:t>
      </w:r>
    </w:p>
    <w:p w14:paraId="7F9CAEB3">
      <w:pPr>
        <w:rPr>
          <w:rFonts w:hint="eastAsia" w:ascii="宋体" w:hAnsi="宋体" w:cs="宋体"/>
          <w:b/>
          <w:color w:val="auto"/>
          <w:sz w:val="24"/>
          <w:szCs w:val="24"/>
          <w:highlight w:val="none"/>
        </w:rPr>
      </w:pPr>
    </w:p>
    <w:p w14:paraId="018F1DFC">
      <w:pPr>
        <w:pStyle w:val="3"/>
        <w:outlineLvl w:val="0"/>
        <w:rPr>
          <w:rFonts w:hint="eastAsia" w:ascii="宋体" w:hAnsi="宋体" w:eastAsia="宋体" w:cs="宋体"/>
          <w:color w:val="auto"/>
          <w:sz w:val="24"/>
          <w:szCs w:val="24"/>
          <w:highlight w:val="none"/>
        </w:rPr>
      </w:pPr>
      <w:bookmarkStart w:id="65" w:name="_Toc170832703"/>
      <w:r>
        <w:rPr>
          <w:rFonts w:hint="eastAsia" w:ascii="宋体" w:hAnsi="宋体" w:eastAsia="宋体" w:cs="宋体"/>
          <w:color w:val="auto"/>
          <w:sz w:val="24"/>
          <w:szCs w:val="24"/>
          <w:highlight w:val="none"/>
        </w:rPr>
        <w:t>二、符合性审查响应对照表</w:t>
      </w:r>
      <w:bookmarkEnd w:id="65"/>
    </w:p>
    <w:p w14:paraId="4D5BCAD1">
      <w:pPr>
        <w:rPr>
          <w:rFonts w:hint="eastAsia" w:ascii="宋体" w:hAnsi="宋体" w:cs="宋体"/>
          <w:b/>
          <w:color w:val="auto"/>
          <w:sz w:val="24"/>
          <w:szCs w:val="24"/>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14:paraId="005B4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731B120F">
            <w:pPr>
              <w:snapToGrid w:val="0"/>
              <w:spacing w:line="240" w:lineRule="atLeas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5447" w:type="dxa"/>
            <w:noWrap w:val="0"/>
            <w:vAlign w:val="center"/>
          </w:tcPr>
          <w:p w14:paraId="1D9F8A5C">
            <w:pPr>
              <w:snapToGrid w:val="0"/>
              <w:spacing w:line="240" w:lineRule="atLeas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符合性审查响应内容</w:t>
            </w:r>
          </w:p>
        </w:tc>
        <w:tc>
          <w:tcPr>
            <w:tcW w:w="1680" w:type="dxa"/>
            <w:noWrap w:val="0"/>
            <w:vAlign w:val="center"/>
          </w:tcPr>
          <w:p w14:paraId="4A4CEFAA">
            <w:pPr>
              <w:snapToGrid w:val="0"/>
              <w:spacing w:line="240" w:lineRule="atLeas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是否响应</w:t>
            </w:r>
          </w:p>
          <w:p w14:paraId="2BADE356">
            <w:pPr>
              <w:snapToGrid w:val="0"/>
              <w:spacing w:line="240" w:lineRule="atLeas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（填是或者否）</w:t>
            </w:r>
          </w:p>
        </w:tc>
        <w:tc>
          <w:tcPr>
            <w:tcW w:w="1308" w:type="dxa"/>
            <w:noWrap w:val="0"/>
            <w:vAlign w:val="center"/>
          </w:tcPr>
          <w:p w14:paraId="764D01BE">
            <w:pPr>
              <w:snapToGrid w:val="0"/>
              <w:spacing w:line="240" w:lineRule="atLeas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响应情况</w:t>
            </w:r>
          </w:p>
        </w:tc>
      </w:tr>
      <w:tr w14:paraId="6B614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7B6BCA25">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1</w:t>
            </w:r>
          </w:p>
        </w:tc>
        <w:tc>
          <w:tcPr>
            <w:tcW w:w="5447" w:type="dxa"/>
            <w:noWrap w:val="0"/>
            <w:vAlign w:val="center"/>
          </w:tcPr>
          <w:p w14:paraId="257AD197">
            <w:pPr>
              <w:spacing w:line="0" w:lineRule="atLeast"/>
              <w:rPr>
                <w:rFonts w:hint="eastAsia" w:ascii="宋体" w:hAnsi="宋体" w:cs="宋体"/>
                <w:iCs/>
                <w:color w:val="auto"/>
                <w:sz w:val="24"/>
                <w:szCs w:val="24"/>
                <w:highlight w:val="none"/>
              </w:rPr>
            </w:pPr>
            <w:r>
              <w:rPr>
                <w:rFonts w:hint="eastAsia" w:ascii="宋体" w:hAnsi="宋体" w:cs="宋体"/>
                <w:iCs/>
                <w:color w:val="auto"/>
                <w:sz w:val="24"/>
                <w:szCs w:val="24"/>
                <w:highlight w:val="none"/>
              </w:rPr>
              <w:t>采购需求中必须满足的实质性要求（即加斜体下划线内容，每条详细列出）</w:t>
            </w:r>
          </w:p>
        </w:tc>
        <w:tc>
          <w:tcPr>
            <w:tcW w:w="1680" w:type="dxa"/>
            <w:noWrap w:val="0"/>
            <w:vAlign w:val="center"/>
          </w:tcPr>
          <w:p w14:paraId="219C1EBA">
            <w:pPr>
              <w:rPr>
                <w:rFonts w:hint="eastAsia" w:ascii="宋体" w:hAnsi="宋体" w:cs="宋体"/>
                <w:b/>
                <w:color w:val="auto"/>
                <w:sz w:val="24"/>
                <w:szCs w:val="24"/>
                <w:highlight w:val="none"/>
              </w:rPr>
            </w:pPr>
          </w:p>
        </w:tc>
        <w:tc>
          <w:tcPr>
            <w:tcW w:w="1308" w:type="dxa"/>
            <w:noWrap w:val="0"/>
            <w:vAlign w:val="center"/>
          </w:tcPr>
          <w:p w14:paraId="5967877E">
            <w:pPr>
              <w:rPr>
                <w:rFonts w:hint="eastAsia" w:ascii="宋体" w:hAnsi="宋体" w:cs="宋体"/>
                <w:b/>
                <w:color w:val="auto"/>
                <w:sz w:val="24"/>
                <w:szCs w:val="24"/>
                <w:highlight w:val="none"/>
              </w:rPr>
            </w:pPr>
          </w:p>
        </w:tc>
      </w:tr>
      <w:tr w14:paraId="4A700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33C44BDC">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5447" w:type="dxa"/>
            <w:noWrap w:val="0"/>
            <w:vAlign w:val="center"/>
          </w:tcPr>
          <w:p w14:paraId="67302CE0">
            <w:pPr>
              <w:spacing w:line="0" w:lineRule="atLeast"/>
              <w:rPr>
                <w:rFonts w:hint="eastAsia" w:ascii="宋体" w:hAnsi="宋体" w:cs="宋体"/>
                <w:iCs/>
                <w:color w:val="auto"/>
                <w:sz w:val="24"/>
                <w:szCs w:val="24"/>
                <w:highlight w:val="none"/>
              </w:rPr>
            </w:pPr>
          </w:p>
        </w:tc>
        <w:tc>
          <w:tcPr>
            <w:tcW w:w="1680" w:type="dxa"/>
            <w:noWrap w:val="0"/>
            <w:vAlign w:val="center"/>
          </w:tcPr>
          <w:p w14:paraId="60619160">
            <w:pPr>
              <w:rPr>
                <w:rFonts w:hint="eastAsia" w:ascii="宋体" w:hAnsi="宋体" w:cs="宋体"/>
                <w:color w:val="auto"/>
                <w:sz w:val="24"/>
                <w:szCs w:val="24"/>
                <w:highlight w:val="none"/>
              </w:rPr>
            </w:pPr>
          </w:p>
        </w:tc>
        <w:tc>
          <w:tcPr>
            <w:tcW w:w="1308" w:type="dxa"/>
            <w:noWrap w:val="0"/>
            <w:vAlign w:val="center"/>
          </w:tcPr>
          <w:p w14:paraId="2F86EB51">
            <w:pPr>
              <w:rPr>
                <w:rFonts w:hint="eastAsia" w:ascii="宋体" w:hAnsi="宋体" w:cs="宋体"/>
                <w:color w:val="auto"/>
                <w:sz w:val="24"/>
                <w:szCs w:val="24"/>
                <w:highlight w:val="none"/>
              </w:rPr>
            </w:pPr>
          </w:p>
        </w:tc>
      </w:tr>
      <w:tr w14:paraId="4DCA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0AD10E52">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5447" w:type="dxa"/>
            <w:noWrap w:val="0"/>
            <w:vAlign w:val="center"/>
          </w:tcPr>
          <w:p w14:paraId="2F7F4A1C">
            <w:pPr>
              <w:spacing w:line="0" w:lineRule="atLeast"/>
              <w:rPr>
                <w:rFonts w:hint="eastAsia" w:ascii="宋体" w:hAnsi="宋体" w:cs="宋体"/>
                <w:iCs/>
                <w:color w:val="auto"/>
                <w:sz w:val="24"/>
                <w:szCs w:val="24"/>
                <w:highlight w:val="none"/>
              </w:rPr>
            </w:pPr>
          </w:p>
        </w:tc>
        <w:tc>
          <w:tcPr>
            <w:tcW w:w="1680" w:type="dxa"/>
            <w:noWrap w:val="0"/>
            <w:vAlign w:val="center"/>
          </w:tcPr>
          <w:p w14:paraId="27FE8389">
            <w:pPr>
              <w:rPr>
                <w:rFonts w:hint="eastAsia" w:ascii="宋体" w:hAnsi="宋体" w:cs="宋体"/>
                <w:color w:val="auto"/>
                <w:sz w:val="24"/>
                <w:szCs w:val="24"/>
                <w:highlight w:val="none"/>
              </w:rPr>
            </w:pPr>
          </w:p>
        </w:tc>
        <w:tc>
          <w:tcPr>
            <w:tcW w:w="1308" w:type="dxa"/>
            <w:noWrap w:val="0"/>
            <w:vAlign w:val="center"/>
          </w:tcPr>
          <w:p w14:paraId="738D07A4">
            <w:pPr>
              <w:rPr>
                <w:rFonts w:hint="eastAsia" w:ascii="宋体" w:hAnsi="宋体" w:cs="宋体"/>
                <w:color w:val="auto"/>
                <w:sz w:val="24"/>
                <w:szCs w:val="24"/>
                <w:highlight w:val="none"/>
              </w:rPr>
            </w:pPr>
          </w:p>
        </w:tc>
      </w:tr>
      <w:tr w14:paraId="048B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6" w:type="dxa"/>
            <w:noWrap w:val="0"/>
            <w:vAlign w:val="center"/>
          </w:tcPr>
          <w:p w14:paraId="3A60BF1E">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5447" w:type="dxa"/>
            <w:noWrap w:val="0"/>
            <w:vAlign w:val="center"/>
          </w:tcPr>
          <w:p w14:paraId="30F47363">
            <w:pPr>
              <w:spacing w:line="0" w:lineRule="atLeast"/>
              <w:rPr>
                <w:rFonts w:hint="eastAsia" w:ascii="宋体" w:hAnsi="宋体" w:cs="宋体"/>
                <w:iCs/>
                <w:color w:val="auto"/>
                <w:sz w:val="24"/>
                <w:szCs w:val="24"/>
                <w:highlight w:val="none"/>
              </w:rPr>
            </w:pPr>
          </w:p>
        </w:tc>
        <w:tc>
          <w:tcPr>
            <w:tcW w:w="1680" w:type="dxa"/>
            <w:noWrap w:val="0"/>
            <w:vAlign w:val="center"/>
          </w:tcPr>
          <w:p w14:paraId="61AE812B">
            <w:pPr>
              <w:rPr>
                <w:rFonts w:hint="eastAsia" w:ascii="宋体" w:hAnsi="宋体" w:cs="宋体"/>
                <w:color w:val="auto"/>
                <w:sz w:val="24"/>
                <w:szCs w:val="24"/>
                <w:highlight w:val="none"/>
              </w:rPr>
            </w:pPr>
          </w:p>
        </w:tc>
        <w:tc>
          <w:tcPr>
            <w:tcW w:w="1308" w:type="dxa"/>
            <w:noWrap w:val="0"/>
            <w:vAlign w:val="center"/>
          </w:tcPr>
          <w:p w14:paraId="22B8449E">
            <w:pPr>
              <w:rPr>
                <w:rFonts w:hint="eastAsia" w:ascii="宋体" w:hAnsi="宋体" w:cs="宋体"/>
                <w:color w:val="auto"/>
                <w:sz w:val="24"/>
                <w:szCs w:val="24"/>
                <w:highlight w:val="none"/>
              </w:rPr>
            </w:pPr>
          </w:p>
        </w:tc>
      </w:tr>
      <w:tr w14:paraId="578E5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691EF46C">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5447" w:type="dxa"/>
            <w:noWrap w:val="0"/>
            <w:vAlign w:val="center"/>
          </w:tcPr>
          <w:p w14:paraId="2A5C346B">
            <w:pPr>
              <w:snapToGrid w:val="0"/>
              <w:spacing w:line="0" w:lineRule="atLeast"/>
              <w:rPr>
                <w:rFonts w:hint="eastAsia" w:ascii="宋体" w:hAnsi="宋体" w:cs="宋体"/>
                <w:iCs/>
                <w:color w:val="auto"/>
                <w:sz w:val="24"/>
                <w:szCs w:val="24"/>
                <w:highlight w:val="none"/>
              </w:rPr>
            </w:pPr>
            <w:r>
              <w:rPr>
                <w:rFonts w:hint="eastAsia" w:ascii="宋体" w:hAnsi="宋体" w:cs="宋体"/>
                <w:iCs/>
                <w:color w:val="auto"/>
                <w:sz w:val="24"/>
                <w:szCs w:val="24"/>
                <w:highlight w:val="none"/>
              </w:rPr>
              <w:t>……</w:t>
            </w:r>
          </w:p>
        </w:tc>
        <w:tc>
          <w:tcPr>
            <w:tcW w:w="1680" w:type="dxa"/>
            <w:noWrap w:val="0"/>
            <w:vAlign w:val="center"/>
          </w:tcPr>
          <w:p w14:paraId="294CB673">
            <w:pPr>
              <w:rPr>
                <w:rFonts w:hint="eastAsia" w:ascii="宋体" w:hAnsi="宋体" w:cs="宋体"/>
                <w:color w:val="auto"/>
                <w:sz w:val="24"/>
                <w:szCs w:val="24"/>
                <w:highlight w:val="none"/>
              </w:rPr>
            </w:pPr>
          </w:p>
        </w:tc>
        <w:tc>
          <w:tcPr>
            <w:tcW w:w="1308" w:type="dxa"/>
            <w:noWrap w:val="0"/>
            <w:vAlign w:val="center"/>
          </w:tcPr>
          <w:p w14:paraId="058DEA77">
            <w:pPr>
              <w:rPr>
                <w:rFonts w:hint="eastAsia" w:ascii="宋体" w:hAnsi="宋体" w:cs="宋体"/>
                <w:color w:val="auto"/>
                <w:sz w:val="24"/>
                <w:szCs w:val="24"/>
                <w:highlight w:val="none"/>
              </w:rPr>
            </w:pPr>
          </w:p>
        </w:tc>
      </w:tr>
    </w:tbl>
    <w:p w14:paraId="048A5E39">
      <w:pPr>
        <w:adjustRightInd w:val="0"/>
        <w:spacing w:line="600" w:lineRule="exact"/>
        <w:contextualSpacing/>
        <w:jc w:val="center"/>
        <w:rPr>
          <w:rFonts w:hint="eastAsia" w:ascii="宋体" w:hAnsi="宋体" w:cs="宋体"/>
          <w:b/>
          <w:bCs/>
          <w:color w:val="auto"/>
          <w:sz w:val="24"/>
          <w:szCs w:val="24"/>
          <w:highlight w:val="none"/>
        </w:rPr>
      </w:pPr>
    </w:p>
    <w:p w14:paraId="01EC0A96">
      <w:pPr>
        <w:adjustRightInd w:val="0"/>
        <w:spacing w:line="600" w:lineRule="exact"/>
        <w:contextualSpacing/>
        <w:jc w:val="center"/>
        <w:rPr>
          <w:rFonts w:hint="eastAsia" w:ascii="宋体" w:hAnsi="宋体" w:cs="宋体"/>
          <w:b/>
          <w:bCs/>
          <w:color w:val="auto"/>
          <w:sz w:val="24"/>
          <w:szCs w:val="24"/>
          <w:highlight w:val="none"/>
        </w:rPr>
      </w:pPr>
    </w:p>
    <w:p w14:paraId="5EF01D30">
      <w:pPr>
        <w:adjustRightInd w:val="0"/>
        <w:spacing w:line="600" w:lineRule="exact"/>
        <w:contextualSpacing/>
        <w:jc w:val="center"/>
        <w:rPr>
          <w:rFonts w:hint="eastAsia" w:ascii="宋体" w:hAnsi="宋体" w:cs="宋体"/>
          <w:b/>
          <w:bCs/>
          <w:color w:val="auto"/>
          <w:sz w:val="24"/>
          <w:szCs w:val="24"/>
          <w:highlight w:val="none"/>
        </w:rPr>
      </w:pPr>
    </w:p>
    <w:p w14:paraId="50657AEC">
      <w:pPr>
        <w:adjustRightInd w:val="0"/>
        <w:spacing w:line="600" w:lineRule="exact"/>
        <w:contextualSpacing/>
        <w:jc w:val="center"/>
        <w:rPr>
          <w:rFonts w:hint="eastAsia" w:ascii="宋体" w:hAnsi="宋体" w:cs="宋体"/>
          <w:b/>
          <w:bCs/>
          <w:color w:val="auto"/>
          <w:sz w:val="24"/>
          <w:szCs w:val="24"/>
          <w:highlight w:val="none"/>
        </w:rPr>
      </w:pPr>
    </w:p>
    <w:p w14:paraId="279851BC">
      <w:pPr>
        <w:adjustRightInd w:val="0"/>
        <w:spacing w:line="600" w:lineRule="exact"/>
        <w:contextualSpacing/>
        <w:jc w:val="center"/>
        <w:rPr>
          <w:rFonts w:hint="eastAsia" w:ascii="宋体" w:hAnsi="宋体" w:cs="宋体"/>
          <w:b/>
          <w:bCs/>
          <w:color w:val="auto"/>
          <w:sz w:val="24"/>
          <w:szCs w:val="24"/>
          <w:highlight w:val="none"/>
        </w:rPr>
      </w:pPr>
    </w:p>
    <w:p w14:paraId="1218AA43">
      <w:pPr>
        <w:adjustRightInd w:val="0"/>
        <w:spacing w:line="600" w:lineRule="exact"/>
        <w:contextualSpacing/>
        <w:jc w:val="center"/>
        <w:rPr>
          <w:rFonts w:hint="eastAsia" w:ascii="宋体" w:hAnsi="宋体" w:cs="宋体"/>
          <w:b/>
          <w:bCs/>
          <w:color w:val="auto"/>
          <w:sz w:val="24"/>
          <w:szCs w:val="24"/>
          <w:highlight w:val="none"/>
        </w:rPr>
      </w:pPr>
    </w:p>
    <w:p w14:paraId="3471A6F3">
      <w:pPr>
        <w:adjustRightInd w:val="0"/>
        <w:spacing w:line="600" w:lineRule="exact"/>
        <w:contextualSpacing/>
        <w:jc w:val="center"/>
        <w:rPr>
          <w:rFonts w:hint="eastAsia" w:ascii="宋体" w:hAnsi="宋体" w:cs="宋体"/>
          <w:b/>
          <w:bCs/>
          <w:color w:val="auto"/>
          <w:sz w:val="24"/>
          <w:szCs w:val="24"/>
          <w:highlight w:val="none"/>
        </w:rPr>
      </w:pPr>
    </w:p>
    <w:p w14:paraId="0D41DFF8">
      <w:pPr>
        <w:adjustRightInd w:val="0"/>
        <w:spacing w:line="600" w:lineRule="exact"/>
        <w:contextualSpacing/>
        <w:jc w:val="center"/>
        <w:rPr>
          <w:rFonts w:hint="eastAsia" w:ascii="宋体" w:hAnsi="宋体" w:cs="宋体"/>
          <w:b/>
          <w:bCs/>
          <w:color w:val="auto"/>
          <w:sz w:val="24"/>
          <w:szCs w:val="24"/>
          <w:highlight w:val="none"/>
        </w:rPr>
      </w:pPr>
    </w:p>
    <w:p w14:paraId="1C0A341D">
      <w:pPr>
        <w:adjustRightInd w:val="0"/>
        <w:spacing w:line="600" w:lineRule="exact"/>
        <w:contextualSpacing/>
        <w:jc w:val="center"/>
        <w:rPr>
          <w:rFonts w:hint="eastAsia" w:ascii="宋体" w:hAnsi="宋体" w:cs="宋体"/>
          <w:b/>
          <w:bCs/>
          <w:color w:val="auto"/>
          <w:sz w:val="24"/>
          <w:szCs w:val="24"/>
          <w:highlight w:val="none"/>
        </w:rPr>
      </w:pPr>
    </w:p>
    <w:p w14:paraId="2A2D2BBF">
      <w:pPr>
        <w:adjustRightInd w:val="0"/>
        <w:spacing w:line="600" w:lineRule="exact"/>
        <w:contextualSpacing/>
        <w:jc w:val="center"/>
        <w:rPr>
          <w:rFonts w:hint="eastAsia" w:ascii="宋体" w:hAnsi="宋体" w:cs="宋体"/>
          <w:b/>
          <w:bCs/>
          <w:color w:val="auto"/>
          <w:sz w:val="24"/>
          <w:szCs w:val="24"/>
          <w:highlight w:val="none"/>
        </w:rPr>
      </w:pPr>
    </w:p>
    <w:p w14:paraId="469565B0">
      <w:pPr>
        <w:adjustRightInd w:val="0"/>
        <w:spacing w:line="600" w:lineRule="exact"/>
        <w:contextualSpacing/>
        <w:jc w:val="center"/>
        <w:rPr>
          <w:rFonts w:hint="eastAsia" w:ascii="宋体" w:hAnsi="宋体" w:cs="宋体"/>
          <w:b/>
          <w:bCs/>
          <w:color w:val="auto"/>
          <w:sz w:val="24"/>
          <w:szCs w:val="24"/>
          <w:highlight w:val="none"/>
        </w:rPr>
      </w:pPr>
    </w:p>
    <w:p w14:paraId="3D264AEF">
      <w:pPr>
        <w:adjustRightInd w:val="0"/>
        <w:spacing w:line="600" w:lineRule="exact"/>
        <w:contextualSpacing/>
        <w:jc w:val="center"/>
        <w:rPr>
          <w:rFonts w:hint="eastAsia" w:ascii="宋体" w:hAnsi="宋体" w:cs="宋体"/>
          <w:b/>
          <w:bCs/>
          <w:color w:val="auto"/>
          <w:sz w:val="24"/>
          <w:szCs w:val="24"/>
          <w:highlight w:val="none"/>
        </w:rPr>
      </w:pPr>
    </w:p>
    <w:p w14:paraId="5C7A5F77">
      <w:pPr>
        <w:adjustRightInd w:val="0"/>
        <w:spacing w:line="600" w:lineRule="exact"/>
        <w:contextualSpacing/>
        <w:jc w:val="center"/>
        <w:rPr>
          <w:rFonts w:hint="eastAsia" w:ascii="宋体" w:hAnsi="宋体" w:cs="宋体"/>
          <w:b/>
          <w:bCs/>
          <w:color w:val="auto"/>
          <w:sz w:val="24"/>
          <w:szCs w:val="24"/>
          <w:highlight w:val="none"/>
        </w:rPr>
      </w:pPr>
    </w:p>
    <w:p w14:paraId="13661DB1">
      <w:pPr>
        <w:adjustRightInd w:val="0"/>
        <w:spacing w:line="600" w:lineRule="exact"/>
        <w:contextualSpacing/>
        <w:jc w:val="center"/>
        <w:rPr>
          <w:rFonts w:hint="eastAsia" w:ascii="宋体" w:hAnsi="宋体" w:cs="宋体"/>
          <w:b/>
          <w:bCs/>
          <w:color w:val="auto"/>
          <w:sz w:val="24"/>
          <w:szCs w:val="24"/>
          <w:highlight w:val="none"/>
        </w:rPr>
      </w:pPr>
    </w:p>
    <w:p w14:paraId="6A370094">
      <w:pPr>
        <w:pStyle w:val="3"/>
        <w:outlineLvl w:val="0"/>
        <w:rPr>
          <w:rFonts w:hint="eastAsia" w:ascii="宋体" w:hAnsi="宋体" w:eastAsia="宋体" w:cs="宋体"/>
          <w:color w:val="auto"/>
          <w:sz w:val="24"/>
          <w:szCs w:val="24"/>
          <w:highlight w:val="none"/>
        </w:rPr>
      </w:pPr>
      <w:bookmarkStart w:id="66" w:name="_Toc170832704"/>
      <w:r>
        <w:rPr>
          <w:rFonts w:hint="eastAsia" w:ascii="宋体" w:hAnsi="宋体" w:eastAsia="宋体" w:cs="宋体"/>
          <w:color w:val="auto"/>
          <w:sz w:val="24"/>
          <w:szCs w:val="24"/>
          <w:highlight w:val="none"/>
        </w:rPr>
        <w:t>三、非实质性响应对照表</w:t>
      </w:r>
      <w:bookmarkEnd w:id="66"/>
    </w:p>
    <w:p w14:paraId="6DA1966F">
      <w:pPr>
        <w:rPr>
          <w:rFonts w:hint="eastAsia" w:ascii="宋体" w:hAnsi="宋体" w:cs="宋体"/>
          <w:b/>
          <w:color w:val="auto"/>
          <w:sz w:val="24"/>
          <w:szCs w:val="24"/>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14:paraId="70EC0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60AA5FBA">
            <w:pPr>
              <w:snapToGrid w:val="0"/>
              <w:spacing w:line="240" w:lineRule="atLeas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5447" w:type="dxa"/>
            <w:noWrap w:val="0"/>
            <w:vAlign w:val="center"/>
          </w:tcPr>
          <w:p w14:paraId="5777966C">
            <w:pPr>
              <w:snapToGrid w:val="0"/>
              <w:spacing w:line="240" w:lineRule="atLeas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非实质性响应内容</w:t>
            </w:r>
          </w:p>
        </w:tc>
        <w:tc>
          <w:tcPr>
            <w:tcW w:w="1680" w:type="dxa"/>
            <w:noWrap w:val="0"/>
            <w:vAlign w:val="center"/>
          </w:tcPr>
          <w:p w14:paraId="12330EEC">
            <w:pPr>
              <w:snapToGrid w:val="0"/>
              <w:spacing w:line="240" w:lineRule="atLeas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是否响应</w:t>
            </w:r>
          </w:p>
          <w:p w14:paraId="322BC3C3">
            <w:pPr>
              <w:snapToGrid w:val="0"/>
              <w:spacing w:line="240" w:lineRule="atLeas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（填是或者否）</w:t>
            </w:r>
          </w:p>
        </w:tc>
        <w:tc>
          <w:tcPr>
            <w:tcW w:w="1308" w:type="dxa"/>
            <w:noWrap w:val="0"/>
            <w:vAlign w:val="center"/>
          </w:tcPr>
          <w:p w14:paraId="7928D926">
            <w:pPr>
              <w:snapToGrid w:val="0"/>
              <w:spacing w:line="240" w:lineRule="atLeas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响应情况</w:t>
            </w:r>
          </w:p>
        </w:tc>
      </w:tr>
      <w:tr w14:paraId="59235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236E849D">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1</w:t>
            </w:r>
          </w:p>
        </w:tc>
        <w:tc>
          <w:tcPr>
            <w:tcW w:w="5447" w:type="dxa"/>
            <w:noWrap w:val="0"/>
            <w:vAlign w:val="center"/>
          </w:tcPr>
          <w:p w14:paraId="1B486C6B">
            <w:pPr>
              <w:spacing w:line="0" w:lineRule="atLeast"/>
              <w:rPr>
                <w:rFonts w:hint="eastAsia" w:ascii="宋体" w:hAnsi="宋体" w:cs="宋体"/>
                <w:iCs/>
                <w:color w:val="auto"/>
                <w:sz w:val="24"/>
                <w:szCs w:val="24"/>
                <w:highlight w:val="none"/>
              </w:rPr>
            </w:pPr>
            <w:r>
              <w:rPr>
                <w:rFonts w:hint="eastAsia" w:ascii="宋体" w:hAnsi="宋体" w:cs="宋体"/>
                <w:color w:val="auto"/>
                <w:sz w:val="24"/>
                <w:szCs w:val="24"/>
                <w:highlight w:val="none"/>
              </w:rPr>
              <w:t>《企业声明函》</w:t>
            </w:r>
          </w:p>
        </w:tc>
        <w:tc>
          <w:tcPr>
            <w:tcW w:w="1680" w:type="dxa"/>
            <w:noWrap w:val="0"/>
            <w:vAlign w:val="center"/>
          </w:tcPr>
          <w:p w14:paraId="538ADB07">
            <w:pPr>
              <w:rPr>
                <w:rFonts w:hint="eastAsia" w:ascii="宋体" w:hAnsi="宋体" w:cs="宋体"/>
                <w:b/>
                <w:color w:val="auto"/>
                <w:sz w:val="24"/>
                <w:szCs w:val="24"/>
                <w:highlight w:val="none"/>
              </w:rPr>
            </w:pPr>
          </w:p>
        </w:tc>
        <w:tc>
          <w:tcPr>
            <w:tcW w:w="1308" w:type="dxa"/>
            <w:noWrap w:val="0"/>
            <w:vAlign w:val="center"/>
          </w:tcPr>
          <w:p w14:paraId="2D7A7566">
            <w:pPr>
              <w:rPr>
                <w:rFonts w:hint="eastAsia" w:ascii="宋体" w:hAnsi="宋体" w:cs="宋体"/>
                <w:b/>
                <w:color w:val="auto"/>
                <w:sz w:val="24"/>
                <w:szCs w:val="24"/>
                <w:highlight w:val="none"/>
              </w:rPr>
            </w:pPr>
          </w:p>
        </w:tc>
      </w:tr>
      <w:tr w14:paraId="576B0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575C73CA">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5447" w:type="dxa"/>
            <w:noWrap w:val="0"/>
            <w:vAlign w:val="center"/>
          </w:tcPr>
          <w:p w14:paraId="17D4A657">
            <w:pPr>
              <w:spacing w:line="0" w:lineRule="atLeast"/>
              <w:rPr>
                <w:rFonts w:hint="eastAsia" w:ascii="宋体" w:hAnsi="宋体" w:cs="宋体"/>
                <w:iCs/>
                <w:color w:val="auto"/>
                <w:sz w:val="24"/>
                <w:szCs w:val="24"/>
                <w:highlight w:val="none"/>
              </w:rPr>
            </w:pPr>
            <w:r>
              <w:rPr>
                <w:rFonts w:hint="eastAsia" w:ascii="宋体" w:hAnsi="宋体" w:cs="宋体"/>
                <w:color w:val="auto"/>
                <w:sz w:val="24"/>
                <w:szCs w:val="24"/>
                <w:highlight w:val="none"/>
              </w:rPr>
              <w:t>《残疾人福利性单位声明函》</w:t>
            </w:r>
          </w:p>
        </w:tc>
        <w:tc>
          <w:tcPr>
            <w:tcW w:w="1680" w:type="dxa"/>
            <w:noWrap w:val="0"/>
            <w:vAlign w:val="center"/>
          </w:tcPr>
          <w:p w14:paraId="64530F98">
            <w:pPr>
              <w:rPr>
                <w:rFonts w:hint="eastAsia" w:ascii="宋体" w:hAnsi="宋体" w:cs="宋体"/>
                <w:color w:val="auto"/>
                <w:sz w:val="24"/>
                <w:szCs w:val="24"/>
                <w:highlight w:val="none"/>
              </w:rPr>
            </w:pPr>
          </w:p>
        </w:tc>
        <w:tc>
          <w:tcPr>
            <w:tcW w:w="1308" w:type="dxa"/>
            <w:noWrap w:val="0"/>
            <w:vAlign w:val="center"/>
          </w:tcPr>
          <w:p w14:paraId="791A162E">
            <w:pPr>
              <w:rPr>
                <w:rFonts w:hint="eastAsia" w:ascii="宋体" w:hAnsi="宋体" w:cs="宋体"/>
                <w:color w:val="auto"/>
                <w:sz w:val="24"/>
                <w:szCs w:val="24"/>
                <w:highlight w:val="none"/>
              </w:rPr>
            </w:pPr>
          </w:p>
        </w:tc>
      </w:tr>
      <w:tr w14:paraId="16795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174EC78E">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5447" w:type="dxa"/>
            <w:noWrap w:val="0"/>
            <w:vAlign w:val="center"/>
          </w:tcPr>
          <w:p w14:paraId="151100B6">
            <w:pPr>
              <w:snapToGrid w:val="0"/>
              <w:spacing w:line="0" w:lineRule="atLeast"/>
              <w:rPr>
                <w:rFonts w:hint="eastAsia" w:ascii="宋体" w:hAnsi="宋体" w:cs="宋体"/>
                <w:iCs/>
                <w:color w:val="auto"/>
                <w:sz w:val="24"/>
                <w:szCs w:val="24"/>
                <w:highlight w:val="none"/>
              </w:rPr>
            </w:pPr>
            <w:r>
              <w:rPr>
                <w:rFonts w:hint="eastAsia" w:ascii="宋体" w:hAnsi="宋体" w:cs="宋体"/>
                <w:iCs/>
                <w:color w:val="auto"/>
                <w:sz w:val="24"/>
                <w:szCs w:val="24"/>
                <w:highlight w:val="none"/>
              </w:rPr>
              <w:t>……</w:t>
            </w:r>
          </w:p>
        </w:tc>
        <w:tc>
          <w:tcPr>
            <w:tcW w:w="1680" w:type="dxa"/>
            <w:noWrap w:val="0"/>
            <w:vAlign w:val="center"/>
          </w:tcPr>
          <w:p w14:paraId="35F67A0F">
            <w:pPr>
              <w:rPr>
                <w:rFonts w:hint="eastAsia" w:ascii="宋体" w:hAnsi="宋体" w:cs="宋体"/>
                <w:color w:val="auto"/>
                <w:sz w:val="24"/>
                <w:szCs w:val="24"/>
                <w:highlight w:val="none"/>
              </w:rPr>
            </w:pPr>
          </w:p>
        </w:tc>
        <w:tc>
          <w:tcPr>
            <w:tcW w:w="1308" w:type="dxa"/>
            <w:noWrap w:val="0"/>
            <w:vAlign w:val="center"/>
          </w:tcPr>
          <w:p w14:paraId="03D52B84">
            <w:pPr>
              <w:rPr>
                <w:rFonts w:hint="eastAsia" w:ascii="宋体" w:hAnsi="宋体" w:cs="宋体"/>
                <w:color w:val="auto"/>
                <w:sz w:val="24"/>
                <w:szCs w:val="24"/>
                <w:highlight w:val="none"/>
              </w:rPr>
            </w:pPr>
          </w:p>
        </w:tc>
      </w:tr>
    </w:tbl>
    <w:p w14:paraId="20FB0B94">
      <w:pPr>
        <w:adjustRightInd w:val="0"/>
        <w:spacing w:line="600" w:lineRule="exact"/>
        <w:contextualSpacing/>
        <w:jc w:val="center"/>
        <w:rPr>
          <w:rFonts w:hint="eastAsia" w:ascii="宋体" w:hAnsi="宋体" w:cs="宋体"/>
          <w:b/>
          <w:bCs/>
          <w:color w:val="auto"/>
          <w:sz w:val="24"/>
          <w:szCs w:val="24"/>
          <w:highlight w:val="none"/>
        </w:rPr>
      </w:pPr>
    </w:p>
    <w:p w14:paraId="6D962D94">
      <w:pPr>
        <w:adjustRightInd w:val="0"/>
        <w:spacing w:line="600" w:lineRule="exact"/>
        <w:contextualSpacing/>
        <w:jc w:val="center"/>
        <w:rPr>
          <w:rFonts w:hint="eastAsia" w:ascii="宋体" w:hAnsi="宋体" w:cs="宋体"/>
          <w:b/>
          <w:bCs/>
          <w:color w:val="auto"/>
          <w:sz w:val="24"/>
          <w:szCs w:val="24"/>
          <w:highlight w:val="none"/>
        </w:rPr>
      </w:pPr>
    </w:p>
    <w:p w14:paraId="62F56621">
      <w:pPr>
        <w:rPr>
          <w:rFonts w:hint="eastAsia" w:ascii="宋体" w:hAnsi="宋体" w:cs="宋体"/>
          <w:color w:val="auto"/>
          <w:sz w:val="24"/>
          <w:szCs w:val="24"/>
          <w:highlight w:val="none"/>
        </w:rPr>
      </w:pPr>
    </w:p>
    <w:p w14:paraId="290403D0">
      <w:pPr>
        <w:widowControl/>
        <w:jc w:val="left"/>
        <w:rPr>
          <w:rFonts w:hint="eastAsia" w:ascii="宋体" w:hAnsi="宋体" w:cs="宋体"/>
          <w:b/>
          <w:bCs/>
          <w:color w:val="auto"/>
          <w:sz w:val="24"/>
          <w:szCs w:val="24"/>
          <w:highlight w:val="none"/>
        </w:rPr>
      </w:pPr>
    </w:p>
    <w:p w14:paraId="609C5322">
      <w:pPr>
        <w:widowControl/>
        <w:jc w:val="left"/>
        <w:rPr>
          <w:rFonts w:hint="eastAsia" w:ascii="宋体" w:hAnsi="宋体" w:cs="宋体"/>
          <w:b/>
          <w:bCs/>
          <w:color w:val="auto"/>
          <w:sz w:val="24"/>
          <w:szCs w:val="24"/>
          <w:highlight w:val="none"/>
        </w:rPr>
      </w:pPr>
    </w:p>
    <w:p w14:paraId="15D57DFF">
      <w:pPr>
        <w:widowControl/>
        <w:jc w:val="left"/>
        <w:rPr>
          <w:rFonts w:hint="eastAsia" w:ascii="宋体" w:hAnsi="宋体" w:cs="宋体"/>
          <w:b/>
          <w:bCs/>
          <w:color w:val="auto"/>
          <w:sz w:val="24"/>
          <w:szCs w:val="24"/>
          <w:highlight w:val="none"/>
        </w:rPr>
      </w:pPr>
    </w:p>
    <w:p w14:paraId="3981DD6C">
      <w:pPr>
        <w:widowControl/>
        <w:jc w:val="left"/>
        <w:rPr>
          <w:rFonts w:hint="eastAsia" w:ascii="宋体" w:hAnsi="宋体" w:cs="宋体"/>
          <w:b/>
          <w:bCs/>
          <w:color w:val="auto"/>
          <w:sz w:val="24"/>
          <w:szCs w:val="24"/>
          <w:highlight w:val="none"/>
        </w:rPr>
      </w:pPr>
    </w:p>
    <w:p w14:paraId="632236AE">
      <w:pPr>
        <w:widowControl/>
        <w:jc w:val="left"/>
        <w:rPr>
          <w:rFonts w:hint="eastAsia" w:ascii="宋体" w:hAnsi="宋体" w:cs="宋体"/>
          <w:b/>
          <w:bCs/>
          <w:color w:val="auto"/>
          <w:sz w:val="24"/>
          <w:szCs w:val="24"/>
          <w:highlight w:val="none"/>
        </w:rPr>
      </w:pPr>
    </w:p>
    <w:p w14:paraId="74B18683">
      <w:pPr>
        <w:widowControl/>
        <w:jc w:val="left"/>
        <w:rPr>
          <w:rFonts w:hint="eastAsia" w:ascii="宋体" w:hAnsi="宋体" w:cs="宋体"/>
          <w:b/>
          <w:bCs/>
          <w:color w:val="auto"/>
          <w:sz w:val="24"/>
          <w:szCs w:val="24"/>
          <w:highlight w:val="none"/>
        </w:rPr>
      </w:pPr>
    </w:p>
    <w:p w14:paraId="37DCCAAD">
      <w:pPr>
        <w:widowControl/>
        <w:jc w:val="left"/>
        <w:rPr>
          <w:rFonts w:hint="eastAsia" w:ascii="宋体" w:hAnsi="宋体" w:cs="宋体"/>
          <w:b/>
          <w:bCs/>
          <w:color w:val="auto"/>
          <w:sz w:val="24"/>
          <w:szCs w:val="24"/>
          <w:highlight w:val="none"/>
        </w:rPr>
      </w:pPr>
    </w:p>
    <w:p w14:paraId="5D05ED47">
      <w:pPr>
        <w:widowControl/>
        <w:jc w:val="left"/>
        <w:rPr>
          <w:rFonts w:hint="eastAsia" w:ascii="宋体" w:hAnsi="宋体" w:cs="宋体"/>
          <w:b/>
          <w:bCs/>
          <w:color w:val="auto"/>
          <w:sz w:val="24"/>
          <w:szCs w:val="24"/>
          <w:highlight w:val="none"/>
        </w:rPr>
      </w:pPr>
    </w:p>
    <w:p w14:paraId="453774B8">
      <w:pPr>
        <w:widowControl/>
        <w:jc w:val="left"/>
        <w:rPr>
          <w:rFonts w:hint="eastAsia" w:ascii="宋体" w:hAnsi="宋体" w:cs="宋体"/>
          <w:b/>
          <w:bCs/>
          <w:color w:val="auto"/>
          <w:sz w:val="24"/>
          <w:szCs w:val="24"/>
          <w:highlight w:val="none"/>
        </w:rPr>
      </w:pPr>
    </w:p>
    <w:p w14:paraId="2598FFAD">
      <w:pPr>
        <w:widowControl/>
        <w:jc w:val="left"/>
        <w:rPr>
          <w:rFonts w:hint="eastAsia" w:ascii="宋体" w:hAnsi="宋体" w:cs="宋体"/>
          <w:b/>
          <w:bCs/>
          <w:color w:val="auto"/>
          <w:sz w:val="24"/>
          <w:szCs w:val="24"/>
          <w:highlight w:val="none"/>
        </w:rPr>
      </w:pPr>
    </w:p>
    <w:p w14:paraId="4C81640E">
      <w:pPr>
        <w:widowControl/>
        <w:jc w:val="left"/>
        <w:rPr>
          <w:rFonts w:hint="eastAsia" w:ascii="宋体" w:hAnsi="宋体" w:cs="宋体"/>
          <w:b/>
          <w:bCs/>
          <w:color w:val="auto"/>
          <w:sz w:val="24"/>
          <w:szCs w:val="24"/>
          <w:highlight w:val="none"/>
        </w:rPr>
      </w:pPr>
    </w:p>
    <w:p w14:paraId="748A468D">
      <w:pPr>
        <w:widowControl/>
        <w:jc w:val="left"/>
        <w:rPr>
          <w:rFonts w:hint="eastAsia" w:ascii="宋体" w:hAnsi="宋体" w:cs="宋体"/>
          <w:b/>
          <w:bCs/>
          <w:color w:val="auto"/>
          <w:sz w:val="24"/>
          <w:szCs w:val="24"/>
          <w:highlight w:val="none"/>
        </w:rPr>
      </w:pPr>
    </w:p>
    <w:p w14:paraId="258ED47B">
      <w:pPr>
        <w:widowControl/>
        <w:jc w:val="left"/>
        <w:rPr>
          <w:rFonts w:hint="eastAsia" w:ascii="宋体" w:hAnsi="宋体" w:cs="宋体"/>
          <w:b/>
          <w:bCs/>
          <w:color w:val="auto"/>
          <w:sz w:val="24"/>
          <w:szCs w:val="24"/>
          <w:highlight w:val="none"/>
        </w:rPr>
      </w:pPr>
    </w:p>
    <w:p w14:paraId="0CC8F19B">
      <w:pPr>
        <w:widowControl/>
        <w:jc w:val="left"/>
        <w:rPr>
          <w:rFonts w:hint="eastAsia" w:ascii="宋体" w:hAnsi="宋体" w:cs="宋体"/>
          <w:b/>
          <w:bCs/>
          <w:color w:val="auto"/>
          <w:sz w:val="24"/>
          <w:szCs w:val="24"/>
          <w:highlight w:val="none"/>
        </w:rPr>
      </w:pPr>
    </w:p>
    <w:p w14:paraId="40E2FB35">
      <w:pPr>
        <w:widowControl/>
        <w:jc w:val="left"/>
        <w:rPr>
          <w:rFonts w:hint="eastAsia" w:ascii="宋体" w:hAnsi="宋体" w:cs="宋体"/>
          <w:b/>
          <w:bCs/>
          <w:color w:val="auto"/>
          <w:sz w:val="24"/>
          <w:szCs w:val="24"/>
          <w:highlight w:val="none"/>
        </w:rPr>
      </w:pPr>
    </w:p>
    <w:p w14:paraId="04522743">
      <w:pPr>
        <w:widowControl/>
        <w:jc w:val="left"/>
        <w:rPr>
          <w:rFonts w:hint="eastAsia" w:ascii="宋体" w:hAnsi="宋体" w:cs="宋体"/>
          <w:b/>
          <w:bCs/>
          <w:color w:val="auto"/>
          <w:sz w:val="24"/>
          <w:szCs w:val="24"/>
          <w:highlight w:val="none"/>
        </w:rPr>
      </w:pPr>
    </w:p>
    <w:p w14:paraId="361687CC">
      <w:pPr>
        <w:widowControl/>
        <w:jc w:val="left"/>
        <w:rPr>
          <w:rFonts w:hint="eastAsia" w:ascii="宋体" w:hAnsi="宋体" w:cs="宋体"/>
          <w:b/>
          <w:bCs/>
          <w:color w:val="auto"/>
          <w:sz w:val="24"/>
          <w:szCs w:val="24"/>
          <w:highlight w:val="none"/>
        </w:rPr>
      </w:pPr>
    </w:p>
    <w:p w14:paraId="01568CCB">
      <w:pPr>
        <w:widowControl/>
        <w:jc w:val="left"/>
        <w:rPr>
          <w:rFonts w:hint="eastAsia" w:ascii="宋体" w:hAnsi="宋体" w:cs="宋体"/>
          <w:b/>
          <w:bCs/>
          <w:color w:val="auto"/>
          <w:sz w:val="24"/>
          <w:szCs w:val="24"/>
          <w:highlight w:val="none"/>
        </w:rPr>
      </w:pPr>
    </w:p>
    <w:p w14:paraId="1D282CE4">
      <w:pPr>
        <w:widowControl/>
        <w:jc w:val="left"/>
        <w:rPr>
          <w:rFonts w:hint="eastAsia" w:ascii="宋体" w:hAnsi="宋体" w:cs="宋体"/>
          <w:b/>
          <w:bCs/>
          <w:color w:val="auto"/>
          <w:sz w:val="24"/>
          <w:szCs w:val="24"/>
          <w:highlight w:val="none"/>
        </w:rPr>
      </w:pPr>
    </w:p>
    <w:p w14:paraId="634C2931">
      <w:pPr>
        <w:widowControl/>
        <w:jc w:val="left"/>
        <w:rPr>
          <w:rFonts w:hint="eastAsia" w:ascii="宋体" w:hAnsi="宋体" w:cs="宋体"/>
          <w:b/>
          <w:bCs/>
          <w:color w:val="auto"/>
          <w:sz w:val="24"/>
          <w:szCs w:val="24"/>
          <w:highlight w:val="none"/>
        </w:rPr>
      </w:pPr>
    </w:p>
    <w:p w14:paraId="6AFE0A08">
      <w:pPr>
        <w:widowControl/>
        <w:jc w:val="left"/>
        <w:rPr>
          <w:rFonts w:hint="eastAsia" w:ascii="宋体" w:hAnsi="宋体" w:cs="宋体"/>
          <w:b/>
          <w:bCs/>
          <w:color w:val="auto"/>
          <w:sz w:val="24"/>
          <w:szCs w:val="24"/>
          <w:highlight w:val="none"/>
        </w:rPr>
      </w:pPr>
    </w:p>
    <w:p w14:paraId="4D167252">
      <w:pPr>
        <w:widowControl/>
        <w:jc w:val="left"/>
        <w:rPr>
          <w:rFonts w:hint="eastAsia" w:ascii="宋体" w:hAnsi="宋体" w:cs="宋体"/>
          <w:b/>
          <w:bCs/>
          <w:color w:val="auto"/>
          <w:sz w:val="24"/>
          <w:szCs w:val="24"/>
          <w:highlight w:val="none"/>
        </w:rPr>
      </w:pPr>
    </w:p>
    <w:p w14:paraId="4D702FA8">
      <w:pPr>
        <w:widowControl/>
        <w:jc w:val="left"/>
        <w:rPr>
          <w:rFonts w:hint="eastAsia" w:ascii="宋体" w:hAnsi="宋体" w:cs="宋体"/>
          <w:b/>
          <w:bCs/>
          <w:color w:val="auto"/>
          <w:sz w:val="24"/>
          <w:szCs w:val="24"/>
          <w:highlight w:val="none"/>
        </w:rPr>
      </w:pPr>
    </w:p>
    <w:p w14:paraId="3FB006B0">
      <w:pPr>
        <w:widowControl/>
        <w:jc w:val="left"/>
        <w:rPr>
          <w:rFonts w:hint="eastAsia" w:ascii="宋体" w:hAnsi="宋体" w:cs="宋体"/>
          <w:b/>
          <w:bCs/>
          <w:color w:val="auto"/>
          <w:sz w:val="24"/>
          <w:szCs w:val="24"/>
          <w:highlight w:val="none"/>
        </w:rPr>
      </w:pPr>
    </w:p>
    <w:p w14:paraId="5A027066">
      <w:pPr>
        <w:spacing w:before="312" w:beforeLines="100" w:after="312" w:afterLines="100"/>
        <w:jc w:val="center"/>
        <w:rPr>
          <w:rFonts w:hint="eastAsia" w:ascii="宋体" w:hAnsi="宋体" w:cs="宋体"/>
          <w:b/>
          <w:bCs/>
          <w:color w:val="auto"/>
          <w:sz w:val="24"/>
          <w:szCs w:val="24"/>
          <w:highlight w:val="none"/>
        </w:rPr>
      </w:pPr>
      <w:bookmarkStart w:id="67" w:name="_Hlk166772457"/>
      <w:r>
        <w:rPr>
          <w:rFonts w:hint="eastAsia" w:ascii="宋体" w:hAnsi="宋体" w:cs="宋体"/>
          <w:b/>
          <w:bCs/>
          <w:color w:val="auto"/>
          <w:sz w:val="24"/>
          <w:szCs w:val="24"/>
          <w:highlight w:val="none"/>
        </w:rPr>
        <w:t>中小企业声明函（货物）</w:t>
      </w:r>
    </w:p>
    <w:p w14:paraId="664B4D9F">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cs="宋体"/>
          <w:color w:val="auto"/>
          <w:sz w:val="24"/>
          <w:szCs w:val="24"/>
          <w:highlight w:val="none"/>
          <w:u w:val="single"/>
        </w:rPr>
        <w:t>（单位名称）</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rPr>
        <w:t>采购活动，提供的货物全部由符合政策要求的中小企业制造。相关企业（含联合体中的中小企业、签订分包意向协议的中小企业）的具体情况如下：</w:t>
      </w:r>
    </w:p>
    <w:p w14:paraId="7838A07B">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 </w:t>
      </w:r>
      <w:r>
        <w:rPr>
          <w:rFonts w:hint="eastAsia" w:ascii="宋体" w:hAnsi="宋体" w:cs="宋体"/>
          <w:color w:val="auto"/>
          <w:sz w:val="24"/>
          <w:szCs w:val="24"/>
          <w:highlight w:val="none"/>
          <w:u w:val="single"/>
        </w:rPr>
        <w:t xml:space="preserve">（标的名称） </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（采购文件中明确的所属行业）行业</w:t>
      </w:r>
      <w:r>
        <w:rPr>
          <w:rFonts w:hint="eastAsia" w:ascii="宋体" w:hAnsi="宋体" w:cs="宋体"/>
          <w:color w:val="auto"/>
          <w:sz w:val="24"/>
          <w:szCs w:val="24"/>
          <w:highlight w:val="none"/>
        </w:rPr>
        <w:t>；制造商为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w:t>
      </w:r>
      <w:r>
        <w:rPr>
          <w:rFonts w:hint="eastAsia" w:ascii="宋体" w:hAnsi="宋体" w:cs="宋体"/>
          <w:color w:val="auto"/>
          <w:sz w:val="24"/>
          <w:szCs w:val="24"/>
          <w:highlight w:val="none"/>
          <w:lang w:eastAsia="en-US"/>
        </w:rPr>
        <w:fldChar w:fldCharType="begin"/>
      </w:r>
      <w:r>
        <w:rPr>
          <w:rFonts w:hint="eastAsia" w:ascii="宋体" w:hAnsi="宋体" w:cs="宋体"/>
          <w:color w:val="auto"/>
          <w:spacing w:val="-1"/>
          <w:sz w:val="24"/>
          <w:szCs w:val="24"/>
          <w:highlight w:val="none"/>
          <w:vertAlign w:val="superscript"/>
        </w:rPr>
        <w:instrText xml:space="preserve"> HYPERLINK \l "br1" </w:instrText>
      </w:r>
      <w:r>
        <w:rPr>
          <w:rFonts w:hint="eastAsia" w:ascii="宋体" w:hAnsi="宋体" w:cs="宋体"/>
          <w:color w:val="auto"/>
          <w:sz w:val="24"/>
          <w:szCs w:val="24"/>
          <w:highlight w:val="none"/>
          <w:lang w:eastAsia="en-US"/>
        </w:rPr>
        <w:fldChar w:fldCharType="separate"/>
      </w:r>
      <w:r>
        <w:rPr>
          <w:rFonts w:hint="eastAsia" w:ascii="宋体" w:hAnsi="宋体" w:cs="宋体"/>
          <w:color w:val="auto"/>
          <w:spacing w:val="-1"/>
          <w:sz w:val="24"/>
          <w:szCs w:val="24"/>
          <w:highlight w:val="none"/>
          <w:vertAlign w:val="superscript"/>
        </w:rPr>
        <w:t>1</w:t>
      </w:r>
      <w:r>
        <w:rPr>
          <w:rFonts w:hint="eastAsia" w:ascii="宋体" w:hAnsi="宋体" w:cs="宋体"/>
          <w:color w:val="auto"/>
          <w:sz w:val="24"/>
          <w:szCs w:val="24"/>
          <w:highlight w:val="none"/>
          <w:lang w:eastAsia="en-US"/>
        </w:rPr>
        <w:fldChar w:fldCharType="end"/>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（中型企业、小型企业、微型企业）；</w:t>
      </w:r>
    </w:p>
    <w:p w14:paraId="27B64A04">
      <w:pP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2. </w:t>
      </w:r>
      <w:r>
        <w:rPr>
          <w:rFonts w:hint="eastAsia" w:ascii="宋体" w:hAnsi="宋体" w:cs="宋体"/>
          <w:color w:val="auto"/>
          <w:sz w:val="24"/>
          <w:szCs w:val="24"/>
          <w:highlight w:val="none"/>
          <w:u w:val="single"/>
        </w:rPr>
        <w:t xml:space="preserve">（标的名称） </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（采购文件中明确的所属行业）行业</w:t>
      </w:r>
      <w:r>
        <w:rPr>
          <w:rFonts w:hint="eastAsia" w:ascii="宋体" w:hAnsi="宋体" w:cs="宋体"/>
          <w:color w:val="auto"/>
          <w:sz w:val="24"/>
          <w:szCs w:val="24"/>
          <w:highlight w:val="none"/>
        </w:rPr>
        <w:t>；制造商为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（中型企业、小型企业、微型企业）；</w:t>
      </w:r>
    </w:p>
    <w:p w14:paraId="7D55C8BA">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w:t>
      </w:r>
    </w:p>
    <w:p w14:paraId="228499C3">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14:paraId="0B667DFE">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14:paraId="5675928D">
      <w:pPr>
        <w:spacing w:line="360" w:lineRule="auto"/>
        <w:ind w:firstLine="480" w:firstLineChars="200"/>
        <w:jc w:val="left"/>
        <w:rPr>
          <w:rFonts w:hint="eastAsia" w:ascii="宋体" w:hAnsi="宋体" w:cs="宋体"/>
          <w:color w:val="auto"/>
          <w:sz w:val="24"/>
          <w:szCs w:val="24"/>
          <w:highlight w:val="none"/>
        </w:rPr>
      </w:pPr>
    </w:p>
    <w:p w14:paraId="4D284ECB">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注： 1、从业人员（不仅指在职职工）、营业收入、资产总额填报上一年度数据，无上一年度数据的新成立企业可不填报。</w:t>
      </w:r>
    </w:p>
    <w:p w14:paraId="353951F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2、供应商如不提供此声明函，价格将不做相应扣除。</w:t>
      </w:r>
    </w:p>
    <w:p w14:paraId="3BC1DDE9">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3、企业声明函请完整填写，中标后将公示。</w:t>
      </w:r>
    </w:p>
    <w:p w14:paraId="489243E9">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投标人应当对其出具的《中小企业声明函》真实性负责，投标人出具的《中小企业声明函》内容不实的，属于提供虚假材料谋取中标。对相关制造商信息了解不充分，或者不能确定相关信息真实、准确的，不建议出具《中小企业声明函》。</w:t>
      </w:r>
    </w:p>
    <w:p w14:paraId="3C02C514">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5、声明函应涵盖本项目(分包)所有货物，否则价格不作扣除。</w:t>
      </w:r>
    </w:p>
    <w:p w14:paraId="55559D81">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6、中小企业不得属于大企业的分支机构，不得存在控股股东为大企业的情形，不得存在与大企业的负责人为同一人的情形。</w:t>
      </w:r>
    </w:p>
    <w:p w14:paraId="786D295F">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bCs/>
          <w:color w:val="auto"/>
          <w:sz w:val="24"/>
          <w:szCs w:val="24"/>
          <w:highlight w:val="none"/>
          <w:shd w:val="clear" w:color="auto" w:fill="FFFFFF"/>
        </w:rPr>
        <w:t>《政府采购法》第七十七条第一款：提供虚假材料谋取中标、成交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w:t>
      </w:r>
    </w:p>
    <w:bookmarkEnd w:id="67"/>
    <w:p w14:paraId="6CBF760C">
      <w:pPr>
        <w:spacing w:line="360" w:lineRule="auto"/>
        <w:ind w:firstLine="6000" w:firstLineChars="2500"/>
        <w:rPr>
          <w:rFonts w:hint="eastAsia" w:ascii="宋体" w:hAnsi="宋体" w:cs="宋体"/>
          <w:color w:val="auto"/>
          <w:sz w:val="24"/>
          <w:szCs w:val="24"/>
          <w:highlight w:val="none"/>
        </w:rPr>
      </w:pPr>
      <w:r>
        <w:rPr>
          <w:rFonts w:hint="eastAsia" w:ascii="宋体" w:hAnsi="宋体" w:cs="宋体"/>
          <w:color w:val="auto"/>
          <w:sz w:val="24"/>
          <w:szCs w:val="24"/>
          <w:highlight w:val="none"/>
        </w:rPr>
        <w:t>企业名称（盖章）：</w:t>
      </w:r>
    </w:p>
    <w:p w14:paraId="3D1BEFDC">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日 期：</w:t>
      </w:r>
    </w:p>
    <w:p w14:paraId="43FA649F">
      <w:pPr>
        <w:pStyle w:val="3"/>
        <w:widowControl/>
        <w:spacing w:before="300" w:after="300" w:line="360" w:lineRule="auto"/>
        <w:outlineLvl w:val="9"/>
        <w:rPr>
          <w:rFonts w:hint="eastAsia" w:ascii="宋体" w:hAnsi="宋体" w:eastAsia="宋体" w:cs="宋体"/>
          <w:color w:val="auto"/>
          <w:sz w:val="24"/>
          <w:szCs w:val="24"/>
          <w:highlight w:val="none"/>
        </w:rPr>
      </w:pPr>
      <w:bookmarkStart w:id="68" w:name="_Toc170832705"/>
      <w:r>
        <w:rPr>
          <w:rFonts w:hint="eastAsia" w:ascii="宋体" w:hAnsi="宋体" w:eastAsia="宋体" w:cs="宋体"/>
          <w:bCs w:val="0"/>
          <w:color w:val="auto"/>
          <w:sz w:val="24"/>
          <w:szCs w:val="24"/>
          <w:highlight w:val="none"/>
        </w:rPr>
        <w:t>中小微企业划型标准</w:t>
      </w:r>
      <w:bookmarkEnd w:id="68"/>
      <w:r>
        <w:rPr>
          <w:rFonts w:hint="eastAsia" w:ascii="宋体" w:hAnsi="宋体" w:eastAsia="宋体" w:cs="宋体"/>
          <w:bCs w:val="0"/>
          <w:color w:val="auto"/>
          <w:sz w:val="24"/>
          <w:szCs w:val="24"/>
          <w:highlight w:val="none"/>
        </w:rPr>
        <w:t> </w:t>
      </w:r>
    </w:p>
    <w:p w14:paraId="5E6521E4">
      <w:pPr>
        <w:pStyle w:val="18"/>
        <w:widowControl/>
        <w:spacing w:before="300" w:after="452" w:line="360" w:lineRule="auto"/>
        <w:ind w:firstLine="420"/>
        <w:rPr>
          <w:rFonts w:hint="eastAsia" w:ascii="宋体" w:hAnsi="宋体" w:cs="宋体"/>
          <w:color w:val="auto"/>
          <w:highlight w:val="none"/>
        </w:rPr>
      </w:pPr>
      <w:r>
        <w:rPr>
          <w:rFonts w:hint="eastAsia" w:ascii="宋体" w:hAnsi="宋体" w:cs="宋体"/>
          <w:color w:val="auto"/>
          <w:highlight w:val="none"/>
        </w:rPr>
        <w:t>    </w:t>
      </w:r>
      <w:r>
        <w:rPr>
          <w:rStyle w:val="22"/>
          <w:rFonts w:hint="eastAsia" w:ascii="宋体" w:hAnsi="宋体" w:cs="宋体"/>
          <w:color w:val="auto"/>
          <w:highlight w:val="none"/>
        </w:rPr>
        <w:t>中小微企业划型标准如下：</w:t>
      </w:r>
    </w:p>
    <w:tbl>
      <w:tblPr>
        <w:tblStyle w:val="19"/>
        <w:tblW w:w="0" w:type="auto"/>
        <w:tblCellSpacing w:w="15" w:type="dxa"/>
        <w:tblInd w:w="0" w:type="dxa"/>
        <w:tblBorders>
          <w:top w:val="single" w:color="999999" w:sz="6" w:space="0"/>
          <w:left w:val="single" w:color="999999" w:sz="6"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46"/>
        <w:gridCol w:w="1739"/>
        <w:gridCol w:w="505"/>
        <w:gridCol w:w="2089"/>
        <w:gridCol w:w="1709"/>
        <w:gridCol w:w="1500"/>
      </w:tblGrid>
      <w:tr w14:paraId="78A6912D">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CellSpacing w:w="15" w:type="dxa"/>
        </w:trPr>
        <w:tc>
          <w:tcPr>
            <w:tcW w:w="1401"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10699241">
            <w:pPr>
              <w:pStyle w:val="18"/>
              <w:widowControl/>
              <w:spacing w:after="150" w:line="360" w:lineRule="auto"/>
              <w:rPr>
                <w:rFonts w:hint="eastAsia" w:ascii="宋体" w:hAnsi="宋体" w:cs="宋体"/>
                <w:color w:val="auto"/>
                <w:highlight w:val="none"/>
              </w:rPr>
            </w:pPr>
            <w:r>
              <w:rPr>
                <w:rStyle w:val="22"/>
                <w:rFonts w:hint="eastAsia" w:ascii="宋体" w:hAnsi="宋体" w:cs="宋体"/>
                <w:color w:val="auto"/>
                <w:highlight w:val="none"/>
              </w:rPr>
              <w:t>行业名称</w:t>
            </w:r>
          </w:p>
        </w:tc>
        <w:tc>
          <w:tcPr>
            <w:tcW w:w="1709" w:type="dxa"/>
            <w:tcBorders>
              <w:top w:val="single" w:color="auto" w:sz="6" w:space="0"/>
              <w:left w:val="nil"/>
              <w:bottom w:val="single" w:color="999999" w:sz="6" w:space="0"/>
              <w:right w:val="single" w:color="999999" w:sz="6" w:space="0"/>
            </w:tcBorders>
            <w:noWrap w:val="0"/>
            <w:tcMar>
              <w:top w:w="0" w:type="dxa"/>
              <w:left w:w="105" w:type="dxa"/>
              <w:bottom w:w="0" w:type="dxa"/>
              <w:right w:w="105" w:type="dxa"/>
            </w:tcMar>
            <w:vAlign w:val="center"/>
          </w:tcPr>
          <w:p w14:paraId="40D5FEA2">
            <w:pPr>
              <w:pStyle w:val="18"/>
              <w:widowControl/>
              <w:spacing w:after="150" w:line="360" w:lineRule="auto"/>
              <w:jc w:val="center"/>
              <w:rPr>
                <w:rFonts w:hint="eastAsia" w:ascii="宋体" w:hAnsi="宋体" w:cs="宋体"/>
                <w:color w:val="auto"/>
                <w:highlight w:val="none"/>
              </w:rPr>
            </w:pPr>
            <w:r>
              <w:rPr>
                <w:rStyle w:val="22"/>
                <w:rFonts w:hint="eastAsia" w:ascii="宋体" w:hAnsi="宋体" w:cs="宋体"/>
                <w:color w:val="auto"/>
                <w:highlight w:val="none"/>
              </w:rPr>
              <w:t>指标名称</w:t>
            </w:r>
          </w:p>
        </w:tc>
        <w:tc>
          <w:tcPr>
            <w:tcW w:w="475" w:type="dxa"/>
            <w:tcBorders>
              <w:top w:val="single" w:color="auto" w:sz="6" w:space="0"/>
              <w:left w:val="nil"/>
              <w:bottom w:val="single" w:color="999999" w:sz="6" w:space="0"/>
              <w:right w:val="single" w:color="999999" w:sz="6" w:space="0"/>
            </w:tcBorders>
            <w:noWrap w:val="0"/>
            <w:tcMar>
              <w:top w:w="0" w:type="dxa"/>
              <w:left w:w="105" w:type="dxa"/>
              <w:bottom w:w="0" w:type="dxa"/>
              <w:right w:w="105" w:type="dxa"/>
            </w:tcMar>
            <w:vAlign w:val="center"/>
          </w:tcPr>
          <w:p w14:paraId="75DAC9AB">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计量单位</w:t>
            </w:r>
          </w:p>
        </w:tc>
        <w:tc>
          <w:tcPr>
            <w:tcW w:w="2059" w:type="dxa"/>
            <w:tcBorders>
              <w:top w:val="single" w:color="auto" w:sz="6" w:space="0"/>
              <w:left w:val="nil"/>
              <w:bottom w:val="single" w:color="999999" w:sz="6" w:space="0"/>
              <w:right w:val="single" w:color="999999" w:sz="6" w:space="0"/>
            </w:tcBorders>
            <w:noWrap w:val="0"/>
            <w:tcMar>
              <w:top w:w="0" w:type="dxa"/>
              <w:left w:w="105" w:type="dxa"/>
              <w:bottom w:w="0" w:type="dxa"/>
              <w:right w:w="105" w:type="dxa"/>
            </w:tcMar>
            <w:vAlign w:val="center"/>
          </w:tcPr>
          <w:p w14:paraId="2A7536EB">
            <w:pPr>
              <w:pStyle w:val="18"/>
              <w:widowControl/>
              <w:spacing w:after="150" w:line="360" w:lineRule="auto"/>
              <w:jc w:val="center"/>
              <w:rPr>
                <w:rFonts w:hint="eastAsia" w:ascii="宋体" w:hAnsi="宋体" w:cs="宋体"/>
                <w:color w:val="auto"/>
                <w:highlight w:val="none"/>
              </w:rPr>
            </w:pPr>
            <w:r>
              <w:rPr>
                <w:rStyle w:val="22"/>
                <w:rFonts w:hint="eastAsia" w:ascii="宋体" w:hAnsi="宋体" w:cs="宋体"/>
                <w:color w:val="auto"/>
                <w:highlight w:val="none"/>
              </w:rPr>
              <w:t>中型</w:t>
            </w:r>
          </w:p>
        </w:tc>
        <w:tc>
          <w:tcPr>
            <w:tcW w:w="1679" w:type="dxa"/>
            <w:tcBorders>
              <w:top w:val="single" w:color="auto" w:sz="6" w:space="0"/>
              <w:left w:val="nil"/>
              <w:bottom w:val="single" w:color="999999" w:sz="6" w:space="0"/>
              <w:right w:val="single" w:color="999999" w:sz="6" w:space="0"/>
            </w:tcBorders>
            <w:noWrap w:val="0"/>
            <w:tcMar>
              <w:top w:w="0" w:type="dxa"/>
              <w:left w:w="105" w:type="dxa"/>
              <w:bottom w:w="0" w:type="dxa"/>
              <w:right w:w="105" w:type="dxa"/>
            </w:tcMar>
            <w:vAlign w:val="center"/>
          </w:tcPr>
          <w:p w14:paraId="43996263">
            <w:pPr>
              <w:pStyle w:val="18"/>
              <w:widowControl/>
              <w:spacing w:after="150" w:line="360" w:lineRule="auto"/>
              <w:jc w:val="center"/>
              <w:rPr>
                <w:rFonts w:hint="eastAsia" w:ascii="宋体" w:hAnsi="宋体" w:cs="宋体"/>
                <w:color w:val="auto"/>
                <w:highlight w:val="none"/>
              </w:rPr>
            </w:pPr>
            <w:r>
              <w:rPr>
                <w:rStyle w:val="22"/>
                <w:rFonts w:hint="eastAsia" w:ascii="宋体" w:hAnsi="宋体" w:cs="宋体"/>
                <w:color w:val="auto"/>
                <w:highlight w:val="none"/>
              </w:rPr>
              <w:t>小型</w:t>
            </w:r>
          </w:p>
        </w:tc>
        <w:tc>
          <w:tcPr>
            <w:tcW w:w="1455" w:type="dxa"/>
            <w:tcBorders>
              <w:top w:val="single" w:color="auto" w:sz="6" w:space="0"/>
              <w:left w:val="nil"/>
              <w:bottom w:val="single" w:color="999999" w:sz="6" w:space="0"/>
              <w:right w:val="single" w:color="999999" w:sz="6" w:space="0"/>
            </w:tcBorders>
            <w:noWrap w:val="0"/>
            <w:tcMar>
              <w:top w:w="0" w:type="dxa"/>
              <w:left w:w="105" w:type="dxa"/>
              <w:bottom w:w="0" w:type="dxa"/>
              <w:right w:w="105" w:type="dxa"/>
            </w:tcMar>
            <w:vAlign w:val="center"/>
          </w:tcPr>
          <w:p w14:paraId="5B011C5B">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微型</w:t>
            </w:r>
          </w:p>
        </w:tc>
      </w:tr>
      <w:tr w14:paraId="2B69618A">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6BCAC12F">
            <w:pPr>
              <w:pStyle w:val="18"/>
              <w:widowControl/>
              <w:spacing w:after="150" w:line="360" w:lineRule="auto"/>
              <w:ind w:firstLine="420"/>
              <w:jc w:val="center"/>
              <w:rPr>
                <w:rFonts w:hint="eastAsia" w:ascii="宋体" w:hAnsi="宋体" w:cs="宋体"/>
                <w:color w:val="auto"/>
                <w:highlight w:val="none"/>
              </w:rPr>
            </w:pPr>
            <w:r>
              <w:rPr>
                <w:rStyle w:val="22"/>
                <w:rFonts w:hint="eastAsia" w:ascii="宋体" w:hAnsi="宋体" w:cs="宋体"/>
                <w:color w:val="auto"/>
                <w:highlight w:val="none"/>
              </w:rPr>
              <w:t>农、林、牧、渔</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A3F053B">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营业收入（Y）</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0E6ECBF">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万万元</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922C373">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500≤Y＜20000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54E7C11">
            <w:pPr>
              <w:pStyle w:val="18"/>
              <w:widowControl/>
              <w:spacing w:after="150" w:line="360" w:lineRule="auto"/>
              <w:jc w:val="center"/>
              <w:rPr>
                <w:rFonts w:hint="eastAsia" w:ascii="宋体" w:hAnsi="宋体" w:cs="宋体"/>
                <w:color w:val="auto"/>
                <w:highlight w:val="none"/>
              </w:rPr>
            </w:pPr>
            <w:r>
              <w:rPr>
                <w:rStyle w:val="22"/>
                <w:rFonts w:hint="eastAsia" w:ascii="宋体" w:hAnsi="宋体" w:cs="宋体"/>
                <w:color w:val="auto"/>
                <w:highlight w:val="none"/>
              </w:rPr>
              <w:t>50≤Y＜500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7F73774">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Y＜50</w:t>
            </w:r>
          </w:p>
        </w:tc>
      </w:tr>
      <w:tr w14:paraId="0F23E1F6">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2D29C59B">
            <w:pPr>
              <w:pStyle w:val="18"/>
              <w:widowControl/>
              <w:spacing w:after="150" w:line="360" w:lineRule="auto"/>
              <w:ind w:firstLine="420"/>
              <w:jc w:val="center"/>
              <w:rPr>
                <w:rFonts w:hint="eastAsia" w:ascii="宋体" w:hAnsi="宋体" w:cs="宋体"/>
                <w:color w:val="auto"/>
                <w:highlight w:val="none"/>
              </w:rPr>
            </w:pPr>
            <w:r>
              <w:rPr>
                <w:rStyle w:val="22"/>
                <w:rFonts w:hint="eastAsia" w:ascii="宋体" w:hAnsi="宋体" w:cs="宋体"/>
                <w:color w:val="auto"/>
                <w:highlight w:val="none"/>
              </w:rPr>
              <w:t>工业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93E0590">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从业人员（X）</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912B104">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人</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1746576">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300≤X＜1000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063ABE3">
            <w:pPr>
              <w:pStyle w:val="18"/>
              <w:widowControl/>
              <w:spacing w:after="150" w:line="360" w:lineRule="auto"/>
              <w:jc w:val="center"/>
              <w:rPr>
                <w:rFonts w:hint="eastAsia" w:ascii="宋体" w:hAnsi="宋体" w:cs="宋体"/>
                <w:color w:val="auto"/>
                <w:highlight w:val="none"/>
              </w:rPr>
            </w:pPr>
            <w:r>
              <w:rPr>
                <w:rStyle w:val="22"/>
                <w:rFonts w:hint="eastAsia" w:ascii="宋体" w:hAnsi="宋体" w:cs="宋体"/>
                <w:color w:val="auto"/>
                <w:highlight w:val="none"/>
              </w:rPr>
              <w:t>20≤X＜300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EEECC4E">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X＜20</w:t>
            </w:r>
          </w:p>
        </w:tc>
      </w:tr>
      <w:tr w14:paraId="1BE6696F">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27F0B966">
            <w:pPr>
              <w:widowControl/>
              <w:jc w:val="left"/>
              <w:rPr>
                <w:rFonts w:hint="eastAsia" w:ascii="宋体" w:hAnsi="宋体" w:cs="宋体"/>
                <w:color w:val="auto"/>
                <w:kern w:val="0"/>
                <w:sz w:val="24"/>
                <w:szCs w:val="24"/>
                <w:highlight w:val="none"/>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9D900CE">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营业收入（Y）</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A28C4FB">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万万元</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574500E">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2000≤Y＜40000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F6B957E">
            <w:pPr>
              <w:pStyle w:val="18"/>
              <w:widowControl/>
              <w:spacing w:after="150" w:line="360" w:lineRule="auto"/>
              <w:jc w:val="center"/>
              <w:rPr>
                <w:rFonts w:hint="eastAsia" w:ascii="宋体" w:hAnsi="宋体" w:cs="宋体"/>
                <w:color w:val="auto"/>
                <w:highlight w:val="none"/>
              </w:rPr>
            </w:pPr>
            <w:r>
              <w:rPr>
                <w:rStyle w:val="22"/>
                <w:rFonts w:hint="eastAsia" w:ascii="宋体" w:hAnsi="宋体" w:cs="宋体"/>
                <w:color w:val="auto"/>
                <w:highlight w:val="none"/>
              </w:rPr>
              <w:t>300≤Y＜2000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FBCE1BD">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Y＜300</w:t>
            </w:r>
          </w:p>
        </w:tc>
      </w:tr>
      <w:tr w14:paraId="1C68302B">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22B7C785">
            <w:pPr>
              <w:pStyle w:val="18"/>
              <w:widowControl/>
              <w:spacing w:after="150" w:line="360" w:lineRule="auto"/>
              <w:ind w:firstLine="420"/>
              <w:jc w:val="center"/>
              <w:rPr>
                <w:rFonts w:hint="eastAsia" w:ascii="宋体" w:hAnsi="宋体" w:cs="宋体"/>
                <w:color w:val="auto"/>
                <w:highlight w:val="none"/>
              </w:rPr>
            </w:pPr>
            <w:r>
              <w:rPr>
                <w:rStyle w:val="22"/>
                <w:rFonts w:hint="eastAsia" w:ascii="宋体" w:hAnsi="宋体" w:cs="宋体"/>
                <w:color w:val="auto"/>
                <w:highlight w:val="none"/>
              </w:rPr>
              <w:t>建筑业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8F77664">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营业收入（Y）</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A59807B">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万万元</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3C4B583">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6000≤Y＜80000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89DB2C7">
            <w:pPr>
              <w:pStyle w:val="18"/>
              <w:widowControl/>
              <w:spacing w:after="150" w:line="360" w:lineRule="auto"/>
              <w:jc w:val="center"/>
              <w:rPr>
                <w:rFonts w:hint="eastAsia" w:ascii="宋体" w:hAnsi="宋体" w:cs="宋体"/>
                <w:color w:val="auto"/>
                <w:highlight w:val="none"/>
              </w:rPr>
            </w:pPr>
            <w:r>
              <w:rPr>
                <w:rStyle w:val="22"/>
                <w:rFonts w:hint="eastAsia" w:ascii="宋体" w:hAnsi="宋体" w:cs="宋体"/>
                <w:color w:val="auto"/>
                <w:highlight w:val="none"/>
              </w:rPr>
              <w:t>300≤Y＜6000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B90D829">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Y＜300</w:t>
            </w:r>
          </w:p>
        </w:tc>
      </w:tr>
      <w:tr w14:paraId="3534219C">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07B5286B">
            <w:pPr>
              <w:widowControl/>
              <w:jc w:val="left"/>
              <w:rPr>
                <w:rFonts w:hint="eastAsia" w:ascii="宋体" w:hAnsi="宋体" w:cs="宋体"/>
                <w:color w:val="auto"/>
                <w:kern w:val="0"/>
                <w:sz w:val="24"/>
                <w:szCs w:val="24"/>
                <w:highlight w:val="none"/>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A2FD391">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资产总额（Z）</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1A24294">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万万元</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FA82825">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5000≤Z＜80000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0CCC9B6">
            <w:pPr>
              <w:pStyle w:val="18"/>
              <w:widowControl/>
              <w:spacing w:after="150" w:line="360" w:lineRule="auto"/>
              <w:jc w:val="center"/>
              <w:rPr>
                <w:rFonts w:hint="eastAsia" w:ascii="宋体" w:hAnsi="宋体" w:cs="宋体"/>
                <w:color w:val="auto"/>
                <w:highlight w:val="none"/>
              </w:rPr>
            </w:pPr>
            <w:r>
              <w:rPr>
                <w:rStyle w:val="22"/>
                <w:rFonts w:hint="eastAsia" w:ascii="宋体" w:hAnsi="宋体" w:cs="宋体"/>
                <w:color w:val="auto"/>
                <w:highlight w:val="none"/>
              </w:rPr>
              <w:t>300≤Z＜5000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285C9CB">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Z＜300</w:t>
            </w:r>
          </w:p>
        </w:tc>
      </w:tr>
      <w:tr w14:paraId="124EA2F6">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5F71DE33">
            <w:pPr>
              <w:pStyle w:val="18"/>
              <w:widowControl/>
              <w:spacing w:after="150" w:line="360" w:lineRule="auto"/>
              <w:ind w:firstLine="420"/>
              <w:jc w:val="center"/>
              <w:rPr>
                <w:rFonts w:hint="eastAsia" w:ascii="宋体" w:hAnsi="宋体" w:cs="宋体"/>
                <w:color w:val="auto"/>
                <w:highlight w:val="none"/>
              </w:rPr>
            </w:pPr>
            <w:r>
              <w:rPr>
                <w:rStyle w:val="22"/>
                <w:rFonts w:hint="eastAsia" w:ascii="宋体" w:hAnsi="宋体" w:cs="宋体"/>
                <w:color w:val="auto"/>
                <w:highlight w:val="none"/>
              </w:rPr>
              <w:t>批发业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331CE3E">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从业人员（X）</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F29CB58">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人</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504BA16">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20≤X＜200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AC7E93D">
            <w:pPr>
              <w:pStyle w:val="18"/>
              <w:widowControl/>
              <w:spacing w:after="150" w:line="360" w:lineRule="auto"/>
              <w:jc w:val="center"/>
              <w:rPr>
                <w:rFonts w:hint="eastAsia" w:ascii="宋体" w:hAnsi="宋体" w:cs="宋体"/>
                <w:color w:val="auto"/>
                <w:highlight w:val="none"/>
              </w:rPr>
            </w:pPr>
            <w:r>
              <w:rPr>
                <w:rStyle w:val="22"/>
                <w:rFonts w:hint="eastAsia" w:ascii="宋体" w:hAnsi="宋体" w:cs="宋体"/>
                <w:color w:val="auto"/>
                <w:highlight w:val="none"/>
              </w:rPr>
              <w:t>5≤X＜20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33D4FA8">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X＜5</w:t>
            </w:r>
          </w:p>
        </w:tc>
      </w:tr>
      <w:tr w14:paraId="32148B55">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4E0DC571">
            <w:pPr>
              <w:widowControl/>
              <w:jc w:val="left"/>
              <w:rPr>
                <w:rFonts w:hint="eastAsia" w:ascii="宋体" w:hAnsi="宋体" w:cs="宋体"/>
                <w:color w:val="auto"/>
                <w:kern w:val="0"/>
                <w:sz w:val="24"/>
                <w:szCs w:val="24"/>
                <w:highlight w:val="none"/>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55656A7">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营业收入（Y）</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017F983">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万万元</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6396D62">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5000≤Y＜40000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93AAF26">
            <w:pPr>
              <w:pStyle w:val="18"/>
              <w:widowControl/>
              <w:spacing w:after="150" w:line="360" w:lineRule="auto"/>
              <w:jc w:val="center"/>
              <w:rPr>
                <w:rFonts w:hint="eastAsia" w:ascii="宋体" w:hAnsi="宋体" w:cs="宋体"/>
                <w:color w:val="auto"/>
                <w:highlight w:val="none"/>
              </w:rPr>
            </w:pPr>
            <w:r>
              <w:rPr>
                <w:rStyle w:val="22"/>
                <w:rFonts w:hint="eastAsia" w:ascii="宋体" w:hAnsi="宋体" w:cs="宋体"/>
                <w:color w:val="auto"/>
                <w:highlight w:val="none"/>
              </w:rPr>
              <w:t>1000≤Y＜5000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26B207F">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Y＜1000</w:t>
            </w:r>
          </w:p>
        </w:tc>
      </w:tr>
      <w:tr w14:paraId="5C73244A">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123A22A6">
            <w:pPr>
              <w:pStyle w:val="18"/>
              <w:widowControl/>
              <w:spacing w:after="150" w:line="360" w:lineRule="auto"/>
              <w:ind w:firstLine="420"/>
              <w:jc w:val="center"/>
              <w:rPr>
                <w:rFonts w:hint="eastAsia" w:ascii="宋体" w:hAnsi="宋体" w:cs="宋体"/>
                <w:color w:val="auto"/>
                <w:highlight w:val="none"/>
              </w:rPr>
            </w:pPr>
            <w:r>
              <w:rPr>
                <w:rStyle w:val="22"/>
                <w:rFonts w:hint="eastAsia" w:ascii="宋体" w:hAnsi="宋体" w:cs="宋体"/>
                <w:color w:val="auto"/>
                <w:highlight w:val="none"/>
              </w:rPr>
              <w:t>零售业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69F40C3">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从业人员（X）</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B2919AB">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人</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46CB965">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50≤X＜300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13D9290">
            <w:pPr>
              <w:pStyle w:val="18"/>
              <w:widowControl/>
              <w:spacing w:after="150" w:line="360" w:lineRule="auto"/>
              <w:jc w:val="center"/>
              <w:rPr>
                <w:rFonts w:hint="eastAsia" w:ascii="宋体" w:hAnsi="宋体" w:cs="宋体"/>
                <w:color w:val="auto"/>
                <w:highlight w:val="none"/>
              </w:rPr>
            </w:pPr>
            <w:r>
              <w:rPr>
                <w:rStyle w:val="22"/>
                <w:rFonts w:hint="eastAsia" w:ascii="宋体" w:hAnsi="宋体" w:cs="宋体"/>
                <w:color w:val="auto"/>
                <w:highlight w:val="none"/>
              </w:rPr>
              <w:t>10≤X＜50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4F5464D">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X＜10</w:t>
            </w:r>
          </w:p>
        </w:tc>
      </w:tr>
      <w:tr w14:paraId="2CF6A1C4">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2D16E3C0">
            <w:pPr>
              <w:widowControl/>
              <w:jc w:val="left"/>
              <w:rPr>
                <w:rFonts w:hint="eastAsia" w:ascii="宋体" w:hAnsi="宋体" w:cs="宋体"/>
                <w:color w:val="auto"/>
                <w:kern w:val="0"/>
                <w:sz w:val="24"/>
                <w:szCs w:val="24"/>
                <w:highlight w:val="none"/>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C4359FE">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营业收入（Y）</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F2F1C83">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万万元</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7312B96">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500≤Y＜20000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013DFDD">
            <w:pPr>
              <w:pStyle w:val="18"/>
              <w:widowControl/>
              <w:spacing w:after="150" w:line="360" w:lineRule="auto"/>
              <w:jc w:val="center"/>
              <w:rPr>
                <w:rFonts w:hint="eastAsia" w:ascii="宋体" w:hAnsi="宋体" w:cs="宋体"/>
                <w:color w:val="auto"/>
                <w:highlight w:val="none"/>
              </w:rPr>
            </w:pPr>
            <w:r>
              <w:rPr>
                <w:rStyle w:val="22"/>
                <w:rFonts w:hint="eastAsia" w:ascii="宋体" w:hAnsi="宋体" w:cs="宋体"/>
                <w:color w:val="auto"/>
                <w:highlight w:val="none"/>
              </w:rPr>
              <w:t>100≤Y＜500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2DDED9D">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Y＜100</w:t>
            </w:r>
          </w:p>
        </w:tc>
      </w:tr>
      <w:tr w14:paraId="0E4EB48C">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313265C0">
            <w:pPr>
              <w:pStyle w:val="18"/>
              <w:widowControl/>
              <w:spacing w:after="150" w:line="360" w:lineRule="auto"/>
              <w:ind w:firstLine="420"/>
              <w:jc w:val="center"/>
              <w:rPr>
                <w:rFonts w:hint="eastAsia" w:ascii="宋体" w:hAnsi="宋体" w:cs="宋体"/>
                <w:color w:val="auto"/>
                <w:highlight w:val="none"/>
              </w:rPr>
            </w:pPr>
            <w:r>
              <w:rPr>
                <w:rStyle w:val="22"/>
                <w:rFonts w:hint="eastAsia" w:ascii="宋体" w:hAnsi="宋体" w:cs="宋体"/>
                <w:color w:val="auto"/>
                <w:highlight w:val="none"/>
              </w:rPr>
              <w:t>交通运输业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4284B9F">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从业人员（X）</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FB91B21">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人</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59FC5D4">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300≤X＜1000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EC45E5D">
            <w:pPr>
              <w:pStyle w:val="18"/>
              <w:widowControl/>
              <w:spacing w:after="150" w:line="360" w:lineRule="auto"/>
              <w:jc w:val="center"/>
              <w:rPr>
                <w:rFonts w:hint="eastAsia" w:ascii="宋体" w:hAnsi="宋体" w:cs="宋体"/>
                <w:color w:val="auto"/>
                <w:highlight w:val="none"/>
              </w:rPr>
            </w:pPr>
            <w:r>
              <w:rPr>
                <w:rStyle w:val="22"/>
                <w:rFonts w:hint="eastAsia" w:ascii="宋体" w:hAnsi="宋体" w:cs="宋体"/>
                <w:color w:val="auto"/>
                <w:highlight w:val="none"/>
              </w:rPr>
              <w:t>20≤X＜300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AEBA7EE">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X＜20</w:t>
            </w:r>
          </w:p>
        </w:tc>
      </w:tr>
      <w:tr w14:paraId="1D6924FE">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006B023D">
            <w:pPr>
              <w:widowControl/>
              <w:jc w:val="left"/>
              <w:rPr>
                <w:rFonts w:hint="eastAsia" w:ascii="宋体" w:hAnsi="宋体" w:cs="宋体"/>
                <w:color w:val="auto"/>
                <w:kern w:val="0"/>
                <w:sz w:val="24"/>
                <w:szCs w:val="24"/>
                <w:highlight w:val="none"/>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C341E95">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营业收入（Y）</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6935770">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万万元</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FFE3174">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3000≤Y＜30000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A76410E">
            <w:pPr>
              <w:pStyle w:val="18"/>
              <w:widowControl/>
              <w:spacing w:after="150" w:line="360" w:lineRule="auto"/>
              <w:jc w:val="center"/>
              <w:rPr>
                <w:rFonts w:hint="eastAsia" w:ascii="宋体" w:hAnsi="宋体" w:cs="宋体"/>
                <w:color w:val="auto"/>
                <w:highlight w:val="none"/>
              </w:rPr>
            </w:pPr>
            <w:r>
              <w:rPr>
                <w:rStyle w:val="22"/>
                <w:rFonts w:hint="eastAsia" w:ascii="宋体" w:hAnsi="宋体" w:cs="宋体"/>
                <w:color w:val="auto"/>
                <w:highlight w:val="none"/>
              </w:rPr>
              <w:t>200≤Y＜3000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CF8BAD8">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Y＜200</w:t>
            </w:r>
          </w:p>
        </w:tc>
      </w:tr>
      <w:tr w14:paraId="71A32087">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6F028941">
            <w:pPr>
              <w:pStyle w:val="18"/>
              <w:widowControl/>
              <w:spacing w:after="150" w:line="360" w:lineRule="auto"/>
              <w:ind w:firstLine="420"/>
              <w:jc w:val="center"/>
              <w:rPr>
                <w:rFonts w:hint="eastAsia" w:ascii="宋体" w:hAnsi="宋体" w:cs="宋体"/>
                <w:color w:val="auto"/>
                <w:highlight w:val="none"/>
              </w:rPr>
            </w:pPr>
            <w:r>
              <w:rPr>
                <w:rStyle w:val="22"/>
                <w:rFonts w:hint="eastAsia" w:ascii="宋体" w:hAnsi="宋体" w:cs="宋体"/>
                <w:color w:val="auto"/>
                <w:highlight w:val="none"/>
              </w:rPr>
              <w:t>仓储业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5B4B68C">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从业人员（X）</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EF5D515">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人</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FBB74FE">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100≤X＜200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55464AA">
            <w:pPr>
              <w:pStyle w:val="18"/>
              <w:widowControl/>
              <w:spacing w:after="150" w:line="360" w:lineRule="auto"/>
              <w:jc w:val="center"/>
              <w:rPr>
                <w:rFonts w:hint="eastAsia" w:ascii="宋体" w:hAnsi="宋体" w:cs="宋体"/>
                <w:color w:val="auto"/>
                <w:highlight w:val="none"/>
              </w:rPr>
            </w:pPr>
            <w:r>
              <w:rPr>
                <w:rStyle w:val="22"/>
                <w:rFonts w:hint="eastAsia" w:ascii="宋体" w:hAnsi="宋体" w:cs="宋体"/>
                <w:color w:val="auto"/>
                <w:highlight w:val="none"/>
              </w:rPr>
              <w:t>20≤X＜100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48F2CC6">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X＜20</w:t>
            </w:r>
          </w:p>
        </w:tc>
      </w:tr>
      <w:tr w14:paraId="03EF582B">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4E1B79A2">
            <w:pPr>
              <w:widowControl/>
              <w:jc w:val="left"/>
              <w:rPr>
                <w:rFonts w:hint="eastAsia" w:ascii="宋体" w:hAnsi="宋体" w:cs="宋体"/>
                <w:color w:val="auto"/>
                <w:kern w:val="0"/>
                <w:sz w:val="24"/>
                <w:szCs w:val="24"/>
                <w:highlight w:val="none"/>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74430FB">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营业收入（Y）</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934B290">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万万元</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041728E">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1000≤Y＜30000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ED90A03">
            <w:pPr>
              <w:pStyle w:val="18"/>
              <w:widowControl/>
              <w:spacing w:after="150" w:line="360" w:lineRule="auto"/>
              <w:jc w:val="center"/>
              <w:rPr>
                <w:rFonts w:hint="eastAsia" w:ascii="宋体" w:hAnsi="宋体" w:cs="宋体"/>
                <w:color w:val="auto"/>
                <w:highlight w:val="none"/>
              </w:rPr>
            </w:pPr>
            <w:r>
              <w:rPr>
                <w:rStyle w:val="22"/>
                <w:rFonts w:hint="eastAsia" w:ascii="宋体" w:hAnsi="宋体" w:cs="宋体"/>
                <w:color w:val="auto"/>
                <w:highlight w:val="none"/>
              </w:rPr>
              <w:t>100≤Y＜1000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42D98AC">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Y＜100</w:t>
            </w:r>
          </w:p>
        </w:tc>
      </w:tr>
      <w:tr w14:paraId="5256C28A">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36BFF1D1">
            <w:pPr>
              <w:pStyle w:val="18"/>
              <w:widowControl/>
              <w:spacing w:after="150" w:line="360" w:lineRule="auto"/>
              <w:ind w:firstLine="420"/>
              <w:jc w:val="center"/>
              <w:rPr>
                <w:rFonts w:hint="eastAsia" w:ascii="宋体" w:hAnsi="宋体" w:cs="宋体"/>
                <w:color w:val="auto"/>
                <w:highlight w:val="none"/>
              </w:rPr>
            </w:pPr>
            <w:r>
              <w:rPr>
                <w:rStyle w:val="22"/>
                <w:rFonts w:hint="eastAsia" w:ascii="宋体" w:hAnsi="宋体" w:cs="宋体"/>
                <w:color w:val="auto"/>
                <w:highlight w:val="none"/>
              </w:rPr>
              <w:t>邮政业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CBE8233">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从业人员（X）</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0146E4D">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人</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D7D12EF">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300≤X＜1000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74CF0E7">
            <w:pPr>
              <w:pStyle w:val="18"/>
              <w:widowControl/>
              <w:spacing w:after="150" w:line="360" w:lineRule="auto"/>
              <w:jc w:val="center"/>
              <w:rPr>
                <w:rFonts w:hint="eastAsia" w:ascii="宋体" w:hAnsi="宋体" w:cs="宋体"/>
                <w:color w:val="auto"/>
                <w:highlight w:val="none"/>
              </w:rPr>
            </w:pPr>
            <w:r>
              <w:rPr>
                <w:rStyle w:val="22"/>
                <w:rFonts w:hint="eastAsia" w:ascii="宋体" w:hAnsi="宋体" w:cs="宋体"/>
                <w:color w:val="auto"/>
                <w:highlight w:val="none"/>
              </w:rPr>
              <w:t>20≤X＜300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D9F9396">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X＜20</w:t>
            </w:r>
          </w:p>
        </w:tc>
      </w:tr>
      <w:tr w14:paraId="35547CC3">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573CD8C1">
            <w:pPr>
              <w:widowControl/>
              <w:jc w:val="left"/>
              <w:rPr>
                <w:rFonts w:hint="eastAsia" w:ascii="宋体" w:hAnsi="宋体" w:cs="宋体"/>
                <w:color w:val="auto"/>
                <w:kern w:val="0"/>
                <w:sz w:val="24"/>
                <w:szCs w:val="24"/>
                <w:highlight w:val="none"/>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C804516">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营业收入（Y）</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51816FA">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万元</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E61BC4A">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2000≤Y＜30000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F4F7FFE">
            <w:pPr>
              <w:pStyle w:val="18"/>
              <w:widowControl/>
              <w:spacing w:after="150" w:line="360" w:lineRule="auto"/>
              <w:jc w:val="center"/>
              <w:rPr>
                <w:rFonts w:hint="eastAsia" w:ascii="宋体" w:hAnsi="宋体" w:cs="宋体"/>
                <w:color w:val="auto"/>
                <w:highlight w:val="none"/>
              </w:rPr>
            </w:pPr>
            <w:r>
              <w:rPr>
                <w:rStyle w:val="22"/>
                <w:rFonts w:hint="eastAsia" w:ascii="宋体" w:hAnsi="宋体" w:cs="宋体"/>
                <w:color w:val="auto"/>
                <w:highlight w:val="none"/>
              </w:rPr>
              <w:t>100≤Y＜2000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01D3E2C">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Y＜100</w:t>
            </w:r>
          </w:p>
        </w:tc>
      </w:tr>
      <w:tr w14:paraId="654221E4">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2B310D64">
            <w:pPr>
              <w:pStyle w:val="18"/>
              <w:widowControl/>
              <w:spacing w:after="150" w:line="360" w:lineRule="auto"/>
              <w:ind w:firstLine="420"/>
              <w:jc w:val="center"/>
              <w:rPr>
                <w:rFonts w:hint="eastAsia" w:ascii="宋体" w:hAnsi="宋体" w:cs="宋体"/>
                <w:color w:val="auto"/>
                <w:highlight w:val="none"/>
              </w:rPr>
            </w:pPr>
            <w:r>
              <w:rPr>
                <w:rStyle w:val="22"/>
                <w:rFonts w:hint="eastAsia" w:ascii="宋体" w:hAnsi="宋体" w:cs="宋体"/>
                <w:color w:val="auto"/>
                <w:highlight w:val="none"/>
              </w:rPr>
              <w:t>住宿业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1BAA190">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从业人员（X）</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4B20B12">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人</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BBA4937">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100≤X＜300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AF3AD9E">
            <w:pPr>
              <w:pStyle w:val="18"/>
              <w:widowControl/>
              <w:spacing w:after="150" w:line="360" w:lineRule="auto"/>
              <w:jc w:val="center"/>
              <w:rPr>
                <w:rFonts w:hint="eastAsia" w:ascii="宋体" w:hAnsi="宋体" w:cs="宋体"/>
                <w:color w:val="auto"/>
                <w:highlight w:val="none"/>
              </w:rPr>
            </w:pPr>
            <w:r>
              <w:rPr>
                <w:rStyle w:val="22"/>
                <w:rFonts w:hint="eastAsia" w:ascii="宋体" w:hAnsi="宋体" w:cs="宋体"/>
                <w:color w:val="auto"/>
                <w:highlight w:val="none"/>
              </w:rPr>
              <w:t>10≤X＜100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3C59F51">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X＜10</w:t>
            </w:r>
          </w:p>
        </w:tc>
      </w:tr>
      <w:tr w14:paraId="1F661E7C">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69354C0A">
            <w:pPr>
              <w:widowControl/>
              <w:jc w:val="left"/>
              <w:rPr>
                <w:rFonts w:hint="eastAsia" w:ascii="宋体" w:hAnsi="宋体" w:cs="宋体"/>
                <w:color w:val="auto"/>
                <w:kern w:val="0"/>
                <w:sz w:val="24"/>
                <w:szCs w:val="24"/>
                <w:highlight w:val="none"/>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6132A2A">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营业收入（Y）</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E6F04F0">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万万元</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F8B898C">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2000≤Y＜10000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CE420D8">
            <w:pPr>
              <w:pStyle w:val="18"/>
              <w:widowControl/>
              <w:spacing w:after="150" w:line="360" w:lineRule="auto"/>
              <w:jc w:val="center"/>
              <w:rPr>
                <w:rFonts w:hint="eastAsia" w:ascii="宋体" w:hAnsi="宋体" w:cs="宋体"/>
                <w:color w:val="auto"/>
                <w:highlight w:val="none"/>
              </w:rPr>
            </w:pPr>
            <w:r>
              <w:rPr>
                <w:rStyle w:val="22"/>
                <w:rFonts w:hint="eastAsia" w:ascii="宋体" w:hAnsi="宋体" w:cs="宋体"/>
                <w:color w:val="auto"/>
                <w:highlight w:val="none"/>
              </w:rPr>
              <w:t>100≤Y＜2000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CCEE456">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Y＜100</w:t>
            </w:r>
          </w:p>
        </w:tc>
      </w:tr>
      <w:tr w14:paraId="0DC5CD62">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1E501640">
            <w:pPr>
              <w:pStyle w:val="18"/>
              <w:widowControl/>
              <w:spacing w:after="150" w:line="360" w:lineRule="auto"/>
              <w:ind w:firstLine="420"/>
              <w:jc w:val="center"/>
              <w:rPr>
                <w:rFonts w:hint="eastAsia" w:ascii="宋体" w:hAnsi="宋体" w:cs="宋体"/>
                <w:color w:val="auto"/>
                <w:highlight w:val="none"/>
              </w:rPr>
            </w:pPr>
            <w:r>
              <w:rPr>
                <w:rStyle w:val="22"/>
                <w:rFonts w:hint="eastAsia" w:ascii="宋体" w:hAnsi="宋体" w:cs="宋体"/>
                <w:color w:val="auto"/>
                <w:highlight w:val="none"/>
              </w:rPr>
              <w:t>餐饮业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EF18BF2">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从业人员（X）</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73E8342">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人</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AEEED17">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100≤X＜300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2A69C0C">
            <w:pPr>
              <w:pStyle w:val="18"/>
              <w:widowControl/>
              <w:spacing w:after="150" w:line="360" w:lineRule="auto"/>
              <w:jc w:val="center"/>
              <w:rPr>
                <w:rFonts w:hint="eastAsia" w:ascii="宋体" w:hAnsi="宋体" w:cs="宋体"/>
                <w:color w:val="auto"/>
                <w:highlight w:val="none"/>
              </w:rPr>
            </w:pPr>
            <w:r>
              <w:rPr>
                <w:rStyle w:val="22"/>
                <w:rFonts w:hint="eastAsia" w:ascii="宋体" w:hAnsi="宋体" w:cs="宋体"/>
                <w:color w:val="auto"/>
                <w:highlight w:val="none"/>
              </w:rPr>
              <w:t>10≤X＜100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742D940">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X＜10</w:t>
            </w:r>
          </w:p>
        </w:tc>
      </w:tr>
      <w:tr w14:paraId="171525B4">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2AACC568">
            <w:pPr>
              <w:widowControl/>
              <w:jc w:val="left"/>
              <w:rPr>
                <w:rFonts w:hint="eastAsia" w:ascii="宋体" w:hAnsi="宋体" w:cs="宋体"/>
                <w:color w:val="auto"/>
                <w:kern w:val="0"/>
                <w:sz w:val="24"/>
                <w:szCs w:val="24"/>
                <w:highlight w:val="none"/>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3DEF1F6">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营业收入（Y）</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5A5B2A8">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万万元</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3EC5079">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2000≤Y＜10000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D5EAFCA">
            <w:pPr>
              <w:pStyle w:val="18"/>
              <w:widowControl/>
              <w:spacing w:after="150" w:line="360" w:lineRule="auto"/>
              <w:jc w:val="center"/>
              <w:rPr>
                <w:rFonts w:hint="eastAsia" w:ascii="宋体" w:hAnsi="宋体" w:cs="宋体"/>
                <w:color w:val="auto"/>
                <w:highlight w:val="none"/>
              </w:rPr>
            </w:pPr>
            <w:r>
              <w:rPr>
                <w:rStyle w:val="22"/>
                <w:rFonts w:hint="eastAsia" w:ascii="宋体" w:hAnsi="宋体" w:cs="宋体"/>
                <w:color w:val="auto"/>
                <w:highlight w:val="none"/>
              </w:rPr>
              <w:t>100≤Y＜2000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D02484B">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Y＜100</w:t>
            </w:r>
          </w:p>
        </w:tc>
      </w:tr>
      <w:tr w14:paraId="5859DC19">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23447242">
            <w:pPr>
              <w:pStyle w:val="18"/>
              <w:widowControl/>
              <w:spacing w:after="150" w:line="360" w:lineRule="auto"/>
              <w:ind w:firstLine="420"/>
              <w:jc w:val="center"/>
              <w:rPr>
                <w:rFonts w:hint="eastAsia" w:ascii="宋体" w:hAnsi="宋体" w:cs="宋体"/>
                <w:color w:val="auto"/>
                <w:highlight w:val="none"/>
              </w:rPr>
            </w:pPr>
            <w:r>
              <w:rPr>
                <w:rStyle w:val="22"/>
                <w:rFonts w:hint="eastAsia" w:ascii="宋体" w:hAnsi="宋体" w:cs="宋体"/>
                <w:color w:val="auto"/>
                <w:highlight w:val="none"/>
              </w:rPr>
              <w:t>信息传输业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D230E52">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从业人员（X）</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6FFF790">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人</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B5A4CCE">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100≤X＜2000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F36CD00">
            <w:pPr>
              <w:pStyle w:val="18"/>
              <w:widowControl/>
              <w:spacing w:after="150" w:line="360" w:lineRule="auto"/>
              <w:jc w:val="center"/>
              <w:rPr>
                <w:rFonts w:hint="eastAsia" w:ascii="宋体" w:hAnsi="宋体" w:cs="宋体"/>
                <w:color w:val="auto"/>
                <w:highlight w:val="none"/>
              </w:rPr>
            </w:pPr>
            <w:r>
              <w:rPr>
                <w:rStyle w:val="22"/>
                <w:rFonts w:hint="eastAsia" w:ascii="宋体" w:hAnsi="宋体" w:cs="宋体"/>
                <w:color w:val="auto"/>
                <w:highlight w:val="none"/>
              </w:rPr>
              <w:t>10≤X＜100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B794009">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X＜10</w:t>
            </w:r>
          </w:p>
        </w:tc>
      </w:tr>
      <w:tr w14:paraId="5F116E5E">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3BD913B5">
            <w:pPr>
              <w:widowControl/>
              <w:jc w:val="left"/>
              <w:rPr>
                <w:rFonts w:hint="eastAsia" w:ascii="宋体" w:hAnsi="宋体" w:cs="宋体"/>
                <w:color w:val="auto"/>
                <w:kern w:val="0"/>
                <w:sz w:val="24"/>
                <w:szCs w:val="24"/>
                <w:highlight w:val="none"/>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D36845F">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营业收入（Y）</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C8AB17B">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万万元</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02C9815">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1000≤Y＜100000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0AE05AC">
            <w:pPr>
              <w:pStyle w:val="18"/>
              <w:widowControl/>
              <w:spacing w:after="150" w:line="360" w:lineRule="auto"/>
              <w:jc w:val="center"/>
              <w:rPr>
                <w:rFonts w:hint="eastAsia" w:ascii="宋体" w:hAnsi="宋体" w:cs="宋体"/>
                <w:color w:val="auto"/>
                <w:highlight w:val="none"/>
              </w:rPr>
            </w:pPr>
            <w:r>
              <w:rPr>
                <w:rStyle w:val="22"/>
                <w:rFonts w:hint="eastAsia" w:ascii="宋体" w:hAnsi="宋体" w:cs="宋体"/>
                <w:color w:val="auto"/>
                <w:highlight w:val="none"/>
              </w:rPr>
              <w:t>100≤Y＜1000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8ED0B9D">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Y＜100</w:t>
            </w:r>
          </w:p>
        </w:tc>
      </w:tr>
      <w:tr w14:paraId="0DC36DD1">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643C2641">
            <w:pPr>
              <w:pStyle w:val="18"/>
              <w:widowControl/>
              <w:spacing w:after="150" w:line="360" w:lineRule="auto"/>
              <w:ind w:firstLine="420"/>
              <w:jc w:val="center"/>
              <w:rPr>
                <w:rFonts w:hint="eastAsia" w:ascii="宋体" w:hAnsi="宋体" w:cs="宋体"/>
                <w:color w:val="auto"/>
                <w:highlight w:val="none"/>
              </w:rPr>
            </w:pPr>
            <w:bookmarkStart w:id="69" w:name="_Hlk173249205"/>
            <w:r>
              <w:rPr>
                <w:rStyle w:val="22"/>
                <w:rFonts w:hint="eastAsia" w:ascii="宋体" w:hAnsi="宋体" w:cs="宋体"/>
                <w:color w:val="auto"/>
                <w:highlight w:val="none"/>
              </w:rPr>
              <w:t>软件和信息技术服务业</w:t>
            </w:r>
            <w:bookmarkEnd w:id="69"/>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381E483">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从业人员（X）</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C301095">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人</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C58D8FF">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100≤X＜300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C86BD53">
            <w:pPr>
              <w:pStyle w:val="18"/>
              <w:widowControl/>
              <w:spacing w:after="150" w:line="360" w:lineRule="auto"/>
              <w:jc w:val="center"/>
              <w:rPr>
                <w:rFonts w:hint="eastAsia" w:ascii="宋体" w:hAnsi="宋体" w:cs="宋体"/>
                <w:color w:val="auto"/>
                <w:highlight w:val="none"/>
              </w:rPr>
            </w:pPr>
            <w:r>
              <w:rPr>
                <w:rStyle w:val="22"/>
                <w:rFonts w:hint="eastAsia" w:ascii="宋体" w:hAnsi="宋体" w:cs="宋体"/>
                <w:color w:val="auto"/>
                <w:highlight w:val="none"/>
              </w:rPr>
              <w:t>10≤X＜100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C486500">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X＜10</w:t>
            </w:r>
          </w:p>
        </w:tc>
      </w:tr>
      <w:tr w14:paraId="4BC551E7">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6ECE2F33">
            <w:pPr>
              <w:widowControl/>
              <w:jc w:val="left"/>
              <w:rPr>
                <w:rFonts w:hint="eastAsia" w:ascii="宋体" w:hAnsi="宋体" w:cs="宋体"/>
                <w:color w:val="auto"/>
                <w:kern w:val="0"/>
                <w:sz w:val="24"/>
                <w:szCs w:val="24"/>
                <w:highlight w:val="none"/>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8DB1754">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营业收入（Y）</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607050B">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万万元</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514FD1C">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1000≤Y＜10000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63B16BD">
            <w:pPr>
              <w:pStyle w:val="18"/>
              <w:widowControl/>
              <w:spacing w:after="150" w:line="360" w:lineRule="auto"/>
              <w:jc w:val="center"/>
              <w:rPr>
                <w:rFonts w:hint="eastAsia" w:ascii="宋体" w:hAnsi="宋体" w:cs="宋体"/>
                <w:color w:val="auto"/>
                <w:highlight w:val="none"/>
              </w:rPr>
            </w:pPr>
            <w:r>
              <w:rPr>
                <w:rStyle w:val="22"/>
                <w:rFonts w:hint="eastAsia" w:ascii="宋体" w:hAnsi="宋体" w:cs="宋体"/>
                <w:color w:val="auto"/>
                <w:highlight w:val="none"/>
              </w:rPr>
              <w:t>50≤Y＜1000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81B81AD">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Y＜50</w:t>
            </w:r>
          </w:p>
        </w:tc>
      </w:tr>
      <w:tr w14:paraId="4E9FAC5D">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4E5AB878">
            <w:pPr>
              <w:pStyle w:val="18"/>
              <w:widowControl/>
              <w:spacing w:after="150" w:line="360" w:lineRule="auto"/>
              <w:ind w:firstLine="420"/>
              <w:jc w:val="center"/>
              <w:rPr>
                <w:rFonts w:hint="eastAsia" w:ascii="宋体" w:hAnsi="宋体" w:cs="宋体"/>
                <w:color w:val="auto"/>
                <w:highlight w:val="none"/>
              </w:rPr>
            </w:pPr>
            <w:r>
              <w:rPr>
                <w:rStyle w:val="22"/>
                <w:rFonts w:hint="eastAsia" w:ascii="宋体" w:hAnsi="宋体" w:cs="宋体"/>
                <w:color w:val="auto"/>
                <w:highlight w:val="none"/>
              </w:rPr>
              <w:t>房地产开发经营</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372E782">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营业收入（Y）</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77063F6">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万万元</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9A36FF6">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1000≤Y＜200000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9349C14">
            <w:pPr>
              <w:pStyle w:val="18"/>
              <w:widowControl/>
              <w:spacing w:after="150" w:line="360" w:lineRule="auto"/>
              <w:jc w:val="center"/>
              <w:rPr>
                <w:rFonts w:hint="eastAsia" w:ascii="宋体" w:hAnsi="宋体" w:cs="宋体"/>
                <w:color w:val="auto"/>
                <w:highlight w:val="none"/>
              </w:rPr>
            </w:pPr>
            <w:r>
              <w:rPr>
                <w:rStyle w:val="22"/>
                <w:rFonts w:hint="eastAsia" w:ascii="宋体" w:hAnsi="宋体" w:cs="宋体"/>
                <w:color w:val="auto"/>
                <w:highlight w:val="none"/>
              </w:rPr>
              <w:t>100≤X＜1000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7277112">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X＜100</w:t>
            </w:r>
          </w:p>
        </w:tc>
      </w:tr>
      <w:tr w14:paraId="5484D5EE">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1CFACEF2">
            <w:pPr>
              <w:widowControl/>
              <w:jc w:val="left"/>
              <w:rPr>
                <w:rFonts w:hint="eastAsia" w:ascii="宋体" w:hAnsi="宋体" w:cs="宋体"/>
                <w:color w:val="auto"/>
                <w:kern w:val="0"/>
                <w:sz w:val="24"/>
                <w:szCs w:val="24"/>
                <w:highlight w:val="none"/>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2AD6B8C">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资产总额（Z）</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4640EC4">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万万元</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2208DCB">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5000≤Z＜10000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E289228">
            <w:pPr>
              <w:pStyle w:val="18"/>
              <w:widowControl/>
              <w:spacing w:after="150" w:line="360" w:lineRule="auto"/>
              <w:jc w:val="center"/>
              <w:rPr>
                <w:rFonts w:hint="eastAsia" w:ascii="宋体" w:hAnsi="宋体" w:cs="宋体"/>
                <w:color w:val="auto"/>
                <w:highlight w:val="none"/>
              </w:rPr>
            </w:pPr>
            <w:r>
              <w:rPr>
                <w:rStyle w:val="22"/>
                <w:rFonts w:hint="eastAsia" w:ascii="宋体" w:hAnsi="宋体" w:cs="宋体"/>
                <w:color w:val="auto"/>
                <w:highlight w:val="none"/>
              </w:rPr>
              <w:t>2000≤Y＜5000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599E587">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Y＜2000</w:t>
            </w:r>
          </w:p>
        </w:tc>
      </w:tr>
      <w:tr w14:paraId="02461830">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53F62BF1">
            <w:pPr>
              <w:pStyle w:val="18"/>
              <w:widowControl/>
              <w:spacing w:after="150" w:line="360" w:lineRule="auto"/>
              <w:ind w:firstLine="420"/>
              <w:jc w:val="center"/>
              <w:rPr>
                <w:rFonts w:hint="eastAsia" w:ascii="宋体" w:hAnsi="宋体" w:cs="宋体"/>
                <w:color w:val="auto"/>
                <w:highlight w:val="none"/>
              </w:rPr>
            </w:pPr>
            <w:r>
              <w:rPr>
                <w:rStyle w:val="22"/>
                <w:rFonts w:hint="eastAsia" w:ascii="宋体" w:hAnsi="宋体" w:cs="宋体"/>
                <w:color w:val="auto"/>
                <w:highlight w:val="none"/>
              </w:rPr>
              <w:t>物业管理</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2629EA9">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从业人员（X）</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12D252A">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人</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849B099">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300≤X＜1000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4562BB1">
            <w:pPr>
              <w:pStyle w:val="18"/>
              <w:widowControl/>
              <w:spacing w:after="150" w:line="360" w:lineRule="auto"/>
              <w:jc w:val="center"/>
              <w:rPr>
                <w:rFonts w:hint="eastAsia" w:ascii="宋体" w:hAnsi="宋体" w:cs="宋体"/>
                <w:color w:val="auto"/>
                <w:highlight w:val="none"/>
              </w:rPr>
            </w:pPr>
            <w:r>
              <w:rPr>
                <w:rStyle w:val="22"/>
                <w:rFonts w:hint="eastAsia" w:ascii="宋体" w:hAnsi="宋体" w:cs="宋体"/>
                <w:color w:val="auto"/>
                <w:highlight w:val="none"/>
              </w:rPr>
              <w:t>100≤X＜300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06EC5C6">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X＜100</w:t>
            </w:r>
          </w:p>
        </w:tc>
      </w:tr>
      <w:tr w14:paraId="449D3917">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27231662">
            <w:pPr>
              <w:widowControl/>
              <w:jc w:val="left"/>
              <w:rPr>
                <w:rFonts w:hint="eastAsia" w:ascii="宋体" w:hAnsi="宋体" w:cs="宋体"/>
                <w:color w:val="auto"/>
                <w:kern w:val="0"/>
                <w:sz w:val="24"/>
                <w:szCs w:val="24"/>
                <w:highlight w:val="none"/>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B5D11B6">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营业收入（Y）</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A320855">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万万元</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46B8078">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1000≤Y＜5000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658A7EF">
            <w:pPr>
              <w:pStyle w:val="18"/>
              <w:widowControl/>
              <w:spacing w:after="150" w:line="360" w:lineRule="auto"/>
              <w:jc w:val="center"/>
              <w:rPr>
                <w:rFonts w:hint="eastAsia" w:ascii="宋体" w:hAnsi="宋体" w:cs="宋体"/>
                <w:color w:val="auto"/>
                <w:highlight w:val="none"/>
              </w:rPr>
            </w:pPr>
            <w:r>
              <w:rPr>
                <w:rStyle w:val="22"/>
                <w:rFonts w:hint="eastAsia" w:ascii="宋体" w:hAnsi="宋体" w:cs="宋体"/>
                <w:color w:val="auto"/>
                <w:highlight w:val="none"/>
              </w:rPr>
              <w:t>500≤Y＜1000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F0EB68F">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Y＜500</w:t>
            </w:r>
          </w:p>
        </w:tc>
      </w:tr>
      <w:tr w14:paraId="7536AD4E">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39A01368">
            <w:pPr>
              <w:pStyle w:val="18"/>
              <w:widowControl/>
              <w:spacing w:after="150" w:line="360" w:lineRule="auto"/>
              <w:ind w:firstLine="420"/>
              <w:jc w:val="center"/>
              <w:rPr>
                <w:rFonts w:hint="eastAsia" w:ascii="宋体" w:hAnsi="宋体" w:cs="宋体"/>
                <w:color w:val="auto"/>
                <w:highlight w:val="none"/>
              </w:rPr>
            </w:pPr>
            <w:r>
              <w:rPr>
                <w:rStyle w:val="22"/>
                <w:rFonts w:hint="eastAsia" w:ascii="宋体" w:hAnsi="宋体" w:cs="宋体"/>
                <w:color w:val="auto"/>
                <w:highlight w:val="none"/>
              </w:rPr>
              <w:t>租赁和商务服务业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C4A6099">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从业人员（X）</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4D60A5C">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人</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D5AC121">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100≤X＜300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1FB39BF">
            <w:pPr>
              <w:pStyle w:val="18"/>
              <w:widowControl/>
              <w:spacing w:after="150" w:line="360" w:lineRule="auto"/>
              <w:jc w:val="center"/>
              <w:rPr>
                <w:rFonts w:hint="eastAsia" w:ascii="宋体" w:hAnsi="宋体" w:cs="宋体"/>
                <w:color w:val="auto"/>
                <w:highlight w:val="none"/>
              </w:rPr>
            </w:pPr>
            <w:r>
              <w:rPr>
                <w:rStyle w:val="22"/>
                <w:rFonts w:hint="eastAsia" w:ascii="宋体" w:hAnsi="宋体" w:cs="宋体"/>
                <w:color w:val="auto"/>
                <w:highlight w:val="none"/>
              </w:rPr>
              <w:t>10≤X＜100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C385D9C">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X＜10</w:t>
            </w:r>
          </w:p>
        </w:tc>
      </w:tr>
      <w:tr w14:paraId="7827E237">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52462EC5">
            <w:pPr>
              <w:widowControl/>
              <w:jc w:val="left"/>
              <w:rPr>
                <w:rFonts w:hint="eastAsia" w:ascii="宋体" w:hAnsi="宋体" w:cs="宋体"/>
                <w:color w:val="auto"/>
                <w:kern w:val="0"/>
                <w:sz w:val="24"/>
                <w:szCs w:val="24"/>
                <w:highlight w:val="none"/>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EF9E737">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资产总额（Z）</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C5D833D">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万万元</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2264794">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8000≤Z＜120000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4AFB746">
            <w:pPr>
              <w:pStyle w:val="18"/>
              <w:widowControl/>
              <w:spacing w:after="150" w:line="360" w:lineRule="auto"/>
              <w:jc w:val="center"/>
              <w:rPr>
                <w:rFonts w:hint="eastAsia" w:ascii="宋体" w:hAnsi="宋体" w:cs="宋体"/>
                <w:color w:val="auto"/>
                <w:highlight w:val="none"/>
              </w:rPr>
            </w:pPr>
            <w:r>
              <w:rPr>
                <w:rStyle w:val="22"/>
                <w:rFonts w:hint="eastAsia" w:ascii="宋体" w:hAnsi="宋体" w:cs="宋体"/>
                <w:color w:val="auto"/>
                <w:highlight w:val="none"/>
              </w:rPr>
              <w:t>100≤Z＜8000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5885F9D">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Y＜100</w:t>
            </w:r>
          </w:p>
        </w:tc>
      </w:tr>
      <w:tr w14:paraId="67790E0B">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00FE8F0D">
            <w:pPr>
              <w:pStyle w:val="18"/>
              <w:widowControl/>
              <w:spacing w:after="150" w:line="360" w:lineRule="auto"/>
              <w:ind w:firstLine="420"/>
              <w:jc w:val="center"/>
              <w:rPr>
                <w:rFonts w:hint="eastAsia" w:ascii="宋体" w:hAnsi="宋体" w:cs="宋体"/>
                <w:color w:val="auto"/>
                <w:highlight w:val="none"/>
              </w:rPr>
            </w:pPr>
            <w:r>
              <w:rPr>
                <w:rStyle w:val="22"/>
                <w:rFonts w:hint="eastAsia" w:ascii="宋体" w:hAnsi="宋体" w:cs="宋体"/>
                <w:color w:val="auto"/>
                <w:highlight w:val="none"/>
              </w:rPr>
              <w:t>其他未列明行业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43E3C8D">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从业人员（X）</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D2C88FC">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人</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B81A9B9">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100≤X＜300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34D1565">
            <w:pPr>
              <w:pStyle w:val="18"/>
              <w:widowControl/>
              <w:spacing w:after="150" w:line="360" w:lineRule="auto"/>
              <w:jc w:val="center"/>
              <w:rPr>
                <w:rFonts w:hint="eastAsia" w:ascii="宋体" w:hAnsi="宋体" w:cs="宋体"/>
                <w:color w:val="auto"/>
                <w:highlight w:val="none"/>
              </w:rPr>
            </w:pPr>
            <w:r>
              <w:rPr>
                <w:rStyle w:val="22"/>
                <w:rFonts w:hint="eastAsia" w:ascii="宋体" w:hAnsi="宋体" w:cs="宋体"/>
                <w:color w:val="auto"/>
                <w:highlight w:val="none"/>
              </w:rPr>
              <w:t>10≤X＜100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B5757B3">
            <w:pPr>
              <w:pStyle w:val="18"/>
              <w:widowControl/>
              <w:spacing w:after="150" w:line="360" w:lineRule="auto"/>
              <w:ind w:firstLine="420"/>
              <w:rPr>
                <w:rFonts w:hint="eastAsia" w:ascii="宋体" w:hAnsi="宋体" w:cs="宋体"/>
                <w:color w:val="auto"/>
                <w:highlight w:val="none"/>
              </w:rPr>
            </w:pPr>
            <w:r>
              <w:rPr>
                <w:rStyle w:val="22"/>
                <w:rFonts w:hint="eastAsia" w:ascii="宋体" w:hAnsi="宋体" w:cs="宋体"/>
                <w:color w:val="auto"/>
                <w:highlight w:val="none"/>
              </w:rPr>
              <w:t>X＜10</w:t>
            </w:r>
          </w:p>
        </w:tc>
      </w:tr>
    </w:tbl>
    <w:p w14:paraId="439D4523">
      <w:pPr>
        <w:pStyle w:val="18"/>
        <w:widowControl/>
        <w:spacing w:before="300" w:after="452" w:line="360" w:lineRule="auto"/>
        <w:ind w:firstLine="810"/>
        <w:rPr>
          <w:rStyle w:val="22"/>
          <w:rFonts w:hint="eastAsia" w:ascii="宋体" w:hAnsi="宋体" w:cs="宋体"/>
          <w:color w:val="auto"/>
          <w:highlight w:val="none"/>
        </w:rPr>
      </w:pPr>
      <w:r>
        <w:rPr>
          <w:rStyle w:val="22"/>
          <w:rFonts w:hint="eastAsia" w:ascii="宋体" w:hAnsi="宋体" w:cs="宋体"/>
          <w:color w:val="auto"/>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05045A70">
      <w:pPr>
        <w:pStyle w:val="5"/>
        <w:outlineLvl w:val="9"/>
        <w:rPr>
          <w:rStyle w:val="22"/>
          <w:rFonts w:hint="eastAsia" w:ascii="宋体" w:hAnsi="宋体" w:cs="宋体"/>
          <w:b w:val="0"/>
          <w:color w:val="auto"/>
          <w:sz w:val="24"/>
          <w:szCs w:val="24"/>
          <w:highlight w:val="none"/>
        </w:rPr>
      </w:pPr>
      <w:r>
        <w:rPr>
          <w:rStyle w:val="22"/>
          <w:rFonts w:hint="eastAsia" w:ascii="宋体" w:hAnsi="宋体" w:cs="宋体"/>
          <w:b w:val="0"/>
          <w:color w:val="auto"/>
          <w:sz w:val="24"/>
          <w:szCs w:val="24"/>
          <w:highlight w:val="none"/>
        </w:rPr>
        <w:br w:type="page"/>
      </w:r>
    </w:p>
    <w:p w14:paraId="6BC0D5E4">
      <w:pPr>
        <w:spacing w:line="360" w:lineRule="auto"/>
        <w:ind w:firstLine="2877" w:firstLineChars="1194"/>
        <w:rPr>
          <w:rFonts w:hint="eastAsia" w:ascii="宋体" w:hAnsi="宋体" w:cs="宋体"/>
          <w:b/>
          <w:bCs/>
          <w:color w:val="auto"/>
          <w:sz w:val="24"/>
          <w:szCs w:val="24"/>
          <w:highlight w:val="none"/>
        </w:rPr>
      </w:pPr>
      <w:bookmarkStart w:id="70" w:name="_Hlk166772561"/>
      <w:r>
        <w:rPr>
          <w:rFonts w:hint="eastAsia" w:ascii="宋体" w:hAnsi="宋体" w:cs="宋体"/>
          <w:b/>
          <w:bCs/>
          <w:color w:val="auto"/>
          <w:sz w:val="24"/>
          <w:szCs w:val="24"/>
          <w:highlight w:val="none"/>
        </w:rPr>
        <w:t>残疾人福利性单位声明函</w:t>
      </w:r>
    </w:p>
    <w:p w14:paraId="156B68B4">
      <w:pPr>
        <w:spacing w:line="588" w:lineRule="exact"/>
        <w:ind w:firstLine="504" w:firstLineChars="200"/>
        <w:rPr>
          <w:rFonts w:hint="eastAsia" w:ascii="宋体" w:hAnsi="宋体" w:cs="宋体"/>
          <w:color w:val="auto"/>
          <w:spacing w:val="6"/>
          <w:sz w:val="24"/>
          <w:szCs w:val="24"/>
          <w:highlight w:val="none"/>
        </w:rPr>
      </w:pPr>
    </w:p>
    <w:p w14:paraId="64669797">
      <w:pPr>
        <w:spacing w:line="588"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项目采购活动提供本单位制造的产品或服务（由本单位承担工程/提供服务），或者提供其他残疾人福利性单位制造的产品或服务（不包括使用非残疾人福利性单位注册商标的产品或服务）。</w:t>
      </w:r>
    </w:p>
    <w:p w14:paraId="6A054D0C">
      <w:pPr>
        <w:spacing w:line="588"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本单位在本次政府采购活动中提供的残疾人福利单位产品报价合计为人民币（大写）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圆整（￥：     ）。</w:t>
      </w:r>
    </w:p>
    <w:p w14:paraId="05188828">
      <w:pPr>
        <w:spacing w:line="588"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本单位对上述声明的真实性负责。如有虚假，将依法承担相应责任。</w:t>
      </w:r>
    </w:p>
    <w:p w14:paraId="1CC87928">
      <w:pPr>
        <w:spacing w:line="588" w:lineRule="exact"/>
        <w:ind w:firstLine="480" w:firstLineChars="200"/>
        <w:rPr>
          <w:rFonts w:hint="eastAsia" w:ascii="宋体" w:hAnsi="宋体" w:cs="宋体"/>
          <w:color w:val="auto"/>
          <w:sz w:val="24"/>
          <w:szCs w:val="24"/>
          <w:highlight w:val="none"/>
        </w:rPr>
      </w:pPr>
    </w:p>
    <w:p w14:paraId="78D7FB92">
      <w:pPr>
        <w:spacing w:line="588"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（备注：1、供应商如不提供此声明函，价格将不做相应扣除。2、中标供应商为残疾人福利单位的，此声明函将随中标结果同时公告，接受社会监督）</w:t>
      </w:r>
    </w:p>
    <w:p w14:paraId="080FE7B6">
      <w:pPr>
        <w:spacing w:line="588" w:lineRule="exact"/>
        <w:ind w:firstLine="504" w:firstLineChars="200"/>
        <w:rPr>
          <w:rFonts w:hint="eastAsia" w:ascii="宋体" w:hAnsi="宋体" w:cs="宋体"/>
          <w:color w:val="auto"/>
          <w:spacing w:val="6"/>
          <w:sz w:val="24"/>
          <w:szCs w:val="24"/>
          <w:highlight w:val="none"/>
        </w:rPr>
      </w:pPr>
    </w:p>
    <w:p w14:paraId="0204ED58">
      <w:pPr>
        <w:tabs>
          <w:tab w:val="left" w:pos="4860"/>
        </w:tabs>
        <w:spacing w:line="588" w:lineRule="exact"/>
        <w:ind w:right="1560" w:firstLine="504" w:firstLineChars="200"/>
        <w:jc w:val="center"/>
        <w:rPr>
          <w:rFonts w:hint="eastAsia" w:ascii="宋体" w:hAnsi="宋体" w:cs="宋体"/>
          <w:color w:val="auto"/>
          <w:sz w:val="24"/>
          <w:szCs w:val="24"/>
          <w:highlight w:val="none"/>
        </w:rPr>
      </w:pPr>
      <w:r>
        <w:rPr>
          <w:rFonts w:hint="eastAsia" w:ascii="宋体" w:hAnsi="宋体" w:cs="宋体"/>
          <w:color w:val="auto"/>
          <w:spacing w:val="6"/>
          <w:sz w:val="24"/>
          <w:szCs w:val="24"/>
          <w:highlight w:val="none"/>
        </w:rPr>
        <w:t xml:space="preserve">             </w:t>
      </w:r>
      <w:r>
        <w:rPr>
          <w:rFonts w:hint="eastAsia" w:ascii="宋体" w:hAnsi="宋体" w:cs="宋体"/>
          <w:color w:val="auto"/>
          <w:sz w:val="24"/>
          <w:szCs w:val="24"/>
          <w:highlight w:val="none"/>
        </w:rPr>
        <w:t xml:space="preserve">               供应商全称（盖章）：</w:t>
      </w:r>
    </w:p>
    <w:p w14:paraId="437B3D52">
      <w:pPr>
        <w:tabs>
          <w:tab w:val="left" w:pos="4860"/>
        </w:tabs>
        <w:spacing w:line="588" w:lineRule="exact"/>
        <w:ind w:right="1560"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日  期：</w:t>
      </w:r>
    </w:p>
    <w:p w14:paraId="0C1626EB">
      <w:pPr>
        <w:widowControl/>
        <w:jc w:val="left"/>
        <w:rPr>
          <w:rFonts w:hint="eastAsia" w:ascii="宋体" w:hAnsi="宋体" w:cs="宋体"/>
          <w:b/>
          <w:bCs/>
          <w:color w:val="auto"/>
          <w:sz w:val="24"/>
          <w:szCs w:val="24"/>
          <w:highlight w:val="none"/>
        </w:rPr>
      </w:pPr>
    </w:p>
    <w:p w14:paraId="1B784BC4">
      <w:pPr>
        <w:widowControl/>
        <w:jc w:val="left"/>
        <w:rPr>
          <w:rFonts w:hint="eastAsia" w:ascii="宋体" w:hAnsi="宋体" w:cs="宋体"/>
          <w:b/>
          <w:bCs/>
          <w:color w:val="auto"/>
          <w:sz w:val="24"/>
          <w:szCs w:val="24"/>
          <w:highlight w:val="none"/>
        </w:rPr>
      </w:pPr>
    </w:p>
    <w:p w14:paraId="6B69D764">
      <w:pPr>
        <w:widowControl/>
        <w:jc w:val="left"/>
        <w:rPr>
          <w:rFonts w:hint="eastAsia" w:ascii="宋体" w:hAnsi="宋体" w:cs="宋体"/>
          <w:b/>
          <w:bCs/>
          <w:color w:val="auto"/>
          <w:sz w:val="24"/>
          <w:szCs w:val="24"/>
          <w:highlight w:val="none"/>
        </w:rPr>
      </w:pPr>
    </w:p>
    <w:p w14:paraId="2B03AEC4">
      <w:pPr>
        <w:widowControl/>
        <w:jc w:val="left"/>
        <w:rPr>
          <w:rFonts w:hint="eastAsia" w:ascii="宋体" w:hAnsi="宋体" w:cs="宋体"/>
          <w:b/>
          <w:bCs/>
          <w:color w:val="auto"/>
          <w:sz w:val="24"/>
          <w:szCs w:val="24"/>
          <w:highlight w:val="none"/>
        </w:rPr>
      </w:pPr>
    </w:p>
    <w:p w14:paraId="7ED63FC1">
      <w:pPr>
        <w:widowControl/>
        <w:jc w:val="left"/>
        <w:rPr>
          <w:rFonts w:hint="eastAsia" w:ascii="宋体" w:hAnsi="宋体" w:cs="宋体"/>
          <w:b/>
          <w:bCs/>
          <w:color w:val="auto"/>
          <w:sz w:val="24"/>
          <w:szCs w:val="24"/>
          <w:highlight w:val="none"/>
        </w:rPr>
      </w:pPr>
    </w:p>
    <w:p w14:paraId="74ECC378">
      <w:pPr>
        <w:widowControl/>
        <w:jc w:val="left"/>
        <w:rPr>
          <w:rFonts w:hint="eastAsia" w:ascii="宋体" w:hAnsi="宋体" w:cs="宋体"/>
          <w:b/>
          <w:bCs/>
          <w:color w:val="auto"/>
          <w:sz w:val="24"/>
          <w:szCs w:val="24"/>
          <w:highlight w:val="none"/>
        </w:rPr>
      </w:pPr>
    </w:p>
    <w:p w14:paraId="6737B218">
      <w:pPr>
        <w:widowControl/>
        <w:jc w:val="left"/>
        <w:rPr>
          <w:rFonts w:hint="eastAsia" w:ascii="宋体" w:hAnsi="宋体" w:cs="宋体"/>
          <w:b/>
          <w:bCs/>
          <w:color w:val="auto"/>
          <w:sz w:val="24"/>
          <w:szCs w:val="24"/>
          <w:highlight w:val="none"/>
        </w:rPr>
      </w:pPr>
    </w:p>
    <w:p w14:paraId="63EF76BF">
      <w:pPr>
        <w:spacing w:line="360" w:lineRule="auto"/>
        <w:jc w:val="center"/>
        <w:rPr>
          <w:rFonts w:hint="eastAsia" w:ascii="宋体" w:hAnsi="宋体" w:cs="宋体"/>
          <w:b/>
          <w:bCs/>
          <w:color w:val="auto"/>
          <w:sz w:val="24"/>
          <w:szCs w:val="24"/>
          <w:highlight w:val="none"/>
        </w:rPr>
      </w:pPr>
    </w:p>
    <w:p w14:paraId="157D496A">
      <w:pPr>
        <w:widowControl/>
        <w:jc w:val="left"/>
        <w:rPr>
          <w:rFonts w:hint="eastAsia" w:ascii="宋体" w:hAnsi="宋体" w:cs="宋体"/>
          <w:b/>
          <w:bCs/>
          <w:color w:val="auto"/>
          <w:sz w:val="24"/>
          <w:szCs w:val="24"/>
          <w:highlight w:val="none"/>
        </w:rPr>
      </w:pPr>
    </w:p>
    <w:p w14:paraId="1CABBC0B">
      <w:pPr>
        <w:widowControl/>
        <w:jc w:val="left"/>
        <w:rPr>
          <w:rFonts w:hint="eastAsia" w:ascii="宋体" w:hAnsi="宋体" w:cs="宋体"/>
          <w:b/>
          <w:bCs/>
          <w:color w:val="auto"/>
          <w:sz w:val="24"/>
          <w:szCs w:val="24"/>
          <w:highlight w:val="none"/>
        </w:rPr>
      </w:pPr>
    </w:p>
    <w:p w14:paraId="00748526">
      <w:pPr>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p>
    <w:p w14:paraId="0C879574">
      <w:pPr>
        <w:pStyle w:val="3"/>
        <w:outlineLvl w:val="0"/>
        <w:rPr>
          <w:rFonts w:hint="eastAsia" w:ascii="宋体" w:hAnsi="宋体" w:eastAsia="宋体" w:cs="宋体"/>
          <w:color w:val="auto"/>
          <w:sz w:val="24"/>
          <w:szCs w:val="24"/>
          <w:highlight w:val="none"/>
        </w:rPr>
      </w:pPr>
      <w:bookmarkStart w:id="71" w:name="_Toc170832706"/>
      <w:r>
        <w:rPr>
          <w:rFonts w:hint="eastAsia" w:ascii="宋体" w:hAnsi="宋体" w:eastAsia="宋体" w:cs="宋体"/>
          <w:color w:val="auto"/>
          <w:sz w:val="24"/>
          <w:szCs w:val="24"/>
          <w:highlight w:val="none"/>
        </w:rPr>
        <w:t>四、开标一览表</w:t>
      </w:r>
      <w:bookmarkEnd w:id="71"/>
    </w:p>
    <w:p w14:paraId="2B7A93DC">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p w14:paraId="28C7E0C0">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项目编号：</w:t>
      </w:r>
    </w:p>
    <w:p w14:paraId="352C4B74">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分包号(如有)： </w:t>
      </w:r>
    </w:p>
    <w:p w14:paraId="158ED9B3">
      <w:pPr>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14:paraId="05C9E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481" w:type="dxa"/>
            <w:noWrap w:val="0"/>
            <w:vAlign w:val="center"/>
          </w:tcPr>
          <w:p w14:paraId="27E71B5D">
            <w:pPr>
              <w:pStyle w:val="10"/>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投标货物及服务名称</w:t>
            </w:r>
          </w:p>
        </w:tc>
        <w:tc>
          <w:tcPr>
            <w:tcW w:w="6405" w:type="dxa"/>
            <w:noWrap w:val="0"/>
            <w:vAlign w:val="center"/>
          </w:tcPr>
          <w:p w14:paraId="4BCE2708">
            <w:pP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投标总报价</w:t>
            </w:r>
          </w:p>
        </w:tc>
      </w:tr>
      <w:tr w14:paraId="62E0E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481" w:type="dxa"/>
            <w:noWrap w:val="0"/>
            <w:vAlign w:val="center"/>
          </w:tcPr>
          <w:p w14:paraId="73DA585F">
            <w:pPr>
              <w:pStyle w:val="10"/>
              <w:adjustRightInd w:val="0"/>
              <w:snapToGrid w:val="0"/>
              <w:spacing w:line="300" w:lineRule="auto"/>
              <w:rPr>
                <w:rFonts w:hint="eastAsia" w:ascii="宋体" w:hAnsi="宋体" w:eastAsia="宋体" w:cs="宋体"/>
                <w:color w:val="auto"/>
                <w:sz w:val="24"/>
                <w:szCs w:val="24"/>
                <w:highlight w:val="none"/>
              </w:rPr>
            </w:pPr>
          </w:p>
        </w:tc>
        <w:tc>
          <w:tcPr>
            <w:tcW w:w="6405" w:type="dxa"/>
            <w:noWrap w:val="0"/>
            <w:vAlign w:val="center"/>
          </w:tcPr>
          <w:p w14:paraId="0CD4F393">
            <w:pPr>
              <w:pStyle w:val="39"/>
              <w:spacing w:before="0" w:after="0" w:line="500" w:lineRule="exact"/>
              <w:ind w:firstLine="0"/>
              <w:rPr>
                <w:rFonts w:hint="eastAsia" w:ascii="宋体" w:hAnsi="宋体" w:cs="宋体"/>
                <w:color w:val="auto"/>
                <w:kern w:val="2"/>
                <w:highlight w:val="none"/>
              </w:rPr>
            </w:pPr>
            <w:r>
              <w:rPr>
                <w:rFonts w:hint="eastAsia" w:ascii="宋体" w:hAnsi="宋体" w:cs="宋体"/>
                <w:color w:val="auto"/>
                <w:highlight w:val="none"/>
              </w:rPr>
              <w:t>小写：                             （人民币：元）</w:t>
            </w:r>
          </w:p>
        </w:tc>
      </w:tr>
    </w:tbl>
    <w:p w14:paraId="5072CBD7">
      <w:pPr>
        <w:rPr>
          <w:rFonts w:hint="eastAsia" w:ascii="宋体" w:hAnsi="宋体" w:cs="宋体"/>
          <w:color w:val="auto"/>
          <w:sz w:val="24"/>
          <w:szCs w:val="24"/>
          <w:highlight w:val="none"/>
        </w:rPr>
      </w:pPr>
    </w:p>
    <w:p w14:paraId="5A94FF4E">
      <w:pPr>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日期：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21B52217">
      <w:pPr>
        <w:pStyle w:val="4"/>
        <w:ind w:firstLine="480"/>
        <w:rPr>
          <w:rFonts w:hint="eastAsia" w:ascii="宋体" w:hAnsi="宋体" w:cs="宋体"/>
          <w:color w:val="auto"/>
          <w:sz w:val="24"/>
          <w:szCs w:val="24"/>
          <w:highlight w:val="none"/>
        </w:rPr>
      </w:pPr>
    </w:p>
    <w:p w14:paraId="02924772">
      <w:pPr>
        <w:pStyle w:val="4"/>
        <w:ind w:firstLine="480"/>
        <w:rPr>
          <w:rFonts w:hint="eastAsia" w:ascii="宋体" w:hAnsi="宋体" w:cs="宋体"/>
          <w:color w:val="auto"/>
          <w:sz w:val="24"/>
          <w:szCs w:val="24"/>
          <w:highlight w:val="none"/>
        </w:rPr>
      </w:pPr>
    </w:p>
    <w:p w14:paraId="01158998">
      <w:pPr>
        <w:rPr>
          <w:rFonts w:hint="eastAsia" w:ascii="宋体" w:hAnsi="宋体" w:cs="宋体"/>
          <w:color w:val="auto"/>
          <w:sz w:val="24"/>
          <w:szCs w:val="24"/>
          <w:highlight w:val="none"/>
        </w:rPr>
      </w:pPr>
    </w:p>
    <w:p w14:paraId="68F28629">
      <w:pPr>
        <w:rPr>
          <w:rFonts w:hint="eastAsia" w:ascii="宋体" w:hAnsi="宋体" w:cs="宋体"/>
          <w:color w:val="auto"/>
          <w:sz w:val="24"/>
          <w:szCs w:val="24"/>
          <w:highlight w:val="none"/>
        </w:rPr>
      </w:pPr>
    </w:p>
    <w:p w14:paraId="6B045C0B">
      <w:pPr>
        <w:rPr>
          <w:rFonts w:hint="eastAsia" w:ascii="宋体" w:hAnsi="宋体" w:cs="宋体"/>
          <w:color w:val="auto"/>
          <w:sz w:val="24"/>
          <w:szCs w:val="24"/>
          <w:highlight w:val="none"/>
        </w:rPr>
      </w:pPr>
    </w:p>
    <w:p w14:paraId="69EB0DF3">
      <w:pPr>
        <w:rPr>
          <w:rFonts w:hint="eastAsia" w:ascii="宋体" w:hAnsi="宋体" w:cs="宋体"/>
          <w:color w:val="auto"/>
          <w:sz w:val="24"/>
          <w:szCs w:val="24"/>
          <w:highlight w:val="none"/>
        </w:rPr>
      </w:pPr>
    </w:p>
    <w:p w14:paraId="0FBDB938">
      <w:pPr>
        <w:rPr>
          <w:rFonts w:hint="eastAsia" w:ascii="宋体" w:hAnsi="宋体" w:cs="宋体"/>
          <w:color w:val="auto"/>
          <w:sz w:val="24"/>
          <w:szCs w:val="24"/>
          <w:highlight w:val="none"/>
        </w:rPr>
      </w:pPr>
    </w:p>
    <w:p w14:paraId="6A95C198">
      <w:pPr>
        <w:rPr>
          <w:rFonts w:hint="eastAsia" w:ascii="宋体" w:hAnsi="宋体" w:cs="宋体"/>
          <w:color w:val="auto"/>
          <w:sz w:val="24"/>
          <w:szCs w:val="24"/>
          <w:highlight w:val="none"/>
        </w:rPr>
      </w:pPr>
    </w:p>
    <w:p w14:paraId="68FE1AD9">
      <w:pPr>
        <w:rPr>
          <w:rFonts w:hint="eastAsia" w:ascii="宋体" w:hAnsi="宋体" w:cs="宋体"/>
          <w:color w:val="auto"/>
          <w:sz w:val="24"/>
          <w:szCs w:val="24"/>
          <w:highlight w:val="none"/>
        </w:rPr>
      </w:pPr>
    </w:p>
    <w:p w14:paraId="741E597A">
      <w:pPr>
        <w:rPr>
          <w:rFonts w:hint="eastAsia" w:ascii="宋体" w:hAnsi="宋体" w:cs="宋体"/>
          <w:color w:val="auto"/>
          <w:sz w:val="24"/>
          <w:szCs w:val="24"/>
          <w:highlight w:val="none"/>
        </w:rPr>
      </w:pPr>
    </w:p>
    <w:p w14:paraId="0415E906">
      <w:pPr>
        <w:rPr>
          <w:rFonts w:hint="eastAsia" w:ascii="宋体" w:hAnsi="宋体" w:cs="宋体"/>
          <w:color w:val="auto"/>
          <w:sz w:val="24"/>
          <w:szCs w:val="24"/>
          <w:highlight w:val="none"/>
        </w:rPr>
      </w:pPr>
    </w:p>
    <w:p w14:paraId="3DD3B53C">
      <w:pPr>
        <w:rPr>
          <w:rFonts w:hint="eastAsia" w:ascii="宋体" w:hAnsi="宋体" w:cs="宋体"/>
          <w:color w:val="auto"/>
          <w:sz w:val="24"/>
          <w:szCs w:val="24"/>
          <w:highlight w:val="none"/>
        </w:rPr>
      </w:pPr>
    </w:p>
    <w:p w14:paraId="2403B7A7">
      <w:pPr>
        <w:rPr>
          <w:rFonts w:hint="eastAsia" w:ascii="宋体" w:hAnsi="宋体" w:cs="宋体"/>
          <w:color w:val="auto"/>
          <w:sz w:val="24"/>
          <w:szCs w:val="24"/>
          <w:highlight w:val="none"/>
        </w:rPr>
      </w:pPr>
    </w:p>
    <w:p w14:paraId="29A8F364">
      <w:pPr>
        <w:rPr>
          <w:rFonts w:hint="eastAsia" w:ascii="宋体" w:hAnsi="宋体" w:cs="宋体"/>
          <w:color w:val="auto"/>
          <w:sz w:val="24"/>
          <w:szCs w:val="24"/>
          <w:highlight w:val="none"/>
        </w:rPr>
      </w:pPr>
    </w:p>
    <w:p w14:paraId="2016AF3D">
      <w:pPr>
        <w:rPr>
          <w:rFonts w:hint="eastAsia" w:ascii="宋体" w:hAnsi="宋体" w:cs="宋体"/>
          <w:color w:val="auto"/>
          <w:sz w:val="24"/>
          <w:szCs w:val="24"/>
          <w:highlight w:val="none"/>
        </w:rPr>
      </w:pPr>
    </w:p>
    <w:p w14:paraId="3CF06F10">
      <w:pPr>
        <w:rPr>
          <w:rFonts w:hint="eastAsia" w:ascii="宋体" w:hAnsi="宋体" w:cs="宋体"/>
          <w:color w:val="auto"/>
          <w:sz w:val="24"/>
          <w:szCs w:val="24"/>
          <w:highlight w:val="none"/>
        </w:rPr>
      </w:pPr>
    </w:p>
    <w:p w14:paraId="52569C84">
      <w:pPr>
        <w:rPr>
          <w:rFonts w:hint="eastAsia" w:ascii="宋体" w:hAnsi="宋体" w:cs="宋体"/>
          <w:color w:val="auto"/>
          <w:sz w:val="24"/>
          <w:szCs w:val="24"/>
          <w:highlight w:val="none"/>
        </w:rPr>
      </w:pPr>
    </w:p>
    <w:p w14:paraId="574E4FF6">
      <w:pPr>
        <w:rPr>
          <w:rFonts w:hint="eastAsia" w:ascii="宋体" w:hAnsi="宋体" w:cs="宋体"/>
          <w:color w:val="auto"/>
          <w:sz w:val="24"/>
          <w:szCs w:val="24"/>
          <w:highlight w:val="none"/>
        </w:rPr>
      </w:pPr>
    </w:p>
    <w:p w14:paraId="77449C8F">
      <w:pPr>
        <w:pStyle w:val="3"/>
        <w:outlineLvl w:val="0"/>
        <w:rPr>
          <w:rFonts w:hint="eastAsia" w:ascii="宋体" w:hAnsi="宋体" w:eastAsia="宋体" w:cs="宋体"/>
          <w:color w:val="auto"/>
          <w:sz w:val="24"/>
          <w:szCs w:val="24"/>
          <w:highlight w:val="none"/>
        </w:rPr>
      </w:pPr>
      <w:bookmarkStart w:id="72" w:name="_Toc170832707"/>
    </w:p>
    <w:p w14:paraId="6E1B209E">
      <w:pPr>
        <w:pStyle w:val="3"/>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五、投标产品配置及分项报价表</w:t>
      </w:r>
      <w:bookmarkEnd w:id="72"/>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0"/>
        <w:gridCol w:w="1383"/>
        <w:gridCol w:w="810"/>
        <w:gridCol w:w="1335"/>
        <w:gridCol w:w="956"/>
        <w:gridCol w:w="1620"/>
      </w:tblGrid>
      <w:tr w14:paraId="2B091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2770" w:type="dxa"/>
            <w:noWrap w:val="0"/>
            <w:vAlign w:val="center"/>
          </w:tcPr>
          <w:p w14:paraId="25DD8255">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383" w:type="dxa"/>
            <w:noWrap w:val="0"/>
            <w:vAlign w:val="center"/>
          </w:tcPr>
          <w:p w14:paraId="17E9CA7A">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810" w:type="dxa"/>
            <w:noWrap w:val="0"/>
            <w:vAlign w:val="center"/>
          </w:tcPr>
          <w:p w14:paraId="0052570D">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1335" w:type="dxa"/>
            <w:noWrap w:val="0"/>
            <w:vAlign w:val="center"/>
          </w:tcPr>
          <w:p w14:paraId="2FC93ED4">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956" w:type="dxa"/>
            <w:noWrap w:val="0"/>
            <w:vAlign w:val="center"/>
          </w:tcPr>
          <w:p w14:paraId="1AF28392">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1620" w:type="dxa"/>
            <w:noWrap w:val="0"/>
            <w:vAlign w:val="center"/>
          </w:tcPr>
          <w:p w14:paraId="1EABE1AD">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6</w:t>
            </w:r>
          </w:p>
        </w:tc>
      </w:tr>
      <w:tr w14:paraId="535E0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770" w:type="dxa"/>
            <w:noWrap w:val="0"/>
            <w:vAlign w:val="center"/>
          </w:tcPr>
          <w:p w14:paraId="43DE9D0A">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产品名称及规格、型号</w:t>
            </w:r>
          </w:p>
        </w:tc>
        <w:tc>
          <w:tcPr>
            <w:tcW w:w="1383" w:type="dxa"/>
            <w:noWrap w:val="0"/>
            <w:vAlign w:val="center"/>
          </w:tcPr>
          <w:p w14:paraId="1864651D">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数量</w:t>
            </w:r>
          </w:p>
        </w:tc>
        <w:tc>
          <w:tcPr>
            <w:tcW w:w="810" w:type="dxa"/>
            <w:noWrap w:val="0"/>
            <w:vAlign w:val="center"/>
          </w:tcPr>
          <w:p w14:paraId="1ED327BB">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产地</w:t>
            </w:r>
          </w:p>
        </w:tc>
        <w:tc>
          <w:tcPr>
            <w:tcW w:w="1335" w:type="dxa"/>
            <w:noWrap w:val="0"/>
            <w:vAlign w:val="center"/>
          </w:tcPr>
          <w:p w14:paraId="077B313B">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交付期</w:t>
            </w:r>
          </w:p>
        </w:tc>
        <w:tc>
          <w:tcPr>
            <w:tcW w:w="956" w:type="dxa"/>
            <w:noWrap w:val="0"/>
            <w:vAlign w:val="center"/>
          </w:tcPr>
          <w:p w14:paraId="16BD80EC">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单价</w:t>
            </w:r>
          </w:p>
        </w:tc>
        <w:tc>
          <w:tcPr>
            <w:tcW w:w="1620" w:type="dxa"/>
            <w:noWrap w:val="0"/>
            <w:vAlign w:val="center"/>
          </w:tcPr>
          <w:p w14:paraId="227A209D">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总价</w:t>
            </w:r>
          </w:p>
        </w:tc>
      </w:tr>
      <w:tr w14:paraId="0A3E1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2770" w:type="dxa"/>
            <w:noWrap w:val="0"/>
            <w:vAlign w:val="center"/>
          </w:tcPr>
          <w:p w14:paraId="60231E3D">
            <w:pPr>
              <w:rPr>
                <w:rFonts w:hint="eastAsia" w:ascii="宋体" w:hAnsi="宋体" w:cs="宋体"/>
                <w:color w:val="auto"/>
                <w:sz w:val="24"/>
                <w:szCs w:val="24"/>
                <w:highlight w:val="none"/>
              </w:rPr>
            </w:pPr>
          </w:p>
        </w:tc>
        <w:tc>
          <w:tcPr>
            <w:tcW w:w="1383" w:type="dxa"/>
            <w:noWrap w:val="0"/>
            <w:vAlign w:val="center"/>
          </w:tcPr>
          <w:p w14:paraId="27B1D4EA">
            <w:pPr>
              <w:rPr>
                <w:rFonts w:hint="eastAsia" w:ascii="宋体" w:hAnsi="宋体" w:cs="宋体"/>
                <w:color w:val="auto"/>
                <w:sz w:val="24"/>
                <w:szCs w:val="24"/>
                <w:highlight w:val="none"/>
              </w:rPr>
            </w:pPr>
          </w:p>
        </w:tc>
        <w:tc>
          <w:tcPr>
            <w:tcW w:w="810" w:type="dxa"/>
            <w:noWrap w:val="0"/>
            <w:vAlign w:val="center"/>
          </w:tcPr>
          <w:p w14:paraId="32845B4C">
            <w:pPr>
              <w:rPr>
                <w:rFonts w:hint="eastAsia" w:ascii="宋体" w:hAnsi="宋体" w:cs="宋体"/>
                <w:color w:val="auto"/>
                <w:sz w:val="24"/>
                <w:szCs w:val="24"/>
                <w:highlight w:val="none"/>
              </w:rPr>
            </w:pPr>
          </w:p>
        </w:tc>
        <w:tc>
          <w:tcPr>
            <w:tcW w:w="1335" w:type="dxa"/>
            <w:noWrap w:val="0"/>
            <w:vAlign w:val="center"/>
          </w:tcPr>
          <w:p w14:paraId="6B078C60">
            <w:pPr>
              <w:rPr>
                <w:rFonts w:hint="eastAsia" w:ascii="宋体" w:hAnsi="宋体" w:cs="宋体"/>
                <w:color w:val="auto"/>
                <w:sz w:val="24"/>
                <w:szCs w:val="24"/>
                <w:highlight w:val="none"/>
              </w:rPr>
            </w:pPr>
          </w:p>
        </w:tc>
        <w:tc>
          <w:tcPr>
            <w:tcW w:w="956" w:type="dxa"/>
            <w:noWrap w:val="0"/>
            <w:vAlign w:val="center"/>
          </w:tcPr>
          <w:p w14:paraId="09A61A8F">
            <w:pPr>
              <w:rPr>
                <w:rFonts w:hint="eastAsia" w:ascii="宋体" w:hAnsi="宋体" w:cs="宋体"/>
                <w:color w:val="auto"/>
                <w:sz w:val="24"/>
                <w:szCs w:val="24"/>
                <w:highlight w:val="none"/>
              </w:rPr>
            </w:pPr>
          </w:p>
        </w:tc>
        <w:tc>
          <w:tcPr>
            <w:tcW w:w="1620" w:type="dxa"/>
            <w:noWrap w:val="0"/>
            <w:vAlign w:val="center"/>
          </w:tcPr>
          <w:p w14:paraId="0BDB3ABD">
            <w:pPr>
              <w:rPr>
                <w:rFonts w:hint="eastAsia" w:ascii="宋体" w:hAnsi="宋体" w:cs="宋体"/>
                <w:color w:val="auto"/>
                <w:sz w:val="24"/>
                <w:szCs w:val="24"/>
                <w:highlight w:val="none"/>
              </w:rPr>
            </w:pPr>
          </w:p>
        </w:tc>
      </w:tr>
      <w:tr w14:paraId="1592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2770" w:type="dxa"/>
            <w:noWrap w:val="0"/>
            <w:vAlign w:val="center"/>
          </w:tcPr>
          <w:p w14:paraId="3038EA18">
            <w:pPr>
              <w:rPr>
                <w:rFonts w:hint="eastAsia" w:ascii="宋体" w:hAnsi="宋体" w:cs="宋体"/>
                <w:color w:val="auto"/>
                <w:sz w:val="24"/>
                <w:szCs w:val="24"/>
                <w:highlight w:val="none"/>
              </w:rPr>
            </w:pPr>
          </w:p>
        </w:tc>
        <w:tc>
          <w:tcPr>
            <w:tcW w:w="1383" w:type="dxa"/>
            <w:noWrap w:val="0"/>
            <w:vAlign w:val="center"/>
          </w:tcPr>
          <w:p w14:paraId="6BDAC323">
            <w:pPr>
              <w:rPr>
                <w:rFonts w:hint="eastAsia" w:ascii="宋体" w:hAnsi="宋体" w:cs="宋体"/>
                <w:color w:val="auto"/>
                <w:sz w:val="24"/>
                <w:szCs w:val="24"/>
                <w:highlight w:val="none"/>
              </w:rPr>
            </w:pPr>
          </w:p>
        </w:tc>
        <w:tc>
          <w:tcPr>
            <w:tcW w:w="810" w:type="dxa"/>
            <w:noWrap w:val="0"/>
            <w:vAlign w:val="center"/>
          </w:tcPr>
          <w:p w14:paraId="6992AEED">
            <w:pPr>
              <w:rPr>
                <w:rFonts w:hint="eastAsia" w:ascii="宋体" w:hAnsi="宋体" w:cs="宋体"/>
                <w:color w:val="auto"/>
                <w:sz w:val="24"/>
                <w:szCs w:val="24"/>
                <w:highlight w:val="none"/>
              </w:rPr>
            </w:pPr>
          </w:p>
        </w:tc>
        <w:tc>
          <w:tcPr>
            <w:tcW w:w="1335" w:type="dxa"/>
            <w:noWrap w:val="0"/>
            <w:vAlign w:val="center"/>
          </w:tcPr>
          <w:p w14:paraId="488C664C">
            <w:pPr>
              <w:rPr>
                <w:rFonts w:hint="eastAsia" w:ascii="宋体" w:hAnsi="宋体" w:cs="宋体"/>
                <w:color w:val="auto"/>
                <w:sz w:val="24"/>
                <w:szCs w:val="24"/>
                <w:highlight w:val="none"/>
              </w:rPr>
            </w:pPr>
          </w:p>
        </w:tc>
        <w:tc>
          <w:tcPr>
            <w:tcW w:w="956" w:type="dxa"/>
            <w:noWrap w:val="0"/>
            <w:vAlign w:val="center"/>
          </w:tcPr>
          <w:p w14:paraId="6729FACF">
            <w:pPr>
              <w:rPr>
                <w:rFonts w:hint="eastAsia" w:ascii="宋体" w:hAnsi="宋体" w:cs="宋体"/>
                <w:color w:val="auto"/>
                <w:sz w:val="24"/>
                <w:szCs w:val="24"/>
                <w:highlight w:val="none"/>
              </w:rPr>
            </w:pPr>
          </w:p>
        </w:tc>
        <w:tc>
          <w:tcPr>
            <w:tcW w:w="1620" w:type="dxa"/>
            <w:noWrap w:val="0"/>
            <w:vAlign w:val="center"/>
          </w:tcPr>
          <w:p w14:paraId="7BCB8800">
            <w:pPr>
              <w:rPr>
                <w:rFonts w:hint="eastAsia" w:ascii="宋体" w:hAnsi="宋体" w:cs="宋体"/>
                <w:color w:val="auto"/>
                <w:sz w:val="24"/>
                <w:szCs w:val="24"/>
                <w:highlight w:val="none"/>
              </w:rPr>
            </w:pPr>
          </w:p>
        </w:tc>
      </w:tr>
      <w:tr w14:paraId="3C07E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2770" w:type="dxa"/>
            <w:noWrap w:val="0"/>
            <w:vAlign w:val="center"/>
          </w:tcPr>
          <w:p w14:paraId="5F887E35">
            <w:pPr>
              <w:rPr>
                <w:rFonts w:hint="eastAsia" w:ascii="宋体" w:hAnsi="宋体" w:cs="宋体"/>
                <w:color w:val="auto"/>
                <w:sz w:val="24"/>
                <w:szCs w:val="24"/>
                <w:highlight w:val="none"/>
              </w:rPr>
            </w:pPr>
          </w:p>
        </w:tc>
        <w:tc>
          <w:tcPr>
            <w:tcW w:w="1383" w:type="dxa"/>
            <w:noWrap w:val="0"/>
            <w:vAlign w:val="center"/>
          </w:tcPr>
          <w:p w14:paraId="357D7B34">
            <w:pPr>
              <w:rPr>
                <w:rFonts w:hint="eastAsia" w:ascii="宋体" w:hAnsi="宋体" w:cs="宋体"/>
                <w:color w:val="auto"/>
                <w:sz w:val="24"/>
                <w:szCs w:val="24"/>
                <w:highlight w:val="none"/>
              </w:rPr>
            </w:pPr>
          </w:p>
        </w:tc>
        <w:tc>
          <w:tcPr>
            <w:tcW w:w="810" w:type="dxa"/>
            <w:noWrap w:val="0"/>
            <w:vAlign w:val="center"/>
          </w:tcPr>
          <w:p w14:paraId="0D826779">
            <w:pPr>
              <w:rPr>
                <w:rFonts w:hint="eastAsia" w:ascii="宋体" w:hAnsi="宋体" w:cs="宋体"/>
                <w:color w:val="auto"/>
                <w:sz w:val="24"/>
                <w:szCs w:val="24"/>
                <w:highlight w:val="none"/>
              </w:rPr>
            </w:pPr>
          </w:p>
        </w:tc>
        <w:tc>
          <w:tcPr>
            <w:tcW w:w="1335" w:type="dxa"/>
            <w:noWrap w:val="0"/>
            <w:vAlign w:val="center"/>
          </w:tcPr>
          <w:p w14:paraId="03A0E261">
            <w:pPr>
              <w:rPr>
                <w:rFonts w:hint="eastAsia" w:ascii="宋体" w:hAnsi="宋体" w:cs="宋体"/>
                <w:color w:val="auto"/>
                <w:sz w:val="24"/>
                <w:szCs w:val="24"/>
                <w:highlight w:val="none"/>
              </w:rPr>
            </w:pPr>
          </w:p>
        </w:tc>
        <w:tc>
          <w:tcPr>
            <w:tcW w:w="956" w:type="dxa"/>
            <w:noWrap w:val="0"/>
            <w:vAlign w:val="center"/>
          </w:tcPr>
          <w:p w14:paraId="2B41476D">
            <w:pPr>
              <w:rPr>
                <w:rFonts w:hint="eastAsia" w:ascii="宋体" w:hAnsi="宋体" w:cs="宋体"/>
                <w:color w:val="auto"/>
                <w:sz w:val="24"/>
                <w:szCs w:val="24"/>
                <w:highlight w:val="none"/>
              </w:rPr>
            </w:pPr>
          </w:p>
        </w:tc>
        <w:tc>
          <w:tcPr>
            <w:tcW w:w="1620" w:type="dxa"/>
            <w:noWrap w:val="0"/>
            <w:vAlign w:val="center"/>
          </w:tcPr>
          <w:p w14:paraId="628A5693">
            <w:pPr>
              <w:rPr>
                <w:rFonts w:hint="eastAsia" w:ascii="宋体" w:hAnsi="宋体" w:cs="宋体"/>
                <w:color w:val="auto"/>
                <w:sz w:val="24"/>
                <w:szCs w:val="24"/>
                <w:highlight w:val="none"/>
              </w:rPr>
            </w:pPr>
          </w:p>
        </w:tc>
      </w:tr>
      <w:tr w14:paraId="42813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2770" w:type="dxa"/>
            <w:noWrap w:val="0"/>
            <w:vAlign w:val="center"/>
          </w:tcPr>
          <w:p w14:paraId="20BF99CA">
            <w:pPr>
              <w:rPr>
                <w:rFonts w:hint="eastAsia" w:ascii="宋体" w:hAnsi="宋体" w:cs="宋体"/>
                <w:color w:val="auto"/>
                <w:sz w:val="24"/>
                <w:szCs w:val="24"/>
                <w:highlight w:val="none"/>
              </w:rPr>
            </w:pPr>
          </w:p>
        </w:tc>
        <w:tc>
          <w:tcPr>
            <w:tcW w:w="1383" w:type="dxa"/>
            <w:noWrap w:val="0"/>
            <w:vAlign w:val="center"/>
          </w:tcPr>
          <w:p w14:paraId="180AA531">
            <w:pPr>
              <w:rPr>
                <w:rFonts w:hint="eastAsia" w:ascii="宋体" w:hAnsi="宋体" w:cs="宋体"/>
                <w:color w:val="auto"/>
                <w:sz w:val="24"/>
                <w:szCs w:val="24"/>
                <w:highlight w:val="none"/>
              </w:rPr>
            </w:pPr>
          </w:p>
        </w:tc>
        <w:tc>
          <w:tcPr>
            <w:tcW w:w="810" w:type="dxa"/>
            <w:noWrap w:val="0"/>
            <w:vAlign w:val="center"/>
          </w:tcPr>
          <w:p w14:paraId="6906B705">
            <w:pPr>
              <w:rPr>
                <w:rFonts w:hint="eastAsia" w:ascii="宋体" w:hAnsi="宋体" w:cs="宋体"/>
                <w:color w:val="auto"/>
                <w:sz w:val="24"/>
                <w:szCs w:val="24"/>
                <w:highlight w:val="none"/>
              </w:rPr>
            </w:pPr>
          </w:p>
        </w:tc>
        <w:tc>
          <w:tcPr>
            <w:tcW w:w="1335" w:type="dxa"/>
            <w:noWrap w:val="0"/>
            <w:vAlign w:val="center"/>
          </w:tcPr>
          <w:p w14:paraId="115A428C">
            <w:pPr>
              <w:rPr>
                <w:rFonts w:hint="eastAsia" w:ascii="宋体" w:hAnsi="宋体" w:cs="宋体"/>
                <w:color w:val="auto"/>
                <w:sz w:val="24"/>
                <w:szCs w:val="24"/>
                <w:highlight w:val="none"/>
              </w:rPr>
            </w:pPr>
          </w:p>
        </w:tc>
        <w:tc>
          <w:tcPr>
            <w:tcW w:w="956" w:type="dxa"/>
            <w:noWrap w:val="0"/>
            <w:vAlign w:val="center"/>
          </w:tcPr>
          <w:p w14:paraId="38E5B40A">
            <w:pPr>
              <w:rPr>
                <w:rFonts w:hint="eastAsia" w:ascii="宋体" w:hAnsi="宋体" w:cs="宋体"/>
                <w:color w:val="auto"/>
                <w:sz w:val="24"/>
                <w:szCs w:val="24"/>
                <w:highlight w:val="none"/>
              </w:rPr>
            </w:pPr>
          </w:p>
        </w:tc>
        <w:tc>
          <w:tcPr>
            <w:tcW w:w="1620" w:type="dxa"/>
            <w:noWrap w:val="0"/>
            <w:vAlign w:val="center"/>
          </w:tcPr>
          <w:p w14:paraId="5550D297">
            <w:pPr>
              <w:rPr>
                <w:rFonts w:hint="eastAsia" w:ascii="宋体" w:hAnsi="宋体" w:cs="宋体"/>
                <w:color w:val="auto"/>
                <w:sz w:val="24"/>
                <w:szCs w:val="24"/>
                <w:highlight w:val="none"/>
              </w:rPr>
            </w:pPr>
          </w:p>
        </w:tc>
      </w:tr>
      <w:tr w14:paraId="18BC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2770" w:type="dxa"/>
            <w:noWrap w:val="0"/>
            <w:vAlign w:val="center"/>
          </w:tcPr>
          <w:p w14:paraId="7769C2ED">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合计</w:t>
            </w:r>
          </w:p>
        </w:tc>
        <w:tc>
          <w:tcPr>
            <w:tcW w:w="6104" w:type="dxa"/>
            <w:gridSpan w:val="5"/>
            <w:noWrap w:val="0"/>
            <w:vAlign w:val="top"/>
          </w:tcPr>
          <w:p w14:paraId="2C39088F">
            <w:pP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tc>
      </w:tr>
    </w:tbl>
    <w:p w14:paraId="03AB8248">
      <w:pPr>
        <w:widowControl/>
        <w:jc w:val="left"/>
        <w:rPr>
          <w:rFonts w:hint="eastAsia" w:ascii="宋体" w:hAnsi="宋体" w:cs="宋体"/>
          <w:b/>
          <w:bCs/>
          <w:color w:val="auto"/>
          <w:sz w:val="24"/>
          <w:szCs w:val="24"/>
          <w:highlight w:val="none"/>
        </w:rPr>
      </w:pPr>
    </w:p>
    <w:p w14:paraId="7C26995C">
      <w:pPr>
        <w:widowControl/>
        <w:jc w:val="left"/>
        <w:rPr>
          <w:rFonts w:hint="eastAsia" w:ascii="宋体" w:hAnsi="宋体" w:cs="宋体"/>
          <w:b/>
          <w:bCs/>
          <w:color w:val="auto"/>
          <w:sz w:val="24"/>
          <w:szCs w:val="24"/>
          <w:highlight w:val="none"/>
        </w:rPr>
      </w:pPr>
    </w:p>
    <w:p w14:paraId="06D24881">
      <w:pPr>
        <w:widowControl/>
        <w:jc w:val="left"/>
        <w:rPr>
          <w:rFonts w:hint="eastAsia" w:ascii="宋体" w:hAnsi="宋体" w:cs="宋体"/>
          <w:b/>
          <w:bCs/>
          <w:color w:val="auto"/>
          <w:sz w:val="24"/>
          <w:szCs w:val="24"/>
          <w:highlight w:val="none"/>
        </w:rPr>
      </w:pPr>
    </w:p>
    <w:p w14:paraId="6C7B6B2A">
      <w:pPr>
        <w:widowControl/>
        <w:jc w:val="left"/>
        <w:rPr>
          <w:rFonts w:hint="eastAsia" w:ascii="宋体" w:hAnsi="宋体" w:cs="宋体"/>
          <w:b/>
          <w:bCs/>
          <w:color w:val="auto"/>
          <w:sz w:val="24"/>
          <w:szCs w:val="24"/>
          <w:highlight w:val="none"/>
        </w:rPr>
      </w:pPr>
    </w:p>
    <w:p w14:paraId="0D846A44">
      <w:pPr>
        <w:widowControl/>
        <w:jc w:val="left"/>
        <w:rPr>
          <w:rFonts w:hint="eastAsia" w:ascii="宋体" w:hAnsi="宋体" w:cs="宋体"/>
          <w:b/>
          <w:bCs/>
          <w:color w:val="auto"/>
          <w:sz w:val="24"/>
          <w:szCs w:val="24"/>
          <w:highlight w:val="none"/>
        </w:rPr>
      </w:pPr>
    </w:p>
    <w:p w14:paraId="6829BC56">
      <w:pPr>
        <w:widowControl/>
        <w:jc w:val="left"/>
        <w:rPr>
          <w:rFonts w:hint="eastAsia" w:ascii="宋体" w:hAnsi="宋体" w:cs="宋体"/>
          <w:b/>
          <w:bCs/>
          <w:color w:val="auto"/>
          <w:sz w:val="24"/>
          <w:szCs w:val="24"/>
          <w:highlight w:val="none"/>
        </w:rPr>
      </w:pPr>
    </w:p>
    <w:p w14:paraId="33A5E7C6">
      <w:pPr>
        <w:widowControl/>
        <w:jc w:val="left"/>
        <w:rPr>
          <w:rFonts w:hint="eastAsia" w:ascii="宋体" w:hAnsi="宋体" w:cs="宋体"/>
          <w:b/>
          <w:bCs/>
          <w:color w:val="auto"/>
          <w:sz w:val="24"/>
          <w:szCs w:val="24"/>
          <w:highlight w:val="none"/>
        </w:rPr>
      </w:pPr>
    </w:p>
    <w:p w14:paraId="4521057C">
      <w:pPr>
        <w:widowControl/>
        <w:jc w:val="left"/>
        <w:rPr>
          <w:rFonts w:hint="eastAsia" w:ascii="宋体" w:hAnsi="宋体" w:cs="宋体"/>
          <w:b/>
          <w:bCs/>
          <w:color w:val="auto"/>
          <w:sz w:val="24"/>
          <w:szCs w:val="24"/>
          <w:highlight w:val="none"/>
        </w:rPr>
      </w:pPr>
    </w:p>
    <w:p w14:paraId="1F6B00DA">
      <w:pPr>
        <w:widowControl/>
        <w:jc w:val="left"/>
        <w:rPr>
          <w:rFonts w:hint="eastAsia" w:ascii="宋体" w:hAnsi="宋体" w:cs="宋体"/>
          <w:b/>
          <w:bCs/>
          <w:color w:val="auto"/>
          <w:sz w:val="24"/>
          <w:szCs w:val="24"/>
          <w:highlight w:val="none"/>
        </w:rPr>
      </w:pPr>
    </w:p>
    <w:p w14:paraId="2ABADA95">
      <w:pPr>
        <w:widowControl/>
        <w:jc w:val="left"/>
        <w:rPr>
          <w:rFonts w:hint="eastAsia" w:ascii="宋体" w:hAnsi="宋体" w:cs="宋体"/>
          <w:b/>
          <w:bCs/>
          <w:color w:val="auto"/>
          <w:sz w:val="24"/>
          <w:szCs w:val="24"/>
          <w:highlight w:val="none"/>
        </w:rPr>
      </w:pPr>
    </w:p>
    <w:p w14:paraId="73004E78">
      <w:pPr>
        <w:widowControl/>
        <w:jc w:val="left"/>
        <w:rPr>
          <w:rFonts w:hint="eastAsia" w:ascii="宋体" w:hAnsi="宋体" w:cs="宋体"/>
          <w:b/>
          <w:bCs/>
          <w:color w:val="auto"/>
          <w:sz w:val="24"/>
          <w:szCs w:val="24"/>
          <w:highlight w:val="none"/>
        </w:rPr>
      </w:pPr>
    </w:p>
    <w:p w14:paraId="680FB29D">
      <w:pPr>
        <w:widowControl/>
        <w:jc w:val="left"/>
        <w:rPr>
          <w:rFonts w:hint="eastAsia" w:ascii="宋体" w:hAnsi="宋体" w:cs="宋体"/>
          <w:b/>
          <w:bCs/>
          <w:color w:val="auto"/>
          <w:sz w:val="24"/>
          <w:szCs w:val="24"/>
          <w:highlight w:val="none"/>
        </w:rPr>
      </w:pPr>
    </w:p>
    <w:p w14:paraId="741FF1A3">
      <w:pPr>
        <w:widowControl/>
        <w:jc w:val="left"/>
        <w:rPr>
          <w:rFonts w:hint="eastAsia" w:ascii="宋体" w:hAnsi="宋体" w:cs="宋体"/>
          <w:b/>
          <w:bCs/>
          <w:color w:val="auto"/>
          <w:sz w:val="24"/>
          <w:szCs w:val="24"/>
          <w:highlight w:val="none"/>
        </w:rPr>
      </w:pPr>
    </w:p>
    <w:p w14:paraId="07E72BF9">
      <w:pPr>
        <w:widowControl/>
        <w:jc w:val="left"/>
        <w:rPr>
          <w:rFonts w:hint="eastAsia" w:ascii="宋体" w:hAnsi="宋体" w:cs="宋体"/>
          <w:b/>
          <w:bCs/>
          <w:color w:val="auto"/>
          <w:sz w:val="24"/>
          <w:szCs w:val="24"/>
          <w:highlight w:val="none"/>
        </w:rPr>
      </w:pPr>
    </w:p>
    <w:p w14:paraId="22D8FBE9">
      <w:pPr>
        <w:widowControl/>
        <w:jc w:val="left"/>
        <w:rPr>
          <w:rFonts w:hint="eastAsia" w:ascii="宋体" w:hAnsi="宋体" w:cs="宋体"/>
          <w:b/>
          <w:bCs/>
          <w:color w:val="auto"/>
          <w:sz w:val="24"/>
          <w:szCs w:val="24"/>
          <w:highlight w:val="none"/>
        </w:rPr>
      </w:pPr>
    </w:p>
    <w:p w14:paraId="15D05208">
      <w:pPr>
        <w:widowControl/>
        <w:jc w:val="left"/>
        <w:rPr>
          <w:rFonts w:hint="eastAsia" w:ascii="宋体" w:hAnsi="宋体" w:cs="宋体"/>
          <w:b/>
          <w:bCs/>
          <w:color w:val="auto"/>
          <w:sz w:val="24"/>
          <w:szCs w:val="24"/>
          <w:highlight w:val="none"/>
        </w:rPr>
      </w:pPr>
    </w:p>
    <w:p w14:paraId="42FF4F71">
      <w:pPr>
        <w:widowControl/>
        <w:jc w:val="left"/>
        <w:rPr>
          <w:rFonts w:hint="eastAsia" w:ascii="宋体" w:hAnsi="宋体" w:cs="宋体"/>
          <w:b/>
          <w:bCs/>
          <w:color w:val="auto"/>
          <w:sz w:val="24"/>
          <w:szCs w:val="24"/>
          <w:highlight w:val="none"/>
        </w:rPr>
      </w:pPr>
    </w:p>
    <w:p w14:paraId="454AFA50">
      <w:pPr>
        <w:widowControl/>
        <w:jc w:val="left"/>
        <w:rPr>
          <w:rFonts w:hint="eastAsia" w:ascii="宋体" w:hAnsi="宋体" w:cs="宋体"/>
          <w:b/>
          <w:bCs/>
          <w:color w:val="auto"/>
          <w:sz w:val="24"/>
          <w:szCs w:val="24"/>
          <w:highlight w:val="none"/>
        </w:rPr>
      </w:pPr>
    </w:p>
    <w:p w14:paraId="5C396655">
      <w:pPr>
        <w:widowControl/>
        <w:jc w:val="left"/>
        <w:rPr>
          <w:rFonts w:hint="eastAsia" w:ascii="宋体" w:hAnsi="宋体" w:cs="宋体"/>
          <w:b/>
          <w:bCs/>
          <w:color w:val="auto"/>
          <w:sz w:val="24"/>
          <w:szCs w:val="24"/>
          <w:highlight w:val="none"/>
        </w:rPr>
      </w:pPr>
    </w:p>
    <w:p w14:paraId="69868BF0">
      <w:pPr>
        <w:widowControl/>
        <w:jc w:val="left"/>
        <w:rPr>
          <w:rFonts w:hint="eastAsia" w:ascii="宋体" w:hAnsi="宋体" w:cs="宋体"/>
          <w:b/>
          <w:bCs/>
          <w:color w:val="auto"/>
          <w:sz w:val="24"/>
          <w:szCs w:val="24"/>
          <w:highlight w:val="none"/>
        </w:rPr>
      </w:pPr>
    </w:p>
    <w:p w14:paraId="7AA4E4CF">
      <w:pPr>
        <w:widowControl/>
        <w:jc w:val="left"/>
        <w:rPr>
          <w:rFonts w:hint="eastAsia" w:ascii="宋体" w:hAnsi="宋体" w:cs="宋体"/>
          <w:b/>
          <w:bCs/>
          <w:color w:val="auto"/>
          <w:sz w:val="24"/>
          <w:szCs w:val="24"/>
          <w:highlight w:val="none"/>
        </w:rPr>
      </w:pPr>
    </w:p>
    <w:p w14:paraId="379ADD28">
      <w:pPr>
        <w:widowControl/>
        <w:jc w:val="left"/>
        <w:rPr>
          <w:rFonts w:hint="eastAsia" w:ascii="宋体" w:hAnsi="宋体" w:cs="宋体"/>
          <w:b/>
          <w:bCs/>
          <w:color w:val="auto"/>
          <w:sz w:val="24"/>
          <w:szCs w:val="24"/>
          <w:highlight w:val="none"/>
        </w:rPr>
      </w:pPr>
    </w:p>
    <w:p w14:paraId="3BCF2EEC">
      <w:pPr>
        <w:widowControl/>
        <w:jc w:val="left"/>
        <w:rPr>
          <w:rFonts w:hint="eastAsia" w:ascii="宋体" w:hAnsi="宋体" w:cs="宋体"/>
          <w:b/>
          <w:bCs/>
          <w:color w:val="auto"/>
          <w:sz w:val="24"/>
          <w:szCs w:val="24"/>
          <w:highlight w:val="none"/>
        </w:rPr>
      </w:pPr>
    </w:p>
    <w:p w14:paraId="3A180551">
      <w:pPr>
        <w:pStyle w:val="3"/>
        <w:outlineLvl w:val="0"/>
        <w:rPr>
          <w:rFonts w:hint="eastAsia" w:ascii="宋体" w:hAnsi="宋体" w:eastAsia="宋体" w:cs="宋体"/>
          <w:color w:val="auto"/>
          <w:sz w:val="24"/>
          <w:szCs w:val="24"/>
          <w:highlight w:val="none"/>
        </w:rPr>
      </w:pPr>
      <w:bookmarkStart w:id="73" w:name="_Toc170832708"/>
      <w:r>
        <w:rPr>
          <w:rFonts w:hint="eastAsia" w:ascii="宋体" w:hAnsi="宋体" w:eastAsia="宋体" w:cs="宋体"/>
          <w:color w:val="auto"/>
          <w:sz w:val="24"/>
          <w:szCs w:val="24"/>
          <w:highlight w:val="none"/>
        </w:rPr>
        <w:t>六、技术参数响应及偏离表</w:t>
      </w:r>
      <w:bookmarkEnd w:id="73"/>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852"/>
        <w:gridCol w:w="1308"/>
        <w:gridCol w:w="1173"/>
      </w:tblGrid>
      <w:tr w14:paraId="6773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4" w:type="dxa"/>
            <w:noWrap w:val="0"/>
            <w:vAlign w:val="center"/>
          </w:tcPr>
          <w:p w14:paraId="43BF4B0A">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2852" w:type="dxa"/>
            <w:noWrap w:val="0"/>
            <w:vAlign w:val="center"/>
          </w:tcPr>
          <w:p w14:paraId="08888419">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招标要求</w:t>
            </w:r>
          </w:p>
        </w:tc>
        <w:tc>
          <w:tcPr>
            <w:tcW w:w="2852" w:type="dxa"/>
            <w:noWrap w:val="0"/>
            <w:vAlign w:val="center"/>
          </w:tcPr>
          <w:p w14:paraId="12CE49CA">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投标响应</w:t>
            </w:r>
          </w:p>
        </w:tc>
        <w:tc>
          <w:tcPr>
            <w:tcW w:w="1308" w:type="dxa"/>
            <w:noWrap w:val="0"/>
            <w:vAlign w:val="center"/>
          </w:tcPr>
          <w:p w14:paraId="31AF32C4">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超出、符合或偏离</w:t>
            </w:r>
          </w:p>
        </w:tc>
        <w:tc>
          <w:tcPr>
            <w:tcW w:w="1173" w:type="dxa"/>
            <w:noWrap w:val="0"/>
            <w:vAlign w:val="center"/>
          </w:tcPr>
          <w:p w14:paraId="38F6572E">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证明材料</w:t>
            </w:r>
          </w:p>
        </w:tc>
      </w:tr>
      <w:tr w14:paraId="720E9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08E0C111">
            <w:pPr>
              <w:jc w:val="center"/>
              <w:rPr>
                <w:rFonts w:hint="eastAsia" w:ascii="宋体" w:hAnsi="宋体" w:cs="宋体"/>
                <w:color w:val="auto"/>
                <w:sz w:val="24"/>
                <w:szCs w:val="24"/>
                <w:highlight w:val="none"/>
              </w:rPr>
            </w:pPr>
          </w:p>
        </w:tc>
        <w:tc>
          <w:tcPr>
            <w:tcW w:w="2852" w:type="dxa"/>
            <w:noWrap w:val="0"/>
            <w:vAlign w:val="top"/>
          </w:tcPr>
          <w:p w14:paraId="02852CF3">
            <w:pPr>
              <w:jc w:val="center"/>
              <w:rPr>
                <w:rFonts w:hint="eastAsia" w:ascii="宋体" w:hAnsi="宋体" w:cs="宋体"/>
                <w:color w:val="auto"/>
                <w:sz w:val="24"/>
                <w:szCs w:val="24"/>
                <w:highlight w:val="none"/>
              </w:rPr>
            </w:pPr>
          </w:p>
        </w:tc>
        <w:tc>
          <w:tcPr>
            <w:tcW w:w="2852" w:type="dxa"/>
            <w:noWrap w:val="0"/>
            <w:vAlign w:val="top"/>
          </w:tcPr>
          <w:p w14:paraId="34DF1495">
            <w:pPr>
              <w:jc w:val="center"/>
              <w:rPr>
                <w:rFonts w:hint="eastAsia" w:ascii="宋体" w:hAnsi="宋体" w:cs="宋体"/>
                <w:color w:val="auto"/>
                <w:sz w:val="24"/>
                <w:szCs w:val="24"/>
                <w:highlight w:val="none"/>
              </w:rPr>
            </w:pPr>
          </w:p>
        </w:tc>
        <w:tc>
          <w:tcPr>
            <w:tcW w:w="1308" w:type="dxa"/>
            <w:noWrap w:val="0"/>
            <w:vAlign w:val="top"/>
          </w:tcPr>
          <w:p w14:paraId="0FF60261">
            <w:pPr>
              <w:jc w:val="center"/>
              <w:rPr>
                <w:rFonts w:hint="eastAsia" w:ascii="宋体" w:hAnsi="宋体" w:cs="宋体"/>
                <w:color w:val="auto"/>
                <w:sz w:val="24"/>
                <w:szCs w:val="24"/>
                <w:highlight w:val="none"/>
              </w:rPr>
            </w:pPr>
          </w:p>
        </w:tc>
        <w:tc>
          <w:tcPr>
            <w:tcW w:w="1173" w:type="dxa"/>
            <w:noWrap w:val="0"/>
            <w:vAlign w:val="top"/>
          </w:tcPr>
          <w:p w14:paraId="7C1AAAA8">
            <w:pPr>
              <w:jc w:val="center"/>
              <w:rPr>
                <w:rFonts w:hint="eastAsia" w:ascii="宋体" w:hAnsi="宋体" w:cs="宋体"/>
                <w:color w:val="auto"/>
                <w:sz w:val="24"/>
                <w:szCs w:val="24"/>
                <w:highlight w:val="none"/>
              </w:rPr>
            </w:pPr>
          </w:p>
        </w:tc>
      </w:tr>
      <w:tr w14:paraId="27D48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30B50272">
            <w:pPr>
              <w:jc w:val="center"/>
              <w:rPr>
                <w:rFonts w:hint="eastAsia" w:ascii="宋体" w:hAnsi="宋体" w:cs="宋体"/>
                <w:color w:val="auto"/>
                <w:sz w:val="24"/>
                <w:szCs w:val="24"/>
                <w:highlight w:val="none"/>
              </w:rPr>
            </w:pPr>
          </w:p>
        </w:tc>
        <w:tc>
          <w:tcPr>
            <w:tcW w:w="2852" w:type="dxa"/>
            <w:noWrap w:val="0"/>
            <w:vAlign w:val="top"/>
          </w:tcPr>
          <w:p w14:paraId="1900DD34">
            <w:pPr>
              <w:jc w:val="center"/>
              <w:rPr>
                <w:rFonts w:hint="eastAsia" w:ascii="宋体" w:hAnsi="宋体" w:cs="宋体"/>
                <w:color w:val="auto"/>
                <w:sz w:val="24"/>
                <w:szCs w:val="24"/>
                <w:highlight w:val="none"/>
              </w:rPr>
            </w:pPr>
          </w:p>
        </w:tc>
        <w:tc>
          <w:tcPr>
            <w:tcW w:w="2852" w:type="dxa"/>
            <w:noWrap w:val="0"/>
            <w:vAlign w:val="top"/>
          </w:tcPr>
          <w:p w14:paraId="01F487A8">
            <w:pPr>
              <w:jc w:val="center"/>
              <w:rPr>
                <w:rFonts w:hint="eastAsia" w:ascii="宋体" w:hAnsi="宋体" w:cs="宋体"/>
                <w:color w:val="auto"/>
                <w:sz w:val="24"/>
                <w:szCs w:val="24"/>
                <w:highlight w:val="none"/>
              </w:rPr>
            </w:pPr>
          </w:p>
        </w:tc>
        <w:tc>
          <w:tcPr>
            <w:tcW w:w="1308" w:type="dxa"/>
            <w:noWrap w:val="0"/>
            <w:vAlign w:val="top"/>
          </w:tcPr>
          <w:p w14:paraId="77A72C9F">
            <w:pPr>
              <w:jc w:val="center"/>
              <w:rPr>
                <w:rFonts w:hint="eastAsia" w:ascii="宋体" w:hAnsi="宋体" w:cs="宋体"/>
                <w:color w:val="auto"/>
                <w:sz w:val="24"/>
                <w:szCs w:val="24"/>
                <w:highlight w:val="none"/>
              </w:rPr>
            </w:pPr>
          </w:p>
        </w:tc>
        <w:tc>
          <w:tcPr>
            <w:tcW w:w="1173" w:type="dxa"/>
            <w:noWrap w:val="0"/>
            <w:vAlign w:val="top"/>
          </w:tcPr>
          <w:p w14:paraId="78C911F7">
            <w:pPr>
              <w:jc w:val="center"/>
              <w:rPr>
                <w:rFonts w:hint="eastAsia" w:ascii="宋体" w:hAnsi="宋体" w:cs="宋体"/>
                <w:color w:val="auto"/>
                <w:sz w:val="24"/>
                <w:szCs w:val="24"/>
                <w:highlight w:val="none"/>
              </w:rPr>
            </w:pPr>
          </w:p>
        </w:tc>
      </w:tr>
      <w:tr w14:paraId="40F1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57077DA7">
            <w:pPr>
              <w:jc w:val="center"/>
              <w:rPr>
                <w:rFonts w:hint="eastAsia" w:ascii="宋体" w:hAnsi="宋体" w:cs="宋体"/>
                <w:color w:val="auto"/>
                <w:sz w:val="24"/>
                <w:szCs w:val="24"/>
                <w:highlight w:val="none"/>
              </w:rPr>
            </w:pPr>
          </w:p>
        </w:tc>
        <w:tc>
          <w:tcPr>
            <w:tcW w:w="2852" w:type="dxa"/>
            <w:noWrap w:val="0"/>
            <w:vAlign w:val="top"/>
          </w:tcPr>
          <w:p w14:paraId="2BEADAC8">
            <w:pPr>
              <w:jc w:val="center"/>
              <w:rPr>
                <w:rFonts w:hint="eastAsia" w:ascii="宋体" w:hAnsi="宋体" w:cs="宋体"/>
                <w:color w:val="auto"/>
                <w:sz w:val="24"/>
                <w:szCs w:val="24"/>
                <w:highlight w:val="none"/>
              </w:rPr>
            </w:pPr>
          </w:p>
        </w:tc>
        <w:tc>
          <w:tcPr>
            <w:tcW w:w="2852" w:type="dxa"/>
            <w:noWrap w:val="0"/>
            <w:vAlign w:val="top"/>
          </w:tcPr>
          <w:p w14:paraId="05D958E8">
            <w:pPr>
              <w:jc w:val="center"/>
              <w:rPr>
                <w:rFonts w:hint="eastAsia" w:ascii="宋体" w:hAnsi="宋体" w:cs="宋体"/>
                <w:color w:val="auto"/>
                <w:sz w:val="24"/>
                <w:szCs w:val="24"/>
                <w:highlight w:val="none"/>
              </w:rPr>
            </w:pPr>
          </w:p>
        </w:tc>
        <w:tc>
          <w:tcPr>
            <w:tcW w:w="1308" w:type="dxa"/>
            <w:noWrap w:val="0"/>
            <w:vAlign w:val="top"/>
          </w:tcPr>
          <w:p w14:paraId="71861016">
            <w:pPr>
              <w:jc w:val="center"/>
              <w:rPr>
                <w:rFonts w:hint="eastAsia" w:ascii="宋体" w:hAnsi="宋体" w:cs="宋体"/>
                <w:color w:val="auto"/>
                <w:sz w:val="24"/>
                <w:szCs w:val="24"/>
                <w:highlight w:val="none"/>
              </w:rPr>
            </w:pPr>
          </w:p>
        </w:tc>
        <w:tc>
          <w:tcPr>
            <w:tcW w:w="1173" w:type="dxa"/>
            <w:noWrap w:val="0"/>
            <w:vAlign w:val="top"/>
          </w:tcPr>
          <w:p w14:paraId="24684255">
            <w:pPr>
              <w:jc w:val="center"/>
              <w:rPr>
                <w:rFonts w:hint="eastAsia" w:ascii="宋体" w:hAnsi="宋体" w:cs="宋体"/>
                <w:color w:val="auto"/>
                <w:sz w:val="24"/>
                <w:szCs w:val="24"/>
                <w:highlight w:val="none"/>
              </w:rPr>
            </w:pPr>
          </w:p>
        </w:tc>
      </w:tr>
      <w:tr w14:paraId="41B66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58ED078A">
            <w:pPr>
              <w:jc w:val="center"/>
              <w:rPr>
                <w:rFonts w:hint="eastAsia" w:ascii="宋体" w:hAnsi="宋体" w:cs="宋体"/>
                <w:color w:val="auto"/>
                <w:sz w:val="24"/>
                <w:szCs w:val="24"/>
                <w:highlight w:val="none"/>
              </w:rPr>
            </w:pPr>
          </w:p>
        </w:tc>
        <w:tc>
          <w:tcPr>
            <w:tcW w:w="2852" w:type="dxa"/>
            <w:noWrap w:val="0"/>
            <w:vAlign w:val="top"/>
          </w:tcPr>
          <w:p w14:paraId="3F1E5DC1">
            <w:pPr>
              <w:jc w:val="center"/>
              <w:rPr>
                <w:rFonts w:hint="eastAsia" w:ascii="宋体" w:hAnsi="宋体" w:cs="宋体"/>
                <w:color w:val="auto"/>
                <w:sz w:val="24"/>
                <w:szCs w:val="24"/>
                <w:highlight w:val="none"/>
              </w:rPr>
            </w:pPr>
          </w:p>
        </w:tc>
        <w:tc>
          <w:tcPr>
            <w:tcW w:w="2852" w:type="dxa"/>
            <w:noWrap w:val="0"/>
            <w:vAlign w:val="top"/>
          </w:tcPr>
          <w:p w14:paraId="1ABA54BF">
            <w:pPr>
              <w:jc w:val="center"/>
              <w:rPr>
                <w:rFonts w:hint="eastAsia" w:ascii="宋体" w:hAnsi="宋体" w:cs="宋体"/>
                <w:color w:val="auto"/>
                <w:sz w:val="24"/>
                <w:szCs w:val="24"/>
                <w:highlight w:val="none"/>
              </w:rPr>
            </w:pPr>
          </w:p>
        </w:tc>
        <w:tc>
          <w:tcPr>
            <w:tcW w:w="1308" w:type="dxa"/>
            <w:noWrap w:val="0"/>
            <w:vAlign w:val="top"/>
          </w:tcPr>
          <w:p w14:paraId="4F6880B0">
            <w:pPr>
              <w:jc w:val="center"/>
              <w:rPr>
                <w:rFonts w:hint="eastAsia" w:ascii="宋体" w:hAnsi="宋体" w:cs="宋体"/>
                <w:color w:val="auto"/>
                <w:sz w:val="24"/>
                <w:szCs w:val="24"/>
                <w:highlight w:val="none"/>
              </w:rPr>
            </w:pPr>
          </w:p>
        </w:tc>
        <w:tc>
          <w:tcPr>
            <w:tcW w:w="1173" w:type="dxa"/>
            <w:noWrap w:val="0"/>
            <w:vAlign w:val="top"/>
          </w:tcPr>
          <w:p w14:paraId="665FEA83">
            <w:pPr>
              <w:jc w:val="center"/>
              <w:rPr>
                <w:rFonts w:hint="eastAsia" w:ascii="宋体" w:hAnsi="宋体" w:cs="宋体"/>
                <w:color w:val="auto"/>
                <w:sz w:val="24"/>
                <w:szCs w:val="24"/>
                <w:highlight w:val="none"/>
              </w:rPr>
            </w:pPr>
          </w:p>
        </w:tc>
      </w:tr>
      <w:tr w14:paraId="216C0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1F0A82D1">
            <w:pPr>
              <w:jc w:val="center"/>
              <w:rPr>
                <w:rFonts w:hint="eastAsia" w:ascii="宋体" w:hAnsi="宋体" w:cs="宋体"/>
                <w:color w:val="auto"/>
                <w:sz w:val="24"/>
                <w:szCs w:val="24"/>
                <w:highlight w:val="none"/>
              </w:rPr>
            </w:pPr>
          </w:p>
        </w:tc>
        <w:tc>
          <w:tcPr>
            <w:tcW w:w="2852" w:type="dxa"/>
            <w:noWrap w:val="0"/>
            <w:vAlign w:val="top"/>
          </w:tcPr>
          <w:p w14:paraId="006559A2">
            <w:pPr>
              <w:jc w:val="center"/>
              <w:rPr>
                <w:rFonts w:hint="eastAsia" w:ascii="宋体" w:hAnsi="宋体" w:cs="宋体"/>
                <w:color w:val="auto"/>
                <w:sz w:val="24"/>
                <w:szCs w:val="24"/>
                <w:highlight w:val="none"/>
              </w:rPr>
            </w:pPr>
          </w:p>
        </w:tc>
        <w:tc>
          <w:tcPr>
            <w:tcW w:w="2852" w:type="dxa"/>
            <w:noWrap w:val="0"/>
            <w:vAlign w:val="top"/>
          </w:tcPr>
          <w:p w14:paraId="1B736385">
            <w:pPr>
              <w:jc w:val="center"/>
              <w:rPr>
                <w:rFonts w:hint="eastAsia" w:ascii="宋体" w:hAnsi="宋体" w:cs="宋体"/>
                <w:color w:val="auto"/>
                <w:sz w:val="24"/>
                <w:szCs w:val="24"/>
                <w:highlight w:val="none"/>
              </w:rPr>
            </w:pPr>
          </w:p>
        </w:tc>
        <w:tc>
          <w:tcPr>
            <w:tcW w:w="1308" w:type="dxa"/>
            <w:noWrap w:val="0"/>
            <w:vAlign w:val="top"/>
          </w:tcPr>
          <w:p w14:paraId="6794BBAA">
            <w:pPr>
              <w:jc w:val="center"/>
              <w:rPr>
                <w:rFonts w:hint="eastAsia" w:ascii="宋体" w:hAnsi="宋体" w:cs="宋体"/>
                <w:color w:val="auto"/>
                <w:sz w:val="24"/>
                <w:szCs w:val="24"/>
                <w:highlight w:val="none"/>
              </w:rPr>
            </w:pPr>
          </w:p>
        </w:tc>
        <w:tc>
          <w:tcPr>
            <w:tcW w:w="1173" w:type="dxa"/>
            <w:noWrap w:val="0"/>
            <w:vAlign w:val="top"/>
          </w:tcPr>
          <w:p w14:paraId="216F87C5">
            <w:pPr>
              <w:jc w:val="center"/>
              <w:rPr>
                <w:rFonts w:hint="eastAsia" w:ascii="宋体" w:hAnsi="宋体" w:cs="宋体"/>
                <w:color w:val="auto"/>
                <w:sz w:val="24"/>
                <w:szCs w:val="24"/>
                <w:highlight w:val="none"/>
              </w:rPr>
            </w:pPr>
          </w:p>
        </w:tc>
      </w:tr>
      <w:tr w14:paraId="25EF1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20A92377">
            <w:pPr>
              <w:jc w:val="center"/>
              <w:rPr>
                <w:rFonts w:hint="eastAsia" w:ascii="宋体" w:hAnsi="宋体" w:cs="宋体"/>
                <w:color w:val="auto"/>
                <w:sz w:val="24"/>
                <w:szCs w:val="24"/>
                <w:highlight w:val="none"/>
              </w:rPr>
            </w:pPr>
          </w:p>
        </w:tc>
        <w:tc>
          <w:tcPr>
            <w:tcW w:w="2852" w:type="dxa"/>
            <w:noWrap w:val="0"/>
            <w:vAlign w:val="top"/>
          </w:tcPr>
          <w:p w14:paraId="23BFE849">
            <w:pPr>
              <w:jc w:val="center"/>
              <w:rPr>
                <w:rFonts w:hint="eastAsia" w:ascii="宋体" w:hAnsi="宋体" w:cs="宋体"/>
                <w:color w:val="auto"/>
                <w:sz w:val="24"/>
                <w:szCs w:val="24"/>
                <w:highlight w:val="none"/>
              </w:rPr>
            </w:pPr>
          </w:p>
        </w:tc>
        <w:tc>
          <w:tcPr>
            <w:tcW w:w="2852" w:type="dxa"/>
            <w:noWrap w:val="0"/>
            <w:vAlign w:val="top"/>
          </w:tcPr>
          <w:p w14:paraId="55C5469F">
            <w:pPr>
              <w:jc w:val="center"/>
              <w:rPr>
                <w:rFonts w:hint="eastAsia" w:ascii="宋体" w:hAnsi="宋体" w:cs="宋体"/>
                <w:color w:val="auto"/>
                <w:sz w:val="24"/>
                <w:szCs w:val="24"/>
                <w:highlight w:val="none"/>
              </w:rPr>
            </w:pPr>
          </w:p>
        </w:tc>
        <w:tc>
          <w:tcPr>
            <w:tcW w:w="1308" w:type="dxa"/>
            <w:noWrap w:val="0"/>
            <w:vAlign w:val="top"/>
          </w:tcPr>
          <w:p w14:paraId="0AD5412E">
            <w:pPr>
              <w:jc w:val="center"/>
              <w:rPr>
                <w:rFonts w:hint="eastAsia" w:ascii="宋体" w:hAnsi="宋体" w:cs="宋体"/>
                <w:color w:val="auto"/>
                <w:sz w:val="24"/>
                <w:szCs w:val="24"/>
                <w:highlight w:val="none"/>
              </w:rPr>
            </w:pPr>
          </w:p>
        </w:tc>
        <w:tc>
          <w:tcPr>
            <w:tcW w:w="1173" w:type="dxa"/>
            <w:noWrap w:val="0"/>
            <w:vAlign w:val="top"/>
          </w:tcPr>
          <w:p w14:paraId="26753447">
            <w:pPr>
              <w:jc w:val="center"/>
              <w:rPr>
                <w:rFonts w:hint="eastAsia" w:ascii="宋体" w:hAnsi="宋体" w:cs="宋体"/>
                <w:color w:val="auto"/>
                <w:sz w:val="24"/>
                <w:szCs w:val="24"/>
                <w:highlight w:val="none"/>
              </w:rPr>
            </w:pPr>
          </w:p>
        </w:tc>
      </w:tr>
      <w:tr w14:paraId="2C680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72AD8F07">
            <w:pPr>
              <w:jc w:val="center"/>
              <w:rPr>
                <w:rFonts w:hint="eastAsia" w:ascii="宋体" w:hAnsi="宋体" w:cs="宋体"/>
                <w:color w:val="auto"/>
                <w:sz w:val="24"/>
                <w:szCs w:val="24"/>
                <w:highlight w:val="none"/>
              </w:rPr>
            </w:pPr>
          </w:p>
        </w:tc>
        <w:tc>
          <w:tcPr>
            <w:tcW w:w="2852" w:type="dxa"/>
            <w:noWrap w:val="0"/>
            <w:vAlign w:val="top"/>
          </w:tcPr>
          <w:p w14:paraId="635D6605">
            <w:pPr>
              <w:jc w:val="center"/>
              <w:rPr>
                <w:rFonts w:hint="eastAsia" w:ascii="宋体" w:hAnsi="宋体" w:cs="宋体"/>
                <w:color w:val="auto"/>
                <w:sz w:val="24"/>
                <w:szCs w:val="24"/>
                <w:highlight w:val="none"/>
              </w:rPr>
            </w:pPr>
          </w:p>
        </w:tc>
        <w:tc>
          <w:tcPr>
            <w:tcW w:w="2852" w:type="dxa"/>
            <w:noWrap w:val="0"/>
            <w:vAlign w:val="top"/>
          </w:tcPr>
          <w:p w14:paraId="2276DCBB">
            <w:pPr>
              <w:jc w:val="center"/>
              <w:rPr>
                <w:rFonts w:hint="eastAsia" w:ascii="宋体" w:hAnsi="宋体" w:cs="宋体"/>
                <w:color w:val="auto"/>
                <w:sz w:val="24"/>
                <w:szCs w:val="24"/>
                <w:highlight w:val="none"/>
              </w:rPr>
            </w:pPr>
          </w:p>
        </w:tc>
        <w:tc>
          <w:tcPr>
            <w:tcW w:w="1308" w:type="dxa"/>
            <w:noWrap w:val="0"/>
            <w:vAlign w:val="top"/>
          </w:tcPr>
          <w:p w14:paraId="5712AF66">
            <w:pPr>
              <w:jc w:val="center"/>
              <w:rPr>
                <w:rFonts w:hint="eastAsia" w:ascii="宋体" w:hAnsi="宋体" w:cs="宋体"/>
                <w:color w:val="auto"/>
                <w:sz w:val="24"/>
                <w:szCs w:val="24"/>
                <w:highlight w:val="none"/>
              </w:rPr>
            </w:pPr>
          </w:p>
        </w:tc>
        <w:tc>
          <w:tcPr>
            <w:tcW w:w="1173" w:type="dxa"/>
            <w:noWrap w:val="0"/>
            <w:vAlign w:val="top"/>
          </w:tcPr>
          <w:p w14:paraId="68D110E3">
            <w:pPr>
              <w:jc w:val="center"/>
              <w:rPr>
                <w:rFonts w:hint="eastAsia" w:ascii="宋体" w:hAnsi="宋体" w:cs="宋体"/>
                <w:color w:val="auto"/>
                <w:sz w:val="24"/>
                <w:szCs w:val="24"/>
                <w:highlight w:val="none"/>
              </w:rPr>
            </w:pPr>
          </w:p>
        </w:tc>
      </w:tr>
      <w:tr w14:paraId="433A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2A66B5F2">
            <w:pPr>
              <w:jc w:val="center"/>
              <w:rPr>
                <w:rFonts w:hint="eastAsia" w:ascii="宋体" w:hAnsi="宋体" w:cs="宋体"/>
                <w:color w:val="auto"/>
                <w:sz w:val="24"/>
                <w:szCs w:val="24"/>
                <w:highlight w:val="none"/>
              </w:rPr>
            </w:pPr>
          </w:p>
        </w:tc>
        <w:tc>
          <w:tcPr>
            <w:tcW w:w="2852" w:type="dxa"/>
            <w:noWrap w:val="0"/>
            <w:vAlign w:val="top"/>
          </w:tcPr>
          <w:p w14:paraId="1FD09523">
            <w:pPr>
              <w:jc w:val="center"/>
              <w:rPr>
                <w:rFonts w:hint="eastAsia" w:ascii="宋体" w:hAnsi="宋体" w:cs="宋体"/>
                <w:color w:val="auto"/>
                <w:sz w:val="24"/>
                <w:szCs w:val="24"/>
                <w:highlight w:val="none"/>
              </w:rPr>
            </w:pPr>
          </w:p>
        </w:tc>
        <w:tc>
          <w:tcPr>
            <w:tcW w:w="2852" w:type="dxa"/>
            <w:noWrap w:val="0"/>
            <w:vAlign w:val="top"/>
          </w:tcPr>
          <w:p w14:paraId="30FF5589">
            <w:pPr>
              <w:jc w:val="center"/>
              <w:rPr>
                <w:rFonts w:hint="eastAsia" w:ascii="宋体" w:hAnsi="宋体" w:cs="宋体"/>
                <w:color w:val="auto"/>
                <w:sz w:val="24"/>
                <w:szCs w:val="24"/>
                <w:highlight w:val="none"/>
              </w:rPr>
            </w:pPr>
          </w:p>
        </w:tc>
        <w:tc>
          <w:tcPr>
            <w:tcW w:w="1308" w:type="dxa"/>
            <w:noWrap w:val="0"/>
            <w:vAlign w:val="top"/>
          </w:tcPr>
          <w:p w14:paraId="0DBBCD75">
            <w:pPr>
              <w:jc w:val="center"/>
              <w:rPr>
                <w:rFonts w:hint="eastAsia" w:ascii="宋体" w:hAnsi="宋体" w:cs="宋体"/>
                <w:color w:val="auto"/>
                <w:sz w:val="24"/>
                <w:szCs w:val="24"/>
                <w:highlight w:val="none"/>
              </w:rPr>
            </w:pPr>
          </w:p>
        </w:tc>
        <w:tc>
          <w:tcPr>
            <w:tcW w:w="1173" w:type="dxa"/>
            <w:noWrap w:val="0"/>
            <w:vAlign w:val="top"/>
          </w:tcPr>
          <w:p w14:paraId="6BEEFF8C">
            <w:pPr>
              <w:jc w:val="center"/>
              <w:rPr>
                <w:rFonts w:hint="eastAsia" w:ascii="宋体" w:hAnsi="宋体" w:cs="宋体"/>
                <w:color w:val="auto"/>
                <w:sz w:val="24"/>
                <w:szCs w:val="24"/>
                <w:highlight w:val="none"/>
              </w:rPr>
            </w:pPr>
          </w:p>
        </w:tc>
      </w:tr>
    </w:tbl>
    <w:p w14:paraId="6D47089F">
      <w:pPr>
        <w:rPr>
          <w:rFonts w:hint="eastAsia" w:ascii="宋体" w:hAnsi="宋体" w:cs="宋体"/>
          <w:color w:val="auto"/>
          <w:sz w:val="24"/>
          <w:szCs w:val="24"/>
          <w:highlight w:val="none"/>
        </w:rPr>
      </w:pPr>
    </w:p>
    <w:p w14:paraId="5602C650">
      <w:pPr>
        <w:rPr>
          <w:rFonts w:hint="eastAsia" w:ascii="宋体" w:hAnsi="宋体" w:cs="宋体"/>
          <w:color w:val="auto"/>
          <w:sz w:val="24"/>
          <w:szCs w:val="24"/>
          <w:highlight w:val="none"/>
        </w:rPr>
      </w:pPr>
      <w:r>
        <w:rPr>
          <w:rFonts w:hint="eastAsia" w:ascii="宋体" w:hAnsi="宋体" w:cs="宋体"/>
          <w:color w:val="auto"/>
          <w:sz w:val="24"/>
          <w:szCs w:val="24"/>
          <w:highlight w:val="none"/>
        </w:rPr>
        <w:t>注：1、按照基本技术要求详细填列。</w:t>
      </w:r>
    </w:p>
    <w:p w14:paraId="5E4048E0">
      <w:pPr>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2、行数不够，可自行添加。</w:t>
      </w:r>
    </w:p>
    <w:p w14:paraId="614B081F">
      <w:pPr>
        <w:jc w:val="center"/>
        <w:rPr>
          <w:rFonts w:hint="eastAsia" w:ascii="宋体" w:hAnsi="宋体" w:cs="宋体"/>
          <w:b/>
          <w:color w:val="auto"/>
          <w:sz w:val="24"/>
          <w:szCs w:val="24"/>
          <w:highlight w:val="none"/>
        </w:rPr>
      </w:pPr>
    </w:p>
    <w:p w14:paraId="7503757A">
      <w:pPr>
        <w:jc w:val="center"/>
        <w:rPr>
          <w:rFonts w:hint="eastAsia" w:ascii="宋体" w:hAnsi="宋体" w:cs="宋体"/>
          <w:b/>
          <w:color w:val="auto"/>
          <w:sz w:val="24"/>
          <w:szCs w:val="24"/>
          <w:highlight w:val="none"/>
        </w:rPr>
      </w:pPr>
    </w:p>
    <w:p w14:paraId="69825A09">
      <w:pPr>
        <w:jc w:val="center"/>
        <w:rPr>
          <w:rFonts w:hint="eastAsia" w:ascii="宋体" w:hAnsi="宋体" w:cs="宋体"/>
          <w:b/>
          <w:color w:val="auto"/>
          <w:sz w:val="24"/>
          <w:szCs w:val="24"/>
          <w:highlight w:val="none"/>
        </w:rPr>
      </w:pPr>
    </w:p>
    <w:p w14:paraId="73FB8FD6">
      <w:pPr>
        <w:jc w:val="center"/>
        <w:rPr>
          <w:rFonts w:hint="eastAsia" w:ascii="宋体" w:hAnsi="宋体" w:cs="宋体"/>
          <w:b/>
          <w:color w:val="auto"/>
          <w:sz w:val="24"/>
          <w:szCs w:val="24"/>
          <w:highlight w:val="none"/>
        </w:rPr>
      </w:pPr>
    </w:p>
    <w:p w14:paraId="727426D6">
      <w:pPr>
        <w:rPr>
          <w:rFonts w:hint="eastAsia" w:ascii="宋体" w:hAnsi="宋体" w:cs="宋体"/>
          <w:color w:val="auto"/>
          <w:sz w:val="24"/>
          <w:szCs w:val="24"/>
          <w:highlight w:val="none"/>
        </w:rPr>
      </w:pPr>
    </w:p>
    <w:p w14:paraId="352931FD">
      <w:pPr>
        <w:rPr>
          <w:rFonts w:hint="eastAsia" w:ascii="宋体" w:hAnsi="宋体" w:cs="宋体"/>
          <w:color w:val="auto"/>
          <w:sz w:val="24"/>
          <w:szCs w:val="24"/>
          <w:highlight w:val="none"/>
        </w:rPr>
      </w:pPr>
    </w:p>
    <w:p w14:paraId="0B954DC4">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33B08C46">
      <w:pPr>
        <w:pStyle w:val="3"/>
        <w:outlineLvl w:val="0"/>
        <w:rPr>
          <w:rFonts w:hint="eastAsia" w:ascii="宋体" w:hAnsi="宋体" w:eastAsia="宋体" w:cs="宋体"/>
          <w:color w:val="auto"/>
          <w:sz w:val="24"/>
          <w:szCs w:val="24"/>
          <w:highlight w:val="none"/>
        </w:rPr>
      </w:pPr>
      <w:bookmarkStart w:id="74" w:name="_Hlt26955054"/>
      <w:bookmarkEnd w:id="74"/>
      <w:bookmarkStart w:id="75" w:name="_Toc170832709"/>
      <w:r>
        <w:rPr>
          <w:rFonts w:hint="eastAsia" w:ascii="宋体" w:hAnsi="宋体" w:eastAsia="宋体" w:cs="宋体"/>
          <w:color w:val="auto"/>
          <w:sz w:val="24"/>
          <w:szCs w:val="24"/>
          <w:highlight w:val="none"/>
        </w:rPr>
        <w:t>七、商务条款响应及偏离表</w:t>
      </w:r>
      <w:bookmarkEnd w:id="75"/>
    </w:p>
    <w:tbl>
      <w:tblPr>
        <w:tblStyle w:val="19"/>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8"/>
        <w:gridCol w:w="2502"/>
        <w:gridCol w:w="1837"/>
        <w:gridCol w:w="2982"/>
      </w:tblGrid>
      <w:tr w14:paraId="6A11E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14:paraId="3961AF60">
            <w:pPr>
              <w:snapToGrid w:val="0"/>
              <w:spacing w:before="156" w:beforeLines="50"/>
              <w:jc w:val="center"/>
              <w:rPr>
                <w:rFonts w:hint="eastAsia" w:ascii="宋体" w:hAnsi="宋体" w:cs="宋体"/>
                <w:color w:val="auto"/>
                <w:sz w:val="24"/>
                <w:szCs w:val="24"/>
                <w:highlight w:val="none"/>
              </w:rPr>
            </w:pPr>
            <w:bookmarkStart w:id="76" w:name="_Hlt26955064"/>
            <w:bookmarkEnd w:id="76"/>
            <w:bookmarkStart w:id="77" w:name="_Hlt26955056"/>
            <w:bookmarkEnd w:id="77"/>
            <w:bookmarkStart w:id="78" w:name="_Hlt26609391"/>
            <w:bookmarkEnd w:id="78"/>
            <w:bookmarkStart w:id="79" w:name="_Hlt26671343"/>
            <w:bookmarkEnd w:id="79"/>
            <w:bookmarkStart w:id="80" w:name="_Hlt26580838"/>
            <w:bookmarkEnd w:id="80"/>
            <w:bookmarkStart w:id="81" w:name="_Hlt26782999"/>
            <w:bookmarkEnd w:id="81"/>
            <w:bookmarkStart w:id="82" w:name="_Hlt26671372"/>
            <w:bookmarkEnd w:id="82"/>
            <w:bookmarkStart w:id="83" w:name="_Hlt24879081"/>
            <w:bookmarkEnd w:id="83"/>
            <w:r>
              <w:rPr>
                <w:rFonts w:hint="eastAsia" w:ascii="宋体" w:hAnsi="宋体" w:cs="宋体"/>
                <w:color w:val="auto"/>
                <w:sz w:val="24"/>
                <w:szCs w:val="24"/>
                <w:highlight w:val="none"/>
              </w:rPr>
              <w:t>项目</w:t>
            </w:r>
          </w:p>
        </w:tc>
        <w:tc>
          <w:tcPr>
            <w:tcW w:w="2502" w:type="dxa"/>
            <w:tcBorders>
              <w:top w:val="single" w:color="auto" w:sz="4" w:space="0"/>
              <w:left w:val="single" w:color="auto" w:sz="4" w:space="0"/>
              <w:bottom w:val="single" w:color="auto" w:sz="4" w:space="0"/>
              <w:right w:val="single" w:color="auto" w:sz="4" w:space="0"/>
            </w:tcBorders>
            <w:noWrap w:val="0"/>
            <w:vAlign w:val="top"/>
          </w:tcPr>
          <w:p w14:paraId="0F1269CA">
            <w:pPr>
              <w:snapToGrid w:val="0"/>
              <w:spacing w:before="156" w:beforeLines="5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招标文件要求</w:t>
            </w:r>
          </w:p>
        </w:tc>
        <w:tc>
          <w:tcPr>
            <w:tcW w:w="1837" w:type="dxa"/>
            <w:tcBorders>
              <w:top w:val="single" w:color="auto" w:sz="4" w:space="0"/>
              <w:left w:val="single" w:color="auto" w:sz="4" w:space="0"/>
              <w:bottom w:val="single" w:color="auto" w:sz="4" w:space="0"/>
              <w:right w:val="single" w:color="auto" w:sz="4" w:space="0"/>
            </w:tcBorders>
            <w:noWrap w:val="0"/>
            <w:vAlign w:val="top"/>
          </w:tcPr>
          <w:p w14:paraId="0BCBBBC4">
            <w:pPr>
              <w:snapToGrid w:val="0"/>
              <w:spacing w:before="156" w:beforeLines="5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是否响应</w:t>
            </w:r>
          </w:p>
        </w:tc>
        <w:tc>
          <w:tcPr>
            <w:tcW w:w="2982" w:type="dxa"/>
            <w:tcBorders>
              <w:top w:val="single" w:color="auto" w:sz="4" w:space="0"/>
              <w:left w:val="single" w:color="auto" w:sz="4" w:space="0"/>
              <w:bottom w:val="single" w:color="auto" w:sz="4" w:space="0"/>
              <w:right w:val="single" w:color="auto" w:sz="4" w:space="0"/>
            </w:tcBorders>
            <w:noWrap w:val="0"/>
            <w:vAlign w:val="top"/>
          </w:tcPr>
          <w:p w14:paraId="03E82060">
            <w:pPr>
              <w:snapToGrid w:val="0"/>
              <w:spacing w:before="156" w:beforeLines="5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投标人的承诺或说明</w:t>
            </w:r>
          </w:p>
        </w:tc>
      </w:tr>
      <w:tr w14:paraId="340C4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14:paraId="766E999E">
            <w:pPr>
              <w:snapToGrid w:val="0"/>
              <w:spacing w:before="156" w:beforeLines="5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质保期</w:t>
            </w:r>
          </w:p>
        </w:tc>
        <w:tc>
          <w:tcPr>
            <w:tcW w:w="2502" w:type="dxa"/>
            <w:tcBorders>
              <w:top w:val="single" w:color="auto" w:sz="4" w:space="0"/>
              <w:left w:val="single" w:color="auto" w:sz="4" w:space="0"/>
              <w:bottom w:val="single" w:color="auto" w:sz="4" w:space="0"/>
              <w:right w:val="single" w:color="auto" w:sz="4" w:space="0"/>
            </w:tcBorders>
            <w:noWrap w:val="0"/>
            <w:vAlign w:val="top"/>
          </w:tcPr>
          <w:p w14:paraId="4550C358">
            <w:pPr>
              <w:snapToGrid w:val="0"/>
              <w:spacing w:before="156" w:beforeLines="50"/>
              <w:jc w:val="center"/>
              <w:rPr>
                <w:rFonts w:hint="eastAsia" w:ascii="宋体" w:hAnsi="宋体" w:cs="宋体"/>
                <w:color w:val="auto"/>
                <w:sz w:val="24"/>
                <w:szCs w:val="24"/>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top"/>
          </w:tcPr>
          <w:p w14:paraId="3083ACB1">
            <w:pPr>
              <w:snapToGrid w:val="0"/>
              <w:spacing w:before="156" w:beforeLines="50"/>
              <w:jc w:val="center"/>
              <w:rPr>
                <w:rFonts w:hint="eastAsia" w:ascii="宋体" w:hAnsi="宋体" w:cs="宋体"/>
                <w:color w:val="auto"/>
                <w:sz w:val="24"/>
                <w:szCs w:val="24"/>
                <w:highlight w:val="none"/>
              </w:rPr>
            </w:pPr>
          </w:p>
        </w:tc>
        <w:tc>
          <w:tcPr>
            <w:tcW w:w="2982" w:type="dxa"/>
            <w:tcBorders>
              <w:top w:val="single" w:color="auto" w:sz="4" w:space="0"/>
              <w:left w:val="single" w:color="auto" w:sz="4" w:space="0"/>
              <w:bottom w:val="single" w:color="auto" w:sz="4" w:space="0"/>
              <w:right w:val="single" w:color="auto" w:sz="4" w:space="0"/>
            </w:tcBorders>
            <w:noWrap w:val="0"/>
            <w:vAlign w:val="top"/>
          </w:tcPr>
          <w:p w14:paraId="34CA5FBE">
            <w:pPr>
              <w:snapToGrid w:val="0"/>
              <w:spacing w:before="156" w:beforeLines="50"/>
              <w:jc w:val="center"/>
              <w:rPr>
                <w:rFonts w:hint="eastAsia" w:ascii="宋体" w:hAnsi="宋体" w:cs="宋体"/>
                <w:color w:val="auto"/>
                <w:sz w:val="24"/>
                <w:szCs w:val="24"/>
                <w:highlight w:val="none"/>
              </w:rPr>
            </w:pPr>
          </w:p>
        </w:tc>
      </w:tr>
      <w:tr w14:paraId="53EFC7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14:paraId="3C6D5FD2">
            <w:pPr>
              <w:snapToGrid w:val="0"/>
              <w:spacing w:before="156" w:beforeLines="5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售后技术服务要求</w:t>
            </w:r>
          </w:p>
        </w:tc>
        <w:tc>
          <w:tcPr>
            <w:tcW w:w="2502" w:type="dxa"/>
            <w:tcBorders>
              <w:top w:val="single" w:color="auto" w:sz="4" w:space="0"/>
              <w:left w:val="single" w:color="auto" w:sz="4" w:space="0"/>
              <w:bottom w:val="single" w:color="auto" w:sz="4" w:space="0"/>
              <w:right w:val="single" w:color="auto" w:sz="4" w:space="0"/>
            </w:tcBorders>
            <w:noWrap w:val="0"/>
            <w:vAlign w:val="top"/>
          </w:tcPr>
          <w:p w14:paraId="29A8307D">
            <w:pPr>
              <w:snapToGrid w:val="0"/>
              <w:spacing w:before="156" w:beforeLines="50"/>
              <w:jc w:val="center"/>
              <w:rPr>
                <w:rFonts w:hint="eastAsia" w:ascii="宋体" w:hAnsi="宋体" w:cs="宋体"/>
                <w:color w:val="auto"/>
                <w:sz w:val="24"/>
                <w:szCs w:val="24"/>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top"/>
          </w:tcPr>
          <w:p w14:paraId="5E68FCD4">
            <w:pPr>
              <w:snapToGrid w:val="0"/>
              <w:spacing w:before="156" w:beforeLines="50"/>
              <w:jc w:val="center"/>
              <w:rPr>
                <w:rFonts w:hint="eastAsia" w:ascii="宋体" w:hAnsi="宋体" w:cs="宋体"/>
                <w:color w:val="auto"/>
                <w:sz w:val="24"/>
                <w:szCs w:val="24"/>
                <w:highlight w:val="none"/>
              </w:rPr>
            </w:pPr>
          </w:p>
        </w:tc>
        <w:tc>
          <w:tcPr>
            <w:tcW w:w="2982" w:type="dxa"/>
            <w:tcBorders>
              <w:top w:val="single" w:color="auto" w:sz="4" w:space="0"/>
              <w:left w:val="single" w:color="auto" w:sz="4" w:space="0"/>
              <w:bottom w:val="single" w:color="auto" w:sz="4" w:space="0"/>
              <w:right w:val="single" w:color="auto" w:sz="4" w:space="0"/>
            </w:tcBorders>
            <w:noWrap w:val="0"/>
            <w:vAlign w:val="top"/>
          </w:tcPr>
          <w:p w14:paraId="7B3F5F5F">
            <w:pPr>
              <w:snapToGrid w:val="0"/>
              <w:spacing w:before="156" w:beforeLines="50"/>
              <w:jc w:val="center"/>
              <w:rPr>
                <w:rFonts w:hint="eastAsia" w:ascii="宋体" w:hAnsi="宋体" w:cs="宋体"/>
                <w:color w:val="auto"/>
                <w:sz w:val="24"/>
                <w:szCs w:val="24"/>
                <w:highlight w:val="none"/>
              </w:rPr>
            </w:pPr>
          </w:p>
        </w:tc>
      </w:tr>
      <w:tr w14:paraId="166A0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14:paraId="1AE51205">
            <w:pPr>
              <w:snapToGrid w:val="0"/>
              <w:spacing w:before="156" w:beforeLines="5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交付时间</w:t>
            </w:r>
          </w:p>
        </w:tc>
        <w:tc>
          <w:tcPr>
            <w:tcW w:w="2502" w:type="dxa"/>
            <w:tcBorders>
              <w:top w:val="single" w:color="auto" w:sz="4" w:space="0"/>
              <w:left w:val="single" w:color="auto" w:sz="4" w:space="0"/>
              <w:bottom w:val="single" w:color="auto" w:sz="4" w:space="0"/>
              <w:right w:val="single" w:color="auto" w:sz="4" w:space="0"/>
            </w:tcBorders>
            <w:noWrap w:val="0"/>
            <w:vAlign w:val="top"/>
          </w:tcPr>
          <w:p w14:paraId="0FFD357B">
            <w:pPr>
              <w:snapToGrid w:val="0"/>
              <w:spacing w:before="156" w:beforeLines="50"/>
              <w:jc w:val="center"/>
              <w:rPr>
                <w:rFonts w:hint="eastAsia" w:ascii="宋体" w:hAnsi="宋体" w:cs="宋体"/>
                <w:color w:val="auto"/>
                <w:sz w:val="24"/>
                <w:szCs w:val="24"/>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top"/>
          </w:tcPr>
          <w:p w14:paraId="54236595">
            <w:pPr>
              <w:snapToGrid w:val="0"/>
              <w:spacing w:before="156" w:beforeLines="50"/>
              <w:ind w:left="43"/>
              <w:jc w:val="center"/>
              <w:rPr>
                <w:rFonts w:hint="eastAsia" w:ascii="宋体" w:hAnsi="宋体" w:cs="宋体"/>
                <w:color w:val="auto"/>
                <w:sz w:val="24"/>
                <w:szCs w:val="24"/>
                <w:highlight w:val="none"/>
              </w:rPr>
            </w:pPr>
          </w:p>
        </w:tc>
        <w:tc>
          <w:tcPr>
            <w:tcW w:w="2982" w:type="dxa"/>
            <w:tcBorders>
              <w:top w:val="single" w:color="auto" w:sz="4" w:space="0"/>
              <w:left w:val="single" w:color="auto" w:sz="4" w:space="0"/>
              <w:bottom w:val="single" w:color="auto" w:sz="4" w:space="0"/>
              <w:right w:val="single" w:color="auto" w:sz="4" w:space="0"/>
            </w:tcBorders>
            <w:noWrap w:val="0"/>
            <w:vAlign w:val="top"/>
          </w:tcPr>
          <w:p w14:paraId="0049644E">
            <w:pPr>
              <w:snapToGrid w:val="0"/>
              <w:spacing w:before="156" w:beforeLines="50"/>
              <w:ind w:left="43"/>
              <w:jc w:val="center"/>
              <w:rPr>
                <w:rFonts w:hint="eastAsia" w:ascii="宋体" w:hAnsi="宋体" w:cs="宋体"/>
                <w:color w:val="auto"/>
                <w:sz w:val="24"/>
                <w:szCs w:val="24"/>
                <w:highlight w:val="none"/>
              </w:rPr>
            </w:pPr>
          </w:p>
        </w:tc>
      </w:tr>
      <w:tr w14:paraId="64C841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14:paraId="63BB7D29">
            <w:pPr>
              <w:snapToGrid w:val="0"/>
              <w:spacing w:before="156" w:beforeLines="5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交货方式</w:t>
            </w:r>
          </w:p>
        </w:tc>
        <w:tc>
          <w:tcPr>
            <w:tcW w:w="2502" w:type="dxa"/>
            <w:tcBorders>
              <w:top w:val="single" w:color="auto" w:sz="4" w:space="0"/>
              <w:left w:val="single" w:color="auto" w:sz="4" w:space="0"/>
              <w:bottom w:val="single" w:color="auto" w:sz="4" w:space="0"/>
              <w:right w:val="single" w:color="auto" w:sz="4" w:space="0"/>
            </w:tcBorders>
            <w:noWrap w:val="0"/>
            <w:vAlign w:val="top"/>
          </w:tcPr>
          <w:p w14:paraId="1C386CA1">
            <w:pPr>
              <w:snapToGrid w:val="0"/>
              <w:spacing w:before="156" w:beforeLines="50"/>
              <w:rPr>
                <w:rFonts w:hint="eastAsia" w:ascii="宋体" w:hAnsi="宋体" w:cs="宋体"/>
                <w:color w:val="auto"/>
                <w:sz w:val="24"/>
                <w:szCs w:val="24"/>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top"/>
          </w:tcPr>
          <w:p w14:paraId="0B55E01F">
            <w:pPr>
              <w:snapToGrid w:val="0"/>
              <w:spacing w:before="156" w:beforeLines="50"/>
              <w:ind w:left="43"/>
              <w:jc w:val="center"/>
              <w:rPr>
                <w:rFonts w:hint="eastAsia" w:ascii="宋体" w:hAnsi="宋体" w:cs="宋体"/>
                <w:color w:val="auto"/>
                <w:sz w:val="24"/>
                <w:szCs w:val="24"/>
                <w:highlight w:val="none"/>
              </w:rPr>
            </w:pPr>
          </w:p>
        </w:tc>
        <w:tc>
          <w:tcPr>
            <w:tcW w:w="2982" w:type="dxa"/>
            <w:tcBorders>
              <w:top w:val="single" w:color="auto" w:sz="4" w:space="0"/>
              <w:left w:val="single" w:color="auto" w:sz="4" w:space="0"/>
              <w:bottom w:val="single" w:color="auto" w:sz="4" w:space="0"/>
              <w:right w:val="single" w:color="auto" w:sz="4" w:space="0"/>
            </w:tcBorders>
            <w:noWrap w:val="0"/>
            <w:vAlign w:val="top"/>
          </w:tcPr>
          <w:p w14:paraId="42A9F34D">
            <w:pPr>
              <w:snapToGrid w:val="0"/>
              <w:spacing w:before="156" w:beforeLines="50"/>
              <w:ind w:left="43"/>
              <w:jc w:val="center"/>
              <w:rPr>
                <w:rFonts w:hint="eastAsia" w:ascii="宋体" w:hAnsi="宋体" w:cs="宋体"/>
                <w:color w:val="auto"/>
                <w:sz w:val="24"/>
                <w:szCs w:val="24"/>
                <w:highlight w:val="none"/>
              </w:rPr>
            </w:pPr>
          </w:p>
        </w:tc>
      </w:tr>
      <w:tr w14:paraId="32D0D5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14:paraId="11F0C601">
            <w:pPr>
              <w:snapToGrid w:val="0"/>
              <w:spacing w:before="156" w:beforeLines="5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交货地点</w:t>
            </w:r>
          </w:p>
        </w:tc>
        <w:tc>
          <w:tcPr>
            <w:tcW w:w="2502" w:type="dxa"/>
            <w:tcBorders>
              <w:top w:val="single" w:color="auto" w:sz="4" w:space="0"/>
              <w:left w:val="single" w:color="auto" w:sz="4" w:space="0"/>
              <w:bottom w:val="single" w:color="auto" w:sz="4" w:space="0"/>
              <w:right w:val="single" w:color="auto" w:sz="4" w:space="0"/>
            </w:tcBorders>
            <w:noWrap w:val="0"/>
            <w:vAlign w:val="top"/>
          </w:tcPr>
          <w:p w14:paraId="708AA4ED">
            <w:pPr>
              <w:snapToGrid w:val="0"/>
              <w:spacing w:before="156" w:beforeLines="50"/>
              <w:rPr>
                <w:rFonts w:hint="eastAsia" w:ascii="宋体" w:hAnsi="宋体" w:cs="宋体"/>
                <w:color w:val="auto"/>
                <w:sz w:val="24"/>
                <w:szCs w:val="24"/>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top"/>
          </w:tcPr>
          <w:p w14:paraId="2A837320">
            <w:pPr>
              <w:snapToGrid w:val="0"/>
              <w:spacing w:before="156" w:beforeLines="50"/>
              <w:ind w:left="43"/>
              <w:jc w:val="center"/>
              <w:rPr>
                <w:rFonts w:hint="eastAsia" w:ascii="宋体" w:hAnsi="宋体" w:cs="宋体"/>
                <w:color w:val="auto"/>
                <w:sz w:val="24"/>
                <w:szCs w:val="24"/>
                <w:highlight w:val="none"/>
              </w:rPr>
            </w:pPr>
          </w:p>
        </w:tc>
        <w:tc>
          <w:tcPr>
            <w:tcW w:w="2982" w:type="dxa"/>
            <w:tcBorders>
              <w:top w:val="single" w:color="auto" w:sz="4" w:space="0"/>
              <w:left w:val="single" w:color="auto" w:sz="4" w:space="0"/>
              <w:bottom w:val="single" w:color="auto" w:sz="4" w:space="0"/>
              <w:right w:val="single" w:color="auto" w:sz="4" w:space="0"/>
            </w:tcBorders>
            <w:noWrap w:val="0"/>
            <w:vAlign w:val="top"/>
          </w:tcPr>
          <w:p w14:paraId="02BACA12">
            <w:pPr>
              <w:snapToGrid w:val="0"/>
              <w:spacing w:before="156" w:beforeLines="50"/>
              <w:ind w:left="43"/>
              <w:jc w:val="center"/>
              <w:rPr>
                <w:rFonts w:hint="eastAsia" w:ascii="宋体" w:hAnsi="宋体" w:cs="宋体"/>
                <w:color w:val="auto"/>
                <w:sz w:val="24"/>
                <w:szCs w:val="24"/>
                <w:highlight w:val="none"/>
              </w:rPr>
            </w:pPr>
          </w:p>
        </w:tc>
      </w:tr>
      <w:tr w14:paraId="35A9F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14:paraId="19A14316">
            <w:pPr>
              <w:snapToGrid w:val="0"/>
              <w:spacing w:before="156" w:beforeLines="5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付款方式</w:t>
            </w:r>
          </w:p>
        </w:tc>
        <w:tc>
          <w:tcPr>
            <w:tcW w:w="2502" w:type="dxa"/>
            <w:tcBorders>
              <w:top w:val="single" w:color="auto" w:sz="4" w:space="0"/>
              <w:left w:val="single" w:color="auto" w:sz="4" w:space="0"/>
              <w:bottom w:val="single" w:color="auto" w:sz="4" w:space="0"/>
              <w:right w:val="single" w:color="auto" w:sz="4" w:space="0"/>
            </w:tcBorders>
            <w:noWrap w:val="0"/>
            <w:vAlign w:val="top"/>
          </w:tcPr>
          <w:p w14:paraId="6C4E9B92">
            <w:pPr>
              <w:snapToGrid w:val="0"/>
              <w:spacing w:before="156" w:beforeLines="50"/>
              <w:rPr>
                <w:rFonts w:hint="eastAsia" w:ascii="宋体" w:hAnsi="宋体" w:cs="宋体"/>
                <w:color w:val="auto"/>
                <w:sz w:val="24"/>
                <w:szCs w:val="24"/>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top"/>
          </w:tcPr>
          <w:p w14:paraId="7B2EDAD5">
            <w:pPr>
              <w:snapToGrid w:val="0"/>
              <w:spacing w:before="156" w:beforeLines="50"/>
              <w:jc w:val="center"/>
              <w:rPr>
                <w:rFonts w:hint="eastAsia" w:ascii="宋体" w:hAnsi="宋体" w:cs="宋体"/>
                <w:color w:val="auto"/>
                <w:sz w:val="24"/>
                <w:szCs w:val="24"/>
                <w:highlight w:val="none"/>
              </w:rPr>
            </w:pPr>
          </w:p>
        </w:tc>
        <w:tc>
          <w:tcPr>
            <w:tcW w:w="2982" w:type="dxa"/>
            <w:tcBorders>
              <w:top w:val="single" w:color="auto" w:sz="4" w:space="0"/>
              <w:left w:val="single" w:color="auto" w:sz="4" w:space="0"/>
              <w:bottom w:val="single" w:color="auto" w:sz="4" w:space="0"/>
              <w:right w:val="single" w:color="auto" w:sz="4" w:space="0"/>
            </w:tcBorders>
            <w:noWrap w:val="0"/>
            <w:vAlign w:val="top"/>
          </w:tcPr>
          <w:p w14:paraId="1EAF7672">
            <w:pPr>
              <w:snapToGrid w:val="0"/>
              <w:spacing w:before="156" w:beforeLines="50"/>
              <w:jc w:val="center"/>
              <w:rPr>
                <w:rFonts w:hint="eastAsia" w:ascii="宋体" w:hAnsi="宋体" w:cs="宋体"/>
                <w:color w:val="auto"/>
                <w:sz w:val="24"/>
                <w:szCs w:val="24"/>
                <w:highlight w:val="none"/>
              </w:rPr>
            </w:pPr>
          </w:p>
        </w:tc>
      </w:tr>
    </w:tbl>
    <w:p w14:paraId="503E3F83">
      <w:pPr>
        <w:spacing w:line="480" w:lineRule="auto"/>
        <w:rPr>
          <w:rFonts w:hint="eastAsia" w:ascii="宋体" w:hAnsi="宋体" w:cs="宋体"/>
          <w:color w:val="auto"/>
          <w:sz w:val="24"/>
          <w:szCs w:val="24"/>
          <w:highlight w:val="none"/>
        </w:rPr>
      </w:pPr>
    </w:p>
    <w:p w14:paraId="7D896AAA">
      <w:pPr>
        <w:spacing w:line="480" w:lineRule="auto"/>
        <w:rPr>
          <w:rFonts w:hint="eastAsia" w:ascii="宋体" w:hAnsi="宋体" w:cs="宋体"/>
          <w:color w:val="auto"/>
          <w:sz w:val="24"/>
          <w:szCs w:val="24"/>
          <w:highlight w:val="none"/>
        </w:rPr>
      </w:pPr>
    </w:p>
    <w:p w14:paraId="31471909">
      <w:pPr>
        <w:pStyle w:val="4"/>
        <w:ind w:firstLine="480"/>
        <w:rPr>
          <w:rFonts w:hint="eastAsia" w:ascii="宋体" w:hAnsi="宋体" w:cs="宋体"/>
          <w:color w:val="auto"/>
          <w:sz w:val="24"/>
          <w:szCs w:val="24"/>
          <w:highlight w:val="none"/>
        </w:rPr>
      </w:pPr>
      <w:bookmarkStart w:id="84" w:name="_Hlt26955066"/>
      <w:bookmarkEnd w:id="84"/>
      <w:bookmarkStart w:id="85" w:name="_Hlt26671374"/>
      <w:bookmarkEnd w:id="85"/>
      <w:bookmarkStart w:id="86" w:name="_Hlt26609389"/>
      <w:bookmarkEnd w:id="86"/>
      <w:bookmarkStart w:id="87" w:name="_Toc462564146"/>
    </w:p>
    <w:p w14:paraId="6BEF2492">
      <w:pPr>
        <w:pStyle w:val="4"/>
        <w:ind w:firstLine="480"/>
        <w:rPr>
          <w:rFonts w:hint="eastAsia" w:ascii="宋体" w:hAnsi="宋体" w:cs="宋体"/>
          <w:color w:val="auto"/>
          <w:sz w:val="24"/>
          <w:szCs w:val="24"/>
          <w:highlight w:val="none"/>
        </w:rPr>
      </w:pPr>
    </w:p>
    <w:p w14:paraId="12C9A0EE">
      <w:pPr>
        <w:pStyle w:val="4"/>
        <w:ind w:firstLine="480"/>
        <w:rPr>
          <w:rFonts w:hint="eastAsia" w:ascii="宋体" w:hAnsi="宋体" w:cs="宋体"/>
          <w:color w:val="auto"/>
          <w:sz w:val="24"/>
          <w:szCs w:val="24"/>
          <w:highlight w:val="none"/>
        </w:rPr>
      </w:pPr>
    </w:p>
    <w:p w14:paraId="01F1AEFB">
      <w:pPr>
        <w:pStyle w:val="4"/>
        <w:ind w:firstLine="480"/>
        <w:rPr>
          <w:rFonts w:hint="eastAsia" w:ascii="宋体" w:hAnsi="宋体" w:cs="宋体"/>
          <w:color w:val="auto"/>
          <w:sz w:val="24"/>
          <w:szCs w:val="24"/>
          <w:highlight w:val="none"/>
        </w:rPr>
      </w:pPr>
    </w:p>
    <w:p w14:paraId="605B4792">
      <w:pPr>
        <w:pStyle w:val="4"/>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w:t>
      </w:r>
    </w:p>
    <w:p w14:paraId="74C95AB2">
      <w:pPr>
        <w:pStyle w:val="4"/>
        <w:ind w:firstLine="480"/>
        <w:rPr>
          <w:rFonts w:hint="eastAsia" w:ascii="宋体" w:hAnsi="宋体" w:cs="宋体"/>
          <w:color w:val="auto"/>
          <w:sz w:val="24"/>
          <w:szCs w:val="24"/>
          <w:highlight w:val="none"/>
        </w:rPr>
      </w:pPr>
    </w:p>
    <w:p w14:paraId="40970B2F">
      <w:pPr>
        <w:pStyle w:val="4"/>
        <w:ind w:firstLine="480"/>
        <w:rPr>
          <w:rFonts w:hint="eastAsia" w:ascii="宋体" w:hAnsi="宋体" w:cs="宋体"/>
          <w:color w:val="auto"/>
          <w:sz w:val="24"/>
          <w:szCs w:val="24"/>
          <w:highlight w:val="none"/>
        </w:rPr>
      </w:pPr>
    </w:p>
    <w:p w14:paraId="10E768E8">
      <w:pPr>
        <w:pStyle w:val="4"/>
        <w:ind w:firstLine="480"/>
        <w:rPr>
          <w:rFonts w:hint="eastAsia" w:ascii="宋体" w:hAnsi="宋体" w:cs="宋体"/>
          <w:color w:val="auto"/>
          <w:sz w:val="24"/>
          <w:szCs w:val="24"/>
          <w:highlight w:val="none"/>
        </w:rPr>
      </w:pPr>
    </w:p>
    <w:p w14:paraId="0A38DC9D">
      <w:pPr>
        <w:pStyle w:val="4"/>
        <w:ind w:firstLine="480"/>
        <w:rPr>
          <w:rFonts w:hint="eastAsia" w:ascii="宋体" w:hAnsi="宋体" w:cs="宋体"/>
          <w:color w:val="auto"/>
          <w:sz w:val="24"/>
          <w:szCs w:val="24"/>
          <w:highlight w:val="none"/>
        </w:rPr>
      </w:pPr>
    </w:p>
    <w:p w14:paraId="6D93EACC">
      <w:pPr>
        <w:pStyle w:val="4"/>
        <w:ind w:firstLine="480"/>
        <w:rPr>
          <w:rFonts w:hint="eastAsia" w:ascii="宋体" w:hAnsi="宋体" w:cs="宋体"/>
          <w:color w:val="auto"/>
          <w:sz w:val="24"/>
          <w:szCs w:val="24"/>
          <w:highlight w:val="none"/>
        </w:rPr>
      </w:pPr>
    </w:p>
    <w:p w14:paraId="646B7A38">
      <w:pPr>
        <w:pStyle w:val="4"/>
        <w:ind w:firstLine="480"/>
        <w:rPr>
          <w:rFonts w:hint="eastAsia" w:ascii="宋体" w:hAnsi="宋体" w:cs="宋体"/>
          <w:color w:val="auto"/>
          <w:sz w:val="24"/>
          <w:szCs w:val="24"/>
          <w:highlight w:val="none"/>
        </w:rPr>
      </w:pPr>
    </w:p>
    <w:p w14:paraId="04DD2304">
      <w:pPr>
        <w:pStyle w:val="4"/>
        <w:ind w:firstLine="480"/>
        <w:rPr>
          <w:rFonts w:hint="eastAsia" w:ascii="宋体" w:hAnsi="宋体" w:cs="宋体"/>
          <w:color w:val="auto"/>
          <w:sz w:val="24"/>
          <w:szCs w:val="24"/>
          <w:highlight w:val="none"/>
        </w:rPr>
      </w:pPr>
    </w:p>
    <w:p w14:paraId="11631380">
      <w:pPr>
        <w:pStyle w:val="4"/>
        <w:ind w:firstLine="480"/>
        <w:rPr>
          <w:rFonts w:hint="eastAsia" w:ascii="宋体" w:hAnsi="宋体" w:cs="宋体"/>
          <w:color w:val="auto"/>
          <w:sz w:val="24"/>
          <w:szCs w:val="24"/>
          <w:highlight w:val="none"/>
        </w:rPr>
      </w:pPr>
    </w:p>
    <w:p w14:paraId="00624B18">
      <w:pPr>
        <w:pStyle w:val="4"/>
        <w:ind w:firstLine="480"/>
        <w:rPr>
          <w:rFonts w:hint="eastAsia" w:ascii="宋体" w:hAnsi="宋体" w:cs="宋体"/>
          <w:color w:val="auto"/>
          <w:sz w:val="24"/>
          <w:szCs w:val="24"/>
          <w:highlight w:val="none"/>
        </w:rPr>
      </w:pPr>
    </w:p>
    <w:p w14:paraId="2896CAD1">
      <w:pPr>
        <w:pStyle w:val="4"/>
        <w:ind w:firstLine="480"/>
        <w:rPr>
          <w:rFonts w:hint="eastAsia" w:ascii="宋体" w:hAnsi="宋体" w:cs="宋体"/>
          <w:color w:val="auto"/>
          <w:sz w:val="24"/>
          <w:szCs w:val="24"/>
          <w:highlight w:val="none"/>
        </w:rPr>
      </w:pPr>
    </w:p>
    <w:p w14:paraId="188721AA">
      <w:pPr>
        <w:pStyle w:val="4"/>
        <w:ind w:firstLine="480"/>
        <w:rPr>
          <w:rFonts w:hint="eastAsia" w:ascii="宋体" w:hAnsi="宋体" w:cs="宋体"/>
          <w:color w:val="auto"/>
          <w:sz w:val="24"/>
          <w:szCs w:val="24"/>
          <w:highlight w:val="none"/>
        </w:rPr>
      </w:pPr>
    </w:p>
    <w:p w14:paraId="47ACEA42">
      <w:pPr>
        <w:pStyle w:val="4"/>
        <w:ind w:firstLine="480"/>
        <w:rPr>
          <w:rFonts w:hint="eastAsia" w:ascii="宋体" w:hAnsi="宋体" w:cs="宋体"/>
          <w:color w:val="auto"/>
          <w:sz w:val="24"/>
          <w:szCs w:val="24"/>
          <w:highlight w:val="none"/>
        </w:rPr>
      </w:pPr>
    </w:p>
    <w:p w14:paraId="74473ACF">
      <w:pPr>
        <w:pStyle w:val="4"/>
        <w:ind w:firstLine="480"/>
        <w:rPr>
          <w:rFonts w:hint="eastAsia" w:ascii="宋体" w:hAnsi="宋体" w:cs="宋体"/>
          <w:color w:val="auto"/>
          <w:sz w:val="24"/>
          <w:szCs w:val="24"/>
          <w:highlight w:val="none"/>
        </w:rPr>
      </w:pPr>
    </w:p>
    <w:p w14:paraId="1CDF0384">
      <w:pPr>
        <w:pStyle w:val="4"/>
        <w:ind w:firstLine="480"/>
        <w:rPr>
          <w:rFonts w:hint="eastAsia" w:ascii="宋体" w:hAnsi="宋体" w:cs="宋体"/>
          <w:color w:val="auto"/>
          <w:sz w:val="24"/>
          <w:szCs w:val="24"/>
          <w:highlight w:val="none"/>
        </w:rPr>
      </w:pPr>
    </w:p>
    <w:p w14:paraId="46CA4BBF">
      <w:pPr>
        <w:pStyle w:val="4"/>
        <w:ind w:firstLine="480"/>
        <w:rPr>
          <w:rFonts w:hint="eastAsia" w:ascii="宋体" w:hAnsi="宋体" w:cs="宋体"/>
          <w:color w:val="auto"/>
          <w:sz w:val="24"/>
          <w:szCs w:val="24"/>
          <w:highlight w:val="none"/>
        </w:rPr>
      </w:pPr>
    </w:p>
    <w:p w14:paraId="7F5FCCB8">
      <w:pPr>
        <w:pStyle w:val="4"/>
        <w:ind w:firstLine="480"/>
        <w:rPr>
          <w:rFonts w:hint="eastAsia" w:ascii="宋体" w:hAnsi="宋体" w:cs="宋体"/>
          <w:color w:val="auto"/>
          <w:sz w:val="24"/>
          <w:szCs w:val="24"/>
          <w:highlight w:val="none"/>
        </w:rPr>
      </w:pPr>
    </w:p>
    <w:p w14:paraId="79B2D61E">
      <w:pPr>
        <w:pStyle w:val="4"/>
        <w:ind w:firstLine="0" w:firstLineChars="0"/>
        <w:rPr>
          <w:rFonts w:hint="eastAsia" w:ascii="宋体" w:hAnsi="宋体" w:cs="宋体"/>
          <w:color w:val="auto"/>
          <w:sz w:val="24"/>
          <w:szCs w:val="24"/>
          <w:highlight w:val="none"/>
        </w:rPr>
      </w:pPr>
    </w:p>
    <w:bookmarkEnd w:id="87"/>
    <w:p w14:paraId="7B782629">
      <w:pPr>
        <w:widowControl/>
        <w:jc w:val="left"/>
        <w:rPr>
          <w:rFonts w:hint="eastAsia" w:ascii="宋体" w:hAnsi="宋体" w:cs="宋体"/>
          <w:b/>
          <w:color w:val="auto"/>
          <w:sz w:val="24"/>
          <w:szCs w:val="24"/>
          <w:highlight w:val="none"/>
        </w:rPr>
      </w:pPr>
      <w:bookmarkStart w:id="88" w:name="_格式2__法定代表人授权书"/>
      <w:bookmarkEnd w:id="88"/>
      <w:r>
        <w:rPr>
          <w:rFonts w:hint="eastAsia" w:ascii="宋体" w:hAnsi="宋体" w:cs="宋体"/>
          <w:b/>
          <w:color w:val="auto"/>
          <w:sz w:val="24"/>
          <w:szCs w:val="24"/>
          <w:highlight w:val="none"/>
        </w:rPr>
        <w:br w:type="page"/>
      </w:r>
    </w:p>
    <w:p w14:paraId="05D7EE91">
      <w:pPr>
        <w:spacing w:before="312" w:beforeLines="100"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主要标的信息（中标后将公示）</w:t>
      </w:r>
    </w:p>
    <w:p w14:paraId="499BEE90">
      <w:pPr>
        <w:spacing w:after="312" w:afterLines="100" w:line="360" w:lineRule="auto"/>
        <w:rPr>
          <w:rFonts w:hint="eastAsia" w:ascii="宋体" w:hAnsi="宋体" w:cs="宋体"/>
          <w:b/>
          <w:color w:val="auto"/>
          <w:sz w:val="24"/>
          <w:szCs w:val="24"/>
          <w:highlight w:val="none"/>
        </w:rPr>
      </w:pPr>
      <w:r>
        <w:rPr>
          <w:rFonts w:hint="eastAsia" w:ascii="宋体" w:hAnsi="宋体" w:cs="宋体"/>
          <w:color w:val="auto"/>
          <w:sz w:val="24"/>
          <w:szCs w:val="24"/>
          <w:highlight w:val="none"/>
        </w:rPr>
        <w:t>投标人全称：</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1"/>
        <w:gridCol w:w="3780"/>
      </w:tblGrid>
      <w:tr w14:paraId="1499C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01" w:type="dxa"/>
            <w:noWrap w:val="0"/>
            <w:vAlign w:val="top"/>
          </w:tcPr>
          <w:p w14:paraId="7F1E3786">
            <w:pPr>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货物类</w:t>
            </w:r>
          </w:p>
        </w:tc>
        <w:tc>
          <w:tcPr>
            <w:tcW w:w="3780" w:type="dxa"/>
            <w:noWrap w:val="0"/>
            <w:vAlign w:val="top"/>
          </w:tcPr>
          <w:p w14:paraId="5CE21857">
            <w:pPr>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服务类</w:t>
            </w:r>
          </w:p>
        </w:tc>
      </w:tr>
      <w:tr w14:paraId="33EFF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trPr>
        <w:tc>
          <w:tcPr>
            <w:tcW w:w="3901" w:type="dxa"/>
            <w:noWrap w:val="0"/>
            <w:vAlign w:val="top"/>
          </w:tcPr>
          <w:p w14:paraId="4985B2D9">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名称：</w:t>
            </w:r>
          </w:p>
          <w:p w14:paraId="4D1A74BC">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品牌（如有）：</w:t>
            </w:r>
          </w:p>
          <w:p w14:paraId="52DC43E2">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规格型号：</w:t>
            </w:r>
          </w:p>
          <w:p w14:paraId="217B2A39">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数量：</w:t>
            </w:r>
          </w:p>
          <w:p w14:paraId="13E1E659">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单价：</w:t>
            </w:r>
          </w:p>
        </w:tc>
        <w:tc>
          <w:tcPr>
            <w:tcW w:w="3780" w:type="dxa"/>
            <w:noWrap w:val="0"/>
            <w:vAlign w:val="top"/>
          </w:tcPr>
          <w:p w14:paraId="5C6DB90C">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名称：</w:t>
            </w:r>
          </w:p>
          <w:p w14:paraId="533ADB18">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服务范围：</w:t>
            </w:r>
          </w:p>
          <w:p w14:paraId="0786DD07">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服务要求：</w:t>
            </w:r>
          </w:p>
          <w:p w14:paraId="12293F6D">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服务时间：</w:t>
            </w:r>
          </w:p>
          <w:p w14:paraId="3E895F1E">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服务标准：</w:t>
            </w:r>
          </w:p>
        </w:tc>
      </w:tr>
      <w:bookmarkEnd w:id="70"/>
    </w:tbl>
    <w:p w14:paraId="69193940">
      <w:pPr>
        <w:rPr>
          <w:rFonts w:hint="eastAsia" w:ascii="宋体" w:hAnsi="宋体" w:cs="宋体"/>
          <w:color w:val="auto"/>
          <w:sz w:val="24"/>
          <w:szCs w:val="24"/>
          <w:highlight w:val="none"/>
        </w:rPr>
      </w:pP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228D3">
    <w:pPr>
      <w:pStyle w:val="14"/>
      <w:jc w:val="center"/>
    </w:pPr>
    <w:r>
      <w:fldChar w:fldCharType="begin"/>
    </w:r>
    <w:r>
      <w:instrText xml:space="preserve">PAGE   \* MERGEFORMAT</w:instrText>
    </w:r>
    <w:r>
      <w:fldChar w:fldCharType="separate"/>
    </w:r>
    <w:r>
      <w:rPr>
        <w:lang w:val="zh-CN"/>
      </w:rPr>
      <w:t>41</w:t>
    </w:r>
    <w:r>
      <w:fldChar w:fldCharType="end"/>
    </w:r>
  </w:p>
  <w:p w14:paraId="19595255">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29EE4">
    <w:pPr>
      <w:pStyle w:val="14"/>
      <w:jc w:val="center"/>
    </w:pPr>
    <w:r>
      <w:fldChar w:fldCharType="begin"/>
    </w:r>
    <w:r>
      <w:instrText xml:space="preserve">PAGE   \* MERGEFORMAT</w:instrText>
    </w:r>
    <w:r>
      <w:fldChar w:fldCharType="separate"/>
    </w:r>
    <w:r>
      <w:rPr>
        <w:lang w:val="zh-CN"/>
      </w:rPr>
      <w:t>64</w:t>
    </w:r>
    <w:r>
      <w:fldChar w:fldCharType="end"/>
    </w:r>
  </w:p>
  <w:p w14:paraId="726E6131">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1854D">
    <w:pPr>
      <w:pStyle w:val="15"/>
      <w:ind w:firstLine="180" w:firstLineChars="100"/>
      <w:jc w:val="both"/>
      <w:rPr>
        <w:rFonts w:hint="default"/>
        <w:lang w:val="en-US" w:eastAsia="zh-CN"/>
      </w:rPr>
    </w:pPr>
    <w:r>
      <w:rPr>
        <w:rFonts w:hint="eastAsia"/>
      </w:rPr>
      <w:t>江苏中兆工程咨询有限公司</w:t>
    </w:r>
    <w:r>
      <w:rPr>
        <w:rFonts w:hint="eastAsia"/>
        <w:lang w:val="en-US" w:eastAsia="zh-CN"/>
      </w:rPr>
      <w:t xml:space="preserve">                                    JSZC-321084-ZZZX-G2025-0012号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AA250">
    <w:pPr>
      <w:pStyle w:val="15"/>
      <w:ind w:firstLine="180" w:firstLineChars="100"/>
      <w:jc w:val="both"/>
      <w:rPr>
        <w:rFonts w:hint="default" w:ascii="Calibri" w:hAnsi="Calibri" w:eastAsia="宋体" w:cs="Times New Roman"/>
        <w:lang w:val="en-US" w:eastAsia="zh-CN"/>
      </w:rPr>
    </w:pPr>
    <w:r>
      <w:rPr>
        <w:rFonts w:hint="eastAsia"/>
      </w:rPr>
      <w:t>江苏中兆工程咨询有限公</w:t>
    </w:r>
    <w:r>
      <w:rPr>
        <w:rFonts w:hint="eastAsia" w:ascii="Calibri" w:hAnsi="Calibri" w:eastAsia="宋体" w:cs="Times New Roman"/>
      </w:rPr>
      <w:t>司</w:t>
    </w:r>
    <w:r>
      <w:rPr>
        <w:rFonts w:hint="eastAsia" w:ascii="Calibri" w:hAnsi="Calibri" w:eastAsia="宋体" w:cs="Times New Roman"/>
        <w:lang w:val="en-US" w:eastAsia="zh-CN"/>
      </w:rPr>
      <w:t xml:space="preserve">                                     </w:t>
    </w:r>
    <w:r>
      <w:rPr>
        <w:rFonts w:hint="eastAsia" w:ascii="Calibri" w:hAnsi="Calibri" w:eastAsia="宋体" w:cs="Times New Roman"/>
      </w:rPr>
      <w:t>JSZC-321084-ZZZX-G2025-0012</w:t>
    </w:r>
    <w:r>
      <w:rPr>
        <w:rFonts w:hint="eastAsia" w:ascii="Calibri" w:hAnsi="Calibri" w:eastAsia="宋体" w:cs="Times New Roman"/>
        <w:lang w:val="en-US" w:eastAsia="zh-CN"/>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CE30A7"/>
    <w:multiLevelType w:val="singleLevel"/>
    <w:tmpl w:val="EECE30A7"/>
    <w:lvl w:ilvl="0" w:tentative="0">
      <w:start w:val="1"/>
      <w:numFmt w:val="chineseCounting"/>
      <w:suff w:val="space"/>
      <w:lvlText w:val="第%1章"/>
      <w:lvlJc w:val="left"/>
      <w:rPr>
        <w:rFonts w:hint="eastAsia"/>
      </w:rPr>
    </w:lvl>
  </w:abstractNum>
  <w:abstractNum w:abstractNumId="1">
    <w:nsid w:val="17164974"/>
    <w:multiLevelType w:val="multilevel"/>
    <w:tmpl w:val="17164974"/>
    <w:lvl w:ilvl="0" w:tentative="0">
      <w:start w:val="1"/>
      <w:numFmt w:val="decimal"/>
      <w:suff w:val="nothing"/>
      <w:lvlText w:val="%1."/>
      <w:lvlJc w:val="left"/>
      <w:pPr>
        <w:ind w:left="420" w:hanging="420"/>
      </w:pPr>
      <w:rPr>
        <w:rFonts w:hint="eastAsia" w:ascii="宋体" w:hAnsi="宋体" w:eastAsia="宋体"/>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B42FD62"/>
    <w:multiLevelType w:val="multilevel"/>
    <w:tmpl w:val="3B42FD62"/>
    <w:lvl w:ilvl="0" w:tentative="0">
      <w:start w:val="1"/>
      <w:numFmt w:val="bullet"/>
      <w:pStyle w:val="34"/>
      <w:lvlText w:val=""/>
      <w:lvlJc w:val="left"/>
      <w:pPr>
        <w:tabs>
          <w:tab w:val="left" w:pos="780"/>
        </w:tabs>
        <w:ind w:left="780" w:hanging="360"/>
      </w:pPr>
      <w:rPr>
        <w:rFonts w:ascii="Wingdings" w:hAnsi="Wingdings"/>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3D1B6FF3"/>
    <w:multiLevelType w:val="multilevel"/>
    <w:tmpl w:val="3D1B6FF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BB0713B"/>
    <w:multiLevelType w:val="multilevel"/>
    <w:tmpl w:val="4BB0713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103A6DB"/>
    <w:multiLevelType w:val="singleLevel"/>
    <w:tmpl w:val="5103A6DB"/>
    <w:lvl w:ilvl="0" w:tentative="0">
      <w:start w:val="2"/>
      <w:numFmt w:val="decimal"/>
      <w:suff w:val="space"/>
      <w:lvlText w:val="%1."/>
      <w:lvlJc w:val="left"/>
    </w:lvl>
  </w:abstractNum>
  <w:abstractNum w:abstractNumId="6">
    <w:nsid w:val="63573BA5"/>
    <w:multiLevelType w:val="multilevel"/>
    <w:tmpl w:val="63573BA5"/>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7531C6E"/>
    <w:multiLevelType w:val="multilevel"/>
    <w:tmpl w:val="67531C6E"/>
    <w:lvl w:ilvl="0" w:tentative="0">
      <w:start w:val="1"/>
      <w:numFmt w:val="decimal"/>
      <w:suff w:val="nothing"/>
      <w:lvlText w:val="%1."/>
      <w:lvlJc w:val="left"/>
      <w:pPr>
        <w:ind w:left="420" w:hanging="420"/>
      </w:pPr>
      <w:rPr>
        <w:rFonts w:hint="eastAsia" w:ascii="宋体" w:hAnsi="宋体" w:eastAsia="宋体"/>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5"/>
  </w:num>
  <w:num w:numId="4">
    <w:abstractNumId w:val="4"/>
  </w:num>
  <w:num w:numId="5">
    <w:abstractNumId w:val="6"/>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hYTAyODIzYjM4MTQ4NzA4ZTgwZjVhMDRlMGYyYTQifQ=="/>
    <w:docVar w:name="KGWebUrl" w:val="http://172.21.7.96:7001/yzzfcg/OfficeServer"/>
  </w:docVars>
  <w:rsids>
    <w:rsidRoot w:val="00AC77A9"/>
    <w:rsid w:val="00001E16"/>
    <w:rsid w:val="00001EC5"/>
    <w:rsid w:val="00002EFD"/>
    <w:rsid w:val="000054C0"/>
    <w:rsid w:val="00010922"/>
    <w:rsid w:val="000111D4"/>
    <w:rsid w:val="00012760"/>
    <w:rsid w:val="000135FD"/>
    <w:rsid w:val="00014914"/>
    <w:rsid w:val="00016944"/>
    <w:rsid w:val="000308BD"/>
    <w:rsid w:val="00032127"/>
    <w:rsid w:val="00044221"/>
    <w:rsid w:val="00052C75"/>
    <w:rsid w:val="0005653D"/>
    <w:rsid w:val="00060355"/>
    <w:rsid w:val="00060A10"/>
    <w:rsid w:val="000724F3"/>
    <w:rsid w:val="00075D71"/>
    <w:rsid w:val="00082A0C"/>
    <w:rsid w:val="00084E25"/>
    <w:rsid w:val="00090DDA"/>
    <w:rsid w:val="000916BC"/>
    <w:rsid w:val="000A3380"/>
    <w:rsid w:val="000B0DF8"/>
    <w:rsid w:val="000D4A1C"/>
    <w:rsid w:val="000D6C86"/>
    <w:rsid w:val="000E30F4"/>
    <w:rsid w:val="000F340F"/>
    <w:rsid w:val="00112C8D"/>
    <w:rsid w:val="00163892"/>
    <w:rsid w:val="0017154E"/>
    <w:rsid w:val="00173AA6"/>
    <w:rsid w:val="001765C1"/>
    <w:rsid w:val="00197F4C"/>
    <w:rsid w:val="001A1DB8"/>
    <w:rsid w:val="001B58BF"/>
    <w:rsid w:val="001B66D9"/>
    <w:rsid w:val="001C01FB"/>
    <w:rsid w:val="001C418D"/>
    <w:rsid w:val="001F5279"/>
    <w:rsid w:val="001F530C"/>
    <w:rsid w:val="001F543F"/>
    <w:rsid w:val="001F776F"/>
    <w:rsid w:val="00203AAA"/>
    <w:rsid w:val="00206654"/>
    <w:rsid w:val="0021602D"/>
    <w:rsid w:val="00221E5F"/>
    <w:rsid w:val="00233197"/>
    <w:rsid w:val="002376AC"/>
    <w:rsid w:val="00241464"/>
    <w:rsid w:val="0026661F"/>
    <w:rsid w:val="00271207"/>
    <w:rsid w:val="00275A4F"/>
    <w:rsid w:val="00290A73"/>
    <w:rsid w:val="00294164"/>
    <w:rsid w:val="002A2FD3"/>
    <w:rsid w:val="002B49C2"/>
    <w:rsid w:val="002D4823"/>
    <w:rsid w:val="002D5511"/>
    <w:rsid w:val="00312690"/>
    <w:rsid w:val="003208DE"/>
    <w:rsid w:val="00323C64"/>
    <w:rsid w:val="00327DAD"/>
    <w:rsid w:val="00334047"/>
    <w:rsid w:val="00337320"/>
    <w:rsid w:val="00340CE9"/>
    <w:rsid w:val="003410CA"/>
    <w:rsid w:val="0035606C"/>
    <w:rsid w:val="00357CFF"/>
    <w:rsid w:val="0037433A"/>
    <w:rsid w:val="00375B36"/>
    <w:rsid w:val="0038539B"/>
    <w:rsid w:val="003A1827"/>
    <w:rsid w:val="003B2D35"/>
    <w:rsid w:val="003B5C5B"/>
    <w:rsid w:val="003B6363"/>
    <w:rsid w:val="003C1753"/>
    <w:rsid w:val="003C23F4"/>
    <w:rsid w:val="003C2C28"/>
    <w:rsid w:val="003C46D5"/>
    <w:rsid w:val="003C7387"/>
    <w:rsid w:val="003C7828"/>
    <w:rsid w:val="003F6C62"/>
    <w:rsid w:val="004009F0"/>
    <w:rsid w:val="0040297B"/>
    <w:rsid w:val="00406389"/>
    <w:rsid w:val="00407130"/>
    <w:rsid w:val="0041318C"/>
    <w:rsid w:val="00414B56"/>
    <w:rsid w:val="00415B0D"/>
    <w:rsid w:val="00435CAF"/>
    <w:rsid w:val="004614AF"/>
    <w:rsid w:val="00461732"/>
    <w:rsid w:val="00484F99"/>
    <w:rsid w:val="0048777D"/>
    <w:rsid w:val="004904B3"/>
    <w:rsid w:val="004933E4"/>
    <w:rsid w:val="0049527C"/>
    <w:rsid w:val="004A41BE"/>
    <w:rsid w:val="004B1D41"/>
    <w:rsid w:val="004B371C"/>
    <w:rsid w:val="004C3AB2"/>
    <w:rsid w:val="004D64F0"/>
    <w:rsid w:val="004E2590"/>
    <w:rsid w:val="004E5DC7"/>
    <w:rsid w:val="004E7A01"/>
    <w:rsid w:val="0050229B"/>
    <w:rsid w:val="00511A70"/>
    <w:rsid w:val="00512A2C"/>
    <w:rsid w:val="00521B5A"/>
    <w:rsid w:val="00523349"/>
    <w:rsid w:val="00531203"/>
    <w:rsid w:val="0053473D"/>
    <w:rsid w:val="00537023"/>
    <w:rsid w:val="005376C8"/>
    <w:rsid w:val="005552F8"/>
    <w:rsid w:val="005558FE"/>
    <w:rsid w:val="00557ED2"/>
    <w:rsid w:val="00574CC0"/>
    <w:rsid w:val="005802F6"/>
    <w:rsid w:val="00581E59"/>
    <w:rsid w:val="00582426"/>
    <w:rsid w:val="005A0A05"/>
    <w:rsid w:val="005A1265"/>
    <w:rsid w:val="005A1C18"/>
    <w:rsid w:val="005A3822"/>
    <w:rsid w:val="005A7165"/>
    <w:rsid w:val="005B319C"/>
    <w:rsid w:val="005B4340"/>
    <w:rsid w:val="005C0802"/>
    <w:rsid w:val="005C1B8D"/>
    <w:rsid w:val="005E64C5"/>
    <w:rsid w:val="005E7AE5"/>
    <w:rsid w:val="0060623F"/>
    <w:rsid w:val="0061615C"/>
    <w:rsid w:val="00625953"/>
    <w:rsid w:val="00637339"/>
    <w:rsid w:val="006427DF"/>
    <w:rsid w:val="00645929"/>
    <w:rsid w:val="00663072"/>
    <w:rsid w:val="00673DC4"/>
    <w:rsid w:val="00681493"/>
    <w:rsid w:val="00681E03"/>
    <w:rsid w:val="00683E05"/>
    <w:rsid w:val="006A4ED9"/>
    <w:rsid w:val="006A7BD0"/>
    <w:rsid w:val="006B4129"/>
    <w:rsid w:val="006C43CB"/>
    <w:rsid w:val="006C77C5"/>
    <w:rsid w:val="006D1A09"/>
    <w:rsid w:val="006D7ED7"/>
    <w:rsid w:val="006E348D"/>
    <w:rsid w:val="006E718F"/>
    <w:rsid w:val="006F53EA"/>
    <w:rsid w:val="00702A0D"/>
    <w:rsid w:val="00710CA3"/>
    <w:rsid w:val="00712E4F"/>
    <w:rsid w:val="00716D60"/>
    <w:rsid w:val="00717D90"/>
    <w:rsid w:val="00760BD7"/>
    <w:rsid w:val="007620CC"/>
    <w:rsid w:val="00770EA4"/>
    <w:rsid w:val="0077608C"/>
    <w:rsid w:val="007808F2"/>
    <w:rsid w:val="00786284"/>
    <w:rsid w:val="007A3620"/>
    <w:rsid w:val="007A4292"/>
    <w:rsid w:val="007B3CEE"/>
    <w:rsid w:val="007C7BAE"/>
    <w:rsid w:val="007D2D97"/>
    <w:rsid w:val="007D3378"/>
    <w:rsid w:val="007E7136"/>
    <w:rsid w:val="008026D3"/>
    <w:rsid w:val="008059FB"/>
    <w:rsid w:val="0081223F"/>
    <w:rsid w:val="008151AB"/>
    <w:rsid w:val="00820FD7"/>
    <w:rsid w:val="00826EF5"/>
    <w:rsid w:val="00833C70"/>
    <w:rsid w:val="008401DD"/>
    <w:rsid w:val="00864F1A"/>
    <w:rsid w:val="0087277E"/>
    <w:rsid w:val="008757D4"/>
    <w:rsid w:val="00882615"/>
    <w:rsid w:val="008B4BCB"/>
    <w:rsid w:val="008C2C6A"/>
    <w:rsid w:val="008D4C12"/>
    <w:rsid w:val="008E1EC8"/>
    <w:rsid w:val="008E2D91"/>
    <w:rsid w:val="008E6898"/>
    <w:rsid w:val="008F09BD"/>
    <w:rsid w:val="00915DD1"/>
    <w:rsid w:val="00921904"/>
    <w:rsid w:val="00923AFF"/>
    <w:rsid w:val="00924F90"/>
    <w:rsid w:val="0093480B"/>
    <w:rsid w:val="009568D9"/>
    <w:rsid w:val="00962901"/>
    <w:rsid w:val="009637F9"/>
    <w:rsid w:val="009A20E6"/>
    <w:rsid w:val="009B286E"/>
    <w:rsid w:val="009C02BC"/>
    <w:rsid w:val="009C059A"/>
    <w:rsid w:val="009C2686"/>
    <w:rsid w:val="009C3B62"/>
    <w:rsid w:val="009F1E3A"/>
    <w:rsid w:val="009F6DDC"/>
    <w:rsid w:val="00A0031B"/>
    <w:rsid w:val="00A05931"/>
    <w:rsid w:val="00A204D3"/>
    <w:rsid w:val="00A277C7"/>
    <w:rsid w:val="00A27C3A"/>
    <w:rsid w:val="00A37B6D"/>
    <w:rsid w:val="00A403F2"/>
    <w:rsid w:val="00A55E23"/>
    <w:rsid w:val="00A55EDE"/>
    <w:rsid w:val="00A607D7"/>
    <w:rsid w:val="00A61FE6"/>
    <w:rsid w:val="00A64A65"/>
    <w:rsid w:val="00A71B64"/>
    <w:rsid w:val="00A745C9"/>
    <w:rsid w:val="00A747F8"/>
    <w:rsid w:val="00A8413D"/>
    <w:rsid w:val="00A972B6"/>
    <w:rsid w:val="00AC2FD6"/>
    <w:rsid w:val="00AC450B"/>
    <w:rsid w:val="00AC77A9"/>
    <w:rsid w:val="00AC786C"/>
    <w:rsid w:val="00AD28EB"/>
    <w:rsid w:val="00AD6950"/>
    <w:rsid w:val="00AE26DD"/>
    <w:rsid w:val="00AF52A1"/>
    <w:rsid w:val="00AF67AB"/>
    <w:rsid w:val="00AF7CB7"/>
    <w:rsid w:val="00B07BF6"/>
    <w:rsid w:val="00B14941"/>
    <w:rsid w:val="00B23962"/>
    <w:rsid w:val="00B2462B"/>
    <w:rsid w:val="00B257CB"/>
    <w:rsid w:val="00B44F31"/>
    <w:rsid w:val="00B501D1"/>
    <w:rsid w:val="00B5304C"/>
    <w:rsid w:val="00B55E5E"/>
    <w:rsid w:val="00B56D71"/>
    <w:rsid w:val="00B574C7"/>
    <w:rsid w:val="00B60156"/>
    <w:rsid w:val="00B70BEE"/>
    <w:rsid w:val="00B8041B"/>
    <w:rsid w:val="00B80B0A"/>
    <w:rsid w:val="00B95724"/>
    <w:rsid w:val="00BA0165"/>
    <w:rsid w:val="00BA079C"/>
    <w:rsid w:val="00BA5B22"/>
    <w:rsid w:val="00BB6C7E"/>
    <w:rsid w:val="00BB7DD7"/>
    <w:rsid w:val="00BD7249"/>
    <w:rsid w:val="00BD7B96"/>
    <w:rsid w:val="00BE372F"/>
    <w:rsid w:val="00BF5781"/>
    <w:rsid w:val="00BF5885"/>
    <w:rsid w:val="00C11A17"/>
    <w:rsid w:val="00C14405"/>
    <w:rsid w:val="00C146BB"/>
    <w:rsid w:val="00C16273"/>
    <w:rsid w:val="00C20C1A"/>
    <w:rsid w:val="00C20CFE"/>
    <w:rsid w:val="00C24C4D"/>
    <w:rsid w:val="00C3185C"/>
    <w:rsid w:val="00C35642"/>
    <w:rsid w:val="00C51E8D"/>
    <w:rsid w:val="00C57CBC"/>
    <w:rsid w:val="00C71230"/>
    <w:rsid w:val="00C73A8F"/>
    <w:rsid w:val="00C843C5"/>
    <w:rsid w:val="00C877B6"/>
    <w:rsid w:val="00C96856"/>
    <w:rsid w:val="00CB0B8B"/>
    <w:rsid w:val="00CC19A7"/>
    <w:rsid w:val="00CC3BCC"/>
    <w:rsid w:val="00CC504A"/>
    <w:rsid w:val="00CD1142"/>
    <w:rsid w:val="00CD5CDB"/>
    <w:rsid w:val="00CF57E8"/>
    <w:rsid w:val="00D0021D"/>
    <w:rsid w:val="00D01563"/>
    <w:rsid w:val="00D075FD"/>
    <w:rsid w:val="00D10205"/>
    <w:rsid w:val="00D2119D"/>
    <w:rsid w:val="00D26721"/>
    <w:rsid w:val="00D52C51"/>
    <w:rsid w:val="00D56017"/>
    <w:rsid w:val="00D72B21"/>
    <w:rsid w:val="00D80850"/>
    <w:rsid w:val="00D82B73"/>
    <w:rsid w:val="00D85921"/>
    <w:rsid w:val="00D92AF4"/>
    <w:rsid w:val="00D95085"/>
    <w:rsid w:val="00D96C6B"/>
    <w:rsid w:val="00DB4A7B"/>
    <w:rsid w:val="00DC405D"/>
    <w:rsid w:val="00DE034F"/>
    <w:rsid w:val="00DE049A"/>
    <w:rsid w:val="00DF1C0C"/>
    <w:rsid w:val="00DF2F99"/>
    <w:rsid w:val="00DF4AE2"/>
    <w:rsid w:val="00E05C06"/>
    <w:rsid w:val="00E1683B"/>
    <w:rsid w:val="00E212AB"/>
    <w:rsid w:val="00E30D54"/>
    <w:rsid w:val="00E415F5"/>
    <w:rsid w:val="00E432CE"/>
    <w:rsid w:val="00E54B47"/>
    <w:rsid w:val="00E55038"/>
    <w:rsid w:val="00E6439E"/>
    <w:rsid w:val="00E65ECC"/>
    <w:rsid w:val="00E7498B"/>
    <w:rsid w:val="00E76341"/>
    <w:rsid w:val="00E85123"/>
    <w:rsid w:val="00E856D2"/>
    <w:rsid w:val="00E86449"/>
    <w:rsid w:val="00E90AA2"/>
    <w:rsid w:val="00E90F7B"/>
    <w:rsid w:val="00EA2A95"/>
    <w:rsid w:val="00EA617B"/>
    <w:rsid w:val="00EC0813"/>
    <w:rsid w:val="00EC10E9"/>
    <w:rsid w:val="00EC20C5"/>
    <w:rsid w:val="00EC56F9"/>
    <w:rsid w:val="00EC73D0"/>
    <w:rsid w:val="00ED15D9"/>
    <w:rsid w:val="00ED7C29"/>
    <w:rsid w:val="00EE1B00"/>
    <w:rsid w:val="00F02A36"/>
    <w:rsid w:val="00F31942"/>
    <w:rsid w:val="00F367AA"/>
    <w:rsid w:val="00F45C9F"/>
    <w:rsid w:val="00F567BF"/>
    <w:rsid w:val="00F62AD9"/>
    <w:rsid w:val="00F63D5C"/>
    <w:rsid w:val="00F6754E"/>
    <w:rsid w:val="00F77006"/>
    <w:rsid w:val="00F84701"/>
    <w:rsid w:val="00F87654"/>
    <w:rsid w:val="00F916E3"/>
    <w:rsid w:val="00FB0916"/>
    <w:rsid w:val="00FF57EB"/>
    <w:rsid w:val="030E119B"/>
    <w:rsid w:val="04661BC3"/>
    <w:rsid w:val="077656CA"/>
    <w:rsid w:val="08065F88"/>
    <w:rsid w:val="086D03EC"/>
    <w:rsid w:val="0944318C"/>
    <w:rsid w:val="09C34573"/>
    <w:rsid w:val="0C405504"/>
    <w:rsid w:val="0D222E5C"/>
    <w:rsid w:val="0DA74C23"/>
    <w:rsid w:val="0E81124B"/>
    <w:rsid w:val="0FC25C6E"/>
    <w:rsid w:val="108D0E95"/>
    <w:rsid w:val="12E60D33"/>
    <w:rsid w:val="155B4089"/>
    <w:rsid w:val="17AB3E3D"/>
    <w:rsid w:val="184B1B8B"/>
    <w:rsid w:val="188A66DA"/>
    <w:rsid w:val="1A747F4D"/>
    <w:rsid w:val="1BFD6F6E"/>
    <w:rsid w:val="1DB15929"/>
    <w:rsid w:val="25180974"/>
    <w:rsid w:val="275A7C1B"/>
    <w:rsid w:val="29FB20BC"/>
    <w:rsid w:val="2A154D8D"/>
    <w:rsid w:val="305148FD"/>
    <w:rsid w:val="30C43023"/>
    <w:rsid w:val="310B66D2"/>
    <w:rsid w:val="32102748"/>
    <w:rsid w:val="325A52CD"/>
    <w:rsid w:val="32BC3287"/>
    <w:rsid w:val="3329528D"/>
    <w:rsid w:val="35A324DC"/>
    <w:rsid w:val="387501C5"/>
    <w:rsid w:val="38FE4EB2"/>
    <w:rsid w:val="3F4F2336"/>
    <w:rsid w:val="40BE01CA"/>
    <w:rsid w:val="416272B0"/>
    <w:rsid w:val="42F74D45"/>
    <w:rsid w:val="46F30DEA"/>
    <w:rsid w:val="47FE2C73"/>
    <w:rsid w:val="4B1168CB"/>
    <w:rsid w:val="4D831593"/>
    <w:rsid w:val="52BA0ACC"/>
    <w:rsid w:val="587C29ED"/>
    <w:rsid w:val="59351CF1"/>
    <w:rsid w:val="59804FB0"/>
    <w:rsid w:val="5AC83008"/>
    <w:rsid w:val="6035635A"/>
    <w:rsid w:val="60C26B4A"/>
    <w:rsid w:val="61A23003"/>
    <w:rsid w:val="637D60FE"/>
    <w:rsid w:val="66AB45B0"/>
    <w:rsid w:val="66BE2423"/>
    <w:rsid w:val="68503DB3"/>
    <w:rsid w:val="6A5E5264"/>
    <w:rsid w:val="6D884C84"/>
    <w:rsid w:val="70512559"/>
    <w:rsid w:val="721B2E1F"/>
    <w:rsid w:val="722019ED"/>
    <w:rsid w:val="727A5D97"/>
    <w:rsid w:val="72BF4263"/>
    <w:rsid w:val="72CD1A5E"/>
    <w:rsid w:val="756D1BE3"/>
    <w:rsid w:val="795058AC"/>
    <w:rsid w:val="7A924AED"/>
    <w:rsid w:val="7C5A46F4"/>
    <w:rsid w:val="7EC505F5"/>
    <w:rsid w:val="7F7D0C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4"/>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4"/>
    <w:link w:val="25"/>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5">
    <w:name w:val="heading 3"/>
    <w:basedOn w:val="1"/>
    <w:next w:val="1"/>
    <w:link w:val="27"/>
    <w:qFormat/>
    <w:uiPriority w:val="0"/>
    <w:pPr>
      <w:keepNext/>
      <w:keepLines/>
      <w:spacing w:before="260" w:after="260" w:line="416" w:lineRule="auto"/>
      <w:outlineLvl w:val="2"/>
    </w:pPr>
    <w:rPr>
      <w:rFonts w:ascii="Calibri" w:hAnsi="Calibri" w:eastAsia="宋体" w:cs="Times New Roman"/>
      <w:b/>
      <w:bCs/>
      <w:sz w:val="32"/>
      <w:szCs w:val="32"/>
    </w:rPr>
  </w:style>
  <w:style w:type="paragraph" w:styleId="6">
    <w:name w:val="heading 4"/>
    <w:basedOn w:val="1"/>
    <w:next w:val="1"/>
    <w:link w:val="28"/>
    <w:qFormat/>
    <w:uiPriority w:val="9"/>
    <w:pPr>
      <w:keepNext/>
      <w:keepLines/>
      <w:spacing w:before="280" w:after="290" w:line="376" w:lineRule="auto"/>
      <w:outlineLvl w:val="3"/>
    </w:pPr>
    <w:rPr>
      <w:rFonts w:ascii="等线 Light" w:hAnsi="等线 Light" w:eastAsia="等线 Light" w:cs="Times New Roman"/>
      <w:b/>
      <w:bCs/>
      <w:sz w:val="28"/>
      <w:szCs w:val="28"/>
    </w:rPr>
  </w:style>
  <w:style w:type="paragraph" w:styleId="7">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4">
    <w:name w:val="Normal Indent"/>
    <w:basedOn w:val="1"/>
    <w:link w:val="26"/>
    <w:unhideWhenUsed/>
    <w:qFormat/>
    <w:uiPriority w:val="0"/>
    <w:pPr>
      <w:ind w:firstLine="420" w:firstLineChars="200"/>
    </w:pPr>
  </w:style>
  <w:style w:type="paragraph" w:styleId="8">
    <w:name w:val="Document Map"/>
    <w:basedOn w:val="1"/>
    <w:qFormat/>
    <w:uiPriority w:val="0"/>
    <w:pPr>
      <w:shd w:val="clear" w:color="auto" w:fill="000080"/>
    </w:pPr>
  </w:style>
  <w:style w:type="paragraph" w:styleId="9">
    <w:name w:val="annotation text"/>
    <w:basedOn w:val="1"/>
    <w:unhideWhenUsed/>
    <w:qFormat/>
    <w:uiPriority w:val="99"/>
    <w:pPr>
      <w:jc w:val="left"/>
    </w:pPr>
  </w:style>
  <w:style w:type="paragraph" w:styleId="10">
    <w:name w:val="Body Text"/>
    <w:basedOn w:val="1"/>
    <w:link w:val="29"/>
    <w:qFormat/>
    <w:uiPriority w:val="0"/>
    <w:rPr>
      <w:rFonts w:ascii="楷体_GB2312" w:hAnsi="Arial" w:eastAsia="楷体_GB2312"/>
      <w:sz w:val="28"/>
      <w:szCs w:val="28"/>
    </w:rPr>
  </w:style>
  <w:style w:type="paragraph" w:styleId="11">
    <w:name w:val="toc 3"/>
    <w:basedOn w:val="1"/>
    <w:next w:val="1"/>
    <w:unhideWhenUsed/>
    <w:qFormat/>
    <w:uiPriority w:val="39"/>
    <w:pPr>
      <w:ind w:left="840" w:leftChars="400"/>
    </w:pPr>
  </w:style>
  <w:style w:type="paragraph" w:styleId="12">
    <w:name w:val="Plain Text"/>
    <w:basedOn w:val="1"/>
    <w:link w:val="30"/>
    <w:qFormat/>
    <w:uiPriority w:val="99"/>
    <w:rPr>
      <w:rFonts w:ascii="宋体" w:hAnsi="Courier New"/>
      <w:szCs w:val="21"/>
    </w:rPr>
  </w:style>
  <w:style w:type="paragraph" w:styleId="13">
    <w:name w:val="Date"/>
    <w:basedOn w:val="1"/>
    <w:next w:val="1"/>
    <w:link w:val="31"/>
    <w:unhideWhenUsed/>
    <w:qFormat/>
    <w:uiPriority w:val="99"/>
    <w:pPr>
      <w:ind w:left="100" w:leftChars="2500"/>
    </w:p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ind w:left="420" w:leftChars="200"/>
    </w:pPr>
  </w:style>
  <w:style w:type="paragraph" w:styleId="18">
    <w:name w:val="Normal (Web)"/>
    <w:basedOn w:val="1"/>
    <w:unhideWhenUsed/>
    <w:qFormat/>
    <w:uiPriority w:val="99"/>
    <w:pPr>
      <w:jc w:val="left"/>
    </w:pPr>
    <w:rPr>
      <w:rFonts w:ascii="Calibri" w:hAnsi="Calibri" w:eastAsia="宋体" w:cs="Times New Roman"/>
      <w:kern w:val="0"/>
      <w:sz w:val="24"/>
      <w:szCs w:val="24"/>
    </w:rPr>
  </w:style>
  <w:style w:type="table" w:styleId="20">
    <w:name w:val="Table Grid"/>
    <w:basedOn w:val="19"/>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rPr>
  </w:style>
  <w:style w:type="character" w:styleId="23">
    <w:name w:val="Hyperlink"/>
    <w:unhideWhenUsed/>
    <w:qFormat/>
    <w:uiPriority w:val="99"/>
    <w:rPr>
      <w:color w:val="0563C1"/>
      <w:u w:val="single"/>
    </w:rPr>
  </w:style>
  <w:style w:type="character" w:customStyle="1" w:styleId="24">
    <w:name w:val="标题 1 字符"/>
    <w:link w:val="2"/>
    <w:qFormat/>
    <w:uiPriority w:val="9"/>
    <w:rPr>
      <w:rFonts w:ascii="Calibri" w:hAnsi="Calibri" w:eastAsia="宋体" w:cs="Times New Roman"/>
      <w:b/>
      <w:bCs/>
      <w:kern w:val="44"/>
      <w:sz w:val="44"/>
      <w:szCs w:val="44"/>
    </w:rPr>
  </w:style>
  <w:style w:type="character" w:customStyle="1" w:styleId="25">
    <w:name w:val="标题 2 字符"/>
    <w:link w:val="3"/>
    <w:qFormat/>
    <w:uiPriority w:val="0"/>
    <w:rPr>
      <w:rFonts w:ascii="Arial" w:hAnsi="Arial" w:eastAsia="幼圆" w:cs="Arial"/>
      <w:b/>
      <w:bCs/>
      <w:sz w:val="44"/>
      <w:szCs w:val="44"/>
    </w:rPr>
  </w:style>
  <w:style w:type="character" w:customStyle="1" w:styleId="26">
    <w:name w:val="正文缩进 字符"/>
    <w:link w:val="4"/>
    <w:qFormat/>
    <w:uiPriority w:val="0"/>
  </w:style>
  <w:style w:type="character" w:customStyle="1" w:styleId="27">
    <w:name w:val="标题 3 字符"/>
    <w:link w:val="5"/>
    <w:qFormat/>
    <w:uiPriority w:val="0"/>
    <w:rPr>
      <w:rFonts w:ascii="Calibri" w:hAnsi="Calibri" w:eastAsia="宋体" w:cs="Times New Roman"/>
      <w:b/>
      <w:bCs/>
      <w:sz w:val="32"/>
      <w:szCs w:val="32"/>
    </w:rPr>
  </w:style>
  <w:style w:type="character" w:customStyle="1" w:styleId="28">
    <w:name w:val="标题 4 字符"/>
    <w:link w:val="6"/>
    <w:semiHidden/>
    <w:qFormat/>
    <w:uiPriority w:val="9"/>
    <w:rPr>
      <w:rFonts w:ascii="等线 Light" w:hAnsi="等线 Light" w:eastAsia="等线 Light" w:cs="Times New Roman"/>
      <w:b/>
      <w:bCs/>
      <w:kern w:val="2"/>
      <w:sz w:val="28"/>
      <w:szCs w:val="28"/>
    </w:rPr>
  </w:style>
  <w:style w:type="character" w:customStyle="1" w:styleId="29">
    <w:name w:val="正文文本 字符"/>
    <w:link w:val="10"/>
    <w:qFormat/>
    <w:uiPriority w:val="0"/>
    <w:rPr>
      <w:rFonts w:ascii="楷体_GB2312" w:hAnsi="Arial" w:eastAsia="楷体_GB2312"/>
      <w:sz w:val="28"/>
      <w:szCs w:val="28"/>
    </w:rPr>
  </w:style>
  <w:style w:type="character" w:customStyle="1" w:styleId="30">
    <w:name w:val="纯文本 字符"/>
    <w:link w:val="12"/>
    <w:qFormat/>
    <w:uiPriority w:val="99"/>
    <w:rPr>
      <w:rFonts w:ascii="宋体" w:hAnsi="Courier New"/>
      <w:szCs w:val="21"/>
    </w:rPr>
  </w:style>
  <w:style w:type="character" w:customStyle="1" w:styleId="31">
    <w:name w:val="日期 字符"/>
    <w:link w:val="13"/>
    <w:semiHidden/>
    <w:qFormat/>
    <w:uiPriority w:val="99"/>
    <w:rPr>
      <w:kern w:val="2"/>
      <w:sz w:val="21"/>
      <w:szCs w:val="22"/>
    </w:rPr>
  </w:style>
  <w:style w:type="character" w:customStyle="1" w:styleId="32">
    <w:name w:val="页脚 字符"/>
    <w:link w:val="14"/>
    <w:qFormat/>
    <w:uiPriority w:val="99"/>
    <w:rPr>
      <w:sz w:val="18"/>
      <w:szCs w:val="18"/>
    </w:rPr>
  </w:style>
  <w:style w:type="character" w:customStyle="1" w:styleId="33">
    <w:name w:val="页眉 字符"/>
    <w:link w:val="15"/>
    <w:qFormat/>
    <w:uiPriority w:val="99"/>
    <w:rPr>
      <w:sz w:val="18"/>
      <w:szCs w:val="18"/>
    </w:rPr>
  </w:style>
  <w:style w:type="paragraph" w:customStyle="1" w:styleId="34">
    <w:name w:val="列表项目符号 21"/>
    <w:basedOn w:val="1"/>
    <w:unhideWhenUsed/>
    <w:qFormat/>
    <w:uiPriority w:val="99"/>
    <w:pPr>
      <w:numPr>
        <w:ilvl w:val="0"/>
        <w:numId w:val="1"/>
      </w:numPr>
    </w:pPr>
  </w:style>
  <w:style w:type="character" w:customStyle="1" w:styleId="35">
    <w:name w:val="页眉 Char1"/>
    <w:semiHidden/>
    <w:qFormat/>
    <w:uiPriority w:val="99"/>
    <w:rPr>
      <w:sz w:val="18"/>
      <w:szCs w:val="18"/>
    </w:rPr>
  </w:style>
  <w:style w:type="character" w:customStyle="1" w:styleId="36">
    <w:name w:val="页脚 Char1"/>
    <w:semiHidden/>
    <w:qFormat/>
    <w:uiPriority w:val="99"/>
    <w:rPr>
      <w:sz w:val="18"/>
      <w:szCs w:val="18"/>
    </w:rPr>
  </w:style>
  <w:style w:type="character" w:customStyle="1" w:styleId="37">
    <w:name w:val="正文文本 Char1"/>
    <w:semiHidden/>
    <w:qFormat/>
    <w:uiPriority w:val="99"/>
  </w:style>
  <w:style w:type="paragraph" w:customStyle="1" w:styleId="38">
    <w:name w:val="Char"/>
    <w:basedOn w:val="1"/>
    <w:qFormat/>
    <w:uiPriority w:val="0"/>
    <w:pPr>
      <w:tabs>
        <w:tab w:val="left" w:pos="360"/>
      </w:tabs>
      <w:ind w:firstLine="200" w:firstLineChars="200"/>
    </w:pPr>
    <w:rPr>
      <w:rFonts w:ascii="Times New Roman" w:hAnsi="Times New Roman" w:eastAsia="宋体" w:cs="Times New Roman"/>
      <w:sz w:val="28"/>
      <w:szCs w:val="30"/>
    </w:rPr>
  </w:style>
  <w:style w:type="paragraph" w:customStyle="1" w:styleId="39">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character" w:customStyle="1" w:styleId="40">
    <w:name w:val="纯文本 Char"/>
    <w:semiHidden/>
    <w:qFormat/>
    <w:uiPriority w:val="99"/>
    <w:rPr>
      <w:rFonts w:ascii="宋体" w:hAnsi="Courier New" w:eastAsia="宋体" w:cs="Courier New"/>
      <w:szCs w:val="21"/>
    </w:rPr>
  </w:style>
  <w:style w:type="paragraph" w:customStyle="1" w:styleId="41">
    <w:name w:val="_Style 36"/>
    <w:basedOn w:val="1"/>
    <w:next w:val="1"/>
    <w:unhideWhenUsed/>
    <w:qFormat/>
    <w:uiPriority w:val="39"/>
    <w:rPr>
      <w:rFonts w:ascii="Calibri" w:hAnsi="Calibri" w:eastAsia="宋体" w:cs="Times New Roman"/>
    </w:rPr>
  </w:style>
  <w:style w:type="paragraph" w:customStyle="1" w:styleId="4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3">
    <w:name w:val="未处理的提及"/>
    <w:unhideWhenUsed/>
    <w:qFormat/>
    <w:uiPriority w:val="99"/>
    <w:rPr>
      <w:color w:val="605E5C"/>
      <w:shd w:val="clear" w:color="auto" w:fill="E1DFDD"/>
    </w:rPr>
  </w:style>
  <w:style w:type="character" w:customStyle="1" w:styleId="44">
    <w:name w:val="font21"/>
    <w:qFormat/>
    <w:uiPriority w:val="0"/>
    <w:rPr>
      <w:rFonts w:hint="eastAsia" w:ascii="宋体" w:hAnsi="宋体" w:eastAsia="宋体" w:cs="宋体"/>
      <w:color w:val="000000"/>
      <w:sz w:val="21"/>
      <w:szCs w:val="21"/>
      <w:u w:val="none"/>
    </w:rPr>
  </w:style>
  <w:style w:type="character" w:customStyle="1" w:styleId="45">
    <w:name w:val="font11"/>
    <w:qFormat/>
    <w:uiPriority w:val="0"/>
    <w:rPr>
      <w:rFonts w:hint="default" w:ascii="Times New Roman" w:hAnsi="Times New Roman" w:cs="Times New Roman"/>
      <w:color w:val="000000"/>
      <w:sz w:val="21"/>
      <w:szCs w:val="21"/>
      <w:u w:val="none"/>
    </w:rPr>
  </w:style>
  <w:style w:type="paragraph" w:styleId="46">
    <w:name w:val="List Paragraph"/>
    <w:basedOn w:val="1"/>
    <w:link w:val="47"/>
    <w:qFormat/>
    <w:uiPriority w:val="34"/>
    <w:pPr>
      <w:widowControl/>
      <w:ind w:left="720"/>
      <w:jc w:val="left"/>
    </w:pPr>
    <w:rPr>
      <w:b/>
      <w:kern w:val="0"/>
      <w:position w:val="-10"/>
      <w:sz w:val="24"/>
      <w:szCs w:val="24"/>
      <w:lang w:eastAsia="en-US" w:bidi="en-US"/>
    </w:rPr>
  </w:style>
  <w:style w:type="character" w:customStyle="1" w:styleId="47">
    <w:name w:val="列出段落 字符"/>
    <w:link w:val="46"/>
    <w:qFormat/>
    <w:locked/>
    <w:uiPriority w:val="34"/>
    <w:rPr>
      <w:b/>
      <w:position w:val="-10"/>
      <w:sz w:val="24"/>
      <w:szCs w:val="24"/>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82</Pages>
  <Words>17468</Words>
  <Characters>19038</Characters>
  <Lines>333</Lines>
  <Paragraphs>94</Paragraphs>
  <TotalTime>93</TotalTime>
  <ScaleCrop>false</ScaleCrop>
  <LinksUpToDate>false</LinksUpToDate>
  <CharactersWithSpaces>19417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2023-04-03T06:15:00Z</dcterms:created>
  <dc:creator>姜涛</dc:creator>
  <cp:lastModifiedBy>江苏中兆咨询</cp:lastModifiedBy>
  <cp:lastPrinted>2024-09-05T09:34:00Z</cp:lastPrinted>
  <dcterms:modified xsi:type="dcterms:W3CDTF">2025-08-15T02:46:27Z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08F89DC825A9445DA61A5F61F734E3A4_13</vt:lpwstr>
  </property>
  <property fmtid="{D5CDD505-2E9C-101B-9397-08002B2CF9AE}" pid="4" name="KSOTemplateDocerSaveRecord">
    <vt:lpwstr>eyJoZGlkIjoiYmJmMDJhNDM0OWI4ZDU4ODBiMjYyMzI5NWQ4ODQzYTUiLCJ1c2VySWQiOiIxNzEyODE4NjE0In0=</vt:lpwstr>
  </property>
</Properties>
</file>