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2355A">
      <w:pPr>
        <w:ind w:left="660"/>
        <w:rPr>
          <w:rFonts w:asciiTheme="minorEastAsia" w:hAnsiTheme="minorEastAsia"/>
          <w:bCs/>
          <w:color w:val="000000" w:themeColor="text1"/>
          <w:sz w:val="30"/>
        </w:rPr>
      </w:pPr>
    </w:p>
    <w:p w14:paraId="39680DF0">
      <w:pPr>
        <w:ind w:left="660"/>
        <w:rPr>
          <w:rFonts w:asciiTheme="minorEastAsia" w:hAnsiTheme="minorEastAsia"/>
          <w:bCs/>
          <w:color w:val="000000" w:themeColor="text1"/>
          <w:sz w:val="30"/>
        </w:rPr>
      </w:pPr>
    </w:p>
    <w:p w14:paraId="4E2208CB">
      <w:pPr>
        <w:jc w:val="center"/>
        <w:rPr>
          <w:rFonts w:asciiTheme="minorEastAsia" w:hAnsiTheme="minorEastAsia"/>
          <w:b/>
          <w:bCs/>
          <w:color w:val="000000" w:themeColor="text1"/>
          <w:sz w:val="28"/>
        </w:rPr>
      </w:pPr>
      <w:r>
        <w:rPr>
          <w:rFonts w:hint="eastAsia" w:asciiTheme="minorEastAsia" w:hAnsiTheme="minorEastAsia"/>
          <w:b/>
          <w:bCs/>
          <w:color w:val="000000" w:themeColor="text1"/>
          <w:spacing w:val="20"/>
          <w:sz w:val="56"/>
          <w:szCs w:val="72"/>
        </w:rPr>
        <w:t>无锡市滨湖区公共资源交易中心</w:t>
      </w:r>
    </w:p>
    <w:p w14:paraId="52438C9B">
      <w:pPr>
        <w:rPr>
          <w:rFonts w:asciiTheme="minorEastAsia" w:hAnsiTheme="minorEastAsia"/>
          <w:b/>
          <w:bCs/>
          <w:color w:val="000000" w:themeColor="text1"/>
          <w:sz w:val="30"/>
        </w:rPr>
      </w:pPr>
    </w:p>
    <w:p w14:paraId="7013B35A">
      <w:pPr>
        <w:jc w:val="center"/>
        <w:rPr>
          <w:rFonts w:asciiTheme="minorEastAsia" w:hAnsiTheme="minorEastAsia"/>
          <w:b/>
          <w:bCs/>
          <w:color w:val="000000" w:themeColor="text1"/>
          <w:sz w:val="30"/>
        </w:rPr>
      </w:pPr>
      <w:r>
        <w:rPr>
          <w:rFonts w:hint="eastAsia" w:asciiTheme="minorEastAsia" w:hAnsiTheme="minorEastAsia"/>
          <w:b/>
          <w:bCs/>
          <w:color w:val="000000" w:themeColor="text1"/>
          <w:sz w:val="30"/>
        </w:rPr>
        <w:t>（全流程电子化）</w:t>
      </w:r>
    </w:p>
    <w:p w14:paraId="67A6943C">
      <w:pPr>
        <w:rPr>
          <w:rFonts w:asciiTheme="minorEastAsia" w:hAnsiTheme="minorEastAsia"/>
          <w:b/>
          <w:bCs/>
          <w:color w:val="000000" w:themeColor="text1"/>
          <w:sz w:val="30"/>
        </w:rPr>
      </w:pPr>
    </w:p>
    <w:p w14:paraId="1533DC82">
      <w:pPr>
        <w:jc w:val="center"/>
        <w:rPr>
          <w:rFonts w:asciiTheme="minorEastAsia" w:hAnsiTheme="minorEastAsia"/>
          <w:b/>
          <w:bCs/>
          <w:color w:val="000000" w:themeColor="text1"/>
          <w:spacing w:val="20"/>
          <w:w w:val="90"/>
          <w:sz w:val="48"/>
          <w:szCs w:val="48"/>
        </w:rPr>
      </w:pPr>
      <w:r>
        <w:rPr>
          <w:rFonts w:hint="eastAsia" w:asciiTheme="minorEastAsia" w:hAnsiTheme="minorEastAsia"/>
          <w:b/>
          <w:bCs/>
          <w:color w:val="000000" w:themeColor="text1"/>
          <w:spacing w:val="20"/>
          <w:w w:val="90"/>
          <w:sz w:val="48"/>
          <w:szCs w:val="48"/>
        </w:rPr>
        <w:t>公开</w:t>
      </w:r>
    </w:p>
    <w:p w14:paraId="6FC6002C">
      <w:pPr>
        <w:jc w:val="center"/>
        <w:rPr>
          <w:rFonts w:asciiTheme="minorEastAsia" w:hAnsiTheme="minorEastAsia"/>
          <w:b/>
          <w:bCs/>
          <w:color w:val="000000" w:themeColor="text1"/>
          <w:spacing w:val="20"/>
          <w:sz w:val="52"/>
          <w:szCs w:val="52"/>
        </w:rPr>
      </w:pPr>
      <w:r>
        <w:rPr>
          <w:rFonts w:asciiTheme="minorEastAsia" w:hAnsiTheme="minorEastAsia"/>
          <w:b/>
          <w:color w:val="000000" w:themeColor="text1"/>
        </w:rPr>
        <w:pict>
          <v:line id="_x0000_s1026" o:spid="_x0000_s1026" o:spt="20" style="position:absolute;left:0pt;margin-left:-9pt;margin-top:15.55pt;height:0pt;width:0pt;z-index:251659264;mso-width-relative:page;mso-height-relative:page;" coordsize="21600,21600" o:allowincell="f" o:gfxdata="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wTBmNQAAAAJAQAADwAAAAAAAAABACAA&#10;AAAiAAAAZHJzL2Rvd25yZXYueG1sUEsBAhQAFAAAAAgAh07iQIIwscLYAQAAyQMAAA4AAAAAAAAA&#10;AQAgAAAAIwEAAGRycy9lMm9Eb2MueG1sUEsFBgAAAAAGAAYAWQEAAG0FAAAAAA==&#10;">
            <v:path arrowok="t"/>
            <v:fill focussize="0,0"/>
            <v:stroke/>
            <v:imagedata o:title=""/>
            <o:lock v:ext="edit"/>
          </v:line>
        </w:pict>
      </w:r>
      <w:r>
        <w:rPr>
          <w:rFonts w:hint="eastAsia" w:asciiTheme="minorEastAsia" w:hAnsiTheme="minorEastAsia"/>
          <w:b/>
          <w:bCs/>
          <w:color w:val="000000" w:themeColor="text1"/>
          <w:spacing w:val="20"/>
          <w:sz w:val="52"/>
          <w:szCs w:val="52"/>
        </w:rPr>
        <w:t>招标文件</w:t>
      </w:r>
    </w:p>
    <w:p w14:paraId="69115937">
      <w:pPr>
        <w:rPr>
          <w:rFonts w:asciiTheme="minorEastAsia" w:hAnsiTheme="minorEastAsia"/>
          <w:b/>
          <w:bCs/>
          <w:color w:val="000000" w:themeColor="text1"/>
          <w:sz w:val="30"/>
        </w:rPr>
      </w:pPr>
    </w:p>
    <w:p w14:paraId="1FACEFD7">
      <w:pPr>
        <w:tabs>
          <w:tab w:val="left" w:pos="9921"/>
        </w:tabs>
        <w:jc w:val="center"/>
        <w:rPr>
          <w:rFonts w:asciiTheme="minorEastAsia" w:hAnsiTheme="minorEastAsia"/>
          <w:bCs/>
          <w:color w:val="000000" w:themeColor="text1"/>
          <w:sz w:val="30"/>
        </w:rPr>
      </w:pPr>
    </w:p>
    <w:p w14:paraId="5A424B62">
      <w:pPr>
        <w:rPr>
          <w:rFonts w:asciiTheme="minorEastAsia" w:hAnsiTheme="minorEastAsia"/>
          <w:bCs/>
          <w:color w:val="000000" w:themeColor="text1"/>
          <w:sz w:val="30"/>
        </w:rPr>
      </w:pPr>
    </w:p>
    <w:p w14:paraId="2F0E56EE">
      <w:pPr>
        <w:rPr>
          <w:rFonts w:asciiTheme="minorEastAsia" w:hAnsiTheme="minorEastAsia"/>
          <w:bCs/>
          <w:color w:val="000000" w:themeColor="text1"/>
          <w:sz w:val="30"/>
          <w:szCs w:val="30"/>
        </w:rPr>
      </w:pPr>
      <w:r>
        <w:rPr>
          <w:rFonts w:hint="eastAsia" w:asciiTheme="minorEastAsia" w:hAnsiTheme="minorEastAsia"/>
          <w:bCs/>
          <w:color w:val="000000" w:themeColor="text1"/>
          <w:sz w:val="30"/>
          <w:szCs w:val="30"/>
        </w:rPr>
        <w:t>采购项目编号：JSZC-320211-JZCG-G2024-0077</w:t>
      </w:r>
    </w:p>
    <w:p w14:paraId="488F45D8">
      <w:pPr>
        <w:jc w:val="left"/>
        <w:rPr>
          <w:rFonts w:asciiTheme="minorEastAsia" w:hAnsiTheme="minorEastAsia"/>
          <w:bCs/>
          <w:color w:val="000000" w:themeColor="text1"/>
          <w:sz w:val="30"/>
          <w:szCs w:val="30"/>
        </w:rPr>
      </w:pPr>
      <w:r>
        <w:rPr>
          <w:rFonts w:hint="eastAsia" w:asciiTheme="minorEastAsia" w:hAnsiTheme="minorEastAsia"/>
          <w:bCs/>
          <w:color w:val="000000" w:themeColor="text1"/>
          <w:sz w:val="30"/>
          <w:szCs w:val="30"/>
        </w:rPr>
        <w:t>采购项目名称：无锡市公安局滨湖分局2025年物业管理服务</w:t>
      </w:r>
      <w:r>
        <w:rPr>
          <w:rFonts w:hint="eastAsia" w:asciiTheme="minorEastAsia" w:hAnsiTheme="minorEastAsia"/>
          <w:bCs/>
          <w:color w:val="000000" w:themeColor="text1"/>
          <w:sz w:val="30"/>
          <w:szCs w:val="30"/>
          <w:lang w:val="en-US" w:eastAsia="zh-CN"/>
        </w:rPr>
        <w:t>项目</w:t>
      </w:r>
      <w:r>
        <w:rPr>
          <w:rFonts w:asciiTheme="minorEastAsia" w:hAnsiTheme="minorEastAsia"/>
          <w:bCs/>
          <w:color w:val="000000" w:themeColor="text1"/>
          <w:sz w:val="30"/>
          <w:szCs w:val="30"/>
        </w:rPr>
        <w:t xml:space="preserve"> </w:t>
      </w:r>
    </w:p>
    <w:p w14:paraId="4C17FCDC">
      <w:pPr>
        <w:jc w:val="left"/>
        <w:rPr>
          <w:rFonts w:asciiTheme="minorEastAsia" w:hAnsiTheme="minorEastAsia"/>
          <w:bCs/>
          <w:color w:val="000000" w:themeColor="text1"/>
          <w:sz w:val="30"/>
          <w:szCs w:val="30"/>
        </w:rPr>
      </w:pPr>
      <w:r>
        <w:rPr>
          <w:rFonts w:hint="eastAsia" w:asciiTheme="minorEastAsia" w:hAnsiTheme="minorEastAsia"/>
          <w:bCs/>
          <w:color w:val="000000" w:themeColor="text1"/>
          <w:sz w:val="30"/>
          <w:szCs w:val="30"/>
        </w:rPr>
        <w:t>集中采购机构：无锡市滨湖区公共资源交易中心</w:t>
      </w:r>
    </w:p>
    <w:p w14:paraId="5424F996">
      <w:pPr>
        <w:rPr>
          <w:rFonts w:asciiTheme="minorEastAsia" w:hAnsiTheme="minorEastAsia"/>
          <w:bCs/>
          <w:color w:val="000000" w:themeColor="text1"/>
          <w:sz w:val="32"/>
        </w:rPr>
      </w:pPr>
    </w:p>
    <w:p w14:paraId="3560066F">
      <w:pPr>
        <w:rPr>
          <w:rFonts w:asciiTheme="minorEastAsia" w:hAnsiTheme="minorEastAsia"/>
          <w:bCs/>
          <w:color w:val="000000" w:themeColor="text1"/>
          <w:sz w:val="30"/>
        </w:rPr>
      </w:pPr>
    </w:p>
    <w:p w14:paraId="3335C1C7">
      <w:pPr>
        <w:rPr>
          <w:rFonts w:asciiTheme="minorEastAsia" w:hAnsiTheme="minorEastAsia"/>
          <w:bCs/>
          <w:color w:val="000000" w:themeColor="text1"/>
          <w:sz w:val="30"/>
        </w:rPr>
      </w:pPr>
    </w:p>
    <w:p w14:paraId="41A1FA3F">
      <w:pPr>
        <w:rPr>
          <w:rFonts w:asciiTheme="minorEastAsia" w:hAnsiTheme="minorEastAsia"/>
          <w:bCs/>
          <w:color w:val="000000" w:themeColor="text1"/>
          <w:sz w:val="30"/>
        </w:rPr>
      </w:pPr>
    </w:p>
    <w:p w14:paraId="1CEE7B59">
      <w:pPr>
        <w:rPr>
          <w:rFonts w:asciiTheme="minorEastAsia" w:hAnsiTheme="minorEastAsia"/>
          <w:bCs/>
          <w:color w:val="000000" w:themeColor="text1"/>
          <w:sz w:val="30"/>
        </w:rPr>
      </w:pPr>
    </w:p>
    <w:p w14:paraId="0EAC7063">
      <w:pPr>
        <w:jc w:val="center"/>
        <w:rPr>
          <w:rFonts w:asciiTheme="minorEastAsia" w:hAnsiTheme="minorEastAsia"/>
          <w:bCs/>
          <w:color w:val="000000" w:themeColor="text1"/>
          <w:sz w:val="44"/>
          <w:szCs w:val="44"/>
        </w:rPr>
      </w:pPr>
      <w:r>
        <w:rPr>
          <w:rFonts w:hint="eastAsia" w:asciiTheme="minorEastAsia" w:hAnsiTheme="minorEastAsia"/>
          <w:bCs/>
          <w:color w:val="000000" w:themeColor="text1"/>
          <w:sz w:val="44"/>
          <w:szCs w:val="44"/>
        </w:rPr>
        <w:t>二○二四年</w:t>
      </w:r>
      <w:r>
        <w:rPr>
          <w:rFonts w:hint="eastAsia" w:asciiTheme="minorEastAsia" w:hAnsiTheme="minorEastAsia"/>
          <w:bCs/>
          <w:color w:val="000000" w:themeColor="text1"/>
          <w:sz w:val="44"/>
          <w:szCs w:val="44"/>
          <w:lang w:val="en-US" w:eastAsia="zh-CN"/>
        </w:rPr>
        <w:t>十二</w:t>
      </w:r>
      <w:r>
        <w:rPr>
          <w:rFonts w:hint="eastAsia" w:asciiTheme="minorEastAsia" w:hAnsiTheme="minorEastAsia"/>
          <w:bCs/>
          <w:color w:val="000000" w:themeColor="text1"/>
          <w:sz w:val="44"/>
          <w:szCs w:val="44"/>
        </w:rPr>
        <w:t>月</w:t>
      </w:r>
    </w:p>
    <w:p w14:paraId="1A40EAB3">
      <w:pPr>
        <w:rPr>
          <w:rStyle w:val="52"/>
          <w:rFonts w:asciiTheme="minorEastAsia" w:hAnsiTheme="minorEastAsia"/>
          <w:bCs/>
          <w:color w:val="000000" w:themeColor="text1"/>
          <w:sz w:val="48"/>
          <w:u w:val="none"/>
        </w:rPr>
      </w:pPr>
    </w:p>
    <w:p w14:paraId="5E1DF6C9">
      <w:pPr>
        <w:jc w:val="center"/>
        <w:rPr>
          <w:rStyle w:val="52"/>
          <w:rFonts w:asciiTheme="minorEastAsia" w:hAnsiTheme="minorEastAsia"/>
          <w:bCs/>
          <w:color w:val="000000" w:themeColor="text1"/>
          <w:sz w:val="48"/>
          <w:u w:val="none"/>
        </w:rPr>
      </w:pPr>
    </w:p>
    <w:p w14:paraId="30FCDD3F">
      <w:pPr>
        <w:pStyle w:val="388"/>
        <w:ind w:firstLine="0"/>
        <w:jc w:val="center"/>
        <w:rPr>
          <w:rFonts w:ascii="黑体" w:hAnsi="黑体" w:eastAsia="黑体"/>
          <w:sz w:val="36"/>
          <w:szCs w:val="36"/>
        </w:rPr>
      </w:pPr>
      <w:r>
        <w:rPr>
          <w:rFonts w:hint="eastAsia" w:ascii="黑体" w:hAnsi="黑体" w:eastAsia="黑体"/>
          <w:sz w:val="36"/>
          <w:szCs w:val="36"/>
        </w:rPr>
        <w:t>总  目  录</w:t>
      </w:r>
    </w:p>
    <w:p w14:paraId="4C9204DC">
      <w:pPr>
        <w:spacing w:line="480" w:lineRule="auto"/>
        <w:jc w:val="center"/>
        <w:outlineLvl w:val="0"/>
        <w:rPr>
          <w:rFonts w:ascii="黑体" w:hAnsi="Arial" w:eastAsia="黑体"/>
          <w:sz w:val="44"/>
        </w:rPr>
      </w:pPr>
    </w:p>
    <w:p w14:paraId="5270DF43">
      <w:pPr>
        <w:numPr>
          <w:ilvl w:val="0"/>
          <w:numId w:val="5"/>
        </w:numPr>
        <w:spacing w:line="720" w:lineRule="auto"/>
        <w:outlineLvl w:val="0"/>
        <w:rPr>
          <w:rFonts w:ascii="宋体" w:hAnsi="宋体"/>
          <w:sz w:val="30"/>
          <w:szCs w:val="30"/>
        </w:rPr>
      </w:pPr>
      <w:r>
        <w:rPr>
          <w:rFonts w:hint="eastAsia" w:ascii="宋体" w:hAnsi="宋体"/>
          <w:sz w:val="30"/>
          <w:szCs w:val="30"/>
        </w:rPr>
        <w:t>投标邀请</w:t>
      </w:r>
    </w:p>
    <w:p w14:paraId="45F660A6">
      <w:pPr>
        <w:numPr>
          <w:ilvl w:val="0"/>
          <w:numId w:val="5"/>
        </w:numPr>
        <w:spacing w:line="720" w:lineRule="auto"/>
        <w:outlineLvl w:val="0"/>
        <w:rPr>
          <w:rFonts w:ascii="宋体" w:hAnsi="宋体"/>
          <w:sz w:val="30"/>
          <w:szCs w:val="30"/>
        </w:rPr>
      </w:pPr>
      <w:r>
        <w:rPr>
          <w:rFonts w:hint="eastAsia" w:ascii="宋体" w:hAnsi="宋体"/>
          <w:sz w:val="30"/>
          <w:szCs w:val="30"/>
        </w:rPr>
        <w:t>投标人须知</w:t>
      </w:r>
    </w:p>
    <w:p w14:paraId="2BFAAC3F">
      <w:pPr>
        <w:numPr>
          <w:ilvl w:val="0"/>
          <w:numId w:val="5"/>
        </w:numPr>
        <w:spacing w:line="720" w:lineRule="auto"/>
        <w:outlineLvl w:val="0"/>
        <w:rPr>
          <w:rFonts w:ascii="宋体" w:hAnsi="宋体"/>
          <w:sz w:val="30"/>
          <w:szCs w:val="30"/>
        </w:rPr>
      </w:pPr>
      <w:r>
        <w:rPr>
          <w:rFonts w:hint="eastAsia" w:ascii="宋体" w:hAnsi="宋体"/>
          <w:sz w:val="30"/>
          <w:szCs w:val="30"/>
        </w:rPr>
        <w:t>合同文本</w:t>
      </w:r>
    </w:p>
    <w:p w14:paraId="5CA9F22E">
      <w:pPr>
        <w:numPr>
          <w:ilvl w:val="0"/>
          <w:numId w:val="5"/>
        </w:numPr>
        <w:spacing w:line="720" w:lineRule="auto"/>
        <w:outlineLvl w:val="0"/>
        <w:rPr>
          <w:rFonts w:ascii="宋体" w:hAnsi="宋体"/>
          <w:sz w:val="30"/>
          <w:szCs w:val="30"/>
        </w:rPr>
      </w:pPr>
      <w:r>
        <w:rPr>
          <w:rFonts w:hint="eastAsia" w:ascii="宋体" w:hAnsi="宋体"/>
          <w:sz w:val="30"/>
          <w:szCs w:val="30"/>
        </w:rPr>
        <w:t>采购需求</w:t>
      </w:r>
    </w:p>
    <w:p w14:paraId="36A3713D">
      <w:pPr>
        <w:numPr>
          <w:ilvl w:val="0"/>
          <w:numId w:val="5"/>
        </w:numPr>
        <w:spacing w:line="720" w:lineRule="auto"/>
        <w:outlineLvl w:val="0"/>
        <w:rPr>
          <w:rFonts w:ascii="宋体" w:hAnsi="宋体"/>
          <w:sz w:val="30"/>
          <w:szCs w:val="30"/>
        </w:rPr>
      </w:pPr>
      <w:r>
        <w:rPr>
          <w:rFonts w:hint="eastAsia" w:ascii="宋体" w:hAnsi="宋体"/>
          <w:sz w:val="30"/>
          <w:szCs w:val="30"/>
        </w:rPr>
        <w:t>评标方法与评标标准</w:t>
      </w:r>
    </w:p>
    <w:p w14:paraId="6035BC6C">
      <w:pPr>
        <w:numPr>
          <w:ilvl w:val="0"/>
          <w:numId w:val="5"/>
        </w:numPr>
        <w:spacing w:line="720" w:lineRule="auto"/>
        <w:outlineLvl w:val="0"/>
        <w:rPr>
          <w:rFonts w:ascii="宋体" w:hAnsi="宋体"/>
          <w:sz w:val="30"/>
          <w:szCs w:val="30"/>
        </w:rPr>
      </w:pPr>
      <w:r>
        <w:rPr>
          <w:rFonts w:hint="eastAsia" w:ascii="宋体" w:hAnsi="宋体"/>
          <w:sz w:val="30"/>
          <w:szCs w:val="30"/>
        </w:rPr>
        <w:t>投标文件内容与格式</w:t>
      </w:r>
    </w:p>
    <w:p w14:paraId="314AB6A8">
      <w:pPr>
        <w:spacing w:line="720" w:lineRule="auto"/>
        <w:rPr>
          <w:rFonts w:asciiTheme="minorEastAsia" w:hAnsiTheme="minorEastAsia"/>
          <w:bCs/>
          <w:color w:val="000000" w:themeColor="text1"/>
          <w:sz w:val="28"/>
          <w:szCs w:val="28"/>
        </w:rPr>
      </w:pPr>
    </w:p>
    <w:p w14:paraId="14470F36">
      <w:pPr>
        <w:rPr>
          <w:rFonts w:asciiTheme="minorEastAsia" w:hAnsiTheme="minorEastAsia"/>
          <w:bCs/>
          <w:color w:val="000000" w:themeColor="text1"/>
          <w:sz w:val="32"/>
        </w:rPr>
      </w:pPr>
    </w:p>
    <w:p w14:paraId="4E905906">
      <w:pPr>
        <w:rPr>
          <w:rFonts w:asciiTheme="minorEastAsia" w:hAnsiTheme="minorEastAsia"/>
          <w:bCs/>
          <w:color w:val="000000" w:themeColor="text1"/>
          <w:sz w:val="32"/>
        </w:rPr>
      </w:pPr>
    </w:p>
    <w:p w14:paraId="30424915">
      <w:pPr>
        <w:rPr>
          <w:rFonts w:asciiTheme="minorEastAsia" w:hAnsiTheme="minorEastAsia"/>
          <w:bCs/>
          <w:color w:val="000000" w:themeColor="text1"/>
          <w:sz w:val="32"/>
        </w:rPr>
      </w:pPr>
    </w:p>
    <w:p w14:paraId="291E8A2F">
      <w:pPr>
        <w:rPr>
          <w:rFonts w:asciiTheme="minorEastAsia" w:hAnsiTheme="minorEastAsia"/>
          <w:bCs/>
          <w:color w:val="000000" w:themeColor="text1"/>
          <w:sz w:val="32"/>
        </w:rPr>
      </w:pPr>
    </w:p>
    <w:p w14:paraId="4ED4D0AE">
      <w:pPr>
        <w:rPr>
          <w:rFonts w:asciiTheme="minorEastAsia" w:hAnsiTheme="minorEastAsia"/>
          <w:bCs/>
          <w:color w:val="000000" w:themeColor="text1"/>
          <w:sz w:val="32"/>
        </w:rPr>
      </w:pPr>
    </w:p>
    <w:p w14:paraId="2154D68D">
      <w:pPr>
        <w:rPr>
          <w:rFonts w:asciiTheme="minorEastAsia" w:hAnsiTheme="minorEastAsia"/>
          <w:bCs/>
          <w:color w:val="000000" w:themeColor="text1"/>
          <w:sz w:val="32"/>
        </w:rPr>
      </w:pPr>
    </w:p>
    <w:p w14:paraId="47A161E0">
      <w:pPr>
        <w:spacing w:line="360" w:lineRule="auto"/>
        <w:rPr>
          <w:rFonts w:asciiTheme="minorEastAsia" w:hAnsiTheme="minorEastAsia"/>
          <w:b/>
          <w:bCs/>
          <w:color w:val="000000" w:themeColor="text1"/>
          <w:sz w:val="28"/>
          <w:szCs w:val="28"/>
        </w:rPr>
      </w:pPr>
      <w:bookmarkStart w:id="0" w:name="报价方须知前附表"/>
      <w:bookmarkEnd w:id="0"/>
    </w:p>
    <w:p w14:paraId="26D48CF1">
      <w:pPr>
        <w:spacing w:line="360" w:lineRule="auto"/>
        <w:rPr>
          <w:rFonts w:asciiTheme="minorEastAsia" w:hAnsiTheme="minorEastAsia"/>
          <w:b/>
          <w:bCs/>
          <w:color w:val="000000" w:themeColor="text1"/>
          <w:sz w:val="28"/>
          <w:szCs w:val="28"/>
        </w:rPr>
      </w:pPr>
    </w:p>
    <w:p w14:paraId="1EFC3760">
      <w:pPr>
        <w:spacing w:line="360" w:lineRule="auto"/>
        <w:jc w:val="center"/>
        <w:rPr>
          <w:rFonts w:asciiTheme="minorEastAsia" w:hAnsiTheme="minorEastAsia"/>
          <w:b/>
          <w:bCs/>
          <w:color w:val="000000" w:themeColor="text1"/>
          <w:sz w:val="28"/>
          <w:szCs w:val="28"/>
        </w:rPr>
      </w:pPr>
      <w:r>
        <w:rPr>
          <w:rFonts w:hint="eastAsia" w:asciiTheme="minorEastAsia" w:hAnsiTheme="minorEastAsia"/>
          <w:b/>
          <w:bCs/>
          <w:color w:val="000000" w:themeColor="text1"/>
          <w:sz w:val="28"/>
          <w:szCs w:val="28"/>
        </w:rPr>
        <w:t>一．投标邀请函</w:t>
      </w:r>
    </w:p>
    <w:p w14:paraId="1BBE2BAE">
      <w:pPr>
        <w:spacing w:line="360" w:lineRule="auto"/>
        <w:ind w:firstLine="480" w:firstLineChars="200"/>
        <w:rPr>
          <w:rFonts w:asciiTheme="minorEastAsia" w:hAnsiTheme="minorEastAsia"/>
          <w:bCs/>
          <w:color w:val="000000"/>
          <w:sz w:val="24"/>
          <w:szCs w:val="24"/>
        </w:rPr>
      </w:pPr>
      <w:r>
        <w:rPr>
          <w:rFonts w:hint="eastAsia" w:asciiTheme="minorEastAsia" w:hAnsiTheme="minorEastAsia"/>
          <w:bCs/>
          <w:color w:val="000000"/>
          <w:sz w:val="24"/>
          <w:szCs w:val="24"/>
        </w:rPr>
        <w:t>我中心受</w:t>
      </w:r>
      <w:r>
        <w:rPr>
          <w:rFonts w:hint="eastAsia" w:cs="宋体" w:asciiTheme="minorEastAsia" w:hAnsiTheme="minorEastAsia"/>
          <w:sz w:val="24"/>
        </w:rPr>
        <w:t>无锡市公安局滨湖分局</w:t>
      </w:r>
      <w:r>
        <w:rPr>
          <w:rFonts w:hint="eastAsia" w:asciiTheme="minorEastAsia" w:hAnsiTheme="minorEastAsia"/>
          <w:bCs/>
          <w:color w:val="000000"/>
          <w:sz w:val="24"/>
          <w:szCs w:val="24"/>
        </w:rPr>
        <w:t>的委托，对</w:t>
      </w:r>
      <w:r>
        <w:rPr>
          <w:rFonts w:hint="eastAsia" w:cs="宋体" w:asciiTheme="minorEastAsia" w:hAnsiTheme="minorEastAsia"/>
          <w:sz w:val="24"/>
        </w:rPr>
        <w:t>无锡市公安局滨湖分局2025年物业管理服务</w:t>
      </w:r>
      <w:r>
        <w:rPr>
          <w:rFonts w:hint="eastAsia" w:cs="宋体" w:asciiTheme="minorEastAsia" w:hAnsiTheme="minorEastAsia"/>
          <w:sz w:val="24"/>
          <w:lang w:val="en-US" w:eastAsia="zh-CN"/>
        </w:rPr>
        <w:t>项目</w:t>
      </w:r>
      <w:r>
        <w:rPr>
          <w:rFonts w:hint="eastAsia" w:asciiTheme="minorEastAsia" w:hAnsiTheme="minorEastAsia"/>
          <w:bCs/>
          <w:color w:val="000000"/>
          <w:sz w:val="24"/>
          <w:szCs w:val="24"/>
        </w:rPr>
        <w:t>进行</w:t>
      </w:r>
      <w:r>
        <w:rPr>
          <w:rFonts w:hint="eastAsia" w:asciiTheme="minorEastAsia" w:hAnsiTheme="minorEastAsia"/>
          <w:bCs/>
          <w:color w:val="000000" w:themeColor="text1"/>
          <w:sz w:val="24"/>
          <w:szCs w:val="24"/>
        </w:rPr>
        <w:t>公开招标采购</w:t>
      </w:r>
      <w:r>
        <w:rPr>
          <w:rFonts w:hint="eastAsia" w:asciiTheme="minorEastAsia" w:hAnsiTheme="minorEastAsia"/>
          <w:bCs/>
          <w:color w:val="000000"/>
          <w:sz w:val="24"/>
          <w:szCs w:val="24"/>
        </w:rPr>
        <w:t>，欢迎符合相关条件的供应商参加投标。</w:t>
      </w:r>
    </w:p>
    <w:p w14:paraId="1C3DB047">
      <w:pPr>
        <w:pBdr>
          <w:top w:val="single" w:color="000000" w:sz="4" w:space="1"/>
          <w:left w:val="single" w:color="000000" w:sz="4" w:space="4"/>
          <w:bottom w:val="single" w:color="000000" w:sz="4" w:space="1"/>
          <w:right w:val="single" w:color="000000" w:sz="4" w:space="4"/>
        </w:pBdr>
        <w:spacing w:line="500" w:lineRule="exact"/>
        <w:ind w:firstLine="480"/>
        <w:rPr>
          <w:rFonts w:ascii="宋体" w:hAnsi="宋体"/>
          <w:sz w:val="24"/>
          <w:szCs w:val="24"/>
          <w:shd w:val="clear" w:color="FFFFFF" w:fill="D9D9D9"/>
        </w:rPr>
      </w:pPr>
      <w:r>
        <w:rPr>
          <w:rFonts w:hint="eastAsia" w:ascii="宋体" w:hAnsi="宋体"/>
          <w:sz w:val="24"/>
          <w:szCs w:val="24"/>
        </w:rPr>
        <w:t>项目概况</w:t>
      </w:r>
    </w:p>
    <w:p w14:paraId="3858CBC7">
      <w:pPr>
        <w:pBdr>
          <w:top w:val="single" w:color="000000" w:sz="4" w:space="1"/>
          <w:left w:val="single" w:color="000000" w:sz="4" w:space="4"/>
          <w:bottom w:val="single" w:color="000000" w:sz="4" w:space="1"/>
          <w:right w:val="single" w:color="000000" w:sz="4" w:space="4"/>
        </w:pBdr>
        <w:spacing w:line="500" w:lineRule="exact"/>
        <w:ind w:firstLine="480"/>
        <w:rPr>
          <w:rFonts w:ascii="宋体" w:hAnsi="宋体"/>
          <w:sz w:val="24"/>
          <w:szCs w:val="24"/>
          <w:shd w:val="clear" w:color="FFFFFF" w:fill="D9D9D9"/>
        </w:rPr>
      </w:pPr>
      <w:r>
        <w:rPr>
          <w:rFonts w:hint="eastAsia" w:cs="宋体" w:asciiTheme="minorEastAsia" w:hAnsiTheme="minorEastAsia"/>
          <w:sz w:val="24"/>
        </w:rPr>
        <w:t>无锡市公安局滨湖分局2025年物业管理服务</w:t>
      </w:r>
      <w:r>
        <w:rPr>
          <w:rFonts w:hint="eastAsia" w:cs="宋体" w:asciiTheme="minorEastAsia" w:hAnsiTheme="minorEastAsia"/>
          <w:sz w:val="24"/>
          <w:lang w:val="en-US" w:eastAsia="zh-CN"/>
        </w:rPr>
        <w:t>项目</w:t>
      </w:r>
      <w:r>
        <w:rPr>
          <w:rFonts w:hint="eastAsia" w:ascii="宋体" w:hAnsi="宋体"/>
          <w:sz w:val="24"/>
          <w:szCs w:val="24"/>
        </w:rPr>
        <w:t>的潜在投标人应在“无锡政府采购网”“江苏政府采购网”自行浏览招标文件，如有投标意向须在本招标文件有效获取期内通过登录</w:t>
      </w:r>
      <w:r>
        <w:rPr>
          <w:rFonts w:ascii="宋体" w:hAnsi="宋体"/>
          <w:sz w:val="24"/>
          <w:szCs w:val="24"/>
        </w:rPr>
        <w:t>“江苏省政府采购（苏采云）平台”</w:t>
      </w:r>
      <w:r>
        <w:rPr>
          <w:rFonts w:hint="eastAsia" w:ascii="宋体" w:hAnsi="宋体"/>
          <w:sz w:val="24"/>
          <w:szCs w:val="24"/>
        </w:rPr>
        <w:t>下载的方式依法获取招标文件，并于</w:t>
      </w:r>
      <w:r>
        <w:rPr>
          <w:rFonts w:hint="eastAsia" w:ascii="宋体" w:hAnsi="宋体"/>
          <w:b/>
          <w:bCs/>
          <w:color w:val="0000FF"/>
          <w:sz w:val="24"/>
          <w:szCs w:val="24"/>
        </w:rPr>
        <w:t>2024年</w:t>
      </w:r>
      <w:r>
        <w:rPr>
          <w:rFonts w:hint="eastAsia" w:ascii="宋体" w:hAnsi="宋体"/>
          <w:b/>
          <w:bCs/>
          <w:color w:val="0000FF"/>
          <w:sz w:val="24"/>
          <w:szCs w:val="24"/>
          <w:lang w:val="en-US" w:eastAsia="zh-CN"/>
        </w:rPr>
        <w:t>12</w:t>
      </w:r>
      <w:r>
        <w:rPr>
          <w:rFonts w:hint="eastAsia" w:ascii="宋体" w:hAnsi="宋体"/>
          <w:b/>
          <w:bCs/>
          <w:color w:val="0000FF"/>
          <w:sz w:val="24"/>
          <w:szCs w:val="24"/>
        </w:rPr>
        <w:t>月</w:t>
      </w:r>
      <w:r>
        <w:rPr>
          <w:rFonts w:hint="eastAsia" w:ascii="宋体" w:hAnsi="宋体"/>
          <w:b/>
          <w:bCs/>
          <w:color w:val="0000FF"/>
          <w:sz w:val="24"/>
          <w:szCs w:val="24"/>
          <w:lang w:val="en-US" w:eastAsia="zh-CN"/>
        </w:rPr>
        <w:t>3</w:t>
      </w:r>
      <w:r>
        <w:rPr>
          <w:rFonts w:hint="eastAsia" w:ascii="宋体" w:hAnsi="宋体"/>
          <w:b/>
          <w:bCs/>
          <w:color w:val="0000FF"/>
          <w:sz w:val="24"/>
          <w:szCs w:val="24"/>
        </w:rPr>
        <w:t>0日</w:t>
      </w:r>
      <w:r>
        <w:rPr>
          <w:rFonts w:hint="eastAsia" w:ascii="宋体" w:hAnsi="宋体"/>
          <w:b/>
          <w:bCs/>
          <w:color w:val="0000FF"/>
          <w:sz w:val="24"/>
          <w:szCs w:val="24"/>
          <w:lang w:val="en-US" w:eastAsia="zh-CN"/>
        </w:rPr>
        <w:t>13</w:t>
      </w:r>
      <w:r>
        <w:rPr>
          <w:rFonts w:hint="eastAsia" w:ascii="宋体" w:hAnsi="宋体"/>
          <w:b/>
          <w:bCs/>
          <w:color w:val="0000FF"/>
          <w:sz w:val="24"/>
          <w:szCs w:val="24"/>
        </w:rPr>
        <w:t>点30分</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14:paraId="1B8305FA">
      <w:pPr>
        <w:spacing w:line="360" w:lineRule="auto"/>
        <w:ind w:firstLine="240" w:firstLineChars="100"/>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（一）</w:t>
      </w:r>
      <w:r>
        <w:rPr>
          <w:rFonts w:hint="eastAsia" w:cs="宋体" w:asciiTheme="minorEastAsia" w:hAnsiTheme="minorEastAsia"/>
          <w:b/>
          <w:color w:val="000000" w:themeColor="text1"/>
          <w:kern w:val="0"/>
          <w:sz w:val="24"/>
          <w:szCs w:val="24"/>
        </w:rPr>
        <w:t>招标项目信息</w:t>
      </w:r>
    </w:p>
    <w:p w14:paraId="792E1BC6">
      <w:pPr>
        <w:widowControl/>
        <w:shd w:val="clear" w:color="auto" w:fill="FFFFFF"/>
        <w:spacing w:line="360" w:lineRule="auto"/>
        <w:ind w:firstLine="480" w:firstLineChars="200"/>
        <w:jc w:val="left"/>
        <w:rPr>
          <w:rFonts w:hint="eastAsia" w:cs="宋体" w:asciiTheme="minorEastAsia" w:hAnsiTheme="minorEastAsia"/>
          <w:sz w:val="24"/>
          <w:lang w:val="en-US" w:eastAsia="zh-CN"/>
        </w:rPr>
      </w:pPr>
      <w:r>
        <w:rPr>
          <w:rFonts w:hint="eastAsia" w:cs="宋体" w:asciiTheme="minorEastAsia" w:hAnsiTheme="minorEastAsia"/>
          <w:color w:val="000000" w:themeColor="text1"/>
          <w:kern w:val="0"/>
          <w:sz w:val="24"/>
          <w:szCs w:val="24"/>
        </w:rPr>
        <w:t>1.项目名称：</w:t>
      </w:r>
      <w:r>
        <w:rPr>
          <w:rFonts w:hint="eastAsia" w:cs="宋体" w:asciiTheme="minorEastAsia" w:hAnsiTheme="minorEastAsia"/>
          <w:sz w:val="24"/>
        </w:rPr>
        <w:t>无锡市公安局滨湖分局2025年物业管理服务</w:t>
      </w:r>
      <w:r>
        <w:rPr>
          <w:rFonts w:hint="eastAsia" w:cs="宋体" w:asciiTheme="minorEastAsia" w:hAnsiTheme="minorEastAsia"/>
          <w:sz w:val="24"/>
          <w:lang w:val="en-US" w:eastAsia="zh-CN"/>
        </w:rPr>
        <w:t>项目</w:t>
      </w:r>
    </w:p>
    <w:p w14:paraId="0DF64174">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2.项目编号：JSZC-320211-JZCG-G2024-0077</w:t>
      </w:r>
    </w:p>
    <w:p w14:paraId="5CEBD5D0">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r>
        <w:rPr>
          <w:rFonts w:cs="宋体" w:asciiTheme="minorEastAsia" w:hAnsiTheme="minorEastAsia"/>
          <w:color w:val="000000" w:themeColor="text1"/>
          <w:kern w:val="0"/>
          <w:sz w:val="24"/>
          <w:szCs w:val="24"/>
        </w:rPr>
        <w:t>项目</w:t>
      </w:r>
      <w:r>
        <w:rPr>
          <w:rFonts w:hint="eastAsia" w:cs="宋体" w:asciiTheme="minorEastAsia" w:hAnsiTheme="minorEastAsia"/>
          <w:color w:val="000000" w:themeColor="text1"/>
          <w:kern w:val="0"/>
          <w:sz w:val="24"/>
          <w:szCs w:val="24"/>
        </w:rPr>
        <w:t>预算金额：</w:t>
      </w:r>
      <w:r>
        <w:rPr>
          <w:rFonts w:hint="eastAsia" w:cs="宋体" w:asciiTheme="minorEastAsia" w:hAnsiTheme="minorEastAsia"/>
          <w:color w:val="000000" w:themeColor="text1"/>
          <w:kern w:val="0"/>
          <w:sz w:val="24"/>
          <w:szCs w:val="24"/>
          <w:lang w:val="en-US" w:eastAsia="zh-CN"/>
        </w:rPr>
        <w:t>190</w:t>
      </w:r>
      <w:r>
        <w:rPr>
          <w:rFonts w:hint="eastAsia" w:cs="宋体" w:asciiTheme="minorEastAsia" w:hAnsiTheme="minorEastAsia"/>
          <w:color w:val="000000" w:themeColor="text1"/>
          <w:kern w:val="0"/>
          <w:sz w:val="24"/>
          <w:szCs w:val="24"/>
        </w:rPr>
        <w:t>万元；</w:t>
      </w:r>
    </w:p>
    <w:p w14:paraId="529C79FB">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4.项目</w:t>
      </w:r>
      <w:r>
        <w:rPr>
          <w:rFonts w:hint="eastAsia" w:asciiTheme="minorEastAsia" w:hAnsiTheme="minorEastAsia"/>
          <w:color w:val="000000"/>
          <w:sz w:val="24"/>
          <w:szCs w:val="24"/>
        </w:rPr>
        <w:t>最高限价：181</w:t>
      </w:r>
      <w:r>
        <w:rPr>
          <w:rFonts w:hint="eastAsia" w:asciiTheme="minorEastAsia" w:hAnsiTheme="minorEastAsia"/>
          <w:color w:val="000000"/>
          <w:sz w:val="24"/>
          <w:szCs w:val="24"/>
          <w:lang w:val="en-US" w:eastAsia="zh-CN"/>
        </w:rPr>
        <w:t>.</w:t>
      </w:r>
      <w:r>
        <w:rPr>
          <w:rFonts w:hint="eastAsia" w:asciiTheme="minorEastAsia" w:hAnsiTheme="minorEastAsia"/>
          <w:color w:val="000000"/>
          <w:sz w:val="24"/>
          <w:szCs w:val="24"/>
        </w:rPr>
        <w:t>93577</w:t>
      </w:r>
      <w:r>
        <w:rPr>
          <w:rFonts w:hint="eastAsia" w:cs="宋体" w:asciiTheme="minorEastAsia" w:hAnsiTheme="minorEastAsia"/>
          <w:color w:val="000000" w:themeColor="text1"/>
          <w:kern w:val="0"/>
          <w:sz w:val="24"/>
          <w:szCs w:val="24"/>
        </w:rPr>
        <w:t>万</w:t>
      </w:r>
      <w:r>
        <w:rPr>
          <w:rFonts w:hint="eastAsia" w:asciiTheme="minorEastAsia" w:hAnsiTheme="minorEastAsia"/>
          <w:color w:val="000000"/>
          <w:sz w:val="24"/>
          <w:szCs w:val="24"/>
        </w:rPr>
        <w:t>元。</w:t>
      </w:r>
    </w:p>
    <w:p w14:paraId="4D75057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5.采购需求：</w:t>
      </w:r>
      <w:r>
        <w:rPr>
          <w:rFonts w:hint="eastAsia" w:ascii="宋体" w:hAnsi="宋体" w:cs="宋体"/>
          <w:sz w:val="24"/>
          <w:szCs w:val="24"/>
        </w:rPr>
        <w:t>详见招标文件</w:t>
      </w:r>
      <w:r>
        <w:rPr>
          <w:rFonts w:hint="eastAsia" w:ascii="宋体" w:hAnsi="宋体" w:cs="宋体"/>
          <w:b/>
          <w:bCs/>
          <w:sz w:val="24"/>
          <w:szCs w:val="24"/>
        </w:rPr>
        <w:t>第四章《采购需求》</w:t>
      </w:r>
      <w:r>
        <w:rPr>
          <w:rFonts w:hint="eastAsia" w:asciiTheme="minorEastAsia" w:hAnsiTheme="minorEastAsia"/>
          <w:sz w:val="24"/>
        </w:rPr>
        <w:t>；</w:t>
      </w:r>
    </w:p>
    <w:p w14:paraId="1DBAFFB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w:t>
      </w:r>
      <w:r>
        <w:rPr>
          <w:rFonts w:hint="eastAsia" w:asciiTheme="minorEastAsia" w:hAnsiTheme="minorEastAsia"/>
          <w:color w:val="000000"/>
          <w:sz w:val="24"/>
          <w:szCs w:val="24"/>
        </w:rPr>
        <w:t xml:space="preserve"> 合同履行期限：</w:t>
      </w:r>
      <w:r>
        <w:rPr>
          <w:rFonts w:hint="eastAsia" w:ascii="宋体" w:hAnsi="宋体" w:cs="宋体"/>
          <w:sz w:val="24"/>
          <w:szCs w:val="24"/>
        </w:rPr>
        <w:t>详见招标文件第四章</w:t>
      </w:r>
      <w:r>
        <w:rPr>
          <w:rFonts w:hint="eastAsia" w:ascii="宋体" w:hAnsi="宋体" w:cs="宋体"/>
          <w:b/>
          <w:bCs/>
          <w:sz w:val="24"/>
          <w:szCs w:val="24"/>
        </w:rPr>
        <w:t>《采购需求》</w:t>
      </w:r>
      <w:r>
        <w:rPr>
          <w:rFonts w:hint="eastAsia" w:cs="宋体" w:asciiTheme="minorEastAsia" w:hAnsiTheme="minorEastAsia"/>
          <w:color w:val="000000" w:themeColor="text1"/>
          <w:kern w:val="0"/>
          <w:sz w:val="24"/>
          <w:szCs w:val="24"/>
        </w:rPr>
        <w:t>；</w:t>
      </w:r>
    </w:p>
    <w:p w14:paraId="460DF7D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 本项目是否专门面向中小微企业：</w:t>
      </w:r>
      <w:r>
        <w:rPr>
          <w:rFonts w:hint="eastAsia" w:cs="宋体" w:asciiTheme="minorEastAsia" w:hAnsiTheme="minorEastAsia"/>
          <w:b/>
          <w:color w:val="000000" w:themeColor="text1"/>
          <w:kern w:val="0"/>
          <w:sz w:val="24"/>
          <w:szCs w:val="24"/>
        </w:rPr>
        <w:t>是</w:t>
      </w:r>
      <w:r>
        <w:rPr>
          <w:rFonts w:hint="eastAsia" w:cs="宋体" w:asciiTheme="minorEastAsia" w:hAnsiTheme="minorEastAsia"/>
          <w:color w:val="000000" w:themeColor="text1"/>
          <w:kern w:val="0"/>
          <w:sz w:val="24"/>
          <w:szCs w:val="24"/>
        </w:rPr>
        <w:t>；</w:t>
      </w:r>
    </w:p>
    <w:p w14:paraId="38F747DF">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8. 本项目的所属行业：</w:t>
      </w:r>
      <w:r>
        <w:rPr>
          <w:rFonts w:hint="eastAsia" w:cs="宋体" w:asciiTheme="minorEastAsia" w:hAnsiTheme="minorEastAsia"/>
          <w:sz w:val="24"/>
        </w:rPr>
        <w:t>物业管理</w:t>
      </w:r>
      <w:r>
        <w:rPr>
          <w:rFonts w:hint="eastAsia" w:cs="宋体" w:asciiTheme="minorEastAsia" w:hAnsiTheme="minorEastAsia"/>
          <w:color w:val="000000" w:themeColor="text1"/>
          <w:kern w:val="0"/>
          <w:sz w:val="24"/>
          <w:szCs w:val="24"/>
        </w:rPr>
        <w:t>。</w:t>
      </w:r>
    </w:p>
    <w:p w14:paraId="26EB661C">
      <w:pPr>
        <w:widowControl/>
        <w:shd w:val="clear" w:color="auto" w:fill="FFFFFF"/>
        <w:spacing w:line="360" w:lineRule="auto"/>
        <w:ind w:firstLine="480" w:firstLineChars="200"/>
        <w:jc w:val="left"/>
        <w:rPr>
          <w:rFonts w:asciiTheme="minorEastAsia" w:hAnsiTheme="minorEastAsia"/>
        </w:rPr>
      </w:pPr>
      <w:r>
        <w:rPr>
          <w:rFonts w:hint="eastAsia" w:cs="宋体" w:asciiTheme="minorEastAsia" w:hAnsiTheme="minorEastAsia"/>
          <w:color w:val="000000" w:themeColor="text1"/>
          <w:kern w:val="0"/>
          <w:sz w:val="24"/>
          <w:szCs w:val="24"/>
        </w:rPr>
        <w:t>9. 本项目</w:t>
      </w:r>
      <w:r>
        <w:rPr>
          <w:rFonts w:hint="eastAsia" w:cs="宋体" w:asciiTheme="minorEastAsia" w:hAnsiTheme="minorEastAsia"/>
          <w:b/>
          <w:bCs/>
          <w:color w:val="000000" w:themeColor="text1"/>
          <w:kern w:val="0"/>
          <w:sz w:val="24"/>
          <w:szCs w:val="24"/>
          <w:u w:val="single"/>
        </w:rPr>
        <w:t xml:space="preserve">不接受 </w:t>
      </w:r>
      <w:r>
        <w:rPr>
          <w:rFonts w:hint="eastAsia" w:cs="宋体" w:asciiTheme="minorEastAsia" w:hAnsiTheme="minorEastAsia"/>
          <w:color w:val="000000" w:themeColor="text1"/>
          <w:kern w:val="0"/>
          <w:sz w:val="24"/>
          <w:szCs w:val="24"/>
        </w:rPr>
        <w:t>联合投标。</w:t>
      </w:r>
    </w:p>
    <w:p w14:paraId="26A8B34F">
      <w:pPr>
        <w:widowControl/>
        <w:shd w:val="clear" w:color="auto" w:fill="FFFFFF"/>
        <w:spacing w:line="360" w:lineRule="auto"/>
        <w:ind w:firstLine="480" w:firstLineChars="200"/>
        <w:jc w:val="left"/>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（二）投标人资格要求</w:t>
      </w:r>
    </w:p>
    <w:p w14:paraId="2CB367A8">
      <w:pPr>
        <w:spacing w:line="500" w:lineRule="exact"/>
        <w:ind w:firstLine="480"/>
        <w:rPr>
          <w:rFonts w:ascii="宋体" w:hAnsi="宋体"/>
          <w:sz w:val="24"/>
          <w:szCs w:val="24"/>
        </w:rPr>
      </w:pPr>
      <w:r>
        <w:rPr>
          <w:rFonts w:hint="eastAsia" w:ascii="宋体" w:hAnsi="宋体"/>
          <w:sz w:val="24"/>
          <w:szCs w:val="24"/>
        </w:rPr>
        <w:t>1.满足《中华人民共和国政府采购法》第二十二条规定；</w:t>
      </w:r>
    </w:p>
    <w:p w14:paraId="3ABE3584">
      <w:pPr>
        <w:spacing w:line="500" w:lineRule="exact"/>
        <w:ind w:firstLine="480"/>
        <w:rPr>
          <w:rFonts w:ascii="宋体" w:hAnsi="宋体"/>
          <w:sz w:val="24"/>
          <w:szCs w:val="24"/>
        </w:rPr>
      </w:pPr>
      <w:r>
        <w:rPr>
          <w:rFonts w:hint="eastAsia" w:ascii="宋体" w:hAnsi="宋体"/>
          <w:sz w:val="24"/>
          <w:szCs w:val="24"/>
        </w:rPr>
        <w:t>2.落实政府采购政策需满足的资格要求：</w:t>
      </w:r>
    </w:p>
    <w:p w14:paraId="0B5E4CFA">
      <w:pPr>
        <w:spacing w:line="500" w:lineRule="exact"/>
        <w:ind w:firstLine="480"/>
        <w:rPr>
          <w:rFonts w:ascii="宋体" w:hAnsi="宋体"/>
          <w:sz w:val="24"/>
          <w:szCs w:val="24"/>
        </w:rPr>
      </w:pPr>
      <w:r>
        <w:rPr>
          <w:rFonts w:hint="eastAsia" w:ascii="宋体" w:hAnsi="宋体"/>
          <w:sz w:val="24"/>
          <w:szCs w:val="24"/>
        </w:rPr>
        <w:t>2.1中小企业政策：本项目专门面向中小企业，资格证明文件中必须提交《中小企业声明函》或《监狱企业证明文件》或《残疾人福利性单位声明函》；</w:t>
      </w:r>
    </w:p>
    <w:p w14:paraId="6BD375E2">
      <w:pPr>
        <w:spacing w:line="500" w:lineRule="exact"/>
        <w:ind w:firstLine="480"/>
        <w:rPr>
          <w:rFonts w:ascii="宋体" w:hAnsi="宋体"/>
          <w:sz w:val="24"/>
          <w:szCs w:val="24"/>
        </w:rPr>
      </w:pPr>
      <w:r>
        <w:rPr>
          <w:rFonts w:hint="eastAsia" w:ascii="宋体" w:hAnsi="宋体"/>
          <w:sz w:val="24"/>
          <w:szCs w:val="24"/>
        </w:rPr>
        <w:t>2.2通用资格要求：在“信用中国”网站（www.creditchina.gov.cn）、中国政府采购网（www.ccgp.gov.cn）查询，无被列入失信被执行人、重大税收违法案件当事人名单、政府采购严重失信行为记录名单及其他不符合《中华人民共和国政府采购法》第二十二条规定条件的信用记录；</w:t>
      </w:r>
    </w:p>
    <w:p w14:paraId="7917739C">
      <w:pPr>
        <w:spacing w:line="500" w:lineRule="exact"/>
        <w:ind w:firstLine="480"/>
        <w:rPr>
          <w:rFonts w:ascii="宋体" w:hAnsi="宋体" w:cs="宋体"/>
          <w:sz w:val="24"/>
          <w:szCs w:val="24"/>
        </w:rPr>
      </w:pPr>
      <w:r>
        <w:rPr>
          <w:rFonts w:hint="eastAsia" w:ascii="宋体" w:hAnsi="宋体"/>
          <w:sz w:val="24"/>
          <w:szCs w:val="24"/>
        </w:rPr>
        <w:t>3.本项目的特定资格要求：无。</w:t>
      </w:r>
    </w:p>
    <w:p w14:paraId="7775D128">
      <w:pPr>
        <w:widowControl/>
        <w:shd w:val="clear" w:color="auto" w:fill="FFFFFF"/>
        <w:spacing w:line="360" w:lineRule="auto"/>
        <w:ind w:firstLine="480" w:firstLineChars="200"/>
        <w:jc w:val="left"/>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（三）获取采购文件的时间期限</w:t>
      </w:r>
    </w:p>
    <w:p w14:paraId="3467EEB9">
      <w:pPr>
        <w:spacing w:line="500" w:lineRule="exact"/>
        <w:ind w:firstLine="540"/>
        <w:rPr>
          <w:rFonts w:ascii="宋体" w:hAnsi="宋体" w:cs="宋体"/>
          <w:color w:val="000000"/>
          <w:sz w:val="24"/>
          <w:szCs w:val="24"/>
        </w:rPr>
      </w:pPr>
      <w:r>
        <w:rPr>
          <w:rFonts w:hint="eastAsia" w:ascii="宋体" w:hAnsi="宋体" w:cs="宋体"/>
          <w:color w:val="000000"/>
          <w:sz w:val="24"/>
          <w:szCs w:val="24"/>
        </w:rPr>
        <w:t>1.时间：</w:t>
      </w:r>
      <w:r>
        <w:rPr>
          <w:rFonts w:hint="eastAsia" w:ascii="宋体" w:hAnsi="宋体"/>
          <w:color w:val="000000"/>
          <w:sz w:val="24"/>
          <w:szCs w:val="24"/>
        </w:rPr>
        <w:t>本招标文件有效获取期</w:t>
      </w:r>
      <w:r>
        <w:rPr>
          <w:rFonts w:hint="eastAsia" w:ascii="宋体" w:hAnsi="宋体" w:cs="宋体"/>
          <w:color w:val="000000"/>
          <w:sz w:val="24"/>
          <w:szCs w:val="24"/>
        </w:rPr>
        <w:t>自招标文件公告发布之日起5个工作日，（有效获取期内的）每天上午00:00至12:00，下午12:00至23:59（北京时间，法定节假日除外）。</w:t>
      </w:r>
    </w:p>
    <w:p w14:paraId="442738A4">
      <w:pPr>
        <w:spacing w:line="500" w:lineRule="exact"/>
        <w:ind w:firstLine="540"/>
        <w:rPr>
          <w:rFonts w:ascii="宋体" w:hAnsi="宋体"/>
          <w:bCs/>
          <w:color w:val="000000"/>
          <w:sz w:val="24"/>
          <w:szCs w:val="24"/>
        </w:rPr>
      </w:pPr>
      <w:r>
        <w:rPr>
          <w:rFonts w:hint="eastAsia" w:ascii="宋体" w:hAnsi="宋体"/>
          <w:bCs/>
          <w:color w:val="000000"/>
          <w:sz w:val="24"/>
          <w:szCs w:val="24"/>
        </w:rPr>
        <w:t>2.地点：</w:t>
      </w:r>
      <w:r>
        <w:rPr>
          <w:rFonts w:ascii="宋体" w:hAnsi="宋体"/>
          <w:color w:val="000000"/>
          <w:sz w:val="24"/>
          <w:szCs w:val="24"/>
        </w:rPr>
        <w:t>“江苏省政府采购（苏采云）平台”</w:t>
      </w:r>
      <w:r>
        <w:rPr>
          <w:rFonts w:hint="eastAsia" w:ascii="宋体" w:hAnsi="宋体"/>
          <w:color w:val="000000"/>
          <w:sz w:val="24"/>
          <w:szCs w:val="24"/>
        </w:rPr>
        <w:t>。</w:t>
      </w:r>
    </w:p>
    <w:p w14:paraId="39561110">
      <w:pPr>
        <w:spacing w:line="500" w:lineRule="exact"/>
        <w:ind w:firstLine="540"/>
        <w:rPr>
          <w:rStyle w:val="55"/>
          <w:color w:val="000000"/>
        </w:rPr>
      </w:pPr>
      <w:r>
        <w:rPr>
          <w:rFonts w:hint="eastAsia" w:ascii="宋体" w:hAnsi="宋体"/>
          <w:bCs/>
          <w:color w:val="000000"/>
          <w:sz w:val="24"/>
          <w:szCs w:val="24"/>
        </w:rPr>
        <w:t>3.方式：请有投标意向的供应商在招标文件有效获取期内及时至</w:t>
      </w:r>
      <w:r>
        <w:rPr>
          <w:rFonts w:ascii="宋体" w:hAnsi="宋体"/>
          <w:color w:val="000000"/>
          <w:sz w:val="24"/>
          <w:szCs w:val="24"/>
        </w:rPr>
        <w:t>“江苏省政府采购（苏采云）平台”获取</w:t>
      </w:r>
      <w:r>
        <w:rPr>
          <w:rFonts w:hint="eastAsia" w:ascii="宋体" w:hAnsi="宋体"/>
          <w:color w:val="000000"/>
          <w:sz w:val="24"/>
          <w:szCs w:val="24"/>
        </w:rPr>
        <w:t>。</w:t>
      </w:r>
      <w:r>
        <w:rPr>
          <w:rFonts w:hint="eastAsia" w:ascii="宋体" w:hAnsi="宋体"/>
          <w:bCs/>
          <w:color w:val="000000"/>
          <w:sz w:val="24"/>
          <w:szCs w:val="24"/>
        </w:rPr>
        <w:t>在招标文件有效获取期限内，从</w:t>
      </w:r>
      <w:r>
        <w:rPr>
          <w:rFonts w:ascii="宋体" w:hAnsi="宋体"/>
          <w:color w:val="000000"/>
          <w:sz w:val="24"/>
          <w:szCs w:val="24"/>
        </w:rPr>
        <w:t>“江苏省政府采购（苏采云）平台”获取的</w:t>
      </w:r>
      <w:r>
        <w:rPr>
          <w:rFonts w:hint="eastAsia" w:ascii="宋体" w:hAnsi="宋体"/>
          <w:bCs/>
          <w:color w:val="000000"/>
          <w:sz w:val="24"/>
          <w:szCs w:val="24"/>
        </w:rPr>
        <w:t>招标文件，视为依法获取的招标文件。</w:t>
      </w:r>
    </w:p>
    <w:p w14:paraId="2F8B8607">
      <w:pPr>
        <w:spacing w:line="500" w:lineRule="exact"/>
        <w:ind w:firstLine="540"/>
        <w:rPr>
          <w:rFonts w:ascii="宋体" w:hAnsi="宋体"/>
          <w:bCs/>
          <w:color w:val="000000"/>
          <w:sz w:val="24"/>
          <w:szCs w:val="24"/>
        </w:rPr>
      </w:pPr>
      <w:r>
        <w:rPr>
          <w:rFonts w:hint="eastAsia" w:ascii="宋体" w:hAnsi="宋体"/>
          <w:bCs/>
          <w:color w:val="000000"/>
          <w:sz w:val="24"/>
          <w:szCs w:val="24"/>
        </w:rPr>
        <w:t>4.售价：本项目招标文件免费。</w:t>
      </w:r>
    </w:p>
    <w:p w14:paraId="5B3D1160">
      <w:pPr>
        <w:widowControl/>
        <w:shd w:val="clear" w:color="auto" w:fill="FFFFFF"/>
        <w:spacing w:line="356" w:lineRule="auto"/>
        <w:ind w:firstLine="480" w:firstLineChars="200"/>
        <w:jc w:val="left"/>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（四）提交投标文件截止时间、开标时间和地点</w:t>
      </w:r>
    </w:p>
    <w:p w14:paraId="1A3D785B">
      <w:pPr>
        <w:spacing w:line="360" w:lineRule="auto"/>
        <w:ind w:firstLine="480"/>
        <w:rPr>
          <w:rFonts w:cs="Times New Roman" w:asciiTheme="minorEastAsia" w:hAnsiTheme="minorEastAsia"/>
          <w:bCs/>
          <w:sz w:val="24"/>
          <w:szCs w:val="24"/>
        </w:rPr>
      </w:pPr>
      <w:r>
        <w:rPr>
          <w:rFonts w:hint="eastAsia" w:cs="Times New Roman" w:asciiTheme="minorEastAsia" w:hAnsiTheme="minorEastAsia"/>
          <w:bCs/>
          <w:sz w:val="24"/>
          <w:szCs w:val="24"/>
        </w:rPr>
        <w:t>1.时间：</w:t>
      </w:r>
      <w:r>
        <w:rPr>
          <w:rFonts w:hint="eastAsia" w:cs="Times New Roman" w:asciiTheme="minorEastAsia" w:hAnsiTheme="minorEastAsia"/>
          <w:b/>
          <w:bCs/>
          <w:color w:val="0000FF"/>
          <w:sz w:val="24"/>
          <w:szCs w:val="24"/>
        </w:rPr>
        <w:t>2024年</w:t>
      </w:r>
      <w:r>
        <w:rPr>
          <w:rFonts w:hint="eastAsia" w:cs="Times New Roman" w:asciiTheme="minorEastAsia" w:hAnsiTheme="minorEastAsia"/>
          <w:b/>
          <w:bCs/>
          <w:color w:val="0000FF"/>
          <w:sz w:val="24"/>
          <w:szCs w:val="24"/>
          <w:lang w:val="en-US" w:eastAsia="zh-CN"/>
        </w:rPr>
        <w:t>12</w:t>
      </w:r>
      <w:r>
        <w:rPr>
          <w:rFonts w:hint="eastAsia" w:cs="Times New Roman" w:asciiTheme="minorEastAsia" w:hAnsiTheme="minorEastAsia"/>
          <w:b/>
          <w:bCs/>
          <w:color w:val="0000FF"/>
          <w:sz w:val="24"/>
          <w:szCs w:val="24"/>
        </w:rPr>
        <w:t>月</w:t>
      </w:r>
      <w:r>
        <w:rPr>
          <w:rFonts w:hint="eastAsia" w:cs="Times New Roman" w:asciiTheme="minorEastAsia" w:hAnsiTheme="minorEastAsia"/>
          <w:b/>
          <w:bCs/>
          <w:color w:val="0000FF"/>
          <w:sz w:val="24"/>
          <w:szCs w:val="24"/>
          <w:lang w:val="en-US" w:eastAsia="zh-CN"/>
        </w:rPr>
        <w:t>3</w:t>
      </w:r>
      <w:r>
        <w:rPr>
          <w:rFonts w:hint="eastAsia" w:cs="Times New Roman" w:asciiTheme="minorEastAsia" w:hAnsiTheme="minorEastAsia"/>
          <w:b/>
          <w:bCs/>
          <w:color w:val="0000FF"/>
          <w:sz w:val="24"/>
          <w:szCs w:val="24"/>
        </w:rPr>
        <w:t>0日</w:t>
      </w:r>
      <w:r>
        <w:rPr>
          <w:rFonts w:hint="eastAsia" w:cs="Times New Roman" w:asciiTheme="minorEastAsia" w:hAnsiTheme="minorEastAsia"/>
          <w:b/>
          <w:bCs/>
          <w:color w:val="0000FF"/>
          <w:sz w:val="24"/>
          <w:szCs w:val="24"/>
          <w:lang w:val="en-US" w:eastAsia="zh-CN"/>
        </w:rPr>
        <w:t>13</w:t>
      </w:r>
      <w:r>
        <w:rPr>
          <w:rFonts w:hint="eastAsia" w:cs="Times New Roman" w:asciiTheme="minorEastAsia" w:hAnsiTheme="minorEastAsia"/>
          <w:b/>
          <w:bCs/>
          <w:color w:val="0000FF"/>
          <w:sz w:val="24"/>
          <w:szCs w:val="24"/>
        </w:rPr>
        <w:t>点30分</w:t>
      </w:r>
      <w:r>
        <w:rPr>
          <w:rFonts w:hint="eastAsia" w:cs="Times New Roman" w:asciiTheme="minorEastAsia" w:hAnsiTheme="minorEastAsia"/>
          <w:bCs/>
          <w:sz w:val="24"/>
          <w:szCs w:val="24"/>
        </w:rPr>
        <w:t>（北京时间），截止时间后上传的任何投标文件恕不接受。</w:t>
      </w:r>
    </w:p>
    <w:p w14:paraId="746F6F87">
      <w:pPr>
        <w:spacing w:line="360" w:lineRule="auto"/>
        <w:ind w:firstLine="480"/>
        <w:rPr>
          <w:rFonts w:cs="Times New Roman" w:asciiTheme="minorEastAsia" w:hAnsiTheme="minorEastAsia"/>
          <w:bCs/>
          <w:sz w:val="24"/>
          <w:szCs w:val="24"/>
        </w:rPr>
      </w:pPr>
      <w:r>
        <w:rPr>
          <w:rFonts w:hint="eastAsia" w:cs="Times New Roman" w:asciiTheme="minorEastAsia" w:hAnsiTheme="minorEastAsia"/>
          <w:bCs/>
          <w:sz w:val="24"/>
          <w:szCs w:val="24"/>
        </w:rPr>
        <w:t>2.地点：</w:t>
      </w:r>
      <w:r>
        <w:rPr>
          <w:rFonts w:ascii="宋体" w:hAnsi="宋体"/>
          <w:sz w:val="24"/>
          <w:szCs w:val="24"/>
        </w:rPr>
        <w:t>“江苏省政府采购（苏采云）平台”</w:t>
      </w:r>
      <w:r>
        <w:rPr>
          <w:rFonts w:hint="eastAsia" w:ascii="宋体" w:hAnsi="宋体"/>
          <w:sz w:val="24"/>
          <w:szCs w:val="24"/>
        </w:rPr>
        <w:t>网上开标大厅。</w:t>
      </w:r>
    </w:p>
    <w:p w14:paraId="289117AA">
      <w:pPr>
        <w:pStyle w:val="139"/>
        <w:keepNext w:val="0"/>
        <w:keepLines w:val="0"/>
        <w:spacing w:before="0" w:after="0" w:line="500" w:lineRule="exact"/>
        <w:ind w:firstLine="452"/>
        <w:rPr>
          <w:rFonts w:cs="宋体" w:asciiTheme="minorEastAsia" w:hAnsiTheme="minorEastAsia" w:eastAsiaTheme="minorEastAsia"/>
          <w:bCs w:val="0"/>
          <w:color w:val="000000" w:themeColor="text1"/>
          <w:sz w:val="24"/>
          <w:szCs w:val="24"/>
          <w:lang w:eastAsia="zh-CN"/>
        </w:rPr>
      </w:pPr>
      <w:r>
        <w:rPr>
          <w:rFonts w:hint="eastAsia" w:cs="宋体" w:asciiTheme="minorEastAsia" w:hAnsiTheme="minorEastAsia" w:eastAsiaTheme="minorEastAsia"/>
          <w:bCs w:val="0"/>
          <w:color w:val="000000" w:themeColor="text1"/>
          <w:sz w:val="24"/>
          <w:szCs w:val="24"/>
          <w:lang w:eastAsia="zh-CN"/>
        </w:rPr>
        <w:t>（五）公告期限</w:t>
      </w:r>
    </w:p>
    <w:p w14:paraId="0F367BC4">
      <w:pPr>
        <w:spacing w:line="500" w:lineRule="exact"/>
        <w:ind w:firstLine="480"/>
        <w:rPr>
          <w:rFonts w:ascii="宋体" w:hAnsi="宋体" w:cs="宋体"/>
          <w:sz w:val="24"/>
          <w:szCs w:val="24"/>
        </w:rPr>
      </w:pPr>
      <w:r>
        <w:rPr>
          <w:rFonts w:hint="eastAsia" w:ascii="宋体" w:hAnsi="宋体" w:cs="宋体"/>
          <w:sz w:val="24"/>
          <w:szCs w:val="24"/>
        </w:rPr>
        <w:t>（招标公告及招标文件公告期限）自本公告发布之日起5个工作日。</w:t>
      </w:r>
    </w:p>
    <w:p w14:paraId="6C82270D">
      <w:pPr>
        <w:spacing w:line="500" w:lineRule="exact"/>
        <w:ind w:firstLine="480"/>
        <w:rPr>
          <w:rFonts w:ascii="宋体" w:hAnsi="宋体" w:cs="宋体"/>
          <w:b/>
          <w:bCs/>
          <w:sz w:val="24"/>
          <w:szCs w:val="24"/>
        </w:rPr>
      </w:pPr>
      <w:r>
        <w:rPr>
          <w:rFonts w:hint="eastAsia" w:ascii="宋体" w:hAnsi="宋体" w:cs="宋体"/>
          <w:b/>
          <w:bCs/>
          <w:sz w:val="24"/>
          <w:szCs w:val="24"/>
        </w:rPr>
        <w:t>六、其他补充事宜</w:t>
      </w:r>
    </w:p>
    <w:p w14:paraId="773A38BA">
      <w:pPr>
        <w:spacing w:line="500" w:lineRule="exact"/>
        <w:ind w:firstLine="480"/>
        <w:rPr>
          <w:rFonts w:ascii="宋体" w:hAnsi="宋体" w:cs="宋体"/>
          <w:sz w:val="24"/>
          <w:szCs w:val="24"/>
        </w:rPr>
      </w:pPr>
      <w:r>
        <w:rPr>
          <w:rFonts w:hint="eastAsia" w:ascii="宋体" w:hAnsi="宋体" w:cs="宋体"/>
          <w:sz w:val="24"/>
          <w:szCs w:val="24"/>
        </w:rPr>
        <w:t>无</w:t>
      </w:r>
    </w:p>
    <w:p w14:paraId="27C9DBB2">
      <w:pPr>
        <w:spacing w:line="356" w:lineRule="auto"/>
        <w:ind w:firstLine="480" w:firstLineChars="200"/>
        <w:rPr>
          <w:rFonts w:asciiTheme="minorEastAsia" w:hAnsiTheme="minorEastAsia"/>
          <w:b/>
          <w:bCs/>
          <w:color w:val="000000" w:themeColor="text1"/>
          <w:sz w:val="24"/>
          <w:szCs w:val="24"/>
        </w:rPr>
      </w:pPr>
      <w:r>
        <w:rPr>
          <w:rFonts w:hint="eastAsia" w:cs="宋体" w:asciiTheme="minorEastAsia" w:hAnsiTheme="minorEastAsia"/>
          <w:b/>
          <w:color w:val="000000" w:themeColor="text1"/>
          <w:kern w:val="0"/>
          <w:sz w:val="24"/>
          <w:szCs w:val="24"/>
        </w:rPr>
        <w:t>（七）</w:t>
      </w:r>
      <w:r>
        <w:rPr>
          <w:rFonts w:hint="eastAsia" w:asciiTheme="minorEastAsia" w:hAnsiTheme="minorEastAsia"/>
          <w:b/>
          <w:bCs/>
          <w:color w:val="000000" w:themeColor="text1"/>
          <w:sz w:val="24"/>
          <w:szCs w:val="24"/>
        </w:rPr>
        <w:t>本次招标联系方式</w:t>
      </w:r>
    </w:p>
    <w:p w14:paraId="78B3BF42">
      <w:pPr>
        <w:spacing w:line="356" w:lineRule="auto"/>
        <w:ind w:firstLine="480" w:firstLineChars="2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1.集中采购机构：</w:t>
      </w:r>
    </w:p>
    <w:p w14:paraId="4E16AC9B">
      <w:pPr>
        <w:spacing w:line="356" w:lineRule="auto"/>
        <w:ind w:firstLine="480" w:firstLineChars="2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名称：无锡市滨湖区公共资源交易中心</w:t>
      </w:r>
    </w:p>
    <w:p w14:paraId="6BF2C6CE">
      <w:pPr>
        <w:widowControl/>
        <w:shd w:val="clear" w:color="auto" w:fill="FFFFFF"/>
        <w:spacing w:line="356"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项目联系人：姚坤  徐鹏飞 </w:t>
      </w:r>
    </w:p>
    <w:p w14:paraId="2745B99E">
      <w:pPr>
        <w:widowControl/>
        <w:shd w:val="clear" w:color="auto" w:fill="FFFFFF"/>
        <w:spacing w:line="356"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电话：0510-81173539              传真：0510-81173514</w:t>
      </w:r>
    </w:p>
    <w:p w14:paraId="5A0EFA13">
      <w:pPr>
        <w:widowControl/>
        <w:shd w:val="clear" w:color="auto" w:fill="FFFFFF"/>
        <w:spacing w:line="356" w:lineRule="auto"/>
        <w:ind w:firstLine="480" w:firstLineChars="200"/>
        <w:jc w:val="left"/>
        <w:rPr>
          <w:rFonts w:hint="eastAsia"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地址： 无锡市滨湖区隐秀路152号    </w:t>
      </w:r>
    </w:p>
    <w:p w14:paraId="396D0FA6">
      <w:pPr>
        <w:widowControl/>
        <w:shd w:val="clear" w:color="auto" w:fill="FFFFFF"/>
        <w:spacing w:line="356"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2.采购人：</w:t>
      </w:r>
    </w:p>
    <w:p w14:paraId="2027CBD2">
      <w:pPr>
        <w:widowControl/>
        <w:shd w:val="clear" w:color="auto" w:fill="FFFFFF"/>
        <w:spacing w:line="356"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名称：</w:t>
      </w:r>
      <w:r>
        <w:rPr>
          <w:rFonts w:hint="eastAsia" w:cs="宋体" w:asciiTheme="minorEastAsia" w:hAnsiTheme="minorEastAsia"/>
          <w:sz w:val="24"/>
        </w:rPr>
        <w:t>无锡市公安局滨湖分局</w:t>
      </w:r>
    </w:p>
    <w:p w14:paraId="70C6FFCA">
      <w:pPr>
        <w:widowControl/>
        <w:shd w:val="clear" w:color="auto" w:fill="FFFFFF"/>
        <w:spacing w:line="356" w:lineRule="auto"/>
        <w:ind w:firstLine="480" w:firstLineChars="200"/>
        <w:jc w:val="left"/>
        <w:rPr>
          <w:rFonts w:hint="eastAsia"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联系人：王奋敏</w:t>
      </w:r>
    </w:p>
    <w:p w14:paraId="5B7C2EA2">
      <w:pPr>
        <w:widowControl/>
        <w:shd w:val="clear" w:color="auto" w:fill="FFFFFF"/>
        <w:spacing w:line="356" w:lineRule="auto"/>
        <w:ind w:firstLine="480" w:firstLineChars="200"/>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联系电话：13961702988</w:t>
      </w:r>
    </w:p>
    <w:p w14:paraId="7E1CF43F">
      <w:pPr>
        <w:widowControl/>
        <w:shd w:val="clear" w:color="auto" w:fill="FFFFFF"/>
        <w:spacing w:line="356" w:lineRule="auto"/>
        <w:ind w:firstLine="480" w:firstLineChars="200"/>
        <w:jc w:val="left"/>
        <w:rPr>
          <w:rFonts w:cs="宋体" w:asciiTheme="minorEastAsia" w:hAnsiTheme="minorEastAsia"/>
          <w:sz w:val="24"/>
          <w:szCs w:val="24"/>
        </w:rPr>
      </w:pPr>
      <w:r>
        <w:rPr>
          <w:rFonts w:hint="eastAsia" w:cs="宋体" w:asciiTheme="minorEastAsia" w:hAnsiTheme="minorEastAsia"/>
          <w:color w:val="000000" w:themeColor="text1"/>
          <w:kern w:val="0"/>
          <w:sz w:val="24"/>
          <w:szCs w:val="24"/>
        </w:rPr>
        <w:t>联系地址：</w:t>
      </w:r>
      <w:r>
        <w:rPr>
          <w:rFonts w:hint="eastAsia" w:cs="宋体" w:asciiTheme="minorEastAsia" w:hAnsiTheme="minorEastAsia"/>
          <w:color w:val="000000" w:themeColor="text1"/>
          <w:kern w:val="0"/>
          <w:sz w:val="24"/>
          <w:szCs w:val="24"/>
          <w:lang w:val="en-US" w:eastAsia="zh-CN"/>
        </w:rPr>
        <w:t>无锡市滨湖区</w:t>
      </w:r>
      <w:r>
        <w:rPr>
          <w:rFonts w:hint="eastAsia" w:cs="宋体" w:asciiTheme="minorEastAsia" w:hAnsiTheme="minorEastAsia"/>
          <w:color w:val="000000" w:themeColor="text1"/>
          <w:kern w:val="0"/>
          <w:sz w:val="24"/>
          <w:szCs w:val="24"/>
        </w:rPr>
        <w:t>青莲路58号</w:t>
      </w:r>
    </w:p>
    <w:p w14:paraId="44176571">
      <w:pPr>
        <w:widowControl/>
        <w:shd w:val="clear" w:color="auto" w:fill="FFFFFF"/>
        <w:spacing w:line="356" w:lineRule="auto"/>
        <w:ind w:firstLine="480" w:firstLineChars="200"/>
        <w:jc w:val="left"/>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（八）其他</w:t>
      </w:r>
    </w:p>
    <w:p w14:paraId="2AB35911">
      <w:pPr>
        <w:widowControl/>
        <w:shd w:val="clear" w:color="auto" w:fill="FFFFFF"/>
        <w:spacing w:line="500" w:lineRule="exact"/>
        <w:ind w:firstLine="480"/>
        <w:jc w:val="left"/>
        <w:rPr>
          <w:rFonts w:ascii="宋体" w:hAnsi="宋体" w:cs="宋体"/>
          <w:color w:val="000000"/>
          <w:sz w:val="24"/>
          <w:szCs w:val="24"/>
        </w:rPr>
      </w:pPr>
      <w:r>
        <w:rPr>
          <w:rFonts w:hint="eastAsia" w:ascii="宋体" w:hAnsi="宋体" w:cs="宋体"/>
          <w:color w:val="000000"/>
          <w:sz w:val="24"/>
          <w:szCs w:val="24"/>
        </w:rPr>
        <w:t>（一）供应商“账号注册”及CA办理</w:t>
      </w:r>
    </w:p>
    <w:p w14:paraId="4981DDE9">
      <w:pPr>
        <w:widowControl/>
        <w:shd w:val="clear" w:color="auto" w:fill="FFFFFF"/>
        <w:spacing w:line="500" w:lineRule="exact"/>
        <w:ind w:firstLine="48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请有意参加本项目采购活动的供应商按以下流程进行操作：</w:t>
      </w:r>
    </w:p>
    <w:p w14:paraId="1A7AADD9">
      <w:pPr>
        <w:widowControl/>
        <w:shd w:val="clear" w:color="auto" w:fill="FFFFFF"/>
        <w:spacing w:line="500" w:lineRule="exact"/>
        <w:ind w:firstLine="48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1</w:t>
      </w:r>
      <w:r>
        <w:rPr>
          <w:rFonts w:ascii="宋体" w:hAnsi="宋体"/>
          <w:color w:val="000000"/>
          <w:sz w:val="24"/>
          <w:szCs w:val="24"/>
        </w:rPr>
        <w:t>）访问“无锡政府采购网”点击“江苏省政府采购（苏采云）平台”</w:t>
      </w:r>
      <w:r>
        <w:rPr>
          <w:rFonts w:ascii="宋体" w:hAnsi="宋体"/>
          <w:bCs/>
          <w:color w:val="000000"/>
          <w:sz w:val="24"/>
          <w:szCs w:val="24"/>
        </w:rPr>
        <w:t>（以下简称</w:t>
      </w:r>
      <w:r>
        <w:rPr>
          <w:rFonts w:hint="eastAsia" w:ascii="宋体" w:hAnsi="宋体"/>
          <w:bCs/>
          <w:color w:val="000000"/>
          <w:sz w:val="24"/>
          <w:szCs w:val="24"/>
        </w:rPr>
        <w:t>“苏采云”系统</w:t>
      </w:r>
      <w:r>
        <w:rPr>
          <w:rFonts w:ascii="宋体" w:hAnsi="宋体"/>
          <w:bCs/>
          <w:color w:val="000000"/>
          <w:sz w:val="24"/>
          <w:szCs w:val="24"/>
        </w:rPr>
        <w:t>）</w:t>
      </w:r>
      <w:r>
        <w:rPr>
          <w:rFonts w:hint="eastAsia" w:ascii="宋体" w:hAnsi="宋体"/>
          <w:color w:val="000000"/>
          <w:sz w:val="24"/>
          <w:szCs w:val="24"/>
        </w:rPr>
        <w:t>选择供应商版块，点击“用户注册”按钮，进行账号注册，注册完成后需在</w:t>
      </w:r>
      <w:r>
        <w:rPr>
          <w:rFonts w:hint="eastAsia" w:ascii="宋体" w:hAnsi="宋体"/>
          <w:bCs/>
          <w:color w:val="000000"/>
          <w:sz w:val="24"/>
          <w:szCs w:val="24"/>
        </w:rPr>
        <w:t>系统</w:t>
      </w:r>
      <w:r>
        <w:rPr>
          <w:rFonts w:hint="eastAsia" w:ascii="宋体" w:hAnsi="宋体"/>
          <w:color w:val="000000"/>
          <w:sz w:val="24"/>
          <w:szCs w:val="24"/>
        </w:rPr>
        <w:t>中填写资质信息并提交。也可以直接通过http://jszfcg.jsczt.cn/进入界面。</w:t>
      </w:r>
    </w:p>
    <w:p w14:paraId="73AFDCC0">
      <w:pPr>
        <w:widowControl/>
        <w:shd w:val="clear" w:color="auto" w:fill="FFFFFF"/>
        <w:spacing w:line="500" w:lineRule="exact"/>
        <w:ind w:firstLine="48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2</w:t>
      </w:r>
      <w:r>
        <w:rPr>
          <w:rFonts w:ascii="宋体" w:hAnsi="宋体"/>
          <w:color w:val="000000"/>
          <w:sz w:val="24"/>
          <w:szCs w:val="24"/>
        </w:rPr>
        <w:t>）办理</w:t>
      </w:r>
      <w:r>
        <w:rPr>
          <w:rFonts w:hint="eastAsia" w:ascii="宋体" w:hAnsi="宋体"/>
          <w:color w:val="000000"/>
          <w:sz w:val="24"/>
          <w:szCs w:val="24"/>
        </w:rPr>
        <w:t>“意源”CA数字证书和“方正”电子签章</w:t>
      </w:r>
      <w:r>
        <w:rPr>
          <w:rFonts w:ascii="宋体" w:hAnsi="宋体"/>
          <w:color w:val="000000"/>
          <w:sz w:val="24"/>
          <w:szCs w:val="24"/>
        </w:rPr>
        <w:t>（办理地址：</w:t>
      </w:r>
      <w:r>
        <w:rPr>
          <w:rFonts w:hint="eastAsia" w:ascii="宋体" w:hAnsi="宋体"/>
          <w:color w:val="000000"/>
          <w:sz w:val="24"/>
          <w:szCs w:val="24"/>
        </w:rPr>
        <w:t>无锡市滨湖区观山路</w:t>
      </w:r>
      <w:r>
        <w:rPr>
          <w:rFonts w:ascii="宋体" w:hAnsi="宋体"/>
          <w:color w:val="000000"/>
          <w:sz w:val="24"/>
          <w:szCs w:val="24"/>
        </w:rPr>
        <w:t>199</w:t>
      </w:r>
      <w:r>
        <w:rPr>
          <w:rFonts w:hint="eastAsia" w:ascii="宋体" w:hAnsi="宋体"/>
          <w:color w:val="000000"/>
          <w:sz w:val="24"/>
          <w:szCs w:val="24"/>
        </w:rPr>
        <w:t>号</w:t>
      </w:r>
      <w:r>
        <w:rPr>
          <w:rFonts w:ascii="宋体" w:hAnsi="宋体"/>
          <w:color w:val="000000"/>
          <w:sz w:val="24"/>
          <w:szCs w:val="24"/>
        </w:rPr>
        <w:t>12</w:t>
      </w:r>
      <w:r>
        <w:rPr>
          <w:rFonts w:hint="eastAsia" w:ascii="宋体" w:hAnsi="宋体"/>
          <w:color w:val="000000"/>
          <w:sz w:val="24"/>
          <w:szCs w:val="24"/>
        </w:rPr>
        <w:t>号楼二楼</w:t>
      </w:r>
      <w:r>
        <w:rPr>
          <w:rFonts w:ascii="宋体" w:hAnsi="宋体"/>
          <w:color w:val="000000"/>
          <w:sz w:val="24"/>
          <w:szCs w:val="24"/>
        </w:rPr>
        <w:t>9</w:t>
      </w:r>
      <w:r>
        <w:rPr>
          <w:rFonts w:hint="eastAsia" w:ascii="宋体" w:hAnsi="宋体"/>
          <w:color w:val="000000"/>
          <w:sz w:val="24"/>
          <w:szCs w:val="24"/>
        </w:rPr>
        <w:t>号、</w:t>
      </w:r>
      <w:r>
        <w:rPr>
          <w:rFonts w:ascii="宋体" w:hAnsi="宋体"/>
          <w:color w:val="000000"/>
          <w:sz w:val="24"/>
          <w:szCs w:val="24"/>
        </w:rPr>
        <w:t>10</w:t>
      </w:r>
      <w:r>
        <w:rPr>
          <w:rFonts w:hint="eastAsia" w:ascii="宋体" w:hAnsi="宋体"/>
          <w:color w:val="000000"/>
          <w:sz w:val="24"/>
          <w:szCs w:val="24"/>
        </w:rPr>
        <w:t>号窗口</w:t>
      </w:r>
      <w:r>
        <w:rPr>
          <w:rFonts w:ascii="宋体" w:hAnsi="宋体"/>
          <w:color w:val="000000"/>
          <w:sz w:val="24"/>
          <w:szCs w:val="24"/>
        </w:rPr>
        <w:t>），办理指南链接：http://jsxcmm.com/help/help.html。</w:t>
      </w:r>
    </w:p>
    <w:p w14:paraId="497832CE">
      <w:pPr>
        <w:widowControl/>
        <w:shd w:val="clear" w:color="auto" w:fill="FFFFFF"/>
        <w:spacing w:line="500" w:lineRule="exact"/>
        <w:ind w:firstLine="48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3</w:t>
      </w:r>
      <w:r>
        <w:rPr>
          <w:rFonts w:ascii="宋体" w:hAnsi="宋体"/>
          <w:color w:val="000000"/>
          <w:sz w:val="24"/>
          <w:szCs w:val="24"/>
        </w:rPr>
        <w:t>）CA驱动下载：</w:t>
      </w:r>
    </w:p>
    <w:p w14:paraId="0503D05B">
      <w:pPr>
        <w:widowControl/>
        <w:shd w:val="clear" w:color="auto" w:fill="FFFFFF"/>
        <w:spacing w:line="500" w:lineRule="exact"/>
        <w:ind w:firstLine="480"/>
        <w:rPr>
          <w:rFonts w:ascii="宋体" w:hAnsi="宋体"/>
          <w:color w:val="000000"/>
          <w:sz w:val="24"/>
          <w:szCs w:val="24"/>
        </w:rPr>
      </w:pPr>
      <w:r>
        <w:rPr>
          <w:rFonts w:ascii="宋体" w:hAnsi="宋体"/>
          <w:color w:val="000000"/>
          <w:sz w:val="24"/>
          <w:szCs w:val="24"/>
        </w:rPr>
        <w:t>在</w:t>
      </w:r>
      <w:r>
        <w:rPr>
          <w:rFonts w:hint="eastAsia" w:ascii="宋体" w:hAnsi="宋体"/>
          <w:bCs/>
          <w:color w:val="000000"/>
          <w:sz w:val="24"/>
          <w:szCs w:val="24"/>
        </w:rPr>
        <w:t>“苏采云”系统账号登录</w:t>
      </w:r>
      <w:r>
        <w:rPr>
          <w:rFonts w:ascii="宋体" w:hAnsi="宋体"/>
          <w:color w:val="000000"/>
          <w:sz w:val="24"/>
          <w:szCs w:val="24"/>
        </w:rPr>
        <w:t>页面，点击“驱动下载”链接中的“政务CA、方正签章控件驱动安装包及安装说明”可以直接下载驱动安装包，安装包中附有驱动安装手册。</w:t>
      </w:r>
    </w:p>
    <w:p w14:paraId="4DCB0184">
      <w:pPr>
        <w:widowControl/>
        <w:shd w:val="clear" w:color="auto" w:fill="FFFFFF"/>
        <w:spacing w:line="500" w:lineRule="exact"/>
        <w:ind w:firstLine="480"/>
        <w:rPr>
          <w:rFonts w:ascii="宋体" w:hAnsi="宋体"/>
          <w:color w:val="000000"/>
          <w:sz w:val="24"/>
          <w:szCs w:val="24"/>
        </w:rPr>
      </w:pPr>
      <w:r>
        <w:rPr>
          <w:rFonts w:ascii="宋体" w:hAnsi="宋体"/>
          <w:color w:val="000000"/>
          <w:sz w:val="24"/>
          <w:szCs w:val="24"/>
        </w:rPr>
        <w:t>技术服务电话：</w:t>
      </w:r>
      <w:r>
        <w:rPr>
          <w:rFonts w:hint="eastAsia" w:ascii="宋体" w:hAnsi="宋体"/>
          <w:color w:val="000000"/>
          <w:sz w:val="24"/>
          <w:szCs w:val="24"/>
        </w:rPr>
        <w:t>0510-81827781</w:t>
      </w:r>
      <w:r>
        <w:rPr>
          <w:rFonts w:ascii="宋体" w:hAnsi="宋体"/>
          <w:color w:val="000000"/>
          <w:sz w:val="24"/>
          <w:szCs w:val="24"/>
        </w:rPr>
        <w:t>（服务时间：工作日</w:t>
      </w:r>
      <w:r>
        <w:rPr>
          <w:rFonts w:hint="eastAsia" w:ascii="宋体" w:hAnsi="宋体"/>
          <w:color w:val="000000"/>
          <w:sz w:val="24"/>
          <w:szCs w:val="24"/>
        </w:rPr>
        <w:t xml:space="preserve"> 9:00-11:30,13:00-17:00</w:t>
      </w:r>
      <w:r>
        <w:rPr>
          <w:rFonts w:ascii="宋体" w:hAnsi="宋体"/>
          <w:color w:val="000000"/>
          <w:sz w:val="24"/>
          <w:szCs w:val="24"/>
        </w:rPr>
        <w:t>）</w:t>
      </w:r>
    </w:p>
    <w:p w14:paraId="2DC3C149">
      <w:pPr>
        <w:widowControl/>
        <w:shd w:val="clear" w:color="auto" w:fill="FFFFFF"/>
        <w:spacing w:line="500" w:lineRule="exact"/>
        <w:ind w:firstLine="48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完成</w:t>
      </w:r>
      <w:r>
        <w:rPr>
          <w:rFonts w:hint="eastAsia" w:ascii="宋体" w:hAnsi="宋体"/>
          <w:bCs/>
          <w:color w:val="000000"/>
          <w:sz w:val="24"/>
          <w:szCs w:val="24"/>
        </w:rPr>
        <w:t>“苏采云”系统</w:t>
      </w:r>
      <w:r>
        <w:rPr>
          <w:rFonts w:hint="eastAsia" w:ascii="宋体" w:hAnsi="宋体"/>
          <w:color w:val="000000"/>
          <w:sz w:val="24"/>
          <w:szCs w:val="24"/>
        </w:rPr>
        <w:t>账号注册</w:t>
      </w:r>
      <w:r>
        <w:rPr>
          <w:rFonts w:ascii="宋体" w:hAnsi="宋体"/>
          <w:color w:val="000000"/>
          <w:sz w:val="24"/>
          <w:szCs w:val="24"/>
        </w:rPr>
        <w:t>的供应商方可</w:t>
      </w:r>
      <w:r>
        <w:rPr>
          <w:rFonts w:hint="eastAsia" w:ascii="宋体" w:hAnsi="宋体"/>
          <w:color w:val="000000"/>
          <w:sz w:val="24"/>
          <w:szCs w:val="24"/>
        </w:rPr>
        <w:t>在</w:t>
      </w:r>
      <w:r>
        <w:rPr>
          <w:rFonts w:hint="eastAsia" w:ascii="宋体" w:hAnsi="宋体"/>
          <w:bCs/>
          <w:color w:val="000000"/>
          <w:sz w:val="24"/>
          <w:szCs w:val="24"/>
        </w:rPr>
        <w:t>“苏采云”系统</w:t>
      </w:r>
      <w:r>
        <w:rPr>
          <w:rFonts w:ascii="宋体" w:hAnsi="宋体"/>
          <w:color w:val="000000"/>
          <w:sz w:val="24"/>
          <w:szCs w:val="24"/>
        </w:rPr>
        <w:t>中进行CA绑定。登录</w:t>
      </w:r>
      <w:r>
        <w:rPr>
          <w:rFonts w:hint="eastAsia" w:ascii="宋体" w:hAnsi="宋体"/>
          <w:bCs/>
          <w:color w:val="000000"/>
          <w:sz w:val="24"/>
          <w:szCs w:val="24"/>
        </w:rPr>
        <w:t>“苏采云”系统</w:t>
      </w:r>
      <w:r>
        <w:rPr>
          <w:rFonts w:ascii="宋体" w:hAnsi="宋体"/>
          <w:color w:val="000000"/>
          <w:sz w:val="24"/>
          <w:szCs w:val="24"/>
        </w:rPr>
        <w:t>，插入CA后，点击【账号设置】——【绑定CA】。</w:t>
      </w:r>
    </w:p>
    <w:p w14:paraId="4540AA0A">
      <w:pPr>
        <w:widowControl/>
        <w:shd w:val="clear" w:color="auto" w:fill="FFFFFF"/>
        <w:spacing w:line="500" w:lineRule="exact"/>
        <w:ind w:firstLine="48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供应商应按上述要求提供相关材料信息，所提供的材料应均是真实的、准确的，若有违背，供应商自行承担由此而产生的一切后果。</w:t>
      </w:r>
    </w:p>
    <w:p w14:paraId="24FAF631">
      <w:pPr>
        <w:widowControl/>
        <w:shd w:val="clear" w:color="auto" w:fill="FFFFFF"/>
        <w:spacing w:line="500" w:lineRule="exact"/>
        <w:ind w:firstLine="48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如供应商未按上述要求操作，由此所产生的损失及风险由供应商自行承担。具体操作步骤详见</w:t>
      </w:r>
      <w:r>
        <w:rPr>
          <w:rFonts w:hint="eastAsia" w:ascii="宋体" w:hAnsi="宋体"/>
          <w:color w:val="000000"/>
          <w:sz w:val="24"/>
          <w:szCs w:val="24"/>
        </w:rPr>
        <w:t>《“苏采云”系统供应商操作手册》</w:t>
      </w:r>
      <w:r>
        <w:rPr>
          <w:rFonts w:ascii="宋体" w:hAnsi="宋体"/>
          <w:color w:val="000000"/>
          <w:sz w:val="24"/>
          <w:szCs w:val="24"/>
        </w:rPr>
        <w:t>（以下简称</w:t>
      </w:r>
      <w:r>
        <w:rPr>
          <w:rFonts w:hint="eastAsia" w:ascii="宋体" w:hAnsi="宋体"/>
          <w:color w:val="000000"/>
          <w:sz w:val="24"/>
          <w:szCs w:val="24"/>
        </w:rPr>
        <w:t>《操作手册》</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下载地址：无锡市政府采购网——资料下载——</w:t>
      </w:r>
      <w:r>
        <w:rPr>
          <w:rFonts w:hint="eastAsia" w:ascii="宋体" w:hAnsi="宋体"/>
          <w:color w:val="000000"/>
          <w:sz w:val="24"/>
          <w:szCs w:val="24"/>
        </w:rPr>
        <w:t>苏采云——</w:t>
      </w:r>
      <w:r>
        <w:fldChar w:fldCharType="begin"/>
      </w:r>
      <w:r>
        <w:instrText xml:space="preserve"> HYPERLINK "http://cz.wuxi.gov.cn/doc/2023/10/11/4080287.shtml" \t "_blank" </w:instrText>
      </w:r>
      <w:r>
        <w:fldChar w:fldCharType="separate"/>
      </w:r>
      <w:r>
        <w:rPr>
          <w:rFonts w:hint="eastAsia" w:ascii="宋体" w:hAnsi="宋体"/>
          <w:color w:val="000000"/>
          <w:sz w:val="24"/>
          <w:szCs w:val="24"/>
        </w:rPr>
        <w:t>“苏采云”系统供应商操作手册</w:t>
      </w:r>
      <w:r>
        <w:rPr>
          <w:rFonts w:ascii="宋体" w:hAnsi="宋体"/>
          <w:color w:val="000000"/>
          <w:sz w:val="24"/>
          <w:szCs w:val="24"/>
        </w:rPr>
        <w:fldChar w:fldCharType="end"/>
      </w:r>
      <w:r>
        <w:rPr>
          <w:rFonts w:hint="eastAsia" w:ascii="宋体" w:hAnsi="宋体"/>
          <w:color w:val="000000"/>
          <w:sz w:val="24"/>
          <w:szCs w:val="24"/>
        </w:rPr>
        <w:t>。</w:t>
      </w:r>
    </w:p>
    <w:p w14:paraId="47FECF9B">
      <w:pPr>
        <w:widowControl/>
        <w:shd w:val="clear" w:color="auto" w:fill="FFFFFF"/>
        <w:spacing w:line="500" w:lineRule="exact"/>
        <w:ind w:firstLine="480"/>
        <w:rPr>
          <w:rFonts w:ascii="宋体" w:hAnsi="宋体"/>
          <w:color w:val="000000"/>
          <w:sz w:val="24"/>
          <w:szCs w:val="24"/>
        </w:rPr>
      </w:pPr>
      <w:r>
        <w:rPr>
          <w:rFonts w:ascii="宋体" w:hAnsi="宋体"/>
          <w:bCs/>
          <w:color w:val="000000"/>
          <w:sz w:val="24"/>
          <w:szCs w:val="24"/>
        </w:rPr>
        <w:t>技术支持QQ：孙先生：442456465；王先生：1476328133</w:t>
      </w:r>
      <w:r>
        <w:rPr>
          <w:rFonts w:hint="eastAsia" w:ascii="宋体" w:hAnsi="宋体"/>
          <w:bCs/>
          <w:color w:val="000000"/>
          <w:sz w:val="24"/>
          <w:szCs w:val="24"/>
        </w:rPr>
        <w:t>。</w:t>
      </w:r>
    </w:p>
    <w:p w14:paraId="5663D1D7">
      <w:pPr>
        <w:widowControl/>
        <w:shd w:val="clear" w:color="auto" w:fill="FFFFFF"/>
        <w:spacing w:line="500" w:lineRule="exact"/>
        <w:ind w:firstLine="480"/>
        <w:jc w:val="left"/>
        <w:rPr>
          <w:rFonts w:ascii="宋体" w:hAnsi="宋体" w:cs="宋体"/>
          <w:color w:val="000000"/>
          <w:sz w:val="24"/>
          <w:szCs w:val="24"/>
        </w:rPr>
      </w:pPr>
      <w:r>
        <w:rPr>
          <w:rFonts w:hint="eastAsia" w:ascii="宋体" w:hAnsi="宋体" w:cs="宋体"/>
          <w:color w:val="000000"/>
          <w:sz w:val="24"/>
          <w:szCs w:val="24"/>
        </w:rPr>
        <w:t>（二）完成项目参与，获取招标文件</w:t>
      </w:r>
    </w:p>
    <w:p w14:paraId="30D9B446">
      <w:pPr>
        <w:widowControl/>
        <w:shd w:val="clear" w:color="auto" w:fill="FFFFFF"/>
        <w:spacing w:line="500" w:lineRule="exact"/>
        <w:ind w:firstLine="480"/>
        <w:rPr>
          <w:rFonts w:ascii="宋体" w:hAnsi="宋体"/>
          <w:color w:val="000000"/>
          <w:sz w:val="24"/>
          <w:szCs w:val="24"/>
        </w:rPr>
      </w:pPr>
      <w:r>
        <w:rPr>
          <w:rFonts w:ascii="宋体" w:hAnsi="宋体"/>
          <w:color w:val="000000"/>
          <w:sz w:val="24"/>
          <w:szCs w:val="24"/>
        </w:rPr>
        <w:t>供应商可在项目</w:t>
      </w:r>
      <w:r>
        <w:rPr>
          <w:rFonts w:hint="eastAsia" w:ascii="宋体" w:hAnsi="宋体"/>
          <w:color w:val="000000"/>
          <w:sz w:val="24"/>
          <w:szCs w:val="24"/>
        </w:rPr>
        <w:t>招标</w:t>
      </w:r>
      <w:r>
        <w:rPr>
          <w:rFonts w:ascii="宋体" w:hAnsi="宋体"/>
          <w:color w:val="000000"/>
          <w:sz w:val="24"/>
          <w:szCs w:val="24"/>
        </w:rPr>
        <w:t>公告附件中查看</w:t>
      </w:r>
      <w:r>
        <w:rPr>
          <w:rFonts w:hint="eastAsia" w:ascii="宋体" w:hAnsi="宋体"/>
          <w:color w:val="000000"/>
          <w:sz w:val="24"/>
          <w:szCs w:val="24"/>
        </w:rPr>
        <w:t>公开招标</w:t>
      </w:r>
      <w:r>
        <w:rPr>
          <w:rFonts w:ascii="宋体" w:hAnsi="宋体"/>
          <w:color w:val="000000"/>
          <w:sz w:val="24"/>
          <w:szCs w:val="24"/>
        </w:rPr>
        <w:t>文件，如确定参加本次</w:t>
      </w:r>
      <w:r>
        <w:rPr>
          <w:rFonts w:hint="eastAsia" w:ascii="宋体" w:hAnsi="宋体"/>
          <w:color w:val="000000"/>
          <w:sz w:val="24"/>
          <w:szCs w:val="24"/>
        </w:rPr>
        <w:t>采购</w:t>
      </w:r>
      <w:r>
        <w:rPr>
          <w:rFonts w:ascii="宋体" w:hAnsi="宋体"/>
          <w:color w:val="000000"/>
          <w:sz w:val="24"/>
          <w:szCs w:val="24"/>
        </w:rPr>
        <w:t>活动，必须在</w:t>
      </w:r>
      <w:r>
        <w:rPr>
          <w:rFonts w:hint="eastAsia" w:ascii="宋体" w:hAnsi="宋体"/>
          <w:bCs/>
          <w:color w:val="000000"/>
          <w:sz w:val="24"/>
          <w:szCs w:val="24"/>
        </w:rPr>
        <w:t>招标文件提供期限</w:t>
      </w:r>
      <w:r>
        <w:rPr>
          <w:rFonts w:ascii="宋体" w:hAnsi="宋体"/>
          <w:color w:val="000000"/>
          <w:sz w:val="24"/>
          <w:szCs w:val="24"/>
        </w:rPr>
        <w:t>内</w:t>
      </w:r>
      <w:r>
        <w:rPr>
          <w:rFonts w:hint="eastAsia" w:ascii="宋体" w:hAnsi="宋体"/>
          <w:color w:val="000000"/>
          <w:sz w:val="24"/>
          <w:szCs w:val="24"/>
        </w:rPr>
        <w:t>从</w:t>
      </w:r>
      <w:r>
        <w:rPr>
          <w:rFonts w:hint="eastAsia" w:ascii="宋体" w:hAnsi="宋体"/>
          <w:bCs/>
          <w:color w:val="000000"/>
          <w:sz w:val="24"/>
          <w:szCs w:val="24"/>
        </w:rPr>
        <w:t>“苏采云”系统</w:t>
      </w:r>
      <w:r>
        <w:rPr>
          <w:rFonts w:ascii="宋体" w:hAnsi="宋体"/>
          <w:color w:val="000000"/>
          <w:sz w:val="24"/>
          <w:szCs w:val="24"/>
        </w:rPr>
        <w:t>中下载文件（“项目参与”——“</w:t>
      </w:r>
      <w:r>
        <w:rPr>
          <w:rFonts w:hint="eastAsia" w:ascii="宋体" w:hAnsi="宋体"/>
          <w:color w:val="000000"/>
          <w:sz w:val="24"/>
          <w:szCs w:val="24"/>
        </w:rPr>
        <w:t>采购项目参与</w:t>
      </w:r>
      <w:r>
        <w:rPr>
          <w:rFonts w:ascii="宋体" w:hAnsi="宋体"/>
          <w:color w:val="000000"/>
          <w:sz w:val="24"/>
          <w:szCs w:val="24"/>
        </w:rPr>
        <w:t>”找到需要获取</w:t>
      </w:r>
      <w:r>
        <w:rPr>
          <w:rFonts w:hint="eastAsia" w:ascii="宋体" w:hAnsi="宋体"/>
          <w:color w:val="000000"/>
          <w:sz w:val="24"/>
          <w:szCs w:val="24"/>
        </w:rPr>
        <w:t>招标</w:t>
      </w:r>
      <w:r>
        <w:rPr>
          <w:rFonts w:ascii="宋体" w:hAnsi="宋体"/>
          <w:color w:val="000000"/>
          <w:sz w:val="24"/>
          <w:szCs w:val="24"/>
        </w:rPr>
        <w:t>文件的项目，点击“我要参与”——“参与投标”</w:t>
      </w:r>
      <w:r>
        <w:rPr>
          <w:rFonts w:hint="eastAsia" w:ascii="宋体" w:hAnsi="宋体"/>
          <w:color w:val="000000"/>
          <w:sz w:val="24"/>
          <w:szCs w:val="24"/>
        </w:rPr>
        <w:t>——“</w:t>
      </w:r>
      <w:r>
        <w:rPr>
          <w:rFonts w:ascii="宋体" w:hAnsi="宋体"/>
          <w:color w:val="000000"/>
          <w:sz w:val="24"/>
          <w:szCs w:val="24"/>
        </w:rPr>
        <w:t>下载文件</w:t>
      </w:r>
      <w:r>
        <w:rPr>
          <w:rFonts w:hint="eastAsia" w:ascii="宋体" w:hAnsi="宋体"/>
          <w:color w:val="000000"/>
          <w:sz w:val="24"/>
          <w:szCs w:val="24"/>
        </w:rPr>
        <w:t>”</w:t>
      </w:r>
      <w:r>
        <w:rPr>
          <w:rFonts w:ascii="宋体" w:hAnsi="宋体"/>
          <w:color w:val="000000"/>
          <w:sz w:val="24"/>
          <w:szCs w:val="24"/>
        </w:rPr>
        <w:t>），完成项目</w:t>
      </w:r>
      <w:r>
        <w:rPr>
          <w:rFonts w:hint="eastAsia" w:ascii="宋体" w:hAnsi="宋体"/>
          <w:color w:val="000000"/>
          <w:sz w:val="24"/>
          <w:szCs w:val="24"/>
        </w:rPr>
        <w:t>参与</w:t>
      </w:r>
      <w:r>
        <w:rPr>
          <w:rFonts w:ascii="宋体" w:hAnsi="宋体"/>
          <w:color w:val="000000"/>
          <w:sz w:val="24"/>
          <w:szCs w:val="24"/>
        </w:rPr>
        <w:t>，</w:t>
      </w:r>
      <w:r>
        <w:rPr>
          <w:rFonts w:hint="eastAsia" w:ascii="宋体" w:hAnsi="宋体"/>
          <w:color w:val="000000"/>
          <w:sz w:val="24"/>
          <w:szCs w:val="24"/>
        </w:rPr>
        <w:t>将</w:t>
      </w:r>
      <w:r>
        <w:rPr>
          <w:rFonts w:hint="eastAsia" w:ascii="宋体" w:hAnsi="宋体"/>
          <w:bCs/>
          <w:color w:val="000000"/>
          <w:sz w:val="24"/>
          <w:szCs w:val="24"/>
        </w:rPr>
        <w:t>“苏采云”系统</w:t>
      </w:r>
      <w:r>
        <w:rPr>
          <w:rFonts w:hint="eastAsia" w:ascii="宋体" w:hAnsi="宋体"/>
          <w:color w:val="000000"/>
          <w:sz w:val="24"/>
          <w:szCs w:val="24"/>
        </w:rPr>
        <w:t>中</w:t>
      </w:r>
      <w:r>
        <w:rPr>
          <w:rFonts w:ascii="宋体" w:hAnsi="宋体"/>
          <w:color w:val="000000"/>
          <w:sz w:val="24"/>
          <w:szCs w:val="24"/>
        </w:rPr>
        <w:t>下载的</w:t>
      </w:r>
      <w:r>
        <w:rPr>
          <w:rFonts w:hint="eastAsia" w:ascii="宋体" w:hAnsi="宋体"/>
          <w:color w:val="000000"/>
          <w:sz w:val="24"/>
          <w:szCs w:val="24"/>
        </w:rPr>
        <w:t>招标</w:t>
      </w:r>
      <w:r>
        <w:rPr>
          <w:rFonts w:ascii="宋体" w:hAnsi="宋体"/>
          <w:color w:val="000000"/>
          <w:sz w:val="24"/>
          <w:szCs w:val="24"/>
        </w:rPr>
        <w:t>文件</w:t>
      </w:r>
      <w:r>
        <w:rPr>
          <w:rFonts w:hint="eastAsia" w:ascii="宋体" w:hAnsi="宋体"/>
          <w:color w:val="000000"/>
          <w:sz w:val="24"/>
          <w:szCs w:val="24"/>
        </w:rPr>
        <w:t>（后缀名为“.kedt”）</w:t>
      </w:r>
      <w:r>
        <w:rPr>
          <w:rFonts w:ascii="宋体" w:hAnsi="宋体"/>
          <w:color w:val="000000"/>
          <w:sz w:val="24"/>
          <w:szCs w:val="24"/>
        </w:rPr>
        <w:t>导入到“政府采购客户端”，离线按要求</w:t>
      </w:r>
      <w:r>
        <w:rPr>
          <w:rFonts w:hint="eastAsia" w:ascii="宋体" w:hAnsi="宋体"/>
          <w:color w:val="000000"/>
          <w:sz w:val="24"/>
          <w:szCs w:val="24"/>
        </w:rPr>
        <w:t>编制</w:t>
      </w:r>
      <w:r>
        <w:rPr>
          <w:rFonts w:ascii="宋体" w:hAnsi="宋体"/>
          <w:color w:val="000000"/>
          <w:sz w:val="24"/>
          <w:szCs w:val="24"/>
        </w:rPr>
        <w:t>并加密</w:t>
      </w:r>
      <w:r>
        <w:rPr>
          <w:rFonts w:hint="eastAsia" w:ascii="宋体" w:hAnsi="宋体"/>
          <w:color w:val="000000"/>
          <w:sz w:val="24"/>
          <w:szCs w:val="24"/>
        </w:rPr>
        <w:t>投标</w:t>
      </w:r>
      <w:r>
        <w:rPr>
          <w:rFonts w:ascii="宋体" w:hAnsi="宋体"/>
          <w:color w:val="000000"/>
          <w:sz w:val="24"/>
          <w:szCs w:val="24"/>
        </w:rPr>
        <w:t>文件</w:t>
      </w:r>
      <w:r>
        <w:rPr>
          <w:rFonts w:hint="eastAsia" w:ascii="宋体" w:hAnsi="宋体"/>
          <w:color w:val="000000"/>
          <w:sz w:val="24"/>
          <w:szCs w:val="24"/>
        </w:rPr>
        <w:t>（使用“CA数字证书”），</w:t>
      </w:r>
      <w:r>
        <w:rPr>
          <w:rFonts w:ascii="宋体" w:hAnsi="宋体"/>
          <w:color w:val="000000"/>
          <w:sz w:val="24"/>
          <w:szCs w:val="24"/>
        </w:rPr>
        <w:t>导出加密的</w:t>
      </w:r>
      <w:r>
        <w:rPr>
          <w:rFonts w:hint="eastAsia" w:ascii="宋体" w:hAnsi="宋体"/>
          <w:color w:val="000000"/>
          <w:sz w:val="24"/>
          <w:szCs w:val="24"/>
        </w:rPr>
        <w:t>投标</w:t>
      </w:r>
      <w:r>
        <w:rPr>
          <w:rFonts w:ascii="宋体" w:hAnsi="宋体"/>
          <w:color w:val="000000"/>
          <w:sz w:val="24"/>
          <w:szCs w:val="24"/>
        </w:rPr>
        <w:t>文件</w:t>
      </w:r>
      <w:r>
        <w:rPr>
          <w:rFonts w:hint="eastAsia" w:ascii="宋体" w:hAnsi="宋体"/>
          <w:color w:val="000000"/>
          <w:sz w:val="24"/>
          <w:szCs w:val="24"/>
        </w:rPr>
        <w:t>（后缀名为zip，不得超过150M）并在</w:t>
      </w:r>
      <w:r>
        <w:rPr>
          <w:rFonts w:hint="eastAsia" w:ascii="宋体" w:hAnsi="宋体"/>
          <w:bCs/>
          <w:color w:val="000000"/>
          <w:sz w:val="24"/>
          <w:szCs w:val="24"/>
        </w:rPr>
        <w:t>“苏采云”系统</w:t>
      </w:r>
      <w:r>
        <w:rPr>
          <w:rFonts w:ascii="宋体" w:hAnsi="宋体"/>
          <w:color w:val="000000"/>
          <w:sz w:val="24"/>
          <w:szCs w:val="24"/>
        </w:rPr>
        <w:t>上传该加密的</w:t>
      </w:r>
      <w:r>
        <w:rPr>
          <w:rFonts w:hint="eastAsia" w:ascii="宋体" w:hAnsi="宋体"/>
          <w:color w:val="000000"/>
          <w:sz w:val="24"/>
          <w:szCs w:val="24"/>
        </w:rPr>
        <w:t>投标</w:t>
      </w:r>
      <w:r>
        <w:rPr>
          <w:rFonts w:ascii="宋体" w:hAnsi="宋体"/>
          <w:color w:val="000000"/>
          <w:sz w:val="24"/>
          <w:szCs w:val="24"/>
        </w:rPr>
        <w:t>文件，对</w:t>
      </w:r>
      <w:r>
        <w:rPr>
          <w:rFonts w:hint="eastAsia" w:ascii="宋体" w:hAnsi="宋体"/>
          <w:color w:val="000000"/>
          <w:sz w:val="24"/>
          <w:szCs w:val="24"/>
        </w:rPr>
        <w:t>招标</w:t>
      </w:r>
      <w:r>
        <w:rPr>
          <w:rFonts w:ascii="宋体" w:hAnsi="宋体"/>
          <w:color w:val="000000"/>
          <w:sz w:val="24"/>
          <w:szCs w:val="24"/>
        </w:rPr>
        <w:t>文件各项内容做出实质性响应，否则其</w:t>
      </w:r>
      <w:r>
        <w:rPr>
          <w:rFonts w:hint="eastAsia" w:ascii="宋体" w:hAnsi="宋体"/>
          <w:color w:val="000000"/>
          <w:sz w:val="24"/>
          <w:szCs w:val="24"/>
        </w:rPr>
        <w:t>投标</w:t>
      </w:r>
      <w:r>
        <w:rPr>
          <w:rFonts w:ascii="宋体" w:hAnsi="宋体"/>
          <w:color w:val="000000"/>
          <w:sz w:val="24"/>
          <w:szCs w:val="24"/>
        </w:rPr>
        <w:t>文件无效。</w:t>
      </w:r>
    </w:p>
    <w:p w14:paraId="0A08AC62">
      <w:pPr>
        <w:tabs>
          <w:tab w:val="left" w:pos="900"/>
        </w:tabs>
        <w:spacing w:line="500" w:lineRule="exact"/>
        <w:ind w:firstLine="480"/>
        <w:rPr>
          <w:rFonts w:ascii="宋体" w:hAnsi="宋体"/>
          <w:bCs/>
          <w:color w:val="000000"/>
          <w:sz w:val="24"/>
          <w:szCs w:val="24"/>
        </w:rPr>
      </w:pPr>
      <w:r>
        <w:rPr>
          <w:rFonts w:hint="eastAsia" w:ascii="宋体" w:hAnsi="宋体"/>
          <w:bCs/>
          <w:color w:val="000000"/>
          <w:sz w:val="24"/>
          <w:szCs w:val="24"/>
        </w:rPr>
        <w:t>（三）有关本次采购的事项若存在变动或修改，敬请及时关注无锡市滨湖区公共资源交易中心在“无锡政府采购网”“江苏政府采购网”发布的更正公告。</w:t>
      </w:r>
    </w:p>
    <w:p w14:paraId="5BA4C31E">
      <w:pPr>
        <w:tabs>
          <w:tab w:val="left" w:pos="900"/>
        </w:tabs>
        <w:spacing w:line="500" w:lineRule="exact"/>
        <w:ind w:firstLine="480"/>
        <w:rPr>
          <w:rFonts w:ascii="宋体" w:hAnsi="宋体"/>
          <w:bCs/>
          <w:color w:val="000000"/>
          <w:sz w:val="24"/>
          <w:szCs w:val="24"/>
          <w:shd w:val="clear" w:color="FFFFFF" w:fill="D9D9D9"/>
        </w:rPr>
      </w:pPr>
      <w:r>
        <w:rPr>
          <w:rFonts w:hint="eastAsia" w:ascii="宋体" w:hAnsi="宋体"/>
          <w:bCs/>
          <w:color w:val="000000"/>
          <w:sz w:val="24"/>
          <w:szCs w:val="24"/>
        </w:rPr>
        <w:t>（四）本次采购不收取投标保证金。</w:t>
      </w:r>
    </w:p>
    <w:p w14:paraId="14A5030D">
      <w:pPr>
        <w:widowControl/>
        <w:shd w:val="clear" w:color="auto" w:fill="FFFFFF"/>
        <w:spacing w:line="356" w:lineRule="auto"/>
        <w:ind w:firstLine="480" w:firstLineChars="200"/>
        <w:jc w:val="left"/>
        <w:rPr>
          <w:rFonts w:cs="宋体" w:asciiTheme="minorEastAsia" w:hAnsiTheme="minorEastAsia"/>
          <w:bCs/>
          <w:color w:val="000000" w:themeColor="text1"/>
          <w:kern w:val="0"/>
          <w:sz w:val="24"/>
          <w:szCs w:val="24"/>
        </w:rPr>
      </w:pPr>
      <w:r>
        <w:rPr>
          <w:rFonts w:hint="eastAsia" w:cs="宋体" w:asciiTheme="minorEastAsia" w:hAnsiTheme="minorEastAsia"/>
          <w:bCs/>
          <w:color w:val="000000" w:themeColor="text1"/>
          <w:kern w:val="0"/>
          <w:sz w:val="24"/>
          <w:szCs w:val="24"/>
        </w:rPr>
        <w:t>（五）其他事项</w:t>
      </w:r>
    </w:p>
    <w:p w14:paraId="7619F9E5">
      <w:pPr>
        <w:spacing w:line="360"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1）纸质投标文件：本项目为不见面开标，报价人无需递交纸质投标文件至现场，</w:t>
      </w:r>
      <w:r>
        <w:rPr>
          <w:rFonts w:hint="eastAsia" w:cs="Times New Roman" w:asciiTheme="minorEastAsia" w:hAnsiTheme="minorEastAsia"/>
          <w:b/>
          <w:sz w:val="24"/>
          <w:szCs w:val="24"/>
        </w:rPr>
        <w:t>中标后中标供应商向集中采购机构提供与电子投标文件完全一致的纸质投标文件（2份：一正、一副）。</w:t>
      </w:r>
    </w:p>
    <w:p w14:paraId="067A0860">
      <w:pPr>
        <w:spacing w:line="360"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2）供应商请仔细阅读供应商注册流程和招标文件中关于电子开评标等相关事项，如有问题可发送邮件或电话咨询。</w:t>
      </w:r>
      <w:bookmarkStart w:id="1" w:name="_Toc120614211"/>
    </w:p>
    <w:p w14:paraId="36DA0829">
      <w:pPr>
        <w:rPr>
          <w:rFonts w:ascii="黑体" w:hAnsi="黑体" w:eastAsia="黑体"/>
          <w:sz w:val="36"/>
          <w:szCs w:val="36"/>
        </w:rPr>
      </w:pPr>
      <w:r>
        <w:rPr>
          <w:rFonts w:hint="eastAsia" w:ascii="黑体" w:hAnsi="黑体" w:eastAsia="黑体"/>
          <w:sz w:val="36"/>
          <w:szCs w:val="36"/>
        </w:rPr>
        <w:br w:type="page"/>
      </w:r>
    </w:p>
    <w:p w14:paraId="1C9722D3">
      <w:pPr>
        <w:widowControl/>
        <w:jc w:val="center"/>
        <w:rPr>
          <w:rFonts w:asciiTheme="minorEastAsia" w:hAnsiTheme="minorEastAsia"/>
          <w:b/>
          <w:bCs/>
          <w:color w:val="000000" w:themeColor="text1"/>
          <w:sz w:val="28"/>
          <w:szCs w:val="28"/>
        </w:rPr>
      </w:pPr>
      <w:r>
        <w:rPr>
          <w:rFonts w:hint="eastAsia" w:ascii="黑体" w:hAnsi="黑体" w:eastAsia="黑体"/>
          <w:sz w:val="36"/>
          <w:szCs w:val="36"/>
        </w:rPr>
        <w:t xml:space="preserve">第二章  </w:t>
      </w:r>
      <w:bookmarkEnd w:id="1"/>
      <w:bookmarkStart w:id="2" w:name="_Toc513029202"/>
      <w:bookmarkStart w:id="3" w:name="_Toc16938518"/>
      <w:bookmarkStart w:id="4" w:name="_Toc20823274"/>
      <w:bookmarkStart w:id="5" w:name="_Toc120614213"/>
      <w:r>
        <w:rPr>
          <w:rFonts w:hint="eastAsia" w:ascii="黑体" w:hAnsi="黑体" w:eastAsia="黑体"/>
          <w:sz w:val="36"/>
          <w:szCs w:val="36"/>
        </w:rPr>
        <w:t>投标人须知</w:t>
      </w:r>
      <w:bookmarkEnd w:id="2"/>
      <w:bookmarkEnd w:id="3"/>
      <w:bookmarkEnd w:id="4"/>
      <w:bookmarkEnd w:id="5"/>
    </w:p>
    <w:p w14:paraId="2B34FF35">
      <w:pPr>
        <w:pStyle w:val="139"/>
        <w:keepNext w:val="0"/>
        <w:keepLines w:val="0"/>
        <w:spacing w:before="0" w:after="0" w:line="500" w:lineRule="exact"/>
        <w:ind w:firstLine="452"/>
        <w:rPr>
          <w:sz w:val="30"/>
          <w:szCs w:val="30"/>
          <w:lang w:eastAsia="zh-CN"/>
        </w:rPr>
      </w:pPr>
      <w:bookmarkStart w:id="6" w:name="_Toc513029203"/>
      <w:bookmarkStart w:id="7" w:name="_Toc16938519"/>
      <w:bookmarkStart w:id="8" w:name="_Toc120614214"/>
      <w:bookmarkStart w:id="9" w:name="_Toc20823275"/>
      <w:r>
        <w:rPr>
          <w:rFonts w:hint="eastAsia"/>
          <w:sz w:val="30"/>
          <w:szCs w:val="30"/>
          <w:lang w:eastAsia="zh-CN"/>
        </w:rPr>
        <w:t>一、总则</w:t>
      </w:r>
      <w:bookmarkEnd w:id="6"/>
      <w:bookmarkEnd w:id="7"/>
      <w:bookmarkEnd w:id="8"/>
      <w:bookmarkEnd w:id="9"/>
    </w:p>
    <w:p w14:paraId="3CF8ACD3">
      <w:pPr>
        <w:pStyle w:val="316"/>
        <w:keepNext w:val="0"/>
        <w:keepLines w:val="0"/>
        <w:spacing w:before="0" w:after="0" w:line="500" w:lineRule="exact"/>
        <w:ind w:firstLine="422"/>
        <w:rPr>
          <w:rFonts w:ascii="宋体" w:hAnsi="宋体" w:eastAsia="宋体"/>
          <w:bCs w:val="0"/>
          <w:lang w:eastAsia="zh-CN"/>
        </w:rPr>
      </w:pPr>
      <w:bookmarkStart w:id="10" w:name="_Hlt16619475"/>
      <w:bookmarkEnd w:id="10"/>
      <w:bookmarkStart w:id="11" w:name="_Toc16938520"/>
      <w:bookmarkStart w:id="12" w:name="_Toc513029204"/>
      <w:bookmarkStart w:id="13" w:name="_Toc20823276"/>
      <w:r>
        <w:rPr>
          <w:rFonts w:hint="eastAsia" w:ascii="宋体" w:hAnsi="宋体" w:eastAsia="宋体"/>
          <w:bCs w:val="0"/>
          <w:lang w:eastAsia="zh-CN"/>
        </w:rPr>
        <w:t>1.招标方式</w:t>
      </w:r>
      <w:bookmarkEnd w:id="11"/>
      <w:bookmarkEnd w:id="12"/>
      <w:bookmarkEnd w:id="13"/>
    </w:p>
    <w:p w14:paraId="3AD804EF">
      <w:pPr>
        <w:spacing w:line="500" w:lineRule="exact"/>
        <w:ind w:firstLine="480"/>
        <w:rPr>
          <w:rFonts w:ascii="宋体" w:hAnsi="宋体"/>
          <w:sz w:val="24"/>
        </w:rPr>
      </w:pPr>
      <w:r>
        <w:rPr>
          <w:rFonts w:hint="eastAsia" w:ascii="宋体" w:hAnsi="宋体"/>
          <w:sz w:val="24"/>
        </w:rPr>
        <w:t>1.1本次招标采取公开招标方式，本招标文件仅适用于招标公告中所述项目。</w:t>
      </w:r>
    </w:p>
    <w:p w14:paraId="61E47AA7">
      <w:pPr>
        <w:pStyle w:val="316"/>
        <w:keepNext w:val="0"/>
        <w:keepLines w:val="0"/>
        <w:spacing w:before="0" w:after="0" w:line="500" w:lineRule="exact"/>
        <w:ind w:firstLine="422"/>
        <w:rPr>
          <w:rFonts w:ascii="宋体" w:hAnsi="宋体" w:eastAsia="宋体"/>
          <w:bCs w:val="0"/>
          <w:lang w:eastAsia="zh-CN"/>
        </w:rPr>
      </w:pPr>
      <w:bookmarkStart w:id="14" w:name="_Toc16938521"/>
      <w:bookmarkStart w:id="15" w:name="_Toc513029205"/>
      <w:bookmarkStart w:id="16" w:name="_Toc20823277"/>
      <w:r>
        <w:rPr>
          <w:rFonts w:hint="eastAsia" w:ascii="宋体" w:hAnsi="宋体" w:eastAsia="宋体"/>
          <w:bCs w:val="0"/>
          <w:lang w:eastAsia="zh-CN"/>
        </w:rPr>
        <w:t>2.</w:t>
      </w:r>
      <w:bookmarkEnd w:id="14"/>
      <w:bookmarkEnd w:id="15"/>
      <w:bookmarkEnd w:id="16"/>
      <w:r>
        <w:rPr>
          <w:rFonts w:hint="eastAsia" w:ascii="宋体" w:hAnsi="宋体" w:eastAsia="宋体"/>
          <w:bCs w:val="0"/>
          <w:lang w:eastAsia="zh-CN"/>
        </w:rPr>
        <w:t>采购人、采购代理机构、投标人、联合体</w:t>
      </w:r>
    </w:p>
    <w:p w14:paraId="5E1F83CC">
      <w:pPr>
        <w:spacing w:line="500" w:lineRule="exact"/>
        <w:ind w:firstLine="480"/>
        <w:rPr>
          <w:rFonts w:ascii="宋体" w:hAnsi="宋体"/>
          <w:sz w:val="24"/>
          <w:szCs w:val="24"/>
        </w:rPr>
      </w:pPr>
      <w:r>
        <w:rPr>
          <w:rFonts w:hint="eastAsia" w:ascii="宋体" w:hAnsi="宋体"/>
          <w:sz w:val="24"/>
          <w:szCs w:val="24"/>
        </w:rPr>
        <w:t>2.1采购人、采购代理机构：指依法进行政府采购的国家机关、事业单位、团体组织，及其委托的采购代理机构。本项目采购人、采购代理机构见第一章《投标邀请》。</w:t>
      </w:r>
    </w:p>
    <w:p w14:paraId="69FEC341">
      <w:pPr>
        <w:spacing w:line="500" w:lineRule="exact"/>
        <w:ind w:firstLine="480"/>
        <w:rPr>
          <w:rFonts w:ascii="宋体" w:hAnsi="宋体"/>
          <w:sz w:val="24"/>
          <w:szCs w:val="24"/>
        </w:rPr>
      </w:pPr>
      <w:r>
        <w:rPr>
          <w:rFonts w:hint="eastAsia" w:ascii="宋体" w:hAnsi="宋体"/>
          <w:sz w:val="24"/>
          <w:szCs w:val="24"/>
        </w:rPr>
        <w:t>2.2投标人（也称“供应商”“申请人”）：是指响应招标、参加投标竞争的法人、其他组织或者自然人。合格的投标人应满足招标公告中供应商的资格要求以及本文件实质性要求和条件的规定。</w:t>
      </w:r>
    </w:p>
    <w:p w14:paraId="1CBE6811">
      <w:pPr>
        <w:spacing w:line="500" w:lineRule="exact"/>
        <w:ind w:firstLine="480"/>
        <w:rPr>
          <w:rFonts w:ascii="宋体" w:hAnsi="宋体"/>
          <w:sz w:val="24"/>
          <w:szCs w:val="24"/>
        </w:rPr>
      </w:pPr>
      <w:r>
        <w:rPr>
          <w:rFonts w:hint="eastAsia" w:ascii="宋体" w:hAnsi="宋体"/>
          <w:sz w:val="24"/>
          <w:szCs w:val="24"/>
        </w:rPr>
        <w:t>2.3联合体：指两个以上的自然人、法人或者其他组织组成一个联合体，以一个供应商的身份共同参加政府采购。以联合体形式参加政府采购活动的，联合体各方不得再单独参加或者与其他供应商另外组成联合体参加同一合同项下的政府采购活动。若联合体中任一成员单位中途退出，则该联合体的投标无效。</w:t>
      </w:r>
    </w:p>
    <w:p w14:paraId="2241E2AF">
      <w:pPr>
        <w:pStyle w:val="316"/>
        <w:keepNext w:val="0"/>
        <w:keepLines w:val="0"/>
        <w:spacing w:before="0" w:after="0" w:line="500" w:lineRule="exact"/>
        <w:ind w:firstLine="422"/>
        <w:rPr>
          <w:rFonts w:ascii="宋体" w:hAnsi="宋体" w:eastAsia="宋体"/>
          <w:bCs w:val="0"/>
          <w:lang w:eastAsia="zh-CN"/>
        </w:rPr>
      </w:pPr>
      <w:bookmarkStart w:id="17" w:name="_Toc16938522"/>
      <w:bookmarkStart w:id="18" w:name="_Toc20823278"/>
      <w:bookmarkStart w:id="19" w:name="_Toc513029206"/>
      <w:r>
        <w:rPr>
          <w:rFonts w:hint="eastAsia" w:ascii="宋体" w:hAnsi="宋体" w:eastAsia="宋体"/>
          <w:bCs w:val="0"/>
          <w:lang w:eastAsia="zh-CN"/>
        </w:rPr>
        <w:t>3.适用法律</w:t>
      </w:r>
      <w:bookmarkEnd w:id="17"/>
      <w:bookmarkEnd w:id="18"/>
      <w:bookmarkEnd w:id="19"/>
    </w:p>
    <w:p w14:paraId="27F07BAB">
      <w:pPr>
        <w:spacing w:line="500" w:lineRule="exact"/>
        <w:ind w:firstLine="480"/>
        <w:rPr>
          <w:rFonts w:ascii="宋体" w:hAnsi="宋体"/>
          <w:sz w:val="24"/>
        </w:rPr>
      </w:pPr>
      <w:r>
        <w:rPr>
          <w:rFonts w:hint="eastAsia" w:ascii="宋体" w:hAnsi="宋体"/>
          <w:sz w:val="24"/>
        </w:rPr>
        <w:t>3.1 本次招标及由此产生的合同受中华人民共和国有关的法律法规制约和保护</w:t>
      </w:r>
      <w:r>
        <w:rPr>
          <w:rFonts w:ascii="宋体" w:hAnsi="宋体"/>
          <w:sz w:val="24"/>
        </w:rPr>
        <w:t>。</w:t>
      </w:r>
    </w:p>
    <w:p w14:paraId="0579CC31">
      <w:pPr>
        <w:pStyle w:val="316"/>
        <w:keepNext w:val="0"/>
        <w:keepLines w:val="0"/>
        <w:spacing w:before="0" w:after="0" w:line="500" w:lineRule="exact"/>
        <w:ind w:firstLine="422"/>
        <w:rPr>
          <w:rFonts w:ascii="宋体" w:hAnsi="宋体" w:eastAsia="宋体"/>
          <w:bCs w:val="0"/>
          <w:lang w:eastAsia="zh-CN"/>
        </w:rPr>
      </w:pPr>
      <w:bookmarkStart w:id="20" w:name="_Toc462564067"/>
      <w:bookmarkStart w:id="21" w:name="_Toc20823279"/>
      <w:bookmarkStart w:id="22" w:name="_Toc513029207"/>
      <w:bookmarkStart w:id="23" w:name="_Toc16938523"/>
      <w:r>
        <w:rPr>
          <w:rFonts w:hint="eastAsia" w:ascii="宋体" w:hAnsi="宋体" w:eastAsia="宋体"/>
          <w:bCs w:val="0"/>
          <w:lang w:eastAsia="zh-CN"/>
        </w:rPr>
        <w:t>4.投标费用</w:t>
      </w:r>
      <w:bookmarkEnd w:id="20"/>
      <w:bookmarkEnd w:id="21"/>
      <w:bookmarkEnd w:id="22"/>
      <w:bookmarkEnd w:id="23"/>
    </w:p>
    <w:p w14:paraId="74F102AB">
      <w:pPr>
        <w:spacing w:line="500" w:lineRule="exact"/>
        <w:ind w:firstLine="480"/>
        <w:rPr>
          <w:rFonts w:ascii="宋体" w:hAnsi="宋体"/>
          <w:sz w:val="24"/>
        </w:rPr>
      </w:pPr>
      <w:r>
        <w:rPr>
          <w:rFonts w:hint="eastAsia" w:ascii="宋体" w:hAnsi="宋体"/>
          <w:bCs/>
          <w:sz w:val="24"/>
        </w:rPr>
        <w:t>4.1</w:t>
      </w:r>
      <w:r>
        <w:rPr>
          <w:rFonts w:hint="eastAsia" w:ascii="宋体" w:hAnsi="宋体"/>
          <w:sz w:val="24"/>
        </w:rPr>
        <w:t>投标人应自行承担所有与参加投标有关的费用，无论投标过程中的做法和结果如何，无锡市滨湖区公共资源交易中心（以下简称交易中心）在任何情况下均无义务和责任承担这些费用。</w:t>
      </w:r>
    </w:p>
    <w:p w14:paraId="50AEE1B1">
      <w:pPr>
        <w:spacing w:line="500" w:lineRule="exact"/>
        <w:ind w:firstLine="480"/>
        <w:rPr>
          <w:rFonts w:ascii="宋体" w:hAnsi="宋体"/>
          <w:sz w:val="24"/>
        </w:rPr>
      </w:pPr>
      <w:r>
        <w:rPr>
          <w:rFonts w:hint="eastAsia" w:ascii="宋体" w:hAnsi="宋体"/>
          <w:sz w:val="24"/>
        </w:rPr>
        <w:t>4.2本次招标标书工本费、中标服务费、招标文件均免费。</w:t>
      </w:r>
    </w:p>
    <w:p w14:paraId="1CB1699B">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5.招标文件的约束力</w:t>
      </w:r>
    </w:p>
    <w:p w14:paraId="169285FA">
      <w:pPr>
        <w:spacing w:line="500" w:lineRule="exact"/>
        <w:ind w:firstLine="480"/>
        <w:rPr>
          <w:rFonts w:ascii="宋体" w:hAnsi="宋体"/>
          <w:sz w:val="24"/>
          <w:szCs w:val="24"/>
        </w:rPr>
      </w:pPr>
      <w:r>
        <w:rPr>
          <w:rFonts w:hint="eastAsia" w:ascii="宋体" w:hAnsi="宋体"/>
          <w:bCs/>
          <w:sz w:val="24"/>
          <w:szCs w:val="24"/>
        </w:rPr>
        <w:t>5.1</w:t>
      </w:r>
      <w:r>
        <w:rPr>
          <w:rFonts w:hint="eastAsia" w:ascii="宋体" w:hAnsi="宋体"/>
          <w:sz w:val="24"/>
          <w:szCs w:val="24"/>
        </w:rPr>
        <w:t>投标人一旦参加本项目采购活动，即被认为接受了本招标文件的规定和约束。</w:t>
      </w:r>
    </w:p>
    <w:p w14:paraId="572F65E7">
      <w:pPr>
        <w:pStyle w:val="139"/>
        <w:keepNext w:val="0"/>
        <w:keepLines w:val="0"/>
        <w:spacing w:before="0" w:after="0" w:line="500" w:lineRule="exact"/>
        <w:ind w:firstLine="452"/>
        <w:rPr>
          <w:sz w:val="30"/>
          <w:szCs w:val="30"/>
          <w:lang w:eastAsia="zh-CN"/>
        </w:rPr>
      </w:pPr>
      <w:bookmarkStart w:id="24" w:name="_Toc513029209"/>
      <w:bookmarkStart w:id="25" w:name="_Toc16938525"/>
      <w:bookmarkStart w:id="26" w:name="_Toc20823281"/>
      <w:bookmarkStart w:id="27" w:name="_Toc120614215"/>
      <w:r>
        <w:rPr>
          <w:rFonts w:hint="eastAsia"/>
          <w:sz w:val="30"/>
          <w:szCs w:val="30"/>
          <w:lang w:eastAsia="zh-CN"/>
        </w:rPr>
        <w:t>二、招标文件</w:t>
      </w:r>
      <w:bookmarkEnd w:id="24"/>
      <w:bookmarkEnd w:id="25"/>
      <w:bookmarkEnd w:id="26"/>
      <w:bookmarkEnd w:id="27"/>
    </w:p>
    <w:p w14:paraId="54B453E5">
      <w:pPr>
        <w:pStyle w:val="316"/>
        <w:keepNext w:val="0"/>
        <w:keepLines w:val="0"/>
        <w:spacing w:before="0" w:after="0" w:line="500" w:lineRule="exact"/>
        <w:ind w:firstLine="422"/>
        <w:rPr>
          <w:rFonts w:ascii="宋体" w:hAnsi="宋体" w:eastAsia="宋体"/>
          <w:bCs w:val="0"/>
          <w:lang w:eastAsia="zh-CN"/>
        </w:rPr>
      </w:pPr>
      <w:bookmarkStart w:id="28" w:name="_Toc16938526"/>
      <w:bookmarkStart w:id="29" w:name="_Toc513029210"/>
      <w:bookmarkStart w:id="30" w:name="_Toc20823282"/>
      <w:r>
        <w:rPr>
          <w:rFonts w:hint="eastAsia" w:ascii="宋体" w:hAnsi="宋体" w:eastAsia="宋体"/>
          <w:bCs w:val="0"/>
          <w:lang w:eastAsia="zh-CN"/>
        </w:rPr>
        <w:t>6.招标文件构成</w:t>
      </w:r>
      <w:bookmarkEnd w:id="28"/>
      <w:bookmarkEnd w:id="29"/>
      <w:bookmarkEnd w:id="30"/>
    </w:p>
    <w:p w14:paraId="72E2E22E">
      <w:pPr>
        <w:spacing w:line="500" w:lineRule="exact"/>
        <w:ind w:firstLine="480"/>
        <w:rPr>
          <w:rFonts w:ascii="宋体" w:hAnsi="宋体"/>
          <w:sz w:val="24"/>
        </w:rPr>
      </w:pPr>
      <w:r>
        <w:rPr>
          <w:rFonts w:hint="eastAsia" w:ascii="宋体" w:hAnsi="宋体"/>
          <w:bCs/>
          <w:sz w:val="24"/>
        </w:rPr>
        <w:t>6.1</w:t>
      </w:r>
      <w:r>
        <w:rPr>
          <w:rFonts w:hint="eastAsia" w:ascii="宋体" w:hAnsi="宋体"/>
          <w:sz w:val="24"/>
        </w:rPr>
        <w:t>招标文件由以下部分组成：</w:t>
      </w:r>
    </w:p>
    <w:p w14:paraId="2F88A0BA">
      <w:pPr>
        <w:spacing w:line="500" w:lineRule="exact"/>
        <w:ind w:firstLine="480"/>
        <w:rPr>
          <w:rFonts w:ascii="宋体" w:hAnsi="宋体"/>
          <w:sz w:val="24"/>
          <w:szCs w:val="24"/>
        </w:rPr>
      </w:pPr>
      <w:r>
        <w:rPr>
          <w:rFonts w:hint="eastAsia" w:ascii="宋体" w:hAnsi="宋体"/>
          <w:sz w:val="24"/>
          <w:szCs w:val="24"/>
        </w:rPr>
        <w:t>（1）投标</w:t>
      </w:r>
      <w:r>
        <w:rPr>
          <w:rFonts w:ascii="宋体" w:hAnsi="宋体"/>
          <w:sz w:val="24"/>
          <w:szCs w:val="24"/>
        </w:rPr>
        <w:t>邀请</w:t>
      </w:r>
    </w:p>
    <w:p w14:paraId="242F49FB">
      <w:pPr>
        <w:spacing w:line="500" w:lineRule="exact"/>
        <w:ind w:firstLine="480"/>
        <w:rPr>
          <w:rFonts w:ascii="宋体" w:hAnsi="宋体"/>
          <w:sz w:val="24"/>
          <w:szCs w:val="24"/>
        </w:rPr>
      </w:pPr>
      <w:r>
        <w:rPr>
          <w:rFonts w:hint="eastAsia" w:ascii="宋体" w:hAnsi="宋体"/>
          <w:sz w:val="24"/>
          <w:szCs w:val="24"/>
        </w:rPr>
        <w:t>（2）投标人须知</w:t>
      </w:r>
    </w:p>
    <w:p w14:paraId="7BC7251C">
      <w:pPr>
        <w:spacing w:line="500" w:lineRule="exact"/>
        <w:ind w:firstLine="480"/>
        <w:rPr>
          <w:rFonts w:ascii="宋体" w:hAnsi="宋体"/>
          <w:sz w:val="24"/>
          <w:szCs w:val="24"/>
        </w:rPr>
      </w:pPr>
      <w:r>
        <w:rPr>
          <w:rFonts w:hint="eastAsia" w:ascii="宋体" w:hAnsi="宋体"/>
          <w:sz w:val="24"/>
          <w:szCs w:val="24"/>
        </w:rPr>
        <w:t>（3）合同文本</w:t>
      </w:r>
    </w:p>
    <w:p w14:paraId="166FDA9F">
      <w:pPr>
        <w:spacing w:line="500" w:lineRule="exact"/>
        <w:ind w:firstLine="480"/>
        <w:rPr>
          <w:rFonts w:ascii="宋体" w:hAnsi="宋体"/>
          <w:sz w:val="24"/>
          <w:szCs w:val="24"/>
        </w:rPr>
      </w:pPr>
      <w:r>
        <w:rPr>
          <w:rFonts w:hint="eastAsia" w:ascii="宋体" w:hAnsi="宋体"/>
          <w:sz w:val="24"/>
          <w:szCs w:val="24"/>
        </w:rPr>
        <w:t>（4）采购需求</w:t>
      </w:r>
    </w:p>
    <w:p w14:paraId="5BACCE93">
      <w:pPr>
        <w:spacing w:line="500" w:lineRule="exact"/>
        <w:ind w:firstLine="480"/>
        <w:rPr>
          <w:sz w:val="24"/>
          <w:szCs w:val="24"/>
        </w:rPr>
      </w:pPr>
      <w:r>
        <w:rPr>
          <w:rFonts w:hint="eastAsia" w:ascii="宋体" w:hAnsi="宋体"/>
          <w:sz w:val="24"/>
          <w:szCs w:val="24"/>
        </w:rPr>
        <w:t>（5）</w:t>
      </w:r>
      <w:r>
        <w:rPr>
          <w:rFonts w:hint="eastAsia" w:hAnsi="宋体"/>
          <w:sz w:val="24"/>
          <w:szCs w:val="24"/>
        </w:rPr>
        <w:t>评标方法与评标标准</w:t>
      </w:r>
    </w:p>
    <w:p w14:paraId="0362AB9C">
      <w:pPr>
        <w:spacing w:line="500" w:lineRule="exact"/>
        <w:ind w:firstLine="480"/>
        <w:rPr>
          <w:rFonts w:ascii="宋体" w:hAnsi="宋体"/>
          <w:sz w:val="24"/>
          <w:szCs w:val="24"/>
        </w:rPr>
      </w:pPr>
      <w:r>
        <w:rPr>
          <w:rFonts w:hint="eastAsia" w:ascii="宋体" w:hAnsi="宋体"/>
          <w:sz w:val="24"/>
          <w:szCs w:val="24"/>
        </w:rPr>
        <w:t>（6）投标文件内容与格式</w:t>
      </w:r>
    </w:p>
    <w:p w14:paraId="52C67859">
      <w:pPr>
        <w:spacing w:line="500" w:lineRule="exact"/>
        <w:ind w:firstLine="480"/>
        <w:rPr>
          <w:rFonts w:ascii="宋体" w:hAnsi="宋体"/>
          <w:sz w:val="24"/>
        </w:rPr>
      </w:pPr>
      <w:r>
        <w:rPr>
          <w:rFonts w:hint="eastAsia" w:ascii="宋体" w:hAnsi="宋体"/>
          <w:sz w:val="24"/>
        </w:rPr>
        <w:t>请仔细检查招标文件是否齐全，如有缺漏请立即与交易中心联系解决。</w:t>
      </w:r>
    </w:p>
    <w:p w14:paraId="1A235A8A">
      <w:pPr>
        <w:spacing w:line="500" w:lineRule="exact"/>
        <w:ind w:firstLine="480"/>
        <w:rPr>
          <w:rFonts w:ascii="宋体" w:hAnsi="宋体"/>
          <w:sz w:val="24"/>
        </w:rPr>
      </w:pPr>
      <w:r>
        <w:rPr>
          <w:rFonts w:hint="eastAsia" w:ascii="宋体" w:hAnsi="宋体"/>
          <w:sz w:val="24"/>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9A42949">
      <w:pPr>
        <w:pStyle w:val="316"/>
        <w:keepNext w:val="0"/>
        <w:keepLines w:val="0"/>
        <w:spacing w:before="0" w:after="0" w:line="500" w:lineRule="exact"/>
        <w:ind w:firstLine="422"/>
        <w:rPr>
          <w:rFonts w:ascii="宋体" w:hAnsi="宋体" w:eastAsia="宋体"/>
          <w:bCs w:val="0"/>
          <w:lang w:eastAsia="zh-CN"/>
        </w:rPr>
      </w:pPr>
      <w:bookmarkStart w:id="31" w:name="_Toc513029211"/>
      <w:bookmarkStart w:id="32" w:name="_Toc20823283"/>
      <w:bookmarkStart w:id="33" w:name="_Toc462564070"/>
      <w:bookmarkStart w:id="34" w:name="_Toc16938527"/>
      <w:r>
        <w:rPr>
          <w:rFonts w:hint="eastAsia" w:ascii="宋体" w:hAnsi="宋体" w:eastAsia="宋体"/>
          <w:bCs w:val="0"/>
          <w:lang w:eastAsia="zh-CN"/>
        </w:rPr>
        <w:t>7.招标文件的澄清</w:t>
      </w:r>
      <w:bookmarkEnd w:id="31"/>
      <w:bookmarkEnd w:id="32"/>
      <w:bookmarkEnd w:id="33"/>
      <w:bookmarkEnd w:id="34"/>
    </w:p>
    <w:p w14:paraId="2FE96C98">
      <w:pPr>
        <w:spacing w:line="500" w:lineRule="exact"/>
        <w:ind w:firstLine="480"/>
        <w:rPr>
          <w:rFonts w:ascii="宋体" w:hAnsi="宋体"/>
          <w:bCs/>
          <w:sz w:val="24"/>
        </w:rPr>
      </w:pPr>
      <w:r>
        <w:rPr>
          <w:rFonts w:hint="eastAsia" w:ascii="宋体" w:hAnsi="宋体"/>
          <w:bCs/>
          <w:sz w:val="24"/>
        </w:rPr>
        <w:t>7.1本项目不召开开标前答疑会，投标人如有需要对招标文件要求澄清的问题，应在投标截止期至少十五日前按招标公告或招标文件中的通讯地址，参照本章下述28.4条款的规定向采购人或交易中心以书面形式提出。</w:t>
      </w:r>
    </w:p>
    <w:p w14:paraId="362F1392">
      <w:pPr>
        <w:pStyle w:val="316"/>
        <w:keepNext w:val="0"/>
        <w:keepLines w:val="0"/>
        <w:spacing w:before="0" w:after="0" w:line="500" w:lineRule="exact"/>
        <w:ind w:firstLine="422"/>
        <w:rPr>
          <w:rFonts w:ascii="宋体" w:hAnsi="宋体" w:eastAsia="宋体"/>
          <w:bCs w:val="0"/>
          <w:lang w:eastAsia="zh-CN"/>
        </w:rPr>
      </w:pPr>
      <w:bookmarkStart w:id="35" w:name="_Toc513029212"/>
      <w:bookmarkStart w:id="36" w:name="_Toc20823284"/>
      <w:bookmarkStart w:id="37" w:name="_Toc462564071"/>
      <w:bookmarkStart w:id="38" w:name="_Toc16938528"/>
      <w:r>
        <w:rPr>
          <w:rFonts w:hint="eastAsia" w:ascii="宋体" w:hAnsi="宋体" w:eastAsia="宋体"/>
          <w:bCs w:val="0"/>
          <w:lang w:eastAsia="zh-CN"/>
        </w:rPr>
        <w:t>8.招标文件的修改</w:t>
      </w:r>
      <w:bookmarkEnd w:id="35"/>
      <w:bookmarkEnd w:id="36"/>
      <w:bookmarkEnd w:id="37"/>
      <w:bookmarkEnd w:id="38"/>
    </w:p>
    <w:p w14:paraId="2019105B">
      <w:pPr>
        <w:spacing w:line="500" w:lineRule="exact"/>
        <w:ind w:firstLine="480"/>
        <w:rPr>
          <w:rFonts w:ascii="宋体" w:hAnsi="宋体"/>
          <w:bCs/>
          <w:sz w:val="24"/>
          <w:szCs w:val="24"/>
        </w:rPr>
      </w:pPr>
      <w:r>
        <w:rPr>
          <w:rFonts w:hint="eastAsia" w:ascii="宋体" w:hAnsi="宋体"/>
          <w:bCs/>
          <w:sz w:val="24"/>
          <w:szCs w:val="24"/>
        </w:rPr>
        <w:t>8.1交易中心可在投标截止时间十五日前对招标文件进行必要的澄清或者修改，不足十五日的，将顺延提交投标文件的截止时间和开标日期。</w:t>
      </w:r>
    </w:p>
    <w:p w14:paraId="0A2FDDEA">
      <w:pPr>
        <w:spacing w:line="500" w:lineRule="exact"/>
        <w:ind w:firstLine="480"/>
        <w:rPr>
          <w:rFonts w:ascii="宋体" w:hAnsi="宋体"/>
          <w:sz w:val="24"/>
        </w:rPr>
      </w:pPr>
      <w:r>
        <w:rPr>
          <w:rFonts w:hint="eastAsia" w:ascii="宋体" w:hAnsi="宋体"/>
          <w:sz w:val="24"/>
        </w:rPr>
        <w:t>8.2</w:t>
      </w:r>
      <w:r>
        <w:rPr>
          <w:rFonts w:hint="eastAsia" w:ascii="宋体" w:hAnsi="宋体"/>
          <w:bCs/>
          <w:sz w:val="24"/>
          <w:szCs w:val="24"/>
        </w:rPr>
        <w:t>如需对招标文件进行澄清或修改，交易中心将在无锡政府采购网、江苏政府采购网发布更正公告，澄清或修改的内容为招标文件的组成部分，并对投标人具有约束力。投标人应在投标截止时间前</w:t>
      </w:r>
      <w:r>
        <w:rPr>
          <w:rFonts w:hint="eastAsia" w:ascii="宋体" w:hAnsi="宋体"/>
          <w:sz w:val="24"/>
          <w:szCs w:val="24"/>
        </w:rPr>
        <w:t>登录</w:t>
      </w:r>
      <w:r>
        <w:rPr>
          <w:rFonts w:hint="eastAsia" w:ascii="宋体" w:hAnsi="宋体"/>
          <w:bCs/>
          <w:sz w:val="24"/>
          <w:szCs w:val="24"/>
        </w:rPr>
        <w:t>“苏采云”系统</w:t>
      </w:r>
      <w:r>
        <w:rPr>
          <w:rFonts w:hint="eastAsia" w:ascii="宋体" w:hAnsi="宋体"/>
          <w:sz w:val="24"/>
          <w:szCs w:val="24"/>
        </w:rPr>
        <w:t>或</w:t>
      </w:r>
      <w:r>
        <w:rPr>
          <w:rFonts w:hint="eastAsia" w:ascii="宋体" w:hAnsi="宋体"/>
          <w:bCs/>
          <w:sz w:val="24"/>
          <w:szCs w:val="24"/>
        </w:rPr>
        <w:t>关注原招标公告媒体上发布的更正公告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或未</w:t>
      </w:r>
      <w:r>
        <w:rPr>
          <w:rFonts w:hint="eastAsia" w:ascii="宋体" w:hAnsi="宋体"/>
          <w:bCs/>
          <w:sz w:val="24"/>
          <w:szCs w:val="24"/>
        </w:rPr>
        <w:t>全面地关注更正公告导致其提交的投标材料不符合本项目相关招标要求，而造成的损失及风险（包括但不限于未中标）由投标人自行承担。</w:t>
      </w:r>
    </w:p>
    <w:p w14:paraId="1454D04C">
      <w:pPr>
        <w:pStyle w:val="139"/>
        <w:keepNext w:val="0"/>
        <w:keepLines w:val="0"/>
        <w:spacing w:before="0" w:after="0" w:line="500" w:lineRule="exact"/>
        <w:ind w:firstLine="452"/>
        <w:rPr>
          <w:sz w:val="30"/>
          <w:szCs w:val="30"/>
          <w:lang w:eastAsia="zh-CN"/>
        </w:rPr>
      </w:pPr>
      <w:bookmarkStart w:id="39" w:name="_Toc20823285"/>
      <w:bookmarkStart w:id="40" w:name="_Toc462564072"/>
      <w:bookmarkStart w:id="41" w:name="_Toc16938529"/>
      <w:bookmarkStart w:id="42" w:name="_Toc120614216"/>
      <w:bookmarkStart w:id="43" w:name="_Toc513029213"/>
      <w:r>
        <w:rPr>
          <w:rFonts w:hint="eastAsia"/>
          <w:sz w:val="30"/>
          <w:szCs w:val="30"/>
          <w:lang w:eastAsia="zh-CN"/>
        </w:rPr>
        <w:t>三、投标文件的编制</w:t>
      </w:r>
      <w:bookmarkEnd w:id="39"/>
      <w:bookmarkEnd w:id="40"/>
      <w:bookmarkEnd w:id="41"/>
      <w:bookmarkEnd w:id="42"/>
      <w:bookmarkEnd w:id="43"/>
    </w:p>
    <w:p w14:paraId="3D65C60B">
      <w:pPr>
        <w:pStyle w:val="316"/>
        <w:keepNext w:val="0"/>
        <w:keepLines w:val="0"/>
        <w:spacing w:before="0" w:after="0" w:line="500" w:lineRule="exact"/>
        <w:ind w:firstLine="422"/>
        <w:rPr>
          <w:rFonts w:ascii="宋体" w:hAnsi="宋体" w:eastAsia="宋体"/>
          <w:bCs w:val="0"/>
          <w:lang w:eastAsia="zh-CN"/>
        </w:rPr>
      </w:pPr>
      <w:bookmarkStart w:id="44" w:name="_Toc16938530"/>
      <w:bookmarkStart w:id="45" w:name="_Toc462564073"/>
      <w:bookmarkStart w:id="46" w:name="_Toc20823286"/>
      <w:bookmarkStart w:id="47" w:name="_Toc513029214"/>
      <w:r>
        <w:rPr>
          <w:rFonts w:hint="eastAsia" w:ascii="宋体" w:hAnsi="宋体" w:eastAsia="宋体"/>
          <w:bCs w:val="0"/>
          <w:lang w:eastAsia="zh-CN"/>
        </w:rPr>
        <w:t>9.投标文件的语言及度量衡单位</w:t>
      </w:r>
      <w:bookmarkEnd w:id="44"/>
      <w:bookmarkEnd w:id="45"/>
      <w:bookmarkEnd w:id="46"/>
      <w:bookmarkEnd w:id="47"/>
    </w:p>
    <w:p w14:paraId="15093B36">
      <w:pPr>
        <w:spacing w:line="500" w:lineRule="exact"/>
        <w:ind w:firstLine="480"/>
        <w:rPr>
          <w:rFonts w:ascii="宋体" w:hAnsi="宋体"/>
          <w:sz w:val="24"/>
        </w:rPr>
      </w:pPr>
      <w:r>
        <w:rPr>
          <w:rFonts w:hint="eastAsia" w:ascii="宋体" w:hAnsi="宋体"/>
          <w:bCs/>
          <w:sz w:val="24"/>
        </w:rPr>
        <w:t>9.1</w:t>
      </w:r>
      <w:r>
        <w:rPr>
          <w:rFonts w:hint="eastAsia" w:ascii="宋体" w:hAnsi="宋体"/>
          <w:sz w:val="24"/>
        </w:rPr>
        <w:t>投标人提交的投标文件以及投标人与交易中心就有关投标的所有来往通知、函件和文件均应使用</w:t>
      </w:r>
      <w:r>
        <w:rPr>
          <w:rFonts w:hint="eastAsia" w:ascii="宋体" w:hAnsi="宋体"/>
          <w:bCs/>
          <w:sz w:val="24"/>
        </w:rPr>
        <w:t>简体中文</w:t>
      </w:r>
      <w:r>
        <w:rPr>
          <w:rFonts w:hint="eastAsia" w:ascii="宋体" w:hAnsi="宋体"/>
          <w:bCs/>
          <w:sz w:val="24"/>
          <w:szCs w:val="24"/>
        </w:rPr>
        <w:t>（规格、型号辅助符号例外）</w:t>
      </w:r>
      <w:r>
        <w:rPr>
          <w:rFonts w:hint="eastAsia" w:ascii="宋体" w:hAnsi="宋体"/>
          <w:sz w:val="24"/>
        </w:rPr>
        <w:t>。</w:t>
      </w:r>
    </w:p>
    <w:p w14:paraId="7D969335">
      <w:pPr>
        <w:spacing w:line="500" w:lineRule="exact"/>
        <w:ind w:firstLine="480"/>
        <w:rPr>
          <w:rFonts w:ascii="宋体" w:hAnsi="宋体"/>
          <w:sz w:val="24"/>
        </w:rPr>
      </w:pPr>
      <w:r>
        <w:rPr>
          <w:rFonts w:hint="eastAsia" w:ascii="宋体" w:hAnsi="宋体"/>
          <w:bCs/>
          <w:sz w:val="24"/>
        </w:rPr>
        <w:t>9.2</w:t>
      </w:r>
      <w:r>
        <w:rPr>
          <w:rFonts w:hint="eastAsia" w:ascii="宋体" w:hAnsi="宋体"/>
          <w:sz w:val="24"/>
        </w:rPr>
        <w:t>除技术性能另有规定外，投标文件所使用的度量衡单位，均须采用国家法定计量单位。</w:t>
      </w:r>
    </w:p>
    <w:p w14:paraId="06C27D71">
      <w:pPr>
        <w:pStyle w:val="316"/>
        <w:keepNext w:val="0"/>
        <w:keepLines w:val="0"/>
        <w:spacing w:before="0" w:after="0" w:line="500" w:lineRule="exact"/>
        <w:ind w:firstLine="422"/>
        <w:rPr>
          <w:rFonts w:ascii="宋体" w:hAnsi="宋体" w:eastAsia="宋体"/>
          <w:bCs w:val="0"/>
          <w:lang w:eastAsia="zh-CN"/>
        </w:rPr>
      </w:pPr>
      <w:bookmarkStart w:id="48" w:name="_Toc20823287"/>
      <w:bookmarkStart w:id="49" w:name="_Toc16938531"/>
      <w:bookmarkStart w:id="50" w:name="_Toc462564074"/>
      <w:bookmarkStart w:id="51" w:name="_Toc513029215"/>
      <w:r>
        <w:rPr>
          <w:rFonts w:hint="eastAsia" w:ascii="宋体" w:hAnsi="宋体" w:eastAsia="宋体"/>
          <w:bCs w:val="0"/>
          <w:lang w:eastAsia="zh-CN"/>
        </w:rPr>
        <w:t>10.投标文件构成</w:t>
      </w:r>
      <w:bookmarkEnd w:id="48"/>
      <w:bookmarkEnd w:id="49"/>
      <w:bookmarkEnd w:id="50"/>
      <w:bookmarkEnd w:id="51"/>
    </w:p>
    <w:p w14:paraId="19B7D567">
      <w:pPr>
        <w:spacing w:line="500" w:lineRule="exact"/>
        <w:ind w:firstLine="480"/>
        <w:rPr>
          <w:rFonts w:ascii="宋体" w:hAnsi="宋体"/>
          <w:sz w:val="24"/>
        </w:rPr>
      </w:pPr>
      <w:r>
        <w:rPr>
          <w:rFonts w:hint="eastAsia" w:ascii="宋体" w:hAnsi="宋体"/>
          <w:sz w:val="24"/>
        </w:rPr>
        <w:t>10.1投标人编写的投标文件应包括资格证明文件、符合性证明文件（投标函、承诺书、开标一览表、分项报价表、投标偏离表、《采购需求》中如有要求须提供的证明文件等）、其他证明文件（《评标方法与评标标准》中涉及的证明文件、其他投标人认为应附的文件）等内容。</w:t>
      </w:r>
    </w:p>
    <w:p w14:paraId="56842842">
      <w:pPr>
        <w:spacing w:line="500" w:lineRule="exact"/>
        <w:ind w:firstLine="480"/>
        <w:rPr>
          <w:rFonts w:ascii="宋体" w:hAnsi="宋体"/>
          <w:sz w:val="24"/>
        </w:rPr>
      </w:pPr>
      <w:r>
        <w:rPr>
          <w:rFonts w:hint="eastAsia" w:ascii="宋体" w:hAnsi="宋体"/>
          <w:sz w:val="24"/>
        </w:rPr>
        <w:t>10.2投标人所须提供的相关证明文件和要求以及投标文件的部分格式要求，详见第六章《投标文件内容与格式》。</w:t>
      </w:r>
    </w:p>
    <w:p w14:paraId="6F2738BF">
      <w:pPr>
        <w:spacing w:line="500" w:lineRule="exact"/>
        <w:ind w:firstLine="480"/>
        <w:rPr>
          <w:rFonts w:ascii="宋体" w:hAnsi="宋体"/>
          <w:sz w:val="24"/>
        </w:rPr>
      </w:pPr>
      <w:r>
        <w:rPr>
          <w:rFonts w:hint="eastAsia" w:ascii="宋体" w:hAnsi="宋体"/>
          <w:sz w:val="24"/>
        </w:rPr>
        <w:t>10.3如标书制作工具中格式和内容与招标文件不一致的，请以招标文件为准。</w:t>
      </w:r>
    </w:p>
    <w:p w14:paraId="3F05FAA0">
      <w:pPr>
        <w:pStyle w:val="316"/>
        <w:keepNext w:val="0"/>
        <w:keepLines w:val="0"/>
        <w:spacing w:before="0" w:after="0" w:line="500" w:lineRule="exact"/>
        <w:ind w:firstLine="422"/>
        <w:rPr>
          <w:rFonts w:ascii="宋体" w:hAnsi="宋体" w:eastAsia="宋体"/>
          <w:bCs w:val="0"/>
          <w:lang w:eastAsia="zh-CN"/>
        </w:rPr>
      </w:pPr>
      <w:bookmarkStart w:id="52" w:name="_Hlt26670360"/>
      <w:bookmarkEnd w:id="52"/>
      <w:bookmarkStart w:id="53" w:name="_Hlt26668975"/>
      <w:bookmarkEnd w:id="53"/>
      <w:bookmarkStart w:id="54" w:name="_Hlt26954838"/>
      <w:bookmarkEnd w:id="54"/>
      <w:bookmarkStart w:id="55" w:name="_Toc49090509"/>
      <w:bookmarkStart w:id="56" w:name="_Toc513029219"/>
      <w:bookmarkStart w:id="57" w:name="_Toc14577357"/>
      <w:bookmarkStart w:id="58" w:name="_Toc14577354"/>
      <w:bookmarkStart w:id="59" w:name="_Toc49090507"/>
      <w:bookmarkStart w:id="60" w:name="_Toc513029216"/>
      <w:r>
        <w:rPr>
          <w:rFonts w:hint="eastAsia" w:ascii="宋体" w:hAnsi="宋体" w:eastAsia="宋体"/>
          <w:bCs w:val="0"/>
          <w:lang w:eastAsia="zh-CN"/>
        </w:rPr>
        <w:t>11.证明投标人及投标标的符合招标文件规定的文件</w:t>
      </w:r>
      <w:bookmarkEnd w:id="55"/>
      <w:bookmarkEnd w:id="56"/>
      <w:bookmarkEnd w:id="57"/>
    </w:p>
    <w:bookmarkEnd w:id="58"/>
    <w:bookmarkEnd w:id="59"/>
    <w:bookmarkEnd w:id="60"/>
    <w:p w14:paraId="1FB12891">
      <w:pPr>
        <w:spacing w:line="500" w:lineRule="exact"/>
        <w:ind w:firstLine="480"/>
        <w:rPr>
          <w:rFonts w:ascii="宋体" w:hAnsi="宋体"/>
          <w:bCs/>
          <w:sz w:val="24"/>
        </w:rPr>
      </w:pPr>
      <w:bookmarkStart w:id="61" w:name="_Toc49090508"/>
      <w:bookmarkStart w:id="62" w:name="_Toc14577355"/>
      <w:r>
        <w:rPr>
          <w:rFonts w:hint="eastAsia" w:ascii="宋体" w:hAnsi="宋体"/>
          <w:bCs/>
          <w:sz w:val="24"/>
        </w:rPr>
        <w:t>11.1投标人应按照法律法规、规章和规范性文件以及招标文件要求提交证明文件，证明其及投标标的符合招标文</w:t>
      </w:r>
      <w:r>
        <w:rPr>
          <w:rFonts w:hint="eastAsia" w:ascii="宋体" w:hAnsi="宋体"/>
          <w:bCs/>
          <w:sz w:val="24"/>
          <w:lang w:eastAsia="zh-CN"/>
        </w:rPr>
        <w:t>件的</w:t>
      </w:r>
      <w:r>
        <w:rPr>
          <w:rFonts w:hint="eastAsia" w:ascii="宋体" w:hAnsi="宋体"/>
          <w:bCs/>
          <w:sz w:val="24"/>
        </w:rPr>
        <w:t>规定。</w:t>
      </w:r>
    </w:p>
    <w:p w14:paraId="16696587">
      <w:pPr>
        <w:spacing w:line="500" w:lineRule="exact"/>
        <w:ind w:firstLine="480"/>
        <w:rPr>
          <w:rFonts w:ascii="宋体" w:hAnsi="宋体"/>
          <w:sz w:val="24"/>
          <w:szCs w:val="24"/>
        </w:rPr>
      </w:pPr>
      <w:r>
        <w:rPr>
          <w:rFonts w:hint="eastAsia" w:ascii="宋体" w:hAnsi="宋体"/>
          <w:sz w:val="24"/>
          <w:szCs w:val="24"/>
        </w:rPr>
        <w:t>11.2招标文件对证明文件无明确形式要求的，证明文件可以以文字资料、图纸和数据等形式提交。</w:t>
      </w:r>
    </w:p>
    <w:p w14:paraId="6332B06D">
      <w:pPr>
        <w:pStyle w:val="316"/>
        <w:keepNext w:val="0"/>
        <w:keepLines w:val="0"/>
        <w:spacing w:before="0" w:after="0" w:line="500" w:lineRule="exact"/>
        <w:ind w:firstLine="422"/>
        <w:rPr>
          <w:rFonts w:ascii="宋体" w:hAnsi="宋体" w:eastAsia="宋体"/>
          <w:bCs w:val="0"/>
          <w:lang w:eastAsia="zh-CN"/>
        </w:rPr>
      </w:pPr>
      <w:bookmarkStart w:id="63" w:name="_Toc49090510"/>
      <w:bookmarkStart w:id="64" w:name="_Toc14577359"/>
      <w:r>
        <w:rPr>
          <w:rFonts w:hint="eastAsia" w:ascii="宋体" w:hAnsi="宋体" w:eastAsia="宋体"/>
          <w:bCs w:val="0"/>
          <w:lang w:eastAsia="zh-CN"/>
        </w:rPr>
        <w:t>12.投标函、承诺书和开标一览表</w:t>
      </w:r>
    </w:p>
    <w:p w14:paraId="3C6E2242">
      <w:pPr>
        <w:spacing w:line="500" w:lineRule="exact"/>
        <w:ind w:firstLine="480"/>
        <w:rPr>
          <w:rFonts w:ascii="宋体" w:hAnsi="宋体"/>
          <w:sz w:val="24"/>
        </w:rPr>
      </w:pPr>
      <w:r>
        <w:rPr>
          <w:rFonts w:hint="eastAsia" w:ascii="宋体" w:hAnsi="宋体"/>
          <w:bCs/>
          <w:sz w:val="24"/>
        </w:rPr>
        <w:t>12.1</w:t>
      </w:r>
      <w:r>
        <w:rPr>
          <w:rFonts w:hint="eastAsia" w:ascii="宋体" w:hAnsi="宋体"/>
          <w:sz w:val="24"/>
        </w:rPr>
        <w:t>投标人应按照招标文件中提供的格式，完整、正确填写投标函、承诺书；投标人应按照“苏采云”系统中的给定格式模块为准，完整、正确填写开标一览表。</w:t>
      </w:r>
    </w:p>
    <w:p w14:paraId="2E809EAD">
      <w:pPr>
        <w:spacing w:line="500" w:lineRule="exact"/>
        <w:ind w:firstLine="480"/>
        <w:rPr>
          <w:rFonts w:ascii="宋体" w:hAnsi="宋体"/>
          <w:bCs/>
          <w:sz w:val="24"/>
        </w:rPr>
      </w:pPr>
      <w:r>
        <w:rPr>
          <w:rFonts w:hint="eastAsia" w:ascii="宋体" w:hAnsi="宋体"/>
          <w:sz w:val="24"/>
        </w:rPr>
        <w:t>12.2对于采用货币报价的项目，开标一览表中的投标总报价应与分项报价表的总额一致，如不一致，不作为无效投标处理，但评标时按开标一览表中价格为准。</w:t>
      </w:r>
    </w:p>
    <w:bookmarkEnd w:id="63"/>
    <w:bookmarkEnd w:id="64"/>
    <w:p w14:paraId="56C175BF">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13.</w:t>
      </w:r>
      <w:bookmarkEnd w:id="61"/>
      <w:bookmarkEnd w:id="62"/>
      <w:r>
        <w:rPr>
          <w:rFonts w:hint="eastAsia" w:ascii="宋体" w:hAnsi="宋体" w:eastAsia="宋体"/>
          <w:bCs w:val="0"/>
          <w:lang w:eastAsia="zh-CN"/>
        </w:rPr>
        <w:t>分项报价表</w:t>
      </w:r>
    </w:p>
    <w:p w14:paraId="66E7551E">
      <w:pPr>
        <w:spacing w:line="500" w:lineRule="exact"/>
        <w:ind w:firstLine="480"/>
        <w:rPr>
          <w:rFonts w:ascii="宋体" w:hAnsi="宋体"/>
          <w:bCs/>
          <w:sz w:val="24"/>
        </w:rPr>
      </w:pPr>
      <w:r>
        <w:rPr>
          <w:rFonts w:hint="eastAsia" w:ascii="宋体" w:hAnsi="宋体"/>
          <w:bCs/>
          <w:sz w:val="24"/>
        </w:rPr>
        <w:t>13.1</w:t>
      </w:r>
      <w:r>
        <w:rPr>
          <w:rFonts w:hint="eastAsia" w:ascii="宋体" w:hAnsi="宋体"/>
          <w:sz w:val="24"/>
        </w:rPr>
        <w:t>投</w:t>
      </w:r>
      <w:bookmarkStart w:id="65" w:name="_Hlt26954840"/>
      <w:bookmarkEnd w:id="65"/>
      <w:r>
        <w:rPr>
          <w:rFonts w:hint="eastAsia" w:ascii="宋体" w:hAnsi="宋体"/>
          <w:sz w:val="24"/>
        </w:rPr>
        <w:t>标人应按照招标文件规定格式填报</w:t>
      </w:r>
      <w:bookmarkStart w:id="66" w:name="_Hlt26670399"/>
      <w:bookmarkEnd w:id="66"/>
      <w:r>
        <w:rPr>
          <w:rFonts w:hint="eastAsia" w:ascii="宋体" w:hAnsi="宋体"/>
          <w:sz w:val="24"/>
        </w:rPr>
        <w:t>分项报价表。</w:t>
      </w:r>
    </w:p>
    <w:p w14:paraId="03B7AE13">
      <w:pPr>
        <w:spacing w:line="500" w:lineRule="exact"/>
        <w:ind w:firstLine="480"/>
        <w:rPr>
          <w:rFonts w:ascii="宋体" w:hAnsi="宋体"/>
          <w:bCs/>
          <w:sz w:val="24"/>
        </w:rPr>
      </w:pPr>
      <w:r>
        <w:rPr>
          <w:rFonts w:hint="eastAsia" w:ascii="宋体" w:hAnsi="宋体"/>
          <w:sz w:val="24"/>
        </w:rPr>
        <w:t>13.2</w:t>
      </w:r>
      <w:r>
        <w:rPr>
          <w:rFonts w:hint="eastAsia" w:ascii="宋体" w:hAnsi="宋体"/>
          <w:bCs/>
          <w:sz w:val="24"/>
        </w:rPr>
        <w:t>投标货币。投标文件中的单价和总价无特殊规定的采用人民币报价，以“元”为单位标注。</w:t>
      </w:r>
      <w:r>
        <w:rPr>
          <w:rFonts w:hint="eastAsia" w:ascii="宋体" w:hAnsi="宋体"/>
          <w:sz w:val="24"/>
        </w:rPr>
        <w:t>招标文件中另有规定的按规定执行。</w:t>
      </w:r>
    </w:p>
    <w:p w14:paraId="66505EB0">
      <w:pPr>
        <w:pStyle w:val="316"/>
        <w:keepNext w:val="0"/>
        <w:keepLines w:val="0"/>
        <w:spacing w:before="0" w:after="0" w:line="500" w:lineRule="exact"/>
        <w:ind w:firstLine="422"/>
        <w:rPr>
          <w:rFonts w:ascii="宋体" w:hAnsi="宋体" w:eastAsia="宋体"/>
          <w:bCs w:val="0"/>
          <w:lang w:eastAsia="zh-CN"/>
        </w:rPr>
      </w:pPr>
      <w:bookmarkStart w:id="67" w:name="_Hlt26954731"/>
      <w:bookmarkEnd w:id="67"/>
      <w:bookmarkStart w:id="68" w:name="_Hlt26954842"/>
      <w:bookmarkEnd w:id="68"/>
      <w:bookmarkStart w:id="69" w:name="_Hlt26670482"/>
      <w:bookmarkEnd w:id="69"/>
      <w:bookmarkStart w:id="70" w:name="_Hlt26670486"/>
      <w:bookmarkEnd w:id="70"/>
      <w:bookmarkStart w:id="71" w:name="_Hlt26670403"/>
      <w:bookmarkEnd w:id="71"/>
      <w:bookmarkStart w:id="72" w:name="_Hlt26954848"/>
      <w:bookmarkEnd w:id="72"/>
      <w:bookmarkStart w:id="73" w:name="_Hlt26954846"/>
      <w:bookmarkEnd w:id="73"/>
      <w:bookmarkStart w:id="74" w:name="_Hlt26670425"/>
      <w:bookmarkEnd w:id="74"/>
      <w:bookmarkStart w:id="75" w:name="_Hlt26954844"/>
      <w:bookmarkEnd w:id="75"/>
      <w:bookmarkStart w:id="76" w:name="_Hlt26668983"/>
      <w:bookmarkEnd w:id="76"/>
      <w:r>
        <w:rPr>
          <w:rFonts w:hint="eastAsia" w:ascii="宋体" w:hAnsi="宋体" w:eastAsia="宋体"/>
          <w:bCs w:val="0"/>
          <w:lang w:eastAsia="zh-CN"/>
        </w:rPr>
        <w:t>14.投标偏离表</w:t>
      </w:r>
    </w:p>
    <w:p w14:paraId="52EA2E26">
      <w:pPr>
        <w:tabs>
          <w:tab w:val="left" w:pos="1035"/>
        </w:tabs>
        <w:spacing w:line="500" w:lineRule="exact"/>
        <w:ind w:firstLine="480"/>
        <w:rPr>
          <w:rFonts w:ascii="宋体" w:hAnsi="Arial" w:cs="宋体"/>
          <w:sz w:val="24"/>
          <w:lang w:val="zh-CN"/>
        </w:rPr>
      </w:pPr>
      <w:r>
        <w:rPr>
          <w:rFonts w:hint="eastAsia" w:ascii="宋体" w:hAnsi="Arial" w:cs="宋体"/>
          <w:sz w:val="24"/>
        </w:rPr>
        <w:t>14</w:t>
      </w:r>
      <w:r>
        <w:rPr>
          <w:rFonts w:hint="eastAsia" w:ascii="宋体" w:hAnsi="Arial" w:cs="宋体"/>
          <w:sz w:val="24"/>
          <w:lang w:val="zh-CN"/>
        </w:rPr>
        <w:t>.</w:t>
      </w:r>
      <w:r>
        <w:rPr>
          <w:rFonts w:hint="eastAsia" w:ascii="宋体" w:hAnsi="Arial" w:cs="宋体"/>
          <w:sz w:val="24"/>
        </w:rPr>
        <w:t>1</w:t>
      </w:r>
      <w:r>
        <w:rPr>
          <w:rFonts w:hint="eastAsia" w:ascii="宋体" w:hAnsi="Arial" w:cs="宋体"/>
          <w:sz w:val="24"/>
          <w:lang w:val="zh-CN"/>
        </w:rPr>
        <w:t>投标人可在投标文件中提供认为需要的其他技术文件或说明。</w:t>
      </w:r>
    </w:p>
    <w:p w14:paraId="168FE63F">
      <w:pPr>
        <w:pStyle w:val="316"/>
        <w:keepNext w:val="0"/>
        <w:keepLines w:val="0"/>
        <w:spacing w:before="0" w:after="0" w:line="500" w:lineRule="exact"/>
        <w:ind w:firstLine="422"/>
        <w:rPr>
          <w:rFonts w:ascii="宋体" w:hAnsi="宋体" w:eastAsia="宋体"/>
          <w:bCs w:val="0"/>
          <w:lang w:eastAsia="zh-CN"/>
        </w:rPr>
      </w:pPr>
      <w:bookmarkStart w:id="77" w:name="_Hlt26954734"/>
      <w:bookmarkEnd w:id="77"/>
      <w:bookmarkStart w:id="78" w:name="_Hlt26670489"/>
      <w:bookmarkEnd w:id="78"/>
      <w:bookmarkStart w:id="79" w:name="_Hlt26954850"/>
      <w:bookmarkEnd w:id="79"/>
      <w:bookmarkStart w:id="80" w:name="_Toc14577360"/>
      <w:bookmarkStart w:id="81" w:name="_Toc49090511"/>
      <w:r>
        <w:rPr>
          <w:rFonts w:hint="eastAsia" w:ascii="宋体" w:hAnsi="宋体" w:eastAsia="宋体"/>
          <w:bCs w:val="0"/>
          <w:lang w:eastAsia="zh-CN"/>
        </w:rPr>
        <w:t>15.投标有效期</w:t>
      </w:r>
      <w:bookmarkEnd w:id="80"/>
      <w:bookmarkEnd w:id="81"/>
    </w:p>
    <w:p w14:paraId="653A06CC">
      <w:pPr>
        <w:spacing w:line="500" w:lineRule="exact"/>
        <w:ind w:firstLine="480"/>
        <w:rPr>
          <w:rFonts w:ascii="宋体" w:hAnsi="宋体"/>
          <w:bCs/>
          <w:sz w:val="24"/>
        </w:rPr>
      </w:pPr>
      <w:r>
        <w:rPr>
          <w:rFonts w:hint="eastAsia" w:ascii="宋体" w:hAnsi="宋体"/>
          <w:sz w:val="24"/>
        </w:rPr>
        <w:t>15.1</w:t>
      </w:r>
      <w:r>
        <w:rPr>
          <w:rFonts w:hint="eastAsia" w:ascii="宋体" w:hAnsi="宋体"/>
          <w:bCs/>
          <w:sz w:val="24"/>
        </w:rPr>
        <w:t>投标有效期为招标文件规定的开标之日后</w:t>
      </w:r>
      <w:r>
        <w:rPr>
          <w:rFonts w:hint="eastAsia" w:ascii="宋体" w:hAnsi="宋体"/>
          <w:sz w:val="24"/>
        </w:rPr>
        <w:t>九十（90）天</w:t>
      </w:r>
      <w:r>
        <w:rPr>
          <w:rFonts w:hint="eastAsia" w:ascii="宋体" w:hAnsi="宋体"/>
          <w:bCs/>
          <w:sz w:val="24"/>
        </w:rPr>
        <w:t>。投标有效期比规定短的将被视为未实质性响应招标</w:t>
      </w:r>
      <w:r>
        <w:rPr>
          <w:rFonts w:ascii="宋体" w:hAnsi="宋体"/>
          <w:bCs/>
          <w:sz w:val="24"/>
        </w:rPr>
        <w:t>文件</w:t>
      </w:r>
      <w:r>
        <w:rPr>
          <w:rFonts w:hint="eastAsia" w:ascii="宋体" w:hAnsi="宋体"/>
          <w:bCs/>
          <w:sz w:val="24"/>
        </w:rPr>
        <w:t>而予以拒绝。</w:t>
      </w:r>
    </w:p>
    <w:p w14:paraId="0DC6A554">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16.投标有效期的延长</w:t>
      </w:r>
    </w:p>
    <w:p w14:paraId="35A4A721">
      <w:pPr>
        <w:spacing w:line="500" w:lineRule="exact"/>
        <w:ind w:firstLine="480"/>
        <w:rPr>
          <w:rFonts w:ascii="宋体" w:hAnsi="宋体"/>
          <w:bCs/>
          <w:sz w:val="24"/>
        </w:rPr>
      </w:pPr>
      <w:r>
        <w:rPr>
          <w:rFonts w:hint="eastAsia" w:ascii="宋体" w:hAnsi="宋体"/>
          <w:sz w:val="24"/>
        </w:rPr>
        <w:t>16.1</w:t>
      </w:r>
      <w:r>
        <w:rPr>
          <w:rFonts w:hint="eastAsia" w:ascii="宋体" w:hAnsi="宋体"/>
          <w:bCs/>
          <w:sz w:val="24"/>
        </w:rPr>
        <w:t>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w:t>
      </w:r>
      <w:r>
        <w:rPr>
          <w:rFonts w:hint="eastAsia" w:ascii="宋体" w:hAnsi="宋体"/>
          <w:bCs/>
          <w:sz w:val="24"/>
        </w:rPr>
        <w:t>同意延长投标有效期的投标人既不能要求也不允许修改其投标文件</w:t>
      </w:r>
      <w:r>
        <w:rPr>
          <w:rFonts w:hint="eastAsia" w:ascii="宋体" w:hAnsi="宋体"/>
          <w:sz w:val="24"/>
          <w:szCs w:val="24"/>
        </w:rPr>
        <w:t>，同时受投标有效期约束的所有权利与义务均延长至新的有效期</w:t>
      </w:r>
      <w:r>
        <w:rPr>
          <w:rFonts w:hint="eastAsia" w:ascii="宋体" w:hAnsi="宋体"/>
          <w:bCs/>
          <w:sz w:val="24"/>
        </w:rPr>
        <w:t>。</w:t>
      </w:r>
    </w:p>
    <w:p w14:paraId="115AE793">
      <w:pPr>
        <w:pStyle w:val="139"/>
        <w:keepNext w:val="0"/>
        <w:keepLines w:val="0"/>
        <w:spacing w:before="0" w:after="0" w:line="500" w:lineRule="exact"/>
        <w:ind w:firstLine="452"/>
        <w:rPr>
          <w:sz w:val="30"/>
          <w:szCs w:val="30"/>
          <w:lang w:eastAsia="zh-CN"/>
        </w:rPr>
      </w:pPr>
      <w:bookmarkStart w:id="82" w:name="_Hlt26954852"/>
      <w:bookmarkEnd w:id="82"/>
      <w:bookmarkStart w:id="83" w:name="_Hlt26954739"/>
      <w:bookmarkEnd w:id="83"/>
      <w:bookmarkStart w:id="84" w:name="_Toc20823296"/>
      <w:bookmarkStart w:id="85" w:name="_Toc513029224"/>
      <w:bookmarkStart w:id="86" w:name="_Toc16938540"/>
      <w:bookmarkStart w:id="87" w:name="_Toc120614217"/>
      <w:r>
        <w:rPr>
          <w:rFonts w:hint="eastAsia"/>
          <w:sz w:val="30"/>
          <w:szCs w:val="30"/>
          <w:lang w:eastAsia="zh-CN"/>
        </w:rPr>
        <w:t>四、投标文件的递交</w:t>
      </w:r>
      <w:bookmarkEnd w:id="84"/>
      <w:bookmarkEnd w:id="85"/>
      <w:bookmarkEnd w:id="86"/>
      <w:bookmarkEnd w:id="87"/>
    </w:p>
    <w:p w14:paraId="40087903">
      <w:pPr>
        <w:pStyle w:val="316"/>
        <w:keepNext w:val="0"/>
        <w:keepLines w:val="0"/>
        <w:spacing w:before="0" w:after="0" w:line="500" w:lineRule="exact"/>
        <w:ind w:firstLine="422"/>
        <w:rPr>
          <w:rFonts w:ascii="宋体" w:hAnsi="宋体" w:eastAsia="宋体"/>
          <w:bCs w:val="0"/>
          <w:lang w:eastAsia="zh-CN"/>
        </w:rPr>
      </w:pPr>
      <w:bookmarkStart w:id="88" w:name="_Toc20823297"/>
      <w:bookmarkStart w:id="89" w:name="_Toc16938541"/>
      <w:bookmarkStart w:id="90" w:name="_Toc462564084"/>
      <w:bookmarkStart w:id="91" w:name="_Toc513029225"/>
      <w:r>
        <w:rPr>
          <w:rFonts w:hint="eastAsia" w:ascii="宋体" w:hAnsi="宋体" w:eastAsia="宋体"/>
          <w:bCs w:val="0"/>
          <w:lang w:eastAsia="zh-CN"/>
        </w:rPr>
        <w:t>17.投标文件</w:t>
      </w:r>
      <w:bookmarkEnd w:id="88"/>
      <w:bookmarkEnd w:id="89"/>
      <w:bookmarkEnd w:id="90"/>
      <w:bookmarkEnd w:id="91"/>
      <w:r>
        <w:rPr>
          <w:rFonts w:hint="eastAsia" w:ascii="宋体" w:hAnsi="宋体" w:eastAsia="宋体"/>
          <w:bCs w:val="0"/>
          <w:lang w:eastAsia="zh-CN"/>
        </w:rPr>
        <w:t>的递交</w:t>
      </w:r>
    </w:p>
    <w:p w14:paraId="3C3A69D9">
      <w:pPr>
        <w:spacing w:line="500" w:lineRule="exact"/>
        <w:ind w:firstLine="480"/>
        <w:rPr>
          <w:rFonts w:ascii="宋体" w:hAnsi="宋体"/>
          <w:bCs/>
          <w:sz w:val="24"/>
        </w:rPr>
      </w:pPr>
      <w:r>
        <w:rPr>
          <w:rFonts w:hint="eastAsia" w:ascii="宋体" w:hAnsi="宋体"/>
          <w:sz w:val="24"/>
        </w:rPr>
        <w:t>17.1</w:t>
      </w:r>
      <w:r>
        <w:rPr>
          <w:rFonts w:hint="eastAsia" w:ascii="宋体" w:hAnsi="宋体"/>
          <w:bCs/>
          <w:sz w:val="24"/>
        </w:rPr>
        <w:t>电子投标文件的递交</w:t>
      </w:r>
    </w:p>
    <w:p w14:paraId="0C0924F3">
      <w:pPr>
        <w:pStyle w:val="402"/>
        <w:spacing w:line="500" w:lineRule="exact"/>
        <w:ind w:firstLine="480"/>
        <w:rPr>
          <w:rFonts w:ascii="宋体" w:hAnsi="宋体"/>
          <w:bCs/>
          <w:sz w:val="24"/>
        </w:rPr>
      </w:pPr>
      <w:r>
        <w:rPr>
          <w:rFonts w:hint="eastAsia" w:ascii="宋体" w:hAnsi="宋体"/>
          <w:bCs/>
          <w:sz w:val="24"/>
        </w:rPr>
        <w:t>投标人应当按照《操作手册》规定，在投标截止时间前</w:t>
      </w:r>
      <w:r>
        <w:rPr>
          <w:rFonts w:ascii="宋体" w:hAnsi="宋体"/>
          <w:bCs/>
          <w:sz w:val="24"/>
        </w:rPr>
        <w:t>制作</w:t>
      </w:r>
      <w:r>
        <w:rPr>
          <w:rFonts w:hint="eastAsia" w:ascii="宋体" w:hAnsi="宋体"/>
          <w:bCs/>
          <w:sz w:val="24"/>
        </w:rPr>
        <w:t>并上传电子投标文件。</w:t>
      </w:r>
      <w:bookmarkStart w:id="92" w:name="_Toc20823298"/>
      <w:bookmarkStart w:id="93" w:name="_Toc513029226"/>
      <w:bookmarkStart w:id="94" w:name="_Toc16938542"/>
    </w:p>
    <w:p w14:paraId="31233B92">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18.投标截止</w:t>
      </w:r>
      <w:bookmarkEnd w:id="92"/>
      <w:bookmarkEnd w:id="93"/>
      <w:bookmarkEnd w:id="94"/>
      <w:r>
        <w:rPr>
          <w:rFonts w:hint="eastAsia" w:ascii="宋体" w:hAnsi="宋体" w:eastAsia="宋体"/>
          <w:bCs w:val="0"/>
          <w:lang w:eastAsia="zh-CN"/>
        </w:rPr>
        <w:t>时间</w:t>
      </w:r>
    </w:p>
    <w:p w14:paraId="56274949">
      <w:pPr>
        <w:spacing w:line="500" w:lineRule="exact"/>
        <w:ind w:firstLine="480"/>
        <w:rPr>
          <w:rFonts w:ascii="宋体" w:hAnsi="宋体"/>
          <w:bCs/>
          <w:sz w:val="24"/>
        </w:rPr>
      </w:pPr>
      <w:r>
        <w:rPr>
          <w:rFonts w:hint="eastAsia" w:ascii="宋体" w:hAnsi="宋体"/>
          <w:sz w:val="24"/>
        </w:rPr>
        <w:t>18.1</w:t>
      </w:r>
      <w:r>
        <w:rPr>
          <w:rFonts w:hint="eastAsia" w:ascii="宋体" w:hAnsi="宋体"/>
          <w:bCs/>
          <w:sz w:val="24"/>
        </w:rPr>
        <w:t>投标人上传电子投标文件的时间不得迟于招标公告中规定的投标截止时间。</w:t>
      </w:r>
    </w:p>
    <w:p w14:paraId="24D34A92">
      <w:pPr>
        <w:spacing w:line="500" w:lineRule="exact"/>
        <w:ind w:firstLine="480"/>
        <w:rPr>
          <w:rFonts w:ascii="宋体" w:hAnsi="宋体"/>
          <w:bCs/>
          <w:sz w:val="24"/>
        </w:rPr>
      </w:pPr>
      <w:r>
        <w:rPr>
          <w:rFonts w:hint="eastAsia" w:ascii="宋体" w:hAnsi="宋体"/>
          <w:bCs/>
          <w:sz w:val="24"/>
        </w:rPr>
        <w:t>投标人应充分考虑到网络环境、网络带宽等风险因素，如因投标人自身原因造成的电子投标文件上传不成功的视作投标人未按照招标文件要求上传电子投标文件，做无效投标处理。</w:t>
      </w:r>
    </w:p>
    <w:p w14:paraId="2977F0DB">
      <w:pPr>
        <w:spacing w:line="500" w:lineRule="exact"/>
        <w:ind w:firstLine="480"/>
        <w:rPr>
          <w:rFonts w:ascii="宋体" w:hAnsi="宋体"/>
          <w:bCs/>
          <w:sz w:val="24"/>
        </w:rPr>
      </w:pPr>
      <w:r>
        <w:rPr>
          <w:rFonts w:hint="eastAsia" w:ascii="宋体" w:hAnsi="宋体"/>
          <w:sz w:val="24"/>
        </w:rPr>
        <w:t>18.2</w:t>
      </w:r>
      <w:r>
        <w:rPr>
          <w:rFonts w:hint="eastAsia" w:ascii="宋体" w:hAnsi="宋体"/>
          <w:bCs/>
          <w:sz w:val="24"/>
        </w:rPr>
        <w:t>交易中心可以按照规定，通过更正公告修改投标截止时间，投标人的所有权利和义务以及投标人受制的截止时间均应以延长后新的截止时间为准。</w:t>
      </w:r>
    </w:p>
    <w:p w14:paraId="5048A8DA">
      <w:pPr>
        <w:pStyle w:val="316"/>
        <w:keepNext w:val="0"/>
        <w:keepLines w:val="0"/>
        <w:spacing w:before="0" w:after="0" w:line="500" w:lineRule="exact"/>
        <w:ind w:firstLine="422"/>
        <w:rPr>
          <w:rFonts w:ascii="宋体" w:hAnsi="宋体" w:eastAsia="宋体"/>
          <w:bCs w:val="0"/>
          <w:lang w:eastAsia="zh-CN"/>
        </w:rPr>
      </w:pPr>
      <w:bookmarkStart w:id="95" w:name="_Toc16938543"/>
      <w:bookmarkStart w:id="96" w:name="_Toc513029227"/>
      <w:bookmarkStart w:id="97" w:name="_Toc20823299"/>
      <w:r>
        <w:rPr>
          <w:rFonts w:hint="eastAsia" w:ascii="宋体" w:hAnsi="宋体" w:eastAsia="宋体"/>
          <w:bCs w:val="0"/>
          <w:lang w:eastAsia="zh-CN"/>
        </w:rPr>
        <w:t>19.投标文件</w:t>
      </w:r>
      <w:bookmarkEnd w:id="95"/>
      <w:bookmarkEnd w:id="96"/>
      <w:bookmarkEnd w:id="97"/>
      <w:r>
        <w:rPr>
          <w:rFonts w:hint="eastAsia" w:ascii="宋体" w:hAnsi="宋体" w:eastAsia="宋体"/>
          <w:bCs w:val="0"/>
          <w:lang w:eastAsia="zh-CN"/>
        </w:rPr>
        <w:t>的拒收</w:t>
      </w:r>
    </w:p>
    <w:p w14:paraId="30806F34">
      <w:pPr>
        <w:spacing w:line="500" w:lineRule="exact"/>
        <w:ind w:firstLine="480"/>
        <w:rPr>
          <w:rFonts w:ascii="宋体" w:hAnsi="宋体"/>
          <w:bCs/>
          <w:sz w:val="24"/>
        </w:rPr>
      </w:pPr>
      <w:r>
        <w:rPr>
          <w:rFonts w:hint="eastAsia" w:ascii="宋体" w:hAnsi="宋体"/>
          <w:sz w:val="24"/>
        </w:rPr>
        <w:t>19.1</w:t>
      </w:r>
      <w:r>
        <w:rPr>
          <w:rFonts w:hint="eastAsia" w:ascii="宋体" w:hAnsi="宋体"/>
          <w:bCs/>
          <w:sz w:val="24"/>
        </w:rPr>
        <w:t>交易中心拒绝接收在其规定的投标截止时间后上传的任何投标文件。</w:t>
      </w:r>
    </w:p>
    <w:p w14:paraId="3D33A5F9">
      <w:pPr>
        <w:pStyle w:val="316"/>
        <w:keepNext w:val="0"/>
        <w:keepLines w:val="0"/>
        <w:spacing w:before="0" w:after="0" w:line="500" w:lineRule="exact"/>
        <w:ind w:firstLine="422"/>
        <w:rPr>
          <w:rFonts w:ascii="宋体" w:hAnsi="宋体" w:eastAsia="宋体"/>
          <w:bCs w:val="0"/>
          <w:lang w:eastAsia="zh-CN"/>
        </w:rPr>
      </w:pPr>
      <w:bookmarkStart w:id="98" w:name="_Toc16938544"/>
      <w:bookmarkStart w:id="99" w:name="_Toc20823300"/>
      <w:bookmarkStart w:id="100" w:name="_Toc513029228"/>
      <w:r>
        <w:rPr>
          <w:rFonts w:hint="eastAsia" w:ascii="宋体" w:hAnsi="宋体" w:eastAsia="宋体"/>
          <w:bCs w:val="0"/>
          <w:lang w:eastAsia="zh-CN"/>
        </w:rPr>
        <w:t>20.投标文件的撤回和修改</w:t>
      </w:r>
      <w:bookmarkEnd w:id="98"/>
      <w:bookmarkEnd w:id="99"/>
      <w:bookmarkEnd w:id="100"/>
    </w:p>
    <w:p w14:paraId="6C52FE91">
      <w:pPr>
        <w:spacing w:line="500" w:lineRule="exact"/>
        <w:ind w:firstLine="480"/>
        <w:rPr>
          <w:rFonts w:ascii="宋体" w:hAnsi="宋体"/>
          <w:sz w:val="24"/>
        </w:rPr>
      </w:pPr>
      <w:r>
        <w:rPr>
          <w:rFonts w:hint="eastAsia" w:ascii="宋体" w:hAnsi="宋体"/>
          <w:sz w:val="24"/>
        </w:rPr>
        <w:t>20.1投标文件的撤回</w:t>
      </w:r>
    </w:p>
    <w:p w14:paraId="0096F800">
      <w:pPr>
        <w:spacing w:line="500" w:lineRule="exact"/>
        <w:ind w:firstLine="480"/>
        <w:rPr>
          <w:rFonts w:ascii="宋体" w:hAnsi="宋体"/>
          <w:sz w:val="24"/>
        </w:rPr>
      </w:pPr>
      <w:r>
        <w:rPr>
          <w:rFonts w:hint="eastAsia" w:ascii="宋体" w:hAnsi="宋体"/>
          <w:sz w:val="24"/>
        </w:rPr>
        <w:t>21.1.1电子投标文件的撤回</w:t>
      </w:r>
    </w:p>
    <w:p w14:paraId="66F1998D">
      <w:pPr>
        <w:spacing w:line="500" w:lineRule="exact"/>
        <w:ind w:firstLine="480"/>
        <w:rPr>
          <w:rFonts w:ascii="宋体" w:hAnsi="宋体"/>
          <w:sz w:val="24"/>
        </w:rPr>
      </w:pPr>
      <w:r>
        <w:rPr>
          <w:rFonts w:hint="eastAsia" w:ascii="宋体" w:hAnsi="宋体"/>
          <w:sz w:val="24"/>
        </w:rPr>
        <w:t>投标人可在投标截止时间前，撤回其电子投标文件，具体操作方法见《操作手册》。</w:t>
      </w:r>
    </w:p>
    <w:p w14:paraId="53E698CC">
      <w:pPr>
        <w:spacing w:line="500" w:lineRule="exact"/>
        <w:ind w:firstLine="480"/>
        <w:rPr>
          <w:rFonts w:ascii="宋体" w:hAnsi="宋体"/>
          <w:sz w:val="24"/>
          <w:szCs w:val="24"/>
        </w:rPr>
      </w:pPr>
      <w:r>
        <w:rPr>
          <w:rFonts w:hint="eastAsia" w:ascii="宋体" w:hAnsi="宋体"/>
          <w:sz w:val="24"/>
          <w:szCs w:val="24"/>
        </w:rPr>
        <w:t>21.1.</w:t>
      </w:r>
      <w:r>
        <w:rPr>
          <w:rFonts w:ascii="宋体" w:hAnsi="宋体"/>
          <w:sz w:val="24"/>
          <w:szCs w:val="24"/>
        </w:rPr>
        <w:t>2</w:t>
      </w:r>
      <w:r>
        <w:rPr>
          <w:rFonts w:hint="eastAsia" w:ascii="宋体" w:hAnsi="宋体"/>
          <w:sz w:val="24"/>
          <w:szCs w:val="24"/>
        </w:rPr>
        <w:t>投标人撤回电子投标文件，则认为其不再参与本项目投标活动。</w:t>
      </w:r>
    </w:p>
    <w:p w14:paraId="48A2AA07">
      <w:pPr>
        <w:spacing w:line="500" w:lineRule="exact"/>
        <w:ind w:firstLine="480"/>
        <w:rPr>
          <w:rFonts w:ascii="宋体" w:hAnsi="宋体"/>
          <w:sz w:val="24"/>
          <w:szCs w:val="24"/>
        </w:rPr>
      </w:pPr>
      <w:r>
        <w:rPr>
          <w:rFonts w:hint="eastAsia" w:ascii="宋体" w:hAnsi="宋体"/>
          <w:sz w:val="24"/>
          <w:szCs w:val="24"/>
        </w:rPr>
        <w:t>20.2投标文件的修改</w:t>
      </w:r>
    </w:p>
    <w:p w14:paraId="2200DD18">
      <w:pPr>
        <w:spacing w:line="500" w:lineRule="exact"/>
        <w:ind w:firstLine="480"/>
        <w:rPr>
          <w:rFonts w:ascii="宋体" w:hAnsi="宋体"/>
          <w:sz w:val="24"/>
        </w:rPr>
      </w:pPr>
      <w:r>
        <w:rPr>
          <w:rFonts w:hint="eastAsia" w:ascii="宋体" w:hAnsi="宋体"/>
          <w:sz w:val="24"/>
        </w:rPr>
        <w:t>20.2.1投标人可在投标截止时间前，对其电子投标文件进行修改，具体操作方法见《操作手册》。</w:t>
      </w:r>
    </w:p>
    <w:p w14:paraId="02B3F92F">
      <w:pPr>
        <w:spacing w:line="500" w:lineRule="exact"/>
        <w:ind w:firstLine="480"/>
        <w:rPr>
          <w:rFonts w:ascii="宋体" w:hAnsi="宋体"/>
          <w:bCs/>
          <w:sz w:val="24"/>
        </w:rPr>
      </w:pPr>
      <w:r>
        <w:rPr>
          <w:rFonts w:hint="eastAsia" w:ascii="宋体" w:hAnsi="宋体"/>
          <w:sz w:val="24"/>
        </w:rPr>
        <w:t>20.2.2</w:t>
      </w:r>
      <w:r>
        <w:rPr>
          <w:rFonts w:hint="eastAsia" w:ascii="宋体" w:hAnsi="宋体"/>
          <w:bCs/>
          <w:sz w:val="24"/>
        </w:rPr>
        <w:t>在投标截止时间之后，投标人不得对其电子投标文件作任何修改。</w:t>
      </w:r>
    </w:p>
    <w:p w14:paraId="38DE06C2">
      <w:pPr>
        <w:spacing w:line="500" w:lineRule="exact"/>
        <w:ind w:firstLine="480"/>
        <w:rPr>
          <w:rFonts w:ascii="宋体" w:hAnsi="宋体"/>
          <w:bCs/>
          <w:sz w:val="24"/>
        </w:rPr>
      </w:pPr>
      <w:r>
        <w:rPr>
          <w:rFonts w:hint="eastAsia" w:ascii="宋体" w:hAnsi="宋体"/>
          <w:sz w:val="24"/>
        </w:rPr>
        <w:t>20.3</w:t>
      </w:r>
      <w:r>
        <w:rPr>
          <w:rFonts w:hint="eastAsia" w:ascii="宋体" w:hAnsi="宋体"/>
          <w:bCs/>
          <w:sz w:val="24"/>
        </w:rPr>
        <w:t>在投标截止时间至招标文件中规定的投标有效期满之间的这段时间内，投标人不得撤回其投标。</w:t>
      </w:r>
    </w:p>
    <w:p w14:paraId="6BC2EF9E">
      <w:pPr>
        <w:pStyle w:val="139"/>
        <w:keepNext w:val="0"/>
        <w:keepLines w:val="0"/>
        <w:spacing w:before="0" w:after="0" w:line="500" w:lineRule="exact"/>
        <w:ind w:firstLine="452"/>
        <w:rPr>
          <w:sz w:val="30"/>
          <w:szCs w:val="30"/>
          <w:lang w:eastAsia="zh-CN"/>
        </w:rPr>
      </w:pPr>
      <w:bookmarkStart w:id="101" w:name="_Toc20823301"/>
      <w:bookmarkStart w:id="102" w:name="_Toc120614218"/>
      <w:bookmarkStart w:id="103" w:name="_Toc16938545"/>
      <w:bookmarkStart w:id="104" w:name="_Toc513029229"/>
      <w:r>
        <w:rPr>
          <w:rFonts w:hint="eastAsia"/>
          <w:sz w:val="30"/>
          <w:szCs w:val="30"/>
          <w:lang w:eastAsia="zh-CN"/>
        </w:rPr>
        <w:t>五、开标与评标</w:t>
      </w:r>
      <w:bookmarkEnd w:id="101"/>
      <w:bookmarkEnd w:id="102"/>
      <w:bookmarkEnd w:id="103"/>
      <w:bookmarkEnd w:id="104"/>
    </w:p>
    <w:p w14:paraId="2724348D">
      <w:pPr>
        <w:pStyle w:val="316"/>
        <w:keepNext w:val="0"/>
        <w:keepLines w:val="0"/>
        <w:spacing w:before="0" w:after="0" w:line="500" w:lineRule="exact"/>
        <w:ind w:firstLine="422"/>
        <w:rPr>
          <w:rFonts w:ascii="宋体" w:hAnsi="宋体" w:eastAsia="宋体"/>
          <w:bCs w:val="0"/>
          <w:lang w:eastAsia="zh-CN"/>
        </w:rPr>
      </w:pPr>
      <w:bookmarkStart w:id="105" w:name="_Toc513029230"/>
      <w:bookmarkStart w:id="106" w:name="_Toc16938546"/>
      <w:bookmarkStart w:id="107" w:name="_Toc20823302"/>
      <w:r>
        <w:rPr>
          <w:rFonts w:hint="eastAsia" w:ascii="宋体" w:hAnsi="宋体" w:eastAsia="宋体"/>
          <w:bCs w:val="0"/>
          <w:lang w:eastAsia="zh-CN"/>
        </w:rPr>
        <w:t>21.开标</w:t>
      </w:r>
      <w:bookmarkEnd w:id="105"/>
      <w:bookmarkEnd w:id="106"/>
      <w:bookmarkEnd w:id="107"/>
    </w:p>
    <w:p w14:paraId="5F2B9536">
      <w:pPr>
        <w:spacing w:line="500" w:lineRule="exact"/>
        <w:ind w:firstLine="480"/>
      </w:pPr>
      <w:r>
        <w:rPr>
          <w:rFonts w:hint="eastAsia" w:ascii="宋体" w:hAnsi="宋体"/>
          <w:sz w:val="24"/>
        </w:rPr>
        <w:t>21.1</w:t>
      </w:r>
      <w:r>
        <w:rPr>
          <w:rFonts w:hint="eastAsia" w:ascii="宋体" w:hAnsi="宋体"/>
          <w:bCs/>
          <w:sz w:val="24"/>
        </w:rPr>
        <w:t>交易中心将在招标公告中规定的时间和地点组织公开开标</w:t>
      </w:r>
      <w:r>
        <w:rPr>
          <w:rFonts w:hint="eastAsia" w:ascii="宋体" w:hAnsi="宋体"/>
          <w:sz w:val="24"/>
          <w:szCs w:val="24"/>
        </w:rPr>
        <w:t>。投标人应当按照《操作手册》规定，</w:t>
      </w:r>
      <w:r>
        <w:rPr>
          <w:rFonts w:ascii="宋体" w:hAnsi="宋体"/>
          <w:sz w:val="24"/>
          <w:szCs w:val="24"/>
        </w:rPr>
        <w:t>参加开标活动</w:t>
      </w:r>
      <w:r>
        <w:rPr>
          <w:rFonts w:hint="eastAsia" w:ascii="宋体" w:hAnsi="宋体"/>
          <w:sz w:val="24"/>
          <w:szCs w:val="24"/>
        </w:rPr>
        <w:t>和在</w:t>
      </w:r>
      <w:r>
        <w:rPr>
          <w:rFonts w:hint="eastAsia" w:ascii="宋体" w:hAnsi="宋体"/>
          <w:bCs/>
          <w:sz w:val="24"/>
          <w:szCs w:val="24"/>
        </w:rPr>
        <w:t>“苏采云”系统</w:t>
      </w:r>
      <w:r>
        <w:rPr>
          <w:rFonts w:hint="eastAsia" w:ascii="宋体" w:hAnsi="宋体"/>
          <w:sz w:val="24"/>
          <w:szCs w:val="24"/>
        </w:rPr>
        <w:t>规定的时间内对投标文件进行解密。</w:t>
      </w:r>
    </w:p>
    <w:p w14:paraId="5656C192">
      <w:pPr>
        <w:spacing w:line="500" w:lineRule="exact"/>
        <w:ind w:firstLine="480"/>
        <w:rPr>
          <w:rFonts w:ascii="宋体" w:hAnsi="宋体"/>
          <w:sz w:val="24"/>
        </w:rPr>
      </w:pPr>
      <w:r>
        <w:rPr>
          <w:rFonts w:hint="eastAsia" w:ascii="宋体" w:hAnsi="宋体"/>
          <w:sz w:val="24"/>
        </w:rPr>
        <w:t>21.2开标仪式由交易中心组织。</w:t>
      </w:r>
      <w:r>
        <w:rPr>
          <w:rFonts w:hint="eastAsia" w:ascii="宋体" w:hAnsi="宋体"/>
          <w:bCs/>
          <w:sz w:val="24"/>
          <w:szCs w:val="24"/>
        </w:rPr>
        <w:t>“苏采云”系统</w:t>
      </w:r>
      <w:r>
        <w:rPr>
          <w:rFonts w:hint="eastAsia" w:ascii="宋体" w:hAnsi="宋体"/>
          <w:sz w:val="24"/>
        </w:rPr>
        <w:t>将自动对</w:t>
      </w:r>
      <w:r>
        <w:rPr>
          <w:rFonts w:ascii="宋体" w:hAnsi="宋体"/>
          <w:sz w:val="24"/>
        </w:rPr>
        <w:t>项目进行开标，并</w:t>
      </w:r>
      <w:r>
        <w:rPr>
          <w:rFonts w:hint="eastAsia" w:ascii="宋体" w:hAnsi="宋体"/>
          <w:sz w:val="24"/>
        </w:rPr>
        <w:t>宣布各</w:t>
      </w:r>
      <w:r>
        <w:rPr>
          <w:rFonts w:ascii="宋体" w:hAnsi="宋体"/>
          <w:sz w:val="24"/>
        </w:rPr>
        <w:t>投标人</w:t>
      </w:r>
      <w:r>
        <w:rPr>
          <w:rFonts w:hint="eastAsia" w:ascii="宋体" w:hAnsi="宋体"/>
          <w:sz w:val="24"/>
        </w:rPr>
        <w:t>名称和投标价格。</w:t>
      </w:r>
    </w:p>
    <w:p w14:paraId="5BEB2DE7">
      <w:pPr>
        <w:spacing w:line="500" w:lineRule="exact"/>
        <w:ind w:firstLine="480"/>
        <w:rPr>
          <w:rFonts w:ascii="宋体" w:hAnsi="宋体"/>
          <w:sz w:val="24"/>
        </w:rPr>
      </w:pPr>
      <w:r>
        <w:rPr>
          <w:rFonts w:hint="eastAsia" w:ascii="宋体" w:hAnsi="宋体"/>
          <w:sz w:val="24"/>
        </w:rPr>
        <w:t>21.3投标人在开标过程中涉及的投标文件解密、开标结果确认等工作，应按照《操作手册》规定执行。</w:t>
      </w:r>
    </w:p>
    <w:p w14:paraId="5A797806">
      <w:pPr>
        <w:spacing w:line="500" w:lineRule="exact"/>
        <w:ind w:firstLine="480"/>
        <w:rPr>
          <w:rFonts w:ascii="宋体" w:hAnsi="宋体"/>
          <w:sz w:val="24"/>
        </w:rPr>
      </w:pPr>
      <w:r>
        <w:rPr>
          <w:rFonts w:hint="eastAsia" w:ascii="宋体" w:hAnsi="宋体"/>
          <w:sz w:val="24"/>
        </w:rPr>
        <w:t>21.4投标人如果对开标过程和开标记录有疑义，应当根据《操作手册》规定提出，如</w:t>
      </w:r>
      <w:r>
        <w:rPr>
          <w:rFonts w:hint="eastAsia" w:ascii="宋体" w:hAnsi="宋体"/>
          <w:bCs/>
          <w:sz w:val="24"/>
          <w:szCs w:val="24"/>
        </w:rPr>
        <w:t>“苏采云”系统</w:t>
      </w:r>
      <w:r>
        <w:rPr>
          <w:rFonts w:hint="eastAsia" w:ascii="宋体" w:hAnsi="宋体"/>
          <w:sz w:val="24"/>
        </w:rPr>
        <w:t>中《开标记录表》宣布后5分钟内未提出的，视同认可开标结果。</w:t>
      </w:r>
    </w:p>
    <w:p w14:paraId="55FDE70A">
      <w:pPr>
        <w:pStyle w:val="316"/>
        <w:keepNext w:val="0"/>
        <w:keepLines w:val="0"/>
        <w:spacing w:before="0" w:after="0" w:line="500" w:lineRule="exact"/>
        <w:ind w:firstLine="422"/>
        <w:rPr>
          <w:rFonts w:ascii="宋体" w:hAnsi="宋体" w:eastAsia="宋体"/>
          <w:bCs w:val="0"/>
          <w:lang w:eastAsia="zh-CN"/>
        </w:rPr>
      </w:pPr>
      <w:bookmarkStart w:id="108" w:name="_Toc513029231"/>
      <w:bookmarkStart w:id="109" w:name="_Toc16938547"/>
      <w:bookmarkStart w:id="110" w:name="_Toc20823303"/>
      <w:r>
        <w:rPr>
          <w:rFonts w:hint="eastAsia" w:ascii="宋体" w:hAnsi="宋体" w:eastAsia="宋体"/>
          <w:bCs w:val="0"/>
          <w:lang w:eastAsia="zh-CN"/>
        </w:rPr>
        <w:t>22.评标委员会</w:t>
      </w:r>
    </w:p>
    <w:p w14:paraId="49CF57A3">
      <w:pPr>
        <w:spacing w:line="500" w:lineRule="exact"/>
        <w:ind w:firstLine="480"/>
        <w:rPr>
          <w:rFonts w:ascii="宋体" w:hAnsi="宋体"/>
          <w:b/>
          <w:sz w:val="24"/>
          <w:szCs w:val="24"/>
        </w:rPr>
      </w:pPr>
      <w:r>
        <w:rPr>
          <w:rFonts w:hint="eastAsia" w:ascii="宋体" w:hAnsi="宋体"/>
          <w:sz w:val="24"/>
          <w:szCs w:val="24"/>
        </w:rPr>
        <w:t>22.1开标后，交易中心将立即组织评标委员会（以下简称评委会）进行评标。</w:t>
      </w:r>
    </w:p>
    <w:p w14:paraId="1BB7E4DF">
      <w:pPr>
        <w:spacing w:line="500" w:lineRule="exact"/>
        <w:ind w:firstLine="480"/>
        <w:rPr>
          <w:rFonts w:ascii="宋体" w:hAnsi="宋体"/>
          <w:sz w:val="24"/>
          <w:szCs w:val="24"/>
        </w:rPr>
      </w:pPr>
      <w:r>
        <w:rPr>
          <w:rFonts w:hint="eastAsia" w:ascii="宋体" w:hAnsi="宋体"/>
          <w:sz w:val="24"/>
          <w:szCs w:val="24"/>
        </w:rPr>
        <w:t>22.2评委会依法组建，且人员构成符合政府采购有关规定。</w:t>
      </w:r>
    </w:p>
    <w:p w14:paraId="3ACC1759">
      <w:pPr>
        <w:spacing w:line="500" w:lineRule="exact"/>
        <w:ind w:firstLine="480"/>
        <w:rPr>
          <w:rFonts w:ascii="宋体" w:hAnsi="宋体"/>
          <w:sz w:val="24"/>
          <w:szCs w:val="24"/>
        </w:rPr>
      </w:pPr>
      <w:r>
        <w:rPr>
          <w:rFonts w:hint="eastAsia" w:ascii="宋体" w:hAnsi="宋体"/>
          <w:sz w:val="24"/>
          <w:szCs w:val="24"/>
        </w:rPr>
        <w:t>22.3评委会独立工作，负责评审所有投标文件并确定中标候选人。</w:t>
      </w:r>
    </w:p>
    <w:p w14:paraId="3040C963">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23.评标过程的保密与公正</w:t>
      </w:r>
    </w:p>
    <w:bookmarkEnd w:id="108"/>
    <w:bookmarkEnd w:id="109"/>
    <w:bookmarkEnd w:id="110"/>
    <w:p w14:paraId="67290944">
      <w:pPr>
        <w:spacing w:line="500" w:lineRule="exact"/>
        <w:ind w:firstLine="480"/>
        <w:rPr>
          <w:rFonts w:ascii="宋体" w:hAnsi="宋体"/>
          <w:bCs/>
          <w:sz w:val="24"/>
        </w:rPr>
      </w:pPr>
      <w:r>
        <w:rPr>
          <w:rFonts w:hint="eastAsia" w:ascii="宋体" w:hAnsi="宋体"/>
          <w:sz w:val="24"/>
        </w:rPr>
        <w:t>23.1</w:t>
      </w:r>
      <w:r>
        <w:rPr>
          <w:rFonts w:hint="eastAsia" w:ascii="宋体" w:hAnsi="宋体"/>
          <w:bCs/>
          <w:sz w:val="24"/>
        </w:rPr>
        <w:t>凡是与审查、澄清、评价和比较投标的有关资料以及投标建议等，采购人、评委、交易中心均不得向投标人或与评标无关的其他人员透露。</w:t>
      </w:r>
    </w:p>
    <w:p w14:paraId="0509FD3F">
      <w:pPr>
        <w:spacing w:line="500" w:lineRule="exact"/>
        <w:ind w:firstLine="480"/>
        <w:rPr>
          <w:rFonts w:ascii="宋体" w:hAnsi="宋体"/>
          <w:sz w:val="24"/>
          <w:szCs w:val="24"/>
        </w:rPr>
      </w:pPr>
      <w:r>
        <w:rPr>
          <w:rFonts w:hint="eastAsia" w:ascii="宋体" w:hAnsi="宋体"/>
          <w:sz w:val="24"/>
        </w:rPr>
        <w:t>23.2</w:t>
      </w:r>
      <w:r>
        <w:rPr>
          <w:rFonts w:hint="eastAsia" w:ascii="宋体" w:hAnsi="宋体"/>
          <w:sz w:val="24"/>
          <w:szCs w:val="24"/>
        </w:rPr>
        <w:t>在评标过程中，投标人不得以任何行为影响评标过程，否则其投标文件将被作为无效投标文件。</w:t>
      </w:r>
    </w:p>
    <w:p w14:paraId="19A33BA3">
      <w:pPr>
        <w:spacing w:line="500" w:lineRule="exact"/>
        <w:ind w:firstLine="480"/>
        <w:rPr>
          <w:rFonts w:ascii="宋体" w:hAnsi="宋体"/>
          <w:sz w:val="24"/>
          <w:szCs w:val="24"/>
        </w:rPr>
      </w:pPr>
      <w:r>
        <w:rPr>
          <w:rFonts w:hint="eastAsia" w:ascii="宋体" w:hAnsi="宋体"/>
          <w:sz w:val="24"/>
          <w:szCs w:val="24"/>
        </w:rPr>
        <w:t>23.</w:t>
      </w:r>
      <w:r>
        <w:rPr>
          <w:rFonts w:ascii="宋体" w:hAnsi="宋体"/>
          <w:sz w:val="24"/>
          <w:szCs w:val="24"/>
        </w:rPr>
        <w:t>3</w:t>
      </w:r>
      <w:r>
        <w:rPr>
          <w:rFonts w:hint="eastAsia" w:ascii="宋体" w:hAnsi="宋体"/>
          <w:sz w:val="24"/>
          <w:szCs w:val="24"/>
        </w:rPr>
        <w:t>交易中心和评标委员会不向未中标的投标人解释未中标原因，也不公布评标过程中的相关细节。</w:t>
      </w:r>
    </w:p>
    <w:p w14:paraId="092AC016">
      <w:pPr>
        <w:spacing w:line="500" w:lineRule="exact"/>
        <w:ind w:firstLine="480"/>
        <w:rPr>
          <w:rFonts w:ascii="宋体" w:hAnsi="宋体"/>
          <w:sz w:val="24"/>
          <w:szCs w:val="24"/>
        </w:rPr>
      </w:pPr>
      <w:r>
        <w:rPr>
          <w:rFonts w:hint="eastAsia" w:ascii="宋体" w:hAnsi="宋体"/>
          <w:sz w:val="24"/>
          <w:szCs w:val="24"/>
        </w:rPr>
        <w:t>23.4采用综合评分法的项目，未中标的投标人可于中标结果公告发布后通过</w:t>
      </w:r>
      <w:r>
        <w:rPr>
          <w:rFonts w:hint="eastAsia" w:ascii="宋体" w:hAnsi="宋体"/>
          <w:bCs/>
          <w:sz w:val="24"/>
          <w:szCs w:val="24"/>
        </w:rPr>
        <w:t>“苏采云”系统</w:t>
      </w:r>
      <w:r>
        <w:rPr>
          <w:rFonts w:hint="eastAsia" w:ascii="宋体" w:hAnsi="宋体"/>
          <w:sz w:val="24"/>
          <w:szCs w:val="24"/>
        </w:rPr>
        <w:t>查看自己的评审得分及排序情况。</w:t>
      </w:r>
    </w:p>
    <w:p w14:paraId="64EB4801">
      <w:pPr>
        <w:pStyle w:val="316"/>
        <w:keepNext w:val="0"/>
        <w:keepLines w:val="0"/>
        <w:spacing w:before="0" w:after="0" w:line="500" w:lineRule="exact"/>
        <w:ind w:firstLine="422"/>
        <w:rPr>
          <w:rFonts w:ascii="宋体" w:hAnsi="宋体" w:eastAsia="宋体"/>
          <w:bCs w:val="0"/>
          <w:lang w:eastAsia="zh-CN"/>
        </w:rPr>
      </w:pPr>
      <w:bookmarkStart w:id="111" w:name="_Toc20823304"/>
      <w:bookmarkStart w:id="112" w:name="_Toc16938548"/>
      <w:bookmarkStart w:id="113" w:name="_Toc513029232"/>
      <w:r>
        <w:rPr>
          <w:rFonts w:hint="eastAsia" w:ascii="宋体" w:hAnsi="宋体" w:eastAsia="宋体"/>
          <w:bCs w:val="0"/>
          <w:lang w:eastAsia="zh-CN"/>
        </w:rPr>
        <w:t>24.投标文件的澄清</w:t>
      </w:r>
      <w:bookmarkEnd w:id="111"/>
      <w:bookmarkEnd w:id="112"/>
      <w:bookmarkEnd w:id="113"/>
    </w:p>
    <w:p w14:paraId="3AFB33ED">
      <w:pPr>
        <w:spacing w:line="500" w:lineRule="exact"/>
        <w:ind w:firstLine="480"/>
        <w:rPr>
          <w:rFonts w:ascii="宋体" w:hAns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1</w:t>
      </w:r>
      <w:r>
        <w:rPr>
          <w:rFonts w:hint="eastAsia" w:ascii="宋体" w:hAnsi="宋体"/>
          <w:sz w:val="24"/>
          <w:szCs w:val="24"/>
        </w:rPr>
        <w:t>评标期间，评委会对投标文件中含义不明确、同类问题表述不一致或者有明显文字和计算错误的内容，有权要求投标人作出必要的澄清、说明或者补正。</w:t>
      </w:r>
    </w:p>
    <w:p w14:paraId="44212F57">
      <w:pPr>
        <w:spacing w:line="500" w:lineRule="exact"/>
        <w:ind w:firstLine="480"/>
        <w:rPr>
          <w:rFonts w:ascii="宋体" w:hAnsi="宋体"/>
          <w:sz w:val="24"/>
          <w:szCs w:val="24"/>
        </w:rPr>
      </w:pPr>
      <w:r>
        <w:rPr>
          <w:rFonts w:hint="eastAsia" w:ascii="宋体" w:hAnsi="宋体"/>
          <w:sz w:val="24"/>
          <w:szCs w:val="24"/>
        </w:rPr>
        <w:t>投标人的澄清、说明或者补正不得超出投标文件的范围或者改变投标文件的实质性内容。</w:t>
      </w:r>
    </w:p>
    <w:p w14:paraId="3E9CEC14">
      <w:pPr>
        <w:spacing w:line="500" w:lineRule="exact"/>
        <w:ind w:firstLine="480"/>
        <w:rPr>
          <w:rFonts w:ascii="宋体" w:hAnsi="宋体"/>
          <w:sz w:val="24"/>
          <w:szCs w:val="24"/>
        </w:rPr>
      </w:pPr>
      <w:r>
        <w:rPr>
          <w:rFonts w:hint="eastAsia" w:ascii="宋体" w:hAnsi="宋体"/>
          <w:sz w:val="24"/>
          <w:szCs w:val="24"/>
        </w:rPr>
        <w:t>24.2需要供应商进行澄清、说明和补正的，评委会将通过</w:t>
      </w:r>
      <w:r>
        <w:rPr>
          <w:rFonts w:hint="eastAsia" w:ascii="宋体" w:hAnsi="宋体"/>
          <w:bCs/>
          <w:sz w:val="24"/>
          <w:szCs w:val="24"/>
        </w:rPr>
        <w:t>“苏采云”系统</w:t>
      </w:r>
      <w:r>
        <w:rPr>
          <w:rFonts w:hint="eastAsia" w:ascii="宋体" w:hAnsi="宋体"/>
          <w:sz w:val="24"/>
          <w:szCs w:val="24"/>
        </w:rPr>
        <w:t>向供应商发出“澄清要求函”，接到“澄清要求函”的投标人应当按照要求在</w:t>
      </w:r>
      <w:r>
        <w:rPr>
          <w:rFonts w:hint="eastAsia" w:ascii="宋体" w:hAnsi="宋体"/>
          <w:bCs/>
          <w:sz w:val="24"/>
          <w:szCs w:val="24"/>
        </w:rPr>
        <w:t>“苏采云”系统</w:t>
      </w:r>
      <w:r>
        <w:rPr>
          <w:rFonts w:hint="eastAsia" w:ascii="宋体" w:hAnsi="宋体"/>
          <w:sz w:val="24"/>
          <w:szCs w:val="24"/>
        </w:rPr>
        <w:t>中提交“澄清响应函”并加盖CA电子公章。澄清、说明和补正的内容作为投标文件的补充部分，具体操作方式见《操作手册》。</w:t>
      </w:r>
    </w:p>
    <w:p w14:paraId="6A941F61">
      <w:pPr>
        <w:spacing w:line="500" w:lineRule="exact"/>
        <w:ind w:firstLine="480"/>
        <w:rPr>
          <w:rFonts w:ascii="宋体" w:hAnsi="宋体"/>
          <w:sz w:val="24"/>
          <w:szCs w:val="24"/>
        </w:rPr>
      </w:pPr>
      <w:r>
        <w:rPr>
          <w:rFonts w:hint="eastAsia" w:ascii="宋体" w:hAnsi="宋体"/>
          <w:sz w:val="24"/>
          <w:szCs w:val="24"/>
        </w:rPr>
        <w:t>24.3接到评委会澄清、说明和补正要求的投标人如未按规定及时作出澄清、说明和补正，其风险由投标人自行承担。</w:t>
      </w:r>
    </w:p>
    <w:p w14:paraId="45368C2C">
      <w:pPr>
        <w:pStyle w:val="316"/>
        <w:keepNext w:val="0"/>
        <w:keepLines w:val="0"/>
        <w:spacing w:before="0" w:after="0" w:line="500" w:lineRule="exact"/>
        <w:ind w:firstLine="422"/>
        <w:rPr>
          <w:rFonts w:ascii="宋体" w:hAnsi="宋体" w:eastAsia="宋体"/>
          <w:bCs w:val="0"/>
          <w:lang w:eastAsia="zh-CN"/>
        </w:rPr>
      </w:pPr>
      <w:bookmarkStart w:id="114" w:name="_Toc20823305"/>
      <w:bookmarkStart w:id="115" w:name="_Toc16938549"/>
      <w:bookmarkStart w:id="116" w:name="_Toc513029233"/>
      <w:r>
        <w:rPr>
          <w:rFonts w:hint="eastAsia" w:ascii="宋体" w:hAnsi="宋体" w:eastAsia="宋体"/>
          <w:bCs w:val="0"/>
          <w:lang w:eastAsia="zh-CN"/>
        </w:rPr>
        <w:t>25.对投标文件的初审</w:t>
      </w:r>
      <w:bookmarkEnd w:id="114"/>
      <w:bookmarkEnd w:id="115"/>
      <w:bookmarkEnd w:id="116"/>
    </w:p>
    <w:p w14:paraId="70329807">
      <w:pPr>
        <w:spacing w:line="500" w:lineRule="exact"/>
        <w:ind w:firstLine="480"/>
        <w:rPr>
          <w:rFonts w:ascii="宋体" w:hAnsi="宋体"/>
          <w:bCs/>
          <w:sz w:val="24"/>
        </w:rPr>
      </w:pPr>
      <w:r>
        <w:rPr>
          <w:rFonts w:hint="eastAsia" w:ascii="宋体" w:hAnsi="宋体"/>
          <w:sz w:val="24"/>
        </w:rPr>
        <w:t>25.1</w:t>
      </w:r>
      <w:r>
        <w:rPr>
          <w:rFonts w:hint="eastAsia" w:ascii="宋体" w:hAnsi="宋体"/>
          <w:bCs/>
          <w:sz w:val="24"/>
        </w:rPr>
        <w:t>投标文件初审分为资格审查和符合性审查。</w:t>
      </w:r>
    </w:p>
    <w:p w14:paraId="56C489BF">
      <w:pPr>
        <w:spacing w:line="500" w:lineRule="exact"/>
        <w:ind w:firstLine="480"/>
        <w:rPr>
          <w:rFonts w:ascii="宋体" w:hAnsi="宋体"/>
          <w:bCs/>
          <w:sz w:val="24"/>
        </w:rPr>
      </w:pPr>
      <w:r>
        <w:rPr>
          <w:rFonts w:hint="eastAsia" w:ascii="宋体" w:hAnsi="宋体"/>
          <w:bCs/>
          <w:sz w:val="24"/>
        </w:rPr>
        <w:t>25.1.1资格审查：依据法律法规和招标文件的规定，由采购人对投标文件中的资格证明文件进行审查。</w:t>
      </w:r>
    </w:p>
    <w:p w14:paraId="1B965FD9">
      <w:pPr>
        <w:spacing w:line="500" w:lineRule="exact"/>
        <w:ind w:firstLine="480"/>
        <w:rPr>
          <w:rFonts w:ascii="宋体" w:hAnsi="宋体" w:cs="宋体"/>
          <w:bCs/>
          <w:sz w:val="24"/>
        </w:rPr>
      </w:pPr>
      <w:r>
        <w:rPr>
          <w:rFonts w:hint="eastAsia" w:ascii="宋体" w:hAnsi="宋体" w:cs="宋体"/>
          <w:bCs/>
          <w:sz w:val="24"/>
        </w:rPr>
        <w:t>采购人在进行资格审查的同时，将</w:t>
      </w:r>
      <w:r>
        <w:rPr>
          <w:rFonts w:hint="eastAsia" w:ascii="宋体" w:hAnsi="宋体" w:cs="宋体"/>
          <w:bCs/>
          <w:sz w:val="24"/>
          <w:szCs w:val="24"/>
        </w:rPr>
        <w:t>通过“信用中国”网站（</w:t>
      </w:r>
      <w:r>
        <w:fldChar w:fldCharType="begin"/>
      </w:r>
      <w:r>
        <w:instrText xml:space="preserve"> HYPERLINK "http://www.creditchina.gov.cn" </w:instrText>
      </w:r>
      <w:r>
        <w:fldChar w:fldCharType="separate"/>
      </w:r>
      <w:r>
        <w:rPr>
          <w:rFonts w:hint="eastAsia" w:ascii="宋体" w:hAnsi="宋体" w:cs="宋体"/>
          <w:bCs/>
          <w:sz w:val="24"/>
          <w:szCs w:val="24"/>
        </w:rPr>
        <w:t>www.creditchina.gov.cn</w:t>
      </w:r>
      <w:r>
        <w:rPr>
          <w:rFonts w:hint="eastAsia" w:ascii="宋体" w:hAnsi="宋体" w:cs="宋体"/>
          <w:bCs/>
          <w:sz w:val="24"/>
          <w:szCs w:val="24"/>
        </w:rPr>
        <w:fldChar w:fldCharType="end"/>
      </w:r>
      <w:r>
        <w:rPr>
          <w:rFonts w:hint="eastAsia" w:ascii="宋体" w:hAnsi="宋体" w:cs="宋体"/>
          <w:bCs/>
          <w:sz w:val="24"/>
          <w:szCs w:val="24"/>
        </w:rPr>
        <w:t>）、</w:t>
      </w:r>
      <w:r>
        <w:rPr>
          <w:rFonts w:hint="eastAsia" w:ascii="宋体" w:hAnsi="宋体" w:cs="宋体"/>
          <w:sz w:val="24"/>
          <w:szCs w:val="24"/>
        </w:rPr>
        <w:t>中国政府采购网（www.ccgp.gov.cn）</w:t>
      </w:r>
      <w:r>
        <w:rPr>
          <w:rFonts w:hint="eastAsia" w:ascii="宋体" w:hAnsi="宋体" w:cs="宋体"/>
          <w:bCs/>
          <w:sz w:val="24"/>
          <w:szCs w:val="24"/>
        </w:rPr>
        <w:t>查询投标供应商在投标截止时间之前，是否被列入</w:t>
      </w:r>
      <w:r>
        <w:rPr>
          <w:rFonts w:hint="eastAsia" w:ascii="宋体" w:hAnsi="宋体" w:cs="宋体"/>
          <w:sz w:val="24"/>
          <w:szCs w:val="24"/>
        </w:rPr>
        <w:t>失信被执行人、重大税收违法案件当事人名单、政府采购严重违法失信行为记录名单，</w:t>
      </w:r>
      <w:r>
        <w:rPr>
          <w:rFonts w:hint="eastAsia" w:ascii="宋体" w:hAnsi="宋体" w:cs="宋体"/>
          <w:bCs/>
          <w:sz w:val="24"/>
        </w:rPr>
        <w:t>以确定投标供应商是否具备投标资格。</w:t>
      </w:r>
      <w:r>
        <w:rPr>
          <w:rFonts w:hint="eastAsia" w:ascii="宋体" w:hAnsi="宋体" w:cs="宋体"/>
          <w:sz w:val="24"/>
          <w:szCs w:val="24"/>
        </w:rPr>
        <w:t>查询结果留存并归档。</w:t>
      </w:r>
    </w:p>
    <w:p w14:paraId="7966A4D0">
      <w:pPr>
        <w:spacing w:line="500" w:lineRule="exact"/>
        <w:ind w:firstLine="480"/>
        <w:rPr>
          <w:rFonts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14:paraId="4EFDEE64">
      <w:pPr>
        <w:spacing w:line="500" w:lineRule="exact"/>
        <w:ind w:firstLine="480"/>
        <w:rPr>
          <w:rFonts w:ascii="宋体" w:hAnsi="宋体"/>
          <w:bCs/>
          <w:sz w:val="24"/>
        </w:rPr>
      </w:pPr>
      <w:r>
        <w:rPr>
          <w:rFonts w:hint="eastAsia" w:ascii="宋体" w:hAnsi="宋体"/>
          <w:bCs/>
          <w:sz w:val="24"/>
        </w:rPr>
        <w:t>25.1.2符合性审查：依据招标文件的规定，由评委会从投标文件的有效性、完整性和对招标文件的响应程度进行审查，以确定是否对招标文件的实质性要求作出响应。</w:t>
      </w:r>
    </w:p>
    <w:p w14:paraId="11650C27">
      <w:pPr>
        <w:spacing w:line="500" w:lineRule="exact"/>
        <w:ind w:firstLine="480"/>
        <w:rPr>
          <w:rFonts w:ascii="宋体" w:hAnsi="宋体"/>
          <w:bCs/>
          <w:sz w:val="24"/>
        </w:rPr>
      </w:pPr>
      <w:r>
        <w:rPr>
          <w:rFonts w:hint="eastAsia" w:ascii="宋体" w:hAnsi="宋体"/>
          <w:bCs/>
          <w:sz w:val="24"/>
        </w:rPr>
        <w:t>25.</w:t>
      </w:r>
      <w:r>
        <w:rPr>
          <w:rFonts w:ascii="宋体" w:hAnsi="宋体"/>
          <w:bCs/>
          <w:sz w:val="24"/>
        </w:rPr>
        <w:t>1.</w:t>
      </w:r>
      <w:r>
        <w:rPr>
          <w:rFonts w:hint="eastAsia" w:ascii="宋体" w:hAnsi="宋体"/>
          <w:bCs/>
          <w:sz w:val="24"/>
        </w:rPr>
        <w:t>3未通过资格审查或符合性审查的投标人，将在</w:t>
      </w:r>
      <w:r>
        <w:rPr>
          <w:rFonts w:hint="eastAsia" w:ascii="宋体" w:hAnsi="宋体"/>
          <w:bCs/>
          <w:sz w:val="24"/>
          <w:szCs w:val="24"/>
        </w:rPr>
        <w:t>“苏采云”系统</w:t>
      </w:r>
      <w:r>
        <w:rPr>
          <w:rFonts w:hint="eastAsia" w:ascii="宋体" w:hAnsi="宋体"/>
          <w:bCs/>
          <w:sz w:val="24"/>
        </w:rPr>
        <w:t>中告知未通过资格审查或符合性审查的原因，</w:t>
      </w:r>
      <w:r>
        <w:rPr>
          <w:rFonts w:ascii="宋体" w:hAnsi="宋体"/>
          <w:bCs/>
          <w:sz w:val="24"/>
        </w:rPr>
        <w:t>评标结束后，将不再告知未通过资格审查和</w:t>
      </w:r>
      <w:r>
        <w:rPr>
          <w:rFonts w:hint="eastAsia" w:ascii="宋体" w:hAnsi="宋体"/>
          <w:bCs/>
          <w:sz w:val="24"/>
        </w:rPr>
        <w:t>符合性</w:t>
      </w:r>
      <w:r>
        <w:rPr>
          <w:rFonts w:ascii="宋体" w:hAnsi="宋体"/>
          <w:bCs/>
          <w:sz w:val="24"/>
        </w:rPr>
        <w:t>审查的原因。</w:t>
      </w:r>
    </w:p>
    <w:p w14:paraId="2A3732DF">
      <w:pPr>
        <w:spacing w:line="500" w:lineRule="exact"/>
        <w:ind w:firstLine="480"/>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.2在详细评标之前，评委会将首先审查每份投标文件是否实质性响应了招标文件的要求。实质性响应的投标应该是与招标文件要求的全部条款、条件和规格相符，没有重大偏离或保留的投标。</w:t>
      </w:r>
    </w:p>
    <w:p w14:paraId="4696CFAE">
      <w:pPr>
        <w:spacing w:line="500" w:lineRule="exact"/>
        <w:ind w:firstLine="480"/>
        <w:rPr>
          <w:rFonts w:ascii="宋体" w:hAnsi="宋体"/>
          <w:sz w:val="24"/>
        </w:rPr>
      </w:pPr>
      <w:r>
        <w:rPr>
          <w:rFonts w:hint="eastAsia" w:ascii="宋体" w:hAnsi="宋体"/>
          <w:sz w:val="24"/>
        </w:rPr>
        <w:t>所谓重大偏离或保留是指与招标文件规定的实质性要求存在负偏离，或者在实质上与招标文件不一致，而且限制了合同中买方和交易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48F75520">
      <w:pPr>
        <w:spacing w:line="500" w:lineRule="exact"/>
        <w:ind w:firstLine="480"/>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.3如果投标文件实质上没有响应招标文件的要求，评委会将予以拒绝，其投标文件无效，投标人不得通过修改或撤销不合要求的偏离或保留而使其投标成为实质性响应的投标。</w:t>
      </w:r>
    </w:p>
    <w:p w14:paraId="199BEADC">
      <w:pPr>
        <w:spacing w:line="500" w:lineRule="exact"/>
        <w:ind w:firstLine="480"/>
        <w:rPr>
          <w:rFonts w:ascii="宋体" w:hAnsi="宋体"/>
          <w:bCs/>
          <w:sz w:val="24"/>
        </w:rPr>
      </w:pPr>
      <w:r>
        <w:rPr>
          <w:rFonts w:hint="eastAsia" w:ascii="宋体" w:hAnsi="宋体"/>
          <w:sz w:val="24"/>
        </w:rPr>
        <w:t>25.</w:t>
      </w:r>
      <w:r>
        <w:rPr>
          <w:rFonts w:ascii="宋体" w:hAnsi="宋体"/>
          <w:sz w:val="24"/>
        </w:rPr>
        <w:t>4</w:t>
      </w:r>
      <w:r>
        <w:rPr>
          <w:rFonts w:hint="eastAsia" w:ascii="宋体" w:hAnsi="宋体"/>
          <w:bCs/>
          <w:sz w:val="24"/>
        </w:rPr>
        <w:t>评委会将对确定为实质性响应的投标进行进一步审核，确定其是否有计算上或累加上的算术错误，修正错误的原则如下：</w:t>
      </w:r>
    </w:p>
    <w:p w14:paraId="4E6B98A3">
      <w:pPr>
        <w:spacing w:line="500" w:lineRule="exact"/>
        <w:ind w:firstLine="480"/>
        <w:rPr>
          <w:rFonts w:ascii="宋体" w:hAnsi="宋体"/>
          <w:bCs/>
          <w:sz w:val="24"/>
        </w:rPr>
      </w:pPr>
      <w:r>
        <w:rPr>
          <w:rFonts w:hint="eastAsia" w:ascii="宋体" w:hAnsi="宋体"/>
          <w:bCs/>
          <w:sz w:val="24"/>
        </w:rPr>
        <w:t>（1）投标文件中开标一览表内容与投标文件中相应内容不一致的，以开标一览表为准。</w:t>
      </w:r>
    </w:p>
    <w:p w14:paraId="6C5CCEC7">
      <w:pPr>
        <w:spacing w:line="500" w:lineRule="exact"/>
        <w:ind w:firstLine="480"/>
        <w:rPr>
          <w:rFonts w:ascii="宋体" w:hAnsi="宋体"/>
          <w:bCs/>
          <w:sz w:val="24"/>
        </w:rPr>
      </w:pPr>
      <w:r>
        <w:rPr>
          <w:rFonts w:hint="eastAsia" w:ascii="宋体" w:hAnsi="宋体"/>
          <w:bCs/>
          <w:sz w:val="24"/>
        </w:rPr>
        <w:t>（2）大写金额和小写金额不一致的，以大写金额为准。</w:t>
      </w:r>
    </w:p>
    <w:p w14:paraId="248A4F50">
      <w:pPr>
        <w:spacing w:line="500" w:lineRule="exact"/>
        <w:ind w:firstLine="480"/>
        <w:rPr>
          <w:rFonts w:ascii="宋体" w:hAnsi="宋体"/>
          <w:bCs/>
          <w:sz w:val="24"/>
        </w:rPr>
      </w:pPr>
      <w:r>
        <w:rPr>
          <w:rFonts w:hint="eastAsia" w:ascii="宋体" w:hAnsi="宋体"/>
          <w:bCs/>
          <w:sz w:val="24"/>
        </w:rPr>
        <w:t>（3）单价金额小数点或者百分比有明显错位的，以开标一览表的总价为准，并修改单价。</w:t>
      </w:r>
    </w:p>
    <w:p w14:paraId="1AE99048">
      <w:pPr>
        <w:spacing w:line="500" w:lineRule="exact"/>
        <w:ind w:firstLine="480"/>
        <w:rPr>
          <w:rFonts w:ascii="宋体" w:hAnsi="宋体"/>
          <w:bCs/>
          <w:sz w:val="24"/>
        </w:rPr>
      </w:pPr>
      <w:r>
        <w:rPr>
          <w:rFonts w:hint="eastAsia" w:ascii="宋体" w:hAnsi="宋体"/>
          <w:bCs/>
          <w:sz w:val="24"/>
        </w:rPr>
        <w:t>（4）总价金额与按单价汇总金额不一致的，以单价金额计算结果为准。</w:t>
      </w:r>
    </w:p>
    <w:p w14:paraId="0E02D356">
      <w:pPr>
        <w:spacing w:line="500" w:lineRule="exact"/>
        <w:ind w:firstLine="480"/>
        <w:rPr>
          <w:rFonts w:ascii="宋体" w:hAnsi="宋体"/>
          <w:bCs/>
          <w:sz w:val="24"/>
        </w:rPr>
      </w:pPr>
      <w:r>
        <w:rPr>
          <w:rFonts w:hint="eastAsia" w:ascii="宋体" w:hAnsi="宋体"/>
          <w:bCs/>
          <w:sz w:val="24"/>
        </w:rPr>
        <w:t>同时出现两种以上错误的，按照前款规定的顺序修正。</w:t>
      </w:r>
    </w:p>
    <w:p w14:paraId="57B3BEBC">
      <w:pPr>
        <w:spacing w:line="500" w:lineRule="exact"/>
        <w:ind w:firstLine="480"/>
        <w:rPr>
          <w:rFonts w:ascii="宋体" w:hAnsi="宋体"/>
          <w:bCs/>
          <w:sz w:val="24"/>
        </w:rPr>
      </w:pPr>
      <w:r>
        <w:rPr>
          <w:rFonts w:hint="eastAsia" w:ascii="宋体" w:hAnsi="宋体"/>
          <w:sz w:val="24"/>
        </w:rPr>
        <w:t>25.</w:t>
      </w:r>
      <w:r>
        <w:rPr>
          <w:rFonts w:ascii="宋体" w:hAnsi="宋体"/>
          <w:sz w:val="24"/>
        </w:rPr>
        <w:t>5</w:t>
      </w:r>
      <w:r>
        <w:rPr>
          <w:rFonts w:hint="eastAsia" w:ascii="宋体" w:hAnsi="宋体"/>
          <w:bCs/>
          <w:sz w:val="24"/>
        </w:rPr>
        <w:t>评委会将按上述修正错误的方法调整投标文件中的投标报价，并</w:t>
      </w:r>
      <w:r>
        <w:rPr>
          <w:rFonts w:ascii="宋体" w:hAnsi="宋体"/>
          <w:bCs/>
          <w:sz w:val="24"/>
        </w:rPr>
        <w:t>通过</w:t>
      </w:r>
      <w:r>
        <w:rPr>
          <w:rFonts w:hint="eastAsia" w:ascii="宋体" w:hAnsi="宋体"/>
          <w:bCs/>
          <w:sz w:val="24"/>
          <w:szCs w:val="24"/>
        </w:rPr>
        <w:t>“苏采云”系统</w:t>
      </w:r>
      <w:r>
        <w:rPr>
          <w:rFonts w:hint="eastAsia" w:ascii="宋体" w:hAnsi="宋体"/>
          <w:bCs/>
          <w:sz w:val="24"/>
        </w:rPr>
        <w:t>告知</w:t>
      </w:r>
      <w:r>
        <w:rPr>
          <w:rFonts w:ascii="宋体" w:hAnsi="宋体"/>
          <w:bCs/>
          <w:sz w:val="24"/>
        </w:rPr>
        <w:t>投标人，</w:t>
      </w:r>
      <w:r>
        <w:rPr>
          <w:rFonts w:hint="eastAsia" w:ascii="宋体" w:hAnsi="宋体"/>
          <w:bCs/>
          <w:sz w:val="24"/>
        </w:rPr>
        <w:t>调整后的价格应对投标人具有约束力。如果投标人不确认或不接受修正后的价格，则其投标将被拒绝，其投标无效。</w:t>
      </w:r>
    </w:p>
    <w:p w14:paraId="72BA0BCC">
      <w:pPr>
        <w:spacing w:line="500" w:lineRule="exact"/>
        <w:ind w:firstLine="420"/>
        <w:rPr>
          <w:rFonts w:ascii="宋体" w:hAnsi="宋体"/>
          <w:sz w:val="24"/>
        </w:rPr>
      </w:pPr>
      <w:bookmarkStart w:id="117" w:name="_Toc16938550"/>
      <w:bookmarkStart w:id="118" w:name="_Toc513029234"/>
      <w:bookmarkStart w:id="119" w:name="_Toc20823306"/>
      <w:r>
        <w:rPr>
          <w:rFonts w:hint="eastAsia" w:ascii="宋体" w:hAnsi="宋体"/>
          <w:sz w:val="24"/>
        </w:rPr>
        <w:t>25.6投标人在开、评标全过程中应保持通讯畅通，及时登录</w:t>
      </w:r>
      <w:r>
        <w:rPr>
          <w:rFonts w:hint="eastAsia" w:ascii="宋体" w:hAnsi="宋体"/>
          <w:bCs/>
          <w:sz w:val="24"/>
          <w:szCs w:val="24"/>
        </w:rPr>
        <w:t>“苏采云”系统</w:t>
      </w:r>
      <w:r>
        <w:rPr>
          <w:rFonts w:hint="eastAsia" w:ascii="宋体" w:hAnsi="宋体"/>
          <w:sz w:val="24"/>
        </w:rPr>
        <w:t>查阅</w:t>
      </w:r>
      <w:r>
        <w:rPr>
          <w:rFonts w:ascii="宋体" w:hAnsi="宋体"/>
          <w:sz w:val="24"/>
        </w:rPr>
        <w:t>、答复相关</w:t>
      </w:r>
      <w:r>
        <w:rPr>
          <w:rFonts w:hint="eastAsia" w:ascii="宋体" w:hAnsi="宋体"/>
          <w:sz w:val="24"/>
        </w:rPr>
        <w:t>信息</w:t>
      </w:r>
      <w:r>
        <w:rPr>
          <w:rFonts w:ascii="宋体" w:hAnsi="宋体"/>
          <w:sz w:val="24"/>
        </w:rPr>
        <w:t>，</w:t>
      </w:r>
      <w:r>
        <w:rPr>
          <w:rFonts w:hint="eastAsia" w:ascii="宋体" w:hAnsi="宋体"/>
          <w:sz w:val="24"/>
        </w:rPr>
        <w:t>并安排专人随时接受与代理机构及评标委员会的相关询问。</w:t>
      </w:r>
    </w:p>
    <w:p w14:paraId="5C5F1032">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26</w:t>
      </w:r>
      <w:bookmarkEnd w:id="117"/>
      <w:bookmarkEnd w:id="118"/>
      <w:bookmarkEnd w:id="119"/>
      <w:r>
        <w:rPr>
          <w:rFonts w:hint="eastAsia" w:ascii="宋体" w:hAnsi="宋体" w:eastAsia="宋体"/>
          <w:bCs w:val="0"/>
          <w:lang w:eastAsia="zh-CN"/>
        </w:rPr>
        <w:t>.无效投标条款和废标条款</w:t>
      </w:r>
    </w:p>
    <w:p w14:paraId="272CE247">
      <w:pPr>
        <w:spacing w:line="500" w:lineRule="exact"/>
        <w:ind w:left="479"/>
        <w:rPr>
          <w:rFonts w:ascii="宋体" w:hAnsi="宋体"/>
          <w:bCs/>
          <w:sz w:val="24"/>
        </w:rPr>
      </w:pPr>
      <w:bookmarkStart w:id="120" w:name="_Toc20823307"/>
      <w:bookmarkStart w:id="121" w:name="_Toc16938551"/>
      <w:bookmarkStart w:id="122" w:name="_Toc513029235"/>
      <w:r>
        <w:rPr>
          <w:rFonts w:hint="eastAsia" w:ascii="宋体" w:hAnsi="宋体"/>
          <w:bCs/>
          <w:sz w:val="24"/>
        </w:rPr>
        <w:t>26.1无效投标条款</w:t>
      </w:r>
    </w:p>
    <w:p w14:paraId="2FC31621">
      <w:pPr>
        <w:spacing w:line="500" w:lineRule="exact"/>
        <w:ind w:firstLine="480"/>
        <w:rPr>
          <w:rFonts w:ascii="宋体" w:hAnsi="宋体"/>
          <w:bCs/>
          <w:sz w:val="24"/>
          <w:szCs w:val="24"/>
        </w:rPr>
      </w:pPr>
      <w:r>
        <w:rPr>
          <w:rFonts w:hint="eastAsia" w:ascii="宋体" w:hAnsi="宋体"/>
          <w:bCs/>
          <w:sz w:val="24"/>
        </w:rPr>
        <w:t>26</w:t>
      </w:r>
      <w:r>
        <w:rPr>
          <w:rFonts w:hint="eastAsia" w:ascii="宋体" w:hAnsi="宋体"/>
          <w:bCs/>
          <w:sz w:val="24"/>
          <w:szCs w:val="24"/>
        </w:rPr>
        <w:t>.1.1</w:t>
      </w:r>
      <w:r>
        <w:rPr>
          <w:rFonts w:hint="eastAsia" w:ascii="宋体" w:hAnsi="宋体"/>
          <w:sz w:val="24"/>
          <w:szCs w:val="24"/>
        </w:rPr>
        <w:t>未按《“苏采云”系统供应商操作手册》进行正确操作的。</w:t>
      </w:r>
    </w:p>
    <w:p w14:paraId="52FFA213">
      <w:pPr>
        <w:spacing w:line="500" w:lineRule="exact"/>
        <w:ind w:firstLine="480"/>
        <w:rPr>
          <w:rFonts w:ascii="宋体" w:hAnsi="宋体"/>
          <w:bCs/>
          <w:sz w:val="24"/>
          <w:szCs w:val="24"/>
        </w:rPr>
      </w:pPr>
      <w:r>
        <w:rPr>
          <w:rFonts w:hint="eastAsia" w:ascii="宋体" w:hAnsi="宋体"/>
          <w:bCs/>
          <w:sz w:val="24"/>
          <w:szCs w:val="24"/>
        </w:rPr>
        <w:t>26.1.2投标人在“苏采云”系统规定的时间内未成功解密电子投标文件的。</w:t>
      </w:r>
    </w:p>
    <w:p w14:paraId="52437191">
      <w:pPr>
        <w:spacing w:line="500" w:lineRule="exact"/>
        <w:ind w:firstLine="480"/>
        <w:rPr>
          <w:rFonts w:ascii="宋体" w:hAnsi="宋体"/>
          <w:bCs/>
          <w:sz w:val="24"/>
          <w:szCs w:val="24"/>
        </w:rPr>
      </w:pPr>
      <w:r>
        <w:rPr>
          <w:rFonts w:hint="eastAsia" w:ascii="宋体" w:hAnsi="宋体"/>
          <w:bCs/>
          <w:sz w:val="24"/>
          <w:szCs w:val="24"/>
        </w:rPr>
        <w:t>26.1.3</w:t>
      </w:r>
      <w:r>
        <w:rPr>
          <w:rFonts w:hint="eastAsia" w:ascii="宋体" w:hAnsi="宋体"/>
          <w:bCs/>
          <w:sz w:val="24"/>
        </w:rPr>
        <w:t>投标人未按照招标文件要求上传电子投标文件、</w:t>
      </w:r>
      <w:r>
        <w:rPr>
          <w:rFonts w:hint="eastAsia" w:ascii="宋体" w:hAnsi="宋体"/>
          <w:bCs/>
          <w:sz w:val="24"/>
          <w:szCs w:val="24"/>
        </w:rPr>
        <w:t>电子投标文件未按规定期限投标的，纸质投标文件（如有）未按规定的期限、地点送达的。</w:t>
      </w:r>
    </w:p>
    <w:p w14:paraId="33F1AEED">
      <w:pPr>
        <w:spacing w:line="500" w:lineRule="exact"/>
        <w:ind w:firstLine="480"/>
        <w:rPr>
          <w:rFonts w:ascii="宋体" w:hAnsi="宋体"/>
          <w:bCs/>
          <w:sz w:val="24"/>
          <w:szCs w:val="24"/>
        </w:rPr>
      </w:pPr>
      <w:r>
        <w:rPr>
          <w:rFonts w:hint="eastAsia" w:ascii="宋体" w:hAnsi="宋体"/>
          <w:bCs/>
          <w:sz w:val="24"/>
          <w:szCs w:val="24"/>
        </w:rPr>
        <w:t>26.1.4</w:t>
      </w:r>
      <w:r>
        <w:rPr>
          <w:rFonts w:hint="eastAsia" w:ascii="宋体" w:hAnsi="宋体"/>
          <w:bCs/>
          <w:sz w:val="24"/>
        </w:rPr>
        <w:t>投标人的</w:t>
      </w:r>
      <w:r>
        <w:rPr>
          <w:rFonts w:hint="eastAsia" w:ascii="宋体" w:hAnsi="宋体"/>
          <w:bCs/>
          <w:sz w:val="24"/>
          <w:szCs w:val="24"/>
        </w:rPr>
        <w:t>电子投标文件未按招标文件要求签章的。</w:t>
      </w:r>
    </w:p>
    <w:p w14:paraId="5516AD68">
      <w:pPr>
        <w:spacing w:line="500" w:lineRule="exact"/>
        <w:ind w:firstLine="480"/>
        <w:rPr>
          <w:rFonts w:ascii="宋体" w:hAnsi="宋体"/>
          <w:bCs/>
          <w:sz w:val="24"/>
          <w:szCs w:val="24"/>
        </w:rPr>
      </w:pPr>
      <w:r>
        <w:rPr>
          <w:rFonts w:hint="eastAsia" w:ascii="宋体" w:hAnsi="宋体"/>
          <w:bCs/>
          <w:sz w:val="24"/>
          <w:szCs w:val="24"/>
        </w:rPr>
        <w:t>26.1.5投标人的被授权代表无授权委托书或授权委托日期晚于投标截止日期的。</w:t>
      </w:r>
    </w:p>
    <w:p w14:paraId="509F2099">
      <w:pPr>
        <w:spacing w:line="500" w:lineRule="exact"/>
        <w:ind w:firstLine="480"/>
        <w:rPr>
          <w:rFonts w:ascii="宋体" w:hAnsi="宋体"/>
          <w:bCs/>
          <w:sz w:val="24"/>
          <w:szCs w:val="24"/>
        </w:rPr>
      </w:pPr>
      <w:r>
        <w:rPr>
          <w:rFonts w:hint="eastAsia" w:ascii="宋体" w:hAnsi="宋体"/>
          <w:bCs/>
          <w:sz w:val="24"/>
          <w:szCs w:val="24"/>
        </w:rPr>
        <w:t>26.1.6投标人不具备招标文件中规定的资格要求或未按招标文件规定的要求提供资格证明文件的。</w:t>
      </w:r>
    </w:p>
    <w:p w14:paraId="4955AE60">
      <w:pPr>
        <w:spacing w:line="500" w:lineRule="exact"/>
        <w:ind w:firstLine="480"/>
        <w:rPr>
          <w:rFonts w:ascii="宋体" w:hAnsi="宋体"/>
          <w:bCs/>
          <w:sz w:val="24"/>
          <w:szCs w:val="24"/>
        </w:rPr>
      </w:pPr>
      <w:r>
        <w:rPr>
          <w:rFonts w:hint="eastAsia" w:ascii="宋体" w:hAnsi="宋体"/>
          <w:bCs/>
          <w:sz w:val="24"/>
          <w:szCs w:val="24"/>
        </w:rPr>
        <w:t>26.1.7</w:t>
      </w:r>
      <w:r>
        <w:rPr>
          <w:rFonts w:hint="eastAsia" w:ascii="宋体" w:hAnsi="宋体"/>
          <w:bCs/>
          <w:sz w:val="24"/>
        </w:rPr>
        <w:t>同一投标人提交两种（含两种）以上不同的投标报价的。</w:t>
      </w:r>
    </w:p>
    <w:p w14:paraId="7F552F8A">
      <w:pPr>
        <w:spacing w:line="500" w:lineRule="exact"/>
        <w:ind w:firstLine="480"/>
        <w:rPr>
          <w:rFonts w:ascii="宋体" w:hAnsi="宋体"/>
          <w:bCs/>
          <w:sz w:val="24"/>
          <w:szCs w:val="24"/>
        </w:rPr>
      </w:pPr>
      <w:r>
        <w:rPr>
          <w:rFonts w:hint="eastAsia" w:ascii="宋体" w:hAnsi="宋体"/>
          <w:sz w:val="24"/>
          <w:szCs w:val="24"/>
        </w:rPr>
        <w:t>26.1.8投标人被“信用中国”网站（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）、中国政府采购网（www.ccgp.gov.cn）列入失信被执行人或重大税收违法案件当事人名单或政府采购严重违法失信行为记录名单的。</w:t>
      </w:r>
      <w:r>
        <w:rPr>
          <w:rFonts w:hint="eastAsia" w:ascii="宋体" w:hAnsi="宋体"/>
          <w:bCs/>
          <w:sz w:val="24"/>
        </w:rPr>
        <w:t>或查询“信用中国”网站、</w:t>
      </w:r>
      <w:r>
        <w:rPr>
          <w:rFonts w:hint="eastAsia" w:ascii="宋体" w:hAnsi="宋体"/>
          <w:sz w:val="24"/>
          <w:szCs w:val="24"/>
        </w:rPr>
        <w:t>中国政府采购网</w:t>
      </w:r>
      <w:r>
        <w:rPr>
          <w:rFonts w:hint="eastAsia" w:ascii="宋体" w:hAnsi="宋体"/>
          <w:bCs/>
          <w:sz w:val="24"/>
        </w:rPr>
        <w:t>后发现投标人存在其他不符合《中华人民共和国政府采购法》第二十二条规定条件的信用记录。</w:t>
      </w:r>
    </w:p>
    <w:p w14:paraId="4D3FB4BA">
      <w:pPr>
        <w:spacing w:line="500" w:lineRule="exact"/>
        <w:ind w:firstLine="480"/>
        <w:rPr>
          <w:rFonts w:ascii="宋体" w:hAnsi="宋体"/>
          <w:bCs/>
          <w:sz w:val="24"/>
          <w:szCs w:val="24"/>
        </w:rPr>
      </w:pPr>
      <w:r>
        <w:rPr>
          <w:rFonts w:hint="eastAsia" w:ascii="宋体" w:hAnsi="宋体"/>
          <w:bCs/>
          <w:sz w:val="24"/>
          <w:szCs w:val="24"/>
        </w:rPr>
        <w:t>26.1.9投标文件未按招标文件规定的内容和要求填写的。</w:t>
      </w:r>
    </w:p>
    <w:p w14:paraId="6539DCA6">
      <w:pPr>
        <w:spacing w:line="500" w:lineRule="exact"/>
        <w:ind w:firstLine="480"/>
        <w:rPr>
          <w:rFonts w:ascii="宋体" w:hAnsi="宋体"/>
          <w:bCs/>
          <w:sz w:val="24"/>
          <w:szCs w:val="24"/>
        </w:rPr>
      </w:pPr>
      <w:r>
        <w:rPr>
          <w:rFonts w:hint="eastAsia" w:ascii="宋体" w:hAnsi="宋体"/>
          <w:bCs/>
          <w:sz w:val="24"/>
          <w:szCs w:val="24"/>
        </w:rPr>
        <w:t>26.1.10</w:t>
      </w:r>
      <w:r>
        <w:rPr>
          <w:rFonts w:hint="eastAsia" w:ascii="宋体" w:hAnsi="宋体"/>
          <w:bCs/>
          <w:sz w:val="24"/>
        </w:rPr>
        <w:t>投标人的</w:t>
      </w:r>
      <w:r>
        <w:rPr>
          <w:rFonts w:hint="eastAsia" w:ascii="宋体" w:hAnsi="宋体"/>
          <w:bCs/>
          <w:sz w:val="24"/>
          <w:szCs w:val="24"/>
        </w:rPr>
        <w:t>项目（标项、标段、分包）投标总价超过本项目（本采购包、本标项、本标段）预算或最高限价的。</w:t>
      </w:r>
    </w:p>
    <w:p w14:paraId="32A0C486">
      <w:pPr>
        <w:spacing w:line="500" w:lineRule="exact"/>
        <w:ind w:firstLine="480"/>
        <w:rPr>
          <w:rFonts w:ascii="宋体" w:hAnsi="宋体"/>
          <w:bCs/>
          <w:sz w:val="24"/>
          <w:szCs w:val="24"/>
        </w:rPr>
      </w:pPr>
      <w:r>
        <w:rPr>
          <w:rFonts w:hint="eastAsia" w:ascii="宋体" w:hAnsi="宋体"/>
          <w:bCs/>
          <w:sz w:val="24"/>
          <w:szCs w:val="24"/>
        </w:rPr>
        <w:t>26.1.11未通过符合性审查的。</w:t>
      </w:r>
    </w:p>
    <w:p w14:paraId="563605CC">
      <w:pPr>
        <w:spacing w:line="500" w:lineRule="exact"/>
        <w:ind w:firstLine="480"/>
        <w:rPr>
          <w:rFonts w:ascii="宋体" w:hAnsi="宋体"/>
          <w:bCs/>
          <w:sz w:val="24"/>
          <w:szCs w:val="24"/>
        </w:rPr>
      </w:pPr>
      <w:r>
        <w:rPr>
          <w:rFonts w:hint="eastAsia" w:ascii="宋体" w:hAnsi="宋体"/>
          <w:bCs/>
          <w:sz w:val="24"/>
          <w:szCs w:val="24"/>
        </w:rPr>
        <w:t>26.1.12投标文件含有采购人不能接受的附加条件的。</w:t>
      </w:r>
    </w:p>
    <w:p w14:paraId="2363C7EE">
      <w:pPr>
        <w:spacing w:line="500" w:lineRule="exact"/>
        <w:ind w:firstLine="480"/>
        <w:rPr>
          <w:rFonts w:ascii="宋体" w:hAnsi="宋体"/>
          <w:bCs/>
          <w:sz w:val="24"/>
          <w:szCs w:val="24"/>
        </w:rPr>
      </w:pPr>
      <w:r>
        <w:rPr>
          <w:rFonts w:hint="eastAsia" w:ascii="宋体" w:hAnsi="宋体"/>
          <w:bCs/>
          <w:sz w:val="24"/>
          <w:szCs w:val="24"/>
        </w:rPr>
        <w:t>26.1.13电子投标文件图片、字迹模糊不清、无法辨认导致无法评审的。</w:t>
      </w:r>
    </w:p>
    <w:p w14:paraId="6FB00570">
      <w:pPr>
        <w:spacing w:line="500" w:lineRule="exact"/>
        <w:ind w:firstLine="480"/>
        <w:rPr>
          <w:rFonts w:ascii="宋体" w:hAnsi="宋体"/>
          <w:bCs/>
          <w:sz w:val="24"/>
          <w:szCs w:val="24"/>
        </w:rPr>
      </w:pPr>
      <w:r>
        <w:rPr>
          <w:rFonts w:hint="eastAsia" w:ascii="宋体" w:hAnsi="宋体"/>
          <w:bCs/>
          <w:sz w:val="24"/>
          <w:szCs w:val="24"/>
        </w:rPr>
        <w:t>26.1.14投标文件中有招标文件未允许提供的选择性内容。</w:t>
      </w:r>
    </w:p>
    <w:p w14:paraId="2AB5C905">
      <w:pPr>
        <w:spacing w:line="500" w:lineRule="exact"/>
        <w:ind w:firstLine="480"/>
        <w:rPr>
          <w:rFonts w:ascii="宋体" w:hAnsi="宋体"/>
          <w:bCs/>
          <w:sz w:val="24"/>
          <w:szCs w:val="24"/>
        </w:rPr>
      </w:pPr>
      <w:r>
        <w:rPr>
          <w:rFonts w:hint="eastAsia" w:ascii="宋体" w:hAnsi="宋体"/>
          <w:bCs/>
          <w:sz w:val="24"/>
        </w:rPr>
        <w:t>26.1.15</w:t>
      </w:r>
      <w:r>
        <w:rPr>
          <w:rFonts w:hint="eastAsia" w:ascii="宋体" w:hAnsi="宋体"/>
          <w:bCs/>
          <w:sz w:val="24"/>
          <w:szCs w:val="24"/>
        </w:rPr>
        <w:t>不同投标人委托同一单位或者个人办理投标事宜的。</w:t>
      </w:r>
    </w:p>
    <w:p w14:paraId="3122DF29">
      <w:pPr>
        <w:spacing w:line="500" w:lineRule="exact"/>
        <w:ind w:firstLine="480"/>
        <w:rPr>
          <w:rFonts w:ascii="宋体" w:hAnsi="宋体"/>
          <w:bCs/>
          <w:sz w:val="24"/>
        </w:rPr>
      </w:pPr>
      <w:r>
        <w:rPr>
          <w:rFonts w:hint="eastAsia" w:ascii="宋体" w:hAnsi="宋体"/>
          <w:bCs/>
          <w:sz w:val="24"/>
        </w:rPr>
        <w:t>26.1.16</w:t>
      </w:r>
      <w:r>
        <w:rPr>
          <w:rFonts w:hint="eastAsia" w:ascii="宋体" w:hAnsi="宋体"/>
          <w:bCs/>
          <w:sz w:val="24"/>
          <w:szCs w:val="24"/>
        </w:rPr>
        <w:t>不同投标人的单位负责人为同一人或者存在直接控股、管理关系的。</w:t>
      </w:r>
    </w:p>
    <w:p w14:paraId="6F6BBFCC">
      <w:pPr>
        <w:spacing w:line="500" w:lineRule="exact"/>
        <w:ind w:firstLine="480"/>
        <w:rPr>
          <w:rFonts w:ascii="宋体" w:hAnsi="宋体"/>
          <w:bCs/>
          <w:sz w:val="24"/>
          <w:szCs w:val="24"/>
        </w:rPr>
      </w:pPr>
      <w:r>
        <w:rPr>
          <w:rFonts w:hint="eastAsia" w:ascii="宋体" w:hAnsi="宋体"/>
          <w:bCs/>
          <w:sz w:val="24"/>
          <w:szCs w:val="24"/>
        </w:rPr>
        <w:t>26.1.17不同投标人的投标文件的装订形式、纸张情况、目录序号、排版格式、文字风格等存在明显的相似性或一致性，特征显示由同一单位或者同一个人编制的。</w:t>
      </w:r>
    </w:p>
    <w:p w14:paraId="093C5E25">
      <w:pPr>
        <w:spacing w:line="500" w:lineRule="exact"/>
        <w:ind w:firstLine="480"/>
        <w:rPr>
          <w:rFonts w:ascii="宋体" w:hAnsi="宋体"/>
          <w:bCs/>
          <w:sz w:val="24"/>
          <w:szCs w:val="24"/>
        </w:rPr>
      </w:pPr>
      <w:r>
        <w:rPr>
          <w:rFonts w:hint="eastAsia" w:ascii="宋体" w:hAnsi="宋体"/>
          <w:bCs/>
          <w:sz w:val="24"/>
          <w:szCs w:val="24"/>
        </w:rPr>
        <w:t>26.1.18不同投标人投标文件内容存在非正常一致、项目组成员出现同一人、投标文件中错误（或异常）一致或雷同、电子文档信息一致或雷同的、投标报价呈规律性差异的。</w:t>
      </w:r>
    </w:p>
    <w:p w14:paraId="51B8D98B">
      <w:pPr>
        <w:spacing w:line="500" w:lineRule="exact"/>
        <w:ind w:firstLine="480"/>
        <w:rPr>
          <w:rFonts w:ascii="宋体" w:hAnsi="宋体"/>
          <w:bCs/>
          <w:sz w:val="24"/>
        </w:rPr>
      </w:pPr>
      <w:r>
        <w:rPr>
          <w:rFonts w:hint="eastAsia" w:ascii="宋体" w:hAnsi="宋体"/>
          <w:bCs/>
          <w:sz w:val="24"/>
        </w:rPr>
        <w:t>26.1.19不同投标人的投标资料相互混装、不同投标人的委托代理人、项目负责人以及其他相关人员有在同一个单位缴纳社会保险、同一投标文件中单位名称落款与公章不是同一单位的。</w:t>
      </w:r>
    </w:p>
    <w:p w14:paraId="7B2CB544">
      <w:pPr>
        <w:spacing w:line="500" w:lineRule="exact"/>
        <w:ind w:firstLine="480"/>
        <w:rPr>
          <w:rFonts w:ascii="宋体" w:hAnsi="宋体"/>
          <w:bCs/>
          <w:sz w:val="24"/>
        </w:rPr>
      </w:pPr>
      <w:r>
        <w:rPr>
          <w:rFonts w:hint="eastAsia" w:ascii="宋体" w:hAnsi="宋体"/>
          <w:bCs/>
          <w:sz w:val="24"/>
        </w:rPr>
        <w:t>26.1.20</w:t>
      </w:r>
      <w:r>
        <w:rPr>
          <w:rFonts w:hint="eastAsia" w:ascii="宋体" w:hAnsi="宋体"/>
          <w:bCs/>
          <w:sz w:val="24"/>
          <w:szCs w:val="24"/>
        </w:rPr>
        <w:t>提供虚假材料的（包括工商营业执照、财务报表、资格证明文件等）。</w:t>
      </w:r>
    </w:p>
    <w:p w14:paraId="4FCBCC46">
      <w:pPr>
        <w:spacing w:line="500" w:lineRule="exact"/>
        <w:ind w:firstLine="480"/>
        <w:rPr>
          <w:rFonts w:ascii="宋体" w:hAnsi="宋体"/>
          <w:bCs/>
          <w:sz w:val="24"/>
        </w:rPr>
      </w:pPr>
      <w:r>
        <w:rPr>
          <w:rFonts w:hint="eastAsia" w:ascii="宋体" w:hAnsi="宋体"/>
          <w:bCs/>
          <w:sz w:val="24"/>
        </w:rPr>
        <w:t>26.1.21</w:t>
      </w:r>
      <w:r>
        <w:rPr>
          <w:rFonts w:hint="eastAsia" w:ascii="宋体" w:hAnsi="宋体"/>
          <w:bCs/>
          <w:sz w:val="24"/>
          <w:szCs w:val="24"/>
        </w:rPr>
        <w:t>除单一来源采购项目外，为采购项目提供整体设计、规范编制或者项目管理、监理、检测等服务的。</w:t>
      </w:r>
    </w:p>
    <w:p w14:paraId="5804F372">
      <w:pPr>
        <w:spacing w:line="500" w:lineRule="exact"/>
        <w:ind w:firstLine="480"/>
        <w:rPr>
          <w:rFonts w:ascii="宋体" w:hAnsi="宋体"/>
          <w:bCs/>
          <w:sz w:val="24"/>
          <w:shd w:val="clear" w:color="FFFFFF" w:fill="D9D9D9"/>
        </w:rPr>
      </w:pPr>
      <w:r>
        <w:rPr>
          <w:rFonts w:hint="eastAsia" w:ascii="宋体" w:hAnsi="宋体"/>
          <w:bCs/>
          <w:sz w:val="24"/>
          <w:szCs w:val="24"/>
        </w:rPr>
        <w:t>26.1.22评标委员会认定投标人的报价明显低于其他通过符合性审查投标人的报价，有可能影响产品质量或者不能诚信履约，且投标人不能应评标委员会要求</w:t>
      </w:r>
      <w:r>
        <w:rPr>
          <w:rFonts w:hint="eastAsia" w:ascii="宋体" w:hAnsi="宋体"/>
          <w:bCs/>
          <w:sz w:val="24"/>
        </w:rPr>
        <w:t>通过</w:t>
      </w:r>
      <w:r>
        <w:rPr>
          <w:rFonts w:hint="eastAsia" w:ascii="宋体" w:hAnsi="宋体"/>
          <w:bCs/>
          <w:sz w:val="24"/>
          <w:szCs w:val="24"/>
        </w:rPr>
        <w:t>“苏采云”系统</w:t>
      </w:r>
      <w:r>
        <w:rPr>
          <w:rFonts w:hint="eastAsia" w:ascii="宋体" w:hAnsi="宋体"/>
          <w:sz w:val="24"/>
          <w:szCs w:val="24"/>
        </w:rPr>
        <w:t>（或</w:t>
      </w:r>
      <w:r>
        <w:rPr>
          <w:rFonts w:hint="eastAsia" w:ascii="宋体" w:hAnsi="宋体"/>
          <w:bCs/>
          <w:sz w:val="24"/>
          <w:szCs w:val="24"/>
        </w:rPr>
        <w:t>在评标现场</w:t>
      </w:r>
      <w:r>
        <w:rPr>
          <w:rFonts w:hint="eastAsia" w:ascii="宋体" w:hAnsi="宋体"/>
          <w:sz w:val="24"/>
          <w:szCs w:val="24"/>
        </w:rPr>
        <w:t>）给定的</w:t>
      </w:r>
      <w:r>
        <w:rPr>
          <w:rFonts w:hint="eastAsia" w:ascii="宋体" w:hAnsi="宋体"/>
          <w:bCs/>
          <w:sz w:val="24"/>
          <w:szCs w:val="24"/>
        </w:rPr>
        <w:t>合理时间内提供说明（必要时评标委员会可要求投标人提交相关证明材料）证明其报价合理性的</w:t>
      </w:r>
      <w:r>
        <w:rPr>
          <w:rFonts w:hint="eastAsia" w:ascii="宋体" w:hAnsi="宋体"/>
          <w:bCs/>
          <w:sz w:val="24"/>
        </w:rPr>
        <w:t>，评标委员会应当将其作为无效投标处理。</w:t>
      </w:r>
    </w:p>
    <w:p w14:paraId="20FC1885">
      <w:pPr>
        <w:spacing w:line="500" w:lineRule="exact"/>
        <w:ind w:firstLine="480"/>
        <w:rPr>
          <w:rFonts w:ascii="宋体" w:hAnsi="宋体"/>
          <w:bCs/>
          <w:sz w:val="24"/>
        </w:rPr>
      </w:pPr>
      <w:r>
        <w:rPr>
          <w:rFonts w:hint="eastAsia" w:ascii="宋体" w:hAnsi="宋体"/>
          <w:bCs/>
          <w:sz w:val="24"/>
          <w:szCs w:val="24"/>
        </w:rPr>
        <w:t>26.1.23投标文件内容不全或不符合招标文件中规定的其他实质性要求和条件的</w:t>
      </w:r>
    </w:p>
    <w:p w14:paraId="2A29368D">
      <w:pPr>
        <w:spacing w:line="500" w:lineRule="exact"/>
        <w:ind w:firstLine="480"/>
        <w:rPr>
          <w:rFonts w:ascii="宋体" w:hAnsi="宋体"/>
          <w:bCs/>
          <w:sz w:val="24"/>
        </w:rPr>
      </w:pPr>
      <w:r>
        <w:rPr>
          <w:rFonts w:hint="eastAsia" w:ascii="宋体" w:hAnsi="宋体"/>
          <w:bCs/>
          <w:sz w:val="24"/>
        </w:rPr>
        <w:t>26.1.24其他法律法规及本招标文件规定的属无效投标的情形。</w:t>
      </w:r>
    </w:p>
    <w:p w14:paraId="77E4EADC">
      <w:pPr>
        <w:spacing w:line="500" w:lineRule="exact"/>
        <w:ind w:left="479"/>
        <w:rPr>
          <w:rFonts w:ascii="宋体" w:hAnsi="宋体"/>
          <w:bCs/>
          <w:sz w:val="24"/>
        </w:rPr>
      </w:pPr>
      <w:r>
        <w:rPr>
          <w:rFonts w:hint="eastAsia" w:ascii="宋体" w:hAnsi="宋体"/>
          <w:bCs/>
          <w:sz w:val="24"/>
        </w:rPr>
        <w:t>26.2废标条款</w:t>
      </w:r>
    </w:p>
    <w:p w14:paraId="67F2E6B9">
      <w:pPr>
        <w:spacing w:line="500" w:lineRule="exact"/>
        <w:ind w:left="479"/>
        <w:rPr>
          <w:rFonts w:ascii="宋体" w:hAnsi="宋体"/>
          <w:bCs/>
          <w:sz w:val="24"/>
        </w:rPr>
      </w:pPr>
      <w:r>
        <w:rPr>
          <w:rFonts w:hint="eastAsia" w:ascii="宋体" w:hAnsi="宋体"/>
          <w:bCs/>
          <w:sz w:val="24"/>
        </w:rPr>
        <w:t>26.2.1符合专业条件的供应商或者对招标文件做实质响应的供应商不足三家的。26.2.2出现影响采购公正的违法、违规行为的。</w:t>
      </w:r>
    </w:p>
    <w:p w14:paraId="522A05E7">
      <w:pPr>
        <w:spacing w:line="500" w:lineRule="exact"/>
        <w:ind w:left="479"/>
        <w:rPr>
          <w:rFonts w:ascii="宋体" w:hAnsi="宋体"/>
          <w:bCs/>
          <w:sz w:val="24"/>
        </w:rPr>
      </w:pPr>
      <w:r>
        <w:rPr>
          <w:rFonts w:hint="eastAsia" w:ascii="宋体" w:hAnsi="宋体"/>
          <w:bCs/>
          <w:sz w:val="24"/>
        </w:rPr>
        <w:t>26.2.3因重大变故，采购任务取消的。</w:t>
      </w:r>
    </w:p>
    <w:p w14:paraId="0AEC5C02">
      <w:pPr>
        <w:spacing w:line="500" w:lineRule="exact"/>
        <w:ind w:left="479"/>
        <w:rPr>
          <w:rFonts w:ascii="宋体" w:hAnsi="宋体"/>
          <w:bCs/>
          <w:sz w:val="24"/>
        </w:rPr>
      </w:pPr>
      <w:r>
        <w:rPr>
          <w:rFonts w:hint="eastAsia" w:ascii="宋体" w:hAnsi="宋体"/>
          <w:bCs/>
          <w:sz w:val="24"/>
        </w:rPr>
        <w:t>26.2.4评标委员会认定招标文件存在歧义、重大缺陷导致评审工作无法进行。</w:t>
      </w:r>
    </w:p>
    <w:p w14:paraId="10014E68">
      <w:pPr>
        <w:spacing w:line="500" w:lineRule="exact"/>
        <w:ind w:left="479"/>
        <w:rPr>
          <w:rFonts w:ascii="宋体" w:hAnsi="宋体"/>
          <w:bCs/>
          <w:sz w:val="24"/>
        </w:rPr>
      </w:pPr>
      <w:r>
        <w:rPr>
          <w:rFonts w:hint="eastAsia" w:ascii="宋体" w:hAnsi="宋体"/>
          <w:bCs/>
          <w:sz w:val="24"/>
        </w:rPr>
        <w:t>26.2.5 因</w:t>
      </w:r>
      <w:r>
        <w:rPr>
          <w:rFonts w:hint="eastAsia" w:ascii="宋体" w:hAnsi="宋体"/>
          <w:bCs/>
          <w:sz w:val="24"/>
          <w:szCs w:val="24"/>
        </w:rPr>
        <w:t>“苏采云”系统</w:t>
      </w:r>
      <w:r>
        <w:rPr>
          <w:rFonts w:ascii="宋体" w:hAnsi="宋体"/>
          <w:bCs/>
          <w:sz w:val="24"/>
        </w:rPr>
        <w:t>故障原因造成开标不成功</w:t>
      </w:r>
      <w:r>
        <w:rPr>
          <w:rFonts w:hint="eastAsia" w:ascii="宋体" w:hAnsi="宋体"/>
          <w:bCs/>
          <w:sz w:val="24"/>
        </w:rPr>
        <w:t>的；</w:t>
      </w:r>
    </w:p>
    <w:p w14:paraId="420B4578">
      <w:pPr>
        <w:spacing w:line="500" w:lineRule="exact"/>
        <w:ind w:left="479"/>
        <w:rPr>
          <w:rFonts w:ascii="宋体" w:hAnsi="宋体"/>
          <w:bCs/>
          <w:sz w:val="24"/>
        </w:rPr>
      </w:pPr>
      <w:r>
        <w:rPr>
          <w:rFonts w:hint="eastAsia" w:ascii="宋体" w:hAnsi="宋体"/>
          <w:bCs/>
          <w:sz w:val="24"/>
          <w:szCs w:val="24"/>
        </w:rPr>
        <w:t>26.2.6投标人的报价均超过采购预算，采购人不能支付的。</w:t>
      </w:r>
    </w:p>
    <w:p w14:paraId="263B26DD">
      <w:pPr>
        <w:spacing w:line="500" w:lineRule="exact"/>
        <w:ind w:left="479"/>
        <w:rPr>
          <w:rFonts w:ascii="宋体" w:hAnsi="宋体"/>
          <w:bCs/>
          <w:sz w:val="24"/>
        </w:rPr>
      </w:pPr>
      <w:r>
        <w:rPr>
          <w:rFonts w:hint="eastAsia" w:ascii="宋体" w:hAnsi="宋体"/>
          <w:bCs/>
          <w:sz w:val="24"/>
        </w:rPr>
        <w:t>26.3 投标截止时间结束后参加投标的供应商不足三家的处理：</w:t>
      </w:r>
    </w:p>
    <w:p w14:paraId="2A294784">
      <w:pPr>
        <w:spacing w:line="500" w:lineRule="exact"/>
        <w:ind w:firstLine="480"/>
        <w:rPr>
          <w:rFonts w:ascii="宋体" w:hAnsi="宋体"/>
          <w:bCs/>
          <w:sz w:val="24"/>
        </w:rPr>
      </w:pPr>
      <w:r>
        <w:rPr>
          <w:rFonts w:hint="eastAsia" w:ascii="宋体" w:hAnsi="宋体"/>
          <w:bCs/>
          <w:sz w:val="24"/>
        </w:rPr>
        <w:t>26.3.1如出现投标截止时间结束后参加投标的供应商或者在评标期间对招标文件做出实质响应的供应商不足三家情况，按政府采购相关规定执行。</w:t>
      </w:r>
    </w:p>
    <w:p w14:paraId="602AAAF8">
      <w:pPr>
        <w:pStyle w:val="139"/>
        <w:keepNext w:val="0"/>
        <w:keepLines w:val="0"/>
        <w:spacing w:before="0" w:after="0" w:line="500" w:lineRule="exact"/>
        <w:ind w:firstLine="452"/>
        <w:rPr>
          <w:sz w:val="30"/>
          <w:szCs w:val="30"/>
          <w:lang w:eastAsia="zh-CN"/>
        </w:rPr>
      </w:pPr>
      <w:bookmarkStart w:id="123" w:name="_Toc120614219"/>
      <w:r>
        <w:rPr>
          <w:rFonts w:hint="eastAsia"/>
          <w:sz w:val="30"/>
          <w:szCs w:val="30"/>
          <w:lang w:eastAsia="zh-CN"/>
        </w:rPr>
        <w:t>六、</w:t>
      </w:r>
      <w:bookmarkEnd w:id="120"/>
      <w:bookmarkEnd w:id="121"/>
      <w:bookmarkEnd w:id="122"/>
      <w:r>
        <w:rPr>
          <w:rFonts w:hint="eastAsia"/>
          <w:sz w:val="30"/>
          <w:szCs w:val="30"/>
          <w:lang w:eastAsia="zh-CN"/>
        </w:rPr>
        <w:t>定标</w:t>
      </w:r>
      <w:bookmarkEnd w:id="123"/>
    </w:p>
    <w:p w14:paraId="08B5ECD0">
      <w:pPr>
        <w:pStyle w:val="316"/>
        <w:keepNext w:val="0"/>
        <w:keepLines w:val="0"/>
        <w:spacing w:before="0" w:after="0" w:line="500" w:lineRule="exact"/>
        <w:ind w:firstLine="422"/>
        <w:rPr>
          <w:rFonts w:ascii="宋体" w:hAnsi="宋体" w:eastAsia="宋体"/>
          <w:bCs w:val="0"/>
          <w:lang w:eastAsia="zh-CN"/>
        </w:rPr>
      </w:pPr>
      <w:bookmarkStart w:id="124" w:name="_Toc513029238"/>
      <w:bookmarkStart w:id="125" w:name="_Toc20823310"/>
      <w:bookmarkStart w:id="126" w:name="_Toc16938554"/>
      <w:r>
        <w:rPr>
          <w:rFonts w:hint="eastAsia" w:ascii="宋体" w:hAnsi="宋体" w:eastAsia="宋体"/>
          <w:bCs w:val="0"/>
          <w:lang w:eastAsia="zh-CN"/>
        </w:rPr>
        <w:t>27</w:t>
      </w:r>
      <w:bookmarkEnd w:id="124"/>
      <w:r>
        <w:rPr>
          <w:rFonts w:hint="eastAsia" w:ascii="宋体" w:hAnsi="宋体" w:eastAsia="宋体"/>
          <w:bCs w:val="0"/>
          <w:lang w:eastAsia="zh-CN"/>
        </w:rPr>
        <w:t>.确定</w:t>
      </w:r>
      <w:bookmarkEnd w:id="125"/>
      <w:bookmarkEnd w:id="126"/>
      <w:r>
        <w:rPr>
          <w:rFonts w:hint="eastAsia" w:ascii="宋体" w:hAnsi="宋体" w:eastAsia="宋体"/>
          <w:bCs w:val="0"/>
          <w:lang w:eastAsia="zh-CN"/>
        </w:rPr>
        <w:t>中标单位</w:t>
      </w:r>
    </w:p>
    <w:p w14:paraId="7F2BE7CB">
      <w:pPr>
        <w:spacing w:line="500" w:lineRule="exact"/>
        <w:ind w:firstLine="480"/>
        <w:rPr>
          <w:rFonts w:ascii="宋体" w:hAnsi="宋体"/>
          <w:bCs/>
          <w:sz w:val="24"/>
        </w:rPr>
      </w:pPr>
      <w:r>
        <w:rPr>
          <w:rFonts w:hint="eastAsia" w:ascii="宋体" w:hAnsi="宋体"/>
          <w:bCs/>
          <w:sz w:val="24"/>
        </w:rPr>
        <w:t>27.1评标委员会根据招标文件规定的评标方法和评标标准进行评审，按招标文件的要求依法选取中标候选人，中标候选人的选取原则和数量见招标文件</w:t>
      </w:r>
      <w:r>
        <w:rPr>
          <w:rFonts w:hint="eastAsia" w:ascii="宋体" w:hAnsi="宋体"/>
          <w:b/>
          <w:sz w:val="24"/>
        </w:rPr>
        <w:t>第五章规定</w:t>
      </w:r>
      <w:r>
        <w:rPr>
          <w:rFonts w:hint="eastAsia" w:ascii="宋体" w:hAnsi="宋体"/>
          <w:bCs/>
          <w:sz w:val="24"/>
        </w:rPr>
        <w:t>。</w:t>
      </w:r>
    </w:p>
    <w:p w14:paraId="63B89550">
      <w:pPr>
        <w:spacing w:line="500" w:lineRule="exact"/>
        <w:ind w:firstLine="480"/>
        <w:rPr>
          <w:rFonts w:ascii="宋体" w:hAnsi="宋体"/>
          <w:bCs/>
          <w:sz w:val="24"/>
        </w:rPr>
      </w:pPr>
      <w:r>
        <w:rPr>
          <w:rFonts w:hint="eastAsia" w:ascii="宋体" w:hAnsi="宋体"/>
          <w:bCs/>
          <w:sz w:val="24"/>
        </w:rPr>
        <w:t>27.2采购人应根据评委会推荐的中标候选人名单中按排名先后顺序确定一名投标人为中标单位。联合体中标的，联合体各方应当共同与采购人签订合同，就中标项目向采购人承担连带责任。</w:t>
      </w:r>
    </w:p>
    <w:p w14:paraId="057DE141">
      <w:pPr>
        <w:spacing w:line="500" w:lineRule="exact"/>
        <w:ind w:firstLine="480"/>
        <w:rPr>
          <w:rFonts w:ascii="宋体" w:hAnsi="宋体"/>
          <w:sz w:val="24"/>
          <w:szCs w:val="24"/>
        </w:rPr>
      </w:pPr>
      <w:r>
        <w:rPr>
          <w:rFonts w:hint="eastAsia" w:ascii="宋体" w:hAnsi="宋体"/>
          <w:bCs/>
          <w:sz w:val="24"/>
          <w:szCs w:val="24"/>
        </w:rPr>
        <w:t>27.3</w:t>
      </w:r>
      <w:r>
        <w:rPr>
          <w:rFonts w:hint="eastAsia" w:ascii="宋体" w:hAnsi="宋体"/>
          <w:sz w:val="24"/>
          <w:szCs w:val="24"/>
        </w:rPr>
        <w:t>交易中心将在“无锡政府采购网”“江苏政府采购网”发布中标公告，公告期限为1个工作日。</w:t>
      </w:r>
    </w:p>
    <w:p w14:paraId="61C20D53">
      <w:pPr>
        <w:spacing w:line="500" w:lineRule="exact"/>
        <w:ind w:firstLine="480"/>
        <w:rPr>
          <w:rFonts w:ascii="宋体" w:hAnsi="宋体"/>
          <w:sz w:val="24"/>
          <w:szCs w:val="24"/>
        </w:rPr>
      </w:pPr>
      <w:r>
        <w:rPr>
          <w:rFonts w:hint="eastAsia" w:ascii="宋体" w:hAnsi="宋体"/>
          <w:sz w:val="24"/>
          <w:szCs w:val="24"/>
        </w:rPr>
        <w:t>27.4中标无效的确认</w:t>
      </w:r>
    </w:p>
    <w:p w14:paraId="759D19D3">
      <w:pPr>
        <w:spacing w:line="500" w:lineRule="exact"/>
        <w:ind w:firstLine="480"/>
        <w:rPr>
          <w:rFonts w:ascii="宋体" w:hAnsi="宋体"/>
          <w:sz w:val="24"/>
          <w:szCs w:val="24"/>
        </w:rPr>
      </w:pPr>
      <w:r>
        <w:rPr>
          <w:rFonts w:hint="eastAsia" w:ascii="宋体" w:hAnsi="宋体"/>
          <w:sz w:val="24"/>
          <w:szCs w:val="24"/>
        </w:rPr>
        <w:t>若有充分证据证明，中标人出现下列情况之一的，一经查实，将被取消中标资格：</w:t>
      </w:r>
    </w:p>
    <w:p w14:paraId="545564DB">
      <w:pPr>
        <w:spacing w:line="500" w:lineRule="exact"/>
        <w:ind w:firstLine="480"/>
        <w:rPr>
          <w:rFonts w:ascii="宋体" w:hAnsi="宋体"/>
          <w:sz w:val="24"/>
          <w:szCs w:val="24"/>
        </w:rPr>
      </w:pPr>
      <w:r>
        <w:rPr>
          <w:rFonts w:hint="eastAsia" w:ascii="宋体" w:hAnsi="宋体"/>
          <w:sz w:val="24"/>
          <w:szCs w:val="24"/>
        </w:rPr>
        <w:t>27.4.1提供虚假材料谋取中标的。</w:t>
      </w:r>
    </w:p>
    <w:p w14:paraId="15068CC4">
      <w:pPr>
        <w:spacing w:line="500" w:lineRule="exact"/>
        <w:ind w:firstLine="480"/>
        <w:rPr>
          <w:rFonts w:ascii="宋体" w:hAnsi="宋体"/>
          <w:sz w:val="24"/>
          <w:szCs w:val="24"/>
        </w:rPr>
      </w:pPr>
      <w:r>
        <w:rPr>
          <w:rFonts w:hint="eastAsia" w:ascii="宋体" w:hAnsi="宋体"/>
          <w:sz w:val="24"/>
          <w:szCs w:val="24"/>
        </w:rPr>
        <w:t>27.4.2向采购人、交易中心行贿或者提供其他不正当利益的。</w:t>
      </w:r>
    </w:p>
    <w:p w14:paraId="216A19C2">
      <w:pPr>
        <w:spacing w:line="500" w:lineRule="exact"/>
        <w:ind w:firstLine="480"/>
        <w:rPr>
          <w:rFonts w:ascii="宋体" w:hAnsi="宋体"/>
          <w:sz w:val="24"/>
          <w:szCs w:val="24"/>
        </w:rPr>
      </w:pPr>
      <w:r>
        <w:rPr>
          <w:rFonts w:hint="eastAsia" w:ascii="宋体" w:hAnsi="宋体"/>
          <w:sz w:val="24"/>
          <w:szCs w:val="24"/>
        </w:rPr>
        <w:t>27.4.3属于本文件规定的无效投标文件条件的，但在评标过程中又未被评委会发现的。</w:t>
      </w:r>
    </w:p>
    <w:p w14:paraId="1EB82D32">
      <w:pPr>
        <w:spacing w:line="500" w:lineRule="exact"/>
        <w:ind w:firstLine="480"/>
        <w:rPr>
          <w:rFonts w:ascii="宋体" w:hAnsi="宋体"/>
          <w:sz w:val="24"/>
          <w:szCs w:val="24"/>
        </w:rPr>
      </w:pPr>
      <w:r>
        <w:rPr>
          <w:rFonts w:hint="eastAsia" w:ascii="宋体" w:hAnsi="宋体"/>
          <w:sz w:val="24"/>
          <w:szCs w:val="24"/>
        </w:rPr>
        <w:t>27.4.4与采购人或者其他供应商恶意串通的。</w:t>
      </w:r>
    </w:p>
    <w:p w14:paraId="4B1C22E3">
      <w:pPr>
        <w:spacing w:line="500" w:lineRule="exact"/>
        <w:ind w:firstLine="480"/>
        <w:rPr>
          <w:rFonts w:ascii="宋体" w:hAnsi="宋体"/>
          <w:sz w:val="24"/>
          <w:szCs w:val="24"/>
        </w:rPr>
      </w:pPr>
      <w:r>
        <w:rPr>
          <w:rFonts w:hint="eastAsia" w:ascii="宋体" w:hAnsi="宋体"/>
          <w:sz w:val="24"/>
          <w:szCs w:val="24"/>
        </w:rPr>
        <w:t>27.4.5采取不正当手段诋毁、排挤其他供应商的。</w:t>
      </w:r>
    </w:p>
    <w:p w14:paraId="7CA9FE09">
      <w:pPr>
        <w:spacing w:line="500" w:lineRule="exact"/>
        <w:ind w:firstLine="480"/>
        <w:rPr>
          <w:rFonts w:ascii="宋体" w:hAnsi="宋体"/>
          <w:sz w:val="24"/>
          <w:szCs w:val="24"/>
        </w:rPr>
      </w:pPr>
      <w:bookmarkStart w:id="127" w:name="_Toc200451960"/>
      <w:r>
        <w:rPr>
          <w:rFonts w:hint="eastAsia" w:ascii="宋体" w:hAnsi="宋体"/>
          <w:sz w:val="24"/>
          <w:szCs w:val="24"/>
        </w:rPr>
        <w:t>27.4.6</w:t>
      </w:r>
      <w:r>
        <w:rPr>
          <w:rFonts w:hint="eastAsia" w:ascii="宋体" w:hAnsi="宋体"/>
          <w:bCs/>
          <w:sz w:val="24"/>
          <w:szCs w:val="24"/>
        </w:rPr>
        <w:t>在招标过程中与采购人进行协商谈判、不按照招标文件和中标供应商的投标文件订立合同，或者与采购人另行订立背离合同实质性内容的协议的；</w:t>
      </w:r>
    </w:p>
    <w:p w14:paraId="0EE8C29A">
      <w:pPr>
        <w:spacing w:line="500" w:lineRule="exact"/>
        <w:ind w:firstLine="480"/>
        <w:rPr>
          <w:rFonts w:ascii="宋体" w:hAnsi="宋体"/>
          <w:sz w:val="24"/>
          <w:szCs w:val="24"/>
        </w:rPr>
      </w:pPr>
      <w:r>
        <w:rPr>
          <w:rFonts w:hint="eastAsia" w:ascii="宋体" w:hAnsi="宋体"/>
          <w:sz w:val="24"/>
          <w:szCs w:val="24"/>
        </w:rPr>
        <w:t>27.4.7</w:t>
      </w:r>
      <w:r>
        <w:rPr>
          <w:rFonts w:hint="eastAsia" w:ascii="宋体" w:hAnsi="宋体"/>
          <w:bCs/>
          <w:sz w:val="24"/>
          <w:szCs w:val="24"/>
        </w:rPr>
        <w:t>拒绝有关部门监督检查或者提供虚假情况的。</w:t>
      </w:r>
    </w:p>
    <w:p w14:paraId="27001D6E">
      <w:pPr>
        <w:spacing w:line="500" w:lineRule="exact"/>
        <w:ind w:firstLine="480"/>
        <w:rPr>
          <w:rFonts w:ascii="宋体" w:hAnsi="宋体"/>
          <w:sz w:val="24"/>
          <w:szCs w:val="24"/>
        </w:rPr>
      </w:pPr>
      <w:r>
        <w:rPr>
          <w:rFonts w:hint="eastAsia" w:ascii="宋体" w:hAnsi="宋体"/>
          <w:sz w:val="24"/>
          <w:szCs w:val="24"/>
        </w:rPr>
        <w:t xml:space="preserve">27.5 </w:t>
      </w:r>
      <w:r>
        <w:rPr>
          <w:rFonts w:hAnsi="宋体" w:cs="宋体"/>
          <w:sz w:val="24"/>
          <w:szCs w:val="24"/>
        </w:rPr>
        <w:t>有下列情形之一的，</w:t>
      </w:r>
      <w:r>
        <w:rPr>
          <w:rFonts w:hint="eastAsia" w:hAnsi="宋体" w:cs="宋体"/>
          <w:sz w:val="24"/>
          <w:szCs w:val="24"/>
        </w:rPr>
        <w:t>视为投标人</w:t>
      </w:r>
      <w:r>
        <w:rPr>
          <w:rFonts w:hAnsi="宋体" w:cs="宋体"/>
          <w:sz w:val="24"/>
          <w:szCs w:val="24"/>
        </w:rPr>
        <w:t>串通</w:t>
      </w:r>
      <w:r>
        <w:rPr>
          <w:rFonts w:hint="eastAsia" w:hAnsi="宋体" w:cs="宋体"/>
          <w:sz w:val="24"/>
          <w:szCs w:val="24"/>
        </w:rPr>
        <w:t>投标，投标无效：</w:t>
      </w:r>
    </w:p>
    <w:p w14:paraId="37C32DD6">
      <w:pPr>
        <w:spacing w:line="500" w:lineRule="exact"/>
        <w:ind w:firstLine="480"/>
        <w:rPr>
          <w:rFonts w:ascii="宋体" w:hAnsi="宋体"/>
          <w:sz w:val="24"/>
          <w:szCs w:val="24"/>
        </w:rPr>
      </w:pPr>
      <w:r>
        <w:rPr>
          <w:rFonts w:hint="eastAsia" w:ascii="宋体" w:hAnsi="宋体"/>
          <w:sz w:val="24"/>
          <w:szCs w:val="24"/>
        </w:rPr>
        <w:t>27.5.1不同投标人的投标文件由同一单位或者个人编制。</w:t>
      </w:r>
    </w:p>
    <w:p w14:paraId="162B7541">
      <w:pPr>
        <w:spacing w:line="500" w:lineRule="exact"/>
        <w:ind w:firstLine="480"/>
        <w:rPr>
          <w:rFonts w:ascii="宋体" w:hAnsi="宋体"/>
          <w:sz w:val="24"/>
          <w:szCs w:val="24"/>
        </w:rPr>
      </w:pPr>
      <w:r>
        <w:rPr>
          <w:rFonts w:hint="eastAsia" w:ascii="宋体" w:hAnsi="宋体"/>
          <w:sz w:val="24"/>
          <w:szCs w:val="24"/>
        </w:rPr>
        <w:t>27.5.2不同投标人委托同一单位或者个人办理投标事宜。</w:t>
      </w:r>
    </w:p>
    <w:p w14:paraId="7457556A">
      <w:pPr>
        <w:spacing w:line="500" w:lineRule="exact"/>
        <w:ind w:firstLine="480"/>
        <w:rPr>
          <w:rFonts w:ascii="宋体" w:hAnsi="宋体"/>
          <w:sz w:val="24"/>
          <w:szCs w:val="24"/>
        </w:rPr>
      </w:pPr>
      <w:r>
        <w:rPr>
          <w:rFonts w:hint="eastAsia" w:ascii="宋体" w:hAnsi="宋体"/>
          <w:sz w:val="24"/>
          <w:szCs w:val="24"/>
        </w:rPr>
        <w:t>27.5.3 不同投标人的投标文件载明的项目管理成员或者联系人员为同一人。</w:t>
      </w:r>
    </w:p>
    <w:p w14:paraId="5E6CE434">
      <w:pPr>
        <w:spacing w:line="500" w:lineRule="exact"/>
        <w:ind w:firstLine="480"/>
        <w:rPr>
          <w:rFonts w:ascii="宋体" w:hAnsi="宋体"/>
          <w:sz w:val="24"/>
          <w:szCs w:val="24"/>
        </w:rPr>
      </w:pPr>
      <w:r>
        <w:rPr>
          <w:rFonts w:hint="eastAsia" w:ascii="宋体" w:hAnsi="宋体"/>
          <w:sz w:val="24"/>
          <w:szCs w:val="24"/>
        </w:rPr>
        <w:t>27.5.4不同投标人的投标文件异常一致或者投标报价呈规律性差异。</w:t>
      </w:r>
    </w:p>
    <w:p w14:paraId="1178B2FE">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28.质疑处理</w:t>
      </w:r>
      <w:bookmarkEnd w:id="127"/>
    </w:p>
    <w:p w14:paraId="2BE495F0">
      <w:pPr>
        <w:spacing w:line="500" w:lineRule="exact"/>
        <w:ind w:firstLine="480"/>
        <w:rPr>
          <w:rFonts w:ascii="宋体" w:hAnsi="宋体"/>
          <w:sz w:val="24"/>
          <w:szCs w:val="24"/>
        </w:rPr>
      </w:pPr>
      <w:r>
        <w:rPr>
          <w:rFonts w:hint="eastAsia" w:ascii="宋体" w:hAnsi="宋体"/>
          <w:sz w:val="24"/>
          <w:szCs w:val="24"/>
        </w:rPr>
        <w:t>28.1 提出质疑的供应商应当是参与所质疑项目采购活动的供应商。潜在供应商依法获取其可质疑的采购文件的，可以对采购文件提出质疑。供应商针对采购文件提出书面质疑的，须同时提供对可质疑的采购文件已进行依法获取的证明，且采购人或交易中心有权向“苏采云”系统平台方进行核实。供应商对可质疑的采购文件已进行依法获取的证明是指：本项目的《投标供应商确认函》和已在“苏采云”系统中对本项目采购文件进行有效获取的界面截图（截图上显示供应商名称以及在供应商的界面操作一栏处能够显示“上传文件”按钮的，代表该供应商在本文件有效获取期限内已从“苏采云”系统中进行了获取）。</w:t>
      </w:r>
    </w:p>
    <w:p w14:paraId="2A82F7F9">
      <w:pPr>
        <w:spacing w:line="500" w:lineRule="exact"/>
        <w:ind w:firstLine="480"/>
        <w:rPr>
          <w:rFonts w:ascii="宋体" w:hAnsi="宋体"/>
          <w:sz w:val="24"/>
          <w:szCs w:val="24"/>
        </w:rPr>
      </w:pPr>
      <w:r>
        <w:rPr>
          <w:rFonts w:hint="eastAsia" w:ascii="宋体" w:hAnsi="宋体"/>
          <w:sz w:val="24"/>
          <w:szCs w:val="24"/>
        </w:rPr>
        <w:t>28.2供应商认为采购文件、采购过程和采购结果使自己的权益受到损害的，可以在知道或应知其权益受到损害之日起七个工作日内，以书面形式根据下述28.4条款的规定向采购人或交易中心提出质疑，供应商因未按该规定以相应事项向相应机构提出质疑从而造成质疑超出政府采购法定期限或其他情形导致质疑不予受理或无法受理的，由供应商自行承担。上述应知其权益受到损害之日，是指：</w:t>
      </w:r>
    </w:p>
    <w:p w14:paraId="0164387F">
      <w:pPr>
        <w:spacing w:line="500" w:lineRule="exact"/>
        <w:ind w:firstLine="480"/>
        <w:rPr>
          <w:rFonts w:ascii="宋体" w:hAnsi="宋体"/>
          <w:sz w:val="24"/>
          <w:szCs w:val="24"/>
        </w:rPr>
      </w:pPr>
      <w:r>
        <w:rPr>
          <w:rFonts w:hint="eastAsia" w:ascii="宋体" w:hAnsi="宋体"/>
          <w:sz w:val="24"/>
          <w:szCs w:val="24"/>
        </w:rPr>
        <w:t>28.2.1</w:t>
      </w:r>
      <w:r>
        <w:rPr>
          <w:rFonts w:ascii="宋体" w:hAnsi="宋体"/>
          <w:sz w:val="24"/>
          <w:szCs w:val="24"/>
        </w:rPr>
        <w:t>对可以质疑的采购文件提出质疑的，为收到采购文件之日或者采购文件公告期限届满之日；</w:t>
      </w:r>
    </w:p>
    <w:p w14:paraId="258F981D">
      <w:pPr>
        <w:spacing w:line="500" w:lineRule="exact"/>
        <w:ind w:firstLine="480"/>
        <w:rPr>
          <w:rFonts w:ascii="宋体" w:hAnsi="宋体"/>
          <w:sz w:val="24"/>
          <w:szCs w:val="24"/>
        </w:rPr>
      </w:pPr>
      <w:r>
        <w:rPr>
          <w:rFonts w:hint="eastAsia" w:ascii="宋体" w:hAnsi="宋体"/>
          <w:sz w:val="24"/>
          <w:szCs w:val="24"/>
        </w:rPr>
        <w:t>28.2.2</w:t>
      </w:r>
      <w:r>
        <w:rPr>
          <w:rFonts w:ascii="宋体" w:hAnsi="宋体"/>
          <w:sz w:val="24"/>
          <w:szCs w:val="24"/>
        </w:rPr>
        <w:t>对采购过程提出质疑的，为各采购程序环节结束之日；</w:t>
      </w:r>
    </w:p>
    <w:p w14:paraId="67E925D6">
      <w:pPr>
        <w:spacing w:line="500" w:lineRule="exact"/>
        <w:ind w:firstLine="480"/>
        <w:rPr>
          <w:rFonts w:ascii="宋体" w:hAnsi="宋体"/>
          <w:sz w:val="24"/>
          <w:szCs w:val="24"/>
        </w:rPr>
      </w:pPr>
      <w:r>
        <w:rPr>
          <w:rFonts w:hint="eastAsia" w:ascii="宋体" w:hAnsi="宋体"/>
          <w:sz w:val="24"/>
          <w:szCs w:val="24"/>
        </w:rPr>
        <w:t>28.2.3</w:t>
      </w:r>
      <w:r>
        <w:rPr>
          <w:rFonts w:ascii="宋体" w:hAnsi="宋体"/>
          <w:sz w:val="24"/>
          <w:szCs w:val="24"/>
        </w:rPr>
        <w:t>对中标或者成交结果提出质疑的，为中标或者成交结果公告期限届满之日。</w:t>
      </w:r>
    </w:p>
    <w:p w14:paraId="7AED59BE">
      <w:pPr>
        <w:spacing w:line="500" w:lineRule="exact"/>
        <w:ind w:firstLine="480"/>
        <w:rPr>
          <w:rFonts w:ascii="宋体" w:hAnsi="宋体"/>
          <w:sz w:val="24"/>
          <w:szCs w:val="24"/>
        </w:rPr>
      </w:pPr>
      <w:r>
        <w:rPr>
          <w:rFonts w:hint="eastAsia" w:ascii="宋体" w:hAnsi="宋体"/>
          <w:sz w:val="24"/>
          <w:szCs w:val="24"/>
        </w:rPr>
        <w:t>供应商应当在法定质疑期内一次性提出针对同一采购程序环节的质疑。供应商如在法定期限内对同一采购程序环节提出多次质疑的，交易中心、</w:t>
      </w:r>
      <w:r>
        <w:rPr>
          <w:rFonts w:ascii="宋体" w:hAnsi="宋体"/>
          <w:sz w:val="24"/>
          <w:szCs w:val="24"/>
        </w:rPr>
        <w:t>采购人</w:t>
      </w:r>
      <w:r>
        <w:rPr>
          <w:rFonts w:hint="eastAsia" w:ascii="宋体" w:hAnsi="宋体"/>
          <w:sz w:val="24"/>
          <w:szCs w:val="24"/>
        </w:rPr>
        <w:t>将只对供应商第一次质疑作出答复。</w:t>
      </w:r>
    </w:p>
    <w:p w14:paraId="7DFB0C60">
      <w:pPr>
        <w:spacing w:line="500" w:lineRule="exact"/>
        <w:ind w:firstLine="480"/>
        <w:rPr>
          <w:rFonts w:ascii="宋体" w:hAnsi="宋体"/>
          <w:sz w:val="24"/>
          <w:szCs w:val="24"/>
        </w:rPr>
      </w:pPr>
      <w:r>
        <w:rPr>
          <w:rFonts w:hint="eastAsia" w:ascii="宋体" w:hAnsi="宋体"/>
          <w:sz w:val="24"/>
          <w:szCs w:val="24"/>
        </w:rPr>
        <w:t>28.3</w:t>
      </w:r>
      <w:r>
        <w:rPr>
          <w:rFonts w:hint="eastAsia" w:ascii="宋体"/>
          <w:bCs/>
          <w:sz w:val="24"/>
          <w:szCs w:val="24"/>
        </w:rPr>
        <w:t>质疑函的质疑事项应具体、明确，并有必要的事实依据和法律依据（格式详见中国政府采购网《政府采购供应商质疑函范本》）。</w:t>
      </w:r>
      <w:r>
        <w:rPr>
          <w:rFonts w:hint="eastAsia" w:ascii="宋体" w:hAnsi="宋体"/>
          <w:sz w:val="24"/>
          <w:szCs w:val="24"/>
        </w:rPr>
        <w:t>供应商如组成联合体参加投标，则《质疑函范本》中要求签字、盖章、加盖公章之处，联合体各方均须按要求签字、盖章、加盖公章。</w:t>
      </w:r>
    </w:p>
    <w:p w14:paraId="112D1582">
      <w:pPr>
        <w:spacing w:line="500" w:lineRule="exact"/>
        <w:ind w:firstLine="480"/>
        <w:rPr>
          <w:rFonts w:ascii="宋体" w:hAnsi="宋体"/>
          <w:sz w:val="24"/>
          <w:szCs w:val="24"/>
          <w:shd w:val="clear" w:color="FFFFFF" w:fill="D9D9D9"/>
        </w:rPr>
      </w:pPr>
      <w:r>
        <w:rPr>
          <w:rFonts w:hint="eastAsia" w:ascii="宋体" w:hAnsi="宋体"/>
          <w:sz w:val="24"/>
          <w:szCs w:val="24"/>
        </w:rPr>
        <w:t>28.4供应商（含潜在供应商）对项目属性、采购方式、采购需求、供应商资格条件及审查结果、评标方法和评标标准、合同文本的询问、质疑请向采购人提出，由采购人负责答复。供应商对除上述事项以外其他事项的询问、质疑请向交易中心提出，由交易中心负责答复。</w:t>
      </w:r>
    </w:p>
    <w:p w14:paraId="1C315E1E">
      <w:pPr>
        <w:spacing w:line="500" w:lineRule="exact"/>
        <w:ind w:firstLine="480"/>
        <w:rPr>
          <w:rFonts w:ascii="宋体" w:hAnsi="宋体"/>
          <w:sz w:val="24"/>
          <w:szCs w:val="24"/>
        </w:rPr>
      </w:pPr>
      <w:r>
        <w:rPr>
          <w:rFonts w:hint="eastAsia" w:ascii="宋体" w:hAnsi="宋体"/>
          <w:sz w:val="24"/>
          <w:szCs w:val="24"/>
        </w:rPr>
        <w:t>采购人、交易中心只接收以纸质原件形式送达的质疑，质疑供应商可通过面交或邮寄方式送达（采购人和交易中心不接受未填写快递运单的快件）。</w:t>
      </w:r>
    </w:p>
    <w:p w14:paraId="7C069E42">
      <w:pPr>
        <w:spacing w:line="500" w:lineRule="exact"/>
        <w:ind w:firstLine="480"/>
        <w:rPr>
          <w:rFonts w:ascii="宋体" w:hAnsi="宋体"/>
          <w:sz w:val="24"/>
          <w:szCs w:val="24"/>
        </w:rPr>
      </w:pPr>
      <w:r>
        <w:rPr>
          <w:rFonts w:hint="eastAsia" w:ascii="宋体" w:hAnsi="宋体"/>
          <w:sz w:val="24"/>
          <w:szCs w:val="24"/>
        </w:rPr>
        <w:t>采购人、交易中心联系人、联系方式、通信地址见招标文件第一章。</w:t>
      </w:r>
    </w:p>
    <w:p w14:paraId="1466BC67">
      <w:pPr>
        <w:spacing w:line="500" w:lineRule="exact"/>
        <w:ind w:firstLine="480"/>
        <w:rPr>
          <w:rFonts w:ascii="宋体" w:hAnsi="宋体"/>
          <w:sz w:val="24"/>
          <w:szCs w:val="24"/>
        </w:rPr>
      </w:pPr>
      <w:r>
        <w:rPr>
          <w:rFonts w:hint="eastAsia" w:ascii="宋体" w:hAnsi="宋体"/>
          <w:sz w:val="24"/>
          <w:szCs w:val="24"/>
        </w:rPr>
        <w:t>28.5 以下情形的质疑不予受理</w:t>
      </w:r>
    </w:p>
    <w:p w14:paraId="1672486A">
      <w:pPr>
        <w:spacing w:line="500" w:lineRule="exact"/>
        <w:ind w:firstLine="480"/>
        <w:rPr>
          <w:rFonts w:ascii="宋体" w:hAnsi="宋体"/>
          <w:sz w:val="24"/>
          <w:szCs w:val="24"/>
        </w:rPr>
      </w:pPr>
      <w:r>
        <w:rPr>
          <w:rFonts w:hint="eastAsia" w:ascii="宋体" w:hAnsi="宋体"/>
          <w:sz w:val="24"/>
          <w:szCs w:val="24"/>
        </w:rPr>
        <w:t>28.5.1 内容不符合《政府采购质疑和投诉办法》第十二条规定的质疑。</w:t>
      </w:r>
    </w:p>
    <w:p w14:paraId="4F183CAD">
      <w:pPr>
        <w:spacing w:line="500" w:lineRule="exact"/>
        <w:ind w:firstLine="480"/>
        <w:rPr>
          <w:rFonts w:ascii="宋体" w:hAnsi="宋体"/>
          <w:sz w:val="24"/>
          <w:szCs w:val="24"/>
        </w:rPr>
      </w:pPr>
      <w:r>
        <w:rPr>
          <w:rFonts w:hint="eastAsia" w:ascii="宋体" w:hAnsi="宋体"/>
          <w:sz w:val="24"/>
          <w:szCs w:val="24"/>
        </w:rPr>
        <w:t>28.5.2 超出政府采购法定期限的质疑。</w:t>
      </w:r>
    </w:p>
    <w:p w14:paraId="1F98EE4E">
      <w:pPr>
        <w:spacing w:line="500" w:lineRule="exact"/>
        <w:ind w:firstLine="480"/>
        <w:rPr>
          <w:rFonts w:ascii="宋体" w:hAnsi="宋体"/>
          <w:sz w:val="24"/>
          <w:szCs w:val="24"/>
        </w:rPr>
      </w:pPr>
      <w:r>
        <w:rPr>
          <w:rFonts w:hint="eastAsia" w:ascii="宋体" w:hAnsi="宋体"/>
          <w:sz w:val="24"/>
          <w:szCs w:val="24"/>
        </w:rPr>
        <w:t>28.5.3 以传真、电子邮件等方式递交的非原件形式的质疑。</w:t>
      </w:r>
    </w:p>
    <w:p w14:paraId="64AFEDE1">
      <w:pPr>
        <w:spacing w:line="500" w:lineRule="exact"/>
        <w:ind w:firstLine="480"/>
        <w:rPr>
          <w:rFonts w:ascii="宋体" w:hAnsi="宋体"/>
          <w:sz w:val="24"/>
          <w:szCs w:val="24"/>
        </w:rPr>
      </w:pPr>
      <w:r>
        <w:rPr>
          <w:rFonts w:hint="eastAsia" w:ascii="宋体" w:hAnsi="宋体"/>
          <w:sz w:val="24"/>
          <w:szCs w:val="24"/>
        </w:rPr>
        <w:t>28.5.4未参加投标活动的供应商或在投标活动中自身权益未受到损害的供应商所提出的质疑。</w:t>
      </w:r>
    </w:p>
    <w:p w14:paraId="40D8E182">
      <w:pPr>
        <w:spacing w:line="500" w:lineRule="exact"/>
        <w:ind w:firstLine="480"/>
        <w:rPr>
          <w:rFonts w:ascii="宋体" w:hAnsi="宋体"/>
          <w:sz w:val="24"/>
          <w:szCs w:val="24"/>
        </w:rPr>
      </w:pPr>
      <w:r>
        <w:rPr>
          <w:rFonts w:hint="eastAsia" w:ascii="宋体" w:hAnsi="宋体"/>
          <w:sz w:val="24"/>
          <w:szCs w:val="24"/>
        </w:rPr>
        <w:t>28.5.5供应商组成联合体参加投标，联合体中任何一方或多方未按要求签字、盖章、加盖公章的质疑。</w:t>
      </w:r>
    </w:p>
    <w:p w14:paraId="6C214C96">
      <w:pPr>
        <w:spacing w:line="500" w:lineRule="exact"/>
        <w:ind w:firstLine="468"/>
        <w:rPr>
          <w:rFonts w:ascii="宋体" w:hAnsi="宋体"/>
          <w:sz w:val="24"/>
          <w:szCs w:val="24"/>
        </w:rPr>
      </w:pPr>
      <w:r>
        <w:rPr>
          <w:rFonts w:hint="eastAsia" w:ascii="宋体" w:hAnsi="宋体"/>
          <w:sz w:val="24"/>
          <w:szCs w:val="24"/>
        </w:rPr>
        <w:t>28.6供应商提出书面质疑必须有理、有据，</w:t>
      </w:r>
      <w:r>
        <w:rPr>
          <w:rFonts w:hint="eastAsia" w:ascii="宋体" w:hAnsi="宋体"/>
          <w:bCs/>
          <w:sz w:val="24"/>
        </w:rPr>
        <w:t>如质疑查无实据或供应商捏造事实，提供虚假材料进行恶意质疑或举报，不配合或采用不正当手段干扰政府采购质疑的，</w:t>
      </w:r>
      <w:r>
        <w:rPr>
          <w:rFonts w:hint="eastAsia" w:ascii="宋体" w:hAnsi="宋体"/>
          <w:sz w:val="24"/>
          <w:szCs w:val="24"/>
        </w:rPr>
        <w:t>一经查实，交易中心有权依据政府采购的有关规定，报请政府采购监管部门对该供应商进行相应的行政处罚和记录该供应商的失信信息。</w:t>
      </w:r>
    </w:p>
    <w:p w14:paraId="0C6FB236">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29.中标通知书</w:t>
      </w:r>
    </w:p>
    <w:p w14:paraId="0E59786D">
      <w:pPr>
        <w:spacing w:line="500" w:lineRule="exact"/>
        <w:ind w:firstLine="480"/>
        <w:rPr>
          <w:rFonts w:ascii="宋体" w:hAnsi="宋体"/>
          <w:sz w:val="24"/>
          <w:szCs w:val="24"/>
        </w:rPr>
      </w:pPr>
      <w:r>
        <w:rPr>
          <w:rFonts w:hint="eastAsia" w:ascii="宋体" w:hAnsi="宋体"/>
          <w:sz w:val="24"/>
          <w:szCs w:val="24"/>
        </w:rPr>
        <w:t>29.l中标结果确定后，交易中心将向中标人发出中标通知书。请中标人在中标结果公告届满之日起30日内，使用CA数字证书登录</w:t>
      </w:r>
      <w:r>
        <w:rPr>
          <w:rFonts w:hint="eastAsia" w:ascii="宋体" w:hAnsi="宋体"/>
          <w:bCs/>
          <w:sz w:val="24"/>
          <w:szCs w:val="24"/>
        </w:rPr>
        <w:t>“苏采云”系统</w:t>
      </w:r>
      <w:r>
        <w:rPr>
          <w:rFonts w:hint="eastAsia" w:ascii="宋体" w:hAnsi="宋体"/>
          <w:sz w:val="24"/>
          <w:szCs w:val="24"/>
        </w:rPr>
        <w:t>及时下载中标通知书。因系统存储空间有限，自中标结果公告届满之日起30日后，</w:t>
      </w:r>
      <w:r>
        <w:rPr>
          <w:rFonts w:hint="eastAsia" w:ascii="宋体" w:hAnsi="宋体"/>
          <w:bCs/>
          <w:sz w:val="24"/>
          <w:szCs w:val="24"/>
        </w:rPr>
        <w:t>“苏采云”系统</w:t>
      </w:r>
      <w:r>
        <w:rPr>
          <w:rFonts w:hint="eastAsia" w:ascii="宋体" w:hAnsi="宋体"/>
          <w:sz w:val="24"/>
          <w:szCs w:val="24"/>
        </w:rPr>
        <w:t>不再保证提供下载中标通知书服务，因未及时下载而造成的不利后果由中标人自行承担。</w:t>
      </w:r>
    </w:p>
    <w:p w14:paraId="0C542057">
      <w:pPr>
        <w:spacing w:line="500" w:lineRule="exact"/>
        <w:ind w:firstLine="480"/>
        <w:rPr>
          <w:rFonts w:ascii="宋体" w:hAnsi="宋体"/>
          <w:sz w:val="24"/>
          <w:szCs w:val="24"/>
        </w:rPr>
      </w:pPr>
      <w:r>
        <w:rPr>
          <w:rFonts w:hint="eastAsia" w:ascii="宋体" w:hAnsi="宋体"/>
          <w:sz w:val="24"/>
          <w:szCs w:val="24"/>
        </w:rPr>
        <w:t>29.</w:t>
      </w:r>
      <w:r>
        <w:rPr>
          <w:rFonts w:ascii="宋体" w:hAnsi="宋体"/>
          <w:sz w:val="24"/>
          <w:szCs w:val="24"/>
        </w:rPr>
        <w:t>2</w:t>
      </w:r>
      <w:r>
        <w:rPr>
          <w:rFonts w:hint="eastAsia" w:ascii="宋体" w:hAnsi="宋体"/>
          <w:sz w:val="24"/>
          <w:szCs w:val="24"/>
        </w:rPr>
        <w:t>中标通知书将是合同的一个组成部分。对采购人和中标人均具有法律效力。中标通知书发出后，采购人改变中标结果的，或者中标人放弃中标项目的，应当依法承担法律责任。</w:t>
      </w:r>
    </w:p>
    <w:p w14:paraId="6611F117">
      <w:pPr>
        <w:pStyle w:val="139"/>
        <w:keepNext w:val="0"/>
        <w:keepLines w:val="0"/>
        <w:spacing w:before="0" w:after="0" w:line="500" w:lineRule="exact"/>
        <w:ind w:firstLine="452"/>
        <w:rPr>
          <w:sz w:val="30"/>
          <w:szCs w:val="30"/>
          <w:lang w:eastAsia="zh-CN"/>
        </w:rPr>
      </w:pPr>
      <w:bookmarkStart w:id="128" w:name="_Toc120614220"/>
      <w:bookmarkStart w:id="129" w:name="_Toc16938552"/>
      <w:bookmarkStart w:id="130" w:name="_Toc20823308"/>
      <w:bookmarkStart w:id="131" w:name="_Toc513029236"/>
      <w:r>
        <w:rPr>
          <w:rFonts w:hint="eastAsia"/>
          <w:sz w:val="30"/>
          <w:szCs w:val="30"/>
          <w:lang w:eastAsia="zh-CN"/>
        </w:rPr>
        <w:t>七、授予合同</w:t>
      </w:r>
      <w:bookmarkEnd w:id="128"/>
    </w:p>
    <w:bookmarkEnd w:id="129"/>
    <w:bookmarkEnd w:id="130"/>
    <w:bookmarkEnd w:id="131"/>
    <w:p w14:paraId="1C8E309B">
      <w:pPr>
        <w:pStyle w:val="316"/>
        <w:keepNext w:val="0"/>
        <w:keepLines w:val="0"/>
        <w:spacing w:before="0" w:after="0" w:line="500" w:lineRule="exact"/>
        <w:ind w:firstLine="422"/>
        <w:rPr>
          <w:rFonts w:ascii="宋体" w:hAnsi="宋体" w:eastAsia="宋体"/>
          <w:bCs w:val="0"/>
          <w:lang w:eastAsia="zh-CN"/>
        </w:rPr>
      </w:pPr>
      <w:bookmarkStart w:id="132" w:name="_Toc16938553"/>
      <w:bookmarkStart w:id="133" w:name="_Toc513029237"/>
      <w:bookmarkStart w:id="134" w:name="_Toc20823309"/>
      <w:r>
        <w:rPr>
          <w:rFonts w:hint="eastAsia" w:ascii="宋体" w:hAnsi="宋体" w:eastAsia="宋体"/>
          <w:bCs w:val="0"/>
          <w:lang w:eastAsia="zh-CN"/>
        </w:rPr>
        <w:t>30.签订合同</w:t>
      </w:r>
    </w:p>
    <w:p w14:paraId="4A356A20">
      <w:pPr>
        <w:spacing w:line="500" w:lineRule="exact"/>
        <w:ind w:firstLine="480"/>
        <w:rPr>
          <w:rFonts w:ascii="宋体" w:hAnsi="宋体"/>
          <w:sz w:val="24"/>
          <w:szCs w:val="24"/>
        </w:rPr>
      </w:pPr>
      <w:r>
        <w:rPr>
          <w:rFonts w:hint="eastAsia" w:ascii="宋体" w:hAnsi="宋体"/>
          <w:bCs/>
          <w:sz w:val="24"/>
          <w:szCs w:val="24"/>
        </w:rPr>
        <w:t>30.1采购人应当自中标通知书发出之日起三十日内，按照招标文件和中标供应商投标文件的约定，与中标供应商签订政府采购合同。所签订的合同不得对招标文件和中标供应商投标文件作实质性修改。采购人不得向中标供应商提出任何不合理的要求，作为签订合同的条件，不得与中标供应商私下订立背离合同实质性内容的协议。</w:t>
      </w:r>
      <w:r>
        <w:rPr>
          <w:rFonts w:hint="eastAsia" w:ascii="宋体" w:hAnsi="宋体"/>
          <w:sz w:val="24"/>
          <w:szCs w:val="24"/>
        </w:rPr>
        <w:t>招标文件、中标人的投标文件及招标过程中有关澄清、承诺文件均应作为合同附件。</w:t>
      </w:r>
    </w:p>
    <w:p w14:paraId="1B1F5F4E">
      <w:pPr>
        <w:spacing w:line="500" w:lineRule="exact"/>
        <w:ind w:firstLine="480"/>
        <w:rPr>
          <w:rFonts w:ascii="宋体" w:hAnsi="宋体"/>
          <w:sz w:val="24"/>
          <w:szCs w:val="24"/>
        </w:rPr>
      </w:pPr>
      <w:r>
        <w:rPr>
          <w:rFonts w:hint="eastAsia" w:ascii="宋体" w:hAnsi="宋体"/>
          <w:sz w:val="24"/>
          <w:szCs w:val="24"/>
        </w:rPr>
        <w:t>30.2中标人非因不可抗力未履行招、投标文件和合同规定的义务，一经查实，交易中心将根据具体情况提请政府采购管理部门作出相应处理。</w:t>
      </w:r>
    </w:p>
    <w:p w14:paraId="49010BC6">
      <w:pPr>
        <w:spacing w:line="500" w:lineRule="exact"/>
        <w:ind w:firstLine="480"/>
        <w:rPr>
          <w:rFonts w:ascii="宋体" w:hAnsi="宋体"/>
          <w:bCs/>
          <w:sz w:val="24"/>
          <w:szCs w:val="24"/>
        </w:rPr>
      </w:pPr>
      <w:r>
        <w:rPr>
          <w:rFonts w:hint="eastAsia" w:ascii="宋体" w:hAnsi="宋体"/>
          <w:sz w:val="24"/>
          <w:szCs w:val="24"/>
        </w:rPr>
        <w:t>30.3签订合同后，中标人不得将合同标的进行转包。未经采购人同意，中标人也不得采用分包的形式履行合同，否则采购人有权终止合同。转包或分包造成采购人损失的，中标人应承担相应赔偿责任。</w:t>
      </w:r>
    </w:p>
    <w:p w14:paraId="422D3D4F">
      <w:pPr>
        <w:spacing w:line="500" w:lineRule="exact"/>
        <w:ind w:firstLine="480"/>
        <w:rPr>
          <w:rFonts w:ascii="宋体" w:hAnsi="宋体"/>
          <w:sz w:val="24"/>
          <w:szCs w:val="24"/>
        </w:rPr>
      </w:pPr>
      <w:r>
        <w:rPr>
          <w:rFonts w:hint="eastAsia" w:ascii="宋体" w:hAnsi="宋体"/>
          <w:sz w:val="24"/>
          <w:szCs w:val="24"/>
        </w:rPr>
        <w:t>30.4中标供应商向采购人缴纳的履约保证金不超过政府采购合同金额的10%。收取履约保证金的，采购人应当允许供应商自主选择以支票、 汇票、 本票、 保函等非现金形式缴纳或提交，并与中标供应商在采购合同中约定履约保证金退还的方式、时间、条件和不予退还的情形，明确逾期退还履约保证金的违约责任。</w:t>
      </w:r>
    </w:p>
    <w:p w14:paraId="2EC1A175">
      <w:pPr>
        <w:pStyle w:val="316"/>
        <w:keepNext w:val="0"/>
        <w:keepLines w:val="0"/>
        <w:spacing w:before="0" w:after="0" w:line="500" w:lineRule="exact"/>
        <w:ind w:firstLine="422"/>
        <w:rPr>
          <w:rFonts w:ascii="宋体" w:hAnsi="宋体" w:eastAsia="宋体"/>
          <w:bCs w:val="0"/>
          <w:lang w:eastAsia="zh-CN"/>
        </w:rPr>
      </w:pPr>
      <w:r>
        <w:rPr>
          <w:rFonts w:hint="eastAsia" w:ascii="宋体" w:hAnsi="宋体" w:eastAsia="宋体"/>
          <w:bCs w:val="0"/>
          <w:lang w:eastAsia="zh-CN"/>
        </w:rPr>
        <w:t>31.服务（包含与服务相关的货物）的追加</w:t>
      </w:r>
    </w:p>
    <w:p w14:paraId="5AAE6FBB">
      <w:pPr>
        <w:spacing w:line="500" w:lineRule="exact"/>
        <w:ind w:firstLine="480"/>
        <w:rPr>
          <w:rFonts w:ascii="宋体" w:hAnsi="宋体"/>
          <w:sz w:val="24"/>
          <w:szCs w:val="24"/>
        </w:rPr>
      </w:pPr>
      <w:r>
        <w:rPr>
          <w:rFonts w:hint="eastAsia" w:ascii="宋体" w:hAnsi="宋体"/>
          <w:sz w:val="24"/>
          <w:szCs w:val="24"/>
        </w:rPr>
        <w:t>31.1政府采购合同履行中，采购人需追加与合同标的相同的服务（包含与服务相关的货物），在不改变合同其他条款的前提下，可以与中标人协商签订补充合同，但所有补充合同的采购金额不超过原合同金额的10%。</w:t>
      </w:r>
    </w:p>
    <w:p w14:paraId="7201EB88">
      <w:pPr>
        <w:pStyle w:val="313"/>
        <w:spacing w:line="500" w:lineRule="exact"/>
        <w:jc w:val="center"/>
        <w:rPr>
          <w:rFonts w:ascii="黑体" w:eastAsia="黑体"/>
          <w:sz w:val="36"/>
          <w:szCs w:val="36"/>
          <w:lang w:eastAsia="zh-CN"/>
        </w:rPr>
      </w:pPr>
    </w:p>
    <w:p w14:paraId="63CD03F0">
      <w:pPr>
        <w:pStyle w:val="313"/>
        <w:spacing w:line="500" w:lineRule="exact"/>
        <w:jc w:val="center"/>
        <w:rPr>
          <w:rFonts w:ascii="黑体" w:eastAsia="黑体"/>
          <w:sz w:val="36"/>
          <w:szCs w:val="36"/>
          <w:lang w:eastAsia="zh-CN"/>
        </w:rPr>
      </w:pPr>
    </w:p>
    <w:p w14:paraId="57C509CF">
      <w:pPr>
        <w:pStyle w:val="313"/>
        <w:spacing w:line="500" w:lineRule="exact"/>
        <w:jc w:val="center"/>
        <w:rPr>
          <w:rFonts w:ascii="黑体" w:eastAsia="黑体"/>
          <w:sz w:val="36"/>
          <w:szCs w:val="36"/>
          <w:lang w:eastAsia="zh-CN"/>
        </w:rPr>
      </w:pPr>
    </w:p>
    <w:bookmarkEnd w:id="132"/>
    <w:bookmarkEnd w:id="133"/>
    <w:bookmarkEnd w:id="134"/>
    <w:p w14:paraId="7D73DBF6">
      <w:pPr>
        <w:pStyle w:val="313"/>
        <w:spacing w:line="500" w:lineRule="exact"/>
        <w:ind w:firstLine="0"/>
        <w:rPr>
          <w:rFonts w:ascii="黑体" w:eastAsia="黑体"/>
          <w:bCs/>
          <w:sz w:val="36"/>
          <w:szCs w:val="36"/>
          <w:lang w:eastAsia="zh-CN"/>
        </w:rPr>
      </w:pPr>
      <w:bookmarkStart w:id="135" w:name="_Toc20823314"/>
      <w:bookmarkStart w:id="136" w:name="_Toc479757207"/>
      <w:bookmarkStart w:id="137" w:name="_Toc120614221"/>
      <w:bookmarkStart w:id="138" w:name="_Toc513029242"/>
      <w:bookmarkStart w:id="139" w:name="_Toc16938558"/>
    </w:p>
    <w:p w14:paraId="59B65C15">
      <w:pPr>
        <w:pStyle w:val="313"/>
        <w:spacing w:line="500" w:lineRule="exact"/>
        <w:ind w:firstLine="0"/>
        <w:rPr>
          <w:rFonts w:ascii="黑体" w:eastAsia="黑体"/>
          <w:bCs/>
          <w:sz w:val="36"/>
          <w:szCs w:val="36"/>
          <w:lang w:eastAsia="zh-CN"/>
        </w:rPr>
      </w:pPr>
    </w:p>
    <w:p w14:paraId="7A1206EA">
      <w:pPr>
        <w:pStyle w:val="313"/>
        <w:spacing w:line="500" w:lineRule="exact"/>
        <w:ind w:firstLine="0"/>
        <w:rPr>
          <w:rFonts w:ascii="黑体" w:eastAsia="黑体"/>
          <w:bCs/>
          <w:sz w:val="36"/>
          <w:szCs w:val="36"/>
          <w:lang w:eastAsia="zh-CN"/>
        </w:rPr>
      </w:pPr>
    </w:p>
    <w:p w14:paraId="2649F30C">
      <w:pPr>
        <w:widowControl/>
        <w:jc w:val="left"/>
        <w:rPr>
          <w:rFonts w:ascii="黑体" w:hAnsi="Times New Roman" w:eastAsia="黑体" w:cs="Times New Roman"/>
          <w:bCs/>
          <w:kern w:val="0"/>
          <w:sz w:val="36"/>
          <w:szCs w:val="36"/>
        </w:rPr>
      </w:pPr>
      <w:r>
        <w:rPr>
          <w:rFonts w:ascii="黑体" w:eastAsia="黑体"/>
          <w:bCs/>
          <w:sz w:val="36"/>
          <w:szCs w:val="36"/>
        </w:rPr>
        <w:br w:type="page"/>
      </w:r>
    </w:p>
    <w:p w14:paraId="45F74FAC">
      <w:pPr>
        <w:pStyle w:val="313"/>
        <w:spacing w:line="500" w:lineRule="exact"/>
        <w:jc w:val="center"/>
        <w:rPr>
          <w:rFonts w:ascii="黑体" w:eastAsia="黑体"/>
          <w:bCs/>
          <w:sz w:val="36"/>
          <w:szCs w:val="36"/>
          <w:lang w:eastAsia="zh-CN"/>
        </w:rPr>
      </w:pPr>
      <w:r>
        <w:rPr>
          <w:rFonts w:hint="eastAsia" w:ascii="黑体" w:eastAsia="黑体"/>
          <w:bCs/>
          <w:sz w:val="36"/>
          <w:szCs w:val="36"/>
          <w:lang w:eastAsia="zh-CN"/>
        </w:rPr>
        <w:t>第三章  合同文本</w:t>
      </w:r>
    </w:p>
    <w:p w14:paraId="556DB4AE">
      <w:pPr>
        <w:spacing w:line="400" w:lineRule="exact"/>
        <w:ind w:firstLine="480"/>
        <w:rPr>
          <w:rFonts w:ascii="宋体" w:hAnsi="宋体"/>
          <w:bCs/>
          <w:sz w:val="24"/>
        </w:rPr>
      </w:pPr>
      <w:r>
        <w:rPr>
          <w:rFonts w:hint="eastAsia" w:ascii="宋体" w:hAnsi="宋体"/>
          <w:bCs/>
          <w:sz w:val="24"/>
        </w:rPr>
        <w:t>以下为中标后签订本项目合同的通用条款，中标人不得提出实质性的修改。</w:t>
      </w:r>
    </w:p>
    <w:p w14:paraId="138976DA">
      <w:pPr>
        <w:spacing w:line="400" w:lineRule="exact"/>
        <w:jc w:val="center"/>
        <w:outlineLvl w:val="0"/>
        <w:rPr>
          <w:rFonts w:ascii="宋体" w:hAnsi="宋体"/>
          <w:b/>
          <w:bCs/>
          <w:sz w:val="30"/>
          <w:szCs w:val="20"/>
        </w:rPr>
      </w:pPr>
      <w:r>
        <w:rPr>
          <w:rFonts w:hint="eastAsia" w:ascii="宋体" w:hAnsi="宋体"/>
          <w:b/>
          <w:sz w:val="30"/>
        </w:rPr>
        <w:t>江苏省政府采购合同（服务）（合同编号）</w:t>
      </w:r>
    </w:p>
    <w:p w14:paraId="162CA112">
      <w:pPr>
        <w:pStyle w:val="345"/>
        <w:spacing w:line="400" w:lineRule="exact"/>
        <w:rPr>
          <w:rFonts w:hAnsi="宋体"/>
          <w:sz w:val="24"/>
          <w:szCs w:val="24"/>
          <w:lang w:eastAsia="zh-CN"/>
        </w:rPr>
      </w:pPr>
      <w:r>
        <w:rPr>
          <w:rFonts w:hAnsi="宋体"/>
          <w:sz w:val="24"/>
          <w:szCs w:val="24"/>
          <w:lang w:eastAsia="zh-CN"/>
        </w:rPr>
        <w:t>项目名称：                                       项目编号：</w:t>
      </w:r>
    </w:p>
    <w:p w14:paraId="2CC6B085">
      <w:pPr>
        <w:pStyle w:val="345"/>
        <w:spacing w:line="400" w:lineRule="exact"/>
        <w:rPr>
          <w:rFonts w:hAnsi="宋体"/>
          <w:sz w:val="24"/>
          <w:szCs w:val="24"/>
          <w:lang w:eastAsia="zh-CN"/>
        </w:rPr>
      </w:pPr>
      <w:r>
        <w:rPr>
          <w:rFonts w:hAnsi="宋体"/>
          <w:sz w:val="24"/>
          <w:szCs w:val="24"/>
          <w:lang w:eastAsia="zh-CN"/>
        </w:rPr>
        <w:t>甲方：（买方、需方、采购人）_________</w:t>
      </w:r>
    </w:p>
    <w:p w14:paraId="70ADB128">
      <w:pPr>
        <w:pStyle w:val="345"/>
        <w:spacing w:line="400" w:lineRule="exact"/>
        <w:rPr>
          <w:rFonts w:hAnsi="宋体"/>
          <w:sz w:val="24"/>
          <w:szCs w:val="24"/>
          <w:lang w:eastAsia="zh-CN"/>
        </w:rPr>
      </w:pPr>
      <w:r>
        <w:rPr>
          <w:rFonts w:hAnsi="宋体"/>
          <w:sz w:val="24"/>
          <w:szCs w:val="24"/>
          <w:lang w:eastAsia="zh-CN"/>
        </w:rPr>
        <w:t>乙方：（卖方、供方、供应商）_________</w:t>
      </w:r>
    </w:p>
    <w:p w14:paraId="3F5DDE03">
      <w:pPr>
        <w:pStyle w:val="345"/>
        <w:spacing w:line="400" w:lineRule="exact"/>
        <w:rPr>
          <w:rFonts w:hAnsi="宋体"/>
          <w:b/>
          <w:sz w:val="24"/>
          <w:szCs w:val="24"/>
          <w:lang w:eastAsia="zh-CN"/>
        </w:rPr>
      </w:pPr>
      <w:r>
        <w:rPr>
          <w:rFonts w:hAnsi="宋体"/>
          <w:sz w:val="24"/>
          <w:szCs w:val="24"/>
          <w:lang w:eastAsia="zh-CN"/>
        </w:rPr>
        <w:t>甲、乙双方根据</w:t>
      </w:r>
      <w:r>
        <w:rPr>
          <w:rFonts w:hint="eastAsia" w:hAnsi="宋体"/>
          <w:sz w:val="24"/>
          <w:szCs w:val="24"/>
          <w:lang w:eastAsia="zh-CN"/>
        </w:rPr>
        <w:t>无锡市公共资源交易中心</w:t>
      </w:r>
      <w:r>
        <w:rPr>
          <w:rFonts w:hAnsi="宋体"/>
          <w:sz w:val="24"/>
          <w:szCs w:val="24"/>
          <w:lang w:eastAsia="zh-CN"/>
        </w:rPr>
        <w:t>项目公开招标的结果，签署本合同。</w:t>
      </w:r>
    </w:p>
    <w:p w14:paraId="7F4DA87D">
      <w:pPr>
        <w:spacing w:line="400" w:lineRule="exact"/>
        <w:ind w:firstLine="482"/>
        <w:rPr>
          <w:rFonts w:ascii="宋体" w:hAnsi="宋体" w:cs="宋体"/>
          <w:b/>
          <w:bCs/>
          <w:sz w:val="24"/>
        </w:rPr>
      </w:pPr>
      <w:r>
        <w:rPr>
          <w:rFonts w:hint="eastAsia" w:ascii="宋体" w:hAnsi="宋体" w:cs="宋体"/>
          <w:b/>
          <w:bCs/>
          <w:sz w:val="24"/>
        </w:rPr>
        <w:t>第一条 合同标的</w:t>
      </w:r>
    </w:p>
    <w:p w14:paraId="7DE1D002">
      <w:pPr>
        <w:spacing w:line="400" w:lineRule="exact"/>
        <w:ind w:firstLine="480"/>
        <w:rPr>
          <w:rFonts w:ascii="宋体" w:hAnsi="宋体" w:cs="宋体"/>
          <w:sz w:val="24"/>
          <w:u w:val="single"/>
        </w:rPr>
      </w:pPr>
      <w:r>
        <w:rPr>
          <w:rFonts w:hint="eastAsia" w:ascii="宋体" w:hAnsi="宋体" w:cs="宋体"/>
          <w:sz w:val="24"/>
        </w:rPr>
        <w:t>一、项目名称：</w:t>
      </w:r>
    </w:p>
    <w:p w14:paraId="675BB0D6">
      <w:pPr>
        <w:spacing w:line="400" w:lineRule="exact"/>
        <w:ind w:firstLine="480"/>
        <w:rPr>
          <w:rFonts w:hint="default" w:ascii="宋体" w:hAnsi="宋体" w:cs="宋体" w:eastAsiaTheme="minorEastAsia"/>
          <w:sz w:val="24"/>
          <w:u w:val="single"/>
          <w:lang w:val="en-US" w:eastAsia="zh-CN"/>
        </w:rPr>
      </w:pPr>
      <w:r>
        <w:rPr>
          <w:rFonts w:hint="eastAsia" w:ascii="宋体" w:hAnsi="宋体" w:cs="宋体"/>
          <w:sz w:val="24"/>
        </w:rPr>
        <w:t>二、项目坐落位置：</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sz w:val="24"/>
          <w:szCs w:val="24"/>
        </w:rPr>
        <w:t>项目总建筑面积：</w:t>
      </w:r>
      <w:r>
        <w:rPr>
          <w:rFonts w:hint="eastAsia" w:ascii="宋体" w:hAnsi="宋体"/>
          <w:sz w:val="24"/>
          <w:szCs w:val="24"/>
          <w:u w:val="single"/>
          <w:lang w:val="en-US" w:eastAsia="zh-CN"/>
        </w:rPr>
        <w:t xml:space="preserve">            </w:t>
      </w:r>
    </w:p>
    <w:p w14:paraId="7C8FB051">
      <w:pPr>
        <w:spacing w:line="400" w:lineRule="exact"/>
        <w:ind w:firstLine="480"/>
        <w:rPr>
          <w:rFonts w:ascii="宋体" w:hAnsi="宋体" w:cs="宋体"/>
          <w:sz w:val="24"/>
        </w:rPr>
      </w:pPr>
      <w:r>
        <w:rPr>
          <w:rFonts w:hint="eastAsia" w:ascii="宋体" w:hAnsi="宋体" w:cs="宋体"/>
          <w:sz w:val="24"/>
        </w:rPr>
        <w:t>三、物业管理服务期限</w:t>
      </w:r>
      <w:r>
        <w:rPr>
          <w:rFonts w:hint="eastAsia" w:ascii="宋体" w:hAnsi="宋体" w:cs="宋体"/>
          <w:sz w:val="24"/>
          <w:u w:val="single"/>
          <w:lang w:val="en-US" w:eastAsia="zh-CN"/>
        </w:rPr>
        <w:t xml:space="preserve">   </w:t>
      </w:r>
      <w:r>
        <w:rPr>
          <w:rFonts w:hint="eastAsia" w:ascii="宋体" w:hAnsi="宋体" w:cs="宋体"/>
          <w:sz w:val="24"/>
        </w:rPr>
        <w:t>年。本合同期限年，自年月日至年月日；在物业管理服务期限内，本合同期满后，甲方有权根据物业管理服务履约评价情况，决定是否与乙方签订后续下年度服务合同。</w:t>
      </w:r>
    </w:p>
    <w:p w14:paraId="25861037">
      <w:pPr>
        <w:spacing w:line="400" w:lineRule="exact"/>
        <w:ind w:firstLine="482"/>
        <w:rPr>
          <w:rFonts w:ascii="宋体" w:hAnsi="宋体" w:cs="宋体"/>
          <w:b/>
          <w:bCs/>
          <w:sz w:val="24"/>
        </w:rPr>
      </w:pPr>
      <w:r>
        <w:rPr>
          <w:rFonts w:hint="eastAsia" w:ascii="宋体" w:hAnsi="宋体" w:cs="宋体"/>
          <w:b/>
          <w:bCs/>
          <w:sz w:val="24"/>
        </w:rPr>
        <w:t>第二条 委托管理事项</w:t>
      </w:r>
    </w:p>
    <w:p w14:paraId="3857B02D">
      <w:pPr>
        <w:spacing w:line="400" w:lineRule="exact"/>
        <w:ind w:firstLine="480"/>
        <w:rPr>
          <w:rFonts w:ascii="宋体" w:hAnsi="宋体" w:cs="宋体"/>
          <w:sz w:val="24"/>
          <w:u w:val="single"/>
        </w:rPr>
      </w:pPr>
      <w:r>
        <w:rPr>
          <w:rFonts w:hint="eastAsia" w:ascii="宋体" w:hAnsi="宋体" w:cs="宋体"/>
          <w:sz w:val="24"/>
        </w:rPr>
        <w:t>委托物业管理服务内容：</w:t>
      </w:r>
    </w:p>
    <w:p w14:paraId="4A7E93AD">
      <w:pPr>
        <w:spacing w:line="400" w:lineRule="exact"/>
        <w:ind w:firstLine="482"/>
        <w:rPr>
          <w:rFonts w:ascii="宋体" w:hAnsi="宋体" w:cs="宋体"/>
          <w:b/>
          <w:bCs/>
          <w:sz w:val="24"/>
        </w:rPr>
      </w:pPr>
      <w:r>
        <w:rPr>
          <w:rFonts w:hint="eastAsia" w:ascii="宋体" w:hAnsi="宋体" w:cs="宋体"/>
          <w:b/>
          <w:bCs/>
          <w:sz w:val="24"/>
        </w:rPr>
        <w:t>第三条 合同总价款</w:t>
      </w:r>
    </w:p>
    <w:p w14:paraId="37E1F168">
      <w:pPr>
        <w:spacing w:line="400" w:lineRule="exact"/>
        <w:ind w:firstLine="480"/>
        <w:rPr>
          <w:rFonts w:ascii="宋体" w:hAnsi="宋体" w:cs="宋体"/>
          <w:sz w:val="24"/>
        </w:rPr>
      </w:pPr>
      <w:r>
        <w:rPr>
          <w:rFonts w:hint="eastAsia" w:ascii="宋体" w:hAnsi="宋体" w:cs="宋体"/>
          <w:sz w:val="24"/>
        </w:rPr>
        <w:t>一、本合同总价款（含税）为人民币 大写：</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年</w:t>
      </w:r>
      <w:r>
        <w:rPr>
          <w:rFonts w:hint="eastAsia" w:ascii="宋体" w:hAnsi="宋体" w:cs="宋体"/>
          <w:sz w:val="24"/>
        </w:rPr>
        <w:t>（RMB</w:t>
      </w:r>
      <w:r>
        <w:rPr>
          <w:rFonts w:hint="eastAsia" w:ascii="宋体" w:hAnsi="宋体" w:cs="宋体"/>
          <w:sz w:val="24"/>
          <w:u w:val="single"/>
        </w:rPr>
        <w:t>   </w:t>
      </w:r>
      <w:r>
        <w:rPr>
          <w:rFonts w:hint="eastAsia" w:ascii="宋体" w:hAnsi="宋体" w:cs="宋体"/>
          <w:sz w:val="24"/>
        </w:rPr>
        <w:t>元/年）。</w:t>
      </w:r>
    </w:p>
    <w:p w14:paraId="21CA8EDA">
      <w:pPr>
        <w:spacing w:line="400" w:lineRule="exact"/>
        <w:ind w:firstLine="480"/>
        <w:rPr>
          <w:rFonts w:ascii="宋体" w:hAnsi="宋体" w:cs="宋体"/>
          <w:sz w:val="24"/>
        </w:rPr>
      </w:pPr>
      <w:r>
        <w:rPr>
          <w:rFonts w:hint="eastAsia" w:ascii="宋体" w:hAnsi="宋体" w:cs="宋体"/>
          <w:sz w:val="24"/>
        </w:rPr>
        <w:t>二、本合同执行期间总价不变。</w:t>
      </w:r>
    </w:p>
    <w:p w14:paraId="35E50DA9">
      <w:pPr>
        <w:spacing w:line="400" w:lineRule="exact"/>
        <w:ind w:firstLine="480"/>
        <w:rPr>
          <w:rFonts w:ascii="宋体" w:hAnsi="宋体" w:cs="宋体"/>
          <w:sz w:val="24"/>
        </w:rPr>
      </w:pPr>
      <w:r>
        <w:rPr>
          <w:rFonts w:hint="eastAsia" w:ascii="宋体" w:hAnsi="宋体" w:cs="宋体"/>
          <w:sz w:val="24"/>
        </w:rPr>
        <w:t>三、履约保证金的缴纳和退付</w:t>
      </w:r>
    </w:p>
    <w:p w14:paraId="7EBF08C4">
      <w:pPr>
        <w:tabs>
          <w:tab w:val="left" w:pos="945"/>
          <w:tab w:val="left" w:pos="2100"/>
        </w:tabs>
        <w:spacing w:line="400" w:lineRule="exact"/>
        <w:ind w:firstLine="480"/>
        <w:rPr>
          <w:rFonts w:ascii="宋体" w:hAnsi="宋体"/>
          <w:bCs/>
          <w:sz w:val="24"/>
          <w:szCs w:val="24"/>
        </w:rPr>
      </w:pPr>
      <w:r>
        <w:rPr>
          <w:rFonts w:hint="eastAsia" w:ascii="宋体" w:hAnsi="宋体"/>
          <w:bCs/>
          <w:sz w:val="24"/>
          <w:szCs w:val="24"/>
        </w:rPr>
        <w:t>本项目是/否向采购人缴纳履约保证金： 。</w:t>
      </w:r>
    </w:p>
    <w:p w14:paraId="0E48410A">
      <w:pPr>
        <w:tabs>
          <w:tab w:val="left" w:pos="945"/>
          <w:tab w:val="left" w:pos="2100"/>
        </w:tabs>
        <w:spacing w:line="400" w:lineRule="exact"/>
        <w:ind w:firstLine="480"/>
        <w:rPr>
          <w:rFonts w:ascii="宋体" w:hAnsi="宋体"/>
          <w:bCs/>
          <w:sz w:val="24"/>
          <w:szCs w:val="24"/>
        </w:rPr>
      </w:pPr>
      <w:r>
        <w:rPr>
          <w:rFonts w:hint="eastAsia" w:ascii="宋体" w:hAnsi="宋体"/>
          <w:bCs/>
          <w:sz w:val="24"/>
          <w:szCs w:val="24"/>
        </w:rPr>
        <w:t>履约保证金缴纳金额：元。</w:t>
      </w:r>
    </w:p>
    <w:p w14:paraId="353F4464">
      <w:pPr>
        <w:tabs>
          <w:tab w:val="left" w:pos="945"/>
          <w:tab w:val="left" w:pos="2100"/>
        </w:tabs>
        <w:spacing w:line="400" w:lineRule="exact"/>
        <w:ind w:firstLine="48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lang w:val="en-US" w:eastAsia="zh-CN"/>
        </w:rPr>
        <w:t xml:space="preserve">          </w:t>
      </w:r>
      <w:r>
        <w:rPr>
          <w:rFonts w:hint="eastAsia" w:ascii="宋体" w:hAnsi="宋体"/>
          <w:bCs/>
          <w:sz w:val="24"/>
          <w:szCs w:val="24"/>
        </w:rPr>
        <w:t>，缴纳形式：</w:t>
      </w:r>
      <w:r>
        <w:rPr>
          <w:rFonts w:hint="eastAsia" w:ascii="宋体" w:hAnsi="宋体"/>
          <w:bCs/>
          <w:sz w:val="24"/>
          <w:szCs w:val="24"/>
          <w:u w:val="single"/>
          <w:lang w:val="en-US" w:eastAsia="zh-CN"/>
        </w:rPr>
        <w:t xml:space="preserve">           </w:t>
      </w:r>
      <w:r>
        <w:rPr>
          <w:rFonts w:hint="eastAsia" w:ascii="宋体" w:hAnsi="宋体"/>
          <w:bCs/>
          <w:sz w:val="24"/>
        </w:rPr>
        <w:t>。</w:t>
      </w:r>
    </w:p>
    <w:p w14:paraId="661513F6">
      <w:pPr>
        <w:tabs>
          <w:tab w:val="left" w:pos="945"/>
          <w:tab w:val="left" w:pos="2100"/>
        </w:tabs>
        <w:spacing w:line="400" w:lineRule="exact"/>
        <w:ind w:firstLine="48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lang w:val="en-US" w:eastAsia="zh-CN"/>
        </w:rPr>
        <w:t xml:space="preserve">          </w:t>
      </w:r>
      <w:r>
        <w:rPr>
          <w:rFonts w:hint="eastAsia" w:ascii="宋体" w:hAnsi="宋体"/>
          <w:bCs/>
          <w:sz w:val="24"/>
          <w:szCs w:val="24"/>
        </w:rPr>
        <w:t>，退付办法：</w:t>
      </w:r>
      <w:r>
        <w:rPr>
          <w:rFonts w:hint="eastAsia" w:ascii="宋体" w:hAnsi="宋体"/>
          <w:bCs/>
          <w:sz w:val="24"/>
          <w:szCs w:val="24"/>
          <w:u w:val="single"/>
          <w:lang w:val="en-US" w:eastAsia="zh-CN"/>
        </w:rPr>
        <w:t xml:space="preserve">          </w:t>
      </w:r>
      <w:r>
        <w:rPr>
          <w:rFonts w:hint="eastAsia" w:ascii="宋体" w:hAnsi="宋体"/>
          <w:bCs/>
          <w:sz w:val="24"/>
        </w:rPr>
        <w:t>。</w:t>
      </w:r>
    </w:p>
    <w:p w14:paraId="25A496F1">
      <w:pPr>
        <w:tabs>
          <w:tab w:val="left" w:pos="945"/>
          <w:tab w:val="left" w:pos="2100"/>
        </w:tabs>
        <w:spacing w:line="400" w:lineRule="exact"/>
        <w:ind w:firstLine="480"/>
        <w:rPr>
          <w:rFonts w:ascii="宋体" w:hAnsi="宋体"/>
          <w:bCs/>
          <w:sz w:val="24"/>
        </w:rPr>
      </w:pPr>
      <w:r>
        <w:rPr>
          <w:rFonts w:hint="eastAsia" w:ascii="宋体" w:hAnsi="宋体"/>
          <w:bCs/>
          <w:sz w:val="24"/>
        </w:rPr>
        <w:t>履约保证金不予退还的情形：</w:t>
      </w:r>
      <w:r>
        <w:rPr>
          <w:rFonts w:hint="eastAsia" w:ascii="宋体" w:hAnsi="宋体"/>
          <w:bCs/>
          <w:sz w:val="24"/>
          <w:u w:val="single"/>
          <w:lang w:val="en-US" w:eastAsia="zh-CN"/>
        </w:rPr>
        <w:t xml:space="preserve">           </w:t>
      </w:r>
      <w:r>
        <w:rPr>
          <w:rFonts w:hint="eastAsia" w:ascii="宋体" w:hAnsi="宋体"/>
          <w:bCs/>
          <w:sz w:val="24"/>
        </w:rPr>
        <w:t>。</w:t>
      </w:r>
    </w:p>
    <w:p w14:paraId="0681D884">
      <w:pPr>
        <w:tabs>
          <w:tab w:val="left" w:pos="945"/>
          <w:tab w:val="left" w:pos="2100"/>
        </w:tabs>
        <w:spacing w:line="400" w:lineRule="exact"/>
        <w:ind w:firstLine="480"/>
        <w:rPr>
          <w:rFonts w:ascii="宋体" w:hAnsi="宋体"/>
          <w:b/>
          <w:sz w:val="24"/>
          <w:szCs w:val="24"/>
        </w:rPr>
      </w:pPr>
      <w:r>
        <w:rPr>
          <w:rFonts w:hint="eastAsia" w:ascii="宋体" w:hAnsi="宋体"/>
          <w:bCs/>
          <w:sz w:val="24"/>
        </w:rPr>
        <w:t>逾期退还履约保证金的违约责任：</w:t>
      </w:r>
      <w:r>
        <w:rPr>
          <w:rFonts w:hint="eastAsia" w:ascii="宋体" w:hAnsi="宋体"/>
          <w:bCs/>
          <w:sz w:val="24"/>
          <w:u w:val="single"/>
          <w:lang w:val="en-US" w:eastAsia="zh-CN"/>
        </w:rPr>
        <w:t xml:space="preserve">           </w:t>
      </w:r>
      <w:r>
        <w:rPr>
          <w:rFonts w:hint="eastAsia" w:ascii="宋体" w:hAnsi="宋体"/>
          <w:bCs/>
          <w:sz w:val="24"/>
        </w:rPr>
        <w:t>。</w:t>
      </w:r>
    </w:p>
    <w:p w14:paraId="4E773256">
      <w:pPr>
        <w:spacing w:line="400" w:lineRule="exact"/>
        <w:ind w:firstLine="482"/>
        <w:rPr>
          <w:rFonts w:ascii="宋体" w:hAnsi="宋体" w:cs="宋体"/>
          <w:b/>
          <w:bCs/>
          <w:sz w:val="24"/>
        </w:rPr>
      </w:pPr>
      <w:r>
        <w:rPr>
          <w:rFonts w:hint="eastAsia" w:ascii="宋体" w:hAnsi="宋体" w:cs="宋体"/>
          <w:b/>
          <w:bCs/>
          <w:sz w:val="24"/>
        </w:rPr>
        <w:t>第四条 组成本合同的有关文件</w:t>
      </w:r>
    </w:p>
    <w:p w14:paraId="7B5F5CB0">
      <w:pPr>
        <w:spacing w:line="400" w:lineRule="exact"/>
        <w:ind w:firstLine="480"/>
        <w:rPr>
          <w:rFonts w:ascii="宋体" w:hAnsi="宋体" w:cs="宋体"/>
          <w:sz w:val="24"/>
        </w:rPr>
      </w:pPr>
      <w:r>
        <w:rPr>
          <w:rFonts w:hint="eastAsia" w:ascii="宋体" w:hAnsi="宋体" w:cs="宋体"/>
          <w:sz w:val="24"/>
        </w:rPr>
        <w:t>下列关于采购项目（编号：   ）的招投标文件或与本次采购活动方式相适应的文件及有关附件是本合同不可分割的组成部分，与本合同具有同等法律效力，这些文件包括但不限于：</w:t>
      </w:r>
    </w:p>
    <w:p w14:paraId="6AB5C4C9">
      <w:pPr>
        <w:spacing w:line="400" w:lineRule="exact"/>
        <w:ind w:firstLine="480"/>
        <w:rPr>
          <w:rFonts w:ascii="宋体" w:hAnsi="宋体" w:cs="宋体"/>
          <w:sz w:val="24"/>
        </w:rPr>
      </w:pPr>
      <w:r>
        <w:rPr>
          <w:rFonts w:hint="eastAsia" w:ascii="宋体" w:hAnsi="宋体" w:cs="宋体"/>
          <w:sz w:val="24"/>
        </w:rPr>
        <w:t>一、乙方提供的投标文件和报价表；</w:t>
      </w:r>
    </w:p>
    <w:p w14:paraId="1335EDFE">
      <w:pPr>
        <w:spacing w:line="400" w:lineRule="exact"/>
        <w:ind w:firstLine="480"/>
        <w:rPr>
          <w:rFonts w:ascii="宋体" w:hAnsi="宋体" w:cs="宋体"/>
          <w:sz w:val="24"/>
        </w:rPr>
      </w:pPr>
      <w:r>
        <w:rPr>
          <w:rFonts w:hint="eastAsia" w:ascii="宋体" w:hAnsi="宋体" w:cs="宋体"/>
          <w:sz w:val="24"/>
        </w:rPr>
        <w:t>二、中标通知书；</w:t>
      </w:r>
    </w:p>
    <w:p w14:paraId="263EC7BE">
      <w:pPr>
        <w:spacing w:line="400" w:lineRule="exact"/>
        <w:ind w:firstLine="480"/>
        <w:rPr>
          <w:rFonts w:ascii="宋体" w:hAnsi="宋体" w:cs="宋体"/>
          <w:sz w:val="24"/>
        </w:rPr>
      </w:pPr>
      <w:r>
        <w:rPr>
          <w:rFonts w:hint="eastAsia" w:ascii="宋体" w:hAnsi="宋体" w:cs="宋体"/>
          <w:sz w:val="24"/>
        </w:rPr>
        <w:t>三、甲乙双方商定的其他文件。</w:t>
      </w:r>
    </w:p>
    <w:p w14:paraId="6333546B">
      <w:pPr>
        <w:spacing w:line="400" w:lineRule="exact"/>
        <w:ind w:firstLine="482"/>
        <w:rPr>
          <w:rFonts w:ascii="宋体" w:hAnsi="宋体" w:cs="宋体"/>
          <w:b/>
          <w:bCs/>
          <w:sz w:val="24"/>
        </w:rPr>
      </w:pPr>
      <w:r>
        <w:rPr>
          <w:rFonts w:hint="eastAsia" w:ascii="宋体" w:hAnsi="宋体" w:cs="宋体"/>
          <w:b/>
          <w:bCs/>
          <w:sz w:val="24"/>
        </w:rPr>
        <w:t>第五条 双方权利义务</w:t>
      </w:r>
    </w:p>
    <w:p w14:paraId="3A6B5E47">
      <w:pPr>
        <w:spacing w:line="400" w:lineRule="exact"/>
        <w:ind w:firstLine="480"/>
        <w:rPr>
          <w:rFonts w:ascii="宋体" w:hAnsi="宋体" w:cs="宋体"/>
          <w:b/>
          <w:bCs/>
          <w:sz w:val="24"/>
        </w:rPr>
      </w:pPr>
      <w:r>
        <w:rPr>
          <w:rFonts w:hint="eastAsia" w:ascii="宋体" w:hAnsi="宋体" w:cs="宋体"/>
          <w:b/>
          <w:bCs/>
          <w:sz w:val="24"/>
        </w:rPr>
        <w:t>一、甲方权利义务</w:t>
      </w:r>
    </w:p>
    <w:p w14:paraId="6DCDB35D">
      <w:pPr>
        <w:spacing w:line="400" w:lineRule="exact"/>
        <w:ind w:firstLine="480"/>
        <w:rPr>
          <w:rFonts w:ascii="宋体" w:hAnsi="宋体" w:cs="宋体"/>
          <w:sz w:val="24"/>
        </w:rPr>
      </w:pPr>
      <w:r>
        <w:rPr>
          <w:rFonts w:hint="eastAsia" w:ascii="宋体" w:hAnsi="宋体" w:cs="宋体"/>
          <w:sz w:val="24"/>
        </w:rPr>
        <w:t>（一）审定乙方编制的物业管理服务方案、年度管理服务计划、年度维修计划和有关费用预算等，监督乙方管理服务工作的实施。甲方有权按照合同约定和法律规定的标准规范，对乙方实施的物业管理服务提出修改和变更建议。</w:t>
      </w:r>
    </w:p>
    <w:p w14:paraId="2880885A">
      <w:pPr>
        <w:spacing w:line="400" w:lineRule="exact"/>
        <w:ind w:firstLine="480"/>
        <w:rPr>
          <w:rFonts w:ascii="宋体" w:hAnsi="宋体" w:cs="宋体"/>
          <w:sz w:val="24"/>
          <w:u w:val="single"/>
        </w:rPr>
      </w:pPr>
      <w:r>
        <w:rPr>
          <w:rFonts w:hint="eastAsia" w:ascii="宋体" w:hAnsi="宋体" w:cs="宋体"/>
          <w:sz w:val="24"/>
        </w:rPr>
        <w:t>（二）审议、修改物业管理区域共用部位和共用设施设备使用、公共秩序和环境卫生、绿化维护等方面的规章制度。</w:t>
      </w:r>
    </w:p>
    <w:p w14:paraId="42F15955">
      <w:pPr>
        <w:spacing w:line="400" w:lineRule="exact"/>
        <w:ind w:firstLine="480"/>
        <w:rPr>
          <w:rFonts w:ascii="宋体" w:hAnsi="宋体" w:cs="宋体"/>
          <w:sz w:val="24"/>
        </w:rPr>
      </w:pPr>
      <w:r>
        <w:rPr>
          <w:rFonts w:hint="eastAsia" w:ascii="宋体" w:hAnsi="宋体" w:cs="宋体"/>
          <w:sz w:val="24"/>
        </w:rPr>
        <w:t>（三）对物业管理服务质量进行监督检查，对不符合质量标准的管理服务要求乙方整改落实。</w:t>
      </w:r>
    </w:p>
    <w:p w14:paraId="2F8F4A60">
      <w:pPr>
        <w:spacing w:line="400" w:lineRule="exact"/>
        <w:ind w:firstLine="480"/>
        <w:rPr>
          <w:rFonts w:ascii="宋体" w:hAnsi="宋体" w:cs="宋体"/>
          <w:sz w:val="24"/>
        </w:rPr>
      </w:pPr>
      <w:r>
        <w:rPr>
          <w:rFonts w:hint="eastAsia" w:ascii="宋体" w:hAnsi="宋体" w:cs="宋体"/>
          <w:sz w:val="24"/>
        </w:rPr>
        <w:t>（四）为乙方的管理服务提供必要的工作场所以及</w:t>
      </w:r>
      <w:r>
        <w:rPr>
          <w:rFonts w:hint="eastAsia" w:ascii="宋体" w:hAnsi="宋体"/>
          <w:sz w:val="24"/>
          <w:szCs w:val="24"/>
        </w:rPr>
        <w:t>物业管理服务所必需的水、电供应</w:t>
      </w:r>
      <w:r>
        <w:rPr>
          <w:rFonts w:hint="eastAsia" w:ascii="宋体" w:hAnsi="宋体" w:cs="宋体"/>
          <w:sz w:val="24"/>
        </w:rPr>
        <w:t>。</w:t>
      </w:r>
    </w:p>
    <w:p w14:paraId="02E6C92C">
      <w:pPr>
        <w:spacing w:line="400" w:lineRule="exact"/>
        <w:ind w:firstLine="480"/>
        <w:rPr>
          <w:rFonts w:ascii="宋体" w:hAnsi="宋体" w:cs="宋体"/>
          <w:sz w:val="24"/>
        </w:rPr>
      </w:pPr>
      <w:r>
        <w:rPr>
          <w:rFonts w:hint="eastAsia" w:ascii="宋体" w:hAnsi="宋体" w:cs="宋体"/>
          <w:sz w:val="24"/>
        </w:rPr>
        <w:t>（五）对乙方的节能工作进行指导</w:t>
      </w:r>
      <w:r>
        <w:rPr>
          <w:rFonts w:ascii="宋体" w:hAnsi="宋体" w:cs="宋体"/>
          <w:sz w:val="24"/>
        </w:rPr>
        <w:t>和监督，</w:t>
      </w:r>
      <w:r>
        <w:rPr>
          <w:rFonts w:hint="eastAsia" w:ascii="宋体" w:hAnsi="宋体" w:cs="宋体"/>
          <w:sz w:val="24"/>
        </w:rPr>
        <w:t>提高用能设施设备的能源利用效率。</w:t>
      </w:r>
    </w:p>
    <w:p w14:paraId="20564A14">
      <w:pPr>
        <w:spacing w:line="400" w:lineRule="exact"/>
        <w:ind w:firstLine="480"/>
        <w:rPr>
          <w:rFonts w:ascii="宋体" w:hAnsi="宋体" w:cs="宋体"/>
          <w:sz w:val="24"/>
        </w:rPr>
      </w:pPr>
      <w:r>
        <w:rPr>
          <w:rFonts w:hint="eastAsia" w:ascii="宋体" w:hAnsi="宋体" w:cs="宋体"/>
          <w:sz w:val="24"/>
        </w:rPr>
        <w:t>（六）根据有关部门的要求，指导</w:t>
      </w:r>
      <w:r>
        <w:rPr>
          <w:rFonts w:ascii="宋体" w:hAnsi="宋体" w:cs="宋体"/>
          <w:sz w:val="24"/>
        </w:rPr>
        <w:t>和监督</w:t>
      </w:r>
      <w:r>
        <w:rPr>
          <w:rFonts w:hint="eastAsia" w:ascii="宋体" w:hAnsi="宋体" w:cs="宋体"/>
          <w:sz w:val="24"/>
        </w:rPr>
        <w:t>乙方做好控烟、爱国卫生等工作。</w:t>
      </w:r>
    </w:p>
    <w:p w14:paraId="39A9AFBC">
      <w:pPr>
        <w:spacing w:line="400" w:lineRule="exact"/>
        <w:ind w:firstLine="480"/>
        <w:rPr>
          <w:rFonts w:ascii="宋体" w:hAnsi="宋体" w:cs="宋体"/>
          <w:sz w:val="24"/>
        </w:rPr>
      </w:pPr>
      <w:r>
        <w:rPr>
          <w:rFonts w:hint="eastAsia" w:ascii="宋体" w:hAnsi="宋体" w:cs="宋体"/>
          <w:sz w:val="24"/>
        </w:rPr>
        <w:t>（七）定期与乙方沟通协调物业管理服务相关事宜，组织实施物业管理服务履约评价，指导和督促乙方提升本物业的服务质量，</w:t>
      </w:r>
      <w:r>
        <w:rPr>
          <w:rFonts w:hint="eastAsia" w:ascii="宋体" w:hAnsi="宋体"/>
          <w:sz w:val="24"/>
          <w:szCs w:val="24"/>
        </w:rPr>
        <w:t>协助乙方做好物业服务管理工作</w:t>
      </w:r>
      <w:r>
        <w:rPr>
          <w:rFonts w:hint="eastAsia" w:ascii="宋体" w:hAnsi="宋体" w:cs="宋体"/>
          <w:sz w:val="24"/>
        </w:rPr>
        <w:t>。</w:t>
      </w:r>
    </w:p>
    <w:p w14:paraId="07AA931D">
      <w:pPr>
        <w:spacing w:line="400" w:lineRule="exact"/>
        <w:ind w:firstLine="480"/>
        <w:rPr>
          <w:rFonts w:ascii="宋体" w:hAnsi="宋体" w:cs="宋体"/>
          <w:sz w:val="24"/>
        </w:rPr>
      </w:pPr>
      <w:r>
        <w:rPr>
          <w:rFonts w:hint="eastAsia" w:ascii="宋体" w:hAnsi="宋体" w:cs="宋体"/>
          <w:sz w:val="24"/>
        </w:rPr>
        <w:t>（八）按照合同约定，及时支付</w:t>
      </w:r>
      <w:r>
        <w:rPr>
          <w:rFonts w:ascii="宋体" w:hAnsi="宋体" w:cs="宋体"/>
          <w:sz w:val="24"/>
        </w:rPr>
        <w:t>合同款项。</w:t>
      </w:r>
    </w:p>
    <w:p w14:paraId="592B8B37">
      <w:pPr>
        <w:spacing w:line="400" w:lineRule="exact"/>
        <w:ind w:firstLine="480"/>
        <w:rPr>
          <w:rFonts w:ascii="宋体" w:hAnsi="宋体" w:cs="宋体"/>
          <w:sz w:val="24"/>
        </w:rPr>
      </w:pPr>
      <w:r>
        <w:rPr>
          <w:rFonts w:hint="eastAsia" w:ascii="宋体" w:hAnsi="宋体"/>
          <w:sz w:val="24"/>
          <w:szCs w:val="24"/>
        </w:rPr>
        <w:t>（九）法规、政策规定由甲方承担的其他责任。</w:t>
      </w:r>
    </w:p>
    <w:p w14:paraId="0DEFC5C1">
      <w:pPr>
        <w:spacing w:line="400" w:lineRule="exact"/>
        <w:ind w:firstLine="480"/>
        <w:rPr>
          <w:rFonts w:ascii="宋体" w:hAnsi="宋体" w:cs="宋体"/>
          <w:b/>
          <w:bCs/>
          <w:sz w:val="24"/>
        </w:rPr>
      </w:pPr>
      <w:r>
        <w:rPr>
          <w:rFonts w:hint="eastAsia" w:ascii="宋体" w:hAnsi="宋体" w:cs="宋体"/>
          <w:b/>
          <w:bCs/>
          <w:sz w:val="24"/>
        </w:rPr>
        <w:t>二、乙方权利义务</w:t>
      </w:r>
    </w:p>
    <w:p w14:paraId="43FDB0F6">
      <w:pPr>
        <w:spacing w:line="400" w:lineRule="exact"/>
        <w:ind w:firstLine="480"/>
        <w:rPr>
          <w:rFonts w:ascii="宋体" w:hAnsi="宋体" w:cs="宋体"/>
          <w:sz w:val="24"/>
        </w:rPr>
      </w:pPr>
      <w:r>
        <w:rPr>
          <w:rFonts w:hint="eastAsia" w:ascii="宋体" w:hAnsi="宋体" w:cs="宋体"/>
          <w:sz w:val="24"/>
        </w:rPr>
        <w:t>（一）在承接物业时，对物业工程技术档案资料、共用部位、设施设备等进行查验，并做好书面确认工作；对所有图、档、卡、册等资料应做好建档工作。</w:t>
      </w:r>
    </w:p>
    <w:p w14:paraId="4C6A49ED">
      <w:pPr>
        <w:spacing w:line="400" w:lineRule="exact"/>
        <w:ind w:firstLine="480"/>
        <w:rPr>
          <w:rFonts w:ascii="宋体" w:hAnsi="宋体" w:cs="宋体"/>
          <w:sz w:val="24"/>
        </w:rPr>
      </w:pPr>
      <w:r>
        <w:rPr>
          <w:rFonts w:hint="eastAsia" w:ascii="宋体" w:hAnsi="宋体" w:cs="宋体"/>
          <w:sz w:val="24"/>
        </w:rPr>
        <w:t>（二）在本物业管理服务区域设立专门机构负责物业的日常管理工作，并按要求委派符合岗位资格条件及能力的人员履行本合同，保证从事本物业管理服务项目的人员具备相应的职业资格和应有的素质，做好从业人员有关政治素养方面的审核。如需调整主要管理人员及技术骨干应事先征得甲方书面同意，对甲方提出认为不适合的在岗人员，乙方应在接到甲方变更在岗人员要求后及时作出调整。</w:t>
      </w:r>
    </w:p>
    <w:p w14:paraId="6B739997">
      <w:pPr>
        <w:spacing w:line="400" w:lineRule="exact"/>
        <w:ind w:firstLine="480"/>
        <w:rPr>
          <w:rFonts w:ascii="宋体" w:hAnsi="宋体" w:cs="宋体"/>
          <w:sz w:val="24"/>
        </w:rPr>
      </w:pPr>
      <w:r>
        <w:rPr>
          <w:rFonts w:hint="eastAsia" w:ascii="宋体" w:hAnsi="宋体" w:cs="宋体"/>
          <w:sz w:val="24"/>
        </w:rPr>
        <w:t>（三）根据法律法规的规定及本物业的实际情况开展物业管理服务，编制物业管理服务方案、年度管理服务计划、年度维修养护计划和资金使用计划及决算报告，报送甲方审定。</w:t>
      </w:r>
    </w:p>
    <w:p w14:paraId="4E91B15A">
      <w:pPr>
        <w:spacing w:line="400" w:lineRule="exact"/>
        <w:ind w:firstLine="480"/>
        <w:rPr>
          <w:rFonts w:ascii="宋体" w:hAnsi="宋体" w:cs="宋体"/>
          <w:sz w:val="24"/>
        </w:rPr>
      </w:pPr>
      <w:r>
        <w:rPr>
          <w:rFonts w:hint="eastAsia" w:ascii="宋体" w:hAnsi="宋体" w:cs="宋体"/>
          <w:sz w:val="24"/>
        </w:rPr>
        <w:t>（四）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14:paraId="7FE436B8">
      <w:pPr>
        <w:spacing w:line="400" w:lineRule="exact"/>
        <w:ind w:firstLine="480"/>
        <w:rPr>
          <w:rFonts w:ascii="宋体" w:hAnsi="宋体" w:cs="宋体"/>
          <w:sz w:val="24"/>
        </w:rPr>
      </w:pPr>
      <w:r>
        <w:rPr>
          <w:rFonts w:hint="eastAsia" w:ascii="宋体" w:hAnsi="宋体" w:cs="宋体"/>
          <w:sz w:val="24"/>
        </w:rPr>
        <w:t>（五）对有违反或影响本合同执行，包括影响机关正常办公秩序的行为，乙方应及时整改。</w:t>
      </w:r>
    </w:p>
    <w:p w14:paraId="5EE1ABA6">
      <w:pPr>
        <w:spacing w:line="400" w:lineRule="exact"/>
        <w:ind w:firstLine="480"/>
        <w:rPr>
          <w:rFonts w:ascii="宋体" w:hAnsi="宋体" w:cs="宋体"/>
          <w:sz w:val="24"/>
        </w:rPr>
      </w:pPr>
      <w:r>
        <w:rPr>
          <w:rFonts w:hint="eastAsia" w:ascii="宋体" w:hAnsi="宋体" w:cs="宋体"/>
          <w:sz w:val="24"/>
        </w:rPr>
        <w:t>（六）协助甲方做好物业管理区域内各项节能管理工作，对物业管理服务人员进行节能管理专业培训，加大节能管理力度。</w:t>
      </w:r>
    </w:p>
    <w:p w14:paraId="20D7B1BD">
      <w:pPr>
        <w:spacing w:line="400" w:lineRule="exact"/>
        <w:ind w:firstLine="480"/>
        <w:rPr>
          <w:rFonts w:ascii="宋体" w:hAnsi="宋体" w:cs="宋体"/>
          <w:sz w:val="24"/>
        </w:rPr>
      </w:pPr>
      <w:r>
        <w:rPr>
          <w:rFonts w:hint="eastAsia" w:ascii="宋体" w:hAnsi="宋体" w:cs="宋体"/>
          <w:sz w:val="24"/>
        </w:rPr>
        <w:t>（七）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14:paraId="78AB5F91">
      <w:pPr>
        <w:spacing w:line="400" w:lineRule="exact"/>
        <w:ind w:firstLine="480"/>
        <w:rPr>
          <w:rFonts w:ascii="宋体" w:hAnsi="宋体" w:cs="宋体"/>
          <w:sz w:val="24"/>
        </w:rPr>
      </w:pPr>
      <w:r>
        <w:rPr>
          <w:rFonts w:hint="eastAsia" w:ascii="宋体" w:hAnsi="宋体" w:cs="宋体"/>
          <w:sz w:val="24"/>
        </w:rPr>
        <w:t>（八）加强内部监督检查，至少每季度检查一次物业管理服务质量情况，及时向甲方通报本物业管理服务区域有关物业管理服务的重大事项，稳步提升物业管理服务质量。</w:t>
      </w:r>
    </w:p>
    <w:p w14:paraId="5671484F">
      <w:pPr>
        <w:spacing w:line="400" w:lineRule="exact"/>
        <w:ind w:firstLine="480"/>
        <w:rPr>
          <w:rFonts w:ascii="宋体" w:hAnsi="宋体" w:cs="宋体"/>
          <w:sz w:val="24"/>
        </w:rPr>
      </w:pPr>
      <w:r>
        <w:rPr>
          <w:rFonts w:hint="eastAsia" w:ascii="宋体" w:hAnsi="宋体" w:cs="宋体"/>
          <w:sz w:val="24"/>
        </w:rPr>
        <w:t>（九）投保物业公众责任险。</w:t>
      </w:r>
    </w:p>
    <w:p w14:paraId="1913DC96">
      <w:pPr>
        <w:spacing w:line="400" w:lineRule="exact"/>
        <w:ind w:firstLine="480"/>
        <w:rPr>
          <w:rFonts w:ascii="宋体" w:hAnsi="宋体" w:cs="宋体"/>
          <w:sz w:val="24"/>
        </w:rPr>
      </w:pPr>
      <w:r>
        <w:rPr>
          <w:rFonts w:hint="eastAsia" w:ascii="宋体" w:hAnsi="宋体" w:cs="宋体"/>
          <w:sz w:val="24"/>
        </w:rPr>
        <w:t>（十）乙方应在年底前向甲方提交物业管理服务年度总结报告；合同期限届满前，乙方应向甲方提交物业管理服务总结报告；合同期限届满且不再续签新合同时，乙方应向甲方移交房屋、设备、档案和图纸资料，以及甲方所有的工具、物料等，并填写移交清单，由双方签收；全部手续完成后签署物业移交确认书。</w:t>
      </w:r>
    </w:p>
    <w:p w14:paraId="51184597">
      <w:pPr>
        <w:spacing w:line="400" w:lineRule="exact"/>
        <w:ind w:firstLine="480"/>
        <w:rPr>
          <w:rFonts w:ascii="宋体" w:hAnsi="宋体" w:cs="宋体"/>
          <w:sz w:val="24"/>
        </w:rPr>
      </w:pPr>
      <w:r>
        <w:rPr>
          <w:rFonts w:hint="eastAsia" w:ascii="宋体" w:hAnsi="宋体" w:cs="宋体"/>
          <w:sz w:val="24"/>
        </w:rPr>
        <w:t>（十一）法规、政策规定由乙方承担的其他责任。</w:t>
      </w:r>
    </w:p>
    <w:p w14:paraId="47B09C22">
      <w:pPr>
        <w:spacing w:line="400" w:lineRule="exact"/>
        <w:ind w:firstLine="480" w:firstLineChars="200"/>
        <w:rPr>
          <w:rFonts w:ascii="宋体" w:hAnsi="宋体" w:cs="宋体"/>
          <w:sz w:val="24"/>
        </w:rPr>
      </w:pPr>
      <w:r>
        <w:rPr>
          <w:rFonts w:hint="eastAsia" w:ascii="宋体" w:hAnsi="宋体" w:cs="宋体"/>
          <w:b/>
          <w:bCs/>
          <w:sz w:val="24"/>
        </w:rPr>
        <w:t>三、在管理过程中，因下列因素所致的损害构成乙方的免责事由，乙方均不负赔偿之责：</w:t>
      </w:r>
    </w:p>
    <w:p w14:paraId="4F018E61">
      <w:pPr>
        <w:spacing w:line="400" w:lineRule="exact"/>
        <w:ind w:firstLine="480"/>
        <w:rPr>
          <w:rFonts w:ascii="宋体" w:hAnsi="宋体" w:cs="宋体"/>
          <w:sz w:val="24"/>
        </w:rPr>
      </w:pPr>
      <w:r>
        <w:rPr>
          <w:rFonts w:hint="eastAsia" w:ascii="宋体" w:hAnsi="宋体" w:cs="宋体"/>
          <w:sz w:val="24"/>
        </w:rPr>
        <w:t>（一）天灾、地震等不可抗力的事由所致的损害；</w:t>
      </w:r>
    </w:p>
    <w:p w14:paraId="79058B54">
      <w:pPr>
        <w:spacing w:line="400" w:lineRule="exact"/>
        <w:ind w:firstLine="480"/>
        <w:rPr>
          <w:rFonts w:ascii="宋体" w:hAnsi="宋体" w:cs="宋体"/>
          <w:sz w:val="24"/>
        </w:rPr>
      </w:pPr>
      <w:r>
        <w:rPr>
          <w:rFonts w:hint="eastAsia" w:ascii="宋体" w:hAnsi="宋体" w:cs="宋体"/>
          <w:sz w:val="24"/>
        </w:rPr>
        <w:t>（二）暴动、持械抢劫、破坏、爆炸、火灾、刑事犯罪等违法行为等事由所致的损害；</w:t>
      </w:r>
    </w:p>
    <w:p w14:paraId="4F4C2106">
      <w:pPr>
        <w:spacing w:line="400" w:lineRule="exact"/>
        <w:ind w:firstLine="480"/>
        <w:rPr>
          <w:rFonts w:ascii="宋体" w:hAnsi="宋体" w:cs="宋体"/>
          <w:sz w:val="24"/>
        </w:rPr>
      </w:pPr>
      <w:r>
        <w:rPr>
          <w:rFonts w:hint="eastAsia" w:ascii="宋体" w:hAnsi="宋体" w:cs="宋体"/>
          <w:sz w:val="24"/>
        </w:rPr>
        <w:t>（三）因甲方或第三者之故意、重大过失所致的损害；</w:t>
      </w:r>
    </w:p>
    <w:p w14:paraId="00A588E4">
      <w:pPr>
        <w:spacing w:line="400" w:lineRule="exact"/>
        <w:ind w:firstLine="480"/>
        <w:rPr>
          <w:rFonts w:ascii="宋体" w:hAnsi="宋体"/>
          <w:sz w:val="24"/>
          <w:szCs w:val="24"/>
        </w:rPr>
      </w:pPr>
      <w:r>
        <w:rPr>
          <w:rFonts w:hint="eastAsia" w:ascii="宋体" w:hAnsi="宋体"/>
          <w:sz w:val="24"/>
          <w:szCs w:val="24"/>
        </w:rPr>
        <w:t>（四）因乙方书面建议甲方改善或改进物业管理措施，而甲方未采纳</w:t>
      </w:r>
      <w:r>
        <w:rPr>
          <w:rFonts w:ascii="宋体" w:hAnsi="宋体"/>
          <w:sz w:val="24"/>
          <w:szCs w:val="24"/>
        </w:rPr>
        <w:t>所致的损害</w:t>
      </w:r>
      <w:r>
        <w:rPr>
          <w:rFonts w:hint="eastAsia" w:ascii="宋体" w:hAnsi="宋体"/>
          <w:sz w:val="24"/>
          <w:szCs w:val="24"/>
        </w:rPr>
        <w:t>；</w:t>
      </w:r>
    </w:p>
    <w:p w14:paraId="6A296AD1">
      <w:pPr>
        <w:spacing w:line="400" w:lineRule="exact"/>
        <w:ind w:firstLine="480"/>
        <w:rPr>
          <w:rFonts w:ascii="宋体" w:hAnsi="宋体" w:cs="宋体"/>
          <w:sz w:val="24"/>
        </w:rPr>
      </w:pPr>
      <w:r>
        <w:rPr>
          <w:rFonts w:hint="eastAsia" w:ascii="宋体" w:hAnsi="宋体" w:cs="宋体"/>
          <w:sz w:val="24"/>
        </w:rPr>
        <w:t>（五）本合同标的物之共用部分（含共用部位、共用设备设施）自然或非乙方人为的任何损坏。</w:t>
      </w:r>
    </w:p>
    <w:p w14:paraId="303A91F4">
      <w:pPr>
        <w:spacing w:line="400" w:lineRule="exact"/>
        <w:ind w:firstLine="480"/>
        <w:rPr>
          <w:rFonts w:ascii="宋体" w:hAnsi="宋体" w:cs="宋体"/>
          <w:sz w:val="24"/>
        </w:rPr>
      </w:pPr>
      <w:r>
        <w:rPr>
          <w:rFonts w:hint="eastAsia" w:ascii="宋体" w:hAnsi="宋体"/>
          <w:sz w:val="24"/>
          <w:szCs w:val="24"/>
        </w:rPr>
        <w:t>（六）除上述各款外，</w:t>
      </w:r>
      <w:r>
        <w:rPr>
          <w:rFonts w:hint="eastAsia" w:ascii="宋体" w:hAnsi="宋体"/>
          <w:sz w:val="24"/>
          <w:szCs w:val="24"/>
          <w:lang w:eastAsia="zh-CN"/>
        </w:rPr>
        <w:t>其他</w:t>
      </w:r>
      <w:r>
        <w:rPr>
          <w:rFonts w:hint="eastAsia" w:ascii="宋体" w:hAnsi="宋体"/>
          <w:sz w:val="24"/>
          <w:szCs w:val="24"/>
        </w:rPr>
        <w:t>不可归责于乙方之事由的。</w:t>
      </w:r>
    </w:p>
    <w:p w14:paraId="49E6082A">
      <w:pPr>
        <w:spacing w:line="400" w:lineRule="exact"/>
        <w:ind w:firstLine="480"/>
        <w:rPr>
          <w:rFonts w:ascii="宋体" w:hAnsi="宋体" w:cs="宋体"/>
          <w:sz w:val="24"/>
        </w:rPr>
      </w:pPr>
      <w:r>
        <w:rPr>
          <w:rFonts w:ascii="宋体" w:hAnsi="宋体" w:cs="宋体"/>
          <w:sz w:val="24"/>
        </w:rPr>
        <w:t>以上所有事项</w:t>
      </w:r>
      <w:r>
        <w:rPr>
          <w:rFonts w:hint="eastAsia" w:ascii="宋体" w:hAnsi="宋体" w:cs="宋体"/>
          <w:sz w:val="24"/>
        </w:rPr>
        <w:t>因乙方故意或过失所致，或未尽到物业管理职责的，不在此限；</w:t>
      </w:r>
    </w:p>
    <w:p w14:paraId="2749560E">
      <w:pPr>
        <w:spacing w:line="400" w:lineRule="exact"/>
        <w:ind w:firstLine="480"/>
        <w:rPr>
          <w:rFonts w:ascii="宋体" w:hAnsi="宋体" w:cs="宋体"/>
          <w:sz w:val="24"/>
        </w:rPr>
      </w:pPr>
      <w:r>
        <w:rPr>
          <w:rFonts w:hint="eastAsia" w:ascii="宋体" w:hAnsi="宋体" w:cs="宋体"/>
          <w:sz w:val="24"/>
        </w:rPr>
        <w:t>四、为维护公众、甲方及物业使用人的合法利益，在不可预见情况下，如发生煤气泄漏、漏电、火灾、水管破裂、救助人命、协助公安机关执行任务等情况，乙方因采取紧急避险措施造成财产损失的，按有关法律规定处理。</w:t>
      </w:r>
    </w:p>
    <w:p w14:paraId="450B01FC">
      <w:pPr>
        <w:spacing w:line="400" w:lineRule="exact"/>
        <w:ind w:firstLine="482"/>
        <w:rPr>
          <w:rFonts w:ascii="宋体" w:hAnsi="宋体" w:cs="宋体"/>
          <w:b/>
          <w:bCs/>
          <w:sz w:val="24"/>
        </w:rPr>
      </w:pPr>
      <w:r>
        <w:rPr>
          <w:rFonts w:hint="eastAsia" w:ascii="宋体" w:hAnsi="宋体" w:cs="宋体"/>
          <w:b/>
          <w:bCs/>
          <w:sz w:val="24"/>
        </w:rPr>
        <w:t>第六条 质量保证</w:t>
      </w:r>
    </w:p>
    <w:p w14:paraId="24F2D4E4">
      <w:pPr>
        <w:spacing w:line="400" w:lineRule="exact"/>
        <w:ind w:firstLine="480"/>
        <w:rPr>
          <w:rFonts w:ascii="宋体" w:hAnsi="宋体" w:cs="宋体"/>
          <w:sz w:val="24"/>
        </w:rPr>
      </w:pPr>
      <w:r>
        <w:rPr>
          <w:rFonts w:hint="eastAsia" w:ascii="宋体" w:hAnsi="宋体" w:cs="宋体"/>
          <w:sz w:val="24"/>
        </w:rPr>
        <w:t>一、建立质量管理体系并有效运行，管理服务能够接受质量审核。</w:t>
      </w:r>
    </w:p>
    <w:p w14:paraId="4DCEA9E8">
      <w:pPr>
        <w:spacing w:line="400" w:lineRule="exact"/>
        <w:ind w:firstLine="480"/>
        <w:rPr>
          <w:rFonts w:ascii="宋体" w:hAnsi="宋体" w:cs="宋体"/>
          <w:sz w:val="24"/>
        </w:rPr>
      </w:pPr>
      <w:r>
        <w:rPr>
          <w:rFonts w:hint="eastAsia" w:ascii="宋体" w:hAnsi="宋体" w:cs="宋体"/>
          <w:sz w:val="24"/>
        </w:rPr>
        <w:t>二、管理服务逐步达到接受创优评审条件。</w:t>
      </w:r>
    </w:p>
    <w:p w14:paraId="181C6B1D">
      <w:pPr>
        <w:spacing w:line="400" w:lineRule="exact"/>
        <w:ind w:firstLine="480"/>
        <w:rPr>
          <w:rFonts w:ascii="宋体" w:hAnsi="宋体" w:cs="宋体"/>
          <w:sz w:val="24"/>
        </w:rPr>
      </w:pPr>
      <w:r>
        <w:rPr>
          <w:rFonts w:hint="eastAsia" w:ascii="宋体" w:hAnsi="宋体" w:cs="宋体"/>
          <w:sz w:val="24"/>
        </w:rPr>
        <w:t>三、各项承诺指标及所采取的措施详见“招标文件”及投标文件。</w:t>
      </w:r>
    </w:p>
    <w:p w14:paraId="15E69605">
      <w:pPr>
        <w:spacing w:line="400" w:lineRule="exact"/>
        <w:ind w:firstLine="480"/>
        <w:rPr>
          <w:rFonts w:ascii="宋体" w:hAnsi="宋体" w:cs="宋体"/>
          <w:sz w:val="24"/>
        </w:rPr>
      </w:pPr>
      <w:r>
        <w:rPr>
          <w:rFonts w:hint="eastAsia" w:ascii="宋体" w:hAnsi="宋体" w:cs="宋体"/>
          <w:sz w:val="24"/>
        </w:rPr>
        <w:t>四、其他管理服务质量要求按无锡市有关标准执行。</w:t>
      </w:r>
    </w:p>
    <w:p w14:paraId="473B4F9D">
      <w:pPr>
        <w:spacing w:line="400" w:lineRule="exact"/>
        <w:ind w:firstLine="482"/>
        <w:rPr>
          <w:rFonts w:ascii="宋体" w:hAnsi="宋体" w:cs="宋体"/>
          <w:b/>
          <w:bCs/>
          <w:sz w:val="24"/>
        </w:rPr>
      </w:pPr>
      <w:r>
        <w:rPr>
          <w:rFonts w:hint="eastAsia" w:ascii="宋体" w:hAnsi="宋体" w:cs="宋体"/>
          <w:b/>
          <w:bCs/>
          <w:sz w:val="24"/>
        </w:rPr>
        <w:t>第七条 款项支付</w:t>
      </w:r>
    </w:p>
    <w:p w14:paraId="020B6C35">
      <w:pPr>
        <w:spacing w:line="400" w:lineRule="exact"/>
        <w:ind w:firstLine="480"/>
        <w:rPr>
          <w:rFonts w:ascii="宋体" w:hAnsi="宋体" w:cs="宋体"/>
          <w:sz w:val="24"/>
        </w:rPr>
      </w:pPr>
      <w:r>
        <w:rPr>
          <w:rFonts w:hint="eastAsia" w:ascii="宋体" w:hAnsi="宋体" w:cs="宋体"/>
          <w:sz w:val="24"/>
        </w:rPr>
        <w:t>一、本合同项下所有款项均以人民币支付。</w:t>
      </w:r>
    </w:p>
    <w:p w14:paraId="0ED09143">
      <w:pPr>
        <w:spacing w:line="400" w:lineRule="exact"/>
        <w:ind w:firstLine="480"/>
        <w:rPr>
          <w:rFonts w:ascii="宋体" w:hAnsi="宋体" w:cs="宋体"/>
          <w:sz w:val="24"/>
        </w:rPr>
      </w:pPr>
      <w:r>
        <w:rPr>
          <w:rFonts w:hint="eastAsia" w:ascii="宋体" w:hAnsi="宋体" w:cs="宋体"/>
          <w:sz w:val="24"/>
        </w:rPr>
        <w:t>二、甲方在收到乙方开具相应的增值税发票后按约定支付物业服务费；乙方未提供发票的</w:t>
      </w:r>
      <w:r>
        <w:rPr>
          <w:rFonts w:ascii="宋体" w:hAnsi="宋体" w:cs="宋体"/>
          <w:sz w:val="24"/>
        </w:rPr>
        <w:t>，甲方有权迟延支付款项</w:t>
      </w:r>
      <w:r>
        <w:rPr>
          <w:rFonts w:hint="eastAsia" w:ascii="宋体" w:hAnsi="宋体" w:cs="宋体"/>
          <w:sz w:val="24"/>
        </w:rPr>
        <w:t>且</w:t>
      </w:r>
      <w:r>
        <w:rPr>
          <w:rFonts w:ascii="宋体" w:hAnsi="宋体" w:cs="宋体"/>
          <w:sz w:val="24"/>
        </w:rPr>
        <w:t>不承担违约责任，乙方仍应继续履行本合同项下的全部义务</w:t>
      </w:r>
      <w:r>
        <w:rPr>
          <w:rFonts w:hint="eastAsia" w:ascii="宋体" w:hAnsi="宋体" w:cs="宋体"/>
          <w:sz w:val="24"/>
        </w:rPr>
        <w:t>。</w:t>
      </w:r>
    </w:p>
    <w:p w14:paraId="64B735F1">
      <w:pPr>
        <w:spacing w:line="400" w:lineRule="exact"/>
        <w:ind w:firstLine="480"/>
        <w:rPr>
          <w:rFonts w:ascii="宋体" w:hAnsi="宋体" w:cs="宋体"/>
          <w:sz w:val="24"/>
        </w:rPr>
      </w:pPr>
      <w:r>
        <w:rPr>
          <w:rFonts w:hint="eastAsia" w:ascii="宋体" w:hAnsi="宋体" w:cs="宋体"/>
          <w:sz w:val="24"/>
        </w:rPr>
        <w:t>三、付款方式及进度安排及履约评价考核机制按招标文件执行。</w:t>
      </w:r>
    </w:p>
    <w:p w14:paraId="3BDA44E5">
      <w:pPr>
        <w:spacing w:line="400" w:lineRule="exact"/>
        <w:ind w:firstLine="482"/>
        <w:rPr>
          <w:rFonts w:ascii="宋体" w:hAnsi="宋体" w:cs="宋体"/>
          <w:b/>
          <w:bCs/>
          <w:sz w:val="24"/>
        </w:rPr>
      </w:pPr>
      <w:r>
        <w:rPr>
          <w:rFonts w:hint="eastAsia" w:ascii="宋体" w:hAnsi="宋体" w:cs="宋体"/>
          <w:b/>
          <w:bCs/>
          <w:sz w:val="24"/>
        </w:rPr>
        <w:t>第八条 违约责任</w:t>
      </w:r>
    </w:p>
    <w:p w14:paraId="5CE007E0">
      <w:pPr>
        <w:spacing w:line="400" w:lineRule="exact"/>
        <w:ind w:firstLine="480"/>
        <w:rPr>
          <w:rFonts w:ascii="宋体" w:hAnsi="宋体" w:cs="宋体"/>
          <w:sz w:val="24"/>
        </w:rPr>
      </w:pPr>
      <w:r>
        <w:rPr>
          <w:rFonts w:hint="eastAsia" w:ascii="宋体" w:hAnsi="宋体" w:cs="宋体"/>
          <w:sz w:val="24"/>
        </w:rPr>
        <w:t>一、</w:t>
      </w:r>
      <w:r>
        <w:rPr>
          <w:rFonts w:hint="eastAsia" w:ascii="宋体" w:hAnsi="宋体"/>
          <w:sz w:val="24"/>
          <w:szCs w:val="24"/>
        </w:rPr>
        <w:t>甲方无正当理由，违反本合同约定的，使乙方未能完成规定管理目标的，乙方有权要求甲方在一定期限内解决，逾期未解决，造成乙方经济损失的，由甲方向乙方偿付合同总价5%的违约金，</w:t>
      </w:r>
      <w:r>
        <w:rPr>
          <w:rFonts w:hint="eastAsia" w:ascii="宋体" w:hAnsi="宋体"/>
          <w:bCs/>
          <w:sz w:val="24"/>
          <w:szCs w:val="24"/>
        </w:rPr>
        <w:t xml:space="preserve"> 或依照法律程序解除部分或全部合同。</w:t>
      </w:r>
    </w:p>
    <w:p w14:paraId="3F534EC1">
      <w:pPr>
        <w:spacing w:line="400" w:lineRule="exact"/>
        <w:ind w:firstLine="480"/>
        <w:rPr>
          <w:rFonts w:ascii="宋体" w:hAnsi="宋体" w:cs="宋体"/>
          <w:sz w:val="24"/>
        </w:rPr>
      </w:pPr>
      <w:r>
        <w:rPr>
          <w:rFonts w:hint="eastAsia" w:ascii="宋体" w:hAnsi="宋体" w:cs="宋体"/>
          <w:sz w:val="24"/>
        </w:rPr>
        <w:t>二、甲方未按合同约定向乙方支付款项的，每逾期1天甲方向乙方偿付欠款总额的5‰违约金，但累计违约金总额不超过欠款总额的5%。</w:t>
      </w:r>
    </w:p>
    <w:p w14:paraId="4CB08DA0">
      <w:pPr>
        <w:spacing w:line="400" w:lineRule="exact"/>
        <w:ind w:firstLine="480"/>
        <w:rPr>
          <w:rFonts w:ascii="宋体" w:hAnsi="宋体" w:cs="宋体"/>
          <w:sz w:val="24"/>
        </w:rPr>
      </w:pPr>
      <w:r>
        <w:rPr>
          <w:rFonts w:hint="eastAsia" w:ascii="宋体" w:hAnsi="宋体" w:cs="宋体"/>
          <w:sz w:val="24"/>
        </w:rPr>
        <w:t>三、乙方无正当理由，违反本合同约定及招标文件规定、投标文件承诺，未能达到规定管理目标及质量保证的，未按服务管理制度及管理方案、年度管理计划、资金使用计划及决算报告内容履行物业服务合同，甲方有权要求乙方限期整改，逾期未整改或整改不符合要求的，甲方有权解除合同并要求支付合同总价5%的违约金。</w:t>
      </w:r>
    </w:p>
    <w:p w14:paraId="0869735F">
      <w:pPr>
        <w:spacing w:line="400" w:lineRule="exact"/>
        <w:ind w:firstLine="480"/>
        <w:rPr>
          <w:rFonts w:ascii="宋体" w:hAnsi="宋体" w:cs="宋体"/>
          <w:sz w:val="24"/>
        </w:rPr>
      </w:pPr>
      <w:r>
        <w:rPr>
          <w:rFonts w:hint="eastAsia" w:ascii="宋体" w:hAnsi="宋体" w:cs="宋体"/>
          <w:sz w:val="24"/>
        </w:rPr>
        <w:t>四、乙方无正当理由，违反本合同约定，擅自收费或擅自提高收费标准的，对擅自收费部分或超出标准的部分，甲方有权</w:t>
      </w:r>
      <w:r>
        <w:rPr>
          <w:rFonts w:ascii="宋体" w:hAnsi="宋体" w:cs="宋体"/>
          <w:sz w:val="24"/>
        </w:rPr>
        <w:t>拒绝付款</w:t>
      </w:r>
      <w:r>
        <w:rPr>
          <w:rFonts w:hint="eastAsia" w:ascii="宋体" w:hAnsi="宋体" w:cs="宋体"/>
          <w:sz w:val="24"/>
        </w:rPr>
        <w:t>；</w:t>
      </w:r>
      <w:r>
        <w:rPr>
          <w:rFonts w:ascii="宋体" w:hAnsi="宋体" w:cs="宋体"/>
          <w:sz w:val="24"/>
        </w:rPr>
        <w:t>已经支付的，</w:t>
      </w:r>
      <w:r>
        <w:rPr>
          <w:rFonts w:hint="eastAsia" w:ascii="宋体" w:hAnsi="宋体" w:cs="宋体"/>
          <w:sz w:val="24"/>
        </w:rPr>
        <w:t>有权要求乙方双倍返还；造成甲方经济损失的，乙方应予赔偿。</w:t>
      </w:r>
    </w:p>
    <w:p w14:paraId="0F56E1CF">
      <w:pPr>
        <w:spacing w:line="400" w:lineRule="exact"/>
        <w:ind w:firstLine="480"/>
        <w:rPr>
          <w:rFonts w:ascii="宋体" w:hAnsi="宋体" w:cs="宋体"/>
          <w:sz w:val="24"/>
        </w:rPr>
      </w:pPr>
      <w:r>
        <w:rPr>
          <w:rFonts w:hint="eastAsia" w:ascii="宋体" w:hAnsi="宋体" w:cs="宋体"/>
          <w:sz w:val="24"/>
        </w:rPr>
        <w:t>五、因乙方原因导致重大火灾、失窃、泄密等事件的，甲方有权解除合同，并要求乙方赔偿相关损失。</w:t>
      </w:r>
    </w:p>
    <w:p w14:paraId="36BF5E02">
      <w:pPr>
        <w:spacing w:line="400" w:lineRule="exact"/>
        <w:ind w:firstLine="480"/>
        <w:rPr>
          <w:rFonts w:ascii="宋体" w:hAnsi="宋体" w:cs="宋体"/>
          <w:sz w:val="24"/>
        </w:rPr>
      </w:pPr>
      <w:r>
        <w:rPr>
          <w:rFonts w:hint="eastAsia" w:ascii="宋体" w:hAnsi="宋体" w:cs="宋体"/>
          <w:sz w:val="24"/>
        </w:rPr>
        <w:t>六、合同到期未续签时，乙方拒绝按本合同约定及时、有序撤场并交接的，甲方有权拒付管理服务费用，并要求乙方支付物业管理服务年度总费用的</w:t>
      </w:r>
      <w:r>
        <w:rPr>
          <w:rFonts w:ascii="宋体" w:hAnsi="宋体" w:cs="宋体"/>
          <w:sz w:val="24"/>
        </w:rPr>
        <w:t>3</w:t>
      </w:r>
      <w:r>
        <w:rPr>
          <w:rFonts w:hint="eastAsia" w:ascii="宋体" w:hAnsi="宋体" w:cs="宋体"/>
          <w:sz w:val="24"/>
        </w:rPr>
        <w:t>0%作为违约金；造成的损失超出前述违约金的，甲方有权要求乙方按照实际损失予以赔偿。</w:t>
      </w:r>
    </w:p>
    <w:p w14:paraId="741BB81F">
      <w:pPr>
        <w:spacing w:line="400" w:lineRule="exact"/>
        <w:ind w:firstLine="480"/>
        <w:rPr>
          <w:rFonts w:ascii="宋体" w:hAnsi="宋体" w:cs="宋体"/>
          <w:sz w:val="24"/>
        </w:rPr>
      </w:pPr>
      <w:r>
        <w:rPr>
          <w:rFonts w:hint="eastAsia" w:ascii="宋体" w:hAnsi="宋体" w:cs="宋体"/>
          <w:sz w:val="24"/>
        </w:rPr>
        <w:t>七、乙方在承担上述一项或多项违约责任后，仍应继续履行合同规定的义务（甲方解除合同的除外）。甲方未能及时追究乙方的任何一项违约责任并不表明甲方放弃追究乙方该项或其他违约责任。</w:t>
      </w:r>
    </w:p>
    <w:p w14:paraId="64CCAF83">
      <w:pPr>
        <w:spacing w:line="400" w:lineRule="exact"/>
        <w:ind w:firstLine="482"/>
        <w:rPr>
          <w:rFonts w:ascii="宋体" w:hAnsi="宋体" w:cs="宋体"/>
          <w:b/>
          <w:bCs/>
          <w:sz w:val="24"/>
        </w:rPr>
      </w:pPr>
      <w:r>
        <w:rPr>
          <w:rFonts w:hint="eastAsia" w:ascii="宋体" w:hAnsi="宋体" w:cs="宋体"/>
          <w:b/>
          <w:bCs/>
          <w:sz w:val="24"/>
        </w:rPr>
        <w:t>第九条 合同的生效、变更和终止</w:t>
      </w:r>
    </w:p>
    <w:p w14:paraId="0385F0BF">
      <w:pPr>
        <w:spacing w:line="400" w:lineRule="exact"/>
        <w:ind w:firstLine="480"/>
        <w:rPr>
          <w:rFonts w:ascii="宋体" w:hAnsi="宋体" w:cs="宋体"/>
          <w:sz w:val="24"/>
        </w:rPr>
      </w:pPr>
      <w:r>
        <w:rPr>
          <w:rFonts w:hint="eastAsia" w:ascii="宋体" w:hAnsi="宋体" w:cs="宋体"/>
          <w:sz w:val="24"/>
        </w:rPr>
        <w:t>一、本合同自签订之日起生效。除《中华人民共和国政府采购法》第五十条第二款规定的情形外，本合同一经签订，甲乙双方不得擅自变更、中止或终止合同。</w:t>
      </w:r>
    </w:p>
    <w:p w14:paraId="2373FFDD">
      <w:pPr>
        <w:spacing w:line="400" w:lineRule="exact"/>
        <w:ind w:firstLine="480"/>
        <w:rPr>
          <w:rFonts w:ascii="宋体" w:hAnsi="宋体" w:cs="宋体"/>
          <w:sz w:val="24"/>
        </w:rPr>
      </w:pPr>
      <w:r>
        <w:rPr>
          <w:rFonts w:hint="eastAsia" w:ascii="宋体" w:hAnsi="宋体"/>
          <w:bCs/>
          <w:sz w:val="24"/>
          <w:szCs w:val="24"/>
        </w:rPr>
        <w:t>二、合同在执行过程中出现的未尽事宜，双方在不违背本合同和招标文件的原则下协商解决，协商结果以书面形式签订补充协议，且补充协议与本合同具有同等效力。</w:t>
      </w:r>
    </w:p>
    <w:p w14:paraId="0EDE7287">
      <w:pPr>
        <w:spacing w:line="400" w:lineRule="exact"/>
        <w:ind w:firstLine="480"/>
        <w:rPr>
          <w:rFonts w:ascii="宋体" w:hAnsi="宋体"/>
          <w:sz w:val="24"/>
          <w:szCs w:val="24"/>
        </w:rPr>
      </w:pPr>
      <w:r>
        <w:rPr>
          <w:rFonts w:hint="eastAsia" w:ascii="宋体" w:hAnsi="宋体"/>
          <w:sz w:val="24"/>
          <w:szCs w:val="24"/>
        </w:rPr>
        <w:t>三、合同中未有约定的按照有关的法律法规以及国家行业标准或技术文件规定予以解决。</w:t>
      </w:r>
    </w:p>
    <w:p w14:paraId="6EDC3082">
      <w:pPr>
        <w:spacing w:line="400" w:lineRule="exact"/>
        <w:ind w:firstLine="480"/>
        <w:rPr>
          <w:rFonts w:ascii="宋体" w:hAnsi="宋体" w:cs="宋体"/>
          <w:sz w:val="24"/>
        </w:rPr>
      </w:pPr>
      <w:r>
        <w:rPr>
          <w:rFonts w:hint="eastAsia" w:ascii="宋体" w:hAnsi="宋体"/>
          <w:bCs/>
          <w:sz w:val="24"/>
          <w:szCs w:val="24"/>
        </w:rPr>
        <w:t>四、甲乙双方确认：对本合同条款及后果均已知悉，一致确认不存在欺诈、胁迫、乘人之危、重大误解、显失公平等任何可能导致合同无效或被撤销的情形。</w:t>
      </w:r>
    </w:p>
    <w:p w14:paraId="261D625C">
      <w:pPr>
        <w:spacing w:line="400" w:lineRule="exact"/>
        <w:ind w:firstLine="480"/>
        <w:rPr>
          <w:rFonts w:ascii="宋体" w:hAnsi="宋体" w:cs="宋体"/>
          <w:sz w:val="24"/>
        </w:rPr>
      </w:pPr>
      <w:r>
        <w:rPr>
          <w:rFonts w:hint="eastAsia" w:ascii="宋体" w:hAnsi="宋体" w:cs="宋体"/>
          <w:sz w:val="24"/>
        </w:rPr>
        <w:t>五、本合同终止时，乙方应移交管理权，撤出本项目，协助甲方做好服务的交接和善后工作，移交或配合甲方移交管理用房和管理的全部档案资料等。</w:t>
      </w:r>
    </w:p>
    <w:p w14:paraId="3A164A7E">
      <w:pPr>
        <w:spacing w:line="400" w:lineRule="exact"/>
        <w:ind w:firstLine="480"/>
        <w:rPr>
          <w:rFonts w:ascii="宋体" w:hAnsi="宋体" w:cs="宋体"/>
          <w:sz w:val="24"/>
        </w:rPr>
      </w:pPr>
      <w:r>
        <w:rPr>
          <w:rFonts w:hint="eastAsia" w:ascii="宋体" w:hAnsi="宋体" w:cs="宋体"/>
          <w:sz w:val="24"/>
        </w:rPr>
        <w:t>六、本合同终止后，在新的物业管理服务企业接管本项目前，除甲方要求乙方提前撤离外，新老物业管理服务企业的交接过渡期最长为1个月，在此期间乙方应提供过渡期管理服务，过渡期管理服务标准和服务费标准不变。</w:t>
      </w:r>
    </w:p>
    <w:p w14:paraId="2AE42A12">
      <w:pPr>
        <w:spacing w:line="400" w:lineRule="exact"/>
        <w:ind w:firstLine="482"/>
        <w:rPr>
          <w:rFonts w:ascii="宋体" w:hAnsi="宋体" w:cs="宋体"/>
          <w:sz w:val="24"/>
        </w:rPr>
      </w:pPr>
      <w:r>
        <w:rPr>
          <w:rFonts w:hint="eastAsia" w:ascii="宋体" w:hAnsi="宋体" w:cs="宋体"/>
          <w:b/>
          <w:bCs/>
          <w:sz w:val="24"/>
        </w:rPr>
        <w:t>第十条 争议的解决</w:t>
      </w:r>
    </w:p>
    <w:p w14:paraId="2BC2647D">
      <w:pPr>
        <w:tabs>
          <w:tab w:val="left" w:pos="0"/>
          <w:tab w:val="left" w:pos="525"/>
          <w:tab w:val="left" w:pos="945"/>
        </w:tabs>
        <w:spacing w:line="400" w:lineRule="exact"/>
        <w:ind w:firstLine="480"/>
        <w:rPr>
          <w:rFonts w:ascii="宋体" w:hAnsi="宋体"/>
          <w:bCs/>
          <w:sz w:val="24"/>
          <w:szCs w:val="24"/>
        </w:rPr>
      </w:pPr>
      <w:r>
        <w:rPr>
          <w:rFonts w:hint="eastAsia" w:ascii="宋体" w:hAnsi="宋体"/>
          <w:bCs/>
          <w:sz w:val="24"/>
          <w:szCs w:val="24"/>
        </w:rPr>
        <w:t>合同签订后</w:t>
      </w:r>
      <w:r>
        <w:rPr>
          <w:rFonts w:hint="eastAsia" w:ascii="宋体" w:hAnsi="宋体"/>
          <w:sz w:val="24"/>
          <w:szCs w:val="24"/>
        </w:rPr>
        <w:t>甲乙</w:t>
      </w:r>
      <w:r>
        <w:rPr>
          <w:rFonts w:hint="eastAsia" w:ascii="宋体" w:hAnsi="宋体"/>
          <w:bCs/>
          <w:sz w:val="24"/>
          <w:szCs w:val="24"/>
        </w:rPr>
        <w:t>双方即直接产生权利与义务的关系，合同执行过程中出现的问题应按照合同约定、法律法规的规定办理。在合同履行过程中，双方如有争议，</w:t>
      </w:r>
      <w:r>
        <w:rPr>
          <w:rFonts w:hint="eastAsia" w:ascii="宋体" w:hAnsi="宋体"/>
          <w:sz w:val="24"/>
          <w:szCs w:val="24"/>
        </w:rPr>
        <w:t>由甲乙双方协商处理，若协商不成，</w:t>
      </w:r>
      <w:r>
        <w:rPr>
          <w:rFonts w:hint="eastAsia" w:ascii="宋体" w:hAnsi="宋体"/>
          <w:bCs/>
          <w:sz w:val="24"/>
          <w:szCs w:val="24"/>
        </w:rPr>
        <w:t>可选择以下方式处理：</w:t>
      </w:r>
    </w:p>
    <w:p w14:paraId="09E1C4E2">
      <w:pPr>
        <w:tabs>
          <w:tab w:val="left" w:pos="525"/>
          <w:tab w:val="left" w:pos="945"/>
        </w:tabs>
        <w:spacing w:line="400" w:lineRule="exact"/>
        <w:rPr>
          <w:rFonts w:ascii="宋体" w:hAnsi="宋体"/>
          <w:sz w:val="24"/>
          <w:szCs w:val="24"/>
        </w:rPr>
      </w:pPr>
      <w:r>
        <w:rPr>
          <w:rFonts w:hint="eastAsia" w:ascii="宋体" w:hAnsi="宋体"/>
          <w:sz w:val="24"/>
          <w:szCs w:val="24"/>
        </w:rPr>
        <w:t>一、向无锡仲裁委员会申请仲裁。</w:t>
      </w:r>
    </w:p>
    <w:p w14:paraId="0726449C">
      <w:pPr>
        <w:tabs>
          <w:tab w:val="left" w:pos="0"/>
          <w:tab w:val="left" w:pos="525"/>
          <w:tab w:val="left" w:pos="945"/>
        </w:tabs>
        <w:spacing w:line="400" w:lineRule="exact"/>
        <w:rPr>
          <w:rFonts w:ascii="宋体" w:hAnsi="宋体"/>
          <w:bCs/>
          <w:sz w:val="24"/>
          <w:szCs w:val="24"/>
        </w:rPr>
      </w:pPr>
      <w:r>
        <w:rPr>
          <w:rFonts w:hint="eastAsia" w:ascii="宋体" w:hAnsi="宋体"/>
          <w:sz w:val="24"/>
          <w:szCs w:val="24"/>
        </w:rPr>
        <w:t>二、向甲方所在地法院提起诉讼。</w:t>
      </w:r>
    </w:p>
    <w:p w14:paraId="6550DE3F">
      <w:pPr>
        <w:spacing w:line="400" w:lineRule="exact"/>
        <w:ind w:firstLine="482"/>
        <w:rPr>
          <w:rFonts w:ascii="宋体" w:hAnsi="宋体" w:cs="宋体"/>
          <w:b/>
          <w:bCs/>
          <w:sz w:val="24"/>
        </w:rPr>
      </w:pPr>
      <w:r>
        <w:rPr>
          <w:rFonts w:hint="eastAsia" w:ascii="宋体" w:hAnsi="宋体" w:cs="宋体"/>
          <w:b/>
          <w:bCs/>
          <w:sz w:val="24"/>
        </w:rPr>
        <w:t>第十一条 诚实信用及其他</w:t>
      </w:r>
    </w:p>
    <w:p w14:paraId="6428F673">
      <w:pPr>
        <w:spacing w:line="400" w:lineRule="exact"/>
        <w:ind w:firstLine="480"/>
        <w:rPr>
          <w:rFonts w:ascii="宋体" w:hAnsi="宋体" w:cs="宋体"/>
          <w:sz w:val="24"/>
        </w:rPr>
      </w:pPr>
      <w:r>
        <w:rPr>
          <w:rFonts w:hint="eastAsia" w:ascii="宋体" w:hAnsi="宋体" w:cs="宋体"/>
          <w:sz w:val="24"/>
        </w:rPr>
        <w:t xml:space="preserve">一、乙方应诚实信用，严格按照招标投标文件要求和承诺履行合同，严禁向甲方进行商业贿赂或者提供不正当利益。 </w:t>
      </w:r>
    </w:p>
    <w:p w14:paraId="2B4F4BDC">
      <w:pPr>
        <w:spacing w:line="400" w:lineRule="exact"/>
        <w:ind w:firstLine="480"/>
        <w:rPr>
          <w:rFonts w:ascii="宋体" w:hAnsi="宋体" w:cs="宋体"/>
          <w:sz w:val="24"/>
        </w:rPr>
      </w:pPr>
      <w:r>
        <w:rPr>
          <w:rFonts w:hint="eastAsia" w:ascii="宋体" w:hAnsi="宋体" w:cs="宋体"/>
          <w:sz w:val="24"/>
        </w:rPr>
        <w:t>二、本合同应按照中华人民共和国的现行法律进行解释。</w:t>
      </w:r>
    </w:p>
    <w:p w14:paraId="0FA97282">
      <w:pPr>
        <w:spacing w:line="400" w:lineRule="exact"/>
        <w:ind w:firstLine="480"/>
        <w:rPr>
          <w:rFonts w:ascii="宋体" w:hAnsi="宋体" w:cs="宋体"/>
          <w:sz w:val="24"/>
        </w:rPr>
      </w:pPr>
      <w:r>
        <w:rPr>
          <w:rFonts w:hint="eastAsia" w:ascii="宋体" w:hAnsi="宋体" w:cs="宋体"/>
          <w:sz w:val="24"/>
        </w:rPr>
        <w:t xml:space="preserve">甲方（采购人）：（盖章）         乙方（供应商）：（盖章） </w:t>
      </w:r>
    </w:p>
    <w:p w14:paraId="03E07A60">
      <w:pPr>
        <w:spacing w:line="400" w:lineRule="exact"/>
        <w:ind w:firstLine="480"/>
        <w:rPr>
          <w:rFonts w:ascii="宋体" w:hAnsi="宋体" w:cs="宋体"/>
          <w:sz w:val="24"/>
        </w:rPr>
      </w:pPr>
      <w:r>
        <w:rPr>
          <w:rFonts w:hint="eastAsia" w:ascii="宋体" w:hAnsi="宋体" w:cs="宋体"/>
          <w:sz w:val="24"/>
        </w:rPr>
        <w:t xml:space="preserve">代表人：                       代表人： </w:t>
      </w:r>
    </w:p>
    <w:p w14:paraId="1D079D4D">
      <w:pPr>
        <w:spacing w:line="400" w:lineRule="exact"/>
        <w:ind w:firstLine="480"/>
        <w:rPr>
          <w:rFonts w:ascii="宋体" w:hAnsi="宋体" w:cs="宋体"/>
          <w:sz w:val="24"/>
        </w:rPr>
      </w:pPr>
      <w:r>
        <w:rPr>
          <w:rFonts w:hint="eastAsia" w:ascii="宋体" w:hAnsi="宋体" w:cs="宋体"/>
          <w:sz w:val="24"/>
        </w:rPr>
        <w:t xml:space="preserve">电话：                         电话： </w:t>
      </w:r>
    </w:p>
    <w:p w14:paraId="7336C7B7">
      <w:pPr>
        <w:spacing w:line="400" w:lineRule="exact"/>
        <w:ind w:firstLine="480"/>
        <w:rPr>
          <w:rFonts w:ascii="宋体" w:hAnsi="宋体" w:cs="宋体"/>
          <w:sz w:val="24"/>
        </w:rPr>
      </w:pPr>
      <w:r>
        <w:rPr>
          <w:rFonts w:hint="eastAsia" w:ascii="宋体" w:hAnsi="宋体" w:cs="宋体"/>
          <w:sz w:val="24"/>
        </w:rPr>
        <w:t xml:space="preserve">开户银行：                     开户银行： </w:t>
      </w:r>
    </w:p>
    <w:p w14:paraId="2B31F74C">
      <w:pPr>
        <w:spacing w:line="400" w:lineRule="exact"/>
        <w:ind w:firstLine="480"/>
        <w:rPr>
          <w:rFonts w:ascii="宋体" w:hAnsi="宋体" w:cs="宋体"/>
          <w:sz w:val="24"/>
        </w:rPr>
      </w:pPr>
      <w:r>
        <w:rPr>
          <w:rFonts w:hint="eastAsia" w:ascii="宋体" w:hAnsi="宋体" w:cs="宋体"/>
          <w:sz w:val="24"/>
        </w:rPr>
        <w:t xml:space="preserve">账号：                         账号： </w:t>
      </w:r>
    </w:p>
    <w:p w14:paraId="68A6959A">
      <w:pPr>
        <w:spacing w:line="400" w:lineRule="exact"/>
        <w:ind w:firstLine="480"/>
        <w:rPr>
          <w:rFonts w:ascii="宋体" w:hAnsi="宋体" w:cs="宋体"/>
          <w:sz w:val="24"/>
        </w:rPr>
      </w:pPr>
    </w:p>
    <w:p w14:paraId="61F529E2">
      <w:pPr>
        <w:spacing w:line="400" w:lineRule="exact"/>
        <w:ind w:firstLine="480"/>
        <w:rPr>
          <w:rFonts w:ascii="宋体" w:hAnsi="宋体" w:cs="宋体"/>
          <w:sz w:val="24"/>
        </w:rPr>
      </w:pPr>
      <w:r>
        <w:rPr>
          <w:rFonts w:hint="eastAsia" w:ascii="宋体" w:hAnsi="宋体" w:cs="宋体"/>
          <w:sz w:val="24"/>
        </w:rPr>
        <w:t>签订日期：    年    月    日</w:t>
      </w:r>
    </w:p>
    <w:p w14:paraId="335C9013">
      <w:pPr>
        <w:pStyle w:val="313"/>
        <w:spacing w:line="500" w:lineRule="exact"/>
        <w:ind w:firstLine="0"/>
        <w:jc w:val="center"/>
        <w:rPr>
          <w:rFonts w:ascii="黑体" w:eastAsia="黑体"/>
          <w:bCs/>
          <w:sz w:val="36"/>
          <w:szCs w:val="36"/>
          <w:lang w:eastAsia="zh-CN"/>
        </w:rPr>
      </w:pPr>
    </w:p>
    <w:p w14:paraId="3D864AE1">
      <w:pPr>
        <w:rPr>
          <w:rFonts w:ascii="黑体" w:eastAsia="黑体"/>
          <w:bCs/>
          <w:sz w:val="36"/>
          <w:szCs w:val="36"/>
        </w:rPr>
      </w:pPr>
      <w:r>
        <w:rPr>
          <w:rFonts w:hint="eastAsia" w:ascii="黑体" w:eastAsia="黑体"/>
          <w:bCs/>
          <w:sz w:val="36"/>
          <w:szCs w:val="36"/>
        </w:rPr>
        <w:br w:type="page"/>
      </w:r>
    </w:p>
    <w:bookmarkEnd w:id="135"/>
    <w:bookmarkEnd w:id="136"/>
    <w:bookmarkEnd w:id="137"/>
    <w:bookmarkEnd w:id="138"/>
    <w:bookmarkEnd w:id="139"/>
    <w:p w14:paraId="021A5114">
      <w:pPr>
        <w:spacing w:line="288" w:lineRule="auto"/>
        <w:ind w:firstLine="480"/>
        <w:jc w:val="center"/>
        <w:rPr>
          <w:rFonts w:hAnsi="宋体"/>
          <w:sz w:val="36"/>
          <w:szCs w:val="36"/>
        </w:rPr>
      </w:pPr>
      <w:bookmarkStart w:id="140" w:name="_Hlt16619369"/>
      <w:bookmarkEnd w:id="140"/>
      <w:bookmarkStart w:id="141" w:name="_Hlt16619350"/>
      <w:bookmarkStart w:id="142" w:name="_Toc20823346"/>
      <w:bookmarkStart w:id="143" w:name="_Toc120614244"/>
      <w:bookmarkStart w:id="144" w:name="_Toc16938590"/>
      <w:r>
        <w:rPr>
          <w:rFonts w:hint="eastAsia" w:ascii="黑体" w:eastAsia="黑体"/>
          <w:bCs/>
          <w:sz w:val="36"/>
          <w:szCs w:val="36"/>
        </w:rPr>
        <w:t>第</w:t>
      </w:r>
      <w:bookmarkEnd w:id="141"/>
      <w:r>
        <w:rPr>
          <w:rFonts w:hint="eastAsia" w:ascii="黑体" w:eastAsia="黑体"/>
          <w:bCs/>
          <w:sz w:val="36"/>
          <w:szCs w:val="36"/>
        </w:rPr>
        <w:t>四章 采购需求</w:t>
      </w:r>
      <w:bookmarkEnd w:id="142"/>
      <w:bookmarkEnd w:id="143"/>
      <w:bookmarkEnd w:id="144"/>
    </w:p>
    <w:p w14:paraId="4306FCF8">
      <w:pPr>
        <w:spacing w:line="360" w:lineRule="auto"/>
        <w:ind w:firstLine="602"/>
        <w:rPr>
          <w:rFonts w:ascii="宋体" w:hAnsi="宋体"/>
          <w:b/>
          <w:sz w:val="30"/>
          <w:szCs w:val="30"/>
        </w:rPr>
      </w:pPr>
      <w:bookmarkStart w:id="145" w:name="_Toc26554093"/>
      <w:bookmarkStart w:id="146" w:name="_Toc49090575"/>
      <w:r>
        <w:rPr>
          <w:rFonts w:hint="eastAsia" w:ascii="宋体" w:hAnsi="宋体"/>
          <w:b/>
          <w:sz w:val="30"/>
          <w:szCs w:val="30"/>
        </w:rPr>
        <w:t>第一部分  项目技术要求</w:t>
      </w:r>
    </w:p>
    <w:p w14:paraId="6A65A58A">
      <w:pPr>
        <w:spacing w:line="360" w:lineRule="auto"/>
        <w:ind w:firstLine="480"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一、项目基本情况：</w:t>
      </w:r>
    </w:p>
    <w:p w14:paraId="315FD44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1、座落位置：</w:t>
      </w:r>
    </w:p>
    <w:p w14:paraId="2ACBAFA3">
      <w:pPr>
        <w:spacing w:line="360" w:lineRule="auto"/>
        <w:ind w:left="420"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（1）无锡市公安局滨湖分局，地址：无锡市滨湖区青莲路58号；</w:t>
      </w:r>
    </w:p>
    <w:p w14:paraId="0C16EA6C">
      <w:pPr>
        <w:spacing w:line="360" w:lineRule="auto"/>
        <w:ind w:left="420"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（2）无锡市公安局滨湖分局作战中心，地址：无锡市滨湖区青莲路99号；</w:t>
      </w:r>
    </w:p>
    <w:p w14:paraId="57A418F2">
      <w:pPr>
        <w:spacing w:line="360" w:lineRule="auto"/>
        <w:ind w:left="420"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（3）无锡市公安局滨湖分局警务工作站保障基地，地址：无锡市滨湖区徐巷575号；</w:t>
      </w:r>
    </w:p>
    <w:p w14:paraId="7E81AD53">
      <w:pPr>
        <w:spacing w:line="360" w:lineRule="auto"/>
        <w:ind w:left="420"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（4）无锡市公安局滨湖分局执法办案管理中心，地址：无锡市滨湖区南湖路60号。 </w:t>
      </w:r>
    </w:p>
    <w:p w14:paraId="54A4EEBE">
      <w:pPr>
        <w:spacing w:line="360" w:lineRule="auto"/>
        <w:ind w:left="420"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（5）梁溪路警务站，地址：无锡市滨湖区梁溪路790号。</w:t>
      </w:r>
    </w:p>
    <w:p w14:paraId="1E08789A">
      <w:pPr>
        <w:spacing w:line="360" w:lineRule="auto"/>
        <w:ind w:left="420"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（6）鸿桥路警务站，地址：无锡市滨湖区鸿桥路801号正东方向60米。</w:t>
      </w:r>
    </w:p>
    <w:p w14:paraId="6380C5FF">
      <w:pPr>
        <w:spacing w:line="360" w:lineRule="auto"/>
        <w:ind w:left="420"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（7）湖滨路警务站，地址：无锡市滨湖区中南西路1号。</w:t>
      </w:r>
    </w:p>
    <w:p w14:paraId="4A3567D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2、项目总建筑面积：</w:t>
      </w:r>
      <w:r>
        <w:rPr>
          <w:rFonts w:hint="eastAsia" w:ascii="宋体" w:hAnsi="宋体" w:eastAsia="宋体" w:cs="宋体"/>
          <w:sz w:val="24"/>
          <w:szCs w:val="24"/>
          <w:u w:val="single"/>
          <w:lang w:eastAsia="zh-CN"/>
        </w:rPr>
        <w:t>27287.9平方米</w:t>
      </w:r>
      <w:r>
        <w:rPr>
          <w:rFonts w:hint="eastAsia" w:ascii="宋体" w:hAnsi="宋体" w:eastAsia="宋体" w:cs="宋体"/>
          <w:sz w:val="24"/>
          <w:szCs w:val="24"/>
          <w:lang w:eastAsia="zh-CN"/>
        </w:rPr>
        <w:t>，采购预算控制在</w:t>
      </w:r>
      <w:r>
        <w:rPr>
          <w:rFonts w:hint="eastAsia" w:ascii="宋体" w:hAnsi="宋体" w:eastAsia="宋体" w:cs="宋体"/>
          <w:sz w:val="24"/>
          <w:szCs w:val="24"/>
          <w:u w:val="single"/>
          <w:lang w:eastAsia="zh-CN"/>
        </w:rPr>
        <w:t>190万元</w:t>
      </w:r>
      <w:r>
        <w:rPr>
          <w:rFonts w:hint="eastAsia" w:ascii="宋体" w:hAnsi="宋体" w:eastAsia="宋体" w:cs="宋体"/>
          <w:sz w:val="24"/>
          <w:szCs w:val="24"/>
          <w:lang w:eastAsia="zh-CN"/>
        </w:rPr>
        <w:t>以内。</w:t>
      </w:r>
    </w:p>
    <w:p w14:paraId="52F55CE3">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3、物业管理服务委托管理期限（12个月）：</w:t>
      </w:r>
      <w:r>
        <w:rPr>
          <w:rFonts w:hint="eastAsia" w:ascii="宋体" w:hAnsi="宋体" w:eastAsia="宋体" w:cs="宋体"/>
          <w:sz w:val="24"/>
          <w:szCs w:val="24"/>
          <w:u w:val="single"/>
          <w:lang w:eastAsia="zh-CN"/>
        </w:rPr>
        <w:t>2025年1月1日至2025年12月31日</w:t>
      </w:r>
    </w:p>
    <w:p w14:paraId="5B673DFF">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4、列入本次综合物业管理服务的范围为：</w:t>
      </w:r>
      <w:r>
        <w:rPr>
          <w:rFonts w:hint="eastAsia" w:ascii="宋体" w:hAnsi="宋体" w:eastAsia="宋体" w:cs="宋体"/>
          <w:sz w:val="24"/>
          <w:szCs w:val="24"/>
          <w:u w:val="single"/>
          <w:lang w:eastAsia="zh-CN"/>
        </w:rPr>
        <w:t>保洁服务、安全保卫服务、绿化管理维护、给排水系统管理维护、会议中心服务</w:t>
      </w:r>
      <w:r>
        <w:rPr>
          <w:rFonts w:hint="eastAsia" w:ascii="宋体" w:hAnsi="宋体" w:eastAsia="宋体" w:cs="宋体"/>
          <w:sz w:val="24"/>
          <w:szCs w:val="24"/>
          <w:lang w:eastAsia="zh-CN"/>
        </w:rPr>
        <w:t>和采购单位交办的其他工作。</w:t>
      </w:r>
    </w:p>
    <w:p w14:paraId="17ECD88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sz w:val="24"/>
          <w:szCs w:val="24"/>
          <w:lang w:eastAsia="zh-CN"/>
        </w:rPr>
        <w:t>二、人员配置：</w:t>
      </w:r>
    </w:p>
    <w:p w14:paraId="765501EF">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1、总配置人员</w:t>
      </w:r>
      <w:r>
        <w:rPr>
          <w:rFonts w:hint="eastAsia" w:ascii="宋体" w:hAnsi="宋体" w:eastAsia="宋体" w:cs="宋体"/>
          <w:b/>
          <w:sz w:val="24"/>
          <w:szCs w:val="24"/>
          <w:u w:val="single"/>
          <w:lang w:eastAsia="zh-CN"/>
        </w:rPr>
        <w:t>33</w:t>
      </w:r>
      <w:r>
        <w:rPr>
          <w:rFonts w:hint="eastAsia" w:ascii="宋体" w:hAnsi="宋体" w:eastAsia="宋体" w:cs="宋体"/>
          <w:sz w:val="24"/>
          <w:szCs w:val="24"/>
          <w:lang w:eastAsia="zh-CN"/>
        </w:rPr>
        <w:t xml:space="preserve">名，需要完成本次综合物业管理服务的范围内的全部工作。                      </w:t>
      </w:r>
    </w:p>
    <w:p w14:paraId="487B6AD9">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2、乙方必须采取措施，确保乙方人员稳定，特别是骨干人员。骨干人员变动须经甲方同意，其他人员变动须甲方备案。</w:t>
      </w:r>
    </w:p>
    <w:p w14:paraId="303819F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3、乙方项目总负责人及部门负责人须及时与甲方沟通，第一时间报告重大、紧急事件；每月须向甲方汇报上月工作情况，并提供相关报告。</w:t>
      </w:r>
    </w:p>
    <w:p w14:paraId="5755CE3D">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4、物业人员要求：</w:t>
      </w:r>
    </w:p>
    <w:p w14:paraId="119550C6">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（1）所有相关人员的配备须获得相关主管部门认证的，须配证并持证上岗，且根据不同岗位统一着装。</w:t>
      </w:r>
    </w:p>
    <w:p w14:paraId="60F36343">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（2）所有相关人员要求政治上可靠，身体素质好，无不良行为记录。</w:t>
      </w:r>
    </w:p>
    <w:p w14:paraId="36DCAD32">
      <w:pPr>
        <w:pStyle w:val="2"/>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（3）重要岗位人员必须由甲方人事部门考核、政治审查通过方可录用。</w:t>
      </w:r>
    </w:p>
    <w:p w14:paraId="4DB311BD">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b/>
          <w:sz w:val="24"/>
          <w:szCs w:val="24"/>
          <w:lang w:eastAsia="zh-CN"/>
        </w:rPr>
        <w:t>三、物业管理服务要求</w:t>
      </w:r>
    </w:p>
    <w:p w14:paraId="1351422A">
      <w:pPr>
        <w:autoSpaceDE w:val="0"/>
        <w:autoSpaceDN w:val="0"/>
        <w:adjustRightInd w:val="0"/>
        <w:spacing w:line="360" w:lineRule="auto"/>
        <w:ind w:firstLine="480" w:firstLineChars="200"/>
        <w:rPr>
          <w:rFonts w:hint="eastAsia" w:ascii="宋体" w:hAnsi="宋体" w:eastAsia="宋体" w:cs="宋体"/>
          <w:b/>
          <w:snapToGrid w:val="0"/>
          <w:kern w:val="28"/>
          <w:sz w:val="24"/>
          <w:szCs w:val="24"/>
          <w:lang w:eastAsia="zh-CN"/>
        </w:rPr>
      </w:pPr>
      <w:r>
        <w:rPr>
          <w:rFonts w:hint="eastAsia" w:ascii="宋体" w:hAnsi="宋体" w:eastAsia="宋体" w:cs="宋体"/>
          <w:b/>
          <w:snapToGrid w:val="0"/>
          <w:kern w:val="28"/>
          <w:sz w:val="24"/>
          <w:szCs w:val="24"/>
          <w:lang w:eastAsia="zh-CN"/>
        </w:rPr>
        <w:t>（一）传达秩序管理及巡查</w:t>
      </w:r>
    </w:p>
    <w:p w14:paraId="712B998F">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eastAsia="zh-CN"/>
        </w:rPr>
        <w:t>1、人员要求：</w:t>
      </w:r>
      <w:r>
        <w:rPr>
          <w:rFonts w:hint="eastAsia" w:ascii="宋体" w:hAnsi="宋体" w:eastAsia="宋体" w:cs="宋体"/>
          <w:sz w:val="24"/>
          <w:szCs w:val="24"/>
          <w:lang w:eastAsia="zh-CN"/>
        </w:rPr>
        <w:t>配备专职保安19名，要求相貌端正，身体健康，政审合格，无违法犯罪记录。高中（含）以上文化，掌握相关法律法规知识、安保知识和消防知识，具有一定的语言、文字表达能力和沟通协调能力。专职保安员首次聘用不得超过50周岁，且必须通过培训才能上岗。</w:t>
      </w:r>
    </w:p>
    <w:p w14:paraId="094F6B1E">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zh-CN" w:eastAsia="zh-CN"/>
        </w:rPr>
        <w:t>服务内容：熟悉周边的环境，能处理和应对公共秩序维护工作，能正确使用各类消防、物防、技防器械和设备，能够熟悉、掌握各类刑事、治安案件和各类灾害事故的应急预案；来人来访的通报、证件检验、登记、报刊信件收发等，快递及包裹原则上由收件人亲自签收，得到收件人授权后方能代为签收，并按规范记录接收信息；车辆外出时严格控制物资进出，凡涉及分局固定资产的物资出门时，一律凭出门证核实数量方可出门。门卫、守护和巡逻，维护公共秩序；处理治安及其他突发事件，果断采取措施，制止事态发展，并及时上报相关部门及领导；负责道路交通管理、机动车和非机动车停放管理，进入车辆引导至指定车位，规范停放，确保主干道路畅通；遇到上访人员及时引导到信访部门，并及时报告相关部门，门卫人员要认真做好劝说、疏导工作，不得围观议论；负责防盗、防火管理；积极主动地配合、服从对口管理部门的临时应急调度。</w:t>
      </w:r>
    </w:p>
    <w:p w14:paraId="67B6A9D0">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zh-CN" w:eastAsia="zh-CN"/>
        </w:rPr>
        <w:t>、服务质量标准：</w:t>
      </w:r>
    </w:p>
    <w:p w14:paraId="6BEFC962">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（1）门卫值班。</w:t>
      </w:r>
    </w:p>
    <w:p w14:paraId="6B644297">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上岗时佩戴统一标志，按需求穿戴统一制服，装备佩戴规范，仪容仪表规范整齐，当值时坐姿挺直，站岗时不倚不靠。文明执勤，训练有素，言语规范，认真负责。配备对讲装置和其他必备的安全护卫器械。出入口安排24小时值勤，建立传达、车辆、道路及公共秩序管理等制度。严格验证、登记制度，杜绝闲杂人员进入行政区域内，维护行政区域安全、正常的工作环境。对物品进出实施分类管理，实行物品进出审验制度，杜绝危险物品进入行政区域内。</w:t>
      </w:r>
    </w:p>
    <w:p w14:paraId="5C8E89BA">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（2）巡查。</w:t>
      </w:r>
    </w:p>
    <w:p w14:paraId="68BC260D">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物业管理区域内安排24小时巡查。明确巡查工作职责，规范巡视工作流程，制定相对固定的巡视路线，对重要区域、部位、设备机房等进行重点巡视并记录巡视情况，及时发现和处理各种安全和事故隐患。巡视时使用巡更设备。监控室应保持巡更记录。在接到监控室发出的指令后，巡视人员应及时到达事发现场，采取相应措施妥善处理；如巡视时出现异常情况，应立即通知有关部门并在现场采取必要措施，随时准备启动并执行相应的应急预案。</w:t>
      </w:r>
    </w:p>
    <w:p w14:paraId="37BE1DBE">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（3）停车管理。</w:t>
      </w:r>
    </w:p>
    <w:p w14:paraId="670BC541">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管辖区域设置行车指示标志，规定车辆行驶路线，指定车辆停放区域，非机动车应实行定点停放。对进出管辖区域的各类车辆进行管理，维护交通秩序，保证车辆有序通行、有序停放。</w:t>
      </w:r>
    </w:p>
    <w:p w14:paraId="413627CB">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（4）突发事件处理。</w:t>
      </w:r>
    </w:p>
    <w:p w14:paraId="4FEF5115">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按照要求制订各类突发事件应急预案，并将预案内容在相关场所张榜悬挂。在各楼层固定位置悬挂疏散示意图及引路标志，每年组织不少于1次的突发事件应急演练。当发生台风、暴雨等灾害性天气及其他危害公共突发事件时，应采取以下应急措施：对设备机房、停车场、广告牌、电线杆等露天设施进行检查。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51B1B8DE">
      <w:pPr>
        <w:autoSpaceDE w:val="0"/>
        <w:autoSpaceDN w:val="0"/>
        <w:adjustRightInd w:val="0"/>
        <w:spacing w:line="360" w:lineRule="auto"/>
        <w:ind w:firstLine="480" w:firstLineChars="200"/>
        <w:rPr>
          <w:rFonts w:hint="eastAsia" w:ascii="宋体" w:hAnsi="宋体" w:eastAsia="宋体" w:cs="宋体"/>
          <w:b/>
          <w:snapToGrid w:val="0"/>
          <w:kern w:val="28"/>
          <w:sz w:val="24"/>
          <w:szCs w:val="24"/>
          <w:lang w:eastAsia="zh-CN"/>
        </w:rPr>
      </w:pPr>
      <w:r>
        <w:rPr>
          <w:rFonts w:hint="eastAsia" w:ascii="宋体" w:hAnsi="宋体" w:eastAsia="宋体" w:cs="宋体"/>
          <w:b/>
          <w:snapToGrid w:val="0"/>
          <w:kern w:val="28"/>
          <w:sz w:val="24"/>
          <w:szCs w:val="24"/>
          <w:lang w:eastAsia="zh-CN"/>
        </w:rPr>
        <w:t>（二） 环境卫生管理</w:t>
      </w:r>
    </w:p>
    <w:p w14:paraId="6861A5D7">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eastAsia="zh-CN"/>
        </w:rPr>
        <w:t>1、人员要求：配备专职保洁人员</w:t>
      </w:r>
      <w:r>
        <w:rPr>
          <w:rFonts w:hint="eastAsia" w:ascii="宋体" w:hAnsi="宋体" w:eastAsia="宋体" w:cs="宋体"/>
          <w:sz w:val="24"/>
          <w:szCs w:val="24"/>
          <w:lang w:eastAsia="zh-CN"/>
        </w:rPr>
        <w:t>14名，要求</w:t>
      </w:r>
      <w:r>
        <w:rPr>
          <w:rFonts w:hint="eastAsia" w:ascii="宋体" w:hAnsi="宋体" w:eastAsia="宋体" w:cs="宋体"/>
          <w:sz w:val="24"/>
          <w:szCs w:val="24"/>
          <w:lang w:val="zh-CN" w:eastAsia="zh-CN"/>
        </w:rPr>
        <w:t>身体健康，相貌端正，无传染疾病，无违法犯罪记录，保洁员年龄原则上不超过</w:t>
      </w:r>
      <w:r>
        <w:rPr>
          <w:rFonts w:hint="eastAsia" w:ascii="宋体" w:hAnsi="宋体" w:eastAsia="宋体" w:cs="宋体"/>
          <w:sz w:val="24"/>
          <w:szCs w:val="24"/>
          <w:lang w:eastAsia="zh-CN"/>
        </w:rPr>
        <w:t>55周岁。</w:t>
      </w:r>
    </w:p>
    <w:p w14:paraId="0FF3BFDC">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zh-CN" w:eastAsia="zh-CN"/>
        </w:rPr>
        <w:t>服务内容：楼内的楼梯、大厅、走廊、屋顶天台、吊顶、平台、雨棚、卫生间、茶水间、花盆、会议室、接待室、办公区域、公共活动场所的台（地）面、明沟、墙面、门、窗、灯具、果壳箱等设施和器皿，楼宇外墙等所有公共部位设施，停车场（库）、垃圾房等所有公共场地及设施和门前三包区域的日常保洁保养、消杀、防疫、灭四害、幕墙墙面清洗、办公室擦玻璃保洁、棉布制品洗涤、隔油池日常清理以及垃圾等物业管理区域内的所有环境卫生保洁。具体如下：</w:t>
      </w:r>
    </w:p>
    <w:p w14:paraId="66E9DA8C">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公共场所日常服务内容：水泥地面、石材地面、扶手、门窗玻璃、门及门窗框及有关附体，沙发、桌子、各类宣传牌、橱窗及有关附件，天花板、栏杆、消防楼梯区域等，及时清除各种垃圾等杂物，无积灰、印迹、污渍。</w:t>
      </w:r>
    </w:p>
    <w:p w14:paraId="7D8C7844">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桌面简单整理等，随时保持清洁。外墙每一年清洗一次，警务站如遇领导视察或其他突发事件，根据甲方需求开展临时性的保洁工作。石材、灯具每季度进行一次清洁；暂时空置的房间每周进行一次卫生保洁，确保地面、桌面、玻璃面整洁干净。白色墙面及顶面如有污渍等应及时清除，墙面去污后及时补刷。</w:t>
      </w:r>
    </w:p>
    <w:p w14:paraId="18C2EEA9">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（3）顶篷等边缘区域服务内容：屋顶屋面、沟槽、地面、雨棚及边角区域，各种附体的表面清洁。</w:t>
      </w:r>
    </w:p>
    <w:p w14:paraId="2CC73A4E">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（4）水电和设备等设施类服务内容：一般设备表面清洁（有特殊规定的设备除外）洗尘与保洁。</w:t>
      </w:r>
    </w:p>
    <w:p w14:paraId="7E0A7A88">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5</w:t>
      </w:r>
      <w:r>
        <w:rPr>
          <w:rFonts w:hint="eastAsia" w:ascii="宋体" w:hAnsi="宋体" w:eastAsia="宋体" w:cs="宋体"/>
          <w:sz w:val="24"/>
          <w:szCs w:val="24"/>
          <w:lang w:val="zh-CN" w:eastAsia="zh-CN"/>
        </w:rPr>
        <w:t>）玻璃门、地、屏上无污渍、无灰尘及手印，表面光亮色泽一致；办公室玻璃每一年清洗一次；地面无污渍、灰尘、水渍及鞋印，洁净光亮、无灰尘及手印，整洁光亮。</w:t>
      </w:r>
    </w:p>
    <w:p w14:paraId="7EF1DA85">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6</w:t>
      </w:r>
      <w:r>
        <w:rPr>
          <w:rFonts w:hint="eastAsia" w:ascii="宋体" w:hAnsi="宋体" w:eastAsia="宋体" w:cs="宋体"/>
          <w:sz w:val="24"/>
          <w:szCs w:val="24"/>
          <w:lang w:val="zh-CN" w:eastAsia="zh-CN"/>
        </w:rPr>
        <w:t>）负责食堂隔油池的定期清理，视情况每年清理</w:t>
      </w:r>
      <w:r>
        <w:rPr>
          <w:rFonts w:hint="eastAsia" w:ascii="宋体" w:hAnsi="宋体" w:eastAsia="宋体" w:cs="宋体"/>
          <w:sz w:val="24"/>
          <w:szCs w:val="24"/>
          <w:lang w:eastAsia="zh-CN"/>
        </w:rPr>
        <w:t>2—3次，确保隔油池畅通无阻。</w:t>
      </w:r>
    </w:p>
    <w:p w14:paraId="0FA2C749">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7</w:t>
      </w:r>
      <w:r>
        <w:rPr>
          <w:rFonts w:hint="eastAsia" w:ascii="宋体" w:hAnsi="宋体" w:eastAsia="宋体" w:cs="宋体"/>
          <w:sz w:val="24"/>
          <w:szCs w:val="24"/>
          <w:lang w:val="zh-CN" w:eastAsia="zh-CN"/>
        </w:rPr>
        <w:t>）负责无锡市公安局滨湖分局执法办案管理中心内宿舍床上用品棉制品的及时更换及清洗消毒工作。确保棉织品干净、整洁、无污渍、无破损。</w:t>
      </w:r>
    </w:p>
    <w:p w14:paraId="193EA497">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8</w:t>
      </w:r>
      <w:r>
        <w:rPr>
          <w:rFonts w:hint="eastAsia" w:ascii="宋体" w:hAnsi="宋体" w:eastAsia="宋体" w:cs="宋体"/>
          <w:sz w:val="24"/>
          <w:szCs w:val="24"/>
          <w:lang w:val="zh-CN" w:eastAsia="zh-CN"/>
        </w:rPr>
        <w:t>）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域、卫生间无堆积垃圾。</w:t>
      </w:r>
    </w:p>
    <w:p w14:paraId="776D489A">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9</w:t>
      </w:r>
      <w:r>
        <w:rPr>
          <w:rFonts w:hint="eastAsia" w:ascii="宋体" w:hAnsi="宋体" w:eastAsia="宋体" w:cs="宋体"/>
          <w:sz w:val="24"/>
          <w:szCs w:val="24"/>
          <w:lang w:val="zh-CN" w:eastAsia="zh-CN"/>
        </w:rPr>
        <w:t>）突发性事件造成的保洁工作。</w:t>
      </w:r>
    </w:p>
    <w:p w14:paraId="0AE02EFA">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zh-CN" w:eastAsia="zh-CN"/>
        </w:rPr>
        <w:t>、服务质量标准：</w:t>
      </w:r>
    </w:p>
    <w:p w14:paraId="0143904F">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围墙内的道路、停车场和门前“三包”及所有公共区域的地面，无有形垃圾和建筑垃圾、无堆积杂物、无积灰、无积水和淤泥、无阻塞等。做到每日清扫两次，公共区域循环保洁。</w:t>
      </w:r>
    </w:p>
    <w:p w14:paraId="732BF550">
      <w:pPr>
        <w:autoSpaceDE w:val="0"/>
        <w:autoSpaceDN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建立“四害”消杀工作管理制度，根据实际情况定期开展消杀工作，有效控制鼠、蟑、蝇、蚊等害虫滋生，定期对各类病虫害进行预防控制，适时投放消杀药物。</w:t>
      </w:r>
    </w:p>
    <w:p w14:paraId="3F40AC61">
      <w:pPr>
        <w:autoSpaceDE w:val="0"/>
        <w:autoSpaceDN w:val="0"/>
        <w:adjustRightInd w:val="0"/>
        <w:spacing w:line="360" w:lineRule="auto"/>
        <w:ind w:firstLine="480" w:firstLineChars="200"/>
        <w:rPr>
          <w:rFonts w:hint="eastAsia" w:ascii="宋体" w:hAnsi="宋体" w:eastAsia="宋体" w:cs="宋体"/>
          <w:b/>
          <w:snapToGrid w:val="0"/>
          <w:kern w:val="28"/>
          <w:sz w:val="24"/>
          <w:szCs w:val="24"/>
          <w:lang w:eastAsia="zh-CN"/>
        </w:rPr>
      </w:pPr>
      <w:r>
        <w:rPr>
          <w:rFonts w:hint="eastAsia" w:ascii="宋体" w:hAnsi="宋体" w:eastAsia="宋体" w:cs="宋体"/>
          <w:b/>
          <w:snapToGrid w:val="0"/>
          <w:kern w:val="28"/>
          <w:sz w:val="24"/>
          <w:szCs w:val="24"/>
          <w:lang w:eastAsia="zh-CN"/>
        </w:rPr>
        <w:t>（三） 绿化管理</w:t>
      </w:r>
    </w:p>
    <w:p w14:paraId="3F10C2D0">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1、服务内容：大楼使用范围内的绿化带的树木、花草等的日常养护和管理。根据大楼实际情况提出更好的设计方案。</w:t>
      </w:r>
    </w:p>
    <w:p w14:paraId="6472ED2F">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2、服务质量标准：建立定期除草、修剪制度，确保绿化无杂草、造型规整；及时喷洒农药、浇水施肥，保证所养护的绿化成活率在98％以上，大龄树木成活率100％。</w:t>
      </w:r>
    </w:p>
    <w:p w14:paraId="3D1F5E78">
      <w:pPr>
        <w:adjustRightInd w:val="0"/>
        <w:snapToGrid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具体要求如下：</w:t>
      </w:r>
    </w:p>
    <w:p w14:paraId="441C268B">
      <w:pPr>
        <w:pStyle w:val="2"/>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（1）室外绿化养护管理</w:t>
      </w:r>
    </w:p>
    <w:p w14:paraId="4F7789C0">
      <w:pPr>
        <w:pStyle w:val="2"/>
        <w:spacing w:after="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修剪：及时修去树木的病死枝和交叉枝等；草坪的修剪高度应适中；花灌木的修剪应针对不同树种的花期而定，形状要美观，每年不少于四次修剪。</w:t>
      </w:r>
    </w:p>
    <w:p w14:paraId="3374E9EB">
      <w:pPr>
        <w:pStyle w:val="2"/>
        <w:spacing w:after="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拔草：保持绿化区域内无杂草，杂草应连草根拔除，做到每季度拔草一次；草坪应及时修剪平整，一年不少于两次修剪。</w:t>
      </w:r>
    </w:p>
    <w:p w14:paraId="06FE2959">
      <w:pPr>
        <w:pStyle w:val="2"/>
        <w:spacing w:after="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浇水：夏秋季节要根据旱情，及时进行浇水，水压力要适中。室内盆栽绿植要科学浇水。</w:t>
      </w:r>
    </w:p>
    <w:p w14:paraId="57CEF7E3">
      <w:pPr>
        <w:pStyle w:val="2"/>
        <w:spacing w:after="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病虫防治：加强树木、草坪病虫害的预防和巡视检查工作，对草坪和树木病虫害的防治采用多种形式，如喷药、喷粉等。尤其是防止白蚁对树木的危害。用药时按有关规定配比药品浓度，科学养护，严禁估算用药量。确保除虫工作一年不少于两次。</w:t>
      </w:r>
    </w:p>
    <w:p w14:paraId="14FA3C6F">
      <w:pPr>
        <w:pStyle w:val="2"/>
        <w:spacing w:after="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施肥：对树木的施肥以施基肥为主，追肥为辅，时间主要集中在冬季，每年施肥至少两次。对草坪的施肥结合修剪、浇水进行，保证草坪修剪平整；草坪修剪后需加大养分，促其生长。</w:t>
      </w:r>
    </w:p>
    <w:p w14:paraId="66D19A1C">
      <w:pPr>
        <w:pStyle w:val="2"/>
        <w:numPr>
          <w:ilvl w:val="0"/>
          <w:numId w:val="6"/>
        </w:numPr>
        <w:spacing w:after="0" w:line="360" w:lineRule="auto"/>
        <w:ind w:firstLine="420"/>
        <w:rPr>
          <w:rFonts w:hint="eastAsia" w:ascii="宋体" w:hAnsi="宋体" w:eastAsia="宋体" w:cs="宋体"/>
          <w:sz w:val="24"/>
          <w:szCs w:val="24"/>
        </w:rPr>
      </w:pPr>
      <w:r>
        <w:rPr>
          <w:rFonts w:hint="eastAsia" w:ascii="宋体" w:hAnsi="宋体" w:eastAsia="宋体" w:cs="宋体"/>
          <w:sz w:val="24"/>
          <w:szCs w:val="24"/>
        </w:rPr>
        <w:t>室内盆栽</w:t>
      </w:r>
      <w:r>
        <w:rPr>
          <w:rFonts w:hint="eastAsia" w:ascii="宋体" w:hAnsi="宋体" w:eastAsia="宋体" w:cs="宋体"/>
          <w:sz w:val="24"/>
          <w:szCs w:val="24"/>
          <w:lang w:eastAsia="zh-CN"/>
        </w:rPr>
        <w:t>绿植</w:t>
      </w:r>
      <w:r>
        <w:rPr>
          <w:rFonts w:hint="eastAsia" w:ascii="宋体" w:hAnsi="宋体" w:eastAsia="宋体" w:cs="宋体"/>
          <w:sz w:val="24"/>
          <w:szCs w:val="24"/>
        </w:rPr>
        <w:t>的养护</w:t>
      </w:r>
    </w:p>
    <w:p w14:paraId="4D3C5CF0">
      <w:pPr>
        <w:pStyle w:val="2"/>
        <w:spacing w:after="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及时进行浇水，同时应保持叶面清洁，提高观赏效果。领导办公室绿摆及时巡查长势情况，发现植物枯死及时更换，确保室内绿摆100%存活率。</w:t>
      </w:r>
    </w:p>
    <w:p w14:paraId="19AE6B7B">
      <w:pPr>
        <w:pStyle w:val="2"/>
        <w:numPr>
          <w:ilvl w:val="0"/>
          <w:numId w:val="6"/>
        </w:numPr>
        <w:spacing w:after="0" w:line="360" w:lineRule="auto"/>
        <w:ind w:firstLine="420"/>
        <w:rPr>
          <w:rFonts w:hint="eastAsia" w:ascii="宋体" w:hAnsi="宋体" w:eastAsia="宋体" w:cs="宋体"/>
          <w:sz w:val="24"/>
          <w:szCs w:val="24"/>
        </w:rPr>
      </w:pPr>
      <w:r>
        <w:rPr>
          <w:rFonts w:hint="eastAsia" w:ascii="宋体" w:hAnsi="宋体" w:eastAsia="宋体" w:cs="宋体"/>
          <w:sz w:val="24"/>
          <w:szCs w:val="24"/>
        </w:rPr>
        <w:t>枯枝、杂物垃圾清运。</w:t>
      </w:r>
    </w:p>
    <w:p w14:paraId="5F04506D">
      <w:pPr>
        <w:pStyle w:val="2"/>
        <w:spacing w:after="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对于修理的树枝要及时清运至垃圾房。</w:t>
      </w:r>
    </w:p>
    <w:p w14:paraId="457366C4">
      <w:pPr>
        <w:spacing w:line="360" w:lineRule="auto"/>
        <w:ind w:firstLine="240" w:firstLineChars="100"/>
        <w:rPr>
          <w:rFonts w:hint="eastAsia" w:ascii="宋体" w:hAnsi="宋体" w:eastAsia="宋体" w:cs="宋体"/>
          <w:b/>
          <w:sz w:val="24"/>
          <w:szCs w:val="24"/>
        </w:rPr>
      </w:pPr>
      <w:r>
        <w:rPr>
          <w:rFonts w:hint="eastAsia" w:ascii="宋体" w:hAnsi="宋体" w:eastAsia="宋体" w:cs="宋体"/>
          <w:b/>
          <w:sz w:val="24"/>
          <w:szCs w:val="24"/>
        </w:rPr>
        <w:t>第二部分  有关说明</w:t>
      </w:r>
    </w:p>
    <w:p w14:paraId="6E97DECA">
      <w:pPr>
        <w:numPr>
          <w:ilvl w:val="1"/>
          <w:numId w:val="7"/>
        </w:numPr>
        <w:tabs>
          <w:tab w:val="left" w:pos="525"/>
          <w:tab w:val="left" w:pos="945"/>
          <w:tab w:val="clear" w:pos="780"/>
        </w:tabs>
        <w:spacing w:line="360" w:lineRule="auto"/>
        <w:ind w:left="0" w:firstLine="480"/>
        <w:rPr>
          <w:rFonts w:hint="eastAsia" w:ascii="宋体" w:hAnsi="宋体" w:eastAsia="宋体" w:cs="宋体"/>
          <w:bCs/>
          <w:sz w:val="24"/>
          <w:szCs w:val="24"/>
        </w:rPr>
      </w:pPr>
      <w:r>
        <w:rPr>
          <w:rFonts w:hint="eastAsia" w:ascii="宋体" w:hAnsi="宋体"/>
          <w:bCs/>
          <w:lang w:eastAsia="zh-CN"/>
        </w:rPr>
        <w:t>投标总报价包括满足本项目要求的所有产品及其配件、包装、运杂、安装调试、安装辅材及售后服务等从项目中标起到项目正式交付以及质保期内所发生的一切费用。</w:t>
      </w:r>
    </w:p>
    <w:p w14:paraId="3A270F64">
      <w:pPr>
        <w:numPr>
          <w:ilvl w:val="1"/>
          <w:numId w:val="7"/>
        </w:numPr>
        <w:tabs>
          <w:tab w:val="left" w:pos="525"/>
          <w:tab w:val="left" w:pos="945"/>
          <w:tab w:val="clear" w:pos="780"/>
        </w:tabs>
        <w:spacing w:line="360" w:lineRule="auto"/>
        <w:ind w:left="0" w:firstLine="480"/>
        <w:rPr>
          <w:rFonts w:hint="eastAsia" w:ascii="宋体" w:hAnsi="宋体" w:eastAsia="宋体" w:cs="宋体"/>
          <w:bCs/>
          <w:sz w:val="24"/>
          <w:szCs w:val="24"/>
        </w:rPr>
      </w:pPr>
      <w:r>
        <w:rPr>
          <w:rFonts w:hint="eastAsia" w:ascii="宋体" w:hAnsi="宋体" w:eastAsia="宋体" w:cs="宋体"/>
          <w:bCs/>
          <w:sz w:val="24"/>
          <w:szCs w:val="24"/>
        </w:rPr>
        <w:t>投标人必须在满足采购文件要求的基础上进行报价，如有服务偏离请于投标偏离表中说明。</w:t>
      </w:r>
    </w:p>
    <w:p w14:paraId="319D8C67">
      <w:pPr>
        <w:numPr>
          <w:ilvl w:val="1"/>
          <w:numId w:val="7"/>
        </w:numPr>
        <w:tabs>
          <w:tab w:val="left" w:pos="525"/>
          <w:tab w:val="left" w:pos="945"/>
          <w:tab w:val="clear" w:pos="780"/>
        </w:tabs>
        <w:spacing w:line="360" w:lineRule="auto"/>
        <w:ind w:left="0" w:firstLine="480"/>
        <w:rPr>
          <w:rFonts w:hint="eastAsia" w:ascii="宋体" w:hAnsi="宋体" w:eastAsia="宋体" w:cs="宋体"/>
          <w:bCs/>
          <w:sz w:val="24"/>
          <w:szCs w:val="24"/>
        </w:rPr>
      </w:pPr>
      <w:r>
        <w:rPr>
          <w:rFonts w:hint="eastAsia" w:ascii="宋体" w:hAnsi="宋体" w:eastAsia="宋体" w:cs="宋体"/>
          <w:bCs/>
          <w:sz w:val="24"/>
          <w:szCs w:val="24"/>
        </w:rPr>
        <w:t>服务期限：</w:t>
      </w:r>
      <w:r>
        <w:rPr>
          <w:rFonts w:hint="eastAsia" w:ascii="宋体" w:hAnsi="宋体" w:eastAsia="宋体" w:cs="宋体"/>
          <w:bCs/>
          <w:sz w:val="24"/>
          <w:szCs w:val="24"/>
          <w:lang w:eastAsia="zh-CN"/>
        </w:rPr>
        <w:t>12个月。</w:t>
      </w:r>
    </w:p>
    <w:p w14:paraId="7254F419">
      <w:pPr>
        <w:numPr>
          <w:ilvl w:val="1"/>
          <w:numId w:val="7"/>
        </w:numPr>
        <w:tabs>
          <w:tab w:val="left" w:pos="525"/>
          <w:tab w:val="left" w:pos="945"/>
          <w:tab w:val="clear" w:pos="780"/>
        </w:tabs>
        <w:spacing w:line="360" w:lineRule="auto"/>
        <w:ind w:left="0" w:firstLine="480"/>
        <w:rPr>
          <w:rFonts w:hint="eastAsia" w:ascii="宋体" w:hAnsi="宋体" w:eastAsia="宋体" w:cs="宋体"/>
          <w:sz w:val="24"/>
          <w:szCs w:val="24"/>
        </w:rPr>
      </w:pPr>
      <w:r>
        <w:rPr>
          <w:rFonts w:hint="eastAsia" w:ascii="宋体" w:hAnsi="宋体" w:eastAsia="宋体" w:cs="宋体"/>
          <w:bCs/>
          <w:sz w:val="24"/>
          <w:szCs w:val="24"/>
          <w:lang w:eastAsia="zh-CN"/>
        </w:rPr>
        <w:t>服务标准：满足采购人要求。</w:t>
      </w:r>
    </w:p>
    <w:p w14:paraId="59167287">
      <w:pPr>
        <w:numPr>
          <w:ilvl w:val="1"/>
          <w:numId w:val="7"/>
        </w:numPr>
        <w:tabs>
          <w:tab w:val="left" w:pos="525"/>
          <w:tab w:val="left" w:pos="945"/>
          <w:tab w:val="clear" w:pos="780"/>
        </w:tabs>
        <w:spacing w:line="360" w:lineRule="auto"/>
        <w:ind w:left="0" w:firstLine="480"/>
        <w:rPr>
          <w:rFonts w:hint="eastAsia" w:ascii="宋体" w:hAnsi="宋体" w:eastAsia="宋体" w:cs="宋体"/>
          <w:sz w:val="24"/>
          <w:szCs w:val="24"/>
        </w:rPr>
      </w:pPr>
      <w:r>
        <w:rPr>
          <w:rFonts w:hint="eastAsia" w:ascii="宋体" w:hAnsi="宋体" w:eastAsia="宋体" w:cs="宋体"/>
          <w:bCs/>
          <w:sz w:val="24"/>
          <w:szCs w:val="24"/>
          <w:lang w:eastAsia="zh-CN"/>
        </w:rPr>
        <w:t>本项目合同履行地点：无锡市公安局滨湖分局指定地点。</w:t>
      </w:r>
    </w:p>
    <w:p w14:paraId="50CEFBE9">
      <w:pPr>
        <w:numPr>
          <w:ilvl w:val="1"/>
          <w:numId w:val="7"/>
        </w:numPr>
        <w:tabs>
          <w:tab w:val="left" w:pos="525"/>
          <w:tab w:val="left" w:pos="630"/>
          <w:tab w:val="left" w:pos="735"/>
          <w:tab w:val="left" w:pos="945"/>
          <w:tab w:val="clear" w:pos="780"/>
        </w:tabs>
        <w:spacing w:line="360" w:lineRule="auto"/>
        <w:ind w:left="0" w:firstLine="480"/>
        <w:rPr>
          <w:rFonts w:hint="eastAsia" w:ascii="宋体" w:hAnsi="宋体" w:eastAsia="宋体" w:cs="宋体"/>
          <w:b/>
          <w:sz w:val="24"/>
          <w:szCs w:val="24"/>
        </w:rPr>
      </w:pPr>
      <w:r>
        <w:rPr>
          <w:rFonts w:hint="eastAsia" w:ascii="宋体" w:hAnsi="宋体" w:eastAsia="宋体" w:cs="宋体"/>
          <w:b/>
          <w:sz w:val="24"/>
          <w:szCs w:val="24"/>
        </w:rPr>
        <w:t>付款方式：</w:t>
      </w:r>
      <w:r>
        <w:rPr>
          <w:rFonts w:hint="eastAsia" w:ascii="宋体" w:hAnsi="宋体" w:eastAsia="宋体" w:cs="宋体"/>
          <w:b/>
          <w:bCs/>
          <w:sz w:val="24"/>
          <w:szCs w:val="24"/>
          <w:lang w:eastAsia="zh-CN"/>
        </w:rPr>
        <w:t>每季度支付一次，每完成当季度工作后在次季度第一个月10号前提供考核表，甲方凭乙方开具的正式发票支付上季度服务费用。</w:t>
      </w:r>
    </w:p>
    <w:p w14:paraId="51065543">
      <w:pPr>
        <w:numPr>
          <w:ilvl w:val="1"/>
          <w:numId w:val="7"/>
        </w:numPr>
        <w:tabs>
          <w:tab w:val="left" w:pos="525"/>
          <w:tab w:val="left" w:pos="630"/>
          <w:tab w:val="left" w:pos="735"/>
          <w:tab w:val="left" w:pos="945"/>
          <w:tab w:val="clear" w:pos="780"/>
        </w:tabs>
        <w:spacing w:line="360" w:lineRule="auto"/>
        <w:ind w:left="0" w:firstLine="480"/>
        <w:rPr>
          <w:rFonts w:hint="eastAsia" w:ascii="宋体" w:hAnsi="宋体" w:eastAsia="宋体" w:cs="宋体"/>
          <w:bCs/>
          <w:sz w:val="24"/>
          <w:szCs w:val="24"/>
        </w:rPr>
      </w:pPr>
      <w:r>
        <w:rPr>
          <w:rFonts w:hint="eastAsia" w:ascii="宋体" w:hAnsi="宋体" w:eastAsia="宋体" w:cs="宋体"/>
          <w:bCs/>
          <w:sz w:val="24"/>
          <w:szCs w:val="24"/>
        </w:rPr>
        <w:t>中标供应商为残疾人福利性单位的，其《残疾人福利性单位声明函》将随中标公告同时发布，接受社会监督。投标人提供的《残疾人福利性单位声明函》与事实不符的，依照《中华人民共和国政府采购法》第七十七条第一款的规定追究法律责任。</w:t>
      </w:r>
    </w:p>
    <w:p w14:paraId="4AF4E659">
      <w:pPr>
        <w:numPr>
          <w:ilvl w:val="1"/>
          <w:numId w:val="7"/>
        </w:numPr>
        <w:tabs>
          <w:tab w:val="left" w:pos="525"/>
          <w:tab w:val="left" w:pos="630"/>
          <w:tab w:val="left" w:pos="735"/>
          <w:tab w:val="left" w:pos="945"/>
          <w:tab w:val="clear" w:pos="780"/>
        </w:tabs>
        <w:spacing w:line="360" w:lineRule="auto"/>
        <w:ind w:left="0" w:firstLine="480"/>
        <w:rPr>
          <w:rFonts w:hint="eastAsia" w:ascii="宋体" w:hAnsi="宋体" w:eastAsia="宋体" w:cs="宋体"/>
          <w:bCs/>
          <w:sz w:val="24"/>
          <w:szCs w:val="24"/>
        </w:rPr>
      </w:pPr>
      <w:r>
        <w:rPr>
          <w:rFonts w:hint="eastAsia" w:ascii="宋体" w:hAnsi="宋体" w:eastAsia="宋体" w:cs="宋体"/>
          <w:bCs/>
          <w:sz w:val="24"/>
          <w:szCs w:val="24"/>
        </w:rPr>
        <w:t>依据《政府采购促进中小企业发展管理办法》规定享受扶持政策获得政府采购合同的，小微企业不得将合同分包给大中型企业，中型企业不得将合同分包给大型企业。</w:t>
      </w:r>
    </w:p>
    <w:p w14:paraId="673CE498">
      <w:pPr>
        <w:numPr>
          <w:ilvl w:val="1"/>
          <w:numId w:val="7"/>
        </w:numPr>
        <w:tabs>
          <w:tab w:val="left" w:pos="525"/>
          <w:tab w:val="left" w:pos="630"/>
          <w:tab w:val="left" w:pos="735"/>
          <w:tab w:val="left" w:pos="945"/>
          <w:tab w:val="clear" w:pos="780"/>
        </w:tabs>
        <w:spacing w:line="360" w:lineRule="auto"/>
        <w:ind w:left="0" w:firstLine="480"/>
        <w:rPr>
          <w:rFonts w:hint="eastAsia" w:ascii="宋体" w:hAnsi="宋体" w:eastAsia="宋体" w:cs="宋体"/>
          <w:bCs/>
          <w:sz w:val="24"/>
          <w:szCs w:val="24"/>
        </w:rPr>
      </w:pPr>
      <w:r>
        <w:rPr>
          <w:rFonts w:hint="eastAsia" w:ascii="宋体" w:hAnsi="宋体" w:eastAsia="宋体" w:cs="宋体"/>
          <w:bCs/>
          <w:sz w:val="24"/>
          <w:szCs w:val="24"/>
        </w:rPr>
        <w:t>开标后，投标人须自行准备设备（包括但不限于笔记本电脑、无线网络）登录“苏采云”系统，按招标文件规定时间解密后，在评标过程中保持在线，等待评标委员会的询标和评标结果，中途不得离开。如未按要求应答，由此所产生的损失及风险由投标人自行承担。</w:t>
      </w:r>
    </w:p>
    <w:p w14:paraId="17B97603">
      <w:pPr>
        <w:tabs>
          <w:tab w:val="left" w:pos="525"/>
          <w:tab w:val="left" w:pos="630"/>
          <w:tab w:val="left" w:pos="735"/>
          <w:tab w:val="left" w:pos="945"/>
        </w:tabs>
        <w:spacing w:line="360" w:lineRule="auto"/>
        <w:ind w:left="525"/>
        <w:rPr>
          <w:rFonts w:ascii="宋体"/>
          <w:bCs/>
          <w:sz w:val="24"/>
          <w:szCs w:val="24"/>
        </w:rPr>
      </w:pPr>
    </w:p>
    <w:p w14:paraId="14665C5F">
      <w:pPr>
        <w:tabs>
          <w:tab w:val="left" w:pos="525"/>
          <w:tab w:val="left" w:pos="630"/>
          <w:tab w:val="left" w:pos="735"/>
          <w:tab w:val="left" w:pos="945"/>
        </w:tabs>
        <w:spacing w:line="360" w:lineRule="auto"/>
        <w:ind w:firstLine="480"/>
        <w:rPr>
          <w:rFonts w:ascii="宋体" w:hAnsi="宋体"/>
          <w:b/>
          <w:bCs/>
          <w:sz w:val="30"/>
          <w:szCs w:val="30"/>
        </w:rPr>
      </w:pPr>
      <w:r>
        <w:rPr>
          <w:rFonts w:hint="eastAsia" w:ascii="宋体" w:hAnsi="宋体"/>
          <w:bCs/>
          <w:sz w:val="24"/>
        </w:rPr>
        <w:br w:type="page" w:clear="all"/>
      </w:r>
      <w:r>
        <w:rPr>
          <w:rFonts w:hint="eastAsia" w:ascii="宋体" w:hAnsi="宋体"/>
          <w:b/>
          <w:sz w:val="30"/>
          <w:szCs w:val="30"/>
        </w:rPr>
        <w:t>第三部分  政府采购政策（包括但不限于下列具体政策要求）</w:t>
      </w:r>
    </w:p>
    <w:p w14:paraId="77930100">
      <w:pPr>
        <w:numPr>
          <w:ilvl w:val="1"/>
          <w:numId w:val="8"/>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本项目中如有涉及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14:paraId="73BD1A71">
      <w:pPr>
        <w:numPr>
          <w:ilvl w:val="1"/>
          <w:numId w:val="8"/>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w:t>
      </w:r>
    </w:p>
    <w:p w14:paraId="7AFA6032">
      <w:pPr>
        <w:tabs>
          <w:tab w:val="left" w:pos="525"/>
          <w:tab w:val="left" w:pos="630"/>
          <w:tab w:val="left" w:pos="735"/>
          <w:tab w:val="left" w:pos="945"/>
          <w:tab w:val="left" w:pos="1080"/>
        </w:tabs>
        <w:spacing w:line="360" w:lineRule="auto"/>
        <w:ind w:firstLine="480"/>
        <w:rPr>
          <w:rFonts w:ascii="宋体"/>
          <w:bCs/>
          <w:sz w:val="24"/>
          <w:szCs w:val="24"/>
        </w:rPr>
      </w:pPr>
      <w:r>
        <w:rPr>
          <w:rFonts w:hint="eastAsia" w:ascii="宋体"/>
          <w:bCs/>
          <w:sz w:val="24"/>
          <w:szCs w:val="24"/>
        </w:rPr>
        <w:t>采购产品属于《节能产品政府采购品目清单》《环境标志产品政府采购品目清单》范围的，依据国家确定的认证机构出具的、处于有效期之内的节能、环境标志产品认证证书，对获得证书的产品依据品目清单和认证证书实施政府优先采购和强制采购。</w:t>
      </w:r>
    </w:p>
    <w:p w14:paraId="65C5991D">
      <w:pPr>
        <w:tabs>
          <w:tab w:val="left" w:pos="525"/>
          <w:tab w:val="left" w:pos="630"/>
          <w:tab w:val="left" w:pos="735"/>
          <w:tab w:val="left" w:pos="945"/>
          <w:tab w:val="left" w:pos="1080"/>
        </w:tabs>
        <w:spacing w:line="360" w:lineRule="auto"/>
        <w:ind w:firstLine="480"/>
        <w:rPr>
          <w:rFonts w:ascii="宋体"/>
          <w:bCs/>
          <w:sz w:val="24"/>
          <w:szCs w:val="24"/>
        </w:rPr>
      </w:pPr>
      <w:r>
        <w:rPr>
          <w:rFonts w:hint="eastAsia" w:ascii="宋体"/>
          <w:bCs/>
          <w:sz w:val="24"/>
          <w:szCs w:val="24"/>
        </w:rPr>
        <w:t>认证机构详见市场监管总局发布的《参与实施政府采购节能产品认证机构名录》和《参与实施政府采购环境标志产品认证机构名录》。</w:t>
      </w:r>
    </w:p>
    <w:p w14:paraId="3E92FFDB">
      <w:pPr>
        <w:numPr>
          <w:ilvl w:val="1"/>
          <w:numId w:val="8"/>
        </w:numPr>
        <w:tabs>
          <w:tab w:val="left" w:pos="525"/>
          <w:tab w:val="left" w:pos="945"/>
          <w:tab w:val="clear" w:pos="780"/>
        </w:tabs>
        <w:spacing w:line="360" w:lineRule="auto"/>
        <w:ind w:left="0" w:firstLine="525"/>
        <w:rPr>
          <w:rFonts w:ascii="宋体"/>
          <w:bCs/>
          <w:sz w:val="24"/>
          <w:szCs w:val="24"/>
        </w:rPr>
      </w:pPr>
      <w:r>
        <w:rPr>
          <w:rFonts w:hint="eastAsia"/>
          <w:sz w:val="24"/>
          <w:szCs w:val="24"/>
        </w:rPr>
        <w:t>本项目中如有涉及采购数据中心相关设备、运维服务的，应当</w:t>
      </w:r>
      <w:r>
        <w:rPr>
          <w:rFonts w:hint="eastAsia"/>
          <w:sz w:val="24"/>
          <w:szCs w:val="24"/>
          <w:lang w:eastAsia="zh-CN"/>
        </w:rPr>
        <w:t>按照</w:t>
      </w:r>
      <w:r>
        <w:rPr>
          <w:rFonts w:hint="eastAsia"/>
          <w:sz w:val="24"/>
          <w:szCs w:val="24"/>
        </w:rPr>
        <w:t>《关于印发〈绿色数据中心政府采购需求标准（试行）〉的通知》（财办库〔2023〕7号）文件执行。招标（采购）文件中涉及数据中心相关设备、运维服务的，采购人均以《绿色数据中心政府采购需求标准（试行）》提出的指标、标准为准。在政府采购合同中，采购人应明确对相关指标的验收方式和违约责任，供应商应按合同约定提供设备或服务。</w:t>
      </w:r>
    </w:p>
    <w:p w14:paraId="154CDA35">
      <w:pPr>
        <w:numPr>
          <w:ilvl w:val="1"/>
          <w:numId w:val="8"/>
        </w:numPr>
        <w:tabs>
          <w:tab w:val="left" w:pos="525"/>
          <w:tab w:val="left" w:pos="945"/>
          <w:tab w:val="clear" w:pos="780"/>
        </w:tabs>
        <w:spacing w:line="360" w:lineRule="auto"/>
        <w:ind w:left="0" w:firstLine="525"/>
        <w:rPr>
          <w:rFonts w:ascii="宋体" w:hAnsi="宋体" w:cs="宋体"/>
          <w:sz w:val="24"/>
          <w:szCs w:val="24"/>
        </w:rPr>
      </w:pPr>
      <w:r>
        <w:rPr>
          <w:rFonts w:hint="eastAsia" w:ascii="宋体"/>
          <w:bCs/>
          <w:sz w:val="24"/>
          <w:szCs w:val="24"/>
        </w:rPr>
        <w:t>有关中小企业政策，如</w:t>
      </w:r>
      <w:r>
        <w:rPr>
          <w:rFonts w:hint="eastAsia" w:ascii="宋体" w:hAnsi="宋体"/>
          <w:sz w:val="24"/>
          <w:szCs w:val="24"/>
        </w:rPr>
        <w:t>落实政府采购政策需满足的资格要求以及落实政府采购政策的价格调整的相关内容可详见本文件其他章节。</w:t>
      </w:r>
    </w:p>
    <w:p w14:paraId="7DC3E27F">
      <w:pPr>
        <w:numPr>
          <w:ilvl w:val="1"/>
          <w:numId w:val="8"/>
        </w:numPr>
        <w:tabs>
          <w:tab w:val="left" w:pos="525"/>
          <w:tab w:val="left" w:pos="945"/>
          <w:tab w:val="clear" w:pos="780"/>
        </w:tabs>
        <w:spacing w:line="360" w:lineRule="auto"/>
        <w:ind w:left="0" w:firstLine="525"/>
        <w:rPr>
          <w:rFonts w:ascii="宋体" w:hAnsi="宋体" w:cs="宋体"/>
          <w:sz w:val="24"/>
          <w:szCs w:val="24"/>
        </w:rPr>
      </w:pPr>
      <w:r>
        <w:rPr>
          <w:rFonts w:hint="eastAsia" w:ascii="宋体"/>
          <w:bCs/>
          <w:sz w:val="24"/>
          <w:szCs w:val="24"/>
        </w:rPr>
        <w:t>中标、成交供应商可采用合同融资形式，中标人可凭政府采购合同办理融资贷款，详见政府采购网“政采贷”专栏。</w:t>
      </w:r>
    </w:p>
    <w:p w14:paraId="1A37484E">
      <w:pPr>
        <w:numPr>
          <w:ilvl w:val="1"/>
          <w:numId w:val="8"/>
        </w:numPr>
        <w:tabs>
          <w:tab w:val="left" w:pos="525"/>
          <w:tab w:val="left" w:pos="945"/>
          <w:tab w:val="clear" w:pos="780"/>
        </w:tabs>
        <w:spacing w:line="360" w:lineRule="auto"/>
        <w:ind w:left="0" w:firstLine="525"/>
        <w:rPr>
          <w:rFonts w:ascii="宋体" w:hAnsi="宋体" w:cs="宋体"/>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w:t>
      </w:r>
    </w:p>
    <w:p w14:paraId="4156E1DC">
      <w:pPr>
        <w:tabs>
          <w:tab w:val="left" w:pos="525"/>
          <w:tab w:val="left" w:pos="630"/>
          <w:tab w:val="left" w:pos="735"/>
          <w:tab w:val="left" w:pos="945"/>
          <w:tab w:val="left" w:pos="1080"/>
        </w:tabs>
        <w:spacing w:line="360" w:lineRule="auto"/>
        <w:ind w:firstLine="480"/>
        <w:rPr>
          <w:rFonts w:ascii="宋体"/>
          <w:bCs/>
          <w:sz w:val="24"/>
          <w:szCs w:val="24"/>
        </w:rPr>
      </w:pPr>
      <w:r>
        <w:rPr>
          <w:rFonts w:hint="eastAsia" w:ascii="宋体"/>
          <w:bCs/>
          <w:sz w:val="24"/>
          <w:szCs w:val="24"/>
        </w:rPr>
        <w:t>中标、成交供应商可以采用电子履约保函形式，具体操作可登录江苏政府采购网的保险保函模块进行办理。</w:t>
      </w:r>
    </w:p>
    <w:p w14:paraId="30C9AC3F">
      <w:pPr>
        <w:numPr>
          <w:ilvl w:val="1"/>
          <w:numId w:val="8"/>
        </w:numPr>
        <w:tabs>
          <w:tab w:val="left" w:pos="525"/>
          <w:tab w:val="left" w:pos="945"/>
          <w:tab w:val="clear" w:pos="780"/>
        </w:tabs>
        <w:spacing w:line="360" w:lineRule="auto"/>
        <w:ind w:left="0" w:firstLine="480"/>
        <w:rPr>
          <w:rFonts w:ascii="宋体"/>
          <w:bCs/>
          <w:sz w:val="24"/>
          <w:szCs w:val="24"/>
        </w:rPr>
      </w:pPr>
      <w:r>
        <w:rPr>
          <w:rFonts w:hint="eastAsia" w:ascii="宋体" w:hAnsi="宋体" w:cs="宋体"/>
          <w:sz w:val="24"/>
          <w:szCs w:val="24"/>
        </w:rPr>
        <w:t>本项目中如有涉及数据库、操作系统、通用服务器、工作站、一体式计算机、便携式计算机、台式计算机等七种软硬件的，投标人不得违反财政部、工信部共同发布数据库、操作系统、通用服务器、工作站、一体式计算机、便携式计算机、台式计算机等七种软硬件的需求标准。《需求标准》详见财库〔2023〕29号、30号、31号、32号、33号、34号、35号。在满足《需求标准》的前提下，如招标文件中有其他要求的，投标人应满足招标文件要求。</w:t>
      </w:r>
      <w:r>
        <w:rPr>
          <w:rFonts w:hint="eastAsia" w:ascii="宋体"/>
          <w:bCs/>
          <w:sz w:val="24"/>
          <w:szCs w:val="24"/>
        </w:rPr>
        <w:t>采购人可在合同中约定，</w:t>
      </w:r>
      <w:r>
        <w:rPr>
          <w:rFonts w:hint="eastAsia" w:ascii="宋体" w:hAnsi="宋体" w:cs="宋体"/>
          <w:sz w:val="24"/>
          <w:szCs w:val="24"/>
        </w:rPr>
        <w:t>在</w:t>
      </w:r>
      <w:r>
        <w:rPr>
          <w:rFonts w:hint="eastAsia" w:ascii="宋体"/>
          <w:bCs/>
          <w:sz w:val="24"/>
          <w:szCs w:val="24"/>
        </w:rPr>
        <w:t>履约验收管理时，可对所提供的七种软硬件进行验收，必要时可以委托依法取得检测、认证资质的机构进行检测、认证。</w:t>
      </w:r>
    </w:p>
    <w:p w14:paraId="202DCF1E">
      <w:pPr>
        <w:numPr>
          <w:ilvl w:val="1"/>
          <w:numId w:val="8"/>
        </w:numPr>
        <w:tabs>
          <w:tab w:val="left" w:pos="525"/>
          <w:tab w:val="left" w:pos="945"/>
          <w:tab w:val="clear" w:pos="780"/>
        </w:tabs>
        <w:spacing w:line="360" w:lineRule="auto"/>
        <w:ind w:left="0" w:firstLine="480"/>
        <w:rPr>
          <w:rFonts w:ascii="宋体"/>
          <w:bCs/>
          <w:sz w:val="24"/>
          <w:szCs w:val="24"/>
        </w:rPr>
      </w:pPr>
      <w:r>
        <w:rPr>
          <w:rFonts w:hint="eastAsia" w:ascii="宋体"/>
          <w:bCs/>
          <w:sz w:val="24"/>
          <w:szCs w:val="24"/>
        </w:rPr>
        <w:t>根据苏财办购〔2024〕1号相关要求，采购人应当严格按照政府采购法有关规定，在中标、成交通知书发出之日起30日内，按照采购文件确定的事项与中标、成交供应商签订政府采购合同。采购人因不可抗力原因迟延签订合同的，应当自不可抗力事由消除之日起7日内完成合同签订事宜。</w:t>
      </w:r>
    </w:p>
    <w:p w14:paraId="36D58FE6">
      <w:pPr>
        <w:tabs>
          <w:tab w:val="left" w:pos="525"/>
          <w:tab w:val="left" w:pos="630"/>
          <w:tab w:val="left" w:pos="735"/>
          <w:tab w:val="left" w:pos="945"/>
          <w:tab w:val="left" w:pos="1080"/>
        </w:tabs>
        <w:spacing w:line="360" w:lineRule="auto"/>
        <w:ind w:firstLine="480"/>
        <w:rPr>
          <w:rFonts w:ascii="宋体"/>
          <w:bCs/>
          <w:sz w:val="24"/>
          <w:szCs w:val="24"/>
        </w:rPr>
      </w:pPr>
      <w:r>
        <w:rPr>
          <w:rFonts w:hint="eastAsia" w:ascii="宋体"/>
          <w:bCs/>
          <w:sz w:val="24"/>
          <w:szCs w:val="24"/>
        </w:rPr>
        <w:t>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p w14:paraId="4E98A516">
      <w:pPr>
        <w:tabs>
          <w:tab w:val="left" w:pos="525"/>
          <w:tab w:val="left" w:pos="630"/>
          <w:tab w:val="left" w:pos="735"/>
          <w:tab w:val="left" w:pos="945"/>
          <w:tab w:val="left" w:pos="1080"/>
        </w:tabs>
        <w:spacing w:line="360" w:lineRule="auto"/>
        <w:ind w:firstLine="480"/>
        <w:rPr>
          <w:rFonts w:ascii="宋体"/>
          <w:bCs/>
          <w:sz w:val="24"/>
          <w:szCs w:val="24"/>
        </w:rPr>
      </w:pPr>
      <w:r>
        <w:rPr>
          <w:rFonts w:hint="eastAsia" w:ascii="宋体"/>
          <w:bCs/>
          <w:sz w:val="24"/>
          <w:szCs w:val="24"/>
        </w:rPr>
        <w:t>采购人原则上应当自收到发票后10个工作日内将资金支付到合同约定的供应商账户。</w:t>
      </w:r>
    </w:p>
    <w:p w14:paraId="35D88582">
      <w:pPr>
        <w:tabs>
          <w:tab w:val="left" w:pos="525"/>
          <w:tab w:val="left" w:pos="630"/>
          <w:tab w:val="left" w:pos="735"/>
          <w:tab w:val="left" w:pos="945"/>
          <w:tab w:val="left" w:pos="1080"/>
        </w:tabs>
        <w:spacing w:line="360" w:lineRule="auto"/>
        <w:ind w:firstLine="480"/>
        <w:jc w:val="center"/>
        <w:rPr>
          <w:rFonts w:ascii="黑体" w:hAnsi="黑体" w:eastAsia="黑体"/>
          <w:bCs/>
          <w:sz w:val="36"/>
          <w:szCs w:val="36"/>
        </w:rPr>
      </w:pPr>
      <w:r>
        <w:rPr>
          <w:rFonts w:ascii="宋体"/>
          <w:bCs/>
          <w:sz w:val="24"/>
          <w:szCs w:val="24"/>
        </w:rPr>
        <w:br w:type="page" w:clear="all"/>
      </w:r>
      <w:bookmarkStart w:id="147" w:name="_Toc120614281"/>
      <w:r>
        <w:rPr>
          <w:rFonts w:hint="eastAsia" w:ascii="黑体" w:hAnsi="黑体" w:eastAsia="黑体"/>
          <w:bCs/>
          <w:sz w:val="36"/>
          <w:szCs w:val="36"/>
        </w:rPr>
        <w:t xml:space="preserve">第五章  </w:t>
      </w:r>
      <w:r>
        <w:rPr>
          <w:rFonts w:hint="eastAsia" w:ascii="黑体" w:hAnsi="黑体" w:eastAsia="黑体"/>
          <w:b/>
          <w:bCs/>
          <w:sz w:val="36"/>
          <w:szCs w:val="36"/>
        </w:rPr>
        <w:t>评标方法与评标标准</w:t>
      </w:r>
    </w:p>
    <w:p w14:paraId="1139C1CB">
      <w:pPr>
        <w:pStyle w:val="388"/>
        <w:spacing w:before="0" w:after="0" w:line="500" w:lineRule="exact"/>
        <w:ind w:firstLine="602"/>
        <w:rPr>
          <w:rFonts w:cs="Arial"/>
          <w:b/>
          <w:sz w:val="30"/>
          <w:szCs w:val="30"/>
        </w:rPr>
      </w:pPr>
      <w:r>
        <w:rPr>
          <w:rFonts w:hint="eastAsia" w:cs="Arial"/>
          <w:b/>
          <w:sz w:val="30"/>
          <w:szCs w:val="30"/>
        </w:rPr>
        <w:t>第一部分评标方法</w:t>
      </w:r>
    </w:p>
    <w:p w14:paraId="3091061E">
      <w:pPr>
        <w:pStyle w:val="388"/>
        <w:spacing w:before="0" w:after="0" w:line="500" w:lineRule="exact"/>
        <w:rPr>
          <w:rFonts w:cs="Arial"/>
        </w:rPr>
      </w:pPr>
      <w:r>
        <w:rPr>
          <w:rFonts w:hint="eastAsia" w:cs="Arial"/>
        </w:rPr>
        <w:t>投标人通过初审的，方可进入比较与评价程序。</w:t>
      </w:r>
    </w:p>
    <w:p w14:paraId="0AC3706A">
      <w:pPr>
        <w:pStyle w:val="388"/>
        <w:spacing w:before="0" w:after="0" w:line="500" w:lineRule="exact"/>
        <w:rPr>
          <w:rFonts w:cs="Arial"/>
        </w:rPr>
      </w:pPr>
      <w:r>
        <w:rPr>
          <w:rFonts w:hint="eastAsia" w:cs="Arial"/>
        </w:rPr>
        <w:t>比较与评价采用综合评分法。</w:t>
      </w:r>
    </w:p>
    <w:p w14:paraId="034F5CA2">
      <w:pPr>
        <w:pStyle w:val="388"/>
        <w:spacing w:before="0" w:after="0" w:line="500" w:lineRule="exact"/>
        <w:rPr>
          <w:rStyle w:val="382"/>
          <w:rFonts w:ascii="Times New Roman" w:hAnsi="Times New Roman"/>
        </w:rPr>
      </w:pPr>
      <w:r>
        <w:rPr>
          <w:rFonts w:hint="eastAsia" w:ascii="宋体" w:hAnsi="宋体"/>
          <w:bCs/>
        </w:rPr>
        <w:t>评标委员会遵循公平、公正、择优原则，独立按照评标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以此类推，按排名先后顺序选取3名中标候选人。</w:t>
      </w:r>
    </w:p>
    <w:p w14:paraId="11F6C766">
      <w:pPr>
        <w:pStyle w:val="388"/>
        <w:spacing w:before="0" w:after="0" w:line="500" w:lineRule="exact"/>
        <w:rPr>
          <w:rFonts w:cs="Arial"/>
          <w:shd w:val="clear" w:color="FFFFFF" w:fill="D9D9D9"/>
        </w:rPr>
      </w:pPr>
      <w:r>
        <w:rPr>
          <w:rFonts w:hint="eastAsia" w:ascii="宋体" w:hAnsi="宋体"/>
          <w:bCs/>
        </w:rPr>
        <w:t>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14:paraId="5E4EFCF2">
      <w:pPr>
        <w:widowControl/>
        <w:jc w:val="left"/>
        <w:rPr>
          <w:rFonts w:ascii="Arial" w:hAnsi="Arial" w:eastAsia="宋体" w:cs="Arial"/>
          <w:b/>
          <w:kern w:val="0"/>
          <w:sz w:val="30"/>
          <w:szCs w:val="30"/>
        </w:rPr>
      </w:pPr>
      <w:r>
        <w:rPr>
          <w:rFonts w:cs="Arial"/>
          <w:b/>
          <w:sz w:val="30"/>
          <w:szCs w:val="30"/>
        </w:rPr>
        <w:br w:type="page"/>
      </w:r>
    </w:p>
    <w:p w14:paraId="799FC9F0">
      <w:pPr>
        <w:pStyle w:val="388"/>
        <w:spacing w:before="0" w:after="0" w:line="500" w:lineRule="exact"/>
        <w:ind w:firstLine="600" w:firstLineChars="200"/>
        <w:rPr>
          <w:rFonts w:cs="Arial"/>
          <w:b/>
          <w:sz w:val="30"/>
          <w:szCs w:val="30"/>
        </w:rPr>
      </w:pPr>
      <w:r>
        <w:rPr>
          <w:rFonts w:hint="eastAsia" w:cs="Arial"/>
          <w:b/>
          <w:sz w:val="30"/>
          <w:szCs w:val="30"/>
        </w:rPr>
        <w:t>第二部分评标标准</w:t>
      </w:r>
    </w:p>
    <w:p w14:paraId="647EA7E3">
      <w:pPr>
        <w:pStyle w:val="388"/>
        <w:spacing w:before="0" w:after="0" w:line="500" w:lineRule="exact"/>
        <w:ind w:firstLine="562"/>
        <w:rPr>
          <w:rFonts w:ascii="宋体" w:hAnsi="宋体"/>
          <w:b/>
          <w:sz w:val="28"/>
          <w:szCs w:val="28"/>
        </w:rPr>
      </w:pPr>
      <w:r>
        <w:rPr>
          <w:rFonts w:hint="eastAsia" w:ascii="宋体" w:hAnsi="宋体"/>
          <w:b/>
          <w:sz w:val="28"/>
          <w:szCs w:val="28"/>
        </w:rPr>
        <w:t>一、落实政府采购政策的价格调整</w:t>
      </w:r>
    </w:p>
    <w:p w14:paraId="7E69D7D0">
      <w:pPr>
        <w:spacing w:line="500" w:lineRule="exact"/>
        <w:ind w:firstLine="482"/>
        <w:jc w:val="left"/>
        <w:rPr>
          <w:rFonts w:ascii="宋体" w:hAnsi="宋体"/>
          <w:b/>
          <w:bCs/>
          <w:sz w:val="24"/>
          <w:szCs w:val="24"/>
        </w:rPr>
      </w:pPr>
      <w:r>
        <w:rPr>
          <w:rFonts w:hint="eastAsia" w:ascii="宋体" w:hAnsi="宋体"/>
          <w:b/>
          <w:bCs/>
          <w:sz w:val="24"/>
          <w:szCs w:val="24"/>
        </w:rPr>
        <w:t>小微型企业价格扣除：专门面向中小/小微企业的项目不做价格扣除。</w:t>
      </w:r>
    </w:p>
    <w:p w14:paraId="042F82F1">
      <w:pPr>
        <w:spacing w:line="500" w:lineRule="exact"/>
        <w:ind w:firstLine="480"/>
        <w:jc w:val="left"/>
        <w:rPr>
          <w:rFonts w:ascii="宋体" w:hAnsi="宋体"/>
          <w:bCs/>
          <w:sz w:val="24"/>
          <w:szCs w:val="24"/>
        </w:rPr>
      </w:pPr>
      <w:r>
        <w:rPr>
          <w:rFonts w:hint="eastAsia" w:ascii="宋体" w:hAnsi="宋体"/>
          <w:bCs/>
          <w:sz w:val="24"/>
          <w:szCs w:val="24"/>
        </w:rPr>
        <w:t>1.对小型和微型企业产品的价格给予10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14:paraId="30616E30">
      <w:pPr>
        <w:spacing w:line="500" w:lineRule="exact"/>
        <w:ind w:firstLine="480"/>
        <w:jc w:val="left"/>
        <w:rPr>
          <w:rFonts w:ascii="宋体" w:hAnsi="宋体"/>
          <w:bCs/>
          <w:sz w:val="24"/>
          <w:szCs w:val="24"/>
        </w:rPr>
      </w:pPr>
      <w:r>
        <w:rPr>
          <w:rFonts w:hint="eastAsia" w:ascii="宋体" w:hAnsi="宋体"/>
          <w:bCs/>
          <w:sz w:val="24"/>
          <w:szCs w:val="24"/>
        </w:rPr>
        <w:t>2.监狱企业视同小型、微型企业，对其产品价格给予10%的扣除，用扣除后的价格参与评审。参加投标的监狱企业，应当按照《关于政府采购支持监狱企业发展有关问题的通知》（财库</w:t>
      </w:r>
      <w:r>
        <w:rPr>
          <w:rFonts w:hint="eastAsia" w:ascii="宋体" w:hAnsi="宋体"/>
          <w:bCs/>
          <w:sz w:val="24"/>
          <w:szCs w:val="24"/>
          <w:lang w:eastAsia="zh-CN"/>
        </w:rPr>
        <w:t>〔2014〕68号</w:t>
      </w:r>
      <w:r>
        <w:rPr>
          <w:rFonts w:hint="eastAsia" w:ascii="宋体" w:hAnsi="宋体"/>
          <w:bCs/>
          <w:sz w:val="24"/>
          <w:szCs w:val="24"/>
        </w:rPr>
        <w:t>）的规定提供由省级以上监狱管理局、戒毒管理局（含新疆生产建设兵团）出具的属于监狱企业的证明文件扫描件。</w:t>
      </w:r>
    </w:p>
    <w:p w14:paraId="3443BA8B">
      <w:pPr>
        <w:spacing w:line="500" w:lineRule="exact"/>
        <w:ind w:firstLine="480"/>
        <w:jc w:val="left"/>
        <w:rPr>
          <w:rFonts w:ascii="宋体" w:hAnsi="宋体"/>
          <w:bCs/>
          <w:sz w:val="24"/>
          <w:szCs w:val="24"/>
        </w:rPr>
      </w:pPr>
      <w:r>
        <w:rPr>
          <w:rFonts w:hint="eastAsia" w:ascii="宋体" w:hAnsi="宋体"/>
          <w:bCs/>
          <w:sz w:val="24"/>
          <w:szCs w:val="24"/>
        </w:rPr>
        <w:t>3.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6AE0AD26">
      <w:pPr>
        <w:spacing w:line="500" w:lineRule="exact"/>
        <w:ind w:firstLine="480"/>
        <w:jc w:val="left"/>
        <w:rPr>
          <w:rFonts w:ascii="宋体" w:hAnsi="宋体"/>
          <w:bCs/>
          <w:sz w:val="24"/>
          <w:szCs w:val="24"/>
        </w:rPr>
      </w:pPr>
      <w:r>
        <w:rPr>
          <w:rFonts w:hint="eastAsia" w:ascii="宋体" w:hAnsi="宋体"/>
          <w:bCs/>
          <w:sz w:val="24"/>
          <w:szCs w:val="24"/>
        </w:rPr>
        <w:t>4.残疾人福利单位、监狱企业属于小型、微型企业的，不重复享受政策。</w:t>
      </w:r>
    </w:p>
    <w:p w14:paraId="0DAD5078">
      <w:pPr>
        <w:spacing w:line="500" w:lineRule="exact"/>
        <w:ind w:firstLine="480"/>
        <w:jc w:val="left"/>
        <w:rPr>
          <w:rFonts w:ascii="宋体" w:hAnsi="宋体"/>
          <w:bCs/>
          <w:sz w:val="24"/>
          <w:szCs w:val="24"/>
        </w:rPr>
      </w:pPr>
      <w:r>
        <w:rPr>
          <w:rFonts w:hint="eastAsia" w:ascii="宋体" w:hAnsi="宋体"/>
          <w:bCs/>
          <w:sz w:val="24"/>
          <w:szCs w:val="24"/>
        </w:rPr>
        <w:t>5.如允许联合体投标的项目，且存在联合投标的</w:t>
      </w:r>
      <w:r>
        <w:rPr>
          <w:rFonts w:ascii="宋体" w:hAnsi="宋体"/>
          <w:bCs/>
          <w:sz w:val="24"/>
          <w:szCs w:val="24"/>
        </w:rPr>
        <w:t>，联合协议中约定，小型、微型企业（</w:t>
      </w:r>
      <w:r>
        <w:rPr>
          <w:rFonts w:hint="eastAsia" w:ascii="宋体" w:hAnsi="宋体"/>
          <w:bCs/>
          <w:sz w:val="24"/>
          <w:szCs w:val="24"/>
        </w:rPr>
        <w:t>监狱</w:t>
      </w:r>
      <w:r>
        <w:rPr>
          <w:rFonts w:ascii="宋体" w:hAnsi="宋体"/>
          <w:bCs/>
          <w:sz w:val="24"/>
          <w:szCs w:val="24"/>
        </w:rPr>
        <w:t>企业、残疾人福利性单位视同小型、微型企业，下同）</w:t>
      </w:r>
      <w:r>
        <w:rPr>
          <w:rFonts w:hint="eastAsia" w:ascii="宋体" w:hAnsi="宋体"/>
          <w:bCs/>
          <w:sz w:val="24"/>
          <w:szCs w:val="24"/>
        </w:rPr>
        <w:t>的</w:t>
      </w:r>
      <w:r>
        <w:rPr>
          <w:rFonts w:ascii="宋体" w:hAnsi="宋体"/>
          <w:bCs/>
          <w:sz w:val="24"/>
          <w:szCs w:val="24"/>
        </w:rPr>
        <w:t>协议</w:t>
      </w:r>
      <w:r>
        <w:rPr>
          <w:rFonts w:hint="eastAsia" w:ascii="宋体" w:hAnsi="宋体"/>
          <w:bCs/>
          <w:sz w:val="24"/>
          <w:szCs w:val="24"/>
        </w:rPr>
        <w:t>合同</w:t>
      </w:r>
      <w:r>
        <w:rPr>
          <w:rFonts w:ascii="宋体" w:hAnsi="宋体"/>
          <w:bCs/>
          <w:sz w:val="24"/>
          <w:szCs w:val="24"/>
        </w:rPr>
        <w:t>金额占到联合体协议合同总金额</w:t>
      </w:r>
      <w:r>
        <w:rPr>
          <w:rFonts w:hint="eastAsia" w:ascii="宋体" w:hAnsi="宋体"/>
          <w:bCs/>
          <w:sz w:val="24"/>
          <w:szCs w:val="24"/>
        </w:rPr>
        <w:t>30</w:t>
      </w:r>
      <w:r>
        <w:rPr>
          <w:rFonts w:ascii="宋体" w:hAnsi="宋体"/>
          <w:bCs/>
          <w:sz w:val="24"/>
          <w:szCs w:val="24"/>
        </w:rPr>
        <w:t>%以上的，可给予联合体</w:t>
      </w:r>
      <w:r>
        <w:rPr>
          <w:rFonts w:hint="eastAsia" w:ascii="宋体" w:hAnsi="宋体"/>
          <w:bCs/>
          <w:sz w:val="24"/>
          <w:szCs w:val="24"/>
        </w:rPr>
        <w:t>4</w:t>
      </w:r>
      <w:r>
        <w:rPr>
          <w:rFonts w:ascii="宋体" w:hAnsi="宋体"/>
          <w:bCs/>
          <w:sz w:val="24"/>
          <w:szCs w:val="24"/>
        </w:rPr>
        <w:t>%的价格扣除，</w:t>
      </w:r>
      <w:r>
        <w:rPr>
          <w:rFonts w:hint="eastAsia" w:ascii="宋体" w:hAnsi="宋体"/>
          <w:bCs/>
          <w:sz w:val="24"/>
          <w:szCs w:val="24"/>
        </w:rPr>
        <w:t>用扣除后的价格参与评审。投标人须在《联合</w:t>
      </w:r>
      <w:r>
        <w:rPr>
          <w:rFonts w:ascii="宋体" w:hAnsi="宋体"/>
          <w:bCs/>
          <w:sz w:val="24"/>
          <w:szCs w:val="24"/>
        </w:rPr>
        <w:t>体各方共同</w:t>
      </w:r>
      <w:r>
        <w:rPr>
          <w:rFonts w:hint="eastAsia" w:ascii="宋体" w:hAnsi="宋体"/>
          <w:bCs/>
          <w:sz w:val="24"/>
          <w:szCs w:val="24"/>
        </w:rPr>
        <w:t>投标</w:t>
      </w:r>
      <w:r>
        <w:rPr>
          <w:rFonts w:ascii="宋体" w:hAnsi="宋体"/>
          <w:bCs/>
          <w:sz w:val="24"/>
          <w:szCs w:val="24"/>
        </w:rPr>
        <w:t>协议</w:t>
      </w:r>
      <w:r>
        <w:rPr>
          <w:rFonts w:hint="eastAsia" w:ascii="宋体" w:hAnsi="宋体"/>
          <w:bCs/>
          <w:sz w:val="24"/>
          <w:szCs w:val="24"/>
        </w:rPr>
        <w:t>》中明确，否则不得享受价格扣除。</w:t>
      </w:r>
    </w:p>
    <w:p w14:paraId="0B1E0343">
      <w:pPr>
        <w:spacing w:line="500" w:lineRule="exact"/>
        <w:ind w:firstLine="480"/>
        <w:jc w:val="left"/>
        <w:rPr>
          <w:rFonts w:ascii="宋体" w:hAnsi="宋体"/>
          <w:bCs/>
          <w:sz w:val="24"/>
          <w:szCs w:val="24"/>
        </w:rPr>
      </w:pPr>
      <w:r>
        <w:rPr>
          <w:rFonts w:hint="eastAsia" w:ascii="宋体" w:hAnsi="宋体"/>
          <w:bCs/>
          <w:sz w:val="24"/>
          <w:szCs w:val="24"/>
        </w:rPr>
        <w:t>联合体</w:t>
      </w:r>
      <w:r>
        <w:rPr>
          <w:rFonts w:ascii="宋体" w:hAnsi="宋体"/>
          <w:bCs/>
          <w:sz w:val="24"/>
          <w:szCs w:val="24"/>
        </w:rPr>
        <w:t>各方均为小型、微型企业的，联合体视同为小型、微型企业按规定享受价格扣除</w:t>
      </w:r>
      <w:r>
        <w:rPr>
          <w:rFonts w:hint="eastAsia" w:ascii="宋体" w:hAnsi="宋体"/>
          <w:bCs/>
          <w:sz w:val="24"/>
          <w:szCs w:val="24"/>
        </w:rPr>
        <w:t>。</w:t>
      </w:r>
    </w:p>
    <w:p w14:paraId="6CFDAEF3">
      <w:pPr>
        <w:spacing w:line="500" w:lineRule="exact"/>
        <w:ind w:firstLine="480"/>
        <w:jc w:val="left"/>
      </w:pPr>
      <w:r>
        <w:rPr>
          <w:rFonts w:hint="eastAsia" w:ascii="宋体" w:hAnsi="宋体"/>
          <w:bCs/>
          <w:sz w:val="24"/>
          <w:szCs w:val="24"/>
        </w:rPr>
        <w:t>组成联合体的小微企业与联合体内其他企业之间存在直接控股、管理关系的，不享受价格扣除。组成</w:t>
      </w:r>
      <w:r>
        <w:rPr>
          <w:rFonts w:ascii="宋体" w:hAnsi="宋体"/>
          <w:bCs/>
          <w:sz w:val="24"/>
          <w:szCs w:val="24"/>
        </w:rPr>
        <w:t>联合体的法人与参加联合体的小型、微型企业之间存在投资关系的，不得享受价格扣除</w:t>
      </w:r>
      <w:r>
        <w:rPr>
          <w:rFonts w:hint="eastAsia" w:ascii="宋体" w:hAnsi="宋体"/>
          <w:bCs/>
          <w:sz w:val="24"/>
          <w:szCs w:val="24"/>
        </w:rPr>
        <w:t>。投标人</w:t>
      </w:r>
      <w:r>
        <w:rPr>
          <w:rFonts w:ascii="宋体" w:hAnsi="宋体"/>
          <w:bCs/>
          <w:sz w:val="24"/>
          <w:szCs w:val="24"/>
        </w:rPr>
        <w:t>须在</w:t>
      </w:r>
      <w:r>
        <w:rPr>
          <w:rFonts w:hint="eastAsia" w:ascii="宋体" w:hAnsi="宋体"/>
          <w:bCs/>
          <w:sz w:val="24"/>
          <w:szCs w:val="24"/>
        </w:rPr>
        <w:t>《联合</w:t>
      </w:r>
      <w:r>
        <w:rPr>
          <w:rFonts w:ascii="宋体" w:hAnsi="宋体"/>
          <w:bCs/>
          <w:sz w:val="24"/>
          <w:szCs w:val="24"/>
        </w:rPr>
        <w:t>体各方共同</w:t>
      </w:r>
      <w:r>
        <w:rPr>
          <w:rFonts w:hint="eastAsia" w:ascii="宋体" w:hAnsi="宋体"/>
          <w:bCs/>
          <w:sz w:val="24"/>
          <w:szCs w:val="24"/>
        </w:rPr>
        <w:t>投标</w:t>
      </w:r>
      <w:r>
        <w:rPr>
          <w:rFonts w:ascii="宋体" w:hAnsi="宋体"/>
          <w:bCs/>
          <w:sz w:val="24"/>
          <w:szCs w:val="24"/>
        </w:rPr>
        <w:t>协议</w:t>
      </w:r>
      <w:r>
        <w:rPr>
          <w:rFonts w:hint="eastAsia" w:ascii="宋体" w:hAnsi="宋体"/>
          <w:bCs/>
          <w:sz w:val="24"/>
          <w:szCs w:val="24"/>
        </w:rPr>
        <w:t>》中</w:t>
      </w:r>
      <w:r>
        <w:rPr>
          <w:rFonts w:ascii="宋体" w:hAnsi="宋体"/>
          <w:bCs/>
          <w:sz w:val="24"/>
          <w:szCs w:val="24"/>
        </w:rPr>
        <w:t>明确联合体各方是否存在</w:t>
      </w:r>
      <w:r>
        <w:rPr>
          <w:rFonts w:hint="eastAsia" w:ascii="宋体" w:hAnsi="宋体"/>
          <w:bCs/>
          <w:sz w:val="24"/>
          <w:szCs w:val="24"/>
        </w:rPr>
        <w:t>上述</w:t>
      </w:r>
      <w:r>
        <w:rPr>
          <w:rFonts w:ascii="宋体" w:hAnsi="宋体"/>
          <w:bCs/>
          <w:sz w:val="24"/>
          <w:szCs w:val="24"/>
        </w:rPr>
        <w:t>关系，如未进行明确的亦不得享受价格扣除</w:t>
      </w:r>
      <w:r>
        <w:rPr>
          <w:rFonts w:hint="eastAsia" w:ascii="宋体" w:hAnsi="宋体"/>
          <w:bCs/>
          <w:sz w:val="24"/>
          <w:szCs w:val="24"/>
        </w:rPr>
        <w:t>。</w:t>
      </w:r>
    </w:p>
    <w:p w14:paraId="4D8EF30E">
      <w:pPr>
        <w:widowControl/>
        <w:jc w:val="left"/>
        <w:rPr>
          <w:rFonts w:ascii="宋体" w:hAnsi="宋体" w:eastAsia="宋体" w:cs="Times New Roman"/>
          <w:b/>
          <w:kern w:val="0"/>
          <w:sz w:val="28"/>
          <w:szCs w:val="28"/>
        </w:rPr>
      </w:pPr>
    </w:p>
    <w:p w14:paraId="24AFCD9B">
      <w:pPr>
        <w:pStyle w:val="388"/>
        <w:spacing w:before="0" w:after="0"/>
        <w:ind w:firstLine="360"/>
        <w:rPr>
          <w:rFonts w:ascii="宋体" w:hAnsi="宋体"/>
          <w:b/>
          <w:sz w:val="28"/>
          <w:szCs w:val="28"/>
        </w:rPr>
      </w:pPr>
      <w:r>
        <w:rPr>
          <w:rFonts w:hint="eastAsia" w:ascii="宋体" w:hAnsi="宋体"/>
          <w:b/>
          <w:sz w:val="28"/>
          <w:szCs w:val="28"/>
        </w:rPr>
        <w:t>二、评分标准</w:t>
      </w:r>
    </w:p>
    <w:p w14:paraId="4AB5BD7B">
      <w:pPr>
        <w:spacing w:line="360" w:lineRule="auto"/>
        <w:ind w:firstLine="120"/>
        <w:rPr>
          <w:rFonts w:cs="宋体" w:asciiTheme="minorEastAsia" w:hAnsiTheme="minorEastAsia"/>
          <w:sz w:val="24"/>
        </w:rPr>
      </w:pPr>
      <w:bookmarkStart w:id="148" w:name="_Hlk165208115"/>
      <w:r>
        <w:rPr>
          <w:rFonts w:hint="eastAsia" w:cs="宋体" w:asciiTheme="minorEastAsia" w:hAnsiTheme="minorEastAsia"/>
          <w:sz w:val="24"/>
        </w:rPr>
        <w:t>（一）评分项目及总分（总分100分）</w:t>
      </w:r>
    </w:p>
    <w:p w14:paraId="2488F773">
      <w:pPr>
        <w:spacing w:line="360" w:lineRule="auto"/>
        <w:ind w:firstLine="715" w:firstLineChars="298"/>
        <w:rPr>
          <w:rFonts w:cs="宋体" w:asciiTheme="minorEastAsia" w:hAnsiTheme="minorEastAsia"/>
          <w:b/>
          <w:sz w:val="24"/>
        </w:rPr>
      </w:pPr>
      <w:bookmarkStart w:id="149" w:name="_Hlk165208094"/>
      <w:r>
        <w:rPr>
          <w:rFonts w:hint="eastAsia" w:cs="宋体" w:asciiTheme="minorEastAsia" w:hAnsiTheme="minorEastAsia"/>
          <w:b/>
          <w:sz w:val="24"/>
        </w:rPr>
        <w:t>1、</w:t>
      </w:r>
      <w:r>
        <w:rPr>
          <w:rFonts w:hint="eastAsia" w:cs="宋体" w:asciiTheme="minorEastAsia" w:hAnsiTheme="minorEastAsia"/>
          <w:b/>
          <w:sz w:val="24"/>
          <w:lang w:val="en-US" w:eastAsia="zh-CN"/>
        </w:rPr>
        <w:t>价格</w:t>
      </w:r>
      <w:r>
        <w:rPr>
          <w:rFonts w:hint="eastAsia" w:cs="宋体" w:asciiTheme="minorEastAsia" w:hAnsiTheme="minorEastAsia"/>
          <w:b/>
          <w:sz w:val="24"/>
        </w:rPr>
        <w:t xml:space="preserve">                   </w:t>
      </w:r>
      <w:r>
        <w:rPr>
          <w:rFonts w:hint="eastAsia" w:cs="宋体" w:asciiTheme="minorEastAsia" w:hAnsiTheme="minorEastAsia"/>
          <w:b/>
          <w:sz w:val="24"/>
          <w:lang w:val="en-US" w:eastAsia="zh-CN"/>
        </w:rPr>
        <w:t xml:space="preserve"> </w:t>
      </w:r>
      <w:r>
        <w:rPr>
          <w:rFonts w:hint="eastAsia" w:cs="宋体" w:asciiTheme="minorEastAsia" w:hAnsiTheme="minorEastAsia"/>
          <w:b/>
          <w:sz w:val="24"/>
        </w:rPr>
        <w:t xml:space="preserve">   </w:t>
      </w:r>
      <w:r>
        <w:rPr>
          <w:rFonts w:hint="eastAsia" w:cs="宋体" w:asciiTheme="minorEastAsia" w:hAnsiTheme="minorEastAsia"/>
          <w:b/>
          <w:sz w:val="24"/>
          <w:lang w:val="en-US" w:eastAsia="zh-CN"/>
        </w:rPr>
        <w:t>30</w:t>
      </w:r>
      <w:r>
        <w:rPr>
          <w:rFonts w:hint="eastAsia" w:cs="宋体" w:asciiTheme="minorEastAsia" w:hAnsiTheme="minorEastAsia"/>
          <w:b/>
          <w:sz w:val="24"/>
        </w:rPr>
        <w:t>分</w:t>
      </w:r>
    </w:p>
    <w:p w14:paraId="6EE36C1E">
      <w:pPr>
        <w:spacing w:line="360" w:lineRule="auto"/>
        <w:ind w:firstLine="720" w:firstLineChars="300"/>
        <w:outlineLvl w:val="0"/>
        <w:rPr>
          <w:rFonts w:cs="宋体" w:asciiTheme="minorEastAsia" w:hAnsiTheme="minorEastAsia"/>
          <w:b/>
          <w:sz w:val="24"/>
        </w:rPr>
      </w:pPr>
      <w:r>
        <w:rPr>
          <w:rFonts w:hint="eastAsia" w:cs="宋体" w:asciiTheme="minorEastAsia" w:hAnsiTheme="minorEastAsia"/>
          <w:b/>
          <w:sz w:val="24"/>
        </w:rPr>
        <w:t>2、人员</w:t>
      </w:r>
      <w:r>
        <w:rPr>
          <w:rFonts w:hint="eastAsia" w:ascii="宋体" w:hAnsi="宋体" w:eastAsia="宋体" w:cs="宋体"/>
          <w:b/>
          <w:kern w:val="0"/>
          <w:sz w:val="24"/>
          <w:szCs w:val="20"/>
        </w:rPr>
        <w:t>配置情况</w:t>
      </w:r>
      <w:r>
        <w:rPr>
          <w:rFonts w:hint="eastAsia" w:cs="宋体" w:asciiTheme="minorEastAsia" w:hAnsiTheme="minorEastAsia"/>
          <w:b/>
          <w:sz w:val="24"/>
        </w:rPr>
        <w:t xml:space="preserve">               </w:t>
      </w:r>
      <w:r>
        <w:rPr>
          <w:rFonts w:hint="eastAsia" w:cs="宋体" w:asciiTheme="minorEastAsia" w:hAnsiTheme="minorEastAsia"/>
          <w:b/>
          <w:sz w:val="24"/>
          <w:lang w:val="en-US" w:eastAsia="zh-CN"/>
        </w:rPr>
        <w:t>19</w:t>
      </w:r>
      <w:r>
        <w:rPr>
          <w:rFonts w:hint="eastAsia" w:cs="宋体" w:asciiTheme="minorEastAsia" w:hAnsiTheme="minorEastAsia"/>
          <w:b/>
          <w:sz w:val="24"/>
        </w:rPr>
        <w:t>分</w:t>
      </w:r>
    </w:p>
    <w:p w14:paraId="46623C8D">
      <w:pPr>
        <w:spacing w:line="360" w:lineRule="auto"/>
        <w:ind w:firstLine="715" w:firstLineChars="298"/>
        <w:rPr>
          <w:rFonts w:cs="宋体" w:asciiTheme="minorEastAsia" w:hAnsiTheme="minorEastAsia"/>
          <w:b/>
          <w:sz w:val="24"/>
        </w:rPr>
      </w:pPr>
      <w:r>
        <w:rPr>
          <w:rFonts w:hint="eastAsia" w:cs="宋体" w:asciiTheme="minorEastAsia" w:hAnsiTheme="minorEastAsia"/>
          <w:b/>
          <w:sz w:val="24"/>
        </w:rPr>
        <w:t>3、</w:t>
      </w:r>
      <w:r>
        <w:rPr>
          <w:rFonts w:hint="eastAsia" w:ascii="宋体" w:hAnsi="宋体" w:eastAsia="宋体" w:cs="Times New Roman"/>
          <w:b/>
          <w:bCs/>
          <w:sz w:val="24"/>
          <w:szCs w:val="24"/>
        </w:rPr>
        <w:t>投标人综合情况</w:t>
      </w:r>
      <w:r>
        <w:rPr>
          <w:rFonts w:hint="eastAsia" w:cs="宋体" w:asciiTheme="minorEastAsia" w:hAnsiTheme="minorEastAsia"/>
          <w:b/>
          <w:bCs/>
          <w:sz w:val="24"/>
        </w:rPr>
        <w:t xml:space="preserve">         </w:t>
      </w:r>
      <w:r>
        <w:rPr>
          <w:rFonts w:hint="eastAsia" w:cs="宋体" w:asciiTheme="minorEastAsia" w:hAnsiTheme="minorEastAsia"/>
          <w:b/>
          <w:bCs/>
          <w:sz w:val="24"/>
          <w:lang w:val="en-US" w:eastAsia="zh-CN"/>
        </w:rPr>
        <w:t xml:space="preserve">    7</w:t>
      </w:r>
      <w:r>
        <w:rPr>
          <w:rFonts w:hint="eastAsia" w:cs="宋体" w:asciiTheme="minorEastAsia" w:hAnsiTheme="minorEastAsia"/>
          <w:b/>
          <w:bCs/>
          <w:sz w:val="24"/>
        </w:rPr>
        <w:t>分</w:t>
      </w:r>
    </w:p>
    <w:p w14:paraId="0E3F323F">
      <w:pPr>
        <w:spacing w:line="360" w:lineRule="auto"/>
        <w:ind w:firstLine="715" w:firstLineChars="298"/>
        <w:rPr>
          <w:rFonts w:cs="宋体" w:asciiTheme="minorEastAsia" w:hAnsiTheme="minorEastAsia"/>
          <w:b/>
          <w:sz w:val="24"/>
        </w:rPr>
      </w:pPr>
      <w:r>
        <w:rPr>
          <w:rFonts w:hint="eastAsia" w:cs="宋体" w:asciiTheme="minorEastAsia" w:hAnsiTheme="minorEastAsia"/>
          <w:b/>
          <w:sz w:val="24"/>
        </w:rPr>
        <w:t>4、</w:t>
      </w:r>
      <w:r>
        <w:rPr>
          <w:rFonts w:hint="eastAsia" w:asciiTheme="minorEastAsia" w:hAnsiTheme="minorEastAsia"/>
          <w:b/>
          <w:bCs/>
          <w:sz w:val="24"/>
        </w:rPr>
        <w:t xml:space="preserve">服务方案                   </w:t>
      </w:r>
      <w:r>
        <w:rPr>
          <w:rFonts w:hint="eastAsia" w:asciiTheme="minorEastAsia" w:hAnsiTheme="minorEastAsia"/>
          <w:b/>
          <w:bCs/>
          <w:sz w:val="24"/>
          <w:lang w:val="en-US" w:eastAsia="zh-CN"/>
        </w:rPr>
        <w:t>4</w:t>
      </w:r>
      <w:r>
        <w:rPr>
          <w:rFonts w:hint="eastAsia" w:asciiTheme="minorEastAsia" w:hAnsiTheme="minorEastAsia"/>
          <w:b/>
          <w:bCs/>
          <w:sz w:val="24"/>
        </w:rPr>
        <w:t>4分</w:t>
      </w:r>
    </w:p>
    <w:bookmarkEnd w:id="149"/>
    <w:p w14:paraId="39295522">
      <w:pPr>
        <w:spacing w:line="360" w:lineRule="auto"/>
        <w:ind w:firstLine="240" w:firstLineChars="100"/>
        <w:rPr>
          <w:rFonts w:cs="宋体" w:asciiTheme="minorEastAsia" w:hAnsiTheme="minorEastAsia"/>
          <w:sz w:val="24"/>
        </w:rPr>
      </w:pPr>
      <w:r>
        <w:rPr>
          <w:rFonts w:hint="eastAsia" w:cs="宋体" w:asciiTheme="minorEastAsia" w:hAnsiTheme="minorEastAsia"/>
          <w:sz w:val="24"/>
        </w:rPr>
        <w:t>（二）各项目评分标准</w:t>
      </w:r>
    </w:p>
    <w:bookmarkEnd w:id="148"/>
    <w:p w14:paraId="430EF1A2">
      <w:pPr>
        <w:pStyle w:val="388"/>
        <w:spacing w:before="0" w:after="0"/>
        <w:ind w:firstLine="420"/>
        <w:rPr>
          <w:rFonts w:ascii="宋体" w:hAnsi="宋体"/>
          <w:b/>
          <w:bCs/>
        </w:rPr>
      </w:pPr>
      <w:r>
        <w:rPr>
          <w:rFonts w:hint="eastAsia" w:ascii="宋体" w:hAnsi="宋体"/>
          <w:bCs/>
          <w:sz w:val="28"/>
          <w:szCs w:val="28"/>
        </w:rPr>
        <w:t>1.</w:t>
      </w:r>
      <w:r>
        <w:rPr>
          <w:rFonts w:hint="eastAsia" w:ascii="宋体" w:hAnsi="宋体"/>
          <w:b/>
          <w:bCs/>
        </w:rPr>
        <w:t>价格（</w:t>
      </w:r>
      <w:r>
        <w:rPr>
          <w:rFonts w:hint="eastAsia" w:ascii="宋体" w:hAnsi="宋体"/>
          <w:b/>
          <w:bCs/>
          <w:lang w:val="en-US" w:eastAsia="zh-CN"/>
        </w:rPr>
        <w:t>3</w:t>
      </w:r>
      <w:r>
        <w:rPr>
          <w:rFonts w:hint="eastAsia" w:ascii="宋体" w:hAnsi="宋体"/>
          <w:b/>
          <w:bCs/>
        </w:rPr>
        <w:t>0分）：</w:t>
      </w:r>
    </w:p>
    <w:p w14:paraId="5B9B1C3B">
      <w:pPr>
        <w:tabs>
          <w:tab w:val="left" w:pos="945"/>
          <w:tab w:val="left" w:pos="1155"/>
        </w:tabs>
        <w:spacing w:line="360" w:lineRule="auto"/>
        <w:ind w:firstLine="48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采用低价优先法计算，即满足招标文件要求且投标价格最低的投标报价为评标基准价，其价格分为满分。其他投标人的价格统一按照下列公式计算：</w:t>
      </w:r>
    </w:p>
    <w:p w14:paraId="6312EB4D">
      <w:pPr>
        <w:tabs>
          <w:tab w:val="left" w:pos="945"/>
          <w:tab w:val="left" w:pos="1155"/>
        </w:tabs>
        <w:spacing w:line="360" w:lineRule="auto"/>
        <w:ind w:firstLine="48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lang w:eastAsia="zh-CN"/>
        </w:rPr>
        <w:t>（</w:t>
      </w:r>
      <w:r>
        <w:rPr>
          <w:rFonts w:hint="eastAsia" w:ascii="宋体" w:hAnsi="宋体"/>
          <w:bCs/>
          <w:sz w:val="24"/>
          <w:szCs w:val="24"/>
        </w:rPr>
        <w:t>评标基准价／投标报价</w:t>
      </w:r>
      <w:r>
        <w:rPr>
          <w:rFonts w:hint="eastAsia" w:ascii="宋体" w:hAnsi="宋体"/>
          <w:bCs/>
          <w:sz w:val="24"/>
          <w:szCs w:val="24"/>
          <w:lang w:eastAsia="zh-CN"/>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14:paraId="415DBC18">
      <w:pPr>
        <w:spacing w:line="360" w:lineRule="auto"/>
        <w:ind w:firstLine="480"/>
        <w:jc w:val="left"/>
        <w:rPr>
          <w:rFonts w:ascii="宋体" w:hAnsi="宋体"/>
          <w:bCs/>
          <w:sz w:val="24"/>
          <w:szCs w:val="24"/>
        </w:rPr>
      </w:pPr>
      <w:r>
        <w:rPr>
          <w:rFonts w:hint="eastAsia" w:ascii="宋体" w:hAnsi="宋体"/>
          <w:bCs/>
          <w:sz w:val="24"/>
          <w:szCs w:val="24"/>
        </w:rPr>
        <w:t>关于价格扣除详见本章第二部分“一、落实政府采购政策的价格调整”。</w:t>
      </w:r>
    </w:p>
    <w:p w14:paraId="5EC174BE">
      <w:pPr>
        <w:tabs>
          <w:tab w:val="left" w:pos="510"/>
          <w:tab w:val="left" w:pos="945"/>
          <w:tab w:val="left" w:pos="987"/>
          <w:tab w:val="left" w:pos="1128"/>
          <w:tab w:val="left" w:pos="1155"/>
        </w:tabs>
        <w:spacing w:line="360" w:lineRule="auto"/>
        <w:ind w:firstLine="480" w:firstLineChars="200"/>
        <w:rPr>
          <w:rFonts w:ascii="宋体" w:hAnsi="宋体" w:eastAsia="宋体"/>
          <w:b/>
          <w:bCs/>
          <w:color w:val="000000"/>
          <w:sz w:val="24"/>
          <w:szCs w:val="24"/>
        </w:rPr>
      </w:pPr>
      <w:r>
        <w:rPr>
          <w:rFonts w:hint="eastAsia" w:ascii="宋体" w:hAnsi="宋体"/>
          <w:b/>
          <w:bCs/>
          <w:sz w:val="24"/>
          <w:szCs w:val="24"/>
        </w:rPr>
        <w:t>2.</w:t>
      </w:r>
      <w:r>
        <w:rPr>
          <w:rFonts w:hint="eastAsia" w:ascii="宋体" w:hAnsi="宋体" w:eastAsia="宋体"/>
          <w:b/>
          <w:bCs/>
          <w:color w:val="000000"/>
          <w:sz w:val="24"/>
          <w:szCs w:val="24"/>
        </w:rPr>
        <w:t>人员配置情况（</w:t>
      </w:r>
      <w:r>
        <w:rPr>
          <w:rFonts w:ascii="宋体" w:hAnsi="宋体" w:eastAsia="宋体"/>
          <w:b/>
          <w:bCs/>
          <w:color w:val="000000"/>
          <w:sz w:val="24"/>
          <w:szCs w:val="24"/>
        </w:rPr>
        <w:t>19</w:t>
      </w:r>
      <w:r>
        <w:rPr>
          <w:rFonts w:hint="eastAsia" w:ascii="宋体" w:hAnsi="宋体" w:eastAsia="宋体"/>
          <w:b/>
          <w:bCs/>
          <w:color w:val="000000"/>
          <w:sz w:val="24"/>
          <w:szCs w:val="24"/>
        </w:rPr>
        <w:t>分）</w:t>
      </w:r>
    </w:p>
    <w:p w14:paraId="561F9B32">
      <w:pPr>
        <w:tabs>
          <w:tab w:val="left" w:pos="945"/>
          <w:tab w:val="left" w:pos="1155"/>
        </w:tabs>
        <w:spacing w:line="360" w:lineRule="auto"/>
        <w:ind w:firstLine="480" w:firstLineChars="200"/>
        <w:rPr>
          <w:rFonts w:ascii="宋体" w:hAnsi="宋体" w:eastAsia="宋体"/>
          <w:b/>
          <w:color w:val="000000"/>
          <w:sz w:val="24"/>
          <w:szCs w:val="24"/>
        </w:rPr>
      </w:pPr>
      <w:r>
        <w:rPr>
          <w:rFonts w:hint="eastAsia" w:ascii="宋体" w:hAnsi="宋体" w:eastAsia="宋体"/>
          <w:b/>
          <w:color w:val="000000"/>
          <w:sz w:val="24"/>
          <w:szCs w:val="24"/>
        </w:rPr>
        <w:t>（1）项目经理（</w:t>
      </w:r>
      <w:r>
        <w:rPr>
          <w:rFonts w:ascii="宋体" w:hAnsi="宋体" w:eastAsia="宋体"/>
          <w:b/>
          <w:color w:val="000000"/>
          <w:sz w:val="24"/>
          <w:szCs w:val="24"/>
        </w:rPr>
        <w:t>5</w:t>
      </w:r>
      <w:r>
        <w:rPr>
          <w:rFonts w:hint="eastAsia" w:ascii="宋体" w:hAnsi="宋体" w:eastAsia="宋体"/>
          <w:b/>
          <w:color w:val="000000"/>
          <w:sz w:val="24"/>
          <w:szCs w:val="24"/>
        </w:rPr>
        <w:t>分）</w:t>
      </w:r>
    </w:p>
    <w:p w14:paraId="3FD0627D">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①</w:t>
      </w:r>
      <w:r>
        <w:rPr>
          <w:rFonts w:hint="eastAsia" w:ascii="宋体" w:hAnsi="宋体" w:eastAsia="宋体"/>
          <w:bCs/>
          <w:color w:val="000000"/>
          <w:sz w:val="24"/>
          <w:szCs w:val="24"/>
        </w:rPr>
        <w:t>具有人社部门颁发的物业管理师证书的得1分；</w:t>
      </w:r>
    </w:p>
    <w:p w14:paraId="2348263C">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②</w:t>
      </w:r>
      <w:r>
        <w:rPr>
          <w:rFonts w:ascii="宋体" w:hAnsi="宋体" w:eastAsia="宋体"/>
          <w:bCs/>
          <w:color w:val="000000"/>
          <w:sz w:val="24"/>
          <w:szCs w:val="24"/>
        </w:rPr>
        <w:t>具有三级/高级</w:t>
      </w:r>
      <w:r>
        <w:rPr>
          <w:rFonts w:hint="eastAsia" w:ascii="宋体" w:hAnsi="宋体" w:eastAsia="宋体"/>
          <w:bCs/>
          <w:color w:val="000000"/>
          <w:sz w:val="24"/>
          <w:szCs w:val="24"/>
        </w:rPr>
        <w:t>（含）</w:t>
      </w:r>
      <w:r>
        <w:rPr>
          <w:rFonts w:ascii="宋体" w:hAnsi="宋体" w:eastAsia="宋体"/>
          <w:bCs/>
          <w:color w:val="000000"/>
          <w:sz w:val="24"/>
          <w:szCs w:val="24"/>
        </w:rPr>
        <w:t>及以上保安员证的得1分</w:t>
      </w:r>
      <w:r>
        <w:rPr>
          <w:rFonts w:hint="eastAsia" w:ascii="宋体" w:hAnsi="宋体" w:eastAsia="宋体"/>
          <w:bCs/>
          <w:color w:val="000000"/>
          <w:sz w:val="24"/>
          <w:szCs w:val="24"/>
        </w:rPr>
        <w:t>；</w:t>
      </w:r>
    </w:p>
    <w:p w14:paraId="2A7A0709">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③</w:t>
      </w:r>
      <w:r>
        <w:rPr>
          <w:rFonts w:ascii="宋体" w:hAnsi="宋体" w:eastAsia="宋体"/>
          <w:bCs/>
          <w:color w:val="000000"/>
          <w:sz w:val="24"/>
          <w:szCs w:val="24"/>
        </w:rPr>
        <w:t>具有市场监督管理局颁发的《特种设备安全管理和作业人员证》A的得</w:t>
      </w:r>
      <w:r>
        <w:rPr>
          <w:rFonts w:hint="eastAsia" w:ascii="宋体" w:hAnsi="宋体" w:eastAsia="宋体"/>
          <w:bCs/>
          <w:color w:val="000000"/>
          <w:sz w:val="24"/>
          <w:szCs w:val="24"/>
          <w:lang w:val="en-US" w:eastAsia="zh-CN"/>
        </w:rPr>
        <w:t>1</w:t>
      </w:r>
      <w:r>
        <w:rPr>
          <w:rFonts w:ascii="宋体" w:hAnsi="宋体" w:eastAsia="宋体"/>
          <w:bCs/>
          <w:color w:val="000000"/>
          <w:sz w:val="24"/>
          <w:szCs w:val="24"/>
        </w:rPr>
        <w:t>分</w:t>
      </w:r>
      <w:r>
        <w:rPr>
          <w:rFonts w:hint="eastAsia" w:ascii="宋体" w:hAnsi="宋体" w:eastAsia="宋体"/>
          <w:bCs/>
          <w:color w:val="000000"/>
          <w:sz w:val="24"/>
          <w:szCs w:val="24"/>
        </w:rPr>
        <w:t>；</w:t>
      </w:r>
    </w:p>
    <w:p w14:paraId="1A34B907">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④</w:t>
      </w:r>
      <w:r>
        <w:rPr>
          <w:rFonts w:ascii="宋体" w:hAnsi="宋体" w:eastAsia="宋体"/>
          <w:bCs/>
          <w:color w:val="000000"/>
          <w:sz w:val="24"/>
          <w:szCs w:val="24"/>
        </w:rPr>
        <w:t>具有三级/高级绿化工证及以上的得1分</w:t>
      </w:r>
      <w:r>
        <w:rPr>
          <w:rFonts w:hint="eastAsia" w:ascii="宋体" w:hAnsi="宋体" w:eastAsia="宋体"/>
          <w:bCs/>
          <w:color w:val="000000"/>
          <w:sz w:val="24"/>
          <w:szCs w:val="24"/>
        </w:rPr>
        <w:t>；</w:t>
      </w:r>
    </w:p>
    <w:p w14:paraId="10A698B1">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⑤</w:t>
      </w:r>
      <w:r>
        <w:rPr>
          <w:rFonts w:ascii="宋体" w:hAnsi="宋体" w:eastAsia="宋体"/>
          <w:bCs/>
          <w:color w:val="000000"/>
          <w:sz w:val="24"/>
          <w:szCs w:val="24"/>
        </w:rPr>
        <w:t>具有四级</w:t>
      </w:r>
      <w:r>
        <w:rPr>
          <w:rFonts w:hint="eastAsia" w:ascii="宋体" w:hAnsi="宋体" w:eastAsia="宋体"/>
          <w:bCs/>
          <w:color w:val="000000"/>
          <w:sz w:val="24"/>
          <w:szCs w:val="24"/>
        </w:rPr>
        <w:t>（含）</w:t>
      </w:r>
      <w:r>
        <w:rPr>
          <w:rFonts w:ascii="宋体" w:hAnsi="宋体" w:eastAsia="宋体"/>
          <w:bCs/>
          <w:color w:val="000000"/>
          <w:sz w:val="24"/>
          <w:szCs w:val="24"/>
        </w:rPr>
        <w:t>及以上消防设施操作员证的得1分；</w:t>
      </w:r>
    </w:p>
    <w:p w14:paraId="6DCCE1EB">
      <w:pPr>
        <w:spacing w:line="360" w:lineRule="auto"/>
        <w:ind w:firstLine="480" w:firstLineChars="200"/>
        <w:rPr>
          <w:rFonts w:ascii="宋体" w:hAnsi="宋体" w:eastAsia="宋体" w:cs="Times New Roman"/>
          <w:bCs/>
          <w:sz w:val="24"/>
          <w:szCs w:val="24"/>
        </w:rPr>
      </w:pPr>
      <w:bookmarkStart w:id="150" w:name="_Hlk181890794"/>
      <w:r>
        <w:rPr>
          <w:rFonts w:hint="eastAsia" w:ascii="宋体" w:hAnsi="宋体" w:eastAsia="宋体" w:cs="Times New Roman"/>
          <w:b/>
          <w:bCs/>
          <w:sz w:val="24"/>
          <w:szCs w:val="24"/>
          <w:lang w:val="en-US" w:eastAsia="zh-CN"/>
        </w:rPr>
        <w:t>以上五项</w:t>
      </w:r>
      <w:r>
        <w:rPr>
          <w:rFonts w:hint="eastAsia" w:ascii="宋体" w:hAnsi="宋体" w:eastAsia="宋体" w:cs="Times New Roman"/>
          <w:b/>
          <w:bCs/>
          <w:sz w:val="24"/>
          <w:szCs w:val="24"/>
        </w:rPr>
        <w:t>须提供证书原件扫描并上传至系统中，否则不得分</w:t>
      </w:r>
      <w:r>
        <w:rPr>
          <w:rFonts w:hint="eastAsia" w:ascii="宋体" w:hAnsi="宋体" w:eastAsia="宋体" w:cs="Times New Roman"/>
          <w:bCs/>
          <w:sz w:val="24"/>
          <w:szCs w:val="24"/>
        </w:rPr>
        <w:t>。</w:t>
      </w:r>
    </w:p>
    <w:bookmarkEnd w:id="150"/>
    <w:p w14:paraId="462A56D7">
      <w:pPr>
        <w:tabs>
          <w:tab w:val="left" w:pos="945"/>
          <w:tab w:val="left" w:pos="1155"/>
        </w:tabs>
        <w:spacing w:line="360" w:lineRule="auto"/>
        <w:ind w:firstLine="480" w:firstLineChars="200"/>
        <w:rPr>
          <w:rFonts w:ascii="宋体" w:hAnsi="宋体" w:eastAsia="宋体"/>
          <w:b/>
          <w:color w:val="000000"/>
          <w:sz w:val="24"/>
          <w:szCs w:val="24"/>
        </w:rPr>
      </w:pPr>
      <w:r>
        <w:rPr>
          <w:rFonts w:hint="eastAsia" w:ascii="宋体" w:hAnsi="宋体" w:eastAsia="宋体"/>
          <w:b/>
          <w:color w:val="000000"/>
          <w:sz w:val="24"/>
          <w:szCs w:val="24"/>
        </w:rPr>
        <w:t>（2）保安主管（</w:t>
      </w:r>
      <w:r>
        <w:rPr>
          <w:rFonts w:ascii="宋体" w:hAnsi="宋体" w:eastAsia="宋体"/>
          <w:b/>
          <w:color w:val="000000"/>
          <w:sz w:val="24"/>
          <w:szCs w:val="24"/>
        </w:rPr>
        <w:t>3</w:t>
      </w:r>
      <w:r>
        <w:rPr>
          <w:rFonts w:hint="eastAsia" w:ascii="宋体" w:hAnsi="宋体" w:eastAsia="宋体"/>
          <w:b/>
          <w:color w:val="000000"/>
          <w:sz w:val="24"/>
          <w:szCs w:val="24"/>
        </w:rPr>
        <w:t>分）</w:t>
      </w:r>
    </w:p>
    <w:p w14:paraId="613582F3">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①</w:t>
      </w:r>
      <w:r>
        <w:rPr>
          <w:rFonts w:hint="eastAsia" w:ascii="宋体" w:hAnsi="宋体" w:eastAsia="宋体"/>
          <w:bCs/>
          <w:color w:val="000000"/>
          <w:sz w:val="24"/>
          <w:szCs w:val="24"/>
        </w:rPr>
        <w:t>具有三级</w:t>
      </w:r>
      <w:r>
        <w:rPr>
          <w:rFonts w:ascii="宋体" w:hAnsi="宋体" w:eastAsia="宋体"/>
          <w:bCs/>
          <w:color w:val="000000"/>
          <w:sz w:val="24"/>
          <w:szCs w:val="24"/>
        </w:rPr>
        <w:t>/高级（含）及以上保安员证的得1分；</w:t>
      </w:r>
    </w:p>
    <w:p w14:paraId="11E7AEAB">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②</w:t>
      </w:r>
      <w:r>
        <w:rPr>
          <w:rFonts w:hint="eastAsia" w:ascii="宋体" w:hAnsi="宋体" w:eastAsia="宋体"/>
          <w:bCs/>
          <w:color w:val="000000"/>
          <w:sz w:val="24"/>
          <w:szCs w:val="24"/>
        </w:rPr>
        <w:t>具有市场监督管理局颁发的《特种设备安全管理和作业人员证》</w:t>
      </w:r>
      <w:r>
        <w:rPr>
          <w:rFonts w:ascii="宋体" w:hAnsi="宋体" w:eastAsia="宋体"/>
          <w:bCs/>
          <w:color w:val="000000"/>
          <w:sz w:val="24"/>
          <w:szCs w:val="24"/>
        </w:rPr>
        <w:t>A的得</w:t>
      </w:r>
      <w:r>
        <w:rPr>
          <w:rFonts w:hint="eastAsia" w:ascii="宋体" w:hAnsi="宋体" w:eastAsia="宋体"/>
          <w:bCs/>
          <w:color w:val="000000"/>
          <w:sz w:val="24"/>
          <w:szCs w:val="24"/>
          <w:lang w:val="en-US" w:eastAsia="zh-CN"/>
        </w:rPr>
        <w:t>1</w:t>
      </w:r>
      <w:r>
        <w:rPr>
          <w:rFonts w:ascii="宋体" w:hAnsi="宋体" w:eastAsia="宋体"/>
          <w:bCs/>
          <w:color w:val="000000"/>
          <w:sz w:val="24"/>
          <w:szCs w:val="24"/>
        </w:rPr>
        <w:t>分；</w:t>
      </w:r>
    </w:p>
    <w:p w14:paraId="55789557">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lang w:val="en-US" w:eastAsia="zh-CN"/>
        </w:rPr>
        <w:t>③</w:t>
      </w:r>
      <w:r>
        <w:rPr>
          <w:rFonts w:hint="eastAsia" w:ascii="宋体" w:hAnsi="宋体" w:eastAsia="宋体"/>
          <w:bCs/>
          <w:color w:val="000000"/>
          <w:sz w:val="24"/>
          <w:szCs w:val="24"/>
        </w:rPr>
        <w:t>具有人社部门颁发的一级注册消防工程师证的得</w:t>
      </w:r>
      <w:r>
        <w:rPr>
          <w:rFonts w:ascii="宋体" w:hAnsi="宋体" w:eastAsia="宋体"/>
          <w:bCs/>
          <w:color w:val="000000"/>
          <w:sz w:val="24"/>
          <w:szCs w:val="24"/>
        </w:rPr>
        <w:t>1分</w:t>
      </w:r>
      <w:r>
        <w:rPr>
          <w:rFonts w:hint="eastAsia" w:ascii="宋体" w:hAnsi="宋体" w:eastAsia="宋体"/>
          <w:bCs/>
          <w:color w:val="000000"/>
          <w:sz w:val="24"/>
          <w:szCs w:val="24"/>
        </w:rPr>
        <w:t>。</w:t>
      </w:r>
    </w:p>
    <w:p w14:paraId="235CF726">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
          <w:bCs/>
          <w:sz w:val="24"/>
          <w:szCs w:val="24"/>
          <w:lang w:val="en-US" w:eastAsia="zh-CN"/>
        </w:rPr>
        <w:t>以上三项</w:t>
      </w:r>
      <w:r>
        <w:rPr>
          <w:rFonts w:hint="eastAsia" w:ascii="宋体" w:hAnsi="宋体" w:eastAsia="宋体" w:cs="Times New Roman"/>
          <w:b/>
          <w:bCs/>
          <w:sz w:val="24"/>
          <w:szCs w:val="24"/>
        </w:rPr>
        <w:t>须提供证书原件扫描并上传至系统中，否则不得分</w:t>
      </w:r>
      <w:r>
        <w:rPr>
          <w:rFonts w:hint="eastAsia" w:ascii="宋体" w:hAnsi="宋体" w:eastAsia="宋体" w:cs="Times New Roman"/>
          <w:bCs/>
          <w:sz w:val="24"/>
          <w:szCs w:val="24"/>
        </w:rPr>
        <w:t>。</w:t>
      </w:r>
    </w:p>
    <w:p w14:paraId="0F5E7264">
      <w:pPr>
        <w:tabs>
          <w:tab w:val="left" w:pos="945"/>
          <w:tab w:val="left" w:pos="1155"/>
        </w:tabs>
        <w:spacing w:line="360" w:lineRule="auto"/>
        <w:ind w:firstLine="480" w:firstLineChars="200"/>
        <w:rPr>
          <w:rFonts w:ascii="宋体" w:hAnsi="宋体" w:eastAsia="宋体"/>
          <w:b/>
          <w:color w:val="000000"/>
          <w:sz w:val="24"/>
          <w:szCs w:val="24"/>
        </w:rPr>
      </w:pPr>
      <w:r>
        <w:rPr>
          <w:rFonts w:hint="eastAsia" w:ascii="宋体" w:hAnsi="宋体" w:eastAsia="宋体"/>
          <w:b/>
          <w:color w:val="000000"/>
          <w:sz w:val="24"/>
          <w:szCs w:val="24"/>
        </w:rPr>
        <w:t>（</w:t>
      </w:r>
      <w:r>
        <w:rPr>
          <w:rFonts w:ascii="宋体" w:hAnsi="宋体" w:eastAsia="宋体"/>
          <w:b/>
          <w:color w:val="000000"/>
          <w:sz w:val="24"/>
          <w:szCs w:val="24"/>
        </w:rPr>
        <w:t>3</w:t>
      </w:r>
      <w:r>
        <w:rPr>
          <w:rFonts w:hint="eastAsia" w:ascii="宋体" w:hAnsi="宋体" w:eastAsia="宋体"/>
          <w:b/>
          <w:color w:val="000000"/>
          <w:sz w:val="24"/>
          <w:szCs w:val="24"/>
        </w:rPr>
        <w:t>）其他人员（</w:t>
      </w:r>
      <w:r>
        <w:rPr>
          <w:rFonts w:ascii="宋体" w:hAnsi="宋体" w:eastAsia="宋体"/>
          <w:b/>
          <w:color w:val="000000"/>
          <w:sz w:val="24"/>
          <w:szCs w:val="24"/>
        </w:rPr>
        <w:t>11</w:t>
      </w:r>
      <w:r>
        <w:rPr>
          <w:rFonts w:hint="eastAsia" w:ascii="宋体" w:hAnsi="宋体" w:eastAsia="宋体"/>
          <w:b/>
          <w:color w:val="000000"/>
          <w:sz w:val="24"/>
          <w:szCs w:val="24"/>
        </w:rPr>
        <w:t>分）（除项目经理和保安主管外的其他人员）</w:t>
      </w:r>
    </w:p>
    <w:p w14:paraId="021E9D67">
      <w:pPr>
        <w:tabs>
          <w:tab w:val="left" w:pos="945"/>
          <w:tab w:val="left" w:pos="1155"/>
        </w:tabs>
        <w:spacing w:line="360" w:lineRule="auto"/>
        <w:ind w:firstLine="480" w:firstLineChars="200"/>
        <w:rPr>
          <w:rFonts w:hint="eastAsia" w:ascii="宋体" w:hAnsi="宋体" w:eastAsia="宋体"/>
          <w:bCs/>
          <w:color w:val="000000"/>
          <w:sz w:val="24"/>
          <w:szCs w:val="24"/>
        </w:rPr>
      </w:pPr>
      <w:r>
        <w:rPr>
          <w:rFonts w:hint="eastAsia" w:ascii="宋体" w:hAnsi="宋体" w:eastAsia="宋体"/>
          <w:bCs/>
          <w:color w:val="000000"/>
          <w:sz w:val="24"/>
          <w:szCs w:val="24"/>
          <w:lang w:val="en-US" w:eastAsia="zh-CN"/>
        </w:rPr>
        <w:t>①</w:t>
      </w:r>
      <w:r>
        <w:rPr>
          <w:rFonts w:hint="eastAsia" w:ascii="宋体" w:hAnsi="宋体" w:eastAsia="宋体"/>
          <w:bCs/>
          <w:color w:val="000000"/>
          <w:sz w:val="24"/>
          <w:szCs w:val="24"/>
        </w:rPr>
        <w:t>保安人员同时具有三级</w:t>
      </w:r>
      <w:r>
        <w:rPr>
          <w:rFonts w:ascii="宋体" w:hAnsi="宋体" w:eastAsia="宋体"/>
          <w:bCs/>
          <w:color w:val="000000"/>
          <w:sz w:val="24"/>
          <w:szCs w:val="24"/>
        </w:rPr>
        <w:t>/高级（含）及以上保安员证</w:t>
      </w:r>
      <w:r>
        <w:rPr>
          <w:rFonts w:hint="eastAsia" w:ascii="宋体" w:hAnsi="宋体" w:eastAsia="宋体"/>
          <w:bCs/>
          <w:color w:val="000000"/>
          <w:sz w:val="24"/>
          <w:szCs w:val="24"/>
        </w:rPr>
        <w:t>的，每有一个人得1分，最高得</w:t>
      </w:r>
      <w:r>
        <w:rPr>
          <w:rFonts w:hint="eastAsia" w:ascii="宋体" w:hAnsi="宋体" w:eastAsia="宋体"/>
          <w:bCs/>
          <w:color w:val="000000"/>
          <w:sz w:val="24"/>
          <w:szCs w:val="24"/>
          <w:lang w:val="en-US" w:eastAsia="zh-CN"/>
        </w:rPr>
        <w:t>2</w:t>
      </w:r>
      <w:r>
        <w:rPr>
          <w:rFonts w:hint="eastAsia" w:ascii="宋体" w:hAnsi="宋体" w:eastAsia="宋体"/>
          <w:bCs/>
          <w:color w:val="000000"/>
          <w:sz w:val="24"/>
          <w:szCs w:val="24"/>
        </w:rPr>
        <w:t>分；</w:t>
      </w:r>
    </w:p>
    <w:p w14:paraId="08D65F6E">
      <w:pPr>
        <w:tabs>
          <w:tab w:val="left" w:pos="945"/>
          <w:tab w:val="left" w:pos="1155"/>
        </w:tabs>
        <w:spacing w:line="360" w:lineRule="auto"/>
        <w:ind w:firstLine="480" w:firstLineChars="200"/>
        <w:rPr>
          <w:rFonts w:hint="eastAsia" w:ascii="宋体" w:hAnsi="宋体" w:eastAsia="宋体"/>
          <w:bCs/>
          <w:color w:val="000000"/>
          <w:sz w:val="24"/>
          <w:szCs w:val="24"/>
        </w:rPr>
      </w:pPr>
      <w:r>
        <w:rPr>
          <w:rFonts w:hint="eastAsia" w:ascii="宋体" w:hAnsi="宋体" w:eastAsia="宋体"/>
          <w:bCs/>
          <w:color w:val="000000"/>
          <w:sz w:val="24"/>
          <w:szCs w:val="24"/>
          <w:lang w:val="en-US" w:eastAsia="zh-CN"/>
        </w:rPr>
        <w:t>②保安人员具有</w:t>
      </w:r>
      <w:r>
        <w:rPr>
          <w:rFonts w:hint="eastAsia" w:ascii="宋体" w:hAnsi="宋体" w:eastAsia="宋体"/>
          <w:bCs/>
          <w:color w:val="000000"/>
          <w:sz w:val="24"/>
          <w:szCs w:val="24"/>
        </w:rPr>
        <w:t>四级（含）及以上消防设施操作员证的，每有一个人得1分，最高得</w:t>
      </w:r>
      <w:r>
        <w:rPr>
          <w:rFonts w:hint="eastAsia" w:ascii="宋体" w:hAnsi="宋体" w:eastAsia="宋体"/>
          <w:bCs/>
          <w:color w:val="000000"/>
          <w:sz w:val="24"/>
          <w:szCs w:val="24"/>
          <w:lang w:val="en-US" w:eastAsia="zh-CN"/>
        </w:rPr>
        <w:t>2</w:t>
      </w:r>
      <w:r>
        <w:rPr>
          <w:rFonts w:hint="eastAsia" w:ascii="宋体" w:hAnsi="宋体" w:eastAsia="宋体"/>
          <w:bCs/>
          <w:color w:val="000000"/>
          <w:sz w:val="24"/>
          <w:szCs w:val="24"/>
        </w:rPr>
        <w:t>分</w:t>
      </w:r>
    </w:p>
    <w:p w14:paraId="40C5A7FB">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3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③</w:t>
      </w:r>
      <w:r>
        <w:rPr>
          <w:rFonts w:ascii="宋体" w:hAnsi="宋体" w:eastAsia="宋体"/>
          <w:bCs/>
          <w:color w:val="000000"/>
          <w:sz w:val="24"/>
          <w:szCs w:val="24"/>
        </w:rPr>
        <w:fldChar w:fldCharType="end"/>
      </w:r>
      <w:r>
        <w:rPr>
          <w:rFonts w:hint="eastAsia" w:ascii="宋体" w:hAnsi="宋体" w:eastAsia="宋体"/>
          <w:bCs/>
          <w:color w:val="000000"/>
          <w:sz w:val="24"/>
          <w:szCs w:val="24"/>
        </w:rPr>
        <w:t>保安人员具有《特种设备安全管理和作业人员证》</w:t>
      </w:r>
      <w:r>
        <w:rPr>
          <w:rFonts w:ascii="宋体" w:hAnsi="宋体" w:eastAsia="宋体"/>
          <w:bCs/>
          <w:color w:val="000000"/>
          <w:sz w:val="24"/>
          <w:szCs w:val="24"/>
        </w:rPr>
        <w:t>A</w:t>
      </w:r>
      <w:r>
        <w:rPr>
          <w:rFonts w:hint="eastAsia" w:ascii="宋体" w:hAnsi="宋体" w:eastAsia="宋体"/>
          <w:bCs/>
          <w:color w:val="000000"/>
          <w:sz w:val="24"/>
          <w:szCs w:val="24"/>
        </w:rPr>
        <w:t>证</w:t>
      </w:r>
      <w:r>
        <w:rPr>
          <w:rFonts w:ascii="宋体" w:hAnsi="宋体" w:eastAsia="宋体"/>
          <w:bCs/>
          <w:color w:val="000000"/>
          <w:sz w:val="24"/>
          <w:szCs w:val="24"/>
        </w:rPr>
        <w:t>的每有一人得</w:t>
      </w:r>
      <w:r>
        <w:rPr>
          <w:rFonts w:hint="eastAsia" w:ascii="宋体" w:hAnsi="宋体" w:eastAsia="宋体"/>
          <w:bCs/>
          <w:color w:val="000000"/>
          <w:sz w:val="24"/>
          <w:szCs w:val="24"/>
          <w:lang w:val="en-US" w:eastAsia="zh-CN"/>
        </w:rPr>
        <w:t>1</w:t>
      </w:r>
      <w:r>
        <w:rPr>
          <w:rFonts w:ascii="宋体" w:hAnsi="宋体" w:eastAsia="宋体"/>
          <w:bCs/>
          <w:color w:val="000000"/>
          <w:sz w:val="24"/>
          <w:szCs w:val="24"/>
        </w:rPr>
        <w:t>分，最高</w:t>
      </w:r>
      <w:r>
        <w:rPr>
          <w:rFonts w:hint="eastAsia" w:ascii="宋体" w:hAnsi="宋体" w:eastAsia="宋体"/>
          <w:bCs/>
          <w:color w:val="000000"/>
          <w:sz w:val="24"/>
          <w:szCs w:val="24"/>
          <w:lang w:val="en-US" w:eastAsia="zh-CN"/>
        </w:rPr>
        <w:t>2</w:t>
      </w:r>
      <w:r>
        <w:rPr>
          <w:rFonts w:ascii="宋体" w:hAnsi="宋体" w:eastAsia="宋体"/>
          <w:bCs/>
          <w:color w:val="000000"/>
          <w:sz w:val="24"/>
          <w:szCs w:val="24"/>
        </w:rPr>
        <w:t>分；</w:t>
      </w:r>
    </w:p>
    <w:p w14:paraId="2BE2EAF4">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4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④</w:t>
      </w:r>
      <w:r>
        <w:rPr>
          <w:rFonts w:ascii="宋体" w:hAnsi="宋体" w:eastAsia="宋体"/>
          <w:bCs/>
          <w:color w:val="000000"/>
          <w:sz w:val="24"/>
          <w:szCs w:val="24"/>
        </w:rPr>
        <w:fldChar w:fldCharType="end"/>
      </w:r>
      <w:r>
        <w:rPr>
          <w:rFonts w:hint="eastAsia" w:ascii="宋体" w:hAnsi="宋体" w:eastAsia="宋体"/>
          <w:bCs/>
          <w:color w:val="000000"/>
          <w:sz w:val="24"/>
          <w:szCs w:val="24"/>
        </w:rPr>
        <w:t>保洁人员具有园林绿化类中级及以上职称的，每有一人得</w:t>
      </w:r>
      <w:r>
        <w:rPr>
          <w:rFonts w:hint="eastAsia" w:ascii="宋体" w:hAnsi="宋体" w:eastAsia="宋体"/>
          <w:bCs/>
          <w:color w:val="000000"/>
          <w:sz w:val="24"/>
          <w:szCs w:val="24"/>
          <w:lang w:val="en-US" w:eastAsia="zh-CN"/>
        </w:rPr>
        <w:t>1</w:t>
      </w:r>
      <w:r>
        <w:rPr>
          <w:rFonts w:hint="eastAsia" w:ascii="宋体" w:hAnsi="宋体" w:eastAsia="宋体"/>
          <w:bCs/>
          <w:color w:val="000000"/>
          <w:sz w:val="24"/>
          <w:szCs w:val="24"/>
        </w:rPr>
        <w:t>分，最高</w:t>
      </w:r>
      <w:r>
        <w:rPr>
          <w:rFonts w:hint="eastAsia" w:ascii="宋体" w:hAnsi="宋体" w:eastAsia="宋体"/>
          <w:bCs/>
          <w:color w:val="000000"/>
          <w:sz w:val="24"/>
          <w:szCs w:val="24"/>
          <w:lang w:val="en-US" w:eastAsia="zh-CN"/>
        </w:rPr>
        <w:t>2</w:t>
      </w:r>
      <w:r>
        <w:rPr>
          <w:rFonts w:hint="eastAsia" w:ascii="宋体" w:hAnsi="宋体" w:eastAsia="宋体"/>
          <w:bCs/>
          <w:color w:val="000000"/>
          <w:sz w:val="24"/>
          <w:szCs w:val="24"/>
        </w:rPr>
        <w:t>分；</w:t>
      </w:r>
    </w:p>
    <w:p w14:paraId="7DEA7E9D">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5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⑤</w:t>
      </w:r>
      <w:r>
        <w:rPr>
          <w:rFonts w:ascii="宋体" w:hAnsi="宋体" w:eastAsia="宋体"/>
          <w:bCs/>
          <w:color w:val="000000"/>
          <w:sz w:val="24"/>
          <w:szCs w:val="24"/>
        </w:rPr>
        <w:fldChar w:fldCharType="end"/>
      </w:r>
      <w:r>
        <w:rPr>
          <w:rFonts w:hint="eastAsia" w:ascii="宋体" w:hAnsi="宋体" w:eastAsia="宋体"/>
          <w:bCs/>
          <w:color w:val="000000"/>
          <w:sz w:val="24"/>
          <w:szCs w:val="24"/>
        </w:rPr>
        <w:t>保洁人员具有三级/高级绿化工证的，每有一人得</w:t>
      </w:r>
      <w:r>
        <w:rPr>
          <w:rFonts w:ascii="宋体" w:hAnsi="宋体" w:eastAsia="宋体"/>
          <w:bCs/>
          <w:color w:val="000000"/>
          <w:sz w:val="24"/>
          <w:szCs w:val="24"/>
        </w:rPr>
        <w:t>0.5</w:t>
      </w:r>
      <w:r>
        <w:rPr>
          <w:rFonts w:hint="eastAsia" w:ascii="宋体" w:hAnsi="宋体" w:eastAsia="宋体"/>
          <w:bCs/>
          <w:color w:val="000000"/>
          <w:sz w:val="24"/>
          <w:szCs w:val="24"/>
        </w:rPr>
        <w:t>分，最高</w:t>
      </w:r>
      <w:r>
        <w:rPr>
          <w:rFonts w:ascii="宋体" w:hAnsi="宋体" w:eastAsia="宋体"/>
          <w:bCs/>
          <w:color w:val="000000"/>
          <w:sz w:val="24"/>
          <w:szCs w:val="24"/>
        </w:rPr>
        <w:t>1</w:t>
      </w:r>
      <w:r>
        <w:rPr>
          <w:rFonts w:hint="eastAsia" w:ascii="宋体" w:hAnsi="宋体" w:eastAsia="宋体"/>
          <w:bCs/>
          <w:color w:val="000000"/>
          <w:sz w:val="24"/>
          <w:szCs w:val="24"/>
        </w:rPr>
        <w:t>分；</w:t>
      </w:r>
    </w:p>
    <w:p w14:paraId="09F7283A">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6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⑥</w:t>
      </w:r>
      <w:r>
        <w:rPr>
          <w:rFonts w:ascii="宋体" w:hAnsi="宋体" w:eastAsia="宋体"/>
          <w:bCs/>
          <w:color w:val="000000"/>
          <w:sz w:val="24"/>
          <w:szCs w:val="24"/>
        </w:rPr>
        <w:fldChar w:fldCharType="end"/>
      </w:r>
      <w:r>
        <w:rPr>
          <w:rFonts w:hint="eastAsia" w:ascii="宋体" w:hAnsi="宋体" w:eastAsia="宋体"/>
          <w:bCs/>
          <w:color w:val="000000"/>
          <w:sz w:val="24"/>
          <w:szCs w:val="24"/>
        </w:rPr>
        <w:t>保洁人员具有人社部门颁发的有害生物防制员证书的，每有一人得</w:t>
      </w:r>
      <w:r>
        <w:rPr>
          <w:rFonts w:ascii="宋体" w:hAnsi="宋体" w:eastAsia="宋体"/>
          <w:bCs/>
          <w:color w:val="000000"/>
          <w:sz w:val="24"/>
          <w:szCs w:val="24"/>
        </w:rPr>
        <w:t>1分，最高2分；</w:t>
      </w:r>
    </w:p>
    <w:p w14:paraId="59D566CB">
      <w:pPr>
        <w:spacing w:line="360" w:lineRule="auto"/>
        <w:ind w:firstLine="480" w:firstLineChars="200"/>
      </w:pPr>
      <w:r>
        <w:rPr>
          <w:rFonts w:hint="eastAsia" w:ascii="宋体" w:hAnsi="宋体" w:eastAsia="宋体" w:cs="Times New Roman"/>
          <w:b/>
          <w:bCs/>
          <w:sz w:val="24"/>
          <w:szCs w:val="24"/>
          <w:lang w:val="en-US" w:eastAsia="zh-CN"/>
        </w:rPr>
        <w:t>以上六项</w:t>
      </w:r>
      <w:r>
        <w:rPr>
          <w:rFonts w:hint="eastAsia" w:ascii="宋体" w:hAnsi="宋体" w:eastAsia="宋体" w:cs="Times New Roman"/>
          <w:b/>
          <w:bCs/>
          <w:sz w:val="24"/>
          <w:szCs w:val="24"/>
        </w:rPr>
        <w:t>须提供证书原件扫描并上传至系统中，否则不得分</w:t>
      </w:r>
      <w:r>
        <w:rPr>
          <w:rFonts w:hint="eastAsia" w:ascii="宋体" w:hAnsi="宋体" w:eastAsia="宋体" w:cs="Times New Roman"/>
          <w:bCs/>
          <w:sz w:val="24"/>
          <w:szCs w:val="24"/>
        </w:rPr>
        <w:t>。</w:t>
      </w:r>
    </w:p>
    <w:p w14:paraId="0321D942">
      <w:pPr>
        <w:tabs>
          <w:tab w:val="left" w:pos="510"/>
          <w:tab w:val="left" w:pos="945"/>
          <w:tab w:val="left" w:pos="987"/>
          <w:tab w:val="left" w:pos="1128"/>
          <w:tab w:val="left" w:pos="1155"/>
        </w:tabs>
        <w:spacing w:line="360" w:lineRule="auto"/>
        <w:ind w:firstLine="480" w:firstLineChars="200"/>
        <w:rPr>
          <w:rFonts w:ascii="宋体" w:hAnsi="宋体" w:eastAsia="宋体"/>
          <w:b/>
          <w:bCs/>
          <w:color w:val="000000"/>
          <w:sz w:val="24"/>
          <w:szCs w:val="24"/>
        </w:rPr>
      </w:pPr>
      <w:r>
        <w:rPr>
          <w:rFonts w:hint="eastAsia" w:ascii="宋体" w:hAnsi="宋体" w:eastAsia="宋体"/>
          <w:b/>
          <w:bCs/>
          <w:color w:val="000000"/>
          <w:sz w:val="24"/>
          <w:szCs w:val="24"/>
        </w:rPr>
        <w:t>3、投标人综合情况（</w:t>
      </w:r>
      <w:r>
        <w:rPr>
          <w:rFonts w:ascii="宋体" w:hAnsi="宋体" w:eastAsia="宋体"/>
          <w:b/>
          <w:bCs/>
          <w:color w:val="000000"/>
          <w:sz w:val="24"/>
          <w:szCs w:val="24"/>
        </w:rPr>
        <w:t>8</w:t>
      </w:r>
      <w:r>
        <w:rPr>
          <w:rFonts w:hint="eastAsia" w:ascii="宋体" w:hAnsi="宋体" w:eastAsia="宋体"/>
          <w:b/>
          <w:bCs/>
          <w:color w:val="000000"/>
          <w:sz w:val="24"/>
          <w:szCs w:val="24"/>
        </w:rPr>
        <w:t>分）</w:t>
      </w:r>
    </w:p>
    <w:p w14:paraId="05AB5F15">
      <w:pPr>
        <w:tabs>
          <w:tab w:val="left" w:pos="945"/>
          <w:tab w:val="left" w:pos="1155"/>
        </w:tabs>
        <w:spacing w:line="360" w:lineRule="auto"/>
        <w:ind w:firstLine="480" w:firstLineChars="200"/>
        <w:rPr>
          <w:rFonts w:ascii="宋体" w:hAnsi="宋体" w:eastAsia="宋体"/>
          <w:b/>
          <w:color w:val="000000"/>
          <w:sz w:val="24"/>
          <w:szCs w:val="24"/>
        </w:rPr>
      </w:pPr>
      <w:r>
        <w:rPr>
          <w:rFonts w:hint="eastAsia" w:ascii="宋体" w:hAnsi="宋体" w:eastAsia="宋体"/>
          <w:b/>
          <w:color w:val="000000"/>
          <w:sz w:val="24"/>
          <w:szCs w:val="24"/>
        </w:rPr>
        <w:t>（1）业绩（</w:t>
      </w:r>
      <w:r>
        <w:rPr>
          <w:rFonts w:ascii="宋体" w:hAnsi="宋体" w:eastAsia="宋体"/>
          <w:b/>
          <w:color w:val="000000"/>
          <w:sz w:val="24"/>
          <w:szCs w:val="24"/>
        </w:rPr>
        <w:t>2分）</w:t>
      </w:r>
    </w:p>
    <w:p w14:paraId="2C6542DD">
      <w:pPr>
        <w:tabs>
          <w:tab w:val="left" w:pos="945"/>
          <w:tab w:val="left" w:pos="1155"/>
        </w:tabs>
        <w:spacing w:line="360" w:lineRule="auto"/>
        <w:ind w:firstLine="480" w:firstLineChars="200"/>
        <w:rPr>
          <w:rFonts w:ascii="宋体" w:hAnsi="宋体" w:eastAsia="宋体"/>
          <w:b/>
          <w:color w:val="000000"/>
          <w:sz w:val="24"/>
          <w:szCs w:val="24"/>
        </w:rPr>
      </w:pPr>
      <w:r>
        <w:rPr>
          <w:rFonts w:ascii="宋体" w:hAnsi="宋体" w:eastAsia="宋体"/>
          <w:bCs/>
          <w:color w:val="000000"/>
          <w:sz w:val="24"/>
          <w:szCs w:val="24"/>
        </w:rPr>
        <w:t>投标人近三年具有与本</w:t>
      </w:r>
      <w:r>
        <w:rPr>
          <w:rFonts w:hint="eastAsia" w:ascii="宋体" w:hAnsi="宋体" w:eastAsia="宋体"/>
          <w:bCs/>
          <w:color w:val="000000"/>
          <w:sz w:val="24"/>
          <w:szCs w:val="24"/>
          <w:lang w:eastAsia="zh-CN"/>
        </w:rPr>
        <w:t>项目</w:t>
      </w:r>
      <w:r>
        <w:rPr>
          <w:rFonts w:hint="eastAsia" w:ascii="宋体" w:hAnsi="宋体" w:eastAsia="宋体"/>
          <w:bCs/>
          <w:color w:val="000000"/>
          <w:sz w:val="24"/>
          <w:szCs w:val="24"/>
          <w:lang w:val="en-US" w:eastAsia="zh-CN"/>
        </w:rPr>
        <w:t>同类</w:t>
      </w:r>
      <w:r>
        <w:rPr>
          <w:rFonts w:hint="eastAsia" w:ascii="宋体" w:hAnsi="宋体" w:eastAsia="宋体"/>
          <w:bCs/>
          <w:color w:val="000000"/>
          <w:sz w:val="24"/>
          <w:szCs w:val="24"/>
        </w:rPr>
        <w:t>的</w:t>
      </w:r>
      <w:r>
        <w:rPr>
          <w:rFonts w:ascii="宋体" w:hAnsi="宋体" w:eastAsia="宋体"/>
          <w:bCs/>
          <w:color w:val="000000"/>
          <w:sz w:val="24"/>
          <w:szCs w:val="24"/>
        </w:rPr>
        <w:t>项目案例的，每有一个得1分，最高2分</w:t>
      </w:r>
      <w:r>
        <w:rPr>
          <w:rFonts w:hint="eastAsia" w:ascii="宋体" w:hAnsi="宋体" w:eastAsia="宋体"/>
          <w:bCs/>
          <w:color w:val="000000"/>
          <w:sz w:val="24"/>
          <w:szCs w:val="24"/>
        </w:rPr>
        <w:t>，</w:t>
      </w:r>
      <w:r>
        <w:rPr>
          <w:rFonts w:ascii="宋体" w:hAnsi="宋体" w:eastAsia="宋体"/>
          <w:b/>
          <w:color w:val="000000"/>
          <w:sz w:val="24"/>
          <w:szCs w:val="24"/>
        </w:rPr>
        <w:t>须提供相应合同原件扫描并上传至系统中，续签的合同按一份合同认定，否则不得分。</w:t>
      </w:r>
    </w:p>
    <w:p w14:paraId="1C3ED613">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（2）体系认证（</w:t>
      </w:r>
      <w:r>
        <w:rPr>
          <w:rFonts w:ascii="宋体" w:hAnsi="宋体" w:eastAsia="宋体" w:cs="Times New Roman"/>
          <w:b/>
          <w:sz w:val="24"/>
          <w:szCs w:val="24"/>
        </w:rPr>
        <w:t>2</w:t>
      </w:r>
      <w:r>
        <w:rPr>
          <w:rFonts w:hint="eastAsia" w:ascii="宋体" w:hAnsi="宋体" w:eastAsia="宋体" w:cs="Times New Roman"/>
          <w:b/>
          <w:sz w:val="24"/>
          <w:szCs w:val="24"/>
        </w:rPr>
        <w:t>分）</w:t>
      </w:r>
    </w:p>
    <w:p w14:paraId="004D008F">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bCs/>
          <w:sz w:val="24"/>
          <w:szCs w:val="24"/>
        </w:rPr>
        <w:t>投标人具有有效期内的：质量管理体系认证证书、环境管理体系认证证书、职业安全健康管理体系认证证书、能源管理体系认证证书，每有上述一种证书的得</w:t>
      </w:r>
      <w:r>
        <w:rPr>
          <w:rFonts w:ascii="宋体" w:hAnsi="宋体" w:eastAsia="宋体" w:cs="Times New Roman"/>
          <w:bCs/>
          <w:sz w:val="24"/>
          <w:szCs w:val="24"/>
        </w:rPr>
        <w:t>0.5</w:t>
      </w:r>
      <w:r>
        <w:rPr>
          <w:rFonts w:hint="eastAsia" w:ascii="宋体" w:hAnsi="宋体" w:eastAsia="宋体" w:cs="Times New Roman"/>
          <w:bCs/>
          <w:sz w:val="24"/>
          <w:szCs w:val="24"/>
        </w:rPr>
        <w:t>分，最高</w:t>
      </w:r>
      <w:r>
        <w:rPr>
          <w:rFonts w:ascii="宋体" w:hAnsi="宋体" w:eastAsia="宋体" w:cs="Times New Roman"/>
          <w:bCs/>
          <w:sz w:val="24"/>
          <w:szCs w:val="24"/>
        </w:rPr>
        <w:t>2</w:t>
      </w:r>
      <w:r>
        <w:rPr>
          <w:rFonts w:hint="eastAsia" w:ascii="宋体" w:hAnsi="宋体" w:eastAsia="宋体" w:cs="Times New Roman"/>
          <w:bCs/>
          <w:sz w:val="24"/>
          <w:szCs w:val="24"/>
        </w:rPr>
        <w:t>分；</w:t>
      </w:r>
      <w:r>
        <w:rPr>
          <w:rFonts w:hint="eastAsia" w:ascii="宋体" w:hAnsi="宋体" w:eastAsia="宋体" w:cs="Times New Roman"/>
          <w:b/>
          <w:bCs/>
          <w:sz w:val="24"/>
          <w:szCs w:val="24"/>
        </w:rPr>
        <w:t>须提供相应认证证书原件扫描并上传至系统中，否则不得分。</w:t>
      </w:r>
    </w:p>
    <w:p w14:paraId="4545A512">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（3）投标人荣誉（</w:t>
      </w:r>
      <w:r>
        <w:rPr>
          <w:rFonts w:ascii="宋体" w:hAnsi="宋体" w:eastAsia="宋体" w:cs="Times New Roman"/>
          <w:b/>
          <w:sz w:val="24"/>
          <w:szCs w:val="24"/>
        </w:rPr>
        <w:t>2分）</w:t>
      </w:r>
    </w:p>
    <w:p w14:paraId="281D4F51">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t>投标人自2022年1月1日以来，管理物业项目获得省（直辖市）级及以上行政主管部门颁发的</w:t>
      </w:r>
      <w:r>
        <w:rPr>
          <w:rFonts w:hint="eastAsia" w:ascii="宋体" w:hAnsi="宋体" w:eastAsia="宋体"/>
          <w:bCs/>
          <w:color w:val="000000"/>
          <w:sz w:val="24"/>
          <w:szCs w:val="24"/>
        </w:rPr>
        <w:t>“</w:t>
      </w:r>
      <w:r>
        <w:rPr>
          <w:rFonts w:ascii="宋体" w:hAnsi="宋体" w:eastAsia="宋体"/>
          <w:bCs/>
          <w:color w:val="000000"/>
          <w:sz w:val="24"/>
          <w:szCs w:val="24"/>
        </w:rPr>
        <w:t>物业管理优秀或示范项目”的，有1个得1分；获得市级行政主管部门颁发的“物业管理优秀或示范项目”的，有1个得0.5分，本项最高得2分</w:t>
      </w:r>
      <w:r>
        <w:rPr>
          <w:rFonts w:ascii="宋体" w:hAnsi="宋体" w:eastAsia="宋体"/>
          <w:b/>
          <w:color w:val="000000"/>
          <w:sz w:val="24"/>
          <w:szCs w:val="24"/>
        </w:rPr>
        <w:t>（注：同一项目不重复计分，按最高得分计。政府红头文件证明或获奖证书原件扫描并上传系统，不提供不得分）</w:t>
      </w:r>
      <w:r>
        <w:rPr>
          <w:rFonts w:ascii="宋体" w:hAnsi="宋体" w:eastAsia="宋体"/>
          <w:bCs/>
          <w:color w:val="000000"/>
          <w:sz w:val="24"/>
          <w:szCs w:val="24"/>
        </w:rPr>
        <w:t>。</w:t>
      </w:r>
    </w:p>
    <w:p w14:paraId="65F40D5F">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（4）信息化服务（</w:t>
      </w:r>
      <w:r>
        <w:rPr>
          <w:rFonts w:ascii="宋体" w:hAnsi="宋体" w:eastAsia="宋体" w:cs="Times New Roman"/>
          <w:b/>
          <w:sz w:val="24"/>
          <w:szCs w:val="24"/>
        </w:rPr>
        <w:t>1</w:t>
      </w:r>
      <w:r>
        <w:rPr>
          <w:rFonts w:hint="eastAsia" w:ascii="宋体" w:hAnsi="宋体" w:eastAsia="宋体" w:cs="Times New Roman"/>
          <w:b/>
          <w:sz w:val="24"/>
          <w:szCs w:val="24"/>
        </w:rPr>
        <w:t>分）</w:t>
      </w:r>
    </w:p>
    <w:p w14:paraId="5F67848A">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bCs/>
          <w:sz w:val="24"/>
          <w:szCs w:val="24"/>
        </w:rPr>
        <w:t>投标人使用信息化管理系统软件管理方式的得</w:t>
      </w:r>
      <w:r>
        <w:rPr>
          <w:rFonts w:ascii="宋体" w:hAnsi="宋体" w:eastAsia="宋体" w:cs="Times New Roman"/>
          <w:bCs/>
          <w:sz w:val="24"/>
          <w:szCs w:val="24"/>
        </w:rPr>
        <w:t>1</w:t>
      </w:r>
      <w:r>
        <w:rPr>
          <w:rFonts w:hint="eastAsia" w:ascii="宋体" w:hAnsi="宋体" w:eastAsia="宋体" w:cs="Times New Roman"/>
          <w:bCs/>
          <w:sz w:val="24"/>
          <w:szCs w:val="24"/>
        </w:rPr>
        <w:t>分；</w:t>
      </w:r>
      <w:r>
        <w:rPr>
          <w:rFonts w:hint="eastAsia" w:ascii="宋体" w:hAnsi="宋体" w:eastAsia="宋体" w:cs="Times New Roman"/>
          <w:b/>
          <w:bCs/>
          <w:sz w:val="24"/>
          <w:szCs w:val="24"/>
        </w:rPr>
        <w:t>须提供信息化系统软件维护期内的采购合同原件和发票原件扫描并上传至系统中，如是自主开发的软件则须提供软件著作权登记证书原件扫描并上传至系统中，否则不得分。</w:t>
      </w:r>
    </w:p>
    <w:p w14:paraId="01F693CB">
      <w:pPr>
        <w:tabs>
          <w:tab w:val="left" w:pos="510"/>
          <w:tab w:val="left" w:pos="945"/>
          <w:tab w:val="left" w:pos="1155"/>
          <w:tab w:val="left" w:pos="1554"/>
        </w:tabs>
        <w:spacing w:line="360" w:lineRule="auto"/>
        <w:ind w:firstLine="480" w:firstLineChars="20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、服务方案（44分）：</w:t>
      </w:r>
    </w:p>
    <w:p w14:paraId="6C9155EA">
      <w:pPr>
        <w:tabs>
          <w:tab w:val="left" w:pos="510"/>
          <w:tab w:val="left" w:pos="945"/>
          <w:tab w:val="left" w:pos="1155"/>
          <w:tab w:val="left" w:pos="1554"/>
        </w:tabs>
        <w:spacing w:line="360" w:lineRule="auto"/>
        <w:ind w:firstLine="480" w:firstLineChars="200"/>
        <w:rPr>
          <w:rFonts w:ascii="宋体" w:hAnsi="宋体" w:eastAsia="宋体" w:cs="Times New Roman"/>
          <w:b/>
          <w:bCs/>
          <w:sz w:val="24"/>
          <w:szCs w:val="24"/>
        </w:rPr>
      </w:pPr>
      <w:r>
        <w:rPr>
          <w:rFonts w:hint="eastAsia" w:ascii="宋体" w:hAnsi="宋体" w:eastAsia="宋体" w:cs="Times New Roman"/>
          <w:bCs/>
          <w:sz w:val="24"/>
          <w:szCs w:val="20"/>
        </w:rPr>
        <w:t>在响应招标文件需求的基础上针对下列各部分进行评价，要求体现科学合理性、条理性、可行性、完善性、针对性，以下各部分如未见阐述则不得分：</w:t>
      </w:r>
    </w:p>
    <w:p w14:paraId="6A3255E9">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（1）目标及整体设想（</w:t>
      </w:r>
      <w:r>
        <w:rPr>
          <w:rFonts w:ascii="宋体" w:hAnsi="宋体" w:eastAsia="宋体" w:cs="Times New Roman"/>
          <w:b/>
          <w:sz w:val="24"/>
          <w:szCs w:val="24"/>
        </w:rPr>
        <w:t>4分）：根据方案进行打分。</w:t>
      </w:r>
    </w:p>
    <w:p w14:paraId="3AFAD29C">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1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①</w:t>
      </w:r>
      <w:r>
        <w:rPr>
          <w:rFonts w:ascii="宋体" w:hAnsi="宋体" w:eastAsia="宋体" w:cs="Times New Roman"/>
          <w:bCs/>
          <w:sz w:val="24"/>
          <w:szCs w:val="20"/>
        </w:rPr>
        <w:fldChar w:fldCharType="end"/>
      </w:r>
      <w:r>
        <w:rPr>
          <w:rFonts w:ascii="宋体" w:hAnsi="宋体" w:eastAsia="宋体" w:cs="Times New Roman"/>
          <w:bCs/>
          <w:sz w:val="24"/>
          <w:szCs w:val="20"/>
        </w:rPr>
        <w:t>方案清晰、合理、详细、全面、针对性强、可行性强的，得4分；</w:t>
      </w:r>
    </w:p>
    <w:p w14:paraId="436E72E7">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2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②</w:t>
      </w:r>
      <w:r>
        <w:rPr>
          <w:rFonts w:ascii="宋体" w:hAnsi="宋体" w:eastAsia="宋体" w:cs="Times New Roman"/>
          <w:bCs/>
          <w:sz w:val="24"/>
          <w:szCs w:val="20"/>
        </w:rPr>
        <w:fldChar w:fldCharType="end"/>
      </w:r>
      <w:r>
        <w:rPr>
          <w:rFonts w:ascii="宋体" w:hAnsi="宋体" w:eastAsia="宋体" w:cs="Times New Roman"/>
          <w:bCs/>
          <w:sz w:val="24"/>
          <w:szCs w:val="20"/>
        </w:rPr>
        <w:t>方案较清晰、较合理、较详细、较全面、针对性较强、可行性较强的，得3分；</w:t>
      </w:r>
    </w:p>
    <w:p w14:paraId="7F3AE5A6">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3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③</w:t>
      </w:r>
      <w:r>
        <w:rPr>
          <w:rFonts w:ascii="宋体" w:hAnsi="宋体" w:eastAsia="宋体" w:cs="Times New Roman"/>
          <w:bCs/>
          <w:sz w:val="24"/>
          <w:szCs w:val="20"/>
        </w:rPr>
        <w:fldChar w:fldCharType="end"/>
      </w:r>
      <w:r>
        <w:rPr>
          <w:rFonts w:ascii="宋体" w:hAnsi="宋体" w:eastAsia="宋体" w:cs="Times New Roman"/>
          <w:bCs/>
          <w:sz w:val="24"/>
          <w:szCs w:val="20"/>
        </w:rPr>
        <w:t>方案清晰度一般、合理性一般、详细性一般、全面性一般、针对性一般、可行性一般的，得2分；</w:t>
      </w:r>
    </w:p>
    <w:p w14:paraId="0CFBDC7E">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4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④</w:t>
      </w:r>
      <w:r>
        <w:rPr>
          <w:rFonts w:ascii="宋体" w:hAnsi="宋体" w:eastAsia="宋体" w:cs="Times New Roman"/>
          <w:bCs/>
          <w:sz w:val="24"/>
          <w:szCs w:val="20"/>
        </w:rPr>
        <w:fldChar w:fldCharType="end"/>
      </w:r>
      <w:r>
        <w:rPr>
          <w:rFonts w:ascii="宋体" w:hAnsi="宋体" w:eastAsia="宋体" w:cs="Times New Roman"/>
          <w:bCs/>
          <w:sz w:val="24"/>
          <w:szCs w:val="20"/>
        </w:rPr>
        <w:t>方案基本详细全面、基本合理、具有基本可行性的，得1分。</w:t>
      </w:r>
    </w:p>
    <w:p w14:paraId="6BA2D3E3">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（2）管理服务体系（</w:t>
      </w:r>
      <w:r>
        <w:rPr>
          <w:rFonts w:ascii="宋体" w:hAnsi="宋体" w:eastAsia="宋体" w:cs="Times New Roman"/>
          <w:b/>
          <w:sz w:val="24"/>
          <w:szCs w:val="24"/>
        </w:rPr>
        <w:t>3分）：根据方案进行打分。</w:t>
      </w:r>
    </w:p>
    <w:p w14:paraId="298FBA94">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1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①</w:t>
      </w:r>
      <w:r>
        <w:rPr>
          <w:rFonts w:ascii="宋体" w:hAnsi="宋体" w:eastAsia="宋体" w:cs="Times New Roman"/>
          <w:bCs/>
          <w:sz w:val="24"/>
          <w:szCs w:val="20"/>
        </w:rPr>
        <w:fldChar w:fldCharType="end"/>
      </w:r>
      <w:r>
        <w:rPr>
          <w:rFonts w:ascii="宋体" w:hAnsi="宋体" w:eastAsia="宋体" w:cs="Times New Roman"/>
          <w:bCs/>
          <w:sz w:val="24"/>
          <w:szCs w:val="20"/>
        </w:rPr>
        <w:t>方案清晰、合理、详细、全面、针对性强、可行性强的，得3分；</w:t>
      </w:r>
    </w:p>
    <w:p w14:paraId="09F59975">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2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②</w:t>
      </w:r>
      <w:r>
        <w:rPr>
          <w:rFonts w:ascii="宋体" w:hAnsi="宋体" w:eastAsia="宋体" w:cs="Times New Roman"/>
          <w:bCs/>
          <w:sz w:val="24"/>
          <w:szCs w:val="20"/>
        </w:rPr>
        <w:fldChar w:fldCharType="end"/>
      </w:r>
      <w:r>
        <w:rPr>
          <w:rFonts w:ascii="宋体" w:hAnsi="宋体" w:eastAsia="宋体" w:cs="Times New Roman"/>
          <w:bCs/>
          <w:sz w:val="24"/>
          <w:szCs w:val="20"/>
        </w:rPr>
        <w:t>方案较清晰、较合理、较详细、较全面、针对性较强、可行性较强的，得2分；</w:t>
      </w:r>
    </w:p>
    <w:p w14:paraId="2E0CE13E">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3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③</w:t>
      </w:r>
      <w:r>
        <w:rPr>
          <w:rFonts w:ascii="宋体" w:hAnsi="宋体" w:eastAsia="宋体" w:cs="Times New Roman"/>
          <w:bCs/>
          <w:sz w:val="24"/>
          <w:szCs w:val="20"/>
        </w:rPr>
        <w:fldChar w:fldCharType="end"/>
      </w:r>
      <w:r>
        <w:rPr>
          <w:rFonts w:ascii="宋体" w:hAnsi="宋体" w:eastAsia="宋体" w:cs="Times New Roman"/>
          <w:bCs/>
          <w:sz w:val="24"/>
          <w:szCs w:val="20"/>
        </w:rPr>
        <w:t>方案清晰度一般、合理性一般、详细性一般、全面性一般、针对性一般、可行性一般的，得1.5分；</w:t>
      </w:r>
    </w:p>
    <w:p w14:paraId="3A0989A8">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4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④</w:t>
      </w:r>
      <w:r>
        <w:rPr>
          <w:rFonts w:ascii="宋体" w:hAnsi="宋体" w:eastAsia="宋体" w:cs="Times New Roman"/>
          <w:bCs/>
          <w:sz w:val="24"/>
          <w:szCs w:val="20"/>
        </w:rPr>
        <w:fldChar w:fldCharType="end"/>
      </w:r>
      <w:r>
        <w:rPr>
          <w:rFonts w:ascii="宋体" w:hAnsi="宋体" w:eastAsia="宋体" w:cs="Times New Roman"/>
          <w:bCs/>
          <w:sz w:val="24"/>
          <w:szCs w:val="20"/>
        </w:rPr>
        <w:t>方案基本详细全面、基本合理、具有基本可行性的，得1分。</w:t>
      </w:r>
    </w:p>
    <w:p w14:paraId="19B652B9">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（3）</w:t>
      </w:r>
      <w:r>
        <w:rPr>
          <w:rFonts w:ascii="宋体" w:hAnsi="宋体" w:eastAsia="宋体" w:cs="Times New Roman"/>
          <w:b/>
          <w:sz w:val="24"/>
          <w:szCs w:val="24"/>
        </w:rPr>
        <w:t>岗前培训及阶段性培训管理（4分）：根据方案进行打分。</w:t>
      </w:r>
    </w:p>
    <w:p w14:paraId="08EFCD5F">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1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①</w:t>
      </w:r>
      <w:r>
        <w:rPr>
          <w:rFonts w:ascii="宋体" w:hAnsi="宋体" w:eastAsia="宋体" w:cs="Times New Roman"/>
          <w:bCs/>
          <w:sz w:val="24"/>
          <w:szCs w:val="20"/>
        </w:rPr>
        <w:fldChar w:fldCharType="end"/>
      </w:r>
      <w:r>
        <w:rPr>
          <w:rFonts w:ascii="宋体" w:hAnsi="宋体" w:eastAsia="宋体" w:cs="Times New Roman"/>
          <w:bCs/>
          <w:sz w:val="24"/>
          <w:szCs w:val="20"/>
        </w:rPr>
        <w:t>方案清晰、合理、详细、全面、针对性强、可行性强的，得4分；</w:t>
      </w:r>
    </w:p>
    <w:p w14:paraId="72A668FC">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2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②</w:t>
      </w:r>
      <w:r>
        <w:rPr>
          <w:rFonts w:ascii="宋体" w:hAnsi="宋体" w:eastAsia="宋体" w:cs="Times New Roman"/>
          <w:bCs/>
          <w:sz w:val="24"/>
          <w:szCs w:val="20"/>
        </w:rPr>
        <w:fldChar w:fldCharType="end"/>
      </w:r>
      <w:r>
        <w:rPr>
          <w:rFonts w:ascii="宋体" w:hAnsi="宋体" w:eastAsia="宋体" w:cs="Times New Roman"/>
          <w:bCs/>
          <w:sz w:val="24"/>
          <w:szCs w:val="20"/>
        </w:rPr>
        <w:t>方案较清晰、较合理、较详细、较全面、针对性较强、可行性较强的，得3分；</w:t>
      </w:r>
    </w:p>
    <w:p w14:paraId="75168394">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3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③</w:t>
      </w:r>
      <w:r>
        <w:rPr>
          <w:rFonts w:ascii="宋体" w:hAnsi="宋体" w:eastAsia="宋体" w:cs="Times New Roman"/>
          <w:bCs/>
          <w:sz w:val="24"/>
          <w:szCs w:val="20"/>
        </w:rPr>
        <w:fldChar w:fldCharType="end"/>
      </w:r>
      <w:r>
        <w:rPr>
          <w:rFonts w:ascii="宋体" w:hAnsi="宋体" w:eastAsia="宋体" w:cs="Times New Roman"/>
          <w:bCs/>
          <w:sz w:val="24"/>
          <w:szCs w:val="20"/>
        </w:rPr>
        <w:t>方案清晰度一般、合理性一般、详细性一般、全面性一般、针对性一般、可行性一般的，得2分；</w:t>
      </w:r>
    </w:p>
    <w:p w14:paraId="7BC2C4AA">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4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④</w:t>
      </w:r>
      <w:r>
        <w:rPr>
          <w:rFonts w:ascii="宋体" w:hAnsi="宋体" w:eastAsia="宋体" w:cs="Times New Roman"/>
          <w:bCs/>
          <w:sz w:val="24"/>
          <w:szCs w:val="20"/>
        </w:rPr>
        <w:fldChar w:fldCharType="end"/>
      </w:r>
      <w:r>
        <w:rPr>
          <w:rFonts w:ascii="宋体" w:hAnsi="宋体" w:eastAsia="宋体" w:cs="Times New Roman"/>
          <w:bCs/>
          <w:sz w:val="24"/>
          <w:szCs w:val="20"/>
        </w:rPr>
        <w:t>方案基本详细全面、基本合理、具有基本可行性的，得1分。</w:t>
      </w:r>
    </w:p>
    <w:p w14:paraId="59678420">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（4）</w:t>
      </w:r>
      <w:r>
        <w:rPr>
          <w:rFonts w:ascii="宋体" w:hAnsi="宋体" w:eastAsia="宋体" w:cs="Times New Roman"/>
          <w:b/>
          <w:sz w:val="24"/>
          <w:szCs w:val="24"/>
        </w:rPr>
        <w:t>日常管理标准及措施（4分）：根据方案进行打分。</w:t>
      </w:r>
    </w:p>
    <w:p w14:paraId="59ABCEE5">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bookmarkStart w:id="151" w:name="_Hlk181951999"/>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1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①</w:t>
      </w:r>
      <w:r>
        <w:rPr>
          <w:rFonts w:ascii="宋体" w:hAnsi="宋体" w:eastAsia="宋体" w:cs="Times New Roman"/>
          <w:bCs/>
          <w:sz w:val="24"/>
          <w:szCs w:val="20"/>
        </w:rPr>
        <w:fldChar w:fldCharType="end"/>
      </w:r>
      <w:r>
        <w:rPr>
          <w:rFonts w:ascii="宋体" w:hAnsi="宋体" w:eastAsia="宋体" w:cs="Times New Roman"/>
          <w:bCs/>
          <w:sz w:val="24"/>
          <w:szCs w:val="20"/>
        </w:rPr>
        <w:t>方案清晰、合理、详细、全面、针对性强、可行性强的，得4分；</w:t>
      </w:r>
    </w:p>
    <w:p w14:paraId="2F2D0321">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2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②</w:t>
      </w:r>
      <w:r>
        <w:rPr>
          <w:rFonts w:ascii="宋体" w:hAnsi="宋体" w:eastAsia="宋体" w:cs="Times New Roman"/>
          <w:bCs/>
          <w:sz w:val="24"/>
          <w:szCs w:val="20"/>
        </w:rPr>
        <w:fldChar w:fldCharType="end"/>
      </w:r>
      <w:r>
        <w:rPr>
          <w:rFonts w:ascii="宋体" w:hAnsi="宋体" w:eastAsia="宋体" w:cs="Times New Roman"/>
          <w:bCs/>
          <w:sz w:val="24"/>
          <w:szCs w:val="20"/>
        </w:rPr>
        <w:t>方案较清晰、较合理、较详细、较全面、针对性较强、可行性较强的，得3分；</w:t>
      </w:r>
    </w:p>
    <w:p w14:paraId="6CDDDDF4">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3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③</w:t>
      </w:r>
      <w:r>
        <w:rPr>
          <w:rFonts w:ascii="宋体" w:hAnsi="宋体" w:eastAsia="宋体" w:cs="Times New Roman"/>
          <w:bCs/>
          <w:sz w:val="24"/>
          <w:szCs w:val="20"/>
        </w:rPr>
        <w:fldChar w:fldCharType="end"/>
      </w:r>
      <w:r>
        <w:rPr>
          <w:rFonts w:ascii="宋体" w:hAnsi="宋体" w:eastAsia="宋体" w:cs="Times New Roman"/>
          <w:bCs/>
          <w:sz w:val="24"/>
          <w:szCs w:val="20"/>
        </w:rPr>
        <w:t>方案清晰度一般、合理性一般、详细性一般、全面性一般、针对性一般、可行性一般的，得2分；</w:t>
      </w:r>
    </w:p>
    <w:p w14:paraId="1698D919">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4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④</w:t>
      </w:r>
      <w:r>
        <w:rPr>
          <w:rFonts w:ascii="宋体" w:hAnsi="宋体" w:eastAsia="宋体" w:cs="Times New Roman"/>
          <w:bCs/>
          <w:sz w:val="24"/>
          <w:szCs w:val="20"/>
        </w:rPr>
        <w:fldChar w:fldCharType="end"/>
      </w:r>
      <w:r>
        <w:rPr>
          <w:rFonts w:ascii="宋体" w:hAnsi="宋体" w:eastAsia="宋体" w:cs="Times New Roman"/>
          <w:bCs/>
          <w:sz w:val="24"/>
          <w:szCs w:val="20"/>
        </w:rPr>
        <w:t>方案基本详细全面、基本合理、具有基本可行性的，得1分。</w:t>
      </w:r>
    </w:p>
    <w:bookmarkEnd w:id="151"/>
    <w:p w14:paraId="6E39463C">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（5）</w:t>
      </w:r>
      <w:r>
        <w:rPr>
          <w:rFonts w:ascii="宋体" w:hAnsi="宋体" w:eastAsia="宋体" w:cs="Times New Roman"/>
          <w:b/>
          <w:sz w:val="24"/>
          <w:szCs w:val="24"/>
        </w:rPr>
        <w:t>管理规章制度（4分）：根据方案进行打分。</w:t>
      </w:r>
    </w:p>
    <w:p w14:paraId="310D36C3">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1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①</w:t>
      </w:r>
      <w:r>
        <w:rPr>
          <w:rFonts w:ascii="宋体" w:hAnsi="宋体" w:eastAsia="宋体" w:cs="Times New Roman"/>
          <w:bCs/>
          <w:sz w:val="24"/>
          <w:szCs w:val="20"/>
        </w:rPr>
        <w:fldChar w:fldCharType="end"/>
      </w:r>
      <w:r>
        <w:rPr>
          <w:rFonts w:ascii="宋体" w:hAnsi="宋体" w:eastAsia="宋体" w:cs="Times New Roman"/>
          <w:bCs/>
          <w:sz w:val="24"/>
          <w:szCs w:val="20"/>
        </w:rPr>
        <w:t>方案清晰、合理、详细、全面、针对性强、可行性强的，得4分；</w:t>
      </w:r>
    </w:p>
    <w:p w14:paraId="62FA9661">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2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②</w:t>
      </w:r>
      <w:r>
        <w:rPr>
          <w:rFonts w:ascii="宋体" w:hAnsi="宋体" w:eastAsia="宋体" w:cs="Times New Roman"/>
          <w:bCs/>
          <w:sz w:val="24"/>
          <w:szCs w:val="20"/>
        </w:rPr>
        <w:fldChar w:fldCharType="end"/>
      </w:r>
      <w:r>
        <w:rPr>
          <w:rFonts w:ascii="宋体" w:hAnsi="宋体" w:eastAsia="宋体" w:cs="Times New Roman"/>
          <w:bCs/>
          <w:sz w:val="24"/>
          <w:szCs w:val="20"/>
        </w:rPr>
        <w:t>方案较清晰、较合理、较详细、较全面、针对性较强、可行性较强的，得3分；</w:t>
      </w:r>
    </w:p>
    <w:p w14:paraId="4267E247">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3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③</w:t>
      </w:r>
      <w:r>
        <w:rPr>
          <w:rFonts w:ascii="宋体" w:hAnsi="宋体" w:eastAsia="宋体" w:cs="Times New Roman"/>
          <w:bCs/>
          <w:sz w:val="24"/>
          <w:szCs w:val="20"/>
        </w:rPr>
        <w:fldChar w:fldCharType="end"/>
      </w:r>
      <w:r>
        <w:rPr>
          <w:rFonts w:ascii="宋体" w:hAnsi="宋体" w:eastAsia="宋体" w:cs="Times New Roman"/>
          <w:bCs/>
          <w:sz w:val="24"/>
          <w:szCs w:val="20"/>
        </w:rPr>
        <w:t>方案清晰度一般、合理性一般、详细性一般、全面性一般、针对性一般、可行性一般的，得2分；</w:t>
      </w:r>
    </w:p>
    <w:p w14:paraId="26608BDF">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4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④</w:t>
      </w:r>
      <w:r>
        <w:rPr>
          <w:rFonts w:ascii="宋体" w:hAnsi="宋体" w:eastAsia="宋体" w:cs="Times New Roman"/>
          <w:bCs/>
          <w:sz w:val="24"/>
          <w:szCs w:val="20"/>
        </w:rPr>
        <w:fldChar w:fldCharType="end"/>
      </w:r>
      <w:r>
        <w:rPr>
          <w:rFonts w:ascii="宋体" w:hAnsi="宋体" w:eastAsia="宋体" w:cs="Times New Roman"/>
          <w:bCs/>
          <w:sz w:val="24"/>
          <w:szCs w:val="20"/>
        </w:rPr>
        <w:t>方案基本详细全面、基本合理、具有基本可行性的，得1分。</w:t>
      </w:r>
    </w:p>
    <w:p w14:paraId="4E428728">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（6）</w:t>
      </w:r>
      <w:r>
        <w:rPr>
          <w:rFonts w:ascii="宋体" w:hAnsi="宋体" w:eastAsia="宋体" w:cs="Times New Roman"/>
          <w:b/>
          <w:sz w:val="24"/>
          <w:szCs w:val="24"/>
        </w:rPr>
        <w:t>物资装备的配备及维保使用方案（2分）：根据方案进行打分。</w:t>
      </w:r>
    </w:p>
    <w:p w14:paraId="6947F98C">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1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①</w:t>
      </w:r>
      <w:r>
        <w:rPr>
          <w:rFonts w:ascii="宋体" w:hAnsi="宋体" w:eastAsia="宋体"/>
          <w:bCs/>
          <w:color w:val="000000"/>
          <w:sz w:val="24"/>
          <w:szCs w:val="24"/>
        </w:rPr>
        <w:fldChar w:fldCharType="end"/>
      </w:r>
      <w:r>
        <w:rPr>
          <w:rFonts w:ascii="宋体" w:hAnsi="宋体" w:eastAsia="宋体"/>
          <w:bCs/>
          <w:color w:val="000000"/>
          <w:sz w:val="24"/>
          <w:szCs w:val="24"/>
        </w:rPr>
        <w:t>方案清晰、合理、详细、全面、针对性强、可行性强的，得2分；</w:t>
      </w:r>
    </w:p>
    <w:p w14:paraId="093D5EE8">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2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②</w:t>
      </w:r>
      <w:r>
        <w:rPr>
          <w:rFonts w:ascii="宋体" w:hAnsi="宋体" w:eastAsia="宋体"/>
          <w:bCs/>
          <w:color w:val="000000"/>
          <w:sz w:val="24"/>
          <w:szCs w:val="24"/>
        </w:rPr>
        <w:fldChar w:fldCharType="end"/>
      </w:r>
      <w:r>
        <w:rPr>
          <w:rFonts w:ascii="宋体" w:hAnsi="宋体" w:eastAsia="宋体"/>
          <w:bCs/>
          <w:color w:val="000000"/>
          <w:sz w:val="24"/>
          <w:szCs w:val="24"/>
        </w:rPr>
        <w:t>方案清晰度一般、合理性一般、详细性一般、全面性一般、针对性一般、可行性一般的，得1.5分；</w:t>
      </w:r>
    </w:p>
    <w:p w14:paraId="126EA51A">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3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③</w:t>
      </w:r>
      <w:r>
        <w:rPr>
          <w:rFonts w:ascii="宋体" w:hAnsi="宋体" w:eastAsia="宋体"/>
          <w:bCs/>
          <w:color w:val="000000"/>
          <w:sz w:val="24"/>
          <w:szCs w:val="24"/>
        </w:rPr>
        <w:fldChar w:fldCharType="end"/>
      </w:r>
      <w:r>
        <w:rPr>
          <w:rFonts w:ascii="宋体" w:hAnsi="宋体" w:eastAsia="宋体"/>
          <w:bCs/>
          <w:color w:val="000000"/>
          <w:sz w:val="24"/>
          <w:szCs w:val="24"/>
        </w:rPr>
        <w:t>方案基本详细全面、基本合理、具有基本可行性的，得1分。</w:t>
      </w:r>
    </w:p>
    <w:p w14:paraId="39C0A07A">
      <w:pPr>
        <w:spacing w:line="360" w:lineRule="auto"/>
        <w:ind w:firstLine="480" w:firstLineChars="200"/>
        <w:rPr>
          <w:rFonts w:ascii="宋体" w:hAnsi="宋体" w:eastAsia="宋体"/>
          <w:bCs/>
          <w:color w:val="000000"/>
          <w:sz w:val="24"/>
          <w:szCs w:val="24"/>
        </w:rPr>
      </w:pPr>
      <w:r>
        <w:rPr>
          <w:rFonts w:hint="eastAsia" w:ascii="宋体" w:hAnsi="宋体" w:eastAsia="宋体" w:cs="Times New Roman"/>
          <w:b/>
          <w:sz w:val="24"/>
          <w:szCs w:val="24"/>
        </w:rPr>
        <w:t>（7）</w:t>
      </w:r>
      <w:r>
        <w:rPr>
          <w:rFonts w:ascii="宋体" w:hAnsi="宋体" w:eastAsia="宋体" w:cs="Times New Roman"/>
          <w:b/>
          <w:sz w:val="24"/>
          <w:szCs w:val="24"/>
        </w:rPr>
        <w:t>管理重点难点和措施（3分）：根据方案进行打分。</w:t>
      </w:r>
    </w:p>
    <w:p w14:paraId="25F04900">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bookmarkStart w:id="152" w:name="_Hlk181952104"/>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1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①</w:t>
      </w:r>
      <w:r>
        <w:rPr>
          <w:rFonts w:ascii="宋体" w:hAnsi="宋体" w:eastAsia="宋体" w:cs="Times New Roman"/>
          <w:bCs/>
          <w:sz w:val="24"/>
          <w:szCs w:val="20"/>
        </w:rPr>
        <w:fldChar w:fldCharType="end"/>
      </w:r>
      <w:r>
        <w:rPr>
          <w:rFonts w:ascii="宋体" w:hAnsi="宋体" w:eastAsia="宋体" w:cs="Times New Roman"/>
          <w:bCs/>
          <w:sz w:val="24"/>
          <w:szCs w:val="20"/>
        </w:rPr>
        <w:t>方案清晰、合理、详细、全面、针对性强、可行性强的，得3分；</w:t>
      </w:r>
    </w:p>
    <w:p w14:paraId="0E2D5447">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2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②</w:t>
      </w:r>
      <w:r>
        <w:rPr>
          <w:rFonts w:ascii="宋体" w:hAnsi="宋体" w:eastAsia="宋体" w:cs="Times New Roman"/>
          <w:bCs/>
          <w:sz w:val="24"/>
          <w:szCs w:val="20"/>
        </w:rPr>
        <w:fldChar w:fldCharType="end"/>
      </w:r>
      <w:r>
        <w:rPr>
          <w:rFonts w:ascii="宋体" w:hAnsi="宋体" w:eastAsia="宋体" w:cs="Times New Roman"/>
          <w:bCs/>
          <w:sz w:val="24"/>
          <w:szCs w:val="20"/>
        </w:rPr>
        <w:t>方案较清晰、较合理、较详细、较全面、针对性较强、可行性较强的，得2分；</w:t>
      </w:r>
    </w:p>
    <w:p w14:paraId="7C06E202">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3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③</w:t>
      </w:r>
      <w:r>
        <w:rPr>
          <w:rFonts w:ascii="宋体" w:hAnsi="宋体" w:eastAsia="宋体" w:cs="Times New Roman"/>
          <w:bCs/>
          <w:sz w:val="24"/>
          <w:szCs w:val="20"/>
        </w:rPr>
        <w:fldChar w:fldCharType="end"/>
      </w:r>
      <w:r>
        <w:rPr>
          <w:rFonts w:ascii="宋体" w:hAnsi="宋体" w:eastAsia="宋体" w:cs="Times New Roman"/>
          <w:bCs/>
          <w:sz w:val="24"/>
          <w:szCs w:val="20"/>
        </w:rPr>
        <w:t>方案清晰度一般、合理性一般、详细性一般、全面性一般、针对性一般、可行性一般的，得1.5分；</w:t>
      </w:r>
    </w:p>
    <w:p w14:paraId="2F196C1A">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4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④</w:t>
      </w:r>
      <w:r>
        <w:rPr>
          <w:rFonts w:ascii="宋体" w:hAnsi="宋体" w:eastAsia="宋体" w:cs="Times New Roman"/>
          <w:bCs/>
          <w:sz w:val="24"/>
          <w:szCs w:val="20"/>
        </w:rPr>
        <w:fldChar w:fldCharType="end"/>
      </w:r>
      <w:r>
        <w:rPr>
          <w:rFonts w:ascii="宋体" w:hAnsi="宋体" w:eastAsia="宋体" w:cs="Times New Roman"/>
          <w:bCs/>
          <w:sz w:val="24"/>
          <w:szCs w:val="20"/>
        </w:rPr>
        <w:t>方案基本详细全面、基本合理、具有基本可行性的，得1分。</w:t>
      </w:r>
    </w:p>
    <w:bookmarkEnd w:id="152"/>
    <w:p w14:paraId="7BFB565E">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（8）</w:t>
      </w:r>
      <w:r>
        <w:rPr>
          <w:rFonts w:ascii="宋体" w:hAnsi="宋体" w:eastAsia="宋体" w:cs="Times New Roman"/>
          <w:b/>
          <w:sz w:val="24"/>
          <w:szCs w:val="24"/>
        </w:rPr>
        <w:t>与采购人以及其他单位、部门的综合协调方案（3分）：根据方案进行打分。</w:t>
      </w:r>
    </w:p>
    <w:p w14:paraId="179B1222">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①方案清晰、合理、详细、全面、针对性强、可行性强的，得</w:t>
      </w:r>
      <w:r>
        <w:rPr>
          <w:rFonts w:ascii="宋体" w:hAnsi="宋体" w:eastAsia="宋体"/>
          <w:bCs/>
          <w:color w:val="000000"/>
          <w:sz w:val="24"/>
          <w:szCs w:val="24"/>
        </w:rPr>
        <w:t>3分；</w:t>
      </w:r>
    </w:p>
    <w:p w14:paraId="331351A2">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②方案较清晰、较合理、较详细、较全面、针对性较强、可行性较强的，得</w:t>
      </w:r>
      <w:r>
        <w:rPr>
          <w:rFonts w:ascii="宋体" w:hAnsi="宋体" w:eastAsia="宋体"/>
          <w:bCs/>
          <w:color w:val="000000"/>
          <w:sz w:val="24"/>
          <w:szCs w:val="24"/>
        </w:rPr>
        <w:t>2分；</w:t>
      </w:r>
    </w:p>
    <w:p w14:paraId="072F7EEF">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③方案清晰度一般、合理性一般、详细性一般、全面性一般、针对性一般、可行性一般的，得</w:t>
      </w:r>
      <w:r>
        <w:rPr>
          <w:rFonts w:ascii="宋体" w:hAnsi="宋体" w:eastAsia="宋体"/>
          <w:bCs/>
          <w:color w:val="000000"/>
          <w:sz w:val="24"/>
          <w:szCs w:val="24"/>
        </w:rPr>
        <w:t>1.5分；</w:t>
      </w:r>
    </w:p>
    <w:p w14:paraId="2BF6901D">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④方案基本详细全面、基本合理、具有基本可行性的，得</w:t>
      </w:r>
      <w:r>
        <w:rPr>
          <w:rFonts w:ascii="宋体" w:hAnsi="宋体" w:eastAsia="宋体"/>
          <w:bCs/>
          <w:color w:val="000000"/>
          <w:sz w:val="24"/>
          <w:szCs w:val="24"/>
        </w:rPr>
        <w:t>1分。</w:t>
      </w:r>
    </w:p>
    <w:p w14:paraId="29749E37">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（9）</w:t>
      </w:r>
      <w:r>
        <w:rPr>
          <w:rFonts w:ascii="宋体" w:hAnsi="宋体" w:eastAsia="宋体" w:cs="Times New Roman"/>
          <w:b/>
          <w:sz w:val="24"/>
          <w:szCs w:val="24"/>
        </w:rPr>
        <w:t>正式接管前具体措施（3分）：根据方案进行打分。</w:t>
      </w:r>
    </w:p>
    <w:p w14:paraId="23D42939">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①方案清晰、合理、详细、全面、针对性强、可行性强的，得</w:t>
      </w:r>
      <w:r>
        <w:rPr>
          <w:rFonts w:ascii="宋体" w:hAnsi="宋体" w:eastAsia="宋体"/>
          <w:bCs/>
          <w:color w:val="000000"/>
          <w:sz w:val="24"/>
          <w:szCs w:val="24"/>
        </w:rPr>
        <w:t>3分；</w:t>
      </w:r>
    </w:p>
    <w:p w14:paraId="1D3E2D86">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②方案较清晰、较合理、较详细、较全面、针对性较强、可行性较强的，得</w:t>
      </w:r>
      <w:r>
        <w:rPr>
          <w:rFonts w:ascii="宋体" w:hAnsi="宋体" w:eastAsia="宋体"/>
          <w:bCs/>
          <w:color w:val="000000"/>
          <w:sz w:val="24"/>
          <w:szCs w:val="24"/>
        </w:rPr>
        <w:t>2分；</w:t>
      </w:r>
    </w:p>
    <w:p w14:paraId="756541E5">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③方案清晰度一般、合理性一般、详细性一般、全面性一般、针对性一般、可行性一般的，得</w:t>
      </w:r>
      <w:r>
        <w:rPr>
          <w:rFonts w:ascii="宋体" w:hAnsi="宋体" w:eastAsia="宋体"/>
          <w:bCs/>
          <w:color w:val="000000"/>
          <w:sz w:val="24"/>
          <w:szCs w:val="24"/>
        </w:rPr>
        <w:t>1.5分；</w:t>
      </w:r>
    </w:p>
    <w:p w14:paraId="489DF4B0">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④方案基本详细全面、基本合理、具有基本可行性的，得</w:t>
      </w:r>
      <w:r>
        <w:rPr>
          <w:rFonts w:ascii="宋体" w:hAnsi="宋体" w:eastAsia="宋体"/>
          <w:bCs/>
          <w:color w:val="000000"/>
          <w:sz w:val="24"/>
          <w:szCs w:val="24"/>
        </w:rPr>
        <w:t>1分。</w:t>
      </w:r>
    </w:p>
    <w:p w14:paraId="3F1BD8AB">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（1</w:t>
      </w:r>
      <w:r>
        <w:rPr>
          <w:rFonts w:ascii="宋体" w:hAnsi="宋体" w:eastAsia="宋体" w:cs="Times New Roman"/>
          <w:b/>
          <w:sz w:val="24"/>
          <w:szCs w:val="24"/>
        </w:rPr>
        <w:t>0</w:t>
      </w:r>
      <w:r>
        <w:rPr>
          <w:rFonts w:hint="eastAsia" w:ascii="宋体" w:hAnsi="宋体" w:eastAsia="宋体" w:cs="Times New Roman"/>
          <w:b/>
          <w:sz w:val="24"/>
          <w:szCs w:val="24"/>
        </w:rPr>
        <w:t>）</w:t>
      </w:r>
      <w:r>
        <w:rPr>
          <w:rFonts w:ascii="宋体" w:hAnsi="宋体" w:eastAsia="宋体" w:cs="Times New Roman"/>
          <w:b/>
          <w:sz w:val="24"/>
          <w:szCs w:val="24"/>
        </w:rPr>
        <w:t>特殊情况应急预案及措施（4分）：根据方案进行打分。</w:t>
      </w:r>
    </w:p>
    <w:p w14:paraId="572C5479">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1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①</w:t>
      </w:r>
      <w:r>
        <w:rPr>
          <w:rFonts w:ascii="宋体" w:hAnsi="宋体" w:eastAsia="宋体" w:cs="Times New Roman"/>
          <w:bCs/>
          <w:sz w:val="24"/>
          <w:szCs w:val="20"/>
        </w:rPr>
        <w:fldChar w:fldCharType="end"/>
      </w:r>
      <w:r>
        <w:rPr>
          <w:rFonts w:ascii="宋体" w:hAnsi="宋体" w:eastAsia="宋体" w:cs="Times New Roman"/>
          <w:bCs/>
          <w:sz w:val="24"/>
          <w:szCs w:val="20"/>
        </w:rPr>
        <w:t>方案清晰、合理、详细、全面、针对性强、可行性强的，得4分；</w:t>
      </w:r>
    </w:p>
    <w:p w14:paraId="5AB19BAB">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2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②</w:t>
      </w:r>
      <w:r>
        <w:rPr>
          <w:rFonts w:ascii="宋体" w:hAnsi="宋体" w:eastAsia="宋体" w:cs="Times New Roman"/>
          <w:bCs/>
          <w:sz w:val="24"/>
          <w:szCs w:val="20"/>
        </w:rPr>
        <w:fldChar w:fldCharType="end"/>
      </w:r>
      <w:r>
        <w:rPr>
          <w:rFonts w:ascii="宋体" w:hAnsi="宋体" w:eastAsia="宋体" w:cs="Times New Roman"/>
          <w:bCs/>
          <w:sz w:val="24"/>
          <w:szCs w:val="20"/>
        </w:rPr>
        <w:t>方案较清晰、较合理、较详细、较全面、针对性较强、可行性较强的，得3分；</w:t>
      </w:r>
    </w:p>
    <w:p w14:paraId="6AADD6AB">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3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③</w:t>
      </w:r>
      <w:r>
        <w:rPr>
          <w:rFonts w:ascii="宋体" w:hAnsi="宋体" w:eastAsia="宋体" w:cs="Times New Roman"/>
          <w:bCs/>
          <w:sz w:val="24"/>
          <w:szCs w:val="20"/>
        </w:rPr>
        <w:fldChar w:fldCharType="end"/>
      </w:r>
      <w:r>
        <w:rPr>
          <w:rFonts w:ascii="宋体" w:hAnsi="宋体" w:eastAsia="宋体" w:cs="Times New Roman"/>
          <w:bCs/>
          <w:sz w:val="24"/>
          <w:szCs w:val="20"/>
        </w:rPr>
        <w:t>方案清晰度一般、合理性一般、详细性一般、全面性一般、针对性一般、可行性一般的，得2分；</w:t>
      </w:r>
    </w:p>
    <w:p w14:paraId="2A115F60">
      <w:pPr>
        <w:tabs>
          <w:tab w:val="left" w:pos="510"/>
          <w:tab w:val="left" w:pos="945"/>
          <w:tab w:val="left" w:pos="1155"/>
          <w:tab w:val="left" w:pos="1554"/>
        </w:tabs>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fldChar w:fldCharType="begin"/>
      </w:r>
      <w:r>
        <w:rPr>
          <w:rFonts w:ascii="宋体" w:hAnsi="宋体" w:eastAsia="宋体" w:cs="Times New Roman"/>
          <w:bCs/>
          <w:sz w:val="24"/>
          <w:szCs w:val="20"/>
        </w:rPr>
        <w:instrText xml:space="preserve"> </w:instrText>
      </w:r>
      <w:r>
        <w:rPr>
          <w:rFonts w:hint="eastAsia" w:ascii="宋体" w:hAnsi="宋体" w:eastAsia="宋体" w:cs="Times New Roman"/>
          <w:bCs/>
          <w:sz w:val="24"/>
          <w:szCs w:val="20"/>
        </w:rPr>
        <w:instrText xml:space="preserve">= 4 \* GB3</w:instrText>
      </w:r>
      <w:r>
        <w:rPr>
          <w:rFonts w:ascii="宋体" w:hAnsi="宋体" w:eastAsia="宋体" w:cs="Times New Roman"/>
          <w:bCs/>
          <w:sz w:val="24"/>
          <w:szCs w:val="20"/>
        </w:rPr>
        <w:instrText xml:space="preserve"> </w:instrText>
      </w:r>
      <w:r>
        <w:rPr>
          <w:rFonts w:ascii="宋体" w:hAnsi="宋体" w:eastAsia="宋体" w:cs="Times New Roman"/>
          <w:bCs/>
          <w:sz w:val="24"/>
          <w:szCs w:val="20"/>
        </w:rPr>
        <w:fldChar w:fldCharType="separate"/>
      </w:r>
      <w:r>
        <w:rPr>
          <w:rFonts w:hint="eastAsia" w:ascii="宋体" w:hAnsi="宋体" w:eastAsia="宋体" w:cs="Times New Roman"/>
          <w:bCs/>
          <w:sz w:val="24"/>
          <w:szCs w:val="20"/>
        </w:rPr>
        <w:t>④</w:t>
      </w:r>
      <w:r>
        <w:rPr>
          <w:rFonts w:ascii="宋体" w:hAnsi="宋体" w:eastAsia="宋体" w:cs="Times New Roman"/>
          <w:bCs/>
          <w:sz w:val="24"/>
          <w:szCs w:val="20"/>
        </w:rPr>
        <w:fldChar w:fldCharType="end"/>
      </w:r>
      <w:r>
        <w:rPr>
          <w:rFonts w:ascii="宋体" w:hAnsi="宋体" w:eastAsia="宋体" w:cs="Times New Roman"/>
          <w:bCs/>
          <w:sz w:val="24"/>
          <w:szCs w:val="20"/>
        </w:rPr>
        <w:t>方案基本详细全面、基本合理、具有基本可行性的，得1分。</w:t>
      </w:r>
    </w:p>
    <w:p w14:paraId="6A509980">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（1</w:t>
      </w:r>
      <w:r>
        <w:rPr>
          <w:rFonts w:ascii="宋体" w:hAnsi="宋体" w:eastAsia="宋体" w:cs="Times New Roman"/>
          <w:b/>
          <w:sz w:val="24"/>
          <w:szCs w:val="24"/>
        </w:rPr>
        <w:t>1</w:t>
      </w:r>
      <w:r>
        <w:rPr>
          <w:rFonts w:hint="eastAsia" w:ascii="宋体" w:hAnsi="宋体" w:eastAsia="宋体" w:cs="Times New Roman"/>
          <w:b/>
          <w:sz w:val="24"/>
          <w:szCs w:val="24"/>
        </w:rPr>
        <w:t>）</w:t>
      </w:r>
      <w:r>
        <w:rPr>
          <w:rFonts w:ascii="宋体" w:hAnsi="宋体" w:eastAsia="宋体" w:cs="Times New Roman"/>
          <w:b/>
          <w:sz w:val="24"/>
          <w:szCs w:val="24"/>
        </w:rPr>
        <w:t>过失及意外保障措施（2分）：根据方案进行打分。</w:t>
      </w:r>
    </w:p>
    <w:p w14:paraId="2583544E">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1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①</w:t>
      </w:r>
      <w:r>
        <w:rPr>
          <w:rFonts w:ascii="宋体" w:hAnsi="宋体" w:eastAsia="宋体"/>
          <w:bCs/>
          <w:color w:val="000000"/>
          <w:sz w:val="24"/>
          <w:szCs w:val="24"/>
        </w:rPr>
        <w:fldChar w:fldCharType="end"/>
      </w:r>
      <w:r>
        <w:rPr>
          <w:rFonts w:ascii="宋体" w:hAnsi="宋体" w:eastAsia="宋体"/>
          <w:bCs/>
          <w:color w:val="000000"/>
          <w:sz w:val="24"/>
          <w:szCs w:val="24"/>
        </w:rPr>
        <w:t>方案清晰、合理、详细、全面、针对性强、可行性强的，得2分；</w:t>
      </w:r>
    </w:p>
    <w:p w14:paraId="3A45EF61">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2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②</w:t>
      </w:r>
      <w:r>
        <w:rPr>
          <w:rFonts w:ascii="宋体" w:hAnsi="宋体" w:eastAsia="宋体"/>
          <w:bCs/>
          <w:color w:val="000000"/>
          <w:sz w:val="24"/>
          <w:szCs w:val="24"/>
        </w:rPr>
        <w:fldChar w:fldCharType="end"/>
      </w:r>
      <w:r>
        <w:rPr>
          <w:rFonts w:ascii="宋体" w:hAnsi="宋体" w:eastAsia="宋体"/>
          <w:bCs/>
          <w:color w:val="000000"/>
          <w:sz w:val="24"/>
          <w:szCs w:val="24"/>
        </w:rPr>
        <w:t>方案清晰度一般、合理性一般、详细性一般、全面性一般、针对性一般、可行性一般的，得1.5分；</w:t>
      </w:r>
    </w:p>
    <w:p w14:paraId="27FD3B2D">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3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③</w:t>
      </w:r>
      <w:r>
        <w:rPr>
          <w:rFonts w:ascii="宋体" w:hAnsi="宋体" w:eastAsia="宋体"/>
          <w:bCs/>
          <w:color w:val="000000"/>
          <w:sz w:val="24"/>
          <w:szCs w:val="24"/>
        </w:rPr>
        <w:fldChar w:fldCharType="end"/>
      </w:r>
      <w:r>
        <w:rPr>
          <w:rFonts w:ascii="宋体" w:hAnsi="宋体" w:eastAsia="宋体"/>
          <w:bCs/>
          <w:color w:val="000000"/>
          <w:sz w:val="24"/>
          <w:szCs w:val="24"/>
        </w:rPr>
        <w:t>方案基本详细全面、基本合理、具有基本可行性的，得1分。</w:t>
      </w:r>
    </w:p>
    <w:p w14:paraId="1889FB14">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（1</w:t>
      </w:r>
      <w:r>
        <w:rPr>
          <w:rFonts w:ascii="宋体" w:hAnsi="宋体" w:eastAsia="宋体" w:cs="Times New Roman"/>
          <w:b/>
          <w:sz w:val="24"/>
          <w:szCs w:val="24"/>
        </w:rPr>
        <w:t>2</w:t>
      </w:r>
      <w:r>
        <w:rPr>
          <w:rFonts w:hint="eastAsia" w:ascii="宋体" w:hAnsi="宋体" w:eastAsia="宋体" w:cs="Times New Roman"/>
          <w:b/>
          <w:sz w:val="24"/>
          <w:szCs w:val="24"/>
        </w:rPr>
        <w:t>）</w:t>
      </w:r>
      <w:r>
        <w:rPr>
          <w:rFonts w:ascii="宋体" w:hAnsi="宋体" w:eastAsia="宋体" w:cs="Times New Roman"/>
          <w:b/>
          <w:sz w:val="24"/>
          <w:szCs w:val="24"/>
        </w:rPr>
        <w:t>档案资料管理（3分）：根据方案进行打分。</w:t>
      </w:r>
    </w:p>
    <w:p w14:paraId="69C1C393">
      <w:pPr>
        <w:tabs>
          <w:tab w:val="left" w:pos="945"/>
          <w:tab w:val="left" w:pos="1155"/>
        </w:tabs>
        <w:spacing w:line="360" w:lineRule="auto"/>
        <w:ind w:firstLine="480" w:firstLineChars="200"/>
        <w:rPr>
          <w:rFonts w:ascii="宋体" w:hAnsi="宋体" w:eastAsia="宋体"/>
          <w:bCs/>
          <w:color w:val="000000"/>
          <w:sz w:val="24"/>
          <w:szCs w:val="24"/>
        </w:rPr>
      </w:pPr>
      <w:bookmarkStart w:id="153" w:name="_Hlk181952324"/>
      <w:r>
        <w:rPr>
          <w:rFonts w:hint="eastAsia" w:ascii="宋体" w:hAnsi="宋体" w:eastAsia="宋体"/>
          <w:bCs/>
          <w:color w:val="000000"/>
          <w:sz w:val="24"/>
          <w:szCs w:val="24"/>
        </w:rPr>
        <w:t>①方案清晰、合理、详细、全面、针对性强、可行性强的，得</w:t>
      </w:r>
      <w:r>
        <w:rPr>
          <w:rFonts w:ascii="宋体" w:hAnsi="宋体" w:eastAsia="宋体"/>
          <w:bCs/>
          <w:color w:val="000000"/>
          <w:sz w:val="24"/>
          <w:szCs w:val="24"/>
        </w:rPr>
        <w:t>3分；</w:t>
      </w:r>
    </w:p>
    <w:p w14:paraId="4978D29E">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②方案较清晰、较合理、较详细、较全面、针对性较强、可行性较强的，得</w:t>
      </w:r>
      <w:r>
        <w:rPr>
          <w:rFonts w:ascii="宋体" w:hAnsi="宋体" w:eastAsia="宋体"/>
          <w:bCs/>
          <w:color w:val="000000"/>
          <w:sz w:val="24"/>
          <w:szCs w:val="24"/>
        </w:rPr>
        <w:t>2分；</w:t>
      </w:r>
    </w:p>
    <w:p w14:paraId="3B34C6AC">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③方案清晰度一般、合理性一般、详细性一般、全面性一般、针对性一般、可行性一般的，得</w:t>
      </w:r>
      <w:r>
        <w:rPr>
          <w:rFonts w:ascii="宋体" w:hAnsi="宋体" w:eastAsia="宋体"/>
          <w:bCs/>
          <w:color w:val="000000"/>
          <w:sz w:val="24"/>
          <w:szCs w:val="24"/>
        </w:rPr>
        <w:t>1.5分；</w:t>
      </w:r>
    </w:p>
    <w:p w14:paraId="72B69510">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④方案基本详细全面、基本合理、具有基本可行性的，得</w:t>
      </w:r>
      <w:r>
        <w:rPr>
          <w:rFonts w:ascii="宋体" w:hAnsi="宋体" w:eastAsia="宋体"/>
          <w:bCs/>
          <w:color w:val="000000"/>
          <w:sz w:val="24"/>
          <w:szCs w:val="24"/>
        </w:rPr>
        <w:t>1分。</w:t>
      </w:r>
    </w:p>
    <w:bookmarkEnd w:id="153"/>
    <w:p w14:paraId="5F5F5537">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（1</w:t>
      </w:r>
      <w:r>
        <w:rPr>
          <w:rFonts w:ascii="宋体" w:hAnsi="宋体" w:eastAsia="宋体" w:cs="Times New Roman"/>
          <w:b/>
          <w:sz w:val="24"/>
          <w:szCs w:val="24"/>
        </w:rPr>
        <w:t>3</w:t>
      </w:r>
      <w:r>
        <w:rPr>
          <w:rFonts w:hint="eastAsia" w:ascii="宋体" w:hAnsi="宋体" w:eastAsia="宋体" w:cs="Times New Roman"/>
          <w:b/>
          <w:sz w:val="24"/>
          <w:szCs w:val="24"/>
        </w:rPr>
        <w:t>）</w:t>
      </w:r>
      <w:r>
        <w:rPr>
          <w:rFonts w:ascii="宋体" w:hAnsi="宋体" w:eastAsia="宋体" w:cs="Times New Roman"/>
          <w:b/>
          <w:sz w:val="24"/>
          <w:szCs w:val="24"/>
        </w:rPr>
        <w:t>服务响应方案（2分）：根据方案进行打分。</w:t>
      </w:r>
    </w:p>
    <w:p w14:paraId="50F49E4D">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1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①</w:t>
      </w:r>
      <w:r>
        <w:rPr>
          <w:rFonts w:ascii="宋体" w:hAnsi="宋体" w:eastAsia="宋体"/>
          <w:bCs/>
          <w:color w:val="000000"/>
          <w:sz w:val="24"/>
          <w:szCs w:val="24"/>
        </w:rPr>
        <w:fldChar w:fldCharType="end"/>
      </w:r>
      <w:r>
        <w:rPr>
          <w:rFonts w:ascii="宋体" w:hAnsi="宋体" w:eastAsia="宋体"/>
          <w:bCs/>
          <w:color w:val="000000"/>
          <w:sz w:val="24"/>
          <w:szCs w:val="24"/>
        </w:rPr>
        <w:t>方案清晰、合理、详细、全面、针对性强、可行性强的，得2分；</w:t>
      </w:r>
    </w:p>
    <w:p w14:paraId="5369DECA">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2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②</w:t>
      </w:r>
      <w:r>
        <w:rPr>
          <w:rFonts w:ascii="宋体" w:hAnsi="宋体" w:eastAsia="宋体"/>
          <w:bCs/>
          <w:color w:val="000000"/>
          <w:sz w:val="24"/>
          <w:szCs w:val="24"/>
        </w:rPr>
        <w:fldChar w:fldCharType="end"/>
      </w:r>
      <w:r>
        <w:rPr>
          <w:rFonts w:ascii="宋体" w:hAnsi="宋体" w:eastAsia="宋体"/>
          <w:bCs/>
          <w:color w:val="000000"/>
          <w:sz w:val="24"/>
          <w:szCs w:val="24"/>
        </w:rPr>
        <w:t>方案清晰度一般、合理性一般、详细性一般、全面性一般、针对性一般、可行性一般的，得1.5分；</w:t>
      </w:r>
    </w:p>
    <w:p w14:paraId="1F94DE07">
      <w:pPr>
        <w:tabs>
          <w:tab w:val="left" w:pos="945"/>
          <w:tab w:val="left" w:pos="1155"/>
        </w:tabs>
        <w:spacing w:line="360" w:lineRule="auto"/>
        <w:ind w:firstLine="480" w:firstLineChars="200"/>
        <w:rPr>
          <w:rFonts w:ascii="宋体" w:hAnsi="宋体" w:eastAsia="宋体"/>
          <w:bCs/>
          <w:color w:val="000000"/>
          <w:sz w:val="24"/>
          <w:szCs w:val="24"/>
        </w:rPr>
      </w:pPr>
      <w:r>
        <w:rPr>
          <w:rFonts w:ascii="宋体" w:hAnsi="宋体" w:eastAsia="宋体"/>
          <w:bCs/>
          <w:color w:val="000000"/>
          <w:sz w:val="24"/>
          <w:szCs w:val="24"/>
        </w:rPr>
        <w:fldChar w:fldCharType="begin"/>
      </w:r>
      <w:r>
        <w:rPr>
          <w:rFonts w:ascii="宋体" w:hAnsi="宋体" w:eastAsia="宋体"/>
          <w:bCs/>
          <w:color w:val="000000"/>
          <w:sz w:val="24"/>
          <w:szCs w:val="24"/>
        </w:rPr>
        <w:instrText xml:space="preserve"> </w:instrText>
      </w:r>
      <w:r>
        <w:rPr>
          <w:rFonts w:hint="eastAsia" w:ascii="宋体" w:hAnsi="宋体" w:eastAsia="宋体"/>
          <w:bCs/>
          <w:color w:val="000000"/>
          <w:sz w:val="24"/>
          <w:szCs w:val="24"/>
        </w:rPr>
        <w:instrText xml:space="preserve">= 3 \* GB3</w:instrText>
      </w:r>
      <w:r>
        <w:rPr>
          <w:rFonts w:ascii="宋体" w:hAnsi="宋体" w:eastAsia="宋体"/>
          <w:bCs/>
          <w:color w:val="000000"/>
          <w:sz w:val="24"/>
          <w:szCs w:val="24"/>
        </w:rPr>
        <w:instrText xml:space="preserve"> </w:instrText>
      </w:r>
      <w:r>
        <w:rPr>
          <w:rFonts w:ascii="宋体" w:hAnsi="宋体" w:eastAsia="宋体"/>
          <w:bCs/>
          <w:color w:val="000000"/>
          <w:sz w:val="24"/>
          <w:szCs w:val="24"/>
        </w:rPr>
        <w:fldChar w:fldCharType="separate"/>
      </w:r>
      <w:r>
        <w:rPr>
          <w:rFonts w:hint="eastAsia" w:ascii="宋体" w:hAnsi="宋体" w:eastAsia="宋体"/>
          <w:bCs/>
          <w:color w:val="000000"/>
          <w:sz w:val="24"/>
          <w:szCs w:val="24"/>
        </w:rPr>
        <w:t>③</w:t>
      </w:r>
      <w:r>
        <w:rPr>
          <w:rFonts w:ascii="宋体" w:hAnsi="宋体" w:eastAsia="宋体"/>
          <w:bCs/>
          <w:color w:val="000000"/>
          <w:sz w:val="24"/>
          <w:szCs w:val="24"/>
        </w:rPr>
        <w:fldChar w:fldCharType="end"/>
      </w:r>
      <w:r>
        <w:rPr>
          <w:rFonts w:ascii="宋体" w:hAnsi="宋体" w:eastAsia="宋体"/>
          <w:bCs/>
          <w:color w:val="000000"/>
          <w:sz w:val="24"/>
          <w:szCs w:val="24"/>
        </w:rPr>
        <w:t>方案基本详细全面、基本合理、具有基本可行性的，得1分。</w:t>
      </w:r>
    </w:p>
    <w:p w14:paraId="47FEF987">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（1</w:t>
      </w:r>
      <w:r>
        <w:rPr>
          <w:rFonts w:ascii="宋体" w:hAnsi="宋体" w:eastAsia="宋体" w:cs="Times New Roman"/>
          <w:b/>
          <w:sz w:val="24"/>
          <w:szCs w:val="24"/>
        </w:rPr>
        <w:t>4</w:t>
      </w:r>
      <w:r>
        <w:rPr>
          <w:rFonts w:hint="eastAsia" w:ascii="宋体" w:hAnsi="宋体" w:eastAsia="宋体" w:cs="Times New Roman"/>
          <w:b/>
          <w:sz w:val="24"/>
          <w:szCs w:val="24"/>
        </w:rPr>
        <w:t>）</w:t>
      </w:r>
      <w:r>
        <w:rPr>
          <w:rFonts w:ascii="宋体" w:hAnsi="宋体" w:eastAsia="宋体" w:cs="Times New Roman"/>
          <w:b/>
          <w:sz w:val="24"/>
          <w:szCs w:val="24"/>
        </w:rPr>
        <w:t>特色与创新（3分）：根据方案进行打分。</w:t>
      </w:r>
    </w:p>
    <w:p w14:paraId="77B39E29">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①方案清晰、合理、详细、全面、针对性强、可行性强的，得</w:t>
      </w:r>
      <w:r>
        <w:rPr>
          <w:rFonts w:ascii="宋体" w:hAnsi="宋体" w:eastAsia="宋体"/>
          <w:bCs/>
          <w:color w:val="000000"/>
          <w:sz w:val="24"/>
          <w:szCs w:val="24"/>
        </w:rPr>
        <w:t>3分；</w:t>
      </w:r>
    </w:p>
    <w:p w14:paraId="40C773B8">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②方案较清晰、较合理、较详细、较全面、针对性较强、可行性较强的，得</w:t>
      </w:r>
      <w:r>
        <w:rPr>
          <w:rFonts w:ascii="宋体" w:hAnsi="宋体" w:eastAsia="宋体"/>
          <w:bCs/>
          <w:color w:val="000000"/>
          <w:sz w:val="24"/>
          <w:szCs w:val="24"/>
        </w:rPr>
        <w:t>2分；</w:t>
      </w:r>
    </w:p>
    <w:p w14:paraId="3EAF382E">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③方案清晰度一般、合理性一般、详细性一般、全面性一般、针对性一般、可行性一般的，得</w:t>
      </w:r>
      <w:r>
        <w:rPr>
          <w:rFonts w:ascii="宋体" w:hAnsi="宋体" w:eastAsia="宋体"/>
          <w:bCs/>
          <w:color w:val="000000"/>
          <w:sz w:val="24"/>
          <w:szCs w:val="24"/>
        </w:rPr>
        <w:t>1.5分；</w:t>
      </w:r>
    </w:p>
    <w:p w14:paraId="630B0A7C">
      <w:pPr>
        <w:tabs>
          <w:tab w:val="left" w:pos="945"/>
          <w:tab w:val="left" w:pos="1155"/>
        </w:tabs>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④方案基本详细全面、基本合理、具有基本可行性的，得</w:t>
      </w:r>
      <w:r>
        <w:rPr>
          <w:rFonts w:ascii="宋体" w:hAnsi="宋体" w:eastAsia="宋体"/>
          <w:bCs/>
          <w:color w:val="000000"/>
          <w:sz w:val="24"/>
          <w:szCs w:val="24"/>
        </w:rPr>
        <w:t>1分。</w:t>
      </w:r>
    </w:p>
    <w:p w14:paraId="56F0FC98">
      <w:pPr>
        <w:tabs>
          <w:tab w:val="left" w:pos="945"/>
          <w:tab w:val="left" w:pos="1155"/>
          <w:tab w:val="left" w:pos="3823"/>
        </w:tabs>
        <w:spacing w:line="360" w:lineRule="auto"/>
        <w:ind w:firstLine="482"/>
        <w:rPr>
          <w:rFonts w:ascii="宋体" w:hAnsi="宋体" w:cs="宋体"/>
          <w:sz w:val="24"/>
        </w:rPr>
      </w:pPr>
    </w:p>
    <w:p w14:paraId="0A0DA31B">
      <w:pPr>
        <w:tabs>
          <w:tab w:val="left" w:pos="945"/>
          <w:tab w:val="left" w:pos="1155"/>
          <w:tab w:val="left" w:pos="3823"/>
        </w:tabs>
        <w:spacing w:line="360" w:lineRule="auto"/>
        <w:ind w:firstLine="482"/>
        <w:rPr>
          <w:rFonts w:ascii="宋体" w:hAnsi="宋体" w:cs="宋体"/>
          <w:sz w:val="24"/>
        </w:rPr>
      </w:pPr>
    </w:p>
    <w:p w14:paraId="5AD4E629">
      <w:pPr>
        <w:pBdr>
          <w:top w:val="none" w:color="000000" w:sz="0" w:space="0"/>
          <w:left w:val="none" w:color="000000" w:sz="0" w:space="0"/>
          <w:bottom w:val="none" w:color="000000" w:sz="0" w:space="0"/>
          <w:right w:val="none" w:color="000000" w:sz="0" w:space="0"/>
        </w:pBdr>
        <w:spacing w:line="81" w:lineRule="atLeast"/>
      </w:pPr>
    </w:p>
    <w:p w14:paraId="452C97AF">
      <w:pPr>
        <w:pBdr>
          <w:top w:val="none" w:color="000000" w:sz="0" w:space="0"/>
          <w:left w:val="none" w:color="000000" w:sz="0" w:space="0"/>
          <w:bottom w:val="none" w:color="000000" w:sz="0" w:space="0"/>
          <w:right w:val="none" w:color="000000" w:sz="0" w:space="0"/>
        </w:pBdr>
        <w:spacing w:line="81" w:lineRule="atLeast"/>
      </w:pPr>
    </w:p>
    <w:p w14:paraId="1682FEC5">
      <w:pPr>
        <w:pBdr>
          <w:top w:val="none" w:color="000000" w:sz="0" w:space="0"/>
          <w:left w:val="none" w:color="000000" w:sz="0" w:space="0"/>
          <w:bottom w:val="none" w:color="000000" w:sz="0" w:space="0"/>
          <w:right w:val="none" w:color="000000" w:sz="0" w:space="0"/>
        </w:pBdr>
        <w:spacing w:line="81" w:lineRule="atLeast"/>
        <w:ind w:firstLine="210"/>
      </w:pPr>
    </w:p>
    <w:p w14:paraId="4022670F">
      <w:pPr>
        <w:spacing w:line="500" w:lineRule="exact"/>
        <w:rPr>
          <w:rFonts w:ascii="宋体" w:hAnsi="宋体"/>
          <w:sz w:val="24"/>
        </w:rPr>
      </w:pPr>
    </w:p>
    <w:p w14:paraId="7F52F074">
      <w:pPr>
        <w:spacing w:line="500" w:lineRule="exact"/>
        <w:jc w:val="center"/>
        <w:rPr>
          <w:rFonts w:ascii="黑体" w:eastAsia="黑体"/>
          <w:bCs/>
          <w:sz w:val="36"/>
          <w:szCs w:val="36"/>
        </w:rPr>
      </w:pPr>
      <w:r>
        <w:rPr>
          <w:rFonts w:ascii="宋体" w:hAnsi="宋体"/>
          <w:sz w:val="24"/>
        </w:rPr>
        <w:br w:type="page" w:clear="all"/>
      </w:r>
      <w:r>
        <w:rPr>
          <w:rFonts w:hint="eastAsia" w:ascii="黑体" w:eastAsia="黑体"/>
          <w:bCs/>
          <w:sz w:val="36"/>
          <w:szCs w:val="36"/>
        </w:rPr>
        <w:t xml:space="preserve">第六章  </w:t>
      </w:r>
      <w:bookmarkEnd w:id="145"/>
      <w:bookmarkEnd w:id="146"/>
      <w:bookmarkEnd w:id="147"/>
      <w:r>
        <w:rPr>
          <w:rFonts w:hint="eastAsia" w:ascii="黑体" w:eastAsia="黑体"/>
          <w:bCs/>
          <w:sz w:val="36"/>
          <w:szCs w:val="36"/>
        </w:rPr>
        <w:t>投标文件内容与格式</w:t>
      </w:r>
    </w:p>
    <w:p w14:paraId="28981CDF">
      <w:pPr>
        <w:pStyle w:val="388"/>
        <w:spacing w:before="0" w:after="0" w:line="500" w:lineRule="exact"/>
        <w:ind w:firstLine="602"/>
        <w:rPr>
          <w:rFonts w:cs="Arial"/>
          <w:b/>
          <w:sz w:val="30"/>
          <w:szCs w:val="30"/>
        </w:rPr>
      </w:pPr>
      <w:bookmarkStart w:id="154" w:name="_Hlt26955039"/>
      <w:bookmarkEnd w:id="154"/>
      <w:bookmarkStart w:id="155" w:name="_Hlt26671244"/>
      <w:bookmarkEnd w:id="155"/>
      <w:r>
        <w:rPr>
          <w:rFonts w:hint="eastAsia" w:cs="Arial"/>
          <w:b/>
          <w:sz w:val="30"/>
          <w:szCs w:val="30"/>
        </w:rPr>
        <w:t>第一部分投标文件内容</w:t>
      </w:r>
    </w:p>
    <w:p w14:paraId="370B57D3">
      <w:pPr>
        <w:pStyle w:val="388"/>
        <w:spacing w:before="0" w:after="0" w:line="500" w:lineRule="exact"/>
        <w:ind w:firstLine="0"/>
        <w:rPr>
          <w:rFonts w:cs="Arial"/>
          <w:b/>
          <w:sz w:val="28"/>
          <w:szCs w:val="28"/>
        </w:rPr>
      </w:pPr>
      <w:r>
        <w:rPr>
          <w:b/>
          <w:sz w:val="28"/>
          <w:szCs w:val="28"/>
        </w:rPr>
        <w:t>一、</w:t>
      </w:r>
      <w:r>
        <w:rPr>
          <w:rFonts w:hint="eastAsia"/>
          <w:b/>
          <w:sz w:val="28"/>
          <w:szCs w:val="28"/>
        </w:rPr>
        <w:t>资格证明文件</w:t>
      </w:r>
    </w:p>
    <w:tbl>
      <w:tblPr>
        <w:tblStyle w:val="46"/>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4"/>
        <w:gridCol w:w="6390"/>
        <w:gridCol w:w="2638"/>
      </w:tblGrid>
      <w:tr w14:paraId="78B3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04" w:type="dxa"/>
            <w:vAlign w:val="center"/>
          </w:tcPr>
          <w:p w14:paraId="69714F86">
            <w:pPr>
              <w:pStyle w:val="388"/>
              <w:spacing w:before="0" w:after="0" w:line="240" w:lineRule="auto"/>
              <w:ind w:firstLine="0"/>
              <w:jc w:val="center"/>
              <w:rPr>
                <w:rFonts w:ascii="宋体" w:hAnsi="宋体" w:cs="宋体"/>
                <w:b/>
              </w:rPr>
            </w:pPr>
            <w:r>
              <w:rPr>
                <w:rFonts w:hint="eastAsia" w:ascii="宋体" w:hAnsi="宋体" w:cs="宋体"/>
                <w:b/>
              </w:rPr>
              <w:t>序号</w:t>
            </w:r>
          </w:p>
        </w:tc>
        <w:tc>
          <w:tcPr>
            <w:tcW w:w="6390" w:type="dxa"/>
            <w:vAlign w:val="center"/>
          </w:tcPr>
          <w:p w14:paraId="7C96DDD0">
            <w:pPr>
              <w:pStyle w:val="388"/>
              <w:spacing w:before="0" w:after="0" w:line="240" w:lineRule="auto"/>
              <w:jc w:val="center"/>
              <w:rPr>
                <w:rFonts w:ascii="宋体" w:hAnsi="宋体" w:cs="宋体"/>
                <w:b/>
              </w:rPr>
            </w:pPr>
            <w:r>
              <w:rPr>
                <w:rFonts w:hint="eastAsia" w:ascii="宋体" w:hAnsi="宋体" w:cs="宋体"/>
                <w:b/>
              </w:rPr>
              <w:t>评审项及评审要求</w:t>
            </w:r>
          </w:p>
        </w:tc>
        <w:tc>
          <w:tcPr>
            <w:tcW w:w="2638" w:type="dxa"/>
            <w:vAlign w:val="center"/>
          </w:tcPr>
          <w:p w14:paraId="764E4D21">
            <w:pPr>
              <w:pStyle w:val="388"/>
              <w:spacing w:before="0" w:after="0" w:line="240" w:lineRule="auto"/>
              <w:ind w:firstLine="0"/>
              <w:jc w:val="center"/>
              <w:rPr>
                <w:rFonts w:ascii="宋体" w:hAnsi="宋体" w:cs="宋体"/>
                <w:b/>
              </w:rPr>
            </w:pPr>
            <w:r>
              <w:rPr>
                <w:rFonts w:hint="eastAsia" w:ascii="宋体" w:hAnsi="宋体" w:cs="宋体"/>
                <w:b/>
              </w:rPr>
              <w:t>审查因素</w:t>
            </w:r>
          </w:p>
        </w:tc>
      </w:tr>
      <w:tr w14:paraId="5CF11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5" w:hRule="atLeast"/>
          <w:jc w:val="center"/>
        </w:trPr>
        <w:tc>
          <w:tcPr>
            <w:tcW w:w="904" w:type="dxa"/>
            <w:vAlign w:val="center"/>
          </w:tcPr>
          <w:p w14:paraId="518C3885">
            <w:pPr>
              <w:pStyle w:val="388"/>
              <w:spacing w:before="0" w:after="0" w:line="240" w:lineRule="auto"/>
              <w:ind w:firstLine="0"/>
              <w:jc w:val="center"/>
              <w:rPr>
                <w:rFonts w:ascii="宋体" w:hAnsi="宋体" w:cs="宋体"/>
              </w:rPr>
            </w:pPr>
            <w:r>
              <w:rPr>
                <w:rFonts w:hint="eastAsia" w:ascii="宋体" w:hAnsi="宋体" w:cs="宋体"/>
              </w:rPr>
              <w:t>1</w:t>
            </w:r>
          </w:p>
        </w:tc>
        <w:tc>
          <w:tcPr>
            <w:tcW w:w="6390" w:type="dxa"/>
            <w:vAlign w:val="center"/>
          </w:tcPr>
          <w:p w14:paraId="11FB56ED">
            <w:pPr>
              <w:pStyle w:val="388"/>
              <w:spacing w:before="0" w:after="0" w:line="240" w:lineRule="auto"/>
              <w:ind w:firstLine="0"/>
              <w:jc w:val="both"/>
              <w:rPr>
                <w:rFonts w:ascii="宋体" w:hAnsi="宋体" w:cs="宋体"/>
              </w:rPr>
            </w:pPr>
            <w:r>
              <w:rPr>
                <w:rFonts w:hint="eastAsia" w:ascii="宋体" w:hAnsi="宋体" w:cs="宋体"/>
              </w:rPr>
              <w:t>具有独立承担民事责任能力的投标人营业执照或相关部门的登记证明文件扫描件（投标人如允许以分支机构身份参加投标的，提供投标人分支机构的营业执照扫描件；投标人如是自然人情形的，提供有效身份证扫描件）。</w:t>
            </w:r>
          </w:p>
        </w:tc>
        <w:tc>
          <w:tcPr>
            <w:tcW w:w="2638" w:type="dxa"/>
            <w:vMerge w:val="restart"/>
            <w:vAlign w:val="center"/>
          </w:tcPr>
          <w:p w14:paraId="17DBE57D">
            <w:pPr>
              <w:pStyle w:val="388"/>
              <w:spacing w:before="0" w:after="0" w:line="240" w:lineRule="auto"/>
              <w:ind w:firstLine="0"/>
              <w:rPr>
                <w:rFonts w:ascii="宋体" w:hAnsi="宋体" w:cs="宋体"/>
              </w:rPr>
            </w:pPr>
            <w:r>
              <w:rPr>
                <w:rFonts w:hint="eastAsia" w:ascii="宋体" w:hAnsi="宋体" w:cs="宋体"/>
              </w:rPr>
              <w:t>满足《中华人民共和国政府采购法》第二十二条规定</w:t>
            </w:r>
          </w:p>
        </w:tc>
      </w:tr>
      <w:tr w14:paraId="3633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jc w:val="center"/>
        </w:trPr>
        <w:tc>
          <w:tcPr>
            <w:tcW w:w="904" w:type="dxa"/>
            <w:vAlign w:val="center"/>
          </w:tcPr>
          <w:p w14:paraId="2320627F">
            <w:pPr>
              <w:pStyle w:val="388"/>
              <w:spacing w:before="0" w:after="0" w:line="240" w:lineRule="auto"/>
              <w:ind w:firstLine="0"/>
              <w:jc w:val="center"/>
              <w:rPr>
                <w:rFonts w:ascii="宋体" w:hAnsi="宋体" w:cs="宋体"/>
              </w:rPr>
            </w:pPr>
            <w:r>
              <w:rPr>
                <w:rFonts w:hint="eastAsia" w:ascii="宋体" w:hAnsi="宋体" w:cs="宋体"/>
              </w:rPr>
              <w:t>2</w:t>
            </w:r>
          </w:p>
        </w:tc>
        <w:tc>
          <w:tcPr>
            <w:tcW w:w="6390" w:type="dxa"/>
            <w:vAlign w:val="center"/>
          </w:tcPr>
          <w:p w14:paraId="1C4C6637">
            <w:pPr>
              <w:pStyle w:val="388"/>
              <w:spacing w:before="0" w:after="0" w:line="240" w:lineRule="auto"/>
              <w:ind w:firstLine="0"/>
              <w:jc w:val="both"/>
              <w:rPr>
                <w:rFonts w:ascii="宋体" w:hAnsi="宋体" w:cs="宋体"/>
              </w:rPr>
            </w:pPr>
            <w:r>
              <w:rPr>
                <w:rFonts w:hint="eastAsia" w:ascii="宋体" w:hAnsi="宋体" w:cs="宋体"/>
              </w:rPr>
              <w:t>《授权委托书》（给定格式；投标人如是自然人情形的，可不提供）。</w:t>
            </w:r>
          </w:p>
        </w:tc>
        <w:tc>
          <w:tcPr>
            <w:tcW w:w="2638" w:type="dxa"/>
            <w:vMerge w:val="continue"/>
            <w:vAlign w:val="center"/>
          </w:tcPr>
          <w:p w14:paraId="0F476406">
            <w:pPr>
              <w:pStyle w:val="388"/>
              <w:spacing w:before="0" w:after="0" w:line="240" w:lineRule="auto"/>
              <w:ind w:firstLine="0"/>
              <w:rPr>
                <w:rFonts w:ascii="宋体" w:hAnsi="宋体" w:cs="宋体"/>
              </w:rPr>
            </w:pPr>
          </w:p>
        </w:tc>
      </w:tr>
      <w:tr w14:paraId="5A6BC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4" w:hRule="atLeast"/>
          <w:jc w:val="center"/>
        </w:trPr>
        <w:tc>
          <w:tcPr>
            <w:tcW w:w="904" w:type="dxa"/>
            <w:vAlign w:val="center"/>
          </w:tcPr>
          <w:p w14:paraId="5E574747">
            <w:pPr>
              <w:pStyle w:val="388"/>
              <w:spacing w:before="0" w:after="0" w:line="240" w:lineRule="auto"/>
              <w:ind w:firstLine="0"/>
              <w:jc w:val="center"/>
              <w:rPr>
                <w:rFonts w:ascii="宋体" w:hAnsi="宋体" w:cs="宋体"/>
              </w:rPr>
            </w:pPr>
            <w:r>
              <w:rPr>
                <w:rFonts w:hint="eastAsia" w:ascii="宋体" w:hAnsi="宋体" w:cs="宋体"/>
              </w:rPr>
              <w:t>3</w:t>
            </w:r>
          </w:p>
        </w:tc>
        <w:tc>
          <w:tcPr>
            <w:tcW w:w="6390" w:type="dxa"/>
            <w:vAlign w:val="center"/>
          </w:tcPr>
          <w:p w14:paraId="5DF857CC">
            <w:pPr>
              <w:pStyle w:val="388"/>
              <w:spacing w:before="0" w:after="0" w:line="240" w:lineRule="auto"/>
              <w:ind w:firstLine="0"/>
              <w:jc w:val="both"/>
              <w:rPr>
                <w:rFonts w:ascii="宋体" w:hAnsi="宋体" w:cs="宋体"/>
              </w:rPr>
            </w:pPr>
            <w:r>
              <w:rPr>
                <w:rFonts w:hint="eastAsia" w:ascii="宋体" w:hAnsi="宋体" w:cs="宋体"/>
              </w:rPr>
              <w:t>投标人近一年中任意一个月份（不含投标当月）的财务状况报告（资产负债表和利润表）或由会计师事务所出具的近两年中任意一个年度的审计报告和所附已审财务报告（投标人如是自然人情形的，没有经审计的财务报告的，可以提供银行出具的资信证明）</w:t>
            </w:r>
            <w:r>
              <w:rPr>
                <w:rStyle w:val="382"/>
                <w:rFonts w:hint="eastAsia" w:ascii="宋体" w:hAnsi="宋体" w:cs="宋体"/>
              </w:rPr>
              <w:t>。</w:t>
            </w:r>
          </w:p>
        </w:tc>
        <w:tc>
          <w:tcPr>
            <w:tcW w:w="2638" w:type="dxa"/>
            <w:vMerge w:val="continue"/>
            <w:vAlign w:val="center"/>
          </w:tcPr>
          <w:p w14:paraId="55AD7DBB">
            <w:pPr>
              <w:pStyle w:val="388"/>
              <w:spacing w:before="0" w:after="0" w:line="240" w:lineRule="auto"/>
              <w:ind w:firstLine="0"/>
              <w:rPr>
                <w:rFonts w:ascii="宋体" w:hAnsi="宋体" w:cs="宋体"/>
              </w:rPr>
            </w:pPr>
          </w:p>
        </w:tc>
      </w:tr>
      <w:tr w14:paraId="7D17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3" w:hRule="atLeast"/>
          <w:jc w:val="center"/>
        </w:trPr>
        <w:tc>
          <w:tcPr>
            <w:tcW w:w="904" w:type="dxa"/>
            <w:vAlign w:val="center"/>
          </w:tcPr>
          <w:p w14:paraId="58109AE6">
            <w:pPr>
              <w:pStyle w:val="388"/>
              <w:spacing w:before="0" w:after="0" w:line="240" w:lineRule="auto"/>
              <w:ind w:firstLine="0"/>
              <w:jc w:val="center"/>
              <w:rPr>
                <w:rFonts w:ascii="宋体" w:hAnsi="宋体" w:cs="宋体"/>
              </w:rPr>
            </w:pPr>
            <w:r>
              <w:rPr>
                <w:rFonts w:hint="eastAsia" w:ascii="宋体" w:hAnsi="宋体" w:cs="宋体"/>
              </w:rPr>
              <w:t>4</w:t>
            </w:r>
          </w:p>
        </w:tc>
        <w:tc>
          <w:tcPr>
            <w:tcW w:w="6390" w:type="dxa"/>
            <w:vAlign w:val="center"/>
          </w:tcPr>
          <w:p w14:paraId="366CAED2">
            <w:pPr>
              <w:pStyle w:val="388"/>
              <w:spacing w:before="0" w:after="0" w:line="240" w:lineRule="auto"/>
              <w:ind w:firstLine="0"/>
              <w:jc w:val="both"/>
              <w:rPr>
                <w:rFonts w:ascii="宋体" w:hAnsi="宋体" w:cs="宋体"/>
              </w:rPr>
            </w:pPr>
            <w:r>
              <w:rPr>
                <w:rFonts w:hint="eastAsia" w:ascii="宋体" w:hAnsi="宋体" w:cs="宋体"/>
              </w:rPr>
              <w:t>投标人近一年中任意一个月份（不含投标当月）的依法缴纳税收的相关材料（提供相关主管部门证明或银行代扣证明）。</w:t>
            </w:r>
          </w:p>
        </w:tc>
        <w:tc>
          <w:tcPr>
            <w:tcW w:w="2638" w:type="dxa"/>
            <w:vMerge w:val="continue"/>
            <w:vAlign w:val="center"/>
          </w:tcPr>
          <w:p w14:paraId="677828D0">
            <w:pPr>
              <w:pStyle w:val="388"/>
              <w:spacing w:before="0" w:after="0" w:line="240" w:lineRule="auto"/>
              <w:ind w:firstLine="0"/>
              <w:rPr>
                <w:rFonts w:ascii="宋体" w:hAnsi="宋体" w:cs="宋体"/>
              </w:rPr>
            </w:pPr>
          </w:p>
        </w:tc>
      </w:tr>
      <w:tr w14:paraId="5B1B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3" w:hRule="atLeast"/>
          <w:jc w:val="center"/>
        </w:trPr>
        <w:tc>
          <w:tcPr>
            <w:tcW w:w="904" w:type="dxa"/>
            <w:vAlign w:val="center"/>
          </w:tcPr>
          <w:p w14:paraId="0D870BAA">
            <w:pPr>
              <w:pStyle w:val="388"/>
              <w:spacing w:before="0" w:after="0" w:line="240" w:lineRule="auto"/>
              <w:ind w:firstLine="0"/>
              <w:jc w:val="center"/>
              <w:rPr>
                <w:rFonts w:ascii="宋体" w:hAnsi="宋体" w:cs="宋体"/>
              </w:rPr>
            </w:pPr>
            <w:r>
              <w:rPr>
                <w:rFonts w:hint="eastAsia" w:ascii="宋体" w:hAnsi="宋体" w:cs="宋体"/>
              </w:rPr>
              <w:t>5</w:t>
            </w:r>
          </w:p>
        </w:tc>
        <w:tc>
          <w:tcPr>
            <w:tcW w:w="6390" w:type="dxa"/>
            <w:vAlign w:val="center"/>
          </w:tcPr>
          <w:p w14:paraId="18D0DB47">
            <w:pPr>
              <w:pStyle w:val="388"/>
              <w:spacing w:before="0" w:after="0" w:line="240" w:lineRule="auto"/>
              <w:ind w:firstLine="0"/>
              <w:jc w:val="both"/>
              <w:rPr>
                <w:rFonts w:ascii="宋体" w:hAnsi="宋体" w:cs="宋体"/>
              </w:rPr>
            </w:pPr>
            <w:r>
              <w:rPr>
                <w:rFonts w:hint="eastAsia" w:ascii="宋体" w:hAnsi="宋体" w:cs="宋体"/>
              </w:rPr>
              <w:t>投标人近一年中任意一个月份（不含投标当月）的依法缴纳社会保障资金的相关材料（提供相关主管部门证明或银行代扣证明）。</w:t>
            </w:r>
          </w:p>
        </w:tc>
        <w:tc>
          <w:tcPr>
            <w:tcW w:w="2638" w:type="dxa"/>
            <w:vMerge w:val="continue"/>
            <w:vAlign w:val="center"/>
          </w:tcPr>
          <w:p w14:paraId="1C1488C1">
            <w:pPr>
              <w:pStyle w:val="388"/>
              <w:spacing w:before="0" w:after="0" w:line="240" w:lineRule="auto"/>
              <w:ind w:firstLine="0"/>
              <w:rPr>
                <w:rFonts w:ascii="宋体" w:hAnsi="宋体" w:cs="宋体"/>
              </w:rPr>
            </w:pPr>
          </w:p>
        </w:tc>
      </w:tr>
      <w:tr w14:paraId="5245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5" w:hRule="atLeast"/>
          <w:jc w:val="center"/>
        </w:trPr>
        <w:tc>
          <w:tcPr>
            <w:tcW w:w="904" w:type="dxa"/>
            <w:tcBorders>
              <w:bottom w:val="single" w:color="000000" w:sz="4" w:space="0"/>
            </w:tcBorders>
            <w:vAlign w:val="center"/>
          </w:tcPr>
          <w:p w14:paraId="5854DCD7">
            <w:pPr>
              <w:pStyle w:val="388"/>
              <w:spacing w:before="0" w:after="0" w:line="240" w:lineRule="auto"/>
              <w:ind w:firstLine="0"/>
              <w:jc w:val="center"/>
              <w:rPr>
                <w:rFonts w:ascii="宋体" w:hAnsi="宋体" w:cs="宋体"/>
              </w:rPr>
            </w:pPr>
            <w:r>
              <w:rPr>
                <w:rFonts w:hint="eastAsia" w:ascii="宋体" w:hAnsi="宋体" w:cs="宋体"/>
              </w:rPr>
              <w:t>6</w:t>
            </w:r>
          </w:p>
        </w:tc>
        <w:tc>
          <w:tcPr>
            <w:tcW w:w="6390" w:type="dxa"/>
            <w:tcBorders>
              <w:bottom w:val="single" w:color="000000" w:sz="4" w:space="0"/>
            </w:tcBorders>
            <w:vAlign w:val="center"/>
          </w:tcPr>
          <w:p w14:paraId="220F1473">
            <w:pPr>
              <w:pStyle w:val="388"/>
              <w:spacing w:before="0" w:after="0" w:line="240" w:lineRule="auto"/>
              <w:ind w:firstLine="0"/>
              <w:jc w:val="both"/>
              <w:rPr>
                <w:rFonts w:ascii="宋体" w:hAnsi="宋体" w:cs="宋体"/>
              </w:rPr>
            </w:pPr>
            <w:r>
              <w:rPr>
                <w:rFonts w:hint="eastAsia" w:ascii="宋体" w:hAnsi="宋体" w:cs="宋体"/>
              </w:rPr>
              <w:t>《资格声明函》（给定格式）。</w:t>
            </w:r>
          </w:p>
        </w:tc>
        <w:tc>
          <w:tcPr>
            <w:tcW w:w="2638" w:type="dxa"/>
            <w:vMerge w:val="continue"/>
            <w:vAlign w:val="center"/>
          </w:tcPr>
          <w:p w14:paraId="40D56A50">
            <w:pPr>
              <w:pStyle w:val="388"/>
              <w:spacing w:before="0" w:after="0" w:line="240" w:lineRule="auto"/>
              <w:ind w:firstLine="0"/>
              <w:rPr>
                <w:rFonts w:ascii="宋体" w:hAnsi="宋体" w:cs="宋体"/>
              </w:rPr>
            </w:pPr>
          </w:p>
        </w:tc>
      </w:tr>
      <w:tr w14:paraId="7A92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04" w:type="dxa"/>
            <w:vAlign w:val="center"/>
          </w:tcPr>
          <w:p w14:paraId="4AFE102F">
            <w:pPr>
              <w:pStyle w:val="388"/>
              <w:spacing w:before="0" w:after="0" w:line="240" w:lineRule="auto"/>
              <w:ind w:firstLine="0"/>
              <w:jc w:val="center"/>
              <w:rPr>
                <w:rFonts w:ascii="宋体" w:hAnsi="宋体" w:cs="宋体"/>
              </w:rPr>
            </w:pPr>
            <w:r>
              <w:rPr>
                <w:rFonts w:hint="eastAsia" w:ascii="宋体" w:hAnsi="宋体" w:cs="宋体"/>
              </w:rPr>
              <w:t>7</w:t>
            </w:r>
          </w:p>
        </w:tc>
        <w:tc>
          <w:tcPr>
            <w:tcW w:w="6390" w:type="dxa"/>
            <w:vAlign w:val="center"/>
          </w:tcPr>
          <w:p w14:paraId="56A3AEC4">
            <w:pPr>
              <w:pStyle w:val="388"/>
              <w:spacing w:before="0" w:after="0" w:line="240" w:lineRule="auto"/>
              <w:ind w:firstLine="0"/>
              <w:rPr>
                <w:rFonts w:ascii="宋体" w:hAnsi="宋体" w:cs="宋体"/>
              </w:rPr>
            </w:pPr>
            <w:r>
              <w:rPr>
                <w:rFonts w:hint="eastAsia" w:ascii="宋体" w:hAnsi="宋体" w:cs="宋体"/>
              </w:rPr>
              <w:t>满足中小企业政策的证明文件（如有中小企业政策要求的）。</w:t>
            </w:r>
          </w:p>
        </w:tc>
        <w:tc>
          <w:tcPr>
            <w:tcW w:w="2638" w:type="dxa"/>
            <w:vAlign w:val="center"/>
          </w:tcPr>
          <w:p w14:paraId="659556F4">
            <w:pPr>
              <w:pStyle w:val="388"/>
              <w:spacing w:before="0" w:after="0" w:line="240" w:lineRule="auto"/>
              <w:ind w:firstLine="0"/>
              <w:rPr>
                <w:rFonts w:ascii="宋体" w:hAnsi="宋体" w:cs="宋体"/>
              </w:rPr>
            </w:pPr>
            <w:r>
              <w:rPr>
                <w:rFonts w:hint="eastAsia" w:ascii="宋体" w:hAnsi="宋体" w:cs="宋体"/>
              </w:rPr>
              <w:t>落实政府采购政策需满足的资格要求，详见第一章《投标邀请》</w:t>
            </w:r>
          </w:p>
        </w:tc>
      </w:tr>
      <w:tr w14:paraId="0413B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4" w:type="dxa"/>
            <w:vAlign w:val="center"/>
          </w:tcPr>
          <w:p w14:paraId="56F18C05">
            <w:pPr>
              <w:pStyle w:val="388"/>
              <w:spacing w:before="0" w:after="0" w:line="240" w:lineRule="auto"/>
              <w:ind w:firstLine="0"/>
              <w:jc w:val="center"/>
              <w:rPr>
                <w:rFonts w:ascii="宋体" w:hAnsi="宋体" w:cs="宋体"/>
                <w:bCs/>
              </w:rPr>
            </w:pPr>
            <w:r>
              <w:rPr>
                <w:rFonts w:hint="eastAsia" w:ascii="宋体" w:hAnsi="宋体" w:cs="宋体"/>
                <w:bCs/>
              </w:rPr>
              <w:t>8</w:t>
            </w:r>
          </w:p>
        </w:tc>
        <w:tc>
          <w:tcPr>
            <w:tcW w:w="6390" w:type="dxa"/>
            <w:vAlign w:val="center"/>
          </w:tcPr>
          <w:p w14:paraId="75817820">
            <w:pPr>
              <w:pStyle w:val="388"/>
              <w:spacing w:before="0" w:after="0" w:line="240" w:lineRule="auto"/>
              <w:ind w:firstLine="0"/>
              <w:jc w:val="both"/>
              <w:rPr>
                <w:rFonts w:ascii="宋体" w:hAnsi="宋体" w:cs="宋体"/>
                <w:bCs/>
              </w:rPr>
            </w:pPr>
            <w:r>
              <w:rPr>
                <w:rFonts w:hint="eastAsia" w:ascii="宋体" w:hAnsi="宋体" w:cs="宋体"/>
                <w:bCs/>
              </w:rPr>
              <w:t>本项目要求的特定资格证明</w:t>
            </w:r>
            <w:r>
              <w:rPr>
                <w:rFonts w:hint="eastAsia" w:ascii="宋体" w:hAnsi="宋体" w:cs="宋体"/>
              </w:rPr>
              <w:t>文件（</w:t>
            </w:r>
            <w:r>
              <w:rPr>
                <w:rFonts w:hint="eastAsia" w:ascii="宋体" w:hAnsi="宋体" w:cs="宋体"/>
                <w:bCs/>
              </w:rPr>
              <w:t>如有</w:t>
            </w:r>
            <w:r>
              <w:rPr>
                <w:rFonts w:hint="eastAsia" w:ascii="宋体" w:hAnsi="宋体" w:cs="宋体"/>
              </w:rPr>
              <w:t>特定资格要求的）。</w:t>
            </w:r>
          </w:p>
        </w:tc>
        <w:tc>
          <w:tcPr>
            <w:tcW w:w="2638" w:type="dxa"/>
            <w:vAlign w:val="center"/>
          </w:tcPr>
          <w:p w14:paraId="331A87F0">
            <w:pPr>
              <w:pStyle w:val="388"/>
              <w:spacing w:before="0" w:after="0" w:line="240" w:lineRule="auto"/>
              <w:ind w:firstLine="0"/>
              <w:rPr>
                <w:rFonts w:ascii="宋体" w:hAnsi="宋体" w:cs="宋体"/>
                <w:bCs/>
              </w:rPr>
            </w:pPr>
            <w:r>
              <w:rPr>
                <w:rFonts w:hint="eastAsia" w:ascii="宋体" w:hAnsi="宋体" w:cs="宋体"/>
              </w:rPr>
              <w:t>特定资格要求，详见第一章《投标邀请》</w:t>
            </w:r>
          </w:p>
        </w:tc>
      </w:tr>
      <w:tr w14:paraId="32B01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904" w:type="dxa"/>
            <w:vAlign w:val="center"/>
          </w:tcPr>
          <w:p w14:paraId="26E52F49">
            <w:pPr>
              <w:pStyle w:val="388"/>
              <w:spacing w:before="0" w:after="0" w:line="240" w:lineRule="auto"/>
              <w:ind w:firstLine="0"/>
              <w:jc w:val="center"/>
              <w:rPr>
                <w:rFonts w:ascii="宋体" w:hAnsi="宋体" w:cs="宋体"/>
                <w:bCs/>
              </w:rPr>
            </w:pPr>
            <w:r>
              <w:rPr>
                <w:rFonts w:hint="eastAsia" w:ascii="宋体" w:hAnsi="宋体" w:cs="宋体"/>
                <w:bCs/>
              </w:rPr>
              <w:t>9</w:t>
            </w:r>
          </w:p>
        </w:tc>
        <w:tc>
          <w:tcPr>
            <w:tcW w:w="9028" w:type="dxa"/>
            <w:gridSpan w:val="2"/>
            <w:vAlign w:val="center"/>
          </w:tcPr>
          <w:p w14:paraId="288358D5">
            <w:pPr>
              <w:pStyle w:val="388"/>
              <w:spacing w:before="0" w:after="0" w:line="240" w:lineRule="auto"/>
              <w:ind w:firstLine="0"/>
              <w:rPr>
                <w:rFonts w:ascii="宋体" w:hAnsi="宋体" w:cs="宋体"/>
              </w:rPr>
            </w:pPr>
            <w:r>
              <w:rPr>
                <w:rFonts w:hint="eastAsia" w:ascii="宋体" w:hAnsi="宋体" w:cs="宋体"/>
                <w:bCs/>
              </w:rPr>
              <w:t>《联合体协议》（</w:t>
            </w:r>
            <w:r>
              <w:rPr>
                <w:rFonts w:hint="eastAsia" w:ascii="宋体" w:hAnsi="宋体"/>
              </w:rPr>
              <w:t>如接受联合体投标且投标人为联合体时须提供</w:t>
            </w:r>
            <w:r>
              <w:rPr>
                <w:rFonts w:hint="eastAsia" w:ascii="宋体" w:hAnsi="宋体" w:cs="宋体"/>
                <w:bCs/>
              </w:rPr>
              <w:t>，格式自拟）。</w:t>
            </w:r>
          </w:p>
        </w:tc>
      </w:tr>
    </w:tbl>
    <w:p w14:paraId="687BF141">
      <w:pPr>
        <w:spacing w:line="500" w:lineRule="exact"/>
        <w:ind w:firstLine="480"/>
        <w:rPr>
          <w:rFonts w:ascii="宋体" w:hAnsi="宋体"/>
          <w:sz w:val="24"/>
          <w:szCs w:val="24"/>
        </w:rPr>
      </w:pPr>
      <w:r>
        <w:rPr>
          <w:rFonts w:hint="eastAsia" w:ascii="宋体" w:hAnsi="宋体"/>
          <w:sz w:val="24"/>
          <w:szCs w:val="24"/>
        </w:rPr>
        <w:t>说明：</w:t>
      </w:r>
    </w:p>
    <w:p w14:paraId="0288EBF5">
      <w:pPr>
        <w:numPr>
          <w:ilvl w:val="0"/>
          <w:numId w:val="9"/>
        </w:numPr>
        <w:spacing w:line="500" w:lineRule="exact"/>
        <w:ind w:firstLine="480"/>
        <w:rPr>
          <w:rFonts w:ascii="宋体" w:hAnsi="宋体"/>
          <w:sz w:val="24"/>
          <w:szCs w:val="24"/>
        </w:rPr>
      </w:pPr>
      <w:r>
        <w:rPr>
          <w:rFonts w:ascii="宋体" w:hAnsi="宋体"/>
          <w:sz w:val="24"/>
          <w:szCs w:val="24"/>
        </w:rPr>
        <w:t>上述资格证明文件</w:t>
      </w:r>
      <w:r>
        <w:rPr>
          <w:rFonts w:hint="eastAsia" w:ascii="宋体" w:hAnsi="宋体"/>
          <w:sz w:val="24"/>
          <w:szCs w:val="24"/>
        </w:rPr>
        <w:t>1～6项必须全部按要求提供（有给定格式的，必须按给定格式的要求正确填报并提供，相应格式见本章第二部分），否则投标文件无效。</w:t>
      </w:r>
      <w:r>
        <w:rPr>
          <w:rFonts w:ascii="宋体" w:hAnsi="宋体"/>
          <w:sz w:val="24"/>
          <w:szCs w:val="24"/>
        </w:rPr>
        <w:t>如遇年检、换证，则必须提供法定年检、换证单位出具的有效证明扫描件。</w:t>
      </w:r>
      <w:r>
        <w:rPr>
          <w:rFonts w:hint="eastAsia" w:ascii="宋体" w:hAnsi="宋体"/>
          <w:sz w:val="24"/>
          <w:szCs w:val="24"/>
        </w:rPr>
        <w:t>其中</w:t>
      </w:r>
      <w:r>
        <w:rPr>
          <w:rFonts w:ascii="宋体" w:hAnsi="宋体"/>
          <w:sz w:val="24"/>
          <w:szCs w:val="24"/>
        </w:rPr>
        <w:t>第</w:t>
      </w:r>
      <w:r>
        <w:rPr>
          <w:rFonts w:hint="eastAsia" w:ascii="宋体" w:hAnsi="宋体"/>
          <w:sz w:val="24"/>
          <w:szCs w:val="24"/>
        </w:rPr>
        <w:t>3</w:t>
      </w:r>
      <w:r>
        <w:rPr>
          <w:rFonts w:ascii="宋体" w:hAnsi="宋体"/>
          <w:sz w:val="24"/>
          <w:szCs w:val="24"/>
        </w:rPr>
        <w:t>、</w:t>
      </w:r>
      <w:r>
        <w:rPr>
          <w:rFonts w:hint="eastAsia" w:ascii="宋体" w:hAnsi="宋体"/>
          <w:sz w:val="24"/>
          <w:szCs w:val="24"/>
        </w:rPr>
        <w:t>4</w:t>
      </w:r>
      <w:r>
        <w:rPr>
          <w:rFonts w:ascii="宋体" w:hAnsi="宋体"/>
          <w:sz w:val="24"/>
          <w:szCs w:val="24"/>
        </w:rPr>
        <w:t>、</w:t>
      </w:r>
      <w:r>
        <w:rPr>
          <w:rFonts w:hint="eastAsia" w:ascii="宋体" w:hAnsi="宋体"/>
          <w:sz w:val="24"/>
          <w:szCs w:val="24"/>
        </w:rPr>
        <w:t>5</w:t>
      </w:r>
      <w:r>
        <w:rPr>
          <w:rFonts w:ascii="宋体" w:hAnsi="宋体"/>
          <w:sz w:val="24"/>
          <w:szCs w:val="24"/>
        </w:rPr>
        <w:t>项如遇有国家相关政策规定可不具备的（如依法享受缓缴、免缴税收、社会保障资金</w:t>
      </w:r>
      <w:r>
        <w:rPr>
          <w:rFonts w:hint="eastAsia" w:ascii="宋体" w:hAnsi="宋体"/>
          <w:sz w:val="24"/>
          <w:szCs w:val="24"/>
        </w:rPr>
        <w:t>等</w:t>
      </w:r>
      <w:r>
        <w:rPr>
          <w:rFonts w:ascii="宋体" w:hAnsi="宋体"/>
          <w:sz w:val="24"/>
          <w:szCs w:val="24"/>
        </w:rPr>
        <w:t>），必须提供相关政策规定或相关单位出具的有效证明扫描件；如因新成立</w:t>
      </w:r>
      <w:r>
        <w:rPr>
          <w:rFonts w:hint="eastAsia" w:ascii="宋体" w:hAnsi="宋体"/>
          <w:sz w:val="24"/>
          <w:szCs w:val="24"/>
        </w:rPr>
        <w:t>确无法提供</w:t>
      </w:r>
      <w:r>
        <w:rPr>
          <w:rFonts w:ascii="宋体" w:hAnsi="宋体"/>
          <w:sz w:val="24"/>
          <w:szCs w:val="24"/>
        </w:rPr>
        <w:t>的，可以不提供。</w:t>
      </w:r>
    </w:p>
    <w:p w14:paraId="2D02D858">
      <w:pPr>
        <w:spacing w:line="500" w:lineRule="exact"/>
        <w:ind w:firstLine="480"/>
        <w:rPr>
          <w:rFonts w:ascii="宋体" w:hAnsi="宋体"/>
          <w:sz w:val="24"/>
          <w:szCs w:val="24"/>
        </w:rPr>
      </w:pPr>
      <w:r>
        <w:rPr>
          <w:rFonts w:hint="eastAsia" w:ascii="宋体" w:hAnsi="宋体"/>
          <w:sz w:val="24"/>
          <w:szCs w:val="24"/>
        </w:rPr>
        <w:t>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5FA68C6C">
      <w:pPr>
        <w:numPr>
          <w:ilvl w:val="0"/>
          <w:numId w:val="9"/>
        </w:numPr>
        <w:spacing w:line="500" w:lineRule="exact"/>
        <w:ind w:firstLine="480"/>
        <w:rPr>
          <w:rFonts w:ascii="宋体" w:hAnsi="宋体"/>
          <w:sz w:val="24"/>
          <w:szCs w:val="24"/>
        </w:rPr>
      </w:pPr>
      <w:r>
        <w:rPr>
          <w:rFonts w:hint="eastAsia" w:ascii="宋体" w:hAnsi="宋体"/>
          <w:sz w:val="24"/>
          <w:szCs w:val="24"/>
        </w:rPr>
        <w:t>上述</w:t>
      </w:r>
      <w:r>
        <w:rPr>
          <w:rFonts w:ascii="宋体" w:hAnsi="宋体"/>
          <w:sz w:val="24"/>
          <w:szCs w:val="24"/>
        </w:rPr>
        <w:t>资格证明文件第</w:t>
      </w:r>
      <w:r>
        <w:rPr>
          <w:rFonts w:hint="eastAsia" w:ascii="宋体" w:hAnsi="宋体"/>
          <w:sz w:val="24"/>
          <w:szCs w:val="24"/>
        </w:rPr>
        <w:t>7项，如本项目落实政府采购政策需满足的资格要求中有中小企业政策要求的（详见第一章《投标邀请》），必须提供相应证明文件，否则投标文件无效。</w:t>
      </w:r>
    </w:p>
    <w:p w14:paraId="7F8BDCFF">
      <w:pPr>
        <w:spacing w:line="500" w:lineRule="exact"/>
        <w:ind w:firstLine="480"/>
        <w:rPr>
          <w:rFonts w:ascii="宋体" w:hAnsi="宋体"/>
          <w:sz w:val="24"/>
          <w:szCs w:val="24"/>
        </w:rPr>
      </w:pPr>
      <w:r>
        <w:rPr>
          <w:rFonts w:ascii="宋体" w:hAnsi="宋体"/>
          <w:sz w:val="24"/>
          <w:szCs w:val="24"/>
        </w:rPr>
        <w:t>专门面向中小</w:t>
      </w:r>
      <w:r>
        <w:rPr>
          <w:rFonts w:hint="eastAsia" w:ascii="宋体" w:hAnsi="宋体"/>
          <w:sz w:val="24"/>
          <w:szCs w:val="24"/>
        </w:rPr>
        <w:t>企业，是指专门面向中型、小型、微型企业、监狱企业或残疾人福利性单位；专门面向小微企业，是指专门面向小型、微型企业、监狱企业或残疾人福利性单位。中小微企业、监狱企业、残疾人福利性单位所提供的相应证明材料参见第五章“落实政府采购政策的价格调整”。以联合体形式参加政府采购活动的，联合体各方均为中小企业的，联合体视同中小企业；联合体各方均为小微企业的，联合体视同小微企业。</w:t>
      </w:r>
    </w:p>
    <w:p w14:paraId="4E5C5CF4">
      <w:pPr>
        <w:numPr>
          <w:ilvl w:val="0"/>
          <w:numId w:val="9"/>
        </w:numPr>
        <w:spacing w:line="500" w:lineRule="exact"/>
        <w:ind w:firstLine="480"/>
        <w:rPr>
          <w:rFonts w:ascii="宋体" w:hAnsi="宋体"/>
          <w:sz w:val="24"/>
          <w:szCs w:val="24"/>
        </w:rPr>
      </w:pPr>
      <w:r>
        <w:rPr>
          <w:rFonts w:hint="eastAsia" w:ascii="宋体" w:hAnsi="宋体"/>
          <w:sz w:val="24"/>
          <w:szCs w:val="24"/>
        </w:rPr>
        <w:t>上述</w:t>
      </w:r>
      <w:r>
        <w:rPr>
          <w:rFonts w:ascii="宋体" w:hAnsi="宋体"/>
          <w:sz w:val="24"/>
          <w:szCs w:val="24"/>
        </w:rPr>
        <w:t>资格证明文件第</w:t>
      </w:r>
      <w:r>
        <w:rPr>
          <w:rFonts w:hint="eastAsia" w:ascii="宋体" w:hAnsi="宋体"/>
          <w:sz w:val="24"/>
          <w:szCs w:val="24"/>
        </w:rPr>
        <w:t>8项，如本项目有特定资格要求的（详见第一章《投标邀请》），须提供相应的特定资格证明文件。</w:t>
      </w:r>
    </w:p>
    <w:p w14:paraId="2AD2468E">
      <w:pPr>
        <w:numPr>
          <w:ilvl w:val="0"/>
          <w:numId w:val="9"/>
        </w:numPr>
        <w:spacing w:line="500" w:lineRule="exact"/>
        <w:ind w:firstLine="480"/>
        <w:rPr>
          <w:rFonts w:ascii="宋体" w:hAnsi="宋体"/>
          <w:sz w:val="24"/>
          <w:szCs w:val="24"/>
        </w:rPr>
      </w:pPr>
      <w:r>
        <w:rPr>
          <w:rFonts w:hint="eastAsia" w:ascii="宋体" w:hAnsi="宋体"/>
          <w:sz w:val="24"/>
          <w:szCs w:val="24"/>
        </w:rPr>
        <w:t>上述</w:t>
      </w:r>
      <w:r>
        <w:rPr>
          <w:rFonts w:ascii="宋体" w:hAnsi="宋体"/>
          <w:sz w:val="24"/>
          <w:szCs w:val="24"/>
        </w:rPr>
        <w:t>资格证明文件第</w:t>
      </w:r>
      <w:r>
        <w:rPr>
          <w:rFonts w:hint="eastAsia" w:ascii="宋体" w:hAnsi="宋体"/>
          <w:sz w:val="24"/>
          <w:szCs w:val="24"/>
        </w:rPr>
        <w:t>9项，如本项目接受联合体投标的（详见第一章《投标邀请》），且投标人为联合体时，必须提供《联合体协议》（格式自拟，明确各方拟承担的工作和责任，并指定联合体牵头人，授权其代表所有联合体成员负责本项目投标和合同实施阶段的牵头、协调工作），否则投标文件无效。</w:t>
      </w:r>
    </w:p>
    <w:p w14:paraId="332A60C2">
      <w:pPr>
        <w:spacing w:line="500" w:lineRule="exact"/>
        <w:ind w:firstLine="480"/>
        <w:rPr>
          <w:rFonts w:ascii="宋体" w:hAnsi="宋体"/>
          <w:sz w:val="24"/>
          <w:szCs w:val="24"/>
        </w:rPr>
      </w:pPr>
      <w:r>
        <w:rPr>
          <w:rFonts w:hint="eastAsia" w:ascii="宋体" w:hAnsi="宋体"/>
          <w:sz w:val="24"/>
          <w:szCs w:val="24"/>
        </w:rPr>
        <w:t>如项目接受联合体投标且投标人为联合体时，</w:t>
      </w:r>
      <w:r>
        <w:rPr>
          <w:rFonts w:ascii="宋体" w:hAnsi="宋体"/>
          <w:sz w:val="24"/>
          <w:szCs w:val="24"/>
        </w:rPr>
        <w:t>上述资格证明文件</w:t>
      </w:r>
      <w:r>
        <w:rPr>
          <w:rFonts w:hint="eastAsia" w:ascii="宋体" w:hAnsi="宋体"/>
          <w:sz w:val="24"/>
          <w:szCs w:val="24"/>
        </w:rPr>
        <w:t>中：第2、6项可由联合体主体单位（即联合体牵头人）代表联合体提供；第1、3、4、5、7（如有要求）、8（如有要求）项，联合体各方均须提供。</w:t>
      </w:r>
    </w:p>
    <w:p w14:paraId="1C0CF894">
      <w:pPr>
        <w:rPr>
          <w:b/>
          <w:sz w:val="28"/>
          <w:szCs w:val="28"/>
        </w:rPr>
      </w:pPr>
      <w:r>
        <w:rPr>
          <w:rFonts w:hint="eastAsia" w:ascii="宋体" w:hAnsi="宋体"/>
        </w:rPr>
        <w:br w:type="page" w:clear="all"/>
      </w:r>
      <w:r>
        <w:rPr>
          <w:rFonts w:hint="eastAsia"/>
          <w:b/>
          <w:sz w:val="28"/>
          <w:szCs w:val="28"/>
        </w:rPr>
        <w:t>二、符合性证明文件及其他证明文件</w:t>
      </w:r>
    </w:p>
    <w:p w14:paraId="2670359A">
      <w:pPr>
        <w:rPr>
          <w:b/>
          <w:sz w:val="28"/>
          <w:szCs w:val="28"/>
        </w:rPr>
      </w:pPr>
      <w:r>
        <w:rPr>
          <w:rFonts w:hint="eastAsia" w:ascii="宋体" w:hAnsi="宋体"/>
          <w:b/>
          <w:color w:val="000000"/>
          <w:sz w:val="28"/>
          <w:szCs w:val="28"/>
        </w:rPr>
        <w:t>（一）符合性证明文件</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3"/>
        <w:gridCol w:w="6095"/>
        <w:gridCol w:w="1979"/>
      </w:tblGrid>
      <w:tr w14:paraId="0958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68897EED">
            <w:pPr>
              <w:pStyle w:val="388"/>
              <w:spacing w:before="0" w:after="0"/>
              <w:ind w:firstLine="0"/>
              <w:jc w:val="center"/>
              <w:rPr>
                <w:rFonts w:cs="Arial"/>
                <w:b/>
                <w:color w:val="000000"/>
              </w:rPr>
            </w:pPr>
            <w:r>
              <w:rPr>
                <w:rFonts w:hint="eastAsia" w:ascii="宋体" w:hAnsi="宋体" w:cs="Arial"/>
                <w:b/>
                <w:color w:val="000000"/>
              </w:rPr>
              <w:t>序号</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2318B49F">
            <w:pPr>
              <w:pStyle w:val="388"/>
              <w:spacing w:before="0" w:after="0"/>
              <w:ind w:firstLine="0"/>
              <w:jc w:val="center"/>
              <w:rPr>
                <w:rFonts w:cs="Arial"/>
                <w:b/>
                <w:color w:val="000000"/>
              </w:rPr>
            </w:pPr>
            <w:r>
              <w:rPr>
                <w:rFonts w:hint="eastAsia" w:ascii="宋体" w:hAnsi="宋体"/>
                <w:b/>
                <w:color w:val="000000"/>
              </w:rPr>
              <w:t>评审项目及评审要求</w:t>
            </w:r>
          </w:p>
        </w:tc>
        <w:tc>
          <w:tcPr>
            <w:tcW w:w="1979" w:type="dxa"/>
            <w:tcBorders>
              <w:top w:val="single" w:color="000000" w:sz="4" w:space="0"/>
              <w:left w:val="single" w:color="000000" w:sz="4" w:space="0"/>
              <w:bottom w:val="single" w:color="000000" w:sz="4" w:space="0"/>
              <w:right w:val="single" w:color="000000" w:sz="4" w:space="0"/>
            </w:tcBorders>
            <w:noWrap/>
            <w:vAlign w:val="center"/>
          </w:tcPr>
          <w:p w14:paraId="126FDDB6">
            <w:pPr>
              <w:pStyle w:val="388"/>
              <w:spacing w:before="0" w:after="0"/>
              <w:ind w:firstLine="0"/>
              <w:jc w:val="center"/>
              <w:rPr>
                <w:rFonts w:cs="Arial"/>
                <w:b/>
                <w:color w:val="000000"/>
              </w:rPr>
            </w:pPr>
            <w:r>
              <w:rPr>
                <w:rFonts w:hint="eastAsia" w:ascii="宋体" w:hAnsi="宋体" w:cs="Arial"/>
                <w:b/>
                <w:color w:val="000000"/>
              </w:rPr>
              <w:t>审查因素</w:t>
            </w:r>
          </w:p>
        </w:tc>
      </w:tr>
      <w:tr w14:paraId="5D1B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5C9BB980">
            <w:pPr>
              <w:pStyle w:val="388"/>
              <w:spacing w:before="0" w:after="0"/>
              <w:ind w:firstLine="0"/>
              <w:jc w:val="center"/>
              <w:rPr>
                <w:rFonts w:ascii="宋体" w:hAnsi="宋体" w:cs="Arial"/>
                <w:color w:val="000000"/>
              </w:rPr>
            </w:pPr>
            <w:r>
              <w:rPr>
                <w:rFonts w:hint="eastAsia" w:ascii="宋体" w:hAnsi="宋体" w:cs="Arial"/>
                <w:color w:val="000000"/>
              </w:rPr>
              <w:t>1</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1998D78A">
            <w:pPr>
              <w:pStyle w:val="388"/>
              <w:spacing w:before="0" w:after="0"/>
              <w:ind w:firstLine="0"/>
              <w:jc w:val="both"/>
              <w:rPr>
                <w:rFonts w:ascii="宋体" w:hAnsi="宋体" w:cs="Arial"/>
                <w:color w:val="000000"/>
              </w:rPr>
            </w:pPr>
            <w:r>
              <w:rPr>
                <w:rFonts w:hint="eastAsia" w:ascii="宋体" w:hAnsi="宋体" w:cs="Arial"/>
                <w:color w:val="000000"/>
              </w:rPr>
              <w:t>投标函（给定格式）</w:t>
            </w:r>
          </w:p>
        </w:tc>
        <w:tc>
          <w:tcPr>
            <w:tcW w:w="1979" w:type="dxa"/>
            <w:vMerge w:val="restart"/>
            <w:tcBorders>
              <w:top w:val="nil"/>
              <w:left w:val="single" w:color="000000" w:sz="4" w:space="0"/>
              <w:right w:val="single" w:color="000000" w:sz="4" w:space="0"/>
            </w:tcBorders>
            <w:noWrap/>
            <w:vAlign w:val="center"/>
          </w:tcPr>
          <w:p w14:paraId="574E6502">
            <w:pPr>
              <w:pStyle w:val="388"/>
              <w:spacing w:before="0" w:after="0"/>
              <w:ind w:firstLine="0"/>
              <w:jc w:val="center"/>
              <w:rPr>
                <w:rFonts w:cs="Arial"/>
                <w:color w:val="000000"/>
              </w:rPr>
            </w:pPr>
            <w:r>
              <w:rPr>
                <w:rFonts w:hint="eastAsia" w:ascii="宋体" w:hAnsi="宋体" w:cs="Arial"/>
                <w:color w:val="000000"/>
              </w:rPr>
              <w:t>商务符合性</w:t>
            </w:r>
          </w:p>
        </w:tc>
      </w:tr>
      <w:tr w14:paraId="532D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3F4A494D">
            <w:pPr>
              <w:pStyle w:val="388"/>
              <w:spacing w:before="0" w:after="0"/>
              <w:ind w:firstLine="0"/>
              <w:jc w:val="center"/>
              <w:rPr>
                <w:rFonts w:ascii="宋体" w:hAnsi="宋体" w:cs="Arial"/>
                <w:color w:val="000000"/>
              </w:rPr>
            </w:pPr>
            <w:r>
              <w:rPr>
                <w:rFonts w:hint="eastAsia" w:ascii="宋体" w:hAnsi="宋体" w:cs="Arial"/>
                <w:color w:val="000000"/>
              </w:rPr>
              <w:t>2</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4D954BFC">
            <w:pPr>
              <w:pStyle w:val="388"/>
              <w:spacing w:before="0" w:after="0"/>
              <w:ind w:firstLine="0"/>
              <w:jc w:val="both"/>
              <w:rPr>
                <w:rFonts w:ascii="宋体" w:hAnsi="宋体" w:cs="Arial"/>
                <w:color w:val="000000"/>
              </w:rPr>
            </w:pPr>
            <w:r>
              <w:rPr>
                <w:rFonts w:hint="eastAsia" w:ascii="宋体" w:hAnsi="宋体" w:cs="Arial"/>
                <w:color w:val="000000"/>
              </w:rPr>
              <w:t>承诺书（给定格式）</w:t>
            </w:r>
          </w:p>
        </w:tc>
        <w:tc>
          <w:tcPr>
            <w:tcW w:w="0" w:type="auto"/>
            <w:vMerge w:val="continue"/>
            <w:tcBorders>
              <w:left w:val="single" w:color="000000" w:sz="4" w:space="0"/>
              <w:right w:val="single" w:color="000000" w:sz="4" w:space="0"/>
            </w:tcBorders>
            <w:vAlign w:val="center"/>
          </w:tcPr>
          <w:p w14:paraId="706CEA33">
            <w:pPr>
              <w:widowControl/>
              <w:jc w:val="left"/>
              <w:rPr>
                <w:rFonts w:ascii="Arial" w:hAnsi="Arial" w:eastAsia="宋体" w:cs="Arial"/>
                <w:color w:val="000000"/>
                <w:kern w:val="0"/>
                <w:sz w:val="24"/>
                <w:szCs w:val="24"/>
              </w:rPr>
            </w:pPr>
          </w:p>
        </w:tc>
      </w:tr>
      <w:tr w14:paraId="14D14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54C4484F">
            <w:pPr>
              <w:pStyle w:val="388"/>
              <w:spacing w:before="0" w:after="0"/>
              <w:ind w:firstLine="0"/>
              <w:jc w:val="center"/>
              <w:rPr>
                <w:rFonts w:ascii="宋体" w:hAnsi="宋体"/>
                <w:color w:val="000000"/>
              </w:rPr>
            </w:pPr>
            <w:r>
              <w:rPr>
                <w:rFonts w:hint="eastAsia" w:ascii="宋体" w:hAnsi="宋体"/>
                <w:color w:val="000000"/>
              </w:rPr>
              <w:t>3</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5EA14E74">
            <w:pPr>
              <w:pStyle w:val="388"/>
              <w:spacing w:before="0" w:after="0"/>
              <w:ind w:firstLine="0"/>
              <w:jc w:val="both"/>
              <w:rPr>
                <w:rFonts w:ascii="宋体" w:hAnsi="宋体"/>
                <w:color w:val="000000"/>
              </w:rPr>
            </w:pPr>
            <w:r>
              <w:rPr>
                <w:rFonts w:hint="eastAsia" w:ascii="宋体" w:hAnsi="宋体" w:cs="Arial"/>
                <w:color w:val="000000"/>
              </w:rPr>
              <w:t>项目人员配置考察表</w:t>
            </w:r>
            <w:r>
              <w:rPr>
                <w:rFonts w:hint="eastAsia" w:ascii="宋体" w:hAnsi="宋体"/>
                <w:color w:val="000000"/>
              </w:rPr>
              <w:t>（给定格式）</w:t>
            </w:r>
          </w:p>
        </w:tc>
        <w:tc>
          <w:tcPr>
            <w:tcW w:w="1979" w:type="dxa"/>
            <w:vMerge w:val="continue"/>
            <w:tcBorders>
              <w:left w:val="single" w:color="000000" w:sz="4" w:space="0"/>
              <w:bottom w:val="single" w:color="000000" w:sz="4" w:space="0"/>
              <w:right w:val="single" w:color="000000" w:sz="4" w:space="0"/>
            </w:tcBorders>
            <w:noWrap/>
            <w:vAlign w:val="center"/>
          </w:tcPr>
          <w:p w14:paraId="10656858">
            <w:pPr>
              <w:pStyle w:val="388"/>
              <w:spacing w:before="0" w:after="0"/>
              <w:ind w:firstLine="0"/>
              <w:jc w:val="center"/>
              <w:rPr>
                <w:rFonts w:cs="Arial"/>
                <w:color w:val="000000"/>
              </w:rPr>
            </w:pPr>
          </w:p>
        </w:tc>
      </w:tr>
      <w:tr w14:paraId="7CAA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1C7F7E63">
            <w:pPr>
              <w:pStyle w:val="388"/>
              <w:spacing w:before="0" w:after="0"/>
              <w:ind w:firstLine="0"/>
              <w:jc w:val="center"/>
              <w:rPr>
                <w:rFonts w:ascii="宋体" w:hAnsi="宋体"/>
                <w:color w:val="000000"/>
              </w:rPr>
            </w:pPr>
            <w:r>
              <w:rPr>
                <w:rFonts w:hint="eastAsia" w:ascii="宋体" w:hAnsi="宋体"/>
                <w:color w:val="000000"/>
              </w:rPr>
              <w:t>4</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58687AFF">
            <w:pPr>
              <w:pStyle w:val="388"/>
              <w:spacing w:before="0" w:after="0"/>
              <w:ind w:firstLine="0"/>
              <w:jc w:val="both"/>
              <w:rPr>
                <w:rFonts w:ascii="宋体" w:hAnsi="宋体" w:cs="Arial"/>
                <w:color w:val="000000"/>
                <w:sz w:val="24"/>
                <w:szCs w:val="24"/>
              </w:rPr>
            </w:pPr>
            <w:r>
              <w:rPr>
                <w:rFonts w:hint="eastAsia" w:ascii="宋体" w:hAnsi="宋体"/>
                <w:color w:val="000000"/>
                <w:sz w:val="24"/>
                <w:szCs w:val="24"/>
              </w:rPr>
              <w:t>开标一览表（给定格式）</w:t>
            </w:r>
          </w:p>
        </w:tc>
        <w:tc>
          <w:tcPr>
            <w:tcW w:w="0" w:type="auto"/>
            <w:vMerge w:val="restart"/>
            <w:tcBorders>
              <w:top w:val="nil"/>
              <w:left w:val="single" w:color="000000" w:sz="4" w:space="0"/>
              <w:right w:val="single" w:color="000000" w:sz="4" w:space="0"/>
            </w:tcBorders>
            <w:vAlign w:val="center"/>
          </w:tcPr>
          <w:p w14:paraId="1167C53F">
            <w:pPr>
              <w:widowControl/>
              <w:jc w:val="center"/>
              <w:rPr>
                <w:rFonts w:ascii="Arial" w:hAnsi="Arial" w:eastAsia="宋体" w:cs="Arial"/>
                <w:color w:val="000000"/>
                <w:kern w:val="0"/>
                <w:sz w:val="24"/>
                <w:szCs w:val="24"/>
              </w:rPr>
            </w:pPr>
            <w:r>
              <w:rPr>
                <w:rFonts w:hint="eastAsia" w:ascii="宋体" w:hAnsi="宋体" w:cs="Arial"/>
                <w:color w:val="000000"/>
                <w:sz w:val="24"/>
                <w:szCs w:val="24"/>
              </w:rPr>
              <w:t>报价符合性</w:t>
            </w:r>
          </w:p>
        </w:tc>
      </w:tr>
      <w:tr w14:paraId="19D13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2442635C">
            <w:pPr>
              <w:pStyle w:val="388"/>
              <w:spacing w:before="0" w:after="0"/>
              <w:ind w:firstLine="0"/>
              <w:jc w:val="center"/>
              <w:rPr>
                <w:rFonts w:ascii="宋体" w:hAnsi="宋体"/>
                <w:color w:val="000000"/>
              </w:rPr>
            </w:pPr>
            <w:r>
              <w:rPr>
                <w:rFonts w:hint="eastAsia" w:ascii="宋体" w:hAnsi="宋体"/>
                <w:color w:val="000000"/>
              </w:rPr>
              <w:t>5</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1F18F69C">
            <w:pPr>
              <w:outlineLvl w:val="0"/>
              <w:rPr>
                <w:rFonts w:ascii="宋体" w:hAnsi="宋体" w:eastAsia="宋体"/>
                <w:color w:val="000000"/>
                <w:sz w:val="24"/>
                <w:szCs w:val="24"/>
              </w:rPr>
            </w:pPr>
            <w:r>
              <w:rPr>
                <w:rFonts w:hint="eastAsia" w:ascii="宋体" w:hAnsi="宋体"/>
                <w:color w:val="000000"/>
                <w:sz w:val="24"/>
                <w:szCs w:val="24"/>
              </w:rPr>
              <w:t>分项报价表（给定格式）</w:t>
            </w:r>
          </w:p>
        </w:tc>
        <w:tc>
          <w:tcPr>
            <w:tcW w:w="0" w:type="auto"/>
            <w:vMerge w:val="continue"/>
            <w:tcBorders>
              <w:left w:val="single" w:color="000000" w:sz="4" w:space="0"/>
              <w:bottom w:val="single" w:color="000000" w:sz="4" w:space="0"/>
              <w:right w:val="single" w:color="000000" w:sz="4" w:space="0"/>
            </w:tcBorders>
            <w:vAlign w:val="center"/>
          </w:tcPr>
          <w:p w14:paraId="25272C09">
            <w:pPr>
              <w:widowControl/>
              <w:jc w:val="center"/>
              <w:rPr>
                <w:rFonts w:ascii="Arial" w:hAnsi="Arial" w:eastAsia="宋体" w:cs="Arial"/>
                <w:color w:val="000000"/>
                <w:kern w:val="0"/>
                <w:sz w:val="24"/>
                <w:szCs w:val="24"/>
              </w:rPr>
            </w:pPr>
          </w:p>
        </w:tc>
      </w:tr>
      <w:tr w14:paraId="01BED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439D2162">
            <w:pPr>
              <w:pStyle w:val="388"/>
              <w:spacing w:before="0" w:after="0"/>
              <w:ind w:firstLine="0"/>
              <w:jc w:val="center"/>
              <w:rPr>
                <w:rFonts w:ascii="宋体" w:hAnsi="宋体"/>
                <w:color w:val="000000"/>
              </w:rPr>
            </w:pPr>
            <w:r>
              <w:rPr>
                <w:rFonts w:hint="eastAsia" w:ascii="宋体" w:hAnsi="宋体"/>
                <w:color w:val="000000"/>
              </w:rPr>
              <w:t>6</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2468A2B4">
            <w:pPr>
              <w:pStyle w:val="388"/>
              <w:spacing w:before="0" w:after="0"/>
              <w:ind w:firstLine="0"/>
              <w:jc w:val="both"/>
              <w:rPr>
                <w:rFonts w:ascii="宋体" w:hAnsi="宋体" w:cs="Arial"/>
                <w:color w:val="000000"/>
              </w:rPr>
            </w:pPr>
            <w:r>
              <w:rPr>
                <w:rFonts w:hint="eastAsia" w:ascii="宋体" w:hAnsi="宋体"/>
                <w:color w:val="000000"/>
              </w:rPr>
              <w:t>投标偏离表（给定格式）</w:t>
            </w:r>
          </w:p>
        </w:tc>
        <w:tc>
          <w:tcPr>
            <w:tcW w:w="1979" w:type="dxa"/>
            <w:vMerge w:val="restart"/>
            <w:tcBorders>
              <w:top w:val="nil"/>
              <w:left w:val="single" w:color="000000" w:sz="4" w:space="0"/>
              <w:bottom w:val="single" w:color="000000" w:sz="4" w:space="0"/>
              <w:right w:val="single" w:color="000000" w:sz="4" w:space="0"/>
            </w:tcBorders>
            <w:noWrap/>
            <w:vAlign w:val="center"/>
          </w:tcPr>
          <w:p w14:paraId="62DB0183">
            <w:pPr>
              <w:pStyle w:val="388"/>
              <w:spacing w:before="0" w:after="0"/>
              <w:ind w:firstLine="0"/>
              <w:jc w:val="center"/>
              <w:rPr>
                <w:rFonts w:cs="Arial"/>
                <w:color w:val="000000"/>
              </w:rPr>
            </w:pPr>
            <w:r>
              <w:rPr>
                <w:rFonts w:hint="eastAsia" w:ascii="宋体" w:hAnsi="宋体" w:cs="Arial"/>
                <w:color w:val="000000"/>
              </w:rPr>
              <w:t>技术符合性</w:t>
            </w:r>
          </w:p>
        </w:tc>
      </w:tr>
      <w:tr w14:paraId="710F8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14:paraId="3B623F05">
            <w:pPr>
              <w:pStyle w:val="388"/>
              <w:spacing w:before="0" w:after="0"/>
              <w:ind w:firstLine="0"/>
              <w:jc w:val="center"/>
              <w:rPr>
                <w:rFonts w:ascii="宋体" w:hAnsi="宋体"/>
                <w:color w:val="000000"/>
              </w:rPr>
            </w:pPr>
            <w:r>
              <w:rPr>
                <w:rFonts w:hint="eastAsia" w:ascii="宋体" w:hAnsi="宋体"/>
                <w:color w:val="000000"/>
              </w:rPr>
              <w:t>7</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752663B1">
            <w:pPr>
              <w:pStyle w:val="388"/>
              <w:spacing w:before="0" w:after="0"/>
              <w:ind w:firstLine="0"/>
              <w:jc w:val="both"/>
              <w:rPr>
                <w:rFonts w:ascii="宋体" w:hAnsi="宋体"/>
                <w:color w:val="000000"/>
              </w:rPr>
            </w:pPr>
            <w:r>
              <w:rPr>
                <w:rFonts w:hint="eastAsia" w:ascii="宋体" w:hAnsi="宋体"/>
                <w:color w:val="000000"/>
              </w:rPr>
              <w:t>《采购需求》中要求提供的证明材料（如有）</w:t>
            </w:r>
          </w:p>
        </w:tc>
        <w:tc>
          <w:tcPr>
            <w:tcW w:w="0" w:type="auto"/>
            <w:vMerge w:val="continue"/>
            <w:tcBorders>
              <w:top w:val="nil"/>
              <w:left w:val="single" w:color="000000" w:sz="4" w:space="0"/>
              <w:bottom w:val="single" w:color="000000" w:sz="4" w:space="0"/>
              <w:right w:val="single" w:color="000000" w:sz="4" w:space="0"/>
            </w:tcBorders>
            <w:vAlign w:val="center"/>
          </w:tcPr>
          <w:p w14:paraId="6A15227B">
            <w:pPr>
              <w:widowControl/>
              <w:jc w:val="left"/>
              <w:rPr>
                <w:rFonts w:ascii="Arial" w:hAnsi="Arial" w:eastAsia="宋体" w:cs="Arial"/>
                <w:color w:val="000000"/>
                <w:kern w:val="0"/>
                <w:sz w:val="24"/>
                <w:szCs w:val="24"/>
              </w:rPr>
            </w:pPr>
          </w:p>
        </w:tc>
      </w:tr>
    </w:tbl>
    <w:p w14:paraId="65C39F54">
      <w:pPr>
        <w:spacing w:line="500" w:lineRule="exact"/>
        <w:rPr>
          <w:rFonts w:ascii="宋体" w:hAnsi="宋体"/>
          <w:sz w:val="24"/>
          <w:szCs w:val="24"/>
        </w:rPr>
      </w:pPr>
      <w:r>
        <w:rPr>
          <w:rFonts w:hint="eastAsia" w:ascii="宋体" w:hAnsi="宋体"/>
          <w:sz w:val="24"/>
          <w:szCs w:val="24"/>
        </w:rPr>
        <w:t>说明：</w:t>
      </w:r>
    </w:p>
    <w:p w14:paraId="640B34B6">
      <w:pPr>
        <w:numPr>
          <w:ilvl w:val="0"/>
          <w:numId w:val="10"/>
        </w:numPr>
        <w:spacing w:line="500" w:lineRule="exact"/>
        <w:ind w:firstLine="480"/>
        <w:rPr>
          <w:rFonts w:ascii="宋体" w:hAnsi="宋体"/>
          <w:sz w:val="24"/>
          <w:szCs w:val="24"/>
        </w:rPr>
      </w:pPr>
      <w:r>
        <w:rPr>
          <w:rFonts w:hint="eastAsia" w:ascii="宋体" w:hAnsi="宋体"/>
          <w:sz w:val="24"/>
          <w:szCs w:val="24"/>
        </w:rPr>
        <w:t>上述</w:t>
      </w:r>
      <w:r>
        <w:rPr>
          <w:rFonts w:hint="eastAsia" w:cs="Arial"/>
          <w:sz w:val="24"/>
          <w:szCs w:val="24"/>
        </w:rPr>
        <w:t>符合性证明文件第</w:t>
      </w:r>
      <w:r>
        <w:rPr>
          <w:rFonts w:hint="eastAsia" w:ascii="宋体" w:hAnsi="宋体"/>
          <w:sz w:val="24"/>
          <w:szCs w:val="24"/>
        </w:rPr>
        <w:t>1～5项必须按要求全部提供（有给定格式的，必须按给定格式的要求正确填报并提供，相应格式见本章第二部分），否则投标文件无效。</w:t>
      </w:r>
    </w:p>
    <w:p w14:paraId="42C3B34E">
      <w:pPr>
        <w:numPr>
          <w:ilvl w:val="0"/>
          <w:numId w:val="10"/>
        </w:numPr>
        <w:spacing w:line="500" w:lineRule="exact"/>
        <w:ind w:firstLine="480"/>
        <w:rPr>
          <w:rFonts w:ascii="宋体" w:hAnsi="宋体"/>
          <w:sz w:val="24"/>
          <w:szCs w:val="24"/>
        </w:rPr>
      </w:pPr>
      <w:r>
        <w:rPr>
          <w:rFonts w:hint="eastAsia" w:ascii="宋体" w:hAnsi="宋体"/>
          <w:sz w:val="24"/>
          <w:szCs w:val="24"/>
        </w:rPr>
        <w:t>上述</w:t>
      </w:r>
      <w:r>
        <w:rPr>
          <w:rFonts w:hint="eastAsia" w:ascii="宋体" w:hAnsi="宋体" w:cs="Arial"/>
          <w:sz w:val="24"/>
          <w:szCs w:val="24"/>
        </w:rPr>
        <w:t>符合性证明文件第6项，《采购需求》中如有要求提供证明材料的，须按要求提供，否则投标文件无效。</w:t>
      </w:r>
    </w:p>
    <w:p w14:paraId="47770F65">
      <w:pPr>
        <w:numPr>
          <w:ilvl w:val="0"/>
          <w:numId w:val="10"/>
        </w:numPr>
        <w:spacing w:line="500" w:lineRule="exact"/>
        <w:ind w:firstLine="480"/>
        <w:rPr>
          <w:rFonts w:ascii="宋体" w:hAnsi="宋体" w:cs="宋体"/>
          <w:sz w:val="24"/>
          <w:szCs w:val="24"/>
        </w:rPr>
      </w:pPr>
      <w:r>
        <w:rPr>
          <w:rFonts w:hint="eastAsia" w:ascii="宋体" w:hAnsi="宋体" w:cs="宋体"/>
          <w:sz w:val="24"/>
          <w:szCs w:val="24"/>
        </w:rPr>
        <w:t>如项目接受联合体投标，且投标人为联合体时，上述</w:t>
      </w:r>
      <w:r>
        <w:rPr>
          <w:rFonts w:hint="eastAsia" w:cs="Arial"/>
          <w:sz w:val="24"/>
          <w:szCs w:val="24"/>
        </w:rPr>
        <w:t>符合性证明文件</w:t>
      </w:r>
      <w:r>
        <w:rPr>
          <w:rFonts w:hint="eastAsia" w:ascii="宋体" w:hAnsi="宋体" w:cs="宋体"/>
          <w:sz w:val="24"/>
          <w:szCs w:val="24"/>
        </w:rPr>
        <w:t>第1～5项可由联合体主体单位（即联合体牵头人）代表联合体提供。第6项按《采购需求》中的相应要求（如有）进行提供。</w:t>
      </w:r>
    </w:p>
    <w:p w14:paraId="31922867">
      <w:pPr>
        <w:rPr>
          <w:b/>
          <w:sz w:val="28"/>
          <w:szCs w:val="28"/>
        </w:rPr>
      </w:pPr>
    </w:p>
    <w:p w14:paraId="56F45ABD">
      <w:pPr>
        <w:rPr>
          <w:b/>
          <w:sz w:val="28"/>
          <w:szCs w:val="28"/>
        </w:rPr>
      </w:pPr>
      <w:r>
        <w:rPr>
          <w:rFonts w:hint="eastAsia"/>
          <w:b/>
          <w:sz w:val="28"/>
          <w:szCs w:val="28"/>
        </w:rPr>
        <w:t>（二）其他证明文件</w:t>
      </w:r>
    </w:p>
    <w:p w14:paraId="16DF77BD">
      <w:pPr>
        <w:spacing w:line="500" w:lineRule="exact"/>
        <w:ind w:left="480"/>
        <w:rPr>
          <w:rFonts w:ascii="宋体" w:hAnsi="宋体"/>
          <w:sz w:val="24"/>
          <w:szCs w:val="24"/>
        </w:rPr>
      </w:pPr>
      <w:r>
        <w:rPr>
          <w:rFonts w:hint="eastAsia" w:ascii="宋体" w:hAnsi="宋体"/>
          <w:sz w:val="24"/>
          <w:szCs w:val="24"/>
        </w:rPr>
        <w:t>1.《评标方法与评标标准》中涉及的证明文件。</w:t>
      </w:r>
    </w:p>
    <w:p w14:paraId="09ADAD53">
      <w:pPr>
        <w:spacing w:line="500" w:lineRule="exact"/>
        <w:ind w:left="480"/>
        <w:rPr>
          <w:rFonts w:ascii="宋体" w:hAnsi="宋体" w:cs="宋体"/>
          <w:sz w:val="24"/>
          <w:szCs w:val="24"/>
        </w:rPr>
      </w:pPr>
      <w:r>
        <w:rPr>
          <w:rFonts w:hint="eastAsia" w:ascii="宋体" w:hAnsi="宋体" w:cs="宋体"/>
          <w:sz w:val="24"/>
          <w:szCs w:val="24"/>
        </w:rPr>
        <w:t>2.投标人认为如有其他应附的文件可自拟并自行添加。</w:t>
      </w:r>
    </w:p>
    <w:p w14:paraId="4600882F">
      <w:pPr>
        <w:spacing w:line="360" w:lineRule="auto"/>
        <w:ind w:firstLine="480"/>
        <w:rPr>
          <w:rFonts w:cs="Arial"/>
          <w:b/>
          <w:sz w:val="30"/>
          <w:szCs w:val="30"/>
        </w:rPr>
      </w:pPr>
      <w:r>
        <w:rPr>
          <w:rFonts w:ascii="宋体" w:hAnsi="宋体" w:cs="宋体"/>
          <w:sz w:val="24"/>
          <w:szCs w:val="24"/>
        </w:rPr>
        <w:br w:type="page" w:clear="all"/>
      </w:r>
      <w:r>
        <w:rPr>
          <w:rFonts w:hint="eastAsia" w:cs="Arial"/>
          <w:b/>
          <w:sz w:val="30"/>
          <w:szCs w:val="30"/>
        </w:rPr>
        <w:t>第二部分投标文件格式</w:t>
      </w:r>
    </w:p>
    <w:p w14:paraId="52935B31">
      <w:pPr>
        <w:pStyle w:val="388"/>
        <w:spacing w:before="0" w:after="0"/>
        <w:ind w:firstLine="0"/>
        <w:rPr>
          <w:rFonts w:cs="Arial"/>
          <w:b/>
          <w:sz w:val="28"/>
          <w:szCs w:val="28"/>
        </w:rPr>
      </w:pPr>
      <w:r>
        <w:rPr>
          <w:rFonts w:hint="eastAsia" w:cs="Arial"/>
          <w:b/>
          <w:sz w:val="28"/>
          <w:szCs w:val="28"/>
        </w:rPr>
        <w:t>一、封面格式（参考格式）：</w:t>
      </w:r>
    </w:p>
    <w:p w14:paraId="4D3E4FFC">
      <w:pPr>
        <w:widowControl/>
        <w:jc w:val="left"/>
        <w:rPr>
          <w:rFonts w:asciiTheme="minorEastAsia" w:hAnsiTheme="minorEastAsia"/>
          <w:bCs/>
          <w:color w:val="000000" w:themeColor="text1"/>
          <w:sz w:val="32"/>
        </w:rPr>
      </w:pPr>
    </w:p>
    <w:p w14:paraId="02F145DD">
      <w:pPr>
        <w:rPr>
          <w:rFonts w:asciiTheme="minorEastAsia" w:hAnsiTheme="minorEastAsia"/>
          <w:bCs/>
          <w:color w:val="000000" w:themeColor="text1"/>
          <w:sz w:val="32"/>
        </w:rPr>
      </w:pPr>
    </w:p>
    <w:p w14:paraId="20AB2D47">
      <w:pPr>
        <w:rPr>
          <w:rFonts w:asciiTheme="minorEastAsia" w:hAnsiTheme="minorEastAsia"/>
          <w:bCs/>
          <w:color w:val="000000" w:themeColor="text1"/>
          <w:sz w:val="32"/>
        </w:rPr>
      </w:pPr>
    </w:p>
    <w:p w14:paraId="61E1FC84">
      <w:pPr>
        <w:jc w:val="center"/>
        <w:rPr>
          <w:rFonts w:asciiTheme="minorEastAsia" w:hAnsiTheme="minorEastAsia"/>
          <w:bCs/>
          <w:color w:val="000000" w:themeColor="text1"/>
          <w:sz w:val="52"/>
          <w:szCs w:val="52"/>
        </w:rPr>
      </w:pPr>
      <w:r>
        <w:rPr>
          <w:rFonts w:hint="eastAsia" w:asciiTheme="minorEastAsia" w:hAnsiTheme="minorEastAsia"/>
          <w:bCs/>
          <w:color w:val="000000" w:themeColor="text1"/>
          <w:sz w:val="52"/>
          <w:szCs w:val="52"/>
        </w:rPr>
        <w:t>投</w:t>
      </w:r>
    </w:p>
    <w:p w14:paraId="01DCBA82">
      <w:pPr>
        <w:jc w:val="center"/>
        <w:rPr>
          <w:rFonts w:asciiTheme="minorEastAsia" w:hAnsiTheme="minorEastAsia"/>
          <w:bCs/>
          <w:color w:val="000000" w:themeColor="text1"/>
          <w:sz w:val="72"/>
        </w:rPr>
      </w:pPr>
    </w:p>
    <w:p w14:paraId="0DB67523">
      <w:pPr>
        <w:jc w:val="center"/>
        <w:rPr>
          <w:rFonts w:asciiTheme="minorEastAsia" w:hAnsiTheme="minorEastAsia"/>
          <w:bCs/>
          <w:color w:val="000000" w:themeColor="text1"/>
          <w:sz w:val="52"/>
          <w:szCs w:val="52"/>
        </w:rPr>
      </w:pPr>
      <w:r>
        <w:rPr>
          <w:rFonts w:hint="eastAsia" w:asciiTheme="minorEastAsia" w:hAnsiTheme="minorEastAsia"/>
          <w:bCs/>
          <w:color w:val="000000" w:themeColor="text1"/>
          <w:sz w:val="52"/>
          <w:szCs w:val="52"/>
        </w:rPr>
        <w:t>标</w:t>
      </w:r>
    </w:p>
    <w:p w14:paraId="75904CA5">
      <w:pPr>
        <w:jc w:val="center"/>
        <w:rPr>
          <w:rFonts w:asciiTheme="minorEastAsia" w:hAnsiTheme="minorEastAsia"/>
          <w:bCs/>
          <w:color w:val="000000" w:themeColor="text1"/>
          <w:sz w:val="72"/>
        </w:rPr>
      </w:pPr>
    </w:p>
    <w:p w14:paraId="69A20374">
      <w:pPr>
        <w:jc w:val="center"/>
        <w:rPr>
          <w:rFonts w:asciiTheme="minorEastAsia" w:hAnsiTheme="minorEastAsia"/>
          <w:bCs/>
          <w:color w:val="000000" w:themeColor="text1"/>
          <w:sz w:val="52"/>
          <w:szCs w:val="52"/>
        </w:rPr>
      </w:pPr>
      <w:r>
        <w:rPr>
          <w:rFonts w:hint="eastAsia" w:asciiTheme="minorEastAsia" w:hAnsiTheme="minorEastAsia"/>
          <w:bCs/>
          <w:color w:val="000000" w:themeColor="text1"/>
          <w:sz w:val="52"/>
          <w:szCs w:val="52"/>
        </w:rPr>
        <w:t>文</w:t>
      </w:r>
    </w:p>
    <w:p w14:paraId="5A8AE30E">
      <w:pPr>
        <w:jc w:val="center"/>
        <w:rPr>
          <w:rFonts w:asciiTheme="minorEastAsia" w:hAnsiTheme="minorEastAsia"/>
          <w:bCs/>
          <w:color w:val="000000" w:themeColor="text1"/>
          <w:sz w:val="52"/>
          <w:szCs w:val="52"/>
        </w:rPr>
      </w:pPr>
    </w:p>
    <w:p w14:paraId="24158493">
      <w:pPr>
        <w:jc w:val="center"/>
        <w:rPr>
          <w:rFonts w:asciiTheme="minorEastAsia" w:hAnsiTheme="minorEastAsia"/>
          <w:bCs/>
          <w:color w:val="000000" w:themeColor="text1"/>
          <w:sz w:val="52"/>
          <w:szCs w:val="52"/>
        </w:rPr>
      </w:pPr>
      <w:r>
        <w:rPr>
          <w:rFonts w:hint="eastAsia" w:asciiTheme="minorEastAsia" w:hAnsiTheme="minorEastAsia"/>
          <w:bCs/>
          <w:color w:val="000000" w:themeColor="text1"/>
          <w:sz w:val="52"/>
          <w:szCs w:val="52"/>
        </w:rPr>
        <w:t>件</w:t>
      </w:r>
    </w:p>
    <w:p w14:paraId="3B813656">
      <w:pPr>
        <w:rPr>
          <w:rFonts w:asciiTheme="minorEastAsia" w:hAnsiTheme="minorEastAsia"/>
          <w:bCs/>
          <w:color w:val="000000" w:themeColor="text1"/>
          <w:sz w:val="28"/>
        </w:rPr>
      </w:pPr>
    </w:p>
    <w:p w14:paraId="3C49A5E9">
      <w:pPr>
        <w:ind w:firstLine="2715"/>
        <w:rPr>
          <w:rFonts w:asciiTheme="minorEastAsia" w:hAnsiTheme="minorEastAsia"/>
          <w:bCs/>
          <w:color w:val="000000" w:themeColor="text1"/>
          <w:sz w:val="28"/>
          <w:szCs w:val="28"/>
        </w:rPr>
      </w:pPr>
      <w:bookmarkStart w:id="156" w:name="_Hlk165208193"/>
      <w:r>
        <w:rPr>
          <w:rFonts w:hint="eastAsia" w:asciiTheme="minorEastAsia" w:hAnsiTheme="minorEastAsia"/>
          <w:bCs/>
          <w:color w:val="000000" w:themeColor="text1"/>
          <w:sz w:val="28"/>
          <w:szCs w:val="28"/>
        </w:rPr>
        <w:t xml:space="preserve">采购项目编号： </w:t>
      </w:r>
    </w:p>
    <w:p w14:paraId="188AE655">
      <w:pPr>
        <w:ind w:firstLine="2703"/>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 xml:space="preserve">采购项目名称： </w:t>
      </w:r>
    </w:p>
    <w:p w14:paraId="62AFBF96">
      <w:pPr>
        <w:ind w:firstLine="2703"/>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 xml:space="preserve">投标人： </w:t>
      </w:r>
    </w:p>
    <w:p w14:paraId="67E4A7B6">
      <w:pPr>
        <w:jc w:val="center"/>
        <w:rPr>
          <w:rFonts w:asciiTheme="minorEastAsia" w:hAnsiTheme="minorEastAsia"/>
          <w:bCs/>
          <w:color w:val="000000" w:themeColor="text1"/>
          <w:sz w:val="36"/>
          <w:szCs w:val="36"/>
        </w:rPr>
      </w:pPr>
    </w:p>
    <w:p w14:paraId="07E7E04F">
      <w:pPr>
        <w:jc w:val="center"/>
        <w:rPr>
          <w:rFonts w:asciiTheme="minorEastAsia" w:hAnsiTheme="minorEastAsia"/>
          <w:bCs/>
          <w:color w:val="000000" w:themeColor="text1"/>
          <w:sz w:val="40"/>
          <w:szCs w:val="40"/>
        </w:rPr>
      </w:pPr>
    </w:p>
    <w:p w14:paraId="7A02BF31">
      <w:pPr>
        <w:jc w:val="center"/>
        <w:outlineLvl w:val="0"/>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20   年   月</w:t>
      </w:r>
    </w:p>
    <w:bookmarkEnd w:id="156"/>
    <w:p w14:paraId="11D45C77">
      <w:pPr>
        <w:spacing w:line="440" w:lineRule="exact"/>
        <w:rPr>
          <w:rFonts w:ascii="Arial" w:hAnsi="Arial"/>
          <w:b/>
          <w:sz w:val="28"/>
          <w:szCs w:val="28"/>
        </w:rPr>
      </w:pPr>
      <w:r>
        <w:rPr>
          <w:rFonts w:hint="eastAsia" w:ascii="宋体" w:hAnsi="宋体" w:cs="宋体"/>
          <w:b/>
          <w:sz w:val="28"/>
          <w:szCs w:val="28"/>
        </w:rPr>
        <w:t>二、授权委托书（给定格式）：</w:t>
      </w:r>
    </w:p>
    <w:p w14:paraId="5AA35CCF">
      <w:pPr>
        <w:jc w:val="center"/>
        <w:outlineLvl w:val="0"/>
        <w:rPr>
          <w:rFonts w:ascii="黑体" w:eastAsia="黑体"/>
          <w:bCs/>
          <w:sz w:val="28"/>
          <w:szCs w:val="28"/>
        </w:rPr>
      </w:pPr>
    </w:p>
    <w:p w14:paraId="4E548D78">
      <w:pPr>
        <w:spacing w:line="360" w:lineRule="auto"/>
        <w:jc w:val="center"/>
        <w:outlineLvl w:val="0"/>
        <w:rPr>
          <w:rFonts w:ascii="宋体" w:hAnsi="宋体"/>
          <w:sz w:val="24"/>
          <w:shd w:val="clear" w:color="FFFFFF" w:fill="D9D9D9"/>
        </w:rPr>
      </w:pPr>
      <w:r>
        <w:rPr>
          <w:rFonts w:hint="eastAsia" w:ascii="黑体" w:eastAsia="黑体"/>
          <w:bCs/>
          <w:sz w:val="28"/>
          <w:szCs w:val="28"/>
        </w:rPr>
        <w:t>授权委托书</w:t>
      </w:r>
    </w:p>
    <w:p w14:paraId="64E6D0F0">
      <w:pPr>
        <w:pStyle w:val="387"/>
        <w:spacing w:line="360" w:lineRule="auto"/>
        <w:ind w:firstLine="480"/>
        <w:rPr>
          <w:sz w:val="24"/>
          <w:szCs w:val="24"/>
        </w:rPr>
      </w:pPr>
      <w:r>
        <w:rPr>
          <w:rFonts w:hint="eastAsia"/>
          <w:sz w:val="24"/>
          <w:szCs w:val="24"/>
        </w:rPr>
        <w:t>我公司（单位）针对</w:t>
      </w:r>
      <w:r>
        <w:rPr>
          <w:rFonts w:hint="eastAsia" w:ascii="宋体" w:hAnsi="宋体"/>
          <w:bCs/>
          <w:sz w:val="24"/>
          <w:szCs w:val="24"/>
        </w:rPr>
        <w:t>编号</w:t>
      </w:r>
      <w:r>
        <w:rPr>
          <w:rFonts w:hint="eastAsia" w:ascii="宋体" w:hAnsi="宋体"/>
          <w:bCs/>
          <w:sz w:val="24"/>
          <w:szCs w:val="24"/>
          <w:u w:val="single"/>
          <w:lang w:val="en-US" w:eastAsia="zh-CN"/>
        </w:rPr>
        <w:t xml:space="preserve">                 </w:t>
      </w:r>
      <w:r>
        <w:rPr>
          <w:rFonts w:hint="eastAsia" w:ascii="宋体" w:hAnsi="宋体"/>
          <w:bCs/>
          <w:sz w:val="24"/>
          <w:szCs w:val="24"/>
        </w:rPr>
        <w:t>项目，兹授权：</w:t>
      </w:r>
    </w:p>
    <w:p w14:paraId="1D4CA366">
      <w:pPr>
        <w:pStyle w:val="387"/>
        <w:spacing w:line="360" w:lineRule="auto"/>
        <w:ind w:firstLine="480"/>
        <w:rPr>
          <w:sz w:val="24"/>
          <w:szCs w:val="24"/>
        </w:rPr>
      </w:pPr>
      <w:r>
        <w:rPr>
          <w:rFonts w:hint="eastAsia"/>
          <w:sz w:val="24"/>
          <w:szCs w:val="24"/>
        </w:rPr>
        <w:t>被授权人的姓名：</w:t>
      </w:r>
      <w:r>
        <w:rPr>
          <w:rFonts w:hint="eastAsia"/>
          <w:sz w:val="24"/>
          <w:szCs w:val="24"/>
          <w:u w:val="single"/>
          <w:lang w:val="en-US" w:eastAsia="zh-CN"/>
        </w:rPr>
        <w:t xml:space="preserve">   </w:t>
      </w:r>
      <w:r>
        <w:rPr>
          <w:rFonts w:hint="eastAsia"/>
          <w:sz w:val="24"/>
          <w:szCs w:val="24"/>
        </w:rPr>
        <w:t>；性别：</w:t>
      </w:r>
      <w:r>
        <w:rPr>
          <w:rFonts w:hint="eastAsia"/>
          <w:sz w:val="24"/>
          <w:szCs w:val="24"/>
          <w:u w:val="single"/>
          <w:lang w:val="en-US" w:eastAsia="zh-CN"/>
        </w:rPr>
        <w:t xml:space="preserve">   </w:t>
      </w:r>
      <w:r>
        <w:rPr>
          <w:rFonts w:hint="eastAsia"/>
          <w:sz w:val="24"/>
          <w:szCs w:val="24"/>
        </w:rPr>
        <w:t>；年龄：</w:t>
      </w:r>
      <w:r>
        <w:rPr>
          <w:rFonts w:hint="eastAsia"/>
          <w:sz w:val="24"/>
          <w:szCs w:val="24"/>
          <w:u w:val="single"/>
          <w:lang w:val="en-US" w:eastAsia="zh-CN"/>
        </w:rPr>
        <w:t xml:space="preserve">   </w:t>
      </w:r>
      <w:r>
        <w:rPr>
          <w:rFonts w:hint="eastAsia"/>
          <w:sz w:val="24"/>
          <w:szCs w:val="24"/>
        </w:rPr>
        <w:t>；职务：</w:t>
      </w:r>
      <w:r>
        <w:rPr>
          <w:rFonts w:hint="eastAsia"/>
          <w:sz w:val="24"/>
          <w:szCs w:val="24"/>
          <w:u w:val="single"/>
          <w:lang w:val="en-US" w:eastAsia="zh-CN"/>
        </w:rPr>
        <w:t xml:space="preserve">   </w:t>
      </w:r>
      <w:r>
        <w:rPr>
          <w:rFonts w:hint="eastAsia"/>
          <w:sz w:val="24"/>
          <w:szCs w:val="24"/>
        </w:rPr>
        <w:t>；</w:t>
      </w:r>
    </w:p>
    <w:p w14:paraId="2024F331">
      <w:pPr>
        <w:pStyle w:val="387"/>
        <w:spacing w:line="360" w:lineRule="auto"/>
        <w:ind w:firstLine="480"/>
        <w:rPr>
          <w:sz w:val="24"/>
          <w:szCs w:val="24"/>
        </w:rPr>
      </w:pPr>
      <w:r>
        <w:rPr>
          <w:rFonts w:hint="eastAsia"/>
          <w:sz w:val="24"/>
          <w:szCs w:val="24"/>
        </w:rPr>
        <w:t>被授权人的身份证号码：</w:t>
      </w:r>
      <w:r>
        <w:rPr>
          <w:rFonts w:hint="eastAsia"/>
          <w:sz w:val="24"/>
          <w:szCs w:val="24"/>
          <w:u w:val="single"/>
          <w:lang w:val="en-US" w:eastAsia="zh-CN"/>
        </w:rPr>
        <w:t xml:space="preserve">      </w:t>
      </w:r>
      <w:r>
        <w:rPr>
          <w:rFonts w:hint="eastAsia"/>
          <w:sz w:val="24"/>
          <w:szCs w:val="24"/>
        </w:rPr>
        <w:t>；联系方式：</w:t>
      </w:r>
      <w:r>
        <w:rPr>
          <w:rFonts w:hint="eastAsia"/>
          <w:sz w:val="24"/>
          <w:szCs w:val="24"/>
          <w:u w:val="single"/>
          <w:lang w:val="en-US" w:eastAsia="zh-CN"/>
        </w:rPr>
        <w:t xml:space="preserve">               </w:t>
      </w:r>
      <w:r>
        <w:rPr>
          <w:rFonts w:hint="eastAsia"/>
          <w:sz w:val="24"/>
          <w:szCs w:val="24"/>
        </w:rPr>
        <w:t>；</w:t>
      </w:r>
    </w:p>
    <w:p w14:paraId="78CD6229">
      <w:pPr>
        <w:pStyle w:val="387"/>
        <w:spacing w:line="360" w:lineRule="auto"/>
        <w:ind w:firstLine="480"/>
        <w:rPr>
          <w:sz w:val="24"/>
          <w:szCs w:val="24"/>
        </w:rPr>
      </w:pPr>
      <w:r>
        <w:rPr>
          <w:rFonts w:hint="eastAsia"/>
          <w:sz w:val="24"/>
          <w:szCs w:val="24"/>
        </w:rPr>
        <w:t>为我方合法代理人，以本单位名义全权处理</w:t>
      </w:r>
      <w:r>
        <w:rPr>
          <w:rFonts w:hint="eastAsia" w:ascii="宋体" w:hAnsi="宋体"/>
          <w:bCs/>
          <w:sz w:val="24"/>
          <w:szCs w:val="24"/>
        </w:rPr>
        <w:t>针对本次项目的投标、参与开标、评标、签约等具体工作，并签署全部有关的文件、协议及合同以及其他</w:t>
      </w:r>
      <w:r>
        <w:rPr>
          <w:rFonts w:hint="eastAsia"/>
          <w:sz w:val="24"/>
          <w:szCs w:val="24"/>
        </w:rPr>
        <w:t>一切与该项目采购有关的事务。</w:t>
      </w:r>
    </w:p>
    <w:p w14:paraId="1EF2ED81">
      <w:pPr>
        <w:pStyle w:val="387"/>
        <w:spacing w:line="360" w:lineRule="auto"/>
        <w:ind w:firstLine="480"/>
        <w:rPr>
          <w:rFonts w:ascii="宋体" w:hAnsi="宋体"/>
          <w:bCs/>
          <w:sz w:val="24"/>
          <w:szCs w:val="24"/>
        </w:rPr>
      </w:pPr>
      <w:r>
        <w:rPr>
          <w:rFonts w:hint="eastAsia"/>
          <w:sz w:val="24"/>
          <w:szCs w:val="24"/>
        </w:rPr>
        <w:t>本授权委托书自授权之日起生效，</w:t>
      </w:r>
      <w:r>
        <w:rPr>
          <w:rFonts w:hint="eastAsia" w:ascii="宋体" w:hAnsi="宋体"/>
          <w:bCs/>
          <w:sz w:val="24"/>
          <w:szCs w:val="24"/>
        </w:rPr>
        <w:t>在撤销授权的书面通知送达你处以前，本授权书一直有效，被授权人签署的所有文件（在</w:t>
      </w:r>
      <w:r>
        <w:rPr>
          <w:rFonts w:hint="eastAsia"/>
          <w:sz w:val="24"/>
          <w:szCs w:val="24"/>
        </w:rPr>
        <w:t>授权委托</w:t>
      </w:r>
      <w:r>
        <w:rPr>
          <w:rFonts w:hint="eastAsia" w:ascii="宋体" w:hAnsi="宋体"/>
          <w:bCs/>
          <w:sz w:val="24"/>
          <w:szCs w:val="24"/>
        </w:rPr>
        <w:t>书有效期内签署的）不因授权的撤销而失效。</w:t>
      </w:r>
    </w:p>
    <w:p w14:paraId="0620997A">
      <w:pPr>
        <w:pStyle w:val="387"/>
        <w:spacing w:line="360" w:lineRule="auto"/>
        <w:ind w:firstLine="480"/>
        <w:rPr>
          <w:sz w:val="24"/>
          <w:szCs w:val="24"/>
        </w:rPr>
      </w:pPr>
      <w:r>
        <w:rPr>
          <w:rFonts w:hint="eastAsia"/>
          <w:sz w:val="24"/>
          <w:szCs w:val="24"/>
        </w:rPr>
        <w:t>特此授权委托。</w:t>
      </w:r>
    </w:p>
    <w:p w14:paraId="15F0D77B">
      <w:pPr>
        <w:pStyle w:val="387"/>
        <w:spacing w:line="360" w:lineRule="auto"/>
        <w:ind w:firstLine="0"/>
        <w:rPr>
          <w:sz w:val="24"/>
          <w:szCs w:val="24"/>
        </w:rPr>
      </w:pPr>
    </w:p>
    <w:p w14:paraId="6152D63F">
      <w:pPr>
        <w:pStyle w:val="387"/>
        <w:spacing w:line="360" w:lineRule="auto"/>
        <w:ind w:firstLine="0"/>
        <w:rPr>
          <w:sz w:val="24"/>
          <w:szCs w:val="24"/>
        </w:rPr>
      </w:pPr>
      <w:r>
        <w:rPr>
          <w:rFonts w:hint="eastAsia"/>
          <w:sz w:val="24"/>
          <w:szCs w:val="24"/>
        </w:rPr>
        <w:t>授权日期：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val="en-US" w:eastAsia="zh-CN"/>
        </w:rPr>
        <w:t xml:space="preserve">                   </w:t>
      </w:r>
      <w:r>
        <w:rPr>
          <w:rFonts w:hint="eastAsia"/>
          <w:sz w:val="24"/>
          <w:szCs w:val="24"/>
        </w:rPr>
        <w:t>投标人名称</w:t>
      </w:r>
      <w:r>
        <w:rPr>
          <w:rFonts w:hint="eastAsia" w:ascii="宋体" w:hAnsi="宋体"/>
          <w:bCs/>
          <w:sz w:val="24"/>
          <w:szCs w:val="24"/>
        </w:rPr>
        <w:t>（盖章）</w:t>
      </w:r>
      <w:r>
        <w:rPr>
          <w:rFonts w:hint="eastAsia"/>
          <w:sz w:val="24"/>
          <w:szCs w:val="24"/>
        </w:rPr>
        <w:t>：</w:t>
      </w:r>
    </w:p>
    <w:p w14:paraId="5847F3C9">
      <w:pPr>
        <w:pStyle w:val="387"/>
        <w:spacing w:line="360" w:lineRule="auto"/>
        <w:ind w:firstLine="0"/>
        <w:rPr>
          <w:sz w:val="24"/>
          <w:szCs w:val="24"/>
          <w:u w:val="single"/>
        </w:rPr>
      </w:pPr>
    </w:p>
    <w:p w14:paraId="13486386">
      <w:pPr>
        <w:pStyle w:val="387"/>
        <w:spacing w:line="360" w:lineRule="auto"/>
        <w:ind w:firstLine="0"/>
        <w:rPr>
          <w:sz w:val="24"/>
          <w:szCs w:val="24"/>
        </w:rPr>
      </w:pPr>
      <w:r>
        <w:rPr>
          <w:rFonts w:hint="eastAsia"/>
          <w:sz w:val="24"/>
          <w:szCs w:val="24"/>
        </w:rPr>
        <w:t>法定代表人签字或盖章：</w:t>
      </w:r>
      <w:r>
        <w:rPr>
          <w:rFonts w:hint="eastAsia"/>
          <w:sz w:val="24"/>
          <w:szCs w:val="24"/>
          <w:lang w:val="en-US" w:eastAsia="zh-CN"/>
        </w:rPr>
        <w:t xml:space="preserve">               </w:t>
      </w:r>
      <w:r>
        <w:rPr>
          <w:rFonts w:hint="eastAsia"/>
          <w:sz w:val="24"/>
          <w:szCs w:val="24"/>
        </w:rPr>
        <w:t>被授权人签字或盖章：</w:t>
      </w:r>
    </w:p>
    <w:p w14:paraId="1E4B0DAD">
      <w:pPr>
        <w:pStyle w:val="387"/>
        <w:spacing w:line="360" w:lineRule="auto"/>
        <w:ind w:firstLine="0"/>
        <w:rPr>
          <w:rFonts w:ascii="宋体" w:hAnsi="宋体" w:cs="宋体"/>
          <w:b/>
          <w:sz w:val="30"/>
        </w:rPr>
      </w:pPr>
    </w:p>
    <w:p w14:paraId="6A04986C">
      <w:pPr>
        <w:pStyle w:val="387"/>
        <w:spacing w:line="360" w:lineRule="auto"/>
        <w:ind w:firstLine="0"/>
        <w:rPr>
          <w:sz w:val="24"/>
          <w:szCs w:val="24"/>
        </w:rPr>
      </w:pPr>
      <w:r>
        <w:rPr>
          <w:rFonts w:hint="eastAsia" w:ascii="宋体" w:hAnsi="宋体" w:cs="宋体"/>
          <w:b/>
          <w:sz w:val="30"/>
        </w:rPr>
        <w:t>（被授权人身份证原件扫描件附后）</w:t>
      </w:r>
    </w:p>
    <w:p w14:paraId="2D9A94B5">
      <w:pPr>
        <w:pStyle w:val="387"/>
        <w:spacing w:line="360" w:lineRule="auto"/>
        <w:ind w:firstLine="0"/>
        <w:rPr>
          <w:sz w:val="24"/>
          <w:szCs w:val="24"/>
        </w:rPr>
      </w:pPr>
      <w:r>
        <w:rPr>
          <w:rFonts w:hint="eastAsia"/>
          <w:sz w:val="24"/>
          <w:szCs w:val="24"/>
        </w:rPr>
        <w:t>说明：</w:t>
      </w:r>
    </w:p>
    <w:p w14:paraId="45185630">
      <w:pPr>
        <w:pStyle w:val="387"/>
        <w:numPr>
          <w:ilvl w:val="0"/>
          <w:numId w:val="11"/>
        </w:numPr>
        <w:spacing w:line="360" w:lineRule="auto"/>
        <w:ind w:firstLine="480"/>
        <w:rPr>
          <w:rFonts w:ascii="宋体" w:hAnsi="宋体"/>
          <w:sz w:val="24"/>
          <w:szCs w:val="20"/>
        </w:rPr>
      </w:pPr>
      <w:r>
        <w:rPr>
          <w:rFonts w:ascii="宋体" w:hAnsi="宋体"/>
          <w:sz w:val="24"/>
          <w:szCs w:val="20"/>
        </w:rPr>
        <w:t>若</w:t>
      </w:r>
      <w:r>
        <w:rPr>
          <w:rFonts w:hint="eastAsia" w:ascii="宋体" w:hAnsi="宋体"/>
          <w:sz w:val="24"/>
          <w:szCs w:val="20"/>
        </w:rPr>
        <w:t>投标人</w:t>
      </w:r>
      <w:r>
        <w:rPr>
          <w:rFonts w:ascii="宋体" w:hAnsi="宋体"/>
          <w:sz w:val="24"/>
          <w:szCs w:val="20"/>
        </w:rPr>
        <w:t>为事业单位或其他组织或分支机构（仅</w:t>
      </w:r>
      <w:r>
        <w:rPr>
          <w:rFonts w:hint="eastAsia" w:ascii="宋体" w:hAnsi="宋体"/>
          <w:sz w:val="24"/>
          <w:szCs w:val="20"/>
        </w:rPr>
        <w:t>限招标</w:t>
      </w:r>
      <w:r>
        <w:rPr>
          <w:rFonts w:ascii="宋体" w:hAnsi="宋体"/>
          <w:sz w:val="24"/>
          <w:szCs w:val="20"/>
        </w:rPr>
        <w:t>文件注明允许分支机构</w:t>
      </w:r>
      <w:r>
        <w:rPr>
          <w:rFonts w:hint="eastAsia" w:ascii="宋体" w:hAnsi="宋体"/>
          <w:sz w:val="24"/>
          <w:szCs w:val="20"/>
        </w:rPr>
        <w:t>投标情形</w:t>
      </w:r>
      <w:r>
        <w:rPr>
          <w:rFonts w:ascii="宋体" w:hAnsi="宋体"/>
          <w:sz w:val="24"/>
          <w:szCs w:val="20"/>
        </w:rPr>
        <w:t>的），则法定代表人</w:t>
      </w:r>
      <w:r>
        <w:rPr>
          <w:rFonts w:hint="eastAsia" w:ascii="宋体" w:hAnsi="宋体"/>
          <w:sz w:val="24"/>
          <w:szCs w:val="20"/>
        </w:rPr>
        <w:t>处</w:t>
      </w:r>
      <w:r>
        <w:rPr>
          <w:rFonts w:ascii="宋体" w:hAnsi="宋体"/>
          <w:sz w:val="24"/>
          <w:szCs w:val="20"/>
        </w:rPr>
        <w:t>的签</w:t>
      </w:r>
      <w:r>
        <w:rPr>
          <w:rFonts w:hint="eastAsia" w:ascii="宋体" w:hAnsi="宋体"/>
          <w:sz w:val="24"/>
          <w:szCs w:val="20"/>
        </w:rPr>
        <w:t>字</w:t>
      </w:r>
      <w:r>
        <w:rPr>
          <w:rFonts w:ascii="宋体" w:hAnsi="宋体"/>
          <w:sz w:val="24"/>
          <w:szCs w:val="20"/>
        </w:rPr>
        <w:t>人可为单位负责人</w:t>
      </w:r>
      <w:r>
        <w:rPr>
          <w:rFonts w:hint="eastAsia" w:ascii="宋体" w:hAnsi="宋体"/>
          <w:sz w:val="24"/>
          <w:szCs w:val="20"/>
        </w:rPr>
        <w:t>。</w:t>
      </w:r>
    </w:p>
    <w:p w14:paraId="51603484">
      <w:pPr>
        <w:pStyle w:val="387"/>
        <w:numPr>
          <w:ilvl w:val="0"/>
          <w:numId w:val="11"/>
        </w:numPr>
        <w:spacing w:line="360" w:lineRule="auto"/>
        <w:ind w:firstLine="480"/>
        <w:rPr>
          <w:rFonts w:ascii="宋体" w:hAnsi="宋体"/>
          <w:sz w:val="24"/>
          <w:szCs w:val="20"/>
        </w:rPr>
      </w:pPr>
      <w:r>
        <w:rPr>
          <w:rFonts w:hint="eastAsia" w:ascii="宋体" w:hAnsi="宋体"/>
          <w:sz w:val="24"/>
          <w:szCs w:val="20"/>
        </w:rPr>
        <w:t>当被授权人为法定代表人（或上述情况的单位负责人）时，只需在</w:t>
      </w:r>
      <w:r>
        <w:rPr>
          <w:rFonts w:ascii="宋体" w:hAnsi="宋体"/>
          <w:sz w:val="24"/>
          <w:szCs w:val="20"/>
        </w:rPr>
        <w:t>法定代表人</w:t>
      </w:r>
      <w:r>
        <w:rPr>
          <w:rFonts w:hint="eastAsia" w:ascii="宋体" w:hAnsi="宋体"/>
          <w:sz w:val="24"/>
          <w:szCs w:val="20"/>
        </w:rPr>
        <w:t>处签字即可。</w:t>
      </w:r>
    </w:p>
    <w:p w14:paraId="66E2E896">
      <w:pPr>
        <w:pStyle w:val="387"/>
        <w:numPr>
          <w:ilvl w:val="0"/>
          <w:numId w:val="11"/>
        </w:numPr>
        <w:spacing w:line="360" w:lineRule="auto"/>
        <w:ind w:firstLine="480"/>
        <w:rPr>
          <w:rFonts w:ascii="宋体" w:hAnsi="宋体"/>
          <w:sz w:val="24"/>
          <w:szCs w:val="20"/>
        </w:rPr>
      </w:pPr>
      <w:r>
        <w:rPr>
          <w:rFonts w:hint="eastAsia" w:ascii="宋体" w:hAnsi="宋体"/>
          <w:sz w:val="24"/>
          <w:szCs w:val="20"/>
        </w:rPr>
        <w:t>供应商为自然人情形的，可不提供本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14:paraId="2C0062AC">
      <w:pPr>
        <w:pStyle w:val="387"/>
        <w:numPr>
          <w:ilvl w:val="0"/>
          <w:numId w:val="11"/>
        </w:numPr>
        <w:spacing w:line="360" w:lineRule="auto"/>
        <w:ind w:firstLine="480"/>
        <w:rPr>
          <w:rFonts w:ascii="宋体" w:hAnsi="宋体"/>
          <w:sz w:val="24"/>
          <w:szCs w:val="20"/>
        </w:rPr>
      </w:pPr>
      <w:r>
        <w:rPr>
          <w:rFonts w:hint="eastAsia" w:ascii="宋体" w:hAnsi="宋体"/>
          <w:bCs/>
          <w:sz w:val="24"/>
          <w:szCs w:val="24"/>
        </w:rPr>
        <w:t>被授权人为外籍、港、澳、台地区人士的，其身份证明须提供有效的护照或港澳同胞来往内地通行证、台湾同胞来往大陆通行证，或其他可在中国大陆有效居留的许可证明。</w:t>
      </w:r>
    </w:p>
    <w:p w14:paraId="7612DFB1">
      <w:pPr>
        <w:pStyle w:val="387"/>
        <w:spacing w:line="360" w:lineRule="auto"/>
        <w:ind w:firstLine="0"/>
        <w:rPr>
          <w:rFonts w:ascii="宋体" w:hAnsi="宋体" w:cs="宋体"/>
          <w:b/>
          <w:szCs w:val="28"/>
        </w:rPr>
      </w:pPr>
      <w:r>
        <w:rPr>
          <w:rFonts w:hint="eastAsia" w:ascii="宋体" w:hAnsi="宋体"/>
          <w:bCs/>
          <w:sz w:val="24"/>
          <w:szCs w:val="24"/>
        </w:rPr>
        <w:br w:type="page" w:clear="all"/>
      </w:r>
      <w:r>
        <w:rPr>
          <w:rFonts w:hint="eastAsia" w:ascii="宋体" w:hAnsi="宋体" w:cs="宋体"/>
          <w:b/>
          <w:szCs w:val="28"/>
        </w:rPr>
        <w:t>三、资格声明函（给定格式）：</w:t>
      </w:r>
    </w:p>
    <w:p w14:paraId="4D3E5E92">
      <w:pPr>
        <w:jc w:val="center"/>
        <w:outlineLvl w:val="0"/>
        <w:rPr>
          <w:rFonts w:ascii="黑体" w:eastAsia="黑体"/>
          <w:bCs/>
          <w:sz w:val="28"/>
          <w:szCs w:val="28"/>
        </w:rPr>
      </w:pPr>
      <w:bookmarkStart w:id="157" w:name="报价方关于资格的声明函（格式）"/>
      <w:bookmarkEnd w:id="157"/>
      <w:r>
        <w:rPr>
          <w:rFonts w:hint="eastAsia" w:ascii="黑体" w:eastAsia="黑体"/>
          <w:bCs/>
          <w:sz w:val="28"/>
          <w:szCs w:val="28"/>
        </w:rPr>
        <w:t>资格声明函</w:t>
      </w:r>
    </w:p>
    <w:p w14:paraId="156F438B">
      <w:pPr>
        <w:spacing w:line="480" w:lineRule="auto"/>
        <w:jc w:val="center"/>
        <w:rPr>
          <w:rFonts w:ascii="宋体"/>
          <w:bCs/>
          <w:sz w:val="24"/>
          <w:szCs w:val="24"/>
        </w:rPr>
      </w:pPr>
    </w:p>
    <w:p w14:paraId="3DCDF641">
      <w:pPr>
        <w:spacing w:line="480" w:lineRule="auto"/>
        <w:rPr>
          <w:rFonts w:ascii="宋体"/>
          <w:bCs/>
          <w:sz w:val="24"/>
          <w:szCs w:val="24"/>
        </w:rPr>
      </w:pPr>
      <w:r>
        <w:rPr>
          <w:rFonts w:hint="eastAsia" w:ascii="宋体" w:hAnsi="宋体"/>
          <w:bCs/>
          <w:sz w:val="24"/>
          <w:szCs w:val="24"/>
        </w:rPr>
        <w:t>无锡市滨湖区公共资源交易中心：</w:t>
      </w:r>
    </w:p>
    <w:p w14:paraId="38CC43BB">
      <w:pPr>
        <w:spacing w:line="480" w:lineRule="auto"/>
        <w:ind w:firstLine="480"/>
        <w:rPr>
          <w:rFonts w:ascii="宋体" w:hAnsi="宋体"/>
          <w:bCs/>
          <w:sz w:val="24"/>
          <w:szCs w:val="24"/>
        </w:rPr>
      </w:pPr>
      <w:r>
        <w:rPr>
          <w:rFonts w:hint="eastAsia" w:ascii="宋体" w:hAnsi="宋体"/>
          <w:bCs/>
          <w:sz w:val="24"/>
          <w:szCs w:val="24"/>
        </w:rPr>
        <w:t>我公司（单位）针对本次项目编号</w:t>
      </w:r>
      <w:r>
        <w:rPr>
          <w:rFonts w:hint="eastAsia" w:ascii="宋体" w:hAnsi="宋体"/>
          <w:bCs/>
          <w:sz w:val="24"/>
          <w:szCs w:val="24"/>
          <w:u w:val="single"/>
          <w:lang w:val="en-US" w:eastAsia="zh-CN"/>
        </w:rPr>
        <w:t xml:space="preserve">          </w:t>
      </w:r>
      <w:r>
        <w:rPr>
          <w:rFonts w:hint="eastAsia" w:ascii="宋体" w:hAnsi="宋体"/>
          <w:bCs/>
          <w:sz w:val="24"/>
          <w:szCs w:val="24"/>
        </w:rPr>
        <w:t>进行投标，并做如下声明</w:t>
      </w:r>
    </w:p>
    <w:p w14:paraId="1EA06145">
      <w:pPr>
        <w:spacing w:line="480" w:lineRule="auto"/>
        <w:ind w:firstLine="480"/>
        <w:rPr>
          <w:rFonts w:ascii="宋体" w:hAnsi="宋体"/>
          <w:bCs/>
          <w:sz w:val="24"/>
          <w:szCs w:val="24"/>
        </w:rPr>
      </w:pPr>
      <w:r>
        <w:rPr>
          <w:rFonts w:hint="eastAsia" w:ascii="宋体" w:hAnsi="宋体"/>
          <w:bCs/>
          <w:sz w:val="24"/>
          <w:szCs w:val="24"/>
        </w:rPr>
        <w:t>1.我公司（单位）参加本次项目政府采购活动前三年内，在经营活动中没有重大违法（因违法经营受到刑事处罚或者责令停产停业、吊销许可证或者执照、较大数额罚款等行政处罚）记录。</w:t>
      </w:r>
    </w:p>
    <w:p w14:paraId="75428401">
      <w:pPr>
        <w:spacing w:line="480" w:lineRule="auto"/>
        <w:ind w:firstLine="480"/>
        <w:rPr>
          <w:rFonts w:ascii="宋体" w:hAnsi="宋体"/>
          <w:bCs/>
          <w:sz w:val="24"/>
          <w:szCs w:val="24"/>
        </w:rPr>
      </w:pPr>
      <w:r>
        <w:rPr>
          <w:rFonts w:hint="eastAsia" w:ascii="宋体" w:hAnsi="宋体"/>
          <w:bCs/>
          <w:sz w:val="24"/>
          <w:szCs w:val="24"/>
        </w:rPr>
        <w:t>2.本公司（单位）具备本次项目履行合同所必需的设备和专业技术能力。</w:t>
      </w:r>
    </w:p>
    <w:p w14:paraId="7CBB241A">
      <w:pPr>
        <w:spacing w:line="480" w:lineRule="auto"/>
        <w:ind w:firstLine="480"/>
        <w:rPr>
          <w:rFonts w:ascii="宋体" w:hAnsi="宋体"/>
          <w:bCs/>
          <w:sz w:val="24"/>
          <w:szCs w:val="24"/>
        </w:rPr>
      </w:pPr>
      <w:r>
        <w:rPr>
          <w:rFonts w:hint="eastAsia" w:ascii="宋体" w:hAnsi="宋体"/>
          <w:bCs/>
          <w:sz w:val="24"/>
          <w:szCs w:val="24"/>
        </w:rPr>
        <w:t>3.本公司（单位）无被“信用中国”网站（www.creditchina.gov.cn）、中国政府采购网（www.ccgp.gov.cn）列入失信被执行人、重大税收违法案件当事人名单、政府采购严重失信行为记录名单及其他不符合《中华人民共和国政府采购法》第二十二条规定条件的信用记录。</w:t>
      </w:r>
    </w:p>
    <w:p w14:paraId="449BE12E">
      <w:pPr>
        <w:spacing w:line="480" w:lineRule="auto"/>
        <w:ind w:firstLine="480"/>
        <w:rPr>
          <w:rFonts w:ascii="宋体"/>
          <w:bCs/>
          <w:sz w:val="24"/>
          <w:szCs w:val="24"/>
        </w:rPr>
      </w:pPr>
      <w:r>
        <w:rPr>
          <w:rFonts w:hint="eastAsia" w:ascii="宋体" w:hAnsi="宋体"/>
          <w:bCs/>
          <w:sz w:val="24"/>
          <w:szCs w:val="24"/>
        </w:rPr>
        <w:t>我公司（单位）针对本次项目的上述声明以及投标文件中所有关于投标资格的文件、证明、陈述均是真实的、准确的。若有违背，我公司（单位）愿意承担由此而产生的一切后果。</w:t>
      </w:r>
    </w:p>
    <w:p w14:paraId="7B594794">
      <w:pPr>
        <w:spacing w:line="480" w:lineRule="auto"/>
        <w:rPr>
          <w:rFonts w:ascii="宋体"/>
          <w:bCs/>
          <w:sz w:val="24"/>
          <w:szCs w:val="24"/>
        </w:rPr>
      </w:pPr>
    </w:p>
    <w:p w14:paraId="393A2E43">
      <w:pPr>
        <w:spacing w:line="480" w:lineRule="auto"/>
        <w:rPr>
          <w:rFonts w:ascii="宋体"/>
          <w:bCs/>
          <w:sz w:val="24"/>
          <w:szCs w:val="24"/>
        </w:rPr>
      </w:pPr>
      <w:r>
        <w:rPr>
          <w:rFonts w:hint="eastAsia" w:ascii="宋体" w:hAnsi="宋体"/>
          <w:bCs/>
          <w:sz w:val="24"/>
          <w:szCs w:val="24"/>
        </w:rPr>
        <w:t>投标人名称（盖章）：</w:t>
      </w:r>
    </w:p>
    <w:p w14:paraId="06EA2EEB">
      <w:pPr>
        <w:spacing w:line="440" w:lineRule="exact"/>
        <w:rPr>
          <w:rFonts w:ascii="宋体" w:hAnsi="宋体" w:cs="宋体"/>
          <w:b/>
          <w:sz w:val="28"/>
          <w:szCs w:val="28"/>
        </w:rPr>
      </w:pPr>
      <w:r>
        <w:rPr>
          <w:rFonts w:ascii="宋体"/>
          <w:bCs/>
          <w:sz w:val="24"/>
          <w:szCs w:val="24"/>
        </w:rPr>
        <w:br w:type="page" w:clear="all"/>
      </w:r>
      <w:r>
        <w:rPr>
          <w:rFonts w:hint="eastAsia" w:ascii="宋体" w:hAnsi="宋体" w:cs="宋体"/>
          <w:b/>
          <w:sz w:val="28"/>
          <w:szCs w:val="28"/>
        </w:rPr>
        <w:t xml:space="preserve">四、中小企业声明函（给定格式）： </w:t>
      </w:r>
    </w:p>
    <w:p w14:paraId="47622BEF">
      <w:pPr>
        <w:spacing w:line="360" w:lineRule="auto"/>
        <w:ind w:firstLine="560"/>
        <w:jc w:val="center"/>
        <w:rPr>
          <w:rFonts w:ascii="黑体" w:eastAsia="黑体"/>
          <w:bCs/>
          <w:sz w:val="28"/>
          <w:szCs w:val="28"/>
        </w:rPr>
      </w:pPr>
      <w:r>
        <w:rPr>
          <w:rFonts w:ascii="黑体" w:eastAsia="黑体"/>
          <w:bCs/>
          <w:sz w:val="28"/>
          <w:szCs w:val="28"/>
        </w:rPr>
        <w:t>中小企业声明函（服务）</w:t>
      </w:r>
    </w:p>
    <w:p w14:paraId="1D4B5F13">
      <w:pPr>
        <w:spacing w:line="360" w:lineRule="auto"/>
        <w:ind w:firstLine="48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14:paraId="6740A3F4">
      <w:pPr>
        <w:spacing w:line="360" w:lineRule="auto"/>
        <w:ind w:firstLine="48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招标</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14:paraId="7EDDCFB5">
      <w:pPr>
        <w:spacing w:line="360" w:lineRule="auto"/>
        <w:ind w:firstLine="480"/>
        <w:rPr>
          <w:rFonts w:ascii="宋体" w:hAnsi="宋体"/>
          <w:bCs/>
          <w:sz w:val="24"/>
          <w:szCs w:val="24"/>
        </w:rPr>
      </w:pPr>
      <w:r>
        <w:rPr>
          <w:rFonts w:hint="eastAsia"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招标</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14:paraId="155C8964">
      <w:pPr>
        <w:spacing w:line="360" w:lineRule="auto"/>
        <w:ind w:firstLine="480"/>
        <w:rPr>
          <w:rFonts w:ascii="宋体" w:hAnsi="宋体"/>
          <w:bCs/>
          <w:sz w:val="24"/>
          <w:szCs w:val="24"/>
        </w:rPr>
      </w:pPr>
      <w:r>
        <w:rPr>
          <w:rFonts w:ascii="宋体" w:hAnsi="宋体"/>
          <w:bCs/>
          <w:sz w:val="24"/>
          <w:szCs w:val="24"/>
        </w:rPr>
        <w:t>……</w:t>
      </w:r>
    </w:p>
    <w:p w14:paraId="00CE14B0">
      <w:pPr>
        <w:spacing w:line="360" w:lineRule="auto"/>
        <w:ind w:firstLine="48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14:paraId="621A4672">
      <w:pPr>
        <w:spacing w:line="360" w:lineRule="auto"/>
        <w:ind w:firstLine="4800"/>
        <w:rPr>
          <w:rFonts w:ascii="宋体" w:hAnsi="宋体"/>
          <w:bCs/>
          <w:sz w:val="24"/>
          <w:szCs w:val="24"/>
        </w:rPr>
      </w:pPr>
      <w:r>
        <w:rPr>
          <w:rFonts w:hint="eastAsia" w:ascii="宋体" w:hAnsi="宋体"/>
          <w:bCs/>
          <w:sz w:val="24"/>
          <w:szCs w:val="24"/>
        </w:rPr>
        <w:t>企业名称（盖章）：</w:t>
      </w:r>
    </w:p>
    <w:p w14:paraId="2081DDB0">
      <w:pPr>
        <w:spacing w:line="360" w:lineRule="auto"/>
        <w:ind w:firstLine="4800"/>
        <w:rPr>
          <w:rFonts w:ascii="宋体" w:hAnsi="宋体"/>
          <w:bCs/>
          <w:sz w:val="24"/>
          <w:szCs w:val="24"/>
        </w:rPr>
      </w:pPr>
      <w:r>
        <w:rPr>
          <w:rFonts w:hint="eastAsia" w:ascii="宋体" w:hAnsi="宋体"/>
          <w:bCs/>
          <w:sz w:val="24"/>
          <w:szCs w:val="24"/>
        </w:rPr>
        <w:t>日　　　　　　期：</w:t>
      </w:r>
    </w:p>
    <w:p w14:paraId="0E177D7C">
      <w:pPr>
        <w:spacing w:line="240" w:lineRule="auto"/>
        <w:ind w:firstLine="420"/>
      </w:pPr>
      <w:r>
        <w:rPr>
          <w:rFonts w:hint="eastAsia"/>
        </w:rPr>
        <w:t>注：（1）项目技术要求中如对本项目标的及其所属行业进行逐一列明的，投标人须根据项目技术要求中所列明的标的及其所属行业逐一进行填报。根据本《中小企业声明函》类型，项目属性为服务类的，</w:t>
      </w:r>
      <w:r>
        <w:rPr>
          <w:rFonts w:hint="eastAsia"/>
          <w:lang w:eastAsia="zh-CN"/>
        </w:rPr>
        <w:t>只需</w:t>
      </w:r>
      <w:r>
        <w:rPr>
          <w:rFonts w:hint="eastAsia"/>
        </w:rPr>
        <w:t>按项目技术要求中的服务部分标的及其所属行业逐一进行填报，</w:t>
      </w:r>
      <w:r>
        <w:rPr>
          <w:rFonts w:hint="eastAsia"/>
          <w:b/>
          <w:u w:val="single"/>
        </w:rPr>
        <w:t>“企业名称”应填报为提供该项服务的承建（承接）商，“企业名称（盖章）”处须盖有相应承建（承接）商企业公章的。</w:t>
      </w:r>
      <w:r>
        <w:rPr>
          <w:rFonts w:hint="eastAsia"/>
        </w:rPr>
        <w:t>专门面向中小企业的项目投标人未按上述要求逐一进行填报的将被视为无效投标文件；非专门面向中小企业的项目投标人未按上述要求逐一进行填报的将</w:t>
      </w:r>
      <w:r>
        <w:rPr>
          <w:rFonts w:hint="eastAsia"/>
          <w:lang w:eastAsia="zh-CN"/>
        </w:rPr>
        <w:t>不能</w:t>
      </w:r>
      <w:r>
        <w:rPr>
          <w:rFonts w:hint="eastAsia"/>
        </w:rPr>
        <w:t>进行中、小、微型企业认定。</w:t>
      </w:r>
    </w:p>
    <w:p w14:paraId="12E0F1C6">
      <w:pPr>
        <w:spacing w:line="240" w:lineRule="auto"/>
        <w:ind w:firstLine="420"/>
      </w:pPr>
      <w:r>
        <w:rPr>
          <w:rFonts w:hint="eastAsia"/>
        </w:rPr>
        <w:t>（2）</w:t>
      </w:r>
      <w:r>
        <w:t>从业人员、营业收入、资产总额填报上一年度数据，无上一年度数据的新成立企业可不填报。</w:t>
      </w:r>
    </w:p>
    <w:p w14:paraId="4DD0681D">
      <w:pPr>
        <w:spacing w:line="240" w:lineRule="auto"/>
        <w:ind w:firstLine="420"/>
      </w:pPr>
      <w:r>
        <w:rPr>
          <w:rFonts w:hint="eastAsia"/>
        </w:rPr>
        <w:t>（3）中标供应商的《</w:t>
      </w:r>
      <w:r>
        <w:t>中小企业声明函</w:t>
      </w:r>
      <w:r>
        <w:rPr>
          <w:rFonts w:hint="eastAsia"/>
        </w:rPr>
        <w:t>》将随中标公告进行公示。供应商按照本办法规定提供声明函内容不实的，属于提供虚假材料谋取中标、成交</w:t>
      </w:r>
      <w:r>
        <w:rPr>
          <w:rFonts w:hint="eastAsia"/>
          <w:lang w:eastAsia="zh-CN"/>
        </w:rPr>
        <w:t>，可</w:t>
      </w:r>
      <w:r>
        <w:rPr>
          <w:rFonts w:hint="eastAsia"/>
        </w:rPr>
        <w:t>依照《中华人民共和国政府采购法》等国家有关规定追究相应责任。</w:t>
      </w:r>
    </w:p>
    <w:p w14:paraId="5F227C43">
      <w:pPr>
        <w:spacing w:line="360" w:lineRule="auto"/>
        <w:rPr>
          <w:rFonts w:hint="eastAsia"/>
          <w:b/>
          <w:sz w:val="28"/>
          <w:szCs w:val="28"/>
        </w:rPr>
      </w:pPr>
    </w:p>
    <w:p w14:paraId="4878381F">
      <w:pPr>
        <w:spacing w:line="360" w:lineRule="auto"/>
        <w:rPr>
          <w:rFonts w:hint="eastAsia"/>
          <w:b/>
          <w:sz w:val="28"/>
          <w:szCs w:val="28"/>
        </w:rPr>
      </w:pPr>
    </w:p>
    <w:p w14:paraId="177DF1EE">
      <w:pPr>
        <w:spacing w:line="360" w:lineRule="auto"/>
        <w:rPr>
          <w:rFonts w:ascii="宋体" w:hAnsi="宋体" w:cs="宋体"/>
          <w:b/>
          <w:sz w:val="28"/>
          <w:szCs w:val="28"/>
        </w:rPr>
      </w:pPr>
      <w:r>
        <w:rPr>
          <w:rFonts w:hint="eastAsia"/>
          <w:b/>
          <w:sz w:val="28"/>
          <w:szCs w:val="28"/>
        </w:rPr>
        <w:t>五</w:t>
      </w:r>
      <w:r>
        <w:rPr>
          <w:rFonts w:hint="eastAsia" w:ascii="宋体" w:hAnsi="宋体" w:cs="宋体"/>
          <w:b/>
          <w:sz w:val="28"/>
          <w:szCs w:val="28"/>
        </w:rPr>
        <w:t>、残疾人福利性单位声明函（给定格式）：</w:t>
      </w:r>
    </w:p>
    <w:p w14:paraId="023E8826">
      <w:pPr>
        <w:spacing w:line="440" w:lineRule="exact"/>
        <w:ind w:firstLine="482"/>
        <w:rPr>
          <w:rFonts w:ascii="Arial" w:hAnsi="Arial"/>
          <w:b/>
          <w:sz w:val="24"/>
        </w:rPr>
      </w:pPr>
    </w:p>
    <w:p w14:paraId="400BA058">
      <w:pPr>
        <w:jc w:val="center"/>
        <w:rPr>
          <w:rFonts w:ascii="黑体" w:eastAsia="黑体"/>
          <w:bCs/>
          <w:sz w:val="28"/>
          <w:szCs w:val="28"/>
        </w:rPr>
      </w:pPr>
      <w:r>
        <w:rPr>
          <w:rFonts w:hint="eastAsia" w:ascii="黑体" w:eastAsia="黑体"/>
          <w:bCs/>
          <w:sz w:val="28"/>
          <w:szCs w:val="28"/>
        </w:rPr>
        <w:t>残疾人福利性单位声明函</w:t>
      </w:r>
    </w:p>
    <w:p w14:paraId="4D39DF35">
      <w:pPr>
        <w:jc w:val="center"/>
        <w:rPr>
          <w:rFonts w:ascii="黑体" w:eastAsia="黑体"/>
          <w:bCs/>
          <w:sz w:val="28"/>
          <w:szCs w:val="28"/>
        </w:rPr>
      </w:pPr>
    </w:p>
    <w:p w14:paraId="6796F411">
      <w:pPr>
        <w:spacing w:line="580" w:lineRule="exact"/>
        <w:ind w:firstLine="48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w:t>
      </w:r>
      <w:r>
        <w:rPr>
          <w:rFonts w:hint="eastAsia" w:ascii="宋体" w:hAnsi="宋体"/>
          <w:bCs/>
          <w:sz w:val="24"/>
          <w:szCs w:val="24"/>
          <w:lang w:eastAsia="zh-CN"/>
        </w:rPr>
        <w:t>〔2017〕141号</w:t>
      </w:r>
      <w:r>
        <w:rPr>
          <w:rFonts w:hint="eastAsia" w:ascii="宋体" w:hAnsi="宋体"/>
          <w:bCs/>
          <w:sz w:val="24"/>
          <w:szCs w:val="24"/>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F7BE2E">
      <w:pPr>
        <w:spacing w:line="580" w:lineRule="exact"/>
        <w:ind w:firstLine="480"/>
        <w:rPr>
          <w:rFonts w:ascii="宋体" w:hAnsi="宋体"/>
          <w:bCs/>
          <w:sz w:val="24"/>
          <w:szCs w:val="24"/>
        </w:rPr>
      </w:pPr>
      <w:r>
        <w:rPr>
          <w:rFonts w:hint="eastAsia" w:ascii="宋体" w:hAnsi="宋体"/>
          <w:bCs/>
          <w:sz w:val="24"/>
          <w:szCs w:val="24"/>
        </w:rPr>
        <w:t>本单位对上述声明的真实性负责。如有虚假，将依法承担相应责任。</w:t>
      </w:r>
    </w:p>
    <w:p w14:paraId="2A4E842F">
      <w:pPr>
        <w:spacing w:line="580" w:lineRule="exact"/>
        <w:ind w:firstLine="480"/>
        <w:rPr>
          <w:rFonts w:ascii="宋体" w:hAnsi="宋体"/>
          <w:bCs/>
          <w:sz w:val="24"/>
          <w:szCs w:val="24"/>
        </w:rPr>
      </w:pPr>
    </w:p>
    <w:p w14:paraId="1372F199">
      <w:pPr>
        <w:spacing w:line="580" w:lineRule="exact"/>
        <w:ind w:firstLine="480"/>
        <w:rPr>
          <w:rFonts w:ascii="宋体" w:hAnsi="宋体"/>
          <w:bCs/>
          <w:sz w:val="24"/>
          <w:szCs w:val="24"/>
        </w:rPr>
      </w:pPr>
    </w:p>
    <w:p w14:paraId="68381D02">
      <w:pPr>
        <w:spacing w:line="580" w:lineRule="exact"/>
        <w:ind w:firstLine="480"/>
        <w:rPr>
          <w:rFonts w:ascii="宋体" w:hAnsi="宋体"/>
          <w:bCs/>
          <w:sz w:val="24"/>
          <w:szCs w:val="24"/>
        </w:rPr>
      </w:pPr>
      <w:r>
        <w:rPr>
          <w:rFonts w:hint="eastAsia" w:ascii="宋体" w:hAnsi="宋体"/>
          <w:bCs/>
          <w:sz w:val="24"/>
          <w:szCs w:val="24"/>
        </w:rPr>
        <w:t>单位名称（盖章）：</w:t>
      </w:r>
    </w:p>
    <w:p w14:paraId="50B98A86">
      <w:pPr>
        <w:spacing w:line="580" w:lineRule="exact"/>
        <w:ind w:firstLine="480"/>
        <w:rPr>
          <w:rFonts w:ascii="宋体" w:hAnsi="宋体"/>
          <w:bCs/>
          <w:sz w:val="24"/>
          <w:szCs w:val="24"/>
        </w:rPr>
      </w:pPr>
      <w:r>
        <w:rPr>
          <w:rFonts w:hint="eastAsia" w:ascii="宋体" w:hAnsi="宋体"/>
          <w:bCs/>
          <w:sz w:val="24"/>
          <w:szCs w:val="24"/>
        </w:rPr>
        <w:t>日  期：</w:t>
      </w:r>
    </w:p>
    <w:p w14:paraId="402798D2">
      <w:pPr>
        <w:spacing w:line="360" w:lineRule="auto"/>
        <w:rPr>
          <w:b/>
          <w:sz w:val="28"/>
          <w:szCs w:val="28"/>
        </w:rPr>
      </w:pPr>
      <w:r>
        <w:rPr>
          <w:rFonts w:ascii="宋体" w:hAnsi="宋体"/>
          <w:bCs/>
          <w:sz w:val="24"/>
          <w:szCs w:val="24"/>
        </w:rPr>
        <w:br w:type="page" w:clear="all"/>
      </w:r>
      <w:r>
        <w:rPr>
          <w:rFonts w:hint="eastAsia"/>
          <w:b/>
          <w:sz w:val="28"/>
          <w:szCs w:val="28"/>
        </w:rPr>
        <w:t>六</w:t>
      </w:r>
      <w:r>
        <w:rPr>
          <w:b/>
          <w:sz w:val="28"/>
          <w:szCs w:val="28"/>
        </w:rPr>
        <w:t>、投标函</w:t>
      </w:r>
      <w:r>
        <w:rPr>
          <w:rFonts w:hint="eastAsia"/>
          <w:b/>
          <w:sz w:val="28"/>
          <w:szCs w:val="28"/>
        </w:rPr>
        <w:t>（给定格式）：</w:t>
      </w:r>
    </w:p>
    <w:p w14:paraId="5B52A1B1">
      <w:pPr>
        <w:spacing w:line="400" w:lineRule="exact"/>
        <w:jc w:val="center"/>
        <w:rPr>
          <w:rFonts w:ascii="宋体"/>
          <w:bCs/>
          <w:sz w:val="24"/>
          <w:szCs w:val="24"/>
        </w:rPr>
      </w:pPr>
      <w:r>
        <w:rPr>
          <w:rFonts w:hint="eastAsia" w:ascii="黑体" w:eastAsia="黑体"/>
          <w:bCs/>
          <w:sz w:val="28"/>
          <w:szCs w:val="28"/>
        </w:rPr>
        <w:t>投标函</w:t>
      </w:r>
    </w:p>
    <w:p w14:paraId="779119A1">
      <w:pPr>
        <w:spacing w:line="400" w:lineRule="exact"/>
        <w:rPr>
          <w:rFonts w:ascii="宋体"/>
          <w:bCs/>
          <w:sz w:val="24"/>
          <w:szCs w:val="24"/>
        </w:rPr>
      </w:pPr>
      <w:r>
        <w:rPr>
          <w:rFonts w:hint="eastAsia" w:ascii="宋体" w:hAnsi="宋体"/>
          <w:bCs/>
          <w:sz w:val="24"/>
          <w:szCs w:val="24"/>
        </w:rPr>
        <w:t>致无锡市滨湖区公共资源交易中心：</w:t>
      </w:r>
    </w:p>
    <w:p w14:paraId="6A64F0C8">
      <w:pPr>
        <w:spacing w:line="400" w:lineRule="exact"/>
        <w:ind w:firstLine="480"/>
        <w:rPr>
          <w:rFonts w:ascii="宋体"/>
          <w:bCs/>
          <w:sz w:val="24"/>
          <w:szCs w:val="24"/>
        </w:rPr>
      </w:pPr>
      <w:r>
        <w:rPr>
          <w:rFonts w:hint="eastAsia" w:ascii="宋体" w:hAnsi="宋体"/>
          <w:bCs/>
          <w:sz w:val="24"/>
          <w:szCs w:val="24"/>
        </w:rPr>
        <w:t>我方收到贵方编号</w:t>
      </w:r>
      <w:r>
        <w:rPr>
          <w:rFonts w:hint="eastAsia" w:ascii="宋体" w:hAnsi="宋体"/>
          <w:bCs/>
          <w:sz w:val="24"/>
          <w:szCs w:val="24"/>
          <w:u w:val="single"/>
          <w:lang w:val="en-US" w:eastAsia="zh-CN"/>
        </w:rPr>
        <w:t xml:space="preserve">            </w:t>
      </w:r>
      <w:r>
        <w:rPr>
          <w:rFonts w:hint="eastAsia" w:ascii="宋体" w:hAnsi="宋体"/>
          <w:bCs/>
          <w:sz w:val="24"/>
          <w:szCs w:val="24"/>
        </w:rPr>
        <w:t>招标文件，经仔细阅读和研究，我方决定参加此项目的投标。</w:t>
      </w:r>
    </w:p>
    <w:p w14:paraId="79EDF66B">
      <w:pPr>
        <w:numPr>
          <w:ilvl w:val="0"/>
          <w:numId w:val="12"/>
        </w:numPr>
        <w:tabs>
          <w:tab w:val="left" w:pos="315"/>
          <w:tab w:val="left" w:pos="840"/>
          <w:tab w:val="left" w:pos="945"/>
          <w:tab w:val="left" w:pos="1050"/>
          <w:tab w:val="left" w:pos="1260"/>
          <w:tab w:val="clear" w:pos="552"/>
        </w:tabs>
        <w:spacing w:line="400" w:lineRule="exact"/>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14:paraId="1E8661EB">
      <w:pPr>
        <w:numPr>
          <w:ilvl w:val="0"/>
          <w:numId w:val="12"/>
        </w:numPr>
        <w:tabs>
          <w:tab w:val="left" w:pos="0"/>
          <w:tab w:val="left" w:pos="315"/>
          <w:tab w:val="left" w:pos="525"/>
          <w:tab w:val="left" w:pos="840"/>
          <w:tab w:val="left" w:pos="945"/>
          <w:tab w:val="left" w:pos="1050"/>
          <w:tab w:val="clear" w:pos="552"/>
        </w:tabs>
        <w:spacing w:line="400" w:lineRule="exact"/>
        <w:ind w:left="0" w:firstLine="523"/>
        <w:rPr>
          <w:rStyle w:val="380"/>
          <w:bCs/>
        </w:rPr>
      </w:pPr>
      <w:r>
        <w:rPr>
          <w:rFonts w:hint="eastAsia" w:ascii="宋体" w:hAnsi="宋体"/>
          <w:bCs/>
          <w:sz w:val="24"/>
          <w:szCs w:val="24"/>
        </w:rPr>
        <w:t>我方愿意提供无锡市滨湖区公共资源交易中心在招标文件中要求的文件、资料。</w:t>
      </w:r>
    </w:p>
    <w:p w14:paraId="0920D01C">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我方同意按照招标文件中的规定，从规定的开标日期起遵循本投标文件，并在规定的投标有效期期满之前均具有约束力。</w:t>
      </w:r>
    </w:p>
    <w:p w14:paraId="4760F8CD">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14:paraId="4CF1928C">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我方完全同意招标文件规定的决定中标者的方式。</w:t>
      </w:r>
    </w:p>
    <w:p w14:paraId="21400109">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我方愿意遵守《中华人民共和国政府采购法》，并按《中华人民共和国民法典》、财政部《政府采购货物和服务招标投标管理办法》等相关法律法规</w:t>
      </w:r>
      <w:r>
        <w:rPr>
          <w:rFonts w:hint="eastAsia" w:ascii="宋体" w:hAnsi="宋体"/>
          <w:sz w:val="24"/>
          <w:szCs w:val="24"/>
        </w:rPr>
        <w:t>和</w:t>
      </w:r>
      <w:r>
        <w:rPr>
          <w:rFonts w:hint="eastAsia" w:ascii="宋体" w:hAnsi="宋体"/>
          <w:bCs/>
          <w:sz w:val="24"/>
          <w:szCs w:val="24"/>
        </w:rPr>
        <w:t>合同条款履行自己的全部责任。</w:t>
      </w:r>
    </w:p>
    <w:p w14:paraId="6E7DEFA5">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我方已详细审核全部招标文件及其有效补充文件，我们知道必须放弃提出含糊不清或误解问题的权利。</w:t>
      </w:r>
    </w:p>
    <w:p w14:paraId="5FAB4193">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14:paraId="31DEB4CE">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如果我方被确定为中标供应商，我方愿意按采购人要求缴纳履约保证金。且我方如无不可抗力，又未履行招标文件、投标文件和合同条款的，一经查实，我方愿意赔偿由此而造成的一切损失，并同意接受按招标文件的相关要求对我方进行的处理。</w:t>
      </w:r>
    </w:p>
    <w:p w14:paraId="0787F247">
      <w:pPr>
        <w:numPr>
          <w:ilvl w:val="0"/>
          <w:numId w:val="12"/>
        </w:numPr>
        <w:tabs>
          <w:tab w:val="left" w:pos="0"/>
          <w:tab w:val="left" w:pos="315"/>
          <w:tab w:val="left" w:pos="525"/>
          <w:tab w:val="left" w:pos="945"/>
          <w:tab w:val="left" w:pos="1050"/>
          <w:tab w:val="clear" w:pos="552"/>
        </w:tabs>
        <w:spacing w:line="400" w:lineRule="exact"/>
        <w:ind w:left="0" w:firstLine="523"/>
        <w:rPr>
          <w:rFonts w:ascii="宋体"/>
          <w:bCs/>
          <w:sz w:val="24"/>
          <w:szCs w:val="24"/>
        </w:rPr>
      </w:pPr>
      <w:r>
        <w:rPr>
          <w:rFonts w:hint="eastAsia" w:ascii="宋体" w:hAnsi="宋体"/>
          <w:bCs/>
          <w:sz w:val="24"/>
          <w:szCs w:val="24"/>
        </w:rPr>
        <w:t>我方决不提供虚假材料谋取中标、决不采取不正当手段诋毁、排挤其他供应商、决不与采购人、其他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14:paraId="174A72D5">
      <w:pPr>
        <w:spacing w:line="400" w:lineRule="exact"/>
        <w:ind w:firstLine="480" w:firstLineChars="200"/>
        <w:rPr>
          <w:rFonts w:hint="eastAsia" w:ascii="宋体"/>
          <w:bCs/>
          <w:sz w:val="24"/>
          <w:szCs w:val="24"/>
          <w:u w:val="single"/>
          <w:lang w:val="en-US" w:eastAsia="zh-CN"/>
        </w:rPr>
      </w:pPr>
      <w:r>
        <w:rPr>
          <w:rFonts w:hint="eastAsia" w:ascii="宋体" w:hAnsi="宋体"/>
          <w:bCs/>
          <w:sz w:val="24"/>
          <w:szCs w:val="24"/>
        </w:rPr>
        <w:t>电话：</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r>
        <w:rPr>
          <w:rFonts w:hint="eastAsia" w:ascii="宋体" w:hAnsi="宋体"/>
          <w:bCs/>
          <w:sz w:val="24"/>
          <w:szCs w:val="24"/>
        </w:rPr>
        <w:t>；传真：</w:t>
      </w:r>
      <w:r>
        <w:rPr>
          <w:rFonts w:hint="eastAsia" w:ascii="宋体" w:hAnsi="宋体"/>
          <w:bCs/>
          <w:sz w:val="24"/>
          <w:szCs w:val="24"/>
          <w:u w:val="single"/>
          <w:lang w:val="en-US" w:eastAsia="zh-CN"/>
        </w:rPr>
        <w:t xml:space="preserve">     </w:t>
      </w:r>
      <w:r>
        <w:rPr>
          <w:rFonts w:hint="eastAsia" w:ascii="宋体" w:hAnsi="宋体"/>
          <w:bCs/>
          <w:sz w:val="24"/>
          <w:szCs w:val="24"/>
        </w:rPr>
        <w:t>；邮编：</w:t>
      </w:r>
      <w:r>
        <w:rPr>
          <w:rFonts w:hint="eastAsia" w:ascii="宋体"/>
          <w:bCs/>
          <w:sz w:val="24"/>
          <w:szCs w:val="24"/>
          <w:u w:val="single"/>
          <w:lang w:val="en-US" w:eastAsia="zh-CN"/>
        </w:rPr>
        <w:t xml:space="preserve">           </w:t>
      </w:r>
    </w:p>
    <w:p w14:paraId="51F856B6">
      <w:pPr>
        <w:spacing w:line="400" w:lineRule="exact"/>
        <w:ind w:firstLine="480" w:firstLineChars="200"/>
        <w:rPr>
          <w:rFonts w:hint="default" w:ascii="宋体" w:hAnsi="宋体" w:eastAsiaTheme="minorEastAsia"/>
          <w:bCs/>
          <w:sz w:val="24"/>
          <w:szCs w:val="24"/>
          <w:u w:val="single"/>
          <w:lang w:val="en-US" w:eastAsia="zh-CN"/>
        </w:rPr>
      </w:pPr>
      <w:r>
        <w:rPr>
          <w:rFonts w:hint="eastAsia" w:ascii="宋体" w:hAnsi="宋体"/>
          <w:bCs/>
          <w:sz w:val="24"/>
          <w:szCs w:val="24"/>
        </w:rPr>
        <w:t>通讯地址：</w:t>
      </w:r>
      <w:r>
        <w:rPr>
          <w:rFonts w:hint="eastAsia" w:ascii="宋体" w:hAnsi="宋体"/>
          <w:bCs/>
          <w:sz w:val="24"/>
          <w:szCs w:val="24"/>
          <w:u w:val="single"/>
          <w:lang w:val="en-US" w:eastAsia="zh-CN"/>
        </w:rPr>
        <w:t xml:space="preserve">                               </w:t>
      </w:r>
    </w:p>
    <w:p w14:paraId="6C3ED909">
      <w:pPr>
        <w:spacing w:line="460" w:lineRule="exact"/>
        <w:rPr>
          <w:rFonts w:ascii="宋体" w:hAnsi="宋体"/>
          <w:bCs/>
          <w:sz w:val="24"/>
          <w:szCs w:val="24"/>
        </w:rPr>
      </w:pPr>
    </w:p>
    <w:p w14:paraId="59075FC7">
      <w:pPr>
        <w:spacing w:line="460" w:lineRule="exact"/>
        <w:jc w:val="right"/>
        <w:rPr>
          <w:rFonts w:ascii="宋体" w:hAnsi="宋体"/>
          <w:bCs/>
          <w:sz w:val="24"/>
          <w:szCs w:val="24"/>
        </w:rPr>
      </w:pPr>
      <w:r>
        <w:rPr>
          <w:rFonts w:hint="eastAsia" w:ascii="宋体" w:hAnsi="宋体"/>
          <w:bCs/>
          <w:sz w:val="24"/>
          <w:szCs w:val="24"/>
        </w:rPr>
        <w:t>投标人名称（盖章）：</w:t>
      </w:r>
    </w:p>
    <w:p w14:paraId="64CACE32">
      <w:pPr>
        <w:spacing w:line="360" w:lineRule="auto"/>
        <w:rPr>
          <w:b/>
          <w:sz w:val="28"/>
          <w:szCs w:val="28"/>
        </w:rPr>
      </w:pPr>
      <w:r>
        <w:rPr>
          <w:rFonts w:hint="eastAsia" w:ascii="宋体" w:hAnsi="宋体"/>
          <w:bCs/>
          <w:sz w:val="24"/>
          <w:szCs w:val="24"/>
        </w:rPr>
        <w:br w:type="page" w:clear="all"/>
      </w:r>
      <w:r>
        <w:rPr>
          <w:rFonts w:hint="eastAsia"/>
          <w:b/>
          <w:sz w:val="28"/>
          <w:szCs w:val="28"/>
        </w:rPr>
        <w:t>七、承诺书（给定格式）：</w:t>
      </w:r>
    </w:p>
    <w:p w14:paraId="4170A32A">
      <w:pPr>
        <w:jc w:val="center"/>
        <w:rPr>
          <w:rFonts w:ascii="黑体" w:eastAsia="黑体"/>
          <w:bCs/>
          <w:sz w:val="28"/>
          <w:szCs w:val="28"/>
        </w:rPr>
      </w:pPr>
      <w:r>
        <w:rPr>
          <w:rFonts w:hint="eastAsia" w:ascii="黑体" w:eastAsia="黑体"/>
          <w:bCs/>
          <w:sz w:val="28"/>
          <w:szCs w:val="28"/>
        </w:rPr>
        <w:t>承诺书</w:t>
      </w:r>
    </w:p>
    <w:p w14:paraId="5D111DA6">
      <w:pPr>
        <w:spacing w:line="480" w:lineRule="auto"/>
        <w:rPr>
          <w:rFonts w:ascii="宋体" w:hAnsi="宋体"/>
          <w:sz w:val="24"/>
          <w:szCs w:val="24"/>
        </w:rPr>
      </w:pPr>
      <w:r>
        <w:rPr>
          <w:rFonts w:hint="eastAsia" w:ascii="宋体" w:hAnsi="宋体"/>
          <w:sz w:val="24"/>
          <w:szCs w:val="24"/>
        </w:rPr>
        <w:t>（投标人名称）针</w:t>
      </w:r>
      <w:r>
        <w:rPr>
          <w:rFonts w:hint="eastAsia" w:ascii="宋体" w:hAnsi="宋体"/>
          <w:bCs/>
          <w:sz w:val="24"/>
          <w:szCs w:val="24"/>
        </w:rPr>
        <w:t>对本项目</w:t>
      </w:r>
      <w:r>
        <w:rPr>
          <w:rFonts w:hint="eastAsia" w:ascii="宋体" w:hAnsi="宋体"/>
          <w:bCs/>
          <w:sz w:val="24"/>
          <w:szCs w:val="24"/>
          <w:u w:val="single"/>
          <w:lang w:val="en-US" w:eastAsia="zh-CN"/>
        </w:rPr>
        <w:t xml:space="preserve">               </w:t>
      </w:r>
      <w:r>
        <w:rPr>
          <w:rFonts w:hint="eastAsia" w:ascii="宋体" w:hAnsi="宋体"/>
          <w:sz w:val="24"/>
          <w:szCs w:val="24"/>
        </w:rPr>
        <w:t>在此对服务保障做如下承诺：</w:t>
      </w:r>
    </w:p>
    <w:p w14:paraId="6C896D62">
      <w:pPr>
        <w:spacing w:line="480" w:lineRule="auto"/>
        <w:rPr>
          <w:rFonts w:ascii="宋体" w:hAnsi="宋体"/>
          <w:sz w:val="24"/>
          <w:szCs w:val="24"/>
        </w:rPr>
      </w:pPr>
    </w:p>
    <w:p w14:paraId="238D8B4D">
      <w:pPr>
        <w:spacing w:line="360" w:lineRule="auto"/>
        <w:ind w:firstLine="480"/>
        <w:rPr>
          <w:rFonts w:ascii="宋体" w:hAnsi="宋体" w:cs="宋体"/>
          <w:sz w:val="24"/>
          <w:szCs w:val="24"/>
        </w:rPr>
      </w:pPr>
      <w:r>
        <w:rPr>
          <w:rFonts w:hint="eastAsia" w:ascii="宋体" w:hAnsi="宋体" w:cs="宋体"/>
          <w:sz w:val="24"/>
          <w:szCs w:val="24"/>
        </w:rPr>
        <w:t>1.本公司（单位</w:t>
      </w:r>
      <w:r>
        <w:rPr>
          <w:rFonts w:hint="eastAsia" w:ascii="宋体" w:hAnsi="宋体"/>
          <w:bCs/>
          <w:sz w:val="24"/>
          <w:szCs w:val="24"/>
        </w:rPr>
        <w:t>、联合体</w:t>
      </w:r>
      <w:r>
        <w:rPr>
          <w:rFonts w:hint="eastAsia" w:ascii="宋体" w:hAnsi="宋体" w:cs="宋体"/>
          <w:sz w:val="24"/>
          <w:szCs w:val="24"/>
        </w:rPr>
        <w:t>）对本项目所提供的服务符合招标文件要求；</w:t>
      </w:r>
    </w:p>
    <w:p w14:paraId="2E8E91BB">
      <w:pPr>
        <w:spacing w:line="360" w:lineRule="auto"/>
        <w:ind w:firstLine="480"/>
        <w:rPr>
          <w:rFonts w:ascii="宋体" w:hAnsi="宋体" w:cs="宋体"/>
          <w:sz w:val="24"/>
          <w:szCs w:val="24"/>
        </w:rPr>
      </w:pPr>
      <w:r>
        <w:rPr>
          <w:rFonts w:hint="eastAsia" w:ascii="宋体" w:hAnsi="宋体" w:cs="宋体"/>
          <w:sz w:val="24"/>
          <w:szCs w:val="24"/>
        </w:rPr>
        <w:t>2.本公司（单位</w:t>
      </w:r>
      <w:r>
        <w:rPr>
          <w:rFonts w:hint="eastAsia" w:ascii="宋体" w:hAnsi="宋体"/>
          <w:bCs/>
          <w:sz w:val="24"/>
          <w:szCs w:val="24"/>
        </w:rPr>
        <w:t>、联合体</w:t>
      </w:r>
      <w:r>
        <w:rPr>
          <w:rFonts w:hint="eastAsia" w:ascii="宋体" w:hAnsi="宋体" w:cs="宋体"/>
          <w:sz w:val="24"/>
          <w:szCs w:val="24"/>
        </w:rPr>
        <w:t>）保证中标并合同签订生效后，将按招标文件要求及所投的投标文件中做出的相应承诺将相关人员及时配置到位。</w:t>
      </w:r>
    </w:p>
    <w:p w14:paraId="21C2AACB">
      <w:pPr>
        <w:spacing w:line="360" w:lineRule="auto"/>
        <w:ind w:firstLine="480"/>
        <w:rPr>
          <w:rFonts w:ascii="宋体" w:hAnsi="宋体" w:cs="宋体"/>
          <w:sz w:val="24"/>
          <w:szCs w:val="24"/>
        </w:rPr>
      </w:pPr>
      <w:r>
        <w:rPr>
          <w:rFonts w:hint="eastAsia" w:ascii="宋体" w:hAnsi="宋体" w:cs="宋体"/>
          <w:sz w:val="24"/>
          <w:szCs w:val="24"/>
        </w:rPr>
        <w:t>3.</w:t>
      </w:r>
    </w:p>
    <w:p w14:paraId="06649ADB">
      <w:pPr>
        <w:spacing w:line="360" w:lineRule="auto"/>
        <w:ind w:firstLine="480"/>
        <w:rPr>
          <w:rFonts w:ascii="宋体" w:hAnsi="宋体" w:cs="宋体"/>
          <w:sz w:val="24"/>
          <w:szCs w:val="24"/>
        </w:rPr>
      </w:pPr>
      <w:r>
        <w:rPr>
          <w:rFonts w:hint="eastAsia" w:ascii="宋体" w:hAnsi="宋体" w:cs="宋体"/>
          <w:sz w:val="24"/>
          <w:szCs w:val="24"/>
        </w:rPr>
        <w:t>4.</w:t>
      </w:r>
    </w:p>
    <w:p w14:paraId="3473B96D">
      <w:pPr>
        <w:spacing w:line="360" w:lineRule="auto"/>
        <w:ind w:firstLine="480"/>
        <w:rPr>
          <w:rFonts w:ascii="宋体" w:hAnsi="宋体" w:cs="宋体"/>
          <w:sz w:val="24"/>
          <w:szCs w:val="24"/>
        </w:rPr>
      </w:pPr>
      <w:r>
        <w:rPr>
          <w:rFonts w:hint="eastAsia" w:ascii="宋体" w:hAnsi="宋体" w:cs="宋体"/>
          <w:sz w:val="24"/>
          <w:szCs w:val="24"/>
        </w:rPr>
        <w:t>5.</w:t>
      </w:r>
    </w:p>
    <w:p w14:paraId="19CBA101">
      <w:pPr>
        <w:tabs>
          <w:tab w:val="left" w:pos="945"/>
        </w:tabs>
        <w:spacing w:line="360" w:lineRule="auto"/>
        <w:ind w:firstLine="465"/>
        <w:rPr>
          <w:rFonts w:ascii="宋体" w:hAnsi="宋体" w:cs="宋体"/>
          <w:sz w:val="24"/>
          <w:szCs w:val="24"/>
        </w:rPr>
      </w:pPr>
      <w:r>
        <w:rPr>
          <w:rFonts w:hint="eastAsia" w:ascii="宋体" w:hAnsi="宋体" w:cs="宋体"/>
          <w:sz w:val="24"/>
          <w:szCs w:val="24"/>
        </w:rPr>
        <w:t>6.</w:t>
      </w:r>
    </w:p>
    <w:p w14:paraId="66888F21">
      <w:pPr>
        <w:spacing w:line="480" w:lineRule="auto"/>
        <w:ind w:firstLine="960"/>
        <w:rPr>
          <w:rFonts w:ascii="宋体" w:hAnsi="宋体"/>
          <w:bCs/>
          <w:sz w:val="24"/>
          <w:szCs w:val="24"/>
        </w:rPr>
      </w:pPr>
      <w:r>
        <w:rPr>
          <w:rFonts w:ascii="宋体" w:hAnsi="宋体"/>
          <w:bCs/>
          <w:sz w:val="24"/>
          <w:szCs w:val="24"/>
        </w:rPr>
        <w:t>…………………</w:t>
      </w:r>
    </w:p>
    <w:p w14:paraId="5A082ADC">
      <w:pPr>
        <w:spacing w:line="480" w:lineRule="auto"/>
        <w:ind w:firstLine="96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、联合体</w:t>
      </w:r>
      <w:r>
        <w:rPr>
          <w:rFonts w:hint="eastAsia" w:ascii="宋体" w:hAnsi="宋体"/>
          <w:sz w:val="24"/>
          <w:szCs w:val="24"/>
        </w:rPr>
        <w:t>）</w:t>
      </w:r>
      <w:r>
        <w:rPr>
          <w:rFonts w:hint="eastAsia" w:ascii="宋体" w:hAnsi="宋体"/>
          <w:bCs/>
          <w:sz w:val="24"/>
          <w:szCs w:val="24"/>
        </w:rPr>
        <w:t>将承担一切法律责任。</w:t>
      </w:r>
    </w:p>
    <w:p w14:paraId="76426235">
      <w:pPr>
        <w:spacing w:line="480" w:lineRule="auto"/>
        <w:rPr>
          <w:rFonts w:ascii="宋体" w:hAnsi="宋体"/>
          <w:bCs/>
          <w:sz w:val="24"/>
          <w:szCs w:val="24"/>
        </w:rPr>
      </w:pPr>
    </w:p>
    <w:p w14:paraId="761B3F5B">
      <w:pPr>
        <w:spacing w:line="480" w:lineRule="auto"/>
        <w:ind w:firstLine="3720"/>
        <w:rPr>
          <w:rFonts w:ascii="宋体" w:hAnsi="宋体"/>
          <w:bCs/>
          <w:sz w:val="24"/>
          <w:szCs w:val="24"/>
        </w:rPr>
      </w:pPr>
      <w:r>
        <w:rPr>
          <w:rFonts w:hint="eastAsia" w:ascii="宋体" w:hAnsi="宋体"/>
          <w:sz w:val="24"/>
          <w:szCs w:val="24"/>
        </w:rPr>
        <w:t>投标人名称</w:t>
      </w:r>
      <w:r>
        <w:rPr>
          <w:rFonts w:hint="eastAsia" w:ascii="宋体" w:hAnsi="宋体"/>
          <w:bCs/>
          <w:sz w:val="24"/>
          <w:szCs w:val="24"/>
        </w:rPr>
        <w:t>（盖章）：</w:t>
      </w:r>
    </w:p>
    <w:p w14:paraId="68204FF0">
      <w:pPr>
        <w:spacing w:line="480" w:lineRule="auto"/>
        <w:ind w:firstLine="480"/>
        <w:rPr>
          <w:rFonts w:ascii="宋体" w:hAnsi="宋体"/>
          <w:bCs/>
          <w:sz w:val="24"/>
          <w:szCs w:val="24"/>
        </w:rPr>
      </w:pPr>
    </w:p>
    <w:p w14:paraId="406CEEB2">
      <w:pPr>
        <w:spacing w:line="480" w:lineRule="auto"/>
        <w:ind w:firstLine="420"/>
        <w:rPr>
          <w:rFonts w:ascii="宋体"/>
          <w:bCs/>
          <w:sz w:val="24"/>
          <w:szCs w:val="24"/>
        </w:rPr>
      </w:pPr>
      <w:r>
        <w:rPr>
          <w:rFonts w:hint="eastAsia" w:ascii="宋体" w:hAnsi="宋体"/>
          <w:bCs/>
        </w:rPr>
        <w:t>（注：以上内容由投标单位根据采购要求自行完善。）</w:t>
      </w:r>
    </w:p>
    <w:p w14:paraId="4C7146AC">
      <w:pPr>
        <w:outlineLvl w:val="0"/>
        <w:rPr>
          <w:rFonts w:ascii="宋体" w:hAnsi="宋体"/>
          <w:bCs/>
          <w:sz w:val="24"/>
          <w:szCs w:val="24"/>
        </w:rPr>
      </w:pPr>
    </w:p>
    <w:p w14:paraId="2A82960B">
      <w:pPr>
        <w:outlineLvl w:val="0"/>
        <w:rPr>
          <w:rFonts w:ascii="宋体" w:hAnsi="宋体"/>
          <w:bCs/>
          <w:sz w:val="24"/>
          <w:szCs w:val="24"/>
        </w:rPr>
      </w:pPr>
    </w:p>
    <w:p w14:paraId="2B56D621">
      <w:pPr>
        <w:spacing w:line="360" w:lineRule="auto"/>
        <w:rPr>
          <w:b/>
          <w:sz w:val="28"/>
          <w:szCs w:val="28"/>
        </w:rPr>
      </w:pPr>
    </w:p>
    <w:p w14:paraId="7D9E92B2">
      <w:pPr>
        <w:rPr>
          <w:b/>
          <w:sz w:val="28"/>
          <w:szCs w:val="28"/>
        </w:rPr>
      </w:pPr>
      <w:r>
        <w:rPr>
          <w:rFonts w:hint="eastAsia"/>
          <w:b/>
          <w:sz w:val="28"/>
          <w:szCs w:val="28"/>
        </w:rPr>
        <w:br w:type="page"/>
      </w:r>
    </w:p>
    <w:p w14:paraId="24B36058">
      <w:pPr>
        <w:spacing w:line="360" w:lineRule="auto"/>
        <w:rPr>
          <w:b/>
          <w:sz w:val="28"/>
          <w:szCs w:val="28"/>
        </w:rPr>
      </w:pPr>
      <w:r>
        <w:rPr>
          <w:rFonts w:hint="eastAsia"/>
          <w:b/>
          <w:sz w:val="28"/>
          <w:szCs w:val="28"/>
        </w:rPr>
        <w:t>八、开标一览表（给定格式）：</w:t>
      </w:r>
    </w:p>
    <w:p w14:paraId="7F86B8F9">
      <w:pPr>
        <w:spacing w:line="440" w:lineRule="exact"/>
        <w:ind w:firstLine="482"/>
        <w:rPr>
          <w:rFonts w:ascii="Arial" w:hAnsi="Arial"/>
          <w:b/>
          <w:sz w:val="24"/>
        </w:rPr>
      </w:pPr>
    </w:p>
    <w:p w14:paraId="554FFC6D">
      <w:pPr>
        <w:jc w:val="center"/>
        <w:outlineLvl w:val="0"/>
        <w:rPr>
          <w:rFonts w:ascii="黑体" w:eastAsia="黑体"/>
          <w:bCs/>
          <w:sz w:val="28"/>
          <w:szCs w:val="28"/>
        </w:rPr>
      </w:pPr>
      <w:r>
        <w:rPr>
          <w:rFonts w:hint="eastAsia" w:ascii="黑体" w:eastAsia="黑体"/>
          <w:bCs/>
          <w:sz w:val="28"/>
          <w:szCs w:val="28"/>
        </w:rPr>
        <w:t>开标一览表</w:t>
      </w:r>
    </w:p>
    <w:p w14:paraId="4402DE2D">
      <w:pPr>
        <w:jc w:val="center"/>
        <w:outlineLvl w:val="0"/>
        <w:rPr>
          <w:rFonts w:ascii="黑体" w:eastAsia="黑体"/>
          <w:bCs/>
          <w:sz w:val="28"/>
          <w:szCs w:val="28"/>
        </w:rPr>
      </w:pPr>
    </w:p>
    <w:p w14:paraId="06C3FC92">
      <w:pPr>
        <w:spacing w:line="360" w:lineRule="auto"/>
        <w:rPr>
          <w:rFonts w:ascii="黑体" w:eastAsia="黑体"/>
          <w:bCs/>
          <w:sz w:val="24"/>
          <w:szCs w:val="24"/>
        </w:rPr>
      </w:pPr>
      <w:r>
        <w:rPr>
          <w:rFonts w:hint="eastAsia" w:ascii="黑体" w:eastAsia="黑体"/>
          <w:bCs/>
          <w:sz w:val="24"/>
          <w:szCs w:val="24"/>
        </w:rPr>
        <w:t>项目编号：</w:t>
      </w:r>
    </w:p>
    <w:tbl>
      <w:tblPr>
        <w:tblStyle w:val="46"/>
        <w:tblW w:w="8885"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7"/>
        <w:gridCol w:w="3188"/>
      </w:tblGrid>
      <w:tr w14:paraId="7CD3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5697" w:type="dxa"/>
            <w:vAlign w:val="center"/>
          </w:tcPr>
          <w:p w14:paraId="51AA8A6B">
            <w:pPr>
              <w:jc w:val="center"/>
              <w:rPr>
                <w:rFonts w:ascii="宋体"/>
                <w:b/>
                <w:bCs/>
                <w:sz w:val="24"/>
                <w:szCs w:val="24"/>
              </w:rPr>
            </w:pPr>
            <w:r>
              <w:rPr>
                <w:rFonts w:hint="eastAsia" w:ascii="宋体" w:hAnsi="宋体"/>
                <w:b/>
                <w:bCs/>
                <w:sz w:val="24"/>
                <w:szCs w:val="24"/>
              </w:rPr>
              <w:t>项目名称</w:t>
            </w:r>
          </w:p>
        </w:tc>
        <w:tc>
          <w:tcPr>
            <w:tcW w:w="3188" w:type="dxa"/>
            <w:vAlign w:val="center"/>
          </w:tcPr>
          <w:p w14:paraId="396E89A1">
            <w:pPr>
              <w:jc w:val="center"/>
              <w:rPr>
                <w:rFonts w:ascii="宋体"/>
                <w:b/>
                <w:bCs/>
                <w:sz w:val="24"/>
                <w:szCs w:val="24"/>
              </w:rPr>
            </w:pPr>
            <w:r>
              <w:rPr>
                <w:rFonts w:hint="eastAsia" w:ascii="宋体" w:hAnsi="宋体"/>
                <w:b/>
                <w:bCs/>
                <w:sz w:val="24"/>
                <w:szCs w:val="24"/>
              </w:rPr>
              <w:t>投标总报价（小写）</w:t>
            </w:r>
          </w:p>
        </w:tc>
      </w:tr>
      <w:tr w14:paraId="6DB2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30" w:hRule="atLeast"/>
        </w:trPr>
        <w:tc>
          <w:tcPr>
            <w:tcW w:w="5697" w:type="dxa"/>
            <w:vAlign w:val="center"/>
          </w:tcPr>
          <w:p w14:paraId="1A336DD8">
            <w:pPr>
              <w:pStyle w:val="120"/>
              <w:spacing w:line="400" w:lineRule="exact"/>
              <w:jc w:val="center"/>
              <w:rPr>
                <w:rFonts w:hAnsi="宋体"/>
                <w:bCs/>
                <w:szCs w:val="24"/>
              </w:rPr>
            </w:pPr>
          </w:p>
        </w:tc>
        <w:tc>
          <w:tcPr>
            <w:tcW w:w="3188" w:type="dxa"/>
            <w:vAlign w:val="center"/>
          </w:tcPr>
          <w:p w14:paraId="16B83130">
            <w:pPr>
              <w:pStyle w:val="120"/>
              <w:rPr>
                <w:rFonts w:hAnsi="宋体"/>
                <w:b/>
                <w:szCs w:val="24"/>
              </w:rPr>
            </w:pPr>
          </w:p>
        </w:tc>
      </w:tr>
      <w:tr w14:paraId="67E59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trPr>
        <w:tc>
          <w:tcPr>
            <w:tcW w:w="8885" w:type="dxa"/>
            <w:gridSpan w:val="2"/>
            <w:vAlign w:val="center"/>
          </w:tcPr>
          <w:p w14:paraId="30DE6C84">
            <w:pPr>
              <w:rPr>
                <w:rFonts w:ascii="宋体" w:hAnsi="宋体"/>
                <w:bCs/>
                <w:sz w:val="24"/>
                <w:szCs w:val="24"/>
              </w:rPr>
            </w:pPr>
            <w:r>
              <w:rPr>
                <w:rFonts w:hint="eastAsia" w:ascii="黑体" w:eastAsia="黑体"/>
                <w:sz w:val="24"/>
              </w:rPr>
              <w:t>投标总报价（大写）</w:t>
            </w:r>
            <w:r>
              <w:rPr>
                <w:rFonts w:hint="eastAsia" w:ascii="宋体" w:hAnsi="宋体"/>
                <w:bCs/>
                <w:sz w:val="24"/>
                <w:szCs w:val="24"/>
              </w:rPr>
              <w:t>：　　　</w:t>
            </w:r>
          </w:p>
        </w:tc>
      </w:tr>
    </w:tbl>
    <w:p w14:paraId="0690B06B">
      <w:pPr>
        <w:spacing w:line="400" w:lineRule="exact"/>
        <w:rPr>
          <w:rFonts w:ascii="黑体" w:eastAsia="黑体"/>
          <w:bCs/>
          <w:sz w:val="24"/>
          <w:szCs w:val="24"/>
        </w:rPr>
      </w:pPr>
    </w:p>
    <w:p w14:paraId="67830596">
      <w:pPr>
        <w:spacing w:line="400" w:lineRule="exact"/>
        <w:rPr>
          <w:rFonts w:ascii="黑体" w:eastAsia="黑体"/>
          <w:bCs/>
          <w:sz w:val="24"/>
          <w:szCs w:val="24"/>
        </w:rPr>
      </w:pPr>
    </w:p>
    <w:p w14:paraId="51E28673">
      <w:pPr>
        <w:spacing w:line="400" w:lineRule="exact"/>
        <w:rPr>
          <w:rFonts w:ascii="黑体" w:eastAsia="黑体"/>
          <w:bCs/>
          <w:sz w:val="24"/>
          <w:szCs w:val="24"/>
        </w:rPr>
      </w:pPr>
      <w:r>
        <w:rPr>
          <w:rFonts w:hint="eastAsia" w:ascii="黑体" w:eastAsia="黑体"/>
          <w:bCs/>
          <w:sz w:val="24"/>
          <w:szCs w:val="24"/>
        </w:rPr>
        <w:t>投标人名称（盖章）：</w:t>
      </w:r>
    </w:p>
    <w:p w14:paraId="351FF960">
      <w:pPr>
        <w:spacing w:line="400" w:lineRule="exact"/>
        <w:rPr>
          <w:rFonts w:ascii="黑体" w:eastAsia="黑体"/>
          <w:bCs/>
          <w:sz w:val="24"/>
          <w:szCs w:val="24"/>
        </w:rPr>
      </w:pPr>
    </w:p>
    <w:p w14:paraId="29E207CB">
      <w:pPr>
        <w:spacing w:line="400" w:lineRule="exact"/>
        <w:rPr>
          <w:rFonts w:ascii="黑体" w:eastAsia="黑体"/>
          <w:bCs/>
          <w:sz w:val="24"/>
          <w:szCs w:val="24"/>
        </w:rPr>
      </w:pPr>
    </w:p>
    <w:p w14:paraId="7958C1D3">
      <w:pPr>
        <w:spacing w:line="400" w:lineRule="exact"/>
        <w:rPr>
          <w:rFonts w:hint="eastAsia" w:ascii="黑体" w:eastAsia="黑体"/>
          <w:bCs/>
          <w:sz w:val="24"/>
          <w:szCs w:val="24"/>
        </w:rPr>
      </w:pPr>
      <w:r>
        <w:rPr>
          <w:rFonts w:hint="eastAsia" w:ascii="黑体" w:eastAsia="黑体"/>
          <w:bCs/>
          <w:sz w:val="24"/>
          <w:szCs w:val="24"/>
        </w:rPr>
        <w:t>注：因“苏采云”系统自带“开标一览表”模块，投标人须按“苏采云”系统中给定的模块格式，完整、正确地进行填报（具体位置为“基本目录”——“开标一览表”），此处可不用再重复填报。投标人的“开标一览表”及表中所填的投标报价均将以投标人在“苏采云”系统自带的模块格式中填报的为准。</w:t>
      </w:r>
    </w:p>
    <w:p w14:paraId="05E26B92">
      <w:pPr>
        <w:spacing w:line="400" w:lineRule="exact"/>
        <w:rPr>
          <w:rFonts w:ascii="黑体" w:eastAsia="黑体"/>
          <w:bCs/>
          <w:sz w:val="24"/>
          <w:szCs w:val="24"/>
        </w:rPr>
      </w:pPr>
    </w:p>
    <w:p w14:paraId="0D3CA51E">
      <w:pPr>
        <w:spacing w:line="400" w:lineRule="exact"/>
        <w:rPr>
          <w:rFonts w:ascii="黑体" w:eastAsia="黑体"/>
          <w:bCs/>
          <w:sz w:val="24"/>
          <w:szCs w:val="24"/>
        </w:rPr>
      </w:pPr>
    </w:p>
    <w:p w14:paraId="107A6228">
      <w:pPr>
        <w:spacing w:line="400" w:lineRule="exact"/>
        <w:rPr>
          <w:rFonts w:ascii="黑体" w:eastAsia="黑体"/>
          <w:bCs/>
          <w:sz w:val="24"/>
          <w:szCs w:val="24"/>
        </w:rPr>
      </w:pPr>
    </w:p>
    <w:p w14:paraId="40F3C29F">
      <w:pPr>
        <w:spacing w:line="400" w:lineRule="exact"/>
        <w:rPr>
          <w:rFonts w:ascii="黑体" w:eastAsia="黑体"/>
          <w:bCs/>
          <w:sz w:val="24"/>
          <w:szCs w:val="24"/>
        </w:rPr>
      </w:pPr>
    </w:p>
    <w:p w14:paraId="482B32A9">
      <w:pPr>
        <w:spacing w:line="400" w:lineRule="exact"/>
        <w:rPr>
          <w:rFonts w:ascii="黑体" w:eastAsia="黑体"/>
          <w:bCs/>
          <w:sz w:val="24"/>
          <w:szCs w:val="24"/>
        </w:rPr>
      </w:pPr>
    </w:p>
    <w:p w14:paraId="2E4FB811">
      <w:pPr>
        <w:spacing w:line="360" w:lineRule="auto"/>
        <w:rPr>
          <w:rFonts w:ascii="Times New Roman" w:eastAsia="宋体"/>
          <w:b/>
          <w:sz w:val="28"/>
          <w:szCs w:val="28"/>
        </w:rPr>
      </w:pPr>
      <w:r>
        <w:rPr>
          <w:rFonts w:hint="eastAsia" w:ascii="黑体" w:eastAsia="黑体"/>
          <w:bCs/>
          <w:sz w:val="24"/>
          <w:szCs w:val="24"/>
        </w:rPr>
        <w:br w:type="page" w:clear="all"/>
      </w:r>
      <w:r>
        <w:rPr>
          <w:rFonts w:hint="eastAsia"/>
          <w:b/>
          <w:sz w:val="28"/>
          <w:szCs w:val="28"/>
        </w:rPr>
        <w:t>九、分项</w:t>
      </w:r>
      <w:r>
        <w:rPr>
          <w:b/>
          <w:sz w:val="28"/>
          <w:szCs w:val="28"/>
        </w:rPr>
        <w:t>报价表</w:t>
      </w:r>
      <w:r>
        <w:rPr>
          <w:rFonts w:hint="eastAsia"/>
          <w:b/>
          <w:sz w:val="28"/>
          <w:szCs w:val="28"/>
        </w:rPr>
        <w:t>（给定格式）：</w:t>
      </w:r>
      <w:bookmarkStart w:id="158" w:name="_Toc120614284"/>
    </w:p>
    <w:p w14:paraId="5C2AE3EF">
      <w:pPr>
        <w:pBdr>
          <w:top w:val="none" w:color="000000" w:sz="0" w:space="0"/>
          <w:left w:val="none" w:color="000000" w:sz="0" w:space="0"/>
          <w:bottom w:val="none" w:color="000000" w:sz="0" w:space="0"/>
          <w:right w:val="none" w:color="000000" w:sz="0" w:space="0"/>
        </w:pBdr>
        <w:spacing w:line="400" w:lineRule="atLeast"/>
        <w:jc w:val="center"/>
        <w:rPr>
          <w:rFonts w:ascii="黑体" w:eastAsia="黑体"/>
          <w:bCs/>
          <w:sz w:val="28"/>
          <w:szCs w:val="28"/>
        </w:rPr>
      </w:pPr>
      <w:r>
        <w:rPr>
          <w:rFonts w:hint="eastAsia" w:ascii="黑体" w:eastAsia="黑体"/>
          <w:bCs/>
          <w:sz w:val="28"/>
          <w:szCs w:val="28"/>
        </w:rPr>
        <w:t>分项报价表</w:t>
      </w:r>
    </w:p>
    <w:p w14:paraId="292533C7">
      <w:pPr>
        <w:pBdr>
          <w:top w:val="none" w:color="000000" w:sz="0" w:space="0"/>
          <w:left w:val="none" w:color="000000" w:sz="0" w:space="0"/>
          <w:bottom w:val="none" w:color="000000" w:sz="0" w:space="0"/>
          <w:right w:val="none" w:color="000000" w:sz="0" w:space="0"/>
        </w:pBdr>
        <w:spacing w:line="400" w:lineRule="atLeast"/>
        <w:rPr>
          <w:rFonts w:ascii="黑体" w:hAnsi="黑体" w:eastAsia="黑体" w:cs="黑体"/>
          <w:sz w:val="24"/>
        </w:rPr>
      </w:pPr>
      <w:r>
        <w:rPr>
          <w:rFonts w:ascii="黑体" w:hAnsi="黑体" w:eastAsia="黑体" w:cs="黑体"/>
          <w:sz w:val="24"/>
        </w:rPr>
        <w:t>项目编号：</w:t>
      </w:r>
    </w:p>
    <w:tbl>
      <w:tblPr>
        <w:tblStyle w:val="46"/>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985"/>
        <w:gridCol w:w="992"/>
        <w:gridCol w:w="1412"/>
        <w:gridCol w:w="1134"/>
        <w:gridCol w:w="1134"/>
        <w:gridCol w:w="1842"/>
      </w:tblGrid>
      <w:tr w14:paraId="79F2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42F034E3">
            <w:pPr>
              <w:jc w:val="center"/>
              <w:rPr>
                <w:rFonts w:ascii="宋体" w:hAnsi="宋体"/>
                <w:b/>
                <w:sz w:val="18"/>
                <w:szCs w:val="18"/>
              </w:rPr>
            </w:pPr>
            <w:r>
              <w:rPr>
                <w:rFonts w:hint="eastAsia" w:ascii="宋体" w:hAnsi="宋体"/>
                <w:b/>
                <w:sz w:val="18"/>
                <w:szCs w:val="18"/>
              </w:rPr>
              <w:t>序号</w:t>
            </w:r>
          </w:p>
        </w:tc>
        <w:tc>
          <w:tcPr>
            <w:tcW w:w="1985" w:type="dxa"/>
            <w:noWrap/>
            <w:vAlign w:val="center"/>
          </w:tcPr>
          <w:p w14:paraId="0C608101">
            <w:pPr>
              <w:jc w:val="center"/>
              <w:rPr>
                <w:rFonts w:ascii="宋体" w:hAnsi="宋体"/>
                <w:b/>
                <w:sz w:val="18"/>
                <w:szCs w:val="18"/>
              </w:rPr>
            </w:pPr>
            <w:r>
              <w:rPr>
                <w:rFonts w:hint="eastAsia" w:ascii="宋体" w:hAnsi="宋体"/>
                <w:b/>
                <w:sz w:val="18"/>
                <w:szCs w:val="18"/>
              </w:rPr>
              <w:t>项目名称</w:t>
            </w:r>
          </w:p>
        </w:tc>
        <w:tc>
          <w:tcPr>
            <w:tcW w:w="992" w:type="dxa"/>
            <w:noWrap/>
            <w:vAlign w:val="center"/>
          </w:tcPr>
          <w:p w14:paraId="3A8D3F43">
            <w:pPr>
              <w:jc w:val="center"/>
              <w:rPr>
                <w:rFonts w:ascii="宋体" w:hAnsi="宋体"/>
                <w:b/>
                <w:sz w:val="18"/>
                <w:szCs w:val="18"/>
              </w:rPr>
            </w:pPr>
            <w:r>
              <w:rPr>
                <w:rFonts w:hint="eastAsia" w:ascii="宋体" w:hAnsi="宋体"/>
                <w:b/>
                <w:sz w:val="18"/>
                <w:szCs w:val="18"/>
              </w:rPr>
              <w:t>人数配置</w:t>
            </w:r>
          </w:p>
        </w:tc>
        <w:tc>
          <w:tcPr>
            <w:tcW w:w="1412" w:type="dxa"/>
            <w:noWrap/>
            <w:vAlign w:val="center"/>
          </w:tcPr>
          <w:p w14:paraId="1B0CCBC5">
            <w:pPr>
              <w:jc w:val="center"/>
              <w:rPr>
                <w:rFonts w:ascii="宋体" w:hAnsi="宋体"/>
                <w:b/>
                <w:sz w:val="18"/>
                <w:szCs w:val="18"/>
              </w:rPr>
            </w:pPr>
            <w:r>
              <w:rPr>
                <w:rFonts w:hint="eastAsia" w:ascii="宋体" w:hAnsi="宋体"/>
                <w:b/>
                <w:sz w:val="18"/>
                <w:szCs w:val="18"/>
              </w:rPr>
              <w:t>人员费用标准</w:t>
            </w:r>
          </w:p>
          <w:p w14:paraId="7019B594">
            <w:pPr>
              <w:jc w:val="center"/>
              <w:rPr>
                <w:rFonts w:ascii="宋体" w:hAnsi="宋体"/>
                <w:b/>
                <w:sz w:val="18"/>
                <w:szCs w:val="18"/>
              </w:rPr>
            </w:pPr>
            <w:r>
              <w:rPr>
                <w:rFonts w:hint="eastAsia" w:ascii="宋体" w:hAnsi="宋体"/>
                <w:b/>
                <w:sz w:val="18"/>
                <w:szCs w:val="18"/>
              </w:rPr>
              <w:t>（元/月）</w:t>
            </w:r>
          </w:p>
        </w:tc>
        <w:tc>
          <w:tcPr>
            <w:tcW w:w="1134" w:type="dxa"/>
            <w:noWrap/>
            <w:vAlign w:val="center"/>
          </w:tcPr>
          <w:p w14:paraId="0BB1E5C3">
            <w:pPr>
              <w:jc w:val="center"/>
              <w:rPr>
                <w:rFonts w:ascii="宋体" w:hAnsi="宋体"/>
                <w:b/>
                <w:sz w:val="18"/>
                <w:szCs w:val="18"/>
              </w:rPr>
            </w:pPr>
            <w:r>
              <w:rPr>
                <w:rFonts w:hint="eastAsia" w:ascii="宋体" w:hAnsi="宋体"/>
                <w:b/>
                <w:sz w:val="18"/>
                <w:szCs w:val="18"/>
              </w:rPr>
              <w:t>合计费用</w:t>
            </w:r>
          </w:p>
          <w:p w14:paraId="60E9316E">
            <w:pPr>
              <w:jc w:val="center"/>
              <w:rPr>
                <w:rFonts w:ascii="宋体" w:hAnsi="宋体"/>
                <w:b/>
                <w:sz w:val="18"/>
                <w:szCs w:val="18"/>
              </w:rPr>
            </w:pPr>
            <w:r>
              <w:rPr>
                <w:rFonts w:hint="eastAsia" w:ascii="宋体" w:hAnsi="宋体"/>
                <w:b/>
                <w:sz w:val="18"/>
                <w:szCs w:val="18"/>
              </w:rPr>
              <w:t>（元/月）</w:t>
            </w:r>
          </w:p>
        </w:tc>
        <w:tc>
          <w:tcPr>
            <w:tcW w:w="1134" w:type="dxa"/>
            <w:noWrap/>
            <w:vAlign w:val="center"/>
          </w:tcPr>
          <w:p w14:paraId="6198EFFC">
            <w:pPr>
              <w:jc w:val="center"/>
              <w:rPr>
                <w:rFonts w:ascii="宋体" w:hAnsi="宋体"/>
                <w:b/>
                <w:sz w:val="18"/>
                <w:szCs w:val="18"/>
              </w:rPr>
            </w:pPr>
            <w:r>
              <w:rPr>
                <w:rFonts w:hint="eastAsia" w:ascii="宋体" w:hAnsi="宋体"/>
                <w:b/>
                <w:sz w:val="18"/>
                <w:szCs w:val="18"/>
              </w:rPr>
              <w:t>合计费用</w:t>
            </w:r>
          </w:p>
          <w:p w14:paraId="6A675FCE">
            <w:pPr>
              <w:jc w:val="center"/>
              <w:rPr>
                <w:rFonts w:ascii="宋体" w:hAnsi="宋体"/>
                <w:b/>
                <w:sz w:val="18"/>
                <w:szCs w:val="18"/>
              </w:rPr>
            </w:pPr>
            <w:r>
              <w:rPr>
                <w:rFonts w:hint="eastAsia" w:ascii="宋体" w:hAnsi="宋体"/>
                <w:b/>
                <w:sz w:val="18"/>
                <w:szCs w:val="18"/>
              </w:rPr>
              <w:t>（元/年）</w:t>
            </w:r>
          </w:p>
        </w:tc>
        <w:tc>
          <w:tcPr>
            <w:tcW w:w="1842" w:type="dxa"/>
            <w:noWrap/>
            <w:vAlign w:val="center"/>
          </w:tcPr>
          <w:p w14:paraId="7A888338">
            <w:pPr>
              <w:jc w:val="center"/>
              <w:rPr>
                <w:rFonts w:ascii="宋体" w:hAnsi="宋体"/>
                <w:b/>
                <w:sz w:val="18"/>
                <w:szCs w:val="18"/>
              </w:rPr>
            </w:pPr>
            <w:r>
              <w:rPr>
                <w:rFonts w:hint="eastAsia" w:ascii="宋体" w:hAnsi="宋体"/>
                <w:b/>
                <w:sz w:val="18"/>
                <w:szCs w:val="18"/>
              </w:rPr>
              <w:t>备注</w:t>
            </w:r>
          </w:p>
        </w:tc>
      </w:tr>
      <w:tr w14:paraId="298AD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4935DDDD">
            <w:pPr>
              <w:jc w:val="center"/>
              <w:rPr>
                <w:rFonts w:hint="default"/>
                <w:lang w:val="en-US" w:eastAsia="zh-CN"/>
              </w:rPr>
            </w:pPr>
            <w:r>
              <w:rPr>
                <w:rFonts w:hint="eastAsia" w:ascii="宋体" w:hAnsi="宋体"/>
                <w:b/>
                <w:sz w:val="18"/>
                <w:szCs w:val="18"/>
                <w:lang w:val="en-US" w:eastAsia="zh-CN"/>
              </w:rPr>
              <w:t>1</w:t>
            </w:r>
          </w:p>
        </w:tc>
        <w:tc>
          <w:tcPr>
            <w:tcW w:w="1985" w:type="dxa"/>
            <w:noWrap/>
            <w:vAlign w:val="center"/>
          </w:tcPr>
          <w:p w14:paraId="3DE849F2">
            <w:pPr>
              <w:keepNext w:val="0"/>
              <w:keepLines w:val="0"/>
              <w:widowControl/>
              <w:suppressLineNumbers w:val="0"/>
              <w:jc w:val="both"/>
              <w:textAlignment w:val="center"/>
              <w:rPr>
                <w:rFonts w:ascii="宋体" w:hAnsi="宋体"/>
                <w:b/>
                <w:sz w:val="18"/>
                <w:szCs w:val="18"/>
              </w:rPr>
            </w:pPr>
            <w:r>
              <w:rPr>
                <w:rFonts w:hint="eastAsia" w:ascii="宋体" w:hAnsi="宋体" w:eastAsia="宋体" w:cs="宋体"/>
                <w:b/>
                <w:bCs/>
                <w:i w:val="0"/>
                <w:iCs w:val="0"/>
                <w:color w:val="000000"/>
                <w:kern w:val="0"/>
                <w:sz w:val="24"/>
                <w:szCs w:val="24"/>
                <w:u w:val="none"/>
                <w:lang w:val="en-US" w:eastAsia="zh-CN" w:bidi="ar"/>
              </w:rPr>
              <w:t>员工工资及福利</w:t>
            </w:r>
          </w:p>
        </w:tc>
        <w:tc>
          <w:tcPr>
            <w:tcW w:w="992" w:type="dxa"/>
            <w:noWrap/>
            <w:vAlign w:val="center"/>
          </w:tcPr>
          <w:p w14:paraId="7C160F13">
            <w:pPr>
              <w:jc w:val="center"/>
              <w:rPr>
                <w:rFonts w:ascii="宋体" w:hAnsi="宋体"/>
                <w:sz w:val="18"/>
                <w:szCs w:val="18"/>
              </w:rPr>
            </w:pPr>
          </w:p>
        </w:tc>
        <w:tc>
          <w:tcPr>
            <w:tcW w:w="1412" w:type="dxa"/>
            <w:noWrap/>
            <w:vAlign w:val="center"/>
          </w:tcPr>
          <w:p w14:paraId="1739E74E">
            <w:pPr>
              <w:jc w:val="center"/>
              <w:rPr>
                <w:rFonts w:ascii="宋体" w:hAnsi="宋体"/>
                <w:sz w:val="18"/>
                <w:szCs w:val="18"/>
              </w:rPr>
            </w:pPr>
          </w:p>
        </w:tc>
        <w:tc>
          <w:tcPr>
            <w:tcW w:w="1134" w:type="dxa"/>
            <w:noWrap/>
            <w:vAlign w:val="center"/>
          </w:tcPr>
          <w:p w14:paraId="060F39C8">
            <w:pPr>
              <w:jc w:val="center"/>
              <w:rPr>
                <w:rFonts w:ascii="宋体" w:hAnsi="宋体"/>
                <w:sz w:val="18"/>
                <w:szCs w:val="18"/>
              </w:rPr>
            </w:pPr>
          </w:p>
        </w:tc>
        <w:tc>
          <w:tcPr>
            <w:tcW w:w="1134" w:type="dxa"/>
            <w:noWrap/>
            <w:vAlign w:val="center"/>
          </w:tcPr>
          <w:p w14:paraId="5642EEC5">
            <w:pPr>
              <w:jc w:val="center"/>
              <w:rPr>
                <w:rFonts w:ascii="宋体" w:hAnsi="宋体"/>
                <w:sz w:val="18"/>
                <w:szCs w:val="18"/>
              </w:rPr>
            </w:pPr>
          </w:p>
        </w:tc>
        <w:tc>
          <w:tcPr>
            <w:tcW w:w="1842" w:type="dxa"/>
            <w:noWrap/>
            <w:vAlign w:val="center"/>
          </w:tcPr>
          <w:p w14:paraId="1DBD7049">
            <w:pPr>
              <w:rPr>
                <w:rFonts w:ascii="宋体" w:hAnsi="宋体"/>
                <w:sz w:val="18"/>
                <w:szCs w:val="18"/>
              </w:rPr>
            </w:pPr>
          </w:p>
        </w:tc>
      </w:tr>
      <w:tr w14:paraId="2C88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112BC5C3">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2</w:t>
            </w:r>
          </w:p>
        </w:tc>
        <w:tc>
          <w:tcPr>
            <w:tcW w:w="1985" w:type="dxa"/>
            <w:noWrap/>
            <w:vAlign w:val="center"/>
          </w:tcPr>
          <w:p w14:paraId="52CFF874">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项目经理兼保洁</w:t>
            </w:r>
          </w:p>
        </w:tc>
        <w:tc>
          <w:tcPr>
            <w:tcW w:w="992" w:type="dxa"/>
            <w:noWrap/>
            <w:vAlign w:val="center"/>
          </w:tcPr>
          <w:p w14:paraId="687BF631">
            <w:pPr>
              <w:jc w:val="center"/>
              <w:rPr>
                <w:rFonts w:ascii="宋体" w:hAnsi="宋体"/>
                <w:sz w:val="18"/>
                <w:szCs w:val="18"/>
              </w:rPr>
            </w:pPr>
          </w:p>
        </w:tc>
        <w:tc>
          <w:tcPr>
            <w:tcW w:w="1412" w:type="dxa"/>
            <w:noWrap/>
            <w:vAlign w:val="center"/>
          </w:tcPr>
          <w:p w14:paraId="2CD0F5C0">
            <w:pPr>
              <w:jc w:val="center"/>
              <w:rPr>
                <w:rFonts w:ascii="宋体" w:hAnsi="宋体"/>
                <w:sz w:val="18"/>
                <w:szCs w:val="18"/>
              </w:rPr>
            </w:pPr>
          </w:p>
        </w:tc>
        <w:tc>
          <w:tcPr>
            <w:tcW w:w="1134" w:type="dxa"/>
            <w:noWrap/>
            <w:vAlign w:val="center"/>
          </w:tcPr>
          <w:p w14:paraId="04FFBA03">
            <w:pPr>
              <w:jc w:val="center"/>
              <w:rPr>
                <w:rFonts w:ascii="宋体" w:hAnsi="宋体"/>
                <w:sz w:val="18"/>
                <w:szCs w:val="18"/>
              </w:rPr>
            </w:pPr>
          </w:p>
        </w:tc>
        <w:tc>
          <w:tcPr>
            <w:tcW w:w="1134" w:type="dxa"/>
            <w:noWrap/>
            <w:vAlign w:val="center"/>
          </w:tcPr>
          <w:p w14:paraId="6E611030">
            <w:pPr>
              <w:jc w:val="center"/>
              <w:rPr>
                <w:rFonts w:ascii="宋体" w:hAnsi="宋体"/>
                <w:sz w:val="18"/>
                <w:szCs w:val="18"/>
              </w:rPr>
            </w:pPr>
          </w:p>
        </w:tc>
        <w:tc>
          <w:tcPr>
            <w:tcW w:w="1842" w:type="dxa"/>
            <w:noWrap/>
            <w:vAlign w:val="center"/>
          </w:tcPr>
          <w:p w14:paraId="44509C0C">
            <w:pPr>
              <w:jc w:val="center"/>
              <w:rPr>
                <w:rFonts w:ascii="宋体" w:hAnsi="宋体"/>
                <w:sz w:val="18"/>
                <w:szCs w:val="18"/>
              </w:rPr>
            </w:pPr>
          </w:p>
        </w:tc>
      </w:tr>
      <w:tr w14:paraId="3699F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00B7DB9A">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1985" w:type="dxa"/>
            <w:noWrap/>
            <w:vAlign w:val="center"/>
          </w:tcPr>
          <w:p w14:paraId="64DD0E68">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保安队长</w:t>
            </w:r>
          </w:p>
        </w:tc>
        <w:tc>
          <w:tcPr>
            <w:tcW w:w="992" w:type="dxa"/>
            <w:noWrap/>
            <w:vAlign w:val="center"/>
          </w:tcPr>
          <w:p w14:paraId="50EA5FE3">
            <w:pPr>
              <w:jc w:val="center"/>
              <w:rPr>
                <w:rFonts w:ascii="宋体" w:hAnsi="宋体"/>
                <w:sz w:val="18"/>
                <w:szCs w:val="18"/>
              </w:rPr>
            </w:pPr>
          </w:p>
        </w:tc>
        <w:tc>
          <w:tcPr>
            <w:tcW w:w="1412" w:type="dxa"/>
            <w:noWrap/>
            <w:vAlign w:val="center"/>
          </w:tcPr>
          <w:p w14:paraId="0C3CA79A">
            <w:pPr>
              <w:jc w:val="center"/>
              <w:rPr>
                <w:rFonts w:ascii="宋体" w:hAnsi="宋体"/>
                <w:sz w:val="18"/>
                <w:szCs w:val="18"/>
              </w:rPr>
            </w:pPr>
          </w:p>
        </w:tc>
        <w:tc>
          <w:tcPr>
            <w:tcW w:w="1134" w:type="dxa"/>
            <w:noWrap/>
            <w:vAlign w:val="center"/>
          </w:tcPr>
          <w:p w14:paraId="346CEBDB">
            <w:pPr>
              <w:jc w:val="center"/>
              <w:rPr>
                <w:rFonts w:ascii="宋体" w:hAnsi="宋体"/>
                <w:sz w:val="18"/>
                <w:szCs w:val="18"/>
              </w:rPr>
            </w:pPr>
          </w:p>
        </w:tc>
        <w:tc>
          <w:tcPr>
            <w:tcW w:w="1134" w:type="dxa"/>
            <w:noWrap/>
            <w:vAlign w:val="center"/>
          </w:tcPr>
          <w:p w14:paraId="0601317F">
            <w:pPr>
              <w:jc w:val="center"/>
              <w:rPr>
                <w:rFonts w:ascii="宋体" w:hAnsi="宋体"/>
                <w:sz w:val="18"/>
                <w:szCs w:val="18"/>
              </w:rPr>
            </w:pPr>
          </w:p>
        </w:tc>
        <w:tc>
          <w:tcPr>
            <w:tcW w:w="1842" w:type="dxa"/>
            <w:noWrap/>
            <w:vAlign w:val="center"/>
          </w:tcPr>
          <w:p w14:paraId="207D8FF0">
            <w:pPr>
              <w:rPr>
                <w:rFonts w:ascii="宋体" w:hAnsi="宋体"/>
                <w:sz w:val="18"/>
                <w:szCs w:val="18"/>
              </w:rPr>
            </w:pPr>
          </w:p>
        </w:tc>
      </w:tr>
      <w:tr w14:paraId="6B74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170F2532">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4</w:t>
            </w:r>
          </w:p>
        </w:tc>
        <w:tc>
          <w:tcPr>
            <w:tcW w:w="1985" w:type="dxa"/>
            <w:noWrap/>
            <w:vAlign w:val="center"/>
          </w:tcPr>
          <w:p w14:paraId="575A8C01">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保安</w:t>
            </w:r>
          </w:p>
        </w:tc>
        <w:tc>
          <w:tcPr>
            <w:tcW w:w="992" w:type="dxa"/>
            <w:noWrap/>
            <w:vAlign w:val="center"/>
          </w:tcPr>
          <w:p w14:paraId="025EBCE5">
            <w:pPr>
              <w:jc w:val="center"/>
              <w:rPr>
                <w:rFonts w:ascii="宋体" w:hAnsi="宋体"/>
                <w:sz w:val="18"/>
                <w:szCs w:val="18"/>
              </w:rPr>
            </w:pPr>
          </w:p>
        </w:tc>
        <w:tc>
          <w:tcPr>
            <w:tcW w:w="1412" w:type="dxa"/>
            <w:noWrap/>
            <w:vAlign w:val="center"/>
          </w:tcPr>
          <w:p w14:paraId="22D7E0B5">
            <w:pPr>
              <w:jc w:val="center"/>
              <w:rPr>
                <w:rFonts w:ascii="宋体" w:hAnsi="宋体"/>
                <w:sz w:val="18"/>
                <w:szCs w:val="18"/>
              </w:rPr>
            </w:pPr>
          </w:p>
        </w:tc>
        <w:tc>
          <w:tcPr>
            <w:tcW w:w="1134" w:type="dxa"/>
            <w:noWrap/>
            <w:vAlign w:val="center"/>
          </w:tcPr>
          <w:p w14:paraId="0DA6F55E">
            <w:pPr>
              <w:jc w:val="center"/>
              <w:rPr>
                <w:rFonts w:ascii="宋体" w:hAnsi="宋体"/>
                <w:sz w:val="18"/>
                <w:szCs w:val="18"/>
              </w:rPr>
            </w:pPr>
          </w:p>
        </w:tc>
        <w:tc>
          <w:tcPr>
            <w:tcW w:w="1134" w:type="dxa"/>
            <w:noWrap/>
            <w:vAlign w:val="center"/>
          </w:tcPr>
          <w:p w14:paraId="5FF4605F">
            <w:pPr>
              <w:jc w:val="center"/>
              <w:rPr>
                <w:rFonts w:ascii="宋体" w:hAnsi="宋体"/>
                <w:sz w:val="18"/>
                <w:szCs w:val="18"/>
              </w:rPr>
            </w:pPr>
          </w:p>
        </w:tc>
        <w:tc>
          <w:tcPr>
            <w:tcW w:w="1842" w:type="dxa"/>
            <w:noWrap/>
          </w:tcPr>
          <w:p w14:paraId="6EB77BF2"/>
        </w:tc>
      </w:tr>
      <w:tr w14:paraId="49A4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36DDE1F6">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5</w:t>
            </w:r>
          </w:p>
        </w:tc>
        <w:tc>
          <w:tcPr>
            <w:tcW w:w="1985" w:type="dxa"/>
            <w:noWrap/>
            <w:vAlign w:val="center"/>
          </w:tcPr>
          <w:p w14:paraId="6737A694">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保洁领班</w:t>
            </w:r>
          </w:p>
        </w:tc>
        <w:tc>
          <w:tcPr>
            <w:tcW w:w="992" w:type="dxa"/>
            <w:noWrap/>
            <w:vAlign w:val="center"/>
          </w:tcPr>
          <w:p w14:paraId="577386F2">
            <w:pPr>
              <w:jc w:val="center"/>
              <w:rPr>
                <w:rFonts w:ascii="宋体" w:hAnsi="宋体"/>
                <w:sz w:val="18"/>
                <w:szCs w:val="18"/>
              </w:rPr>
            </w:pPr>
          </w:p>
        </w:tc>
        <w:tc>
          <w:tcPr>
            <w:tcW w:w="1412" w:type="dxa"/>
            <w:noWrap/>
            <w:vAlign w:val="center"/>
          </w:tcPr>
          <w:p w14:paraId="66BA8ED6">
            <w:pPr>
              <w:jc w:val="center"/>
              <w:rPr>
                <w:rFonts w:ascii="宋体" w:hAnsi="宋体"/>
                <w:sz w:val="18"/>
                <w:szCs w:val="18"/>
              </w:rPr>
            </w:pPr>
          </w:p>
        </w:tc>
        <w:tc>
          <w:tcPr>
            <w:tcW w:w="1134" w:type="dxa"/>
            <w:noWrap/>
            <w:vAlign w:val="center"/>
          </w:tcPr>
          <w:p w14:paraId="4471B55A">
            <w:pPr>
              <w:jc w:val="center"/>
              <w:rPr>
                <w:rFonts w:ascii="宋体" w:hAnsi="宋体"/>
                <w:sz w:val="18"/>
                <w:szCs w:val="18"/>
              </w:rPr>
            </w:pPr>
          </w:p>
        </w:tc>
        <w:tc>
          <w:tcPr>
            <w:tcW w:w="1134" w:type="dxa"/>
            <w:noWrap/>
            <w:vAlign w:val="center"/>
          </w:tcPr>
          <w:p w14:paraId="664BA9E9">
            <w:pPr>
              <w:jc w:val="center"/>
              <w:rPr>
                <w:rFonts w:ascii="宋体" w:hAnsi="宋体"/>
                <w:sz w:val="18"/>
                <w:szCs w:val="18"/>
              </w:rPr>
            </w:pPr>
          </w:p>
        </w:tc>
        <w:tc>
          <w:tcPr>
            <w:tcW w:w="1842" w:type="dxa"/>
            <w:noWrap/>
          </w:tcPr>
          <w:p w14:paraId="60AE51D5"/>
        </w:tc>
      </w:tr>
      <w:tr w14:paraId="5979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13CCC679">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6</w:t>
            </w:r>
          </w:p>
        </w:tc>
        <w:tc>
          <w:tcPr>
            <w:tcW w:w="1985" w:type="dxa"/>
            <w:noWrap/>
            <w:vAlign w:val="center"/>
          </w:tcPr>
          <w:p w14:paraId="2D529D6C">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保洁员</w:t>
            </w:r>
          </w:p>
        </w:tc>
        <w:tc>
          <w:tcPr>
            <w:tcW w:w="992" w:type="dxa"/>
            <w:noWrap/>
            <w:vAlign w:val="center"/>
          </w:tcPr>
          <w:p w14:paraId="7805B1A2">
            <w:pPr>
              <w:jc w:val="center"/>
              <w:rPr>
                <w:rFonts w:ascii="宋体" w:hAnsi="宋体"/>
                <w:sz w:val="18"/>
                <w:szCs w:val="18"/>
              </w:rPr>
            </w:pPr>
          </w:p>
        </w:tc>
        <w:tc>
          <w:tcPr>
            <w:tcW w:w="1412" w:type="dxa"/>
            <w:noWrap/>
            <w:vAlign w:val="center"/>
          </w:tcPr>
          <w:p w14:paraId="77DFCE19">
            <w:pPr>
              <w:jc w:val="center"/>
              <w:rPr>
                <w:rFonts w:ascii="宋体" w:hAnsi="宋体"/>
                <w:sz w:val="18"/>
                <w:szCs w:val="18"/>
              </w:rPr>
            </w:pPr>
          </w:p>
        </w:tc>
        <w:tc>
          <w:tcPr>
            <w:tcW w:w="1134" w:type="dxa"/>
            <w:noWrap/>
            <w:vAlign w:val="center"/>
          </w:tcPr>
          <w:p w14:paraId="3BCC1F80">
            <w:pPr>
              <w:jc w:val="center"/>
              <w:rPr>
                <w:rFonts w:ascii="宋体" w:hAnsi="宋体"/>
                <w:sz w:val="18"/>
                <w:szCs w:val="18"/>
              </w:rPr>
            </w:pPr>
          </w:p>
        </w:tc>
        <w:tc>
          <w:tcPr>
            <w:tcW w:w="1134" w:type="dxa"/>
            <w:noWrap/>
            <w:vAlign w:val="center"/>
          </w:tcPr>
          <w:p w14:paraId="7D5E0A5C">
            <w:pPr>
              <w:jc w:val="center"/>
              <w:rPr>
                <w:rFonts w:ascii="宋体" w:hAnsi="宋体"/>
                <w:sz w:val="18"/>
                <w:szCs w:val="18"/>
              </w:rPr>
            </w:pPr>
          </w:p>
        </w:tc>
        <w:tc>
          <w:tcPr>
            <w:tcW w:w="1842" w:type="dxa"/>
            <w:noWrap/>
          </w:tcPr>
          <w:p w14:paraId="11DA6D7B"/>
        </w:tc>
      </w:tr>
      <w:tr w14:paraId="1C01A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45E6A972">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7</w:t>
            </w:r>
          </w:p>
        </w:tc>
        <w:tc>
          <w:tcPr>
            <w:tcW w:w="1985" w:type="dxa"/>
            <w:noWrap/>
            <w:vAlign w:val="center"/>
          </w:tcPr>
          <w:p w14:paraId="5C51DBB2">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法定节假日加班工资</w:t>
            </w:r>
          </w:p>
        </w:tc>
        <w:tc>
          <w:tcPr>
            <w:tcW w:w="992" w:type="dxa"/>
            <w:noWrap/>
            <w:vAlign w:val="center"/>
          </w:tcPr>
          <w:p w14:paraId="798F74AA">
            <w:pPr>
              <w:jc w:val="center"/>
              <w:rPr>
                <w:rFonts w:ascii="宋体" w:hAnsi="宋体"/>
                <w:sz w:val="18"/>
                <w:szCs w:val="18"/>
              </w:rPr>
            </w:pPr>
          </w:p>
        </w:tc>
        <w:tc>
          <w:tcPr>
            <w:tcW w:w="1412" w:type="dxa"/>
            <w:noWrap/>
            <w:vAlign w:val="center"/>
          </w:tcPr>
          <w:p w14:paraId="5F31C4DB">
            <w:pPr>
              <w:jc w:val="center"/>
              <w:rPr>
                <w:rFonts w:ascii="宋体" w:hAnsi="宋体"/>
                <w:sz w:val="18"/>
                <w:szCs w:val="18"/>
              </w:rPr>
            </w:pPr>
          </w:p>
        </w:tc>
        <w:tc>
          <w:tcPr>
            <w:tcW w:w="1134" w:type="dxa"/>
            <w:noWrap/>
            <w:vAlign w:val="center"/>
          </w:tcPr>
          <w:p w14:paraId="2304E1A7">
            <w:pPr>
              <w:jc w:val="center"/>
              <w:rPr>
                <w:rFonts w:ascii="宋体" w:hAnsi="宋体"/>
                <w:sz w:val="18"/>
                <w:szCs w:val="18"/>
              </w:rPr>
            </w:pPr>
          </w:p>
        </w:tc>
        <w:tc>
          <w:tcPr>
            <w:tcW w:w="1134" w:type="dxa"/>
            <w:noWrap/>
            <w:vAlign w:val="center"/>
          </w:tcPr>
          <w:p w14:paraId="1A42B402">
            <w:pPr>
              <w:jc w:val="center"/>
              <w:rPr>
                <w:rFonts w:ascii="宋体" w:hAnsi="宋体"/>
                <w:sz w:val="18"/>
                <w:szCs w:val="18"/>
              </w:rPr>
            </w:pPr>
          </w:p>
        </w:tc>
        <w:tc>
          <w:tcPr>
            <w:tcW w:w="1842" w:type="dxa"/>
            <w:noWrap/>
          </w:tcPr>
          <w:p w14:paraId="337C8AD9"/>
        </w:tc>
      </w:tr>
      <w:tr w14:paraId="06855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36C66089">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8</w:t>
            </w:r>
          </w:p>
        </w:tc>
        <w:tc>
          <w:tcPr>
            <w:tcW w:w="1985" w:type="dxa"/>
            <w:noWrap/>
            <w:vAlign w:val="center"/>
          </w:tcPr>
          <w:p w14:paraId="09A0A7C4">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员工人身意外保险费</w:t>
            </w:r>
          </w:p>
        </w:tc>
        <w:tc>
          <w:tcPr>
            <w:tcW w:w="992" w:type="dxa"/>
            <w:noWrap/>
            <w:vAlign w:val="center"/>
          </w:tcPr>
          <w:p w14:paraId="65BB593C">
            <w:pPr>
              <w:jc w:val="center"/>
              <w:rPr>
                <w:rFonts w:ascii="宋体" w:hAnsi="宋体"/>
                <w:sz w:val="18"/>
                <w:szCs w:val="18"/>
              </w:rPr>
            </w:pPr>
          </w:p>
        </w:tc>
        <w:tc>
          <w:tcPr>
            <w:tcW w:w="1412" w:type="dxa"/>
            <w:noWrap/>
            <w:vAlign w:val="center"/>
          </w:tcPr>
          <w:p w14:paraId="34DAF0A2">
            <w:pPr>
              <w:jc w:val="center"/>
              <w:rPr>
                <w:rFonts w:ascii="宋体" w:hAnsi="宋体"/>
                <w:sz w:val="18"/>
                <w:szCs w:val="18"/>
              </w:rPr>
            </w:pPr>
          </w:p>
        </w:tc>
        <w:tc>
          <w:tcPr>
            <w:tcW w:w="1134" w:type="dxa"/>
            <w:noWrap/>
            <w:vAlign w:val="center"/>
          </w:tcPr>
          <w:p w14:paraId="3B7D3853">
            <w:pPr>
              <w:jc w:val="center"/>
              <w:rPr>
                <w:rFonts w:ascii="宋体" w:hAnsi="宋体"/>
                <w:sz w:val="18"/>
                <w:szCs w:val="18"/>
              </w:rPr>
            </w:pPr>
          </w:p>
        </w:tc>
        <w:tc>
          <w:tcPr>
            <w:tcW w:w="1134" w:type="dxa"/>
            <w:noWrap/>
            <w:vAlign w:val="center"/>
          </w:tcPr>
          <w:p w14:paraId="3921140E">
            <w:pPr>
              <w:jc w:val="center"/>
              <w:rPr>
                <w:rFonts w:ascii="宋体" w:hAnsi="宋体"/>
                <w:sz w:val="18"/>
                <w:szCs w:val="18"/>
              </w:rPr>
            </w:pPr>
          </w:p>
        </w:tc>
        <w:tc>
          <w:tcPr>
            <w:tcW w:w="1842" w:type="dxa"/>
            <w:noWrap/>
          </w:tcPr>
          <w:p w14:paraId="1C41143E"/>
        </w:tc>
      </w:tr>
      <w:tr w14:paraId="1C238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201F988F">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9</w:t>
            </w:r>
          </w:p>
        </w:tc>
        <w:tc>
          <w:tcPr>
            <w:tcW w:w="1985" w:type="dxa"/>
            <w:noWrap/>
            <w:vAlign w:val="center"/>
          </w:tcPr>
          <w:p w14:paraId="2D680E52">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高温费</w:t>
            </w:r>
          </w:p>
        </w:tc>
        <w:tc>
          <w:tcPr>
            <w:tcW w:w="992" w:type="dxa"/>
            <w:noWrap/>
            <w:vAlign w:val="center"/>
          </w:tcPr>
          <w:p w14:paraId="29066FA2">
            <w:pPr>
              <w:jc w:val="center"/>
              <w:rPr>
                <w:rFonts w:ascii="宋体" w:hAnsi="宋体"/>
                <w:sz w:val="18"/>
                <w:szCs w:val="18"/>
              </w:rPr>
            </w:pPr>
          </w:p>
        </w:tc>
        <w:tc>
          <w:tcPr>
            <w:tcW w:w="1412" w:type="dxa"/>
            <w:noWrap/>
            <w:vAlign w:val="center"/>
          </w:tcPr>
          <w:p w14:paraId="676ECC1C">
            <w:pPr>
              <w:jc w:val="center"/>
              <w:rPr>
                <w:rFonts w:ascii="宋体" w:hAnsi="宋体"/>
                <w:sz w:val="18"/>
                <w:szCs w:val="18"/>
              </w:rPr>
            </w:pPr>
          </w:p>
        </w:tc>
        <w:tc>
          <w:tcPr>
            <w:tcW w:w="1134" w:type="dxa"/>
            <w:noWrap/>
            <w:vAlign w:val="center"/>
          </w:tcPr>
          <w:p w14:paraId="7C418075">
            <w:pPr>
              <w:jc w:val="center"/>
              <w:rPr>
                <w:rFonts w:ascii="宋体" w:hAnsi="宋体"/>
                <w:sz w:val="18"/>
                <w:szCs w:val="18"/>
              </w:rPr>
            </w:pPr>
          </w:p>
        </w:tc>
        <w:tc>
          <w:tcPr>
            <w:tcW w:w="1134" w:type="dxa"/>
            <w:noWrap/>
            <w:vAlign w:val="center"/>
          </w:tcPr>
          <w:p w14:paraId="7B53D353">
            <w:pPr>
              <w:jc w:val="center"/>
              <w:rPr>
                <w:rFonts w:ascii="宋体" w:hAnsi="宋体"/>
                <w:sz w:val="18"/>
                <w:szCs w:val="18"/>
              </w:rPr>
            </w:pPr>
          </w:p>
        </w:tc>
        <w:tc>
          <w:tcPr>
            <w:tcW w:w="1842" w:type="dxa"/>
            <w:noWrap/>
          </w:tcPr>
          <w:p w14:paraId="13111578">
            <w:pPr>
              <w:jc w:val="center"/>
            </w:pPr>
          </w:p>
        </w:tc>
      </w:tr>
      <w:tr w14:paraId="3F0FF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3E0D70FD">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10</w:t>
            </w:r>
          </w:p>
        </w:tc>
        <w:tc>
          <w:tcPr>
            <w:tcW w:w="1985" w:type="dxa"/>
            <w:noWrap/>
            <w:vAlign w:val="center"/>
          </w:tcPr>
          <w:p w14:paraId="5D876010">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福利费</w:t>
            </w:r>
          </w:p>
        </w:tc>
        <w:tc>
          <w:tcPr>
            <w:tcW w:w="992" w:type="dxa"/>
            <w:noWrap/>
            <w:vAlign w:val="center"/>
          </w:tcPr>
          <w:p w14:paraId="2175EA50">
            <w:pPr>
              <w:jc w:val="center"/>
              <w:rPr>
                <w:rFonts w:ascii="宋体" w:hAnsi="宋体"/>
                <w:sz w:val="18"/>
                <w:szCs w:val="18"/>
              </w:rPr>
            </w:pPr>
          </w:p>
        </w:tc>
        <w:tc>
          <w:tcPr>
            <w:tcW w:w="1412" w:type="dxa"/>
            <w:noWrap/>
            <w:vAlign w:val="center"/>
          </w:tcPr>
          <w:p w14:paraId="7D58D3D6">
            <w:pPr>
              <w:jc w:val="center"/>
              <w:rPr>
                <w:rFonts w:ascii="宋体" w:hAnsi="宋体"/>
                <w:sz w:val="18"/>
                <w:szCs w:val="18"/>
              </w:rPr>
            </w:pPr>
          </w:p>
        </w:tc>
        <w:tc>
          <w:tcPr>
            <w:tcW w:w="1134" w:type="dxa"/>
            <w:noWrap/>
            <w:vAlign w:val="center"/>
          </w:tcPr>
          <w:p w14:paraId="5E8E96AD">
            <w:pPr>
              <w:jc w:val="center"/>
              <w:rPr>
                <w:rFonts w:ascii="宋体" w:hAnsi="宋体"/>
                <w:sz w:val="18"/>
                <w:szCs w:val="18"/>
              </w:rPr>
            </w:pPr>
          </w:p>
        </w:tc>
        <w:tc>
          <w:tcPr>
            <w:tcW w:w="1134" w:type="dxa"/>
            <w:noWrap/>
            <w:vAlign w:val="center"/>
          </w:tcPr>
          <w:p w14:paraId="34DDE41A">
            <w:pPr>
              <w:jc w:val="center"/>
              <w:rPr>
                <w:rFonts w:ascii="宋体" w:hAnsi="宋体"/>
                <w:sz w:val="18"/>
                <w:szCs w:val="18"/>
              </w:rPr>
            </w:pPr>
          </w:p>
        </w:tc>
        <w:tc>
          <w:tcPr>
            <w:tcW w:w="1842" w:type="dxa"/>
            <w:noWrap/>
          </w:tcPr>
          <w:p w14:paraId="38338AB9"/>
        </w:tc>
      </w:tr>
      <w:tr w14:paraId="09E6B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792B0C0E">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11</w:t>
            </w:r>
          </w:p>
        </w:tc>
        <w:tc>
          <w:tcPr>
            <w:tcW w:w="1985" w:type="dxa"/>
            <w:noWrap/>
            <w:vAlign w:val="center"/>
          </w:tcPr>
          <w:p w14:paraId="0B40316F">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年终奖</w:t>
            </w:r>
          </w:p>
        </w:tc>
        <w:tc>
          <w:tcPr>
            <w:tcW w:w="992" w:type="dxa"/>
            <w:noWrap/>
            <w:vAlign w:val="center"/>
          </w:tcPr>
          <w:p w14:paraId="5EA17802">
            <w:pPr>
              <w:jc w:val="center"/>
              <w:rPr>
                <w:rFonts w:ascii="宋体" w:hAnsi="宋体"/>
                <w:sz w:val="18"/>
                <w:szCs w:val="18"/>
              </w:rPr>
            </w:pPr>
          </w:p>
        </w:tc>
        <w:tc>
          <w:tcPr>
            <w:tcW w:w="1412" w:type="dxa"/>
            <w:noWrap/>
            <w:vAlign w:val="center"/>
          </w:tcPr>
          <w:p w14:paraId="73CE22B6">
            <w:pPr>
              <w:jc w:val="center"/>
              <w:rPr>
                <w:rFonts w:ascii="宋体" w:hAnsi="宋体"/>
                <w:sz w:val="18"/>
                <w:szCs w:val="18"/>
              </w:rPr>
            </w:pPr>
          </w:p>
        </w:tc>
        <w:tc>
          <w:tcPr>
            <w:tcW w:w="1134" w:type="dxa"/>
            <w:noWrap/>
            <w:vAlign w:val="center"/>
          </w:tcPr>
          <w:p w14:paraId="6BBC2D4A">
            <w:pPr>
              <w:jc w:val="center"/>
              <w:rPr>
                <w:rFonts w:ascii="宋体" w:hAnsi="宋体"/>
                <w:sz w:val="18"/>
                <w:szCs w:val="18"/>
              </w:rPr>
            </w:pPr>
          </w:p>
        </w:tc>
        <w:tc>
          <w:tcPr>
            <w:tcW w:w="1134" w:type="dxa"/>
            <w:noWrap/>
            <w:vAlign w:val="center"/>
          </w:tcPr>
          <w:p w14:paraId="26600AD8">
            <w:pPr>
              <w:jc w:val="center"/>
              <w:rPr>
                <w:rFonts w:ascii="宋体" w:hAnsi="宋体"/>
                <w:sz w:val="18"/>
                <w:szCs w:val="18"/>
              </w:rPr>
            </w:pPr>
          </w:p>
        </w:tc>
        <w:tc>
          <w:tcPr>
            <w:tcW w:w="1842" w:type="dxa"/>
            <w:noWrap/>
          </w:tcPr>
          <w:p w14:paraId="05C7B2E7"/>
        </w:tc>
      </w:tr>
      <w:tr w14:paraId="16BF9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470F8A7C">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12</w:t>
            </w:r>
          </w:p>
        </w:tc>
        <w:tc>
          <w:tcPr>
            <w:tcW w:w="1985" w:type="dxa"/>
            <w:noWrap/>
            <w:vAlign w:val="center"/>
          </w:tcPr>
          <w:p w14:paraId="300B7620">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体检费</w:t>
            </w:r>
          </w:p>
        </w:tc>
        <w:tc>
          <w:tcPr>
            <w:tcW w:w="992" w:type="dxa"/>
            <w:noWrap/>
            <w:vAlign w:val="center"/>
          </w:tcPr>
          <w:p w14:paraId="79718D00">
            <w:pPr>
              <w:jc w:val="center"/>
              <w:rPr>
                <w:rFonts w:ascii="宋体" w:hAnsi="宋体"/>
                <w:sz w:val="18"/>
                <w:szCs w:val="18"/>
              </w:rPr>
            </w:pPr>
          </w:p>
        </w:tc>
        <w:tc>
          <w:tcPr>
            <w:tcW w:w="1412" w:type="dxa"/>
            <w:noWrap/>
            <w:vAlign w:val="center"/>
          </w:tcPr>
          <w:p w14:paraId="0847E784">
            <w:pPr>
              <w:jc w:val="center"/>
              <w:rPr>
                <w:rFonts w:ascii="宋体" w:hAnsi="宋体"/>
                <w:sz w:val="18"/>
                <w:szCs w:val="18"/>
              </w:rPr>
            </w:pPr>
          </w:p>
        </w:tc>
        <w:tc>
          <w:tcPr>
            <w:tcW w:w="1134" w:type="dxa"/>
            <w:noWrap/>
            <w:vAlign w:val="center"/>
          </w:tcPr>
          <w:p w14:paraId="052AD38B">
            <w:pPr>
              <w:jc w:val="center"/>
              <w:rPr>
                <w:rFonts w:ascii="宋体" w:hAnsi="宋体"/>
                <w:sz w:val="18"/>
                <w:szCs w:val="18"/>
              </w:rPr>
            </w:pPr>
          </w:p>
        </w:tc>
        <w:tc>
          <w:tcPr>
            <w:tcW w:w="1134" w:type="dxa"/>
            <w:noWrap/>
            <w:vAlign w:val="center"/>
          </w:tcPr>
          <w:p w14:paraId="762BF997">
            <w:pPr>
              <w:jc w:val="center"/>
              <w:rPr>
                <w:rFonts w:ascii="宋体" w:hAnsi="宋体"/>
                <w:sz w:val="18"/>
                <w:szCs w:val="18"/>
              </w:rPr>
            </w:pPr>
          </w:p>
        </w:tc>
        <w:tc>
          <w:tcPr>
            <w:tcW w:w="1842" w:type="dxa"/>
            <w:noWrap/>
          </w:tcPr>
          <w:p w14:paraId="6E2D5AC4"/>
        </w:tc>
      </w:tr>
      <w:tr w14:paraId="1756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72CD5AFF">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13</w:t>
            </w:r>
          </w:p>
        </w:tc>
        <w:tc>
          <w:tcPr>
            <w:tcW w:w="1985" w:type="dxa"/>
            <w:noWrap/>
            <w:vAlign w:val="center"/>
          </w:tcPr>
          <w:p w14:paraId="385DC088">
            <w:pPr>
              <w:keepNext w:val="0"/>
              <w:keepLines w:val="0"/>
              <w:widowControl/>
              <w:suppressLineNumbers w:val="0"/>
              <w:jc w:val="center"/>
              <w:textAlignment w:val="center"/>
              <w:rPr>
                <w:rFonts w:ascii="宋体" w:hAnsi="宋体"/>
                <w:sz w:val="18"/>
                <w:szCs w:val="18"/>
              </w:rPr>
            </w:pPr>
            <w:r>
              <w:rPr>
                <w:rFonts w:hint="eastAsia" w:ascii="宋体" w:hAnsi="宋体" w:eastAsia="宋体" w:cs="宋体"/>
                <w:b/>
                <w:bCs/>
                <w:i w:val="0"/>
                <w:iCs w:val="0"/>
                <w:color w:val="000000"/>
                <w:kern w:val="0"/>
                <w:sz w:val="24"/>
                <w:szCs w:val="24"/>
                <w:u w:val="none"/>
                <w:lang w:val="en-US" w:eastAsia="zh-CN" w:bidi="ar"/>
              </w:rPr>
              <w:t>法定计提费用</w:t>
            </w:r>
          </w:p>
        </w:tc>
        <w:tc>
          <w:tcPr>
            <w:tcW w:w="992" w:type="dxa"/>
            <w:noWrap/>
            <w:vAlign w:val="center"/>
          </w:tcPr>
          <w:p w14:paraId="136107BF">
            <w:pPr>
              <w:jc w:val="center"/>
              <w:rPr>
                <w:rFonts w:ascii="宋体" w:hAnsi="宋体"/>
                <w:sz w:val="18"/>
                <w:szCs w:val="18"/>
              </w:rPr>
            </w:pPr>
          </w:p>
        </w:tc>
        <w:tc>
          <w:tcPr>
            <w:tcW w:w="1412" w:type="dxa"/>
            <w:noWrap/>
            <w:vAlign w:val="center"/>
          </w:tcPr>
          <w:p w14:paraId="06D58439">
            <w:pPr>
              <w:jc w:val="center"/>
              <w:rPr>
                <w:rFonts w:ascii="宋体" w:hAnsi="宋体"/>
                <w:sz w:val="18"/>
                <w:szCs w:val="18"/>
              </w:rPr>
            </w:pPr>
          </w:p>
        </w:tc>
        <w:tc>
          <w:tcPr>
            <w:tcW w:w="1134" w:type="dxa"/>
            <w:noWrap/>
            <w:vAlign w:val="center"/>
          </w:tcPr>
          <w:p w14:paraId="6A91BA4F">
            <w:pPr>
              <w:jc w:val="center"/>
              <w:rPr>
                <w:rFonts w:ascii="宋体" w:hAnsi="宋体"/>
                <w:sz w:val="18"/>
                <w:szCs w:val="18"/>
              </w:rPr>
            </w:pPr>
          </w:p>
        </w:tc>
        <w:tc>
          <w:tcPr>
            <w:tcW w:w="1134" w:type="dxa"/>
            <w:noWrap/>
            <w:vAlign w:val="center"/>
          </w:tcPr>
          <w:p w14:paraId="468C70E9">
            <w:pPr>
              <w:jc w:val="center"/>
              <w:rPr>
                <w:rFonts w:ascii="宋体" w:hAnsi="宋体"/>
                <w:sz w:val="18"/>
                <w:szCs w:val="18"/>
              </w:rPr>
            </w:pPr>
          </w:p>
        </w:tc>
        <w:tc>
          <w:tcPr>
            <w:tcW w:w="1842" w:type="dxa"/>
            <w:noWrap/>
            <w:vAlign w:val="top"/>
          </w:tcPr>
          <w:p w14:paraId="7225A3F9">
            <w:pPr>
              <w:keepNext w:val="0"/>
              <w:keepLines w:val="0"/>
              <w:widowControl/>
              <w:suppressLineNumbers w:val="0"/>
              <w:jc w:val="left"/>
              <w:textAlignment w:val="top"/>
            </w:pPr>
          </w:p>
        </w:tc>
      </w:tr>
      <w:tr w14:paraId="5617D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5009FE85">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14</w:t>
            </w:r>
          </w:p>
        </w:tc>
        <w:tc>
          <w:tcPr>
            <w:tcW w:w="1985" w:type="dxa"/>
            <w:noWrap/>
            <w:vAlign w:val="center"/>
          </w:tcPr>
          <w:p w14:paraId="55CA8030">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养老保险</w:t>
            </w:r>
          </w:p>
        </w:tc>
        <w:tc>
          <w:tcPr>
            <w:tcW w:w="992" w:type="dxa"/>
            <w:noWrap/>
            <w:vAlign w:val="center"/>
          </w:tcPr>
          <w:p w14:paraId="43F2F218">
            <w:pPr>
              <w:jc w:val="center"/>
              <w:rPr>
                <w:rFonts w:ascii="宋体" w:hAnsi="宋体"/>
                <w:sz w:val="18"/>
                <w:szCs w:val="18"/>
              </w:rPr>
            </w:pPr>
          </w:p>
        </w:tc>
        <w:tc>
          <w:tcPr>
            <w:tcW w:w="1412" w:type="dxa"/>
            <w:noWrap/>
            <w:vAlign w:val="center"/>
          </w:tcPr>
          <w:p w14:paraId="49A51767">
            <w:pPr>
              <w:jc w:val="center"/>
              <w:rPr>
                <w:rFonts w:ascii="宋体" w:hAnsi="宋体"/>
                <w:sz w:val="18"/>
                <w:szCs w:val="18"/>
              </w:rPr>
            </w:pPr>
          </w:p>
        </w:tc>
        <w:tc>
          <w:tcPr>
            <w:tcW w:w="1134" w:type="dxa"/>
            <w:noWrap/>
            <w:vAlign w:val="center"/>
          </w:tcPr>
          <w:p w14:paraId="657CFAF7">
            <w:pPr>
              <w:jc w:val="center"/>
              <w:rPr>
                <w:rFonts w:ascii="宋体" w:hAnsi="宋体"/>
                <w:sz w:val="18"/>
                <w:szCs w:val="18"/>
              </w:rPr>
            </w:pPr>
          </w:p>
        </w:tc>
        <w:tc>
          <w:tcPr>
            <w:tcW w:w="1134" w:type="dxa"/>
            <w:noWrap/>
            <w:vAlign w:val="center"/>
          </w:tcPr>
          <w:p w14:paraId="321E0541">
            <w:pPr>
              <w:jc w:val="center"/>
              <w:rPr>
                <w:rFonts w:ascii="宋体" w:hAnsi="宋体"/>
                <w:sz w:val="18"/>
                <w:szCs w:val="18"/>
              </w:rPr>
            </w:pPr>
          </w:p>
        </w:tc>
        <w:tc>
          <w:tcPr>
            <w:tcW w:w="1842" w:type="dxa"/>
            <w:noWrap/>
            <w:vAlign w:val="top"/>
          </w:tcPr>
          <w:p w14:paraId="168E47EF">
            <w:pPr>
              <w:keepNext w:val="0"/>
              <w:keepLines w:val="0"/>
              <w:widowControl/>
              <w:suppressLineNumbers w:val="0"/>
              <w:jc w:val="center"/>
              <w:textAlignment w:val="top"/>
            </w:pPr>
          </w:p>
        </w:tc>
      </w:tr>
      <w:tr w14:paraId="07036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5214626F">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15</w:t>
            </w:r>
          </w:p>
        </w:tc>
        <w:tc>
          <w:tcPr>
            <w:tcW w:w="1985" w:type="dxa"/>
            <w:noWrap/>
            <w:vAlign w:val="center"/>
          </w:tcPr>
          <w:p w14:paraId="365A147C">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医疗统筹</w:t>
            </w:r>
          </w:p>
        </w:tc>
        <w:tc>
          <w:tcPr>
            <w:tcW w:w="992" w:type="dxa"/>
            <w:noWrap/>
            <w:vAlign w:val="center"/>
          </w:tcPr>
          <w:p w14:paraId="182DE3A3">
            <w:pPr>
              <w:jc w:val="center"/>
              <w:rPr>
                <w:rFonts w:ascii="宋体" w:hAnsi="宋体"/>
                <w:sz w:val="18"/>
                <w:szCs w:val="18"/>
              </w:rPr>
            </w:pPr>
          </w:p>
        </w:tc>
        <w:tc>
          <w:tcPr>
            <w:tcW w:w="1412" w:type="dxa"/>
            <w:noWrap/>
            <w:vAlign w:val="center"/>
          </w:tcPr>
          <w:p w14:paraId="013D61B4">
            <w:pPr>
              <w:jc w:val="center"/>
              <w:rPr>
                <w:rFonts w:ascii="宋体" w:hAnsi="宋体"/>
                <w:sz w:val="18"/>
                <w:szCs w:val="18"/>
              </w:rPr>
            </w:pPr>
          </w:p>
        </w:tc>
        <w:tc>
          <w:tcPr>
            <w:tcW w:w="1134" w:type="dxa"/>
            <w:noWrap/>
            <w:vAlign w:val="center"/>
          </w:tcPr>
          <w:p w14:paraId="00942396">
            <w:pPr>
              <w:jc w:val="center"/>
              <w:rPr>
                <w:rFonts w:ascii="宋体" w:hAnsi="宋体"/>
                <w:sz w:val="18"/>
                <w:szCs w:val="18"/>
              </w:rPr>
            </w:pPr>
          </w:p>
        </w:tc>
        <w:tc>
          <w:tcPr>
            <w:tcW w:w="1134" w:type="dxa"/>
            <w:noWrap/>
            <w:vAlign w:val="center"/>
          </w:tcPr>
          <w:p w14:paraId="71CB0D39">
            <w:pPr>
              <w:jc w:val="center"/>
              <w:rPr>
                <w:rFonts w:ascii="宋体" w:hAnsi="宋体"/>
                <w:sz w:val="18"/>
                <w:szCs w:val="18"/>
              </w:rPr>
            </w:pPr>
          </w:p>
        </w:tc>
        <w:tc>
          <w:tcPr>
            <w:tcW w:w="1842" w:type="dxa"/>
            <w:noWrap/>
            <w:vAlign w:val="top"/>
          </w:tcPr>
          <w:p w14:paraId="05AC6737">
            <w:pPr>
              <w:keepNext w:val="0"/>
              <w:keepLines w:val="0"/>
              <w:widowControl/>
              <w:suppressLineNumbers w:val="0"/>
              <w:jc w:val="center"/>
              <w:textAlignment w:val="top"/>
            </w:pPr>
          </w:p>
        </w:tc>
      </w:tr>
      <w:tr w14:paraId="7E2A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1ED1D7EE">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16</w:t>
            </w:r>
          </w:p>
        </w:tc>
        <w:tc>
          <w:tcPr>
            <w:tcW w:w="1985" w:type="dxa"/>
            <w:noWrap/>
            <w:vAlign w:val="center"/>
          </w:tcPr>
          <w:p w14:paraId="45ADB4AB">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失业</w:t>
            </w:r>
          </w:p>
        </w:tc>
        <w:tc>
          <w:tcPr>
            <w:tcW w:w="992" w:type="dxa"/>
            <w:noWrap/>
            <w:vAlign w:val="center"/>
          </w:tcPr>
          <w:p w14:paraId="537507AD">
            <w:pPr>
              <w:jc w:val="center"/>
              <w:rPr>
                <w:rFonts w:ascii="宋体" w:hAnsi="宋体"/>
                <w:sz w:val="18"/>
                <w:szCs w:val="18"/>
              </w:rPr>
            </w:pPr>
          </w:p>
        </w:tc>
        <w:tc>
          <w:tcPr>
            <w:tcW w:w="1412" w:type="dxa"/>
            <w:noWrap/>
            <w:vAlign w:val="center"/>
          </w:tcPr>
          <w:p w14:paraId="4BBE4326">
            <w:pPr>
              <w:jc w:val="center"/>
              <w:rPr>
                <w:rFonts w:ascii="宋体" w:hAnsi="宋体"/>
                <w:sz w:val="18"/>
                <w:szCs w:val="18"/>
              </w:rPr>
            </w:pPr>
          </w:p>
        </w:tc>
        <w:tc>
          <w:tcPr>
            <w:tcW w:w="1134" w:type="dxa"/>
            <w:noWrap/>
            <w:vAlign w:val="center"/>
          </w:tcPr>
          <w:p w14:paraId="5B8B7CB8">
            <w:pPr>
              <w:jc w:val="center"/>
              <w:rPr>
                <w:rFonts w:ascii="宋体" w:hAnsi="宋体"/>
                <w:sz w:val="18"/>
                <w:szCs w:val="18"/>
              </w:rPr>
            </w:pPr>
          </w:p>
        </w:tc>
        <w:tc>
          <w:tcPr>
            <w:tcW w:w="1134" w:type="dxa"/>
            <w:noWrap/>
            <w:vAlign w:val="center"/>
          </w:tcPr>
          <w:p w14:paraId="7C99690A">
            <w:pPr>
              <w:jc w:val="center"/>
              <w:rPr>
                <w:rFonts w:ascii="宋体" w:hAnsi="宋体"/>
                <w:sz w:val="18"/>
                <w:szCs w:val="18"/>
              </w:rPr>
            </w:pPr>
          </w:p>
        </w:tc>
        <w:tc>
          <w:tcPr>
            <w:tcW w:w="1842" w:type="dxa"/>
            <w:noWrap/>
            <w:vAlign w:val="top"/>
          </w:tcPr>
          <w:p w14:paraId="6CE1E4BA">
            <w:pPr>
              <w:keepNext w:val="0"/>
              <w:keepLines w:val="0"/>
              <w:widowControl/>
              <w:suppressLineNumbers w:val="0"/>
              <w:jc w:val="center"/>
              <w:textAlignment w:val="top"/>
            </w:pPr>
          </w:p>
        </w:tc>
      </w:tr>
      <w:tr w14:paraId="2D0E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1F656BCA">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17</w:t>
            </w:r>
          </w:p>
        </w:tc>
        <w:tc>
          <w:tcPr>
            <w:tcW w:w="1985" w:type="dxa"/>
            <w:noWrap/>
            <w:vAlign w:val="center"/>
          </w:tcPr>
          <w:p w14:paraId="660BDA72">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工伤</w:t>
            </w:r>
          </w:p>
        </w:tc>
        <w:tc>
          <w:tcPr>
            <w:tcW w:w="992" w:type="dxa"/>
            <w:noWrap/>
            <w:vAlign w:val="center"/>
          </w:tcPr>
          <w:p w14:paraId="1AEB5FB7">
            <w:pPr>
              <w:jc w:val="center"/>
              <w:rPr>
                <w:rFonts w:ascii="宋体" w:hAnsi="宋体"/>
                <w:sz w:val="18"/>
                <w:szCs w:val="18"/>
              </w:rPr>
            </w:pPr>
          </w:p>
        </w:tc>
        <w:tc>
          <w:tcPr>
            <w:tcW w:w="1412" w:type="dxa"/>
            <w:noWrap/>
            <w:vAlign w:val="center"/>
          </w:tcPr>
          <w:p w14:paraId="369BB960">
            <w:pPr>
              <w:jc w:val="center"/>
              <w:rPr>
                <w:rFonts w:ascii="宋体" w:hAnsi="宋体"/>
                <w:sz w:val="18"/>
                <w:szCs w:val="18"/>
              </w:rPr>
            </w:pPr>
          </w:p>
        </w:tc>
        <w:tc>
          <w:tcPr>
            <w:tcW w:w="1134" w:type="dxa"/>
            <w:noWrap/>
            <w:vAlign w:val="center"/>
          </w:tcPr>
          <w:p w14:paraId="17E9E55D">
            <w:pPr>
              <w:jc w:val="center"/>
              <w:rPr>
                <w:rFonts w:ascii="宋体" w:hAnsi="宋体"/>
                <w:sz w:val="18"/>
                <w:szCs w:val="18"/>
              </w:rPr>
            </w:pPr>
          </w:p>
        </w:tc>
        <w:tc>
          <w:tcPr>
            <w:tcW w:w="1134" w:type="dxa"/>
            <w:noWrap/>
            <w:vAlign w:val="center"/>
          </w:tcPr>
          <w:p w14:paraId="0BB9BDEB">
            <w:pPr>
              <w:jc w:val="center"/>
              <w:rPr>
                <w:rFonts w:ascii="宋体" w:hAnsi="宋体"/>
                <w:sz w:val="18"/>
                <w:szCs w:val="18"/>
              </w:rPr>
            </w:pPr>
          </w:p>
        </w:tc>
        <w:tc>
          <w:tcPr>
            <w:tcW w:w="1842" w:type="dxa"/>
            <w:noWrap/>
            <w:vAlign w:val="top"/>
          </w:tcPr>
          <w:p w14:paraId="2B518740">
            <w:pPr>
              <w:keepNext w:val="0"/>
              <w:keepLines w:val="0"/>
              <w:widowControl/>
              <w:suppressLineNumbers w:val="0"/>
              <w:jc w:val="center"/>
              <w:textAlignment w:val="top"/>
            </w:pPr>
          </w:p>
        </w:tc>
      </w:tr>
      <w:tr w14:paraId="0A5FD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41BE7B81">
            <w:pPr>
              <w:jc w:val="center"/>
              <w:rPr>
                <w:rFonts w:hint="default" w:ascii="宋体" w:hAnsi="宋体" w:eastAsiaTheme="minorEastAsia"/>
                <w:sz w:val="18"/>
                <w:szCs w:val="18"/>
                <w:lang w:val="en-US" w:eastAsia="zh-CN"/>
              </w:rPr>
            </w:pPr>
            <w:r>
              <w:rPr>
                <w:rFonts w:hint="eastAsia" w:ascii="宋体" w:hAnsi="宋体"/>
                <w:sz w:val="18"/>
                <w:szCs w:val="18"/>
                <w:lang w:val="en-US" w:eastAsia="zh-CN"/>
              </w:rPr>
              <w:t>18</w:t>
            </w:r>
          </w:p>
        </w:tc>
        <w:tc>
          <w:tcPr>
            <w:tcW w:w="1985" w:type="dxa"/>
            <w:noWrap/>
            <w:vAlign w:val="center"/>
          </w:tcPr>
          <w:p w14:paraId="58FB13F2">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24"/>
                <w:szCs w:val="24"/>
                <w:u w:val="none"/>
                <w:lang w:val="en-US" w:eastAsia="zh-CN" w:bidi="ar"/>
              </w:rPr>
              <w:t>生育</w:t>
            </w:r>
          </w:p>
        </w:tc>
        <w:tc>
          <w:tcPr>
            <w:tcW w:w="992" w:type="dxa"/>
            <w:noWrap/>
            <w:vAlign w:val="center"/>
          </w:tcPr>
          <w:p w14:paraId="78D0CF86">
            <w:pPr>
              <w:jc w:val="center"/>
              <w:rPr>
                <w:rFonts w:ascii="宋体" w:hAnsi="宋体"/>
                <w:sz w:val="18"/>
                <w:szCs w:val="18"/>
              </w:rPr>
            </w:pPr>
          </w:p>
        </w:tc>
        <w:tc>
          <w:tcPr>
            <w:tcW w:w="1412" w:type="dxa"/>
            <w:noWrap/>
            <w:vAlign w:val="center"/>
          </w:tcPr>
          <w:p w14:paraId="0593EFB3">
            <w:pPr>
              <w:jc w:val="center"/>
              <w:rPr>
                <w:rFonts w:ascii="宋体" w:hAnsi="宋体"/>
                <w:sz w:val="18"/>
                <w:szCs w:val="18"/>
              </w:rPr>
            </w:pPr>
          </w:p>
        </w:tc>
        <w:tc>
          <w:tcPr>
            <w:tcW w:w="1134" w:type="dxa"/>
            <w:noWrap/>
            <w:vAlign w:val="center"/>
          </w:tcPr>
          <w:p w14:paraId="71CC4E61">
            <w:pPr>
              <w:jc w:val="center"/>
              <w:rPr>
                <w:rFonts w:ascii="宋体" w:hAnsi="宋体"/>
                <w:sz w:val="18"/>
                <w:szCs w:val="18"/>
              </w:rPr>
            </w:pPr>
          </w:p>
        </w:tc>
        <w:tc>
          <w:tcPr>
            <w:tcW w:w="1134" w:type="dxa"/>
            <w:noWrap/>
            <w:vAlign w:val="center"/>
          </w:tcPr>
          <w:p w14:paraId="745F116D">
            <w:pPr>
              <w:jc w:val="center"/>
              <w:rPr>
                <w:rFonts w:ascii="宋体" w:hAnsi="宋体"/>
                <w:sz w:val="18"/>
                <w:szCs w:val="18"/>
              </w:rPr>
            </w:pPr>
          </w:p>
        </w:tc>
        <w:tc>
          <w:tcPr>
            <w:tcW w:w="1842" w:type="dxa"/>
            <w:noWrap/>
            <w:vAlign w:val="top"/>
          </w:tcPr>
          <w:p w14:paraId="52AD795B">
            <w:pPr>
              <w:keepNext w:val="0"/>
              <w:keepLines w:val="0"/>
              <w:widowControl/>
              <w:suppressLineNumbers w:val="0"/>
              <w:jc w:val="center"/>
              <w:textAlignment w:val="top"/>
              <w:rPr>
                <w:rFonts w:ascii="宋体" w:hAnsi="宋体"/>
                <w:sz w:val="18"/>
                <w:szCs w:val="18"/>
              </w:rPr>
            </w:pPr>
          </w:p>
        </w:tc>
      </w:tr>
      <w:tr w14:paraId="79C3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noWrap/>
            <w:vAlign w:val="center"/>
          </w:tcPr>
          <w:p w14:paraId="11348D96">
            <w:pPr>
              <w:jc w:val="center"/>
              <w:rPr>
                <w:rFonts w:ascii="宋体" w:hAnsi="宋体"/>
                <w:b/>
                <w:sz w:val="18"/>
                <w:szCs w:val="18"/>
              </w:rPr>
            </w:pPr>
          </w:p>
        </w:tc>
        <w:tc>
          <w:tcPr>
            <w:tcW w:w="1985" w:type="dxa"/>
            <w:noWrap/>
            <w:vAlign w:val="center"/>
          </w:tcPr>
          <w:p w14:paraId="7557339D">
            <w:pPr>
              <w:keepNext w:val="0"/>
              <w:keepLines w:val="0"/>
              <w:widowControl/>
              <w:suppressLineNumbers w:val="0"/>
              <w:jc w:val="both"/>
              <w:textAlignment w:val="center"/>
              <w:rPr>
                <w:rFonts w:ascii="宋体" w:hAnsi="宋体"/>
                <w:b/>
                <w:sz w:val="18"/>
                <w:szCs w:val="18"/>
              </w:rPr>
            </w:pPr>
          </w:p>
        </w:tc>
        <w:tc>
          <w:tcPr>
            <w:tcW w:w="992" w:type="dxa"/>
            <w:noWrap/>
            <w:vAlign w:val="center"/>
          </w:tcPr>
          <w:p w14:paraId="21BC0417">
            <w:pPr>
              <w:jc w:val="center"/>
              <w:rPr>
                <w:rFonts w:ascii="宋体" w:hAnsi="宋体"/>
                <w:b/>
                <w:sz w:val="18"/>
                <w:szCs w:val="18"/>
              </w:rPr>
            </w:pPr>
          </w:p>
        </w:tc>
        <w:tc>
          <w:tcPr>
            <w:tcW w:w="1412" w:type="dxa"/>
            <w:noWrap/>
            <w:vAlign w:val="center"/>
          </w:tcPr>
          <w:p w14:paraId="2AF09DDC">
            <w:pPr>
              <w:jc w:val="center"/>
              <w:rPr>
                <w:rFonts w:ascii="宋体" w:hAnsi="宋体"/>
                <w:sz w:val="18"/>
                <w:szCs w:val="18"/>
              </w:rPr>
            </w:pPr>
          </w:p>
        </w:tc>
        <w:tc>
          <w:tcPr>
            <w:tcW w:w="1134" w:type="dxa"/>
            <w:noWrap/>
            <w:vAlign w:val="center"/>
          </w:tcPr>
          <w:p w14:paraId="01188304">
            <w:pPr>
              <w:jc w:val="center"/>
              <w:rPr>
                <w:rFonts w:ascii="宋体" w:hAnsi="宋体"/>
                <w:sz w:val="18"/>
                <w:szCs w:val="18"/>
              </w:rPr>
            </w:pPr>
          </w:p>
        </w:tc>
        <w:tc>
          <w:tcPr>
            <w:tcW w:w="1134" w:type="dxa"/>
            <w:noWrap/>
            <w:vAlign w:val="center"/>
          </w:tcPr>
          <w:p w14:paraId="2FE5375F">
            <w:pPr>
              <w:jc w:val="center"/>
              <w:rPr>
                <w:rFonts w:ascii="宋体" w:hAnsi="宋体"/>
                <w:sz w:val="18"/>
                <w:szCs w:val="18"/>
              </w:rPr>
            </w:pPr>
          </w:p>
        </w:tc>
        <w:tc>
          <w:tcPr>
            <w:tcW w:w="1842" w:type="dxa"/>
            <w:noWrap/>
            <w:vAlign w:val="center"/>
          </w:tcPr>
          <w:p w14:paraId="03DE7FEE">
            <w:pPr>
              <w:rPr>
                <w:rFonts w:ascii="宋体" w:hAnsi="宋体"/>
                <w:sz w:val="18"/>
                <w:szCs w:val="18"/>
              </w:rPr>
            </w:pPr>
          </w:p>
        </w:tc>
      </w:tr>
      <w:tr w14:paraId="54FA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6" w:type="dxa"/>
            <w:gridSpan w:val="2"/>
            <w:noWrap/>
            <w:vAlign w:val="center"/>
          </w:tcPr>
          <w:p w14:paraId="46536D3F">
            <w:pPr>
              <w:jc w:val="center"/>
              <w:rPr>
                <w:rFonts w:ascii="宋体" w:hAnsi="宋体"/>
                <w:b/>
                <w:sz w:val="18"/>
                <w:szCs w:val="18"/>
              </w:rPr>
            </w:pPr>
            <w:r>
              <w:rPr>
                <w:rFonts w:hint="eastAsia" w:ascii="宋体" w:hAnsi="宋体"/>
                <w:b/>
                <w:sz w:val="18"/>
                <w:szCs w:val="18"/>
              </w:rPr>
              <w:t>合计：</w:t>
            </w:r>
          </w:p>
        </w:tc>
        <w:tc>
          <w:tcPr>
            <w:tcW w:w="992" w:type="dxa"/>
            <w:noWrap/>
            <w:vAlign w:val="center"/>
          </w:tcPr>
          <w:p w14:paraId="7137EA8E">
            <w:pPr>
              <w:jc w:val="center"/>
              <w:rPr>
                <w:rFonts w:ascii="宋体" w:hAnsi="宋体"/>
                <w:sz w:val="18"/>
                <w:szCs w:val="18"/>
              </w:rPr>
            </w:pPr>
          </w:p>
        </w:tc>
        <w:tc>
          <w:tcPr>
            <w:tcW w:w="1412" w:type="dxa"/>
            <w:noWrap/>
            <w:vAlign w:val="center"/>
          </w:tcPr>
          <w:p w14:paraId="3FA18FE4">
            <w:pPr>
              <w:jc w:val="center"/>
              <w:rPr>
                <w:rFonts w:ascii="宋体" w:hAnsi="宋体"/>
                <w:sz w:val="18"/>
                <w:szCs w:val="18"/>
              </w:rPr>
            </w:pPr>
          </w:p>
        </w:tc>
        <w:tc>
          <w:tcPr>
            <w:tcW w:w="1134" w:type="dxa"/>
            <w:noWrap/>
            <w:vAlign w:val="center"/>
          </w:tcPr>
          <w:p w14:paraId="4E2ADD9F">
            <w:pPr>
              <w:jc w:val="center"/>
              <w:rPr>
                <w:rFonts w:ascii="宋体" w:hAnsi="宋体"/>
                <w:sz w:val="18"/>
                <w:szCs w:val="18"/>
              </w:rPr>
            </w:pPr>
          </w:p>
        </w:tc>
        <w:tc>
          <w:tcPr>
            <w:tcW w:w="1134" w:type="dxa"/>
            <w:noWrap/>
            <w:vAlign w:val="center"/>
          </w:tcPr>
          <w:p w14:paraId="5A3764D6">
            <w:pPr>
              <w:jc w:val="center"/>
              <w:rPr>
                <w:rFonts w:ascii="宋体" w:hAnsi="宋体"/>
                <w:sz w:val="18"/>
                <w:szCs w:val="18"/>
              </w:rPr>
            </w:pPr>
          </w:p>
        </w:tc>
        <w:tc>
          <w:tcPr>
            <w:tcW w:w="1842" w:type="dxa"/>
            <w:noWrap/>
            <w:vAlign w:val="center"/>
          </w:tcPr>
          <w:p w14:paraId="6683F1BE">
            <w:pPr>
              <w:jc w:val="center"/>
              <w:rPr>
                <w:rFonts w:ascii="宋体" w:hAnsi="宋体"/>
                <w:sz w:val="18"/>
                <w:szCs w:val="18"/>
              </w:rPr>
            </w:pPr>
          </w:p>
        </w:tc>
      </w:tr>
    </w:tbl>
    <w:p w14:paraId="4350D577">
      <w:pPr>
        <w:rPr>
          <w:rFonts w:ascii="宋体" w:hAnsi="宋体"/>
          <w:bCs/>
        </w:rPr>
      </w:pPr>
      <w:r>
        <w:rPr>
          <w:rFonts w:hint="eastAsia" w:ascii="宋体" w:hAnsi="宋体"/>
          <w:bCs/>
        </w:rPr>
        <w:t>注：1、以上人员费用须包括工资、社保等内容，须符合国家、省、市相关政策规定；本项目不允许配置按国家规定可不缴纳社保的人员，投标人中标后按采购文件要求为本项目配备的人员均须按国家规定缴纳社保，上表“法定计提费用”中的费用均须按人员配置总数计算，否则投标文件无效。</w:t>
      </w:r>
    </w:p>
    <w:p w14:paraId="3AF1AFFF">
      <w:pPr>
        <w:ind w:firstLine="405"/>
        <w:rPr>
          <w:rFonts w:ascii="宋体" w:hAnsi="宋体"/>
          <w:bCs/>
        </w:rPr>
      </w:pPr>
      <w:r>
        <w:rPr>
          <w:rFonts w:hint="eastAsia" w:ascii="宋体" w:hAnsi="宋体"/>
          <w:bCs/>
        </w:rPr>
        <w:t>2、上述报价表由投标单位参照，不限于此，可根据采购需求自行添加条目进行投报。</w:t>
      </w:r>
    </w:p>
    <w:p w14:paraId="1CCC8DDA">
      <w:pPr>
        <w:spacing w:line="400" w:lineRule="exact"/>
        <w:jc w:val="left"/>
        <w:rPr>
          <w:rFonts w:hint="eastAsia" w:ascii="宋体" w:hAnsi="宋体"/>
          <w:b/>
          <w:bCs/>
          <w:sz w:val="24"/>
          <w:szCs w:val="24"/>
        </w:rPr>
      </w:pPr>
    </w:p>
    <w:p w14:paraId="31B0B141">
      <w:pPr>
        <w:spacing w:line="400" w:lineRule="exact"/>
        <w:jc w:val="left"/>
        <w:rPr>
          <w:rFonts w:hint="eastAsia" w:ascii="宋体" w:hAnsi="宋体"/>
          <w:b/>
          <w:bCs/>
          <w:sz w:val="24"/>
          <w:szCs w:val="24"/>
        </w:rPr>
      </w:pPr>
    </w:p>
    <w:p w14:paraId="79B228EC">
      <w:pPr>
        <w:spacing w:line="400" w:lineRule="exact"/>
        <w:jc w:val="left"/>
        <w:rPr>
          <w:rFonts w:hint="eastAsia" w:ascii="宋体" w:hAnsi="宋体"/>
          <w:b/>
          <w:bCs/>
          <w:sz w:val="24"/>
          <w:szCs w:val="24"/>
        </w:rPr>
      </w:pPr>
    </w:p>
    <w:p w14:paraId="5F520272">
      <w:pPr>
        <w:spacing w:line="400" w:lineRule="exact"/>
        <w:jc w:val="left"/>
        <w:rPr>
          <w:rFonts w:hint="eastAsia" w:ascii="宋体" w:hAnsi="宋体"/>
          <w:b/>
          <w:bCs/>
          <w:sz w:val="24"/>
          <w:szCs w:val="24"/>
        </w:rPr>
      </w:pPr>
    </w:p>
    <w:p w14:paraId="2488B122">
      <w:pPr>
        <w:spacing w:line="400" w:lineRule="exact"/>
        <w:jc w:val="left"/>
        <w:rPr>
          <w:rFonts w:hint="eastAsia" w:ascii="宋体" w:hAnsi="宋体"/>
          <w:b/>
          <w:bCs/>
          <w:sz w:val="24"/>
          <w:szCs w:val="24"/>
        </w:rPr>
      </w:pPr>
    </w:p>
    <w:p w14:paraId="1450E164">
      <w:pPr>
        <w:spacing w:line="360" w:lineRule="auto"/>
        <w:rPr>
          <w:rFonts w:hint="eastAsia"/>
          <w:b/>
          <w:sz w:val="28"/>
          <w:szCs w:val="28"/>
        </w:rPr>
      </w:pPr>
    </w:p>
    <w:p w14:paraId="6F204579">
      <w:pPr>
        <w:spacing w:line="360" w:lineRule="auto"/>
        <w:rPr>
          <w:b/>
          <w:sz w:val="28"/>
          <w:szCs w:val="28"/>
        </w:rPr>
      </w:pPr>
      <w:bookmarkStart w:id="163" w:name="_GoBack"/>
      <w:bookmarkEnd w:id="163"/>
      <w:r>
        <w:rPr>
          <w:rFonts w:hint="eastAsia"/>
          <w:b/>
          <w:sz w:val="28"/>
          <w:szCs w:val="28"/>
        </w:rPr>
        <w:t>十</w:t>
      </w:r>
      <w:r>
        <w:rPr>
          <w:b/>
          <w:sz w:val="28"/>
          <w:szCs w:val="28"/>
        </w:rPr>
        <w:t>、</w:t>
      </w:r>
      <w:r>
        <w:rPr>
          <w:rFonts w:hint="eastAsia"/>
          <w:b/>
          <w:sz w:val="28"/>
          <w:szCs w:val="28"/>
        </w:rPr>
        <w:t>投标偏离表（给定格式）：</w:t>
      </w:r>
    </w:p>
    <w:p w14:paraId="41C18789">
      <w:pPr>
        <w:ind w:firstLine="490"/>
        <w:jc w:val="center"/>
        <w:outlineLvl w:val="0"/>
        <w:rPr>
          <w:rFonts w:ascii="黑体" w:eastAsia="黑体"/>
          <w:bCs/>
          <w:sz w:val="28"/>
          <w:szCs w:val="28"/>
        </w:rPr>
      </w:pPr>
    </w:p>
    <w:p w14:paraId="13F81624">
      <w:pPr>
        <w:ind w:firstLine="490"/>
        <w:jc w:val="center"/>
        <w:outlineLvl w:val="0"/>
        <w:rPr>
          <w:rFonts w:ascii="黑体" w:eastAsia="黑体"/>
          <w:bCs/>
          <w:sz w:val="28"/>
          <w:szCs w:val="28"/>
        </w:rPr>
      </w:pPr>
      <w:r>
        <w:rPr>
          <w:rFonts w:hint="eastAsia" w:ascii="黑体" w:eastAsia="黑体"/>
          <w:bCs/>
          <w:sz w:val="28"/>
          <w:szCs w:val="28"/>
        </w:rPr>
        <w:t>投标偏离表</w:t>
      </w:r>
    </w:p>
    <w:p w14:paraId="40DB28A1">
      <w:pPr>
        <w:spacing w:line="400" w:lineRule="exact"/>
        <w:jc w:val="center"/>
        <w:outlineLvl w:val="0"/>
        <w:rPr>
          <w:rFonts w:ascii="黑体" w:eastAsia="黑体"/>
          <w:bCs/>
          <w:sz w:val="28"/>
          <w:szCs w:val="28"/>
        </w:rPr>
      </w:pPr>
    </w:p>
    <w:p w14:paraId="63024DEC">
      <w:pPr>
        <w:spacing w:line="400" w:lineRule="exact"/>
        <w:jc w:val="center"/>
        <w:outlineLvl w:val="0"/>
        <w:rPr>
          <w:rFonts w:ascii="黑体" w:eastAsia="黑体"/>
          <w:bCs/>
          <w:sz w:val="28"/>
          <w:szCs w:val="28"/>
        </w:rPr>
      </w:pPr>
    </w:p>
    <w:p w14:paraId="362CC419">
      <w:pPr>
        <w:spacing w:line="400" w:lineRule="exact"/>
        <w:rPr>
          <w:rFonts w:ascii="黑体" w:eastAsia="黑体"/>
          <w:bCs/>
          <w:sz w:val="24"/>
          <w:szCs w:val="24"/>
        </w:rPr>
      </w:pPr>
      <w:r>
        <w:rPr>
          <w:rFonts w:hint="eastAsia" w:ascii="黑体" w:eastAsia="黑体"/>
          <w:bCs/>
          <w:sz w:val="24"/>
          <w:szCs w:val="24"/>
        </w:rPr>
        <w:t>项目编号：</w:t>
      </w:r>
    </w:p>
    <w:tbl>
      <w:tblPr>
        <w:tblStyle w:val="46"/>
        <w:tblW w:w="9885" w:type="dxa"/>
        <w:jc w:val="center"/>
        <w:tblLayout w:type="fixed"/>
        <w:tblCellMar>
          <w:top w:w="0" w:type="dxa"/>
          <w:left w:w="0" w:type="dxa"/>
          <w:bottom w:w="0" w:type="dxa"/>
          <w:right w:w="0" w:type="dxa"/>
        </w:tblCellMar>
      </w:tblPr>
      <w:tblGrid>
        <w:gridCol w:w="1905"/>
        <w:gridCol w:w="2835"/>
        <w:gridCol w:w="2835"/>
        <w:gridCol w:w="2310"/>
      </w:tblGrid>
      <w:tr w14:paraId="247D9CAE">
        <w:trPr>
          <w:cantSplit/>
          <w:trHeight w:val="555" w:hRule="atLeast"/>
          <w:jc w:val="center"/>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34E40D">
            <w:pPr>
              <w:jc w:val="center"/>
              <w:rPr>
                <w:rFonts w:ascii="宋体"/>
                <w:b/>
                <w:bCs/>
                <w:sz w:val="24"/>
                <w:szCs w:val="24"/>
              </w:rPr>
            </w:pPr>
            <w:r>
              <w:rPr>
                <w:rFonts w:hint="eastAsia" w:ascii="宋体" w:hAnsi="宋体"/>
                <w:b/>
                <w:bCs/>
                <w:sz w:val="24"/>
                <w:szCs w:val="24"/>
              </w:rPr>
              <w:t>名称</w:t>
            </w:r>
          </w:p>
        </w:tc>
        <w:tc>
          <w:tcPr>
            <w:tcW w:w="2835" w:type="dxa"/>
            <w:tcBorders>
              <w:top w:val="single" w:color="000000" w:sz="4" w:space="0"/>
              <w:left w:val="single" w:color="000000" w:sz="4" w:space="0"/>
              <w:bottom w:val="single" w:color="000000" w:sz="4" w:space="0"/>
              <w:right w:val="single" w:color="000000" w:sz="4" w:space="0"/>
            </w:tcBorders>
            <w:vAlign w:val="center"/>
          </w:tcPr>
          <w:p w14:paraId="639D4D69">
            <w:pPr>
              <w:jc w:val="center"/>
              <w:rPr>
                <w:rFonts w:ascii="宋体"/>
                <w:b/>
                <w:bCs/>
                <w:sz w:val="24"/>
                <w:szCs w:val="24"/>
              </w:rPr>
            </w:pPr>
            <w:r>
              <w:rPr>
                <w:rFonts w:hint="eastAsia" w:ascii="宋体" w:hAnsi="宋体"/>
                <w:b/>
                <w:bCs/>
                <w:sz w:val="24"/>
                <w:szCs w:val="24"/>
              </w:rPr>
              <w:t>采购要求</w:t>
            </w:r>
          </w:p>
        </w:tc>
        <w:tc>
          <w:tcPr>
            <w:tcW w:w="2835" w:type="dxa"/>
            <w:tcBorders>
              <w:top w:val="single" w:color="000000" w:sz="4" w:space="0"/>
              <w:left w:val="single" w:color="000000" w:sz="4" w:space="0"/>
              <w:bottom w:val="single" w:color="000000" w:sz="4" w:space="0"/>
              <w:right w:val="single" w:color="000000" w:sz="4" w:space="0"/>
            </w:tcBorders>
            <w:vAlign w:val="center"/>
          </w:tcPr>
          <w:p w14:paraId="40094A86">
            <w:pPr>
              <w:jc w:val="center"/>
              <w:rPr>
                <w:rFonts w:ascii="宋体"/>
                <w:b/>
                <w:bCs/>
                <w:sz w:val="24"/>
                <w:szCs w:val="24"/>
              </w:rPr>
            </w:pPr>
            <w:r>
              <w:rPr>
                <w:rFonts w:hint="eastAsia" w:ascii="宋体" w:hAnsi="宋体"/>
                <w:b/>
                <w:bCs/>
                <w:sz w:val="24"/>
                <w:szCs w:val="24"/>
              </w:rPr>
              <w:t>实报内容</w:t>
            </w:r>
          </w:p>
        </w:tc>
        <w:tc>
          <w:tcPr>
            <w:tcW w:w="2310" w:type="dxa"/>
            <w:tcBorders>
              <w:top w:val="single" w:color="000000" w:sz="4" w:space="0"/>
              <w:left w:val="single" w:color="000000" w:sz="4" w:space="0"/>
              <w:bottom w:val="single" w:color="000000" w:sz="4" w:space="0"/>
              <w:right w:val="single" w:color="000000" w:sz="4" w:space="0"/>
            </w:tcBorders>
            <w:vAlign w:val="center"/>
          </w:tcPr>
          <w:p w14:paraId="6558385D">
            <w:pPr>
              <w:jc w:val="center"/>
              <w:rPr>
                <w:rFonts w:ascii="宋体"/>
                <w:b/>
                <w:bCs/>
                <w:sz w:val="24"/>
                <w:szCs w:val="24"/>
              </w:rPr>
            </w:pPr>
            <w:r>
              <w:rPr>
                <w:rFonts w:hint="eastAsia" w:ascii="宋体" w:hAnsi="宋体"/>
                <w:b/>
                <w:bCs/>
                <w:sz w:val="24"/>
                <w:szCs w:val="24"/>
              </w:rPr>
              <w:t>偏离说明</w:t>
            </w:r>
          </w:p>
        </w:tc>
      </w:tr>
      <w:tr w14:paraId="5B486A01">
        <w:tblPrEx>
          <w:tblCellMar>
            <w:top w:w="0" w:type="dxa"/>
            <w:left w:w="0" w:type="dxa"/>
            <w:bottom w:w="0" w:type="dxa"/>
            <w:right w:w="0" w:type="dxa"/>
          </w:tblCellMar>
        </w:tblPrEx>
        <w:trPr>
          <w:cantSplit/>
          <w:trHeight w:val="510" w:hRule="atLeast"/>
          <w:jc w:val="center"/>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71176E">
            <w:pPr>
              <w:jc w:val="center"/>
              <w:rPr>
                <w:rFonts w:ascii="宋体"/>
                <w:bCs/>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20684EF1">
            <w:pPr>
              <w:rPr>
                <w:rFonts w:ascii="宋体"/>
                <w:bCs/>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169F3E61">
            <w:pPr>
              <w:jc w:val="center"/>
              <w:rPr>
                <w:rFonts w:ascii="宋体"/>
                <w:bCs/>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0EFE326D">
            <w:pPr>
              <w:jc w:val="center"/>
              <w:rPr>
                <w:rFonts w:ascii="宋体"/>
                <w:bCs/>
              </w:rPr>
            </w:pPr>
          </w:p>
        </w:tc>
      </w:tr>
    </w:tbl>
    <w:p w14:paraId="7468B4FB">
      <w:pPr>
        <w:rPr>
          <w:rFonts w:ascii="黑体" w:eastAsia="黑体"/>
          <w:bCs/>
          <w:sz w:val="24"/>
          <w:szCs w:val="24"/>
        </w:rPr>
      </w:pPr>
    </w:p>
    <w:p w14:paraId="2DD6C91F">
      <w:pPr>
        <w:rPr>
          <w:rFonts w:ascii="宋体" w:eastAsia="黑体"/>
          <w:b/>
          <w:sz w:val="24"/>
          <w:szCs w:val="24"/>
        </w:rPr>
      </w:pPr>
      <w:r>
        <w:rPr>
          <w:rFonts w:hint="eastAsia" w:ascii="黑体" w:eastAsia="黑体"/>
          <w:bCs/>
          <w:sz w:val="24"/>
          <w:szCs w:val="24"/>
        </w:rPr>
        <w:t>投标人名称（盖章）：</w:t>
      </w:r>
    </w:p>
    <w:p w14:paraId="181E91F2">
      <w:pPr>
        <w:rPr>
          <w:rFonts w:ascii="宋体"/>
          <w:bCs/>
          <w:sz w:val="30"/>
        </w:rPr>
      </w:pPr>
    </w:p>
    <w:p w14:paraId="60525C35">
      <w:pPr>
        <w:ind w:firstLine="420"/>
        <w:outlineLvl w:val="0"/>
        <w:rPr>
          <w:rFonts w:ascii="宋体" w:hAnsi="宋体"/>
          <w:bCs/>
          <w:sz w:val="24"/>
          <w:szCs w:val="24"/>
        </w:rPr>
      </w:pPr>
    </w:p>
    <w:p w14:paraId="139B1FFE">
      <w:pPr>
        <w:ind w:firstLine="420"/>
        <w:outlineLvl w:val="0"/>
        <w:rPr>
          <w:rFonts w:ascii="宋体" w:hAnsi="宋体"/>
          <w:bCs/>
          <w:sz w:val="24"/>
          <w:szCs w:val="24"/>
        </w:rPr>
      </w:pPr>
    </w:p>
    <w:p w14:paraId="54752699">
      <w:pPr>
        <w:ind w:firstLine="420"/>
        <w:outlineLvl w:val="0"/>
        <w:rPr>
          <w:rFonts w:ascii="宋体" w:hAnsi="宋体"/>
          <w:bCs/>
          <w:sz w:val="24"/>
          <w:szCs w:val="24"/>
        </w:rPr>
      </w:pPr>
    </w:p>
    <w:p w14:paraId="1AD6F86E">
      <w:pPr>
        <w:ind w:firstLine="420"/>
        <w:outlineLvl w:val="0"/>
        <w:rPr>
          <w:rFonts w:ascii="宋体" w:hAnsi="宋体"/>
          <w:bCs/>
          <w:sz w:val="24"/>
          <w:szCs w:val="24"/>
        </w:rPr>
      </w:pPr>
    </w:p>
    <w:p w14:paraId="47C2079B">
      <w:pPr>
        <w:ind w:firstLine="420"/>
        <w:outlineLvl w:val="0"/>
        <w:rPr>
          <w:rFonts w:ascii="宋体" w:hAnsi="宋体"/>
          <w:bCs/>
          <w:sz w:val="24"/>
          <w:szCs w:val="24"/>
        </w:rPr>
      </w:pPr>
    </w:p>
    <w:p w14:paraId="174ABB80">
      <w:pPr>
        <w:ind w:firstLine="420"/>
        <w:outlineLvl w:val="0"/>
        <w:rPr>
          <w:rFonts w:ascii="宋体" w:hAnsi="宋体"/>
          <w:bCs/>
          <w:sz w:val="24"/>
          <w:szCs w:val="24"/>
        </w:rPr>
      </w:pPr>
    </w:p>
    <w:p w14:paraId="19DEFD3D">
      <w:pPr>
        <w:ind w:firstLine="420"/>
        <w:outlineLvl w:val="0"/>
        <w:rPr>
          <w:rFonts w:ascii="宋体" w:hAnsi="宋体"/>
          <w:bCs/>
          <w:sz w:val="24"/>
          <w:szCs w:val="24"/>
        </w:rPr>
      </w:pPr>
    </w:p>
    <w:p w14:paraId="18B3158B">
      <w:pPr>
        <w:ind w:firstLine="420"/>
        <w:outlineLvl w:val="0"/>
        <w:rPr>
          <w:rFonts w:ascii="宋体" w:hAnsi="宋体"/>
          <w:bCs/>
          <w:sz w:val="24"/>
          <w:szCs w:val="24"/>
        </w:rPr>
      </w:pPr>
    </w:p>
    <w:p w14:paraId="2D7988A8">
      <w:pPr>
        <w:ind w:firstLine="420"/>
        <w:outlineLvl w:val="0"/>
        <w:rPr>
          <w:rFonts w:ascii="宋体" w:hAnsi="宋体"/>
          <w:bCs/>
          <w:sz w:val="24"/>
          <w:szCs w:val="24"/>
        </w:rPr>
      </w:pPr>
    </w:p>
    <w:p w14:paraId="76209B14">
      <w:pPr>
        <w:ind w:firstLine="420"/>
        <w:outlineLvl w:val="0"/>
        <w:rPr>
          <w:rFonts w:ascii="宋体" w:hAnsi="宋体"/>
          <w:bCs/>
          <w:sz w:val="24"/>
          <w:szCs w:val="24"/>
        </w:rPr>
      </w:pPr>
    </w:p>
    <w:p w14:paraId="6B25C535">
      <w:pPr>
        <w:ind w:firstLine="420"/>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14:paraId="11B93048">
      <w:pPr>
        <w:ind w:firstLine="420"/>
        <w:outlineLvl w:val="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14:paraId="4EB9F68C">
      <w:pPr>
        <w:ind w:firstLine="420"/>
        <w:outlineLvl w:val="0"/>
        <w:rPr>
          <w:rFonts w:ascii="宋体" w:hAnsi="宋体"/>
          <w:bCs/>
          <w:sz w:val="24"/>
          <w:szCs w:val="24"/>
        </w:rPr>
      </w:pPr>
      <w:r>
        <w:rPr>
          <w:rFonts w:hint="eastAsia" w:ascii="宋体" w:hAnsi="宋体"/>
          <w:bCs/>
          <w:sz w:val="24"/>
          <w:szCs w:val="24"/>
        </w:rPr>
        <w:t xml:space="preserve">   （3）如有技术偏离项，请于本表中列明偏离内容，如需要可自行延长，其余无偏离内容不须赘述。</w:t>
      </w:r>
      <w:bookmarkEnd w:id="158"/>
      <w:bookmarkStart w:id="159" w:name="_Hlt26609389"/>
      <w:bookmarkEnd w:id="159"/>
      <w:bookmarkStart w:id="160" w:name="_Hlt26955066"/>
      <w:bookmarkEnd w:id="160"/>
      <w:bookmarkStart w:id="161" w:name="_Hlt26671374"/>
      <w:bookmarkEnd w:id="161"/>
      <w:bookmarkStart w:id="162" w:name="_格式2__法定代表人授权书"/>
      <w:bookmarkEnd w:id="162"/>
    </w:p>
    <w:p w14:paraId="4C15E964">
      <w:pPr>
        <w:ind w:firstLine="420"/>
        <w:outlineLvl w:val="0"/>
        <w:rPr>
          <w:rFonts w:ascii="宋体" w:hAnsi="宋体"/>
          <w:bCs/>
          <w:sz w:val="24"/>
          <w:szCs w:val="24"/>
        </w:rPr>
      </w:pPr>
    </w:p>
    <w:p w14:paraId="025F4AE2">
      <w:pPr>
        <w:ind w:firstLine="420"/>
        <w:outlineLvl w:val="0"/>
        <w:rPr>
          <w:rFonts w:ascii="宋体" w:hAnsi="宋体"/>
          <w:bCs/>
          <w:sz w:val="24"/>
          <w:szCs w:val="24"/>
        </w:rPr>
      </w:pPr>
    </w:p>
    <w:p w14:paraId="560141AF">
      <w:pPr>
        <w:spacing w:line="360" w:lineRule="auto"/>
      </w:pPr>
    </w:p>
    <w:p w14:paraId="227F31BC">
      <w:pPr>
        <w:outlineLvl w:val="0"/>
        <w:rPr>
          <w:b/>
          <w:sz w:val="28"/>
          <w:szCs w:val="28"/>
        </w:rPr>
      </w:pPr>
      <w:r>
        <w:rPr>
          <w:rFonts w:ascii="宋体" w:hAnsi="宋体"/>
          <w:bCs/>
          <w:sz w:val="24"/>
          <w:szCs w:val="24"/>
        </w:rPr>
        <w:br w:type="page" w:clear="all"/>
      </w:r>
      <w:r>
        <w:rPr>
          <w:rFonts w:hint="eastAsia"/>
          <w:b/>
          <w:sz w:val="28"/>
          <w:szCs w:val="28"/>
        </w:rPr>
        <w:t>十一、项目人员配置考察表（格式）</w:t>
      </w:r>
    </w:p>
    <w:p w14:paraId="647C266D">
      <w:pPr>
        <w:ind w:firstLine="420"/>
        <w:outlineLvl w:val="0"/>
        <w:rPr>
          <w:rFonts w:ascii="黑体" w:hAnsi="宋体" w:eastAsia="黑体"/>
          <w:bCs/>
          <w:sz w:val="24"/>
          <w:szCs w:val="24"/>
        </w:rPr>
      </w:pPr>
    </w:p>
    <w:p w14:paraId="5E9F4E12">
      <w:pPr>
        <w:ind w:firstLine="490"/>
        <w:jc w:val="center"/>
        <w:outlineLvl w:val="0"/>
        <w:rPr>
          <w:rFonts w:ascii="黑体" w:hAnsi="宋体" w:eastAsia="黑体"/>
          <w:bCs/>
          <w:sz w:val="24"/>
          <w:szCs w:val="24"/>
        </w:rPr>
      </w:pPr>
      <w:r>
        <w:rPr>
          <w:rFonts w:hint="eastAsia" w:ascii="黑体" w:eastAsia="黑体"/>
          <w:bCs/>
          <w:sz w:val="28"/>
          <w:szCs w:val="28"/>
        </w:rPr>
        <w:t>项目人员配置考察表</w:t>
      </w:r>
    </w:p>
    <w:p w14:paraId="667047AC">
      <w:pPr>
        <w:spacing w:line="400" w:lineRule="exact"/>
        <w:jc w:val="center"/>
        <w:rPr>
          <w:rFonts w:ascii="黑体" w:eastAsia="黑体"/>
          <w:bCs/>
          <w:sz w:val="28"/>
          <w:szCs w:val="28"/>
        </w:rPr>
      </w:pPr>
    </w:p>
    <w:p w14:paraId="7EB26CB6">
      <w:pPr>
        <w:ind w:firstLine="480"/>
        <w:rPr>
          <w:rFonts w:ascii="黑体" w:eastAsia="黑体"/>
          <w:bCs/>
          <w:sz w:val="24"/>
          <w:szCs w:val="24"/>
        </w:rPr>
      </w:pPr>
      <w:r>
        <w:rPr>
          <w:rFonts w:hint="eastAsia" w:ascii="黑体" w:eastAsia="黑体"/>
          <w:bCs/>
          <w:sz w:val="24"/>
          <w:szCs w:val="24"/>
        </w:rPr>
        <w:t>项目编号：</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4"/>
        <w:gridCol w:w="1052"/>
        <w:gridCol w:w="724"/>
        <w:gridCol w:w="691"/>
        <w:gridCol w:w="807"/>
        <w:gridCol w:w="1218"/>
        <w:gridCol w:w="1226"/>
        <w:gridCol w:w="1752"/>
        <w:gridCol w:w="955"/>
      </w:tblGrid>
      <w:tr w14:paraId="1291D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66" w:type="dxa"/>
            <w:vAlign w:val="center"/>
          </w:tcPr>
          <w:p w14:paraId="2E16363C">
            <w:pPr>
              <w:jc w:val="center"/>
              <w:rPr>
                <w:b/>
                <w:sz w:val="24"/>
              </w:rPr>
            </w:pPr>
            <w:r>
              <w:rPr>
                <w:rFonts w:hint="eastAsia"/>
                <w:b/>
                <w:sz w:val="24"/>
              </w:rPr>
              <w:t>序号</w:t>
            </w:r>
          </w:p>
        </w:tc>
        <w:tc>
          <w:tcPr>
            <w:tcW w:w="1098" w:type="dxa"/>
            <w:vAlign w:val="center"/>
          </w:tcPr>
          <w:p w14:paraId="1F028C38">
            <w:pPr>
              <w:jc w:val="center"/>
              <w:rPr>
                <w:b/>
                <w:sz w:val="24"/>
              </w:rPr>
            </w:pPr>
            <w:r>
              <w:rPr>
                <w:rFonts w:hint="eastAsia"/>
                <w:b/>
                <w:sz w:val="24"/>
              </w:rPr>
              <w:t>姓名</w:t>
            </w:r>
          </w:p>
        </w:tc>
        <w:tc>
          <w:tcPr>
            <w:tcW w:w="744" w:type="dxa"/>
            <w:vAlign w:val="center"/>
          </w:tcPr>
          <w:p w14:paraId="1321F71E">
            <w:pPr>
              <w:jc w:val="center"/>
              <w:rPr>
                <w:b/>
                <w:sz w:val="24"/>
              </w:rPr>
            </w:pPr>
            <w:r>
              <w:rPr>
                <w:rFonts w:hint="eastAsia"/>
                <w:b/>
                <w:sz w:val="24"/>
              </w:rPr>
              <w:t>性别</w:t>
            </w:r>
          </w:p>
        </w:tc>
        <w:tc>
          <w:tcPr>
            <w:tcW w:w="709" w:type="dxa"/>
            <w:vAlign w:val="center"/>
          </w:tcPr>
          <w:p w14:paraId="09904E07">
            <w:pPr>
              <w:jc w:val="center"/>
              <w:rPr>
                <w:b/>
                <w:sz w:val="24"/>
              </w:rPr>
            </w:pPr>
            <w:r>
              <w:rPr>
                <w:rFonts w:hint="eastAsia"/>
                <w:b/>
                <w:sz w:val="24"/>
              </w:rPr>
              <w:t>年龄</w:t>
            </w:r>
          </w:p>
        </w:tc>
        <w:tc>
          <w:tcPr>
            <w:tcW w:w="834" w:type="dxa"/>
            <w:vAlign w:val="center"/>
          </w:tcPr>
          <w:p w14:paraId="3FC53239">
            <w:pPr>
              <w:jc w:val="center"/>
              <w:rPr>
                <w:b/>
                <w:sz w:val="24"/>
              </w:rPr>
            </w:pPr>
            <w:r>
              <w:rPr>
                <w:rFonts w:hint="eastAsia"/>
                <w:b/>
                <w:sz w:val="24"/>
              </w:rPr>
              <w:t>学历</w:t>
            </w:r>
          </w:p>
        </w:tc>
        <w:tc>
          <w:tcPr>
            <w:tcW w:w="1276" w:type="dxa"/>
            <w:vAlign w:val="center"/>
          </w:tcPr>
          <w:p w14:paraId="21CBFF4F">
            <w:pPr>
              <w:jc w:val="center"/>
              <w:rPr>
                <w:b/>
                <w:sz w:val="24"/>
              </w:rPr>
            </w:pPr>
            <w:r>
              <w:rPr>
                <w:rFonts w:hint="eastAsia"/>
                <w:b/>
                <w:sz w:val="24"/>
              </w:rPr>
              <w:t>岗位职责</w:t>
            </w:r>
          </w:p>
        </w:tc>
        <w:tc>
          <w:tcPr>
            <w:tcW w:w="1285" w:type="dxa"/>
            <w:vAlign w:val="center"/>
          </w:tcPr>
          <w:p w14:paraId="0F68E7B0">
            <w:pPr>
              <w:jc w:val="center"/>
              <w:rPr>
                <w:b/>
                <w:sz w:val="24"/>
              </w:rPr>
            </w:pPr>
            <w:r>
              <w:rPr>
                <w:rFonts w:hint="eastAsia"/>
                <w:b/>
                <w:sz w:val="24"/>
              </w:rPr>
              <w:t>人员证书名称</w:t>
            </w:r>
          </w:p>
        </w:tc>
        <w:tc>
          <w:tcPr>
            <w:tcW w:w="1833" w:type="dxa"/>
            <w:vAlign w:val="center"/>
          </w:tcPr>
          <w:p w14:paraId="45A92209">
            <w:pPr>
              <w:jc w:val="center"/>
              <w:rPr>
                <w:b/>
                <w:sz w:val="24"/>
              </w:rPr>
            </w:pPr>
            <w:r>
              <w:rPr>
                <w:rFonts w:hint="eastAsia"/>
                <w:b/>
                <w:sz w:val="24"/>
              </w:rPr>
              <w:t>人员经验描述</w:t>
            </w:r>
          </w:p>
          <w:p w14:paraId="71592881">
            <w:pPr>
              <w:jc w:val="center"/>
              <w:rPr>
                <w:b/>
                <w:sz w:val="24"/>
              </w:rPr>
            </w:pPr>
            <w:r>
              <w:rPr>
                <w:rFonts w:hint="eastAsia"/>
                <w:b/>
                <w:sz w:val="24"/>
              </w:rPr>
              <w:t>（如有要求）</w:t>
            </w:r>
          </w:p>
        </w:tc>
        <w:tc>
          <w:tcPr>
            <w:tcW w:w="992" w:type="dxa"/>
            <w:vAlign w:val="center"/>
          </w:tcPr>
          <w:p w14:paraId="7A556FD9">
            <w:pPr>
              <w:jc w:val="center"/>
              <w:rPr>
                <w:b/>
                <w:sz w:val="24"/>
              </w:rPr>
            </w:pPr>
            <w:r>
              <w:rPr>
                <w:rFonts w:hint="eastAsia"/>
                <w:b/>
                <w:sz w:val="24"/>
              </w:rPr>
              <w:t>备注</w:t>
            </w:r>
          </w:p>
        </w:tc>
      </w:tr>
      <w:tr w14:paraId="7B59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tcPr>
          <w:p w14:paraId="310A0BF6">
            <w:pPr>
              <w:outlineLvl w:val="0"/>
              <w:rPr>
                <w:rFonts w:ascii="黑体" w:eastAsia="黑体"/>
                <w:bCs/>
                <w:sz w:val="24"/>
                <w:szCs w:val="24"/>
              </w:rPr>
            </w:pPr>
          </w:p>
        </w:tc>
        <w:tc>
          <w:tcPr>
            <w:tcW w:w="1098" w:type="dxa"/>
          </w:tcPr>
          <w:p w14:paraId="12C83C17">
            <w:pPr>
              <w:outlineLvl w:val="0"/>
              <w:rPr>
                <w:rFonts w:ascii="黑体" w:eastAsia="黑体"/>
                <w:bCs/>
                <w:sz w:val="24"/>
                <w:szCs w:val="24"/>
              </w:rPr>
            </w:pPr>
          </w:p>
        </w:tc>
        <w:tc>
          <w:tcPr>
            <w:tcW w:w="744" w:type="dxa"/>
            <w:vAlign w:val="center"/>
          </w:tcPr>
          <w:p w14:paraId="64213B64">
            <w:pPr>
              <w:jc w:val="center"/>
              <w:outlineLvl w:val="0"/>
              <w:rPr>
                <w:rFonts w:ascii="黑体" w:eastAsia="黑体"/>
                <w:bCs/>
                <w:sz w:val="24"/>
                <w:szCs w:val="24"/>
              </w:rPr>
            </w:pPr>
          </w:p>
        </w:tc>
        <w:tc>
          <w:tcPr>
            <w:tcW w:w="709" w:type="dxa"/>
            <w:vAlign w:val="center"/>
          </w:tcPr>
          <w:p w14:paraId="443EA1F0">
            <w:pPr>
              <w:jc w:val="center"/>
              <w:outlineLvl w:val="0"/>
              <w:rPr>
                <w:rFonts w:ascii="黑体" w:eastAsia="黑体"/>
                <w:bCs/>
                <w:sz w:val="24"/>
                <w:szCs w:val="24"/>
              </w:rPr>
            </w:pPr>
          </w:p>
        </w:tc>
        <w:tc>
          <w:tcPr>
            <w:tcW w:w="834" w:type="dxa"/>
            <w:vAlign w:val="center"/>
          </w:tcPr>
          <w:p w14:paraId="0F1E7989">
            <w:pPr>
              <w:jc w:val="center"/>
              <w:outlineLvl w:val="0"/>
              <w:rPr>
                <w:rFonts w:ascii="黑体" w:eastAsia="黑体"/>
                <w:bCs/>
                <w:sz w:val="24"/>
                <w:szCs w:val="24"/>
              </w:rPr>
            </w:pPr>
          </w:p>
        </w:tc>
        <w:tc>
          <w:tcPr>
            <w:tcW w:w="1276" w:type="dxa"/>
            <w:vAlign w:val="center"/>
          </w:tcPr>
          <w:p w14:paraId="59C31D3F">
            <w:pPr>
              <w:jc w:val="center"/>
              <w:outlineLvl w:val="0"/>
              <w:rPr>
                <w:rFonts w:ascii="黑体" w:eastAsia="黑体"/>
                <w:bCs/>
                <w:sz w:val="24"/>
                <w:szCs w:val="24"/>
              </w:rPr>
            </w:pPr>
          </w:p>
        </w:tc>
        <w:tc>
          <w:tcPr>
            <w:tcW w:w="1285" w:type="dxa"/>
            <w:vAlign w:val="center"/>
          </w:tcPr>
          <w:p w14:paraId="0FCDC410">
            <w:pPr>
              <w:jc w:val="center"/>
              <w:outlineLvl w:val="0"/>
              <w:rPr>
                <w:rFonts w:ascii="黑体" w:eastAsia="黑体"/>
                <w:bCs/>
                <w:sz w:val="24"/>
                <w:szCs w:val="24"/>
              </w:rPr>
            </w:pPr>
          </w:p>
        </w:tc>
        <w:tc>
          <w:tcPr>
            <w:tcW w:w="1833" w:type="dxa"/>
            <w:vAlign w:val="center"/>
          </w:tcPr>
          <w:p w14:paraId="0D67677B">
            <w:pPr>
              <w:jc w:val="center"/>
              <w:outlineLvl w:val="0"/>
              <w:rPr>
                <w:rFonts w:ascii="黑体" w:eastAsia="黑体"/>
                <w:bCs/>
                <w:sz w:val="24"/>
                <w:szCs w:val="24"/>
              </w:rPr>
            </w:pPr>
          </w:p>
        </w:tc>
        <w:tc>
          <w:tcPr>
            <w:tcW w:w="992" w:type="dxa"/>
            <w:vAlign w:val="center"/>
          </w:tcPr>
          <w:p w14:paraId="05B20C5A">
            <w:pPr>
              <w:jc w:val="center"/>
              <w:outlineLvl w:val="0"/>
              <w:rPr>
                <w:rFonts w:ascii="黑体" w:eastAsia="黑体"/>
                <w:bCs/>
                <w:sz w:val="24"/>
                <w:szCs w:val="24"/>
              </w:rPr>
            </w:pPr>
          </w:p>
        </w:tc>
      </w:tr>
      <w:tr w14:paraId="5E1A0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tcPr>
          <w:p w14:paraId="7CD9F878">
            <w:pPr>
              <w:outlineLvl w:val="0"/>
              <w:rPr>
                <w:rFonts w:ascii="黑体" w:eastAsia="黑体"/>
                <w:bCs/>
                <w:sz w:val="24"/>
                <w:szCs w:val="24"/>
              </w:rPr>
            </w:pPr>
          </w:p>
        </w:tc>
        <w:tc>
          <w:tcPr>
            <w:tcW w:w="1098" w:type="dxa"/>
          </w:tcPr>
          <w:p w14:paraId="164C095F">
            <w:pPr>
              <w:outlineLvl w:val="0"/>
              <w:rPr>
                <w:rFonts w:ascii="黑体" w:eastAsia="黑体"/>
                <w:bCs/>
                <w:sz w:val="24"/>
                <w:szCs w:val="24"/>
              </w:rPr>
            </w:pPr>
          </w:p>
        </w:tc>
        <w:tc>
          <w:tcPr>
            <w:tcW w:w="744" w:type="dxa"/>
            <w:vAlign w:val="center"/>
          </w:tcPr>
          <w:p w14:paraId="3CDFE8F0">
            <w:pPr>
              <w:jc w:val="center"/>
              <w:outlineLvl w:val="0"/>
              <w:rPr>
                <w:rFonts w:ascii="黑体" w:eastAsia="黑体"/>
                <w:bCs/>
                <w:sz w:val="24"/>
                <w:szCs w:val="24"/>
              </w:rPr>
            </w:pPr>
          </w:p>
        </w:tc>
        <w:tc>
          <w:tcPr>
            <w:tcW w:w="709" w:type="dxa"/>
            <w:vAlign w:val="center"/>
          </w:tcPr>
          <w:p w14:paraId="637191F7">
            <w:pPr>
              <w:jc w:val="center"/>
              <w:outlineLvl w:val="0"/>
              <w:rPr>
                <w:rFonts w:ascii="黑体" w:eastAsia="黑体"/>
                <w:bCs/>
                <w:sz w:val="24"/>
                <w:szCs w:val="24"/>
              </w:rPr>
            </w:pPr>
          </w:p>
        </w:tc>
        <w:tc>
          <w:tcPr>
            <w:tcW w:w="834" w:type="dxa"/>
            <w:vAlign w:val="center"/>
          </w:tcPr>
          <w:p w14:paraId="00F5AA46">
            <w:pPr>
              <w:jc w:val="center"/>
              <w:outlineLvl w:val="0"/>
              <w:rPr>
                <w:rFonts w:ascii="黑体" w:eastAsia="黑体"/>
                <w:bCs/>
                <w:sz w:val="24"/>
                <w:szCs w:val="24"/>
              </w:rPr>
            </w:pPr>
          </w:p>
        </w:tc>
        <w:tc>
          <w:tcPr>
            <w:tcW w:w="1276" w:type="dxa"/>
            <w:vAlign w:val="center"/>
          </w:tcPr>
          <w:p w14:paraId="5D519931">
            <w:pPr>
              <w:jc w:val="center"/>
              <w:outlineLvl w:val="0"/>
              <w:rPr>
                <w:rFonts w:ascii="黑体" w:eastAsia="黑体"/>
                <w:bCs/>
                <w:sz w:val="24"/>
                <w:szCs w:val="24"/>
              </w:rPr>
            </w:pPr>
          </w:p>
        </w:tc>
        <w:tc>
          <w:tcPr>
            <w:tcW w:w="1285" w:type="dxa"/>
            <w:vAlign w:val="center"/>
          </w:tcPr>
          <w:p w14:paraId="57024626">
            <w:pPr>
              <w:jc w:val="center"/>
              <w:outlineLvl w:val="0"/>
              <w:rPr>
                <w:rFonts w:ascii="黑体" w:eastAsia="黑体"/>
                <w:bCs/>
                <w:sz w:val="24"/>
                <w:szCs w:val="24"/>
              </w:rPr>
            </w:pPr>
          </w:p>
        </w:tc>
        <w:tc>
          <w:tcPr>
            <w:tcW w:w="1833" w:type="dxa"/>
            <w:vAlign w:val="center"/>
          </w:tcPr>
          <w:p w14:paraId="779769B6">
            <w:pPr>
              <w:jc w:val="center"/>
              <w:outlineLvl w:val="0"/>
              <w:rPr>
                <w:rFonts w:ascii="黑体" w:eastAsia="黑体"/>
                <w:bCs/>
                <w:sz w:val="24"/>
                <w:szCs w:val="24"/>
              </w:rPr>
            </w:pPr>
          </w:p>
        </w:tc>
        <w:tc>
          <w:tcPr>
            <w:tcW w:w="992" w:type="dxa"/>
            <w:vAlign w:val="center"/>
          </w:tcPr>
          <w:p w14:paraId="3FAA3BFA">
            <w:pPr>
              <w:jc w:val="center"/>
              <w:outlineLvl w:val="0"/>
              <w:rPr>
                <w:rFonts w:ascii="黑体" w:eastAsia="黑体"/>
                <w:bCs/>
                <w:sz w:val="24"/>
                <w:szCs w:val="24"/>
              </w:rPr>
            </w:pPr>
          </w:p>
        </w:tc>
      </w:tr>
      <w:tr w14:paraId="741DA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tcPr>
          <w:p w14:paraId="0086B846">
            <w:pPr>
              <w:outlineLvl w:val="0"/>
              <w:rPr>
                <w:rFonts w:ascii="黑体" w:eastAsia="黑体"/>
                <w:bCs/>
                <w:sz w:val="24"/>
                <w:szCs w:val="24"/>
              </w:rPr>
            </w:pPr>
          </w:p>
        </w:tc>
        <w:tc>
          <w:tcPr>
            <w:tcW w:w="1098" w:type="dxa"/>
          </w:tcPr>
          <w:p w14:paraId="61B34EF6">
            <w:pPr>
              <w:outlineLvl w:val="0"/>
              <w:rPr>
                <w:rFonts w:ascii="黑体" w:eastAsia="黑体"/>
                <w:bCs/>
                <w:sz w:val="24"/>
                <w:szCs w:val="24"/>
              </w:rPr>
            </w:pPr>
          </w:p>
        </w:tc>
        <w:tc>
          <w:tcPr>
            <w:tcW w:w="744" w:type="dxa"/>
            <w:vAlign w:val="center"/>
          </w:tcPr>
          <w:p w14:paraId="4D6AE0E8">
            <w:pPr>
              <w:jc w:val="center"/>
              <w:outlineLvl w:val="0"/>
              <w:rPr>
                <w:rFonts w:ascii="黑体" w:eastAsia="黑体"/>
                <w:bCs/>
                <w:sz w:val="24"/>
                <w:szCs w:val="24"/>
              </w:rPr>
            </w:pPr>
          </w:p>
        </w:tc>
        <w:tc>
          <w:tcPr>
            <w:tcW w:w="709" w:type="dxa"/>
            <w:vAlign w:val="center"/>
          </w:tcPr>
          <w:p w14:paraId="748BB4F2">
            <w:pPr>
              <w:jc w:val="center"/>
              <w:outlineLvl w:val="0"/>
              <w:rPr>
                <w:rFonts w:ascii="黑体" w:eastAsia="黑体"/>
                <w:bCs/>
                <w:sz w:val="24"/>
                <w:szCs w:val="24"/>
              </w:rPr>
            </w:pPr>
          </w:p>
        </w:tc>
        <w:tc>
          <w:tcPr>
            <w:tcW w:w="834" w:type="dxa"/>
            <w:vAlign w:val="center"/>
          </w:tcPr>
          <w:p w14:paraId="7722ADB9">
            <w:pPr>
              <w:jc w:val="center"/>
              <w:outlineLvl w:val="0"/>
              <w:rPr>
                <w:rFonts w:ascii="黑体" w:eastAsia="黑体"/>
                <w:bCs/>
                <w:sz w:val="24"/>
                <w:szCs w:val="24"/>
              </w:rPr>
            </w:pPr>
          </w:p>
        </w:tc>
        <w:tc>
          <w:tcPr>
            <w:tcW w:w="1276" w:type="dxa"/>
            <w:vAlign w:val="center"/>
          </w:tcPr>
          <w:p w14:paraId="2732E128">
            <w:pPr>
              <w:jc w:val="center"/>
              <w:outlineLvl w:val="0"/>
              <w:rPr>
                <w:rFonts w:ascii="黑体" w:eastAsia="黑体"/>
                <w:bCs/>
                <w:sz w:val="24"/>
                <w:szCs w:val="24"/>
              </w:rPr>
            </w:pPr>
          </w:p>
        </w:tc>
        <w:tc>
          <w:tcPr>
            <w:tcW w:w="1285" w:type="dxa"/>
            <w:vAlign w:val="center"/>
          </w:tcPr>
          <w:p w14:paraId="6DA06A59">
            <w:pPr>
              <w:jc w:val="center"/>
              <w:outlineLvl w:val="0"/>
              <w:rPr>
                <w:rFonts w:ascii="黑体" w:eastAsia="黑体"/>
                <w:bCs/>
                <w:sz w:val="24"/>
                <w:szCs w:val="24"/>
              </w:rPr>
            </w:pPr>
          </w:p>
        </w:tc>
        <w:tc>
          <w:tcPr>
            <w:tcW w:w="1833" w:type="dxa"/>
            <w:vAlign w:val="center"/>
          </w:tcPr>
          <w:p w14:paraId="20F4B785">
            <w:pPr>
              <w:jc w:val="center"/>
              <w:outlineLvl w:val="0"/>
              <w:rPr>
                <w:rFonts w:ascii="黑体" w:eastAsia="黑体"/>
                <w:bCs/>
                <w:sz w:val="24"/>
                <w:szCs w:val="24"/>
              </w:rPr>
            </w:pPr>
          </w:p>
        </w:tc>
        <w:tc>
          <w:tcPr>
            <w:tcW w:w="992" w:type="dxa"/>
            <w:vAlign w:val="center"/>
          </w:tcPr>
          <w:p w14:paraId="4EA062EC">
            <w:pPr>
              <w:jc w:val="center"/>
              <w:outlineLvl w:val="0"/>
              <w:rPr>
                <w:rFonts w:ascii="黑体" w:eastAsia="黑体"/>
                <w:bCs/>
                <w:sz w:val="24"/>
                <w:szCs w:val="24"/>
              </w:rPr>
            </w:pPr>
          </w:p>
        </w:tc>
      </w:tr>
      <w:tr w14:paraId="16377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tcPr>
          <w:p w14:paraId="017412D5">
            <w:pPr>
              <w:outlineLvl w:val="0"/>
              <w:rPr>
                <w:rFonts w:ascii="黑体" w:eastAsia="黑体"/>
                <w:bCs/>
                <w:sz w:val="24"/>
                <w:szCs w:val="24"/>
              </w:rPr>
            </w:pPr>
          </w:p>
        </w:tc>
        <w:tc>
          <w:tcPr>
            <w:tcW w:w="1098" w:type="dxa"/>
          </w:tcPr>
          <w:p w14:paraId="336E043A">
            <w:pPr>
              <w:outlineLvl w:val="0"/>
              <w:rPr>
                <w:rFonts w:ascii="黑体" w:eastAsia="黑体"/>
                <w:bCs/>
                <w:sz w:val="24"/>
                <w:szCs w:val="24"/>
              </w:rPr>
            </w:pPr>
          </w:p>
        </w:tc>
        <w:tc>
          <w:tcPr>
            <w:tcW w:w="744" w:type="dxa"/>
            <w:vAlign w:val="center"/>
          </w:tcPr>
          <w:p w14:paraId="54A702B6">
            <w:pPr>
              <w:jc w:val="center"/>
              <w:outlineLvl w:val="0"/>
              <w:rPr>
                <w:rFonts w:ascii="黑体" w:eastAsia="黑体"/>
                <w:bCs/>
                <w:sz w:val="24"/>
                <w:szCs w:val="24"/>
              </w:rPr>
            </w:pPr>
          </w:p>
        </w:tc>
        <w:tc>
          <w:tcPr>
            <w:tcW w:w="709" w:type="dxa"/>
            <w:vAlign w:val="center"/>
          </w:tcPr>
          <w:p w14:paraId="717714B7">
            <w:pPr>
              <w:jc w:val="center"/>
              <w:outlineLvl w:val="0"/>
              <w:rPr>
                <w:rFonts w:ascii="黑体" w:eastAsia="黑体"/>
                <w:bCs/>
                <w:sz w:val="24"/>
                <w:szCs w:val="24"/>
              </w:rPr>
            </w:pPr>
          </w:p>
        </w:tc>
        <w:tc>
          <w:tcPr>
            <w:tcW w:w="834" w:type="dxa"/>
            <w:vAlign w:val="center"/>
          </w:tcPr>
          <w:p w14:paraId="15AD9012">
            <w:pPr>
              <w:jc w:val="center"/>
              <w:outlineLvl w:val="0"/>
              <w:rPr>
                <w:rFonts w:ascii="黑体" w:eastAsia="黑体"/>
                <w:bCs/>
                <w:sz w:val="24"/>
                <w:szCs w:val="24"/>
              </w:rPr>
            </w:pPr>
          </w:p>
        </w:tc>
        <w:tc>
          <w:tcPr>
            <w:tcW w:w="1276" w:type="dxa"/>
            <w:vAlign w:val="center"/>
          </w:tcPr>
          <w:p w14:paraId="2B25D31E">
            <w:pPr>
              <w:jc w:val="center"/>
              <w:outlineLvl w:val="0"/>
              <w:rPr>
                <w:rFonts w:ascii="黑体" w:eastAsia="黑体"/>
                <w:bCs/>
                <w:sz w:val="24"/>
                <w:szCs w:val="24"/>
              </w:rPr>
            </w:pPr>
          </w:p>
        </w:tc>
        <w:tc>
          <w:tcPr>
            <w:tcW w:w="1285" w:type="dxa"/>
            <w:vAlign w:val="center"/>
          </w:tcPr>
          <w:p w14:paraId="227CDA23">
            <w:pPr>
              <w:jc w:val="center"/>
              <w:outlineLvl w:val="0"/>
              <w:rPr>
                <w:rFonts w:ascii="黑体" w:eastAsia="黑体"/>
                <w:bCs/>
                <w:sz w:val="24"/>
                <w:szCs w:val="24"/>
              </w:rPr>
            </w:pPr>
          </w:p>
        </w:tc>
        <w:tc>
          <w:tcPr>
            <w:tcW w:w="1833" w:type="dxa"/>
            <w:vAlign w:val="center"/>
          </w:tcPr>
          <w:p w14:paraId="15A3AADC">
            <w:pPr>
              <w:jc w:val="center"/>
              <w:outlineLvl w:val="0"/>
              <w:rPr>
                <w:rFonts w:ascii="黑体" w:eastAsia="黑体"/>
                <w:bCs/>
                <w:sz w:val="24"/>
                <w:szCs w:val="24"/>
              </w:rPr>
            </w:pPr>
          </w:p>
        </w:tc>
        <w:tc>
          <w:tcPr>
            <w:tcW w:w="992" w:type="dxa"/>
            <w:vAlign w:val="center"/>
          </w:tcPr>
          <w:p w14:paraId="0F8E7B0F">
            <w:pPr>
              <w:jc w:val="center"/>
              <w:outlineLvl w:val="0"/>
              <w:rPr>
                <w:rFonts w:ascii="黑体" w:eastAsia="黑体"/>
                <w:bCs/>
                <w:sz w:val="24"/>
                <w:szCs w:val="24"/>
              </w:rPr>
            </w:pPr>
          </w:p>
        </w:tc>
      </w:tr>
      <w:tr w14:paraId="068D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tcPr>
          <w:p w14:paraId="42066E5B">
            <w:pPr>
              <w:outlineLvl w:val="0"/>
              <w:rPr>
                <w:rFonts w:ascii="黑体" w:eastAsia="黑体"/>
                <w:bCs/>
                <w:sz w:val="24"/>
                <w:szCs w:val="24"/>
              </w:rPr>
            </w:pPr>
          </w:p>
        </w:tc>
        <w:tc>
          <w:tcPr>
            <w:tcW w:w="1098" w:type="dxa"/>
          </w:tcPr>
          <w:p w14:paraId="64490F5A">
            <w:pPr>
              <w:outlineLvl w:val="0"/>
              <w:rPr>
                <w:rFonts w:ascii="黑体" w:eastAsia="黑体"/>
                <w:bCs/>
                <w:sz w:val="24"/>
                <w:szCs w:val="24"/>
              </w:rPr>
            </w:pPr>
          </w:p>
        </w:tc>
        <w:tc>
          <w:tcPr>
            <w:tcW w:w="744" w:type="dxa"/>
            <w:vAlign w:val="center"/>
          </w:tcPr>
          <w:p w14:paraId="31F5D5FB">
            <w:pPr>
              <w:jc w:val="center"/>
              <w:outlineLvl w:val="0"/>
              <w:rPr>
                <w:rFonts w:ascii="黑体" w:eastAsia="黑体"/>
                <w:bCs/>
                <w:sz w:val="24"/>
                <w:szCs w:val="24"/>
              </w:rPr>
            </w:pPr>
          </w:p>
        </w:tc>
        <w:tc>
          <w:tcPr>
            <w:tcW w:w="709" w:type="dxa"/>
            <w:vAlign w:val="center"/>
          </w:tcPr>
          <w:p w14:paraId="6C258D47">
            <w:pPr>
              <w:jc w:val="center"/>
              <w:outlineLvl w:val="0"/>
              <w:rPr>
                <w:rFonts w:ascii="黑体" w:eastAsia="黑体"/>
                <w:bCs/>
                <w:sz w:val="24"/>
                <w:szCs w:val="24"/>
              </w:rPr>
            </w:pPr>
          </w:p>
        </w:tc>
        <w:tc>
          <w:tcPr>
            <w:tcW w:w="834" w:type="dxa"/>
            <w:vAlign w:val="center"/>
          </w:tcPr>
          <w:p w14:paraId="58752EA4">
            <w:pPr>
              <w:jc w:val="center"/>
              <w:outlineLvl w:val="0"/>
              <w:rPr>
                <w:rFonts w:ascii="黑体" w:eastAsia="黑体"/>
                <w:bCs/>
                <w:sz w:val="24"/>
                <w:szCs w:val="24"/>
              </w:rPr>
            </w:pPr>
          </w:p>
        </w:tc>
        <w:tc>
          <w:tcPr>
            <w:tcW w:w="1276" w:type="dxa"/>
            <w:vAlign w:val="center"/>
          </w:tcPr>
          <w:p w14:paraId="444EB313">
            <w:pPr>
              <w:jc w:val="center"/>
              <w:outlineLvl w:val="0"/>
              <w:rPr>
                <w:rFonts w:ascii="黑体" w:eastAsia="黑体"/>
                <w:bCs/>
                <w:sz w:val="24"/>
                <w:szCs w:val="24"/>
              </w:rPr>
            </w:pPr>
          </w:p>
        </w:tc>
        <w:tc>
          <w:tcPr>
            <w:tcW w:w="1285" w:type="dxa"/>
            <w:vAlign w:val="center"/>
          </w:tcPr>
          <w:p w14:paraId="4B089EC6">
            <w:pPr>
              <w:jc w:val="center"/>
              <w:outlineLvl w:val="0"/>
              <w:rPr>
                <w:rFonts w:ascii="黑体" w:eastAsia="黑体"/>
                <w:bCs/>
                <w:sz w:val="24"/>
                <w:szCs w:val="24"/>
              </w:rPr>
            </w:pPr>
          </w:p>
        </w:tc>
        <w:tc>
          <w:tcPr>
            <w:tcW w:w="1833" w:type="dxa"/>
            <w:vAlign w:val="center"/>
          </w:tcPr>
          <w:p w14:paraId="2DC0B518">
            <w:pPr>
              <w:jc w:val="center"/>
              <w:outlineLvl w:val="0"/>
              <w:rPr>
                <w:rFonts w:ascii="黑体" w:eastAsia="黑体"/>
                <w:bCs/>
                <w:sz w:val="24"/>
                <w:szCs w:val="24"/>
              </w:rPr>
            </w:pPr>
          </w:p>
        </w:tc>
        <w:tc>
          <w:tcPr>
            <w:tcW w:w="992" w:type="dxa"/>
            <w:vAlign w:val="center"/>
          </w:tcPr>
          <w:p w14:paraId="4C35A22B">
            <w:pPr>
              <w:jc w:val="center"/>
              <w:outlineLvl w:val="0"/>
              <w:rPr>
                <w:rFonts w:ascii="黑体" w:eastAsia="黑体"/>
                <w:bCs/>
                <w:sz w:val="24"/>
                <w:szCs w:val="24"/>
              </w:rPr>
            </w:pPr>
          </w:p>
        </w:tc>
      </w:tr>
    </w:tbl>
    <w:p w14:paraId="0600283B">
      <w:pPr>
        <w:rPr>
          <w:rFonts w:ascii="黑体" w:eastAsia="黑体"/>
          <w:bCs/>
          <w:sz w:val="24"/>
          <w:szCs w:val="24"/>
        </w:rPr>
      </w:pPr>
    </w:p>
    <w:p w14:paraId="09929E9D">
      <w:pPr>
        <w:rPr>
          <w:rFonts w:ascii="黑体" w:eastAsia="黑体"/>
          <w:bCs/>
          <w:sz w:val="24"/>
          <w:szCs w:val="24"/>
        </w:rPr>
      </w:pPr>
      <w:r>
        <w:rPr>
          <w:rFonts w:hint="eastAsia" w:ascii="黑体" w:eastAsia="黑体"/>
          <w:bCs/>
          <w:sz w:val="24"/>
          <w:szCs w:val="24"/>
        </w:rPr>
        <w:t>投标人名称（盖章）：</w:t>
      </w:r>
    </w:p>
    <w:p w14:paraId="216C0CFF">
      <w:pPr>
        <w:rPr>
          <w:rFonts w:ascii="宋体" w:hAnsi="宋体"/>
          <w:bCs/>
        </w:rPr>
      </w:pPr>
    </w:p>
    <w:p w14:paraId="149185BB">
      <w:pPr>
        <w:rPr>
          <w:rFonts w:ascii="宋体" w:hAnsi="宋体"/>
          <w:bCs/>
        </w:rPr>
      </w:pPr>
    </w:p>
    <w:p w14:paraId="19ED923E">
      <w:pPr>
        <w:rPr>
          <w:rFonts w:ascii="宋体" w:hAnsi="宋体"/>
          <w:bCs/>
        </w:rPr>
      </w:pPr>
    </w:p>
    <w:p w14:paraId="4F61C6AC">
      <w:pPr>
        <w:rPr>
          <w:rFonts w:ascii="宋体" w:hAnsi="宋体"/>
          <w:bCs/>
        </w:rPr>
      </w:pPr>
    </w:p>
    <w:p w14:paraId="1E361DCC">
      <w:pPr>
        <w:rPr>
          <w:rFonts w:ascii="宋体" w:hAnsi="宋体"/>
          <w:bCs/>
        </w:rPr>
      </w:pPr>
    </w:p>
    <w:p w14:paraId="2AA3FC50">
      <w:pPr>
        <w:rPr>
          <w:rFonts w:ascii="宋体" w:hAnsi="宋体"/>
          <w:bCs/>
        </w:rPr>
      </w:pPr>
    </w:p>
    <w:p w14:paraId="54E46ED8">
      <w:pPr>
        <w:rPr>
          <w:rFonts w:ascii="宋体" w:hAnsi="宋体"/>
          <w:bCs/>
        </w:rPr>
      </w:pPr>
    </w:p>
    <w:p w14:paraId="2D3C0E81">
      <w:pPr>
        <w:rPr>
          <w:rFonts w:ascii="宋体" w:hAnsi="宋体"/>
          <w:bCs/>
        </w:rPr>
      </w:pPr>
    </w:p>
    <w:p w14:paraId="5C80DAED">
      <w:pPr>
        <w:rPr>
          <w:rFonts w:ascii="宋体" w:hAnsi="宋体"/>
          <w:bCs/>
        </w:rPr>
      </w:pPr>
    </w:p>
    <w:p w14:paraId="36CC550B">
      <w:pPr>
        <w:rPr>
          <w:rFonts w:ascii="宋体" w:hAnsi="宋体"/>
          <w:bCs/>
        </w:rPr>
      </w:pPr>
    </w:p>
    <w:p w14:paraId="327EF37A">
      <w:pPr>
        <w:rPr>
          <w:rFonts w:ascii="宋体" w:hAnsi="宋体"/>
          <w:bCs/>
        </w:rPr>
      </w:pPr>
    </w:p>
    <w:p w14:paraId="56AC0482">
      <w:pPr>
        <w:rPr>
          <w:rFonts w:ascii="宋体" w:hAnsi="宋体"/>
          <w:bCs/>
        </w:rPr>
      </w:pPr>
    </w:p>
    <w:p w14:paraId="508A368F">
      <w:pPr>
        <w:rPr>
          <w:rFonts w:ascii="宋体" w:hAnsi="宋体"/>
          <w:bCs/>
        </w:rPr>
      </w:pPr>
      <w:r>
        <w:rPr>
          <w:rFonts w:hint="eastAsia" w:ascii="宋体" w:hAnsi="宋体"/>
          <w:bCs/>
        </w:rPr>
        <w:t>注：1. 本表对应评分标准中的项目人员配置情况，表格不够可自行延长。</w:t>
      </w:r>
    </w:p>
    <w:p w14:paraId="31E3DAD1">
      <w:r>
        <w:rPr>
          <w:rFonts w:hint="eastAsia" w:ascii="宋体" w:hAnsi="宋体"/>
          <w:bCs/>
        </w:rPr>
        <w:t>2. 上表内容须按评分标准中的相关要求提供相应证明材料。</w:t>
      </w:r>
    </w:p>
    <w:p w14:paraId="51A6ADBA">
      <w:pPr>
        <w:rPr>
          <w:rFonts w:ascii="宋体" w:hAnsi="宋体"/>
          <w:bCs/>
        </w:rPr>
      </w:pPr>
      <w:r>
        <w:rPr>
          <w:rFonts w:hint="eastAsia" w:ascii="宋体" w:hAnsi="宋体"/>
          <w:bCs/>
        </w:rPr>
        <w:t>3.证明材料均请附在本表之后。</w:t>
      </w:r>
    </w:p>
    <w:p w14:paraId="02FFF8F7">
      <w:pPr>
        <w:rPr>
          <w:rFonts w:asciiTheme="minorEastAsia" w:hAnsiTheme="minorEastAsia"/>
          <w:bCs/>
          <w:color w:val="000000" w:themeColor="text1"/>
          <w:sz w:val="30"/>
        </w:rPr>
      </w:pPr>
    </w:p>
    <w:sectPr>
      <w:headerReference r:id="rId3" w:type="first"/>
      <w:footerReference r:id="rId6" w:type="first"/>
      <w:footerReference r:id="rId4" w:type="default"/>
      <w:footerReference r:id="rId5" w:type="even"/>
      <w:pgSz w:w="11906" w:h="16838"/>
      <w:pgMar w:top="1417" w:right="1587" w:bottom="1417" w:left="1366" w:header="624" w:footer="907"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77566"/>
    </w:sdtPr>
    <w:sdtContent>
      <w:p w14:paraId="14F840A2">
        <w:pPr>
          <w:pStyle w:val="27"/>
          <w:jc w:val="center"/>
        </w:pPr>
        <w:r>
          <w:fldChar w:fldCharType="begin"/>
        </w:r>
        <w:r>
          <w:instrText xml:space="preserve"> PAGE   \* MERGEFORMAT </w:instrText>
        </w:r>
        <w:r>
          <w:fldChar w:fldCharType="separate"/>
        </w:r>
        <w:r>
          <w:rPr>
            <w:lang w:val="zh-CN"/>
          </w:rPr>
          <w:t>45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058D">
    <w:pPr>
      <w:pStyle w:val="27"/>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1</w:t>
    </w:r>
    <w:r>
      <w:rPr>
        <w:rStyle w:val="51"/>
      </w:rPr>
      <w:fldChar w:fldCharType="end"/>
    </w:r>
  </w:p>
  <w:p w14:paraId="4A8E63C1">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1159">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E497">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248C179"/>
    <w:multiLevelType w:val="multilevel"/>
    <w:tmpl w:val="0248C17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3D62ECE"/>
    <w:multiLevelType w:val="multilevel"/>
    <w:tmpl w:val="03D62EC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D467567"/>
    <w:multiLevelType w:val="multilevel"/>
    <w:tmpl w:val="0D467567"/>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000000"/>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A3066D6"/>
    <w:multiLevelType w:val="multilevel"/>
    <w:tmpl w:val="1A3066D6"/>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320"/>
      <w:suff w:val="nothing"/>
      <w:lvlText w:val=""/>
      <w:lvlJc w:val="left"/>
      <w:pPr>
        <w:ind w:left="0" w:firstLine="0"/>
      </w:pPr>
      <w:rPr>
        <w:rFonts w:hint="eastAsia"/>
      </w:rPr>
    </w:lvl>
    <w:lvl w:ilvl="6" w:tentative="0">
      <w:start w:val="1"/>
      <w:numFmt w:val="decimal"/>
      <w:pStyle w:val="322"/>
      <w:suff w:val="nothing"/>
      <w:lvlText w:val=""/>
      <w:lvlJc w:val="left"/>
      <w:pPr>
        <w:ind w:left="0" w:firstLine="0"/>
      </w:pPr>
      <w:rPr>
        <w:rFonts w:hint="eastAsia"/>
      </w:rPr>
    </w:lvl>
    <w:lvl w:ilvl="7" w:tentative="0">
      <w:start w:val="1"/>
      <w:numFmt w:val="decimal"/>
      <w:pStyle w:val="324"/>
      <w:suff w:val="nothing"/>
      <w:lvlText w:val=""/>
      <w:lvlJc w:val="left"/>
      <w:pPr>
        <w:ind w:left="0" w:firstLine="0"/>
      </w:pPr>
      <w:rPr>
        <w:rFonts w:hint="eastAsia"/>
      </w:rPr>
    </w:lvl>
    <w:lvl w:ilvl="8" w:tentative="0">
      <w:start w:val="1"/>
      <w:numFmt w:val="decimal"/>
      <w:pStyle w:val="326"/>
      <w:suff w:val="nothing"/>
      <w:lvlText w:val=""/>
      <w:lvlJc w:val="left"/>
      <w:pPr>
        <w:ind w:left="0" w:firstLine="0"/>
      </w:pPr>
      <w:rPr>
        <w:rFonts w:hint="eastAsia"/>
      </w:rPr>
    </w:lvl>
  </w:abstractNum>
  <w:abstractNum w:abstractNumId="5">
    <w:nsid w:val="29502967"/>
    <w:multiLevelType w:val="multilevel"/>
    <w:tmpl w:val="29502967"/>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6">
    <w:nsid w:val="49D94F2E"/>
    <w:multiLevelType w:val="multilevel"/>
    <w:tmpl w:val="49D94F2E"/>
    <w:lvl w:ilvl="0" w:tentative="0">
      <w:start w:val="1"/>
      <w:numFmt w:val="upperLetter"/>
      <w:pStyle w:val="384"/>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7">
    <w:nsid w:val="49E77259"/>
    <w:multiLevelType w:val="multilevel"/>
    <w:tmpl w:val="49E77259"/>
    <w:lvl w:ilvl="0" w:tentative="0">
      <w:start w:val="1"/>
      <w:numFmt w:val="japaneseCounting"/>
      <w:lvlText w:val="第%1章"/>
      <w:lvlJc w:val="left"/>
      <w:pPr>
        <w:tabs>
          <w:tab w:val="left" w:pos="1440"/>
        </w:tabs>
        <w:ind w:left="1440" w:hanging="1440"/>
      </w:pPr>
      <w:rPr>
        <w:rFonts w:hint="eastAsia" w:ascii="宋体" w:hAnsi="宋体" w:eastAsia="宋体"/>
        <w:b w:val="0"/>
        <w:sz w:val="30"/>
        <w:szCs w:val="3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8">
    <w:nsid w:val="59A0128C"/>
    <w:multiLevelType w:val="multilevel"/>
    <w:tmpl w:val="59A0128C"/>
    <w:lvl w:ilvl="0" w:tentative="0">
      <w:start w:val="1"/>
      <w:numFmt w:val="decimal"/>
      <w:pStyle w:val="39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5EA812E2"/>
    <w:multiLevelType w:val="multilevel"/>
    <w:tmpl w:val="5EA812E2"/>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0">
    <w:nsid w:val="6E21A275"/>
    <w:multiLevelType w:val="singleLevel"/>
    <w:tmpl w:val="6E21A275"/>
    <w:lvl w:ilvl="0" w:tentative="0">
      <w:start w:val="2"/>
      <w:numFmt w:val="decimal"/>
      <w:suff w:val="nothing"/>
      <w:lvlText w:val="（%1）"/>
      <w:lvlJc w:val="left"/>
    </w:lvl>
  </w:abstractNum>
  <w:abstractNum w:abstractNumId="11">
    <w:nsid w:val="71D54D18"/>
    <w:multiLevelType w:val="multilevel"/>
    <w:tmpl w:val="71D54D18"/>
    <w:lvl w:ilvl="0" w:tentative="0">
      <w:start w:val="1"/>
      <w:numFmt w:val="upperLetter"/>
      <w:pStyle w:val="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4"/>
  </w:num>
  <w:num w:numId="3">
    <w:abstractNumId w:val="6"/>
  </w:num>
  <w:num w:numId="4">
    <w:abstractNumId w:val="8"/>
  </w:num>
  <w:num w:numId="5">
    <w:abstractNumId w:val="7"/>
  </w:num>
  <w:num w:numId="6">
    <w:abstractNumId w:val="10"/>
  </w:num>
  <w:num w:numId="7">
    <w:abstractNumId w:val="0"/>
  </w:num>
  <w:num w:numId="8">
    <w:abstractNumId w:val="2"/>
  </w:num>
  <w:num w:numId="9">
    <w:abstractNumId w:val="9"/>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IwMTFkOWI4ZjMxZDg1NGRmZTFkODc5ZjI4ZTlhOGYifQ=="/>
  </w:docVars>
  <w:rsids>
    <w:rsidRoot w:val="00202940"/>
    <w:rsid w:val="0000277F"/>
    <w:rsid w:val="00002E90"/>
    <w:rsid w:val="00006836"/>
    <w:rsid w:val="000077BF"/>
    <w:rsid w:val="000120B6"/>
    <w:rsid w:val="00012E25"/>
    <w:rsid w:val="0001651A"/>
    <w:rsid w:val="00021C62"/>
    <w:rsid w:val="00023F37"/>
    <w:rsid w:val="00025CDA"/>
    <w:rsid w:val="00027136"/>
    <w:rsid w:val="00034D2D"/>
    <w:rsid w:val="00036FAE"/>
    <w:rsid w:val="0003756D"/>
    <w:rsid w:val="00045099"/>
    <w:rsid w:val="000467D6"/>
    <w:rsid w:val="00046802"/>
    <w:rsid w:val="00047E0E"/>
    <w:rsid w:val="000525EC"/>
    <w:rsid w:val="00055659"/>
    <w:rsid w:val="00057274"/>
    <w:rsid w:val="00061BFB"/>
    <w:rsid w:val="0006261F"/>
    <w:rsid w:val="00064F9E"/>
    <w:rsid w:val="0006786C"/>
    <w:rsid w:val="00071CFE"/>
    <w:rsid w:val="00072395"/>
    <w:rsid w:val="00072820"/>
    <w:rsid w:val="0007466C"/>
    <w:rsid w:val="000775F4"/>
    <w:rsid w:val="00077D5F"/>
    <w:rsid w:val="00077F04"/>
    <w:rsid w:val="00080089"/>
    <w:rsid w:val="000819D1"/>
    <w:rsid w:val="000826A7"/>
    <w:rsid w:val="0008407C"/>
    <w:rsid w:val="0009275C"/>
    <w:rsid w:val="0009617D"/>
    <w:rsid w:val="00096B78"/>
    <w:rsid w:val="000A01C4"/>
    <w:rsid w:val="000A611A"/>
    <w:rsid w:val="000A6AC0"/>
    <w:rsid w:val="000B1BEA"/>
    <w:rsid w:val="000B2CE7"/>
    <w:rsid w:val="000B3235"/>
    <w:rsid w:val="000C394C"/>
    <w:rsid w:val="000D39C2"/>
    <w:rsid w:val="000D457A"/>
    <w:rsid w:val="000D6F69"/>
    <w:rsid w:val="000D7793"/>
    <w:rsid w:val="000D7EFB"/>
    <w:rsid w:val="000E3BA5"/>
    <w:rsid w:val="000E48C7"/>
    <w:rsid w:val="000E547E"/>
    <w:rsid w:val="000E6A08"/>
    <w:rsid w:val="000F13DD"/>
    <w:rsid w:val="000F18E1"/>
    <w:rsid w:val="000F2625"/>
    <w:rsid w:val="000F3F52"/>
    <w:rsid w:val="000F4EF1"/>
    <w:rsid w:val="000F7358"/>
    <w:rsid w:val="00101B15"/>
    <w:rsid w:val="00102510"/>
    <w:rsid w:val="0010690C"/>
    <w:rsid w:val="001111BA"/>
    <w:rsid w:val="0011241E"/>
    <w:rsid w:val="00113018"/>
    <w:rsid w:val="0011684F"/>
    <w:rsid w:val="00123E77"/>
    <w:rsid w:val="0012630D"/>
    <w:rsid w:val="001313B9"/>
    <w:rsid w:val="0013190C"/>
    <w:rsid w:val="0013250F"/>
    <w:rsid w:val="00132F06"/>
    <w:rsid w:val="00133344"/>
    <w:rsid w:val="001336EC"/>
    <w:rsid w:val="00133FEA"/>
    <w:rsid w:val="00134D9F"/>
    <w:rsid w:val="00134E3E"/>
    <w:rsid w:val="001370A3"/>
    <w:rsid w:val="0013765A"/>
    <w:rsid w:val="00143177"/>
    <w:rsid w:val="00153C8D"/>
    <w:rsid w:val="00153F19"/>
    <w:rsid w:val="001645F2"/>
    <w:rsid w:val="0016695E"/>
    <w:rsid w:val="00166A1C"/>
    <w:rsid w:val="00167D67"/>
    <w:rsid w:val="00177ED9"/>
    <w:rsid w:val="00180068"/>
    <w:rsid w:val="00182575"/>
    <w:rsid w:val="0018434D"/>
    <w:rsid w:val="001851A5"/>
    <w:rsid w:val="00186556"/>
    <w:rsid w:val="00186C19"/>
    <w:rsid w:val="00190456"/>
    <w:rsid w:val="001969AE"/>
    <w:rsid w:val="00197209"/>
    <w:rsid w:val="001B76D5"/>
    <w:rsid w:val="001B7F53"/>
    <w:rsid w:val="001C0260"/>
    <w:rsid w:val="001C0741"/>
    <w:rsid w:val="001C0B47"/>
    <w:rsid w:val="001C0DBC"/>
    <w:rsid w:val="001C28DA"/>
    <w:rsid w:val="001C4217"/>
    <w:rsid w:val="001C4B06"/>
    <w:rsid w:val="001D057D"/>
    <w:rsid w:val="001E4668"/>
    <w:rsid w:val="001F152F"/>
    <w:rsid w:val="001F1547"/>
    <w:rsid w:val="0020055E"/>
    <w:rsid w:val="00202940"/>
    <w:rsid w:val="0020399D"/>
    <w:rsid w:val="00203A18"/>
    <w:rsid w:val="00204689"/>
    <w:rsid w:val="00207EEF"/>
    <w:rsid w:val="00214A51"/>
    <w:rsid w:val="00217614"/>
    <w:rsid w:val="002203D4"/>
    <w:rsid w:val="00220976"/>
    <w:rsid w:val="00221F46"/>
    <w:rsid w:val="00230D81"/>
    <w:rsid w:val="00231546"/>
    <w:rsid w:val="0023292C"/>
    <w:rsid w:val="00242E47"/>
    <w:rsid w:val="002444C5"/>
    <w:rsid w:val="00250429"/>
    <w:rsid w:val="002520C9"/>
    <w:rsid w:val="002543DA"/>
    <w:rsid w:val="00255030"/>
    <w:rsid w:val="00255584"/>
    <w:rsid w:val="00257524"/>
    <w:rsid w:val="00262AA9"/>
    <w:rsid w:val="00263D3A"/>
    <w:rsid w:val="002653B3"/>
    <w:rsid w:val="00273B9C"/>
    <w:rsid w:val="002743A0"/>
    <w:rsid w:val="00274DB6"/>
    <w:rsid w:val="00276832"/>
    <w:rsid w:val="00280BDD"/>
    <w:rsid w:val="002849CD"/>
    <w:rsid w:val="00291D0B"/>
    <w:rsid w:val="00292AC4"/>
    <w:rsid w:val="00292C17"/>
    <w:rsid w:val="0029346D"/>
    <w:rsid w:val="00294619"/>
    <w:rsid w:val="002946D4"/>
    <w:rsid w:val="00294EC8"/>
    <w:rsid w:val="002A1584"/>
    <w:rsid w:val="002A15D1"/>
    <w:rsid w:val="002A7AF7"/>
    <w:rsid w:val="002B116C"/>
    <w:rsid w:val="002B252E"/>
    <w:rsid w:val="002B2578"/>
    <w:rsid w:val="002D03B7"/>
    <w:rsid w:val="002D2483"/>
    <w:rsid w:val="002D3797"/>
    <w:rsid w:val="002D4483"/>
    <w:rsid w:val="002D4E24"/>
    <w:rsid w:val="002D6B2A"/>
    <w:rsid w:val="002E0687"/>
    <w:rsid w:val="002E151C"/>
    <w:rsid w:val="002E1F11"/>
    <w:rsid w:val="002F2892"/>
    <w:rsid w:val="00300C23"/>
    <w:rsid w:val="00301DEA"/>
    <w:rsid w:val="003042CC"/>
    <w:rsid w:val="00304744"/>
    <w:rsid w:val="00305E08"/>
    <w:rsid w:val="00312648"/>
    <w:rsid w:val="00312CCA"/>
    <w:rsid w:val="003173A9"/>
    <w:rsid w:val="00317B6E"/>
    <w:rsid w:val="00320925"/>
    <w:rsid w:val="0032309C"/>
    <w:rsid w:val="003245E2"/>
    <w:rsid w:val="0033294C"/>
    <w:rsid w:val="003373D3"/>
    <w:rsid w:val="003376C5"/>
    <w:rsid w:val="00337F02"/>
    <w:rsid w:val="00344410"/>
    <w:rsid w:val="00345D31"/>
    <w:rsid w:val="00346850"/>
    <w:rsid w:val="00347327"/>
    <w:rsid w:val="00351B48"/>
    <w:rsid w:val="003563D9"/>
    <w:rsid w:val="00361602"/>
    <w:rsid w:val="00362634"/>
    <w:rsid w:val="003631D4"/>
    <w:rsid w:val="00370D51"/>
    <w:rsid w:val="0037105D"/>
    <w:rsid w:val="00374D29"/>
    <w:rsid w:val="00377A89"/>
    <w:rsid w:val="003818A1"/>
    <w:rsid w:val="0038685B"/>
    <w:rsid w:val="00386CC2"/>
    <w:rsid w:val="003875D1"/>
    <w:rsid w:val="00391870"/>
    <w:rsid w:val="003938C0"/>
    <w:rsid w:val="003946A1"/>
    <w:rsid w:val="0039799C"/>
    <w:rsid w:val="003A1635"/>
    <w:rsid w:val="003A2B32"/>
    <w:rsid w:val="003A30AE"/>
    <w:rsid w:val="003A5E12"/>
    <w:rsid w:val="003C05E2"/>
    <w:rsid w:val="003C46E2"/>
    <w:rsid w:val="003C4D3C"/>
    <w:rsid w:val="003C64FC"/>
    <w:rsid w:val="003D2202"/>
    <w:rsid w:val="003D266B"/>
    <w:rsid w:val="003D33EB"/>
    <w:rsid w:val="003D7052"/>
    <w:rsid w:val="003E17BE"/>
    <w:rsid w:val="003E2FFD"/>
    <w:rsid w:val="003E3053"/>
    <w:rsid w:val="003E6DE5"/>
    <w:rsid w:val="003F1EA2"/>
    <w:rsid w:val="003F7777"/>
    <w:rsid w:val="0040123D"/>
    <w:rsid w:val="004037FD"/>
    <w:rsid w:val="004049FA"/>
    <w:rsid w:val="00405FF8"/>
    <w:rsid w:val="00410F06"/>
    <w:rsid w:val="004115AE"/>
    <w:rsid w:val="0041270A"/>
    <w:rsid w:val="004173ED"/>
    <w:rsid w:val="00417EF0"/>
    <w:rsid w:val="00423A2F"/>
    <w:rsid w:val="00433266"/>
    <w:rsid w:val="0043343C"/>
    <w:rsid w:val="0043370B"/>
    <w:rsid w:val="00433978"/>
    <w:rsid w:val="004345F2"/>
    <w:rsid w:val="004358BB"/>
    <w:rsid w:val="0044181E"/>
    <w:rsid w:val="004426A8"/>
    <w:rsid w:val="0044455A"/>
    <w:rsid w:val="004466E4"/>
    <w:rsid w:val="004525B0"/>
    <w:rsid w:val="004544D1"/>
    <w:rsid w:val="00457796"/>
    <w:rsid w:val="00460F81"/>
    <w:rsid w:val="0046227B"/>
    <w:rsid w:val="00462531"/>
    <w:rsid w:val="00465C2D"/>
    <w:rsid w:val="00473412"/>
    <w:rsid w:val="00475084"/>
    <w:rsid w:val="00476318"/>
    <w:rsid w:val="004829BA"/>
    <w:rsid w:val="00483830"/>
    <w:rsid w:val="00490A1F"/>
    <w:rsid w:val="00491052"/>
    <w:rsid w:val="004921B1"/>
    <w:rsid w:val="0049762D"/>
    <w:rsid w:val="004A5848"/>
    <w:rsid w:val="004B3F8D"/>
    <w:rsid w:val="004B47A7"/>
    <w:rsid w:val="004B5D69"/>
    <w:rsid w:val="004C428C"/>
    <w:rsid w:val="004C7094"/>
    <w:rsid w:val="004D04F8"/>
    <w:rsid w:val="004D48F5"/>
    <w:rsid w:val="004E5F57"/>
    <w:rsid w:val="004E6C03"/>
    <w:rsid w:val="004F08E1"/>
    <w:rsid w:val="004F270B"/>
    <w:rsid w:val="004F2B0D"/>
    <w:rsid w:val="004F3F6B"/>
    <w:rsid w:val="005005A6"/>
    <w:rsid w:val="00503BD9"/>
    <w:rsid w:val="005108C5"/>
    <w:rsid w:val="00511FAA"/>
    <w:rsid w:val="00513459"/>
    <w:rsid w:val="00514C81"/>
    <w:rsid w:val="005175EA"/>
    <w:rsid w:val="005200CE"/>
    <w:rsid w:val="00521C9B"/>
    <w:rsid w:val="0052245F"/>
    <w:rsid w:val="00522535"/>
    <w:rsid w:val="00523A1A"/>
    <w:rsid w:val="00526615"/>
    <w:rsid w:val="00526B1D"/>
    <w:rsid w:val="0053011E"/>
    <w:rsid w:val="00532AB0"/>
    <w:rsid w:val="0053577E"/>
    <w:rsid w:val="0054290C"/>
    <w:rsid w:val="005430CC"/>
    <w:rsid w:val="00543C1B"/>
    <w:rsid w:val="00545525"/>
    <w:rsid w:val="00546429"/>
    <w:rsid w:val="00553339"/>
    <w:rsid w:val="00557DA4"/>
    <w:rsid w:val="00561A77"/>
    <w:rsid w:val="00562543"/>
    <w:rsid w:val="00566322"/>
    <w:rsid w:val="00567EC7"/>
    <w:rsid w:val="00570C84"/>
    <w:rsid w:val="005718D8"/>
    <w:rsid w:val="00575705"/>
    <w:rsid w:val="005819AC"/>
    <w:rsid w:val="005848F2"/>
    <w:rsid w:val="005856CE"/>
    <w:rsid w:val="005913F0"/>
    <w:rsid w:val="005921D4"/>
    <w:rsid w:val="00592696"/>
    <w:rsid w:val="0059393F"/>
    <w:rsid w:val="005A1486"/>
    <w:rsid w:val="005A2E46"/>
    <w:rsid w:val="005A2F5D"/>
    <w:rsid w:val="005A6A9A"/>
    <w:rsid w:val="005B1975"/>
    <w:rsid w:val="005B2280"/>
    <w:rsid w:val="005C05C5"/>
    <w:rsid w:val="005C1267"/>
    <w:rsid w:val="005C24B7"/>
    <w:rsid w:val="005C2F0F"/>
    <w:rsid w:val="005C78B1"/>
    <w:rsid w:val="005D3EB4"/>
    <w:rsid w:val="005D41C0"/>
    <w:rsid w:val="005D4C03"/>
    <w:rsid w:val="005D7FBC"/>
    <w:rsid w:val="005E281F"/>
    <w:rsid w:val="005E4A93"/>
    <w:rsid w:val="005E4D9F"/>
    <w:rsid w:val="005E53C9"/>
    <w:rsid w:val="005E5BA9"/>
    <w:rsid w:val="005F1953"/>
    <w:rsid w:val="005F2DB5"/>
    <w:rsid w:val="005F3DD0"/>
    <w:rsid w:val="005F4213"/>
    <w:rsid w:val="005F6732"/>
    <w:rsid w:val="005F7937"/>
    <w:rsid w:val="00603ED2"/>
    <w:rsid w:val="00604F77"/>
    <w:rsid w:val="0060510F"/>
    <w:rsid w:val="0061201B"/>
    <w:rsid w:val="00612E01"/>
    <w:rsid w:val="00613CEF"/>
    <w:rsid w:val="00614E3A"/>
    <w:rsid w:val="0061548D"/>
    <w:rsid w:val="0061584D"/>
    <w:rsid w:val="00615E9D"/>
    <w:rsid w:val="00616937"/>
    <w:rsid w:val="00616B3E"/>
    <w:rsid w:val="00617E52"/>
    <w:rsid w:val="006206CF"/>
    <w:rsid w:val="00626384"/>
    <w:rsid w:val="00627C99"/>
    <w:rsid w:val="00633349"/>
    <w:rsid w:val="006346E4"/>
    <w:rsid w:val="00634FB9"/>
    <w:rsid w:val="0064210B"/>
    <w:rsid w:val="00647635"/>
    <w:rsid w:val="00654FF7"/>
    <w:rsid w:val="006605B2"/>
    <w:rsid w:val="00660C5F"/>
    <w:rsid w:val="006738C0"/>
    <w:rsid w:val="00674BF6"/>
    <w:rsid w:val="0067521F"/>
    <w:rsid w:val="006807F8"/>
    <w:rsid w:val="00680B34"/>
    <w:rsid w:val="00680DF5"/>
    <w:rsid w:val="00680E09"/>
    <w:rsid w:val="00683F88"/>
    <w:rsid w:val="00684D6D"/>
    <w:rsid w:val="00687DB0"/>
    <w:rsid w:val="0069108C"/>
    <w:rsid w:val="00691240"/>
    <w:rsid w:val="00695D27"/>
    <w:rsid w:val="00695EC5"/>
    <w:rsid w:val="00695F96"/>
    <w:rsid w:val="00697621"/>
    <w:rsid w:val="006A0D13"/>
    <w:rsid w:val="006A3F72"/>
    <w:rsid w:val="006B6AF5"/>
    <w:rsid w:val="006B6EE2"/>
    <w:rsid w:val="006C0E9F"/>
    <w:rsid w:val="006C10BA"/>
    <w:rsid w:val="006C607C"/>
    <w:rsid w:val="006C68A2"/>
    <w:rsid w:val="006C7D90"/>
    <w:rsid w:val="006D07C0"/>
    <w:rsid w:val="006D1C29"/>
    <w:rsid w:val="006D3F61"/>
    <w:rsid w:val="006E238D"/>
    <w:rsid w:val="006E2DCA"/>
    <w:rsid w:val="006F2C71"/>
    <w:rsid w:val="006F4139"/>
    <w:rsid w:val="006F545D"/>
    <w:rsid w:val="006F6F4A"/>
    <w:rsid w:val="0070333F"/>
    <w:rsid w:val="00704DB6"/>
    <w:rsid w:val="007061C1"/>
    <w:rsid w:val="0071293D"/>
    <w:rsid w:val="00714820"/>
    <w:rsid w:val="0072118F"/>
    <w:rsid w:val="007216C3"/>
    <w:rsid w:val="00722856"/>
    <w:rsid w:val="00723F71"/>
    <w:rsid w:val="007247DE"/>
    <w:rsid w:val="00731841"/>
    <w:rsid w:val="007323B2"/>
    <w:rsid w:val="00732471"/>
    <w:rsid w:val="0073395B"/>
    <w:rsid w:val="00733BB2"/>
    <w:rsid w:val="0073514C"/>
    <w:rsid w:val="007352D8"/>
    <w:rsid w:val="00735A39"/>
    <w:rsid w:val="00736C20"/>
    <w:rsid w:val="00741AC1"/>
    <w:rsid w:val="00743825"/>
    <w:rsid w:val="007461A4"/>
    <w:rsid w:val="00747BFB"/>
    <w:rsid w:val="00747CE7"/>
    <w:rsid w:val="00747E03"/>
    <w:rsid w:val="00750061"/>
    <w:rsid w:val="00751820"/>
    <w:rsid w:val="0075218E"/>
    <w:rsid w:val="007539CE"/>
    <w:rsid w:val="00760809"/>
    <w:rsid w:val="00760C37"/>
    <w:rsid w:val="00761377"/>
    <w:rsid w:val="00762816"/>
    <w:rsid w:val="00763E37"/>
    <w:rsid w:val="00764B98"/>
    <w:rsid w:val="00764DF7"/>
    <w:rsid w:val="00766C58"/>
    <w:rsid w:val="0077356A"/>
    <w:rsid w:val="00774244"/>
    <w:rsid w:val="0077438F"/>
    <w:rsid w:val="00777341"/>
    <w:rsid w:val="00781DCA"/>
    <w:rsid w:val="0078229E"/>
    <w:rsid w:val="007839C0"/>
    <w:rsid w:val="0078624B"/>
    <w:rsid w:val="0078763A"/>
    <w:rsid w:val="007901EF"/>
    <w:rsid w:val="00796065"/>
    <w:rsid w:val="007A3070"/>
    <w:rsid w:val="007A38BA"/>
    <w:rsid w:val="007B01DD"/>
    <w:rsid w:val="007B0581"/>
    <w:rsid w:val="007B42DE"/>
    <w:rsid w:val="007B626E"/>
    <w:rsid w:val="007B77D0"/>
    <w:rsid w:val="007C1D89"/>
    <w:rsid w:val="007C200A"/>
    <w:rsid w:val="007C29FE"/>
    <w:rsid w:val="007C35EE"/>
    <w:rsid w:val="007D0014"/>
    <w:rsid w:val="007D13A4"/>
    <w:rsid w:val="007D1F93"/>
    <w:rsid w:val="007D4FDA"/>
    <w:rsid w:val="007D56CA"/>
    <w:rsid w:val="007D6BB8"/>
    <w:rsid w:val="007E0E52"/>
    <w:rsid w:val="007E1A48"/>
    <w:rsid w:val="007F0718"/>
    <w:rsid w:val="007F08D6"/>
    <w:rsid w:val="007F0C2A"/>
    <w:rsid w:val="007F1F38"/>
    <w:rsid w:val="007F265F"/>
    <w:rsid w:val="007F29CE"/>
    <w:rsid w:val="00801BB7"/>
    <w:rsid w:val="00805A17"/>
    <w:rsid w:val="00806B2F"/>
    <w:rsid w:val="00807505"/>
    <w:rsid w:val="00810D9D"/>
    <w:rsid w:val="00812E0E"/>
    <w:rsid w:val="00813408"/>
    <w:rsid w:val="00821C5A"/>
    <w:rsid w:val="00821D2C"/>
    <w:rsid w:val="00822ED9"/>
    <w:rsid w:val="00824AC5"/>
    <w:rsid w:val="00832529"/>
    <w:rsid w:val="008333AB"/>
    <w:rsid w:val="008350B4"/>
    <w:rsid w:val="008401DB"/>
    <w:rsid w:val="008405CB"/>
    <w:rsid w:val="008444F0"/>
    <w:rsid w:val="0084602D"/>
    <w:rsid w:val="0084750B"/>
    <w:rsid w:val="00853442"/>
    <w:rsid w:val="008541D9"/>
    <w:rsid w:val="00857B99"/>
    <w:rsid w:val="00862560"/>
    <w:rsid w:val="0086351F"/>
    <w:rsid w:val="00865DA9"/>
    <w:rsid w:val="00865EF6"/>
    <w:rsid w:val="008712A3"/>
    <w:rsid w:val="008751A8"/>
    <w:rsid w:val="00875843"/>
    <w:rsid w:val="00876B1C"/>
    <w:rsid w:val="0087730C"/>
    <w:rsid w:val="0088332A"/>
    <w:rsid w:val="00884CF4"/>
    <w:rsid w:val="0088562E"/>
    <w:rsid w:val="00887C6D"/>
    <w:rsid w:val="00893DE7"/>
    <w:rsid w:val="00896153"/>
    <w:rsid w:val="00897275"/>
    <w:rsid w:val="0089731A"/>
    <w:rsid w:val="008A15DF"/>
    <w:rsid w:val="008A22E0"/>
    <w:rsid w:val="008A6AEF"/>
    <w:rsid w:val="008B0C6D"/>
    <w:rsid w:val="008B2DBE"/>
    <w:rsid w:val="008C30B3"/>
    <w:rsid w:val="008C3E2E"/>
    <w:rsid w:val="008C5332"/>
    <w:rsid w:val="008C6F75"/>
    <w:rsid w:val="008C7DD1"/>
    <w:rsid w:val="008D053D"/>
    <w:rsid w:val="008D075F"/>
    <w:rsid w:val="008D1CFF"/>
    <w:rsid w:val="008D480A"/>
    <w:rsid w:val="008F0072"/>
    <w:rsid w:val="008F1429"/>
    <w:rsid w:val="008F1893"/>
    <w:rsid w:val="008F2024"/>
    <w:rsid w:val="008F62FD"/>
    <w:rsid w:val="008F715A"/>
    <w:rsid w:val="0090009F"/>
    <w:rsid w:val="00901172"/>
    <w:rsid w:val="00907C81"/>
    <w:rsid w:val="009141DF"/>
    <w:rsid w:val="00915059"/>
    <w:rsid w:val="009150A7"/>
    <w:rsid w:val="00915BC1"/>
    <w:rsid w:val="00917CA7"/>
    <w:rsid w:val="0092060A"/>
    <w:rsid w:val="00922155"/>
    <w:rsid w:val="00924DDB"/>
    <w:rsid w:val="0093404F"/>
    <w:rsid w:val="00936A0F"/>
    <w:rsid w:val="0093718F"/>
    <w:rsid w:val="009409F6"/>
    <w:rsid w:val="00942491"/>
    <w:rsid w:val="00942E16"/>
    <w:rsid w:val="009438D9"/>
    <w:rsid w:val="00945C18"/>
    <w:rsid w:val="00956771"/>
    <w:rsid w:val="00961B86"/>
    <w:rsid w:val="00962AF1"/>
    <w:rsid w:val="0096592B"/>
    <w:rsid w:val="00974304"/>
    <w:rsid w:val="00981606"/>
    <w:rsid w:val="0099069C"/>
    <w:rsid w:val="009925E2"/>
    <w:rsid w:val="00993433"/>
    <w:rsid w:val="0099412D"/>
    <w:rsid w:val="00994A86"/>
    <w:rsid w:val="00997DDB"/>
    <w:rsid w:val="009A20BF"/>
    <w:rsid w:val="009A2561"/>
    <w:rsid w:val="009A366C"/>
    <w:rsid w:val="009A4043"/>
    <w:rsid w:val="009B51EF"/>
    <w:rsid w:val="009B5FBA"/>
    <w:rsid w:val="009B7106"/>
    <w:rsid w:val="009B77D3"/>
    <w:rsid w:val="009C3E1D"/>
    <w:rsid w:val="009C7E4A"/>
    <w:rsid w:val="009D20DE"/>
    <w:rsid w:val="009D49C6"/>
    <w:rsid w:val="009D620D"/>
    <w:rsid w:val="009D7C01"/>
    <w:rsid w:val="009E02B8"/>
    <w:rsid w:val="009E1022"/>
    <w:rsid w:val="009E1D2D"/>
    <w:rsid w:val="009E24E9"/>
    <w:rsid w:val="009E46A4"/>
    <w:rsid w:val="009F1C5A"/>
    <w:rsid w:val="00A00006"/>
    <w:rsid w:val="00A004A2"/>
    <w:rsid w:val="00A044A8"/>
    <w:rsid w:val="00A05696"/>
    <w:rsid w:val="00A11D6B"/>
    <w:rsid w:val="00A12125"/>
    <w:rsid w:val="00A1544C"/>
    <w:rsid w:val="00A173A2"/>
    <w:rsid w:val="00A17C62"/>
    <w:rsid w:val="00A21509"/>
    <w:rsid w:val="00A22450"/>
    <w:rsid w:val="00A26E42"/>
    <w:rsid w:val="00A32391"/>
    <w:rsid w:val="00A33178"/>
    <w:rsid w:val="00A36AB2"/>
    <w:rsid w:val="00A40B1F"/>
    <w:rsid w:val="00A45208"/>
    <w:rsid w:val="00A46046"/>
    <w:rsid w:val="00A47563"/>
    <w:rsid w:val="00A47566"/>
    <w:rsid w:val="00A53ED0"/>
    <w:rsid w:val="00A5453B"/>
    <w:rsid w:val="00A5556D"/>
    <w:rsid w:val="00A55A48"/>
    <w:rsid w:val="00A62F9E"/>
    <w:rsid w:val="00A641B6"/>
    <w:rsid w:val="00A671FC"/>
    <w:rsid w:val="00A70373"/>
    <w:rsid w:val="00A7070F"/>
    <w:rsid w:val="00A73EC8"/>
    <w:rsid w:val="00A74EB5"/>
    <w:rsid w:val="00A75069"/>
    <w:rsid w:val="00A76753"/>
    <w:rsid w:val="00A80DB1"/>
    <w:rsid w:val="00A81174"/>
    <w:rsid w:val="00A8295B"/>
    <w:rsid w:val="00A830E0"/>
    <w:rsid w:val="00A8669A"/>
    <w:rsid w:val="00A90285"/>
    <w:rsid w:val="00A915B3"/>
    <w:rsid w:val="00A9449E"/>
    <w:rsid w:val="00A95566"/>
    <w:rsid w:val="00A97430"/>
    <w:rsid w:val="00A976D9"/>
    <w:rsid w:val="00AA04F0"/>
    <w:rsid w:val="00AA49AC"/>
    <w:rsid w:val="00AB0A41"/>
    <w:rsid w:val="00AB121C"/>
    <w:rsid w:val="00AB2031"/>
    <w:rsid w:val="00AB25A2"/>
    <w:rsid w:val="00AB288D"/>
    <w:rsid w:val="00AB65A3"/>
    <w:rsid w:val="00AC13F0"/>
    <w:rsid w:val="00AC1916"/>
    <w:rsid w:val="00AC44A0"/>
    <w:rsid w:val="00AC5887"/>
    <w:rsid w:val="00AD438B"/>
    <w:rsid w:val="00AD4F7A"/>
    <w:rsid w:val="00AE18A3"/>
    <w:rsid w:val="00AE795F"/>
    <w:rsid w:val="00AF065F"/>
    <w:rsid w:val="00AF0830"/>
    <w:rsid w:val="00AF2E08"/>
    <w:rsid w:val="00AF36DE"/>
    <w:rsid w:val="00AF38C3"/>
    <w:rsid w:val="00B050E2"/>
    <w:rsid w:val="00B055FB"/>
    <w:rsid w:val="00B0737E"/>
    <w:rsid w:val="00B1059A"/>
    <w:rsid w:val="00B1421B"/>
    <w:rsid w:val="00B20C8D"/>
    <w:rsid w:val="00B210B8"/>
    <w:rsid w:val="00B21D6F"/>
    <w:rsid w:val="00B278AB"/>
    <w:rsid w:val="00B340F0"/>
    <w:rsid w:val="00B35002"/>
    <w:rsid w:val="00B40679"/>
    <w:rsid w:val="00B4139D"/>
    <w:rsid w:val="00B4567F"/>
    <w:rsid w:val="00B469D3"/>
    <w:rsid w:val="00B500C4"/>
    <w:rsid w:val="00B52A3C"/>
    <w:rsid w:val="00B55277"/>
    <w:rsid w:val="00B564E8"/>
    <w:rsid w:val="00B573FB"/>
    <w:rsid w:val="00B61BEE"/>
    <w:rsid w:val="00B637F6"/>
    <w:rsid w:val="00B63AA6"/>
    <w:rsid w:val="00B65962"/>
    <w:rsid w:val="00B66D01"/>
    <w:rsid w:val="00B677A1"/>
    <w:rsid w:val="00B67B95"/>
    <w:rsid w:val="00B67BE4"/>
    <w:rsid w:val="00B759F4"/>
    <w:rsid w:val="00B80A7E"/>
    <w:rsid w:val="00B8299F"/>
    <w:rsid w:val="00B82A69"/>
    <w:rsid w:val="00B90C5E"/>
    <w:rsid w:val="00B92507"/>
    <w:rsid w:val="00B96226"/>
    <w:rsid w:val="00BA16F5"/>
    <w:rsid w:val="00BA3FC9"/>
    <w:rsid w:val="00BA708B"/>
    <w:rsid w:val="00BB0BAF"/>
    <w:rsid w:val="00BB2C37"/>
    <w:rsid w:val="00BB443E"/>
    <w:rsid w:val="00BB593B"/>
    <w:rsid w:val="00BB5E70"/>
    <w:rsid w:val="00BC3BEE"/>
    <w:rsid w:val="00BC47A9"/>
    <w:rsid w:val="00BC49BF"/>
    <w:rsid w:val="00BC7578"/>
    <w:rsid w:val="00BC7976"/>
    <w:rsid w:val="00BD0275"/>
    <w:rsid w:val="00BD0357"/>
    <w:rsid w:val="00BD3F67"/>
    <w:rsid w:val="00BD4706"/>
    <w:rsid w:val="00BD4E1B"/>
    <w:rsid w:val="00BE0257"/>
    <w:rsid w:val="00BE0AE9"/>
    <w:rsid w:val="00BE19AC"/>
    <w:rsid w:val="00BE342B"/>
    <w:rsid w:val="00BE4E47"/>
    <w:rsid w:val="00BE568C"/>
    <w:rsid w:val="00BF00D8"/>
    <w:rsid w:val="00BF2DA4"/>
    <w:rsid w:val="00BF2E28"/>
    <w:rsid w:val="00BF3C21"/>
    <w:rsid w:val="00BF4DA0"/>
    <w:rsid w:val="00BF582C"/>
    <w:rsid w:val="00BF67D7"/>
    <w:rsid w:val="00BF6A84"/>
    <w:rsid w:val="00BF7826"/>
    <w:rsid w:val="00C005AF"/>
    <w:rsid w:val="00C048CD"/>
    <w:rsid w:val="00C05151"/>
    <w:rsid w:val="00C123F3"/>
    <w:rsid w:val="00C12842"/>
    <w:rsid w:val="00C1401C"/>
    <w:rsid w:val="00C14EC7"/>
    <w:rsid w:val="00C20E61"/>
    <w:rsid w:val="00C21E48"/>
    <w:rsid w:val="00C23FAA"/>
    <w:rsid w:val="00C3084B"/>
    <w:rsid w:val="00C32179"/>
    <w:rsid w:val="00C3406B"/>
    <w:rsid w:val="00C346C3"/>
    <w:rsid w:val="00C365AA"/>
    <w:rsid w:val="00C40ACA"/>
    <w:rsid w:val="00C50959"/>
    <w:rsid w:val="00C52244"/>
    <w:rsid w:val="00C603DD"/>
    <w:rsid w:val="00C6179E"/>
    <w:rsid w:val="00C65F6C"/>
    <w:rsid w:val="00C6617E"/>
    <w:rsid w:val="00C729BC"/>
    <w:rsid w:val="00C8007C"/>
    <w:rsid w:val="00C82C3C"/>
    <w:rsid w:val="00C83014"/>
    <w:rsid w:val="00C84452"/>
    <w:rsid w:val="00C914E2"/>
    <w:rsid w:val="00C9294D"/>
    <w:rsid w:val="00C93603"/>
    <w:rsid w:val="00C94B70"/>
    <w:rsid w:val="00C979A6"/>
    <w:rsid w:val="00CA127F"/>
    <w:rsid w:val="00CA228C"/>
    <w:rsid w:val="00CA3638"/>
    <w:rsid w:val="00CA4EFA"/>
    <w:rsid w:val="00CB03AD"/>
    <w:rsid w:val="00CB481B"/>
    <w:rsid w:val="00CB7800"/>
    <w:rsid w:val="00CC112D"/>
    <w:rsid w:val="00CC2CDF"/>
    <w:rsid w:val="00CC4C52"/>
    <w:rsid w:val="00CD0773"/>
    <w:rsid w:val="00CD0B46"/>
    <w:rsid w:val="00CD3B41"/>
    <w:rsid w:val="00CD4021"/>
    <w:rsid w:val="00CE012D"/>
    <w:rsid w:val="00CE0132"/>
    <w:rsid w:val="00CE4567"/>
    <w:rsid w:val="00CE48E2"/>
    <w:rsid w:val="00CE6063"/>
    <w:rsid w:val="00CE79DC"/>
    <w:rsid w:val="00CE7B2C"/>
    <w:rsid w:val="00CF3D87"/>
    <w:rsid w:val="00CF49F4"/>
    <w:rsid w:val="00CF4EF4"/>
    <w:rsid w:val="00CF5AF2"/>
    <w:rsid w:val="00CF73E1"/>
    <w:rsid w:val="00D05F26"/>
    <w:rsid w:val="00D13EE3"/>
    <w:rsid w:val="00D1596B"/>
    <w:rsid w:val="00D219B1"/>
    <w:rsid w:val="00D24FD6"/>
    <w:rsid w:val="00D2693E"/>
    <w:rsid w:val="00D26E15"/>
    <w:rsid w:val="00D27CCE"/>
    <w:rsid w:val="00D30EAE"/>
    <w:rsid w:val="00D3615A"/>
    <w:rsid w:val="00D42113"/>
    <w:rsid w:val="00D42332"/>
    <w:rsid w:val="00D42742"/>
    <w:rsid w:val="00D44D9B"/>
    <w:rsid w:val="00D459B7"/>
    <w:rsid w:val="00D52FD8"/>
    <w:rsid w:val="00D56FB3"/>
    <w:rsid w:val="00D57488"/>
    <w:rsid w:val="00D6792A"/>
    <w:rsid w:val="00D711FC"/>
    <w:rsid w:val="00D7259C"/>
    <w:rsid w:val="00D73609"/>
    <w:rsid w:val="00D73F2A"/>
    <w:rsid w:val="00D76AAA"/>
    <w:rsid w:val="00D84D82"/>
    <w:rsid w:val="00D85A4A"/>
    <w:rsid w:val="00D87C4F"/>
    <w:rsid w:val="00D910AD"/>
    <w:rsid w:val="00D921BA"/>
    <w:rsid w:val="00D938F1"/>
    <w:rsid w:val="00D94DD8"/>
    <w:rsid w:val="00DA2C39"/>
    <w:rsid w:val="00DA4302"/>
    <w:rsid w:val="00DA51B0"/>
    <w:rsid w:val="00DB0A68"/>
    <w:rsid w:val="00DB36E9"/>
    <w:rsid w:val="00DB3BBE"/>
    <w:rsid w:val="00DD0983"/>
    <w:rsid w:val="00DD4FBA"/>
    <w:rsid w:val="00DD61D0"/>
    <w:rsid w:val="00DE05F5"/>
    <w:rsid w:val="00DE0C70"/>
    <w:rsid w:val="00DE5889"/>
    <w:rsid w:val="00DE6763"/>
    <w:rsid w:val="00DF0304"/>
    <w:rsid w:val="00DF1BF9"/>
    <w:rsid w:val="00DF25DE"/>
    <w:rsid w:val="00DF26E9"/>
    <w:rsid w:val="00DF4674"/>
    <w:rsid w:val="00DF7896"/>
    <w:rsid w:val="00E014F5"/>
    <w:rsid w:val="00E04524"/>
    <w:rsid w:val="00E0680E"/>
    <w:rsid w:val="00E06AA0"/>
    <w:rsid w:val="00E10501"/>
    <w:rsid w:val="00E15894"/>
    <w:rsid w:val="00E2007C"/>
    <w:rsid w:val="00E2091D"/>
    <w:rsid w:val="00E25642"/>
    <w:rsid w:val="00E31D3B"/>
    <w:rsid w:val="00E3335C"/>
    <w:rsid w:val="00E3647A"/>
    <w:rsid w:val="00E37852"/>
    <w:rsid w:val="00E40F82"/>
    <w:rsid w:val="00E4203F"/>
    <w:rsid w:val="00E42213"/>
    <w:rsid w:val="00E425F8"/>
    <w:rsid w:val="00E51886"/>
    <w:rsid w:val="00E53251"/>
    <w:rsid w:val="00E53F96"/>
    <w:rsid w:val="00E55E44"/>
    <w:rsid w:val="00E57E8F"/>
    <w:rsid w:val="00E636C9"/>
    <w:rsid w:val="00E656D4"/>
    <w:rsid w:val="00E71254"/>
    <w:rsid w:val="00E74AF1"/>
    <w:rsid w:val="00E74BA8"/>
    <w:rsid w:val="00E80E8C"/>
    <w:rsid w:val="00E82488"/>
    <w:rsid w:val="00E83E99"/>
    <w:rsid w:val="00E84AB3"/>
    <w:rsid w:val="00E86DC4"/>
    <w:rsid w:val="00E908A4"/>
    <w:rsid w:val="00E926BC"/>
    <w:rsid w:val="00E933E5"/>
    <w:rsid w:val="00E935CE"/>
    <w:rsid w:val="00E96384"/>
    <w:rsid w:val="00EA1F33"/>
    <w:rsid w:val="00EA3D4D"/>
    <w:rsid w:val="00EC2658"/>
    <w:rsid w:val="00EC2E19"/>
    <w:rsid w:val="00ED1BF6"/>
    <w:rsid w:val="00ED2D47"/>
    <w:rsid w:val="00ED2DBF"/>
    <w:rsid w:val="00ED4C39"/>
    <w:rsid w:val="00ED5D78"/>
    <w:rsid w:val="00ED7943"/>
    <w:rsid w:val="00EE2CF2"/>
    <w:rsid w:val="00EE3926"/>
    <w:rsid w:val="00EE7643"/>
    <w:rsid w:val="00EF0017"/>
    <w:rsid w:val="00EF037A"/>
    <w:rsid w:val="00EF048E"/>
    <w:rsid w:val="00EF33C0"/>
    <w:rsid w:val="00EF3D99"/>
    <w:rsid w:val="00EF4C18"/>
    <w:rsid w:val="00EF53AE"/>
    <w:rsid w:val="00EF5DF2"/>
    <w:rsid w:val="00EF6F57"/>
    <w:rsid w:val="00EF7CF5"/>
    <w:rsid w:val="00F009C0"/>
    <w:rsid w:val="00F03840"/>
    <w:rsid w:val="00F045EA"/>
    <w:rsid w:val="00F0783F"/>
    <w:rsid w:val="00F132AD"/>
    <w:rsid w:val="00F204B5"/>
    <w:rsid w:val="00F26F76"/>
    <w:rsid w:val="00F31D59"/>
    <w:rsid w:val="00F32918"/>
    <w:rsid w:val="00F34A8D"/>
    <w:rsid w:val="00F43B0F"/>
    <w:rsid w:val="00F45368"/>
    <w:rsid w:val="00F46EEF"/>
    <w:rsid w:val="00F61B74"/>
    <w:rsid w:val="00F62BB8"/>
    <w:rsid w:val="00F6530A"/>
    <w:rsid w:val="00F65F81"/>
    <w:rsid w:val="00F66FD0"/>
    <w:rsid w:val="00F67465"/>
    <w:rsid w:val="00F67DA1"/>
    <w:rsid w:val="00F72FCE"/>
    <w:rsid w:val="00F7681B"/>
    <w:rsid w:val="00F76B47"/>
    <w:rsid w:val="00F77335"/>
    <w:rsid w:val="00F779EF"/>
    <w:rsid w:val="00F81001"/>
    <w:rsid w:val="00F85720"/>
    <w:rsid w:val="00F862F8"/>
    <w:rsid w:val="00F92498"/>
    <w:rsid w:val="00F9318D"/>
    <w:rsid w:val="00F97D45"/>
    <w:rsid w:val="00FA300B"/>
    <w:rsid w:val="00FA71A7"/>
    <w:rsid w:val="00FA7242"/>
    <w:rsid w:val="00FB1F91"/>
    <w:rsid w:val="00FB4E2F"/>
    <w:rsid w:val="00FB5B17"/>
    <w:rsid w:val="00FB75CE"/>
    <w:rsid w:val="00FC2987"/>
    <w:rsid w:val="00FC3C78"/>
    <w:rsid w:val="00FD20AA"/>
    <w:rsid w:val="00FE38EB"/>
    <w:rsid w:val="00FE684C"/>
    <w:rsid w:val="00FE719E"/>
    <w:rsid w:val="00FF0407"/>
    <w:rsid w:val="00FF2452"/>
    <w:rsid w:val="00FF2672"/>
    <w:rsid w:val="00FF323F"/>
    <w:rsid w:val="00FF543C"/>
    <w:rsid w:val="00FF604C"/>
    <w:rsid w:val="01AB5FEA"/>
    <w:rsid w:val="02282527"/>
    <w:rsid w:val="02847C7E"/>
    <w:rsid w:val="05F60D4E"/>
    <w:rsid w:val="072916E2"/>
    <w:rsid w:val="09CF031F"/>
    <w:rsid w:val="0B022976"/>
    <w:rsid w:val="0D5B7C03"/>
    <w:rsid w:val="0E992CF7"/>
    <w:rsid w:val="0FAE0596"/>
    <w:rsid w:val="162F3968"/>
    <w:rsid w:val="18F739CD"/>
    <w:rsid w:val="1EE005AF"/>
    <w:rsid w:val="1F316F2E"/>
    <w:rsid w:val="225B679C"/>
    <w:rsid w:val="23610DA9"/>
    <w:rsid w:val="23A979DB"/>
    <w:rsid w:val="25142485"/>
    <w:rsid w:val="27810C10"/>
    <w:rsid w:val="28B12D9A"/>
    <w:rsid w:val="29E66AB6"/>
    <w:rsid w:val="2BD24A6B"/>
    <w:rsid w:val="2FBE6D90"/>
    <w:rsid w:val="2FBF3D5F"/>
    <w:rsid w:val="2FFE58BB"/>
    <w:rsid w:val="304C49C4"/>
    <w:rsid w:val="31493DC4"/>
    <w:rsid w:val="31731CC9"/>
    <w:rsid w:val="31922833"/>
    <w:rsid w:val="323A34B0"/>
    <w:rsid w:val="338377DD"/>
    <w:rsid w:val="34EF322F"/>
    <w:rsid w:val="35F174CC"/>
    <w:rsid w:val="38C33C8F"/>
    <w:rsid w:val="3C17546F"/>
    <w:rsid w:val="3C776471"/>
    <w:rsid w:val="3EA66B99"/>
    <w:rsid w:val="3F15211D"/>
    <w:rsid w:val="3F836557"/>
    <w:rsid w:val="41C0047C"/>
    <w:rsid w:val="43932348"/>
    <w:rsid w:val="442E460D"/>
    <w:rsid w:val="44E87F0C"/>
    <w:rsid w:val="450E4825"/>
    <w:rsid w:val="48396CD0"/>
    <w:rsid w:val="4C6D212B"/>
    <w:rsid w:val="4C746529"/>
    <w:rsid w:val="4DBA368D"/>
    <w:rsid w:val="4DD90906"/>
    <w:rsid w:val="4E456F61"/>
    <w:rsid w:val="50CE4800"/>
    <w:rsid w:val="515F1555"/>
    <w:rsid w:val="57194FCA"/>
    <w:rsid w:val="58540A81"/>
    <w:rsid w:val="58AD594E"/>
    <w:rsid w:val="590B7CB2"/>
    <w:rsid w:val="5C907260"/>
    <w:rsid w:val="5EA50C38"/>
    <w:rsid w:val="5EA65B31"/>
    <w:rsid w:val="61B362BB"/>
    <w:rsid w:val="6236284C"/>
    <w:rsid w:val="64D911C7"/>
    <w:rsid w:val="6568766D"/>
    <w:rsid w:val="698B1902"/>
    <w:rsid w:val="699833FF"/>
    <w:rsid w:val="6B7062AA"/>
    <w:rsid w:val="6B9014BC"/>
    <w:rsid w:val="6C212E8C"/>
    <w:rsid w:val="6E070B53"/>
    <w:rsid w:val="7259734E"/>
    <w:rsid w:val="73EA2864"/>
    <w:rsid w:val="758D2412"/>
    <w:rsid w:val="75E257CE"/>
    <w:rsid w:val="76CF3905"/>
    <w:rsid w:val="7C1F350C"/>
    <w:rsid w:val="7F366F88"/>
    <w:rsid w:val="7F756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qFormat="1" w:unhideWhenUsed="0"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autoRedefine/>
    <w:qFormat/>
    <w:uiPriority w:val="9"/>
    <w:pPr>
      <w:keepNext/>
      <w:jc w:val="center"/>
      <w:outlineLvl w:val="0"/>
    </w:pPr>
    <w:rPr>
      <w:rFonts w:ascii="楷体_GB2312" w:hAnsi="Times New Roman" w:eastAsia="楷体_GB2312" w:cs="Times New Roman"/>
      <w:b/>
      <w:kern w:val="0"/>
      <w:sz w:val="28"/>
      <w:szCs w:val="20"/>
    </w:rPr>
  </w:style>
  <w:style w:type="paragraph" w:styleId="4">
    <w:name w:val="heading 2"/>
    <w:basedOn w:val="1"/>
    <w:next w:val="1"/>
    <w:link w:val="58"/>
    <w:autoRedefine/>
    <w:qFormat/>
    <w:uiPriority w:val="9"/>
    <w:pPr>
      <w:keepNext/>
      <w:jc w:val="center"/>
      <w:outlineLvl w:val="1"/>
    </w:pPr>
    <w:rPr>
      <w:rFonts w:ascii="楷体_GB2312" w:hAnsi="Times New Roman" w:eastAsia="楷体_GB2312" w:cs="Times New Roman"/>
      <w:b/>
      <w:bCs/>
      <w:kern w:val="0"/>
      <w:sz w:val="18"/>
      <w:szCs w:val="20"/>
    </w:rPr>
  </w:style>
  <w:style w:type="paragraph" w:styleId="5">
    <w:name w:val="heading 3"/>
    <w:basedOn w:val="6"/>
    <w:next w:val="1"/>
    <w:link w:val="59"/>
    <w:autoRedefine/>
    <w:qFormat/>
    <w:uiPriority w:val="9"/>
    <w:pPr>
      <w:keepNext/>
      <w:jc w:val="left"/>
    </w:pPr>
    <w:rPr>
      <w:rFonts w:asciiTheme="minorEastAsia" w:hAnsiTheme="minorEastAsia" w:eastAsiaTheme="minorEastAsia" w:cstheme="minorBidi"/>
      <w:bCs/>
      <w:sz w:val="24"/>
      <w:szCs w:val="24"/>
      <w:lang w:eastAsia="zh-CN"/>
    </w:rPr>
  </w:style>
  <w:style w:type="paragraph" w:styleId="8">
    <w:name w:val="heading 4"/>
    <w:basedOn w:val="1"/>
    <w:next w:val="1"/>
    <w:link w:val="60"/>
    <w:autoRedefine/>
    <w:qFormat/>
    <w:uiPriority w:val="9"/>
    <w:pPr>
      <w:keepNext/>
      <w:outlineLvl w:val="3"/>
    </w:pPr>
    <w:rPr>
      <w:rFonts w:ascii="Times New Roman" w:hAnsi="Times New Roman" w:eastAsia="楷体_GB2312" w:cs="Times New Roman"/>
      <w:b/>
      <w:bCs/>
      <w:kern w:val="0"/>
      <w:sz w:val="15"/>
      <w:szCs w:val="20"/>
    </w:rPr>
  </w:style>
  <w:style w:type="paragraph" w:styleId="9">
    <w:name w:val="heading 5"/>
    <w:basedOn w:val="1"/>
    <w:next w:val="1"/>
    <w:link w:val="61"/>
    <w:autoRedefine/>
    <w:qFormat/>
    <w:uiPriority w:val="9"/>
    <w:pPr>
      <w:keepNext/>
      <w:numPr>
        <w:ilvl w:val="0"/>
        <w:numId w:val="1"/>
      </w:numPr>
      <w:outlineLvl w:val="4"/>
    </w:pPr>
    <w:rPr>
      <w:rFonts w:ascii="楷体_GB2312" w:hAnsi="Times New Roman" w:eastAsia="楷体_GB2312" w:cs="Times New Roman"/>
      <w:bCs/>
      <w:kern w:val="0"/>
      <w:sz w:val="28"/>
      <w:szCs w:val="20"/>
    </w:rPr>
  </w:style>
  <w:style w:type="paragraph" w:styleId="10">
    <w:name w:val="heading 6"/>
    <w:basedOn w:val="1"/>
    <w:next w:val="1"/>
    <w:link w:val="141"/>
    <w:qFormat/>
    <w:uiPriority w:val="9"/>
    <w:pPr>
      <w:keepNext/>
      <w:keepLines/>
      <w:spacing w:before="320" w:after="200"/>
      <w:outlineLvl w:val="5"/>
    </w:pPr>
    <w:rPr>
      <w:rFonts w:ascii="Arial" w:hAnsi="Arial" w:eastAsia="Arial" w:cs="Arial"/>
      <w:b/>
      <w:bCs/>
      <w:kern w:val="0"/>
      <w:sz w:val="22"/>
    </w:rPr>
  </w:style>
  <w:style w:type="paragraph" w:styleId="11">
    <w:name w:val="heading 7"/>
    <w:basedOn w:val="1"/>
    <w:next w:val="1"/>
    <w:link w:val="142"/>
    <w:qFormat/>
    <w:uiPriority w:val="9"/>
    <w:pPr>
      <w:keepNext/>
      <w:keepLines/>
      <w:spacing w:before="320" w:after="200"/>
      <w:outlineLvl w:val="6"/>
    </w:pPr>
    <w:rPr>
      <w:rFonts w:ascii="Arial" w:hAnsi="Arial" w:eastAsia="Arial" w:cs="Arial"/>
      <w:b/>
      <w:bCs/>
      <w:i/>
      <w:iCs/>
      <w:kern w:val="0"/>
      <w:sz w:val="22"/>
    </w:rPr>
  </w:style>
  <w:style w:type="paragraph" w:styleId="12">
    <w:name w:val="heading 8"/>
    <w:basedOn w:val="1"/>
    <w:next w:val="1"/>
    <w:link w:val="143"/>
    <w:qFormat/>
    <w:uiPriority w:val="9"/>
    <w:pPr>
      <w:keepNext/>
      <w:keepLines/>
      <w:spacing w:before="320" w:after="200"/>
      <w:outlineLvl w:val="7"/>
    </w:pPr>
    <w:rPr>
      <w:rFonts w:ascii="Arial" w:hAnsi="Arial" w:eastAsia="Arial" w:cs="Arial"/>
      <w:i/>
      <w:iCs/>
      <w:kern w:val="0"/>
      <w:sz w:val="22"/>
    </w:rPr>
  </w:style>
  <w:style w:type="paragraph" w:styleId="13">
    <w:name w:val="heading 9"/>
    <w:basedOn w:val="1"/>
    <w:next w:val="1"/>
    <w:link w:val="144"/>
    <w:qFormat/>
    <w:uiPriority w:val="9"/>
    <w:pPr>
      <w:keepNext/>
      <w:keepLines/>
      <w:spacing w:before="320" w:after="200"/>
      <w:outlineLvl w:val="8"/>
    </w:pPr>
    <w:rPr>
      <w:rFonts w:ascii="Arial" w:hAnsi="Arial" w:eastAsia="Arial" w:cs="Arial"/>
      <w:i/>
      <w:iCs/>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6"/>
    <w:autoRedefine/>
    <w:qFormat/>
    <w:uiPriority w:val="99"/>
    <w:rPr>
      <w:rFonts w:ascii="华文中宋" w:hAnsi="Times New Roman" w:eastAsia="华文中宋" w:cs="Times New Roman"/>
      <w:bCs/>
      <w:kern w:val="0"/>
      <w:sz w:val="28"/>
      <w:szCs w:val="20"/>
    </w:rPr>
  </w:style>
  <w:style w:type="paragraph" w:customStyle="1" w:styleId="6">
    <w:name w:val="Cn Heading3"/>
    <w:basedOn w:val="7"/>
    <w:autoRedefine/>
    <w:qFormat/>
    <w:uiPriority w:val="0"/>
    <w:pPr>
      <w:spacing w:line="480" w:lineRule="auto"/>
      <w:ind w:firstLine="0"/>
      <w:outlineLvl w:val="2"/>
    </w:pPr>
    <w:rPr>
      <w:rFonts w:ascii="微软雅黑" w:hAnsi="微软雅黑" w:eastAsia="微软雅黑"/>
      <w:b/>
      <w:sz w:val="28"/>
      <w:szCs w:val="28"/>
      <w:lang w:eastAsia="ja-JP"/>
    </w:rPr>
  </w:style>
  <w:style w:type="paragraph" w:customStyle="1" w:styleId="7">
    <w:name w:val="列出段落1"/>
    <w:basedOn w:val="1"/>
    <w:link w:val="385"/>
    <w:autoRedefine/>
    <w:qFormat/>
    <w:uiPriority w:val="0"/>
    <w:pPr>
      <w:spacing w:before="120" w:after="120" w:line="360" w:lineRule="auto"/>
      <w:ind w:firstLine="420"/>
    </w:pPr>
    <w:rPr>
      <w:rFonts w:ascii="Calibri" w:hAnsi="Calibri" w:eastAsia="宋体" w:cs="Times New Roman"/>
      <w:sz w:val="24"/>
    </w:rPr>
  </w:style>
  <w:style w:type="paragraph" w:styleId="14">
    <w:name w:val="toc 7"/>
    <w:basedOn w:val="1"/>
    <w:next w:val="1"/>
    <w:unhideWhenUsed/>
    <w:qFormat/>
    <w:uiPriority w:val="39"/>
    <w:pPr>
      <w:spacing w:after="57"/>
      <w:ind w:left="1701"/>
    </w:pPr>
    <w:rPr>
      <w:rFonts w:ascii="Times New Roman" w:hAnsi="Times New Roman" w:eastAsia="宋体" w:cs="Times New Roman"/>
      <w:kern w:val="0"/>
      <w:szCs w:val="21"/>
    </w:rPr>
  </w:style>
  <w:style w:type="paragraph" w:styleId="15">
    <w:name w:val="Normal Indent"/>
    <w:basedOn w:val="1"/>
    <w:next w:val="8"/>
    <w:autoRedefine/>
    <w:qFormat/>
    <w:uiPriority w:val="99"/>
    <w:pPr>
      <w:ind w:firstLine="420"/>
    </w:pPr>
    <w:rPr>
      <w:rFonts w:ascii="Times New Roman" w:hAnsi="Times New Roman" w:eastAsia="宋体" w:cs="Times New Roman"/>
      <w:szCs w:val="20"/>
    </w:rPr>
  </w:style>
  <w:style w:type="paragraph" w:styleId="16">
    <w:name w:val="caption"/>
    <w:basedOn w:val="1"/>
    <w:next w:val="1"/>
    <w:qFormat/>
    <w:uiPriority w:val="35"/>
    <w:pPr>
      <w:spacing w:line="276" w:lineRule="auto"/>
    </w:pPr>
    <w:rPr>
      <w:rFonts w:ascii="Times New Roman" w:hAnsi="Times New Roman" w:eastAsia="宋体" w:cs="Times New Roman"/>
      <w:b/>
      <w:bCs/>
      <w:color w:val="4F81BD"/>
      <w:kern w:val="0"/>
      <w:sz w:val="18"/>
      <w:szCs w:val="18"/>
    </w:rPr>
  </w:style>
  <w:style w:type="paragraph" w:styleId="17">
    <w:name w:val="Document Map"/>
    <w:basedOn w:val="1"/>
    <w:link w:val="122"/>
    <w:autoRedefine/>
    <w:semiHidden/>
    <w:qFormat/>
    <w:uiPriority w:val="99"/>
    <w:pPr>
      <w:shd w:val="clear" w:color="auto" w:fill="000080"/>
    </w:pPr>
    <w:rPr>
      <w:rFonts w:ascii="Times New Roman" w:hAnsi="Times New Roman" w:eastAsia="宋体" w:cs="Times New Roman"/>
      <w:kern w:val="0"/>
      <w:sz w:val="20"/>
      <w:szCs w:val="20"/>
    </w:rPr>
  </w:style>
  <w:style w:type="paragraph" w:styleId="18">
    <w:name w:val="annotation text"/>
    <w:basedOn w:val="1"/>
    <w:link w:val="129"/>
    <w:autoRedefine/>
    <w:semiHidden/>
    <w:unhideWhenUsed/>
    <w:qFormat/>
    <w:uiPriority w:val="99"/>
    <w:pPr>
      <w:jc w:val="left"/>
    </w:pPr>
  </w:style>
  <w:style w:type="paragraph" w:styleId="19">
    <w:name w:val="Body Text Indent"/>
    <w:basedOn w:val="1"/>
    <w:link w:val="63"/>
    <w:autoRedefine/>
    <w:qFormat/>
    <w:uiPriority w:val="99"/>
    <w:pPr>
      <w:ind w:firstLine="576"/>
    </w:pPr>
    <w:rPr>
      <w:rFonts w:ascii="Times New Roman" w:hAnsi="Times New Roman" w:eastAsia="宋体" w:cs="Times New Roman"/>
      <w:b/>
      <w:kern w:val="0"/>
      <w:sz w:val="30"/>
      <w:szCs w:val="20"/>
    </w:rPr>
  </w:style>
  <w:style w:type="paragraph" w:styleId="20">
    <w:name w:val="toc 5"/>
    <w:basedOn w:val="1"/>
    <w:next w:val="1"/>
    <w:unhideWhenUsed/>
    <w:qFormat/>
    <w:uiPriority w:val="39"/>
    <w:pPr>
      <w:spacing w:after="57"/>
      <w:ind w:left="1134"/>
    </w:pPr>
    <w:rPr>
      <w:rFonts w:ascii="Times New Roman" w:hAnsi="Times New Roman" w:eastAsia="宋体" w:cs="Times New Roman"/>
      <w:kern w:val="0"/>
      <w:szCs w:val="21"/>
    </w:rPr>
  </w:style>
  <w:style w:type="paragraph" w:styleId="21">
    <w:name w:val="toc 3"/>
    <w:basedOn w:val="1"/>
    <w:next w:val="1"/>
    <w:unhideWhenUsed/>
    <w:qFormat/>
    <w:uiPriority w:val="39"/>
    <w:pPr>
      <w:spacing w:after="57"/>
      <w:ind w:left="567"/>
    </w:pPr>
    <w:rPr>
      <w:rFonts w:ascii="Times New Roman" w:hAnsi="Times New Roman" w:eastAsia="宋体" w:cs="Times New Roman"/>
      <w:kern w:val="0"/>
      <w:szCs w:val="21"/>
    </w:rPr>
  </w:style>
  <w:style w:type="paragraph" w:styleId="22">
    <w:name w:val="toc 8"/>
    <w:basedOn w:val="1"/>
    <w:next w:val="1"/>
    <w:unhideWhenUsed/>
    <w:qFormat/>
    <w:uiPriority w:val="39"/>
    <w:pPr>
      <w:spacing w:after="57"/>
      <w:ind w:left="1984"/>
    </w:pPr>
    <w:rPr>
      <w:rFonts w:ascii="Times New Roman" w:hAnsi="Times New Roman" w:eastAsia="宋体" w:cs="Times New Roman"/>
      <w:kern w:val="0"/>
      <w:szCs w:val="21"/>
    </w:rPr>
  </w:style>
  <w:style w:type="paragraph" w:styleId="23">
    <w:name w:val="Date"/>
    <w:basedOn w:val="1"/>
    <w:next w:val="1"/>
    <w:link w:val="62"/>
    <w:autoRedefine/>
    <w:qFormat/>
    <w:uiPriority w:val="99"/>
    <w:rPr>
      <w:rFonts w:ascii="Times New Roman" w:hAnsi="Times New Roman" w:eastAsia="黑体" w:cs="Times New Roman"/>
      <w:b/>
      <w:kern w:val="0"/>
      <w:sz w:val="36"/>
      <w:szCs w:val="20"/>
    </w:rPr>
  </w:style>
  <w:style w:type="paragraph" w:styleId="24">
    <w:name w:val="Body Text Indent 2"/>
    <w:basedOn w:val="1"/>
    <w:link w:val="67"/>
    <w:autoRedefine/>
    <w:qFormat/>
    <w:uiPriority w:val="99"/>
    <w:pPr>
      <w:ind w:left="900"/>
    </w:pPr>
    <w:rPr>
      <w:rFonts w:ascii="楷体_GB2312" w:hAnsi="Times New Roman" w:eastAsia="楷体_GB2312" w:cs="Times New Roman"/>
      <w:b/>
      <w:kern w:val="0"/>
      <w:sz w:val="28"/>
      <w:szCs w:val="20"/>
    </w:rPr>
  </w:style>
  <w:style w:type="paragraph" w:styleId="25">
    <w:name w:val="endnote text"/>
    <w:basedOn w:val="1"/>
    <w:link w:val="169"/>
    <w:unhideWhenUsed/>
    <w:qFormat/>
    <w:uiPriority w:val="99"/>
    <w:rPr>
      <w:rFonts w:ascii="Times New Roman" w:hAnsi="Times New Roman" w:eastAsia="宋体" w:cs="Times New Roman"/>
      <w:kern w:val="0"/>
      <w:sz w:val="20"/>
      <w:szCs w:val="21"/>
    </w:rPr>
  </w:style>
  <w:style w:type="paragraph" w:styleId="26">
    <w:name w:val="Balloon Text"/>
    <w:basedOn w:val="1"/>
    <w:link w:val="128"/>
    <w:autoRedefine/>
    <w:unhideWhenUsed/>
    <w:qFormat/>
    <w:uiPriority w:val="99"/>
    <w:rPr>
      <w:rFonts w:ascii="Times New Roman" w:hAnsi="Times New Roman" w:eastAsia="宋体" w:cs="Times New Roman"/>
      <w:sz w:val="18"/>
      <w:szCs w:val="18"/>
    </w:rPr>
  </w:style>
  <w:style w:type="paragraph" w:styleId="27">
    <w:name w:val="footer"/>
    <w:basedOn w:val="1"/>
    <w:next w:val="28"/>
    <w:link w:val="64"/>
    <w:autoRedefine/>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customStyle="1" w:styleId="28">
    <w:name w:val="明显引用1"/>
    <w:next w:val="1"/>
    <w:autoRedefine/>
    <w:qFormat/>
    <w:uiPriority w:val="99"/>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paragraph" w:styleId="29">
    <w:name w:val="header"/>
    <w:basedOn w:val="1"/>
    <w:link w:val="65"/>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30">
    <w:name w:val="toc 1"/>
    <w:basedOn w:val="1"/>
    <w:next w:val="1"/>
    <w:unhideWhenUsed/>
    <w:qFormat/>
    <w:uiPriority w:val="39"/>
    <w:pPr>
      <w:spacing w:after="57"/>
    </w:pPr>
    <w:rPr>
      <w:rFonts w:ascii="Times New Roman" w:hAnsi="Times New Roman" w:eastAsia="宋体" w:cs="Times New Roman"/>
      <w:kern w:val="0"/>
      <w:szCs w:val="21"/>
    </w:rPr>
  </w:style>
  <w:style w:type="paragraph" w:styleId="31">
    <w:name w:val="toc 4"/>
    <w:basedOn w:val="1"/>
    <w:next w:val="1"/>
    <w:unhideWhenUsed/>
    <w:qFormat/>
    <w:uiPriority w:val="39"/>
    <w:pPr>
      <w:spacing w:after="57"/>
      <w:ind w:left="850"/>
    </w:pPr>
    <w:rPr>
      <w:rFonts w:ascii="Times New Roman" w:hAnsi="Times New Roman" w:eastAsia="宋体" w:cs="Times New Roman"/>
      <w:kern w:val="0"/>
      <w:szCs w:val="21"/>
    </w:rPr>
  </w:style>
  <w:style w:type="paragraph" w:styleId="32">
    <w:name w:val="Subtitle"/>
    <w:basedOn w:val="1"/>
    <w:next w:val="1"/>
    <w:link w:val="178"/>
    <w:autoRedefine/>
    <w:qFormat/>
    <w:uiPriority w:val="11"/>
    <w:pPr>
      <w:spacing w:before="240" w:after="60" w:line="312" w:lineRule="atLeast"/>
      <w:ind w:firstLine="471" w:firstLineChars="200"/>
      <w:jc w:val="center"/>
      <w:outlineLvl w:val="1"/>
    </w:pPr>
    <w:rPr>
      <w:rFonts w:ascii="Arial" w:hAnsi="Arial"/>
      <w:b/>
      <w:bCs/>
      <w:kern w:val="28"/>
      <w:sz w:val="32"/>
      <w:szCs w:val="32"/>
    </w:rPr>
  </w:style>
  <w:style w:type="paragraph" w:styleId="33">
    <w:name w:val="List"/>
    <w:basedOn w:val="1"/>
    <w:autoRedefine/>
    <w:qFormat/>
    <w:uiPriority w:val="0"/>
    <w:pPr>
      <w:tabs>
        <w:tab w:val="left" w:pos="420"/>
      </w:tabs>
      <w:autoSpaceDE w:val="0"/>
      <w:autoSpaceDN w:val="0"/>
      <w:adjustRightInd w:val="0"/>
      <w:spacing w:after="20" w:line="360" w:lineRule="auto"/>
      <w:ind w:firstLine="480" w:firstLineChars="200"/>
      <w:textAlignment w:val="baseline"/>
    </w:pPr>
    <w:rPr>
      <w:rFonts w:ascii="宋体" w:hAnsi="宋体" w:eastAsia="宋体" w:cs="宋体"/>
      <w:kern w:val="0"/>
      <w:sz w:val="24"/>
      <w:szCs w:val="24"/>
    </w:rPr>
  </w:style>
  <w:style w:type="paragraph" w:styleId="34">
    <w:name w:val="footnote text"/>
    <w:basedOn w:val="1"/>
    <w:link w:val="167"/>
    <w:unhideWhenUsed/>
    <w:qFormat/>
    <w:uiPriority w:val="99"/>
    <w:pPr>
      <w:spacing w:after="40"/>
    </w:pPr>
    <w:rPr>
      <w:rFonts w:ascii="Times New Roman" w:hAnsi="Times New Roman" w:eastAsia="宋体" w:cs="Times New Roman"/>
      <w:kern w:val="0"/>
      <w:sz w:val="18"/>
      <w:szCs w:val="21"/>
    </w:rPr>
  </w:style>
  <w:style w:type="paragraph" w:styleId="35">
    <w:name w:val="toc 6"/>
    <w:basedOn w:val="1"/>
    <w:next w:val="1"/>
    <w:unhideWhenUsed/>
    <w:qFormat/>
    <w:uiPriority w:val="39"/>
    <w:pPr>
      <w:spacing w:after="57"/>
      <w:ind w:left="1417"/>
    </w:pPr>
    <w:rPr>
      <w:rFonts w:ascii="Times New Roman" w:hAnsi="Times New Roman" w:eastAsia="宋体" w:cs="Times New Roman"/>
      <w:kern w:val="0"/>
      <w:szCs w:val="21"/>
    </w:rPr>
  </w:style>
  <w:style w:type="paragraph" w:styleId="36">
    <w:name w:val="Body Text Indent 3"/>
    <w:basedOn w:val="1"/>
    <w:link w:val="68"/>
    <w:autoRedefine/>
    <w:qFormat/>
    <w:uiPriority w:val="99"/>
    <w:pPr>
      <w:ind w:left="359" w:leftChars="171" w:firstLine="359" w:firstLineChars="171"/>
    </w:pPr>
    <w:rPr>
      <w:rFonts w:ascii="Times New Roman" w:hAnsi="Times New Roman" w:eastAsia="宋体" w:cs="Times New Roman"/>
      <w:kern w:val="0"/>
      <w:sz w:val="20"/>
      <w:szCs w:val="20"/>
    </w:rPr>
  </w:style>
  <w:style w:type="paragraph" w:styleId="37">
    <w:name w:val="table of figures"/>
    <w:basedOn w:val="1"/>
    <w:next w:val="1"/>
    <w:unhideWhenUsed/>
    <w:qFormat/>
    <w:uiPriority w:val="99"/>
    <w:rPr>
      <w:rFonts w:ascii="Times New Roman" w:hAnsi="Times New Roman" w:eastAsia="宋体" w:cs="Times New Roman"/>
      <w:kern w:val="0"/>
      <w:szCs w:val="21"/>
    </w:rPr>
  </w:style>
  <w:style w:type="paragraph" w:styleId="38">
    <w:name w:val="toc 2"/>
    <w:basedOn w:val="1"/>
    <w:next w:val="1"/>
    <w:unhideWhenUsed/>
    <w:qFormat/>
    <w:uiPriority w:val="39"/>
    <w:pPr>
      <w:spacing w:after="57"/>
      <w:ind w:left="283"/>
    </w:pPr>
    <w:rPr>
      <w:rFonts w:ascii="Times New Roman" w:hAnsi="Times New Roman" w:eastAsia="宋体" w:cs="Times New Roman"/>
      <w:kern w:val="0"/>
      <w:szCs w:val="21"/>
    </w:rPr>
  </w:style>
  <w:style w:type="paragraph" w:styleId="39">
    <w:name w:val="toc 9"/>
    <w:basedOn w:val="1"/>
    <w:next w:val="1"/>
    <w:unhideWhenUsed/>
    <w:qFormat/>
    <w:uiPriority w:val="39"/>
    <w:pPr>
      <w:spacing w:after="57"/>
      <w:ind w:left="2268"/>
    </w:pPr>
    <w:rPr>
      <w:rFonts w:ascii="Times New Roman" w:hAnsi="Times New Roman" w:eastAsia="宋体" w:cs="Times New Roman"/>
      <w:kern w:val="0"/>
      <w:szCs w:val="21"/>
    </w:rPr>
  </w:style>
  <w:style w:type="paragraph" w:styleId="40">
    <w:name w:val="Body Text 2"/>
    <w:basedOn w:val="1"/>
    <w:link w:val="123"/>
    <w:autoRedefine/>
    <w:qFormat/>
    <w:uiPriority w:val="99"/>
    <w:pPr>
      <w:spacing w:after="120" w:line="480" w:lineRule="auto"/>
    </w:pPr>
    <w:rPr>
      <w:rFonts w:ascii="Times New Roman" w:hAnsi="Times New Roman" w:eastAsia="宋体" w:cs="Times New Roman"/>
      <w:kern w:val="0"/>
      <w:sz w:val="20"/>
      <w:szCs w:val="20"/>
    </w:rPr>
  </w:style>
  <w:style w:type="paragraph" w:styleId="4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Title"/>
    <w:basedOn w:val="1"/>
    <w:next w:val="1"/>
    <w:link w:val="155"/>
    <w:qFormat/>
    <w:uiPriority w:val="10"/>
    <w:pPr>
      <w:spacing w:before="300" w:after="200"/>
      <w:contextualSpacing/>
    </w:pPr>
    <w:rPr>
      <w:rFonts w:ascii="Times New Roman" w:hAnsi="Times New Roman" w:eastAsia="宋体" w:cs="Times New Roman"/>
      <w:kern w:val="0"/>
      <w:sz w:val="48"/>
      <w:szCs w:val="48"/>
    </w:rPr>
  </w:style>
  <w:style w:type="paragraph" w:styleId="43">
    <w:name w:val="annotation subject"/>
    <w:basedOn w:val="18"/>
    <w:next w:val="18"/>
    <w:link w:val="130"/>
    <w:autoRedefine/>
    <w:semiHidden/>
    <w:unhideWhenUsed/>
    <w:qFormat/>
    <w:uiPriority w:val="99"/>
    <w:rPr>
      <w:b/>
      <w:bCs/>
    </w:rPr>
  </w:style>
  <w:style w:type="paragraph" w:styleId="44">
    <w:name w:val="Body Text First Indent"/>
    <w:basedOn w:val="2"/>
    <w:autoRedefine/>
    <w:unhideWhenUsed/>
    <w:qFormat/>
    <w:uiPriority w:val="99"/>
    <w:pPr>
      <w:spacing w:after="120"/>
      <w:ind w:firstLine="420" w:firstLineChars="100"/>
    </w:pPr>
    <w:rPr>
      <w:rFonts w:ascii="Calibri" w:hAnsi="Calibri" w:eastAsia="宋体"/>
      <w:kern w:val="2"/>
      <w:sz w:val="21"/>
      <w:szCs w:val="22"/>
    </w:rPr>
  </w:style>
  <w:style w:type="paragraph" w:styleId="45">
    <w:name w:val="Body Text First Indent 2"/>
    <w:basedOn w:val="19"/>
    <w:link w:val="133"/>
    <w:autoRedefine/>
    <w:semiHidden/>
    <w:unhideWhenUsed/>
    <w:qFormat/>
    <w:uiPriority w:val="99"/>
    <w:pPr>
      <w:spacing w:after="120"/>
      <w:ind w:left="420" w:leftChars="200" w:firstLine="420" w:firstLineChars="200"/>
    </w:pPr>
    <w:rPr>
      <w:rFonts w:asciiTheme="minorHAnsi" w:hAnsiTheme="minorHAnsi" w:eastAsiaTheme="minorEastAsia" w:cstheme="minorBidi"/>
      <w:b w:val="0"/>
      <w:kern w:val="2"/>
      <w:sz w:val="21"/>
      <w:szCs w:val="22"/>
    </w:rPr>
  </w:style>
  <w:style w:type="table" w:styleId="47">
    <w:name w:val="Table Grid"/>
    <w:basedOn w:val="46"/>
    <w:autoRedefine/>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99"/>
    <w:rPr>
      <w:rFonts w:cs="Times New Roman"/>
      <w:b/>
      <w:bCs/>
    </w:rPr>
  </w:style>
  <w:style w:type="character" w:styleId="50">
    <w:name w:val="endnote reference"/>
    <w:unhideWhenUsed/>
    <w:qFormat/>
    <w:uiPriority w:val="99"/>
    <w:rPr>
      <w:vertAlign w:val="superscript"/>
    </w:rPr>
  </w:style>
  <w:style w:type="character" w:styleId="51">
    <w:name w:val="page number"/>
    <w:autoRedefine/>
    <w:qFormat/>
    <w:uiPriority w:val="99"/>
    <w:rPr>
      <w:rFonts w:cs="Times New Roman"/>
    </w:rPr>
  </w:style>
  <w:style w:type="character" w:styleId="52">
    <w:name w:val="FollowedHyperlink"/>
    <w:autoRedefine/>
    <w:semiHidden/>
    <w:unhideWhenUsed/>
    <w:qFormat/>
    <w:uiPriority w:val="99"/>
    <w:rPr>
      <w:color w:val="800080"/>
      <w:u w:val="single"/>
    </w:rPr>
  </w:style>
  <w:style w:type="character" w:styleId="53">
    <w:name w:val="HTML Typewriter"/>
    <w:autoRedefine/>
    <w:qFormat/>
    <w:uiPriority w:val="99"/>
    <w:rPr>
      <w:rFonts w:ascii="宋体" w:hAnsi="宋体" w:eastAsia="宋体" w:cs="宋体"/>
      <w:sz w:val="24"/>
      <w:szCs w:val="24"/>
    </w:rPr>
  </w:style>
  <w:style w:type="character" w:styleId="54">
    <w:name w:val="Hyperlink"/>
    <w:autoRedefine/>
    <w:qFormat/>
    <w:uiPriority w:val="99"/>
    <w:rPr>
      <w:rFonts w:cs="Times New Roman"/>
      <w:color w:val="auto"/>
      <w:u w:val="none"/>
    </w:rPr>
  </w:style>
  <w:style w:type="character" w:styleId="55">
    <w:name w:val="annotation reference"/>
    <w:basedOn w:val="48"/>
    <w:autoRedefine/>
    <w:semiHidden/>
    <w:unhideWhenUsed/>
    <w:qFormat/>
    <w:uiPriority w:val="0"/>
    <w:rPr>
      <w:sz w:val="21"/>
      <w:szCs w:val="21"/>
    </w:rPr>
  </w:style>
  <w:style w:type="character" w:styleId="56">
    <w:name w:val="footnote reference"/>
    <w:unhideWhenUsed/>
    <w:qFormat/>
    <w:uiPriority w:val="99"/>
    <w:rPr>
      <w:vertAlign w:val="superscript"/>
    </w:rPr>
  </w:style>
  <w:style w:type="character" w:customStyle="1" w:styleId="57">
    <w:name w:val="标题 1 Char1"/>
    <w:basedOn w:val="48"/>
    <w:link w:val="3"/>
    <w:autoRedefine/>
    <w:qFormat/>
    <w:uiPriority w:val="9"/>
    <w:rPr>
      <w:rFonts w:ascii="楷体_GB2312" w:hAnsi="Times New Roman" w:eastAsia="楷体_GB2312" w:cs="Times New Roman"/>
      <w:b/>
      <w:kern w:val="0"/>
      <w:sz w:val="28"/>
      <w:szCs w:val="20"/>
    </w:rPr>
  </w:style>
  <w:style w:type="character" w:customStyle="1" w:styleId="58">
    <w:name w:val="标题 2 Char1"/>
    <w:basedOn w:val="48"/>
    <w:link w:val="4"/>
    <w:autoRedefine/>
    <w:qFormat/>
    <w:uiPriority w:val="9"/>
    <w:rPr>
      <w:rFonts w:ascii="楷体_GB2312" w:hAnsi="Times New Roman" w:eastAsia="楷体_GB2312" w:cs="Times New Roman"/>
      <w:b/>
      <w:bCs/>
      <w:kern w:val="0"/>
      <w:sz w:val="18"/>
      <w:szCs w:val="20"/>
    </w:rPr>
  </w:style>
  <w:style w:type="character" w:customStyle="1" w:styleId="59">
    <w:name w:val="标题 3 Char1"/>
    <w:basedOn w:val="48"/>
    <w:link w:val="5"/>
    <w:autoRedefine/>
    <w:qFormat/>
    <w:uiPriority w:val="9"/>
    <w:rPr>
      <w:rFonts w:asciiTheme="minorEastAsia" w:hAnsiTheme="minorEastAsia"/>
      <w:b/>
      <w:bCs/>
      <w:kern w:val="2"/>
      <w:sz w:val="24"/>
      <w:szCs w:val="24"/>
    </w:rPr>
  </w:style>
  <w:style w:type="character" w:customStyle="1" w:styleId="60">
    <w:name w:val="标题 4 Char1"/>
    <w:basedOn w:val="48"/>
    <w:link w:val="8"/>
    <w:autoRedefine/>
    <w:qFormat/>
    <w:uiPriority w:val="9"/>
    <w:rPr>
      <w:rFonts w:ascii="Times New Roman" w:hAnsi="Times New Roman" w:eastAsia="楷体_GB2312" w:cs="Times New Roman"/>
      <w:b/>
      <w:bCs/>
      <w:sz w:val="15"/>
    </w:rPr>
  </w:style>
  <w:style w:type="character" w:customStyle="1" w:styleId="61">
    <w:name w:val="标题 5 Char1"/>
    <w:basedOn w:val="48"/>
    <w:link w:val="9"/>
    <w:autoRedefine/>
    <w:qFormat/>
    <w:uiPriority w:val="9"/>
    <w:rPr>
      <w:rFonts w:ascii="楷体_GB2312" w:hAnsi="Times New Roman" w:eastAsia="楷体_GB2312" w:cs="Times New Roman"/>
      <w:bCs/>
      <w:kern w:val="0"/>
      <w:sz w:val="28"/>
      <w:szCs w:val="20"/>
    </w:rPr>
  </w:style>
  <w:style w:type="character" w:customStyle="1" w:styleId="62">
    <w:name w:val="日期 Char1"/>
    <w:basedOn w:val="48"/>
    <w:link w:val="23"/>
    <w:autoRedefine/>
    <w:qFormat/>
    <w:uiPriority w:val="99"/>
    <w:rPr>
      <w:rFonts w:ascii="Times New Roman" w:hAnsi="Times New Roman" w:eastAsia="黑体" w:cs="Times New Roman"/>
      <w:b/>
      <w:kern w:val="0"/>
      <w:sz w:val="36"/>
      <w:szCs w:val="20"/>
    </w:rPr>
  </w:style>
  <w:style w:type="character" w:customStyle="1" w:styleId="63">
    <w:name w:val="正文文本缩进 Char1"/>
    <w:basedOn w:val="48"/>
    <w:link w:val="19"/>
    <w:autoRedefine/>
    <w:qFormat/>
    <w:uiPriority w:val="99"/>
    <w:rPr>
      <w:rFonts w:ascii="Times New Roman" w:hAnsi="Times New Roman" w:eastAsia="宋体" w:cs="Times New Roman"/>
      <w:b/>
      <w:kern w:val="0"/>
      <w:sz w:val="30"/>
      <w:szCs w:val="20"/>
    </w:rPr>
  </w:style>
  <w:style w:type="character" w:customStyle="1" w:styleId="64">
    <w:name w:val="页脚 Char1"/>
    <w:basedOn w:val="48"/>
    <w:link w:val="27"/>
    <w:autoRedefine/>
    <w:qFormat/>
    <w:uiPriority w:val="99"/>
    <w:rPr>
      <w:rFonts w:ascii="Times New Roman" w:hAnsi="Times New Roman" w:eastAsia="宋体" w:cs="Times New Roman"/>
      <w:kern w:val="0"/>
      <w:sz w:val="18"/>
      <w:szCs w:val="20"/>
    </w:rPr>
  </w:style>
  <w:style w:type="character" w:customStyle="1" w:styleId="65">
    <w:name w:val="页眉 Char1"/>
    <w:basedOn w:val="48"/>
    <w:link w:val="29"/>
    <w:autoRedefine/>
    <w:qFormat/>
    <w:uiPriority w:val="99"/>
    <w:rPr>
      <w:rFonts w:ascii="Times New Roman" w:hAnsi="Times New Roman" w:eastAsia="宋体" w:cs="Times New Roman"/>
      <w:kern w:val="0"/>
      <w:sz w:val="18"/>
      <w:szCs w:val="20"/>
    </w:rPr>
  </w:style>
  <w:style w:type="character" w:customStyle="1" w:styleId="66">
    <w:name w:val="正文文本 Char1"/>
    <w:basedOn w:val="48"/>
    <w:link w:val="2"/>
    <w:autoRedefine/>
    <w:qFormat/>
    <w:uiPriority w:val="99"/>
    <w:rPr>
      <w:rFonts w:ascii="华文中宋" w:hAnsi="Times New Roman" w:eastAsia="华文中宋" w:cs="Times New Roman"/>
      <w:bCs/>
      <w:kern w:val="0"/>
      <w:sz w:val="28"/>
      <w:szCs w:val="20"/>
    </w:rPr>
  </w:style>
  <w:style w:type="character" w:customStyle="1" w:styleId="67">
    <w:name w:val="正文文本缩进 2 Char1"/>
    <w:basedOn w:val="48"/>
    <w:link w:val="24"/>
    <w:autoRedefine/>
    <w:qFormat/>
    <w:uiPriority w:val="99"/>
    <w:rPr>
      <w:rFonts w:ascii="楷体_GB2312" w:hAnsi="Times New Roman" w:eastAsia="楷体_GB2312" w:cs="Times New Roman"/>
      <w:b/>
      <w:kern w:val="0"/>
      <w:sz w:val="28"/>
      <w:szCs w:val="20"/>
    </w:rPr>
  </w:style>
  <w:style w:type="character" w:customStyle="1" w:styleId="68">
    <w:name w:val="正文文本缩进 3 Char1"/>
    <w:basedOn w:val="48"/>
    <w:link w:val="36"/>
    <w:autoRedefine/>
    <w:qFormat/>
    <w:uiPriority w:val="99"/>
    <w:rPr>
      <w:rFonts w:ascii="Times New Roman" w:hAnsi="Times New Roman" w:eastAsia="宋体" w:cs="Times New Roman"/>
      <w:kern w:val="0"/>
      <w:sz w:val="20"/>
      <w:szCs w:val="20"/>
    </w:rPr>
  </w:style>
  <w:style w:type="paragraph" w:customStyle="1" w:styleId="69">
    <w:name w:val="font5"/>
    <w:basedOn w:val="1"/>
    <w:autoRedefine/>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70">
    <w:name w:val="font6"/>
    <w:basedOn w:val="1"/>
    <w:autoRedefine/>
    <w:qFormat/>
    <w:uiPriority w:val="0"/>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71">
    <w:name w:val="font7"/>
    <w:basedOn w:val="1"/>
    <w:autoRedefine/>
    <w:qFormat/>
    <w:uiPriority w:val="0"/>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72">
    <w:name w:val="font8"/>
    <w:basedOn w:val="1"/>
    <w:autoRedefine/>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73">
    <w:name w:val="font9"/>
    <w:basedOn w:val="1"/>
    <w:autoRedefine/>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7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7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81">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8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83">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4">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8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86">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87">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88">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89">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90">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91">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92">
    <w:name w:val="xl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93">
    <w:name w:val="xl4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94">
    <w:name w:val="xl4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95">
    <w:name w:val="xl45"/>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96">
    <w:name w:val="xl46"/>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7">
    <w:name w:val="xl4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8">
    <w:name w:val="xl4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9">
    <w:name w:val="xl4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0">
    <w:name w:val="xl5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1">
    <w:name w:val="xl51"/>
    <w:basedOn w:val="1"/>
    <w:autoRedefine/>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102">
    <w:name w:val="xl52"/>
    <w:basedOn w:val="1"/>
    <w:autoRedefine/>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103">
    <w:name w:val="xl53"/>
    <w:basedOn w:val="1"/>
    <w:autoRedefine/>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104">
    <w:name w:val="xl54"/>
    <w:basedOn w:val="1"/>
    <w:autoRedefine/>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105">
    <w:name w:val="xl55"/>
    <w:basedOn w:val="1"/>
    <w:autoRedefine/>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6">
    <w:name w:val="xl56"/>
    <w:basedOn w:val="1"/>
    <w:autoRedefine/>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7">
    <w:name w:val="xl5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108">
    <w:name w:val="xl5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109">
    <w:name w:val="xl5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110">
    <w:name w:val="xl60"/>
    <w:basedOn w:val="1"/>
    <w:autoRedefine/>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111">
    <w:name w:val="xl61"/>
    <w:basedOn w:val="1"/>
    <w:autoRedefine/>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112">
    <w:name w:val="xl62"/>
    <w:basedOn w:val="1"/>
    <w:autoRedefine/>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113">
    <w:name w:val="xl6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14">
    <w:name w:val="font10"/>
    <w:basedOn w:val="1"/>
    <w:autoRedefine/>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115">
    <w:name w:val="font11"/>
    <w:basedOn w:val="1"/>
    <w:autoRedefine/>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16">
    <w:name w:val="font12"/>
    <w:basedOn w:val="1"/>
    <w:autoRedefine/>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17">
    <w:name w:val="font13"/>
    <w:basedOn w:val="1"/>
    <w:autoRedefine/>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18">
    <w:name w:val="font14"/>
    <w:basedOn w:val="1"/>
    <w:autoRedefine/>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19">
    <w:name w:val="case31"/>
    <w:autoRedefine/>
    <w:qFormat/>
    <w:uiPriority w:val="99"/>
    <w:rPr>
      <w:rFonts w:cs="Times New Roman"/>
      <w:spacing w:val="390"/>
      <w:sz w:val="21"/>
      <w:szCs w:val="21"/>
    </w:rPr>
  </w:style>
  <w:style w:type="paragraph" w:customStyle="1" w:styleId="120">
    <w:name w:val="普通文字"/>
    <w:basedOn w:val="1"/>
    <w:next w:val="1"/>
    <w:autoRedefine/>
    <w:qFormat/>
    <w:uiPriority w:val="99"/>
    <w:rPr>
      <w:rFonts w:ascii="宋体" w:hAnsi="Times New Roman" w:eastAsia="宋体" w:cs="Times New Roman"/>
      <w:kern w:val="0"/>
      <w:sz w:val="24"/>
      <w:szCs w:val="20"/>
      <w:u w:color="000000"/>
    </w:rPr>
  </w:style>
  <w:style w:type="paragraph" w:customStyle="1" w:styleId="121">
    <w:name w:val="默认段落字体 Para Char"/>
    <w:basedOn w:val="1"/>
    <w:autoRedefine/>
    <w:qFormat/>
    <w:uiPriority w:val="99"/>
    <w:pPr>
      <w:tabs>
        <w:tab w:val="left" w:pos="552"/>
      </w:tabs>
      <w:ind w:left="552" w:hanging="420"/>
    </w:pPr>
    <w:rPr>
      <w:rFonts w:ascii="Times New Roman" w:hAnsi="Times New Roman" w:eastAsia="宋体" w:cs="Times New Roman"/>
      <w:sz w:val="24"/>
      <w:szCs w:val="24"/>
    </w:rPr>
  </w:style>
  <w:style w:type="character" w:customStyle="1" w:styleId="122">
    <w:name w:val="文档结构图 Char1"/>
    <w:basedOn w:val="48"/>
    <w:link w:val="17"/>
    <w:autoRedefine/>
    <w:semiHidden/>
    <w:qFormat/>
    <w:uiPriority w:val="99"/>
    <w:rPr>
      <w:rFonts w:ascii="Times New Roman" w:hAnsi="Times New Roman" w:eastAsia="宋体" w:cs="Times New Roman"/>
      <w:kern w:val="0"/>
      <w:sz w:val="20"/>
      <w:szCs w:val="20"/>
      <w:shd w:val="clear" w:color="auto" w:fill="000080"/>
    </w:rPr>
  </w:style>
  <w:style w:type="character" w:customStyle="1" w:styleId="123">
    <w:name w:val="正文文本 2 Char1"/>
    <w:basedOn w:val="48"/>
    <w:link w:val="40"/>
    <w:autoRedefine/>
    <w:qFormat/>
    <w:uiPriority w:val="99"/>
    <w:rPr>
      <w:rFonts w:ascii="Times New Roman" w:hAnsi="Times New Roman" w:eastAsia="宋体" w:cs="Times New Roman"/>
      <w:kern w:val="0"/>
      <w:sz w:val="20"/>
      <w:szCs w:val="20"/>
    </w:rPr>
  </w:style>
  <w:style w:type="paragraph" w:customStyle="1" w:styleId="124">
    <w:name w:val="Char Char Char Char"/>
    <w:basedOn w:val="17"/>
    <w:autoRedefine/>
    <w:qFormat/>
    <w:uiPriority w:val="0"/>
    <w:pPr>
      <w:adjustRightInd w:val="0"/>
      <w:snapToGrid w:val="0"/>
      <w:spacing w:line="360" w:lineRule="auto"/>
    </w:pPr>
    <w:rPr>
      <w:rFonts w:ascii="Tahoma" w:hAnsi="Tahoma"/>
      <w:sz w:val="24"/>
      <w:szCs w:val="24"/>
    </w:rPr>
  </w:style>
  <w:style w:type="paragraph" w:customStyle="1" w:styleId="125">
    <w:name w:val="Char Char1 Char Char Char Char"/>
    <w:basedOn w:val="17"/>
    <w:autoRedefine/>
    <w:qFormat/>
    <w:uiPriority w:val="99"/>
    <w:pPr>
      <w:adjustRightInd w:val="0"/>
      <w:spacing w:line="436" w:lineRule="exact"/>
      <w:ind w:left="357"/>
      <w:jc w:val="left"/>
      <w:outlineLvl w:val="3"/>
    </w:pPr>
    <w:rPr>
      <w:rFonts w:ascii="Tahoma" w:hAnsi="Tahoma"/>
      <w:b/>
      <w:sz w:val="24"/>
      <w:szCs w:val="24"/>
    </w:rPr>
  </w:style>
  <w:style w:type="paragraph" w:styleId="126">
    <w:name w:val="List Paragraph"/>
    <w:basedOn w:val="1"/>
    <w:autoRedefine/>
    <w:qFormat/>
    <w:uiPriority w:val="34"/>
    <w:pPr>
      <w:ind w:firstLine="420" w:firstLineChars="200"/>
    </w:pPr>
    <w:rPr>
      <w:rFonts w:ascii="Times New Roman" w:hAnsi="Times New Roman" w:eastAsia="宋体" w:cs="Times New Roman"/>
      <w:szCs w:val="20"/>
    </w:rPr>
  </w:style>
  <w:style w:type="paragraph" w:customStyle="1" w:styleId="127">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28">
    <w:name w:val="批注框文本 Char1"/>
    <w:basedOn w:val="48"/>
    <w:link w:val="26"/>
    <w:autoRedefine/>
    <w:semiHidden/>
    <w:qFormat/>
    <w:uiPriority w:val="99"/>
    <w:rPr>
      <w:rFonts w:ascii="Times New Roman" w:hAnsi="Times New Roman" w:eastAsia="宋体" w:cs="Times New Roman"/>
      <w:sz w:val="18"/>
      <w:szCs w:val="18"/>
    </w:rPr>
  </w:style>
  <w:style w:type="character" w:customStyle="1" w:styleId="129">
    <w:name w:val="批注文字 Char1"/>
    <w:basedOn w:val="48"/>
    <w:link w:val="18"/>
    <w:autoRedefine/>
    <w:semiHidden/>
    <w:qFormat/>
    <w:uiPriority w:val="99"/>
  </w:style>
  <w:style w:type="character" w:customStyle="1" w:styleId="130">
    <w:name w:val="批注主题 Char1"/>
    <w:basedOn w:val="129"/>
    <w:link w:val="43"/>
    <w:autoRedefine/>
    <w:semiHidden/>
    <w:qFormat/>
    <w:uiPriority w:val="99"/>
    <w:rPr>
      <w:b/>
      <w:bCs/>
    </w:rPr>
  </w:style>
  <w:style w:type="paragraph" w:customStyle="1" w:styleId="131">
    <w:name w:val="列表段落1"/>
    <w:basedOn w:val="1"/>
    <w:autoRedefine/>
    <w:qFormat/>
    <w:uiPriority w:val="34"/>
    <w:pPr>
      <w:ind w:firstLine="420" w:firstLineChars="200"/>
    </w:pPr>
  </w:style>
  <w:style w:type="paragraph" w:customStyle="1" w:styleId="132">
    <w:name w:val="样式 小四 段前: 5 磅 段后: 5 磅 首行缩进:  2 字符"/>
    <w:basedOn w:val="1"/>
    <w:autoRedefine/>
    <w:qFormat/>
    <w:uiPriority w:val="0"/>
    <w:pPr>
      <w:spacing w:line="360" w:lineRule="auto"/>
    </w:pPr>
    <w:rPr>
      <w:rFonts w:ascii="宋体" w:hAnsi="宋体"/>
      <w:szCs w:val="21"/>
    </w:rPr>
  </w:style>
  <w:style w:type="character" w:customStyle="1" w:styleId="133">
    <w:name w:val="正文首行缩进 2 Char1"/>
    <w:basedOn w:val="63"/>
    <w:link w:val="45"/>
    <w:autoRedefine/>
    <w:semiHidden/>
    <w:qFormat/>
    <w:uiPriority w:val="99"/>
    <w:rPr>
      <w:rFonts w:ascii="Times New Roman" w:hAnsi="Times New Roman" w:eastAsia="宋体" w:cs="Times New Roman"/>
      <w:b w:val="0"/>
      <w:kern w:val="2"/>
      <w:sz w:val="21"/>
      <w:szCs w:val="22"/>
    </w:rPr>
  </w:style>
  <w:style w:type="table" w:customStyle="1" w:styleId="134">
    <w:name w:val="网格型1"/>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
    <w:basedOn w:val="4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
    <w:basedOn w:val="4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4"/>
    <w:basedOn w:val="46"/>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List Paragraph1"/>
    <w:basedOn w:val="1"/>
    <w:autoRedefine/>
    <w:qFormat/>
    <w:uiPriority w:val="0"/>
    <w:pPr>
      <w:ind w:firstLine="420" w:firstLineChars="200"/>
    </w:pPr>
    <w:rPr>
      <w:szCs w:val="21"/>
    </w:rPr>
  </w:style>
  <w:style w:type="paragraph" w:customStyle="1" w:styleId="139">
    <w:name w:val="标题 31"/>
    <w:basedOn w:val="1"/>
    <w:next w:val="1"/>
    <w:link w:val="140"/>
    <w:qFormat/>
    <w:uiPriority w:val="0"/>
    <w:pPr>
      <w:keepNext/>
      <w:keepLines/>
      <w:spacing w:before="260" w:after="260" w:line="416" w:lineRule="auto"/>
      <w:outlineLvl w:val="2"/>
    </w:pPr>
    <w:rPr>
      <w:rFonts w:ascii="Times New Roman" w:hAnsi="Times New Roman" w:eastAsia="宋体" w:cs="Times New Roman"/>
      <w:b/>
      <w:bCs/>
      <w:kern w:val="0"/>
      <w:sz w:val="32"/>
      <w:szCs w:val="32"/>
      <w:lang w:eastAsia="en-US"/>
    </w:rPr>
  </w:style>
  <w:style w:type="character" w:customStyle="1" w:styleId="140">
    <w:name w:val="标题 3 Char"/>
    <w:link w:val="139"/>
    <w:qFormat/>
    <w:uiPriority w:val="0"/>
    <w:rPr>
      <w:rFonts w:ascii="Times New Roman" w:hAnsi="Times New Roman" w:eastAsia="宋体" w:cs="Times New Roman"/>
      <w:b/>
      <w:bCs/>
      <w:sz w:val="32"/>
      <w:szCs w:val="32"/>
      <w:lang w:eastAsia="en-US"/>
    </w:rPr>
  </w:style>
  <w:style w:type="character" w:customStyle="1" w:styleId="141">
    <w:name w:val="标题 6 Char1"/>
    <w:basedOn w:val="48"/>
    <w:link w:val="10"/>
    <w:qFormat/>
    <w:uiPriority w:val="9"/>
    <w:rPr>
      <w:rFonts w:ascii="Arial" w:hAnsi="Arial" w:eastAsia="Arial" w:cs="Arial"/>
      <w:b/>
      <w:bCs/>
      <w:sz w:val="22"/>
      <w:szCs w:val="22"/>
    </w:rPr>
  </w:style>
  <w:style w:type="character" w:customStyle="1" w:styleId="142">
    <w:name w:val="标题 7 Char1"/>
    <w:basedOn w:val="48"/>
    <w:link w:val="11"/>
    <w:qFormat/>
    <w:uiPriority w:val="9"/>
    <w:rPr>
      <w:rFonts w:ascii="Arial" w:hAnsi="Arial" w:eastAsia="Arial" w:cs="Arial"/>
      <w:b/>
      <w:bCs/>
      <w:i/>
      <w:iCs/>
      <w:sz w:val="22"/>
      <w:szCs w:val="22"/>
    </w:rPr>
  </w:style>
  <w:style w:type="character" w:customStyle="1" w:styleId="143">
    <w:name w:val="标题 8 Char1"/>
    <w:basedOn w:val="48"/>
    <w:link w:val="12"/>
    <w:qFormat/>
    <w:uiPriority w:val="9"/>
    <w:rPr>
      <w:rFonts w:ascii="Arial" w:hAnsi="Arial" w:eastAsia="Arial" w:cs="Arial"/>
      <w:i/>
      <w:iCs/>
      <w:sz w:val="22"/>
      <w:szCs w:val="22"/>
    </w:rPr>
  </w:style>
  <w:style w:type="character" w:customStyle="1" w:styleId="144">
    <w:name w:val="标题 9 Char1"/>
    <w:basedOn w:val="48"/>
    <w:link w:val="13"/>
    <w:qFormat/>
    <w:uiPriority w:val="9"/>
    <w:rPr>
      <w:rFonts w:ascii="Arial" w:hAnsi="Arial" w:eastAsia="Arial" w:cs="Arial"/>
      <w:i/>
      <w:iCs/>
      <w:sz w:val="21"/>
      <w:szCs w:val="21"/>
    </w:rPr>
  </w:style>
  <w:style w:type="character" w:customStyle="1" w:styleId="145">
    <w:name w:val="Heading 1 Char"/>
    <w:qFormat/>
    <w:uiPriority w:val="9"/>
    <w:rPr>
      <w:rFonts w:ascii="Arial" w:hAnsi="Arial" w:eastAsia="Arial" w:cs="Arial"/>
      <w:sz w:val="40"/>
      <w:szCs w:val="40"/>
    </w:rPr>
  </w:style>
  <w:style w:type="character" w:customStyle="1" w:styleId="146">
    <w:name w:val="Heading 2 Char"/>
    <w:qFormat/>
    <w:uiPriority w:val="9"/>
    <w:rPr>
      <w:rFonts w:ascii="Arial" w:hAnsi="Arial" w:eastAsia="Arial" w:cs="Arial"/>
      <w:sz w:val="34"/>
    </w:rPr>
  </w:style>
  <w:style w:type="character" w:customStyle="1" w:styleId="147">
    <w:name w:val="Heading 3 Char"/>
    <w:qFormat/>
    <w:uiPriority w:val="9"/>
    <w:rPr>
      <w:rFonts w:ascii="Arial" w:hAnsi="Arial" w:eastAsia="Arial" w:cs="Arial"/>
      <w:sz w:val="30"/>
      <w:szCs w:val="30"/>
    </w:rPr>
  </w:style>
  <w:style w:type="character" w:customStyle="1" w:styleId="148">
    <w:name w:val="Heading 4 Char"/>
    <w:qFormat/>
    <w:uiPriority w:val="9"/>
    <w:rPr>
      <w:rFonts w:ascii="Arial" w:hAnsi="Arial" w:eastAsia="Arial" w:cs="Arial"/>
      <w:b/>
      <w:bCs/>
      <w:sz w:val="26"/>
      <w:szCs w:val="26"/>
    </w:rPr>
  </w:style>
  <w:style w:type="character" w:customStyle="1" w:styleId="149">
    <w:name w:val="Heading 5 Char"/>
    <w:qFormat/>
    <w:uiPriority w:val="9"/>
    <w:rPr>
      <w:rFonts w:ascii="Arial" w:hAnsi="Arial" w:eastAsia="Arial" w:cs="Arial"/>
      <w:b/>
      <w:bCs/>
      <w:sz w:val="24"/>
      <w:szCs w:val="24"/>
    </w:rPr>
  </w:style>
  <w:style w:type="character" w:customStyle="1" w:styleId="150">
    <w:name w:val="Heading 6 Char"/>
    <w:qFormat/>
    <w:uiPriority w:val="9"/>
    <w:rPr>
      <w:rFonts w:ascii="Arial" w:hAnsi="Arial" w:eastAsia="Arial" w:cs="Arial"/>
      <w:b/>
      <w:bCs/>
      <w:sz w:val="22"/>
      <w:szCs w:val="22"/>
    </w:rPr>
  </w:style>
  <w:style w:type="character" w:customStyle="1" w:styleId="151">
    <w:name w:val="Heading 7 Char"/>
    <w:qFormat/>
    <w:uiPriority w:val="9"/>
    <w:rPr>
      <w:rFonts w:ascii="Arial" w:hAnsi="Arial" w:eastAsia="Arial" w:cs="Arial"/>
      <w:b/>
      <w:bCs/>
      <w:i/>
      <w:iCs/>
      <w:sz w:val="22"/>
      <w:szCs w:val="22"/>
    </w:rPr>
  </w:style>
  <w:style w:type="character" w:customStyle="1" w:styleId="152">
    <w:name w:val="Heading 8 Char"/>
    <w:qFormat/>
    <w:uiPriority w:val="9"/>
    <w:rPr>
      <w:rFonts w:ascii="Arial" w:hAnsi="Arial" w:eastAsia="Arial" w:cs="Arial"/>
      <w:i/>
      <w:iCs/>
      <w:sz w:val="22"/>
      <w:szCs w:val="22"/>
    </w:rPr>
  </w:style>
  <w:style w:type="character" w:customStyle="1" w:styleId="153">
    <w:name w:val="Heading 9 Char"/>
    <w:qFormat/>
    <w:uiPriority w:val="9"/>
    <w:rPr>
      <w:rFonts w:ascii="Arial" w:hAnsi="Arial" w:eastAsia="Arial" w:cs="Arial"/>
      <w:i/>
      <w:iCs/>
      <w:sz w:val="21"/>
      <w:szCs w:val="21"/>
    </w:rPr>
  </w:style>
  <w:style w:type="paragraph" w:styleId="154">
    <w:name w:val="No Spacing"/>
    <w:qFormat/>
    <w:uiPriority w:val="1"/>
    <w:rPr>
      <w:rFonts w:ascii="Calibri" w:hAnsi="Calibri" w:eastAsia="宋体" w:cs="Times New Roman"/>
      <w:lang w:val="en-US" w:eastAsia="zh-CN" w:bidi="ar-SA"/>
    </w:rPr>
  </w:style>
  <w:style w:type="character" w:customStyle="1" w:styleId="155">
    <w:name w:val="标题 Char"/>
    <w:basedOn w:val="48"/>
    <w:link w:val="42"/>
    <w:qFormat/>
    <w:uiPriority w:val="10"/>
    <w:rPr>
      <w:rFonts w:ascii="Times New Roman" w:hAnsi="Times New Roman" w:eastAsia="宋体" w:cs="Times New Roman"/>
      <w:sz w:val="48"/>
      <w:szCs w:val="48"/>
    </w:rPr>
  </w:style>
  <w:style w:type="character" w:customStyle="1" w:styleId="156">
    <w:name w:val="Title Char"/>
    <w:qFormat/>
    <w:uiPriority w:val="10"/>
    <w:rPr>
      <w:sz w:val="48"/>
      <w:szCs w:val="48"/>
    </w:rPr>
  </w:style>
  <w:style w:type="character" w:customStyle="1" w:styleId="157">
    <w:name w:val="Subtitle Char"/>
    <w:qFormat/>
    <w:uiPriority w:val="11"/>
    <w:rPr>
      <w:sz w:val="24"/>
      <w:szCs w:val="24"/>
    </w:rPr>
  </w:style>
  <w:style w:type="paragraph" w:styleId="158">
    <w:name w:val="Quote"/>
    <w:basedOn w:val="1"/>
    <w:next w:val="1"/>
    <w:link w:val="159"/>
    <w:qFormat/>
    <w:uiPriority w:val="29"/>
    <w:pPr>
      <w:ind w:left="720" w:right="720"/>
    </w:pPr>
    <w:rPr>
      <w:rFonts w:ascii="Times New Roman" w:hAnsi="Times New Roman" w:eastAsia="宋体" w:cs="Times New Roman"/>
      <w:i/>
      <w:kern w:val="0"/>
      <w:szCs w:val="21"/>
    </w:rPr>
  </w:style>
  <w:style w:type="character" w:customStyle="1" w:styleId="159">
    <w:name w:val="引用 Char"/>
    <w:basedOn w:val="48"/>
    <w:link w:val="158"/>
    <w:qFormat/>
    <w:uiPriority w:val="29"/>
    <w:rPr>
      <w:rFonts w:ascii="Times New Roman" w:hAnsi="Times New Roman" w:eastAsia="宋体" w:cs="Times New Roman"/>
      <w:i/>
      <w:sz w:val="21"/>
      <w:szCs w:val="21"/>
    </w:rPr>
  </w:style>
  <w:style w:type="character" w:customStyle="1" w:styleId="160">
    <w:name w:val="Quote Char"/>
    <w:qFormat/>
    <w:uiPriority w:val="29"/>
    <w:rPr>
      <w:i/>
    </w:rPr>
  </w:style>
  <w:style w:type="paragraph" w:styleId="161">
    <w:name w:val="Intense Quote"/>
    <w:basedOn w:val="1"/>
    <w:next w:val="1"/>
    <w:link w:val="16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kern w:val="0"/>
      <w:szCs w:val="21"/>
    </w:rPr>
  </w:style>
  <w:style w:type="character" w:customStyle="1" w:styleId="162">
    <w:name w:val="明显引用 Char"/>
    <w:basedOn w:val="48"/>
    <w:link w:val="161"/>
    <w:qFormat/>
    <w:uiPriority w:val="30"/>
    <w:rPr>
      <w:rFonts w:ascii="Times New Roman" w:hAnsi="Times New Roman" w:eastAsia="宋体" w:cs="Times New Roman"/>
      <w:i/>
      <w:sz w:val="21"/>
      <w:szCs w:val="21"/>
      <w:shd w:val="clear" w:color="auto" w:fill="F2F2F2"/>
    </w:rPr>
  </w:style>
  <w:style w:type="character" w:customStyle="1" w:styleId="163">
    <w:name w:val="Intense Quote Char"/>
    <w:qFormat/>
    <w:uiPriority w:val="30"/>
    <w:rPr>
      <w:i/>
    </w:rPr>
  </w:style>
  <w:style w:type="character" w:customStyle="1" w:styleId="164">
    <w:name w:val="Header Char"/>
    <w:qFormat/>
    <w:uiPriority w:val="99"/>
  </w:style>
  <w:style w:type="character" w:customStyle="1" w:styleId="165">
    <w:name w:val="Footer Char"/>
    <w:qFormat/>
    <w:uiPriority w:val="99"/>
  </w:style>
  <w:style w:type="character" w:customStyle="1" w:styleId="166">
    <w:name w:val="Caption Char"/>
    <w:qFormat/>
    <w:uiPriority w:val="99"/>
  </w:style>
  <w:style w:type="character" w:customStyle="1" w:styleId="167">
    <w:name w:val="脚注文本 Char"/>
    <w:basedOn w:val="48"/>
    <w:link w:val="34"/>
    <w:qFormat/>
    <w:uiPriority w:val="99"/>
    <w:rPr>
      <w:rFonts w:ascii="Times New Roman" w:hAnsi="Times New Roman" w:eastAsia="宋体" w:cs="Times New Roman"/>
      <w:sz w:val="18"/>
      <w:szCs w:val="21"/>
    </w:rPr>
  </w:style>
  <w:style w:type="character" w:customStyle="1" w:styleId="168">
    <w:name w:val="Footnote Text Char"/>
    <w:qFormat/>
    <w:uiPriority w:val="99"/>
    <w:rPr>
      <w:sz w:val="18"/>
    </w:rPr>
  </w:style>
  <w:style w:type="character" w:customStyle="1" w:styleId="169">
    <w:name w:val="尾注文本 Char"/>
    <w:basedOn w:val="48"/>
    <w:link w:val="25"/>
    <w:qFormat/>
    <w:uiPriority w:val="99"/>
    <w:rPr>
      <w:rFonts w:ascii="Times New Roman" w:hAnsi="Times New Roman" w:eastAsia="宋体" w:cs="Times New Roman"/>
      <w:szCs w:val="21"/>
    </w:rPr>
  </w:style>
  <w:style w:type="character" w:customStyle="1" w:styleId="170">
    <w:name w:val="Endnote Text Char"/>
    <w:qFormat/>
    <w:uiPriority w:val="99"/>
    <w:rPr>
      <w:sz w:val="20"/>
    </w:rPr>
  </w:style>
  <w:style w:type="paragraph" w:customStyle="1" w:styleId="171">
    <w:name w:val="目录 711"/>
    <w:basedOn w:val="1"/>
    <w:next w:val="1"/>
    <w:unhideWhenUsed/>
    <w:qFormat/>
    <w:uiPriority w:val="39"/>
    <w:pPr>
      <w:spacing w:after="57"/>
      <w:ind w:left="1701"/>
    </w:pPr>
    <w:rPr>
      <w:rFonts w:ascii="Times New Roman" w:hAnsi="Times New Roman" w:eastAsia="宋体" w:cs="Times New Roman"/>
      <w:kern w:val="0"/>
      <w:szCs w:val="21"/>
    </w:rPr>
  </w:style>
  <w:style w:type="paragraph" w:customStyle="1" w:styleId="172">
    <w:name w:val="目录 511"/>
    <w:basedOn w:val="1"/>
    <w:next w:val="1"/>
    <w:unhideWhenUsed/>
    <w:qFormat/>
    <w:uiPriority w:val="39"/>
    <w:pPr>
      <w:spacing w:after="57"/>
      <w:ind w:left="1134"/>
    </w:pPr>
    <w:rPr>
      <w:rFonts w:ascii="Times New Roman" w:hAnsi="Times New Roman" w:eastAsia="宋体" w:cs="Times New Roman"/>
      <w:kern w:val="0"/>
      <w:szCs w:val="21"/>
    </w:rPr>
  </w:style>
  <w:style w:type="paragraph" w:customStyle="1" w:styleId="173">
    <w:name w:val="目录 311"/>
    <w:basedOn w:val="1"/>
    <w:next w:val="1"/>
    <w:unhideWhenUsed/>
    <w:qFormat/>
    <w:uiPriority w:val="39"/>
    <w:pPr>
      <w:spacing w:after="57"/>
      <w:ind w:left="567"/>
    </w:pPr>
    <w:rPr>
      <w:rFonts w:ascii="Times New Roman" w:hAnsi="Times New Roman" w:eastAsia="宋体" w:cs="Times New Roman"/>
      <w:kern w:val="0"/>
      <w:szCs w:val="21"/>
    </w:rPr>
  </w:style>
  <w:style w:type="paragraph" w:customStyle="1" w:styleId="174">
    <w:name w:val="目录 811"/>
    <w:basedOn w:val="1"/>
    <w:next w:val="1"/>
    <w:unhideWhenUsed/>
    <w:qFormat/>
    <w:uiPriority w:val="39"/>
    <w:pPr>
      <w:spacing w:after="57"/>
      <w:ind w:left="1984"/>
    </w:pPr>
    <w:rPr>
      <w:rFonts w:ascii="Times New Roman" w:hAnsi="Times New Roman" w:eastAsia="宋体" w:cs="Times New Roman"/>
      <w:kern w:val="0"/>
      <w:szCs w:val="21"/>
    </w:rPr>
  </w:style>
  <w:style w:type="character" w:customStyle="1" w:styleId="175">
    <w:name w:val="页脚 字符1"/>
    <w:qFormat/>
    <w:uiPriority w:val="99"/>
  </w:style>
  <w:style w:type="paragraph" w:customStyle="1" w:styleId="176">
    <w:name w:val="目录 1111"/>
    <w:basedOn w:val="1"/>
    <w:next w:val="1"/>
    <w:unhideWhenUsed/>
    <w:qFormat/>
    <w:uiPriority w:val="39"/>
    <w:pPr>
      <w:spacing w:after="57"/>
    </w:pPr>
    <w:rPr>
      <w:rFonts w:ascii="Times New Roman" w:hAnsi="Times New Roman" w:eastAsia="宋体" w:cs="Times New Roman"/>
      <w:kern w:val="0"/>
      <w:szCs w:val="21"/>
    </w:rPr>
  </w:style>
  <w:style w:type="paragraph" w:customStyle="1" w:styleId="177">
    <w:name w:val="目录 411"/>
    <w:basedOn w:val="1"/>
    <w:next w:val="1"/>
    <w:unhideWhenUsed/>
    <w:qFormat/>
    <w:uiPriority w:val="39"/>
    <w:pPr>
      <w:spacing w:after="57"/>
      <w:ind w:left="850"/>
    </w:pPr>
    <w:rPr>
      <w:rFonts w:ascii="Times New Roman" w:hAnsi="Times New Roman" w:eastAsia="宋体" w:cs="Times New Roman"/>
      <w:kern w:val="0"/>
      <w:szCs w:val="21"/>
    </w:rPr>
  </w:style>
  <w:style w:type="character" w:customStyle="1" w:styleId="178">
    <w:name w:val="副标题 Char"/>
    <w:link w:val="32"/>
    <w:qFormat/>
    <w:uiPriority w:val="11"/>
    <w:rPr>
      <w:rFonts w:ascii="Arial" w:hAnsi="Arial"/>
      <w:b/>
      <w:bCs/>
      <w:kern w:val="28"/>
      <w:sz w:val="32"/>
      <w:szCs w:val="32"/>
    </w:rPr>
  </w:style>
  <w:style w:type="paragraph" w:customStyle="1" w:styleId="179">
    <w:name w:val="目录 611"/>
    <w:basedOn w:val="1"/>
    <w:next w:val="1"/>
    <w:unhideWhenUsed/>
    <w:qFormat/>
    <w:uiPriority w:val="39"/>
    <w:pPr>
      <w:spacing w:after="57"/>
      <w:ind w:left="1417"/>
    </w:pPr>
    <w:rPr>
      <w:rFonts w:ascii="Times New Roman" w:hAnsi="Times New Roman" w:eastAsia="宋体" w:cs="Times New Roman"/>
      <w:kern w:val="0"/>
      <w:szCs w:val="21"/>
    </w:rPr>
  </w:style>
  <w:style w:type="paragraph" w:customStyle="1" w:styleId="180">
    <w:name w:val="目录 211"/>
    <w:basedOn w:val="1"/>
    <w:next w:val="1"/>
    <w:unhideWhenUsed/>
    <w:qFormat/>
    <w:uiPriority w:val="39"/>
    <w:pPr>
      <w:spacing w:after="57"/>
      <w:ind w:left="283"/>
    </w:pPr>
    <w:rPr>
      <w:rFonts w:ascii="Times New Roman" w:hAnsi="Times New Roman" w:eastAsia="宋体" w:cs="Times New Roman"/>
      <w:kern w:val="0"/>
      <w:szCs w:val="21"/>
    </w:rPr>
  </w:style>
  <w:style w:type="paragraph" w:customStyle="1" w:styleId="181">
    <w:name w:val="目录 911"/>
    <w:basedOn w:val="1"/>
    <w:next w:val="1"/>
    <w:unhideWhenUsed/>
    <w:qFormat/>
    <w:uiPriority w:val="39"/>
    <w:pPr>
      <w:spacing w:after="57"/>
      <w:ind w:left="2268"/>
    </w:pPr>
    <w:rPr>
      <w:rFonts w:ascii="Times New Roman" w:hAnsi="Times New Roman" w:eastAsia="宋体" w:cs="Times New Roman"/>
      <w:kern w:val="0"/>
      <w:szCs w:val="21"/>
    </w:rPr>
  </w:style>
  <w:style w:type="character" w:customStyle="1" w:styleId="182">
    <w:name w:val="font5 Char"/>
    <w:qFormat/>
    <w:uiPriority w:val="0"/>
    <w:rPr>
      <w:rFonts w:ascii="宋体" w:hAnsi="宋体" w:eastAsia="宋体"/>
      <w:sz w:val="28"/>
      <w:szCs w:val="28"/>
      <w:lang w:val="en-US" w:eastAsia="zh-CN" w:bidi="ar-SA"/>
    </w:rPr>
  </w:style>
  <w:style w:type="paragraph" w:customStyle="1" w:styleId="183">
    <w:name w:val="列出段落2"/>
    <w:basedOn w:val="1"/>
    <w:qFormat/>
    <w:uiPriority w:val="34"/>
    <w:pPr>
      <w:ind w:left="720"/>
      <w:contextualSpacing/>
    </w:pPr>
    <w:rPr>
      <w:rFonts w:ascii="Times New Roman" w:hAnsi="Times New Roman" w:eastAsia="宋体" w:cs="Times New Roman"/>
      <w:kern w:val="0"/>
      <w:szCs w:val="21"/>
    </w:rPr>
  </w:style>
  <w:style w:type="table" w:customStyle="1" w:styleId="184">
    <w:name w:val="Table Grid Light"/>
    <w:qFormat/>
    <w:uiPriority w:val="59"/>
    <w:rPr>
      <w:rFonts w:ascii="Calibri" w:hAnsi="Calibri" w:eastAsia="宋体" w:cs="Times New Roman"/>
    </w:rPr>
    <w:tblPr>
      <w:tblCellMar>
        <w:top w:w="0" w:type="dxa"/>
        <w:left w:w="0" w:type="dxa"/>
        <w:bottom w:w="0" w:type="dxa"/>
        <w:right w:w="0" w:type="dxa"/>
      </w:tblCellMar>
    </w:tblPr>
  </w:style>
  <w:style w:type="table" w:customStyle="1" w:styleId="185">
    <w:name w:val="Plain Table 1"/>
    <w:qFormat/>
    <w:uiPriority w:val="59"/>
    <w:rPr>
      <w:rFonts w:ascii="Calibri" w:hAnsi="Calibri" w:eastAsia="宋体" w:cs="Times New Roman"/>
    </w:rPr>
    <w:tblPr>
      <w:tblCellMar>
        <w:top w:w="0" w:type="dxa"/>
        <w:left w:w="0" w:type="dxa"/>
        <w:bottom w:w="0" w:type="dxa"/>
        <w:right w:w="0" w:type="dxa"/>
      </w:tblCellMar>
    </w:tblPr>
  </w:style>
  <w:style w:type="table" w:customStyle="1" w:styleId="186">
    <w:name w:val="Plain Table 2"/>
    <w:qFormat/>
    <w:uiPriority w:val="59"/>
    <w:rPr>
      <w:rFonts w:ascii="Calibri" w:hAnsi="Calibri" w:eastAsia="宋体" w:cs="Times New Roman"/>
    </w:rPr>
    <w:tblPr>
      <w:tblCellMar>
        <w:top w:w="0" w:type="dxa"/>
        <w:left w:w="0" w:type="dxa"/>
        <w:bottom w:w="0" w:type="dxa"/>
        <w:right w:w="0" w:type="dxa"/>
      </w:tblCellMar>
    </w:tblPr>
  </w:style>
  <w:style w:type="table" w:customStyle="1" w:styleId="187">
    <w:name w:val="Plain Table 3"/>
    <w:qFormat/>
    <w:uiPriority w:val="99"/>
    <w:rPr>
      <w:rFonts w:ascii="Calibri" w:hAnsi="Calibri" w:eastAsia="宋体" w:cs="Times New Roman"/>
    </w:rPr>
    <w:tblPr>
      <w:tblCellMar>
        <w:top w:w="0" w:type="dxa"/>
        <w:left w:w="0" w:type="dxa"/>
        <w:bottom w:w="0" w:type="dxa"/>
        <w:right w:w="0" w:type="dxa"/>
      </w:tblCellMar>
    </w:tblPr>
  </w:style>
  <w:style w:type="table" w:customStyle="1" w:styleId="188">
    <w:name w:val="Plain Table 4"/>
    <w:qFormat/>
    <w:uiPriority w:val="99"/>
    <w:rPr>
      <w:rFonts w:ascii="Calibri" w:hAnsi="Calibri" w:eastAsia="宋体" w:cs="Times New Roman"/>
    </w:rPr>
    <w:tblPr>
      <w:tblCellMar>
        <w:top w:w="0" w:type="dxa"/>
        <w:left w:w="0" w:type="dxa"/>
        <w:bottom w:w="0" w:type="dxa"/>
        <w:right w:w="0" w:type="dxa"/>
      </w:tblCellMar>
    </w:tblPr>
  </w:style>
  <w:style w:type="table" w:customStyle="1" w:styleId="189">
    <w:name w:val="Plain Table 5"/>
    <w:qFormat/>
    <w:uiPriority w:val="99"/>
    <w:rPr>
      <w:rFonts w:ascii="Calibri" w:hAnsi="Calibri" w:eastAsia="宋体" w:cs="Times New Roman"/>
    </w:rPr>
    <w:tblPr>
      <w:tblCellMar>
        <w:top w:w="0" w:type="dxa"/>
        <w:left w:w="0" w:type="dxa"/>
        <w:bottom w:w="0" w:type="dxa"/>
        <w:right w:w="0" w:type="dxa"/>
      </w:tblCellMar>
    </w:tblPr>
  </w:style>
  <w:style w:type="table" w:customStyle="1" w:styleId="190">
    <w:name w:val="Grid Table 1 Light"/>
    <w:qFormat/>
    <w:uiPriority w:val="99"/>
    <w:rPr>
      <w:rFonts w:ascii="Calibri" w:hAnsi="Calibri" w:eastAsia="宋体" w:cs="Times New Roman"/>
    </w:rPr>
    <w:tblPr>
      <w:tblCellMar>
        <w:top w:w="0" w:type="dxa"/>
        <w:left w:w="0" w:type="dxa"/>
        <w:bottom w:w="0" w:type="dxa"/>
        <w:right w:w="0" w:type="dxa"/>
      </w:tblCellMar>
    </w:tblPr>
  </w:style>
  <w:style w:type="table" w:customStyle="1" w:styleId="191">
    <w:name w:val="Grid Table 1 Light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192">
    <w:name w:val="Grid Table 1 Light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193">
    <w:name w:val="Grid Table 1 Light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194">
    <w:name w:val="Grid Table 1 Light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195">
    <w:name w:val="Grid Table 1 Light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196">
    <w:name w:val="Grid Table 1 Light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197">
    <w:name w:val="Grid Table 2"/>
    <w:qFormat/>
    <w:uiPriority w:val="99"/>
    <w:rPr>
      <w:rFonts w:ascii="Calibri" w:hAnsi="Calibri" w:eastAsia="宋体" w:cs="Times New Roman"/>
    </w:rPr>
    <w:tblPr>
      <w:tblCellMar>
        <w:top w:w="0" w:type="dxa"/>
        <w:left w:w="0" w:type="dxa"/>
        <w:bottom w:w="0" w:type="dxa"/>
        <w:right w:w="0" w:type="dxa"/>
      </w:tblCellMar>
    </w:tblPr>
  </w:style>
  <w:style w:type="table" w:customStyle="1" w:styleId="198">
    <w:name w:val="Grid Table 2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199">
    <w:name w:val="Grid Table 2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00">
    <w:name w:val="Grid Table 2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01">
    <w:name w:val="Grid Table 2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02">
    <w:name w:val="Grid Table 2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03">
    <w:name w:val="Grid Table 2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04">
    <w:name w:val="Grid Table 3"/>
    <w:qFormat/>
    <w:uiPriority w:val="99"/>
    <w:rPr>
      <w:rFonts w:ascii="Calibri" w:hAnsi="Calibri" w:eastAsia="宋体" w:cs="Times New Roman"/>
    </w:rPr>
    <w:tblPr>
      <w:tblCellMar>
        <w:top w:w="0" w:type="dxa"/>
        <w:left w:w="0" w:type="dxa"/>
        <w:bottom w:w="0" w:type="dxa"/>
        <w:right w:w="0" w:type="dxa"/>
      </w:tblCellMar>
    </w:tblPr>
  </w:style>
  <w:style w:type="table" w:customStyle="1" w:styleId="205">
    <w:name w:val="Grid Table 3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06">
    <w:name w:val="Grid Table 3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07">
    <w:name w:val="Grid Table 3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08">
    <w:name w:val="Grid Table 3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09">
    <w:name w:val="Grid Table 3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10">
    <w:name w:val="Grid Table 3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11">
    <w:name w:val="Grid Table 4"/>
    <w:qFormat/>
    <w:uiPriority w:val="59"/>
    <w:rPr>
      <w:rFonts w:ascii="Calibri" w:hAnsi="Calibri" w:eastAsia="宋体" w:cs="Times New Roman"/>
    </w:rPr>
    <w:tblPr>
      <w:tblCellMar>
        <w:top w:w="0" w:type="dxa"/>
        <w:left w:w="0" w:type="dxa"/>
        <w:bottom w:w="0" w:type="dxa"/>
        <w:right w:w="0" w:type="dxa"/>
      </w:tblCellMar>
    </w:tblPr>
  </w:style>
  <w:style w:type="table" w:customStyle="1" w:styleId="212">
    <w:name w:val="Grid Table 4 - Accent 1"/>
    <w:qFormat/>
    <w:uiPriority w:val="59"/>
    <w:rPr>
      <w:rFonts w:ascii="Calibri" w:hAnsi="Calibri" w:eastAsia="宋体" w:cs="Times New Roman"/>
    </w:rPr>
    <w:tblPr>
      <w:tblCellMar>
        <w:top w:w="0" w:type="dxa"/>
        <w:left w:w="0" w:type="dxa"/>
        <w:bottom w:w="0" w:type="dxa"/>
        <w:right w:w="0" w:type="dxa"/>
      </w:tblCellMar>
    </w:tblPr>
  </w:style>
  <w:style w:type="table" w:customStyle="1" w:styleId="213">
    <w:name w:val="Grid Table 4 - Accent 2"/>
    <w:qFormat/>
    <w:uiPriority w:val="59"/>
    <w:rPr>
      <w:rFonts w:ascii="Calibri" w:hAnsi="Calibri" w:eastAsia="宋体" w:cs="Times New Roman"/>
    </w:rPr>
    <w:tblPr>
      <w:tblCellMar>
        <w:top w:w="0" w:type="dxa"/>
        <w:left w:w="0" w:type="dxa"/>
        <w:bottom w:w="0" w:type="dxa"/>
        <w:right w:w="0" w:type="dxa"/>
      </w:tblCellMar>
    </w:tblPr>
  </w:style>
  <w:style w:type="table" w:customStyle="1" w:styleId="214">
    <w:name w:val="Grid Table 4 - Accent 3"/>
    <w:qFormat/>
    <w:uiPriority w:val="59"/>
    <w:rPr>
      <w:rFonts w:ascii="Calibri" w:hAnsi="Calibri" w:eastAsia="宋体" w:cs="Times New Roman"/>
    </w:rPr>
    <w:tblPr>
      <w:tblCellMar>
        <w:top w:w="0" w:type="dxa"/>
        <w:left w:w="0" w:type="dxa"/>
        <w:bottom w:w="0" w:type="dxa"/>
        <w:right w:w="0" w:type="dxa"/>
      </w:tblCellMar>
    </w:tblPr>
  </w:style>
  <w:style w:type="table" w:customStyle="1" w:styleId="215">
    <w:name w:val="Grid Table 4 - Accent 4"/>
    <w:qFormat/>
    <w:uiPriority w:val="59"/>
    <w:rPr>
      <w:rFonts w:ascii="Calibri" w:hAnsi="Calibri" w:eastAsia="宋体" w:cs="Times New Roman"/>
    </w:rPr>
    <w:tblPr>
      <w:tblCellMar>
        <w:top w:w="0" w:type="dxa"/>
        <w:left w:w="0" w:type="dxa"/>
        <w:bottom w:w="0" w:type="dxa"/>
        <w:right w:w="0" w:type="dxa"/>
      </w:tblCellMar>
    </w:tblPr>
  </w:style>
  <w:style w:type="table" w:customStyle="1" w:styleId="216">
    <w:name w:val="Grid Table 4 - Accent 5"/>
    <w:qFormat/>
    <w:uiPriority w:val="59"/>
    <w:rPr>
      <w:rFonts w:ascii="Calibri" w:hAnsi="Calibri" w:eastAsia="宋体" w:cs="Times New Roman"/>
    </w:rPr>
    <w:tblPr>
      <w:tblCellMar>
        <w:top w:w="0" w:type="dxa"/>
        <w:left w:w="0" w:type="dxa"/>
        <w:bottom w:w="0" w:type="dxa"/>
        <w:right w:w="0" w:type="dxa"/>
      </w:tblCellMar>
    </w:tblPr>
  </w:style>
  <w:style w:type="table" w:customStyle="1" w:styleId="217">
    <w:name w:val="Grid Table 4 - Accent 6"/>
    <w:qFormat/>
    <w:uiPriority w:val="59"/>
    <w:rPr>
      <w:rFonts w:ascii="Calibri" w:hAnsi="Calibri" w:eastAsia="宋体" w:cs="Times New Roman"/>
    </w:rPr>
    <w:tblPr>
      <w:tblCellMar>
        <w:top w:w="0" w:type="dxa"/>
        <w:left w:w="0" w:type="dxa"/>
        <w:bottom w:w="0" w:type="dxa"/>
        <w:right w:w="0" w:type="dxa"/>
      </w:tblCellMar>
    </w:tblPr>
  </w:style>
  <w:style w:type="table" w:customStyle="1" w:styleId="218">
    <w:name w:val="Grid Table 5 Dark"/>
    <w:qFormat/>
    <w:uiPriority w:val="99"/>
    <w:rPr>
      <w:rFonts w:ascii="Calibri" w:hAnsi="Calibri" w:eastAsia="宋体" w:cs="Times New Roman"/>
    </w:rPr>
    <w:tblPr>
      <w:tblCellMar>
        <w:top w:w="0" w:type="dxa"/>
        <w:left w:w="0" w:type="dxa"/>
        <w:bottom w:w="0" w:type="dxa"/>
        <w:right w:w="0" w:type="dxa"/>
      </w:tblCellMar>
    </w:tblPr>
  </w:style>
  <w:style w:type="table" w:customStyle="1" w:styleId="219">
    <w:name w:val="Grid Table 5 Dark-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20">
    <w:name w:val="Grid Table 5 Dark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21">
    <w:name w:val="Grid Table 5 Dark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22">
    <w:name w:val="Grid Table 5 Dark-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23">
    <w:name w:val="Grid Table 5 Dark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24">
    <w:name w:val="Grid Table 5 Dark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25">
    <w:name w:val="Grid Table 6 Colorful"/>
    <w:qFormat/>
    <w:uiPriority w:val="99"/>
    <w:rPr>
      <w:rFonts w:ascii="Calibri" w:hAnsi="Calibri" w:eastAsia="宋体" w:cs="Times New Roman"/>
    </w:rPr>
    <w:tblPr>
      <w:tblCellMar>
        <w:top w:w="0" w:type="dxa"/>
        <w:left w:w="0" w:type="dxa"/>
        <w:bottom w:w="0" w:type="dxa"/>
        <w:right w:w="0" w:type="dxa"/>
      </w:tblCellMar>
    </w:tblPr>
  </w:style>
  <w:style w:type="table" w:customStyle="1" w:styleId="226">
    <w:name w:val="Grid Table 6 Colorful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27">
    <w:name w:val="Grid Table 6 Colorful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28">
    <w:name w:val="Grid Table 6 Colorful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29">
    <w:name w:val="Grid Table 6 Colorful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30">
    <w:name w:val="Grid Table 6 Colorful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31">
    <w:name w:val="Grid Table 6 Colorful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32">
    <w:name w:val="Grid Table 7 Colorful"/>
    <w:qFormat/>
    <w:uiPriority w:val="99"/>
    <w:rPr>
      <w:rFonts w:ascii="Calibri" w:hAnsi="Calibri" w:eastAsia="宋体" w:cs="Times New Roman"/>
    </w:rPr>
    <w:tblPr>
      <w:tblCellMar>
        <w:top w:w="0" w:type="dxa"/>
        <w:left w:w="0" w:type="dxa"/>
        <w:bottom w:w="0" w:type="dxa"/>
        <w:right w:w="0" w:type="dxa"/>
      </w:tblCellMar>
    </w:tblPr>
  </w:style>
  <w:style w:type="table" w:customStyle="1" w:styleId="233">
    <w:name w:val="Grid Table 7 Colorful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34">
    <w:name w:val="Grid Table 7 Colorful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35">
    <w:name w:val="Grid Table 7 Colorful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36">
    <w:name w:val="Grid Table 7 Colorful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37">
    <w:name w:val="Grid Table 7 Colorful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38">
    <w:name w:val="Grid Table 7 Colorful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39">
    <w:name w:val="List Table 1 Light"/>
    <w:qFormat/>
    <w:uiPriority w:val="99"/>
    <w:rPr>
      <w:rFonts w:ascii="Calibri" w:hAnsi="Calibri" w:eastAsia="宋体" w:cs="Times New Roman"/>
    </w:rPr>
    <w:tblPr>
      <w:tblCellMar>
        <w:top w:w="0" w:type="dxa"/>
        <w:left w:w="0" w:type="dxa"/>
        <w:bottom w:w="0" w:type="dxa"/>
        <w:right w:w="0" w:type="dxa"/>
      </w:tblCellMar>
    </w:tblPr>
  </w:style>
  <w:style w:type="table" w:customStyle="1" w:styleId="240">
    <w:name w:val="List Table 1 Light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41">
    <w:name w:val="List Table 1 Light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42">
    <w:name w:val="List Table 1 Light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43">
    <w:name w:val="List Table 1 Light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44">
    <w:name w:val="List Table 1 Light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45">
    <w:name w:val="List Table 1 Light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46">
    <w:name w:val="List Table 2"/>
    <w:qFormat/>
    <w:uiPriority w:val="99"/>
    <w:rPr>
      <w:rFonts w:ascii="Calibri" w:hAnsi="Calibri" w:eastAsia="宋体" w:cs="Times New Roman"/>
    </w:rPr>
    <w:tblPr>
      <w:tblCellMar>
        <w:top w:w="0" w:type="dxa"/>
        <w:left w:w="0" w:type="dxa"/>
        <w:bottom w:w="0" w:type="dxa"/>
        <w:right w:w="0" w:type="dxa"/>
      </w:tblCellMar>
    </w:tblPr>
  </w:style>
  <w:style w:type="table" w:customStyle="1" w:styleId="247">
    <w:name w:val="List Table 2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48">
    <w:name w:val="List Table 2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49">
    <w:name w:val="List Table 2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50">
    <w:name w:val="List Table 2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51">
    <w:name w:val="List Table 2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52">
    <w:name w:val="List Table 2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53">
    <w:name w:val="List Table 3"/>
    <w:qFormat/>
    <w:uiPriority w:val="99"/>
    <w:rPr>
      <w:rFonts w:ascii="Calibri" w:hAnsi="Calibri" w:eastAsia="宋体" w:cs="Times New Roman"/>
    </w:rPr>
    <w:tblPr>
      <w:tblCellMar>
        <w:top w:w="0" w:type="dxa"/>
        <w:left w:w="0" w:type="dxa"/>
        <w:bottom w:w="0" w:type="dxa"/>
        <w:right w:w="0" w:type="dxa"/>
      </w:tblCellMar>
    </w:tblPr>
  </w:style>
  <w:style w:type="table" w:customStyle="1" w:styleId="254">
    <w:name w:val="List Table 3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55">
    <w:name w:val="List Table 3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56">
    <w:name w:val="List Table 3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57">
    <w:name w:val="List Table 3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58">
    <w:name w:val="List Table 3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59">
    <w:name w:val="List Table 3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60">
    <w:name w:val="List Table 4"/>
    <w:qFormat/>
    <w:uiPriority w:val="99"/>
    <w:rPr>
      <w:rFonts w:ascii="Calibri" w:hAnsi="Calibri" w:eastAsia="宋体" w:cs="Times New Roman"/>
    </w:rPr>
    <w:tblPr>
      <w:tblCellMar>
        <w:top w:w="0" w:type="dxa"/>
        <w:left w:w="0" w:type="dxa"/>
        <w:bottom w:w="0" w:type="dxa"/>
        <w:right w:w="0" w:type="dxa"/>
      </w:tblCellMar>
    </w:tblPr>
  </w:style>
  <w:style w:type="table" w:customStyle="1" w:styleId="261">
    <w:name w:val="List Table 4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62">
    <w:name w:val="List Table 4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63">
    <w:name w:val="List Table 4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64">
    <w:name w:val="List Table 4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65">
    <w:name w:val="List Table 4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66">
    <w:name w:val="List Table 4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67">
    <w:name w:val="List Table 5 Dark"/>
    <w:qFormat/>
    <w:uiPriority w:val="99"/>
    <w:rPr>
      <w:rFonts w:ascii="Calibri" w:hAnsi="Calibri" w:eastAsia="宋体" w:cs="Times New Roman"/>
    </w:rPr>
    <w:tblPr>
      <w:tblCellMar>
        <w:top w:w="0" w:type="dxa"/>
        <w:left w:w="0" w:type="dxa"/>
        <w:bottom w:w="0" w:type="dxa"/>
        <w:right w:w="0" w:type="dxa"/>
      </w:tblCellMar>
    </w:tblPr>
  </w:style>
  <w:style w:type="table" w:customStyle="1" w:styleId="268">
    <w:name w:val="List Table 5 Dark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69">
    <w:name w:val="List Table 5 Dark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70">
    <w:name w:val="List Table 5 Dark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71">
    <w:name w:val="List Table 5 Dark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72">
    <w:name w:val="List Table 5 Dark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73">
    <w:name w:val="List Table 5 Dark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74">
    <w:name w:val="List Table 6 Colorful"/>
    <w:qFormat/>
    <w:uiPriority w:val="99"/>
    <w:rPr>
      <w:rFonts w:ascii="Calibri" w:hAnsi="Calibri" w:eastAsia="宋体" w:cs="Times New Roman"/>
    </w:rPr>
    <w:tblPr>
      <w:tblCellMar>
        <w:top w:w="0" w:type="dxa"/>
        <w:left w:w="0" w:type="dxa"/>
        <w:bottom w:w="0" w:type="dxa"/>
        <w:right w:w="0" w:type="dxa"/>
      </w:tblCellMar>
    </w:tblPr>
  </w:style>
  <w:style w:type="table" w:customStyle="1" w:styleId="275">
    <w:name w:val="List Table 6 Colorful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76">
    <w:name w:val="List Table 6 Colorful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77">
    <w:name w:val="List Table 6 Colorful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78">
    <w:name w:val="List Table 6 Colorful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79">
    <w:name w:val="List Table 6 Colorful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80">
    <w:name w:val="List Table 6 Colorful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81">
    <w:name w:val="List Table 7 Colorful"/>
    <w:qFormat/>
    <w:uiPriority w:val="99"/>
    <w:rPr>
      <w:rFonts w:ascii="Calibri" w:hAnsi="Calibri" w:eastAsia="宋体" w:cs="Times New Roman"/>
    </w:rPr>
    <w:tblPr>
      <w:tblCellMar>
        <w:top w:w="0" w:type="dxa"/>
        <w:left w:w="0" w:type="dxa"/>
        <w:bottom w:w="0" w:type="dxa"/>
        <w:right w:w="0" w:type="dxa"/>
      </w:tblCellMar>
    </w:tblPr>
  </w:style>
  <w:style w:type="table" w:customStyle="1" w:styleId="282">
    <w:name w:val="List Table 7 Colorful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283">
    <w:name w:val="List Table 7 Colorful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284">
    <w:name w:val="List Table 7 Colorful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285">
    <w:name w:val="List Table 7 Colorful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286">
    <w:name w:val="List Table 7 Colorful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287">
    <w:name w:val="List Table 7 Colorful - Accent 6"/>
    <w:qFormat/>
    <w:uiPriority w:val="99"/>
    <w:rPr>
      <w:rFonts w:ascii="Calibri" w:hAnsi="Calibri" w:eastAsia="宋体" w:cs="Times New Roman"/>
    </w:rPr>
    <w:tblPr>
      <w:tblCellMar>
        <w:top w:w="0" w:type="dxa"/>
        <w:left w:w="0" w:type="dxa"/>
        <w:bottom w:w="0" w:type="dxa"/>
        <w:right w:w="0" w:type="dxa"/>
      </w:tblCellMar>
    </w:tblPr>
  </w:style>
  <w:style w:type="table" w:customStyle="1" w:styleId="288">
    <w:name w:val="Lined - Accent"/>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89">
    <w:name w:val="Lined - Accent 1"/>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0">
    <w:name w:val="Lined - Accent 2"/>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1">
    <w:name w:val="Lined - Accent 3"/>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2">
    <w:name w:val="Lined - Accent 4"/>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3">
    <w:name w:val="Lined - Accent 5"/>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4">
    <w:name w:val="Lined - Accent 6"/>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5">
    <w:name w:val="Bordered &amp; Lined - Accent"/>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6">
    <w:name w:val="Bordered &amp; Lined - Accent 1"/>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7">
    <w:name w:val="Bordered &amp; Lined - Accent 2"/>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8">
    <w:name w:val="Bordered &amp; Lined - Accent 3"/>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299">
    <w:name w:val="Bordered &amp; Lined - Accent 4"/>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300">
    <w:name w:val="Bordered &amp; Lined - Accent 5"/>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301">
    <w:name w:val="Bordered &amp; Lined - Accent 6"/>
    <w:qFormat/>
    <w:uiPriority w:val="99"/>
    <w:rPr>
      <w:rFonts w:ascii="Calibri" w:hAnsi="Calibri" w:eastAsia="宋体" w:cs="Times New Roman"/>
      <w:color w:val="404040"/>
    </w:rPr>
    <w:tblPr>
      <w:tblCellMar>
        <w:top w:w="0" w:type="dxa"/>
        <w:left w:w="0" w:type="dxa"/>
        <w:bottom w:w="0" w:type="dxa"/>
        <w:right w:w="0" w:type="dxa"/>
      </w:tblCellMar>
    </w:tblPr>
  </w:style>
  <w:style w:type="table" w:customStyle="1" w:styleId="302">
    <w:name w:val="Bordered"/>
    <w:qFormat/>
    <w:uiPriority w:val="99"/>
    <w:rPr>
      <w:rFonts w:ascii="Calibri" w:hAnsi="Calibri" w:eastAsia="宋体" w:cs="Times New Roman"/>
    </w:rPr>
    <w:tblPr>
      <w:tblCellMar>
        <w:top w:w="0" w:type="dxa"/>
        <w:left w:w="0" w:type="dxa"/>
        <w:bottom w:w="0" w:type="dxa"/>
        <w:right w:w="0" w:type="dxa"/>
      </w:tblCellMar>
    </w:tblPr>
  </w:style>
  <w:style w:type="table" w:customStyle="1" w:styleId="303">
    <w:name w:val="Bordered - Accent 1"/>
    <w:qFormat/>
    <w:uiPriority w:val="99"/>
    <w:rPr>
      <w:rFonts w:ascii="Calibri" w:hAnsi="Calibri" w:eastAsia="宋体" w:cs="Times New Roman"/>
    </w:rPr>
    <w:tblPr>
      <w:tblCellMar>
        <w:top w:w="0" w:type="dxa"/>
        <w:left w:w="0" w:type="dxa"/>
        <w:bottom w:w="0" w:type="dxa"/>
        <w:right w:w="0" w:type="dxa"/>
      </w:tblCellMar>
    </w:tblPr>
  </w:style>
  <w:style w:type="table" w:customStyle="1" w:styleId="304">
    <w:name w:val="Bordered - Accent 2"/>
    <w:qFormat/>
    <w:uiPriority w:val="99"/>
    <w:rPr>
      <w:rFonts w:ascii="Calibri" w:hAnsi="Calibri" w:eastAsia="宋体" w:cs="Times New Roman"/>
    </w:rPr>
    <w:tblPr>
      <w:tblCellMar>
        <w:top w:w="0" w:type="dxa"/>
        <w:left w:w="0" w:type="dxa"/>
        <w:bottom w:w="0" w:type="dxa"/>
        <w:right w:w="0" w:type="dxa"/>
      </w:tblCellMar>
    </w:tblPr>
  </w:style>
  <w:style w:type="table" w:customStyle="1" w:styleId="305">
    <w:name w:val="Bordered - Accent 3"/>
    <w:qFormat/>
    <w:uiPriority w:val="99"/>
    <w:rPr>
      <w:rFonts w:ascii="Calibri" w:hAnsi="Calibri" w:eastAsia="宋体" w:cs="Times New Roman"/>
    </w:rPr>
    <w:tblPr>
      <w:tblCellMar>
        <w:top w:w="0" w:type="dxa"/>
        <w:left w:w="0" w:type="dxa"/>
        <w:bottom w:w="0" w:type="dxa"/>
        <w:right w:w="0" w:type="dxa"/>
      </w:tblCellMar>
    </w:tblPr>
  </w:style>
  <w:style w:type="table" w:customStyle="1" w:styleId="306">
    <w:name w:val="Bordered - Accent 4"/>
    <w:qFormat/>
    <w:uiPriority w:val="99"/>
    <w:rPr>
      <w:rFonts w:ascii="Calibri" w:hAnsi="Calibri" w:eastAsia="宋体" w:cs="Times New Roman"/>
    </w:rPr>
    <w:tblPr>
      <w:tblCellMar>
        <w:top w:w="0" w:type="dxa"/>
        <w:left w:w="0" w:type="dxa"/>
        <w:bottom w:w="0" w:type="dxa"/>
        <w:right w:w="0" w:type="dxa"/>
      </w:tblCellMar>
    </w:tblPr>
  </w:style>
  <w:style w:type="table" w:customStyle="1" w:styleId="307">
    <w:name w:val="Bordered - Accent 5"/>
    <w:qFormat/>
    <w:uiPriority w:val="99"/>
    <w:rPr>
      <w:rFonts w:ascii="Calibri" w:hAnsi="Calibri" w:eastAsia="宋体" w:cs="Times New Roman"/>
    </w:rPr>
    <w:tblPr>
      <w:tblCellMar>
        <w:top w:w="0" w:type="dxa"/>
        <w:left w:w="0" w:type="dxa"/>
        <w:bottom w:w="0" w:type="dxa"/>
        <w:right w:w="0" w:type="dxa"/>
      </w:tblCellMar>
    </w:tblPr>
  </w:style>
  <w:style w:type="table" w:customStyle="1" w:styleId="308">
    <w:name w:val="Bordered - Accent 6"/>
    <w:qFormat/>
    <w:uiPriority w:val="99"/>
    <w:rPr>
      <w:rFonts w:ascii="Calibri" w:hAnsi="Calibri" w:eastAsia="宋体" w:cs="Times New Roman"/>
    </w:rPr>
    <w:tblPr>
      <w:tblCellMar>
        <w:top w:w="0" w:type="dxa"/>
        <w:left w:w="0" w:type="dxa"/>
        <w:bottom w:w="0" w:type="dxa"/>
        <w:right w:w="0" w:type="dxa"/>
      </w:tblCellMar>
    </w:tblPr>
  </w:style>
  <w:style w:type="paragraph" w:customStyle="1" w:styleId="309">
    <w:name w:val="TOC 标题1"/>
    <w:unhideWhenUsed/>
    <w:qFormat/>
    <w:uiPriority w:val="39"/>
    <w:rPr>
      <w:rFonts w:ascii="Calibri" w:hAnsi="Calibri" w:eastAsia="宋体" w:cs="Times New Roman"/>
      <w:lang w:val="en-US" w:eastAsia="zh-CN" w:bidi="ar-SA"/>
    </w:rPr>
  </w:style>
  <w:style w:type="paragraph" w:customStyle="1" w:styleId="310">
    <w:name w:val="标题 11"/>
    <w:basedOn w:val="1"/>
    <w:next w:val="1"/>
    <w:link w:val="311"/>
    <w:qFormat/>
    <w:uiPriority w:val="0"/>
    <w:pPr>
      <w:keepNext/>
      <w:jc w:val="center"/>
      <w:outlineLvl w:val="0"/>
    </w:pPr>
    <w:rPr>
      <w:rFonts w:ascii="楷体_GB2312" w:hAnsi="Times New Roman" w:eastAsia="楷体_GB2312" w:cs="Times New Roman"/>
      <w:kern w:val="0"/>
      <w:sz w:val="28"/>
      <w:szCs w:val="28"/>
      <w:lang w:eastAsia="en-US"/>
    </w:rPr>
  </w:style>
  <w:style w:type="character" w:customStyle="1" w:styleId="311">
    <w:name w:val="标题 1 Char"/>
    <w:link w:val="310"/>
    <w:qFormat/>
    <w:uiPriority w:val="0"/>
    <w:rPr>
      <w:rFonts w:ascii="楷体_GB2312" w:hAnsi="Times New Roman" w:eastAsia="楷体_GB2312" w:cs="Times New Roman"/>
      <w:sz w:val="28"/>
      <w:szCs w:val="28"/>
      <w:lang w:eastAsia="en-US"/>
    </w:rPr>
  </w:style>
  <w:style w:type="paragraph" w:customStyle="1" w:styleId="312">
    <w:name w:val="标题 21"/>
    <w:basedOn w:val="1"/>
    <w:next w:val="313"/>
    <w:link w:val="314"/>
    <w:qFormat/>
    <w:uiPriority w:val="0"/>
    <w:pPr>
      <w:keepNext/>
      <w:keepLines/>
      <w:spacing w:before="260" w:after="260" w:line="416" w:lineRule="auto"/>
      <w:jc w:val="center"/>
      <w:outlineLvl w:val="1"/>
    </w:pPr>
    <w:rPr>
      <w:rFonts w:ascii="Arial" w:hAnsi="Arial" w:eastAsia="幼圆" w:cs="Times New Roman"/>
      <w:b/>
      <w:bCs/>
      <w:kern w:val="0"/>
      <w:sz w:val="44"/>
      <w:szCs w:val="44"/>
      <w:lang w:eastAsia="en-US"/>
    </w:rPr>
  </w:style>
  <w:style w:type="paragraph" w:customStyle="1" w:styleId="313">
    <w:name w:val="正文缩进1"/>
    <w:basedOn w:val="1"/>
    <w:link w:val="315"/>
    <w:qFormat/>
    <w:uiPriority w:val="0"/>
    <w:pPr>
      <w:ind w:firstLine="420"/>
    </w:pPr>
    <w:rPr>
      <w:rFonts w:ascii="Times New Roman" w:hAnsi="Times New Roman" w:eastAsia="宋体" w:cs="Times New Roman"/>
      <w:kern w:val="0"/>
      <w:sz w:val="20"/>
      <w:szCs w:val="21"/>
      <w:lang w:eastAsia="en-US"/>
    </w:rPr>
  </w:style>
  <w:style w:type="character" w:customStyle="1" w:styleId="314">
    <w:name w:val="标题 2 Char"/>
    <w:link w:val="312"/>
    <w:qFormat/>
    <w:uiPriority w:val="0"/>
    <w:rPr>
      <w:rFonts w:ascii="Arial" w:hAnsi="Arial" w:eastAsia="幼圆" w:cs="Times New Roman"/>
      <w:b/>
      <w:bCs/>
      <w:sz w:val="44"/>
      <w:szCs w:val="44"/>
      <w:lang w:eastAsia="en-US"/>
    </w:rPr>
  </w:style>
  <w:style w:type="character" w:customStyle="1" w:styleId="315">
    <w:name w:val="正文缩进 Char"/>
    <w:link w:val="313"/>
    <w:qFormat/>
    <w:uiPriority w:val="0"/>
    <w:rPr>
      <w:rFonts w:ascii="Times New Roman" w:hAnsi="Times New Roman" w:eastAsia="宋体" w:cs="Times New Roman"/>
      <w:szCs w:val="21"/>
      <w:lang w:eastAsia="en-US"/>
    </w:rPr>
  </w:style>
  <w:style w:type="paragraph" w:customStyle="1" w:styleId="316">
    <w:name w:val="标题 41"/>
    <w:basedOn w:val="1"/>
    <w:next w:val="313"/>
    <w:link w:val="317"/>
    <w:qFormat/>
    <w:uiPriority w:val="0"/>
    <w:pPr>
      <w:keepNext/>
      <w:keepLines/>
      <w:spacing w:before="280" w:after="290" w:line="376" w:lineRule="auto"/>
      <w:outlineLvl w:val="3"/>
    </w:pPr>
    <w:rPr>
      <w:rFonts w:ascii="Arial" w:hAnsi="Arial" w:eastAsia="黑体" w:cs="Times New Roman"/>
      <w:b/>
      <w:bCs/>
      <w:kern w:val="0"/>
      <w:sz w:val="28"/>
      <w:szCs w:val="28"/>
      <w:lang w:eastAsia="en-US"/>
    </w:rPr>
  </w:style>
  <w:style w:type="character" w:customStyle="1" w:styleId="317">
    <w:name w:val="标题 4 Char"/>
    <w:link w:val="316"/>
    <w:qFormat/>
    <w:uiPriority w:val="0"/>
    <w:rPr>
      <w:rFonts w:ascii="Arial" w:hAnsi="Arial" w:eastAsia="黑体" w:cs="Times New Roman"/>
      <w:b/>
      <w:bCs/>
      <w:sz w:val="28"/>
      <w:szCs w:val="28"/>
      <w:lang w:eastAsia="en-US"/>
    </w:rPr>
  </w:style>
  <w:style w:type="paragraph" w:customStyle="1" w:styleId="318">
    <w:name w:val="标题 51"/>
    <w:basedOn w:val="1"/>
    <w:next w:val="313"/>
    <w:link w:val="319"/>
    <w:qFormat/>
    <w:uiPriority w:val="0"/>
    <w:pPr>
      <w:keepNext/>
      <w:outlineLvl w:val="4"/>
    </w:pPr>
    <w:rPr>
      <w:rFonts w:ascii="宋体" w:hAnsi="Times New Roman" w:eastAsia="宋体" w:cs="Times New Roman"/>
      <w:color w:val="000000"/>
      <w:kern w:val="0"/>
      <w:sz w:val="28"/>
      <w:szCs w:val="28"/>
      <w:lang w:eastAsia="en-US"/>
    </w:rPr>
  </w:style>
  <w:style w:type="character" w:customStyle="1" w:styleId="319">
    <w:name w:val="标题 5 Char"/>
    <w:link w:val="318"/>
    <w:qFormat/>
    <w:uiPriority w:val="0"/>
    <w:rPr>
      <w:rFonts w:ascii="宋体" w:hAnsi="Times New Roman" w:eastAsia="宋体" w:cs="Times New Roman"/>
      <w:color w:val="000000"/>
      <w:sz w:val="28"/>
      <w:szCs w:val="28"/>
      <w:lang w:eastAsia="en-US"/>
    </w:rPr>
  </w:style>
  <w:style w:type="paragraph" w:customStyle="1" w:styleId="320">
    <w:name w:val="标题 61"/>
    <w:basedOn w:val="1"/>
    <w:next w:val="1"/>
    <w:link w:val="321"/>
    <w:qFormat/>
    <w:uiPriority w:val="0"/>
    <w:pPr>
      <w:keepNext/>
      <w:keepLines/>
      <w:numPr>
        <w:ilvl w:val="5"/>
        <w:numId w:val="2"/>
      </w:numPr>
      <w:spacing w:before="240" w:after="64" w:line="320" w:lineRule="auto"/>
      <w:outlineLvl w:val="5"/>
    </w:pPr>
    <w:rPr>
      <w:rFonts w:ascii="Arial" w:hAnsi="Arial" w:eastAsia="黑体" w:cs="Times New Roman"/>
      <w:b/>
      <w:bCs/>
      <w:kern w:val="0"/>
      <w:sz w:val="24"/>
      <w:szCs w:val="24"/>
      <w:lang w:eastAsia="en-US"/>
    </w:rPr>
  </w:style>
  <w:style w:type="character" w:customStyle="1" w:styleId="321">
    <w:name w:val="标题 6 Char"/>
    <w:link w:val="320"/>
    <w:qFormat/>
    <w:uiPriority w:val="0"/>
    <w:rPr>
      <w:rFonts w:ascii="Arial" w:hAnsi="Arial" w:eastAsia="黑体" w:cs="Times New Roman"/>
      <w:b/>
      <w:bCs/>
      <w:sz w:val="24"/>
      <w:szCs w:val="24"/>
      <w:lang w:eastAsia="en-US"/>
    </w:rPr>
  </w:style>
  <w:style w:type="paragraph" w:customStyle="1" w:styleId="322">
    <w:name w:val="标题 71"/>
    <w:basedOn w:val="1"/>
    <w:next w:val="1"/>
    <w:link w:val="323"/>
    <w:qFormat/>
    <w:uiPriority w:val="0"/>
    <w:pPr>
      <w:keepNext/>
      <w:keepLines/>
      <w:numPr>
        <w:ilvl w:val="6"/>
        <w:numId w:val="2"/>
      </w:numPr>
      <w:spacing w:before="240" w:after="64" w:line="320" w:lineRule="auto"/>
      <w:outlineLvl w:val="6"/>
    </w:pPr>
    <w:rPr>
      <w:rFonts w:ascii="Times New Roman" w:hAnsi="Times New Roman" w:eastAsia="宋体" w:cs="Times New Roman"/>
      <w:b/>
      <w:bCs/>
      <w:kern w:val="0"/>
      <w:sz w:val="24"/>
      <w:szCs w:val="24"/>
      <w:lang w:eastAsia="en-US"/>
    </w:rPr>
  </w:style>
  <w:style w:type="character" w:customStyle="1" w:styleId="323">
    <w:name w:val="标题 7 Char"/>
    <w:link w:val="322"/>
    <w:qFormat/>
    <w:uiPriority w:val="0"/>
    <w:rPr>
      <w:rFonts w:ascii="Times New Roman" w:hAnsi="Times New Roman" w:eastAsia="宋体" w:cs="Times New Roman"/>
      <w:b/>
      <w:bCs/>
      <w:sz w:val="24"/>
      <w:szCs w:val="24"/>
      <w:lang w:eastAsia="en-US"/>
    </w:rPr>
  </w:style>
  <w:style w:type="paragraph" w:customStyle="1" w:styleId="324">
    <w:name w:val="标题 81"/>
    <w:basedOn w:val="1"/>
    <w:next w:val="1"/>
    <w:link w:val="325"/>
    <w:qFormat/>
    <w:uiPriority w:val="0"/>
    <w:pPr>
      <w:keepNext/>
      <w:keepLines/>
      <w:numPr>
        <w:ilvl w:val="7"/>
        <w:numId w:val="2"/>
      </w:numPr>
      <w:spacing w:before="240" w:after="64" w:line="320" w:lineRule="auto"/>
      <w:outlineLvl w:val="7"/>
    </w:pPr>
    <w:rPr>
      <w:rFonts w:ascii="Arial" w:hAnsi="Arial" w:eastAsia="黑体" w:cs="Times New Roman"/>
      <w:kern w:val="0"/>
      <w:sz w:val="24"/>
      <w:szCs w:val="24"/>
      <w:lang w:eastAsia="en-US"/>
    </w:rPr>
  </w:style>
  <w:style w:type="character" w:customStyle="1" w:styleId="325">
    <w:name w:val="标题 8 Char"/>
    <w:link w:val="324"/>
    <w:qFormat/>
    <w:uiPriority w:val="0"/>
    <w:rPr>
      <w:rFonts w:ascii="Arial" w:hAnsi="Arial" w:eastAsia="黑体" w:cs="Times New Roman"/>
      <w:sz w:val="24"/>
      <w:szCs w:val="24"/>
      <w:lang w:eastAsia="en-US"/>
    </w:rPr>
  </w:style>
  <w:style w:type="paragraph" w:customStyle="1" w:styleId="326">
    <w:name w:val="标题 91"/>
    <w:basedOn w:val="1"/>
    <w:next w:val="1"/>
    <w:link w:val="327"/>
    <w:qFormat/>
    <w:uiPriority w:val="0"/>
    <w:pPr>
      <w:keepNext/>
      <w:keepLines/>
      <w:numPr>
        <w:ilvl w:val="8"/>
        <w:numId w:val="2"/>
      </w:numPr>
      <w:spacing w:before="240" w:after="64" w:line="320" w:lineRule="auto"/>
      <w:outlineLvl w:val="8"/>
    </w:pPr>
    <w:rPr>
      <w:rFonts w:ascii="Arial" w:hAnsi="Arial" w:eastAsia="黑体" w:cs="Times New Roman"/>
      <w:kern w:val="0"/>
      <w:sz w:val="20"/>
      <w:szCs w:val="21"/>
      <w:lang w:eastAsia="en-US"/>
    </w:rPr>
  </w:style>
  <w:style w:type="character" w:customStyle="1" w:styleId="327">
    <w:name w:val="标题 9 Char"/>
    <w:link w:val="326"/>
    <w:qFormat/>
    <w:uiPriority w:val="0"/>
    <w:rPr>
      <w:rFonts w:ascii="Arial" w:hAnsi="Arial" w:eastAsia="黑体" w:cs="Times New Roman"/>
      <w:szCs w:val="21"/>
      <w:lang w:eastAsia="en-US"/>
    </w:rPr>
  </w:style>
  <w:style w:type="character" w:customStyle="1" w:styleId="328">
    <w:name w:val="默认段落字体1"/>
    <w:unhideWhenUsed/>
    <w:qFormat/>
    <w:uiPriority w:val="1"/>
  </w:style>
  <w:style w:type="table" w:customStyle="1" w:styleId="329">
    <w:name w:val="普通表格1"/>
    <w:unhideWhenUsed/>
    <w:qFormat/>
    <w:uiPriority w:val="99"/>
    <w:rPr>
      <w:rFonts w:ascii="Calibri" w:hAnsi="Calibri" w:eastAsia="宋体" w:cs="Times New Roman"/>
    </w:rPr>
    <w:tblPr>
      <w:tblCellMar>
        <w:top w:w="0" w:type="dxa"/>
        <w:left w:w="0" w:type="dxa"/>
        <w:bottom w:w="0" w:type="dxa"/>
        <w:right w:w="0" w:type="dxa"/>
      </w:tblCellMar>
    </w:tblPr>
  </w:style>
  <w:style w:type="paragraph" w:customStyle="1" w:styleId="330">
    <w:name w:val="列表 31"/>
    <w:basedOn w:val="1"/>
    <w:qFormat/>
    <w:uiPriority w:val="0"/>
    <w:pPr>
      <w:ind w:left="100" w:hanging="200"/>
    </w:pPr>
    <w:rPr>
      <w:rFonts w:ascii="Times New Roman" w:hAnsi="Times New Roman" w:eastAsia="宋体" w:cs="Times New Roman"/>
      <w:kern w:val="0"/>
      <w:szCs w:val="21"/>
    </w:rPr>
  </w:style>
  <w:style w:type="paragraph" w:customStyle="1" w:styleId="331">
    <w:name w:val="目录 71"/>
    <w:basedOn w:val="1"/>
    <w:next w:val="1"/>
    <w:semiHidden/>
    <w:qFormat/>
    <w:uiPriority w:val="0"/>
    <w:pPr>
      <w:ind w:left="1260"/>
      <w:jc w:val="left"/>
    </w:pPr>
    <w:rPr>
      <w:rFonts w:ascii="Times New Roman" w:hAnsi="Times New Roman" w:eastAsia="宋体" w:cs="Times New Roman"/>
      <w:kern w:val="0"/>
      <w:szCs w:val="21"/>
    </w:rPr>
  </w:style>
  <w:style w:type="paragraph" w:customStyle="1" w:styleId="332">
    <w:name w:val="文档结构图1"/>
    <w:basedOn w:val="1"/>
    <w:link w:val="333"/>
    <w:semiHidden/>
    <w:qFormat/>
    <w:uiPriority w:val="0"/>
    <w:pPr>
      <w:shd w:val="clear" w:color="auto" w:fill="000080"/>
    </w:pPr>
    <w:rPr>
      <w:rFonts w:ascii="Times New Roman" w:hAnsi="Times New Roman" w:eastAsia="宋体" w:cs="Times New Roman"/>
      <w:kern w:val="0"/>
      <w:sz w:val="20"/>
      <w:szCs w:val="21"/>
      <w:lang w:eastAsia="en-US"/>
    </w:rPr>
  </w:style>
  <w:style w:type="character" w:customStyle="1" w:styleId="333">
    <w:name w:val="文档结构图 Char"/>
    <w:link w:val="332"/>
    <w:semiHidden/>
    <w:qFormat/>
    <w:uiPriority w:val="0"/>
    <w:rPr>
      <w:rFonts w:ascii="Times New Roman" w:hAnsi="Times New Roman" w:eastAsia="宋体" w:cs="Times New Roman"/>
      <w:szCs w:val="21"/>
      <w:shd w:val="clear" w:color="auto" w:fill="000080"/>
      <w:lang w:eastAsia="en-US"/>
    </w:rPr>
  </w:style>
  <w:style w:type="paragraph" w:customStyle="1" w:styleId="334">
    <w:name w:val="批注文字1"/>
    <w:basedOn w:val="1"/>
    <w:link w:val="335"/>
    <w:semiHidden/>
    <w:qFormat/>
    <w:uiPriority w:val="0"/>
    <w:pPr>
      <w:jc w:val="left"/>
    </w:pPr>
    <w:rPr>
      <w:rFonts w:ascii="Times New Roman" w:hAnsi="Times New Roman" w:eastAsia="宋体" w:cs="Times New Roman"/>
      <w:kern w:val="0"/>
      <w:sz w:val="20"/>
      <w:szCs w:val="21"/>
      <w:lang w:eastAsia="en-US"/>
    </w:rPr>
  </w:style>
  <w:style w:type="character" w:customStyle="1" w:styleId="335">
    <w:name w:val="批注文字 Char"/>
    <w:link w:val="334"/>
    <w:semiHidden/>
    <w:qFormat/>
    <w:uiPriority w:val="0"/>
    <w:rPr>
      <w:rFonts w:ascii="Times New Roman" w:hAnsi="Times New Roman" w:eastAsia="宋体" w:cs="Times New Roman"/>
      <w:szCs w:val="21"/>
      <w:lang w:eastAsia="en-US"/>
    </w:rPr>
  </w:style>
  <w:style w:type="paragraph" w:customStyle="1" w:styleId="336">
    <w:name w:val="正文文本 31"/>
    <w:basedOn w:val="1"/>
    <w:link w:val="337"/>
    <w:qFormat/>
    <w:uiPriority w:val="0"/>
    <w:rPr>
      <w:rFonts w:ascii="仿宋_GB2312" w:hAnsi="Arial" w:eastAsia="仿宋_GB2312" w:cs="Times New Roman"/>
      <w:kern w:val="0"/>
      <w:sz w:val="32"/>
      <w:szCs w:val="32"/>
      <w:lang w:eastAsia="en-US"/>
    </w:rPr>
  </w:style>
  <w:style w:type="character" w:customStyle="1" w:styleId="337">
    <w:name w:val="正文文本 3 Char"/>
    <w:link w:val="336"/>
    <w:qFormat/>
    <w:uiPriority w:val="0"/>
    <w:rPr>
      <w:rFonts w:ascii="仿宋_GB2312" w:hAnsi="Arial" w:eastAsia="仿宋_GB2312" w:cs="Times New Roman"/>
      <w:sz w:val="32"/>
      <w:szCs w:val="32"/>
      <w:lang w:eastAsia="en-US"/>
    </w:rPr>
  </w:style>
  <w:style w:type="paragraph" w:customStyle="1" w:styleId="338">
    <w:name w:val="正文文本1"/>
    <w:basedOn w:val="1"/>
    <w:link w:val="339"/>
    <w:qFormat/>
    <w:uiPriority w:val="0"/>
    <w:rPr>
      <w:rFonts w:ascii="楷体_GB2312" w:hAnsi="Arial" w:eastAsia="楷体_GB2312" w:cs="Times New Roman"/>
      <w:kern w:val="0"/>
      <w:sz w:val="28"/>
      <w:szCs w:val="28"/>
      <w:lang w:eastAsia="en-US"/>
    </w:rPr>
  </w:style>
  <w:style w:type="character" w:customStyle="1" w:styleId="339">
    <w:name w:val="正文文本 Char"/>
    <w:link w:val="338"/>
    <w:qFormat/>
    <w:uiPriority w:val="0"/>
    <w:rPr>
      <w:rFonts w:ascii="楷体_GB2312" w:hAnsi="Arial" w:eastAsia="楷体_GB2312" w:cs="Times New Roman"/>
      <w:sz w:val="28"/>
      <w:szCs w:val="28"/>
      <w:lang w:eastAsia="en-US"/>
    </w:rPr>
  </w:style>
  <w:style w:type="paragraph" w:customStyle="1" w:styleId="340">
    <w:name w:val="正文文本缩进1"/>
    <w:basedOn w:val="1"/>
    <w:link w:val="341"/>
    <w:qFormat/>
    <w:uiPriority w:val="0"/>
    <w:pPr>
      <w:ind w:firstLine="645"/>
    </w:pPr>
    <w:rPr>
      <w:rFonts w:ascii="楷体_GB2312" w:hAnsi="Times New Roman" w:eastAsia="楷体_GB2312" w:cs="Times New Roman"/>
      <w:kern w:val="0"/>
      <w:sz w:val="32"/>
      <w:szCs w:val="32"/>
      <w:lang w:eastAsia="en-US"/>
    </w:rPr>
  </w:style>
  <w:style w:type="character" w:customStyle="1" w:styleId="341">
    <w:name w:val="正文文本缩进 Char"/>
    <w:link w:val="340"/>
    <w:qFormat/>
    <w:uiPriority w:val="0"/>
    <w:rPr>
      <w:rFonts w:ascii="楷体_GB2312" w:hAnsi="Times New Roman" w:eastAsia="楷体_GB2312" w:cs="Times New Roman"/>
      <w:sz w:val="32"/>
      <w:szCs w:val="32"/>
      <w:lang w:eastAsia="en-US"/>
    </w:rPr>
  </w:style>
  <w:style w:type="paragraph" w:customStyle="1" w:styleId="342">
    <w:name w:val="列表 21"/>
    <w:basedOn w:val="1"/>
    <w:qFormat/>
    <w:uiPriority w:val="0"/>
    <w:pPr>
      <w:ind w:left="100" w:hanging="200"/>
    </w:pPr>
    <w:rPr>
      <w:rFonts w:ascii="Times New Roman" w:hAnsi="Times New Roman" w:eastAsia="宋体" w:cs="Times New Roman"/>
      <w:kern w:val="0"/>
      <w:szCs w:val="21"/>
    </w:rPr>
  </w:style>
  <w:style w:type="paragraph" w:customStyle="1" w:styleId="343">
    <w:name w:val="目录 51"/>
    <w:basedOn w:val="1"/>
    <w:next w:val="1"/>
    <w:semiHidden/>
    <w:qFormat/>
    <w:uiPriority w:val="0"/>
    <w:pPr>
      <w:ind w:left="840"/>
      <w:jc w:val="left"/>
    </w:pPr>
    <w:rPr>
      <w:rFonts w:ascii="Times New Roman" w:hAnsi="Times New Roman" w:eastAsia="宋体" w:cs="Times New Roman"/>
      <w:kern w:val="0"/>
      <w:szCs w:val="21"/>
    </w:rPr>
  </w:style>
  <w:style w:type="paragraph" w:customStyle="1" w:styleId="344">
    <w:name w:val="目录 31"/>
    <w:basedOn w:val="1"/>
    <w:next w:val="1"/>
    <w:semiHidden/>
    <w:qFormat/>
    <w:uiPriority w:val="0"/>
    <w:pPr>
      <w:ind w:left="420"/>
      <w:jc w:val="left"/>
    </w:pPr>
    <w:rPr>
      <w:rFonts w:ascii="Times New Roman" w:hAnsi="Times New Roman" w:eastAsia="宋体" w:cs="Times New Roman"/>
      <w:i/>
      <w:iCs/>
      <w:kern w:val="0"/>
      <w:szCs w:val="24"/>
    </w:rPr>
  </w:style>
  <w:style w:type="paragraph" w:customStyle="1" w:styleId="345">
    <w:name w:val="纯文本1"/>
    <w:basedOn w:val="1"/>
    <w:link w:val="346"/>
    <w:qFormat/>
    <w:uiPriority w:val="0"/>
    <w:rPr>
      <w:rFonts w:ascii="宋体" w:hAnsi="Courier New" w:eastAsia="宋体" w:cs="Times New Roman"/>
      <w:kern w:val="0"/>
      <w:sz w:val="20"/>
      <w:szCs w:val="21"/>
      <w:lang w:eastAsia="en-US"/>
    </w:rPr>
  </w:style>
  <w:style w:type="character" w:customStyle="1" w:styleId="346">
    <w:name w:val="纯文本 Char"/>
    <w:link w:val="345"/>
    <w:qFormat/>
    <w:uiPriority w:val="0"/>
    <w:rPr>
      <w:rFonts w:ascii="宋体" w:hAnsi="Courier New" w:eastAsia="宋体" w:cs="Times New Roman"/>
      <w:szCs w:val="21"/>
      <w:lang w:eastAsia="en-US"/>
    </w:rPr>
  </w:style>
  <w:style w:type="paragraph" w:customStyle="1" w:styleId="347">
    <w:name w:val="目录 81"/>
    <w:basedOn w:val="1"/>
    <w:next w:val="1"/>
    <w:semiHidden/>
    <w:qFormat/>
    <w:uiPriority w:val="0"/>
    <w:pPr>
      <w:ind w:left="1470"/>
      <w:jc w:val="left"/>
    </w:pPr>
    <w:rPr>
      <w:rFonts w:ascii="Times New Roman" w:hAnsi="Times New Roman" w:eastAsia="宋体" w:cs="Times New Roman"/>
      <w:kern w:val="0"/>
      <w:szCs w:val="21"/>
    </w:rPr>
  </w:style>
  <w:style w:type="paragraph" w:customStyle="1" w:styleId="348">
    <w:name w:val="日期1"/>
    <w:basedOn w:val="1"/>
    <w:next w:val="1"/>
    <w:link w:val="349"/>
    <w:qFormat/>
    <w:uiPriority w:val="0"/>
    <w:rPr>
      <w:rFonts w:ascii="Times New Roman" w:hAnsi="Times New Roman" w:eastAsia="宋体" w:cs="Times New Roman"/>
      <w:kern w:val="0"/>
      <w:sz w:val="24"/>
      <w:szCs w:val="24"/>
      <w:lang w:eastAsia="en-US"/>
    </w:rPr>
  </w:style>
  <w:style w:type="character" w:customStyle="1" w:styleId="349">
    <w:name w:val="日期 Char"/>
    <w:link w:val="348"/>
    <w:qFormat/>
    <w:uiPriority w:val="0"/>
    <w:rPr>
      <w:rFonts w:ascii="Times New Roman" w:hAnsi="Times New Roman" w:eastAsia="宋体" w:cs="Times New Roman"/>
      <w:sz w:val="24"/>
      <w:szCs w:val="24"/>
      <w:lang w:eastAsia="en-US"/>
    </w:rPr>
  </w:style>
  <w:style w:type="paragraph" w:customStyle="1" w:styleId="350">
    <w:name w:val="正文文本缩进 21"/>
    <w:basedOn w:val="1"/>
    <w:link w:val="351"/>
    <w:qFormat/>
    <w:uiPriority w:val="0"/>
    <w:pPr>
      <w:ind w:left="630" w:firstLine="645"/>
    </w:pPr>
    <w:rPr>
      <w:rFonts w:ascii="Arial" w:hAnsi="Arial" w:eastAsia="仿宋_GB2312" w:cs="Times New Roman"/>
      <w:kern w:val="0"/>
      <w:sz w:val="32"/>
      <w:szCs w:val="32"/>
      <w:lang w:eastAsia="en-US"/>
    </w:rPr>
  </w:style>
  <w:style w:type="character" w:customStyle="1" w:styleId="351">
    <w:name w:val="正文文本缩进 2 Char"/>
    <w:link w:val="350"/>
    <w:qFormat/>
    <w:uiPriority w:val="0"/>
    <w:rPr>
      <w:rFonts w:ascii="Arial" w:hAnsi="Arial" w:eastAsia="仿宋_GB2312" w:cs="Times New Roman"/>
      <w:sz w:val="32"/>
      <w:szCs w:val="32"/>
      <w:lang w:eastAsia="en-US"/>
    </w:rPr>
  </w:style>
  <w:style w:type="paragraph" w:customStyle="1" w:styleId="352">
    <w:name w:val="批注框文本1"/>
    <w:basedOn w:val="1"/>
    <w:link w:val="353"/>
    <w:semiHidden/>
    <w:qFormat/>
    <w:uiPriority w:val="0"/>
    <w:rPr>
      <w:rFonts w:ascii="Times New Roman" w:hAnsi="Times New Roman" w:eastAsia="宋体" w:cs="Times New Roman"/>
      <w:kern w:val="0"/>
      <w:sz w:val="18"/>
      <w:szCs w:val="18"/>
      <w:lang w:eastAsia="en-US"/>
    </w:rPr>
  </w:style>
  <w:style w:type="character" w:customStyle="1" w:styleId="353">
    <w:name w:val="批注框文本 Char"/>
    <w:link w:val="352"/>
    <w:semiHidden/>
    <w:qFormat/>
    <w:uiPriority w:val="0"/>
    <w:rPr>
      <w:rFonts w:ascii="Times New Roman" w:hAnsi="Times New Roman" w:eastAsia="宋体" w:cs="Times New Roman"/>
      <w:sz w:val="18"/>
      <w:szCs w:val="18"/>
      <w:lang w:eastAsia="en-US"/>
    </w:rPr>
  </w:style>
  <w:style w:type="paragraph" w:customStyle="1" w:styleId="354">
    <w:name w:val="页脚1"/>
    <w:basedOn w:val="1"/>
    <w:link w:val="355"/>
    <w:qFormat/>
    <w:uiPriority w:val="0"/>
    <w:pPr>
      <w:tabs>
        <w:tab w:val="center" w:pos="4153"/>
        <w:tab w:val="right" w:pos="8306"/>
      </w:tabs>
      <w:jc w:val="left"/>
    </w:pPr>
    <w:rPr>
      <w:rFonts w:ascii="Times New Roman" w:hAnsi="Times New Roman" w:eastAsia="宋体" w:cs="Times New Roman"/>
      <w:kern w:val="0"/>
      <w:sz w:val="18"/>
      <w:szCs w:val="18"/>
      <w:lang w:eastAsia="en-US"/>
    </w:rPr>
  </w:style>
  <w:style w:type="character" w:customStyle="1" w:styleId="355">
    <w:name w:val="页脚 Char"/>
    <w:link w:val="354"/>
    <w:qFormat/>
    <w:uiPriority w:val="0"/>
    <w:rPr>
      <w:rFonts w:ascii="Times New Roman" w:hAnsi="Times New Roman" w:eastAsia="宋体" w:cs="Times New Roman"/>
      <w:sz w:val="18"/>
      <w:szCs w:val="18"/>
      <w:lang w:eastAsia="en-US"/>
    </w:rPr>
  </w:style>
  <w:style w:type="paragraph" w:customStyle="1" w:styleId="356">
    <w:name w:val="页眉1"/>
    <w:basedOn w:val="1"/>
    <w:link w:val="357"/>
    <w:qFormat/>
    <w:uiPriority w:val="99"/>
    <w:pPr>
      <w:pBdr>
        <w:bottom w:val="single" w:color="000000" w:sz="6" w:space="1"/>
      </w:pBdr>
      <w:tabs>
        <w:tab w:val="center" w:pos="4153"/>
        <w:tab w:val="right" w:pos="8306"/>
      </w:tabs>
      <w:jc w:val="center"/>
    </w:pPr>
    <w:rPr>
      <w:rFonts w:ascii="Times New Roman" w:hAnsi="Times New Roman" w:eastAsia="宋体" w:cs="Times New Roman"/>
      <w:kern w:val="0"/>
      <w:sz w:val="18"/>
      <w:szCs w:val="18"/>
      <w:lang w:eastAsia="en-US"/>
    </w:rPr>
  </w:style>
  <w:style w:type="character" w:customStyle="1" w:styleId="357">
    <w:name w:val="页眉 Char"/>
    <w:link w:val="356"/>
    <w:qFormat/>
    <w:uiPriority w:val="99"/>
    <w:rPr>
      <w:rFonts w:ascii="Times New Roman" w:hAnsi="Times New Roman" w:eastAsia="宋体" w:cs="Times New Roman"/>
      <w:sz w:val="18"/>
      <w:szCs w:val="18"/>
      <w:lang w:eastAsia="en-US"/>
    </w:rPr>
  </w:style>
  <w:style w:type="paragraph" w:customStyle="1" w:styleId="358">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kern w:val="0"/>
      <w:sz w:val="24"/>
      <w:szCs w:val="24"/>
    </w:rPr>
  </w:style>
  <w:style w:type="paragraph" w:customStyle="1" w:styleId="359">
    <w:name w:val="目录 41"/>
    <w:basedOn w:val="1"/>
    <w:next w:val="1"/>
    <w:semiHidden/>
    <w:qFormat/>
    <w:uiPriority w:val="0"/>
    <w:pPr>
      <w:ind w:left="630"/>
      <w:jc w:val="left"/>
    </w:pPr>
    <w:rPr>
      <w:rFonts w:ascii="Times New Roman" w:hAnsi="Times New Roman" w:eastAsia="宋体" w:cs="Times New Roman"/>
      <w:kern w:val="0"/>
      <w:szCs w:val="21"/>
    </w:rPr>
  </w:style>
  <w:style w:type="paragraph" w:customStyle="1" w:styleId="360">
    <w:name w:val="列表1"/>
    <w:basedOn w:val="1"/>
    <w:qFormat/>
    <w:uiPriority w:val="0"/>
    <w:pPr>
      <w:ind w:left="200" w:hanging="200"/>
    </w:pPr>
    <w:rPr>
      <w:rFonts w:ascii="Times New Roman" w:hAnsi="Times New Roman" w:eastAsia="宋体" w:cs="Times New Roman"/>
      <w:kern w:val="0"/>
      <w:szCs w:val="21"/>
    </w:rPr>
  </w:style>
  <w:style w:type="paragraph" w:customStyle="1" w:styleId="361">
    <w:name w:val="目录 61"/>
    <w:basedOn w:val="1"/>
    <w:next w:val="1"/>
    <w:semiHidden/>
    <w:qFormat/>
    <w:uiPriority w:val="0"/>
    <w:pPr>
      <w:ind w:left="1050"/>
      <w:jc w:val="left"/>
    </w:pPr>
    <w:rPr>
      <w:rFonts w:ascii="Times New Roman" w:hAnsi="Times New Roman" w:eastAsia="宋体" w:cs="Times New Roman"/>
      <w:kern w:val="0"/>
      <w:szCs w:val="21"/>
    </w:rPr>
  </w:style>
  <w:style w:type="paragraph" w:customStyle="1" w:styleId="362">
    <w:name w:val="正文文本缩进 31"/>
    <w:basedOn w:val="1"/>
    <w:link w:val="363"/>
    <w:qFormat/>
    <w:uiPriority w:val="0"/>
    <w:pPr>
      <w:ind w:left="645" w:firstLine="645"/>
    </w:pPr>
    <w:rPr>
      <w:rFonts w:ascii="Arial" w:hAnsi="Arial" w:eastAsia="仿宋_GB2312" w:cs="Times New Roman"/>
      <w:color w:val="FFFF00"/>
      <w:kern w:val="0"/>
      <w:sz w:val="32"/>
      <w:szCs w:val="32"/>
      <w:lang w:eastAsia="en-US"/>
    </w:rPr>
  </w:style>
  <w:style w:type="character" w:customStyle="1" w:styleId="363">
    <w:name w:val="正文文本缩进 3 Char"/>
    <w:link w:val="362"/>
    <w:qFormat/>
    <w:uiPriority w:val="0"/>
    <w:rPr>
      <w:rFonts w:ascii="Arial" w:hAnsi="Arial" w:eastAsia="仿宋_GB2312" w:cs="Times New Roman"/>
      <w:color w:val="FFFF00"/>
      <w:sz w:val="32"/>
      <w:szCs w:val="32"/>
      <w:lang w:eastAsia="en-US"/>
    </w:rPr>
  </w:style>
  <w:style w:type="paragraph" w:customStyle="1" w:styleId="364">
    <w:name w:val="图表目录1"/>
    <w:basedOn w:val="1"/>
    <w:next w:val="1"/>
    <w:semiHidden/>
    <w:qFormat/>
    <w:uiPriority w:val="0"/>
    <w:pPr>
      <w:ind w:left="840" w:hanging="420"/>
    </w:pPr>
    <w:rPr>
      <w:rFonts w:ascii="Times New Roman" w:hAnsi="Times New Roman" w:eastAsia="宋体" w:cs="Times New Roman"/>
      <w:kern w:val="0"/>
      <w:szCs w:val="21"/>
    </w:rPr>
  </w:style>
  <w:style w:type="paragraph" w:customStyle="1" w:styleId="365">
    <w:name w:val="目录 21"/>
    <w:basedOn w:val="1"/>
    <w:next w:val="1"/>
    <w:semiHidden/>
    <w:qFormat/>
    <w:uiPriority w:val="0"/>
    <w:pPr>
      <w:ind w:left="210"/>
      <w:jc w:val="left"/>
    </w:pPr>
    <w:rPr>
      <w:rFonts w:ascii="Times New Roman" w:hAnsi="Times New Roman" w:eastAsia="宋体" w:cs="Times New Roman"/>
      <w:smallCaps/>
      <w:kern w:val="0"/>
      <w:szCs w:val="24"/>
    </w:rPr>
  </w:style>
  <w:style w:type="paragraph" w:customStyle="1" w:styleId="366">
    <w:name w:val="目录 91"/>
    <w:basedOn w:val="1"/>
    <w:next w:val="1"/>
    <w:semiHidden/>
    <w:qFormat/>
    <w:uiPriority w:val="0"/>
    <w:pPr>
      <w:ind w:left="1680"/>
      <w:jc w:val="left"/>
    </w:pPr>
    <w:rPr>
      <w:rFonts w:ascii="Times New Roman" w:hAnsi="Times New Roman" w:eastAsia="宋体" w:cs="Times New Roman"/>
      <w:kern w:val="0"/>
      <w:szCs w:val="21"/>
    </w:rPr>
  </w:style>
  <w:style w:type="paragraph" w:customStyle="1" w:styleId="367">
    <w:name w:val="正文文本 21"/>
    <w:basedOn w:val="1"/>
    <w:link w:val="368"/>
    <w:qFormat/>
    <w:uiPriority w:val="0"/>
    <w:pPr>
      <w:widowControl/>
      <w:jc w:val="center"/>
    </w:pPr>
    <w:rPr>
      <w:rFonts w:ascii="楷体_GB2312" w:hAnsi="Times New Roman" w:eastAsia="楷体_GB2312" w:cs="Times New Roman"/>
      <w:kern w:val="0"/>
      <w:sz w:val="28"/>
      <w:szCs w:val="28"/>
      <w:lang w:eastAsia="en-US"/>
    </w:rPr>
  </w:style>
  <w:style w:type="character" w:customStyle="1" w:styleId="368">
    <w:name w:val="正文文本 2 Char"/>
    <w:link w:val="367"/>
    <w:qFormat/>
    <w:uiPriority w:val="0"/>
    <w:rPr>
      <w:rFonts w:ascii="楷体_GB2312" w:hAnsi="Times New Roman" w:eastAsia="楷体_GB2312" w:cs="Times New Roman"/>
      <w:sz w:val="28"/>
      <w:szCs w:val="28"/>
      <w:lang w:eastAsia="en-US"/>
    </w:rPr>
  </w:style>
  <w:style w:type="paragraph" w:customStyle="1" w:styleId="369">
    <w:name w:val="普通(网站)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0">
    <w:name w:val="索引 11"/>
    <w:basedOn w:val="1"/>
    <w:next w:val="1"/>
    <w:semiHidden/>
    <w:qFormat/>
    <w:uiPriority w:val="0"/>
    <w:pPr>
      <w:spacing w:line="240" w:lineRule="atLeast"/>
    </w:pPr>
    <w:rPr>
      <w:rFonts w:ascii="Times New Roman" w:hAnsi="Times New Roman" w:eastAsia="宋体" w:cs="Times New Roman"/>
      <w:b/>
      <w:bCs/>
      <w:kern w:val="0"/>
      <w:szCs w:val="21"/>
    </w:rPr>
  </w:style>
  <w:style w:type="paragraph" w:customStyle="1" w:styleId="371">
    <w:name w:val="批注主题1"/>
    <w:basedOn w:val="334"/>
    <w:next w:val="334"/>
    <w:link w:val="372"/>
    <w:semiHidden/>
    <w:qFormat/>
    <w:uiPriority w:val="0"/>
    <w:rPr>
      <w:b/>
      <w:bCs/>
    </w:rPr>
  </w:style>
  <w:style w:type="character" w:customStyle="1" w:styleId="372">
    <w:name w:val="批注主题 Char"/>
    <w:link w:val="371"/>
    <w:semiHidden/>
    <w:qFormat/>
    <w:uiPriority w:val="0"/>
    <w:rPr>
      <w:rFonts w:ascii="Times New Roman" w:hAnsi="Times New Roman" w:eastAsia="宋体" w:cs="Times New Roman"/>
      <w:b/>
      <w:bCs/>
      <w:szCs w:val="21"/>
      <w:lang w:eastAsia="en-US"/>
    </w:rPr>
  </w:style>
  <w:style w:type="paragraph" w:customStyle="1" w:styleId="373">
    <w:name w:val="正文首行缩进1"/>
    <w:basedOn w:val="1"/>
    <w:link w:val="374"/>
    <w:qFormat/>
    <w:uiPriority w:val="0"/>
    <w:pPr>
      <w:spacing w:line="360" w:lineRule="auto"/>
      <w:ind w:firstLine="200"/>
    </w:pPr>
    <w:rPr>
      <w:rFonts w:ascii="仿宋_GB2312" w:hAnsi="Times New Roman" w:eastAsia="仿宋_GB2312" w:cs="Times New Roman"/>
      <w:kern w:val="0"/>
      <w:sz w:val="30"/>
      <w:szCs w:val="30"/>
      <w:lang w:eastAsia="en-US"/>
    </w:rPr>
  </w:style>
  <w:style w:type="character" w:customStyle="1" w:styleId="374">
    <w:name w:val="正文首行缩进 Char"/>
    <w:link w:val="373"/>
    <w:qFormat/>
    <w:uiPriority w:val="0"/>
    <w:rPr>
      <w:rFonts w:ascii="仿宋_GB2312" w:hAnsi="Times New Roman" w:eastAsia="仿宋_GB2312" w:cs="Times New Roman"/>
      <w:sz w:val="30"/>
      <w:szCs w:val="30"/>
      <w:lang w:eastAsia="en-US"/>
    </w:rPr>
  </w:style>
  <w:style w:type="paragraph" w:customStyle="1" w:styleId="375">
    <w:name w:val="正文首行缩进 21"/>
    <w:basedOn w:val="340"/>
    <w:link w:val="376"/>
    <w:qFormat/>
    <w:uiPriority w:val="0"/>
    <w:pPr>
      <w:spacing w:line="360" w:lineRule="auto"/>
      <w:ind w:firstLine="420"/>
    </w:pPr>
    <w:rPr>
      <w:rFonts w:ascii="宋体" w:hAnsi="宋体" w:eastAsia="宋体"/>
      <w:szCs w:val="20"/>
    </w:rPr>
  </w:style>
  <w:style w:type="character" w:customStyle="1" w:styleId="376">
    <w:name w:val="正文首行缩进 2 Char"/>
    <w:link w:val="375"/>
    <w:qFormat/>
    <w:uiPriority w:val="0"/>
    <w:rPr>
      <w:rFonts w:ascii="宋体" w:hAnsi="宋体" w:eastAsia="宋体" w:cs="Times New Roman"/>
      <w:sz w:val="32"/>
      <w:lang w:eastAsia="en-US"/>
    </w:rPr>
  </w:style>
  <w:style w:type="character" w:customStyle="1" w:styleId="377">
    <w:name w:val="要点1"/>
    <w:qFormat/>
    <w:uiPriority w:val="0"/>
    <w:rPr>
      <w:b/>
      <w:bCs/>
    </w:rPr>
  </w:style>
  <w:style w:type="character" w:customStyle="1" w:styleId="378">
    <w:name w:val="页码1"/>
    <w:qFormat/>
    <w:uiPriority w:val="0"/>
  </w:style>
  <w:style w:type="character" w:customStyle="1" w:styleId="379">
    <w:name w:val="已访问的超链接1"/>
    <w:qFormat/>
    <w:uiPriority w:val="0"/>
    <w:rPr>
      <w:color w:val="800080"/>
      <w:u w:val="single"/>
    </w:rPr>
  </w:style>
  <w:style w:type="character" w:customStyle="1" w:styleId="380">
    <w:name w:val="HTML 打字机1"/>
    <w:qFormat/>
    <w:uiPriority w:val="99"/>
    <w:rPr>
      <w:rFonts w:ascii="宋体" w:hAnsi="宋体" w:eastAsia="宋体" w:cs="宋体"/>
      <w:sz w:val="24"/>
      <w:szCs w:val="24"/>
    </w:rPr>
  </w:style>
  <w:style w:type="character" w:customStyle="1" w:styleId="381">
    <w:name w:val="超链接1"/>
    <w:qFormat/>
    <w:uiPriority w:val="0"/>
    <w:rPr>
      <w:color w:val="0000FF"/>
      <w:u w:val="single"/>
    </w:rPr>
  </w:style>
  <w:style w:type="character" w:customStyle="1" w:styleId="382">
    <w:name w:val="批注引用1"/>
    <w:semiHidden/>
    <w:qFormat/>
    <w:uiPriority w:val="0"/>
    <w:rPr>
      <w:sz w:val="21"/>
      <w:szCs w:val="21"/>
    </w:rPr>
  </w:style>
  <w:style w:type="character" w:customStyle="1" w:styleId="383">
    <w:name w:val="二级目录 Char"/>
    <w:link w:val="384"/>
    <w:qFormat/>
    <w:uiPriority w:val="0"/>
    <w:rPr>
      <w:b/>
      <w:sz w:val="30"/>
      <w:szCs w:val="28"/>
    </w:rPr>
  </w:style>
  <w:style w:type="paragraph" w:customStyle="1" w:styleId="384">
    <w:name w:val="二级目录"/>
    <w:next w:val="1"/>
    <w:link w:val="383"/>
    <w:qFormat/>
    <w:uiPriority w:val="0"/>
    <w:pPr>
      <w:numPr>
        <w:ilvl w:val="0"/>
        <w:numId w:val="3"/>
      </w:numPr>
      <w:tabs>
        <w:tab w:val="left" w:pos="1145"/>
      </w:tabs>
      <w:outlineLvl w:val="1"/>
    </w:pPr>
    <w:rPr>
      <w:rFonts w:asciiTheme="minorHAnsi" w:hAnsiTheme="minorHAnsi" w:eastAsiaTheme="minorEastAsia" w:cstheme="minorBidi"/>
      <w:b/>
      <w:sz w:val="30"/>
      <w:szCs w:val="28"/>
      <w:lang w:val="en-US" w:eastAsia="zh-CN" w:bidi="ar-SA"/>
    </w:rPr>
  </w:style>
  <w:style w:type="character" w:customStyle="1" w:styleId="385">
    <w:name w:val="列出段落 Char"/>
    <w:link w:val="7"/>
    <w:qFormat/>
    <w:uiPriority w:val="0"/>
    <w:rPr>
      <w:rFonts w:ascii="Calibri" w:hAnsi="Calibri" w:eastAsia="宋体" w:cs="Times New Roman"/>
      <w:kern w:val="2"/>
      <w:sz w:val="24"/>
      <w:szCs w:val="22"/>
    </w:rPr>
  </w:style>
  <w:style w:type="paragraph" w:customStyle="1" w:styleId="386">
    <w:name w:val="Body Text(ch)"/>
    <w:basedOn w:val="1"/>
    <w:next w:val="338"/>
    <w:qFormat/>
    <w:uiPriority w:val="0"/>
    <w:pPr>
      <w:spacing w:after="120"/>
    </w:pPr>
    <w:rPr>
      <w:rFonts w:ascii="宋体" w:hAnsi="Arial" w:eastAsia="宋体" w:cs="Times New Roman"/>
      <w:bCs/>
      <w:iCs/>
      <w:kern w:val="0"/>
      <w:szCs w:val="24"/>
    </w:rPr>
  </w:style>
  <w:style w:type="paragraph" w:customStyle="1" w:styleId="387">
    <w:name w:val="Char"/>
    <w:basedOn w:val="1"/>
    <w:qFormat/>
    <w:uiPriority w:val="0"/>
    <w:pPr>
      <w:tabs>
        <w:tab w:val="left" w:pos="360"/>
      </w:tabs>
      <w:ind w:firstLine="200"/>
    </w:pPr>
    <w:rPr>
      <w:rFonts w:ascii="Times New Roman" w:hAnsi="Times New Roman" w:eastAsia="宋体" w:cs="Times New Roman"/>
      <w:kern w:val="0"/>
      <w:sz w:val="28"/>
      <w:szCs w:val="30"/>
    </w:rPr>
  </w:style>
  <w:style w:type="paragraph" w:customStyle="1" w:styleId="388">
    <w:name w:val="普通正文"/>
    <w:basedOn w:val="1"/>
    <w:qFormat/>
    <w:uiPriority w:val="0"/>
    <w:pPr>
      <w:spacing w:before="120" w:after="120" w:line="360" w:lineRule="auto"/>
      <w:ind w:firstLine="480"/>
      <w:jc w:val="left"/>
    </w:pPr>
    <w:rPr>
      <w:rFonts w:ascii="Arial" w:hAnsi="Arial" w:eastAsia="宋体" w:cs="Times New Roman"/>
      <w:kern w:val="0"/>
      <w:sz w:val="24"/>
      <w:szCs w:val="24"/>
    </w:rPr>
  </w:style>
  <w:style w:type="paragraph" w:customStyle="1" w:styleId="389">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390">
    <w:name w:val="附录1"/>
    <w:qFormat/>
    <w:uiPriority w:val="0"/>
    <w:pPr>
      <w:tabs>
        <w:tab w:val="left" w:pos="907"/>
      </w:tabs>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91">
    <w:name w:val="列出段落21"/>
    <w:basedOn w:val="1"/>
    <w:qFormat/>
    <w:uiPriority w:val="99"/>
    <w:pPr>
      <w:widowControl/>
      <w:ind w:left="720"/>
      <w:contextualSpacing/>
      <w:jc w:val="left"/>
    </w:pPr>
    <w:rPr>
      <w:rFonts w:ascii="Calibri" w:hAnsi="Calibri" w:eastAsia="宋体" w:cs="Times New Roman"/>
      <w:kern w:val="0"/>
      <w:sz w:val="24"/>
      <w:szCs w:val="24"/>
      <w:lang w:eastAsia="en-US" w:bidi="en-US"/>
    </w:rPr>
  </w:style>
  <w:style w:type="paragraph" w:customStyle="1" w:styleId="392">
    <w:name w:val="4"/>
    <w:basedOn w:val="1"/>
    <w:next w:val="362"/>
    <w:qFormat/>
    <w:uiPriority w:val="0"/>
    <w:pPr>
      <w:spacing w:line="360" w:lineRule="auto"/>
      <w:ind w:firstLine="420"/>
    </w:pPr>
    <w:rPr>
      <w:rFonts w:ascii="Times New Roman" w:hAnsi="Times New Roman" w:eastAsia="宋体" w:cs="Times New Roman"/>
      <w:color w:val="FF0000"/>
      <w:kern w:val="0"/>
      <w:sz w:val="24"/>
      <w:szCs w:val="24"/>
    </w:rPr>
  </w:style>
  <w:style w:type="paragraph" w:customStyle="1" w:styleId="393">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94">
    <w:name w:val="Char Char Char Char Char Char Char Char Char Char"/>
    <w:basedOn w:val="1"/>
    <w:qFormat/>
    <w:uiPriority w:val="0"/>
    <w:pPr>
      <w:spacing w:line="360" w:lineRule="auto"/>
    </w:pPr>
    <w:rPr>
      <w:rFonts w:ascii="Times New Roman" w:hAnsi="Times New Roman" w:eastAsia="宋体" w:cs="Times New Roman"/>
      <w:kern w:val="0"/>
      <w:sz w:val="24"/>
      <w:szCs w:val="20"/>
    </w:rPr>
  </w:style>
  <w:style w:type="paragraph" w:customStyle="1" w:styleId="395">
    <w:name w:val="样式1"/>
    <w:basedOn w:val="1"/>
    <w:qFormat/>
    <w:uiPriority w:val="0"/>
    <w:pPr>
      <w:numPr>
        <w:ilvl w:val="0"/>
        <w:numId w:val="4"/>
      </w:numPr>
    </w:pPr>
    <w:rPr>
      <w:rFonts w:ascii="宋体" w:hAnsi="宋体" w:eastAsia="宋体" w:cs="Times New Roman"/>
      <w:kern w:val="0"/>
      <w:szCs w:val="21"/>
    </w:rPr>
  </w:style>
  <w:style w:type="paragraph" w:customStyle="1" w:styleId="396">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kern w:val="0"/>
      <w:sz w:val="24"/>
      <w:szCs w:val="20"/>
    </w:rPr>
  </w:style>
  <w:style w:type="paragraph" w:customStyle="1" w:styleId="397">
    <w:name w:val="标题3"/>
    <w:basedOn w:val="1"/>
    <w:next w:val="1"/>
    <w:qFormat/>
    <w:uiPriority w:val="0"/>
    <w:pPr>
      <w:spacing w:line="590" w:lineRule="atLeast"/>
      <w:ind w:firstLine="624"/>
    </w:pPr>
    <w:rPr>
      <w:rFonts w:ascii="方正黑体_GBK" w:hAnsi="Times New Roman" w:eastAsia="方正黑体_GBK" w:cs="Times New Roman"/>
      <w:kern w:val="0"/>
      <w:sz w:val="32"/>
      <w:szCs w:val="32"/>
    </w:rPr>
  </w:style>
  <w:style w:type="paragraph" w:customStyle="1" w:styleId="398">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99">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400">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kern w:val="0"/>
      <w:sz w:val="44"/>
      <w:szCs w:val="20"/>
    </w:rPr>
  </w:style>
  <w:style w:type="paragraph" w:customStyle="1" w:styleId="401">
    <w:name w:val="修订2"/>
    <w:semiHidden/>
    <w:qFormat/>
    <w:uiPriority w:val="99"/>
    <w:rPr>
      <w:rFonts w:ascii="Times New Roman" w:hAnsi="Times New Roman" w:eastAsia="宋体" w:cs="Times New Roman"/>
      <w:sz w:val="21"/>
      <w:szCs w:val="21"/>
      <w:lang w:val="en-US" w:eastAsia="zh-CN" w:bidi="ar-SA"/>
    </w:rPr>
  </w:style>
  <w:style w:type="paragraph" w:customStyle="1" w:styleId="402">
    <w:name w:val="无间隔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03">
    <w:name w:val="目录 111"/>
    <w:basedOn w:val="1"/>
    <w:next w:val="1"/>
    <w:unhideWhenUsed/>
    <w:qFormat/>
    <w:uiPriority w:val="39"/>
    <w:pPr>
      <w:widowControl/>
      <w:spacing w:after="100" w:line="259" w:lineRule="auto"/>
      <w:jc w:val="left"/>
    </w:pPr>
    <w:rPr>
      <w:rFonts w:ascii="Calibri" w:hAnsi="Calibri" w:eastAsia="宋体"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53</Pages>
  <Words>19199</Words>
  <Characters>20246</Characters>
  <Lines>193</Lines>
  <Paragraphs>54</Paragraphs>
  <TotalTime>14</TotalTime>
  <ScaleCrop>false</ScaleCrop>
  <LinksUpToDate>false</LinksUpToDate>
  <CharactersWithSpaces>20598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2024-04-28T03:01:00Z</dcterms:created>
  <dc:creator>黄炜</dc:creator>
  <cp:lastModifiedBy>姚坤</cp:lastModifiedBy>
  <dcterms:modified xsi:type="dcterms:W3CDTF">2024-12-05T07:56:41Z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D84D1D62D7E747F2A58F6A2DA59A02BD</vt:lpwstr>
  </property>
</Properties>
</file>