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7F58E0">
      <w:pPr>
        <w:pStyle w:val="14"/>
        <w:spacing w:before="120" w:beforeAutospacing="0" w:after="120" w:afterAutospacing="0" w:line="360" w:lineRule="auto"/>
      </w:pPr>
      <w:r>
        <w:t> </w:t>
      </w:r>
    </w:p>
    <w:p w14:paraId="242F36C3">
      <w:pPr>
        <w:pStyle w:val="14"/>
        <w:spacing w:before="120" w:beforeAutospacing="0" w:after="120" w:afterAutospacing="0" w:line="360" w:lineRule="auto"/>
        <w:jc w:val="center"/>
        <w:rPr>
          <w:rFonts w:ascii="Arial" w:hAnsi="Arial" w:cs="Arial"/>
          <w:b/>
          <w:color w:val="000000"/>
          <w:sz w:val="84"/>
          <w:szCs w:val="84"/>
        </w:rPr>
      </w:pPr>
      <w:r>
        <w:rPr>
          <w:rFonts w:ascii="Arial" w:hAnsi="Arial" w:cs="Arial"/>
          <w:b/>
          <w:color w:val="000000"/>
          <w:sz w:val="84"/>
          <w:szCs w:val="84"/>
        </w:rPr>
        <w:t>招 标 文 件</w:t>
      </w:r>
    </w:p>
    <w:p w14:paraId="7C965690">
      <w:pPr>
        <w:pStyle w:val="14"/>
        <w:spacing w:before="120" w:beforeAutospacing="0" w:after="120" w:afterAutospacing="0" w:line="360" w:lineRule="auto"/>
        <w:jc w:val="center"/>
        <w:rPr>
          <w:rFonts w:ascii="Arial" w:hAnsi="Arial" w:cs="Arial"/>
          <w:b/>
          <w:color w:val="000000"/>
          <w:sz w:val="84"/>
          <w:szCs w:val="84"/>
        </w:rPr>
      </w:pPr>
    </w:p>
    <w:p w14:paraId="0AF25699">
      <w:pPr>
        <w:pStyle w:val="14"/>
        <w:spacing w:before="120" w:beforeAutospacing="0" w:after="120" w:afterAutospacing="0" w:line="360" w:lineRule="auto"/>
        <w:jc w:val="center"/>
        <w:rPr>
          <w:rFonts w:ascii="Arial" w:hAnsi="Arial" w:cs="Arial"/>
          <w:b/>
          <w:color w:val="000000"/>
          <w:sz w:val="84"/>
          <w:szCs w:val="84"/>
        </w:rPr>
      </w:pPr>
    </w:p>
    <w:p w14:paraId="167D481A">
      <w:pPr>
        <w:pStyle w:val="14"/>
        <w:spacing w:before="120" w:beforeAutospacing="0" w:after="120" w:afterAutospacing="0" w:line="360" w:lineRule="auto"/>
        <w:ind w:firstLine="1285" w:firstLineChars="400"/>
        <w:jc w:val="center"/>
        <w:rPr>
          <w:rFonts w:hint="eastAsia" w:eastAsiaTheme="minorEastAsia"/>
          <w:lang w:eastAsia="zh-CN"/>
        </w:rPr>
      </w:pPr>
      <w:r>
        <w:rPr>
          <w:rFonts w:ascii="Arial" w:hAnsi="Arial" w:cs="Arial"/>
          <w:b/>
          <w:color w:val="000000"/>
          <w:sz w:val="32"/>
          <w:szCs w:val="32"/>
        </w:rPr>
        <w:t>项目名称：</w:t>
      </w:r>
      <w:r>
        <w:rPr>
          <w:rFonts w:hint="eastAsia" w:ascii="Arial" w:hAnsi="Arial" w:cs="Arial"/>
          <w:b/>
          <w:color w:val="000000"/>
          <w:sz w:val="32"/>
          <w:szCs w:val="32"/>
          <w:lang w:eastAsia="zh-CN"/>
        </w:rPr>
        <w:t>射阳县体育局2025年为民办实事体育器材采购项目（</w:t>
      </w:r>
      <w:r>
        <w:rPr>
          <w:rFonts w:hint="eastAsia" w:ascii="Arial" w:hAnsi="Arial" w:cs="Arial"/>
          <w:b/>
          <w:color w:val="000000"/>
          <w:sz w:val="32"/>
          <w:szCs w:val="32"/>
          <w:lang w:val="en-US" w:eastAsia="zh-CN"/>
        </w:rPr>
        <w:t>二次</w:t>
      </w:r>
      <w:r>
        <w:rPr>
          <w:rFonts w:hint="eastAsia" w:ascii="Arial" w:hAnsi="Arial" w:cs="Arial"/>
          <w:b/>
          <w:color w:val="000000"/>
          <w:sz w:val="32"/>
          <w:szCs w:val="32"/>
          <w:lang w:eastAsia="zh-CN"/>
        </w:rPr>
        <w:t>）</w:t>
      </w:r>
      <w:bookmarkStart w:id="200" w:name="_GoBack"/>
      <w:bookmarkEnd w:id="200"/>
    </w:p>
    <w:p w14:paraId="0FA1F2F7">
      <w:pPr>
        <w:pStyle w:val="14"/>
        <w:spacing w:before="120" w:beforeAutospacing="0" w:after="120" w:afterAutospacing="0" w:line="360" w:lineRule="auto"/>
        <w:ind w:firstLine="1285" w:firstLineChars="400"/>
        <w:jc w:val="both"/>
        <w:rPr>
          <w:rFonts w:hint="default" w:eastAsiaTheme="minorEastAsia"/>
          <w:lang w:val="en-US" w:eastAsia="zh-CN"/>
        </w:rPr>
      </w:pPr>
      <w:r>
        <w:rPr>
          <w:rFonts w:ascii="Arial" w:hAnsi="Arial" w:cs="Arial"/>
          <w:b/>
          <w:color w:val="000000"/>
          <w:sz w:val="32"/>
          <w:szCs w:val="32"/>
        </w:rPr>
        <w:t>项目编号：JSZC-320924-YCCD-G2025-</w:t>
      </w:r>
      <w:r>
        <w:rPr>
          <w:rFonts w:hint="eastAsia" w:ascii="Arial" w:hAnsi="Arial" w:cs="Arial"/>
          <w:b/>
          <w:color w:val="000000"/>
          <w:sz w:val="32"/>
          <w:szCs w:val="32"/>
          <w:lang w:eastAsia="zh-CN"/>
        </w:rPr>
        <w:t>00</w:t>
      </w:r>
      <w:r>
        <w:rPr>
          <w:rFonts w:hint="eastAsia" w:ascii="Arial" w:hAnsi="Arial" w:cs="Arial"/>
          <w:b/>
          <w:color w:val="000000"/>
          <w:sz w:val="32"/>
          <w:szCs w:val="32"/>
          <w:lang w:val="en-US" w:eastAsia="zh-CN"/>
        </w:rPr>
        <w:t>10</w:t>
      </w:r>
    </w:p>
    <w:p w14:paraId="53D20D3E">
      <w:pPr>
        <w:pStyle w:val="14"/>
        <w:spacing w:beforeAutospacing="0" w:afterAutospacing="0" w:line="360" w:lineRule="auto"/>
      </w:pPr>
      <w:r>
        <w:t> </w:t>
      </w:r>
    </w:p>
    <w:p w14:paraId="39AB7224">
      <w:pPr>
        <w:pStyle w:val="14"/>
        <w:spacing w:beforeAutospacing="0" w:afterAutospacing="0" w:line="360" w:lineRule="auto"/>
      </w:pPr>
      <w:r>
        <w:t> </w:t>
      </w:r>
    </w:p>
    <w:p w14:paraId="6187778A">
      <w:pPr>
        <w:pStyle w:val="14"/>
        <w:spacing w:beforeAutospacing="0" w:afterAutospacing="0" w:line="360" w:lineRule="auto"/>
      </w:pPr>
      <w:r>
        <w:t> </w:t>
      </w:r>
    </w:p>
    <w:p w14:paraId="2D55AA69">
      <w:pPr>
        <w:pStyle w:val="14"/>
        <w:spacing w:beforeAutospacing="0" w:afterAutospacing="0" w:line="360" w:lineRule="auto"/>
      </w:pPr>
      <w:r>
        <w:t> </w:t>
      </w:r>
    </w:p>
    <w:p w14:paraId="7DA3F117">
      <w:pPr>
        <w:pStyle w:val="14"/>
        <w:spacing w:beforeAutospacing="0" w:afterAutospacing="0" w:line="360" w:lineRule="auto"/>
      </w:pPr>
      <w:r>
        <w:t> </w:t>
      </w:r>
    </w:p>
    <w:p w14:paraId="2C7E2697">
      <w:pPr>
        <w:pStyle w:val="14"/>
        <w:spacing w:beforeAutospacing="0" w:afterAutospacing="0" w:line="360" w:lineRule="auto"/>
      </w:pPr>
      <w:r>
        <w:t> </w:t>
      </w:r>
    </w:p>
    <w:p w14:paraId="7FACC77A">
      <w:pPr>
        <w:pStyle w:val="14"/>
        <w:spacing w:beforeAutospacing="0" w:afterAutospacing="0" w:line="360" w:lineRule="auto"/>
      </w:pPr>
      <w:r>
        <w:t> </w:t>
      </w:r>
    </w:p>
    <w:p w14:paraId="1EE84372">
      <w:pPr>
        <w:pStyle w:val="14"/>
        <w:spacing w:before="120" w:beforeAutospacing="0" w:after="120" w:afterAutospacing="0" w:line="360" w:lineRule="auto"/>
        <w:jc w:val="center"/>
        <w:rPr>
          <w:rFonts w:hint="eastAsia" w:ascii="Arial" w:hAnsi="Arial" w:cs="Arial" w:eastAsiaTheme="minorEastAsia"/>
          <w:b/>
          <w:color w:val="000000"/>
          <w:sz w:val="32"/>
          <w:szCs w:val="32"/>
          <w:lang w:eastAsia="zh-CN"/>
        </w:rPr>
      </w:pPr>
      <w:r>
        <w:rPr>
          <w:rFonts w:hint="eastAsia" w:ascii="Arial" w:hAnsi="Arial" w:cs="Arial"/>
          <w:b/>
          <w:color w:val="000000"/>
          <w:sz w:val="32"/>
          <w:szCs w:val="32"/>
        </w:rPr>
        <w:t>采购单位：</w:t>
      </w:r>
      <w:r>
        <w:rPr>
          <w:rFonts w:hint="eastAsia" w:ascii="Arial" w:hAnsi="Arial" w:cs="Arial"/>
          <w:b/>
          <w:color w:val="000000"/>
          <w:sz w:val="32"/>
          <w:szCs w:val="32"/>
          <w:lang w:eastAsia="zh-CN"/>
        </w:rPr>
        <w:t>射阳县体育局</w:t>
      </w:r>
    </w:p>
    <w:p w14:paraId="309CCAEB">
      <w:pPr>
        <w:pStyle w:val="14"/>
        <w:spacing w:before="120" w:beforeAutospacing="0" w:after="120" w:afterAutospacing="0" w:line="360" w:lineRule="auto"/>
        <w:jc w:val="center"/>
      </w:pPr>
      <w:r>
        <w:rPr>
          <w:rFonts w:hint="eastAsia" w:ascii="Arial" w:hAnsi="Arial" w:cs="Arial"/>
          <w:b/>
          <w:color w:val="000000"/>
          <w:sz w:val="32"/>
          <w:szCs w:val="32"/>
        </w:rPr>
        <w:t>2025</w:t>
      </w:r>
      <w:r>
        <w:rPr>
          <w:rFonts w:ascii="Arial" w:hAnsi="Arial" w:cs="Arial"/>
          <w:b/>
          <w:color w:val="000000"/>
          <w:sz w:val="32"/>
          <w:szCs w:val="32"/>
        </w:rPr>
        <w:t>年</w:t>
      </w:r>
      <w:r>
        <w:rPr>
          <w:rFonts w:hint="eastAsia" w:ascii="Arial" w:hAnsi="Arial" w:cs="Arial"/>
          <w:b/>
          <w:color w:val="000000"/>
          <w:sz w:val="32"/>
          <w:szCs w:val="32"/>
          <w:lang w:val="en-US" w:eastAsia="zh-CN"/>
        </w:rPr>
        <w:t>4</w:t>
      </w:r>
      <w:r>
        <w:rPr>
          <w:rFonts w:ascii="Arial" w:hAnsi="Arial" w:cs="Arial"/>
          <w:b/>
          <w:color w:val="000000"/>
          <w:sz w:val="32"/>
          <w:szCs w:val="32"/>
        </w:rPr>
        <w:t>月</w:t>
      </w:r>
    </w:p>
    <w:p w14:paraId="72610D1C">
      <w:pPr>
        <w:pStyle w:val="14"/>
        <w:spacing w:before="120" w:beforeAutospacing="0" w:after="120" w:afterAutospacing="0" w:line="360" w:lineRule="auto"/>
      </w:pPr>
      <w:r>
        <w:rPr>
          <w:rFonts w:ascii="Arial" w:hAnsi="Arial" w:cs="Arial"/>
          <w:color w:val="000000"/>
        </w:rPr>
        <w:t xml:space="preserve">                        </w:t>
      </w:r>
    </w:p>
    <w:p w14:paraId="0B90CCA4">
      <w:pPr>
        <w:pStyle w:val="14"/>
        <w:spacing w:before="120" w:beforeAutospacing="0" w:after="120" w:afterAutospacing="0" w:line="360" w:lineRule="auto"/>
        <w:jc w:val="center"/>
      </w:pPr>
      <w:r>
        <w:t> </w:t>
      </w:r>
    </w:p>
    <w:p w14:paraId="02FA7078">
      <w:pPr>
        <w:pStyle w:val="14"/>
        <w:spacing w:beforeAutospacing="0" w:afterAutospacing="0" w:line="480" w:lineRule="auto"/>
        <w:jc w:val="center"/>
      </w:pPr>
      <w:r>
        <w:rPr>
          <w:rFonts w:ascii="Times New Roman" w:hAnsi="Times New Roman"/>
          <w:color w:val="000000"/>
          <w:sz w:val="21"/>
          <w:szCs w:val="21"/>
        </w:rPr>
        <w:br w:type="page"/>
      </w:r>
      <w:r>
        <w:rPr>
          <w:rFonts w:ascii="Times New Roman" w:hAnsi="Times New Roman"/>
          <w:color w:val="000000"/>
          <w:sz w:val="21"/>
          <w:szCs w:val="21"/>
        </w:rPr>
        <w:t> </w:t>
      </w:r>
      <w:bookmarkStart w:id="0" w:name="_Toc20823272"/>
      <w:bookmarkStart w:id="1" w:name="_Toc120614210"/>
      <w:bookmarkStart w:id="2" w:name="_Toc479757206"/>
      <w:bookmarkStart w:id="3" w:name="_Toc513029200"/>
      <w:bookmarkStart w:id="4" w:name="_Toc523127445"/>
      <w:bookmarkStart w:id="5" w:name="_Toc16938516"/>
      <w:r>
        <w:rPr>
          <w:rFonts w:ascii="黑体" w:hAnsi="宋体" w:eastAsia="黑体" w:cs="黑体"/>
          <w:b/>
          <w:color w:val="000000"/>
          <w:sz w:val="44"/>
          <w:szCs w:val="44"/>
        </w:rPr>
        <w:t>总  目  录</w:t>
      </w:r>
      <w:bookmarkEnd w:id="0"/>
      <w:bookmarkEnd w:id="1"/>
      <w:bookmarkEnd w:id="2"/>
      <w:bookmarkEnd w:id="3"/>
      <w:bookmarkEnd w:id="4"/>
      <w:bookmarkEnd w:id="5"/>
    </w:p>
    <w:p w14:paraId="1098B7C4">
      <w:pPr>
        <w:pStyle w:val="14"/>
        <w:spacing w:beforeAutospacing="0" w:afterAutospacing="0" w:line="480" w:lineRule="auto"/>
        <w:jc w:val="both"/>
      </w:pPr>
      <w:r>
        <w:t> </w:t>
      </w:r>
    </w:p>
    <w:p w14:paraId="5E1D4BBD">
      <w:pPr>
        <w:pStyle w:val="14"/>
        <w:tabs>
          <w:tab w:val="left" w:pos="1441"/>
        </w:tabs>
        <w:spacing w:beforeAutospacing="0" w:afterAutospacing="0" w:line="480" w:lineRule="auto"/>
        <w:ind w:left="2160" w:hanging="1440"/>
        <w:jc w:val="both"/>
      </w:pPr>
      <w:r>
        <w:rPr>
          <w:rFonts w:hint="eastAsia" w:ascii="黑体" w:hAnsi="宋体" w:eastAsia="黑体" w:cs="黑体"/>
          <w:color w:val="000000"/>
          <w:sz w:val="36"/>
          <w:szCs w:val="36"/>
        </w:rPr>
        <w:t xml:space="preserve">招标公告…………………………………… </w:t>
      </w:r>
    </w:p>
    <w:p w14:paraId="65D6B403">
      <w:pPr>
        <w:pStyle w:val="14"/>
        <w:tabs>
          <w:tab w:val="left" w:pos="1441"/>
        </w:tabs>
        <w:spacing w:beforeAutospacing="0" w:afterAutospacing="0" w:line="480" w:lineRule="auto"/>
        <w:ind w:left="2160" w:hanging="1440"/>
        <w:jc w:val="both"/>
      </w:pPr>
      <w:r>
        <w:rPr>
          <w:rFonts w:hint="eastAsia" w:ascii="黑体" w:hAnsi="宋体" w:eastAsia="黑体" w:cs="黑体"/>
          <w:color w:val="000000"/>
          <w:sz w:val="36"/>
          <w:szCs w:val="36"/>
        </w:rPr>
        <w:t xml:space="preserve">投标人须知…………………………………  </w:t>
      </w:r>
    </w:p>
    <w:p w14:paraId="61AFBAB3">
      <w:pPr>
        <w:pStyle w:val="14"/>
        <w:tabs>
          <w:tab w:val="left" w:pos="1441"/>
        </w:tabs>
        <w:spacing w:beforeAutospacing="0" w:afterAutospacing="0" w:line="480" w:lineRule="auto"/>
        <w:ind w:left="2160" w:hanging="1440"/>
        <w:jc w:val="both"/>
      </w:pPr>
      <w:r>
        <w:rPr>
          <w:rFonts w:hint="eastAsia" w:ascii="黑体" w:hAnsi="宋体" w:eastAsia="黑体" w:cs="黑体"/>
          <w:color w:val="000000"/>
          <w:sz w:val="36"/>
          <w:szCs w:val="36"/>
        </w:rPr>
        <w:t>合同文本……………………………………</w:t>
      </w:r>
    </w:p>
    <w:p w14:paraId="423723BD">
      <w:pPr>
        <w:pStyle w:val="14"/>
        <w:tabs>
          <w:tab w:val="left" w:pos="1441"/>
        </w:tabs>
        <w:spacing w:beforeAutospacing="0" w:afterAutospacing="0" w:line="480" w:lineRule="auto"/>
        <w:ind w:left="2160" w:hanging="1440"/>
        <w:jc w:val="both"/>
      </w:pPr>
      <w:r>
        <w:rPr>
          <w:rFonts w:hint="eastAsia" w:ascii="黑体" w:hAnsi="宋体" w:eastAsia="黑体" w:cs="黑体"/>
          <w:color w:val="000000"/>
          <w:sz w:val="36"/>
          <w:szCs w:val="36"/>
        </w:rPr>
        <w:t>采购需求……………………………………</w:t>
      </w:r>
    </w:p>
    <w:p w14:paraId="2A64F6A8">
      <w:pPr>
        <w:pStyle w:val="14"/>
        <w:tabs>
          <w:tab w:val="left" w:pos="1441"/>
        </w:tabs>
        <w:spacing w:beforeAutospacing="0" w:afterAutospacing="0" w:line="480" w:lineRule="auto"/>
        <w:ind w:left="2160" w:hanging="1440"/>
        <w:jc w:val="both"/>
      </w:pPr>
      <w:r>
        <w:rPr>
          <w:rFonts w:hint="eastAsia" w:ascii="黑体" w:hAnsi="宋体" w:eastAsia="黑体" w:cs="黑体"/>
          <w:color w:val="000000"/>
          <w:sz w:val="36"/>
          <w:szCs w:val="36"/>
        </w:rPr>
        <w:t>评标方法与评标标准………………………</w:t>
      </w:r>
    </w:p>
    <w:p w14:paraId="5A651330">
      <w:pPr>
        <w:pStyle w:val="14"/>
        <w:tabs>
          <w:tab w:val="left" w:pos="1441"/>
        </w:tabs>
        <w:spacing w:beforeAutospacing="0" w:afterAutospacing="0" w:line="480" w:lineRule="auto"/>
        <w:ind w:left="2160" w:hanging="1440"/>
        <w:jc w:val="both"/>
      </w:pPr>
      <w:r>
        <w:rPr>
          <w:rFonts w:hint="eastAsia" w:ascii="黑体" w:hAnsi="宋体" w:eastAsia="黑体" w:cs="黑体"/>
          <w:color w:val="000000"/>
          <w:sz w:val="36"/>
          <w:szCs w:val="36"/>
        </w:rPr>
        <w:t>投标文件格式………………………………</w:t>
      </w:r>
    </w:p>
    <w:p w14:paraId="1163AD21">
      <w:pPr>
        <w:pStyle w:val="14"/>
        <w:spacing w:beforeAutospacing="0" w:afterAutospacing="0"/>
        <w:jc w:val="both"/>
      </w:pPr>
      <w:r>
        <w:t> </w:t>
      </w:r>
    </w:p>
    <w:p w14:paraId="567242E5">
      <w:pPr>
        <w:pStyle w:val="14"/>
        <w:spacing w:beforeAutospacing="0" w:afterAutospacing="0"/>
        <w:jc w:val="both"/>
      </w:pPr>
      <w:r>
        <w:t> </w:t>
      </w:r>
    </w:p>
    <w:p w14:paraId="72B801AA">
      <w:pPr>
        <w:pStyle w:val="14"/>
        <w:spacing w:beforeAutospacing="0" w:afterAutospacing="0"/>
        <w:jc w:val="both"/>
      </w:pPr>
      <w:r>
        <w:t> </w:t>
      </w:r>
    </w:p>
    <w:p w14:paraId="0241C922">
      <w:pPr>
        <w:pStyle w:val="14"/>
        <w:spacing w:beforeAutospacing="0" w:afterAutospacing="0"/>
        <w:jc w:val="both"/>
      </w:pPr>
      <w:r>
        <w:t> </w:t>
      </w:r>
    </w:p>
    <w:p w14:paraId="5E608E5E">
      <w:pPr>
        <w:pStyle w:val="14"/>
        <w:spacing w:beforeAutospacing="0" w:afterAutospacing="0"/>
        <w:jc w:val="both"/>
      </w:pPr>
      <w:r>
        <w:t> </w:t>
      </w:r>
    </w:p>
    <w:p w14:paraId="5E4CAA66">
      <w:pPr>
        <w:pStyle w:val="14"/>
        <w:spacing w:beforeAutospacing="0" w:afterAutospacing="0"/>
        <w:jc w:val="both"/>
      </w:pPr>
      <w:r>
        <w:t> </w:t>
      </w:r>
    </w:p>
    <w:p w14:paraId="7EFBCABF">
      <w:pPr>
        <w:pStyle w:val="14"/>
        <w:spacing w:beforeAutospacing="0" w:afterAutospacing="0"/>
        <w:jc w:val="both"/>
      </w:pPr>
      <w:r>
        <w:t> </w:t>
      </w:r>
    </w:p>
    <w:p w14:paraId="1A5F0AA9">
      <w:pPr>
        <w:pStyle w:val="14"/>
        <w:spacing w:beforeAutospacing="0" w:afterAutospacing="0"/>
        <w:jc w:val="both"/>
      </w:pPr>
      <w:r>
        <w:t> </w:t>
      </w:r>
    </w:p>
    <w:p w14:paraId="6F4AAA13">
      <w:pPr>
        <w:pStyle w:val="14"/>
        <w:spacing w:beforeAutospacing="0" w:afterAutospacing="0"/>
        <w:jc w:val="both"/>
      </w:pPr>
      <w:r>
        <w:t> </w:t>
      </w:r>
    </w:p>
    <w:p w14:paraId="222A8E13">
      <w:pPr>
        <w:pStyle w:val="14"/>
        <w:spacing w:beforeAutospacing="0" w:afterAutospacing="0"/>
        <w:jc w:val="both"/>
      </w:pPr>
      <w:r>
        <w:t> </w:t>
      </w:r>
    </w:p>
    <w:p w14:paraId="56877808">
      <w:pPr>
        <w:pStyle w:val="14"/>
        <w:spacing w:beforeAutospacing="0" w:afterAutospacing="0"/>
        <w:jc w:val="both"/>
      </w:pPr>
      <w:r>
        <w:t> </w:t>
      </w:r>
    </w:p>
    <w:p w14:paraId="02367B05">
      <w:pPr>
        <w:pStyle w:val="14"/>
        <w:spacing w:beforeAutospacing="0" w:afterAutospacing="0"/>
        <w:jc w:val="both"/>
      </w:pPr>
      <w:r>
        <w:t> </w:t>
      </w:r>
    </w:p>
    <w:p w14:paraId="6E7348ED">
      <w:pPr>
        <w:pStyle w:val="14"/>
        <w:spacing w:beforeAutospacing="0" w:afterAutospacing="0"/>
        <w:jc w:val="both"/>
      </w:pPr>
      <w:r>
        <w:t> </w:t>
      </w:r>
    </w:p>
    <w:p w14:paraId="7E484D1D">
      <w:pPr>
        <w:pStyle w:val="14"/>
        <w:spacing w:beforeAutospacing="0" w:afterAutospacing="0"/>
        <w:jc w:val="both"/>
      </w:pPr>
      <w:r>
        <w:t> </w:t>
      </w:r>
    </w:p>
    <w:p w14:paraId="14991F5F">
      <w:pPr>
        <w:pStyle w:val="14"/>
        <w:spacing w:beforeAutospacing="0" w:afterAutospacing="0"/>
        <w:jc w:val="both"/>
      </w:pPr>
      <w:r>
        <w:t> </w:t>
      </w:r>
    </w:p>
    <w:p w14:paraId="6254C6EA">
      <w:pPr>
        <w:pStyle w:val="14"/>
        <w:spacing w:beforeAutospacing="0" w:afterAutospacing="0"/>
        <w:jc w:val="both"/>
      </w:pPr>
      <w:r>
        <w:t> </w:t>
      </w:r>
    </w:p>
    <w:p w14:paraId="07F34B23">
      <w:pPr>
        <w:pStyle w:val="14"/>
        <w:spacing w:beforeAutospacing="0" w:afterAutospacing="0"/>
        <w:jc w:val="both"/>
      </w:pPr>
      <w:r>
        <w:t> </w:t>
      </w:r>
    </w:p>
    <w:p w14:paraId="221FBBD2">
      <w:pPr>
        <w:pStyle w:val="14"/>
        <w:spacing w:beforeAutospacing="0" w:afterAutospacing="0"/>
        <w:jc w:val="both"/>
      </w:pPr>
      <w:r>
        <w:t> </w:t>
      </w:r>
    </w:p>
    <w:p w14:paraId="2E7631EB">
      <w:pPr>
        <w:pStyle w:val="14"/>
        <w:spacing w:beforeAutospacing="0" w:afterAutospacing="0"/>
        <w:jc w:val="both"/>
      </w:pPr>
      <w:r>
        <w:t> </w:t>
      </w:r>
    </w:p>
    <w:p w14:paraId="46A79B61">
      <w:pPr>
        <w:pStyle w:val="14"/>
        <w:spacing w:beforeAutospacing="0" w:afterAutospacing="0"/>
        <w:jc w:val="both"/>
      </w:pPr>
      <w:r>
        <w:t> </w:t>
      </w:r>
    </w:p>
    <w:p w14:paraId="7A21266A">
      <w:pPr>
        <w:pStyle w:val="14"/>
        <w:spacing w:beforeAutospacing="0" w:afterAutospacing="0"/>
        <w:jc w:val="both"/>
      </w:pPr>
      <w:r>
        <w:t> </w:t>
      </w:r>
    </w:p>
    <w:p w14:paraId="4B849D13">
      <w:pPr>
        <w:pStyle w:val="14"/>
        <w:spacing w:beforeAutospacing="0" w:afterAutospacing="0"/>
        <w:jc w:val="both"/>
      </w:pPr>
      <w:r>
        <w:t> </w:t>
      </w:r>
    </w:p>
    <w:p w14:paraId="57951F24">
      <w:pPr>
        <w:pStyle w:val="14"/>
        <w:spacing w:beforeAutospacing="0" w:afterAutospacing="0"/>
        <w:jc w:val="both"/>
      </w:pPr>
      <w:r>
        <w:t> </w:t>
      </w:r>
    </w:p>
    <w:p w14:paraId="73F140D4">
      <w:pPr>
        <w:pStyle w:val="14"/>
        <w:spacing w:beforeAutospacing="0" w:afterAutospacing="0"/>
        <w:jc w:val="both"/>
      </w:pPr>
      <w:r>
        <w:t> </w:t>
      </w:r>
    </w:p>
    <w:p w14:paraId="270C9454">
      <w:pPr>
        <w:pStyle w:val="14"/>
        <w:spacing w:beforeAutospacing="0" w:afterAutospacing="0"/>
        <w:jc w:val="both"/>
      </w:pPr>
      <w:r>
        <w:t> </w:t>
      </w:r>
    </w:p>
    <w:p w14:paraId="63794211">
      <w:pPr>
        <w:pStyle w:val="14"/>
        <w:spacing w:beforeAutospacing="0" w:afterAutospacing="0"/>
        <w:jc w:val="both"/>
      </w:pPr>
      <w:r>
        <w:t> </w:t>
      </w:r>
    </w:p>
    <w:p w14:paraId="1C0E817B">
      <w:pPr>
        <w:pStyle w:val="14"/>
        <w:spacing w:beforeAutospacing="0" w:afterAutospacing="0"/>
        <w:jc w:val="both"/>
      </w:pPr>
      <w:r>
        <w:t> </w:t>
      </w:r>
    </w:p>
    <w:p w14:paraId="2F45C497">
      <w:pPr>
        <w:pStyle w:val="14"/>
        <w:spacing w:beforeAutospacing="0" w:afterAutospacing="0"/>
        <w:jc w:val="both"/>
      </w:pPr>
      <w:r>
        <w:t> </w:t>
      </w:r>
    </w:p>
    <w:p w14:paraId="2CF553D3">
      <w:pPr>
        <w:pStyle w:val="14"/>
        <w:spacing w:beforeAutospacing="0" w:afterAutospacing="0"/>
        <w:jc w:val="both"/>
        <w:rPr>
          <w:rFonts w:eastAsia="黑体"/>
        </w:rPr>
      </w:pPr>
      <w:r>
        <w:t> </w:t>
      </w:r>
      <w:bookmarkStart w:id="6" w:name="_Toc28359086"/>
      <w:r>
        <w:rPr>
          <w:rFonts w:hint="eastAsia"/>
        </w:rPr>
        <w:t xml:space="preserve">                  </w:t>
      </w:r>
      <w:r>
        <w:rPr>
          <w:rFonts w:hint="eastAsia" w:ascii="黑体" w:hAnsi="宋体" w:eastAsia="黑体" w:cs="黑体"/>
          <w:color w:val="000000"/>
          <w:sz w:val="44"/>
          <w:szCs w:val="44"/>
        </w:rPr>
        <w:t>第一章 招标公告</w:t>
      </w:r>
    </w:p>
    <w:p w14:paraId="5E75D314">
      <w:pPr>
        <w:pStyle w:val="14"/>
        <w:pBdr>
          <w:top w:val="single" w:color="000000" w:sz="4" w:space="0"/>
          <w:left w:val="single" w:color="000000" w:sz="4" w:space="0"/>
          <w:bottom w:val="single" w:color="000000" w:sz="4" w:space="0"/>
          <w:right w:val="single" w:color="000000" w:sz="4" w:space="0"/>
        </w:pBdr>
        <w:spacing w:beforeAutospacing="0" w:afterAutospacing="0" w:line="360" w:lineRule="auto"/>
        <w:ind w:firstLine="480"/>
        <w:rPr>
          <w:rFonts w:ascii="宋体" w:hAnsi="宋体" w:eastAsia="宋体" w:cs="宋体"/>
        </w:rPr>
      </w:pPr>
      <w:r>
        <w:rPr>
          <w:rFonts w:hint="eastAsia" w:ascii="宋体" w:hAnsi="宋体" w:eastAsia="宋体" w:cs="宋体"/>
          <w:color w:val="000000"/>
        </w:rPr>
        <w:t>项目概况</w:t>
      </w:r>
    </w:p>
    <w:p w14:paraId="1AD9B41E">
      <w:pPr>
        <w:pStyle w:val="14"/>
        <w:pBdr>
          <w:top w:val="single" w:color="000000" w:sz="4" w:space="0"/>
          <w:left w:val="single" w:color="000000" w:sz="4" w:space="0"/>
          <w:bottom w:val="single" w:color="000000" w:sz="4" w:space="0"/>
          <w:right w:val="single" w:color="000000" w:sz="4" w:space="0"/>
        </w:pBdr>
        <w:spacing w:beforeAutospacing="0" w:afterAutospacing="0" w:line="360" w:lineRule="auto"/>
        <w:ind w:firstLine="480"/>
        <w:rPr>
          <w:rFonts w:ascii="仿宋" w:hAnsi="仿宋" w:eastAsia="仿宋" w:cs="仿宋"/>
          <w:sz w:val="28"/>
          <w:szCs w:val="28"/>
        </w:rPr>
      </w:pPr>
      <w:r>
        <w:rPr>
          <w:rFonts w:hint="eastAsia" w:ascii="宋体" w:hAnsi="宋体" w:eastAsia="宋体" w:cs="宋体"/>
          <w:color w:val="000000"/>
          <w:u w:val="single"/>
          <w:lang w:eastAsia="zh-CN"/>
        </w:rPr>
        <w:t>射阳县体育局2025年为民办实事体育器材采购项目</w:t>
      </w:r>
      <w:r>
        <w:rPr>
          <w:rFonts w:hint="eastAsia" w:ascii="宋体" w:hAnsi="宋体" w:eastAsia="宋体" w:cs="宋体"/>
          <w:color w:val="000000"/>
          <w:lang w:eastAsia="zh-CN"/>
        </w:rPr>
        <w:t>（</w:t>
      </w:r>
      <w:r>
        <w:rPr>
          <w:rFonts w:hint="eastAsia" w:ascii="宋体" w:hAnsi="宋体" w:eastAsia="宋体" w:cs="宋体"/>
          <w:color w:val="000000"/>
          <w:lang w:val="en-US" w:eastAsia="zh-CN"/>
        </w:rPr>
        <w:t>二次</w:t>
      </w:r>
      <w:r>
        <w:rPr>
          <w:rFonts w:hint="eastAsia" w:ascii="宋体" w:hAnsi="宋体" w:eastAsia="宋体" w:cs="宋体"/>
          <w:color w:val="000000"/>
          <w:lang w:eastAsia="zh-CN"/>
        </w:rPr>
        <w:t>）</w:t>
      </w:r>
      <w:r>
        <w:rPr>
          <w:rFonts w:hint="eastAsia" w:ascii="宋体" w:hAnsi="宋体" w:eastAsia="宋体" w:cs="宋体"/>
          <w:color w:val="000000"/>
        </w:rPr>
        <w:t>的潜在投标人可在</w:t>
      </w:r>
      <w:r>
        <w:rPr>
          <w:rFonts w:hint="eastAsia" w:ascii="宋体" w:hAnsi="宋体" w:eastAsia="宋体" w:cs="宋体"/>
          <w:color w:val="000000"/>
          <w:u w:val="single"/>
        </w:rPr>
        <w:t>“中国政府采购网”、“江苏政府采购网、盐城市政府采购网”</w:t>
      </w:r>
      <w:r>
        <w:rPr>
          <w:rFonts w:hint="eastAsia" w:ascii="宋体" w:hAnsi="宋体" w:eastAsia="宋体" w:cs="宋体"/>
          <w:color w:val="000000"/>
        </w:rPr>
        <w:t>获取招标文件，并于</w:t>
      </w:r>
      <w:r>
        <w:rPr>
          <w:rFonts w:hint="eastAsia" w:ascii="宋体" w:hAnsi="宋体" w:eastAsia="宋体" w:cs="宋体"/>
          <w:color w:val="000000"/>
          <w:u w:val="single"/>
        </w:rPr>
        <w:t>2025年</w:t>
      </w:r>
      <w:r>
        <w:rPr>
          <w:rFonts w:hint="eastAsia" w:ascii="宋体" w:hAnsi="宋体" w:eastAsia="宋体" w:cs="宋体"/>
          <w:color w:val="000000"/>
          <w:u w:val="single"/>
          <w:lang w:val="en-US" w:eastAsia="zh-CN"/>
        </w:rPr>
        <w:t>5</w:t>
      </w:r>
      <w:r>
        <w:rPr>
          <w:rFonts w:hint="eastAsia" w:ascii="宋体" w:hAnsi="宋体" w:eastAsia="宋体" w:cs="宋体"/>
          <w:color w:val="000000"/>
          <w:u w:val="single"/>
        </w:rPr>
        <w:t>月</w:t>
      </w:r>
      <w:r>
        <w:rPr>
          <w:rFonts w:hint="eastAsia" w:ascii="宋体" w:hAnsi="宋体" w:eastAsia="宋体" w:cs="宋体"/>
          <w:color w:val="000000"/>
          <w:u w:val="single"/>
          <w:lang w:val="en-US" w:eastAsia="zh-CN"/>
        </w:rPr>
        <w:t>20</w:t>
      </w:r>
      <w:r>
        <w:rPr>
          <w:rFonts w:hint="eastAsia" w:ascii="宋体" w:hAnsi="宋体" w:eastAsia="宋体" w:cs="宋体"/>
          <w:color w:val="000000"/>
          <w:u w:val="single"/>
        </w:rPr>
        <w:t>日15点00分（</w:t>
      </w:r>
      <w:r>
        <w:rPr>
          <w:rFonts w:hint="eastAsia" w:ascii="宋体" w:hAnsi="宋体" w:eastAsia="宋体" w:cs="宋体"/>
          <w:color w:val="000000"/>
        </w:rPr>
        <w:t>北京时间）前递交投标文件</w:t>
      </w:r>
      <w:r>
        <w:rPr>
          <w:rFonts w:hint="eastAsia" w:ascii="仿宋" w:hAnsi="仿宋" w:eastAsia="仿宋" w:cs="仿宋"/>
          <w:color w:val="000000"/>
          <w:sz w:val="28"/>
          <w:szCs w:val="28"/>
        </w:rPr>
        <w:t>。</w:t>
      </w:r>
    </w:p>
    <w:p w14:paraId="728798C0">
      <w:pPr>
        <w:pStyle w:val="14"/>
        <w:tabs>
          <w:tab w:val="left" w:pos="901"/>
        </w:tabs>
        <w:spacing w:beforeAutospacing="0" w:afterAutospacing="0" w:line="360" w:lineRule="auto"/>
        <w:ind w:firstLine="480"/>
        <w:jc w:val="both"/>
        <w:rPr>
          <w:rFonts w:ascii="宋体" w:hAnsi="宋体" w:eastAsia="宋体" w:cs="宋体"/>
          <w:b/>
          <w:bCs/>
          <w:color w:val="000000"/>
        </w:rPr>
      </w:pPr>
      <w:bookmarkStart w:id="7" w:name="_Toc35393790"/>
      <w:bookmarkStart w:id="8" w:name="_Toc28359079"/>
      <w:bookmarkStart w:id="9" w:name="_Toc28359002"/>
      <w:bookmarkStart w:id="10" w:name="_Toc38985263"/>
      <w:bookmarkStart w:id="11" w:name="_Hlk24379207"/>
      <w:bookmarkStart w:id="12" w:name="_Toc35393621"/>
      <w:r>
        <w:rPr>
          <w:rFonts w:hint="eastAsia" w:ascii="宋体" w:hAnsi="宋体" w:eastAsia="宋体" w:cs="宋体"/>
          <w:b/>
          <w:bCs/>
          <w:color w:val="000000"/>
        </w:rPr>
        <w:t>一、项目基本情况</w:t>
      </w:r>
      <w:bookmarkEnd w:id="7"/>
      <w:bookmarkEnd w:id="8"/>
      <w:bookmarkEnd w:id="9"/>
      <w:bookmarkEnd w:id="10"/>
      <w:bookmarkEnd w:id="11"/>
      <w:bookmarkEnd w:id="12"/>
    </w:p>
    <w:p w14:paraId="1134949A">
      <w:pPr>
        <w:pStyle w:val="14"/>
        <w:tabs>
          <w:tab w:val="left" w:pos="901"/>
        </w:tabs>
        <w:spacing w:beforeAutospacing="0" w:afterAutospacing="0" w:line="360" w:lineRule="auto"/>
        <w:ind w:firstLine="480"/>
        <w:jc w:val="both"/>
        <w:rPr>
          <w:rFonts w:hint="default" w:ascii="宋体" w:hAnsi="宋体" w:eastAsia="宋体" w:cs="宋体"/>
          <w:color w:val="000000"/>
          <w:lang w:val="en-US" w:eastAsia="zh-CN"/>
        </w:rPr>
      </w:pPr>
      <w:r>
        <w:rPr>
          <w:rFonts w:hint="eastAsia" w:ascii="宋体" w:hAnsi="宋体" w:eastAsia="宋体" w:cs="宋体"/>
          <w:color w:val="000000"/>
        </w:rPr>
        <w:t>1.项目编号：JSZC-320924-YCCD-G2025-</w:t>
      </w:r>
      <w:r>
        <w:rPr>
          <w:rFonts w:hint="eastAsia" w:ascii="宋体" w:hAnsi="宋体" w:eastAsia="宋体" w:cs="宋体"/>
          <w:color w:val="000000"/>
          <w:lang w:eastAsia="zh-CN"/>
        </w:rPr>
        <w:t>00</w:t>
      </w:r>
      <w:r>
        <w:rPr>
          <w:rFonts w:hint="eastAsia" w:ascii="宋体" w:hAnsi="宋体" w:eastAsia="宋体" w:cs="宋体"/>
          <w:color w:val="000000"/>
          <w:lang w:val="en-US" w:eastAsia="zh-CN"/>
        </w:rPr>
        <w:t>10</w:t>
      </w:r>
    </w:p>
    <w:p w14:paraId="1D3B295C">
      <w:pPr>
        <w:pStyle w:val="14"/>
        <w:tabs>
          <w:tab w:val="left" w:pos="901"/>
        </w:tabs>
        <w:spacing w:beforeAutospacing="0" w:afterAutospacing="0" w:line="360" w:lineRule="auto"/>
        <w:ind w:firstLine="480"/>
        <w:jc w:val="both"/>
        <w:rPr>
          <w:rFonts w:hint="eastAsia" w:ascii="宋体" w:hAnsi="宋体" w:eastAsia="宋体" w:cs="宋体"/>
          <w:color w:val="000000"/>
          <w:lang w:eastAsia="zh-CN"/>
        </w:rPr>
      </w:pPr>
      <w:r>
        <w:rPr>
          <w:rFonts w:hint="eastAsia" w:ascii="宋体" w:hAnsi="宋体" w:eastAsia="宋体" w:cs="宋体"/>
          <w:color w:val="000000"/>
        </w:rPr>
        <w:t>2.项目名称：</w:t>
      </w:r>
      <w:r>
        <w:rPr>
          <w:rFonts w:hint="eastAsia" w:ascii="宋体" w:hAnsi="宋体" w:eastAsia="宋体" w:cs="宋体"/>
          <w:color w:val="000000"/>
          <w:lang w:eastAsia="zh-CN"/>
        </w:rPr>
        <w:t>射阳县体育局2025年为民办实事体育器材采购项目（</w:t>
      </w:r>
      <w:r>
        <w:rPr>
          <w:rFonts w:hint="eastAsia" w:ascii="宋体" w:hAnsi="宋体" w:eastAsia="宋体" w:cs="宋体"/>
          <w:color w:val="000000"/>
          <w:lang w:val="en-US" w:eastAsia="zh-CN"/>
        </w:rPr>
        <w:t>二次</w:t>
      </w:r>
      <w:r>
        <w:rPr>
          <w:rFonts w:hint="eastAsia" w:ascii="宋体" w:hAnsi="宋体" w:eastAsia="宋体" w:cs="宋体"/>
          <w:color w:val="000000"/>
          <w:lang w:eastAsia="zh-CN"/>
        </w:rPr>
        <w:t>）</w:t>
      </w:r>
    </w:p>
    <w:p w14:paraId="2287447B">
      <w:pPr>
        <w:pStyle w:val="14"/>
        <w:tabs>
          <w:tab w:val="left" w:pos="901"/>
        </w:tabs>
        <w:spacing w:beforeAutospacing="0" w:afterAutospacing="0" w:line="360" w:lineRule="auto"/>
        <w:ind w:firstLine="480"/>
        <w:jc w:val="both"/>
        <w:rPr>
          <w:rFonts w:hint="eastAsia" w:ascii="宋体" w:hAnsi="宋体" w:eastAsia="宋体" w:cs="宋体"/>
          <w:color w:val="000000"/>
        </w:rPr>
      </w:pPr>
      <w:r>
        <w:rPr>
          <w:rFonts w:hint="eastAsia" w:ascii="宋体" w:hAnsi="宋体" w:eastAsia="宋体" w:cs="宋体"/>
          <w:color w:val="000000"/>
        </w:rPr>
        <w:t>3.采购方式：公开招标</w:t>
      </w:r>
    </w:p>
    <w:p w14:paraId="2AC03A5C">
      <w:pPr>
        <w:pStyle w:val="14"/>
        <w:tabs>
          <w:tab w:val="left" w:pos="901"/>
        </w:tabs>
        <w:spacing w:beforeAutospacing="0" w:afterAutospacing="0" w:line="360" w:lineRule="auto"/>
        <w:ind w:firstLine="480"/>
        <w:jc w:val="both"/>
        <w:rPr>
          <w:rFonts w:hint="eastAsia" w:ascii="宋体" w:hAnsi="宋体" w:eastAsia="宋体" w:cs="宋体"/>
          <w:color w:val="000000"/>
        </w:rPr>
      </w:pPr>
      <w:r>
        <w:rPr>
          <w:rFonts w:hint="eastAsia" w:ascii="宋体" w:hAnsi="宋体" w:eastAsia="宋体" w:cs="宋体"/>
          <w:color w:val="000000"/>
        </w:rPr>
        <w:t>4.预算金额：</w:t>
      </w:r>
      <w:r>
        <w:rPr>
          <w:rFonts w:hint="eastAsia" w:ascii="宋体" w:hAnsi="宋体" w:eastAsia="宋体" w:cs="宋体"/>
          <w:color w:val="000000"/>
          <w:lang w:val="en-US" w:eastAsia="zh-CN"/>
        </w:rPr>
        <w:t>27.4</w:t>
      </w:r>
      <w:r>
        <w:rPr>
          <w:rFonts w:hint="eastAsia" w:ascii="宋体" w:hAnsi="宋体" w:eastAsia="宋体" w:cs="宋体"/>
          <w:color w:val="000000"/>
        </w:rPr>
        <w:t>万元</w:t>
      </w:r>
    </w:p>
    <w:p w14:paraId="36D5D950">
      <w:pPr>
        <w:pStyle w:val="14"/>
        <w:tabs>
          <w:tab w:val="left" w:pos="901"/>
        </w:tabs>
        <w:spacing w:beforeAutospacing="0" w:afterAutospacing="0" w:line="360" w:lineRule="auto"/>
        <w:ind w:firstLine="480"/>
        <w:jc w:val="both"/>
        <w:rPr>
          <w:rFonts w:hint="eastAsia" w:ascii="宋体" w:hAnsi="宋体" w:eastAsia="宋体" w:cs="宋体"/>
          <w:color w:val="000000"/>
          <w:lang w:eastAsia="zh-CN"/>
        </w:rPr>
      </w:pPr>
      <w:r>
        <w:rPr>
          <w:rFonts w:hint="eastAsia" w:ascii="宋体" w:hAnsi="宋体" w:eastAsia="宋体" w:cs="宋体"/>
          <w:color w:val="000000"/>
        </w:rPr>
        <w:t>5.最高限价：</w:t>
      </w:r>
      <w:r>
        <w:rPr>
          <w:rFonts w:hint="eastAsia" w:ascii="宋体" w:hAnsi="宋体" w:eastAsia="宋体" w:cs="宋体"/>
          <w:color w:val="000000"/>
          <w:lang w:val="en-US" w:eastAsia="zh-CN"/>
        </w:rPr>
        <w:t>27.4</w:t>
      </w:r>
      <w:r>
        <w:rPr>
          <w:rFonts w:hint="eastAsia" w:ascii="宋体" w:hAnsi="宋体" w:eastAsia="宋体" w:cs="宋体"/>
          <w:color w:val="000000"/>
        </w:rPr>
        <w:t>万元</w:t>
      </w:r>
      <w:r>
        <w:rPr>
          <w:rFonts w:hint="eastAsia" w:ascii="宋体" w:hAnsi="宋体" w:eastAsia="宋体" w:cs="宋体"/>
          <w:color w:val="000000"/>
          <w:lang w:eastAsia="zh-CN"/>
        </w:rPr>
        <w:t>；</w:t>
      </w:r>
    </w:p>
    <w:p w14:paraId="4D479ECC">
      <w:pPr>
        <w:pStyle w:val="14"/>
        <w:tabs>
          <w:tab w:val="left" w:pos="901"/>
        </w:tabs>
        <w:spacing w:beforeAutospacing="0" w:afterAutospacing="0" w:line="360" w:lineRule="auto"/>
        <w:ind w:firstLine="480"/>
        <w:jc w:val="both"/>
        <w:rPr>
          <w:rFonts w:hint="eastAsia" w:ascii="宋体" w:hAnsi="宋体" w:eastAsia="宋体" w:cs="宋体"/>
          <w:color w:val="000000"/>
        </w:rPr>
      </w:pPr>
      <w:r>
        <w:rPr>
          <w:rFonts w:hint="eastAsia" w:ascii="宋体" w:hAnsi="宋体" w:eastAsia="宋体" w:cs="宋体"/>
          <w:color w:val="000000"/>
        </w:rPr>
        <w:t>备注：投标总价不得超过最高限价，否则按无效投标人处理。</w:t>
      </w:r>
    </w:p>
    <w:p w14:paraId="61821B81">
      <w:pPr>
        <w:pStyle w:val="14"/>
        <w:tabs>
          <w:tab w:val="left" w:pos="901"/>
        </w:tabs>
        <w:spacing w:beforeAutospacing="0" w:afterAutospacing="0" w:line="360" w:lineRule="auto"/>
        <w:ind w:firstLine="480"/>
        <w:jc w:val="both"/>
        <w:rPr>
          <w:rFonts w:ascii="宋体" w:hAnsi="宋体"/>
          <w:color w:val="000000"/>
          <w:sz w:val="24"/>
          <w:szCs w:val="24"/>
        </w:rPr>
      </w:pPr>
      <w:r>
        <w:rPr>
          <w:rFonts w:hint="eastAsia" w:ascii="宋体" w:hAnsi="宋体" w:eastAsia="宋体" w:cs="宋体"/>
          <w:color w:val="000000"/>
        </w:rPr>
        <w:t>6.采购需求：</w:t>
      </w:r>
      <w:r>
        <w:rPr>
          <w:rFonts w:hint="eastAsia" w:ascii="宋体" w:hAnsi="宋体" w:eastAsia="宋体" w:cs="宋体"/>
          <w:color w:val="000000"/>
          <w:lang w:eastAsia="zh-CN"/>
        </w:rPr>
        <w:t>射阳县体育局</w:t>
      </w:r>
      <w:r>
        <w:rPr>
          <w:rFonts w:hint="eastAsia" w:ascii="宋体" w:hAnsi="宋体" w:eastAsia="宋体" w:cs="宋体"/>
          <w:color w:val="000000"/>
          <w:lang w:val="en-US" w:eastAsia="zh-CN"/>
        </w:rPr>
        <w:t>对</w:t>
      </w:r>
      <w:r>
        <w:rPr>
          <w:rFonts w:hint="eastAsia" w:ascii="宋体" w:hAnsi="宋体" w:eastAsia="宋体" w:cs="宋体"/>
          <w:color w:val="000000"/>
          <w:lang w:eastAsia="zh-CN"/>
        </w:rPr>
        <w:t>2025年为民办实事体育器材采购项目（</w:t>
      </w:r>
      <w:r>
        <w:rPr>
          <w:rFonts w:hint="eastAsia" w:ascii="宋体" w:hAnsi="宋体" w:eastAsia="宋体" w:cs="宋体"/>
          <w:color w:val="000000"/>
          <w:lang w:val="en-US" w:eastAsia="zh-CN"/>
        </w:rPr>
        <w:t>二次</w:t>
      </w:r>
      <w:r>
        <w:rPr>
          <w:rFonts w:hint="eastAsia" w:ascii="宋体" w:hAnsi="宋体" w:eastAsia="宋体" w:cs="宋体"/>
          <w:color w:val="000000"/>
          <w:lang w:eastAsia="zh-CN"/>
        </w:rPr>
        <w:t>）</w:t>
      </w:r>
      <w:r>
        <w:rPr>
          <w:rFonts w:hint="eastAsia" w:ascii="宋体" w:hAnsi="宋体" w:eastAsia="宋体" w:cs="宋体"/>
          <w:color w:val="000000"/>
        </w:rPr>
        <w:t>进行采购。</w:t>
      </w:r>
      <w:r>
        <w:rPr>
          <w:rFonts w:hint="eastAsia" w:ascii="宋体" w:hAnsi="宋体" w:eastAsia="宋体" w:cs="宋体"/>
          <w:color w:val="000000"/>
          <w:lang w:val="en-US" w:eastAsia="zh-CN"/>
        </w:rPr>
        <w:t>采购内容：智能二代健身路径采购，最高限价：27.4万。</w:t>
      </w:r>
      <w:r>
        <w:rPr>
          <w:rFonts w:hint="eastAsia" w:ascii="宋体" w:hAnsi="宋体"/>
          <w:color w:val="000000"/>
          <w:sz w:val="24"/>
          <w:szCs w:val="24"/>
        </w:rPr>
        <w:t>为保证产品质量，做好为民办实事工程，本项目开标时要求投标人提供</w:t>
      </w:r>
      <w:r>
        <w:rPr>
          <w:rFonts w:hint="eastAsia" w:ascii="宋体" w:hAnsi="宋体"/>
          <w:color w:val="000000"/>
          <w:sz w:val="24"/>
          <w:szCs w:val="24"/>
          <w:lang w:eastAsia="zh-CN"/>
        </w:rPr>
        <w:t>：</w:t>
      </w:r>
      <w:r>
        <w:rPr>
          <w:rFonts w:hint="eastAsia" w:ascii="宋体" w:hAnsi="宋体"/>
          <w:color w:val="000000"/>
          <w:sz w:val="24"/>
          <w:szCs w:val="24"/>
        </w:rPr>
        <w:t>双位推举训练器一台作为样品，供评委现场评审</w:t>
      </w:r>
      <w:r>
        <w:rPr>
          <w:rFonts w:hint="eastAsia" w:ascii="宋体" w:hAnsi="宋体"/>
          <w:color w:val="000000"/>
          <w:sz w:val="24"/>
          <w:szCs w:val="24"/>
          <w:lang w:eastAsia="zh-CN"/>
        </w:rPr>
        <w:t>。</w:t>
      </w:r>
      <w:r>
        <w:rPr>
          <w:rFonts w:hint="eastAsia" w:ascii="宋体" w:hAnsi="宋体"/>
          <w:color w:val="000000"/>
          <w:sz w:val="24"/>
          <w:szCs w:val="24"/>
        </w:rPr>
        <w:t>样品的摆放位置：须在本项目</w:t>
      </w:r>
      <w:r>
        <w:rPr>
          <w:rFonts w:hint="eastAsia" w:ascii="宋体" w:hAnsi="宋体"/>
          <w:color w:val="000000"/>
          <w:sz w:val="24"/>
          <w:szCs w:val="24"/>
          <w:lang w:val="en-US" w:eastAsia="zh-CN"/>
        </w:rPr>
        <w:t>评审</w:t>
      </w:r>
      <w:r>
        <w:rPr>
          <w:rFonts w:hint="eastAsia" w:ascii="宋体" w:hAnsi="宋体"/>
          <w:color w:val="000000"/>
          <w:sz w:val="24"/>
          <w:szCs w:val="24"/>
        </w:rPr>
        <w:t>前摆放至射阳县市民中心大楼北侧东停车场处。样品少送或错送</w:t>
      </w:r>
      <w:r>
        <w:rPr>
          <w:rFonts w:hint="eastAsia" w:ascii="宋体" w:hAnsi="宋体"/>
          <w:color w:val="000000"/>
          <w:sz w:val="24"/>
          <w:szCs w:val="24"/>
          <w:lang w:eastAsia="zh-CN"/>
        </w:rPr>
        <w:t>、</w:t>
      </w:r>
      <w:r>
        <w:rPr>
          <w:rFonts w:hint="eastAsia" w:ascii="宋体" w:hAnsi="宋体"/>
          <w:color w:val="000000"/>
          <w:sz w:val="24"/>
          <w:szCs w:val="24"/>
        </w:rPr>
        <w:t>评委评审样品时未安装完成的或未遮盖投标人所投设备的生产厂家品牌名称和型号的样品分为0分。</w:t>
      </w:r>
      <w:r>
        <w:rPr>
          <w:rFonts w:hint="eastAsia" w:ascii="宋体" w:hAnsi="宋体" w:eastAsia="宋体" w:cs="宋体"/>
          <w:color w:val="000000"/>
        </w:rPr>
        <w:t>本次招标范围包括：采购内容包括以上货物的供应、运输及售后等相关伴随服务</w:t>
      </w:r>
      <w:r>
        <w:rPr>
          <w:rFonts w:hint="eastAsia" w:ascii="宋体" w:hAnsi="宋体" w:eastAsia="宋体" w:cs="宋体"/>
          <w:color w:val="000000"/>
          <w:lang w:eastAsia="zh-CN"/>
        </w:rPr>
        <w:t>，</w:t>
      </w:r>
      <w:r>
        <w:rPr>
          <w:rFonts w:hint="eastAsia" w:ascii="宋体" w:hAnsi="宋体" w:eastAsia="宋体" w:cs="宋体"/>
          <w:color w:val="000000"/>
        </w:rPr>
        <w:t>具体采购范围及所应达到的具体要求，详见本招标文件中项目需求。</w:t>
      </w:r>
    </w:p>
    <w:p w14:paraId="4034708B">
      <w:pPr>
        <w:pStyle w:val="14"/>
        <w:tabs>
          <w:tab w:val="left" w:pos="901"/>
        </w:tabs>
        <w:spacing w:beforeAutospacing="0" w:afterAutospacing="0" w:line="360" w:lineRule="auto"/>
        <w:ind w:firstLine="480"/>
        <w:jc w:val="both"/>
        <w:rPr>
          <w:rFonts w:hint="eastAsia" w:ascii="宋体" w:hAnsi="宋体" w:eastAsia="宋体" w:cs="宋体"/>
          <w:color w:val="000000"/>
        </w:rPr>
      </w:pPr>
      <w:r>
        <w:rPr>
          <w:rFonts w:hint="eastAsia" w:ascii="宋体" w:hAnsi="宋体" w:eastAsia="宋体" w:cs="宋体"/>
          <w:color w:val="000000"/>
        </w:rPr>
        <w:t>7.合同履行期限：合同签订后</w:t>
      </w:r>
      <w:r>
        <w:rPr>
          <w:rFonts w:hint="eastAsia" w:ascii="宋体" w:hAnsi="宋体" w:eastAsia="宋体" w:cs="宋体"/>
          <w:color w:val="000000"/>
          <w:lang w:val="en-US" w:eastAsia="zh-CN"/>
        </w:rPr>
        <w:t>4</w:t>
      </w:r>
      <w:r>
        <w:rPr>
          <w:rFonts w:hint="eastAsia" w:ascii="宋体" w:hAnsi="宋体" w:eastAsia="宋体" w:cs="宋体"/>
          <w:color w:val="000000"/>
        </w:rPr>
        <w:t>0日内供货到采购人指定地点，安装调试完毕并经采购人验收合格。</w:t>
      </w:r>
    </w:p>
    <w:p w14:paraId="531F7B47">
      <w:pPr>
        <w:pStyle w:val="14"/>
        <w:tabs>
          <w:tab w:val="left" w:pos="901"/>
        </w:tabs>
        <w:spacing w:beforeAutospacing="0" w:afterAutospacing="0" w:line="360" w:lineRule="auto"/>
        <w:ind w:firstLine="480"/>
        <w:jc w:val="both"/>
        <w:rPr>
          <w:rFonts w:hint="eastAsia" w:ascii="宋体" w:hAnsi="宋体" w:eastAsia="宋体" w:cs="宋体"/>
          <w:color w:val="000000"/>
        </w:rPr>
      </w:pPr>
      <w:r>
        <w:rPr>
          <w:rFonts w:hint="eastAsia" w:ascii="宋体" w:hAnsi="宋体" w:eastAsia="宋体" w:cs="宋体"/>
          <w:color w:val="000000"/>
        </w:rPr>
        <w:t>8.本项目不接受联合体参与招标</w:t>
      </w:r>
    </w:p>
    <w:p w14:paraId="7EAEB643">
      <w:pPr>
        <w:pStyle w:val="14"/>
        <w:tabs>
          <w:tab w:val="left" w:pos="901"/>
        </w:tabs>
        <w:spacing w:beforeAutospacing="0" w:afterAutospacing="0" w:line="360" w:lineRule="auto"/>
        <w:ind w:firstLine="480"/>
        <w:jc w:val="both"/>
        <w:rPr>
          <w:rFonts w:ascii="宋体" w:hAnsi="宋体" w:eastAsia="宋体" w:cs="宋体"/>
          <w:b/>
          <w:bCs/>
          <w:color w:val="000000"/>
        </w:rPr>
      </w:pPr>
      <w:bookmarkStart w:id="13" w:name="_Toc28359080"/>
      <w:bookmarkStart w:id="14" w:name="_Toc28359003"/>
      <w:bookmarkStart w:id="15" w:name="_Toc38985264"/>
      <w:bookmarkStart w:id="16" w:name="_Toc35393791"/>
      <w:bookmarkStart w:id="17" w:name="_Toc35393622"/>
      <w:r>
        <w:rPr>
          <w:rFonts w:hint="eastAsia" w:ascii="宋体" w:hAnsi="宋体" w:eastAsia="宋体" w:cs="宋体"/>
          <w:b/>
          <w:bCs/>
          <w:color w:val="000000"/>
        </w:rPr>
        <w:t>二、申请人的资格要求：</w:t>
      </w:r>
      <w:bookmarkEnd w:id="13"/>
      <w:bookmarkEnd w:id="14"/>
      <w:bookmarkEnd w:id="15"/>
      <w:bookmarkEnd w:id="16"/>
      <w:bookmarkEnd w:id="17"/>
    </w:p>
    <w:p w14:paraId="66AFF6CB">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1.满足《中华人民共和国政府采购法》第二十二条规定，并提供下列材料：</w:t>
      </w:r>
    </w:p>
    <w:p w14:paraId="4AD7DC0D">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1.1 法人或者其他组织的营业执照等证明文件，自然人的身份证明；</w:t>
      </w:r>
    </w:p>
    <w:p w14:paraId="26F390EA">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1.2上一年度的财务状况报表（成立不满一年无需提供）；</w:t>
      </w:r>
    </w:p>
    <w:p w14:paraId="038EF9E7">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1.3具备履行合同所必需的设备和专业技术能力的书面声明；</w:t>
      </w:r>
    </w:p>
    <w:p w14:paraId="28DF04CE">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1.4依法缴纳税收和社会保障资金的相关材料（提供提交响应文件截止时间前一年内至少一个月依法缴纳税收及缴纳社会保障资金的证明材料。供应商依法享受缓缴、免缴税收、社会保障资金的提供证明材料。）；</w:t>
      </w:r>
    </w:p>
    <w:p w14:paraId="7F6664D1">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1.5参加政府采购活动前3年内在经营活动中没有重大违法记录的书面声明。</w:t>
      </w:r>
    </w:p>
    <w:p w14:paraId="46C90DA9">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1.6法律、行政法规规定的其他条件。</w:t>
      </w:r>
    </w:p>
    <w:p w14:paraId="1942E5B4">
      <w:pPr>
        <w:pStyle w:val="14"/>
        <w:tabs>
          <w:tab w:val="left" w:pos="901"/>
        </w:tabs>
        <w:spacing w:beforeAutospacing="0" w:afterAutospacing="0" w:line="360" w:lineRule="auto"/>
        <w:ind w:firstLine="480"/>
        <w:jc w:val="both"/>
        <w:rPr>
          <w:rFonts w:hint="eastAsia" w:ascii="宋体" w:hAnsi="宋体" w:eastAsia="宋体" w:cs="宋体"/>
          <w:color w:val="000000"/>
        </w:rPr>
      </w:pPr>
      <w:r>
        <w:rPr>
          <w:rFonts w:hint="eastAsia" w:ascii="宋体" w:hAnsi="宋体" w:eastAsia="宋体" w:cs="宋体"/>
          <w:color w:val="000000"/>
        </w:rPr>
        <w:t>2.落实政府采购政策需满足的资格要求：所属行业为：生产制造业。本项目专门面向中小企业采购，投标人所投货物须为符合《关于印发中小企业划型标准规定的通知》（工信部联企业[2011]300号）文件的中小企业（申请时须提供中小企业声明函，否则按无效标处理）。</w:t>
      </w:r>
    </w:p>
    <w:p w14:paraId="2912510D">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3.本项目的特定资格要求：</w:t>
      </w:r>
    </w:p>
    <w:p w14:paraId="28A1CC3E">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3.1在“信用中国”网站（www.creditchina.gov.cn）查询，无被列入失信被执行人、重大税收违法案件当事人名单、政府采购严重失信行为记录名单及其他不符合《中华人民共和国政府采购法》第二十二条规定条件的信用记录。（响应文件中无需提供证明材料）</w:t>
      </w:r>
    </w:p>
    <w:p w14:paraId="2711D82E">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3.2单位负责人为同一人或者存在直接控股、服务关系的不同供应商，不得参加同一合同项下的政府采购活动。</w:t>
      </w:r>
    </w:p>
    <w:p w14:paraId="2BC8290C">
      <w:pPr>
        <w:pStyle w:val="14"/>
        <w:tabs>
          <w:tab w:val="left" w:pos="901"/>
        </w:tabs>
        <w:spacing w:beforeAutospacing="0" w:afterAutospacing="0" w:line="360" w:lineRule="auto"/>
        <w:ind w:firstLine="480"/>
        <w:jc w:val="both"/>
        <w:rPr>
          <w:rFonts w:ascii="宋体" w:hAnsi="宋体" w:eastAsia="宋体" w:cs="宋体"/>
          <w:b/>
          <w:bCs/>
          <w:color w:val="000000"/>
        </w:rPr>
      </w:pPr>
      <w:r>
        <w:rPr>
          <w:rFonts w:hint="eastAsia" w:ascii="宋体" w:hAnsi="宋体" w:eastAsia="宋体" w:cs="宋体"/>
          <w:b/>
          <w:bCs/>
          <w:color w:val="000000"/>
        </w:rPr>
        <w:t>三、获取招标文件</w:t>
      </w:r>
    </w:p>
    <w:p w14:paraId="0369665E">
      <w:pPr>
        <w:pStyle w:val="14"/>
        <w:spacing w:beforeAutospacing="0" w:afterAutospacing="0" w:line="360" w:lineRule="auto"/>
        <w:ind w:firstLine="480"/>
        <w:jc w:val="both"/>
        <w:rPr>
          <w:rFonts w:hint="eastAsia" w:asciiTheme="minorEastAsia" w:hAnsiTheme="minorEastAsia" w:cstheme="minorEastAsia"/>
          <w:color w:val="333333"/>
          <w:shd w:val="clear" w:color="auto" w:fill="FFFFFF"/>
        </w:rPr>
      </w:pPr>
      <w:bookmarkStart w:id="18" w:name="_Toc35393793"/>
      <w:bookmarkStart w:id="19" w:name="_Toc35393624"/>
      <w:bookmarkStart w:id="20" w:name="_Toc28359005"/>
      <w:bookmarkStart w:id="21" w:name="_Toc28359082"/>
      <w:bookmarkStart w:id="22" w:name="_Toc38985266"/>
      <w:r>
        <w:rPr>
          <w:rFonts w:hint="eastAsia" w:asciiTheme="minorEastAsia" w:hAnsiTheme="minorEastAsia" w:cstheme="minorEastAsia"/>
          <w:color w:val="333333"/>
          <w:shd w:val="clear" w:color="auto" w:fill="FFFFFF"/>
        </w:rPr>
        <w:t>1.</w:t>
      </w:r>
      <w:bookmarkEnd w:id="18"/>
      <w:bookmarkEnd w:id="19"/>
      <w:bookmarkEnd w:id="20"/>
      <w:bookmarkEnd w:id="21"/>
      <w:bookmarkEnd w:id="22"/>
      <w:r>
        <w:rPr>
          <w:rFonts w:hint="eastAsia" w:asciiTheme="minorEastAsia" w:hAnsiTheme="minorEastAsia" w:cstheme="minorEastAsia"/>
          <w:color w:val="333333"/>
          <w:shd w:val="clear" w:color="auto" w:fill="FFFFFF"/>
        </w:rPr>
        <w:t xml:space="preserve">时间：自招标文件公告发布之日起5个工作日 </w:t>
      </w:r>
    </w:p>
    <w:p w14:paraId="0884652C">
      <w:pPr>
        <w:pStyle w:val="14"/>
        <w:spacing w:beforeAutospacing="0" w:afterAutospacing="0" w:line="360" w:lineRule="auto"/>
        <w:ind w:firstLine="480"/>
        <w:jc w:val="both"/>
        <w:rPr>
          <w:rFonts w:hint="eastAsia" w:asciiTheme="minorEastAsia" w:hAnsiTheme="minorEastAsia" w:cstheme="minorEastAsia"/>
          <w:color w:val="333333"/>
          <w:shd w:val="clear" w:color="auto" w:fill="FFFFFF"/>
        </w:rPr>
      </w:pPr>
      <w:r>
        <w:rPr>
          <w:rFonts w:hint="eastAsia" w:asciiTheme="minorEastAsia" w:hAnsiTheme="minorEastAsia" w:cstheme="minorEastAsia"/>
          <w:color w:val="333333"/>
          <w:shd w:val="clear" w:color="auto" w:fill="FFFFFF"/>
          <w:lang w:val="en-US" w:eastAsia="zh-CN"/>
        </w:rPr>
        <w:t>2.</w:t>
      </w:r>
      <w:r>
        <w:rPr>
          <w:rFonts w:hint="eastAsia" w:asciiTheme="minorEastAsia" w:hAnsiTheme="minorEastAsia" w:cstheme="minorEastAsia"/>
          <w:color w:val="333333"/>
          <w:shd w:val="clear" w:color="auto" w:fill="FFFFFF"/>
        </w:rPr>
        <w:t xml:space="preserve">地点：网上注册登记成功后系统内免费下载 </w:t>
      </w:r>
    </w:p>
    <w:p w14:paraId="039350E6">
      <w:pPr>
        <w:pStyle w:val="14"/>
        <w:spacing w:beforeAutospacing="0" w:afterAutospacing="0" w:line="360" w:lineRule="auto"/>
        <w:ind w:firstLine="480"/>
        <w:jc w:val="both"/>
        <w:rPr>
          <w:rFonts w:hint="eastAsia" w:asciiTheme="minorEastAsia" w:hAnsiTheme="minorEastAsia" w:cstheme="minorEastAsia"/>
          <w:color w:val="333333"/>
          <w:shd w:val="clear" w:color="auto" w:fill="FFFFFF"/>
        </w:rPr>
      </w:pPr>
      <w:r>
        <w:rPr>
          <w:rFonts w:hint="eastAsia" w:asciiTheme="minorEastAsia" w:hAnsiTheme="minorEastAsia" w:cstheme="minorEastAsia"/>
          <w:color w:val="333333"/>
          <w:shd w:val="clear" w:color="auto" w:fill="FFFFFF"/>
          <w:lang w:val="en-US" w:eastAsia="zh-CN"/>
        </w:rPr>
        <w:t>3.</w:t>
      </w:r>
      <w:r>
        <w:rPr>
          <w:rFonts w:hint="eastAsia" w:asciiTheme="minorEastAsia" w:hAnsiTheme="minorEastAsia" w:cstheme="minorEastAsia"/>
          <w:color w:val="333333"/>
          <w:shd w:val="clear" w:color="auto" w:fill="FFFFFF"/>
        </w:rPr>
        <w:t xml:space="preserve">方式：本项目采用网上注册登记方式 </w:t>
      </w:r>
    </w:p>
    <w:p w14:paraId="34F4CAD8">
      <w:pPr>
        <w:pStyle w:val="14"/>
        <w:spacing w:beforeAutospacing="0" w:afterAutospacing="0" w:line="360" w:lineRule="auto"/>
        <w:ind w:firstLine="480"/>
        <w:jc w:val="both"/>
        <w:rPr>
          <w:rFonts w:asciiTheme="minorEastAsia" w:hAnsiTheme="minorEastAsia" w:cstheme="minorEastAsia"/>
          <w:color w:val="333333"/>
          <w:shd w:val="clear" w:color="auto" w:fill="FFFFFF"/>
        </w:rPr>
      </w:pPr>
      <w:r>
        <w:rPr>
          <w:rFonts w:hint="eastAsia" w:asciiTheme="minorEastAsia" w:hAnsiTheme="minorEastAsia" w:cstheme="minorEastAsia"/>
          <w:color w:val="333333"/>
          <w:shd w:val="clear" w:color="auto" w:fill="FFFFFF"/>
        </w:rPr>
        <w:t>4.售价：0元</w:t>
      </w:r>
    </w:p>
    <w:p w14:paraId="63EA4B81">
      <w:pPr>
        <w:pStyle w:val="14"/>
        <w:tabs>
          <w:tab w:val="left" w:pos="901"/>
        </w:tabs>
        <w:spacing w:beforeAutospacing="0" w:afterAutospacing="0" w:line="360" w:lineRule="auto"/>
        <w:ind w:firstLine="480"/>
        <w:jc w:val="both"/>
        <w:rPr>
          <w:rFonts w:ascii="宋体" w:hAnsi="宋体" w:eastAsia="宋体" w:cs="宋体"/>
          <w:b/>
          <w:bCs/>
          <w:color w:val="000000"/>
        </w:rPr>
      </w:pPr>
      <w:r>
        <w:rPr>
          <w:rFonts w:hint="eastAsia" w:ascii="宋体" w:hAnsi="宋体" w:eastAsia="宋体" w:cs="宋体"/>
          <w:b/>
          <w:bCs/>
          <w:color w:val="000000"/>
        </w:rPr>
        <w:t>四、提交投标文件截止时间、开标时间和地点</w:t>
      </w:r>
    </w:p>
    <w:p w14:paraId="4343E2CF">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1.时间：2025年</w:t>
      </w:r>
      <w:r>
        <w:rPr>
          <w:rFonts w:hint="eastAsia" w:ascii="宋体" w:hAnsi="宋体" w:eastAsia="宋体" w:cs="宋体"/>
          <w:color w:val="000000"/>
          <w:lang w:val="en-US" w:eastAsia="zh-CN"/>
        </w:rPr>
        <w:t>5</w:t>
      </w:r>
      <w:r>
        <w:rPr>
          <w:rFonts w:hint="eastAsia" w:ascii="宋体" w:hAnsi="宋体" w:eastAsia="宋体" w:cs="宋体"/>
          <w:color w:val="000000"/>
        </w:rPr>
        <w:t>月</w:t>
      </w:r>
      <w:r>
        <w:rPr>
          <w:rFonts w:hint="eastAsia" w:ascii="宋体" w:hAnsi="宋体" w:eastAsia="宋体" w:cs="宋体"/>
          <w:color w:val="000000"/>
          <w:lang w:val="en-US" w:eastAsia="zh-CN"/>
        </w:rPr>
        <w:t>20</w:t>
      </w:r>
      <w:r>
        <w:rPr>
          <w:rFonts w:hint="eastAsia" w:ascii="宋体" w:hAnsi="宋体" w:eastAsia="宋体" w:cs="宋体"/>
          <w:color w:val="000000"/>
        </w:rPr>
        <w:t>日15点00分（北京时间）。</w:t>
      </w:r>
    </w:p>
    <w:p w14:paraId="71F526A0">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2.地点：“苏采云”政府采购交易系统网上开标大厅。</w:t>
      </w:r>
    </w:p>
    <w:p w14:paraId="72B0D8CF">
      <w:pPr>
        <w:pStyle w:val="14"/>
        <w:tabs>
          <w:tab w:val="left" w:pos="901"/>
        </w:tabs>
        <w:spacing w:beforeAutospacing="0" w:afterAutospacing="0" w:line="360" w:lineRule="auto"/>
        <w:ind w:firstLine="480"/>
        <w:jc w:val="both"/>
        <w:rPr>
          <w:rFonts w:ascii="宋体" w:hAnsi="宋体" w:eastAsia="宋体" w:cs="宋体"/>
          <w:b/>
          <w:bCs/>
          <w:color w:val="000000"/>
        </w:rPr>
      </w:pPr>
      <w:bookmarkStart w:id="23" w:name="_Toc28359084"/>
      <w:bookmarkStart w:id="24" w:name="_Toc35393625"/>
      <w:bookmarkStart w:id="25" w:name="_Toc35393794"/>
      <w:bookmarkStart w:id="26" w:name="_Toc38985267"/>
      <w:bookmarkStart w:id="27" w:name="_Toc28359007"/>
      <w:r>
        <w:rPr>
          <w:rFonts w:hint="eastAsia" w:ascii="宋体" w:hAnsi="宋体" w:eastAsia="宋体" w:cs="宋体"/>
          <w:b/>
          <w:bCs/>
          <w:color w:val="000000"/>
        </w:rPr>
        <w:t>五、公告期限</w:t>
      </w:r>
      <w:bookmarkEnd w:id="23"/>
      <w:bookmarkEnd w:id="24"/>
      <w:bookmarkEnd w:id="25"/>
      <w:bookmarkEnd w:id="26"/>
      <w:bookmarkEnd w:id="27"/>
    </w:p>
    <w:p w14:paraId="7C608565">
      <w:pPr>
        <w:pStyle w:val="14"/>
        <w:tabs>
          <w:tab w:val="left" w:pos="901"/>
        </w:tabs>
        <w:spacing w:beforeAutospacing="0" w:afterAutospacing="0" w:line="360" w:lineRule="auto"/>
        <w:ind w:firstLine="480"/>
        <w:jc w:val="both"/>
        <w:rPr>
          <w:rFonts w:ascii="宋体" w:hAnsi="宋体" w:eastAsia="宋体" w:cs="宋体"/>
          <w:color w:val="000000"/>
        </w:rPr>
      </w:pPr>
      <w:bookmarkStart w:id="28" w:name="_Toc38985268"/>
      <w:bookmarkStart w:id="29" w:name="_Toc35393626"/>
      <w:bookmarkStart w:id="30" w:name="_Toc35393795"/>
      <w:r>
        <w:rPr>
          <w:rFonts w:hint="eastAsia" w:ascii="宋体" w:hAnsi="宋体" w:eastAsia="宋体" w:cs="宋体"/>
          <w:color w:val="000000"/>
        </w:rPr>
        <w:t>自本公告发布之日起5个工作日。</w:t>
      </w:r>
      <w:bookmarkEnd w:id="28"/>
      <w:bookmarkEnd w:id="29"/>
      <w:bookmarkEnd w:id="30"/>
    </w:p>
    <w:p w14:paraId="4AC6C14B">
      <w:pPr>
        <w:pStyle w:val="14"/>
        <w:tabs>
          <w:tab w:val="left" w:pos="901"/>
        </w:tabs>
        <w:spacing w:beforeAutospacing="0" w:afterAutospacing="0" w:line="360" w:lineRule="auto"/>
        <w:ind w:firstLine="480"/>
        <w:jc w:val="both"/>
        <w:rPr>
          <w:rFonts w:ascii="宋体" w:hAnsi="宋体" w:eastAsia="宋体" w:cs="宋体"/>
          <w:b/>
          <w:bCs/>
          <w:color w:val="000000"/>
        </w:rPr>
      </w:pPr>
      <w:r>
        <w:rPr>
          <w:rFonts w:hint="eastAsia" w:ascii="宋体" w:hAnsi="宋体" w:eastAsia="宋体" w:cs="宋体"/>
          <w:b/>
          <w:bCs/>
          <w:color w:val="000000"/>
        </w:rPr>
        <w:t>六、其他补充事宜</w:t>
      </w:r>
    </w:p>
    <w:p w14:paraId="506E57ED">
      <w:pPr>
        <w:pStyle w:val="14"/>
        <w:tabs>
          <w:tab w:val="left" w:pos="901"/>
        </w:tabs>
        <w:spacing w:beforeAutospacing="0" w:afterAutospacing="0" w:line="360" w:lineRule="auto"/>
        <w:ind w:firstLine="480"/>
        <w:jc w:val="both"/>
        <w:rPr>
          <w:rFonts w:ascii="宋体" w:hAnsi="宋体" w:eastAsia="宋体" w:cs="宋体"/>
          <w:color w:val="000000"/>
        </w:rPr>
      </w:pPr>
      <w:bookmarkStart w:id="31" w:name="_Toc28359018"/>
      <w:r>
        <w:rPr>
          <w:rFonts w:hint="eastAsia" w:ascii="宋体" w:hAnsi="宋体" w:eastAsia="宋体" w:cs="宋体"/>
          <w:color w:val="000000"/>
        </w:rPr>
        <w:t>1.根据省财政厅《关于更换全省政府采购交易系统CA数字证书和电子签章的通知》（苏财购〔2023〕101号），“苏采云”政府采购交易系统（以下简称苏采云系统）的CA数字证书、电子签章已更换为江苏省电子政务证书认证中心CA和方正国际软件（北京）有限公司电子签章。如果投标人通过苏采云系统参与政府采购项目，需要更换CA数字证书和电子签章。具体办理指南和操作手册见链接：</w:t>
      </w:r>
    </w:p>
    <w:p w14:paraId="0C7FFA00">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http://www.ccgp-jiangsu.gov.cn/jiangsu/zlxz/ee/ee3a4bc5a3454aa2b0d9312230633ce9.html。</w:t>
      </w:r>
    </w:p>
    <w:p w14:paraId="31D78815">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领取CA和办理电子签章（请至亭湖区政务服务中心二楼226窗口办理，联系电话：15051556883，办理邮箱：yancheng@ideabank.net.cn，具体联系方式见《苏采云系统供应商操作手册》（以下简称《操作手册》））、进行注册并按《操作手册》要求制作、上传电子投标文件,《苏采云系统供应商操作手册》下载地址：http://czj.yancheng.gov.cn/art/2023/9/14/art_2407_4057499.html。</w:t>
      </w:r>
    </w:p>
    <w:p w14:paraId="39C31D12">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2.有关本次招标的事项若存在变动或修改，敬请及时关注盐城市政府招标代理机构在“中国政府采购网”、“江苏政府采购网”、“盐城市政府采购网”发布的更正公告。</w:t>
      </w:r>
    </w:p>
    <w:p w14:paraId="4CD31448">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3.本次招标不收取投标保证金，不收取质量保证金。</w:t>
      </w:r>
    </w:p>
    <w:p w14:paraId="05483E76">
      <w:pPr>
        <w:pStyle w:val="14"/>
        <w:tabs>
          <w:tab w:val="left" w:pos="901"/>
        </w:tabs>
        <w:spacing w:beforeAutospacing="0" w:afterAutospacing="0" w:line="360" w:lineRule="auto"/>
        <w:ind w:firstLine="480"/>
        <w:jc w:val="both"/>
        <w:rPr>
          <w:rFonts w:ascii="宋体" w:hAnsi="宋体" w:eastAsia="宋体" w:cs="宋体"/>
          <w:b/>
          <w:bCs/>
          <w:color w:val="000000"/>
        </w:rPr>
      </w:pPr>
      <w:r>
        <w:rPr>
          <w:rFonts w:hint="eastAsia" w:ascii="宋体" w:hAnsi="宋体" w:eastAsia="宋体" w:cs="宋体"/>
          <w:b/>
          <w:bCs/>
          <w:color w:val="000000"/>
        </w:rPr>
        <w:t>七、对本次招标提出询问，请按以下方式联系。</w:t>
      </w:r>
      <w:bookmarkEnd w:id="31"/>
    </w:p>
    <w:p w14:paraId="38EA9B04">
      <w:pPr>
        <w:pStyle w:val="14"/>
        <w:tabs>
          <w:tab w:val="left" w:pos="901"/>
        </w:tabs>
        <w:spacing w:beforeAutospacing="0" w:afterAutospacing="0" w:line="360" w:lineRule="auto"/>
        <w:ind w:firstLine="480"/>
        <w:jc w:val="both"/>
        <w:rPr>
          <w:rFonts w:ascii="宋体" w:hAnsi="宋体" w:eastAsia="宋体" w:cs="宋体"/>
          <w:color w:val="000000"/>
        </w:rPr>
      </w:pPr>
      <w:bookmarkStart w:id="32" w:name="_Toc35393806"/>
      <w:bookmarkStart w:id="33" w:name="_Toc28359019"/>
      <w:bookmarkStart w:id="34" w:name="_Toc28359096"/>
      <w:bookmarkStart w:id="35" w:name="_Toc35393637"/>
      <w:r>
        <w:rPr>
          <w:rFonts w:hint="eastAsia" w:ascii="宋体" w:hAnsi="宋体" w:eastAsia="宋体" w:cs="宋体"/>
          <w:color w:val="000000"/>
        </w:rPr>
        <w:t>1.采购人信息</w:t>
      </w:r>
      <w:bookmarkEnd w:id="32"/>
      <w:bookmarkEnd w:id="33"/>
      <w:bookmarkEnd w:id="34"/>
      <w:bookmarkEnd w:id="35"/>
    </w:p>
    <w:p w14:paraId="316491B5">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名    称：射阳县体育局</w:t>
      </w:r>
      <w:r>
        <w:rPr>
          <w:rFonts w:hint="eastAsia" w:ascii="宋体" w:hAnsi="宋体" w:eastAsia="宋体" w:cs="宋体"/>
          <w:color w:val="000000"/>
        </w:rPr>
        <w:tab/>
      </w:r>
    </w:p>
    <w:p w14:paraId="394D56AF">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地    址：盐城市射阳县红旗路</w:t>
      </w:r>
    </w:p>
    <w:p w14:paraId="490CA768">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联系方式：</w:t>
      </w:r>
      <w:bookmarkStart w:id="36" w:name="_Toc28359097"/>
      <w:bookmarkStart w:id="37" w:name="_Toc35393807"/>
      <w:bookmarkStart w:id="38" w:name="_Toc35393638"/>
      <w:bookmarkStart w:id="39" w:name="_Toc28359020"/>
      <w:r>
        <w:rPr>
          <w:rFonts w:hint="eastAsia" w:ascii="宋体" w:hAnsi="宋体" w:eastAsia="宋体" w:cs="宋体"/>
          <w:color w:val="000000"/>
        </w:rPr>
        <w:t>18914618086</w:t>
      </w:r>
    </w:p>
    <w:p w14:paraId="3E70D2E7">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2.采购代理机构信息</w:t>
      </w:r>
      <w:bookmarkEnd w:id="36"/>
      <w:bookmarkEnd w:id="37"/>
      <w:bookmarkEnd w:id="38"/>
      <w:bookmarkEnd w:id="39"/>
    </w:p>
    <w:p w14:paraId="225E5197">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名    称：盐城畅达招标代理有限公司</w:t>
      </w:r>
    </w:p>
    <w:p w14:paraId="472ACB24">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地　　址：射阳县合德镇人民西路金源创客空间2F</w:t>
      </w:r>
    </w:p>
    <w:p w14:paraId="311EB28C">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联系方式：15189268322</w:t>
      </w:r>
    </w:p>
    <w:p w14:paraId="31B3E096">
      <w:pPr>
        <w:pStyle w:val="14"/>
        <w:tabs>
          <w:tab w:val="left" w:pos="901"/>
        </w:tabs>
        <w:spacing w:beforeAutospacing="0" w:afterAutospacing="0" w:line="360" w:lineRule="auto"/>
        <w:ind w:firstLine="480"/>
        <w:jc w:val="both"/>
        <w:rPr>
          <w:rFonts w:ascii="宋体" w:hAnsi="宋体" w:eastAsia="宋体" w:cs="宋体"/>
          <w:color w:val="000000"/>
        </w:rPr>
      </w:pPr>
      <w:bookmarkStart w:id="40" w:name="_Toc28359098"/>
      <w:bookmarkStart w:id="41" w:name="_Toc35393639"/>
      <w:bookmarkStart w:id="42" w:name="_Toc28359021"/>
      <w:bookmarkStart w:id="43" w:name="_Toc35393808"/>
      <w:r>
        <w:rPr>
          <w:rFonts w:hint="eastAsia" w:ascii="宋体" w:hAnsi="宋体" w:eastAsia="宋体" w:cs="宋体"/>
          <w:color w:val="000000"/>
        </w:rPr>
        <w:t>3.项目联系方式</w:t>
      </w:r>
      <w:bookmarkEnd w:id="40"/>
      <w:bookmarkEnd w:id="41"/>
      <w:bookmarkEnd w:id="42"/>
      <w:bookmarkEnd w:id="43"/>
    </w:p>
    <w:p w14:paraId="72A8A040">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项目联系人：孙少琴</w:t>
      </w:r>
    </w:p>
    <w:p w14:paraId="23455576">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lang w:val="en-US" w:eastAsia="zh-CN"/>
        </w:rPr>
        <w:t>联系方式</w:t>
      </w:r>
      <w:r>
        <w:rPr>
          <w:rFonts w:hint="eastAsia" w:ascii="宋体" w:hAnsi="宋体" w:eastAsia="宋体" w:cs="宋体"/>
          <w:color w:val="000000"/>
        </w:rPr>
        <w:t>：18914618086</w:t>
      </w:r>
    </w:p>
    <w:p w14:paraId="2F0DA9D3">
      <w:pPr>
        <w:pStyle w:val="14"/>
        <w:tabs>
          <w:tab w:val="left" w:pos="901"/>
        </w:tabs>
        <w:spacing w:beforeAutospacing="0" w:afterAutospacing="0" w:line="360" w:lineRule="auto"/>
        <w:ind w:firstLine="480"/>
        <w:jc w:val="both"/>
        <w:rPr>
          <w:rFonts w:ascii="宋体" w:hAnsi="宋体" w:eastAsia="宋体" w:cs="宋体"/>
          <w:color w:val="000000"/>
        </w:rPr>
      </w:pPr>
      <w:r>
        <w:rPr>
          <w:rFonts w:ascii="宋体" w:hAnsi="宋体" w:eastAsia="宋体" w:cs="宋体"/>
          <w:color w:val="000000"/>
        </w:rPr>
        <w:br w:type="page"/>
      </w:r>
    </w:p>
    <w:p w14:paraId="2974C63C">
      <w:pPr>
        <w:pStyle w:val="14"/>
        <w:tabs>
          <w:tab w:val="left" w:pos="901"/>
        </w:tabs>
        <w:spacing w:beforeAutospacing="0" w:afterAutospacing="0" w:line="360" w:lineRule="auto"/>
        <w:ind w:firstLine="480"/>
        <w:jc w:val="both"/>
      </w:pPr>
      <w:r>
        <w:rPr>
          <w:rFonts w:hint="eastAsia" w:ascii="宋体" w:hAnsi="宋体" w:eastAsia="宋体" w:cs="宋体"/>
          <w:color w:val="000000"/>
        </w:rPr>
        <w:t> </w:t>
      </w:r>
      <w:bookmarkStart w:id="44" w:name="_Toc120614211"/>
      <w:r>
        <w:rPr>
          <w:rFonts w:hint="eastAsia" w:ascii="宋体" w:hAnsi="宋体" w:eastAsia="宋体" w:cs="宋体"/>
          <w:color w:val="000000"/>
        </w:rPr>
        <w:t xml:space="preserve">           </w:t>
      </w:r>
      <w:r>
        <w:rPr>
          <w:rFonts w:hint="eastAsia" w:ascii="黑体" w:hAnsi="宋体" w:eastAsia="黑体" w:cs="黑体"/>
          <w:b/>
          <w:color w:val="000000"/>
          <w:sz w:val="44"/>
          <w:szCs w:val="44"/>
        </w:rPr>
        <w:t xml:space="preserve">第二章  </w:t>
      </w:r>
      <w:bookmarkEnd w:id="44"/>
      <w:bookmarkStart w:id="45" w:name="_Toc16938518"/>
      <w:bookmarkStart w:id="46" w:name="_Toc120614213"/>
      <w:bookmarkStart w:id="47" w:name="_Toc513029202"/>
      <w:bookmarkStart w:id="48" w:name="_Toc20823274"/>
      <w:r>
        <w:rPr>
          <w:rFonts w:hint="eastAsia" w:ascii="黑体" w:hAnsi="宋体" w:eastAsia="黑体" w:cs="黑体"/>
          <w:b/>
          <w:color w:val="000000"/>
          <w:sz w:val="44"/>
          <w:szCs w:val="44"/>
        </w:rPr>
        <w:t>投标人须知</w:t>
      </w:r>
      <w:bookmarkEnd w:id="45"/>
      <w:bookmarkEnd w:id="46"/>
      <w:bookmarkEnd w:id="47"/>
      <w:bookmarkEnd w:id="48"/>
    </w:p>
    <w:p w14:paraId="19E9EA9E">
      <w:pPr>
        <w:pStyle w:val="14"/>
        <w:tabs>
          <w:tab w:val="left" w:pos="901"/>
        </w:tabs>
        <w:spacing w:beforeAutospacing="0" w:afterAutospacing="0" w:line="360" w:lineRule="auto"/>
        <w:ind w:firstLine="480"/>
        <w:jc w:val="both"/>
        <w:rPr>
          <w:rFonts w:ascii="宋体" w:hAnsi="宋体" w:eastAsia="宋体" w:cs="宋体"/>
          <w:b/>
          <w:bCs/>
          <w:color w:val="000000"/>
        </w:rPr>
      </w:pPr>
      <w:bookmarkStart w:id="49" w:name="_Toc16938519"/>
      <w:bookmarkStart w:id="50" w:name="_Toc120614214"/>
      <w:bookmarkStart w:id="51" w:name="_Toc20823275"/>
      <w:bookmarkStart w:id="52" w:name="_Toc513029203"/>
      <w:r>
        <w:rPr>
          <w:rFonts w:hint="eastAsia" w:ascii="宋体" w:hAnsi="宋体" w:eastAsia="宋体" w:cs="宋体"/>
          <w:b/>
          <w:bCs/>
          <w:color w:val="000000"/>
        </w:rPr>
        <w:t>一、总则</w:t>
      </w:r>
      <w:bookmarkEnd w:id="49"/>
      <w:bookmarkEnd w:id="50"/>
      <w:bookmarkEnd w:id="51"/>
      <w:bookmarkEnd w:id="52"/>
    </w:p>
    <w:p w14:paraId="5F6A168F">
      <w:pPr>
        <w:pStyle w:val="14"/>
        <w:tabs>
          <w:tab w:val="left" w:pos="901"/>
        </w:tabs>
        <w:spacing w:beforeAutospacing="0" w:afterAutospacing="0" w:line="360" w:lineRule="auto"/>
        <w:ind w:firstLine="480"/>
        <w:jc w:val="both"/>
        <w:rPr>
          <w:rFonts w:ascii="宋体" w:hAnsi="宋体" w:eastAsia="宋体" w:cs="宋体"/>
          <w:b/>
          <w:bCs/>
          <w:color w:val="000000"/>
        </w:rPr>
      </w:pPr>
      <w:bookmarkStart w:id="53" w:name="_Toc20823276"/>
      <w:bookmarkStart w:id="54" w:name="_Toc513029204"/>
      <w:bookmarkStart w:id="55" w:name="_Toc16938520"/>
      <w:bookmarkStart w:id="56" w:name="_Toc458694821"/>
      <w:bookmarkStart w:id="57" w:name="_Hlt16619475"/>
      <w:r>
        <w:rPr>
          <w:rFonts w:hint="eastAsia" w:ascii="宋体" w:hAnsi="宋体" w:eastAsia="宋体" w:cs="宋体"/>
          <w:b/>
          <w:bCs/>
          <w:color w:val="000000"/>
        </w:rPr>
        <w:t>1</w:t>
      </w:r>
      <w:bookmarkEnd w:id="53"/>
      <w:r>
        <w:rPr>
          <w:rFonts w:hint="eastAsia" w:ascii="宋体" w:hAnsi="宋体" w:eastAsia="宋体" w:cs="宋体"/>
          <w:b/>
          <w:bCs/>
          <w:color w:val="000000"/>
        </w:rPr>
        <w:t>、招标方式</w:t>
      </w:r>
      <w:bookmarkEnd w:id="54"/>
      <w:bookmarkEnd w:id="55"/>
      <w:bookmarkEnd w:id="56"/>
    </w:p>
    <w:p w14:paraId="6A3D1773">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1.1 本次招标采取公开招标方式，本招标文件仅适用于招标公告中所述项目。</w:t>
      </w:r>
    </w:p>
    <w:p w14:paraId="5C75E8AE">
      <w:pPr>
        <w:pStyle w:val="14"/>
        <w:tabs>
          <w:tab w:val="left" w:pos="901"/>
        </w:tabs>
        <w:spacing w:beforeAutospacing="0" w:afterAutospacing="0" w:line="360" w:lineRule="auto"/>
        <w:ind w:firstLine="480"/>
        <w:jc w:val="both"/>
        <w:rPr>
          <w:rFonts w:ascii="宋体" w:hAnsi="宋体" w:eastAsia="宋体" w:cs="宋体"/>
          <w:b/>
          <w:bCs/>
          <w:color w:val="000000"/>
        </w:rPr>
      </w:pPr>
      <w:bookmarkStart w:id="58" w:name="_Toc20823277"/>
      <w:bookmarkStart w:id="59" w:name="_Toc16938521"/>
      <w:bookmarkStart w:id="60" w:name="_Toc513029205"/>
      <w:r>
        <w:rPr>
          <w:rFonts w:hint="eastAsia" w:ascii="宋体" w:hAnsi="宋体" w:eastAsia="宋体" w:cs="宋体"/>
          <w:b/>
          <w:bCs/>
          <w:color w:val="000000"/>
        </w:rPr>
        <w:t>2、合格的投标人</w:t>
      </w:r>
      <w:bookmarkEnd w:id="58"/>
      <w:bookmarkEnd w:id="59"/>
      <w:bookmarkEnd w:id="60"/>
    </w:p>
    <w:p w14:paraId="0242DED3">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2.1满足招标公告中供应商的资格要求的规定。</w:t>
      </w:r>
    </w:p>
    <w:p w14:paraId="1EBF7ECB">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2.2 满足本文件实质性要求和条件的规定。</w:t>
      </w:r>
    </w:p>
    <w:p w14:paraId="729FC401">
      <w:pPr>
        <w:pStyle w:val="14"/>
        <w:tabs>
          <w:tab w:val="left" w:pos="901"/>
        </w:tabs>
        <w:spacing w:beforeAutospacing="0" w:afterAutospacing="0" w:line="360" w:lineRule="auto"/>
        <w:ind w:firstLine="480"/>
        <w:jc w:val="both"/>
        <w:rPr>
          <w:rFonts w:ascii="宋体" w:hAnsi="宋体" w:eastAsia="宋体" w:cs="宋体"/>
          <w:b/>
          <w:bCs/>
          <w:color w:val="000000"/>
        </w:rPr>
      </w:pPr>
      <w:bookmarkStart w:id="61" w:name="_Toc16938522"/>
      <w:bookmarkStart w:id="62" w:name="_Toc20823278"/>
      <w:bookmarkStart w:id="63" w:name="_Toc513029206"/>
      <w:r>
        <w:rPr>
          <w:rFonts w:hint="eastAsia" w:ascii="宋体" w:hAnsi="宋体" w:eastAsia="宋体" w:cs="宋体"/>
          <w:b/>
          <w:bCs/>
          <w:color w:val="000000"/>
        </w:rPr>
        <w:t>3、适用法律</w:t>
      </w:r>
      <w:bookmarkEnd w:id="61"/>
      <w:bookmarkEnd w:id="62"/>
      <w:bookmarkEnd w:id="63"/>
    </w:p>
    <w:p w14:paraId="5CF1B59D">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3.1 本次招标及由此产生的合同受中华人民共和国有关的法律法规制约和保护。</w:t>
      </w:r>
    </w:p>
    <w:p w14:paraId="72B7FC20">
      <w:pPr>
        <w:pStyle w:val="14"/>
        <w:tabs>
          <w:tab w:val="left" w:pos="901"/>
        </w:tabs>
        <w:spacing w:beforeAutospacing="0" w:afterAutospacing="0" w:line="360" w:lineRule="auto"/>
        <w:ind w:firstLine="480"/>
        <w:jc w:val="both"/>
        <w:rPr>
          <w:rFonts w:ascii="宋体" w:hAnsi="宋体" w:eastAsia="宋体" w:cs="宋体"/>
          <w:b/>
          <w:bCs/>
          <w:color w:val="000000"/>
        </w:rPr>
      </w:pPr>
      <w:bookmarkStart w:id="64" w:name="_Toc20823279"/>
      <w:bookmarkStart w:id="65" w:name="_Toc513029207"/>
      <w:bookmarkStart w:id="66" w:name="_Toc16938523"/>
      <w:bookmarkStart w:id="67" w:name="_Toc462564067"/>
      <w:r>
        <w:rPr>
          <w:rFonts w:hint="eastAsia" w:ascii="宋体" w:hAnsi="宋体" w:eastAsia="宋体" w:cs="宋体"/>
          <w:b/>
          <w:bCs/>
          <w:color w:val="000000"/>
        </w:rPr>
        <w:t>4、投标费用</w:t>
      </w:r>
      <w:bookmarkEnd w:id="64"/>
      <w:bookmarkEnd w:id="65"/>
      <w:bookmarkEnd w:id="66"/>
      <w:bookmarkEnd w:id="67"/>
    </w:p>
    <w:p w14:paraId="08B79E37">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4.1 投标人应自行承担所有与参加投标有关的费用，无论投标过程中的做法和结果如何，盐城畅达招标代理有限公司（以下简称招标代理机构）在任何情况下均无义务和责任承担这些费用。</w:t>
      </w:r>
    </w:p>
    <w:p w14:paraId="56DE5C53">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4.2本次招标代理机构和采购人不收取标书工本费。</w:t>
      </w:r>
    </w:p>
    <w:p w14:paraId="1A8D27E7">
      <w:pPr>
        <w:pStyle w:val="14"/>
        <w:tabs>
          <w:tab w:val="left" w:pos="901"/>
        </w:tabs>
        <w:spacing w:beforeAutospacing="0" w:afterAutospacing="0" w:line="360" w:lineRule="auto"/>
        <w:ind w:firstLine="480"/>
        <w:jc w:val="both"/>
        <w:rPr>
          <w:rFonts w:ascii="宋体" w:hAnsi="宋体" w:eastAsia="宋体" w:cs="宋体"/>
          <w:b/>
          <w:bCs/>
          <w:color w:val="000000"/>
        </w:rPr>
      </w:pPr>
      <w:r>
        <w:rPr>
          <w:rFonts w:hint="eastAsia" w:ascii="宋体" w:hAnsi="宋体" w:eastAsia="宋体" w:cs="宋体"/>
          <w:b/>
          <w:bCs/>
          <w:color w:val="000000"/>
        </w:rPr>
        <w:t>5、招标文件的约束力</w:t>
      </w:r>
    </w:p>
    <w:p w14:paraId="6379D50E">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5.1 投标人一旦参加本项目采购活动，即被认为接受了本招标文件的规定和约束。</w:t>
      </w:r>
    </w:p>
    <w:p w14:paraId="5568DDAB">
      <w:pPr>
        <w:pStyle w:val="14"/>
        <w:tabs>
          <w:tab w:val="left" w:pos="901"/>
        </w:tabs>
        <w:spacing w:beforeAutospacing="0" w:afterAutospacing="0" w:line="360" w:lineRule="auto"/>
        <w:ind w:firstLine="480"/>
        <w:jc w:val="both"/>
        <w:rPr>
          <w:rFonts w:ascii="宋体" w:hAnsi="宋体" w:eastAsia="宋体" w:cs="宋体"/>
          <w:b/>
          <w:bCs/>
          <w:color w:val="000000"/>
        </w:rPr>
      </w:pPr>
      <w:bookmarkStart w:id="68" w:name="_Toc513029209"/>
      <w:bookmarkStart w:id="69" w:name="_Toc20823281"/>
      <w:bookmarkStart w:id="70" w:name="_Toc120614215"/>
      <w:bookmarkStart w:id="71" w:name="_Toc16938525"/>
      <w:r>
        <w:rPr>
          <w:rFonts w:hint="eastAsia" w:ascii="宋体" w:hAnsi="宋体" w:eastAsia="宋体" w:cs="宋体"/>
          <w:b/>
          <w:bCs/>
          <w:color w:val="000000"/>
        </w:rPr>
        <w:t>二、招标文件</w:t>
      </w:r>
      <w:bookmarkEnd w:id="68"/>
      <w:bookmarkEnd w:id="69"/>
      <w:bookmarkEnd w:id="70"/>
      <w:bookmarkEnd w:id="71"/>
    </w:p>
    <w:p w14:paraId="2546C556">
      <w:pPr>
        <w:pStyle w:val="14"/>
        <w:tabs>
          <w:tab w:val="left" w:pos="901"/>
        </w:tabs>
        <w:spacing w:beforeAutospacing="0" w:afterAutospacing="0" w:line="360" w:lineRule="auto"/>
        <w:ind w:firstLine="480"/>
        <w:jc w:val="both"/>
        <w:rPr>
          <w:rFonts w:ascii="宋体" w:hAnsi="宋体" w:eastAsia="宋体" w:cs="宋体"/>
          <w:b/>
          <w:bCs/>
          <w:color w:val="000000"/>
        </w:rPr>
      </w:pPr>
      <w:bookmarkStart w:id="72" w:name="_Toc20823282"/>
      <w:bookmarkStart w:id="73" w:name="_Toc513029210"/>
      <w:bookmarkStart w:id="74" w:name="_Toc16938526"/>
      <w:r>
        <w:rPr>
          <w:rFonts w:hint="eastAsia" w:ascii="宋体" w:hAnsi="宋体" w:eastAsia="宋体" w:cs="宋体"/>
          <w:b/>
          <w:bCs/>
          <w:color w:val="000000"/>
        </w:rPr>
        <w:t>6、招标文件构成</w:t>
      </w:r>
      <w:bookmarkEnd w:id="72"/>
      <w:bookmarkEnd w:id="73"/>
      <w:bookmarkEnd w:id="74"/>
    </w:p>
    <w:p w14:paraId="2D173A1F">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6.1 招标文件由以下部分组成：</w:t>
      </w:r>
    </w:p>
    <w:p w14:paraId="418C1449">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（1）招标公告</w:t>
      </w:r>
    </w:p>
    <w:p w14:paraId="380E21F4">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（2）投标人须知</w:t>
      </w:r>
    </w:p>
    <w:p w14:paraId="338FF623">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（3）合同文本</w:t>
      </w:r>
    </w:p>
    <w:p w14:paraId="754AA05D">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（4）采购需求</w:t>
      </w:r>
    </w:p>
    <w:p w14:paraId="6A139069">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（5）评标方法与评标标准</w:t>
      </w:r>
    </w:p>
    <w:p w14:paraId="2234FBBB">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（6）投标文件格式</w:t>
      </w:r>
    </w:p>
    <w:p w14:paraId="5F132E55">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请仔细检查招标文件是否齐全，如有缺漏请立即与招标代理机构联系解决。</w:t>
      </w:r>
    </w:p>
    <w:p w14:paraId="0D056ED7">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6.2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301FCEB4">
      <w:pPr>
        <w:pStyle w:val="14"/>
        <w:tabs>
          <w:tab w:val="left" w:pos="901"/>
        </w:tabs>
        <w:spacing w:beforeAutospacing="0" w:afterAutospacing="0" w:line="360" w:lineRule="auto"/>
        <w:ind w:firstLine="480"/>
        <w:jc w:val="both"/>
        <w:rPr>
          <w:rFonts w:ascii="宋体" w:hAnsi="宋体" w:eastAsia="宋体" w:cs="宋体"/>
          <w:b/>
          <w:bCs/>
          <w:color w:val="000000"/>
        </w:rPr>
      </w:pPr>
      <w:bookmarkStart w:id="75" w:name="_Toc20823283"/>
      <w:bookmarkStart w:id="76" w:name="_Toc513029211"/>
      <w:bookmarkStart w:id="77" w:name="_Toc16938527"/>
      <w:bookmarkStart w:id="78" w:name="_Toc462564070"/>
      <w:r>
        <w:rPr>
          <w:rFonts w:hint="eastAsia" w:ascii="宋体" w:hAnsi="宋体" w:eastAsia="宋体" w:cs="宋体"/>
          <w:b/>
          <w:bCs/>
          <w:color w:val="000000"/>
        </w:rPr>
        <w:t>7、招标文件的澄清</w:t>
      </w:r>
      <w:bookmarkEnd w:id="75"/>
      <w:bookmarkEnd w:id="76"/>
      <w:bookmarkEnd w:id="77"/>
      <w:bookmarkEnd w:id="78"/>
    </w:p>
    <w:p w14:paraId="6C810F3A">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7.1 任何要求对招标文件进行澄清的投标人，应在投标截止期十日前按招标公告中的通讯地址，以书面形式通知招标代理机构。</w:t>
      </w:r>
    </w:p>
    <w:p w14:paraId="184F86BD">
      <w:pPr>
        <w:pStyle w:val="14"/>
        <w:tabs>
          <w:tab w:val="left" w:pos="901"/>
        </w:tabs>
        <w:spacing w:beforeAutospacing="0" w:afterAutospacing="0" w:line="360" w:lineRule="auto"/>
        <w:ind w:firstLine="480"/>
        <w:jc w:val="both"/>
        <w:rPr>
          <w:rFonts w:ascii="宋体" w:hAnsi="宋体" w:eastAsia="宋体" w:cs="宋体"/>
          <w:b/>
          <w:bCs/>
          <w:color w:val="000000"/>
        </w:rPr>
      </w:pPr>
      <w:bookmarkStart w:id="79" w:name="_Toc20823284"/>
      <w:bookmarkStart w:id="80" w:name="_Toc462564071"/>
      <w:bookmarkStart w:id="81" w:name="_Toc16938528"/>
      <w:bookmarkStart w:id="82" w:name="_Toc513029212"/>
      <w:r>
        <w:rPr>
          <w:rFonts w:hint="eastAsia" w:ascii="宋体" w:hAnsi="宋体" w:eastAsia="宋体" w:cs="宋体"/>
          <w:b/>
          <w:bCs/>
          <w:color w:val="000000"/>
        </w:rPr>
        <w:t>8、招标文件的修改</w:t>
      </w:r>
      <w:bookmarkEnd w:id="79"/>
      <w:bookmarkEnd w:id="80"/>
      <w:bookmarkEnd w:id="81"/>
      <w:bookmarkEnd w:id="82"/>
    </w:p>
    <w:p w14:paraId="0368FFD9">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8.1 在投标截止时间前，采购人可以对招标文件进行修改。</w:t>
      </w:r>
    </w:p>
    <w:p w14:paraId="511D199F">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8.2 采购人有权按照法定的要求推迟投标截止日期和开标日期。</w:t>
      </w:r>
    </w:p>
    <w:p w14:paraId="7D81A515">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8.3 招标文件的修改将在中国政府采购网、江苏政府采购网、盐城市政府采购网公布，补充文件将作为招标文件的组成部分，并对投标人具有约束力。</w:t>
      </w:r>
    </w:p>
    <w:p w14:paraId="7FEA63B1">
      <w:pPr>
        <w:pStyle w:val="14"/>
        <w:tabs>
          <w:tab w:val="left" w:pos="901"/>
        </w:tabs>
        <w:spacing w:beforeAutospacing="0" w:afterAutospacing="0" w:line="360" w:lineRule="auto"/>
        <w:ind w:firstLine="480"/>
        <w:jc w:val="both"/>
        <w:rPr>
          <w:rFonts w:ascii="宋体" w:hAnsi="宋体" w:eastAsia="宋体" w:cs="宋体"/>
          <w:b/>
          <w:bCs/>
          <w:color w:val="000000"/>
        </w:rPr>
      </w:pPr>
      <w:bookmarkStart w:id="83" w:name="_Toc513029213"/>
      <w:bookmarkStart w:id="84" w:name="_Toc462564072"/>
      <w:bookmarkStart w:id="85" w:name="_Toc16938529"/>
      <w:bookmarkStart w:id="86" w:name="_Toc120614216"/>
      <w:bookmarkStart w:id="87" w:name="_Toc20823285"/>
      <w:r>
        <w:rPr>
          <w:rFonts w:hint="eastAsia" w:ascii="宋体" w:hAnsi="宋体" w:eastAsia="宋体" w:cs="宋体"/>
          <w:b/>
          <w:bCs/>
          <w:color w:val="000000"/>
        </w:rPr>
        <w:t>三、投标文件的编制</w:t>
      </w:r>
      <w:bookmarkEnd w:id="83"/>
      <w:bookmarkEnd w:id="84"/>
      <w:bookmarkEnd w:id="85"/>
      <w:bookmarkEnd w:id="86"/>
      <w:bookmarkEnd w:id="87"/>
    </w:p>
    <w:p w14:paraId="7C6AD958">
      <w:pPr>
        <w:pStyle w:val="14"/>
        <w:tabs>
          <w:tab w:val="left" w:pos="901"/>
        </w:tabs>
        <w:spacing w:beforeAutospacing="0" w:afterAutospacing="0" w:line="360" w:lineRule="auto"/>
        <w:ind w:firstLine="480"/>
        <w:jc w:val="both"/>
        <w:rPr>
          <w:rFonts w:ascii="宋体" w:hAnsi="宋体" w:eastAsia="宋体" w:cs="宋体"/>
          <w:color w:val="000000"/>
        </w:rPr>
      </w:pPr>
      <w:bookmarkStart w:id="88" w:name="_Toc462564073"/>
      <w:bookmarkStart w:id="89" w:name="_Toc16938530"/>
      <w:bookmarkStart w:id="90" w:name="_Toc20823286"/>
      <w:bookmarkStart w:id="91" w:name="_Toc513029214"/>
      <w:r>
        <w:rPr>
          <w:rFonts w:hint="eastAsia" w:ascii="宋体" w:hAnsi="宋体" w:eastAsia="宋体" w:cs="宋体"/>
          <w:color w:val="000000"/>
        </w:rPr>
        <w:t>9、投标文件的语言及度量衡单位</w:t>
      </w:r>
      <w:bookmarkEnd w:id="88"/>
      <w:bookmarkEnd w:id="89"/>
      <w:bookmarkEnd w:id="90"/>
      <w:bookmarkEnd w:id="91"/>
    </w:p>
    <w:p w14:paraId="714DA280">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9.1 投标人提交的投标文件以及投标人与招标代理机构就有关投标的所有来往通知、函件和文件均应使用简体中文。</w:t>
      </w:r>
    </w:p>
    <w:p w14:paraId="6BBB296F">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9.2 除技术性能另有规定外，投标文件所使用的度量衡单位，均须采用国家法定计量单位。</w:t>
      </w:r>
    </w:p>
    <w:p w14:paraId="25966E7C">
      <w:pPr>
        <w:pStyle w:val="14"/>
        <w:tabs>
          <w:tab w:val="left" w:pos="901"/>
        </w:tabs>
        <w:spacing w:beforeAutospacing="0" w:afterAutospacing="0" w:line="360" w:lineRule="auto"/>
        <w:ind w:firstLine="480"/>
        <w:jc w:val="both"/>
        <w:rPr>
          <w:rFonts w:ascii="宋体" w:hAnsi="宋体" w:eastAsia="宋体" w:cs="宋体"/>
          <w:b/>
          <w:bCs/>
          <w:color w:val="000000"/>
        </w:rPr>
      </w:pPr>
      <w:bookmarkStart w:id="92" w:name="_Toc20823287"/>
      <w:bookmarkStart w:id="93" w:name="_Toc513029215"/>
      <w:bookmarkStart w:id="94" w:name="_Toc16938531"/>
      <w:bookmarkStart w:id="95" w:name="_Toc462564074"/>
      <w:r>
        <w:rPr>
          <w:rFonts w:hint="eastAsia" w:ascii="宋体" w:hAnsi="宋体" w:eastAsia="宋体" w:cs="宋体"/>
          <w:b/>
          <w:bCs/>
          <w:color w:val="000000"/>
        </w:rPr>
        <w:t>10、投标文件构成</w:t>
      </w:r>
      <w:bookmarkEnd w:id="92"/>
      <w:bookmarkEnd w:id="93"/>
      <w:bookmarkEnd w:id="94"/>
      <w:bookmarkEnd w:id="95"/>
    </w:p>
    <w:p w14:paraId="6F0E4031">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10.1 投标人编写的投标文件应包括资格证明文件、符合性证明文件、投标分项报价表、技术要求响应及偏离表、商务要求响应及偏离表、其他证明文件、投标函、开标一览表等部分。</w:t>
      </w:r>
    </w:p>
    <w:p w14:paraId="7F2C55ED">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10.2 如标书制作工具中格式和内容与“中国政府采购网”、“江苏政府采购网”、“盐城市政府采购网”发布的招标文件不一致，请以中国政府采购网”、“江苏政府采购网”、“盐城市政府采购网”发布的招标文件为准。</w:t>
      </w:r>
    </w:p>
    <w:p w14:paraId="3D57ED98">
      <w:pPr>
        <w:pStyle w:val="14"/>
        <w:tabs>
          <w:tab w:val="left" w:pos="901"/>
        </w:tabs>
        <w:spacing w:beforeAutospacing="0" w:afterAutospacing="0" w:line="360" w:lineRule="auto"/>
        <w:ind w:firstLine="480"/>
        <w:jc w:val="both"/>
        <w:rPr>
          <w:rFonts w:ascii="宋体" w:hAnsi="宋体" w:eastAsia="宋体" w:cs="宋体"/>
          <w:b/>
          <w:bCs/>
          <w:color w:val="000000"/>
        </w:rPr>
      </w:pPr>
      <w:bookmarkStart w:id="96" w:name="_Toc14577354"/>
      <w:bookmarkStart w:id="97" w:name="_Toc513029219"/>
      <w:bookmarkStart w:id="98" w:name="_Toc14577357"/>
      <w:bookmarkStart w:id="99" w:name="_Toc14577355"/>
      <w:bookmarkStart w:id="100" w:name="_Toc49090509"/>
      <w:bookmarkStart w:id="101" w:name="_Toc49090508"/>
      <w:bookmarkStart w:id="102" w:name="_Toc49090507"/>
      <w:bookmarkStart w:id="103" w:name="_Toc513029216"/>
      <w:bookmarkStart w:id="104" w:name="_Hlt26670360"/>
      <w:bookmarkStart w:id="105" w:name="_Hlt26954838"/>
      <w:bookmarkStart w:id="106" w:name="_Hlt26668975"/>
      <w:r>
        <w:rPr>
          <w:rFonts w:hint="eastAsia" w:ascii="宋体" w:hAnsi="宋体" w:eastAsia="宋体" w:cs="宋体"/>
          <w:b/>
          <w:bCs/>
          <w:color w:val="000000"/>
        </w:rPr>
        <w:t>11、证明投标人及投标标的符合招标文件规定的文件</w:t>
      </w:r>
      <w:bookmarkEnd w:id="96"/>
      <w:bookmarkEnd w:id="97"/>
      <w:bookmarkEnd w:id="98"/>
      <w:bookmarkEnd w:id="99"/>
      <w:bookmarkEnd w:id="100"/>
      <w:bookmarkEnd w:id="101"/>
      <w:bookmarkEnd w:id="102"/>
      <w:bookmarkEnd w:id="103"/>
    </w:p>
    <w:p w14:paraId="00557ADC">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11.1 投标人应按照招标文件要求提交证明文件，证明其及投标标的符合招标文件规定。</w:t>
      </w:r>
    </w:p>
    <w:p w14:paraId="1DA9026F">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11.2招标文件对证明文件无明确形式要求的，证明文件可以以文字资料、图纸和数据等形式提交。</w:t>
      </w:r>
    </w:p>
    <w:p w14:paraId="65FAA280">
      <w:pPr>
        <w:pStyle w:val="14"/>
        <w:tabs>
          <w:tab w:val="left" w:pos="901"/>
        </w:tabs>
        <w:spacing w:beforeAutospacing="0" w:afterAutospacing="0" w:line="360" w:lineRule="auto"/>
        <w:ind w:firstLine="480"/>
        <w:jc w:val="both"/>
        <w:rPr>
          <w:rFonts w:ascii="宋体" w:hAnsi="宋体" w:eastAsia="宋体" w:cs="宋体"/>
          <w:b/>
          <w:bCs/>
          <w:color w:val="000000"/>
        </w:rPr>
      </w:pPr>
      <w:r>
        <w:rPr>
          <w:rFonts w:hint="eastAsia" w:ascii="宋体" w:hAnsi="宋体" w:eastAsia="宋体" w:cs="宋体"/>
          <w:b/>
          <w:bCs/>
          <w:color w:val="000000"/>
        </w:rPr>
        <w:t>12、投标分项报价表</w:t>
      </w:r>
    </w:p>
    <w:p w14:paraId="7AED567F">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12.1 投标人应按照招标文件规定格式填报投标分项报价表。</w:t>
      </w:r>
    </w:p>
    <w:p w14:paraId="1DAB491B">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12.2投标货币。投标文件中的单价和总价无特殊规定的采用人民币报价，以元为单位标注。招标文件中另有规定的按规定执行。</w:t>
      </w:r>
    </w:p>
    <w:p w14:paraId="27AB3861">
      <w:pPr>
        <w:pStyle w:val="14"/>
        <w:tabs>
          <w:tab w:val="left" w:pos="901"/>
        </w:tabs>
        <w:spacing w:beforeAutospacing="0" w:afterAutospacing="0" w:line="360" w:lineRule="auto"/>
        <w:ind w:firstLine="480"/>
        <w:jc w:val="both"/>
        <w:rPr>
          <w:rFonts w:ascii="宋体" w:hAnsi="宋体" w:eastAsia="宋体" w:cs="宋体"/>
          <w:color w:val="000000"/>
        </w:rPr>
      </w:pPr>
      <w:bookmarkStart w:id="107" w:name="_Hlt26670486"/>
      <w:bookmarkStart w:id="108" w:name="_Hlt26954846"/>
      <w:bookmarkStart w:id="109" w:name="_Hlt26670482"/>
      <w:bookmarkStart w:id="110" w:name="_Hlt26954848"/>
      <w:bookmarkStart w:id="111" w:name="_Hlt26954731"/>
      <w:r>
        <w:rPr>
          <w:rFonts w:hint="eastAsia" w:ascii="宋体" w:hAnsi="宋体" w:eastAsia="宋体" w:cs="宋体"/>
          <w:color w:val="000000"/>
        </w:rPr>
        <w:t>13、技术要求响应及偏离表、商务要求响应及偏离表</w:t>
      </w:r>
    </w:p>
    <w:p w14:paraId="202D4F25">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13.1投标人需对招标文件中的技术要求与商务要求逐项作出响应或偏离，并说明原因。</w:t>
      </w:r>
    </w:p>
    <w:p w14:paraId="555A82E0">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13.2 投标人可在投标文件中提供认为需要的其他技术文件或说明。</w:t>
      </w:r>
    </w:p>
    <w:p w14:paraId="107947E2">
      <w:pPr>
        <w:pStyle w:val="14"/>
        <w:tabs>
          <w:tab w:val="left" w:pos="901"/>
        </w:tabs>
        <w:spacing w:beforeAutospacing="0" w:afterAutospacing="0" w:line="360" w:lineRule="auto"/>
        <w:ind w:firstLine="480"/>
        <w:jc w:val="both"/>
        <w:rPr>
          <w:rFonts w:ascii="宋体" w:hAnsi="宋体" w:eastAsia="宋体" w:cs="宋体"/>
          <w:b/>
          <w:bCs/>
          <w:color w:val="000000"/>
        </w:rPr>
      </w:pPr>
      <w:r>
        <w:rPr>
          <w:rFonts w:hint="eastAsia" w:ascii="宋体" w:hAnsi="宋体" w:eastAsia="宋体" w:cs="宋体"/>
          <w:b/>
          <w:bCs/>
          <w:color w:val="000000"/>
        </w:rPr>
        <w:t>14、服务承诺、培训计划、人员安排及其他</w:t>
      </w:r>
    </w:p>
    <w:p w14:paraId="786750EC">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14.1 投标人需根据招标文件要求提供有关售后服务的管理制度，售后服务机构的分布情况，售后服务人员的数量、素质、技术水平及售后服务的反应能力等。</w:t>
      </w:r>
    </w:p>
    <w:p w14:paraId="7648F9DB">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14.2 投标人需根据招标文件要求提供培训计划。</w:t>
      </w:r>
    </w:p>
    <w:p w14:paraId="7619A00B">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14.3投标人需根据招标文件要求提供所投标的的主要组成部分、功能设计、实现思路及关键技术等。</w:t>
      </w:r>
    </w:p>
    <w:p w14:paraId="2BA2CA45">
      <w:pPr>
        <w:pStyle w:val="14"/>
        <w:tabs>
          <w:tab w:val="left" w:pos="901"/>
        </w:tabs>
        <w:spacing w:beforeAutospacing="0" w:afterAutospacing="0" w:line="360" w:lineRule="auto"/>
        <w:ind w:firstLine="480"/>
        <w:jc w:val="both"/>
        <w:rPr>
          <w:rFonts w:ascii="宋体" w:hAnsi="宋体" w:eastAsia="宋体" w:cs="宋体"/>
          <w:b/>
          <w:bCs/>
          <w:color w:val="000000"/>
        </w:rPr>
      </w:pPr>
      <w:bookmarkStart w:id="112" w:name="_Toc14577359"/>
      <w:bookmarkStart w:id="113" w:name="_Toc49090510"/>
      <w:r>
        <w:rPr>
          <w:rFonts w:hint="eastAsia" w:ascii="宋体" w:hAnsi="宋体" w:eastAsia="宋体" w:cs="宋体"/>
          <w:b/>
          <w:bCs/>
          <w:color w:val="000000"/>
        </w:rPr>
        <w:t>15、投标函和开标一览表</w:t>
      </w:r>
      <w:bookmarkEnd w:id="112"/>
      <w:bookmarkEnd w:id="113"/>
    </w:p>
    <w:p w14:paraId="0D431E7E">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15.1 投标人应按照招标文件中提供的格式完整、正确填写投标函、开标一览表。</w:t>
      </w:r>
    </w:p>
    <w:p w14:paraId="19586D0C">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15.2 对于采用货币报价的项目，开标一览表中的投标总报价应与投标分项报价表中的投标总报价一致，如不一致，不作为无效投标处理，但评标时按开标一览表中价格为准。</w:t>
      </w:r>
    </w:p>
    <w:p w14:paraId="0A3A9AB8">
      <w:pPr>
        <w:pStyle w:val="14"/>
        <w:tabs>
          <w:tab w:val="left" w:pos="901"/>
        </w:tabs>
        <w:spacing w:beforeAutospacing="0" w:afterAutospacing="0" w:line="360" w:lineRule="auto"/>
        <w:ind w:firstLine="480"/>
        <w:jc w:val="both"/>
        <w:rPr>
          <w:rFonts w:ascii="宋体" w:hAnsi="宋体" w:eastAsia="宋体" w:cs="宋体"/>
          <w:b/>
          <w:bCs/>
          <w:color w:val="000000"/>
        </w:rPr>
      </w:pPr>
      <w:bookmarkStart w:id="114" w:name="_Toc14577360"/>
      <w:bookmarkStart w:id="115" w:name="_Toc49090511"/>
      <w:r>
        <w:rPr>
          <w:rFonts w:hint="eastAsia" w:ascii="宋体" w:hAnsi="宋体" w:eastAsia="宋体" w:cs="宋体"/>
          <w:b/>
          <w:bCs/>
          <w:color w:val="000000"/>
        </w:rPr>
        <w:t>16、投标有效期</w:t>
      </w:r>
      <w:bookmarkEnd w:id="114"/>
      <w:bookmarkEnd w:id="115"/>
    </w:p>
    <w:p w14:paraId="7FA0981B">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16.1投标有效期为招标代理机构规定的开标之日后六十（60）天。投标有效期比规定短的将被视为未实质性响应招标文件而予以拒绝。</w:t>
      </w:r>
    </w:p>
    <w:p w14:paraId="7E2C30A6">
      <w:pPr>
        <w:pStyle w:val="14"/>
        <w:tabs>
          <w:tab w:val="left" w:pos="901"/>
        </w:tabs>
        <w:spacing w:beforeAutospacing="0" w:afterAutospacing="0" w:line="360" w:lineRule="auto"/>
        <w:ind w:firstLine="480"/>
        <w:jc w:val="both"/>
        <w:rPr>
          <w:rFonts w:ascii="宋体" w:hAnsi="宋体" w:eastAsia="宋体" w:cs="宋体"/>
          <w:b/>
          <w:bCs/>
          <w:color w:val="000000"/>
        </w:rPr>
      </w:pPr>
      <w:r>
        <w:rPr>
          <w:rFonts w:hint="eastAsia" w:ascii="宋体" w:hAnsi="宋体" w:eastAsia="宋体" w:cs="宋体"/>
          <w:b/>
          <w:bCs/>
          <w:color w:val="000000"/>
        </w:rPr>
        <w:t>17、投标有效期的延长</w:t>
      </w:r>
    </w:p>
    <w:p w14:paraId="39015689">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17.1在特殊情况下，采购人于原投标有效期满之前，可向投标人提出延长投标有效期的要求。这种要求与答复均应采用书面形式。投标人可以拒绝采购人的这一要求而放弃投标，同意延长投标有效期的投标人既不能要求也不允许修改其投标文件。受投标有效期约束的所有权利与义务均延长至新的有效期。</w:t>
      </w:r>
    </w:p>
    <w:p w14:paraId="2F4EDAA4">
      <w:pPr>
        <w:pStyle w:val="14"/>
        <w:tabs>
          <w:tab w:val="left" w:pos="901"/>
        </w:tabs>
        <w:spacing w:beforeAutospacing="0" w:afterAutospacing="0" w:line="360" w:lineRule="auto"/>
        <w:ind w:firstLine="480"/>
        <w:jc w:val="both"/>
        <w:rPr>
          <w:rFonts w:ascii="宋体" w:hAnsi="宋体" w:eastAsia="宋体" w:cs="宋体"/>
          <w:b/>
          <w:bCs/>
          <w:color w:val="000000"/>
        </w:rPr>
      </w:pPr>
      <w:bookmarkStart w:id="116" w:name="_Toc120614217"/>
      <w:bookmarkStart w:id="117" w:name="_Toc513029224"/>
      <w:bookmarkStart w:id="118" w:name="_Toc20823296"/>
      <w:bookmarkStart w:id="119" w:name="_Toc16938540"/>
      <w:bookmarkStart w:id="120" w:name="_Hlt26954739"/>
      <w:bookmarkStart w:id="121" w:name="_Hlt26954852"/>
      <w:r>
        <w:rPr>
          <w:rFonts w:hint="eastAsia" w:ascii="宋体" w:hAnsi="宋体" w:eastAsia="宋体" w:cs="宋体"/>
          <w:b/>
          <w:bCs/>
          <w:color w:val="000000"/>
        </w:rPr>
        <w:t>四、投标文件的递交</w:t>
      </w:r>
      <w:bookmarkEnd w:id="116"/>
      <w:bookmarkEnd w:id="117"/>
      <w:bookmarkEnd w:id="118"/>
      <w:bookmarkEnd w:id="119"/>
    </w:p>
    <w:p w14:paraId="6AE9B2A0">
      <w:pPr>
        <w:pStyle w:val="14"/>
        <w:tabs>
          <w:tab w:val="left" w:pos="901"/>
        </w:tabs>
        <w:spacing w:beforeAutospacing="0" w:afterAutospacing="0" w:line="360" w:lineRule="auto"/>
        <w:ind w:firstLine="480"/>
        <w:jc w:val="both"/>
        <w:rPr>
          <w:rFonts w:ascii="宋体" w:hAnsi="宋体" w:eastAsia="宋体" w:cs="宋体"/>
          <w:b/>
          <w:bCs/>
          <w:color w:val="000000"/>
        </w:rPr>
      </w:pPr>
      <w:bookmarkStart w:id="122" w:name="_Toc462564084"/>
      <w:bookmarkStart w:id="123" w:name="_Toc513029225"/>
      <w:bookmarkStart w:id="124" w:name="_Toc16938541"/>
      <w:bookmarkStart w:id="125" w:name="_Toc20823297"/>
      <w:r>
        <w:rPr>
          <w:rFonts w:hint="eastAsia" w:ascii="宋体" w:hAnsi="宋体" w:eastAsia="宋体" w:cs="宋体"/>
          <w:b/>
          <w:bCs/>
          <w:color w:val="000000"/>
        </w:rPr>
        <w:t>18、电子投标文件</w:t>
      </w:r>
      <w:bookmarkEnd w:id="122"/>
      <w:bookmarkEnd w:id="123"/>
      <w:bookmarkEnd w:id="124"/>
      <w:bookmarkEnd w:id="125"/>
      <w:r>
        <w:rPr>
          <w:rFonts w:hint="eastAsia" w:ascii="宋体" w:hAnsi="宋体" w:eastAsia="宋体" w:cs="宋体"/>
          <w:b/>
          <w:bCs/>
          <w:color w:val="000000"/>
        </w:rPr>
        <w:t>的递交</w:t>
      </w:r>
    </w:p>
    <w:p w14:paraId="2021EBBF">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18.1投标人应当按照《操作手册》规定，在投标截止时间前制作并上传电子投标</w:t>
      </w:r>
    </w:p>
    <w:p w14:paraId="5B3758AF">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文件。</w:t>
      </w:r>
      <w:bookmarkStart w:id="126" w:name="_Toc20823298"/>
      <w:bookmarkEnd w:id="126"/>
      <w:bookmarkStart w:id="127" w:name="_Toc16938542"/>
      <w:bookmarkEnd w:id="127"/>
      <w:bookmarkStart w:id="128" w:name="_Toc513029226"/>
    </w:p>
    <w:p w14:paraId="162A7D8D">
      <w:pPr>
        <w:pStyle w:val="14"/>
        <w:tabs>
          <w:tab w:val="left" w:pos="901"/>
        </w:tabs>
        <w:spacing w:beforeAutospacing="0" w:afterAutospacing="0" w:line="360" w:lineRule="auto"/>
        <w:ind w:firstLine="480"/>
        <w:jc w:val="both"/>
        <w:rPr>
          <w:rFonts w:ascii="宋体" w:hAnsi="宋体" w:eastAsia="宋体" w:cs="宋体"/>
          <w:b/>
          <w:bCs/>
          <w:color w:val="000000"/>
        </w:rPr>
      </w:pPr>
      <w:r>
        <w:rPr>
          <w:rFonts w:hint="eastAsia" w:ascii="宋体" w:hAnsi="宋体" w:eastAsia="宋体" w:cs="宋体"/>
          <w:b/>
          <w:bCs/>
          <w:color w:val="000000"/>
        </w:rPr>
        <w:t>19、投标截止日期</w:t>
      </w:r>
    </w:p>
    <w:p w14:paraId="7C0BAAFE">
      <w:pPr>
        <w:pStyle w:val="14"/>
        <w:tabs>
          <w:tab w:val="left" w:pos="901"/>
        </w:tabs>
        <w:spacing w:beforeAutospacing="0" w:afterAutospacing="0" w:line="360" w:lineRule="auto"/>
        <w:ind w:firstLine="480"/>
        <w:jc w:val="both"/>
        <w:rPr>
          <w:rFonts w:ascii="宋体" w:hAnsi="宋体" w:eastAsia="宋体" w:cs="宋体"/>
          <w:i/>
          <w:iCs/>
          <w:color w:val="000000"/>
          <w:u w:val="single"/>
        </w:rPr>
      </w:pPr>
      <w:r>
        <w:rPr>
          <w:rFonts w:hint="eastAsia" w:ascii="宋体" w:hAnsi="宋体" w:eastAsia="宋体" w:cs="宋体"/>
          <w:i/>
          <w:iCs/>
          <w:color w:val="000000"/>
          <w:u w:val="single"/>
        </w:rPr>
        <w:t>19.1 投标人上传电子投标文件的时间不得迟于招标公告中规定的投标截止时间。</w:t>
      </w:r>
    </w:p>
    <w:p w14:paraId="0DF72116">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投标人应充分考虑到网络环境、网络带宽等风险因素，如因投标人自身原因造成的电子投标文件上传不成功的按照本招标文件第二章第27.1.2条规定做无效投标处理。</w:t>
      </w:r>
    </w:p>
    <w:p w14:paraId="1A43A593">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19.2 采购人可以按照规定，通过修改招标文件酌情延长投标截止日期，在此情况下，投标人的所有权利和义务以及投标人受制的截止日期均应以延长后新的截止日期为准。</w:t>
      </w:r>
    </w:p>
    <w:p w14:paraId="2E98B57D">
      <w:pPr>
        <w:pStyle w:val="14"/>
        <w:tabs>
          <w:tab w:val="left" w:pos="901"/>
        </w:tabs>
        <w:spacing w:beforeAutospacing="0" w:afterAutospacing="0" w:line="360" w:lineRule="auto"/>
        <w:ind w:firstLine="480"/>
        <w:jc w:val="both"/>
        <w:rPr>
          <w:rFonts w:ascii="宋体" w:hAnsi="宋体" w:eastAsia="宋体" w:cs="宋体"/>
          <w:b/>
          <w:bCs/>
          <w:color w:val="000000"/>
        </w:rPr>
      </w:pPr>
      <w:bookmarkStart w:id="129" w:name="_Toc20823299"/>
      <w:bookmarkStart w:id="130" w:name="_Toc513029227"/>
      <w:bookmarkStart w:id="131" w:name="_Toc16938543"/>
      <w:r>
        <w:rPr>
          <w:rFonts w:hint="eastAsia" w:ascii="宋体" w:hAnsi="宋体" w:eastAsia="宋体" w:cs="宋体"/>
          <w:b/>
          <w:bCs/>
          <w:color w:val="000000"/>
        </w:rPr>
        <w:t>20、投标文件</w:t>
      </w:r>
      <w:bookmarkEnd w:id="129"/>
      <w:bookmarkEnd w:id="130"/>
      <w:bookmarkEnd w:id="131"/>
      <w:r>
        <w:rPr>
          <w:rFonts w:hint="eastAsia" w:ascii="宋体" w:hAnsi="宋体" w:eastAsia="宋体" w:cs="宋体"/>
          <w:b/>
          <w:bCs/>
          <w:color w:val="000000"/>
        </w:rPr>
        <w:t>的拒收</w:t>
      </w:r>
    </w:p>
    <w:p w14:paraId="5635CE23">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20.1 招标代理机构拒绝接收在其规定的投标截止时间后上传的任何投标文件。</w:t>
      </w:r>
    </w:p>
    <w:p w14:paraId="7FADA936">
      <w:pPr>
        <w:pStyle w:val="14"/>
        <w:tabs>
          <w:tab w:val="left" w:pos="901"/>
        </w:tabs>
        <w:spacing w:beforeAutospacing="0" w:afterAutospacing="0" w:line="360" w:lineRule="auto"/>
        <w:ind w:firstLine="480"/>
        <w:jc w:val="both"/>
        <w:rPr>
          <w:rFonts w:ascii="宋体" w:hAnsi="宋体" w:eastAsia="宋体" w:cs="宋体"/>
          <w:b/>
          <w:bCs/>
          <w:color w:val="000000"/>
        </w:rPr>
      </w:pPr>
      <w:bookmarkStart w:id="132" w:name="_Toc513029228"/>
      <w:bookmarkStart w:id="133" w:name="_Toc20823300"/>
      <w:bookmarkStart w:id="134" w:name="_Toc16938544"/>
      <w:r>
        <w:rPr>
          <w:rFonts w:hint="eastAsia" w:ascii="宋体" w:hAnsi="宋体" w:eastAsia="宋体" w:cs="宋体"/>
          <w:b/>
          <w:bCs/>
          <w:color w:val="000000"/>
        </w:rPr>
        <w:t>21、投标文件的撤回和修改</w:t>
      </w:r>
      <w:bookmarkEnd w:id="132"/>
      <w:bookmarkEnd w:id="133"/>
      <w:bookmarkEnd w:id="134"/>
    </w:p>
    <w:p w14:paraId="3F73EC07">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21.1 投标文件的撤回</w:t>
      </w:r>
    </w:p>
    <w:p w14:paraId="40BBBA03">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21.1.1 电子投标文件的撤回</w:t>
      </w:r>
    </w:p>
    <w:p w14:paraId="0F0DDA46">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投标人可在投标截止时间前，撤回其电子投标文件，具体操作方法见《操作手册》。</w:t>
      </w:r>
    </w:p>
    <w:p w14:paraId="0470E5C3">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21.1.2 投标人撤回电子投标文件，则认为其不再参与本项目投标活动。</w:t>
      </w:r>
    </w:p>
    <w:p w14:paraId="36451FE9">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21.2 投标文件的修改</w:t>
      </w:r>
    </w:p>
    <w:p w14:paraId="06FE04A7">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21.2.1投标人可在投标截止时间前，对其电子投标文件进行修改，具体操作方法见《操作手册》。</w:t>
      </w:r>
    </w:p>
    <w:p w14:paraId="4D05F0F5">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21.2.2 在投标截止时间之后，投标人不得对其电子投标文件作任何修改。</w:t>
      </w:r>
    </w:p>
    <w:p w14:paraId="69AF6B62">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21.3 在投标截止时间至招标文件中规定的投标有效期满之间的这段时间内，投标人不得撤回其投标。</w:t>
      </w:r>
    </w:p>
    <w:p w14:paraId="41A6F997">
      <w:pPr>
        <w:pStyle w:val="14"/>
        <w:tabs>
          <w:tab w:val="left" w:pos="901"/>
        </w:tabs>
        <w:spacing w:beforeAutospacing="0" w:afterAutospacing="0" w:line="360" w:lineRule="auto"/>
        <w:ind w:firstLine="480"/>
        <w:jc w:val="both"/>
        <w:rPr>
          <w:rFonts w:ascii="宋体" w:hAnsi="宋体" w:eastAsia="宋体" w:cs="宋体"/>
          <w:b/>
          <w:bCs/>
          <w:color w:val="000000"/>
        </w:rPr>
      </w:pPr>
      <w:bookmarkStart w:id="135" w:name="_Toc16938545"/>
      <w:bookmarkStart w:id="136" w:name="_Toc20823301"/>
      <w:bookmarkStart w:id="137" w:name="_Toc120614218"/>
      <w:bookmarkStart w:id="138" w:name="_Toc513029229"/>
      <w:r>
        <w:rPr>
          <w:rFonts w:hint="eastAsia" w:ascii="宋体" w:hAnsi="宋体" w:eastAsia="宋体" w:cs="宋体"/>
          <w:b/>
          <w:bCs/>
          <w:color w:val="000000"/>
        </w:rPr>
        <w:t>五、开标与评标</w:t>
      </w:r>
      <w:bookmarkEnd w:id="135"/>
      <w:bookmarkEnd w:id="136"/>
      <w:bookmarkEnd w:id="137"/>
      <w:bookmarkEnd w:id="138"/>
    </w:p>
    <w:p w14:paraId="1121C6DC">
      <w:pPr>
        <w:pStyle w:val="14"/>
        <w:tabs>
          <w:tab w:val="left" w:pos="901"/>
        </w:tabs>
        <w:spacing w:beforeAutospacing="0" w:afterAutospacing="0" w:line="360" w:lineRule="auto"/>
        <w:ind w:firstLine="480"/>
        <w:jc w:val="both"/>
        <w:rPr>
          <w:rFonts w:ascii="宋体" w:hAnsi="宋体" w:eastAsia="宋体" w:cs="宋体"/>
          <w:b/>
          <w:bCs/>
          <w:color w:val="000000"/>
        </w:rPr>
      </w:pPr>
      <w:bookmarkStart w:id="139" w:name="_Toc513029230"/>
      <w:bookmarkStart w:id="140" w:name="_Toc20823302"/>
      <w:bookmarkStart w:id="141" w:name="_Toc16938546"/>
      <w:r>
        <w:rPr>
          <w:rFonts w:hint="eastAsia" w:ascii="宋体" w:hAnsi="宋体" w:eastAsia="宋体" w:cs="宋体"/>
          <w:b/>
          <w:bCs/>
          <w:color w:val="000000"/>
        </w:rPr>
        <w:t>22、开标</w:t>
      </w:r>
      <w:bookmarkEnd w:id="139"/>
      <w:bookmarkEnd w:id="140"/>
      <w:bookmarkEnd w:id="141"/>
    </w:p>
    <w:p w14:paraId="20165548">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22.1 招标代理机构将在招标公告中规定的时间和地点组织公开开标。投标人应当按照《操作手册》规定，参加开标活动和在苏采云系统规定的时间内对投标文件进行解密。</w:t>
      </w:r>
    </w:p>
    <w:p w14:paraId="69C4E662">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22.2开标仪式由招标代理机构组织。苏采云系统将自动对项目进行开标，并宣布各投标人名称和投标价格。</w:t>
      </w:r>
    </w:p>
    <w:p w14:paraId="415FE4E0">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22.3投标人在开标过程中涉及到的投标文件解密、开标结果确认等工作，应按照《操作手册》规定执行。</w:t>
      </w:r>
    </w:p>
    <w:p w14:paraId="1B6BF1BB">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22.4投标人如果对开标过程和开标记录有疑义，应当根据《操作手册》规定提出，如苏采云系统中《开标记录表》宣布后5分钟内未提出的，视同认可开标结果。</w:t>
      </w:r>
    </w:p>
    <w:p w14:paraId="129DB7C9">
      <w:pPr>
        <w:pStyle w:val="14"/>
        <w:tabs>
          <w:tab w:val="left" w:pos="901"/>
        </w:tabs>
        <w:spacing w:beforeAutospacing="0" w:afterAutospacing="0" w:line="360" w:lineRule="auto"/>
        <w:ind w:firstLine="480"/>
        <w:jc w:val="both"/>
        <w:rPr>
          <w:rFonts w:ascii="宋体" w:hAnsi="宋体" w:eastAsia="宋体" w:cs="宋体"/>
          <w:color w:val="000000"/>
        </w:rPr>
      </w:pPr>
      <w:bookmarkStart w:id="142" w:name="_Toc16938547"/>
      <w:bookmarkStart w:id="143" w:name="_Toc513029231"/>
      <w:bookmarkStart w:id="144" w:name="_Toc20823303"/>
      <w:r>
        <w:rPr>
          <w:rFonts w:hint="eastAsia" w:ascii="宋体" w:hAnsi="宋体" w:eastAsia="宋体" w:cs="宋体"/>
          <w:color w:val="000000"/>
        </w:rPr>
        <w:t>23、评标委员会</w:t>
      </w:r>
      <w:bookmarkEnd w:id="142"/>
      <w:bookmarkEnd w:id="143"/>
      <w:bookmarkEnd w:id="144"/>
    </w:p>
    <w:p w14:paraId="6F1DEA60">
      <w:pPr>
        <w:pStyle w:val="14"/>
        <w:tabs>
          <w:tab w:val="left" w:pos="901"/>
        </w:tabs>
        <w:spacing w:beforeAutospacing="0" w:afterAutospacing="0" w:line="360" w:lineRule="auto"/>
        <w:ind w:firstLine="480" w:firstLineChars="200"/>
        <w:jc w:val="both"/>
        <w:rPr>
          <w:rFonts w:ascii="宋体" w:hAnsi="宋体" w:eastAsia="宋体" w:cs="宋体"/>
          <w:color w:val="000000"/>
        </w:rPr>
      </w:pPr>
      <w:r>
        <w:rPr>
          <w:rFonts w:hint="eastAsia" w:ascii="宋体" w:hAnsi="宋体" w:eastAsia="宋体" w:cs="宋体"/>
          <w:color w:val="000000"/>
        </w:rPr>
        <w:t>23.1开标后，招标代理机构将立即组织评标委员会（以下简称评委会）进行评标。</w:t>
      </w:r>
    </w:p>
    <w:p w14:paraId="5D0E093D">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23.2 评委会由采购人代表和有关技术、经济等方面的专家组成，且人员构成符合政府采购有关规定。</w:t>
      </w:r>
    </w:p>
    <w:p w14:paraId="7C41D2E3">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23.3评委会独立工作，负责评审所有投标文件并确定中标侯选人。</w:t>
      </w:r>
    </w:p>
    <w:p w14:paraId="5CBC7CE2">
      <w:pPr>
        <w:pStyle w:val="14"/>
        <w:tabs>
          <w:tab w:val="left" w:pos="901"/>
        </w:tabs>
        <w:spacing w:beforeAutospacing="0" w:afterAutospacing="0" w:line="360" w:lineRule="auto"/>
        <w:ind w:firstLine="480"/>
        <w:jc w:val="both"/>
        <w:rPr>
          <w:rFonts w:ascii="宋体" w:hAnsi="宋体" w:eastAsia="宋体" w:cs="宋体"/>
          <w:b/>
          <w:bCs/>
          <w:color w:val="000000"/>
        </w:rPr>
      </w:pPr>
      <w:r>
        <w:rPr>
          <w:rFonts w:hint="eastAsia" w:ascii="宋体" w:hAnsi="宋体" w:eastAsia="宋体" w:cs="宋体"/>
          <w:b/>
          <w:bCs/>
          <w:color w:val="000000"/>
        </w:rPr>
        <w:t>24．评标过程的保密与公正</w:t>
      </w:r>
    </w:p>
    <w:p w14:paraId="7FDB4BDA">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24.1凡是与审查、澄清、评价和比较投标的有关资料以及授标建议等，采购人、评委、招标代理机构均不得向投标人或与评标无关的其他人员透露。</w:t>
      </w:r>
    </w:p>
    <w:p w14:paraId="59473C5E">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24.2在评标过程中，投标人不得以任何行为影响评标过程，否则其投标文件将被作为无效投标文件。</w:t>
      </w:r>
    </w:p>
    <w:p w14:paraId="19917F85">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24.3 招标代理机构和评标委员会不向未中标的投标人解释未中标原因，也不公布评标过程中的相关细节。</w:t>
      </w:r>
    </w:p>
    <w:p w14:paraId="4FB49B9D">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24.4 采用综合评分法的项目，未中标的投标人可于中标结果公告期限届满之日起通过苏采云系统查看自己的评审得分及排序情况。</w:t>
      </w:r>
      <w:bookmarkStart w:id="145" w:name="_Toc20823304"/>
      <w:bookmarkStart w:id="146" w:name="_Toc16938548"/>
      <w:bookmarkStart w:id="147" w:name="_Toc513029232"/>
    </w:p>
    <w:p w14:paraId="6AE0F2BB">
      <w:pPr>
        <w:pStyle w:val="14"/>
        <w:tabs>
          <w:tab w:val="left" w:pos="901"/>
        </w:tabs>
        <w:spacing w:beforeAutospacing="0" w:afterAutospacing="0" w:line="360" w:lineRule="auto"/>
        <w:ind w:firstLine="480"/>
        <w:jc w:val="both"/>
        <w:rPr>
          <w:rFonts w:ascii="宋体" w:hAnsi="宋体" w:eastAsia="宋体" w:cs="宋体"/>
          <w:b/>
          <w:bCs/>
          <w:color w:val="000000"/>
        </w:rPr>
      </w:pPr>
      <w:r>
        <w:rPr>
          <w:rFonts w:hint="eastAsia" w:ascii="宋体" w:hAnsi="宋体" w:eastAsia="宋体" w:cs="宋体"/>
          <w:b/>
          <w:bCs/>
          <w:color w:val="000000"/>
        </w:rPr>
        <w:t>25．投标文件的澄清</w:t>
      </w:r>
      <w:bookmarkEnd w:id="145"/>
      <w:bookmarkEnd w:id="146"/>
      <w:bookmarkEnd w:id="147"/>
    </w:p>
    <w:p w14:paraId="3464582A">
      <w:pPr>
        <w:pStyle w:val="14"/>
        <w:tabs>
          <w:tab w:val="left" w:pos="901"/>
        </w:tabs>
        <w:spacing w:beforeAutospacing="0" w:afterAutospacing="0" w:line="360" w:lineRule="auto"/>
        <w:ind w:firstLine="480"/>
        <w:jc w:val="both"/>
        <w:rPr>
          <w:rFonts w:ascii="宋体" w:hAnsi="宋体" w:eastAsia="宋体" w:cs="宋体"/>
          <w:color w:val="000000"/>
        </w:rPr>
      </w:pPr>
      <w:bookmarkStart w:id="148" w:name="_Toc20823305"/>
      <w:bookmarkStart w:id="149" w:name="_Toc16938549"/>
      <w:bookmarkStart w:id="150" w:name="_Toc513029233"/>
      <w:r>
        <w:rPr>
          <w:rFonts w:hint="eastAsia" w:ascii="宋体" w:hAnsi="宋体" w:eastAsia="宋体" w:cs="宋体"/>
          <w:color w:val="000000"/>
        </w:rPr>
        <w:t>25.1评标期间，评委会对投标文件中含义不明确、同类问题表述不一致或者有明显文字和计算错误的内容 ，有权要求投标人作出必要的澄清、说明或者补正。</w:t>
      </w:r>
      <w:bookmarkEnd w:id="148"/>
      <w:bookmarkEnd w:id="149"/>
      <w:bookmarkEnd w:id="150"/>
      <w:r>
        <w:rPr>
          <w:rFonts w:hint="eastAsia" w:ascii="宋体" w:hAnsi="宋体" w:eastAsia="宋体" w:cs="宋体"/>
          <w:color w:val="000000"/>
        </w:rPr>
        <w:t>投标人的澄清、说明或者补正不得超出投标文件的范围或者改变投标文件的实质性内容。评标委员会并非对每个投标人都做澄清要求。</w:t>
      </w:r>
    </w:p>
    <w:p w14:paraId="164B5F92">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25.2需要供应商进行澄清、说明和补正的，评委会将通过苏采云系统向供应商发出“澄清要求函”，接到“澄清要求函”的投标人应当按照要求在苏采云系统中提交“澄清响应函”并加盖CA电子公章。澄清、说明和补正的内容作为投标文件的补充部分，具体操作方式见《操作手册》。</w:t>
      </w:r>
    </w:p>
    <w:p w14:paraId="5A8E9D25">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25.3 接到评委会澄清、说明和补正要求的投标人如未按规定做出澄清、说明和补正，其风险由投标人自行承担。</w:t>
      </w:r>
    </w:p>
    <w:p w14:paraId="5F6590B1">
      <w:pPr>
        <w:pStyle w:val="14"/>
        <w:tabs>
          <w:tab w:val="left" w:pos="901"/>
        </w:tabs>
        <w:spacing w:beforeAutospacing="0" w:afterAutospacing="0" w:line="360" w:lineRule="auto"/>
        <w:ind w:firstLine="480"/>
        <w:jc w:val="both"/>
        <w:rPr>
          <w:rFonts w:ascii="宋体" w:hAnsi="宋体" w:eastAsia="宋体" w:cs="宋体"/>
          <w:b/>
          <w:bCs/>
          <w:color w:val="000000"/>
        </w:rPr>
      </w:pPr>
      <w:r>
        <w:rPr>
          <w:rFonts w:hint="eastAsia" w:ascii="宋体" w:hAnsi="宋体" w:eastAsia="宋体" w:cs="宋体"/>
          <w:b/>
          <w:bCs/>
          <w:color w:val="000000"/>
        </w:rPr>
        <w:t>26、对投标文件的初审</w:t>
      </w:r>
    </w:p>
    <w:p w14:paraId="43BC1CE7">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26.1投标文件初审分为资格审查和符合性审查。</w:t>
      </w:r>
    </w:p>
    <w:p w14:paraId="1E37F0F3">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26.1.1 资格审查：依据法律法规和招标文件的规定，由采购人对投标文件中的资格证明文件进行审查。资格审查的结论，采购人以书面形式向评委会进行反馈。</w:t>
      </w:r>
    </w:p>
    <w:p w14:paraId="44A280D2">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采购人在进行资格性审查的同时，将在“信用中国”网站（www.creditchina.gov.cn）查询投标人的信用记录，以确定投标人是否具备投标资格,查询结果留存并归档。</w:t>
      </w:r>
    </w:p>
    <w:p w14:paraId="730D5CDC">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接受联合体的项目，两个以上的自然人、法人或者其他组织组成一个联合体，以一个供应商的身份共同参加政府采购活动的,联合体成员中任何一方存在不良信用记录的，视同联合体存在不良应用记录。</w:t>
      </w:r>
    </w:p>
    <w:p w14:paraId="7A45E601">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26.1.2 符合性审查：依据招标文件的规定，由评委会从投标文件的有效性、完整性和对招标文件的响应程度进行审查，以确定是否对招标文件的实质性要求作出响应。</w:t>
      </w:r>
    </w:p>
    <w:p w14:paraId="5A105938">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26.1.3 未通过资格审查或符合性审查的投标人，招标代理机构将在苏采云系统中告知未通过资格审查或符合性审查的原因，评审结束后，招标代理机构将不再告知未通过资格审查或符合性审查的原因。</w:t>
      </w:r>
    </w:p>
    <w:p w14:paraId="14736C7C">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26.2在详细评标之前，评委会将首先审查每份投标文件是否实质性响应了招标文件的要求。实质性响应的投标应该是与招标文件要求的全部条款、条件和规格相符，没有重大偏离或保留的投标。</w:t>
      </w:r>
    </w:p>
    <w:p w14:paraId="72B4B535">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所谓重大偏离或保留是指与招标文件规定的实质性要求存在负偏离，或者在实质上与招标文件不一致，而且限制了合同中买方和招标代理机构的权利或投标人的义务，纠正这些偏离或保留将会对其他实质性响应要求的投标人的竞争地位产生不公正的影响。重大偏离的认定需经过评委会以少数服从多数的原则作出结论。评委决定投标文件的响应性只根据投标文件本身的内容，而不寻求外部的证据。</w:t>
      </w:r>
    </w:p>
    <w:p w14:paraId="486497F5">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26.3如果投标文件实质上没有响应招标文件的要求，评委会将予以拒绝，投标人不得通过修改或撤销不合要求的偏离或保留而使其投标成为实质性响应的投标。</w:t>
      </w:r>
    </w:p>
    <w:p w14:paraId="0B4B2B04">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26.4评委会将对确定为实质性响应的投标进行进一步审核，看其是否有计算上或累加上的算术错误，修正错误的原则如下：</w:t>
      </w:r>
    </w:p>
    <w:p w14:paraId="03269665">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（1）投标文件中开标一览表内容与投标文件中相应内容不一致的，以开标一览表为准。</w:t>
      </w:r>
    </w:p>
    <w:p w14:paraId="7444B52A">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（2）大写金额和小写金额不一致的，以大写金额为准。</w:t>
      </w:r>
    </w:p>
    <w:p w14:paraId="6A899DB1">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（3）单价金额小数点或者百分比有明显错位的，以开标一览表的总价为准，并修改单价。</w:t>
      </w:r>
    </w:p>
    <w:p w14:paraId="714AFAC3">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（4）总价金额与按单价汇总金额不一致的，以单价金额计算结果为准。</w:t>
      </w:r>
    </w:p>
    <w:p w14:paraId="3BA8968D">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同时出现两种以上错误的，按照前款规定的顺序修正。</w:t>
      </w:r>
    </w:p>
    <w:p w14:paraId="273C2545">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26.5评委会将按上述修正错误的方法调整投标文件中的投标报价，并通过苏采云系统告知投标人，调整后的价格应对投标人具有约束力。如果投标人不接受修正后的价格，则其投标将被拒绝。</w:t>
      </w:r>
    </w:p>
    <w:p w14:paraId="4AE662FC">
      <w:pPr>
        <w:pStyle w:val="14"/>
        <w:tabs>
          <w:tab w:val="left" w:pos="901"/>
        </w:tabs>
        <w:spacing w:beforeAutospacing="0" w:afterAutospacing="0" w:line="360" w:lineRule="auto"/>
        <w:ind w:firstLine="480"/>
        <w:jc w:val="both"/>
        <w:rPr>
          <w:rFonts w:ascii="宋体" w:hAnsi="宋体" w:eastAsia="宋体" w:cs="宋体"/>
          <w:color w:val="000000"/>
        </w:rPr>
      </w:pPr>
      <w:bookmarkStart w:id="151" w:name="_Toc513029234"/>
      <w:bookmarkStart w:id="152" w:name="_Toc16938550"/>
      <w:bookmarkStart w:id="153" w:name="_Toc20823306"/>
      <w:r>
        <w:rPr>
          <w:rFonts w:hint="eastAsia" w:ascii="宋体" w:hAnsi="宋体" w:eastAsia="宋体" w:cs="宋体"/>
          <w:color w:val="000000"/>
        </w:rPr>
        <w:t>26.6采用最低评标价法的采购项目，提供相同品牌产品的不同投标人参加同一合同项下投标的，以其中通过资格审查、符合性审查且报价最低的参加评标；报价相同的，由评标委员会按照招标文件规定的方式（招标文件未规定的通过随机抽取的方式）确定一个参加评标的投标人，其他投标无效。</w:t>
      </w:r>
      <w:bookmarkEnd w:id="151"/>
      <w:bookmarkEnd w:id="152"/>
      <w:bookmarkEnd w:id="153"/>
    </w:p>
    <w:p w14:paraId="7E6733EB">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根据招标文件规定的方式（招标文件未规定的采取随机抽取的方式）确定一个中标候选人，其他同品牌投标人不作为中标候选人。</w:t>
      </w:r>
    </w:p>
    <w:p w14:paraId="08B50F06">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非单一产品采购项目，招标文件中将载明其中的核心产品。多家投标人提供的核心产品品牌相同的，按前两款规定处理。</w:t>
      </w:r>
    </w:p>
    <w:p w14:paraId="542C0633">
      <w:pPr>
        <w:pStyle w:val="14"/>
        <w:tabs>
          <w:tab w:val="left" w:pos="901"/>
        </w:tabs>
        <w:spacing w:beforeAutospacing="0" w:afterAutospacing="0" w:line="360" w:lineRule="auto"/>
        <w:ind w:firstLine="480"/>
        <w:jc w:val="both"/>
        <w:rPr>
          <w:rFonts w:hint="eastAsia" w:ascii="宋体" w:hAnsi="宋体" w:eastAsia="宋体" w:cs="宋体"/>
          <w:color w:val="000000"/>
        </w:rPr>
      </w:pPr>
      <w:r>
        <w:rPr>
          <w:rFonts w:hint="eastAsia" w:ascii="宋体" w:hAnsi="宋体" w:eastAsia="宋体" w:cs="宋体"/>
          <w:color w:val="000000"/>
        </w:rPr>
        <w:t>26.7投标人在开、评标全过程中应保持通讯畅通，及时登录苏采云系统查阅、答复相关信息，并安排专人与招标代理机构及评标委员会联系。</w:t>
      </w:r>
    </w:p>
    <w:p w14:paraId="46705D21">
      <w:pPr>
        <w:pStyle w:val="14"/>
        <w:tabs>
          <w:tab w:val="left" w:pos="901"/>
        </w:tabs>
        <w:spacing w:beforeAutospacing="0" w:afterAutospacing="0" w:line="360" w:lineRule="auto"/>
        <w:ind w:firstLine="480"/>
        <w:jc w:val="both"/>
        <w:rPr>
          <w:rFonts w:ascii="宋体" w:hAnsi="宋体" w:eastAsia="宋体" w:cs="宋体"/>
          <w:b/>
          <w:bCs/>
          <w:color w:val="000000"/>
        </w:rPr>
      </w:pPr>
      <w:r>
        <w:rPr>
          <w:rFonts w:hint="eastAsia" w:ascii="宋体" w:hAnsi="宋体" w:eastAsia="宋体" w:cs="宋体"/>
          <w:b/>
          <w:bCs/>
          <w:color w:val="000000"/>
        </w:rPr>
        <w:t>27、无效投标条款和废标条款</w:t>
      </w:r>
    </w:p>
    <w:p w14:paraId="04F24A05">
      <w:pPr>
        <w:pStyle w:val="14"/>
        <w:tabs>
          <w:tab w:val="left" w:pos="901"/>
        </w:tabs>
        <w:spacing w:beforeAutospacing="0" w:afterAutospacing="0" w:line="360" w:lineRule="auto"/>
        <w:ind w:firstLine="480"/>
        <w:jc w:val="both"/>
        <w:rPr>
          <w:rFonts w:ascii="宋体" w:hAnsi="宋体" w:eastAsia="宋体" w:cs="宋体"/>
          <w:color w:val="000000"/>
        </w:rPr>
      </w:pPr>
      <w:bookmarkStart w:id="154" w:name="_Toc16938551"/>
      <w:bookmarkStart w:id="155" w:name="_Toc20823307"/>
      <w:bookmarkStart w:id="156" w:name="_Toc513029235"/>
      <w:r>
        <w:rPr>
          <w:rFonts w:hint="eastAsia" w:ascii="宋体" w:hAnsi="宋体" w:eastAsia="宋体" w:cs="宋体"/>
          <w:color w:val="000000"/>
        </w:rPr>
        <w:t>27.1无效投标条款</w:t>
      </w:r>
      <w:bookmarkEnd w:id="154"/>
      <w:bookmarkEnd w:id="155"/>
      <w:bookmarkEnd w:id="156"/>
    </w:p>
    <w:p w14:paraId="462943FC">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27.1.1 投标人在苏采云系统规定的时间内未成功解密电子投标文件的。</w:t>
      </w:r>
    </w:p>
    <w:p w14:paraId="795C5EF7">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27.1.2 投标人未按照招标文件要求上传电子投标文件的。</w:t>
      </w:r>
    </w:p>
    <w:p w14:paraId="7D2A97E6">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27.1.3同一投标人提交两个（含两个）以上不同的投标报价的。</w:t>
      </w:r>
    </w:p>
    <w:p w14:paraId="6A92F7D0">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27.1.4投标人不具备招标文件中规定资格要求的。</w:t>
      </w:r>
    </w:p>
    <w:p w14:paraId="7ECC89BD">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27.1.5投标人的报价超过了采购预算或最高限价的。</w:t>
      </w:r>
    </w:p>
    <w:p w14:paraId="3CF933C2">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27.1.6未通过符合性审查的。</w:t>
      </w:r>
    </w:p>
    <w:p w14:paraId="0B2EB0FF">
      <w:pPr>
        <w:pStyle w:val="14"/>
        <w:tabs>
          <w:tab w:val="left" w:pos="901"/>
        </w:tabs>
        <w:spacing w:beforeAutospacing="0" w:afterAutospacing="0" w:line="360" w:lineRule="auto"/>
        <w:ind w:firstLine="480"/>
        <w:jc w:val="both"/>
        <w:rPr>
          <w:rFonts w:ascii="宋体" w:hAnsi="宋体" w:eastAsia="宋体" w:cs="宋体"/>
          <w:i/>
          <w:iCs/>
          <w:color w:val="000000"/>
          <w:u w:val="single"/>
        </w:rPr>
      </w:pPr>
      <w:r>
        <w:rPr>
          <w:rFonts w:hint="eastAsia" w:ascii="宋体" w:hAnsi="宋体" w:eastAsia="宋体" w:cs="宋体"/>
          <w:color w:val="000000"/>
        </w:rPr>
        <w:t>27.1.7不符合招标文件中规定的实质性要求和条件的</w:t>
      </w:r>
      <w:r>
        <w:rPr>
          <w:rFonts w:hint="eastAsia" w:ascii="宋体" w:hAnsi="宋体" w:eastAsia="宋体" w:cs="宋体"/>
          <w:i/>
          <w:iCs/>
          <w:color w:val="000000"/>
          <w:u w:val="single"/>
        </w:rPr>
        <w:t>（本招标文件中斜体且有下划线部分为实质性要求和条件）。</w:t>
      </w:r>
    </w:p>
    <w:p w14:paraId="6362B6AF">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27.1.8 投标人被 “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220F5451">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27.1.9投标文件含有采购人不能接受的附加条件的。</w:t>
      </w:r>
    </w:p>
    <w:p w14:paraId="50724C41">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27.1.10评标委员会认为投标人的报价明显低于其他通过符合性审查投标人的报价，有可能影响产品质量或者不能诚信履约的，将通过苏采云系统要求其在合理的时间内提供说明，必要时提交相关证明材料；投标人不能证明其报价合理性的，评标委员会应当将其作为无效投标处理。</w:t>
      </w:r>
    </w:p>
    <w:p w14:paraId="3AA329FF">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27.1.11 本项目采购产品被财政部、国家发改委、生态环境部等列入“节能产品品目清单”、“环境标志产品品目清单”强制采购范围，而投标人所投标产品不在强制采购范围内的。（投标产品如属于政府强制采购节能产品品目清单范围内，投标文件中必须提供国家确定的认证机构出具的、处于有效期之内的该节能产品认证证书图片）</w:t>
      </w:r>
    </w:p>
    <w:p w14:paraId="5740BC6C">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27.1.12 投标文件未按照招标文件要求加盖CA电子公章的。</w:t>
      </w:r>
    </w:p>
    <w:p w14:paraId="1075B389">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27.1.13其他法律、法规及本招标文件规定的属无效投标的情形。</w:t>
      </w:r>
    </w:p>
    <w:p w14:paraId="22902084">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27.2废标条款</w:t>
      </w:r>
    </w:p>
    <w:p w14:paraId="7F6C7A89">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27.2.1符合专业条件的供应商或者对招标文件作实质响应的供应商不足三家的。27.2.2出现影响采购公正的违法、违规行为的。</w:t>
      </w:r>
    </w:p>
    <w:p w14:paraId="2863EC8A">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27.2.3因重大变故，采购任务取消的。</w:t>
      </w:r>
    </w:p>
    <w:p w14:paraId="01927684">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27.2.4评标委员会认定招标文件存在歧义、重大缺陷导致评审工作无法进行。</w:t>
      </w:r>
    </w:p>
    <w:p w14:paraId="51A7F233">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27.2.5 因苏采云系统系统故障原因造成开标不成功的。</w:t>
      </w:r>
    </w:p>
    <w:p w14:paraId="6D4E645E">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27.3 投标截止时间结束后参加投标的供应商不足三家的处理：</w:t>
      </w:r>
    </w:p>
    <w:p w14:paraId="3C1037A7">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27.3.1如出现投标截止时间结束后参加投标的供应商或者在评标期间对招标文件做出实质响应的供应商不足三家情况，按政府采购相关规定执行。</w:t>
      </w:r>
    </w:p>
    <w:p w14:paraId="62A0C014">
      <w:pPr>
        <w:pStyle w:val="14"/>
        <w:tabs>
          <w:tab w:val="left" w:pos="901"/>
        </w:tabs>
        <w:spacing w:beforeAutospacing="0" w:afterAutospacing="0" w:line="360" w:lineRule="auto"/>
        <w:ind w:firstLine="480"/>
        <w:jc w:val="both"/>
        <w:rPr>
          <w:rFonts w:ascii="宋体" w:hAnsi="宋体" w:eastAsia="宋体" w:cs="宋体"/>
          <w:b/>
          <w:bCs/>
          <w:color w:val="000000"/>
        </w:rPr>
      </w:pPr>
      <w:bookmarkStart w:id="157" w:name="_Toc120614219"/>
      <w:r>
        <w:rPr>
          <w:rFonts w:hint="eastAsia" w:ascii="宋体" w:hAnsi="宋体" w:eastAsia="宋体" w:cs="宋体"/>
          <w:b/>
          <w:bCs/>
          <w:color w:val="000000"/>
        </w:rPr>
        <w:t>六、定标</w:t>
      </w:r>
      <w:bookmarkEnd w:id="157"/>
    </w:p>
    <w:p w14:paraId="16F01F70">
      <w:pPr>
        <w:pStyle w:val="14"/>
        <w:tabs>
          <w:tab w:val="left" w:pos="901"/>
        </w:tabs>
        <w:spacing w:beforeAutospacing="0" w:afterAutospacing="0" w:line="360" w:lineRule="auto"/>
        <w:ind w:firstLine="480"/>
        <w:jc w:val="both"/>
        <w:rPr>
          <w:rFonts w:ascii="宋体" w:hAnsi="宋体" w:eastAsia="宋体" w:cs="宋体"/>
          <w:b/>
          <w:bCs/>
          <w:color w:val="000000"/>
        </w:rPr>
      </w:pPr>
      <w:bookmarkStart w:id="158" w:name="_Toc20823310"/>
      <w:bookmarkStart w:id="159" w:name="_Toc513029238"/>
      <w:bookmarkStart w:id="160" w:name="_Toc16938554"/>
      <w:r>
        <w:rPr>
          <w:rFonts w:hint="eastAsia" w:ascii="宋体" w:hAnsi="宋体" w:eastAsia="宋体" w:cs="宋体"/>
          <w:b/>
          <w:bCs/>
          <w:color w:val="000000"/>
        </w:rPr>
        <w:t>28、</w:t>
      </w:r>
      <w:bookmarkEnd w:id="158"/>
      <w:r>
        <w:rPr>
          <w:rFonts w:hint="eastAsia" w:ascii="宋体" w:hAnsi="宋体" w:eastAsia="宋体" w:cs="宋体"/>
          <w:b/>
          <w:bCs/>
          <w:color w:val="000000"/>
        </w:rPr>
        <w:t>确定</w:t>
      </w:r>
      <w:bookmarkEnd w:id="159"/>
      <w:bookmarkEnd w:id="160"/>
      <w:r>
        <w:rPr>
          <w:rFonts w:hint="eastAsia" w:ascii="宋体" w:hAnsi="宋体" w:eastAsia="宋体" w:cs="宋体"/>
          <w:b/>
          <w:bCs/>
          <w:color w:val="000000"/>
        </w:rPr>
        <w:t>中标单位</w:t>
      </w:r>
    </w:p>
    <w:p w14:paraId="60808510">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 xml:space="preserve">28.1中标候选人的选取原则和数量见招标文件第五章规定。 </w:t>
      </w:r>
    </w:p>
    <w:p w14:paraId="5B675F46">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28.2 采购人应根据评委会推荐的中标候选人确定中标人。</w:t>
      </w:r>
    </w:p>
    <w:p w14:paraId="574AC9FD">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28.3 招标代理机构将在中国政府采购网”、“江苏政府采购网”、“盐城市政府采购网”发布中标公告，公告期限为1个工作日。</w:t>
      </w:r>
    </w:p>
    <w:p w14:paraId="7ACFADF4">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28.4  若有充分证据证明，中标人出现下列情况之一的，一经查实，将被取消中标资格：</w:t>
      </w:r>
    </w:p>
    <w:p w14:paraId="5E385DCB">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28.4.1提供虚假材料谋取中标的。</w:t>
      </w:r>
    </w:p>
    <w:p w14:paraId="71736034">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28.4.2向采购人、招标代理机构行贿或者提供其他不正当利益的。</w:t>
      </w:r>
    </w:p>
    <w:p w14:paraId="36667E35">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28.4.3属于本文件规定的无效条件，但在评标过程中又未被评委会发现的。</w:t>
      </w:r>
    </w:p>
    <w:p w14:paraId="382DECD9">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28.4.4与采购人或者其他供应商恶意串通的。</w:t>
      </w:r>
    </w:p>
    <w:p w14:paraId="3C46485C">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28.4.5采取不正当手段诋毁、排挤其他供应商的。</w:t>
      </w:r>
    </w:p>
    <w:p w14:paraId="02604D74">
      <w:pPr>
        <w:pStyle w:val="14"/>
        <w:tabs>
          <w:tab w:val="left" w:pos="901"/>
        </w:tabs>
        <w:spacing w:beforeAutospacing="0" w:afterAutospacing="0" w:line="360" w:lineRule="auto"/>
        <w:ind w:firstLine="480"/>
        <w:jc w:val="both"/>
        <w:rPr>
          <w:rFonts w:ascii="宋体" w:hAnsi="宋体" w:eastAsia="宋体" w:cs="宋体"/>
          <w:color w:val="000000"/>
        </w:rPr>
      </w:pPr>
      <w:bookmarkStart w:id="161" w:name="_Toc200451960"/>
      <w:r>
        <w:rPr>
          <w:rFonts w:hint="eastAsia" w:ascii="宋体" w:hAnsi="宋体" w:eastAsia="宋体" w:cs="宋体"/>
          <w:color w:val="000000"/>
        </w:rPr>
        <w:t>28.5. 有下列情形之一的，视为投标人串通投标，投标无效：</w:t>
      </w:r>
      <w:bookmarkEnd w:id="161"/>
    </w:p>
    <w:p w14:paraId="4EC2198C">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28.5.1不同投标人的投标文件由同一单位或者个人编制；</w:t>
      </w:r>
    </w:p>
    <w:p w14:paraId="5B304A66">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28.5.2不同投标人委托同一单位或者个人办理投标事宜；</w:t>
      </w:r>
    </w:p>
    <w:p w14:paraId="659207E9">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28.5.3 不同投标人的投标文件载明的项目管理成员或者联系人员为同一人；</w:t>
      </w:r>
    </w:p>
    <w:p w14:paraId="01CA86C7">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28.5.4不同投标人的投标文件异常一致或者投标报价呈规律性差异；</w:t>
      </w:r>
    </w:p>
    <w:p w14:paraId="50F87EAB">
      <w:pPr>
        <w:pStyle w:val="14"/>
        <w:tabs>
          <w:tab w:val="left" w:pos="901"/>
        </w:tabs>
        <w:spacing w:beforeAutospacing="0" w:afterAutospacing="0" w:line="360" w:lineRule="auto"/>
        <w:ind w:firstLine="480"/>
        <w:jc w:val="both"/>
        <w:rPr>
          <w:rFonts w:ascii="宋体" w:hAnsi="宋体" w:eastAsia="宋体" w:cs="宋体"/>
          <w:b/>
          <w:bCs/>
          <w:color w:val="000000"/>
        </w:rPr>
      </w:pPr>
      <w:r>
        <w:rPr>
          <w:rFonts w:hint="eastAsia" w:ascii="宋体" w:hAnsi="宋体" w:eastAsia="宋体" w:cs="宋体"/>
          <w:b/>
          <w:bCs/>
          <w:color w:val="000000"/>
        </w:rPr>
        <w:t>29、质疑处理</w:t>
      </w:r>
    </w:p>
    <w:p w14:paraId="08E07EAA">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29.1 提出质疑的供应商应当是参与所质疑项目采购活动的供应商。潜在供应商依法获取其可质疑的采购文件的，可以对采购文件提出质疑。</w:t>
      </w:r>
    </w:p>
    <w:p w14:paraId="7EF8DB25">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29.2供应商认为采购文件、采购过程和采购结果使自己的权益受到损害的，可以在知道或应知其权益受到损害之日起七个工作日内，以书面形式根据下述29.4条款的规定向招标代理机构或采购人提出质疑。上述应知其权益受到损害之日，是指：</w:t>
      </w:r>
    </w:p>
    <w:p w14:paraId="4471D135">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29.2.1对可以质疑的采购文件提出质疑的，为收到采购文件之日或者采购文件公告期限届满之日；</w:t>
      </w:r>
      <w:r>
        <w:rPr>
          <w:rFonts w:hint="eastAsia" w:ascii="宋体" w:hAnsi="宋体" w:eastAsia="宋体" w:cs="宋体"/>
          <w:color w:val="000000"/>
        </w:rPr>
        <w:br w:type="textWrapping"/>
      </w:r>
      <w:r>
        <w:rPr>
          <w:rFonts w:hint="eastAsia" w:ascii="宋体" w:hAnsi="宋体" w:eastAsia="宋体" w:cs="宋体"/>
          <w:color w:val="000000"/>
        </w:rPr>
        <w:t>  29.2.2对采购过程提出质疑的，为各采购程序环节结束之日；</w:t>
      </w:r>
      <w:r>
        <w:rPr>
          <w:rFonts w:hint="eastAsia" w:ascii="宋体" w:hAnsi="宋体" w:eastAsia="宋体" w:cs="宋体"/>
          <w:color w:val="000000"/>
        </w:rPr>
        <w:br w:type="textWrapping"/>
      </w:r>
      <w:r>
        <w:rPr>
          <w:rFonts w:hint="eastAsia" w:ascii="宋体" w:hAnsi="宋体" w:eastAsia="宋体" w:cs="宋体"/>
          <w:color w:val="000000"/>
        </w:rPr>
        <w:t>  29.2.3对中标或者成交结果提出质疑的，为中标或者成交结果公告期限届满之日。</w:t>
      </w:r>
    </w:p>
    <w:p w14:paraId="09D4EC3B">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供应商应当在法定质疑期内一次性提出针对同一采购程序环节的质疑。供应商如在法定期限内对同一采购程序环节提出多次质疑的，招标代理机构、采购人将只对供应商第一次质疑作出答复。</w:t>
      </w:r>
    </w:p>
    <w:p w14:paraId="7F1D1FDC">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29.3质疑函必须按照本招标文件中《质疑函范本》要求的格式和内容进行填写。供应商如组成联合体参加投标，则《质疑函范本》中要求签字、盖章、加盖公章之处，联合体各方均须按要求签字、盖章、加盖公章。</w:t>
      </w:r>
    </w:p>
    <w:p w14:paraId="2C598195">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29.4 供应商（含潜在供应商）对采购方式、招标文件中采购需求、供应商资格条件、评标方法和评标标准、合同文本及资格审查结果的询问、质疑请向采购人提出，由采购人负责答复。供应商对其他事项的询问、质疑请向招标代理机构提出，由招标代理机构负责答复。</w:t>
      </w:r>
    </w:p>
    <w:p w14:paraId="2CE3A4A1">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质疑人（或授权委托人）须是投标单位正式员工，授权委托人须提供投标单位为其缴纳的本年度近期社保证明。</w:t>
      </w:r>
    </w:p>
    <w:p w14:paraId="4CEBFC0B">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采购人及招标代理机构只接收以纸质原件形式送达的质疑,供应商须通过邮寄方式提交质疑（采购人和招标代理机构不接受未填写快递运单的快件）。</w:t>
      </w:r>
    </w:p>
    <w:p w14:paraId="11ABE9E0">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29.5 以下情形的质疑不予受理</w:t>
      </w:r>
    </w:p>
    <w:p w14:paraId="11B2A4E7">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29.5.1 内容不符合《政府采购质疑和投诉办法》第十二条规定的质疑。</w:t>
      </w:r>
    </w:p>
    <w:p w14:paraId="0C9F6EF9">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29.5.2 超出政府采购法定期限的质疑。</w:t>
      </w:r>
    </w:p>
    <w:p w14:paraId="3BBB10BE">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29.5.3 以传真、电子邮件等方式递交的非原件形式的质疑。</w:t>
      </w:r>
    </w:p>
    <w:p w14:paraId="78DE2539">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29.5.4 未参加投标活动的供应商或在投标活动中自身权益未受到损害的供应商所提出的质疑。</w:t>
      </w:r>
    </w:p>
    <w:p w14:paraId="2DDB6F86">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29.5.5供应商组成联合体参加投标，联合体中任何一方或多方未按要求签字、盖章、加盖公章的质疑。</w:t>
      </w:r>
    </w:p>
    <w:p w14:paraId="14F91524">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29.6供应商提出书面质疑必须有理、有据，不得捏造事实、提供虚假材料进行恶意质疑。否则，一经查实，招标代理机构有权依据政府采购的有关规定，报请政府采购监管部门对该供应商进行相应的行政处罚和记录该供应商的失信信息。</w:t>
      </w:r>
    </w:p>
    <w:p w14:paraId="5DE0CB03">
      <w:pPr>
        <w:pStyle w:val="14"/>
        <w:tabs>
          <w:tab w:val="left" w:pos="901"/>
        </w:tabs>
        <w:spacing w:beforeAutospacing="0" w:afterAutospacing="0" w:line="360" w:lineRule="auto"/>
        <w:ind w:firstLine="480"/>
        <w:jc w:val="both"/>
        <w:rPr>
          <w:rFonts w:ascii="宋体" w:hAnsi="宋体" w:eastAsia="宋体" w:cs="宋体"/>
          <w:b/>
          <w:bCs/>
          <w:color w:val="000000"/>
        </w:rPr>
      </w:pPr>
      <w:r>
        <w:rPr>
          <w:rFonts w:hint="eastAsia" w:ascii="宋体" w:hAnsi="宋体" w:eastAsia="宋体" w:cs="宋体"/>
          <w:b/>
          <w:bCs/>
          <w:color w:val="000000"/>
        </w:rPr>
        <w:t>30、中标通知书</w:t>
      </w:r>
    </w:p>
    <w:p w14:paraId="50FEBE3E">
      <w:pPr>
        <w:pStyle w:val="14"/>
        <w:tabs>
          <w:tab w:val="left" w:pos="901"/>
        </w:tabs>
        <w:spacing w:beforeAutospacing="0" w:afterAutospacing="0" w:line="360" w:lineRule="auto"/>
        <w:ind w:firstLine="480"/>
        <w:jc w:val="both"/>
        <w:rPr>
          <w:rFonts w:ascii="宋体" w:hAnsi="宋体" w:eastAsia="宋体" w:cs="宋体"/>
          <w:color w:val="000000"/>
        </w:rPr>
      </w:pPr>
      <w:bookmarkStart w:id="162" w:name="_Toc120614220"/>
      <w:bookmarkStart w:id="163" w:name="_Toc16938552"/>
      <w:bookmarkStart w:id="164" w:name="_Toc513029236"/>
      <w:bookmarkStart w:id="165" w:name="_Toc20823308"/>
      <w:r>
        <w:rPr>
          <w:rFonts w:hint="eastAsia" w:ascii="宋体" w:hAnsi="宋体" w:eastAsia="宋体" w:cs="宋体"/>
          <w:color w:val="000000"/>
        </w:rPr>
        <w:t>30.l 中标结果确定后，招标代理机构将向中标人发出中标通知书。请中标人在中标结果公告届满之日起30日内,使用CA数字证书登录苏采云系统及时下载中标通知书。因系统存储空间有限，自中标结果公告届满之日起30日后，苏采云系统不再保证提供下载中标通知书服务,因未及时下载而造成的不利后果由中标人自行承担。</w:t>
      </w:r>
    </w:p>
    <w:p w14:paraId="0D07772C">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30.2中标通知书将是合同的一个组成部分。对采购人和中标供应商均具有法律效力。中标通知书发出后，采购人改变中标结果的，或者中标供应商放弃中标项目的，应当依法承担法律责任。</w:t>
      </w:r>
    </w:p>
    <w:p w14:paraId="10309C33">
      <w:pPr>
        <w:pStyle w:val="14"/>
        <w:tabs>
          <w:tab w:val="left" w:pos="901"/>
        </w:tabs>
        <w:spacing w:beforeAutospacing="0" w:afterAutospacing="0" w:line="360" w:lineRule="auto"/>
        <w:ind w:firstLine="480"/>
        <w:jc w:val="both"/>
        <w:rPr>
          <w:rFonts w:ascii="宋体" w:hAnsi="宋体" w:eastAsia="宋体" w:cs="宋体"/>
          <w:b/>
          <w:bCs/>
          <w:color w:val="000000"/>
        </w:rPr>
      </w:pPr>
      <w:r>
        <w:rPr>
          <w:rFonts w:hint="eastAsia" w:ascii="宋体" w:hAnsi="宋体" w:eastAsia="宋体" w:cs="宋体"/>
          <w:b/>
          <w:bCs/>
          <w:color w:val="000000"/>
        </w:rPr>
        <w:t>七、授予合同</w:t>
      </w:r>
      <w:bookmarkEnd w:id="162"/>
      <w:bookmarkEnd w:id="163"/>
      <w:bookmarkEnd w:id="164"/>
      <w:bookmarkEnd w:id="165"/>
    </w:p>
    <w:p w14:paraId="5F5F4090">
      <w:pPr>
        <w:pStyle w:val="14"/>
        <w:tabs>
          <w:tab w:val="left" w:pos="901"/>
        </w:tabs>
        <w:spacing w:beforeAutospacing="0" w:afterAutospacing="0" w:line="360" w:lineRule="auto"/>
        <w:ind w:firstLine="480"/>
        <w:jc w:val="both"/>
        <w:rPr>
          <w:rFonts w:ascii="宋体" w:hAnsi="宋体" w:eastAsia="宋体" w:cs="宋体"/>
          <w:b/>
          <w:bCs/>
          <w:color w:val="000000"/>
        </w:rPr>
      </w:pPr>
      <w:bookmarkStart w:id="166" w:name="_Toc16938553"/>
      <w:bookmarkStart w:id="167" w:name="_Toc513029237"/>
      <w:bookmarkStart w:id="168" w:name="_Toc20823309"/>
      <w:r>
        <w:rPr>
          <w:rFonts w:hint="eastAsia" w:ascii="宋体" w:hAnsi="宋体" w:eastAsia="宋体" w:cs="宋体"/>
          <w:b/>
          <w:bCs/>
          <w:color w:val="000000"/>
        </w:rPr>
        <w:t>31. 签订合同</w:t>
      </w:r>
      <w:bookmarkEnd w:id="166"/>
      <w:bookmarkEnd w:id="167"/>
      <w:bookmarkEnd w:id="168"/>
    </w:p>
    <w:p w14:paraId="28B0F389">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中标人应当在中标通知书发出之日起三十日内（原则上应在15日内签订采购合同），按照招标文件确定的事项与采购人签订政府采购合同。合同签订后2个工作日内合同公示。所签订的合同不得对招标文件确定的事项和中标人响应文件作实质性修改。</w:t>
      </w:r>
    </w:p>
    <w:p w14:paraId="6832586C">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31.2 招标文件、中标人的投标文件及招标过程中有关澄清、承诺文件均应作为合同附件。</w:t>
      </w:r>
    </w:p>
    <w:p w14:paraId="73B3002C">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31.3 签订合同后，</w:t>
      </w:r>
      <w:r>
        <w:rPr>
          <w:rFonts w:hint="eastAsia" w:ascii="宋体" w:hAnsi="宋体" w:eastAsia="宋体" w:cs="宋体"/>
          <w:i/>
          <w:iCs/>
          <w:color w:val="000000"/>
          <w:u w:val="single"/>
        </w:rPr>
        <w:t>中标人不得将合同标的进行转包。</w:t>
      </w:r>
      <w:r>
        <w:rPr>
          <w:rFonts w:hint="eastAsia" w:ascii="宋体" w:hAnsi="宋体" w:eastAsia="宋体" w:cs="宋体"/>
          <w:color w:val="000000"/>
        </w:rPr>
        <w:t>未经采购人同意，中标人也不得采用分包的形式履行合同，否则采购人有权终止合同。转包或分包造成采购人损失的，中标人应承担相应赔偿责任。</w:t>
      </w:r>
    </w:p>
    <w:p w14:paraId="3A9CBD58">
      <w:pPr>
        <w:pStyle w:val="14"/>
        <w:tabs>
          <w:tab w:val="left" w:pos="901"/>
        </w:tabs>
        <w:spacing w:beforeAutospacing="0" w:afterAutospacing="0" w:line="360" w:lineRule="auto"/>
        <w:ind w:firstLine="480"/>
        <w:jc w:val="both"/>
        <w:rPr>
          <w:rFonts w:ascii="宋体" w:hAnsi="宋体" w:eastAsia="宋体" w:cs="宋体"/>
          <w:b/>
          <w:bCs/>
          <w:color w:val="000000"/>
        </w:rPr>
      </w:pPr>
      <w:r>
        <w:rPr>
          <w:rFonts w:hint="eastAsia" w:ascii="宋体" w:hAnsi="宋体" w:eastAsia="宋体" w:cs="宋体"/>
          <w:b/>
          <w:bCs/>
          <w:color w:val="000000"/>
        </w:rPr>
        <w:t>32、货物（包含与货物相关的服务）的追加</w:t>
      </w:r>
    </w:p>
    <w:p w14:paraId="5AB8E26D">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32.1政府采购合同履行中，采购人需追加与合同标的相同的货物（包含与货物相关的服务）的，在不改变合同其他条款的前提下，可以与中标人协商签订补充合同，但所有补充合同的采购金额不超过原合同金额10%。</w:t>
      </w:r>
    </w:p>
    <w:p w14:paraId="1BCCA2A0">
      <w:pPr>
        <w:pStyle w:val="14"/>
        <w:tabs>
          <w:tab w:val="left" w:pos="901"/>
        </w:tabs>
        <w:spacing w:beforeAutospacing="0" w:afterAutospacing="0" w:line="360" w:lineRule="auto"/>
        <w:ind w:firstLine="480"/>
        <w:jc w:val="both"/>
        <w:rPr>
          <w:rFonts w:ascii="宋体" w:hAnsi="宋体" w:eastAsia="宋体" w:cs="宋体"/>
          <w:b/>
          <w:bCs/>
          <w:color w:val="000000"/>
        </w:rPr>
      </w:pPr>
      <w:bookmarkStart w:id="169" w:name="_Toc20823314"/>
      <w:bookmarkStart w:id="170" w:name="_Toc16938558"/>
      <w:bookmarkStart w:id="171" w:name="_Toc120614221"/>
      <w:bookmarkStart w:id="172" w:name="_Toc479757207"/>
      <w:bookmarkStart w:id="173" w:name="_Toc513029242"/>
      <w:r>
        <w:rPr>
          <w:rFonts w:hint="eastAsia" w:ascii="宋体" w:hAnsi="宋体" w:eastAsia="宋体" w:cs="宋体"/>
          <w:b/>
          <w:bCs/>
          <w:color w:val="000000"/>
        </w:rPr>
        <w:t>33、政府采购履约资金扶持政策</w:t>
      </w:r>
      <w:bookmarkEnd w:id="169"/>
      <w:bookmarkEnd w:id="170"/>
      <w:bookmarkEnd w:id="171"/>
      <w:bookmarkEnd w:id="172"/>
      <w:bookmarkEnd w:id="173"/>
    </w:p>
    <w:p w14:paraId="7359144B">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根据《转发江苏省财政厅 中国人民银行南京分行&lt;关于深入推进政府采购线上合同信用融资工作的通知&gt;的通知》（盐财购〔2021〕20号）规定，中标供应商如有融资需求，可持政府采购合同在线向相关金融机构（具体信息详见盐城市政府采购网浮动窗口“政采贷”栏目）申请贷款，相关金融机构按照双方自愿的原则提供便捷、优惠的贷款服务；采购人应当依法按时在“苏采云”系统中录入并公开政府采购合同信息，勾选“融资贷款”选项，并在合同签订、验收付款、账号维护等环节提供必要便利，持续降低参与政府采购的中小企业融资成本。 </w:t>
      </w:r>
    </w:p>
    <w:p w14:paraId="16B9707F">
      <w:pPr>
        <w:pStyle w:val="14"/>
        <w:tabs>
          <w:tab w:val="left" w:pos="901"/>
        </w:tabs>
        <w:spacing w:beforeAutospacing="0" w:afterAutospacing="0" w:line="360" w:lineRule="auto"/>
        <w:ind w:firstLine="480"/>
        <w:jc w:val="both"/>
        <w:rPr>
          <w:rFonts w:ascii="宋体" w:hAnsi="宋体" w:eastAsia="宋体" w:cs="宋体"/>
          <w:b/>
          <w:bCs/>
          <w:color w:val="000000"/>
        </w:rPr>
      </w:pPr>
      <w:r>
        <w:rPr>
          <w:rFonts w:hint="eastAsia" w:ascii="宋体" w:hAnsi="宋体" w:eastAsia="宋体" w:cs="宋体"/>
          <w:b/>
          <w:bCs/>
          <w:color w:val="000000"/>
        </w:rPr>
        <w:t xml:space="preserve">34、收费 </w:t>
      </w:r>
    </w:p>
    <w:p w14:paraId="65CDBBB3">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34.1中标服务费：本次招标代理服务费由中标单位向招标代理机构支付。中标单位须在领取中标通知书时向招标代理机构一次性付清。该费用折算在报价中，不在响应文件中单独列出。招标代理服务费按照国家收费标准收取。招标代理服务收费按差额定率累进法计算。中标金额按包（标段）分别计算，不累计。收费标准如有变动（只降低，不提高），招标代理机构可以在开标前以电子邮件回复的方式通知已报名供应商。</w:t>
      </w:r>
    </w:p>
    <w:p w14:paraId="480B5CF3">
      <w:pPr>
        <w:pStyle w:val="14"/>
        <w:spacing w:beforeAutospacing="0" w:afterAutospacing="0" w:line="360" w:lineRule="auto"/>
        <w:ind w:firstLine="480"/>
        <w:jc w:val="both"/>
        <w:rPr>
          <w:rFonts w:asciiTheme="minorEastAsia" w:hAnsiTheme="minorEastAsia" w:cstheme="minorEastAsia"/>
          <w:color w:val="333333"/>
          <w:shd w:val="clear" w:color="auto" w:fill="FFFFFF"/>
        </w:rPr>
      </w:pPr>
      <w:r>
        <w:rPr>
          <w:rFonts w:hint="eastAsia" w:ascii="宋体" w:hAnsi="宋体" w:eastAsia="宋体" w:cs="宋体"/>
          <w:color w:val="000000"/>
        </w:rPr>
        <w:t>34.2收费标准：本次招标的代理服务费根据《江苏省招标代理服务费收费的指导意见》（苏招协【2022】002号）按差额定率累进法计算进行计取</w:t>
      </w:r>
      <w:r>
        <w:rPr>
          <w:rFonts w:hint="eastAsia" w:ascii="宋体" w:hAnsi="宋体" w:eastAsia="宋体" w:cs="宋体"/>
          <w:color w:val="000000"/>
          <w:lang w:eastAsia="zh-CN"/>
        </w:rPr>
        <w:t>，</w:t>
      </w:r>
      <w:r>
        <w:rPr>
          <w:rFonts w:hint="eastAsia" w:asciiTheme="minorEastAsia" w:hAnsiTheme="minorEastAsia" w:cstheme="minorEastAsia"/>
          <w:color w:val="333333"/>
          <w:shd w:val="clear" w:color="auto" w:fill="FFFFFF"/>
        </w:rPr>
        <w:t>并由中标人在领取中标通知书时支付给招标代理机构。</w:t>
      </w:r>
    </w:p>
    <w:p w14:paraId="31FA8A75">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收费标准：中标金额50万（含50万）元以下：按壹万元收取；中标金额50-400万（含400万）元：货物、服务、工程按中标金额的1.5%收取；中标金额400-1000万（含1000万）元：货物按中标金额的1.1%，服务按中标金额的0.9%，工程按中标金额的0.8%收取。</w:t>
      </w:r>
    </w:p>
    <w:p w14:paraId="0E4DD7FC">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收款帐户为：盐城畅达招标代理有限公司 ，开户行：中国建设银行股份有限公司射阳新阳支行，账号：32050173745500000098。</w:t>
      </w:r>
    </w:p>
    <w:p w14:paraId="55CC5F94">
      <w:pPr>
        <w:pStyle w:val="14"/>
        <w:tabs>
          <w:tab w:val="left" w:pos="901"/>
        </w:tabs>
        <w:spacing w:beforeAutospacing="0" w:afterAutospacing="0" w:line="360" w:lineRule="auto"/>
        <w:ind w:firstLine="480"/>
        <w:jc w:val="both"/>
        <w:rPr>
          <w:rFonts w:ascii="宋体" w:hAnsi="宋体" w:eastAsia="宋体" w:cs="宋体"/>
          <w:b/>
          <w:bCs/>
          <w:color w:val="000000"/>
        </w:rPr>
      </w:pPr>
      <w:r>
        <w:rPr>
          <w:rFonts w:hint="eastAsia" w:ascii="宋体" w:hAnsi="宋体" w:eastAsia="宋体" w:cs="宋体"/>
          <w:b/>
          <w:bCs/>
          <w:color w:val="000000"/>
        </w:rPr>
        <w:t>35、中小型企业有关政策</w:t>
      </w:r>
    </w:p>
    <w:p w14:paraId="0B65611B">
      <w:pPr>
        <w:spacing w:line="360" w:lineRule="auto"/>
        <w:ind w:firstLine="480" w:firstLineChars="200"/>
        <w:rPr>
          <w:rFonts w:hint="eastAsia" w:ascii="宋体" w:hAnsi="宋体" w:eastAsia="宋体" w:cs="Times New Roman"/>
          <w:color w:val="000000"/>
          <w:sz w:val="24"/>
        </w:rPr>
      </w:pPr>
      <w:r>
        <w:rPr>
          <w:rFonts w:hint="eastAsia" w:ascii="宋体" w:hAnsi="宋体" w:eastAsia="宋体" w:cs="Times New Roman"/>
          <w:color w:val="000000"/>
          <w:sz w:val="24"/>
          <w:lang w:val="en-US" w:eastAsia="zh-CN"/>
        </w:rPr>
        <w:t>35.1</w:t>
      </w:r>
      <w:r>
        <w:rPr>
          <w:rFonts w:hint="eastAsia" w:ascii="宋体" w:hAnsi="宋体" w:eastAsia="宋体" w:cs="Times New Roman"/>
          <w:color w:val="000000"/>
          <w:sz w:val="24"/>
        </w:rPr>
        <w:t>本项目专门面向中小企业采购，投标人所投产品制造厂商须为符合《关于印发中小企业划型标准规定的通知》（工信部联企业[2011]300号）文件的中小微企业（投标时须提供中小企业声明函，否则按无效标处理）。</w:t>
      </w:r>
    </w:p>
    <w:p w14:paraId="1F570B82">
      <w:pPr>
        <w:spacing w:line="360" w:lineRule="auto"/>
        <w:ind w:firstLine="480" w:firstLineChars="200"/>
        <w:rPr>
          <w:rFonts w:hint="eastAsia" w:ascii="宋体" w:hAnsi="宋体" w:eastAsia="宋体" w:cs="Times New Roman"/>
          <w:color w:val="000000"/>
          <w:sz w:val="24"/>
        </w:rPr>
      </w:pPr>
      <w:r>
        <w:rPr>
          <w:rFonts w:hint="eastAsia" w:ascii="宋体" w:hAnsi="宋体" w:eastAsia="宋体" w:cs="Times New Roman"/>
          <w:color w:val="000000"/>
          <w:sz w:val="24"/>
          <w:lang w:val="en-US" w:eastAsia="zh-CN"/>
        </w:rPr>
        <w:t>35.2</w:t>
      </w:r>
      <w:r>
        <w:rPr>
          <w:rFonts w:hint="eastAsia" w:ascii="宋体" w:hAnsi="宋体" w:eastAsia="宋体" w:cs="Times New Roman"/>
          <w:color w:val="000000"/>
          <w:sz w:val="24"/>
        </w:rPr>
        <w:t>因本项目专门面向中小企业采购，不再执行价格评审优惠的扶持政策。</w:t>
      </w:r>
    </w:p>
    <w:p w14:paraId="12F62D14">
      <w:pPr>
        <w:spacing w:line="360" w:lineRule="auto"/>
        <w:ind w:firstLine="480" w:firstLineChars="200"/>
        <w:rPr>
          <w:rFonts w:hint="eastAsia" w:ascii="宋体" w:hAnsi="宋体" w:eastAsia="宋体" w:cs="Times New Roman"/>
          <w:color w:val="000000"/>
          <w:sz w:val="24"/>
        </w:rPr>
      </w:pPr>
      <w:r>
        <w:rPr>
          <w:rFonts w:hint="eastAsia" w:ascii="宋体" w:hAnsi="宋体" w:eastAsia="宋体" w:cs="Times New Roman"/>
          <w:color w:val="000000"/>
          <w:sz w:val="24"/>
        </w:rPr>
        <w:t>3</w:t>
      </w:r>
      <w:r>
        <w:rPr>
          <w:rFonts w:hint="eastAsia" w:ascii="宋体" w:hAnsi="宋体" w:eastAsia="宋体" w:cs="Times New Roman"/>
          <w:color w:val="000000"/>
          <w:sz w:val="24"/>
          <w:lang w:val="en-US" w:eastAsia="zh-CN"/>
        </w:rPr>
        <w:t>5.3</w:t>
      </w:r>
      <w:r>
        <w:rPr>
          <w:rFonts w:hint="eastAsia" w:ascii="宋体" w:hAnsi="宋体" w:eastAsia="宋体" w:cs="Times New Roman"/>
          <w:color w:val="000000"/>
          <w:sz w:val="24"/>
        </w:rPr>
        <w:t>供应商须按照采购文件要求提供相应的《企业声明函》（格式附后），不提供声明函或有弄虚作假的，将依法承担相应责任。</w:t>
      </w:r>
    </w:p>
    <w:p w14:paraId="6C7C5B33">
      <w:pPr>
        <w:spacing w:line="360" w:lineRule="auto"/>
        <w:ind w:firstLine="480" w:firstLineChars="200"/>
        <w:rPr>
          <w:rFonts w:hint="eastAsia" w:ascii="宋体" w:hAnsi="宋体" w:eastAsia="宋体" w:cs="Times New Roman"/>
          <w:color w:val="000000"/>
          <w:sz w:val="24"/>
        </w:rPr>
      </w:pPr>
      <w:r>
        <w:rPr>
          <w:rFonts w:hint="eastAsia" w:ascii="宋体" w:hAnsi="宋体" w:eastAsia="宋体" w:cs="Times New Roman"/>
          <w:color w:val="000000"/>
          <w:sz w:val="24"/>
          <w:lang w:val="en-US" w:eastAsia="zh-CN"/>
        </w:rPr>
        <w:t>35.4</w:t>
      </w:r>
      <w:r>
        <w:rPr>
          <w:rFonts w:hint="eastAsia" w:ascii="宋体" w:hAnsi="宋体" w:eastAsia="宋体" w:cs="Times New Roman"/>
          <w:color w:val="000000"/>
          <w:sz w:val="24"/>
        </w:rPr>
        <w:t>企业标准请参照《关于印发中小企业划型标准规定的通知》（工信部联企业【2011】300号）文件规定自行填写。</w:t>
      </w:r>
    </w:p>
    <w:p w14:paraId="5237E93A">
      <w:pPr>
        <w:spacing w:line="360" w:lineRule="auto"/>
        <w:ind w:firstLine="480" w:firstLineChars="200"/>
        <w:rPr>
          <w:rFonts w:hint="eastAsia" w:ascii="宋体" w:hAnsi="宋体" w:eastAsia="宋体" w:cs="Times New Roman"/>
          <w:color w:val="000000"/>
          <w:sz w:val="24"/>
        </w:rPr>
      </w:pPr>
      <w:r>
        <w:rPr>
          <w:rFonts w:hint="eastAsia" w:ascii="宋体" w:hAnsi="宋体" w:eastAsia="宋体" w:cs="Times New Roman"/>
          <w:color w:val="000000"/>
          <w:sz w:val="24"/>
          <w:lang w:val="en-US" w:eastAsia="zh-CN"/>
        </w:rPr>
        <w:t>35.4</w:t>
      </w:r>
      <w:r>
        <w:rPr>
          <w:rFonts w:hint="eastAsia" w:ascii="宋体" w:hAnsi="宋体" w:eastAsia="宋体" w:cs="Times New Roman"/>
          <w:color w:val="000000"/>
          <w:sz w:val="24"/>
        </w:rPr>
        <w:t>以上规定未尽事项，按《政府采购促进中小企业发展管理办法》 （财库【2020】46号）等有关制度规定执行。</w:t>
      </w:r>
    </w:p>
    <w:p w14:paraId="2F764F20">
      <w:pPr>
        <w:spacing w:line="360" w:lineRule="auto"/>
        <w:ind w:firstLine="480" w:firstLineChars="200"/>
        <w:rPr>
          <w:rFonts w:hint="eastAsia" w:ascii="宋体" w:hAnsi="宋体" w:eastAsia="宋体" w:cs="Times New Roman"/>
          <w:color w:val="000000"/>
          <w:sz w:val="24"/>
          <w:highlight w:val="yellow"/>
        </w:rPr>
      </w:pPr>
      <w:r>
        <w:rPr>
          <w:rFonts w:hint="eastAsia" w:ascii="宋体" w:hAnsi="宋体" w:eastAsia="宋体" w:cs="Times New Roman"/>
          <w:color w:val="000000"/>
          <w:sz w:val="24"/>
          <w:highlight w:val="yellow"/>
        </w:rPr>
        <w:t>★供应商按照采购文件要求提供相应的《企业声明函》（格式附后），所投货物</w:t>
      </w:r>
      <w:r>
        <w:rPr>
          <w:rFonts w:hint="eastAsia" w:ascii="宋体" w:hAnsi="宋体" w:eastAsia="宋体" w:cs="Times New Roman"/>
          <w:color w:val="000000"/>
          <w:sz w:val="24"/>
          <w:highlight w:val="yellow"/>
          <w:lang w:val="en-US" w:eastAsia="zh-CN"/>
        </w:rPr>
        <w:t>须</w:t>
      </w:r>
      <w:r>
        <w:rPr>
          <w:rFonts w:hint="eastAsia" w:ascii="宋体" w:hAnsi="宋体" w:eastAsia="宋体" w:cs="Times New Roman"/>
          <w:color w:val="000000"/>
          <w:sz w:val="24"/>
          <w:highlight w:val="yellow"/>
        </w:rPr>
        <w:t>全部为中小微企业所制造（即货物由中小微企业生产且使用该中小微企业商号或者注册商标）。须将本次标的物逐一列明，如有遗漏则不能通过资格性审查要求，则按无效投标人处理。</w:t>
      </w:r>
    </w:p>
    <w:p w14:paraId="116CFA51">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35.6监狱和戒毒企业</w:t>
      </w:r>
    </w:p>
    <w:p w14:paraId="2D4FFC7E">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（1）本项目对监狱和戒毒企业（简称监狱企业）视同小型、微型企业。</w:t>
      </w:r>
    </w:p>
    <w:p w14:paraId="06E9BFFB">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（2）监狱企业参加政府采购活动时，需提供由省级以上监狱管理局、戒毒管理局(含新疆生产建设兵团)出具的属于监狱企业的证明文件。供应商如不提供上述证明文件，价格将不做相应扣除。</w:t>
      </w:r>
    </w:p>
    <w:p w14:paraId="1C587DFF">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（3）监狱企业标准请参照《关于政府采购支持监狱企业发展有关问题的通知》（财库[2014]68号）。</w:t>
      </w:r>
    </w:p>
    <w:p w14:paraId="5D901AA4">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35.7残疾人福利单位、监狱企业属于小型、微型企业的，不重复享受政策。</w:t>
      </w:r>
    </w:p>
    <w:p w14:paraId="78441489">
      <w:pPr>
        <w:pStyle w:val="14"/>
        <w:tabs>
          <w:tab w:val="left" w:pos="901"/>
        </w:tabs>
        <w:spacing w:beforeAutospacing="0" w:afterAutospacing="0" w:line="360" w:lineRule="auto"/>
        <w:ind w:firstLine="480"/>
        <w:jc w:val="both"/>
        <w:rPr>
          <w:rFonts w:ascii="宋体" w:hAnsi="宋体" w:eastAsia="宋体" w:cs="宋体"/>
          <w:b/>
          <w:bCs/>
          <w:color w:val="000000"/>
        </w:rPr>
      </w:pPr>
      <w:r>
        <w:rPr>
          <w:rFonts w:hint="eastAsia" w:ascii="宋体" w:hAnsi="宋体" w:eastAsia="宋体" w:cs="宋体"/>
          <w:b/>
          <w:bCs/>
          <w:color w:val="000000"/>
        </w:rPr>
        <w:t>36、履约保证金</w:t>
      </w:r>
    </w:p>
    <w:p w14:paraId="2EF41C64">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36.1履约保证金的缴纳比例和是否缴纳由采购人与成交供应商协商确定。确需收取履约保证金的，中标后签订合同时中标方须缴纳中标金额10%的履约保证金到采购人指定账户；允许供应商自主选择以转账、支票、汇票、本票或者金融机构、担保机构出具的保函(保险)等形式提交(根据苏财购[2023]150号《关于在全省政府采购领域推行电子履约保函(保险)的通知》乙方可选择电子保函(保险)的形式)，鼓励供应商自愿使用履约保函(保险)代替缴纳约保证金。根据合同履行情况，中标单位在履约期内无违约行为的，采购人在验收合格后15日内全额退还履约保证金，不计利息。如果成交供应商不同意按照规定去做，采购方有权取消本次采购成交决定。履约保证金不予退还的情形按政府采购相关法律法规执行。</w:t>
      </w:r>
    </w:p>
    <w:p w14:paraId="3E365573">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36.2采购人对第三方信用服务机构依据标准规范评定为AA级及以上的政府采购供应商（需在签订采购合同前提供信用管理部门备案的第三方信用报告，且信用报告通过“信用盐城网”可查实），可免收履约保证金或降低履约保证金缴纳比例。</w:t>
      </w:r>
    </w:p>
    <w:p w14:paraId="651EDCA2">
      <w:pPr>
        <w:pStyle w:val="14"/>
        <w:tabs>
          <w:tab w:val="left" w:pos="901"/>
        </w:tabs>
        <w:spacing w:beforeAutospacing="0" w:afterAutospacing="0" w:line="360" w:lineRule="auto"/>
        <w:ind w:firstLine="480"/>
        <w:jc w:val="both"/>
        <w:rPr>
          <w:rFonts w:ascii="宋体" w:hAnsi="宋体" w:eastAsia="宋体" w:cs="宋体"/>
          <w:b/>
          <w:bCs/>
          <w:color w:val="000000"/>
        </w:rPr>
      </w:pPr>
      <w:r>
        <w:rPr>
          <w:rFonts w:hint="eastAsia" w:ascii="宋体" w:hAnsi="宋体" w:eastAsia="宋体" w:cs="宋体"/>
          <w:b/>
          <w:bCs/>
          <w:color w:val="000000"/>
        </w:rPr>
        <w:t>37、落实节能、环保产品政策</w:t>
      </w:r>
    </w:p>
    <w:p w14:paraId="199C530C">
      <w:pPr>
        <w:pStyle w:val="14"/>
        <w:tabs>
          <w:tab w:val="left" w:pos="901"/>
        </w:tabs>
        <w:spacing w:beforeAutospacing="0" w:afterAutospacing="0" w:line="360" w:lineRule="auto"/>
        <w:ind w:firstLine="480"/>
        <w:jc w:val="both"/>
        <w:rPr>
          <w:rFonts w:ascii="宋体" w:hAnsi="宋体" w:eastAsia="宋体" w:cs="宋体"/>
          <w:color w:val="000000"/>
        </w:rPr>
      </w:pPr>
      <w:r>
        <w:rPr>
          <w:rFonts w:hint="eastAsia" w:ascii="宋体" w:hAnsi="宋体" w:eastAsia="宋体" w:cs="宋体"/>
          <w:color w:val="000000"/>
        </w:rPr>
        <w:t>37.1强制采购节能产品、信息安全产品，优先采购环境标志产品。依据《财政部 发展改革委 生态环境部 市场监管总局关于调整优化节能产品、环境标志产品政府采购执行机制的通知》（财库〔2019〕9号），投标人提供的产品为节能产品和环境标志产品的，应当提供国家确定的认证机构出具的、处于有效期之内的节能产品、环境标志产品认证证书（原件彩色扫描件）。投标人提供的产品属于信息安全产品的，应当提供由中国信息安全认证中心按国家标准认证颁发的有效认证证书（原件彩色扫描件）</w:t>
      </w:r>
    </w:p>
    <w:p w14:paraId="09D375EB">
      <w:pPr>
        <w:pStyle w:val="14"/>
        <w:tabs>
          <w:tab w:val="left" w:pos="901"/>
        </w:tabs>
        <w:spacing w:beforeAutospacing="0" w:afterAutospacing="0" w:line="360" w:lineRule="auto"/>
        <w:ind w:firstLine="480"/>
        <w:jc w:val="both"/>
        <w:rPr>
          <w:rFonts w:ascii="宋体" w:hAnsi="宋体" w:eastAsia="宋体" w:cs="宋体"/>
          <w:color w:val="000000"/>
        </w:rPr>
      </w:pPr>
    </w:p>
    <w:p w14:paraId="6D6956BA">
      <w:pPr>
        <w:pStyle w:val="14"/>
        <w:tabs>
          <w:tab w:val="left" w:pos="901"/>
        </w:tabs>
        <w:spacing w:beforeAutospacing="0" w:afterAutospacing="0" w:line="360" w:lineRule="auto"/>
        <w:ind w:firstLine="480"/>
        <w:jc w:val="both"/>
        <w:rPr>
          <w:rFonts w:ascii="宋体" w:hAnsi="宋体" w:eastAsia="宋体" w:cs="宋体"/>
          <w:color w:val="000000"/>
        </w:rPr>
      </w:pPr>
    </w:p>
    <w:p w14:paraId="0DB48982">
      <w:pPr>
        <w:pStyle w:val="14"/>
        <w:tabs>
          <w:tab w:val="left" w:pos="901"/>
        </w:tabs>
        <w:spacing w:beforeAutospacing="0" w:afterAutospacing="0" w:line="360" w:lineRule="auto"/>
        <w:ind w:firstLine="480"/>
        <w:jc w:val="both"/>
        <w:rPr>
          <w:rFonts w:ascii="宋体" w:hAnsi="宋体" w:eastAsia="宋体" w:cs="宋体"/>
          <w:color w:val="000000"/>
        </w:rPr>
      </w:pPr>
    </w:p>
    <w:p w14:paraId="2E922B36">
      <w:pPr>
        <w:spacing w:line="360" w:lineRule="auto"/>
        <w:rPr>
          <w:rFonts w:ascii="宋体" w:hAnsi="宋体"/>
          <w:bCs/>
          <w:sz w:val="24"/>
        </w:rPr>
      </w:pPr>
    </w:p>
    <w:p w14:paraId="37D91F71">
      <w:pPr>
        <w:spacing w:line="360" w:lineRule="auto"/>
        <w:rPr>
          <w:rFonts w:ascii="宋体" w:hAnsi="宋体"/>
          <w:bCs/>
          <w:color w:val="000000"/>
          <w:sz w:val="24"/>
        </w:rPr>
      </w:pPr>
    </w:p>
    <w:p w14:paraId="0F1A13B7">
      <w:pPr>
        <w:spacing w:line="360" w:lineRule="auto"/>
        <w:rPr>
          <w:rFonts w:ascii="宋体" w:hAnsi="宋体"/>
          <w:bCs/>
          <w:color w:val="000000"/>
          <w:sz w:val="24"/>
        </w:rPr>
      </w:pPr>
    </w:p>
    <w:p w14:paraId="302F3F8F">
      <w:pPr>
        <w:pStyle w:val="8"/>
        <w:rPr>
          <w:rFonts w:ascii="宋体" w:hAnsi="宋体"/>
          <w:bCs/>
          <w:color w:val="000000"/>
          <w:sz w:val="24"/>
        </w:rPr>
      </w:pPr>
    </w:p>
    <w:p w14:paraId="16551C72">
      <w:pPr>
        <w:rPr>
          <w:rFonts w:ascii="宋体" w:hAnsi="宋体"/>
          <w:bCs/>
          <w:color w:val="000000"/>
          <w:sz w:val="24"/>
        </w:rPr>
      </w:pPr>
    </w:p>
    <w:p w14:paraId="2BBD21F3">
      <w:pPr>
        <w:pStyle w:val="8"/>
        <w:rPr>
          <w:rFonts w:ascii="宋体" w:hAnsi="宋体"/>
          <w:bCs/>
          <w:color w:val="000000"/>
          <w:sz w:val="24"/>
        </w:rPr>
      </w:pPr>
    </w:p>
    <w:p w14:paraId="5851F26A">
      <w:pPr>
        <w:pStyle w:val="8"/>
        <w:rPr>
          <w:rFonts w:ascii="宋体" w:hAnsi="宋体"/>
          <w:bCs/>
          <w:color w:val="000000"/>
          <w:sz w:val="24"/>
        </w:rPr>
      </w:pPr>
    </w:p>
    <w:p w14:paraId="2A725DB3">
      <w:pPr>
        <w:pStyle w:val="8"/>
        <w:rPr>
          <w:rFonts w:ascii="宋体" w:hAnsi="宋体"/>
          <w:bCs/>
          <w:color w:val="000000"/>
          <w:sz w:val="24"/>
        </w:rPr>
      </w:pPr>
    </w:p>
    <w:p w14:paraId="6344CAF5">
      <w:pPr>
        <w:pStyle w:val="8"/>
        <w:rPr>
          <w:rFonts w:ascii="宋体" w:hAnsi="宋体"/>
          <w:bCs/>
          <w:color w:val="000000"/>
          <w:sz w:val="24"/>
        </w:rPr>
      </w:pPr>
    </w:p>
    <w:p w14:paraId="01C02AF9">
      <w:pPr>
        <w:pStyle w:val="14"/>
        <w:spacing w:beforeAutospacing="0" w:afterAutospacing="0" w:line="0" w:lineRule="atLeast"/>
        <w:jc w:val="both"/>
      </w:pPr>
      <w:r>
        <w:t> </w:t>
      </w:r>
    </w:p>
    <w:p w14:paraId="5040A36F">
      <w:pPr>
        <w:pStyle w:val="14"/>
        <w:keepNext/>
        <w:spacing w:beforeAutospacing="0" w:afterAutospacing="0"/>
        <w:ind w:firstLine="2640" w:firstLineChars="600"/>
        <w:jc w:val="both"/>
      </w:pPr>
      <w:r>
        <w:rPr>
          <w:rFonts w:hint="eastAsia" w:ascii="黑体" w:hAnsi="宋体" w:eastAsia="黑体" w:cs="黑体"/>
          <w:color w:val="000000"/>
          <w:sz w:val="44"/>
          <w:szCs w:val="44"/>
        </w:rPr>
        <w:t>第三章  合同文本</w:t>
      </w:r>
    </w:p>
    <w:p w14:paraId="72EB4233">
      <w:pPr>
        <w:pStyle w:val="14"/>
        <w:spacing w:beforeAutospacing="0" w:afterAutospacing="0" w:line="0" w:lineRule="atLeast"/>
        <w:ind w:firstLine="480"/>
        <w:jc w:val="both"/>
      </w:pPr>
      <w:bookmarkStart w:id="174" w:name="_Toc513029243"/>
      <w:bookmarkStart w:id="175" w:name="_Toc16938559"/>
      <w:bookmarkStart w:id="176" w:name="_Toc20823315"/>
      <w:r>
        <w:rPr>
          <w:rFonts w:hint="eastAsia" w:ascii="宋体" w:hAnsi="宋体" w:eastAsia="宋体" w:cs="宋体"/>
          <w:color w:val="000000"/>
        </w:rPr>
        <w:t>以下为中标后签定本项目合同的通用条款，中标人不得提出实质性的修改。</w:t>
      </w:r>
      <w:bookmarkEnd w:id="174"/>
      <w:bookmarkEnd w:id="175"/>
      <w:bookmarkEnd w:id="176"/>
    </w:p>
    <w:p w14:paraId="745DECC8">
      <w:pPr>
        <w:pStyle w:val="14"/>
        <w:spacing w:before="145" w:beforeAutospacing="0" w:after="145" w:afterAutospacing="0"/>
        <w:jc w:val="center"/>
      </w:pPr>
      <w:r>
        <w:rPr>
          <w:rFonts w:hint="eastAsia" w:ascii="宋体" w:hAnsi="宋体" w:eastAsia="宋体" w:cs="宋体"/>
          <w:b/>
          <w:color w:val="000000"/>
          <w:sz w:val="30"/>
          <w:szCs w:val="30"/>
        </w:rPr>
        <w:t>盐城市政府采购合同（货物）（合同编号）</w:t>
      </w:r>
    </w:p>
    <w:p w14:paraId="5CD08CD9">
      <w:pPr>
        <w:pStyle w:val="14"/>
        <w:spacing w:before="120" w:beforeAutospacing="0" w:after="120" w:afterAutospacing="0"/>
        <w:jc w:val="both"/>
        <w:rPr>
          <w:rFonts w:ascii="宋体" w:hAnsi="宋体" w:eastAsia="宋体" w:cs="宋体"/>
          <w:color w:val="000000"/>
        </w:rPr>
      </w:pPr>
      <w:r>
        <w:rPr>
          <w:rFonts w:hint="eastAsia" w:ascii="宋体" w:hAnsi="宋体" w:eastAsia="宋体" w:cs="宋体"/>
          <w:color w:val="000000"/>
        </w:rPr>
        <w:t>项目名称：                        </w:t>
      </w:r>
    </w:p>
    <w:p w14:paraId="05C7FCC9">
      <w:pPr>
        <w:pStyle w:val="14"/>
        <w:spacing w:before="120" w:beforeAutospacing="0" w:after="120" w:afterAutospacing="0"/>
        <w:jc w:val="both"/>
        <w:rPr>
          <w:rFonts w:ascii="宋体" w:hAnsi="宋体" w:eastAsia="宋体" w:cs="宋体"/>
          <w:color w:val="000000"/>
        </w:rPr>
      </w:pPr>
      <w:r>
        <w:rPr>
          <w:rFonts w:hint="eastAsia" w:ascii="宋体" w:hAnsi="宋体" w:eastAsia="宋体" w:cs="宋体"/>
          <w:color w:val="000000"/>
        </w:rPr>
        <w:t>项目编号：</w:t>
      </w:r>
    </w:p>
    <w:p w14:paraId="4A176DAB">
      <w:pPr>
        <w:pStyle w:val="14"/>
        <w:spacing w:before="120" w:beforeAutospacing="0" w:after="120" w:afterAutospacing="0"/>
        <w:jc w:val="both"/>
      </w:pPr>
      <w:r>
        <w:rPr>
          <w:rFonts w:hint="eastAsia" w:ascii="宋体" w:hAnsi="宋体" w:eastAsia="宋体" w:cs="宋体"/>
          <w:color w:val="000000"/>
        </w:rPr>
        <w:t>甲方：（买方）_________</w:t>
      </w:r>
    </w:p>
    <w:p w14:paraId="15C4B443">
      <w:pPr>
        <w:pStyle w:val="14"/>
        <w:spacing w:before="120" w:beforeAutospacing="0" w:after="120" w:afterAutospacing="0"/>
        <w:jc w:val="both"/>
      </w:pPr>
      <w:r>
        <w:rPr>
          <w:rFonts w:hint="eastAsia" w:ascii="宋体" w:hAnsi="宋体" w:eastAsia="宋体" w:cs="宋体"/>
          <w:color w:val="000000"/>
        </w:rPr>
        <w:t>乙方：（卖方）_________</w:t>
      </w:r>
    </w:p>
    <w:p w14:paraId="50813DEB">
      <w:pPr>
        <w:pStyle w:val="14"/>
        <w:spacing w:before="120" w:beforeAutospacing="0" w:after="120" w:afterAutospacing="0"/>
        <w:jc w:val="both"/>
      </w:pPr>
      <w:r>
        <w:rPr>
          <w:rFonts w:hint="eastAsia" w:ascii="宋体" w:hAnsi="宋体" w:eastAsia="宋体" w:cs="宋体"/>
          <w:b/>
          <w:color w:val="000000"/>
        </w:rPr>
        <w:t xml:space="preserve">   </w:t>
      </w:r>
      <w:r>
        <w:rPr>
          <w:rFonts w:hint="eastAsia" w:ascii="宋体" w:hAnsi="宋体" w:eastAsia="宋体" w:cs="宋体"/>
          <w:color w:val="000000"/>
        </w:rPr>
        <w:t>甲、乙双方根据</w:t>
      </w:r>
      <w:r>
        <w:rPr>
          <w:rFonts w:hint="eastAsia" w:ascii="宋体" w:hAnsi="宋体" w:eastAsia="宋体" w:cs="宋体"/>
          <w:color w:val="000000"/>
          <w:u w:val="single"/>
        </w:rPr>
        <w:t xml:space="preserve">         </w:t>
      </w:r>
      <w:r>
        <w:rPr>
          <w:rFonts w:hint="eastAsia" w:ascii="宋体" w:hAnsi="宋体" w:eastAsia="宋体" w:cs="宋体"/>
          <w:color w:val="000000"/>
        </w:rPr>
        <w:t>项目公开招标的结果，签署本合同。</w:t>
      </w:r>
    </w:p>
    <w:p w14:paraId="46A110D4">
      <w:pPr>
        <w:pStyle w:val="14"/>
        <w:spacing w:before="120" w:beforeAutospacing="0" w:after="120" w:afterAutospacing="0"/>
        <w:jc w:val="both"/>
      </w:pPr>
      <w:r>
        <w:rPr>
          <w:rFonts w:hint="eastAsia" w:ascii="宋体" w:hAnsi="宋体" w:eastAsia="宋体" w:cs="宋体"/>
          <w:b/>
          <w:color w:val="000000"/>
        </w:rPr>
        <w:t>一、合同内容</w:t>
      </w:r>
    </w:p>
    <w:p w14:paraId="35FCE6CC">
      <w:pPr>
        <w:pStyle w:val="14"/>
        <w:spacing w:before="120" w:beforeAutospacing="0" w:after="120" w:afterAutospacing="0"/>
        <w:jc w:val="both"/>
      </w:pPr>
      <w:r>
        <w:rPr>
          <w:rFonts w:hint="eastAsia" w:ascii="宋体" w:hAnsi="宋体" w:eastAsia="宋体" w:cs="宋体"/>
          <w:color w:val="000000"/>
        </w:rPr>
        <w:t>1.1 标的名称：</w:t>
      </w:r>
    </w:p>
    <w:p w14:paraId="10D4529F">
      <w:pPr>
        <w:pStyle w:val="14"/>
        <w:spacing w:before="120" w:beforeAutospacing="0" w:after="120" w:afterAutospacing="0"/>
        <w:jc w:val="both"/>
      </w:pPr>
      <w:r>
        <w:rPr>
          <w:rFonts w:hint="eastAsia" w:ascii="宋体" w:hAnsi="宋体" w:eastAsia="宋体" w:cs="宋体"/>
          <w:color w:val="000000"/>
        </w:rPr>
        <w:t>1.2 标的质量：</w:t>
      </w:r>
    </w:p>
    <w:p w14:paraId="5C53A842">
      <w:pPr>
        <w:pStyle w:val="14"/>
        <w:spacing w:before="120" w:beforeAutospacing="0" w:after="120" w:afterAutospacing="0"/>
        <w:jc w:val="both"/>
      </w:pPr>
      <w:r>
        <w:rPr>
          <w:rFonts w:hint="eastAsia" w:ascii="宋体" w:hAnsi="宋体" w:eastAsia="宋体" w:cs="宋体"/>
          <w:color w:val="000000"/>
        </w:rPr>
        <w:t>1.3 标的数量（规模）：</w:t>
      </w:r>
    </w:p>
    <w:p w14:paraId="5C3B9760">
      <w:pPr>
        <w:pStyle w:val="14"/>
        <w:spacing w:before="120" w:beforeAutospacing="0" w:after="120" w:afterAutospacing="0"/>
        <w:jc w:val="both"/>
      </w:pPr>
      <w:r>
        <w:rPr>
          <w:rFonts w:hint="eastAsia" w:ascii="宋体" w:hAnsi="宋体" w:eastAsia="宋体" w:cs="宋体"/>
          <w:color w:val="000000"/>
        </w:rPr>
        <w:t>1.4 履行时间（期限）：</w:t>
      </w:r>
    </w:p>
    <w:p w14:paraId="65FE7BF2">
      <w:pPr>
        <w:pStyle w:val="14"/>
        <w:spacing w:before="120" w:beforeAutospacing="0" w:after="120" w:afterAutospacing="0"/>
        <w:jc w:val="both"/>
      </w:pPr>
      <w:r>
        <w:rPr>
          <w:rFonts w:hint="eastAsia" w:ascii="宋体" w:hAnsi="宋体" w:eastAsia="宋体" w:cs="宋体"/>
          <w:color w:val="000000"/>
        </w:rPr>
        <w:t>1.5 履行地点：</w:t>
      </w:r>
    </w:p>
    <w:p w14:paraId="248F67D1">
      <w:pPr>
        <w:pStyle w:val="14"/>
        <w:spacing w:before="120" w:beforeAutospacing="0" w:after="120" w:afterAutospacing="0"/>
        <w:jc w:val="both"/>
      </w:pPr>
      <w:r>
        <w:rPr>
          <w:rFonts w:hint="eastAsia" w:ascii="宋体" w:hAnsi="宋体" w:eastAsia="宋体" w:cs="宋体"/>
          <w:color w:val="000000"/>
        </w:rPr>
        <w:t>1.6 履行方式：</w:t>
      </w:r>
    </w:p>
    <w:p w14:paraId="108B3685">
      <w:pPr>
        <w:pStyle w:val="14"/>
        <w:spacing w:before="120" w:beforeAutospacing="0" w:after="120" w:afterAutospacing="0"/>
        <w:jc w:val="both"/>
      </w:pPr>
      <w:r>
        <w:rPr>
          <w:rFonts w:hint="eastAsia" w:ascii="宋体" w:hAnsi="宋体" w:eastAsia="宋体" w:cs="宋体"/>
          <w:color w:val="000000"/>
        </w:rPr>
        <w:t>1.7 包装方式：</w:t>
      </w:r>
    </w:p>
    <w:p w14:paraId="04BFEA59">
      <w:pPr>
        <w:pStyle w:val="14"/>
        <w:spacing w:before="120" w:beforeAutospacing="0" w:after="120" w:afterAutospacing="0"/>
        <w:jc w:val="both"/>
      </w:pPr>
      <w:r>
        <w:rPr>
          <w:rFonts w:hint="eastAsia" w:ascii="宋体" w:hAnsi="宋体" w:eastAsia="宋体" w:cs="宋体"/>
          <w:b/>
          <w:color w:val="000000"/>
        </w:rPr>
        <w:t>二、合同金额</w:t>
      </w:r>
    </w:p>
    <w:p w14:paraId="79B92881">
      <w:pPr>
        <w:pStyle w:val="14"/>
        <w:spacing w:before="120" w:beforeAutospacing="0" w:after="120" w:afterAutospacing="0"/>
        <w:ind w:left="410" w:hanging="410"/>
        <w:jc w:val="both"/>
      </w:pPr>
      <w:r>
        <w:rPr>
          <w:rFonts w:hint="eastAsia" w:ascii="宋体" w:hAnsi="宋体" w:eastAsia="宋体" w:cs="宋体"/>
          <w:color w:val="000000"/>
        </w:rPr>
        <w:t>2.1 本合同金额为（大写）：_______圆（___元）人民币或其他币种。</w:t>
      </w:r>
    </w:p>
    <w:p w14:paraId="64D0BBE3">
      <w:pPr>
        <w:pStyle w:val="14"/>
        <w:spacing w:before="120" w:beforeAutospacing="0" w:after="120" w:afterAutospacing="0"/>
        <w:jc w:val="both"/>
      </w:pPr>
      <w:r>
        <w:rPr>
          <w:rFonts w:hint="eastAsia" w:ascii="宋体" w:hAnsi="宋体" w:eastAsia="宋体" w:cs="宋体"/>
          <w:b/>
          <w:color w:val="000000"/>
        </w:rPr>
        <w:t>三、技术资料</w:t>
      </w:r>
    </w:p>
    <w:p w14:paraId="6536824A">
      <w:pPr>
        <w:pStyle w:val="14"/>
        <w:spacing w:before="120" w:beforeAutospacing="0" w:after="120" w:afterAutospacing="0"/>
        <w:ind w:left="410" w:hanging="410"/>
        <w:jc w:val="both"/>
      </w:pPr>
      <w:r>
        <w:rPr>
          <w:rFonts w:hint="eastAsia" w:ascii="宋体" w:hAnsi="宋体" w:eastAsia="宋体" w:cs="宋体"/>
          <w:color w:val="000000"/>
        </w:rPr>
        <w:t>3.1乙方应按招标文件规定的时间向甲方提供使用货物(包含与货物相关的服务)的有关技术资料。</w:t>
      </w:r>
    </w:p>
    <w:p w14:paraId="01A05CC8">
      <w:pPr>
        <w:pStyle w:val="14"/>
        <w:spacing w:before="120" w:beforeAutospacing="0" w:after="120" w:afterAutospacing="0"/>
        <w:ind w:left="410" w:hanging="410"/>
        <w:jc w:val="both"/>
      </w:pPr>
      <w:r>
        <w:rPr>
          <w:rFonts w:hint="eastAsia" w:ascii="宋体" w:hAnsi="宋体" w:eastAsia="宋体" w:cs="宋体"/>
          <w:color w:val="000000"/>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25EB102">
      <w:pPr>
        <w:pStyle w:val="14"/>
        <w:spacing w:before="120" w:beforeAutospacing="0" w:after="120" w:afterAutospacing="0"/>
        <w:ind w:left="412" w:hanging="412"/>
        <w:jc w:val="both"/>
      </w:pPr>
      <w:r>
        <w:rPr>
          <w:rFonts w:hint="eastAsia" w:ascii="宋体" w:hAnsi="宋体" w:eastAsia="宋体" w:cs="宋体"/>
          <w:b/>
          <w:color w:val="000000"/>
        </w:rPr>
        <w:t>四、知识产权</w:t>
      </w:r>
    </w:p>
    <w:p w14:paraId="28762546">
      <w:pPr>
        <w:pStyle w:val="14"/>
        <w:spacing w:beforeAutospacing="0" w:afterAutospacing="0" w:line="0" w:lineRule="atLeast"/>
        <w:jc w:val="both"/>
      </w:pPr>
      <w:r>
        <w:rPr>
          <w:rFonts w:ascii="Times New Roman" w:hAnsi="Times New Roman"/>
          <w:color w:val="000000"/>
        </w:rPr>
        <w:t>4.1乙</w:t>
      </w:r>
      <w:r>
        <w:rPr>
          <w:rFonts w:hint="eastAsia" w:ascii="宋体" w:hAnsi="宋体" w:eastAsia="宋体" w:cs="宋体"/>
          <w:color w:val="000000"/>
        </w:rPr>
        <w:t>方应保证甲方在使用、接受本合同货物</w:t>
      </w:r>
      <w:r>
        <w:rPr>
          <w:rFonts w:ascii="Times New Roman" w:hAnsi="Times New Roman"/>
          <w:color w:val="000000"/>
        </w:rPr>
        <w:t>（包含与货物相关的服务）</w:t>
      </w:r>
      <w:r>
        <w:rPr>
          <w:rFonts w:hint="eastAsia" w:ascii="宋体" w:hAnsi="宋体" w:eastAsia="宋体" w:cs="宋体"/>
          <w:color w:val="000000"/>
        </w:rPr>
        <w:t>或其任何一部分时不受第三方提出侵犯其专利权、版权、商标权和工业设计权等知识产权的起诉。一旦出现侵权，由乙方负全部责任。</w:t>
      </w:r>
    </w:p>
    <w:p w14:paraId="39CA65EF">
      <w:pPr>
        <w:pStyle w:val="14"/>
        <w:spacing w:before="120" w:beforeAutospacing="0" w:after="120" w:afterAutospacing="0"/>
        <w:jc w:val="both"/>
      </w:pPr>
      <w:r>
        <w:rPr>
          <w:rFonts w:hint="eastAsia" w:ascii="宋体" w:hAnsi="宋体" w:eastAsia="宋体" w:cs="宋体"/>
          <w:b/>
          <w:color w:val="000000"/>
        </w:rPr>
        <w:t>五、产权担保</w:t>
      </w:r>
    </w:p>
    <w:p w14:paraId="7604D073">
      <w:pPr>
        <w:pStyle w:val="14"/>
        <w:spacing w:before="120" w:beforeAutospacing="0" w:after="120" w:afterAutospacing="0"/>
        <w:ind w:left="408" w:hanging="408"/>
        <w:jc w:val="both"/>
      </w:pPr>
      <w:r>
        <w:rPr>
          <w:rFonts w:hint="eastAsia" w:ascii="宋体" w:hAnsi="宋体" w:eastAsia="宋体" w:cs="宋体"/>
          <w:color w:val="000000"/>
        </w:rPr>
        <w:t>5.1 乙方保证所交付的货物（包含与货物相关的服务）的所有权完全属于乙方且无任何抵押、查封等产权瑕疵。</w:t>
      </w:r>
    </w:p>
    <w:p w14:paraId="2CFE495A">
      <w:pPr>
        <w:pStyle w:val="14"/>
        <w:spacing w:before="120" w:beforeAutospacing="0" w:after="120" w:afterAutospacing="0"/>
        <w:ind w:left="410" w:hanging="410"/>
        <w:jc w:val="both"/>
      </w:pPr>
      <w:r>
        <w:rPr>
          <w:rFonts w:hint="eastAsia" w:ascii="宋体" w:hAnsi="宋体" w:eastAsia="宋体" w:cs="宋体"/>
          <w:b/>
          <w:color w:val="000000"/>
        </w:rPr>
        <w:t>六、履约保证金</w:t>
      </w:r>
    </w:p>
    <w:p w14:paraId="35D648F6">
      <w:pPr>
        <w:pStyle w:val="14"/>
        <w:spacing w:before="120" w:beforeAutospacing="0" w:after="120" w:afterAutospacing="0"/>
        <w:ind w:left="408" w:hanging="408"/>
        <w:jc w:val="both"/>
        <w:rPr>
          <w:rFonts w:ascii="宋体" w:hAnsi="宋体" w:eastAsia="宋体" w:cs="宋体"/>
          <w:color w:val="000000"/>
        </w:rPr>
      </w:pPr>
      <w:r>
        <w:rPr>
          <w:rFonts w:hint="eastAsia" w:ascii="宋体" w:hAnsi="宋体" w:eastAsia="宋体" w:cs="宋体"/>
          <w:color w:val="000000"/>
        </w:rPr>
        <w:t>6.1 乙方交纳人民币_________元作为本合同的履约保证金。</w:t>
      </w:r>
    </w:p>
    <w:p w14:paraId="265D0D3B">
      <w:pPr>
        <w:pStyle w:val="14"/>
        <w:spacing w:before="120" w:beforeAutospacing="0" w:after="120" w:afterAutospacing="0"/>
        <w:ind w:left="408" w:hanging="408"/>
        <w:jc w:val="both"/>
      </w:pPr>
      <w:r>
        <w:rPr>
          <w:rFonts w:hint="eastAsia" w:ascii="宋体" w:hAnsi="宋体" w:eastAsia="宋体" w:cs="宋体"/>
          <w:color w:val="000000"/>
        </w:rPr>
        <w:t>6.2合同履行结束后，甲方应及时退还交纳的履约保证金。</w:t>
      </w:r>
    </w:p>
    <w:p w14:paraId="60563E0D">
      <w:pPr>
        <w:spacing w:line="360" w:lineRule="auto"/>
        <w:rPr>
          <w:rFonts w:ascii="宋体" w:hAnsi="宋体" w:eastAsia="宋体" w:cs="宋体"/>
          <w:color w:val="FF0000"/>
          <w:kern w:val="0"/>
          <w:sz w:val="24"/>
        </w:rPr>
      </w:pPr>
      <w:r>
        <w:rPr>
          <w:rFonts w:hint="eastAsia" w:ascii="宋体" w:hAnsi="宋体" w:eastAsia="宋体" w:cs="宋体"/>
          <w:color w:val="FF0000"/>
          <w:kern w:val="0"/>
          <w:sz w:val="24"/>
        </w:rPr>
        <w:t>6.3履约保证金的退还：</w:t>
      </w:r>
    </w:p>
    <w:p w14:paraId="3888B9E1">
      <w:pPr>
        <w:spacing w:line="360" w:lineRule="auto"/>
        <w:rPr>
          <w:rFonts w:ascii="宋体" w:hAnsi="宋体" w:eastAsia="宋体" w:cs="宋体"/>
          <w:color w:val="FF0000"/>
          <w:kern w:val="0"/>
          <w:sz w:val="24"/>
        </w:rPr>
      </w:pPr>
      <w:r>
        <w:rPr>
          <w:rFonts w:hint="eastAsia" w:ascii="宋体" w:hAnsi="宋体" w:eastAsia="宋体" w:cs="宋体"/>
          <w:color w:val="FF0000"/>
          <w:kern w:val="0"/>
          <w:sz w:val="24"/>
        </w:rPr>
        <w:t>6.3.1方式：无息退还至投标人缴纳履约保证金的账户。如为保函，在到期时自行失效。</w:t>
      </w:r>
    </w:p>
    <w:p w14:paraId="786016DA">
      <w:pPr>
        <w:spacing w:line="360" w:lineRule="auto"/>
        <w:rPr>
          <w:rFonts w:ascii="宋体" w:hAnsi="宋体" w:eastAsia="宋体" w:cs="宋体"/>
          <w:color w:val="FF0000"/>
          <w:kern w:val="0"/>
          <w:sz w:val="24"/>
        </w:rPr>
      </w:pPr>
      <w:r>
        <w:rPr>
          <w:rFonts w:hint="eastAsia" w:ascii="宋体" w:hAnsi="宋体" w:eastAsia="宋体" w:cs="宋体"/>
          <w:color w:val="FF0000"/>
          <w:kern w:val="0"/>
          <w:sz w:val="24"/>
        </w:rPr>
        <w:t>6.3.2时间：验收合格且采购人收到发票后30日内。</w:t>
      </w:r>
    </w:p>
    <w:p w14:paraId="524659CC">
      <w:pPr>
        <w:spacing w:line="360" w:lineRule="auto"/>
        <w:rPr>
          <w:rFonts w:ascii="宋体" w:hAnsi="宋体" w:eastAsia="宋体" w:cs="宋体"/>
          <w:color w:val="FF0000"/>
          <w:kern w:val="0"/>
          <w:sz w:val="24"/>
        </w:rPr>
      </w:pPr>
      <w:r>
        <w:rPr>
          <w:rFonts w:hint="eastAsia" w:ascii="宋体" w:hAnsi="宋体" w:eastAsia="宋体" w:cs="宋体"/>
          <w:color w:val="FF0000"/>
          <w:kern w:val="0"/>
          <w:sz w:val="24"/>
        </w:rPr>
        <w:t>6.3.3条件：按合同要求全部履约完成并经采购人验收合格，且采购人收到中标人出具的发票。</w:t>
      </w:r>
    </w:p>
    <w:p w14:paraId="44048D6C">
      <w:pPr>
        <w:spacing w:line="360" w:lineRule="auto"/>
        <w:rPr>
          <w:rFonts w:ascii="宋体" w:hAnsi="宋体" w:eastAsia="宋体" w:cs="宋体"/>
          <w:color w:val="FF0000"/>
          <w:kern w:val="0"/>
          <w:sz w:val="24"/>
        </w:rPr>
      </w:pPr>
      <w:r>
        <w:rPr>
          <w:rFonts w:hint="eastAsia" w:ascii="宋体" w:hAnsi="宋体" w:eastAsia="宋体" w:cs="宋体"/>
          <w:color w:val="FF0000"/>
          <w:kern w:val="0"/>
          <w:sz w:val="24"/>
        </w:rPr>
        <w:t>6.3.4不予退还情形：</w:t>
      </w:r>
    </w:p>
    <w:p w14:paraId="5AC95A87">
      <w:pPr>
        <w:spacing w:line="360" w:lineRule="auto"/>
        <w:rPr>
          <w:rFonts w:ascii="宋体" w:hAnsi="宋体" w:eastAsia="宋体" w:cs="宋体"/>
          <w:color w:val="FF0000"/>
          <w:kern w:val="0"/>
          <w:sz w:val="24"/>
        </w:rPr>
      </w:pPr>
      <w:r>
        <w:rPr>
          <w:rFonts w:hint="eastAsia" w:ascii="宋体" w:hAnsi="宋体" w:eastAsia="宋体" w:cs="宋体"/>
          <w:color w:val="FF0000"/>
          <w:kern w:val="0"/>
          <w:sz w:val="24"/>
        </w:rPr>
        <w:t>除不可抗力情况外，投标人出现下列情形之一的，其履约保证金，招标人将视情节决定不予退还或部分不予退还。</w:t>
      </w:r>
    </w:p>
    <w:p w14:paraId="42FF2404">
      <w:pPr>
        <w:spacing w:line="360" w:lineRule="auto"/>
        <w:rPr>
          <w:rFonts w:ascii="宋体" w:hAnsi="宋体" w:eastAsia="宋体" w:cs="宋体"/>
          <w:color w:val="FF0000"/>
          <w:kern w:val="0"/>
          <w:sz w:val="24"/>
        </w:rPr>
      </w:pPr>
      <w:r>
        <w:rPr>
          <w:rFonts w:hint="eastAsia" w:ascii="宋体" w:hAnsi="宋体" w:eastAsia="宋体" w:cs="宋体"/>
          <w:color w:val="FF0000"/>
          <w:kern w:val="0"/>
          <w:sz w:val="24"/>
        </w:rPr>
        <w:t>（1）中标人无正当理由拒绝签订合同的，或者在签订合同时向采购人提出附加条件或者更改合同实质性内容要求的；</w:t>
      </w:r>
    </w:p>
    <w:p w14:paraId="27A95DB9">
      <w:pPr>
        <w:spacing w:line="360" w:lineRule="auto"/>
        <w:rPr>
          <w:rFonts w:ascii="宋体" w:hAnsi="宋体" w:eastAsia="宋体" w:cs="宋体"/>
          <w:color w:val="FF0000"/>
          <w:kern w:val="0"/>
          <w:sz w:val="24"/>
        </w:rPr>
      </w:pPr>
      <w:r>
        <w:rPr>
          <w:rFonts w:hint="eastAsia" w:ascii="宋体" w:hAnsi="宋体" w:eastAsia="宋体" w:cs="宋体"/>
          <w:color w:val="FF0000"/>
          <w:kern w:val="0"/>
          <w:sz w:val="24"/>
        </w:rPr>
        <w:t>（2）中标人不履行与采购人订立的合同的；</w:t>
      </w:r>
    </w:p>
    <w:p w14:paraId="7EB6D5E7">
      <w:pPr>
        <w:spacing w:line="360" w:lineRule="auto"/>
        <w:rPr>
          <w:rFonts w:ascii="宋体" w:hAnsi="宋体" w:eastAsia="宋体" w:cs="宋体"/>
          <w:color w:val="FF0000"/>
          <w:kern w:val="0"/>
          <w:sz w:val="24"/>
        </w:rPr>
      </w:pPr>
      <w:r>
        <w:rPr>
          <w:rFonts w:hint="eastAsia" w:ascii="宋体" w:hAnsi="宋体" w:eastAsia="宋体" w:cs="宋体"/>
          <w:color w:val="FF0000"/>
          <w:kern w:val="0"/>
          <w:sz w:val="24"/>
        </w:rPr>
        <w:t>（3）中标人所供货物或服务不符合招标文件规定要求的；</w:t>
      </w:r>
    </w:p>
    <w:p w14:paraId="26B3BBF5">
      <w:pPr>
        <w:spacing w:line="360" w:lineRule="auto"/>
        <w:rPr>
          <w:rFonts w:ascii="宋体" w:hAnsi="宋体" w:eastAsia="宋体" w:cs="宋体"/>
          <w:color w:val="FF0000"/>
          <w:kern w:val="0"/>
          <w:sz w:val="24"/>
        </w:rPr>
      </w:pPr>
      <w:r>
        <w:rPr>
          <w:rFonts w:hint="eastAsia" w:ascii="宋体" w:hAnsi="宋体" w:eastAsia="宋体" w:cs="宋体"/>
          <w:color w:val="FF0000"/>
          <w:kern w:val="0"/>
          <w:sz w:val="24"/>
        </w:rPr>
        <w:t>（4）中标人采取欺骗、弄虚作假方式投标的或与其它投标人串通投标的；</w:t>
      </w:r>
    </w:p>
    <w:p w14:paraId="0D3CD31C">
      <w:pPr>
        <w:spacing w:line="360" w:lineRule="auto"/>
        <w:rPr>
          <w:rFonts w:ascii="宋体" w:hAnsi="宋体" w:eastAsia="宋体" w:cs="宋体"/>
          <w:color w:val="FF0000"/>
          <w:kern w:val="0"/>
          <w:sz w:val="24"/>
        </w:rPr>
      </w:pPr>
      <w:r>
        <w:rPr>
          <w:rFonts w:hint="eastAsia" w:ascii="宋体" w:hAnsi="宋体" w:eastAsia="宋体" w:cs="宋体"/>
          <w:color w:val="FF0000"/>
          <w:kern w:val="0"/>
          <w:sz w:val="24"/>
        </w:rPr>
        <w:t>（5）中标人将合同内容转包、违法分包的；</w:t>
      </w:r>
    </w:p>
    <w:p w14:paraId="3BA218CA">
      <w:pPr>
        <w:spacing w:line="360" w:lineRule="auto"/>
        <w:rPr>
          <w:rFonts w:ascii="宋体" w:hAnsi="宋体" w:eastAsia="宋体" w:cs="宋体"/>
          <w:color w:val="FF0000"/>
          <w:kern w:val="0"/>
          <w:sz w:val="24"/>
        </w:rPr>
      </w:pPr>
      <w:r>
        <w:rPr>
          <w:rFonts w:hint="eastAsia" w:ascii="宋体" w:hAnsi="宋体" w:eastAsia="宋体" w:cs="宋体"/>
          <w:color w:val="FF0000"/>
          <w:kern w:val="0"/>
          <w:sz w:val="24"/>
        </w:rPr>
        <w:t>（6）中标人故意捏造事实或伪造证明材料，进行虚假恶意投诉或反映的。</w:t>
      </w:r>
    </w:p>
    <w:p w14:paraId="20C70E2E">
      <w:pPr>
        <w:spacing w:line="360" w:lineRule="auto"/>
        <w:rPr>
          <w:rFonts w:ascii="宋体" w:hAnsi="宋体" w:eastAsia="宋体" w:cs="宋体"/>
          <w:color w:val="FF0000"/>
          <w:kern w:val="0"/>
          <w:sz w:val="24"/>
        </w:rPr>
      </w:pPr>
      <w:r>
        <w:rPr>
          <w:rFonts w:hint="eastAsia" w:ascii="宋体" w:hAnsi="宋体" w:eastAsia="宋体" w:cs="宋体"/>
          <w:color w:val="FF0000"/>
          <w:kern w:val="0"/>
          <w:sz w:val="24"/>
        </w:rPr>
        <w:t>6.3.5逾期退还的违约责任：采购人逾期无故未退还履约保证金的，按中国人民银行同期贷款基准利率上浮20%后的利率支付超期资金占用费，但因供应商自身原因导致无法及时退还的除外。</w:t>
      </w:r>
    </w:p>
    <w:p w14:paraId="04EB8C73">
      <w:pPr>
        <w:pStyle w:val="14"/>
        <w:spacing w:before="145" w:beforeAutospacing="0" w:after="145" w:afterAutospacing="0"/>
        <w:jc w:val="both"/>
      </w:pPr>
      <w:r>
        <w:rPr>
          <w:rFonts w:hint="eastAsia" w:ascii="宋体" w:hAnsi="宋体" w:eastAsia="宋体" w:cs="宋体"/>
          <w:b/>
          <w:color w:val="000000"/>
        </w:rPr>
        <w:t>七、合同转包或分包</w:t>
      </w:r>
    </w:p>
    <w:p w14:paraId="7A70D034">
      <w:pPr>
        <w:pStyle w:val="14"/>
        <w:spacing w:before="145" w:beforeAutospacing="0" w:after="145" w:afterAutospacing="0"/>
        <w:jc w:val="both"/>
      </w:pPr>
      <w:r>
        <w:rPr>
          <w:rFonts w:hint="eastAsia" w:ascii="宋体" w:hAnsi="宋体" w:eastAsia="宋体" w:cs="宋体"/>
          <w:color w:val="000000"/>
        </w:rPr>
        <w:t>7.1乙方不得将合同标的转包给他人履行。</w:t>
      </w:r>
    </w:p>
    <w:p w14:paraId="16981D7D">
      <w:pPr>
        <w:pStyle w:val="14"/>
        <w:spacing w:before="145" w:beforeAutospacing="0" w:after="145" w:afterAutospacing="0"/>
        <w:jc w:val="both"/>
      </w:pPr>
      <w:r>
        <w:rPr>
          <w:rFonts w:hint="eastAsia" w:ascii="宋体" w:hAnsi="宋体" w:eastAsia="宋体" w:cs="宋体"/>
          <w:color w:val="000000"/>
        </w:rPr>
        <w:t>7.2乙方不得将合同标的分包给他人履行。</w:t>
      </w:r>
    </w:p>
    <w:p w14:paraId="6B8EA628">
      <w:pPr>
        <w:pStyle w:val="14"/>
        <w:spacing w:before="145" w:beforeAutospacing="0" w:after="145" w:afterAutospacing="0"/>
        <w:jc w:val="both"/>
      </w:pPr>
      <w:r>
        <w:rPr>
          <w:rFonts w:hint="eastAsia" w:ascii="宋体" w:hAnsi="宋体" w:eastAsia="宋体" w:cs="宋体"/>
          <w:color w:val="000000"/>
        </w:rPr>
        <w:t>7.3乙方如有转包或未经甲方同意的分包行为，甲方有权给予终止合同。</w:t>
      </w:r>
    </w:p>
    <w:p w14:paraId="7A4C884C">
      <w:pPr>
        <w:pStyle w:val="14"/>
        <w:spacing w:before="120" w:beforeAutospacing="0" w:after="120" w:afterAutospacing="0"/>
        <w:jc w:val="both"/>
      </w:pPr>
      <w:r>
        <w:rPr>
          <w:rFonts w:hint="eastAsia" w:ascii="宋体" w:hAnsi="宋体" w:eastAsia="宋体" w:cs="宋体"/>
          <w:b/>
          <w:color w:val="000000"/>
        </w:rPr>
        <w:t>八、合同款项支付</w:t>
      </w:r>
    </w:p>
    <w:p w14:paraId="406C724D">
      <w:pPr>
        <w:pStyle w:val="14"/>
        <w:spacing w:before="120" w:beforeAutospacing="0" w:after="120" w:afterAutospacing="0"/>
        <w:jc w:val="both"/>
        <w:rPr>
          <w:rFonts w:hint="eastAsia" w:ascii="宋体" w:hAnsi="宋体" w:eastAsia="宋体" w:cs="宋体"/>
          <w:color w:val="000000"/>
        </w:rPr>
      </w:pPr>
      <w:r>
        <w:rPr>
          <w:rFonts w:hint="eastAsia" w:ascii="宋体" w:hAnsi="宋体" w:eastAsia="宋体" w:cs="宋体"/>
          <w:color w:val="000000"/>
        </w:rPr>
        <w:t>8.1合同款项的支付方式及进度安排</w:t>
      </w:r>
    </w:p>
    <w:p w14:paraId="64277E9E">
      <w:pPr>
        <w:pStyle w:val="14"/>
        <w:spacing w:before="120" w:beforeAutospacing="0" w:after="120" w:afterAutospacing="0"/>
        <w:jc w:val="both"/>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8.1.1</w:t>
      </w:r>
      <w:r>
        <w:rPr>
          <w:rFonts w:hint="eastAsia" w:ascii="宋体" w:hAnsi="宋体" w:eastAsia="宋体" w:cs="宋体"/>
          <w:color w:val="000000"/>
          <w:highlight w:val="none"/>
        </w:rPr>
        <w:t>本项目落实预付款制度，预付款比例为30%，采购单位在收到发票后 10个工作日内将预付款支付到合同约定的中标单位账户（在签订合同时，中标、成交供应商明确书面表示无需预付款或者主动要求降低预付款比例的，采购人可就预付款比例作相应调整）。</w:t>
      </w:r>
    </w:p>
    <w:p w14:paraId="20463271">
      <w:pPr>
        <w:pStyle w:val="14"/>
        <w:spacing w:before="120" w:beforeAutospacing="0" w:after="120" w:afterAutospacing="0"/>
        <w:jc w:val="both"/>
        <w:rPr>
          <w:rFonts w:hint="eastAsia" w:ascii="宋体" w:hAnsi="宋体" w:eastAsia="宋体" w:cs="宋体"/>
          <w:color w:val="000000"/>
        </w:rPr>
      </w:pPr>
      <w:r>
        <w:rPr>
          <w:rFonts w:hint="eastAsia" w:ascii="宋体" w:hAnsi="宋体" w:eastAsia="宋体" w:cs="宋体"/>
          <w:color w:val="000000"/>
          <w:lang w:val="en-US" w:eastAsia="zh-CN"/>
        </w:rPr>
        <w:t>8.1.2</w:t>
      </w:r>
      <w:r>
        <w:rPr>
          <w:rFonts w:hint="eastAsia" w:ascii="宋体" w:hAnsi="宋体" w:eastAsia="宋体" w:cs="宋体"/>
          <w:color w:val="000000"/>
        </w:rPr>
        <w:t>中标方按照采购人的要求将货物送到指定地点并完成安装调试，项目验收合格后付至项目总价70%。验收合格满一年后付</w:t>
      </w:r>
      <w:r>
        <w:rPr>
          <w:rFonts w:hint="eastAsia" w:ascii="宋体" w:hAnsi="宋体" w:eastAsia="宋体" w:cs="宋体"/>
          <w:color w:val="000000"/>
          <w:lang w:val="en-US" w:eastAsia="zh-CN"/>
        </w:rPr>
        <w:t>至</w:t>
      </w:r>
      <w:r>
        <w:rPr>
          <w:rFonts w:hint="eastAsia" w:ascii="宋体" w:hAnsi="宋体" w:eastAsia="宋体" w:cs="宋体"/>
          <w:color w:val="000000"/>
        </w:rPr>
        <w:t>项目总价</w:t>
      </w:r>
      <w:r>
        <w:rPr>
          <w:rFonts w:hint="eastAsia" w:ascii="宋体" w:hAnsi="宋体" w:eastAsia="宋体" w:cs="宋体"/>
          <w:color w:val="000000"/>
          <w:lang w:val="en-US" w:eastAsia="zh-CN"/>
        </w:rPr>
        <w:t>9</w:t>
      </w:r>
      <w:r>
        <w:rPr>
          <w:rFonts w:hint="eastAsia" w:ascii="宋体" w:hAnsi="宋体" w:eastAsia="宋体" w:cs="宋体"/>
          <w:color w:val="000000"/>
        </w:rPr>
        <w:t>0%，验收合格满八年后无质量、服务问题一次性付清余款（无息）。</w:t>
      </w:r>
    </w:p>
    <w:p w14:paraId="53C4E4AD">
      <w:pPr>
        <w:pStyle w:val="14"/>
        <w:spacing w:before="145" w:beforeAutospacing="0" w:after="145" w:afterAutospacing="0"/>
        <w:jc w:val="both"/>
      </w:pPr>
      <w:r>
        <w:rPr>
          <w:rFonts w:hint="eastAsia" w:ascii="宋体" w:hAnsi="宋体" w:eastAsia="宋体" w:cs="宋体"/>
          <w:b/>
          <w:color w:val="000000"/>
        </w:rPr>
        <w:t>九、税费</w:t>
      </w:r>
    </w:p>
    <w:p w14:paraId="64BEBEF2">
      <w:pPr>
        <w:pStyle w:val="14"/>
        <w:spacing w:before="145" w:beforeAutospacing="0" w:after="145" w:afterAutospacing="0"/>
        <w:jc w:val="both"/>
      </w:pPr>
      <w:r>
        <w:rPr>
          <w:rFonts w:hint="eastAsia" w:ascii="宋体" w:hAnsi="宋体" w:eastAsia="宋体" w:cs="宋体"/>
          <w:color w:val="000000"/>
        </w:rPr>
        <w:t>9.1本合同执行中相关的一切税费均由乙方负担。</w:t>
      </w:r>
    </w:p>
    <w:p w14:paraId="001EEA24">
      <w:pPr>
        <w:pStyle w:val="14"/>
        <w:spacing w:before="120" w:beforeAutospacing="0" w:after="120" w:afterAutospacing="0"/>
        <w:ind w:left="412" w:hanging="412"/>
        <w:jc w:val="both"/>
      </w:pPr>
      <w:r>
        <w:rPr>
          <w:rFonts w:hint="eastAsia" w:ascii="宋体" w:hAnsi="宋体" w:eastAsia="宋体" w:cs="宋体"/>
          <w:b/>
          <w:color w:val="000000"/>
        </w:rPr>
        <w:t>十、质量保修范围和保修期及售后服务</w:t>
      </w:r>
    </w:p>
    <w:p w14:paraId="6D40A1A0">
      <w:pPr>
        <w:pStyle w:val="14"/>
        <w:spacing w:before="120" w:beforeAutospacing="0" w:after="120" w:afterAutospacing="0"/>
        <w:ind w:left="410" w:hanging="410"/>
        <w:jc w:val="both"/>
      </w:pPr>
      <w:r>
        <w:rPr>
          <w:rFonts w:hint="eastAsia" w:ascii="宋体" w:hAnsi="宋体" w:eastAsia="宋体" w:cs="宋体"/>
          <w:color w:val="000000"/>
        </w:rPr>
        <w:t>10.1 乙方应按招标文件规定的货物性能、技术要求、质量标准向甲方提供未经使用的全新产品。</w:t>
      </w:r>
    </w:p>
    <w:p w14:paraId="6D5D742D">
      <w:pPr>
        <w:pStyle w:val="14"/>
        <w:spacing w:before="120" w:beforeAutospacing="0" w:after="120" w:afterAutospacing="0"/>
        <w:ind w:left="480" w:hanging="480"/>
        <w:jc w:val="both"/>
      </w:pPr>
      <w:r>
        <w:rPr>
          <w:rFonts w:hint="eastAsia" w:ascii="宋体" w:hAnsi="宋体" w:eastAsia="宋体" w:cs="宋体"/>
          <w:color w:val="000000"/>
        </w:rPr>
        <w:t>10.2 乙方提供的货物在质量期内因货物本身的质量问题发生故障，乙方应负责免费更换。对达不到技术要求者，根据实际情况，经双方协商，可按以下办法处理：</w:t>
      </w:r>
    </w:p>
    <w:p w14:paraId="2C959931">
      <w:pPr>
        <w:pStyle w:val="14"/>
        <w:spacing w:before="120" w:beforeAutospacing="0" w:after="120" w:afterAutospacing="0"/>
        <w:ind w:firstLine="420"/>
        <w:jc w:val="both"/>
      </w:pPr>
      <w:r>
        <w:rPr>
          <w:rFonts w:hint="eastAsia" w:ascii="宋体" w:hAnsi="宋体" w:eastAsia="宋体" w:cs="宋体"/>
          <w:color w:val="000000"/>
        </w:rPr>
        <w:t>⑴更换：由乙方承担所发生的全部费用。</w:t>
      </w:r>
    </w:p>
    <w:p w14:paraId="599FE425">
      <w:pPr>
        <w:pStyle w:val="14"/>
        <w:spacing w:before="120" w:beforeAutospacing="0" w:after="120" w:afterAutospacing="0"/>
        <w:ind w:firstLine="420"/>
        <w:jc w:val="both"/>
      </w:pPr>
      <w:r>
        <w:rPr>
          <w:rFonts w:hint="eastAsia" w:ascii="宋体" w:hAnsi="宋体" w:eastAsia="宋体" w:cs="宋体"/>
          <w:color w:val="000000"/>
        </w:rPr>
        <w:t>⑵贬值处理：由甲乙双方合议定价。</w:t>
      </w:r>
    </w:p>
    <w:p w14:paraId="36B3AD0D">
      <w:pPr>
        <w:pStyle w:val="14"/>
        <w:spacing w:before="120" w:beforeAutospacing="0" w:after="120" w:afterAutospacing="0"/>
        <w:ind w:left="420"/>
        <w:jc w:val="both"/>
      </w:pPr>
      <w:r>
        <w:rPr>
          <w:rFonts w:hint="eastAsia" w:ascii="宋体" w:hAnsi="宋体" w:eastAsia="宋体" w:cs="宋体"/>
          <w:color w:val="000000"/>
        </w:rPr>
        <w:t>⑶退货处理：乙方应退还甲方支付的合同款，同时应承担该货物的直接费用（运输、保险、检验、货款利息及银行手续费等）。</w:t>
      </w:r>
    </w:p>
    <w:p w14:paraId="6BE27237">
      <w:pPr>
        <w:pStyle w:val="14"/>
        <w:spacing w:before="120" w:beforeAutospacing="0" w:after="120" w:afterAutospacing="0"/>
        <w:jc w:val="both"/>
      </w:pPr>
      <w:r>
        <w:rPr>
          <w:rFonts w:hint="eastAsia" w:ascii="宋体" w:hAnsi="宋体" w:eastAsia="宋体" w:cs="宋体"/>
          <w:color w:val="000000"/>
        </w:rPr>
        <w:t>10.3 如在使用过程中发生质量问题，乙方在接到甲方通知后在_________小时内到达甲方现场。</w:t>
      </w:r>
    </w:p>
    <w:p w14:paraId="14723E7D">
      <w:pPr>
        <w:pStyle w:val="14"/>
        <w:spacing w:before="120" w:beforeAutospacing="0" w:after="120" w:afterAutospacing="0"/>
        <w:jc w:val="both"/>
      </w:pPr>
      <w:r>
        <w:rPr>
          <w:rFonts w:hint="eastAsia" w:ascii="宋体" w:hAnsi="宋体" w:eastAsia="宋体" w:cs="宋体"/>
          <w:color w:val="000000"/>
        </w:rPr>
        <w:t>10.4 在质保期内，乙方应对货物出现的质量及安全问题负责处理解决并承担一切费用。</w:t>
      </w:r>
    </w:p>
    <w:p w14:paraId="7A7920C8">
      <w:pPr>
        <w:pStyle w:val="14"/>
        <w:spacing w:before="120" w:beforeAutospacing="0" w:after="120" w:afterAutospacing="0"/>
        <w:ind w:left="480" w:hanging="480"/>
        <w:jc w:val="both"/>
      </w:pPr>
      <w:r>
        <w:rPr>
          <w:rFonts w:hint="eastAsia" w:ascii="宋体" w:hAnsi="宋体" w:eastAsia="宋体" w:cs="宋体"/>
          <w:color w:val="000000"/>
        </w:rPr>
        <w:t>10.5上述的货物免费保修期为</w:t>
      </w:r>
      <w:r>
        <w:rPr>
          <w:rFonts w:hint="eastAsia" w:ascii="宋体" w:hAnsi="宋体" w:eastAsia="宋体" w:cs="宋体"/>
          <w:color w:val="000000"/>
          <w:u w:val="single"/>
        </w:rPr>
        <w:t xml:space="preserve">     </w:t>
      </w:r>
      <w:r>
        <w:rPr>
          <w:rFonts w:hint="eastAsia" w:ascii="宋体" w:hAnsi="宋体" w:eastAsia="宋体" w:cs="宋体"/>
          <w:color w:val="000000"/>
        </w:rPr>
        <w:t>年（自交货验收合格之日起计），因人为因素出现的故障不在免费保修范围内。超过保修期的机器设备，终生维修，维修时只收部件成本费。</w:t>
      </w:r>
    </w:p>
    <w:p w14:paraId="7DA6EE5C">
      <w:pPr>
        <w:pStyle w:val="14"/>
        <w:spacing w:before="120" w:beforeAutospacing="0" w:after="120" w:afterAutospacing="0"/>
        <w:jc w:val="both"/>
      </w:pPr>
      <w:r>
        <w:rPr>
          <w:rFonts w:hint="eastAsia" w:ascii="宋体" w:hAnsi="宋体" w:eastAsia="宋体" w:cs="宋体"/>
          <w:b/>
          <w:color w:val="000000"/>
        </w:rPr>
        <w:t>十一、项目验收</w:t>
      </w:r>
    </w:p>
    <w:p w14:paraId="66D81711">
      <w:pPr>
        <w:pStyle w:val="14"/>
        <w:spacing w:before="120" w:beforeAutospacing="0" w:after="120" w:afterAutospacing="0"/>
        <w:jc w:val="both"/>
      </w:pPr>
      <w:r>
        <w:rPr>
          <w:rFonts w:hint="eastAsia" w:ascii="宋体" w:hAnsi="宋体" w:eastAsia="宋体" w:cs="宋体"/>
          <w:color w:val="000000"/>
        </w:rPr>
        <w:t>11.1 甲方依法组织履约验收工作。</w:t>
      </w:r>
    </w:p>
    <w:p w14:paraId="43C1E35C">
      <w:pPr>
        <w:pStyle w:val="14"/>
        <w:spacing w:before="120" w:beforeAutospacing="0" w:after="120" w:afterAutospacing="0"/>
        <w:jc w:val="both"/>
      </w:pPr>
      <w:r>
        <w:rPr>
          <w:rFonts w:hint="eastAsia" w:ascii="宋体" w:hAnsi="宋体" w:eastAsia="宋体" w:cs="宋体"/>
          <w:color w:val="000000"/>
        </w:rPr>
        <w:t>11.2 甲方在组织履约验收前，将根据项目特点制定验收方案，明确履约验收的时间、方式、程序等内容，并可根据项目特点对服务期内的服务实施情况进行分期考核，综合考核情况和服务效果进行验收。乙方应根据验收方案内容做好相应配合工作。</w:t>
      </w:r>
    </w:p>
    <w:p w14:paraId="5D67A525">
      <w:pPr>
        <w:pStyle w:val="14"/>
        <w:spacing w:before="120" w:beforeAutospacing="0" w:after="120" w:afterAutospacing="0"/>
        <w:jc w:val="both"/>
      </w:pPr>
      <w:r>
        <w:rPr>
          <w:rFonts w:hint="eastAsia" w:ascii="宋体" w:hAnsi="宋体" w:eastAsia="宋体" w:cs="宋体"/>
          <w:color w:val="000000"/>
        </w:rPr>
        <w:t>11.3 对于实际使用人和甲方分离的项目，甲方邀请实际使用人参与验收。</w:t>
      </w:r>
    </w:p>
    <w:p w14:paraId="21642ABB">
      <w:pPr>
        <w:pStyle w:val="14"/>
        <w:spacing w:before="120" w:beforeAutospacing="0" w:after="120" w:afterAutospacing="0"/>
        <w:jc w:val="both"/>
      </w:pPr>
      <w:r>
        <w:rPr>
          <w:rFonts w:hint="eastAsia" w:ascii="宋体" w:hAnsi="宋体" w:eastAsia="宋体" w:cs="宋体"/>
          <w:color w:val="000000"/>
        </w:rPr>
        <w:t>11.4 如有必要，甲方邀请参加本项目的其他供应商或第三方专业机构及专家参与验收，相关意见将作为验收书的参考资料。</w:t>
      </w:r>
    </w:p>
    <w:p w14:paraId="6B4AA140">
      <w:pPr>
        <w:pStyle w:val="14"/>
        <w:spacing w:before="120" w:beforeAutospacing="0" w:after="120" w:afterAutospacing="0"/>
        <w:jc w:val="both"/>
      </w:pPr>
      <w:r>
        <w:rPr>
          <w:rFonts w:hint="eastAsia" w:ascii="宋体" w:hAnsi="宋体" w:eastAsia="宋体" w:cs="宋体"/>
          <w:color w:val="000000"/>
        </w:rPr>
        <w:t>11.5 甲方成立验收小组，按照采购合同的约定对乙方的履约情况进行验收。验收时间、验收标准见招标文件验收内容。验收时,甲方按照采购合同的约定对每一项技术、商务要求的履约情况进行确认。验收结束后,验收小组出具验收书,列明各项标准的验收情况及项目总体评价,由验收双方共同签署。验收结果与采购合同约定的资金支付及履约保证金返还条件挂钩。履约验收的各项资料存档备查。</w:t>
      </w:r>
    </w:p>
    <w:p w14:paraId="1E1042DB">
      <w:pPr>
        <w:pStyle w:val="14"/>
        <w:spacing w:before="120" w:beforeAutospacing="0" w:after="120" w:afterAutospacing="0"/>
        <w:jc w:val="both"/>
      </w:pPr>
      <w:r>
        <w:rPr>
          <w:rFonts w:hint="eastAsia" w:ascii="宋体" w:hAnsi="宋体" w:eastAsia="宋体" w:cs="宋体"/>
          <w:color w:val="000000"/>
        </w:rPr>
        <w:t>11.6 验收合格的项目,甲方根据采购合同的约定及时向乙方支付合同款项、退还履约保证金。验收不合格的项目，甲方依法及时处理。采购合同的履行、违约责任和解决争议的方式等适用《民法典》。乙方在履约过程中有政府采购法律法规规定的违法违规情形的,甲方将及时报告本级财政部门。</w:t>
      </w:r>
    </w:p>
    <w:p w14:paraId="1A61A8BB">
      <w:pPr>
        <w:pStyle w:val="14"/>
        <w:spacing w:before="120" w:beforeAutospacing="0" w:after="120" w:afterAutospacing="0"/>
        <w:jc w:val="both"/>
      </w:pPr>
      <w:r>
        <w:rPr>
          <w:rFonts w:hint="eastAsia" w:ascii="宋体" w:hAnsi="宋体" w:eastAsia="宋体" w:cs="宋体"/>
          <w:b/>
          <w:color w:val="000000"/>
        </w:rPr>
        <w:t>十二、货物的包装、发运及运输</w:t>
      </w:r>
    </w:p>
    <w:p w14:paraId="146D262F">
      <w:pPr>
        <w:pStyle w:val="14"/>
        <w:spacing w:before="120" w:beforeAutospacing="0" w:after="120" w:afterAutospacing="0"/>
        <w:ind w:left="480" w:hanging="480"/>
        <w:jc w:val="both"/>
      </w:pPr>
      <w:r>
        <w:rPr>
          <w:rFonts w:hint="eastAsia" w:ascii="宋体" w:hAnsi="宋体" w:eastAsia="宋体" w:cs="宋体"/>
          <w:color w:val="000000"/>
        </w:rPr>
        <w:t>12.1 乙方应在货物发运前对其进行满足运输距离、防潮、防震、防锈和防破损装卸等要求包装，以保证货物安全运达甲方指定地点。</w:t>
      </w:r>
      <w:r>
        <w:rPr>
          <w:rFonts w:hint="eastAsia" w:ascii="宋体" w:hAnsi="宋体" w:eastAsia="宋体" w:cs="宋体"/>
          <w:color w:val="FF0000"/>
        </w:rPr>
        <w:t>乙方对货物的包装应符合《商品包装政府采购需求标准（试行）》、《快递包装政府采购需求标准（试行）》的规定。</w:t>
      </w:r>
    </w:p>
    <w:p w14:paraId="2EF08B94">
      <w:pPr>
        <w:pStyle w:val="14"/>
        <w:spacing w:before="120" w:beforeAutospacing="0" w:after="120" w:afterAutospacing="0"/>
        <w:ind w:left="480" w:hanging="480"/>
        <w:jc w:val="both"/>
      </w:pPr>
      <w:r>
        <w:rPr>
          <w:rFonts w:hint="eastAsia" w:ascii="宋体" w:hAnsi="宋体" w:eastAsia="宋体" w:cs="宋体"/>
          <w:color w:val="000000"/>
        </w:rPr>
        <w:t>12.2 使用说明书、质量检验证明书、随配附件和工具以及清单一并附于货物内。</w:t>
      </w:r>
    </w:p>
    <w:p w14:paraId="718A149C">
      <w:pPr>
        <w:pStyle w:val="14"/>
        <w:spacing w:before="120" w:beforeAutospacing="0" w:after="120" w:afterAutospacing="0"/>
        <w:ind w:left="480" w:hanging="480"/>
        <w:jc w:val="both"/>
      </w:pPr>
      <w:r>
        <w:rPr>
          <w:rFonts w:hint="eastAsia" w:ascii="宋体" w:hAnsi="宋体" w:eastAsia="宋体" w:cs="宋体"/>
          <w:color w:val="000000"/>
        </w:rPr>
        <w:t>12.3 乙方在货物发运手续办理完毕后24小时内或货到甲方48小时前通知甲方，以准备接货。</w:t>
      </w:r>
    </w:p>
    <w:p w14:paraId="2BE07136">
      <w:pPr>
        <w:pStyle w:val="14"/>
        <w:spacing w:before="120" w:beforeAutospacing="0" w:after="120" w:afterAutospacing="0"/>
        <w:ind w:left="480" w:hanging="480"/>
        <w:jc w:val="both"/>
      </w:pPr>
      <w:r>
        <w:rPr>
          <w:rFonts w:hint="eastAsia" w:ascii="宋体" w:hAnsi="宋体" w:eastAsia="宋体" w:cs="宋体"/>
          <w:color w:val="000000"/>
        </w:rPr>
        <w:t>12.4 货物在交付甲方前发生的风险均由乙方负责。</w:t>
      </w:r>
    </w:p>
    <w:p w14:paraId="3C397DC1">
      <w:pPr>
        <w:pStyle w:val="14"/>
        <w:spacing w:before="156" w:beforeAutospacing="0" w:after="156" w:afterAutospacing="0"/>
        <w:ind w:left="480" w:right="26" w:hanging="480"/>
        <w:jc w:val="both"/>
      </w:pPr>
      <w:r>
        <w:rPr>
          <w:rFonts w:hint="eastAsia" w:ascii="宋体" w:hAnsi="宋体" w:eastAsia="宋体" w:cs="宋体"/>
          <w:color w:val="000000"/>
        </w:rPr>
        <w:t>12.5 货物在规定的交付期限内由乙方送达甲方指定的地点视为交付，乙方同时需通知甲方货物已送达。</w:t>
      </w:r>
    </w:p>
    <w:p w14:paraId="3A9DFB01">
      <w:pPr>
        <w:pStyle w:val="14"/>
        <w:spacing w:before="120" w:beforeAutospacing="0" w:after="120" w:afterAutospacing="0"/>
        <w:jc w:val="both"/>
      </w:pPr>
      <w:r>
        <w:rPr>
          <w:rFonts w:hint="eastAsia" w:ascii="宋体" w:hAnsi="宋体" w:eastAsia="宋体" w:cs="宋体"/>
          <w:b/>
          <w:color w:val="000000"/>
        </w:rPr>
        <w:t>十三、违约责任</w:t>
      </w:r>
    </w:p>
    <w:p w14:paraId="3F581189">
      <w:pPr>
        <w:pStyle w:val="14"/>
        <w:spacing w:before="120" w:beforeAutospacing="0" w:after="120" w:afterAutospacing="0"/>
        <w:ind w:left="410" w:hanging="410"/>
        <w:jc w:val="both"/>
      </w:pPr>
      <w:r>
        <w:rPr>
          <w:rFonts w:hint="eastAsia" w:ascii="宋体" w:hAnsi="宋体" w:eastAsia="宋体" w:cs="宋体"/>
          <w:color w:val="000000"/>
        </w:rPr>
        <w:t>13.1 甲方无正当理由拒收货物的，甲方向乙方偿付拒收货款总值</w:t>
      </w:r>
      <w:r>
        <w:rPr>
          <w:rFonts w:hint="eastAsia" w:ascii="宋体" w:hAnsi="宋体" w:eastAsia="宋体" w:cs="宋体"/>
          <w:color w:val="000000"/>
          <w:u w:val="single"/>
        </w:rPr>
        <w:t xml:space="preserve">    </w:t>
      </w:r>
      <w:r>
        <w:rPr>
          <w:rFonts w:hint="eastAsia" w:ascii="宋体" w:hAnsi="宋体" w:eastAsia="宋体" w:cs="宋体"/>
          <w:color w:val="000000"/>
        </w:rPr>
        <w:t>的违约金。</w:t>
      </w:r>
    </w:p>
    <w:p w14:paraId="36DCB0A2">
      <w:pPr>
        <w:pStyle w:val="14"/>
        <w:spacing w:before="120" w:beforeAutospacing="0" w:after="120" w:afterAutospacing="0"/>
        <w:ind w:left="410" w:hanging="410"/>
        <w:jc w:val="both"/>
      </w:pPr>
      <w:r>
        <w:rPr>
          <w:rFonts w:hint="eastAsia" w:ascii="宋体" w:hAnsi="宋体" w:eastAsia="宋体" w:cs="宋体"/>
          <w:color w:val="000000"/>
        </w:rPr>
        <w:t>13.2 甲方无故逾期验收和办理货款支付手续的,甲方应按逾期付款总额每日</w:t>
      </w:r>
      <w:r>
        <w:rPr>
          <w:rFonts w:hint="eastAsia" w:ascii="宋体" w:hAnsi="宋体" w:eastAsia="宋体" w:cs="宋体"/>
          <w:color w:val="000000"/>
          <w:u w:val="single"/>
        </w:rPr>
        <w:t xml:space="preserve">    </w:t>
      </w:r>
      <w:r>
        <w:rPr>
          <w:rFonts w:hint="eastAsia" w:ascii="宋体" w:hAnsi="宋体" w:eastAsia="宋体" w:cs="宋体"/>
          <w:color w:val="000000"/>
        </w:rPr>
        <w:t>向乙方支付违约金。</w:t>
      </w:r>
    </w:p>
    <w:p w14:paraId="58AC6A77">
      <w:pPr>
        <w:pStyle w:val="14"/>
        <w:spacing w:before="120" w:beforeAutospacing="0" w:after="120" w:afterAutospacing="0"/>
        <w:ind w:left="410" w:hanging="410"/>
        <w:jc w:val="both"/>
      </w:pPr>
      <w:r>
        <w:rPr>
          <w:rFonts w:hint="eastAsia" w:ascii="宋体" w:hAnsi="宋体" w:eastAsia="宋体" w:cs="宋体"/>
          <w:color w:val="000000"/>
        </w:rPr>
        <w:t>13.3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w:t>
      </w:r>
      <w:r>
        <w:rPr>
          <w:rFonts w:hint="eastAsia" w:ascii="宋体" w:hAnsi="宋体" w:eastAsia="宋体" w:cs="宋体"/>
          <w:color w:val="000000"/>
          <w:u w:val="single"/>
        </w:rPr>
        <w:t xml:space="preserve">    </w:t>
      </w:r>
      <w:r>
        <w:rPr>
          <w:rFonts w:hint="eastAsia" w:ascii="宋体" w:hAnsi="宋体" w:eastAsia="宋体" w:cs="宋体"/>
          <w:color w:val="000000"/>
        </w:rPr>
        <w:t xml:space="preserve">的违约金，如造成甲方损失超过违约金的，超出部分由乙方继续承担赔偿责任。 </w:t>
      </w:r>
    </w:p>
    <w:p w14:paraId="22B14AC4">
      <w:pPr>
        <w:pStyle w:val="14"/>
        <w:spacing w:before="120" w:beforeAutospacing="0" w:after="120" w:afterAutospacing="0"/>
        <w:ind w:left="410" w:hanging="410"/>
        <w:jc w:val="both"/>
      </w:pPr>
      <w:r>
        <w:rPr>
          <w:rFonts w:hint="eastAsia" w:ascii="宋体" w:hAnsi="宋体" w:eastAsia="宋体" w:cs="宋体"/>
          <w:color w:val="000000"/>
        </w:rPr>
        <w:t>13.4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1C57FC14">
      <w:pPr>
        <w:pStyle w:val="14"/>
        <w:spacing w:before="120" w:beforeAutospacing="0" w:after="120" w:afterAutospacing="0"/>
        <w:jc w:val="both"/>
      </w:pPr>
      <w:r>
        <w:rPr>
          <w:rFonts w:hint="eastAsia" w:ascii="宋体" w:hAnsi="宋体" w:eastAsia="宋体" w:cs="宋体"/>
          <w:b/>
          <w:color w:val="000000"/>
        </w:rPr>
        <w:t>十四、不可抗力事件处理</w:t>
      </w:r>
    </w:p>
    <w:p w14:paraId="6FF3381F">
      <w:pPr>
        <w:pStyle w:val="14"/>
        <w:spacing w:before="120" w:beforeAutospacing="0" w:after="120" w:afterAutospacing="0"/>
        <w:ind w:left="480" w:hanging="480"/>
        <w:jc w:val="both"/>
      </w:pPr>
      <w:r>
        <w:rPr>
          <w:rFonts w:hint="eastAsia" w:ascii="宋体" w:hAnsi="宋体" w:eastAsia="宋体" w:cs="宋体"/>
          <w:color w:val="000000"/>
        </w:rPr>
        <w:t>14.1 在合同有效期内，任何一方因不可抗力事件导致不能履行合同，则合同履行期可延长，其延长期与不可抗力影响期相同。</w:t>
      </w:r>
    </w:p>
    <w:p w14:paraId="50C174A3">
      <w:pPr>
        <w:pStyle w:val="14"/>
        <w:spacing w:before="120" w:beforeAutospacing="0" w:after="120" w:afterAutospacing="0"/>
        <w:jc w:val="both"/>
      </w:pPr>
      <w:r>
        <w:rPr>
          <w:rFonts w:hint="eastAsia" w:ascii="宋体" w:hAnsi="宋体" w:eastAsia="宋体" w:cs="宋体"/>
          <w:color w:val="000000"/>
        </w:rPr>
        <w:t>14.2 不可抗力事件发生后，应立即通知对方，并寄送有关权威机构出具的证明。</w:t>
      </w:r>
    </w:p>
    <w:p w14:paraId="22A8928A">
      <w:pPr>
        <w:pStyle w:val="14"/>
        <w:spacing w:before="120" w:beforeAutospacing="0" w:after="120" w:afterAutospacing="0"/>
        <w:jc w:val="both"/>
      </w:pPr>
      <w:r>
        <w:rPr>
          <w:rFonts w:hint="eastAsia" w:ascii="宋体" w:hAnsi="宋体" w:eastAsia="宋体" w:cs="宋体"/>
          <w:color w:val="000000"/>
        </w:rPr>
        <w:t>14.3 不可抗力事件延续120天以上，双方应通过友好协商，确定是否继续履行合同。</w:t>
      </w:r>
    </w:p>
    <w:p w14:paraId="74B3C89D">
      <w:pPr>
        <w:pStyle w:val="14"/>
        <w:spacing w:before="120" w:beforeAutospacing="0" w:after="120" w:afterAutospacing="0"/>
        <w:jc w:val="both"/>
      </w:pPr>
      <w:r>
        <w:rPr>
          <w:rFonts w:hint="eastAsia" w:ascii="宋体" w:hAnsi="宋体" w:eastAsia="宋体" w:cs="宋体"/>
          <w:b/>
          <w:color w:val="000000"/>
        </w:rPr>
        <w:t>十五、解决争议的方法</w:t>
      </w:r>
    </w:p>
    <w:p w14:paraId="7157AD9E">
      <w:pPr>
        <w:pStyle w:val="14"/>
        <w:spacing w:before="120" w:beforeAutospacing="0" w:after="120" w:afterAutospacing="0"/>
        <w:ind w:left="480" w:hanging="480"/>
        <w:jc w:val="both"/>
      </w:pPr>
      <w:r>
        <w:rPr>
          <w:rFonts w:hint="eastAsia" w:ascii="宋体" w:hAnsi="宋体" w:eastAsia="宋体" w:cs="宋体"/>
          <w:color w:val="000000"/>
        </w:rPr>
        <w:t>15.1甲乙双方因合同签订、履行而发生的一切争议，应通过友好协商解决。如协商不成由甲方住所地人民法院管辖。</w:t>
      </w:r>
    </w:p>
    <w:p w14:paraId="7142405F">
      <w:pPr>
        <w:pStyle w:val="14"/>
        <w:spacing w:before="120" w:beforeAutospacing="0" w:after="120" w:afterAutospacing="0"/>
        <w:jc w:val="both"/>
      </w:pPr>
      <w:r>
        <w:rPr>
          <w:rFonts w:hint="eastAsia" w:ascii="宋体" w:hAnsi="宋体" w:eastAsia="宋体" w:cs="宋体"/>
          <w:b/>
          <w:color w:val="000000"/>
        </w:rPr>
        <w:t>十六、合同生效及其它</w:t>
      </w:r>
    </w:p>
    <w:p w14:paraId="595A7075">
      <w:pPr>
        <w:pStyle w:val="14"/>
        <w:spacing w:before="120" w:beforeAutospacing="0" w:after="120" w:afterAutospacing="0"/>
        <w:jc w:val="both"/>
      </w:pPr>
      <w:r>
        <w:rPr>
          <w:rFonts w:hint="eastAsia" w:ascii="宋体" w:hAnsi="宋体" w:eastAsia="宋体" w:cs="宋体"/>
          <w:color w:val="000000"/>
        </w:rPr>
        <w:t>16.1 合同经双方法定代表人或授权委托代表人签字并加盖单位公章后生效。</w:t>
      </w:r>
    </w:p>
    <w:p w14:paraId="69291825">
      <w:pPr>
        <w:pStyle w:val="14"/>
        <w:spacing w:before="120" w:beforeAutospacing="0" w:after="120" w:afterAutospacing="0"/>
        <w:jc w:val="both"/>
      </w:pPr>
      <w:r>
        <w:rPr>
          <w:rFonts w:hint="eastAsia" w:ascii="宋体" w:hAnsi="宋体" w:eastAsia="宋体" w:cs="宋体"/>
          <w:color w:val="000000"/>
        </w:rPr>
        <w:t>16.2本合同未尽事宜，遵照《民法典》、《政府采购法》有关条文执行。</w:t>
      </w:r>
    </w:p>
    <w:p w14:paraId="359C3859">
      <w:pPr>
        <w:pStyle w:val="14"/>
        <w:spacing w:before="120" w:beforeAutospacing="0" w:after="120" w:afterAutospacing="0"/>
        <w:ind w:left="480" w:hanging="480"/>
        <w:jc w:val="both"/>
      </w:pPr>
      <w:r>
        <w:rPr>
          <w:rFonts w:hint="eastAsia" w:ascii="宋体" w:hAnsi="宋体" w:eastAsia="宋体" w:cs="宋体"/>
          <w:color w:val="000000"/>
        </w:rPr>
        <w:t>16.3 本合同正本一式两份，具有同等法律效力，甲方、乙方各执一份。</w:t>
      </w:r>
    </w:p>
    <w:p w14:paraId="1DB12548">
      <w:pPr>
        <w:pStyle w:val="14"/>
        <w:spacing w:before="120" w:beforeAutospacing="0" w:after="120" w:afterAutospacing="0" w:line="0" w:lineRule="atLeast"/>
        <w:ind w:left="480" w:hanging="480"/>
        <w:jc w:val="both"/>
      </w:pPr>
      <w:r>
        <w:rPr>
          <w:rFonts w:hint="eastAsia" w:ascii="宋体" w:hAnsi="宋体" w:eastAsia="宋体" w:cs="宋体"/>
          <w:color w:val="000000"/>
        </w:rPr>
        <w:t xml:space="preserve">  甲方：                        乙方： </w:t>
      </w:r>
    </w:p>
    <w:p w14:paraId="20A57BC2">
      <w:pPr>
        <w:pStyle w:val="14"/>
        <w:spacing w:before="120" w:beforeAutospacing="0" w:after="120" w:afterAutospacing="0" w:line="0" w:lineRule="atLeast"/>
        <w:jc w:val="both"/>
      </w:pPr>
      <w:r>
        <w:rPr>
          <w:rFonts w:hint="eastAsia" w:ascii="宋体" w:hAnsi="宋体" w:eastAsia="宋体" w:cs="宋体"/>
          <w:color w:val="000000"/>
        </w:rPr>
        <w:t xml:space="preserve">  地址：                        地址： </w:t>
      </w:r>
    </w:p>
    <w:p w14:paraId="609650A8">
      <w:pPr>
        <w:pStyle w:val="14"/>
        <w:spacing w:before="120" w:beforeAutospacing="0" w:after="120" w:afterAutospacing="0" w:line="0" w:lineRule="atLeast"/>
        <w:jc w:val="both"/>
      </w:pPr>
      <w:r>
        <w:rPr>
          <w:rFonts w:hint="eastAsia" w:ascii="宋体" w:hAnsi="宋体" w:eastAsia="宋体" w:cs="宋体"/>
          <w:color w:val="000000"/>
        </w:rPr>
        <w:t>  法定代表人或授权代表：        法定代表人或授权代表：</w:t>
      </w:r>
    </w:p>
    <w:p w14:paraId="0AFFDA1F">
      <w:pPr>
        <w:pStyle w:val="14"/>
        <w:spacing w:before="120" w:beforeAutospacing="0" w:after="120" w:afterAutospacing="0" w:line="0" w:lineRule="atLeast"/>
        <w:ind w:firstLine="360" w:firstLineChars="150"/>
        <w:jc w:val="both"/>
      </w:pPr>
      <w:r>
        <w:rPr>
          <w:rFonts w:hint="eastAsia" w:ascii="宋体" w:hAnsi="宋体" w:eastAsia="宋体" w:cs="宋体"/>
          <w:color w:val="000000"/>
        </w:rPr>
        <w:t xml:space="preserve">联系电话：                联系电话：          </w:t>
      </w:r>
    </w:p>
    <w:p w14:paraId="0EE6A2E6">
      <w:pPr>
        <w:pStyle w:val="14"/>
        <w:spacing w:before="120" w:beforeAutospacing="0" w:after="120" w:afterAutospacing="0" w:line="0" w:lineRule="atLeast"/>
        <w:jc w:val="center"/>
        <w:rPr>
          <w:rFonts w:ascii="宋体" w:hAnsi="宋体" w:eastAsia="宋体" w:cs="宋体"/>
          <w:color w:val="000000"/>
          <w:sz w:val="21"/>
          <w:szCs w:val="21"/>
        </w:rPr>
      </w:pPr>
      <w:r>
        <w:rPr>
          <w:rFonts w:hint="eastAsia" w:ascii="宋体" w:hAnsi="宋体" w:eastAsia="宋体" w:cs="宋体"/>
          <w:color w:val="000000"/>
          <w:sz w:val="21"/>
          <w:szCs w:val="21"/>
        </w:rPr>
        <w:t xml:space="preserve">                 </w:t>
      </w:r>
    </w:p>
    <w:p w14:paraId="40689379">
      <w:pPr>
        <w:pStyle w:val="14"/>
        <w:spacing w:before="120" w:beforeAutospacing="0" w:after="120" w:afterAutospacing="0" w:line="0" w:lineRule="atLeast"/>
        <w:jc w:val="center"/>
        <w:rPr>
          <w:rFonts w:ascii="宋体" w:hAnsi="宋体" w:eastAsia="宋体" w:cs="宋体"/>
          <w:color w:val="000000"/>
          <w:sz w:val="21"/>
          <w:szCs w:val="21"/>
        </w:rPr>
      </w:pPr>
    </w:p>
    <w:p w14:paraId="6D3892CA">
      <w:pPr>
        <w:pStyle w:val="14"/>
        <w:spacing w:before="120" w:beforeAutospacing="0" w:after="120" w:afterAutospacing="0" w:line="0" w:lineRule="atLeast"/>
        <w:ind w:firstLine="360" w:firstLineChars="150"/>
        <w:jc w:val="both"/>
      </w:pPr>
      <w:r>
        <w:rPr>
          <w:rFonts w:hint="eastAsia" w:ascii="宋体" w:hAnsi="宋体" w:eastAsia="宋体" w:cs="宋体"/>
          <w:color w:val="000000"/>
        </w:rPr>
        <w:t>签订日期：      年    月   日</w:t>
      </w:r>
      <w:bookmarkStart w:id="177" w:name="_Toc479757211"/>
      <w:bookmarkStart w:id="178" w:name="_Toc462564139"/>
      <w:bookmarkStart w:id="179" w:name="_Hlt16619350"/>
      <w:bookmarkStart w:id="180" w:name="_Toc120614244"/>
      <w:bookmarkStart w:id="181" w:name="_Toc20823346"/>
      <w:bookmarkStart w:id="182" w:name="_Toc16938590"/>
      <w:bookmarkStart w:id="183" w:name="_Hlt16619369"/>
      <w:r>
        <w:rPr>
          <w:rFonts w:hint="eastAsia" w:ascii="黑体" w:hAnsi="宋体" w:eastAsia="黑体" w:cs="黑体"/>
          <w:color w:val="000000"/>
          <w:sz w:val="44"/>
          <w:szCs w:val="44"/>
        </w:rPr>
        <w:br w:type="page"/>
      </w:r>
      <w:r>
        <w:rPr>
          <w:rFonts w:hint="eastAsia" w:ascii="黑体" w:hAnsi="宋体" w:eastAsia="黑体" w:cs="黑体"/>
          <w:color w:val="000000"/>
          <w:sz w:val="44"/>
          <w:szCs w:val="44"/>
        </w:rPr>
        <w:t>           第</w:t>
      </w:r>
      <w:bookmarkEnd w:id="177"/>
      <w:r>
        <w:rPr>
          <w:rFonts w:hint="eastAsia" w:ascii="黑体" w:hAnsi="宋体" w:eastAsia="黑体" w:cs="黑体"/>
          <w:color w:val="000000"/>
          <w:sz w:val="44"/>
          <w:szCs w:val="44"/>
        </w:rPr>
        <w:t>四章 采购需求</w:t>
      </w:r>
      <w:bookmarkEnd w:id="178"/>
      <w:bookmarkEnd w:id="179"/>
      <w:bookmarkEnd w:id="180"/>
      <w:bookmarkEnd w:id="181"/>
      <w:bookmarkEnd w:id="182"/>
    </w:p>
    <w:p w14:paraId="1B65C9C9">
      <w:pPr>
        <w:pStyle w:val="14"/>
        <w:tabs>
          <w:tab w:val="left" w:pos="901"/>
        </w:tabs>
        <w:spacing w:beforeAutospacing="0" w:afterAutospacing="0" w:line="360" w:lineRule="auto"/>
        <w:ind w:firstLine="480"/>
        <w:jc w:val="both"/>
        <w:rPr>
          <w:rFonts w:ascii="宋体" w:hAnsi="宋体" w:eastAsia="宋体" w:cs="宋体"/>
          <w:b/>
          <w:bCs/>
          <w:color w:val="000000"/>
        </w:rPr>
      </w:pPr>
      <w:bookmarkStart w:id="184" w:name="_Toc49090575"/>
      <w:bookmarkStart w:id="185" w:name="_Toc26554093"/>
      <w:r>
        <w:rPr>
          <w:rFonts w:hint="eastAsia" w:ascii="宋体" w:hAnsi="宋体" w:eastAsia="宋体" w:cs="宋体"/>
          <w:b/>
          <w:bCs/>
          <w:color w:val="000000"/>
        </w:rPr>
        <w:t>项目属性:货物类项目</w:t>
      </w:r>
      <w:bookmarkEnd w:id="184"/>
      <w:bookmarkEnd w:id="185"/>
    </w:p>
    <w:p w14:paraId="36B022CC">
      <w:pPr>
        <w:pStyle w:val="14"/>
        <w:tabs>
          <w:tab w:val="left" w:pos="901"/>
        </w:tabs>
        <w:spacing w:beforeAutospacing="0" w:afterAutospacing="0" w:line="360" w:lineRule="auto"/>
        <w:ind w:firstLine="480"/>
        <w:jc w:val="both"/>
        <w:rPr>
          <w:rFonts w:hint="default" w:ascii="宋体" w:hAnsi="宋体" w:eastAsia="宋体" w:cs="宋体"/>
          <w:b/>
          <w:bCs/>
          <w:color w:val="000000"/>
          <w:lang w:val="en-US" w:eastAsia="zh-CN"/>
        </w:rPr>
      </w:pPr>
      <w:r>
        <w:rPr>
          <w:rFonts w:hint="eastAsia" w:ascii="宋体" w:hAnsi="宋体" w:eastAsia="宋体" w:cs="宋体"/>
          <w:b/>
          <w:bCs/>
          <w:color w:val="000000"/>
        </w:rPr>
        <w:t> 一、</w:t>
      </w:r>
      <w:r>
        <w:rPr>
          <w:rFonts w:hint="eastAsia" w:ascii="宋体" w:hAnsi="宋体" w:eastAsia="宋体" w:cs="宋体"/>
          <w:b/>
          <w:bCs/>
          <w:color w:val="000000"/>
          <w:lang w:val="en-US" w:eastAsia="zh-CN"/>
        </w:rPr>
        <w:t>采购需求</w:t>
      </w:r>
    </w:p>
    <w:p w14:paraId="50B5317A">
      <w:pPr>
        <w:spacing w:line="579" w:lineRule="exact"/>
        <w:ind w:firstLine="482" w:firstLineChars="200"/>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（一）项目概况</w:t>
      </w:r>
    </w:p>
    <w:p w14:paraId="76E9ED1D">
      <w:pPr>
        <w:spacing w:line="579" w:lineRule="exact"/>
        <w:ind w:firstLine="480" w:firstLineChars="200"/>
        <w:rPr>
          <w:rFonts w:hint="eastAsia" w:ascii="宋体" w:hAnsi="宋体" w:eastAsia="宋体" w:cs="宋体"/>
          <w:b w:val="0"/>
          <w:bCs w:val="0"/>
          <w:color w:val="000000"/>
          <w:kern w:val="0"/>
          <w:sz w:val="24"/>
          <w:lang w:val="en-US" w:eastAsia="zh-CN"/>
        </w:rPr>
      </w:pPr>
      <w:r>
        <w:rPr>
          <w:rFonts w:hint="eastAsia" w:ascii="宋体" w:hAnsi="宋体" w:eastAsia="宋体" w:cs="宋体"/>
          <w:b w:val="0"/>
          <w:bCs w:val="0"/>
          <w:color w:val="000000"/>
          <w:kern w:val="0"/>
          <w:sz w:val="24"/>
          <w:lang w:eastAsia="zh-CN"/>
        </w:rPr>
        <w:t>射阳县体育局</w:t>
      </w:r>
      <w:r>
        <w:rPr>
          <w:rFonts w:hint="eastAsia" w:ascii="宋体" w:hAnsi="宋体" w:eastAsia="宋体" w:cs="宋体"/>
          <w:b w:val="0"/>
          <w:bCs w:val="0"/>
          <w:color w:val="000000"/>
          <w:kern w:val="0"/>
          <w:sz w:val="24"/>
          <w:lang w:val="en-US" w:eastAsia="zh-CN"/>
        </w:rPr>
        <w:t>对</w:t>
      </w:r>
      <w:r>
        <w:rPr>
          <w:rFonts w:hint="eastAsia" w:ascii="宋体" w:hAnsi="宋体" w:eastAsia="宋体" w:cs="宋体"/>
          <w:b w:val="0"/>
          <w:bCs w:val="0"/>
          <w:color w:val="000000"/>
          <w:kern w:val="0"/>
          <w:sz w:val="24"/>
          <w:lang w:eastAsia="zh-CN"/>
        </w:rPr>
        <w:t>2025年为民办实事体育器材采购项目（</w:t>
      </w:r>
      <w:r>
        <w:rPr>
          <w:rFonts w:hint="eastAsia" w:ascii="宋体" w:hAnsi="宋体" w:eastAsia="宋体" w:cs="宋体"/>
          <w:b w:val="0"/>
          <w:bCs w:val="0"/>
          <w:color w:val="000000"/>
          <w:kern w:val="0"/>
          <w:sz w:val="24"/>
          <w:lang w:val="en-US" w:eastAsia="zh-CN"/>
        </w:rPr>
        <w:t>二次</w:t>
      </w:r>
      <w:r>
        <w:rPr>
          <w:rFonts w:hint="eastAsia" w:ascii="宋体" w:hAnsi="宋体" w:eastAsia="宋体" w:cs="宋体"/>
          <w:b w:val="0"/>
          <w:bCs w:val="0"/>
          <w:color w:val="000000"/>
          <w:kern w:val="0"/>
          <w:sz w:val="24"/>
          <w:lang w:eastAsia="zh-CN"/>
        </w:rPr>
        <w:t>）</w:t>
      </w:r>
      <w:r>
        <w:rPr>
          <w:rFonts w:hint="eastAsia" w:ascii="宋体" w:hAnsi="宋体" w:eastAsia="宋体" w:cs="宋体"/>
          <w:b w:val="0"/>
          <w:bCs w:val="0"/>
          <w:color w:val="000000"/>
          <w:kern w:val="0"/>
          <w:sz w:val="24"/>
        </w:rPr>
        <w:t>进行采购。</w:t>
      </w:r>
      <w:r>
        <w:rPr>
          <w:rFonts w:hint="eastAsia" w:ascii="宋体" w:hAnsi="宋体" w:eastAsia="宋体" w:cs="宋体"/>
          <w:b w:val="0"/>
          <w:bCs w:val="0"/>
          <w:color w:val="000000"/>
          <w:kern w:val="0"/>
          <w:sz w:val="24"/>
          <w:lang w:val="en-US" w:eastAsia="zh-CN"/>
        </w:rPr>
        <w:t>采购内容：智能二代健身路径采购，最高限价：27.4万。</w:t>
      </w:r>
    </w:p>
    <w:p w14:paraId="261821D1">
      <w:pPr>
        <w:pStyle w:val="22"/>
        <w:spacing w:line="360" w:lineRule="auto"/>
        <w:ind w:firstLine="482"/>
        <w:rPr>
          <w:rFonts w:ascii="宋体" w:hAnsi="宋体" w:cs="Times New Roman"/>
          <w:b/>
          <w:bCs/>
          <w:color w:val="000000"/>
          <w:sz w:val="24"/>
          <w:szCs w:val="24"/>
          <w:highlight w:val="none"/>
        </w:rPr>
      </w:pPr>
      <w:r>
        <w:rPr>
          <w:rFonts w:hint="eastAsia" w:ascii="宋体" w:hAnsi="宋体" w:cs="Times New Roman"/>
          <w:b/>
          <w:bCs/>
          <w:color w:val="000000"/>
          <w:sz w:val="24"/>
          <w:szCs w:val="24"/>
          <w:highlight w:val="none"/>
        </w:rPr>
        <w:t>备注：</w:t>
      </w:r>
    </w:p>
    <w:p w14:paraId="23DCA9DF">
      <w:pPr>
        <w:pStyle w:val="22"/>
        <w:spacing w:line="360" w:lineRule="auto"/>
        <w:ind w:firstLine="482"/>
        <w:rPr>
          <w:rFonts w:ascii="宋体" w:hAnsi="宋体" w:cs="Times New Roman"/>
          <w:b/>
          <w:bCs/>
          <w:color w:val="000000"/>
          <w:sz w:val="24"/>
          <w:szCs w:val="24"/>
          <w:highlight w:val="none"/>
        </w:rPr>
      </w:pPr>
      <w:r>
        <w:rPr>
          <w:rFonts w:hint="eastAsia" w:ascii="宋体" w:hAnsi="宋体" w:cs="Times New Roman"/>
          <w:b/>
          <w:bCs/>
          <w:color w:val="000000"/>
          <w:sz w:val="24"/>
          <w:szCs w:val="24"/>
          <w:highlight w:val="none"/>
        </w:rPr>
        <w:t>1、所投产品须为同一品牌（符合性检查内容，如不是则为无效投标）</w:t>
      </w:r>
    </w:p>
    <w:p w14:paraId="369B11B7">
      <w:pPr>
        <w:pStyle w:val="22"/>
        <w:spacing w:line="360" w:lineRule="auto"/>
        <w:ind w:firstLine="482"/>
        <w:rPr>
          <w:rFonts w:ascii="宋体" w:hAnsi="宋体" w:cs="Times New Roman"/>
          <w:b/>
          <w:bCs/>
          <w:color w:val="000000"/>
          <w:sz w:val="24"/>
          <w:szCs w:val="24"/>
          <w:highlight w:val="none"/>
        </w:rPr>
      </w:pPr>
      <w:r>
        <w:rPr>
          <w:rFonts w:hint="eastAsia" w:ascii="宋体" w:hAnsi="宋体" w:cs="Times New Roman"/>
          <w:b/>
          <w:bCs/>
          <w:color w:val="000000"/>
          <w:sz w:val="24"/>
          <w:szCs w:val="24"/>
          <w:highlight w:val="none"/>
        </w:rPr>
        <w:t>2、因本项目是民生项目，属设备采购类，但需要有高质量的安装及安全、维护和保养等。投标单位应在投标文件中，提供关于本项目完整的实施方案、安装方案、售后服务方案、安全措施、运输管理及应急措施方案。中标单位在中标后与采购人签订合同时，须将相关方案内容在合同内容中体现。采购人在项目实施过程中严格按照中标单位提供的相关方案，对中标单位履约过程进行管理，如有违背方案内容，将对中标单位进行惩处。</w:t>
      </w:r>
    </w:p>
    <w:p w14:paraId="5FCD1AFD">
      <w:pPr>
        <w:pStyle w:val="22"/>
        <w:spacing w:line="360" w:lineRule="auto"/>
        <w:ind w:firstLine="482"/>
        <w:rPr>
          <w:rFonts w:hint="eastAsia" w:ascii="宋体" w:hAnsi="宋体" w:cs="Times New Roman"/>
          <w:b/>
          <w:bCs/>
          <w:color w:val="000000"/>
          <w:sz w:val="24"/>
          <w:szCs w:val="24"/>
          <w:highlight w:val="none"/>
        </w:rPr>
      </w:pPr>
      <w:r>
        <w:rPr>
          <w:rFonts w:hint="eastAsia" w:ascii="宋体" w:hAnsi="宋体" w:cs="Times New Roman"/>
          <w:b/>
          <w:bCs/>
          <w:color w:val="000000"/>
          <w:sz w:val="24"/>
          <w:szCs w:val="24"/>
          <w:highlight w:val="none"/>
        </w:rPr>
        <w:t>3、本项目是射阳县人民政府为民办实事项目，</w:t>
      </w:r>
      <w:r>
        <w:rPr>
          <w:rFonts w:hint="eastAsia" w:ascii="宋体" w:hAnsi="宋体" w:cs="Times New Roman"/>
          <w:b/>
          <w:bCs/>
          <w:color w:val="000000"/>
          <w:sz w:val="24"/>
          <w:szCs w:val="24"/>
          <w:highlight w:val="none"/>
          <w:lang w:val="en-GB"/>
        </w:rPr>
        <w:t>体育总局关于印发《室外健身器材配建管理办法》的通知</w:t>
      </w:r>
      <w:r>
        <w:rPr>
          <w:rFonts w:hint="eastAsia" w:ascii="宋体" w:hAnsi="宋体" w:cs="Times New Roman"/>
          <w:b/>
          <w:bCs/>
          <w:color w:val="000000"/>
          <w:sz w:val="24"/>
          <w:szCs w:val="24"/>
          <w:highlight w:val="none"/>
          <w:lang w:val="en-US" w:eastAsia="zh-CN"/>
        </w:rPr>
        <w:t>中</w:t>
      </w:r>
      <w:r>
        <w:rPr>
          <w:rFonts w:hint="eastAsia" w:ascii="宋体" w:hAnsi="宋体" w:cs="Times New Roman"/>
          <w:b/>
          <w:bCs/>
          <w:color w:val="000000"/>
          <w:sz w:val="24"/>
          <w:szCs w:val="24"/>
          <w:highlight w:val="none"/>
        </w:rPr>
        <w:t>对所购体育器材要求较高；市场上该类产品成品较多，质量参差不齐，为保证产品质量，服务民众，尤其是安全保障，故要求提供样品，以通过对样品的综合比较来选择更优的设备。</w:t>
      </w:r>
    </w:p>
    <w:p w14:paraId="058E3388">
      <w:pPr>
        <w:spacing w:line="360" w:lineRule="auto"/>
        <w:ind w:firstLine="482"/>
      </w:pPr>
      <w:r>
        <w:rPr>
          <w:rFonts w:hint="eastAsia" w:ascii="宋体" w:hAnsi="宋体"/>
          <w:color w:val="000000"/>
          <w:sz w:val="24"/>
          <w:szCs w:val="24"/>
        </w:rPr>
        <w:t>为保证产品质量，做好为民办实事工程，本项目开标时要求投标人提供</w:t>
      </w:r>
      <w:r>
        <w:rPr>
          <w:rFonts w:hint="eastAsia" w:ascii="宋体" w:hAnsi="宋体"/>
          <w:color w:val="000000"/>
          <w:sz w:val="24"/>
          <w:szCs w:val="24"/>
          <w:lang w:eastAsia="zh-CN"/>
        </w:rPr>
        <w:t>：</w:t>
      </w:r>
      <w:r>
        <w:rPr>
          <w:rFonts w:hint="eastAsia" w:ascii="宋体" w:hAnsi="宋体"/>
          <w:color w:val="000000"/>
          <w:sz w:val="24"/>
          <w:szCs w:val="24"/>
        </w:rPr>
        <w:t>双位推举训练器一台作为样品，供评委现场评审</w:t>
      </w:r>
      <w:r>
        <w:rPr>
          <w:rFonts w:hint="eastAsia" w:ascii="宋体" w:hAnsi="宋体"/>
          <w:color w:val="000000"/>
          <w:sz w:val="24"/>
          <w:szCs w:val="24"/>
          <w:lang w:eastAsia="zh-CN"/>
        </w:rPr>
        <w:t>。</w:t>
      </w:r>
      <w:r>
        <w:rPr>
          <w:rFonts w:hint="eastAsia" w:ascii="宋体" w:hAnsi="宋体"/>
          <w:color w:val="000000"/>
          <w:sz w:val="24"/>
          <w:szCs w:val="24"/>
        </w:rPr>
        <w:t>样品的摆放位置：须在本项目</w:t>
      </w:r>
      <w:r>
        <w:rPr>
          <w:rFonts w:hint="eastAsia" w:ascii="宋体" w:hAnsi="宋体"/>
          <w:color w:val="000000"/>
          <w:sz w:val="24"/>
          <w:szCs w:val="24"/>
          <w:lang w:val="en-US" w:eastAsia="zh-CN"/>
        </w:rPr>
        <w:t>开标评审</w:t>
      </w:r>
      <w:r>
        <w:rPr>
          <w:rFonts w:hint="eastAsia" w:ascii="宋体" w:hAnsi="宋体"/>
          <w:color w:val="000000"/>
          <w:sz w:val="24"/>
          <w:szCs w:val="24"/>
        </w:rPr>
        <w:t>前摆放至射阳县市民中心大楼北侧东停车场处。样品少送或错送</w:t>
      </w:r>
      <w:r>
        <w:rPr>
          <w:rFonts w:hint="eastAsia" w:ascii="宋体" w:hAnsi="宋体"/>
          <w:color w:val="000000"/>
          <w:sz w:val="24"/>
          <w:szCs w:val="24"/>
          <w:lang w:eastAsia="zh-CN"/>
        </w:rPr>
        <w:t>、</w:t>
      </w:r>
      <w:r>
        <w:rPr>
          <w:rFonts w:hint="eastAsia" w:ascii="宋体" w:hAnsi="宋体"/>
          <w:color w:val="000000"/>
          <w:sz w:val="24"/>
          <w:szCs w:val="24"/>
        </w:rPr>
        <w:t>评委评审样品时未安装完成的或未遮盖投标人所投设备的生产厂家品牌名称和型号的样品分为0分。</w:t>
      </w:r>
    </w:p>
    <w:p w14:paraId="5648034A">
      <w:pPr>
        <w:pStyle w:val="2"/>
        <w:rPr>
          <w:rFonts w:hint="default"/>
          <w:lang w:val="en-US" w:eastAsia="zh-CN"/>
        </w:rPr>
      </w:pPr>
      <w:r>
        <w:rPr>
          <w:rFonts w:hint="eastAsia" w:cs="Times New Roman" w:eastAsiaTheme="minorEastAsia"/>
          <w:b/>
          <w:bCs/>
          <w:color w:val="000000"/>
          <w:kern w:val="2"/>
          <w:sz w:val="24"/>
          <w:szCs w:val="24"/>
          <w:lang w:val="en-US" w:eastAsia="zh-CN" w:bidi="ar-SA"/>
        </w:rPr>
        <w:t>（二）招标参数</w:t>
      </w:r>
    </w:p>
    <w:tbl>
      <w:tblPr>
        <w:tblStyle w:val="16"/>
        <w:tblW w:w="10312" w:type="dxa"/>
        <w:tblInd w:w="-94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2"/>
        <w:gridCol w:w="704"/>
        <w:gridCol w:w="584"/>
        <w:gridCol w:w="608"/>
        <w:gridCol w:w="7328"/>
        <w:gridCol w:w="536"/>
      </w:tblGrid>
      <w:tr w14:paraId="27AE4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27759">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序号</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D8DEE">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名称</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D5830">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单位</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7DCFC">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数量</w:t>
            </w:r>
          </w:p>
        </w:tc>
        <w:tc>
          <w:tcPr>
            <w:tcW w:w="7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426ED">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参数</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6CB9E">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备注</w:t>
            </w:r>
          </w:p>
        </w:tc>
      </w:tr>
      <w:tr w14:paraId="3958C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B09AE">
            <w:pPr>
              <w:keepNext w:val="0"/>
              <w:keepLines w:val="0"/>
              <w:widowControl/>
              <w:suppressLineNumbers w:val="0"/>
              <w:spacing w:line="360" w:lineRule="auto"/>
              <w:jc w:val="left"/>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26B3F">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告示牌</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9BB35">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件</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8BFDB">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w:t>
            </w:r>
          </w:p>
        </w:tc>
        <w:tc>
          <w:tcPr>
            <w:tcW w:w="7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CB2AA">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1.立柱规格：∮114×3mm，采用外扣式铝合金盖帽或钢制封头，避免淋入雨水；</w:t>
            </w:r>
          </w:p>
          <w:p w14:paraId="10ADE3A7">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2.应采用横式不锈钢牌面，牌面尺寸(800~900)×(500~600)mm，板材厚度不小于1mm，图样及字样蚀刻处理，人体易接触区域不应有钩挂、缠绕结构；</w:t>
            </w:r>
          </w:p>
          <w:p w14:paraId="169A3A00">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3.棱边和棱角半径不小于3.0mm；</w:t>
            </w:r>
          </w:p>
          <w:p w14:paraId="14FD217A">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4.牌面采用夹层式设计，防止产生刮伤的可能；</w:t>
            </w:r>
          </w:p>
          <w:p w14:paraId="2CBD43E8">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告示牌至少包含以下内容：简明的的热身运动说明、图示方式介绍正确的锻炼方法、安全警示说明、发现器材有缺陷应立即停止使用直到修复的说明、器材供应商的全称及售后服务电话、管理维护单位及联系电话等。</w:t>
            </w:r>
          </w:p>
          <w:p w14:paraId="15E81C0A">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设计方案应符合国家体育总局《关于印发&lt;彩票公益金资助项目宣传管理办法&gt;的通知》中《体育彩票公益金资助项目标牌设计及安装规范》的规定，加注“射阳县体育局捐赠”并喷绘或镌刻“中国体育彩票公益金资助及LOGO标识”。</w:t>
            </w:r>
          </w:p>
          <w:p w14:paraId="5E856B4A">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7.产品具有可识别的《江苏体育全民健身设施管理平台》二维码及小程序码。</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66F3B">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26C6D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4B7FF">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38BAC">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双位太空漫步机</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7FEAD">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件</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172CC">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w:t>
            </w:r>
          </w:p>
        </w:tc>
        <w:tc>
          <w:tcPr>
            <w:tcW w:w="7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60EF5">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1.主要承载立柱钢管厚度应不小于3mm。</w:t>
            </w:r>
          </w:p>
          <w:p w14:paraId="14476752">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2.摆杆应有限位装置，且单侧摆动幅度不大于65°，摆杆选用不小于Φ60mm×3mm或等强度规格的管材。</w:t>
            </w:r>
          </w:p>
          <w:p w14:paraId="5B02140A">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3.摆杆与主立柱内侧的最小距离处应大于60mm；</w:t>
            </w:r>
          </w:p>
          <w:p w14:paraId="75597623">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4.踏板的主运动方向和易滑脱方向应设置高度不小于30mm、长度大于踏板周长2/3的防滑脱的凸台或护板；凸台顶部棱边应全部以不小于2mm的R圆弧过渡；</w:t>
            </w:r>
          </w:p>
          <w:p w14:paraId="7AD776EB">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5.脚踏部位应有防滑措施，站立使用的单脚防滑面应不小于（3×104  ）mm²，摩擦系数应不小于0.5；</w:t>
            </w:r>
          </w:p>
          <w:p w14:paraId="4A72CFBB">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6.摆动部件下缘距地面或底面最小高度应不小于80mm，相邻运动的两踏板的间距应不小于100mm；</w:t>
            </w:r>
          </w:p>
          <w:p w14:paraId="6AEB3099">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7.踏板前后两侧应采取防止碰撞第三者的缓冲措施；</w:t>
            </w:r>
          </w:p>
          <w:p w14:paraId="0EC2F334">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8.产品具有可识别的《江苏体育全民健身设施管理平台》二维码及小程序码。</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8FA38">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58FF1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29A0A">
            <w:pPr>
              <w:keepNext w:val="0"/>
              <w:keepLines w:val="0"/>
              <w:widowControl/>
              <w:suppressLineNumbers w:val="0"/>
              <w:spacing w:line="360" w:lineRule="auto"/>
              <w:jc w:val="left"/>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9ED52">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双位划船训练器</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9C5A7">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件</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17807">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w:t>
            </w:r>
          </w:p>
        </w:tc>
        <w:tc>
          <w:tcPr>
            <w:tcW w:w="7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99B9">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1.主要承载立柱应采用钢管厚度不小于3mm。</w:t>
            </w:r>
          </w:p>
          <w:p w14:paraId="7888789E">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2.应有限位装置；</w:t>
            </w:r>
          </w:p>
          <w:p w14:paraId="2ED3FDD8">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3.活动部件的下底面距地面的最小高度应为120mm；</w:t>
            </w:r>
          </w:p>
          <w:p w14:paraId="70DA5309">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4.可能对使用者造成跌落、翻倒、碰撞或冲击伤害的，应设置防护装置。</w:t>
            </w:r>
          </w:p>
          <w:p w14:paraId="5F3B653E">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5.产品具有可识别的《江苏体育全民健身设施管理平台》二维码及小程序码。</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16F63">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32952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DBFF8">
            <w:pPr>
              <w:keepNext w:val="0"/>
              <w:keepLines w:val="0"/>
              <w:widowControl/>
              <w:suppressLineNumbers w:val="0"/>
              <w:spacing w:line="360" w:lineRule="auto"/>
              <w:jc w:val="left"/>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16F32">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双位揉推器</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45ED0">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件</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A87F3">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w:t>
            </w:r>
          </w:p>
        </w:tc>
        <w:tc>
          <w:tcPr>
            <w:tcW w:w="7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2297F">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1.主要承载立柱钢管厚度应不小于3mm。</w:t>
            </w:r>
          </w:p>
          <w:p w14:paraId="0DAE7C87">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2.应有防止超速转动的阻尼装置。</w:t>
            </w:r>
          </w:p>
          <w:p w14:paraId="067E6F19">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3.产品具有可识别的《江苏体育全民健身设施管理平台》二维码及小程序码。</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081BD">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470D1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FB5AD">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BCEB4">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双位扭腰器</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0146E">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件</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3AA14">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w:t>
            </w:r>
          </w:p>
        </w:tc>
        <w:tc>
          <w:tcPr>
            <w:tcW w:w="7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A3C37">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1.主要承载立柱钢管厚度应不小于3mm。</w:t>
            </w:r>
          </w:p>
          <w:p w14:paraId="627171CA">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2.扭腰盘应有防止超速转动的阻尼装置；</w:t>
            </w:r>
          </w:p>
          <w:p w14:paraId="6992ABB6">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3.扭腰盘不应使用塑料材质。</w:t>
            </w:r>
          </w:p>
          <w:p w14:paraId="4A2D5600">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4.产品具有可识别的《江苏体育全民健身设施管理平台》二维码及小程序码。</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A0F51">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37EF0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5F2B8">
            <w:pPr>
              <w:keepNext w:val="0"/>
              <w:keepLines w:val="0"/>
              <w:widowControl/>
              <w:suppressLineNumbers w:val="0"/>
              <w:spacing w:line="360" w:lineRule="auto"/>
              <w:jc w:val="left"/>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5047E">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双位蹬力器</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EC9E1">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件</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2B213">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w:t>
            </w:r>
          </w:p>
        </w:tc>
        <w:tc>
          <w:tcPr>
            <w:tcW w:w="7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E5DBC">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1.主要承载立柱钢管厚度应不小于3mm。</w:t>
            </w:r>
          </w:p>
          <w:p w14:paraId="34306DA8">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2.座椅、靠背上表面边缘应以R不小于3mm的圆弧过渡；座椅下部、靠背后侧棱边应圆滑过渡；</w:t>
            </w:r>
          </w:p>
          <w:p w14:paraId="716F0E58">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3.蹬力器摆杆应有限制摆幅的限位装置，蹬力器摆杆规格不小于Φ60mm×3mm;</w:t>
            </w:r>
          </w:p>
          <w:p w14:paraId="47065C4C">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4.脚踏部位应有防滑措施；摩擦系数应不小于0.5；</w:t>
            </w:r>
          </w:p>
          <w:p w14:paraId="261519A4">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5.蹬力器摆杆与立柱之间的最小距离应大于230mm；</w:t>
            </w:r>
          </w:p>
          <w:p w14:paraId="60EC7366">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6.产品具有可识别的《江苏体育全民健身设施管理平台》二维码及小程序码。</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55234">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3CD1E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02ED5">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5CF90">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双位背部训练器</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02C03">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件</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727E9">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w:t>
            </w:r>
          </w:p>
        </w:tc>
        <w:tc>
          <w:tcPr>
            <w:tcW w:w="7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01E49">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1.主要承载立柱钢管厚度应不小于3mm。</w:t>
            </w:r>
          </w:p>
          <w:p w14:paraId="635F12E7">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2.应有限位装置；</w:t>
            </w:r>
          </w:p>
          <w:p w14:paraId="725F30C4">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3.活动部件的下底面距地面的最小高度应为120mm；</w:t>
            </w:r>
          </w:p>
          <w:p w14:paraId="5EF0C1A6">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4.可能对使用者造成跌落、翻倒、碰撞或冲击伤害的，应设置防护装置。</w:t>
            </w:r>
          </w:p>
          <w:p w14:paraId="5309FEEC">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5.产品具有可识别的《江苏体育全民健身设施管理平台》二维码及小程序码。</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C63CB">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6F226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95DD1">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8</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75DD8">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双位健身车（竞赛型）</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14B69">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件</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39AD1">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w:t>
            </w:r>
          </w:p>
        </w:tc>
        <w:tc>
          <w:tcPr>
            <w:tcW w:w="7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55863">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1.主要承载立柱钢管厚度应不小于3mm。</w:t>
            </w:r>
          </w:p>
          <w:p w14:paraId="3BD8475C">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2.应有防止超速转动的阻尼装置；</w:t>
            </w:r>
          </w:p>
          <w:p w14:paraId="19CC5328">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3.曲柄与支架或护罩间应满足GB19272-2011安全间隙要求；</w:t>
            </w:r>
          </w:p>
          <w:p w14:paraId="28EAFC89">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4.两人使用时应能体现互动竞赛特征（竞赛结果可用数据或灯光显示均可）。</w:t>
            </w:r>
          </w:p>
          <w:p w14:paraId="2A45CF2A">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5.产品具有可识别的《江苏体育全民健身设施管理平台》二维码及小程序码。</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408A5">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729A0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5B724">
            <w:pPr>
              <w:keepNext w:val="0"/>
              <w:keepLines w:val="0"/>
              <w:widowControl/>
              <w:suppressLineNumbers w:val="0"/>
              <w:spacing w:line="360" w:lineRule="auto"/>
              <w:jc w:val="left"/>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9</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72826">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双位腹部</w:t>
            </w:r>
          </w:p>
          <w:p w14:paraId="0464D6FB">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训练器</w:t>
            </w:r>
          </w:p>
          <w:p w14:paraId="768D4F09">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48661">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件</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76B70">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w:t>
            </w:r>
          </w:p>
        </w:tc>
        <w:tc>
          <w:tcPr>
            <w:tcW w:w="7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3167E">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1.主要承载立柱钢管厚度应不小于3mm。</w:t>
            </w:r>
          </w:p>
          <w:p w14:paraId="4F8296A5">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2.各支撑管间隙应小于8mm或整体式板面；</w:t>
            </w:r>
          </w:p>
          <w:p w14:paraId="27A993B2">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3.采用直埋式结构；</w:t>
            </w:r>
          </w:p>
          <w:p w14:paraId="25DE40B5">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4.产品具有可识别的《江苏体育全民健身设施管理平台》二维码及小程序码。</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D344C">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2BE0F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40C86">
            <w:pPr>
              <w:keepNext w:val="0"/>
              <w:keepLines w:val="0"/>
              <w:widowControl/>
              <w:suppressLineNumbers w:val="0"/>
              <w:spacing w:line="360" w:lineRule="auto"/>
              <w:jc w:val="left"/>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FB0A6">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双位推举训练器（</w:t>
            </w:r>
            <w:r>
              <w:rPr>
                <w:rFonts w:hint="eastAsia" w:ascii="宋体" w:hAnsi="宋体" w:eastAsia="宋体" w:cs="宋体"/>
                <w:b w:val="0"/>
                <w:bCs w:val="0"/>
                <w:i w:val="0"/>
                <w:iCs w:val="0"/>
                <w:color w:val="FF0000"/>
                <w:kern w:val="0"/>
                <w:sz w:val="21"/>
                <w:szCs w:val="21"/>
                <w:highlight w:val="none"/>
                <w:u w:val="none"/>
                <w:lang w:val="en-US" w:eastAsia="zh-CN" w:bidi="ar"/>
              </w:rPr>
              <w:t>核心产品</w:t>
            </w:r>
            <w:r>
              <w:rPr>
                <w:rFonts w:hint="eastAsia" w:ascii="宋体" w:hAnsi="宋体" w:eastAsia="宋体" w:cs="宋体"/>
                <w:b w:val="0"/>
                <w:bCs w:val="0"/>
                <w:i w:val="0"/>
                <w:iCs w:val="0"/>
                <w:color w:val="000000"/>
                <w:kern w:val="0"/>
                <w:sz w:val="21"/>
                <w:szCs w:val="21"/>
                <w:highlight w:val="none"/>
                <w:u w:val="none"/>
                <w:lang w:val="en-US" w:eastAsia="zh-CN" w:bidi="ar"/>
              </w:rPr>
              <w:t>）</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9ADDF">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件</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4ECB1">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2</w:t>
            </w:r>
          </w:p>
        </w:tc>
        <w:tc>
          <w:tcPr>
            <w:tcW w:w="7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84A69">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1.主要承载立柱钢管厚度应不小于3mm。</w:t>
            </w:r>
          </w:p>
          <w:p w14:paraId="39124BE2">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2.应有限位装置；</w:t>
            </w:r>
          </w:p>
          <w:p w14:paraId="2AE42912">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3.活动部件的下底面距地面的最小高度应为120mm；</w:t>
            </w:r>
          </w:p>
          <w:p w14:paraId="3CCEE811">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4.可能对使用者造成跌落、翻倒、碰撞或冲击伤害的，应设置防护装置。</w:t>
            </w:r>
          </w:p>
          <w:p w14:paraId="61EE5BFE">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5.产品具有可识别的《江苏体育全民健身设施管理平台》二维码及小程序码。</w:t>
            </w:r>
          </w:p>
          <w:p w14:paraId="1DE984AE">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备注：</w:t>
            </w:r>
          </w:p>
          <w:p w14:paraId="6A6C5E8D">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FF0000"/>
                <w:kern w:val="0"/>
                <w:sz w:val="21"/>
                <w:szCs w:val="21"/>
                <w:highlight w:val="none"/>
                <w:u w:val="none"/>
                <w:lang w:val="en-US" w:eastAsia="zh-CN" w:bidi="ar"/>
              </w:rPr>
            </w:pPr>
            <w:r>
              <w:rPr>
                <w:rFonts w:hint="eastAsia" w:ascii="宋体" w:hAnsi="宋体" w:eastAsia="宋体" w:cs="宋体"/>
                <w:b w:val="0"/>
                <w:bCs w:val="0"/>
                <w:i w:val="0"/>
                <w:iCs w:val="0"/>
                <w:color w:val="FF0000"/>
                <w:kern w:val="0"/>
                <w:sz w:val="21"/>
                <w:szCs w:val="21"/>
                <w:highlight w:val="none"/>
                <w:u w:val="none"/>
                <w:lang w:val="en-US" w:eastAsia="zh-CN" w:bidi="ar"/>
              </w:rPr>
              <w:t>1、此设备为核心产品；</w:t>
            </w:r>
          </w:p>
          <w:p w14:paraId="0D0BDBE0">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FF0000"/>
                <w:kern w:val="0"/>
                <w:sz w:val="21"/>
                <w:szCs w:val="21"/>
                <w:highlight w:val="none"/>
                <w:u w:val="none"/>
                <w:lang w:val="en-US" w:eastAsia="zh-CN" w:bidi="ar"/>
              </w:rPr>
              <w:t>2、提供样品。</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0CB3D">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p>
        </w:tc>
      </w:tr>
      <w:tr w14:paraId="1931F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FD6C6">
            <w:pPr>
              <w:keepNext w:val="0"/>
              <w:keepLines w:val="0"/>
              <w:widowControl/>
              <w:suppressLineNumbers w:val="0"/>
              <w:spacing w:line="360" w:lineRule="auto"/>
              <w:jc w:val="left"/>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C4A75">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双位钟摆训练器</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D9D64">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件</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6C51E">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w:t>
            </w:r>
          </w:p>
        </w:tc>
        <w:tc>
          <w:tcPr>
            <w:tcW w:w="7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8D91C">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1.主要承载立柱钢管厚度应不小于3mm。</w:t>
            </w:r>
          </w:p>
          <w:p w14:paraId="640F9A71">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2.摆杆应有限位装置，且单侧摆动幅度不大于65°，摆杆选用不小于60mm×3mm或等强度规格的管材，其他管材实际壁厚不小于3mm;</w:t>
            </w:r>
          </w:p>
          <w:p w14:paraId="65BF7279">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3.摆杆与主立柱内侧的最小距离处应大于60mm；</w:t>
            </w:r>
          </w:p>
          <w:p w14:paraId="5D31EE28">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4.踏板的主运动方向和易滑脱方向应设置高度不小于30mm、长度大于踏板周长2/3的防滑脱的凸台或护板；凸台顶部棱边应全部以不小于2mm的R圆弧过渡；</w:t>
            </w:r>
          </w:p>
          <w:p w14:paraId="38C2629E">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5.脚踏部位应有防滑措施，站立使用的单脚防滑面应不小于（3×104）mm²，摩擦系数应不小于0.5；</w:t>
            </w:r>
          </w:p>
          <w:p w14:paraId="4382DD8F">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6.摆动部件下缘距地面或底面最小高度应不小于80mm；</w:t>
            </w:r>
          </w:p>
          <w:p w14:paraId="384A7144">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7.踏板左右两侧应采取防止碰撞第三者的缓冲措施；</w:t>
            </w:r>
          </w:p>
          <w:p w14:paraId="3AC0040A">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8.产品具有可识别的《江苏体育全民健身设施管理平台》二维码及小程序码。</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B0F71">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p>
        </w:tc>
      </w:tr>
    </w:tbl>
    <w:p w14:paraId="16198390">
      <w:pPr>
        <w:spacing w:line="579" w:lineRule="exact"/>
        <w:ind w:firstLine="482" w:firstLineChars="200"/>
        <w:rPr>
          <w:rFonts w:hint="eastAsia" w:ascii="宋体" w:hAnsi="宋体" w:eastAsia="宋体" w:cs="宋体"/>
          <w:b/>
          <w:bCs/>
          <w:color w:val="000000"/>
          <w:kern w:val="0"/>
          <w:sz w:val="24"/>
          <w:szCs w:val="24"/>
          <w:highlight w:val="none"/>
          <w:lang w:val="en-US" w:eastAsia="zh-CN" w:bidi="ar-SA"/>
        </w:rPr>
      </w:pPr>
      <w:r>
        <w:rPr>
          <w:rFonts w:hint="eastAsia" w:ascii="宋体" w:hAnsi="宋体" w:eastAsia="宋体" w:cs="宋体"/>
          <w:b/>
          <w:bCs/>
          <w:color w:val="000000"/>
          <w:kern w:val="0"/>
          <w:sz w:val="24"/>
          <w:szCs w:val="24"/>
          <w:highlight w:val="none"/>
          <w:lang w:val="en-US" w:eastAsia="zh-CN" w:bidi="ar-SA"/>
        </w:rPr>
        <w:t xml:space="preserve">通用要求 </w:t>
      </w:r>
    </w:p>
    <w:p w14:paraId="42CA1AEF">
      <w:pPr>
        <w:pStyle w:val="22"/>
        <w:spacing w:line="360" w:lineRule="auto"/>
        <w:rPr>
          <w:rFonts w:hint="eastAsia" w:ascii="宋体" w:hAnsi="宋体" w:cs="Times New Roman"/>
          <w:color w:val="000000"/>
          <w:sz w:val="24"/>
          <w:szCs w:val="24"/>
          <w:lang w:val="en-US" w:eastAsia="zh-CN"/>
        </w:rPr>
      </w:pPr>
      <w:r>
        <w:rPr>
          <w:rFonts w:hint="eastAsia" w:ascii="宋体" w:hAnsi="宋体" w:cs="Times New Roman"/>
          <w:color w:val="000000"/>
          <w:sz w:val="24"/>
          <w:szCs w:val="24"/>
          <w:lang w:val="en-US" w:eastAsia="zh-CN"/>
        </w:rPr>
        <w:t>1.闭合开口、不完全闭合开口符合GB 19272-2011《室外健身器材的安全通用要求》中5.3.2的要求；</w:t>
      </w:r>
    </w:p>
    <w:p w14:paraId="20C0530A">
      <w:pPr>
        <w:pStyle w:val="22"/>
        <w:spacing w:line="360" w:lineRule="auto"/>
        <w:rPr>
          <w:rFonts w:hint="eastAsia" w:ascii="宋体" w:hAnsi="宋体" w:cs="Times New Roman"/>
          <w:color w:val="000000"/>
          <w:sz w:val="24"/>
          <w:szCs w:val="24"/>
          <w:lang w:val="en-US" w:eastAsia="zh-CN"/>
        </w:rPr>
      </w:pPr>
      <w:r>
        <w:rPr>
          <w:rFonts w:hint="eastAsia" w:ascii="宋体" w:hAnsi="宋体" w:cs="Times New Roman"/>
          <w:color w:val="000000"/>
          <w:sz w:val="24"/>
          <w:szCs w:val="24"/>
          <w:lang w:val="en-US" w:eastAsia="zh-CN"/>
        </w:rPr>
        <w:t>2.地埋式器材地埋深度应符合GB19272-2011《室外健身器材的安全通用要求》的要求，且在地基没有完全凝固前，应有专人监护，器材地基及其周围的硬化表面不应高于安装器材周围地面；</w:t>
      </w:r>
    </w:p>
    <w:p w14:paraId="0F10DA2C">
      <w:pPr>
        <w:pStyle w:val="22"/>
        <w:spacing w:line="360" w:lineRule="auto"/>
        <w:rPr>
          <w:rFonts w:hint="eastAsia" w:ascii="宋体" w:hAnsi="宋体" w:cs="Times New Roman"/>
          <w:color w:val="000000"/>
          <w:sz w:val="24"/>
          <w:szCs w:val="24"/>
          <w:lang w:val="en-US" w:eastAsia="zh-CN"/>
        </w:rPr>
      </w:pPr>
      <w:r>
        <w:rPr>
          <w:rFonts w:hint="eastAsia" w:ascii="宋体" w:hAnsi="宋体" w:cs="Times New Roman"/>
          <w:color w:val="000000"/>
          <w:sz w:val="24"/>
          <w:szCs w:val="24"/>
          <w:lang w:val="en-US" w:eastAsia="zh-CN"/>
        </w:rPr>
        <w:t>3.钢铁制件（不锈钢除外）表面，应经过酸洗、磷化处理后或经过表面热度锌处理后，进行表面喷塑处理，涂层厚度不小于70μm；</w:t>
      </w:r>
    </w:p>
    <w:p w14:paraId="22D32F73">
      <w:pPr>
        <w:pStyle w:val="22"/>
        <w:spacing w:line="360" w:lineRule="auto"/>
        <w:rPr>
          <w:rFonts w:hint="eastAsia" w:ascii="宋体" w:hAnsi="宋体" w:cs="Times New Roman"/>
          <w:color w:val="000000"/>
          <w:sz w:val="24"/>
          <w:szCs w:val="24"/>
          <w:lang w:val="en-US" w:eastAsia="zh-CN"/>
        </w:rPr>
      </w:pPr>
      <w:r>
        <w:rPr>
          <w:rFonts w:hint="eastAsia" w:ascii="宋体" w:hAnsi="宋体" w:cs="Times New Roman"/>
          <w:color w:val="000000"/>
          <w:sz w:val="24"/>
          <w:szCs w:val="24"/>
          <w:lang w:val="en-US" w:eastAsia="zh-CN"/>
        </w:rPr>
        <w:t>4.摆动式、摇动式、滑行式、攀爬式器材等，具有超过600mm跌落高度的和（或）强制使用者身体运动的器材，在所有的碰撞区域应有着陆缓冲层，跌落高度大于600mm小于1000mm的器材缓冲层使用橡胶地板，跌落高度大于1000mm的器材缓冲层使用碎石子，缓冲层的面积和厚度应满足GB 19272-2011《室外健身器材的安全通用要求》中5.3.3条款要求；</w:t>
      </w:r>
    </w:p>
    <w:p w14:paraId="568E6F61">
      <w:pPr>
        <w:pStyle w:val="22"/>
        <w:spacing w:line="360" w:lineRule="auto"/>
        <w:rPr>
          <w:rFonts w:hint="eastAsia" w:ascii="宋体" w:hAnsi="宋体" w:cs="Times New Roman"/>
          <w:color w:val="000000"/>
          <w:sz w:val="24"/>
          <w:szCs w:val="24"/>
          <w:lang w:val="en-US" w:eastAsia="zh-CN"/>
        </w:rPr>
      </w:pPr>
      <w:r>
        <w:rPr>
          <w:rFonts w:hint="eastAsia" w:ascii="宋体" w:hAnsi="宋体" w:cs="Times New Roman"/>
          <w:color w:val="000000"/>
          <w:sz w:val="24"/>
          <w:szCs w:val="24"/>
          <w:lang w:val="en-US" w:eastAsia="zh-CN"/>
        </w:rPr>
        <w:t>5.活动式器材转动部位不应存在可能造成缠绕、挤压的引入点；</w:t>
      </w:r>
    </w:p>
    <w:p w14:paraId="1958AC3F">
      <w:pPr>
        <w:pStyle w:val="22"/>
        <w:spacing w:line="360" w:lineRule="auto"/>
        <w:rPr>
          <w:rFonts w:hint="eastAsia" w:ascii="宋体" w:hAnsi="宋体" w:cs="Times New Roman"/>
          <w:color w:val="000000"/>
          <w:sz w:val="24"/>
          <w:szCs w:val="24"/>
          <w:lang w:val="en-US" w:eastAsia="zh-CN"/>
        </w:rPr>
      </w:pPr>
      <w:r>
        <w:rPr>
          <w:rFonts w:hint="eastAsia" w:ascii="宋体" w:hAnsi="宋体" w:cs="Times New Roman"/>
          <w:color w:val="000000"/>
          <w:sz w:val="24"/>
          <w:szCs w:val="24"/>
          <w:lang w:val="en-US" w:eastAsia="zh-CN"/>
        </w:rPr>
        <w:t>6.器材高于600mm以上的自由空间和跌落空间内不应出现任何钩挂或缠绕结构；</w:t>
      </w:r>
    </w:p>
    <w:p w14:paraId="5B456979">
      <w:pPr>
        <w:pStyle w:val="22"/>
        <w:spacing w:line="360" w:lineRule="auto"/>
        <w:rPr>
          <w:rFonts w:hint="eastAsia" w:ascii="宋体" w:hAnsi="宋体" w:cs="Times New Roman"/>
          <w:color w:val="000000"/>
          <w:sz w:val="24"/>
          <w:szCs w:val="24"/>
          <w:lang w:val="en-US" w:eastAsia="zh-CN"/>
        </w:rPr>
      </w:pPr>
      <w:r>
        <w:rPr>
          <w:rFonts w:hint="eastAsia" w:ascii="宋体" w:hAnsi="宋体" w:cs="Times New Roman"/>
          <w:color w:val="000000"/>
          <w:sz w:val="24"/>
          <w:szCs w:val="24"/>
          <w:lang w:val="en-US" w:eastAsia="zh-CN"/>
        </w:rPr>
        <w:t>7.器材安全警示应采用图示和文字方式提示使用者可能存在风险；</w:t>
      </w:r>
    </w:p>
    <w:p w14:paraId="0342E158">
      <w:pPr>
        <w:pStyle w:val="22"/>
        <w:spacing w:line="360" w:lineRule="auto"/>
        <w:rPr>
          <w:rFonts w:hint="eastAsia" w:ascii="宋体" w:hAnsi="宋体" w:cs="Times New Roman"/>
          <w:color w:val="000000"/>
          <w:sz w:val="24"/>
          <w:szCs w:val="24"/>
          <w:lang w:val="en-US" w:eastAsia="zh-CN"/>
        </w:rPr>
      </w:pPr>
      <w:r>
        <w:rPr>
          <w:rFonts w:hint="eastAsia" w:ascii="宋体" w:hAnsi="宋体" w:cs="Times New Roman"/>
          <w:color w:val="000000"/>
          <w:sz w:val="24"/>
          <w:szCs w:val="24"/>
          <w:lang w:val="en-US" w:eastAsia="zh-CN"/>
        </w:rPr>
        <w:t>8.器材上具有中国体育彩票公益金资助标识，售后服务电话和二维码。</w:t>
      </w:r>
    </w:p>
    <w:p w14:paraId="6CBCF1F9">
      <w:pPr>
        <w:pStyle w:val="22"/>
        <w:spacing w:line="360" w:lineRule="auto"/>
        <w:rPr>
          <w:rFonts w:hint="eastAsia" w:ascii="宋体" w:hAnsi="宋体" w:cs="Times New Roman"/>
          <w:color w:val="000000"/>
          <w:sz w:val="24"/>
          <w:szCs w:val="24"/>
          <w:lang w:val="en-US" w:eastAsia="zh-CN"/>
        </w:rPr>
      </w:pPr>
      <w:r>
        <w:rPr>
          <w:rFonts w:hint="eastAsia" w:ascii="宋体" w:hAnsi="宋体" w:cs="Times New Roman"/>
          <w:color w:val="000000"/>
          <w:sz w:val="24"/>
          <w:szCs w:val="24"/>
          <w:lang w:val="en-US" w:eastAsia="zh-CN"/>
        </w:rPr>
        <w:t>9.器材应具有数据采集、数据传输、数据处理等功能，加遮阳棚并与安装环境相融合。</w:t>
      </w:r>
    </w:p>
    <w:p w14:paraId="05C6C42B">
      <w:pPr>
        <w:pStyle w:val="22"/>
        <w:spacing w:line="360" w:lineRule="auto"/>
        <w:rPr>
          <w:rFonts w:hint="eastAsia" w:ascii="宋体" w:hAnsi="宋体" w:cs="Times New Roman"/>
          <w:color w:val="000000"/>
          <w:sz w:val="24"/>
          <w:szCs w:val="24"/>
          <w:lang w:val="en-US" w:eastAsia="zh-CN"/>
        </w:rPr>
      </w:pPr>
      <w:r>
        <w:rPr>
          <w:rFonts w:hint="eastAsia" w:ascii="宋体" w:hAnsi="宋体" w:cs="Times New Roman"/>
          <w:color w:val="000000"/>
          <w:sz w:val="24"/>
          <w:szCs w:val="24"/>
          <w:lang w:val="en-US" w:eastAsia="zh-CN"/>
        </w:rPr>
        <w:t>10. 数据采集应至少包括运动次数、运动时间等参数；数据处理的结果应采用固定显示屏呈现方式，器材应具备后台数据统计和处理系统平台并可以手机APP或显示屏方式查询。</w:t>
      </w:r>
    </w:p>
    <w:p w14:paraId="6B50BCE2">
      <w:pPr>
        <w:pStyle w:val="22"/>
        <w:spacing w:line="360" w:lineRule="auto"/>
        <w:rPr>
          <w:rFonts w:hint="eastAsia" w:ascii="宋体" w:hAnsi="宋体" w:cs="Times New Roman"/>
          <w:color w:val="000000"/>
          <w:sz w:val="24"/>
          <w:szCs w:val="24"/>
          <w:lang w:val="en-US" w:eastAsia="zh-CN"/>
        </w:rPr>
      </w:pPr>
      <w:r>
        <w:rPr>
          <w:rFonts w:hint="eastAsia" w:ascii="宋体" w:hAnsi="宋体" w:cs="Times New Roman"/>
          <w:color w:val="000000"/>
          <w:sz w:val="24"/>
          <w:szCs w:val="24"/>
          <w:lang w:val="en-US" w:eastAsia="zh-CN"/>
        </w:rPr>
        <w:t>11. 所投器材应具有国家级质量检测机构出具的检测报告。</w:t>
      </w:r>
    </w:p>
    <w:p w14:paraId="7BD82250">
      <w:pPr>
        <w:pStyle w:val="22"/>
        <w:spacing w:line="360" w:lineRule="auto"/>
        <w:rPr>
          <w:rFonts w:hint="eastAsia" w:ascii="宋体" w:hAnsi="宋体" w:cs="Times New Roman"/>
          <w:color w:val="000000"/>
          <w:sz w:val="24"/>
          <w:szCs w:val="24"/>
        </w:rPr>
      </w:pPr>
      <w:r>
        <w:rPr>
          <w:rFonts w:hint="eastAsia" w:ascii="宋体" w:hAnsi="宋体" w:cs="Times New Roman"/>
          <w:color w:val="000000"/>
          <w:sz w:val="24"/>
          <w:szCs w:val="24"/>
          <w:lang w:val="en-US" w:eastAsia="zh-CN"/>
        </w:rPr>
        <w:t>12</w:t>
      </w:r>
      <w:r>
        <w:rPr>
          <w:rFonts w:hint="eastAsia" w:ascii="宋体" w:hAnsi="宋体" w:cs="Times New Roman"/>
          <w:color w:val="000000"/>
          <w:sz w:val="24"/>
          <w:szCs w:val="24"/>
        </w:rPr>
        <w:t>. 表面易接触材料有害物质限量应符合GB19272-2011中5.2.6的要求；</w:t>
      </w:r>
    </w:p>
    <w:p w14:paraId="782E3002">
      <w:pPr>
        <w:pStyle w:val="22"/>
        <w:spacing w:line="360" w:lineRule="auto"/>
        <w:rPr>
          <w:rFonts w:hint="eastAsia" w:ascii="宋体" w:hAnsi="宋体" w:cs="Times New Roman"/>
          <w:color w:val="000000"/>
          <w:sz w:val="24"/>
          <w:szCs w:val="24"/>
        </w:rPr>
      </w:pPr>
      <w:r>
        <w:rPr>
          <w:rFonts w:hint="eastAsia" w:ascii="宋体" w:hAnsi="宋体" w:cs="Times New Roman"/>
          <w:color w:val="000000"/>
          <w:sz w:val="24"/>
          <w:szCs w:val="24"/>
          <w:lang w:val="en-US" w:eastAsia="zh-CN"/>
        </w:rPr>
        <w:t>13</w:t>
      </w:r>
      <w:r>
        <w:rPr>
          <w:rFonts w:hint="eastAsia" w:ascii="宋体" w:hAnsi="宋体" w:cs="Times New Roman"/>
          <w:color w:val="000000"/>
          <w:sz w:val="24"/>
          <w:szCs w:val="24"/>
        </w:rPr>
        <w:t>. 器材各部位螺钉、螺母等紧固件应紧固可靠且防锈、防松和防盗；螺纹突出部分不应超过其螺距3倍的长度; 易接触区域的螺栓、螺钉应永久的覆盖住突出的螺栓螺纹或采用覆盖件在其安装面以上直角部分的高度不应超过3mm或采用突出部分外角应不小于105°或不应有易钩挂形状。</w:t>
      </w:r>
    </w:p>
    <w:p w14:paraId="1333035A">
      <w:pPr>
        <w:pStyle w:val="22"/>
        <w:spacing w:line="360" w:lineRule="auto"/>
        <w:rPr>
          <w:rFonts w:hint="eastAsia" w:ascii="宋体" w:hAnsi="宋体" w:cs="Times New Roman"/>
          <w:color w:val="000000"/>
          <w:sz w:val="24"/>
          <w:szCs w:val="24"/>
        </w:rPr>
      </w:pPr>
      <w:r>
        <w:rPr>
          <w:rFonts w:hint="eastAsia" w:ascii="宋体" w:hAnsi="宋体" w:cs="Times New Roman"/>
          <w:color w:val="000000"/>
          <w:sz w:val="24"/>
          <w:szCs w:val="24"/>
          <w:lang w:val="en-US" w:eastAsia="zh-CN"/>
        </w:rPr>
        <w:t>14</w:t>
      </w:r>
      <w:r>
        <w:rPr>
          <w:rFonts w:hint="eastAsia" w:ascii="宋体" w:hAnsi="宋体" w:cs="Times New Roman"/>
          <w:color w:val="000000"/>
          <w:sz w:val="24"/>
          <w:szCs w:val="24"/>
        </w:rPr>
        <w:t>. 器材各支撑人体的表面所有棱边和尖角，应使其半径不小于3.0mm；使用者或第三者易接触的零部件的其他所有棱边应予以圆滑过渡或加以防护。</w:t>
      </w:r>
    </w:p>
    <w:p w14:paraId="545664E8">
      <w:pPr>
        <w:pStyle w:val="22"/>
        <w:spacing w:line="360" w:lineRule="auto"/>
        <w:rPr>
          <w:rFonts w:hint="eastAsia" w:ascii="宋体" w:hAnsi="宋体" w:cs="Times New Roman"/>
          <w:color w:val="000000"/>
          <w:sz w:val="24"/>
          <w:szCs w:val="24"/>
        </w:rPr>
      </w:pPr>
      <w:r>
        <w:rPr>
          <w:rFonts w:hint="eastAsia" w:ascii="宋体" w:hAnsi="宋体" w:cs="Times New Roman"/>
          <w:color w:val="000000"/>
          <w:sz w:val="24"/>
          <w:szCs w:val="24"/>
          <w:lang w:val="en-US" w:eastAsia="zh-CN"/>
        </w:rPr>
        <w:t>15</w:t>
      </w:r>
      <w:r>
        <w:rPr>
          <w:rFonts w:hint="eastAsia" w:ascii="宋体" w:hAnsi="宋体" w:cs="Times New Roman"/>
          <w:color w:val="000000"/>
          <w:sz w:val="24"/>
          <w:szCs w:val="24"/>
        </w:rPr>
        <w:t>. 易接触的管材末端应采用零部件或管塞封住，且把手端部直径应不小于50mm，除使用工具外，应不可拆卸。</w:t>
      </w:r>
    </w:p>
    <w:p w14:paraId="664D4D7D">
      <w:pPr>
        <w:pStyle w:val="22"/>
        <w:spacing w:line="360" w:lineRule="auto"/>
        <w:rPr>
          <w:rFonts w:hint="eastAsia" w:ascii="宋体" w:hAnsi="宋体" w:cs="Times New Roman"/>
          <w:color w:val="000000"/>
          <w:sz w:val="24"/>
          <w:szCs w:val="24"/>
        </w:rPr>
      </w:pPr>
      <w:r>
        <w:rPr>
          <w:rFonts w:hint="eastAsia" w:ascii="宋体" w:hAnsi="宋体" w:cs="Times New Roman"/>
          <w:color w:val="000000"/>
          <w:sz w:val="24"/>
          <w:szCs w:val="24"/>
          <w:lang w:val="en-US" w:eastAsia="zh-CN"/>
        </w:rPr>
        <w:t>16.</w:t>
      </w:r>
      <w:r>
        <w:rPr>
          <w:rFonts w:hint="eastAsia" w:ascii="宋体" w:hAnsi="宋体" w:cs="Times New Roman"/>
          <w:color w:val="000000"/>
          <w:sz w:val="24"/>
          <w:szCs w:val="24"/>
        </w:rPr>
        <w:t xml:space="preserve"> 器材结构应防止有对人体头部、颈部、躯干、手、手指、脚部的挤压、剪切、卡夹伤害的可能；应防止有对衣物、头发产生钩挂、缠绕伤害的可能；在使用者头部或视线高度范围外，不应有不可预知的障碍物和突起物，防止产生碰撞伤害的可能。</w:t>
      </w:r>
    </w:p>
    <w:p w14:paraId="2509E7C3">
      <w:pPr>
        <w:pStyle w:val="22"/>
        <w:spacing w:line="360" w:lineRule="auto"/>
        <w:rPr>
          <w:rFonts w:hint="eastAsia" w:ascii="宋体" w:hAnsi="宋体" w:cs="Times New Roman"/>
          <w:color w:val="000000"/>
          <w:sz w:val="24"/>
          <w:szCs w:val="24"/>
        </w:rPr>
      </w:pPr>
      <w:r>
        <w:rPr>
          <w:rFonts w:hint="eastAsia" w:ascii="宋体" w:hAnsi="宋体" w:cs="Times New Roman"/>
          <w:color w:val="000000"/>
          <w:sz w:val="24"/>
          <w:szCs w:val="24"/>
          <w:lang w:val="en-US" w:eastAsia="zh-CN"/>
        </w:rPr>
        <w:t>17</w:t>
      </w:r>
      <w:r>
        <w:rPr>
          <w:rFonts w:hint="eastAsia" w:ascii="宋体" w:hAnsi="宋体" w:cs="Times New Roman"/>
          <w:color w:val="000000"/>
          <w:sz w:val="24"/>
          <w:szCs w:val="24"/>
        </w:rPr>
        <w:t>. 扶手直径应不小于16mm且不大于45mm；</w:t>
      </w:r>
    </w:p>
    <w:p w14:paraId="213B2E18">
      <w:pPr>
        <w:pStyle w:val="22"/>
        <w:spacing w:line="360" w:lineRule="auto"/>
        <w:rPr>
          <w:rFonts w:hint="eastAsia" w:ascii="宋体" w:hAnsi="宋体" w:cs="Times New Roman"/>
          <w:color w:val="000000"/>
          <w:sz w:val="24"/>
          <w:szCs w:val="24"/>
        </w:rPr>
      </w:pPr>
      <w:r>
        <w:rPr>
          <w:rFonts w:hint="eastAsia" w:ascii="宋体" w:hAnsi="宋体" w:cs="Times New Roman"/>
          <w:color w:val="000000"/>
          <w:sz w:val="24"/>
          <w:szCs w:val="24"/>
        </w:rPr>
        <w:t>1</w:t>
      </w:r>
      <w:r>
        <w:rPr>
          <w:rFonts w:hint="eastAsia" w:ascii="宋体" w:hAnsi="宋体" w:cs="Times New Roman"/>
          <w:color w:val="000000"/>
          <w:sz w:val="24"/>
          <w:szCs w:val="24"/>
          <w:lang w:val="en-US" w:eastAsia="zh-CN"/>
        </w:rPr>
        <w:t>8</w:t>
      </w:r>
      <w:r>
        <w:rPr>
          <w:rFonts w:hint="eastAsia" w:ascii="宋体" w:hAnsi="宋体" w:cs="Times New Roman"/>
          <w:color w:val="000000"/>
          <w:sz w:val="24"/>
          <w:szCs w:val="24"/>
        </w:rPr>
        <w:t>. 带有轴承的器材，轴承应采取防水、防尘措施；</w:t>
      </w:r>
    </w:p>
    <w:p w14:paraId="56EC3C19">
      <w:pPr>
        <w:pStyle w:val="22"/>
        <w:spacing w:line="360" w:lineRule="auto"/>
        <w:rPr>
          <w:rFonts w:hint="eastAsia" w:ascii="宋体" w:hAnsi="宋体" w:cs="Times New Roman"/>
          <w:color w:val="000000"/>
          <w:sz w:val="24"/>
          <w:szCs w:val="24"/>
        </w:rPr>
      </w:pPr>
      <w:r>
        <w:rPr>
          <w:rFonts w:hint="eastAsia" w:ascii="宋体" w:hAnsi="宋体" w:cs="Times New Roman"/>
          <w:color w:val="000000"/>
          <w:sz w:val="24"/>
          <w:szCs w:val="24"/>
        </w:rPr>
        <w:t>1</w:t>
      </w:r>
      <w:r>
        <w:rPr>
          <w:rFonts w:hint="eastAsia" w:ascii="宋体" w:hAnsi="宋体" w:cs="Times New Roman"/>
          <w:color w:val="000000"/>
          <w:sz w:val="24"/>
          <w:szCs w:val="24"/>
          <w:lang w:val="en-US" w:eastAsia="zh-CN"/>
        </w:rPr>
        <w:t>9</w:t>
      </w:r>
      <w:r>
        <w:rPr>
          <w:rFonts w:hint="eastAsia" w:ascii="宋体" w:hAnsi="宋体" w:cs="Times New Roman"/>
          <w:color w:val="000000"/>
          <w:sz w:val="24"/>
          <w:szCs w:val="24"/>
        </w:rPr>
        <w:t>. 电压应符合GB/T3805-2008中6.1环境状态2的正常直流电压限值为35V的规定。</w:t>
      </w:r>
    </w:p>
    <w:p w14:paraId="01003765">
      <w:pPr>
        <w:pStyle w:val="22"/>
        <w:spacing w:line="360" w:lineRule="auto"/>
        <w:rPr>
          <w:rFonts w:hint="eastAsia" w:ascii="宋体" w:hAnsi="宋体" w:cs="Times New Roman"/>
          <w:color w:val="000000"/>
          <w:sz w:val="24"/>
          <w:szCs w:val="24"/>
        </w:rPr>
      </w:pPr>
      <w:r>
        <w:rPr>
          <w:rFonts w:hint="eastAsia" w:ascii="宋体" w:hAnsi="宋体" w:cs="Times New Roman"/>
          <w:color w:val="000000"/>
          <w:sz w:val="24"/>
          <w:szCs w:val="24"/>
          <w:lang w:val="en-US" w:eastAsia="zh-CN"/>
        </w:rPr>
        <w:t>20</w:t>
      </w:r>
      <w:r>
        <w:rPr>
          <w:rFonts w:hint="eastAsia" w:ascii="宋体" w:hAnsi="宋体" w:cs="Times New Roman"/>
          <w:color w:val="000000"/>
          <w:sz w:val="24"/>
          <w:szCs w:val="24"/>
        </w:rPr>
        <w:t xml:space="preserve">. 使用太阳能或自发电充电模式，采用锂电池或胶体蓄电池，充电后应能满足24小时内器材正常使用。太阳能板到蓄电池的连线及蓄电池要密封，不得暴露在外。    </w:t>
      </w:r>
    </w:p>
    <w:p w14:paraId="6A9B742D">
      <w:pPr>
        <w:pStyle w:val="22"/>
        <w:spacing w:line="360" w:lineRule="auto"/>
        <w:rPr>
          <w:rFonts w:hint="eastAsia" w:ascii="宋体" w:hAnsi="宋体" w:cs="Times New Roman"/>
          <w:color w:val="000000"/>
          <w:sz w:val="24"/>
          <w:szCs w:val="24"/>
        </w:rPr>
      </w:pPr>
      <w:r>
        <w:rPr>
          <w:rFonts w:hint="eastAsia" w:ascii="宋体" w:hAnsi="宋体" w:cs="Times New Roman"/>
          <w:color w:val="000000"/>
          <w:sz w:val="24"/>
          <w:szCs w:val="24"/>
          <w:lang w:val="en-US" w:eastAsia="zh-CN"/>
        </w:rPr>
        <w:t>21</w:t>
      </w:r>
      <w:r>
        <w:rPr>
          <w:rFonts w:hint="eastAsia" w:ascii="宋体" w:hAnsi="宋体" w:cs="Times New Roman"/>
          <w:color w:val="000000"/>
          <w:sz w:val="24"/>
          <w:szCs w:val="24"/>
        </w:rPr>
        <w:t>. 器材安全使用寿命不低于8年；其中作为易损部件的电子部件及供电系统使用寿命应不小于2年。</w:t>
      </w:r>
    </w:p>
    <w:p w14:paraId="21FE51D3">
      <w:pPr>
        <w:pStyle w:val="22"/>
        <w:spacing w:line="360" w:lineRule="auto"/>
        <w:rPr>
          <w:rFonts w:hint="eastAsia" w:ascii="宋体" w:hAnsi="宋体" w:cs="Times New Roman"/>
          <w:color w:val="000000"/>
          <w:sz w:val="24"/>
          <w:szCs w:val="24"/>
        </w:rPr>
      </w:pPr>
      <w:r>
        <w:rPr>
          <w:rFonts w:hint="eastAsia" w:ascii="宋体" w:hAnsi="宋体" w:cs="Times New Roman"/>
          <w:color w:val="000000"/>
          <w:sz w:val="24"/>
          <w:szCs w:val="24"/>
          <w:lang w:val="en-US" w:eastAsia="zh-CN"/>
        </w:rPr>
        <w:t>22</w:t>
      </w:r>
      <w:r>
        <w:rPr>
          <w:rFonts w:hint="eastAsia" w:ascii="宋体" w:hAnsi="宋体" w:cs="Times New Roman"/>
          <w:color w:val="000000"/>
          <w:sz w:val="24"/>
          <w:szCs w:val="24"/>
        </w:rPr>
        <w:t>. 使用500g的钢球从500mm高度自由落下，冲击显示屏中心位置，显示屏应不出现破裂。</w:t>
      </w:r>
    </w:p>
    <w:p w14:paraId="094ADAFD">
      <w:pPr>
        <w:pStyle w:val="22"/>
        <w:spacing w:line="360" w:lineRule="auto"/>
        <w:rPr>
          <w:rFonts w:hint="eastAsia" w:ascii="宋体" w:hAnsi="宋体" w:cs="Times New Roman"/>
          <w:color w:val="000000"/>
          <w:sz w:val="24"/>
          <w:szCs w:val="24"/>
        </w:rPr>
      </w:pPr>
      <w:r>
        <w:rPr>
          <w:rFonts w:hint="eastAsia" w:ascii="宋体" w:hAnsi="宋体" w:cs="Times New Roman"/>
          <w:color w:val="000000"/>
          <w:sz w:val="24"/>
          <w:szCs w:val="24"/>
          <w:lang w:val="en-US" w:eastAsia="zh-CN"/>
        </w:rPr>
        <w:t>23</w:t>
      </w:r>
      <w:r>
        <w:rPr>
          <w:rFonts w:hint="eastAsia" w:ascii="宋体" w:hAnsi="宋体" w:cs="Times New Roman"/>
          <w:color w:val="000000"/>
          <w:sz w:val="24"/>
          <w:szCs w:val="24"/>
        </w:rPr>
        <w:t>. 数据显示准确度：时间±1%，次数±5%。</w:t>
      </w:r>
    </w:p>
    <w:p w14:paraId="51FB2B0F">
      <w:pPr>
        <w:pStyle w:val="22"/>
        <w:spacing w:line="360" w:lineRule="auto"/>
        <w:rPr>
          <w:rFonts w:hint="eastAsia" w:ascii="宋体" w:hAnsi="宋体" w:cs="Times New Roman"/>
          <w:color w:val="000000"/>
          <w:sz w:val="24"/>
          <w:szCs w:val="24"/>
        </w:rPr>
      </w:pPr>
      <w:r>
        <w:rPr>
          <w:rFonts w:hint="eastAsia" w:ascii="宋体" w:hAnsi="宋体" w:cs="Times New Roman"/>
          <w:color w:val="000000"/>
          <w:sz w:val="24"/>
          <w:szCs w:val="24"/>
          <w:lang w:val="en-US" w:eastAsia="zh-CN"/>
        </w:rPr>
        <w:t>24</w:t>
      </w:r>
      <w:r>
        <w:rPr>
          <w:rFonts w:hint="eastAsia" w:ascii="宋体" w:hAnsi="宋体" w:cs="Times New Roman"/>
          <w:color w:val="000000"/>
          <w:sz w:val="24"/>
          <w:szCs w:val="24"/>
        </w:rPr>
        <w:t>. 可尝试攀爬、踩踏高度大于600mm时，碰撞区域应安装有着陆缓冲层。</w:t>
      </w:r>
    </w:p>
    <w:p w14:paraId="15179D70">
      <w:pPr>
        <w:pStyle w:val="22"/>
        <w:spacing w:line="360" w:lineRule="auto"/>
        <w:rPr>
          <w:rFonts w:hint="eastAsia" w:ascii="宋体" w:hAnsi="宋体" w:cs="Times New Roman"/>
          <w:color w:val="000000"/>
          <w:sz w:val="24"/>
          <w:szCs w:val="24"/>
        </w:rPr>
      </w:pPr>
      <w:r>
        <w:rPr>
          <w:rFonts w:hint="eastAsia" w:ascii="宋体" w:hAnsi="宋体" w:cs="Times New Roman"/>
          <w:color w:val="000000"/>
          <w:sz w:val="24"/>
          <w:szCs w:val="24"/>
          <w:lang w:val="en-US" w:eastAsia="zh-CN"/>
        </w:rPr>
        <w:t>25</w:t>
      </w:r>
      <w:r>
        <w:rPr>
          <w:rFonts w:hint="eastAsia" w:ascii="宋体" w:hAnsi="宋体" w:cs="Times New Roman"/>
          <w:color w:val="000000"/>
          <w:sz w:val="24"/>
          <w:szCs w:val="24"/>
        </w:rPr>
        <w:t>. 器材应配有完整的说明书，应包含三图（安装示意图、安装跌落空间图、碰撞区域图）、三表（器材安装检查表、器材定期检查表、易损件明细表）、器材安全使用寿命、器材维护保养注意事项、及寿命周期内对易损件及时更换的承诺等内容。</w:t>
      </w:r>
    </w:p>
    <w:p w14:paraId="4405315A">
      <w:pPr>
        <w:pStyle w:val="22"/>
        <w:spacing w:line="360" w:lineRule="auto"/>
        <w:rPr>
          <w:rFonts w:hint="eastAsia" w:ascii="宋体" w:hAnsi="宋体" w:cs="Times New Roman"/>
          <w:color w:val="000000"/>
          <w:sz w:val="24"/>
          <w:szCs w:val="24"/>
        </w:rPr>
      </w:pPr>
      <w:r>
        <w:rPr>
          <w:rFonts w:hint="eastAsia" w:ascii="宋体" w:hAnsi="宋体" w:cs="Times New Roman"/>
          <w:color w:val="000000"/>
          <w:sz w:val="24"/>
          <w:szCs w:val="24"/>
          <w:lang w:val="en-US" w:eastAsia="zh-CN"/>
        </w:rPr>
        <w:t>26</w:t>
      </w:r>
      <w:r>
        <w:rPr>
          <w:rFonts w:hint="eastAsia" w:ascii="宋体" w:hAnsi="宋体" w:cs="Times New Roman"/>
          <w:color w:val="000000"/>
          <w:sz w:val="24"/>
          <w:szCs w:val="24"/>
        </w:rPr>
        <w:t>. 器材应能通过显示屏或手机APP查询使用指导方案。</w:t>
      </w:r>
    </w:p>
    <w:p w14:paraId="7818DC42">
      <w:pPr>
        <w:pStyle w:val="22"/>
        <w:spacing w:line="360" w:lineRule="auto"/>
        <w:rPr>
          <w:rFonts w:hint="eastAsia" w:ascii="宋体" w:hAnsi="宋体" w:cs="Times New Roman"/>
          <w:color w:val="000000"/>
          <w:sz w:val="24"/>
          <w:szCs w:val="24"/>
        </w:rPr>
      </w:pPr>
      <w:r>
        <w:rPr>
          <w:rFonts w:hint="eastAsia" w:ascii="宋体" w:hAnsi="宋体" w:cs="Times New Roman"/>
          <w:color w:val="000000"/>
          <w:sz w:val="24"/>
          <w:szCs w:val="24"/>
          <w:lang w:val="en-US" w:eastAsia="zh-CN"/>
        </w:rPr>
        <w:t>27</w:t>
      </w:r>
      <w:r>
        <w:rPr>
          <w:rFonts w:hint="eastAsia" w:ascii="宋体" w:hAnsi="宋体" w:cs="Times New Roman"/>
          <w:color w:val="000000"/>
          <w:sz w:val="24"/>
          <w:szCs w:val="24"/>
        </w:rPr>
        <w:t>. 器材安全警示应采用图示方式提示使用者可能存在风险。</w:t>
      </w:r>
    </w:p>
    <w:p w14:paraId="03D603E2">
      <w:pPr>
        <w:pStyle w:val="22"/>
        <w:spacing w:line="360" w:lineRule="auto"/>
        <w:rPr>
          <w:rFonts w:hint="eastAsia" w:ascii="宋体" w:hAnsi="宋体" w:cs="Times New Roman"/>
          <w:color w:val="000000"/>
          <w:sz w:val="24"/>
          <w:szCs w:val="24"/>
        </w:rPr>
      </w:pPr>
      <w:r>
        <w:rPr>
          <w:rFonts w:hint="eastAsia" w:ascii="宋体" w:hAnsi="宋体" w:cs="Times New Roman"/>
          <w:color w:val="000000"/>
          <w:sz w:val="24"/>
          <w:szCs w:val="24"/>
          <w:lang w:val="en-US" w:eastAsia="zh-CN"/>
        </w:rPr>
        <w:t>28</w:t>
      </w:r>
      <w:r>
        <w:rPr>
          <w:rFonts w:hint="eastAsia" w:ascii="宋体" w:hAnsi="宋体" w:cs="Times New Roman"/>
          <w:color w:val="000000"/>
          <w:sz w:val="24"/>
          <w:szCs w:val="24"/>
        </w:rPr>
        <w:t>. 器材应有专用二维码标识，用于提报安装信息。</w:t>
      </w:r>
    </w:p>
    <w:p w14:paraId="031D23D6">
      <w:pPr>
        <w:pStyle w:val="22"/>
        <w:spacing w:line="360" w:lineRule="auto"/>
        <w:rPr>
          <w:rFonts w:hint="eastAsia" w:ascii="宋体" w:hAnsi="宋体" w:cs="Times New Roman"/>
          <w:color w:val="000000"/>
          <w:sz w:val="24"/>
          <w:szCs w:val="24"/>
        </w:rPr>
      </w:pPr>
      <w:r>
        <w:rPr>
          <w:rFonts w:hint="eastAsia" w:ascii="宋体" w:hAnsi="宋体" w:cs="Times New Roman"/>
          <w:color w:val="000000"/>
          <w:sz w:val="24"/>
          <w:szCs w:val="24"/>
          <w:lang w:val="en-US" w:eastAsia="zh-CN"/>
        </w:rPr>
        <w:t>29.</w:t>
      </w:r>
      <w:r>
        <w:rPr>
          <w:rFonts w:hint="eastAsia" w:ascii="宋体" w:hAnsi="宋体" w:cs="Times New Roman"/>
          <w:color w:val="000000"/>
          <w:sz w:val="24"/>
          <w:szCs w:val="24"/>
        </w:rPr>
        <w:t>钢铁制件（不锈钢除外）表面，应经过酸洗、磷化处理后或经过表面热度锌处理后，进行表面喷塑处理，涂层厚度不小于70μm；</w:t>
      </w:r>
    </w:p>
    <w:p w14:paraId="66172550">
      <w:pPr>
        <w:pStyle w:val="22"/>
        <w:spacing w:line="360" w:lineRule="auto"/>
        <w:rPr>
          <w:rFonts w:hint="eastAsia" w:ascii="宋体" w:hAnsi="宋体" w:cs="Times New Roman"/>
          <w:color w:val="000000"/>
          <w:sz w:val="24"/>
          <w:szCs w:val="24"/>
        </w:rPr>
      </w:pPr>
      <w:r>
        <w:rPr>
          <w:rFonts w:hint="eastAsia" w:ascii="宋体" w:hAnsi="宋体" w:cs="Times New Roman"/>
          <w:color w:val="000000"/>
          <w:sz w:val="24"/>
          <w:szCs w:val="24"/>
          <w:lang w:val="en-US" w:eastAsia="zh-CN"/>
        </w:rPr>
        <w:t>30</w:t>
      </w:r>
      <w:r>
        <w:rPr>
          <w:rFonts w:hint="eastAsia" w:ascii="宋体" w:hAnsi="宋体" w:cs="Times New Roman"/>
          <w:color w:val="000000"/>
          <w:sz w:val="24"/>
          <w:szCs w:val="24"/>
        </w:rPr>
        <w:t>. 所采购器材须符合GB 19272-2011《室外健身器材的安全通用要求》，并通过经国家批准的器材质量认证机构的产品质量认证。</w:t>
      </w:r>
    </w:p>
    <w:p w14:paraId="2A053E1B">
      <w:pPr>
        <w:pStyle w:val="22"/>
        <w:spacing w:line="360" w:lineRule="auto"/>
        <w:ind w:firstLine="482"/>
        <w:rPr>
          <w:rFonts w:ascii="宋体" w:hAnsi="宋体" w:cs="Times New Roman"/>
          <w:b/>
          <w:bCs/>
          <w:color w:val="000000"/>
          <w:sz w:val="24"/>
          <w:szCs w:val="24"/>
        </w:rPr>
      </w:pPr>
      <w:r>
        <w:rPr>
          <w:rFonts w:hint="eastAsia" w:ascii="宋体" w:hAnsi="宋体" w:cs="Times New Roman"/>
          <w:b/>
          <w:bCs/>
          <w:color w:val="000000"/>
          <w:sz w:val="24"/>
          <w:szCs w:val="24"/>
        </w:rPr>
        <w:t>二、质量要求：</w:t>
      </w:r>
    </w:p>
    <w:p w14:paraId="213E7013">
      <w:pPr>
        <w:pStyle w:val="22"/>
        <w:spacing w:line="360" w:lineRule="auto"/>
        <w:rPr>
          <w:rFonts w:ascii="宋体" w:hAnsi="宋体" w:cs="Times New Roman"/>
          <w:color w:val="000000"/>
          <w:sz w:val="24"/>
          <w:szCs w:val="24"/>
        </w:rPr>
      </w:pPr>
      <w:r>
        <w:rPr>
          <w:rFonts w:hint="eastAsia" w:ascii="宋体" w:hAnsi="宋体" w:cs="Times New Roman"/>
          <w:color w:val="000000"/>
          <w:sz w:val="24"/>
          <w:szCs w:val="24"/>
        </w:rPr>
        <w:t>1、投标单位不能简单照搬招标文件提供的需求，必须按招标文件技术规格逐项作出实质性应答，如照搬照抄项目需求中的技术的，中标后投标供应商在同采购人签订合同和履约环节中不得提出异议，一切后果和损失由成交供应商承担。</w:t>
      </w:r>
    </w:p>
    <w:p w14:paraId="69F31005">
      <w:pPr>
        <w:pStyle w:val="22"/>
        <w:spacing w:line="360" w:lineRule="auto"/>
        <w:rPr>
          <w:rFonts w:ascii="宋体" w:hAnsi="宋体" w:cs="Times New Roman"/>
          <w:color w:val="000000"/>
          <w:sz w:val="24"/>
          <w:szCs w:val="24"/>
        </w:rPr>
      </w:pPr>
      <w:r>
        <w:rPr>
          <w:rFonts w:hint="eastAsia" w:ascii="宋体" w:hAnsi="宋体" w:cs="Times New Roman"/>
          <w:color w:val="000000"/>
          <w:sz w:val="24"/>
          <w:szCs w:val="24"/>
        </w:rPr>
        <w:t>2、投标人须明确所投设备的生产厂家、品牌、型号、规格和外形、尺寸等。</w:t>
      </w:r>
    </w:p>
    <w:p w14:paraId="7A0FB034">
      <w:pPr>
        <w:pStyle w:val="22"/>
        <w:spacing w:line="360" w:lineRule="auto"/>
        <w:rPr>
          <w:rFonts w:ascii="宋体" w:hAnsi="宋体" w:cs="Times New Roman"/>
          <w:color w:val="000000"/>
          <w:sz w:val="24"/>
          <w:szCs w:val="24"/>
        </w:rPr>
      </w:pPr>
      <w:r>
        <w:rPr>
          <w:rFonts w:hint="eastAsia" w:ascii="宋体" w:hAnsi="宋体" w:cs="Times New Roman"/>
          <w:color w:val="000000"/>
          <w:sz w:val="24"/>
          <w:szCs w:val="24"/>
        </w:rPr>
        <w:t>3、投标人应保证货物是全新、未使用过的原厂合格产品，并完全符合招标文件规定的质量、规格和参数的要求。完全符合国家标准规定的质量、规格和性能的要求。在保质期内，投标方应对由设计、工艺或材料的缺陷而发生的任何不足或故障负责。验收过程中发现产品不符合上述要求的，将视作不合格产品，使用方有权终止合同，造成的一切损失由供应商承担。投标产品属于国家规定“三包”范围的，其产品的质量保证期不得低于“三包”规定。供应商的质量保证期承诺优于国家“三包”规定的，按供应商实际承诺执行；</w:t>
      </w:r>
    </w:p>
    <w:p w14:paraId="2E2EA543">
      <w:pPr>
        <w:pStyle w:val="22"/>
        <w:spacing w:line="360" w:lineRule="auto"/>
        <w:rPr>
          <w:rFonts w:ascii="宋体" w:hAnsi="宋体" w:cs="Times New Roman"/>
          <w:color w:val="000000"/>
          <w:sz w:val="24"/>
          <w:szCs w:val="24"/>
        </w:rPr>
      </w:pPr>
      <w:r>
        <w:rPr>
          <w:rFonts w:hint="eastAsia" w:ascii="宋体" w:hAnsi="宋体" w:cs="Times New Roman"/>
          <w:color w:val="000000"/>
          <w:sz w:val="24"/>
          <w:szCs w:val="24"/>
        </w:rPr>
        <w:t>4、投标人应保证提供的产品不得侵犯第三方专利权、商标权和设计权、版权等。否则，供应商应负全部责任，并承担由此引起的一切后果。</w:t>
      </w:r>
    </w:p>
    <w:p w14:paraId="614FBDB5">
      <w:pPr>
        <w:pStyle w:val="22"/>
        <w:spacing w:line="360" w:lineRule="auto"/>
        <w:rPr>
          <w:rFonts w:ascii="宋体" w:hAnsi="宋体" w:cs="Times New Roman"/>
          <w:color w:val="000000"/>
          <w:sz w:val="24"/>
          <w:szCs w:val="24"/>
        </w:rPr>
      </w:pPr>
      <w:r>
        <w:rPr>
          <w:rFonts w:hint="eastAsia" w:ascii="宋体" w:hAnsi="宋体" w:cs="Times New Roman"/>
          <w:color w:val="000000"/>
          <w:sz w:val="24"/>
          <w:szCs w:val="24"/>
        </w:rPr>
        <w:t>5、投标人应保证其货物在正确安装、正常使用下，在其使用寿命期内应具有满意的性能。</w:t>
      </w:r>
    </w:p>
    <w:p w14:paraId="65BF628E">
      <w:pPr>
        <w:pStyle w:val="22"/>
        <w:spacing w:line="360" w:lineRule="auto"/>
        <w:rPr>
          <w:rFonts w:ascii="宋体" w:hAnsi="宋体" w:cs="Times New Roman"/>
          <w:color w:val="000000"/>
          <w:sz w:val="24"/>
          <w:szCs w:val="24"/>
        </w:rPr>
      </w:pPr>
      <w:r>
        <w:rPr>
          <w:rFonts w:hint="eastAsia" w:ascii="宋体" w:hAnsi="宋体" w:cs="Times New Roman"/>
          <w:color w:val="000000"/>
          <w:sz w:val="24"/>
          <w:szCs w:val="24"/>
        </w:rPr>
        <w:t>6、投标人应采取必要的安全措施保证货物的运输及安装的安全，并承担货物的运输及安装过程中产生的风险。</w:t>
      </w:r>
    </w:p>
    <w:p w14:paraId="392E37EE">
      <w:pPr>
        <w:pStyle w:val="22"/>
        <w:spacing w:line="360" w:lineRule="auto"/>
        <w:rPr>
          <w:rFonts w:ascii="宋体" w:hAnsi="宋体" w:cs="Times New Roman"/>
          <w:color w:val="000000"/>
          <w:sz w:val="24"/>
          <w:szCs w:val="24"/>
        </w:rPr>
      </w:pPr>
      <w:r>
        <w:rPr>
          <w:rFonts w:hint="eastAsia" w:ascii="宋体" w:hAnsi="宋体" w:cs="Times New Roman"/>
          <w:color w:val="000000"/>
          <w:sz w:val="24"/>
          <w:szCs w:val="24"/>
        </w:rPr>
        <w:t>7、所有报价的产品的各项技术标准应当符合现行相关生产标准和规范及招标文件的要求。</w:t>
      </w:r>
    </w:p>
    <w:p w14:paraId="3C5EC3A1">
      <w:pPr>
        <w:pStyle w:val="22"/>
        <w:spacing w:line="360" w:lineRule="auto"/>
        <w:rPr>
          <w:rFonts w:ascii="宋体" w:hAnsi="宋体" w:cs="Times New Roman"/>
          <w:color w:val="000000"/>
          <w:sz w:val="24"/>
          <w:szCs w:val="24"/>
        </w:rPr>
      </w:pPr>
      <w:r>
        <w:rPr>
          <w:rFonts w:hint="eastAsia" w:ascii="宋体" w:hAnsi="宋体" w:cs="Times New Roman"/>
          <w:color w:val="000000"/>
          <w:sz w:val="24"/>
          <w:szCs w:val="24"/>
        </w:rPr>
        <w:t>8、供货时必须随产品提供出厂材料，包括但不限于检验报告（复印件）、产品合格证（原件）以及设备的测试、运行、保养手册，所有材料均要满足环保要求。</w:t>
      </w:r>
    </w:p>
    <w:p w14:paraId="178BBC59">
      <w:pPr>
        <w:pStyle w:val="22"/>
        <w:spacing w:line="360" w:lineRule="auto"/>
        <w:rPr>
          <w:rFonts w:ascii="宋体" w:hAnsi="宋体" w:cs="Times New Roman"/>
          <w:color w:val="000000"/>
          <w:sz w:val="24"/>
          <w:szCs w:val="24"/>
        </w:rPr>
      </w:pPr>
      <w:r>
        <w:rPr>
          <w:rFonts w:hint="eastAsia" w:ascii="宋体" w:hAnsi="宋体" w:cs="Times New Roman"/>
          <w:color w:val="000000"/>
          <w:sz w:val="24"/>
          <w:szCs w:val="24"/>
        </w:rPr>
        <w:t>9、招标人将邀请专业人员，对安装到位的设备进行全面检查，发现使用不符合要求的产品，无条件更换，并没收履约保证金。</w:t>
      </w:r>
    </w:p>
    <w:p w14:paraId="15C13BF6">
      <w:pPr>
        <w:pStyle w:val="22"/>
        <w:spacing w:line="360" w:lineRule="auto"/>
        <w:ind w:firstLine="482"/>
        <w:rPr>
          <w:rFonts w:ascii="宋体" w:hAnsi="宋体" w:cs="Times New Roman"/>
          <w:b/>
          <w:bCs/>
          <w:color w:val="000000"/>
          <w:sz w:val="24"/>
          <w:szCs w:val="24"/>
        </w:rPr>
      </w:pPr>
      <w:r>
        <w:rPr>
          <w:rFonts w:hint="eastAsia" w:ascii="宋体" w:hAnsi="宋体" w:cs="Times New Roman"/>
          <w:b/>
          <w:bCs/>
          <w:color w:val="000000"/>
          <w:sz w:val="24"/>
          <w:szCs w:val="24"/>
        </w:rPr>
        <w:t>三、售后服务</w:t>
      </w:r>
    </w:p>
    <w:p w14:paraId="2C1CE33D">
      <w:pPr>
        <w:pStyle w:val="22"/>
        <w:spacing w:line="360" w:lineRule="auto"/>
        <w:rPr>
          <w:rFonts w:ascii="宋体" w:hAnsi="宋体" w:cs="Times New Roman"/>
          <w:color w:val="000000"/>
          <w:sz w:val="24"/>
          <w:szCs w:val="24"/>
        </w:rPr>
      </w:pPr>
      <w:r>
        <w:rPr>
          <w:rFonts w:hint="eastAsia" w:ascii="宋体" w:hAnsi="宋体" w:cs="Times New Roman"/>
          <w:color w:val="000000"/>
          <w:sz w:val="24"/>
          <w:szCs w:val="24"/>
        </w:rPr>
        <w:t>1、质量保证期：以上采购清单中耐用器材免费保修期至少8年（易损部件使用寿命不少于2年，更换后应确保使用8年），在质保期内，中标供应商负责提供2次/年巡检服务。</w:t>
      </w:r>
    </w:p>
    <w:p w14:paraId="195DAB16">
      <w:pPr>
        <w:pStyle w:val="22"/>
        <w:spacing w:line="360" w:lineRule="auto"/>
        <w:rPr>
          <w:rFonts w:ascii="宋体" w:hAnsi="宋体" w:cs="Times New Roman"/>
          <w:color w:val="000000"/>
          <w:sz w:val="24"/>
          <w:szCs w:val="24"/>
        </w:rPr>
      </w:pPr>
      <w:r>
        <w:rPr>
          <w:rFonts w:hint="eastAsia" w:ascii="宋体" w:hAnsi="宋体" w:cs="Times New Roman"/>
          <w:color w:val="000000"/>
          <w:sz w:val="24"/>
          <w:szCs w:val="24"/>
        </w:rPr>
        <w:t>2、在质保期内项目所有产品及其形成的系统性能如出现质量问题（人为除外），供应商负责无条件更换或修复。</w:t>
      </w:r>
    </w:p>
    <w:p w14:paraId="75978046">
      <w:pPr>
        <w:pStyle w:val="22"/>
        <w:spacing w:line="360" w:lineRule="auto"/>
        <w:rPr>
          <w:rFonts w:ascii="宋体" w:hAnsi="宋体" w:cs="Times New Roman"/>
          <w:color w:val="000000"/>
          <w:sz w:val="24"/>
          <w:szCs w:val="24"/>
        </w:rPr>
      </w:pPr>
      <w:r>
        <w:rPr>
          <w:rFonts w:hint="eastAsia" w:ascii="宋体" w:hAnsi="宋体" w:cs="Times New Roman"/>
          <w:color w:val="000000"/>
          <w:sz w:val="24"/>
          <w:szCs w:val="24"/>
        </w:rPr>
        <w:t xml:space="preserve">3、中标人需有专业的安装维护队伍，需具有安装维护经验和相应的专业资格证书；有完善的安装实施、培训、维护方案； </w:t>
      </w:r>
    </w:p>
    <w:p w14:paraId="20B80162">
      <w:pPr>
        <w:pStyle w:val="22"/>
        <w:spacing w:line="360" w:lineRule="auto"/>
        <w:rPr>
          <w:rFonts w:ascii="宋体" w:hAnsi="宋体" w:cs="Times New Roman"/>
          <w:color w:val="000000"/>
          <w:sz w:val="24"/>
          <w:szCs w:val="24"/>
        </w:rPr>
      </w:pPr>
      <w:r>
        <w:rPr>
          <w:rFonts w:hint="eastAsia" w:ascii="宋体" w:hAnsi="宋体" w:cs="Times New Roman"/>
          <w:color w:val="000000"/>
          <w:sz w:val="24"/>
          <w:szCs w:val="24"/>
        </w:rPr>
        <w:t>4、如在使用过程中发生质量问题，中标供应商在4小时内予以回应，在质量保修期内设备发生故障必须在得到通知后24小时内派人到现场解决；若无法排除故障，须提供备用设备于24小时内安装到位，不得影响设备正常使用；质保期满后维修费用只收取成本费。</w:t>
      </w:r>
    </w:p>
    <w:p w14:paraId="3D8FF823">
      <w:pPr>
        <w:pStyle w:val="22"/>
        <w:spacing w:line="360" w:lineRule="auto"/>
        <w:ind w:firstLine="482"/>
        <w:rPr>
          <w:rFonts w:ascii="宋体" w:hAnsi="宋体" w:cs="Times New Roman"/>
          <w:b/>
          <w:bCs/>
          <w:color w:val="000000"/>
          <w:sz w:val="24"/>
          <w:szCs w:val="24"/>
        </w:rPr>
      </w:pPr>
      <w:r>
        <w:rPr>
          <w:rFonts w:hint="eastAsia" w:ascii="宋体" w:hAnsi="宋体" w:cs="Times New Roman"/>
          <w:b/>
          <w:bCs/>
          <w:color w:val="000000"/>
          <w:sz w:val="24"/>
          <w:szCs w:val="24"/>
        </w:rPr>
        <w:t>四、验收标准：</w:t>
      </w:r>
    </w:p>
    <w:p w14:paraId="659E3792">
      <w:pPr>
        <w:pStyle w:val="22"/>
        <w:spacing w:line="360" w:lineRule="auto"/>
        <w:rPr>
          <w:rFonts w:ascii="宋体" w:hAnsi="宋体" w:cs="Times New Roman"/>
          <w:color w:val="000000"/>
          <w:sz w:val="24"/>
          <w:szCs w:val="24"/>
        </w:rPr>
      </w:pPr>
      <w:r>
        <w:rPr>
          <w:rFonts w:hint="eastAsia" w:ascii="宋体" w:hAnsi="宋体" w:cs="Times New Roman"/>
          <w:color w:val="000000"/>
          <w:sz w:val="24"/>
          <w:szCs w:val="24"/>
        </w:rPr>
        <w:t>1.采购人对中标人提交的货物依据招标及投标文件上的技术规格要求和国家有关质量标准进行现场初步验收，外观、说明书、合格证明等符合招标文件技术要求的，给予签收，初步验收不合格的不予签收。</w:t>
      </w:r>
    </w:p>
    <w:p w14:paraId="13806BCB">
      <w:pPr>
        <w:pStyle w:val="22"/>
        <w:spacing w:line="360" w:lineRule="auto"/>
        <w:rPr>
          <w:rFonts w:ascii="宋体" w:hAnsi="宋体" w:cs="Times New Roman"/>
          <w:color w:val="000000"/>
          <w:sz w:val="24"/>
          <w:szCs w:val="24"/>
        </w:rPr>
      </w:pPr>
      <w:r>
        <w:rPr>
          <w:rFonts w:hint="eastAsia" w:ascii="宋体" w:hAnsi="宋体" w:cs="Times New Roman"/>
          <w:color w:val="000000"/>
          <w:sz w:val="24"/>
          <w:szCs w:val="24"/>
        </w:rPr>
        <w:t>2.中标人交货前应对产品作出全面检查和对验收文件进行整理，并列出清单，作为采购人收货验收和使用的技术条件依据，检验的结果应随货物交采购人。</w:t>
      </w:r>
    </w:p>
    <w:p w14:paraId="168C9320">
      <w:pPr>
        <w:pStyle w:val="22"/>
        <w:spacing w:line="360" w:lineRule="auto"/>
        <w:rPr>
          <w:rFonts w:ascii="宋体" w:hAnsi="宋体" w:cs="Times New Roman"/>
          <w:color w:val="000000"/>
          <w:sz w:val="24"/>
          <w:szCs w:val="24"/>
        </w:rPr>
      </w:pPr>
      <w:r>
        <w:rPr>
          <w:rFonts w:hint="eastAsia" w:ascii="宋体" w:hAnsi="宋体" w:cs="Times New Roman"/>
          <w:color w:val="000000"/>
          <w:sz w:val="24"/>
          <w:szCs w:val="24"/>
        </w:rPr>
        <w:t>3.采购人对中标人提供的货物在使用前进行调试时，中标人需负责安装并培训采购人的使用操作人员，并协助采购人一起调试，直到符合技术要求，采购人才做最终验收。</w:t>
      </w:r>
    </w:p>
    <w:p w14:paraId="503DA933">
      <w:pPr>
        <w:pStyle w:val="22"/>
        <w:spacing w:line="360" w:lineRule="auto"/>
        <w:rPr>
          <w:rFonts w:ascii="宋体" w:hAnsi="宋体" w:cs="Times New Roman"/>
          <w:color w:val="000000"/>
          <w:sz w:val="24"/>
          <w:szCs w:val="24"/>
        </w:rPr>
      </w:pPr>
      <w:r>
        <w:rPr>
          <w:rFonts w:hint="eastAsia" w:ascii="宋体" w:hAnsi="宋体" w:cs="Times New Roman"/>
          <w:color w:val="000000"/>
          <w:sz w:val="24"/>
          <w:szCs w:val="24"/>
        </w:rPr>
        <w:t>4.对技术复杂的货物，采购人可请国家认可的专业检测机构参与初步验收及最终验收，并由其出具质量检测报告。</w:t>
      </w:r>
    </w:p>
    <w:p w14:paraId="79896B6B">
      <w:pPr>
        <w:pStyle w:val="22"/>
        <w:spacing w:line="360" w:lineRule="auto"/>
        <w:rPr>
          <w:rFonts w:ascii="宋体" w:hAnsi="宋体" w:cs="Times New Roman"/>
          <w:color w:val="000000"/>
          <w:sz w:val="24"/>
          <w:szCs w:val="24"/>
        </w:rPr>
      </w:pPr>
      <w:r>
        <w:rPr>
          <w:rFonts w:hint="eastAsia" w:ascii="宋体" w:hAnsi="宋体" w:cs="Times New Roman"/>
          <w:color w:val="000000"/>
          <w:sz w:val="24"/>
          <w:szCs w:val="24"/>
        </w:rPr>
        <w:t>5. 采购人根据国家有关规定、招标文件、中标人的投标文件以及合同约定的内容和验收标准进行验收。验收情况作为支付货款的依据。如有疑问，以相关质量技术检验检测机构的检验结果为准，如产生检验费用，则该费用由中标人承担。</w:t>
      </w:r>
    </w:p>
    <w:p w14:paraId="7F2A2696">
      <w:pPr>
        <w:pStyle w:val="22"/>
        <w:spacing w:line="360" w:lineRule="auto"/>
        <w:ind w:firstLine="482"/>
        <w:rPr>
          <w:rFonts w:ascii="宋体" w:hAnsi="宋体" w:cs="Times New Roman"/>
          <w:b/>
          <w:bCs/>
          <w:color w:val="000000"/>
          <w:sz w:val="24"/>
          <w:szCs w:val="24"/>
        </w:rPr>
      </w:pPr>
      <w:r>
        <w:rPr>
          <w:rFonts w:hint="eastAsia" w:ascii="宋体" w:hAnsi="宋体" w:cs="Times New Roman"/>
          <w:b/>
          <w:bCs/>
          <w:color w:val="000000"/>
          <w:sz w:val="24"/>
          <w:szCs w:val="24"/>
        </w:rPr>
        <w:t>五、合同履行期限和地点</w:t>
      </w:r>
    </w:p>
    <w:p w14:paraId="6127EB4B">
      <w:pPr>
        <w:pStyle w:val="22"/>
        <w:spacing w:line="360" w:lineRule="auto"/>
        <w:rPr>
          <w:rFonts w:ascii="宋体" w:hAnsi="宋体" w:cs="Times New Roman"/>
          <w:color w:val="000000"/>
          <w:sz w:val="24"/>
          <w:szCs w:val="24"/>
        </w:rPr>
      </w:pPr>
      <w:r>
        <w:rPr>
          <w:rFonts w:hint="eastAsia" w:ascii="宋体" w:hAnsi="宋体" w:cs="Times New Roman"/>
          <w:color w:val="000000"/>
          <w:sz w:val="24"/>
          <w:szCs w:val="24"/>
        </w:rPr>
        <w:t>1、合同履行期限：签订合同后40天内安装调试完毕，如有变动，以采购人要求为准。</w:t>
      </w:r>
    </w:p>
    <w:p w14:paraId="6D370375">
      <w:pPr>
        <w:pStyle w:val="22"/>
        <w:spacing w:line="360" w:lineRule="auto"/>
        <w:rPr>
          <w:rFonts w:ascii="宋体" w:hAnsi="宋体" w:cs="Times New Roman"/>
          <w:color w:val="000000"/>
          <w:sz w:val="24"/>
          <w:szCs w:val="24"/>
        </w:rPr>
      </w:pPr>
      <w:r>
        <w:rPr>
          <w:rFonts w:hint="eastAsia" w:ascii="宋体" w:hAnsi="宋体" w:cs="Times New Roman"/>
          <w:color w:val="000000"/>
          <w:sz w:val="24"/>
          <w:szCs w:val="24"/>
        </w:rPr>
        <w:t>2、履约地点：射阳县体育局指定地点。</w:t>
      </w:r>
    </w:p>
    <w:p w14:paraId="05DF963F">
      <w:pPr>
        <w:pStyle w:val="22"/>
        <w:spacing w:line="360" w:lineRule="auto"/>
        <w:ind w:firstLine="482"/>
        <w:rPr>
          <w:rFonts w:ascii="宋体" w:hAnsi="宋体" w:cs="Times New Roman"/>
          <w:b/>
          <w:bCs/>
          <w:color w:val="000000"/>
          <w:sz w:val="24"/>
          <w:szCs w:val="24"/>
        </w:rPr>
      </w:pPr>
      <w:r>
        <w:rPr>
          <w:rFonts w:hint="eastAsia" w:ascii="宋体" w:hAnsi="宋体" w:cs="Times New Roman"/>
          <w:b/>
          <w:bCs/>
          <w:color w:val="000000"/>
          <w:sz w:val="24"/>
          <w:szCs w:val="24"/>
        </w:rPr>
        <w:t>六、付款方式</w:t>
      </w:r>
    </w:p>
    <w:p w14:paraId="60148EC3">
      <w:pPr>
        <w:pStyle w:val="14"/>
        <w:spacing w:beforeAutospacing="0" w:afterAutospacing="0" w:line="360" w:lineRule="auto"/>
        <w:ind w:firstLine="480"/>
        <w:jc w:val="both"/>
        <w:rPr>
          <w:rFonts w:asciiTheme="minorEastAsia" w:hAnsiTheme="minorEastAsia" w:cstheme="minorEastAsia"/>
          <w:highlight w:val="none"/>
          <w:shd w:val="clear" w:color="auto" w:fill="FFFFFF"/>
        </w:rPr>
      </w:pPr>
      <w:r>
        <w:rPr>
          <w:rFonts w:hint="eastAsia" w:asciiTheme="minorEastAsia" w:hAnsiTheme="minorEastAsia" w:cstheme="minorEastAsia"/>
          <w:highlight w:val="none"/>
          <w:shd w:val="clear" w:color="auto" w:fill="FFFFFF"/>
        </w:rPr>
        <w:t>1、本项目落实预付款制度，预付款比例为30%，采购单位在收到发票后 10个工作日内将预付款支付到合同约定的中标单位账户（在签订合同时，中标、成交供应商明确书面表示无需预付款或者主动要求降低预付款比例的，采购人可就预付款比例作相应调整）。</w:t>
      </w:r>
    </w:p>
    <w:p w14:paraId="67FE1E79">
      <w:pPr>
        <w:pStyle w:val="22"/>
        <w:spacing w:line="360" w:lineRule="auto"/>
        <w:rPr>
          <w:rFonts w:ascii="宋体" w:hAnsi="宋体" w:cs="Times New Roman"/>
          <w:color w:val="000000"/>
          <w:sz w:val="24"/>
          <w:szCs w:val="24"/>
        </w:rPr>
      </w:pPr>
      <w:r>
        <w:rPr>
          <w:rFonts w:hint="eastAsia" w:ascii="宋体" w:hAnsi="宋体" w:cs="Times New Roman"/>
          <w:color w:val="000000"/>
          <w:sz w:val="24"/>
          <w:szCs w:val="24"/>
          <w:lang w:val="en-US" w:eastAsia="zh-CN"/>
        </w:rPr>
        <w:t>2、</w:t>
      </w:r>
      <w:r>
        <w:rPr>
          <w:rFonts w:hint="eastAsia" w:ascii="宋体" w:hAnsi="宋体" w:cs="Times New Roman"/>
          <w:color w:val="000000"/>
          <w:sz w:val="24"/>
          <w:szCs w:val="24"/>
        </w:rPr>
        <w:t>中标方按照采购人的要求将货物送到指定地点并完成安装调试，项目验收合格后付至项目总价70%。验收合格满一年后付</w:t>
      </w:r>
      <w:r>
        <w:rPr>
          <w:rFonts w:hint="eastAsia" w:ascii="宋体" w:hAnsi="宋体" w:cs="Times New Roman"/>
          <w:color w:val="000000"/>
          <w:sz w:val="24"/>
          <w:szCs w:val="24"/>
          <w:lang w:val="en-US" w:eastAsia="zh-CN"/>
        </w:rPr>
        <w:t>至</w:t>
      </w:r>
      <w:r>
        <w:rPr>
          <w:rFonts w:hint="eastAsia" w:ascii="宋体" w:hAnsi="宋体" w:cs="Times New Roman"/>
          <w:color w:val="000000"/>
          <w:sz w:val="24"/>
          <w:szCs w:val="24"/>
        </w:rPr>
        <w:t>项目总价</w:t>
      </w:r>
      <w:r>
        <w:rPr>
          <w:rFonts w:hint="eastAsia" w:ascii="宋体" w:hAnsi="宋体" w:cs="Times New Roman"/>
          <w:color w:val="000000"/>
          <w:sz w:val="24"/>
          <w:szCs w:val="24"/>
          <w:lang w:val="en-US" w:eastAsia="zh-CN"/>
        </w:rPr>
        <w:t>9</w:t>
      </w:r>
      <w:r>
        <w:rPr>
          <w:rFonts w:hint="eastAsia" w:ascii="宋体" w:hAnsi="宋体" w:cs="Times New Roman"/>
          <w:color w:val="000000"/>
          <w:sz w:val="24"/>
          <w:szCs w:val="24"/>
        </w:rPr>
        <w:t>0%，验收合格满八年后无质量、服务问题一次性付清余款（无息）。</w:t>
      </w:r>
    </w:p>
    <w:p w14:paraId="29435C87">
      <w:pPr>
        <w:spacing w:line="360" w:lineRule="auto"/>
        <w:ind w:firstLine="482" w:firstLineChars="200"/>
        <w:rPr>
          <w:rFonts w:ascii="宋体" w:hAnsi="宋体" w:eastAsia="宋体" w:cs="Times New Roman"/>
          <w:b/>
          <w:bCs/>
          <w:color w:val="000000"/>
          <w:sz w:val="24"/>
        </w:rPr>
      </w:pPr>
      <w:r>
        <w:rPr>
          <w:rFonts w:hint="eastAsia" w:ascii="宋体" w:hAnsi="宋体" w:eastAsia="宋体" w:cs="Times New Roman"/>
          <w:b/>
          <w:bCs/>
          <w:color w:val="000000"/>
          <w:sz w:val="24"/>
          <w:lang w:val="en-US" w:eastAsia="zh-CN"/>
        </w:rPr>
        <w:t>七</w:t>
      </w:r>
      <w:r>
        <w:rPr>
          <w:rFonts w:hint="eastAsia" w:ascii="宋体" w:hAnsi="宋体" w:eastAsia="宋体" w:cs="Times New Roman"/>
          <w:b/>
          <w:bCs/>
          <w:color w:val="000000"/>
          <w:sz w:val="24"/>
        </w:rPr>
        <w:t>、特别说明：</w:t>
      </w:r>
    </w:p>
    <w:p w14:paraId="1F15CA9C">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1、报价含项目成果交付前一切费用。不接受选择性报价。</w:t>
      </w:r>
    </w:p>
    <w:p w14:paraId="161718BB">
      <w:pPr>
        <w:spacing w:line="360" w:lineRule="auto"/>
        <w:ind w:firstLine="480" w:firstLineChars="200"/>
        <w:jc w:val="left"/>
        <w:rPr>
          <w:rFonts w:hint="eastAsia" w:ascii="宋体" w:hAnsi="宋体"/>
          <w:color w:val="FF0000"/>
          <w:sz w:val="24"/>
        </w:rPr>
      </w:pPr>
      <w:r>
        <w:rPr>
          <w:rFonts w:hint="eastAsia" w:ascii="宋体" w:hAnsi="宋体"/>
          <w:sz w:val="24"/>
        </w:rPr>
        <w:t>2、</w:t>
      </w:r>
      <w:r>
        <w:rPr>
          <w:rFonts w:hint="eastAsia" w:ascii="宋体" w:hAnsi="宋体"/>
          <w:color w:val="FF0000"/>
          <w:sz w:val="24"/>
        </w:rPr>
        <w:t>本项目采购清单中：双位推举训练器为核心产品，使用综合评分法的采购项目，提供相同品牌产品且通过资格审查、符合性审查的不同投标人参加同一合同项下投标的，按一家投标人计算，评审后得分最高的同品牌投标人获得中标人推荐资格；评审得分相同的，由采购人委托评标委员会按照招标文件规定的方式确定一个投标人获得中标人推荐资格，招标文件未规定的采取随机抽取方式确定，其他同品牌投标人不作为中标候选人。</w:t>
      </w:r>
    </w:p>
    <w:p w14:paraId="3E935235">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3、各投标人最后报价结束后,如评标委员会认为投标人的报价明显低于其他通过符合性审查投标人的报价，明显低于其自身成本，涉嫌恶意竞争，有可能影响产品质量或者不能诚信履约的，应当要求其在评标现场合理的时间内提供书面说明，必要时提交相关证明材料；投标人不能证明其报价合理性的，评标委员会应当将其作为无效投标处理。可按照少数服从多数的原则采用投票等方式作出结论。</w:t>
      </w:r>
    </w:p>
    <w:p w14:paraId="738D4ADC">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4、资格后审：项目开标结束后，采购人或采购代理机构应当依法对投标人的资格进行审查。资格审查材料的</w:t>
      </w:r>
      <w:r>
        <w:rPr>
          <w:rFonts w:hint="eastAsia" w:ascii="宋体" w:hAnsi="宋体" w:cs="Times New Roman"/>
          <w:color w:val="000000"/>
          <w:sz w:val="24"/>
        </w:rPr>
        <w:t>原件彩色扫描件</w:t>
      </w:r>
      <w:r>
        <w:rPr>
          <w:rFonts w:hint="eastAsia" w:ascii="宋体" w:hAnsi="宋体" w:eastAsia="宋体" w:cs="Times New Roman"/>
          <w:color w:val="000000"/>
          <w:sz w:val="24"/>
        </w:rPr>
        <w:t>须在投标文件中提供。</w:t>
      </w:r>
    </w:p>
    <w:p w14:paraId="3E094A9B">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5、对本项目投标人资格要求、项目需求、评分标准等的质疑由采购单位负责答复；采购单位具有项目的解释权，质疑函和答复须同时报招标代理机构备案管理。</w:t>
      </w:r>
    </w:p>
    <w:p w14:paraId="14C2E4C1">
      <w:pPr>
        <w:pStyle w:val="24"/>
        <w:spacing w:line="360" w:lineRule="auto"/>
        <w:ind w:firstLine="473"/>
        <w:rPr>
          <w:rFonts w:ascii="宋体" w:hAnsi="宋体" w:eastAsia="宋体"/>
          <w:sz w:val="24"/>
        </w:rPr>
      </w:pPr>
      <w:r>
        <w:rPr>
          <w:rFonts w:hint="eastAsia" w:ascii="宋体" w:hAnsi="宋体" w:eastAsia="宋体"/>
          <w:sz w:val="24"/>
          <w:lang w:eastAsia="zh-CN"/>
        </w:rPr>
        <w:t>6</w:t>
      </w:r>
      <w:r>
        <w:rPr>
          <w:rFonts w:hint="eastAsia" w:ascii="宋体" w:hAnsi="宋体" w:eastAsia="宋体"/>
          <w:sz w:val="24"/>
        </w:rPr>
        <w:t>、本项目</w:t>
      </w:r>
      <w:r>
        <w:rPr>
          <w:rFonts w:hint="eastAsia" w:ascii="宋体" w:hAnsi="宋体" w:eastAsia="宋体"/>
          <w:sz w:val="24"/>
          <w:lang w:eastAsia="zh-CN"/>
        </w:rPr>
        <w:t>不接受</w:t>
      </w:r>
      <w:r>
        <w:rPr>
          <w:rFonts w:hint="eastAsia" w:ascii="宋体" w:hAnsi="宋体" w:eastAsia="宋体"/>
          <w:sz w:val="24"/>
        </w:rPr>
        <w:t>进口产品投标</w:t>
      </w:r>
    </w:p>
    <w:p w14:paraId="422AD664">
      <w:pPr>
        <w:pStyle w:val="24"/>
        <w:spacing w:line="360" w:lineRule="auto"/>
        <w:ind w:firstLine="473"/>
        <w:rPr>
          <w:rFonts w:ascii="宋体" w:hAnsi="宋体" w:eastAsia="宋体"/>
          <w:sz w:val="24"/>
        </w:rPr>
      </w:pPr>
      <w:r>
        <w:rPr>
          <w:rFonts w:hint="eastAsia" w:ascii="宋体" w:hAnsi="宋体" w:eastAsia="宋体"/>
          <w:sz w:val="24"/>
          <w:lang w:eastAsia="zh-CN"/>
        </w:rPr>
        <w:t>7</w:t>
      </w:r>
      <w:r>
        <w:rPr>
          <w:rFonts w:hint="eastAsia" w:ascii="宋体" w:hAnsi="宋体" w:eastAsia="宋体"/>
          <w:sz w:val="24"/>
        </w:rPr>
        <w:t>、采购标的对应的中小企业划分标准所属行业一览表</w:t>
      </w:r>
    </w:p>
    <w:tbl>
      <w:tblPr>
        <w:tblStyle w:val="16"/>
        <w:tblW w:w="8280" w:type="dxa"/>
        <w:jc w:val="center"/>
        <w:tblCellSpacing w:w="0" w:type="dxa"/>
        <w:tblLayout w:type="fixed"/>
        <w:tblCellMar>
          <w:top w:w="0" w:type="dxa"/>
          <w:left w:w="108" w:type="dxa"/>
          <w:bottom w:w="0" w:type="dxa"/>
          <w:right w:w="108" w:type="dxa"/>
        </w:tblCellMar>
      </w:tblPr>
      <w:tblGrid>
        <w:gridCol w:w="945"/>
        <w:gridCol w:w="3460"/>
        <w:gridCol w:w="3875"/>
      </w:tblGrid>
      <w:tr w14:paraId="3276B53F">
        <w:tblPrEx>
          <w:tblCellMar>
            <w:top w:w="0" w:type="dxa"/>
            <w:left w:w="108" w:type="dxa"/>
            <w:bottom w:w="0" w:type="dxa"/>
            <w:right w:w="108" w:type="dxa"/>
          </w:tblCellMar>
        </w:tblPrEx>
        <w:trPr>
          <w:tblCellSpacing w:w="0" w:type="dxa"/>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EB45E">
            <w:pPr>
              <w:pStyle w:val="24"/>
              <w:spacing w:line="360" w:lineRule="auto"/>
              <w:ind w:firstLine="0"/>
              <w:rPr>
                <w:rFonts w:ascii="宋体" w:hAnsi="宋体" w:eastAsia="宋体"/>
                <w:sz w:val="24"/>
              </w:rPr>
            </w:pPr>
            <w:r>
              <w:rPr>
                <w:rFonts w:hint="eastAsia" w:ascii="宋体" w:hAnsi="宋体" w:eastAsia="宋体"/>
                <w:sz w:val="24"/>
              </w:rPr>
              <w:t>序号</w:t>
            </w:r>
          </w:p>
        </w:tc>
        <w:tc>
          <w:tcPr>
            <w:tcW w:w="3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F2C8C">
            <w:pPr>
              <w:pStyle w:val="24"/>
              <w:spacing w:line="360" w:lineRule="auto"/>
              <w:ind w:firstLine="473"/>
              <w:rPr>
                <w:rFonts w:ascii="宋体" w:hAnsi="宋体" w:eastAsia="宋体"/>
                <w:sz w:val="24"/>
              </w:rPr>
            </w:pPr>
            <w:r>
              <w:rPr>
                <w:rFonts w:hint="eastAsia" w:ascii="宋体" w:hAnsi="宋体" w:eastAsia="宋体"/>
                <w:sz w:val="24"/>
              </w:rPr>
              <w:t>采购标的</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4923E">
            <w:pPr>
              <w:pStyle w:val="24"/>
              <w:spacing w:line="360" w:lineRule="auto"/>
              <w:ind w:firstLine="0"/>
              <w:rPr>
                <w:rFonts w:ascii="宋体" w:hAnsi="宋体" w:eastAsia="宋体"/>
                <w:sz w:val="24"/>
              </w:rPr>
            </w:pPr>
            <w:r>
              <w:rPr>
                <w:rFonts w:hint="eastAsia" w:ascii="宋体" w:hAnsi="宋体" w:eastAsia="宋体"/>
                <w:sz w:val="24"/>
              </w:rPr>
              <w:t>对应中小企业划分标准所属行业</w:t>
            </w:r>
          </w:p>
        </w:tc>
      </w:tr>
      <w:tr w14:paraId="4FCD6A06">
        <w:tblPrEx>
          <w:tblCellMar>
            <w:top w:w="0" w:type="dxa"/>
            <w:left w:w="108" w:type="dxa"/>
            <w:bottom w:w="0" w:type="dxa"/>
            <w:right w:w="108" w:type="dxa"/>
          </w:tblCellMar>
        </w:tblPrEx>
        <w:trPr>
          <w:trHeight w:val="291" w:hRule="atLeast"/>
          <w:tblCellSpacing w:w="0" w:type="dxa"/>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B8F6E">
            <w:pPr>
              <w:pStyle w:val="24"/>
              <w:spacing w:line="360" w:lineRule="auto"/>
              <w:ind w:firstLine="473"/>
              <w:rPr>
                <w:rFonts w:ascii="宋体" w:hAnsi="宋体" w:eastAsia="宋体"/>
                <w:sz w:val="24"/>
              </w:rPr>
            </w:pPr>
            <w:r>
              <w:rPr>
                <w:rFonts w:hint="eastAsia" w:ascii="宋体" w:hAnsi="宋体" w:eastAsia="宋体"/>
                <w:sz w:val="24"/>
              </w:rPr>
              <w:t>1</w:t>
            </w:r>
          </w:p>
        </w:tc>
        <w:tc>
          <w:tcPr>
            <w:tcW w:w="3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DFC09">
            <w:pPr>
              <w:spacing w:line="400" w:lineRule="exact"/>
              <w:jc w:val="center"/>
              <w:rPr>
                <w:rFonts w:ascii="宋体" w:hAnsi="宋体" w:eastAsia="宋体"/>
                <w:sz w:val="24"/>
              </w:rPr>
            </w:pP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BC1A6">
            <w:pPr>
              <w:pStyle w:val="24"/>
              <w:spacing w:line="360" w:lineRule="auto"/>
              <w:ind w:firstLine="473"/>
              <w:rPr>
                <w:rFonts w:ascii="宋体" w:hAnsi="宋体" w:eastAsia="宋体"/>
                <w:sz w:val="24"/>
                <w:lang w:eastAsia="zh-CN"/>
              </w:rPr>
            </w:pPr>
            <w:r>
              <w:rPr>
                <w:rFonts w:hint="eastAsia" w:ascii="宋体" w:hAnsi="宋体" w:eastAsia="宋体"/>
                <w:sz w:val="24"/>
              </w:rPr>
              <w:t> </w:t>
            </w:r>
            <w:r>
              <w:rPr>
                <w:rFonts w:hint="eastAsia" w:ascii="宋体" w:hAnsi="宋体" w:eastAsia="宋体"/>
                <w:sz w:val="24"/>
                <w:lang w:eastAsia="zh-CN"/>
              </w:rPr>
              <w:t>生产制造业</w:t>
            </w:r>
          </w:p>
        </w:tc>
      </w:tr>
      <w:tr w14:paraId="03F7B79A">
        <w:tblPrEx>
          <w:tblCellMar>
            <w:top w:w="0" w:type="dxa"/>
            <w:left w:w="108" w:type="dxa"/>
            <w:bottom w:w="0" w:type="dxa"/>
            <w:right w:w="108" w:type="dxa"/>
          </w:tblCellMar>
        </w:tblPrEx>
        <w:trPr>
          <w:trHeight w:val="235" w:hRule="atLeast"/>
          <w:tblCellSpacing w:w="0" w:type="dxa"/>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F9AC6">
            <w:pPr>
              <w:pStyle w:val="24"/>
              <w:spacing w:line="360" w:lineRule="auto"/>
              <w:ind w:firstLine="473"/>
              <w:rPr>
                <w:rFonts w:ascii="宋体" w:hAnsi="宋体" w:eastAsia="宋体"/>
                <w:sz w:val="24"/>
              </w:rPr>
            </w:pPr>
            <w:r>
              <w:rPr>
                <w:rFonts w:hint="eastAsia" w:ascii="宋体" w:hAnsi="宋体" w:eastAsia="宋体"/>
                <w:sz w:val="24"/>
              </w:rPr>
              <w:t>2</w:t>
            </w:r>
          </w:p>
        </w:tc>
        <w:tc>
          <w:tcPr>
            <w:tcW w:w="3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F97EF">
            <w:pPr>
              <w:spacing w:line="400" w:lineRule="exact"/>
              <w:jc w:val="center"/>
              <w:rPr>
                <w:rFonts w:ascii="宋体" w:hAnsi="宋体" w:eastAsia="宋体"/>
                <w:sz w:val="24"/>
              </w:rPr>
            </w:pP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D321A">
            <w:pPr>
              <w:pStyle w:val="24"/>
              <w:spacing w:line="360" w:lineRule="auto"/>
              <w:ind w:firstLine="473"/>
              <w:rPr>
                <w:rFonts w:ascii="宋体" w:hAnsi="宋体" w:eastAsia="宋体"/>
                <w:sz w:val="24"/>
              </w:rPr>
            </w:pPr>
          </w:p>
        </w:tc>
      </w:tr>
      <w:tr w14:paraId="430CF615">
        <w:tblPrEx>
          <w:tblCellMar>
            <w:top w:w="0" w:type="dxa"/>
            <w:left w:w="108" w:type="dxa"/>
            <w:bottom w:w="0" w:type="dxa"/>
            <w:right w:w="108" w:type="dxa"/>
          </w:tblCellMar>
        </w:tblPrEx>
        <w:trPr>
          <w:trHeight w:val="222" w:hRule="atLeast"/>
          <w:tblCellSpacing w:w="0" w:type="dxa"/>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81EBD">
            <w:pPr>
              <w:pStyle w:val="24"/>
              <w:spacing w:line="360" w:lineRule="auto"/>
              <w:ind w:firstLine="473"/>
              <w:rPr>
                <w:rFonts w:ascii="宋体" w:hAnsi="宋体" w:eastAsia="宋体"/>
                <w:sz w:val="24"/>
              </w:rPr>
            </w:pPr>
            <w:r>
              <w:rPr>
                <w:rFonts w:hint="eastAsia" w:ascii="宋体" w:hAnsi="宋体" w:eastAsia="宋体"/>
                <w:sz w:val="24"/>
              </w:rPr>
              <w:t>3</w:t>
            </w:r>
          </w:p>
        </w:tc>
        <w:tc>
          <w:tcPr>
            <w:tcW w:w="3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C4B02">
            <w:pPr>
              <w:spacing w:line="400" w:lineRule="exact"/>
              <w:jc w:val="center"/>
              <w:rPr>
                <w:rFonts w:ascii="宋体" w:hAnsi="宋体" w:eastAsia="宋体"/>
                <w:sz w:val="24"/>
              </w:rPr>
            </w:pP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42E14">
            <w:pPr>
              <w:pStyle w:val="24"/>
              <w:spacing w:line="360" w:lineRule="auto"/>
              <w:ind w:firstLine="473"/>
              <w:rPr>
                <w:rFonts w:ascii="宋体" w:hAnsi="宋体" w:eastAsia="宋体"/>
                <w:sz w:val="24"/>
              </w:rPr>
            </w:pPr>
          </w:p>
        </w:tc>
      </w:tr>
    </w:tbl>
    <w:p w14:paraId="53949553">
      <w:pPr>
        <w:pStyle w:val="24"/>
        <w:spacing w:line="360" w:lineRule="auto"/>
        <w:ind w:firstLine="473"/>
      </w:pPr>
      <w:r>
        <w:rPr>
          <w:rFonts w:hint="eastAsia" w:ascii="宋体" w:hAnsi="宋体" w:eastAsia="宋体"/>
          <w:sz w:val="24"/>
        </w:rPr>
        <w:t>（备注：1.采购人须填报上表，所属行业按《工业和信息化部、国家统计局、国家发展和改革委员会、财政部关于印发中小企业划型标准规定的通知》(工信部联企业[2011]300号)规定填写。2.项目经办人须对填报内容是否准确进行核查。）</w:t>
      </w:r>
      <w:bookmarkStart w:id="186" w:name="_Toc120614281"/>
    </w:p>
    <w:p w14:paraId="0A1133F4">
      <w:pPr>
        <w:pStyle w:val="14"/>
        <w:keepNext/>
        <w:spacing w:beforeAutospacing="0" w:afterAutospacing="0"/>
        <w:ind w:firstLine="1320" w:firstLineChars="300"/>
        <w:jc w:val="both"/>
        <w:rPr>
          <w:rFonts w:hint="eastAsia" w:ascii="黑体" w:hAnsi="宋体" w:eastAsia="黑体" w:cs="黑体"/>
          <w:color w:val="000000"/>
          <w:sz w:val="44"/>
          <w:szCs w:val="44"/>
        </w:rPr>
      </w:pPr>
    </w:p>
    <w:p w14:paraId="284AF9F0">
      <w:pPr>
        <w:pStyle w:val="14"/>
        <w:keepNext/>
        <w:spacing w:beforeAutospacing="0" w:afterAutospacing="0"/>
        <w:ind w:firstLine="1320" w:firstLineChars="300"/>
        <w:jc w:val="both"/>
      </w:pPr>
      <w:r>
        <w:rPr>
          <w:rFonts w:hint="eastAsia" w:ascii="黑体" w:hAnsi="宋体" w:eastAsia="黑体" w:cs="黑体"/>
          <w:color w:val="000000"/>
          <w:sz w:val="44"/>
          <w:szCs w:val="44"/>
        </w:rPr>
        <w:t xml:space="preserve">第五章  </w:t>
      </w:r>
      <w:r>
        <w:rPr>
          <w:rFonts w:hint="eastAsia" w:ascii="黑体" w:hAnsi="宋体" w:eastAsia="黑体" w:cs="黑体"/>
          <w:b/>
          <w:color w:val="000000"/>
          <w:sz w:val="44"/>
          <w:szCs w:val="44"/>
        </w:rPr>
        <w:t>评标方法与评标标准</w:t>
      </w:r>
    </w:p>
    <w:p w14:paraId="279DED2F">
      <w:pPr>
        <w:spacing w:line="360" w:lineRule="auto"/>
        <w:ind w:firstLine="480" w:firstLineChars="200"/>
        <w:rPr>
          <w:rFonts w:ascii="宋体" w:hAnsi="宋体" w:eastAsia="宋体" w:cs="Times New Roman"/>
          <w:color w:val="000000"/>
          <w:sz w:val="24"/>
          <w:lang w:eastAsia="en-US"/>
        </w:rPr>
      </w:pPr>
      <w:r>
        <w:rPr>
          <w:rFonts w:hint="eastAsia" w:ascii="宋体" w:hAnsi="宋体" w:eastAsia="宋体" w:cs="Times New Roman"/>
          <w:color w:val="000000"/>
          <w:sz w:val="24"/>
          <w:lang w:eastAsia="en-US"/>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选取1名中标候选人。</w:t>
      </w:r>
    </w:p>
    <w:p w14:paraId="2FD5C0C1">
      <w:pPr>
        <w:spacing w:line="360" w:lineRule="auto"/>
        <w:ind w:firstLine="482" w:firstLineChars="200"/>
        <w:rPr>
          <w:rFonts w:ascii="宋体" w:hAnsi="宋体" w:eastAsia="宋体" w:cs="Times New Roman"/>
          <w:b/>
          <w:bCs/>
          <w:color w:val="000000"/>
          <w:sz w:val="24"/>
          <w:lang w:eastAsia="en-US"/>
        </w:rPr>
      </w:pPr>
      <w:r>
        <w:rPr>
          <w:rFonts w:hint="eastAsia" w:ascii="宋体" w:hAnsi="宋体" w:eastAsia="宋体" w:cs="Times New Roman"/>
          <w:b/>
          <w:bCs/>
          <w:color w:val="000000"/>
          <w:sz w:val="24"/>
          <w:lang w:eastAsia="en-US"/>
        </w:rPr>
        <w:t>一、政府采购政策功能落实</w:t>
      </w:r>
    </w:p>
    <w:p w14:paraId="3ABA7B58">
      <w:pPr>
        <w:spacing w:line="360" w:lineRule="auto"/>
        <w:ind w:firstLine="480" w:firstLineChars="200"/>
        <w:rPr>
          <w:rFonts w:hint="eastAsia" w:ascii="宋体" w:hAnsi="宋体" w:eastAsia="宋体" w:cs="Times New Roman"/>
          <w:color w:val="000000"/>
          <w:sz w:val="24"/>
        </w:rPr>
      </w:pPr>
      <w:r>
        <w:rPr>
          <w:rFonts w:hint="eastAsia" w:ascii="宋体" w:hAnsi="宋体" w:eastAsia="宋体" w:cs="Times New Roman"/>
          <w:color w:val="000000"/>
          <w:sz w:val="24"/>
          <w:lang w:val="en-US" w:eastAsia="zh-CN"/>
        </w:rPr>
        <w:t>1、</w:t>
      </w:r>
      <w:r>
        <w:rPr>
          <w:rFonts w:hint="eastAsia" w:ascii="宋体" w:hAnsi="宋体" w:eastAsia="宋体" w:cs="Times New Roman"/>
          <w:color w:val="000000"/>
          <w:sz w:val="24"/>
        </w:rPr>
        <w:t>本项目专门面向中小企业采购，投标人所投产品制造厂商须为符合《关于印发中小企业划型标准规定的通知》（工信部联企业[2011]300号）文件的中小企业（投标时须提供中小企业声明函，否则按无效标处理）。</w:t>
      </w:r>
    </w:p>
    <w:p w14:paraId="1E545C78">
      <w:pPr>
        <w:spacing w:line="360" w:lineRule="auto"/>
        <w:ind w:firstLine="480" w:firstLineChars="200"/>
        <w:rPr>
          <w:rFonts w:hint="eastAsia" w:ascii="宋体" w:hAnsi="宋体" w:eastAsia="宋体" w:cs="Times New Roman"/>
          <w:color w:val="000000"/>
          <w:sz w:val="24"/>
        </w:rPr>
      </w:pPr>
      <w:r>
        <w:rPr>
          <w:rFonts w:hint="eastAsia" w:ascii="宋体" w:hAnsi="宋体" w:eastAsia="宋体" w:cs="Times New Roman"/>
          <w:color w:val="000000"/>
          <w:sz w:val="24"/>
          <w:lang w:val="en-US" w:eastAsia="zh-CN"/>
        </w:rPr>
        <w:t>2、</w:t>
      </w:r>
      <w:r>
        <w:rPr>
          <w:rFonts w:hint="eastAsia" w:ascii="宋体" w:hAnsi="宋体" w:eastAsia="宋体" w:cs="Times New Roman"/>
          <w:color w:val="000000"/>
          <w:sz w:val="24"/>
        </w:rPr>
        <w:t>因本项目专门面向中小企业采购，不再执行价格评审优惠的扶持政策。</w:t>
      </w:r>
    </w:p>
    <w:p w14:paraId="2B0EEDA0">
      <w:pPr>
        <w:spacing w:line="360" w:lineRule="auto"/>
        <w:ind w:firstLine="480" w:firstLineChars="200"/>
        <w:rPr>
          <w:rFonts w:hint="eastAsia" w:ascii="宋体" w:hAnsi="宋体" w:eastAsia="宋体" w:cs="Times New Roman"/>
          <w:color w:val="000000"/>
          <w:sz w:val="24"/>
        </w:rPr>
      </w:pPr>
      <w:r>
        <w:rPr>
          <w:rFonts w:hint="eastAsia" w:ascii="宋体" w:hAnsi="宋体" w:eastAsia="宋体" w:cs="Times New Roman"/>
          <w:color w:val="000000"/>
          <w:sz w:val="24"/>
          <w:lang w:val="en-US" w:eastAsia="zh-CN"/>
        </w:rPr>
        <w:t>3、</w:t>
      </w:r>
      <w:r>
        <w:rPr>
          <w:rFonts w:hint="eastAsia" w:ascii="宋体" w:hAnsi="宋体" w:eastAsia="宋体" w:cs="Times New Roman"/>
          <w:color w:val="000000"/>
          <w:sz w:val="24"/>
        </w:rPr>
        <w:t>供应商须按照采购文件要求提供相应的《企业声明函》（格式附后），不提供声明函或有弄虚作假的，将依法承担相应责任。</w:t>
      </w:r>
    </w:p>
    <w:p w14:paraId="13BB0CAF">
      <w:pPr>
        <w:spacing w:line="360" w:lineRule="auto"/>
        <w:ind w:firstLine="480" w:firstLineChars="200"/>
        <w:rPr>
          <w:rFonts w:hint="eastAsia" w:ascii="宋体" w:hAnsi="宋体" w:eastAsia="宋体" w:cs="Times New Roman"/>
          <w:color w:val="000000"/>
          <w:sz w:val="24"/>
        </w:rPr>
      </w:pPr>
      <w:r>
        <w:rPr>
          <w:rFonts w:hint="eastAsia" w:ascii="宋体" w:hAnsi="宋体" w:eastAsia="宋体" w:cs="Times New Roman"/>
          <w:color w:val="000000"/>
          <w:sz w:val="24"/>
          <w:lang w:val="en-US" w:eastAsia="zh-CN"/>
        </w:rPr>
        <w:t>4、</w:t>
      </w:r>
      <w:r>
        <w:rPr>
          <w:rFonts w:hint="eastAsia" w:ascii="宋体" w:hAnsi="宋体" w:eastAsia="宋体" w:cs="Times New Roman"/>
          <w:color w:val="000000"/>
          <w:sz w:val="24"/>
        </w:rPr>
        <w:t>企业标准请参照《关于印发中小企业划型标准规定的通知》（工信部联企业【2011】300号）文件规定自行填写。</w:t>
      </w:r>
    </w:p>
    <w:p w14:paraId="76FC4C45">
      <w:pPr>
        <w:spacing w:line="360" w:lineRule="auto"/>
        <w:ind w:firstLine="480" w:firstLineChars="200"/>
        <w:rPr>
          <w:rFonts w:hint="eastAsia" w:ascii="宋体" w:hAnsi="宋体" w:eastAsia="宋体" w:cs="Times New Roman"/>
          <w:color w:val="000000"/>
          <w:sz w:val="24"/>
        </w:rPr>
      </w:pPr>
      <w:r>
        <w:rPr>
          <w:rFonts w:hint="eastAsia" w:ascii="宋体" w:hAnsi="宋体" w:eastAsia="宋体" w:cs="Times New Roman"/>
          <w:color w:val="000000"/>
          <w:sz w:val="24"/>
          <w:lang w:val="en-US" w:eastAsia="zh-CN"/>
        </w:rPr>
        <w:t>5、</w:t>
      </w:r>
      <w:r>
        <w:rPr>
          <w:rFonts w:hint="eastAsia" w:ascii="宋体" w:hAnsi="宋体" w:eastAsia="宋体" w:cs="Times New Roman"/>
          <w:color w:val="000000"/>
          <w:sz w:val="24"/>
        </w:rPr>
        <w:t>以上规定未尽事项，按《政府采购促进中小企业发展管理办法》 （财库【2020】46号）等有关制度规定执行。</w:t>
      </w:r>
    </w:p>
    <w:p w14:paraId="544494EA">
      <w:pPr>
        <w:spacing w:line="360" w:lineRule="auto"/>
        <w:ind w:firstLine="480" w:firstLineChars="200"/>
        <w:rPr>
          <w:rFonts w:hint="eastAsia" w:ascii="宋体" w:hAnsi="宋体" w:eastAsia="宋体" w:cs="Times New Roman"/>
          <w:color w:val="000000"/>
          <w:sz w:val="24"/>
          <w:highlight w:val="yellow"/>
        </w:rPr>
      </w:pPr>
      <w:r>
        <w:rPr>
          <w:rFonts w:hint="eastAsia" w:ascii="宋体" w:hAnsi="宋体" w:eastAsia="宋体" w:cs="Times New Roman"/>
          <w:color w:val="000000"/>
          <w:sz w:val="24"/>
          <w:highlight w:val="yellow"/>
        </w:rPr>
        <w:t>★供应商按照采购文件要求提供相应的《企业声明函》（格式附后），所投货物</w:t>
      </w:r>
      <w:r>
        <w:rPr>
          <w:rFonts w:hint="eastAsia" w:ascii="宋体" w:hAnsi="宋体" w:eastAsia="宋体" w:cs="Times New Roman"/>
          <w:color w:val="000000"/>
          <w:sz w:val="24"/>
          <w:highlight w:val="yellow"/>
          <w:lang w:val="en-US" w:eastAsia="zh-CN"/>
        </w:rPr>
        <w:t>须</w:t>
      </w:r>
      <w:r>
        <w:rPr>
          <w:rFonts w:hint="eastAsia" w:ascii="宋体" w:hAnsi="宋体" w:eastAsia="宋体" w:cs="Times New Roman"/>
          <w:color w:val="000000"/>
          <w:sz w:val="24"/>
          <w:highlight w:val="yellow"/>
        </w:rPr>
        <w:t>全部为中小微企业所制造（即货物由中小微企业生产且使用该中小微企业商号或者注册商标）。须将本次标的物逐一列明，如有遗漏则不能通过资格性审查要求，则按无效投标人处理。</w:t>
      </w:r>
    </w:p>
    <w:p w14:paraId="621B3D66">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lang w:val="en-US" w:eastAsia="zh-CN"/>
        </w:rPr>
        <w:t>6、</w:t>
      </w:r>
      <w:r>
        <w:rPr>
          <w:rFonts w:hint="eastAsia" w:ascii="宋体" w:hAnsi="宋体" w:eastAsia="宋体" w:cs="Times New Roman"/>
          <w:color w:val="000000"/>
          <w:sz w:val="24"/>
        </w:rPr>
        <w:t>监狱和戒毒企业</w:t>
      </w:r>
    </w:p>
    <w:p w14:paraId="0E611118">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（1）本项目对监狱和戒毒企业（简称监狱企业）视同小型、微型企业。</w:t>
      </w:r>
    </w:p>
    <w:p w14:paraId="0D42EFE4">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（2）监狱企业参加政府采购活动时，需提供由省级以上监狱管理局、戒毒管理局(含新疆生产建设兵团)出具的属于监狱企业的证明文件。供应商如不提供上述证明文件，价格将不做相应扣除。</w:t>
      </w:r>
    </w:p>
    <w:p w14:paraId="1979EB28">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（3）监狱企业标准请参照《关于政府采购支持监狱企业发展有关问题的通知》（财库[2014]68号）。</w:t>
      </w:r>
    </w:p>
    <w:p w14:paraId="6FB217CE">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lang w:val="en-US" w:eastAsia="zh-CN"/>
        </w:rPr>
        <w:t>7、</w:t>
      </w:r>
      <w:r>
        <w:rPr>
          <w:rFonts w:hint="eastAsia" w:ascii="宋体" w:hAnsi="宋体" w:eastAsia="宋体" w:cs="Times New Roman"/>
          <w:color w:val="000000"/>
          <w:sz w:val="24"/>
        </w:rPr>
        <w:t>残疾人福利单位、监狱企业属于小型、微型企业的，不重复享受政策。</w:t>
      </w:r>
    </w:p>
    <w:p w14:paraId="2431EF3F">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lang w:val="en-US" w:eastAsia="zh-CN"/>
        </w:rPr>
        <w:t>8</w:t>
      </w:r>
      <w:r>
        <w:rPr>
          <w:rFonts w:hint="eastAsia" w:ascii="宋体" w:hAnsi="宋体" w:eastAsia="宋体" w:cs="Times New Roman"/>
          <w:color w:val="000000"/>
          <w:sz w:val="24"/>
        </w:rPr>
        <w:t>、严格执行政府采购关于支持节能产品、环境标志产品的相关政策规定。如本次采购的产品属于财政部、国家发展改革委、生态环境部、市场监管总局等部门发布的节能产品、环境标志产品品目清单政府强制采购范围的，供应商必须在响应文件中提供所投产品的相关证书(由国家确定的认证机构出具的、处于有效期之内的节能产品、环境标志产品认证证书)。节能产品、环境标志产品品目清单以递交响应文件截止时已正式公布的最近一期信息为准，如属政府强制采购产品未提供认证证书的或认证证书提供不全的将视为未实质性响应采购要求。其他条件相同情况下，应当优先采购节能产品、环境标志产品。</w:t>
      </w:r>
    </w:p>
    <w:p w14:paraId="7AEF7A15">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lang w:val="en-US" w:eastAsia="zh-CN"/>
        </w:rPr>
        <w:t>9</w:t>
      </w:r>
      <w:r>
        <w:rPr>
          <w:rFonts w:hint="eastAsia" w:ascii="宋体" w:hAnsi="宋体" w:eastAsia="宋体" w:cs="Times New Roman"/>
          <w:color w:val="000000"/>
          <w:sz w:val="24"/>
        </w:rPr>
        <w:t>、供应商对于投标产品的商品包装、快递包装应按照《关于印发《商品包装政府采购需求标准（试行）》、《快递包装政府采购需求标准（试行）》的通知》（财办库〔2020〕123号）执行。</w:t>
      </w:r>
    </w:p>
    <w:p w14:paraId="6041C092">
      <w:pPr>
        <w:spacing w:line="360" w:lineRule="auto"/>
        <w:ind w:firstLine="480" w:firstLineChars="200"/>
        <w:rPr>
          <w:rFonts w:hint="eastAsia" w:ascii="宋体" w:hAnsi="宋体" w:eastAsia="宋体" w:cs="Times New Roman"/>
          <w:color w:val="000000"/>
          <w:sz w:val="24"/>
        </w:rPr>
      </w:pPr>
      <w:r>
        <w:rPr>
          <w:rFonts w:hint="eastAsia" w:ascii="宋体" w:hAnsi="宋体" w:eastAsia="宋体" w:cs="Times New Roman"/>
          <w:color w:val="000000"/>
          <w:sz w:val="24"/>
          <w:lang w:val="en-US" w:eastAsia="zh-CN"/>
        </w:rPr>
        <w:t>10</w:t>
      </w:r>
      <w:r>
        <w:rPr>
          <w:rFonts w:hint="eastAsia" w:ascii="宋体" w:hAnsi="宋体" w:eastAsia="宋体" w:cs="Times New Roman"/>
          <w:color w:val="000000"/>
          <w:sz w:val="24"/>
        </w:rPr>
        <w:t>、本文件中若涉及到数据中心采购，应按照《&lt;绿色数据中心政府采购需求标准（试行）&gt;的通知》（财库〔2023〕7号）执行。</w:t>
      </w:r>
    </w:p>
    <w:p w14:paraId="19C7CF36">
      <w:pPr>
        <w:spacing w:line="360" w:lineRule="auto"/>
        <w:ind w:firstLine="480" w:firstLineChars="200"/>
        <w:rPr>
          <w:rFonts w:hint="eastAsia" w:ascii="宋体" w:hAnsi="宋体" w:eastAsia="宋体" w:cs="Times New Roman"/>
          <w:color w:val="000000"/>
          <w:sz w:val="24"/>
        </w:rPr>
      </w:pPr>
      <w:r>
        <w:rPr>
          <w:rFonts w:hint="eastAsia" w:ascii="宋体" w:hAnsi="宋体" w:eastAsia="宋体" w:cs="Times New Roman"/>
          <w:color w:val="000000"/>
          <w:sz w:val="24"/>
        </w:rPr>
        <w:t>二、评标方法与评标标准</w:t>
      </w:r>
    </w:p>
    <w:tbl>
      <w:tblPr>
        <w:tblStyle w:val="16"/>
        <w:tblW w:w="98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94"/>
        <w:gridCol w:w="751"/>
        <w:gridCol w:w="713"/>
        <w:gridCol w:w="7812"/>
      </w:tblGrid>
      <w:tr w14:paraId="3CC58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594" w:type="dxa"/>
            <w:shd w:val="clear" w:color="000000" w:fill="FFFFFF"/>
            <w:vAlign w:val="center"/>
          </w:tcPr>
          <w:p w14:paraId="700AF0DB">
            <w:pPr>
              <w:spacing w:line="360" w:lineRule="auto"/>
              <w:jc w:val="center"/>
              <w:rPr>
                <w:rFonts w:ascii="宋体" w:hAnsi="宋体" w:cs="宋体"/>
                <w:b/>
                <w:bCs/>
                <w:szCs w:val="21"/>
              </w:rPr>
            </w:pPr>
            <w:r>
              <w:rPr>
                <w:rFonts w:hint="eastAsia" w:ascii="宋体" w:hAnsi="宋体" w:cs="宋体"/>
                <w:b/>
                <w:bCs/>
                <w:szCs w:val="21"/>
              </w:rPr>
              <w:t>序号</w:t>
            </w:r>
          </w:p>
        </w:tc>
        <w:tc>
          <w:tcPr>
            <w:tcW w:w="751" w:type="dxa"/>
            <w:shd w:val="clear" w:color="000000" w:fill="FFFFFF"/>
            <w:vAlign w:val="center"/>
          </w:tcPr>
          <w:p w14:paraId="4544DB89">
            <w:pPr>
              <w:spacing w:line="360" w:lineRule="auto"/>
              <w:jc w:val="center"/>
              <w:rPr>
                <w:rFonts w:ascii="宋体" w:hAnsi="宋体" w:cs="宋体"/>
                <w:b/>
                <w:bCs/>
                <w:szCs w:val="21"/>
              </w:rPr>
            </w:pPr>
            <w:r>
              <w:rPr>
                <w:rFonts w:hint="eastAsia" w:ascii="宋体" w:hAnsi="宋体" w:cs="宋体"/>
                <w:b/>
                <w:bCs/>
                <w:szCs w:val="21"/>
              </w:rPr>
              <w:t>评分项</w:t>
            </w:r>
          </w:p>
        </w:tc>
        <w:tc>
          <w:tcPr>
            <w:tcW w:w="713" w:type="dxa"/>
            <w:shd w:val="clear" w:color="000000" w:fill="FFFFFF"/>
            <w:vAlign w:val="center"/>
          </w:tcPr>
          <w:p w14:paraId="03110240">
            <w:pPr>
              <w:spacing w:line="360" w:lineRule="auto"/>
              <w:jc w:val="center"/>
              <w:rPr>
                <w:rFonts w:ascii="宋体" w:hAnsi="宋体" w:cs="宋体" w:eastAsiaTheme="minorEastAsia"/>
                <w:b/>
                <w:bCs/>
                <w:szCs w:val="21"/>
              </w:rPr>
            </w:pPr>
            <w:r>
              <w:rPr>
                <w:rFonts w:hint="eastAsia" w:ascii="宋体" w:hAnsi="宋体" w:cs="宋体"/>
                <w:b/>
                <w:bCs/>
                <w:szCs w:val="21"/>
              </w:rPr>
              <w:t>分值</w:t>
            </w:r>
          </w:p>
        </w:tc>
        <w:tc>
          <w:tcPr>
            <w:tcW w:w="7812" w:type="dxa"/>
            <w:shd w:val="clear" w:color="000000" w:fill="FFFFFF"/>
            <w:vAlign w:val="center"/>
          </w:tcPr>
          <w:p w14:paraId="2368F8CE">
            <w:pPr>
              <w:spacing w:line="360" w:lineRule="auto"/>
              <w:jc w:val="center"/>
              <w:rPr>
                <w:rFonts w:ascii="宋体" w:hAnsi="宋体" w:cs="宋体"/>
                <w:b/>
                <w:bCs/>
                <w:szCs w:val="21"/>
              </w:rPr>
            </w:pPr>
            <w:r>
              <w:rPr>
                <w:rFonts w:hint="eastAsia" w:hAnsi="宋体" w:cs="宋体"/>
                <w:b/>
                <w:bCs/>
                <w:kern w:val="2"/>
                <w:sz w:val="24"/>
                <w:szCs w:val="24"/>
              </w:rPr>
              <w:t>评分标准</w:t>
            </w:r>
          </w:p>
        </w:tc>
      </w:tr>
      <w:tr w14:paraId="14EB6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1" w:hRule="atLeast"/>
          <w:jc w:val="center"/>
        </w:trPr>
        <w:tc>
          <w:tcPr>
            <w:tcW w:w="594" w:type="dxa"/>
            <w:shd w:val="clear" w:color="000000" w:fill="FFFFFF"/>
            <w:vAlign w:val="center"/>
          </w:tcPr>
          <w:p w14:paraId="72B08614">
            <w:pPr>
              <w:spacing w:line="36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751" w:type="dxa"/>
            <w:shd w:val="clear" w:color="000000" w:fill="FFFFFF"/>
            <w:vAlign w:val="center"/>
          </w:tcPr>
          <w:p w14:paraId="6843DCE9">
            <w:pPr>
              <w:spacing w:line="36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报价部分（30分）</w:t>
            </w:r>
          </w:p>
        </w:tc>
        <w:tc>
          <w:tcPr>
            <w:tcW w:w="713" w:type="dxa"/>
            <w:shd w:val="clear" w:color="000000" w:fill="FFFFFF"/>
            <w:vAlign w:val="center"/>
          </w:tcPr>
          <w:p w14:paraId="76CD678A">
            <w:pPr>
              <w:spacing w:line="36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价格分（30分）</w:t>
            </w:r>
          </w:p>
        </w:tc>
        <w:tc>
          <w:tcPr>
            <w:tcW w:w="7812" w:type="dxa"/>
            <w:shd w:val="clear" w:color="000000" w:fill="FFFFFF"/>
            <w:vAlign w:val="center"/>
          </w:tcPr>
          <w:p w14:paraId="60872068">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用低价优先法计算，即满足招标文件要求的有效的最低投标价格为评标基准价，其价格分为满分30分，其他投标人的价格分按照下列公式计算（小数点保留两位，第三位不论大小一律不计）投标报价得分＝（评标基准价/投标报价）×30分</w:t>
            </w:r>
          </w:p>
        </w:tc>
      </w:tr>
      <w:tr w14:paraId="22BE96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 w:hRule="atLeast"/>
          <w:jc w:val="center"/>
        </w:trPr>
        <w:tc>
          <w:tcPr>
            <w:tcW w:w="594" w:type="dxa"/>
            <w:vMerge w:val="restart"/>
            <w:shd w:val="clear" w:color="000000" w:fill="FFFFFF"/>
            <w:vAlign w:val="center"/>
          </w:tcPr>
          <w:p w14:paraId="4212632D">
            <w:pPr>
              <w:spacing w:line="36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751" w:type="dxa"/>
            <w:vMerge w:val="restart"/>
            <w:shd w:val="clear" w:color="000000" w:fill="FFFFFF"/>
            <w:vAlign w:val="center"/>
          </w:tcPr>
          <w:p w14:paraId="1913363C">
            <w:pPr>
              <w:spacing w:line="36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技术部分（37分）</w:t>
            </w:r>
          </w:p>
        </w:tc>
        <w:tc>
          <w:tcPr>
            <w:tcW w:w="713" w:type="dxa"/>
            <w:tcBorders>
              <w:bottom w:val="single" w:color="auto" w:sz="4" w:space="0"/>
            </w:tcBorders>
            <w:shd w:val="clear" w:color="000000" w:fill="FFFFFF"/>
            <w:vAlign w:val="center"/>
          </w:tcPr>
          <w:p w14:paraId="00A18DBB">
            <w:pPr>
              <w:spacing w:line="36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技术参数响应</w:t>
            </w:r>
          </w:p>
          <w:p w14:paraId="49C91A1A">
            <w:pPr>
              <w:spacing w:line="36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val="en-US" w:eastAsia="zh-CN"/>
              </w:rPr>
              <w:t>30</w:t>
            </w:r>
            <w:r>
              <w:rPr>
                <w:rFonts w:hint="eastAsia" w:asciiTheme="minorEastAsia" w:hAnsiTheme="minorEastAsia" w:eastAsiaTheme="minorEastAsia" w:cstheme="minorEastAsia"/>
                <w:sz w:val="24"/>
                <w:szCs w:val="24"/>
              </w:rPr>
              <w:t>分）</w:t>
            </w:r>
          </w:p>
        </w:tc>
        <w:tc>
          <w:tcPr>
            <w:tcW w:w="7812" w:type="dxa"/>
            <w:shd w:val="clear" w:color="000000" w:fill="FFFFFF"/>
            <w:vAlign w:val="center"/>
          </w:tcPr>
          <w:p w14:paraId="623D5CC4">
            <w:pPr>
              <w:spacing w:line="36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根据各投标人对本次招标技术参数及指标要求响应情况进行评定。投标人的所有技术参数及指标</w:t>
            </w:r>
            <w:r>
              <w:rPr>
                <w:rFonts w:hint="eastAsia" w:asciiTheme="minorEastAsia" w:hAnsiTheme="minorEastAsia" w:cstheme="minorEastAsia"/>
                <w:sz w:val="24"/>
                <w:szCs w:val="24"/>
                <w:lang w:val="en-US" w:eastAsia="zh-CN"/>
              </w:rPr>
              <w:t>完全</w:t>
            </w:r>
            <w:r>
              <w:rPr>
                <w:rFonts w:hint="eastAsia" w:asciiTheme="minorEastAsia" w:hAnsiTheme="minorEastAsia" w:eastAsiaTheme="minorEastAsia" w:cstheme="minorEastAsia"/>
                <w:sz w:val="24"/>
                <w:szCs w:val="24"/>
              </w:rPr>
              <w:t>满足招标要求的得满分</w:t>
            </w:r>
            <w:r>
              <w:rPr>
                <w:rFonts w:hint="eastAsia" w:asciiTheme="minorEastAsia" w:hAnsiTheme="minorEastAsia" w:cstheme="minorEastAsia"/>
                <w:sz w:val="24"/>
                <w:szCs w:val="24"/>
                <w:lang w:val="en-US" w:eastAsia="zh-CN"/>
              </w:rPr>
              <w:t>30</w:t>
            </w:r>
            <w:r>
              <w:rPr>
                <w:rFonts w:hint="eastAsia" w:asciiTheme="minorEastAsia" w:hAnsiTheme="minorEastAsia" w:eastAsiaTheme="minorEastAsia" w:cstheme="minorEastAsia"/>
                <w:sz w:val="24"/>
                <w:szCs w:val="24"/>
              </w:rPr>
              <w:t>分；出现负偏离有一项扣</w:t>
            </w:r>
            <w:r>
              <w:rPr>
                <w:rFonts w:hint="eastAsia" w:asciiTheme="minorEastAsia" w:hAnsiTheme="minorEastAsia" w:cstheme="minorEastAsia"/>
                <w:sz w:val="24"/>
                <w:szCs w:val="24"/>
                <w:lang w:val="en-US" w:eastAsia="zh-CN"/>
              </w:rPr>
              <w:t>0.5</w:t>
            </w:r>
            <w:r>
              <w:rPr>
                <w:rFonts w:hint="eastAsia" w:asciiTheme="minorEastAsia" w:hAnsiTheme="minorEastAsia" w:eastAsiaTheme="minorEastAsia" w:cstheme="minorEastAsia"/>
                <w:sz w:val="24"/>
                <w:szCs w:val="24"/>
              </w:rPr>
              <w:t>分，直至扣完。</w:t>
            </w:r>
          </w:p>
          <w:p w14:paraId="4340D84C">
            <w:pPr>
              <w:spacing w:line="36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技术参数及指标要求响应以“技术参数响应对照表”加盖投标产品的制造商及投标人红色公章为准。（项目参数、技术指标不得虚假响应，如经查实，将予以取消中标资格、并提交财政监管部门列入不良记录处理）</w:t>
            </w:r>
          </w:p>
        </w:tc>
      </w:tr>
      <w:tr w14:paraId="47311E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 w:hRule="atLeast"/>
          <w:jc w:val="center"/>
        </w:trPr>
        <w:tc>
          <w:tcPr>
            <w:tcW w:w="594" w:type="dxa"/>
            <w:vMerge w:val="continue"/>
            <w:shd w:val="clear" w:color="000000" w:fill="FFFFFF"/>
            <w:vAlign w:val="center"/>
          </w:tcPr>
          <w:p w14:paraId="0F86B8ED">
            <w:pPr>
              <w:spacing w:line="360" w:lineRule="auto"/>
              <w:jc w:val="left"/>
              <w:rPr>
                <w:rFonts w:asciiTheme="minorEastAsia" w:hAnsiTheme="minorEastAsia" w:eastAsiaTheme="minorEastAsia" w:cstheme="minorEastAsia"/>
                <w:sz w:val="24"/>
                <w:szCs w:val="24"/>
              </w:rPr>
            </w:pPr>
          </w:p>
        </w:tc>
        <w:tc>
          <w:tcPr>
            <w:tcW w:w="751" w:type="dxa"/>
            <w:vMerge w:val="continue"/>
            <w:shd w:val="clear" w:color="000000" w:fill="FFFFFF"/>
            <w:vAlign w:val="center"/>
          </w:tcPr>
          <w:p w14:paraId="099D97CA">
            <w:pPr>
              <w:spacing w:line="360" w:lineRule="auto"/>
              <w:jc w:val="left"/>
              <w:rPr>
                <w:rFonts w:asciiTheme="minorEastAsia" w:hAnsiTheme="minorEastAsia" w:eastAsiaTheme="minorEastAsia" w:cstheme="minorEastAsia"/>
                <w:sz w:val="24"/>
                <w:szCs w:val="24"/>
              </w:rPr>
            </w:pPr>
          </w:p>
        </w:tc>
        <w:tc>
          <w:tcPr>
            <w:tcW w:w="713" w:type="dxa"/>
            <w:shd w:val="clear" w:color="000000" w:fill="FFFFFF"/>
            <w:vAlign w:val="center"/>
          </w:tcPr>
          <w:p w14:paraId="1B8252B9">
            <w:pPr>
              <w:spacing w:line="36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（双位推举训练器）样品比较</w:t>
            </w:r>
            <w:r>
              <w:rPr>
                <w:rFonts w:hint="eastAsia" w:asciiTheme="minorEastAsia" w:hAnsiTheme="minorEastAsia" w:cstheme="minorEastAsia"/>
                <w:sz w:val="24"/>
                <w:szCs w:val="24"/>
                <w:lang w:val="en-US" w:eastAsia="zh-CN"/>
              </w:rPr>
              <w:t>7</w:t>
            </w:r>
            <w:r>
              <w:rPr>
                <w:rFonts w:hint="eastAsia" w:asciiTheme="minorEastAsia" w:hAnsiTheme="minorEastAsia" w:eastAsiaTheme="minorEastAsia" w:cstheme="minorEastAsia"/>
                <w:sz w:val="24"/>
                <w:szCs w:val="24"/>
              </w:rPr>
              <w:t>分</w:t>
            </w:r>
          </w:p>
        </w:tc>
        <w:tc>
          <w:tcPr>
            <w:tcW w:w="7812" w:type="dxa"/>
            <w:shd w:val="clear" w:color="000000" w:fill="FFFFFF"/>
            <w:vAlign w:val="center"/>
          </w:tcPr>
          <w:p w14:paraId="136E2348">
            <w:pPr>
              <w:spacing w:line="36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每种样品评价细则（评审专家应根据投标人所提供的样品，结合评审细则</w:t>
            </w:r>
            <w:r>
              <w:rPr>
                <w:rFonts w:hint="eastAsia" w:asciiTheme="minorEastAsia" w:hAnsiTheme="minorEastAsia" w:cstheme="minorEastAsia"/>
                <w:sz w:val="24"/>
                <w:szCs w:val="24"/>
                <w:lang w:val="en-US" w:eastAsia="zh-CN"/>
              </w:rPr>
              <w:t>进行</w:t>
            </w:r>
            <w:r>
              <w:rPr>
                <w:rFonts w:hint="eastAsia" w:asciiTheme="minorEastAsia" w:hAnsiTheme="minorEastAsia" w:eastAsiaTheme="minorEastAsia" w:cstheme="minorEastAsia"/>
                <w:sz w:val="24"/>
                <w:szCs w:val="24"/>
              </w:rPr>
              <w:t>评分）：</w:t>
            </w:r>
          </w:p>
          <w:p w14:paraId="7D4FA5DF">
            <w:pPr>
              <w:spacing w:line="36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sz w:val="24"/>
              </w:rPr>
              <w:t>表面喷塑处理</w:t>
            </w:r>
            <w:r>
              <w:rPr>
                <w:rFonts w:hint="eastAsia" w:asciiTheme="minorEastAsia" w:hAnsiTheme="minorEastAsia" w:eastAsiaTheme="minorEastAsia" w:cstheme="minorEastAsia"/>
                <w:sz w:val="24"/>
                <w:szCs w:val="24"/>
              </w:rPr>
              <w:t>及焊接情况（对焊接点、面的防锈、防蚀处理，外观漆面光洁度）进行综合比较；</w:t>
            </w:r>
          </w:p>
          <w:p w14:paraId="1E0F03A7">
            <w:pPr>
              <w:spacing w:line="360" w:lineRule="auto"/>
              <w:jc w:val="left"/>
              <w:rPr>
                <w:rFonts w:hint="eastAsia" w:asciiTheme="minorEastAsia" w:hAnsiTheme="minorEastAsia" w:eastAsiaTheme="minorEastAsia" w:cstheme="minorEastAsia"/>
                <w:sz w:val="24"/>
                <w:szCs w:val="24"/>
              </w:rPr>
            </w:pPr>
            <w:r>
              <w:rPr>
                <w:rFonts w:hint="eastAsia"/>
                <w:sz w:val="24"/>
              </w:rPr>
              <w:t>表面喷塑处理</w:t>
            </w:r>
            <w:r>
              <w:rPr>
                <w:rFonts w:hint="eastAsia" w:asciiTheme="minorEastAsia" w:hAnsiTheme="minorEastAsia" w:eastAsiaTheme="minorEastAsia" w:cstheme="minorEastAsia"/>
                <w:sz w:val="24"/>
                <w:szCs w:val="24"/>
              </w:rPr>
              <w:t>及焊接</w:t>
            </w:r>
            <w:r>
              <w:rPr>
                <w:rFonts w:hint="eastAsia" w:asciiTheme="minorEastAsia" w:hAnsiTheme="minorEastAsia" w:cstheme="minorEastAsia"/>
                <w:sz w:val="24"/>
                <w:szCs w:val="24"/>
                <w:lang w:val="en-US" w:eastAsia="zh-CN"/>
              </w:rPr>
              <w:t>情况优于采购需求及通用要求</w:t>
            </w:r>
            <w:r>
              <w:rPr>
                <w:rFonts w:hint="eastAsia" w:asciiTheme="minorEastAsia" w:hAnsiTheme="minorEastAsia" w:eastAsiaTheme="minorEastAsia" w:cstheme="minorEastAsia"/>
                <w:sz w:val="24"/>
                <w:szCs w:val="24"/>
              </w:rPr>
              <w:t>的得</w:t>
            </w: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rPr>
              <w:t>分；</w:t>
            </w:r>
          </w:p>
          <w:p w14:paraId="38C4EF66">
            <w:pPr>
              <w:spacing w:line="360" w:lineRule="auto"/>
              <w:jc w:val="left"/>
              <w:rPr>
                <w:rFonts w:hint="eastAsia" w:asciiTheme="minorEastAsia" w:hAnsiTheme="minorEastAsia" w:eastAsiaTheme="minorEastAsia" w:cstheme="minorEastAsia"/>
                <w:sz w:val="24"/>
                <w:szCs w:val="24"/>
              </w:rPr>
            </w:pPr>
            <w:r>
              <w:rPr>
                <w:rFonts w:hint="eastAsia"/>
                <w:sz w:val="24"/>
              </w:rPr>
              <w:t>表面喷塑处理</w:t>
            </w:r>
            <w:r>
              <w:rPr>
                <w:rFonts w:hint="eastAsia" w:asciiTheme="minorEastAsia" w:hAnsiTheme="minorEastAsia" w:eastAsiaTheme="minorEastAsia" w:cstheme="minorEastAsia"/>
                <w:sz w:val="24"/>
                <w:szCs w:val="24"/>
              </w:rPr>
              <w:t>及焊接</w:t>
            </w:r>
            <w:r>
              <w:rPr>
                <w:rFonts w:hint="eastAsia" w:asciiTheme="minorEastAsia" w:hAnsiTheme="minorEastAsia" w:cstheme="minorEastAsia"/>
                <w:sz w:val="24"/>
                <w:szCs w:val="24"/>
                <w:lang w:val="en-US" w:eastAsia="zh-CN"/>
              </w:rPr>
              <w:t>情况满足采购需求及通用要求</w:t>
            </w:r>
            <w:r>
              <w:rPr>
                <w:rFonts w:hint="eastAsia" w:asciiTheme="minorEastAsia" w:hAnsiTheme="minorEastAsia" w:eastAsiaTheme="minorEastAsia" w:cstheme="minorEastAsia"/>
                <w:sz w:val="24"/>
                <w:szCs w:val="24"/>
              </w:rPr>
              <w:t>的的得</w:t>
            </w: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rPr>
              <w:t>分；</w:t>
            </w:r>
          </w:p>
          <w:p w14:paraId="3B7760BB">
            <w:pPr>
              <w:spacing w:line="360" w:lineRule="auto"/>
              <w:jc w:val="left"/>
              <w:rPr>
                <w:rFonts w:hint="eastAsia" w:asciiTheme="minorEastAsia" w:hAnsiTheme="minorEastAsia" w:eastAsiaTheme="minorEastAsia" w:cstheme="minorEastAsia"/>
                <w:sz w:val="24"/>
                <w:szCs w:val="24"/>
                <w:lang w:eastAsia="zh-CN"/>
              </w:rPr>
            </w:pPr>
            <w:r>
              <w:rPr>
                <w:rFonts w:hint="eastAsia"/>
                <w:sz w:val="24"/>
              </w:rPr>
              <w:t>表面喷塑处理</w:t>
            </w:r>
            <w:r>
              <w:rPr>
                <w:rFonts w:hint="eastAsia" w:asciiTheme="minorEastAsia" w:hAnsiTheme="minorEastAsia" w:eastAsiaTheme="minorEastAsia" w:cstheme="minorEastAsia"/>
                <w:sz w:val="24"/>
                <w:szCs w:val="24"/>
              </w:rPr>
              <w:t>及焊接</w:t>
            </w:r>
            <w:r>
              <w:rPr>
                <w:rFonts w:hint="eastAsia" w:asciiTheme="minorEastAsia" w:hAnsiTheme="minorEastAsia" w:cstheme="minorEastAsia"/>
                <w:sz w:val="24"/>
                <w:szCs w:val="24"/>
                <w:lang w:val="en-US" w:eastAsia="zh-CN"/>
              </w:rPr>
              <w:t>情况不满足采购需求及通用要求</w:t>
            </w:r>
            <w:r>
              <w:rPr>
                <w:rFonts w:hint="eastAsia" w:asciiTheme="minorEastAsia" w:hAnsiTheme="minorEastAsia" w:eastAsiaTheme="minorEastAsia" w:cstheme="minorEastAsia"/>
                <w:sz w:val="24"/>
                <w:szCs w:val="24"/>
              </w:rPr>
              <w:t>的</w:t>
            </w:r>
            <w:r>
              <w:rPr>
                <w:rFonts w:hint="eastAsia" w:asciiTheme="minorEastAsia" w:hAnsiTheme="minorEastAsia" w:cstheme="minorEastAsia"/>
                <w:sz w:val="24"/>
                <w:szCs w:val="24"/>
                <w:lang w:val="en-US" w:eastAsia="zh-CN"/>
              </w:rPr>
              <w:t>不得分。</w:t>
            </w:r>
          </w:p>
          <w:p w14:paraId="11F408E1">
            <w:pPr>
              <w:spacing w:line="360" w:lineRule="auto"/>
              <w:jc w:val="left"/>
              <w:rPr>
                <w:rFonts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rPr>
              <w:t>、根据所提供样品稳定性，对样品连接配件质量情况进行</w:t>
            </w:r>
            <w:r>
              <w:rPr>
                <w:rFonts w:hint="eastAsia" w:asciiTheme="minorEastAsia" w:hAnsiTheme="minorEastAsia" w:cstheme="minorEastAsia"/>
                <w:sz w:val="24"/>
                <w:szCs w:val="24"/>
                <w:lang w:val="en-US" w:eastAsia="zh-CN"/>
              </w:rPr>
              <w:t>评分</w:t>
            </w:r>
            <w:r>
              <w:rPr>
                <w:rFonts w:hint="eastAsia" w:asciiTheme="minorEastAsia" w:hAnsiTheme="minorEastAsia" w:eastAsiaTheme="minorEastAsia" w:cstheme="minorEastAsia"/>
                <w:sz w:val="24"/>
                <w:szCs w:val="24"/>
              </w:rPr>
              <w:t>；</w:t>
            </w:r>
          </w:p>
          <w:p w14:paraId="682E5887">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样品稳定性</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晃动</w:t>
            </w:r>
            <w:r>
              <w:rPr>
                <w:rFonts w:hint="eastAsia" w:asciiTheme="minorEastAsia" w:hAnsiTheme="minorEastAsia" w:cstheme="minorEastAsia"/>
                <w:sz w:val="24"/>
                <w:szCs w:val="24"/>
                <w:lang w:val="en-US" w:eastAsia="zh-CN"/>
              </w:rPr>
              <w:t>幅度优于采购需求及通用要求</w:t>
            </w:r>
            <w:r>
              <w:rPr>
                <w:rFonts w:hint="eastAsia" w:asciiTheme="minorEastAsia" w:hAnsiTheme="minorEastAsia" w:eastAsiaTheme="minorEastAsia" w:cstheme="minorEastAsia"/>
                <w:sz w:val="24"/>
                <w:szCs w:val="24"/>
              </w:rPr>
              <w:t>的得</w:t>
            </w: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rPr>
              <w:t>分；</w:t>
            </w:r>
          </w:p>
          <w:p w14:paraId="53DC5742">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样品稳定性</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晃动</w:t>
            </w:r>
            <w:r>
              <w:rPr>
                <w:rFonts w:hint="eastAsia" w:asciiTheme="minorEastAsia" w:hAnsiTheme="minorEastAsia" w:cstheme="minorEastAsia"/>
                <w:sz w:val="24"/>
                <w:szCs w:val="24"/>
                <w:lang w:val="en-US" w:eastAsia="zh-CN"/>
              </w:rPr>
              <w:t>幅度满足采购需求及通用要求</w:t>
            </w:r>
            <w:r>
              <w:rPr>
                <w:rFonts w:hint="eastAsia" w:asciiTheme="minorEastAsia" w:hAnsiTheme="minorEastAsia" w:eastAsiaTheme="minorEastAsia" w:cstheme="minorEastAsia"/>
                <w:sz w:val="24"/>
                <w:szCs w:val="24"/>
              </w:rPr>
              <w:t>的得</w:t>
            </w:r>
            <w:r>
              <w:rPr>
                <w:rFonts w:hint="eastAsia" w:asciiTheme="minorEastAsia" w:hAnsiTheme="minorEastAsia" w:cstheme="minorEastAsia"/>
                <w:sz w:val="24"/>
                <w:szCs w:val="24"/>
                <w:lang w:val="en-US" w:eastAsia="zh-CN"/>
              </w:rPr>
              <w:t>1.5</w:t>
            </w:r>
            <w:r>
              <w:rPr>
                <w:rFonts w:hint="eastAsia" w:asciiTheme="minorEastAsia" w:hAnsiTheme="minorEastAsia" w:eastAsiaTheme="minorEastAsia" w:cstheme="minorEastAsia"/>
                <w:sz w:val="24"/>
                <w:szCs w:val="24"/>
              </w:rPr>
              <w:t>分；</w:t>
            </w:r>
          </w:p>
          <w:p w14:paraId="421BC57C">
            <w:pPr>
              <w:spacing w:line="36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样品稳定性</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晃动</w:t>
            </w:r>
            <w:r>
              <w:rPr>
                <w:rFonts w:hint="eastAsia" w:asciiTheme="minorEastAsia" w:hAnsiTheme="minorEastAsia" w:cstheme="minorEastAsia"/>
                <w:sz w:val="24"/>
                <w:szCs w:val="24"/>
                <w:lang w:val="en-US" w:eastAsia="zh-CN"/>
              </w:rPr>
              <w:t>幅度不满足采购需求及通用要求</w:t>
            </w:r>
            <w:r>
              <w:rPr>
                <w:rFonts w:hint="eastAsia" w:asciiTheme="minorEastAsia" w:hAnsiTheme="minorEastAsia" w:eastAsiaTheme="minorEastAsia" w:cstheme="minorEastAsia"/>
                <w:sz w:val="24"/>
                <w:szCs w:val="24"/>
              </w:rPr>
              <w:t>的</w:t>
            </w:r>
            <w:r>
              <w:rPr>
                <w:rFonts w:hint="eastAsia" w:asciiTheme="minorEastAsia" w:hAnsiTheme="minorEastAsia" w:cstheme="minorEastAsia"/>
                <w:sz w:val="24"/>
                <w:szCs w:val="24"/>
                <w:lang w:val="en-US" w:eastAsia="zh-CN"/>
              </w:rPr>
              <w:t>不得分</w:t>
            </w:r>
            <w:r>
              <w:rPr>
                <w:rFonts w:hint="eastAsia" w:asciiTheme="minorEastAsia" w:hAnsiTheme="minorEastAsia" w:cstheme="minorEastAsia"/>
                <w:sz w:val="24"/>
                <w:szCs w:val="24"/>
                <w:lang w:eastAsia="zh-CN"/>
              </w:rPr>
              <w:t>。</w:t>
            </w:r>
          </w:p>
        </w:tc>
      </w:tr>
      <w:tr w14:paraId="1B10DA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 w:hRule="atLeast"/>
          <w:jc w:val="center"/>
        </w:trPr>
        <w:tc>
          <w:tcPr>
            <w:tcW w:w="594" w:type="dxa"/>
            <w:vMerge w:val="restart"/>
            <w:shd w:val="clear" w:color="000000" w:fill="FFFFFF"/>
            <w:vAlign w:val="center"/>
          </w:tcPr>
          <w:p w14:paraId="78E6AE86">
            <w:pPr>
              <w:spacing w:line="36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751" w:type="dxa"/>
            <w:vMerge w:val="restart"/>
            <w:shd w:val="clear" w:color="000000" w:fill="FFFFFF"/>
            <w:vAlign w:val="center"/>
          </w:tcPr>
          <w:p w14:paraId="43A95740">
            <w:pPr>
              <w:spacing w:line="36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商务部分（33分）</w:t>
            </w:r>
          </w:p>
        </w:tc>
        <w:tc>
          <w:tcPr>
            <w:tcW w:w="713" w:type="dxa"/>
            <w:shd w:val="clear" w:color="000000" w:fill="FFFFFF"/>
            <w:vAlign w:val="center"/>
          </w:tcPr>
          <w:p w14:paraId="6F43306A">
            <w:pPr>
              <w:spacing w:line="36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产品保险3分 </w:t>
            </w:r>
          </w:p>
        </w:tc>
        <w:tc>
          <w:tcPr>
            <w:tcW w:w="7812" w:type="dxa"/>
            <w:shd w:val="clear" w:color="000000" w:fill="FFFFFF"/>
            <w:vAlign w:val="center"/>
          </w:tcPr>
          <w:p w14:paraId="402763EA">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投标人所投产品</w:t>
            </w:r>
            <w:r>
              <w:rPr>
                <w:rFonts w:hint="eastAsia" w:asciiTheme="minorEastAsia" w:hAnsiTheme="minorEastAsia" w:cstheme="minorEastAsia"/>
                <w:sz w:val="24"/>
                <w:szCs w:val="24"/>
                <w:lang w:val="en-US" w:eastAsia="zh-CN"/>
              </w:rPr>
              <w:t>同时</w:t>
            </w:r>
            <w:r>
              <w:rPr>
                <w:rFonts w:hint="eastAsia" w:asciiTheme="minorEastAsia" w:hAnsiTheme="minorEastAsia" w:eastAsiaTheme="minorEastAsia" w:cstheme="minorEastAsia"/>
                <w:sz w:val="24"/>
                <w:szCs w:val="24"/>
              </w:rPr>
              <w:t>具有有效产品质量险和包含第三者责任险、意外伤害险的得3分，缺一不得分；</w:t>
            </w:r>
          </w:p>
          <w:p w14:paraId="7EB6C9D5">
            <w:pPr>
              <w:spacing w:line="360" w:lineRule="auto"/>
              <w:jc w:val="left"/>
              <w:rPr>
                <w:rFonts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rPr>
              <w:t>如投标人承诺中标后供货时</w:t>
            </w:r>
            <w:r>
              <w:rPr>
                <w:rFonts w:hint="eastAsia" w:asciiTheme="minorEastAsia" w:hAnsiTheme="minorEastAsia" w:cstheme="minorEastAsia"/>
                <w:sz w:val="24"/>
                <w:szCs w:val="24"/>
                <w:lang w:val="en-US" w:eastAsia="zh-CN"/>
              </w:rPr>
              <w:t>同时</w:t>
            </w:r>
            <w:r>
              <w:rPr>
                <w:rFonts w:hint="eastAsia" w:asciiTheme="minorEastAsia" w:hAnsiTheme="minorEastAsia" w:eastAsiaTheme="minorEastAsia" w:cstheme="minorEastAsia"/>
                <w:sz w:val="24"/>
                <w:szCs w:val="24"/>
              </w:rPr>
              <w:t>提供</w:t>
            </w:r>
            <w:r>
              <w:rPr>
                <w:rFonts w:hint="eastAsia" w:asciiTheme="minorEastAsia" w:hAnsiTheme="minorEastAsia" w:cstheme="minorEastAsia"/>
                <w:sz w:val="24"/>
                <w:szCs w:val="24"/>
                <w:lang w:val="en-US" w:eastAsia="zh-CN"/>
              </w:rPr>
              <w:t>所供货物</w:t>
            </w:r>
            <w:r>
              <w:rPr>
                <w:rFonts w:hint="eastAsia" w:asciiTheme="minorEastAsia" w:hAnsiTheme="minorEastAsia" w:eastAsiaTheme="minorEastAsia" w:cstheme="minorEastAsia"/>
                <w:sz w:val="24"/>
                <w:szCs w:val="24"/>
              </w:rPr>
              <w:t>产品具有有效产品质量险和包含第三者责任险、意外伤害险的得1分。</w:t>
            </w:r>
          </w:p>
          <w:p w14:paraId="4C4AB51E">
            <w:pPr>
              <w:spacing w:line="36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注：提供所投产品的保险相关证明材料原件彩色扫描件并加盖产品制造商和投标人红色公章或加盖投标人红色公章承诺函，不提供不得分。</w:t>
            </w:r>
          </w:p>
        </w:tc>
      </w:tr>
      <w:tr w14:paraId="21EDC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 w:hRule="atLeast"/>
          <w:jc w:val="center"/>
        </w:trPr>
        <w:tc>
          <w:tcPr>
            <w:tcW w:w="594" w:type="dxa"/>
            <w:vMerge w:val="continue"/>
            <w:shd w:val="clear" w:color="000000" w:fill="FFFFFF"/>
            <w:vAlign w:val="center"/>
          </w:tcPr>
          <w:p w14:paraId="6BA46943">
            <w:pPr>
              <w:spacing w:line="360" w:lineRule="auto"/>
              <w:jc w:val="left"/>
              <w:rPr>
                <w:rFonts w:asciiTheme="minorEastAsia" w:hAnsiTheme="minorEastAsia" w:eastAsiaTheme="minorEastAsia" w:cstheme="minorEastAsia"/>
                <w:sz w:val="24"/>
                <w:szCs w:val="24"/>
              </w:rPr>
            </w:pPr>
          </w:p>
        </w:tc>
        <w:tc>
          <w:tcPr>
            <w:tcW w:w="751" w:type="dxa"/>
            <w:vMerge w:val="continue"/>
            <w:shd w:val="clear" w:color="000000" w:fill="FFFFFF"/>
            <w:vAlign w:val="center"/>
          </w:tcPr>
          <w:p w14:paraId="4E491EEA">
            <w:pPr>
              <w:spacing w:line="360" w:lineRule="auto"/>
              <w:jc w:val="left"/>
              <w:rPr>
                <w:rFonts w:asciiTheme="minorEastAsia" w:hAnsiTheme="minorEastAsia" w:eastAsiaTheme="minorEastAsia" w:cstheme="minorEastAsia"/>
                <w:sz w:val="24"/>
                <w:szCs w:val="24"/>
              </w:rPr>
            </w:pPr>
          </w:p>
        </w:tc>
        <w:tc>
          <w:tcPr>
            <w:tcW w:w="713" w:type="dxa"/>
            <w:shd w:val="clear" w:color="000000" w:fill="FFFFFF"/>
            <w:vAlign w:val="center"/>
          </w:tcPr>
          <w:p w14:paraId="232BFF5B">
            <w:pPr>
              <w:spacing w:line="36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业绩8分</w:t>
            </w:r>
          </w:p>
        </w:tc>
        <w:tc>
          <w:tcPr>
            <w:tcW w:w="7812" w:type="dxa"/>
            <w:shd w:val="clear" w:color="000000" w:fill="FFFFFF"/>
            <w:vAlign w:val="center"/>
          </w:tcPr>
          <w:p w14:paraId="796AAB14">
            <w:pPr>
              <w:spacing w:line="36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投标人提供类似项目业绩，每提供一个得2分，最高得8分。</w:t>
            </w:r>
          </w:p>
          <w:p w14:paraId="5ACB2ED5">
            <w:pPr>
              <w:spacing w:line="36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备注：须提供完整且无涂改的采购合同原件彩色扫描件并加盖投标人红色公章，否则不得分。合同原件彩色扫描件须清晰可见采购单位、产品清单、对应合同价格等相应内容，内容须完整且无涂改。</w:t>
            </w:r>
          </w:p>
        </w:tc>
      </w:tr>
      <w:tr w14:paraId="5CCBB6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 w:hRule="atLeast"/>
          <w:jc w:val="center"/>
        </w:trPr>
        <w:tc>
          <w:tcPr>
            <w:tcW w:w="594" w:type="dxa"/>
            <w:vMerge w:val="continue"/>
            <w:shd w:val="clear" w:color="000000" w:fill="FFFFFF"/>
            <w:vAlign w:val="center"/>
          </w:tcPr>
          <w:p w14:paraId="0D99D5CE">
            <w:pPr>
              <w:spacing w:line="360" w:lineRule="auto"/>
              <w:jc w:val="left"/>
              <w:rPr>
                <w:rFonts w:asciiTheme="minorEastAsia" w:hAnsiTheme="minorEastAsia" w:eastAsiaTheme="minorEastAsia" w:cstheme="minorEastAsia"/>
                <w:sz w:val="24"/>
                <w:szCs w:val="24"/>
              </w:rPr>
            </w:pPr>
          </w:p>
        </w:tc>
        <w:tc>
          <w:tcPr>
            <w:tcW w:w="751" w:type="dxa"/>
            <w:vMerge w:val="continue"/>
            <w:shd w:val="clear" w:color="000000" w:fill="FFFFFF"/>
            <w:vAlign w:val="center"/>
          </w:tcPr>
          <w:p w14:paraId="617C211D">
            <w:pPr>
              <w:spacing w:line="360" w:lineRule="auto"/>
              <w:jc w:val="left"/>
              <w:rPr>
                <w:rFonts w:asciiTheme="minorEastAsia" w:hAnsiTheme="minorEastAsia" w:eastAsiaTheme="minorEastAsia" w:cstheme="minorEastAsia"/>
                <w:sz w:val="24"/>
                <w:szCs w:val="24"/>
              </w:rPr>
            </w:pPr>
          </w:p>
        </w:tc>
        <w:tc>
          <w:tcPr>
            <w:tcW w:w="713" w:type="dxa"/>
            <w:shd w:val="clear" w:color="000000" w:fill="FFFFFF"/>
            <w:vAlign w:val="center"/>
          </w:tcPr>
          <w:p w14:paraId="1C8442BC">
            <w:pPr>
              <w:spacing w:line="36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项目实施方案（20分）</w:t>
            </w:r>
          </w:p>
        </w:tc>
        <w:tc>
          <w:tcPr>
            <w:tcW w:w="7812" w:type="dxa"/>
            <w:shd w:val="clear" w:color="000000" w:fill="FFFFFF"/>
            <w:vAlign w:val="center"/>
          </w:tcPr>
          <w:p w14:paraId="5EA07DCA">
            <w:pPr>
              <w:numPr>
                <w:ilvl w:val="0"/>
                <w:numId w:val="0"/>
              </w:numPr>
              <w:spacing w:line="360" w:lineRule="auto"/>
              <w:jc w:val="left"/>
              <w:rPr>
                <w:rFonts w:hint="eastAsia" w:ascii="Times New Roman" w:hAnsi="Times New Roman" w:eastAsia="宋体" w:cs="宋体"/>
                <w:color w:val="auto"/>
                <w:kern w:val="0"/>
                <w:sz w:val="24"/>
                <w:lang w:val="en-US" w:eastAsia="zh-CN" w:bidi="ar"/>
              </w:rPr>
            </w:pPr>
            <w:r>
              <w:rPr>
                <w:rFonts w:hint="eastAsia" w:asciiTheme="minorEastAsia" w:hAnsiTheme="minorEastAsia" w:cstheme="minorEastAsia"/>
                <w:sz w:val="24"/>
                <w:szCs w:val="24"/>
                <w:lang w:val="en-US" w:eastAsia="zh-CN"/>
              </w:rPr>
              <w:t>1、根据项目采购需求，</w:t>
            </w:r>
            <w:r>
              <w:rPr>
                <w:rFonts w:hint="eastAsia" w:asciiTheme="minorEastAsia" w:hAnsiTheme="minorEastAsia" w:eastAsiaTheme="minorEastAsia" w:cstheme="minorEastAsia"/>
                <w:sz w:val="24"/>
                <w:szCs w:val="24"/>
              </w:rPr>
              <w:t>投标单位提供</w:t>
            </w:r>
            <w:r>
              <w:rPr>
                <w:rFonts w:hint="eastAsia" w:asciiTheme="minorEastAsia" w:hAnsiTheme="minorEastAsia" w:cstheme="minorEastAsia"/>
                <w:sz w:val="24"/>
                <w:szCs w:val="24"/>
                <w:lang w:val="en-US" w:eastAsia="zh-CN"/>
              </w:rPr>
              <w:t>满足采购需求的</w:t>
            </w:r>
            <w:r>
              <w:rPr>
                <w:rFonts w:hint="eastAsia" w:asciiTheme="minorEastAsia" w:hAnsiTheme="minorEastAsia" w:eastAsiaTheme="minorEastAsia" w:cstheme="minorEastAsia"/>
                <w:sz w:val="24"/>
                <w:szCs w:val="24"/>
              </w:rPr>
              <w:t>实施方案</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方案包括：</w:t>
            </w:r>
            <w:r>
              <w:rPr>
                <w:rFonts w:hint="eastAsia" w:asciiTheme="minorEastAsia" w:hAnsiTheme="minorEastAsia" w:eastAsiaTheme="minorEastAsia" w:cstheme="minorEastAsia"/>
                <w:sz w:val="24"/>
                <w:szCs w:val="24"/>
              </w:rPr>
              <w:t>总体实施计划、进度保障措施、团队分工岗位职责、货源组织</w:t>
            </w:r>
            <w:r>
              <w:rPr>
                <w:rFonts w:hint="eastAsia" w:asciiTheme="minorEastAsia" w:hAnsiTheme="minorEastAsia" w:cstheme="minorEastAsia"/>
                <w:sz w:val="24"/>
                <w:szCs w:val="24"/>
                <w:lang w:val="en-US" w:eastAsia="zh-CN"/>
              </w:rPr>
              <w:t>方案。</w:t>
            </w:r>
            <w:r>
              <w:rPr>
                <w:rFonts w:hint="eastAsia" w:ascii="Times New Roman" w:hAnsi="Times New Roman" w:eastAsia="宋体" w:cs="宋体"/>
                <w:color w:val="auto"/>
                <w:kern w:val="0"/>
                <w:sz w:val="24"/>
                <w:lang w:val="en-US" w:eastAsia="zh-CN" w:bidi="ar"/>
              </w:rPr>
              <w:t>投标人每提供一项优于项目需求实施方案的得1.5分；</w:t>
            </w:r>
          </w:p>
          <w:p w14:paraId="00495ABC">
            <w:pPr>
              <w:numPr>
                <w:ilvl w:val="0"/>
                <w:numId w:val="0"/>
              </w:numPr>
              <w:spacing w:line="360" w:lineRule="auto"/>
              <w:jc w:val="left"/>
              <w:rPr>
                <w:rFonts w:hint="eastAsia" w:ascii="Times New Roman" w:hAnsi="Times New Roman" w:eastAsia="宋体" w:cs="宋体"/>
                <w:color w:val="auto"/>
                <w:kern w:val="0"/>
                <w:sz w:val="24"/>
                <w:lang w:val="en-US" w:eastAsia="zh-CN" w:bidi="ar"/>
              </w:rPr>
            </w:pPr>
            <w:r>
              <w:rPr>
                <w:rFonts w:hint="eastAsia" w:ascii="Times New Roman" w:hAnsi="Times New Roman" w:eastAsia="宋体" w:cs="宋体"/>
                <w:color w:val="auto"/>
                <w:kern w:val="0"/>
                <w:sz w:val="24"/>
                <w:lang w:val="en-US" w:eastAsia="zh-CN" w:bidi="ar"/>
              </w:rPr>
              <w:t>投标人每提供一项满足项目需求实施方案的得1分；</w:t>
            </w:r>
          </w:p>
          <w:p w14:paraId="61A10DD7">
            <w:pPr>
              <w:numPr>
                <w:ilvl w:val="0"/>
                <w:numId w:val="0"/>
              </w:numPr>
              <w:spacing w:line="360" w:lineRule="auto"/>
              <w:jc w:val="left"/>
              <w:rPr>
                <w:rFonts w:hint="eastAsia" w:ascii="Times New Roman" w:hAnsi="Times New Roman" w:eastAsia="宋体" w:cs="宋体"/>
                <w:color w:val="auto"/>
                <w:kern w:val="0"/>
                <w:sz w:val="24"/>
                <w:lang w:val="en-US" w:eastAsia="zh-CN" w:bidi="ar"/>
              </w:rPr>
            </w:pPr>
            <w:r>
              <w:rPr>
                <w:rFonts w:hint="eastAsia" w:ascii="Times New Roman" w:hAnsi="Times New Roman" w:eastAsia="宋体" w:cs="宋体"/>
                <w:color w:val="auto"/>
                <w:kern w:val="0"/>
                <w:sz w:val="24"/>
                <w:lang w:val="en-US" w:eastAsia="zh-CN" w:bidi="ar"/>
              </w:rPr>
              <w:t>不提供或方案不满足项目需求的不得分。</w:t>
            </w:r>
          </w:p>
          <w:p w14:paraId="0100854C">
            <w:pPr>
              <w:numPr>
                <w:ilvl w:val="0"/>
                <w:numId w:val="0"/>
              </w:numPr>
              <w:spacing w:line="360" w:lineRule="auto"/>
              <w:jc w:val="left"/>
              <w:rPr>
                <w:rFonts w:asciiTheme="minorEastAsia" w:hAnsiTheme="minorEastAsia" w:eastAsiaTheme="minorEastAsia" w:cstheme="minorEastAsia"/>
                <w:sz w:val="24"/>
                <w:szCs w:val="24"/>
              </w:rPr>
            </w:pPr>
            <w:r>
              <w:rPr>
                <w:rFonts w:hint="eastAsia" w:ascii="Times New Roman" w:hAnsi="Times New Roman" w:eastAsia="宋体" w:cs="宋体"/>
                <w:color w:val="auto"/>
                <w:kern w:val="0"/>
                <w:sz w:val="24"/>
                <w:lang w:val="en-US" w:eastAsia="zh-CN" w:bidi="ar"/>
              </w:rPr>
              <w:t>本项最高得6分。</w:t>
            </w:r>
            <w:r>
              <w:rPr>
                <w:rFonts w:hint="eastAsia" w:asciiTheme="minorEastAsia" w:hAnsiTheme="minorEastAsia" w:eastAsiaTheme="minorEastAsia" w:cstheme="minorEastAsia"/>
                <w:sz w:val="24"/>
                <w:szCs w:val="24"/>
              </w:rPr>
              <w:t xml:space="preserve"> </w:t>
            </w:r>
          </w:p>
          <w:p w14:paraId="74936985">
            <w:pPr>
              <w:numPr>
                <w:ilvl w:val="0"/>
                <w:numId w:val="0"/>
              </w:numPr>
              <w:spacing w:line="360" w:lineRule="auto"/>
              <w:ind w:leftChars="0"/>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2、根据项目采购需求，</w:t>
            </w:r>
            <w:r>
              <w:rPr>
                <w:rFonts w:hint="eastAsia" w:asciiTheme="minorEastAsia" w:hAnsiTheme="minorEastAsia" w:eastAsiaTheme="minorEastAsia" w:cstheme="minorEastAsia"/>
                <w:sz w:val="24"/>
                <w:szCs w:val="24"/>
              </w:rPr>
              <w:t>投标单位提供</w:t>
            </w:r>
            <w:r>
              <w:rPr>
                <w:rFonts w:hint="eastAsia" w:asciiTheme="minorEastAsia" w:hAnsiTheme="minorEastAsia" w:cstheme="minorEastAsia"/>
                <w:sz w:val="24"/>
                <w:szCs w:val="24"/>
                <w:lang w:val="en-US" w:eastAsia="zh-CN"/>
              </w:rPr>
              <w:t>满足采购需求的</w:t>
            </w:r>
            <w:r>
              <w:rPr>
                <w:rFonts w:hint="eastAsia" w:asciiTheme="minorEastAsia" w:hAnsiTheme="minorEastAsia" w:eastAsiaTheme="minorEastAsia" w:cstheme="minorEastAsia"/>
                <w:sz w:val="24"/>
                <w:szCs w:val="24"/>
              </w:rPr>
              <w:t>安装方案</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方案包括：</w:t>
            </w:r>
            <w:r>
              <w:rPr>
                <w:rFonts w:hint="eastAsia" w:asciiTheme="minorEastAsia" w:hAnsiTheme="minorEastAsia" w:eastAsiaTheme="minorEastAsia" w:cstheme="minorEastAsia"/>
                <w:sz w:val="24"/>
                <w:szCs w:val="24"/>
              </w:rPr>
              <w:t>备货及到货、安装进度计划、安装施工合理性、安装场地准备、文明施工、环境保护、安装垃圾处理、安装时突发状况预案</w:t>
            </w:r>
            <w:r>
              <w:rPr>
                <w:rFonts w:hint="eastAsia" w:asciiTheme="minorEastAsia" w:hAnsiTheme="minorEastAsia" w:cstheme="minorEastAsia"/>
                <w:sz w:val="24"/>
                <w:szCs w:val="24"/>
                <w:lang w:val="en-US" w:eastAsia="zh-CN"/>
              </w:rPr>
              <w:t>方案。</w:t>
            </w:r>
          </w:p>
          <w:p w14:paraId="6C5C6461">
            <w:pPr>
              <w:numPr>
                <w:ilvl w:val="0"/>
                <w:numId w:val="0"/>
              </w:numPr>
              <w:spacing w:line="360" w:lineRule="auto"/>
              <w:ind w:leftChars="0"/>
              <w:jc w:val="left"/>
              <w:rPr>
                <w:rFonts w:hint="eastAsia" w:ascii="Times New Roman" w:hAnsi="Times New Roman" w:eastAsia="宋体" w:cs="宋体"/>
                <w:color w:val="auto"/>
                <w:kern w:val="0"/>
                <w:sz w:val="24"/>
                <w:lang w:val="en-US" w:eastAsia="zh-CN" w:bidi="ar"/>
              </w:rPr>
            </w:pPr>
            <w:r>
              <w:rPr>
                <w:rFonts w:hint="eastAsia" w:ascii="Times New Roman" w:hAnsi="Times New Roman" w:eastAsia="宋体" w:cs="宋体"/>
                <w:color w:val="auto"/>
                <w:kern w:val="0"/>
                <w:sz w:val="24"/>
                <w:lang w:val="en-US" w:eastAsia="zh-CN" w:bidi="ar"/>
              </w:rPr>
              <w:t>投标人每提供一项优于项目需求安装方案的得1分；</w:t>
            </w:r>
          </w:p>
          <w:p w14:paraId="4D32C631">
            <w:pPr>
              <w:numPr>
                <w:ilvl w:val="0"/>
                <w:numId w:val="0"/>
              </w:numPr>
              <w:spacing w:line="360" w:lineRule="auto"/>
              <w:ind w:leftChars="0"/>
              <w:jc w:val="left"/>
              <w:rPr>
                <w:rFonts w:hint="eastAsia" w:ascii="Times New Roman" w:hAnsi="Times New Roman" w:eastAsia="宋体" w:cs="宋体"/>
                <w:color w:val="auto"/>
                <w:kern w:val="0"/>
                <w:sz w:val="24"/>
                <w:lang w:val="en-US" w:eastAsia="zh-CN" w:bidi="ar"/>
              </w:rPr>
            </w:pPr>
            <w:r>
              <w:rPr>
                <w:rFonts w:hint="eastAsia" w:ascii="Times New Roman" w:hAnsi="Times New Roman" w:eastAsia="宋体" w:cs="宋体"/>
                <w:color w:val="auto"/>
                <w:kern w:val="0"/>
                <w:sz w:val="24"/>
                <w:lang w:val="en-US" w:eastAsia="zh-CN" w:bidi="ar"/>
              </w:rPr>
              <w:t>投标人每提供一项满足项目需求安装方案的得0.5分；</w:t>
            </w:r>
          </w:p>
          <w:p w14:paraId="02819425">
            <w:pPr>
              <w:numPr>
                <w:ilvl w:val="0"/>
                <w:numId w:val="0"/>
              </w:numPr>
              <w:spacing w:line="360" w:lineRule="auto"/>
              <w:ind w:leftChars="0"/>
              <w:jc w:val="left"/>
              <w:rPr>
                <w:rFonts w:hint="eastAsia" w:ascii="Times New Roman" w:hAnsi="Times New Roman" w:eastAsia="宋体" w:cs="宋体"/>
                <w:color w:val="auto"/>
                <w:kern w:val="0"/>
                <w:sz w:val="24"/>
                <w:lang w:val="en-US" w:eastAsia="zh-CN" w:bidi="ar"/>
              </w:rPr>
            </w:pPr>
            <w:r>
              <w:rPr>
                <w:rFonts w:hint="eastAsia" w:ascii="Times New Roman" w:hAnsi="Times New Roman" w:eastAsia="宋体" w:cs="宋体"/>
                <w:color w:val="auto"/>
                <w:kern w:val="0"/>
                <w:sz w:val="24"/>
                <w:lang w:val="en-US" w:eastAsia="zh-CN" w:bidi="ar"/>
              </w:rPr>
              <w:t>不提供或方案不满足项目需求的不得分。</w:t>
            </w:r>
          </w:p>
          <w:p w14:paraId="0AF52438">
            <w:pPr>
              <w:numPr>
                <w:ilvl w:val="0"/>
                <w:numId w:val="0"/>
              </w:numPr>
              <w:spacing w:line="360" w:lineRule="auto"/>
              <w:ind w:leftChars="0"/>
              <w:jc w:val="left"/>
              <w:rPr>
                <w:rFonts w:asciiTheme="minorEastAsia" w:hAnsiTheme="minorEastAsia" w:eastAsiaTheme="minorEastAsia" w:cstheme="minorEastAsia"/>
                <w:sz w:val="24"/>
                <w:szCs w:val="24"/>
              </w:rPr>
            </w:pPr>
            <w:r>
              <w:rPr>
                <w:rFonts w:hint="eastAsia" w:ascii="Times New Roman" w:hAnsi="Times New Roman" w:eastAsia="宋体" w:cs="宋体"/>
                <w:color w:val="auto"/>
                <w:kern w:val="0"/>
                <w:sz w:val="24"/>
                <w:lang w:val="en-US" w:eastAsia="zh-CN" w:bidi="ar"/>
              </w:rPr>
              <w:t>本项最高得8分。</w:t>
            </w:r>
            <w:r>
              <w:rPr>
                <w:rFonts w:hint="eastAsia" w:asciiTheme="minorEastAsia" w:hAnsiTheme="minorEastAsia" w:eastAsiaTheme="minorEastAsia" w:cstheme="minorEastAsia"/>
                <w:sz w:val="24"/>
                <w:szCs w:val="24"/>
              </w:rPr>
              <w:t xml:space="preserve"> </w:t>
            </w:r>
          </w:p>
          <w:p w14:paraId="24909969">
            <w:pPr>
              <w:numPr>
                <w:ilvl w:val="0"/>
                <w:numId w:val="0"/>
              </w:numPr>
              <w:spacing w:line="360" w:lineRule="auto"/>
              <w:ind w:leftChars="0"/>
              <w:jc w:val="left"/>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val="en-US" w:eastAsia="zh-CN"/>
              </w:rPr>
              <w:t>3、根据项目采购需求，</w:t>
            </w:r>
            <w:r>
              <w:rPr>
                <w:rFonts w:hint="eastAsia" w:asciiTheme="minorEastAsia" w:hAnsiTheme="minorEastAsia" w:eastAsiaTheme="minorEastAsia" w:cstheme="minorEastAsia"/>
                <w:sz w:val="24"/>
                <w:szCs w:val="24"/>
              </w:rPr>
              <w:t>投标单位提供</w:t>
            </w:r>
            <w:r>
              <w:rPr>
                <w:rFonts w:hint="eastAsia" w:asciiTheme="minorEastAsia" w:hAnsiTheme="minorEastAsia" w:cstheme="minorEastAsia"/>
                <w:sz w:val="24"/>
                <w:szCs w:val="24"/>
                <w:lang w:val="en-US" w:eastAsia="zh-CN"/>
              </w:rPr>
              <w:t>满足采购需求的</w:t>
            </w:r>
            <w:r>
              <w:rPr>
                <w:rFonts w:hint="eastAsia" w:asciiTheme="minorEastAsia" w:hAnsiTheme="minorEastAsia" w:eastAsiaTheme="minorEastAsia" w:cstheme="minorEastAsia"/>
                <w:sz w:val="24"/>
                <w:szCs w:val="24"/>
              </w:rPr>
              <w:t>售后服务方案</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方案</w:t>
            </w:r>
            <w:r>
              <w:rPr>
                <w:rFonts w:hint="eastAsia" w:asciiTheme="minorEastAsia" w:hAnsiTheme="minorEastAsia" w:eastAsiaTheme="minorEastAsia" w:cstheme="minorEastAsia"/>
                <w:sz w:val="24"/>
                <w:szCs w:val="24"/>
              </w:rPr>
              <w:t>包括：服务保障体系、售后服务人员调度及现场服务措施、故障解决方案</w:t>
            </w:r>
            <w:r>
              <w:rPr>
                <w:rFonts w:hint="eastAsia" w:asciiTheme="minorEastAsia" w:hAnsiTheme="minorEastAsia" w:cstheme="minorEastAsia"/>
                <w:sz w:val="24"/>
                <w:szCs w:val="24"/>
                <w:lang w:eastAsia="zh-CN"/>
              </w:rPr>
              <w:t>。</w:t>
            </w:r>
          </w:p>
          <w:p w14:paraId="4F8C6DFE">
            <w:pPr>
              <w:numPr>
                <w:ilvl w:val="0"/>
                <w:numId w:val="0"/>
              </w:numPr>
              <w:spacing w:line="360" w:lineRule="auto"/>
              <w:ind w:leftChars="0"/>
              <w:jc w:val="left"/>
              <w:rPr>
                <w:rFonts w:hint="eastAsia" w:ascii="Times New Roman" w:hAnsi="Times New Roman" w:eastAsia="宋体" w:cs="宋体"/>
                <w:color w:val="auto"/>
                <w:kern w:val="0"/>
                <w:sz w:val="24"/>
                <w:lang w:val="en-US" w:eastAsia="zh-CN" w:bidi="ar"/>
              </w:rPr>
            </w:pPr>
            <w:r>
              <w:rPr>
                <w:rFonts w:hint="eastAsia" w:ascii="Times New Roman" w:hAnsi="Times New Roman" w:eastAsia="宋体" w:cs="宋体"/>
                <w:color w:val="auto"/>
                <w:kern w:val="0"/>
                <w:sz w:val="24"/>
                <w:lang w:val="en-US" w:eastAsia="zh-CN" w:bidi="ar"/>
              </w:rPr>
              <w:t>投标人每提供一项优于项目需求</w:t>
            </w:r>
            <w:r>
              <w:rPr>
                <w:rFonts w:hint="eastAsia" w:asciiTheme="minorEastAsia" w:hAnsiTheme="minorEastAsia" w:eastAsiaTheme="minorEastAsia" w:cstheme="minorEastAsia"/>
                <w:sz w:val="24"/>
                <w:szCs w:val="24"/>
              </w:rPr>
              <w:t>售后服务</w:t>
            </w:r>
            <w:r>
              <w:rPr>
                <w:rFonts w:hint="eastAsia" w:asciiTheme="minorEastAsia" w:hAnsiTheme="minorEastAsia" w:cstheme="minorEastAsia"/>
                <w:sz w:val="24"/>
                <w:szCs w:val="24"/>
                <w:lang w:val="en-US" w:eastAsia="zh-CN"/>
              </w:rPr>
              <w:t>方案</w:t>
            </w:r>
            <w:r>
              <w:rPr>
                <w:rFonts w:hint="eastAsia" w:ascii="Times New Roman" w:hAnsi="Times New Roman" w:eastAsia="宋体" w:cs="宋体"/>
                <w:color w:val="auto"/>
                <w:kern w:val="0"/>
                <w:sz w:val="24"/>
                <w:lang w:val="en-US" w:eastAsia="zh-CN" w:bidi="ar"/>
              </w:rPr>
              <w:t>的得1分；</w:t>
            </w:r>
          </w:p>
          <w:p w14:paraId="7D3E9BDF">
            <w:pPr>
              <w:numPr>
                <w:ilvl w:val="0"/>
                <w:numId w:val="0"/>
              </w:numPr>
              <w:spacing w:line="360" w:lineRule="auto"/>
              <w:ind w:leftChars="0"/>
              <w:jc w:val="left"/>
              <w:rPr>
                <w:rFonts w:hint="eastAsia" w:ascii="Times New Roman" w:hAnsi="Times New Roman" w:eastAsia="宋体" w:cs="宋体"/>
                <w:color w:val="auto"/>
                <w:kern w:val="0"/>
                <w:sz w:val="24"/>
                <w:lang w:val="en-US" w:eastAsia="zh-CN" w:bidi="ar"/>
              </w:rPr>
            </w:pPr>
            <w:r>
              <w:rPr>
                <w:rFonts w:hint="eastAsia" w:ascii="Times New Roman" w:hAnsi="Times New Roman" w:eastAsia="宋体" w:cs="宋体"/>
                <w:color w:val="auto"/>
                <w:kern w:val="0"/>
                <w:sz w:val="24"/>
                <w:lang w:val="en-US" w:eastAsia="zh-CN" w:bidi="ar"/>
              </w:rPr>
              <w:t>投标人每提供一项满足项目需求</w:t>
            </w:r>
            <w:r>
              <w:rPr>
                <w:rFonts w:hint="eastAsia" w:asciiTheme="minorEastAsia" w:hAnsiTheme="minorEastAsia" w:eastAsiaTheme="minorEastAsia" w:cstheme="minorEastAsia"/>
                <w:sz w:val="24"/>
                <w:szCs w:val="24"/>
              </w:rPr>
              <w:t>售后服务</w:t>
            </w:r>
            <w:r>
              <w:rPr>
                <w:rFonts w:hint="eastAsia" w:ascii="Times New Roman" w:hAnsi="Times New Roman" w:eastAsia="宋体" w:cs="宋体"/>
                <w:color w:val="auto"/>
                <w:kern w:val="0"/>
                <w:sz w:val="24"/>
                <w:lang w:val="en-US" w:eastAsia="zh-CN" w:bidi="ar"/>
              </w:rPr>
              <w:t>方案的得0.5分；</w:t>
            </w:r>
          </w:p>
          <w:p w14:paraId="2941BFB7">
            <w:pPr>
              <w:numPr>
                <w:ilvl w:val="0"/>
                <w:numId w:val="0"/>
              </w:numPr>
              <w:spacing w:line="360" w:lineRule="auto"/>
              <w:ind w:leftChars="0"/>
              <w:jc w:val="left"/>
              <w:rPr>
                <w:rFonts w:hint="eastAsia" w:ascii="Times New Roman" w:hAnsi="Times New Roman" w:eastAsia="宋体" w:cs="宋体"/>
                <w:color w:val="auto"/>
                <w:kern w:val="0"/>
                <w:sz w:val="24"/>
                <w:lang w:val="en-US" w:eastAsia="zh-CN" w:bidi="ar"/>
              </w:rPr>
            </w:pPr>
            <w:r>
              <w:rPr>
                <w:rFonts w:hint="eastAsia" w:ascii="Times New Roman" w:hAnsi="Times New Roman" w:eastAsia="宋体" w:cs="宋体"/>
                <w:color w:val="auto"/>
                <w:kern w:val="0"/>
                <w:sz w:val="24"/>
                <w:lang w:val="en-US" w:eastAsia="zh-CN" w:bidi="ar"/>
              </w:rPr>
              <w:t>不提供或方案不满足项目需求的不得分。</w:t>
            </w:r>
          </w:p>
          <w:p w14:paraId="5C41115F">
            <w:pPr>
              <w:numPr>
                <w:ilvl w:val="0"/>
                <w:numId w:val="0"/>
              </w:numPr>
              <w:spacing w:line="360" w:lineRule="auto"/>
              <w:ind w:leftChars="0"/>
              <w:jc w:val="left"/>
              <w:rPr>
                <w:rFonts w:asciiTheme="minorEastAsia" w:hAnsiTheme="minorEastAsia" w:eastAsiaTheme="minorEastAsia" w:cstheme="minorEastAsia"/>
                <w:sz w:val="24"/>
                <w:szCs w:val="24"/>
              </w:rPr>
            </w:pPr>
            <w:r>
              <w:rPr>
                <w:rFonts w:hint="eastAsia" w:ascii="Times New Roman" w:hAnsi="Times New Roman" w:eastAsia="宋体" w:cs="宋体"/>
                <w:color w:val="auto"/>
                <w:kern w:val="0"/>
                <w:sz w:val="24"/>
                <w:lang w:val="en-US" w:eastAsia="zh-CN" w:bidi="ar"/>
              </w:rPr>
              <w:t>本项最高得3分。</w:t>
            </w:r>
            <w:r>
              <w:rPr>
                <w:rFonts w:hint="eastAsia" w:asciiTheme="minorEastAsia" w:hAnsiTheme="minorEastAsia" w:eastAsiaTheme="minorEastAsia" w:cstheme="minorEastAsia"/>
                <w:sz w:val="24"/>
                <w:szCs w:val="24"/>
              </w:rPr>
              <w:t xml:space="preserve"> </w:t>
            </w:r>
          </w:p>
          <w:p w14:paraId="4755F19C">
            <w:pPr>
              <w:numPr>
                <w:ilvl w:val="0"/>
                <w:numId w:val="0"/>
              </w:numPr>
              <w:spacing w:line="360" w:lineRule="auto"/>
              <w:ind w:leftChars="0"/>
              <w:jc w:val="left"/>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4、根据项目采购需求，</w:t>
            </w:r>
            <w:r>
              <w:rPr>
                <w:rFonts w:hint="eastAsia" w:asciiTheme="minorEastAsia" w:hAnsiTheme="minorEastAsia" w:eastAsiaTheme="minorEastAsia" w:cstheme="minorEastAsia"/>
                <w:sz w:val="24"/>
                <w:szCs w:val="24"/>
              </w:rPr>
              <w:t>投标单位提供</w:t>
            </w:r>
            <w:r>
              <w:rPr>
                <w:rFonts w:hint="eastAsia" w:asciiTheme="minorEastAsia" w:hAnsiTheme="minorEastAsia" w:cstheme="minorEastAsia"/>
                <w:sz w:val="24"/>
                <w:szCs w:val="24"/>
                <w:lang w:val="en-US" w:eastAsia="zh-CN"/>
              </w:rPr>
              <w:t>满足采购需求的</w:t>
            </w:r>
            <w:r>
              <w:rPr>
                <w:rFonts w:hint="eastAsia" w:asciiTheme="minorEastAsia" w:hAnsiTheme="minorEastAsia" w:eastAsiaTheme="minorEastAsia" w:cstheme="minorEastAsia"/>
                <w:sz w:val="24"/>
                <w:szCs w:val="24"/>
              </w:rPr>
              <w:t>安全措施</w:t>
            </w:r>
            <w:r>
              <w:rPr>
                <w:rFonts w:hint="eastAsia" w:asciiTheme="minorEastAsia" w:hAnsiTheme="minorEastAsia" w:cstheme="minorEastAsia"/>
                <w:sz w:val="24"/>
                <w:szCs w:val="24"/>
                <w:lang w:val="en-US" w:eastAsia="zh-CN"/>
              </w:rPr>
              <w:t>方案。方案内容包括：</w:t>
            </w:r>
            <w:r>
              <w:rPr>
                <w:rFonts w:hint="eastAsia" w:asciiTheme="minorEastAsia" w:hAnsiTheme="minorEastAsia" w:eastAsiaTheme="minorEastAsia" w:cstheme="minorEastAsia"/>
                <w:sz w:val="24"/>
                <w:szCs w:val="24"/>
              </w:rPr>
              <w:t>运输</w:t>
            </w:r>
            <w:r>
              <w:rPr>
                <w:rFonts w:hint="eastAsia" w:asciiTheme="minorEastAsia" w:hAnsiTheme="minorEastAsia" w:cstheme="minorEastAsia"/>
                <w:sz w:val="24"/>
                <w:szCs w:val="24"/>
                <w:lang w:val="en-US" w:eastAsia="zh-CN"/>
              </w:rPr>
              <w:t>卸货、安装施工</w:t>
            </w:r>
            <w:r>
              <w:rPr>
                <w:rFonts w:hint="eastAsia" w:asciiTheme="minorEastAsia" w:hAnsiTheme="minorEastAsia" w:eastAsiaTheme="minorEastAsia" w:cstheme="minorEastAsia"/>
                <w:sz w:val="24"/>
                <w:szCs w:val="24"/>
              </w:rPr>
              <w:t>方案。</w:t>
            </w:r>
          </w:p>
          <w:p w14:paraId="20DB3A27">
            <w:pPr>
              <w:numPr>
                <w:ilvl w:val="0"/>
                <w:numId w:val="0"/>
              </w:numPr>
              <w:spacing w:line="360" w:lineRule="auto"/>
              <w:ind w:leftChars="0"/>
              <w:jc w:val="left"/>
              <w:rPr>
                <w:rFonts w:hint="eastAsia" w:ascii="Times New Roman" w:hAnsi="Times New Roman" w:eastAsia="宋体" w:cs="宋体"/>
                <w:color w:val="auto"/>
                <w:kern w:val="0"/>
                <w:sz w:val="24"/>
                <w:lang w:val="en-US" w:eastAsia="zh-CN" w:bidi="ar"/>
              </w:rPr>
            </w:pPr>
            <w:r>
              <w:rPr>
                <w:rFonts w:hint="eastAsia" w:ascii="Times New Roman" w:hAnsi="Times New Roman" w:eastAsia="宋体" w:cs="宋体"/>
                <w:color w:val="auto"/>
                <w:kern w:val="0"/>
                <w:sz w:val="24"/>
                <w:lang w:val="en-US" w:eastAsia="zh-CN" w:bidi="ar"/>
              </w:rPr>
              <w:t>投标人每提供一项优于项目需求</w:t>
            </w:r>
            <w:r>
              <w:rPr>
                <w:rFonts w:hint="eastAsia" w:asciiTheme="minorEastAsia" w:hAnsiTheme="minorEastAsia" w:eastAsiaTheme="minorEastAsia" w:cstheme="minorEastAsia"/>
                <w:sz w:val="24"/>
                <w:szCs w:val="24"/>
              </w:rPr>
              <w:t>安全措施</w:t>
            </w:r>
            <w:r>
              <w:rPr>
                <w:rFonts w:hint="eastAsia" w:asciiTheme="minorEastAsia" w:hAnsiTheme="minorEastAsia" w:cstheme="minorEastAsia"/>
                <w:sz w:val="24"/>
                <w:szCs w:val="24"/>
                <w:lang w:val="en-US" w:eastAsia="zh-CN"/>
              </w:rPr>
              <w:t>方案</w:t>
            </w:r>
            <w:r>
              <w:rPr>
                <w:rFonts w:hint="eastAsia" w:ascii="Times New Roman" w:hAnsi="Times New Roman" w:eastAsia="宋体" w:cs="宋体"/>
                <w:color w:val="auto"/>
                <w:kern w:val="0"/>
                <w:sz w:val="24"/>
                <w:lang w:val="en-US" w:eastAsia="zh-CN" w:bidi="ar"/>
              </w:rPr>
              <w:t>的得1.5分；</w:t>
            </w:r>
          </w:p>
          <w:p w14:paraId="13DCE06A">
            <w:pPr>
              <w:numPr>
                <w:ilvl w:val="0"/>
                <w:numId w:val="0"/>
              </w:numPr>
              <w:spacing w:line="360" w:lineRule="auto"/>
              <w:ind w:leftChars="0"/>
              <w:jc w:val="left"/>
              <w:rPr>
                <w:rFonts w:hint="eastAsia" w:ascii="Times New Roman" w:hAnsi="Times New Roman" w:eastAsia="宋体" w:cs="宋体"/>
                <w:color w:val="auto"/>
                <w:kern w:val="0"/>
                <w:sz w:val="24"/>
                <w:lang w:val="en-US" w:eastAsia="zh-CN" w:bidi="ar"/>
              </w:rPr>
            </w:pPr>
            <w:r>
              <w:rPr>
                <w:rFonts w:hint="eastAsia" w:ascii="Times New Roman" w:hAnsi="Times New Roman" w:eastAsia="宋体" w:cs="宋体"/>
                <w:color w:val="auto"/>
                <w:kern w:val="0"/>
                <w:sz w:val="24"/>
                <w:lang w:val="en-US" w:eastAsia="zh-CN" w:bidi="ar"/>
              </w:rPr>
              <w:t>投标人每提供一项满足项目需求</w:t>
            </w:r>
            <w:r>
              <w:rPr>
                <w:rFonts w:hint="eastAsia" w:asciiTheme="minorEastAsia" w:hAnsiTheme="minorEastAsia" w:eastAsiaTheme="minorEastAsia" w:cstheme="minorEastAsia"/>
                <w:sz w:val="24"/>
                <w:szCs w:val="24"/>
              </w:rPr>
              <w:t>安全措施</w:t>
            </w:r>
            <w:r>
              <w:rPr>
                <w:rFonts w:hint="eastAsia" w:ascii="Times New Roman" w:hAnsi="Times New Roman" w:eastAsia="宋体" w:cs="宋体"/>
                <w:color w:val="auto"/>
                <w:kern w:val="0"/>
                <w:sz w:val="24"/>
                <w:lang w:val="en-US" w:eastAsia="zh-CN" w:bidi="ar"/>
              </w:rPr>
              <w:t>方案的得0.5分；</w:t>
            </w:r>
          </w:p>
          <w:p w14:paraId="729735CD">
            <w:pPr>
              <w:numPr>
                <w:ilvl w:val="0"/>
                <w:numId w:val="0"/>
              </w:numPr>
              <w:spacing w:line="360" w:lineRule="auto"/>
              <w:ind w:leftChars="0"/>
              <w:jc w:val="left"/>
              <w:rPr>
                <w:rFonts w:hint="eastAsia" w:ascii="Times New Roman" w:hAnsi="Times New Roman" w:eastAsia="宋体" w:cs="宋体"/>
                <w:color w:val="auto"/>
                <w:kern w:val="0"/>
                <w:sz w:val="24"/>
                <w:lang w:val="en-US" w:eastAsia="zh-CN" w:bidi="ar"/>
              </w:rPr>
            </w:pPr>
            <w:r>
              <w:rPr>
                <w:rFonts w:hint="eastAsia" w:ascii="Times New Roman" w:hAnsi="Times New Roman" w:eastAsia="宋体" w:cs="宋体"/>
                <w:color w:val="auto"/>
                <w:kern w:val="0"/>
                <w:sz w:val="24"/>
                <w:lang w:val="en-US" w:eastAsia="zh-CN" w:bidi="ar"/>
              </w:rPr>
              <w:t>不提供或方案不满足项目需求的不得分。</w:t>
            </w:r>
          </w:p>
          <w:p w14:paraId="112791C0">
            <w:pPr>
              <w:numPr>
                <w:ilvl w:val="0"/>
                <w:numId w:val="0"/>
              </w:numPr>
              <w:spacing w:line="360" w:lineRule="auto"/>
              <w:ind w:left="0" w:leftChars="0" w:firstLine="0" w:firstLineChars="0"/>
              <w:jc w:val="left"/>
              <w:rPr>
                <w:rFonts w:asciiTheme="minorEastAsia" w:hAnsiTheme="minorEastAsia" w:eastAsiaTheme="minorEastAsia" w:cstheme="minorEastAsia"/>
                <w:sz w:val="24"/>
                <w:szCs w:val="24"/>
              </w:rPr>
            </w:pPr>
            <w:r>
              <w:rPr>
                <w:rFonts w:hint="eastAsia" w:ascii="Times New Roman" w:hAnsi="Times New Roman" w:eastAsia="宋体" w:cs="宋体"/>
                <w:color w:val="auto"/>
                <w:kern w:val="0"/>
                <w:sz w:val="24"/>
                <w:lang w:val="en-US" w:eastAsia="zh-CN" w:bidi="ar"/>
              </w:rPr>
              <w:t>本项最高得3分。</w:t>
            </w:r>
            <w:r>
              <w:rPr>
                <w:rFonts w:hint="eastAsia" w:asciiTheme="minorEastAsia" w:hAnsiTheme="minorEastAsia" w:eastAsiaTheme="minorEastAsia" w:cstheme="minorEastAsia"/>
                <w:sz w:val="24"/>
                <w:szCs w:val="24"/>
              </w:rPr>
              <w:t xml:space="preserve"> </w:t>
            </w:r>
          </w:p>
        </w:tc>
      </w:tr>
      <w:tr w14:paraId="196E18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 w:hRule="atLeast"/>
          <w:jc w:val="center"/>
        </w:trPr>
        <w:tc>
          <w:tcPr>
            <w:tcW w:w="594" w:type="dxa"/>
            <w:vMerge w:val="continue"/>
            <w:tcBorders>
              <w:bottom w:val="single" w:color="auto" w:sz="4" w:space="0"/>
            </w:tcBorders>
            <w:shd w:val="clear" w:color="000000" w:fill="FFFFFF"/>
            <w:vAlign w:val="center"/>
          </w:tcPr>
          <w:p w14:paraId="2F48EE97">
            <w:pPr>
              <w:spacing w:line="360" w:lineRule="auto"/>
              <w:jc w:val="left"/>
              <w:rPr>
                <w:rFonts w:asciiTheme="minorEastAsia" w:hAnsiTheme="minorEastAsia" w:eastAsiaTheme="minorEastAsia" w:cstheme="minorEastAsia"/>
                <w:sz w:val="24"/>
                <w:szCs w:val="24"/>
              </w:rPr>
            </w:pPr>
          </w:p>
        </w:tc>
        <w:tc>
          <w:tcPr>
            <w:tcW w:w="751" w:type="dxa"/>
            <w:vMerge w:val="continue"/>
            <w:tcBorders>
              <w:bottom w:val="single" w:color="auto" w:sz="4" w:space="0"/>
            </w:tcBorders>
            <w:shd w:val="clear" w:color="000000" w:fill="FFFFFF"/>
            <w:vAlign w:val="center"/>
          </w:tcPr>
          <w:p w14:paraId="69E176AA">
            <w:pPr>
              <w:spacing w:line="360" w:lineRule="auto"/>
              <w:jc w:val="left"/>
              <w:rPr>
                <w:rFonts w:asciiTheme="minorEastAsia" w:hAnsiTheme="minorEastAsia" w:eastAsiaTheme="minorEastAsia" w:cstheme="minorEastAsia"/>
                <w:sz w:val="24"/>
                <w:szCs w:val="24"/>
              </w:rPr>
            </w:pPr>
          </w:p>
        </w:tc>
        <w:tc>
          <w:tcPr>
            <w:tcW w:w="713" w:type="dxa"/>
            <w:tcBorders>
              <w:bottom w:val="single" w:color="auto" w:sz="4" w:space="0"/>
            </w:tcBorders>
            <w:shd w:val="clear" w:color="000000" w:fill="FFFFFF"/>
            <w:vAlign w:val="center"/>
          </w:tcPr>
          <w:p w14:paraId="218630A5">
            <w:pPr>
              <w:spacing w:line="36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节能环保（2分）</w:t>
            </w:r>
          </w:p>
          <w:p w14:paraId="3ABCC28F">
            <w:pPr>
              <w:spacing w:line="360" w:lineRule="auto"/>
              <w:jc w:val="left"/>
              <w:rPr>
                <w:rFonts w:asciiTheme="minorEastAsia" w:hAnsiTheme="minorEastAsia" w:eastAsiaTheme="minorEastAsia" w:cstheme="minorEastAsia"/>
                <w:sz w:val="24"/>
                <w:szCs w:val="24"/>
              </w:rPr>
            </w:pPr>
          </w:p>
        </w:tc>
        <w:tc>
          <w:tcPr>
            <w:tcW w:w="7812" w:type="dxa"/>
            <w:shd w:val="clear" w:color="000000" w:fill="FFFFFF"/>
            <w:vAlign w:val="center"/>
          </w:tcPr>
          <w:p w14:paraId="3D204C4D">
            <w:pPr>
              <w:spacing w:line="36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产品属于财政部、国家发改委公布的“节能产品品目清单”范围内的，投标人提供国家确定的认证机构出具的、处于有效期之内的该节能产品的有1个得0.5分，最多得1分。须提供认证证书原件彩色扫描件加盖投标人公章，否则不得分；如投标产品均属于政府强制采购节能产品品目清单范围内，本项不得分。</w:t>
            </w:r>
          </w:p>
          <w:p w14:paraId="1254DCB2">
            <w:pPr>
              <w:spacing w:line="36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产品属于财政部、生态环境部公布的“环境标志产品品目清单”范围内的，投标人提供国家确定的认证机构出具的、处于有效期内的该环保产品认证证书的，有1个得0.5分，最多得1分。须提供认证证书原件彩色扫描件加盖投标人公章，否则不得分。</w:t>
            </w:r>
          </w:p>
        </w:tc>
      </w:tr>
    </w:tbl>
    <w:p w14:paraId="3E7A8A07">
      <w:pPr>
        <w:snapToGrid w:val="0"/>
        <w:spacing w:line="520" w:lineRule="exact"/>
        <w:ind w:firstLine="480" w:firstLineChars="200"/>
        <w:rPr>
          <w:rFonts w:hAnsi="宋体" w:eastAsia="宋体" w:cs="Times New Roman"/>
          <w:bCs/>
          <w:snapToGrid w:val="0"/>
          <w:sz w:val="24"/>
        </w:rPr>
      </w:pPr>
      <w:r>
        <w:rPr>
          <w:rFonts w:hint="eastAsia" w:hAnsi="宋体" w:eastAsia="宋体" w:cs="Times New Roman"/>
          <w:bCs/>
          <w:snapToGrid w:val="0"/>
          <w:sz w:val="24"/>
        </w:rPr>
        <w:t>备注：</w:t>
      </w:r>
    </w:p>
    <w:p w14:paraId="32928311">
      <w:pPr>
        <w:snapToGrid w:val="0"/>
        <w:spacing w:line="520" w:lineRule="exact"/>
        <w:ind w:firstLine="480" w:firstLineChars="200"/>
        <w:rPr>
          <w:rFonts w:hAnsi="宋体" w:eastAsia="宋体" w:cs="Times New Roman"/>
          <w:bCs/>
          <w:snapToGrid w:val="0"/>
          <w:color w:val="FF0000"/>
          <w:sz w:val="24"/>
        </w:rPr>
      </w:pPr>
      <w:r>
        <w:rPr>
          <w:rFonts w:hint="eastAsia" w:hAnsi="宋体" w:eastAsia="宋体" w:cs="Times New Roman"/>
          <w:bCs/>
          <w:snapToGrid w:val="0"/>
          <w:sz w:val="24"/>
        </w:rPr>
        <w:t>1、</w:t>
      </w:r>
      <w:r>
        <w:rPr>
          <w:rFonts w:hint="eastAsia" w:hAnsi="宋体" w:eastAsia="宋体" w:cs="Times New Roman"/>
          <w:bCs/>
          <w:snapToGrid w:val="0"/>
          <w:color w:val="FF0000"/>
          <w:sz w:val="24"/>
        </w:rPr>
        <w:t>评分标准中要求提供的证明材料均以原件彩色扫描件加盖所要求的公章在投标文件中反映，相关证明材料须按要求完整提供且不得涂改，本项目所须提供的证明材料均应原件彩色扫描（如原件是彩色件，则扫描件须是彩色）。否则不能得分。</w:t>
      </w:r>
    </w:p>
    <w:p w14:paraId="195B0FFF">
      <w:pPr>
        <w:snapToGrid w:val="0"/>
        <w:spacing w:line="520" w:lineRule="exact"/>
        <w:ind w:firstLine="480" w:firstLineChars="200"/>
        <w:rPr>
          <w:rFonts w:hAnsi="宋体" w:eastAsia="宋体" w:cs="Times New Roman"/>
          <w:bCs/>
          <w:snapToGrid w:val="0"/>
          <w:sz w:val="24"/>
        </w:rPr>
      </w:pPr>
      <w:r>
        <w:rPr>
          <w:rFonts w:hint="eastAsia" w:hAnsi="宋体" w:eastAsia="宋体" w:cs="Times New Roman"/>
          <w:bCs/>
          <w:snapToGrid w:val="0"/>
          <w:sz w:val="24"/>
        </w:rPr>
        <w:t>2、采购人有权在规定的时间内（中标公示或质疑期间及其他采购人明确要求的时间内）对中标人或其他投标人提供的与项目需求、评分办法相关的材料等评分依据（原件）的真实性进行复查。如未在采购人规定的时间内提交，采购人有权根据政府采购法律法规处理。如发现有通过提供虚假证明文件获得分值，将取消中标资格，并提请监督机构按照政府采购相关法规处理。</w:t>
      </w:r>
    </w:p>
    <w:p w14:paraId="43EBBFCD">
      <w:pPr>
        <w:snapToGrid w:val="0"/>
        <w:spacing w:line="520" w:lineRule="exact"/>
        <w:ind w:firstLine="480" w:firstLineChars="200"/>
      </w:pPr>
      <w:r>
        <w:rPr>
          <w:rFonts w:hint="eastAsia" w:hAnsi="宋体" w:eastAsia="宋体" w:cs="Times New Roman"/>
          <w:bCs/>
          <w:snapToGrid w:val="0"/>
          <w:sz w:val="24"/>
        </w:rPr>
        <w:t>3、评分中涉及的证书、检测报告等应在有效期内；</w:t>
      </w:r>
    </w:p>
    <w:p w14:paraId="256ECFA1">
      <w:pPr>
        <w:pStyle w:val="14"/>
        <w:keepNext/>
        <w:spacing w:beforeAutospacing="0" w:afterAutospacing="0"/>
        <w:jc w:val="both"/>
        <w:rPr>
          <w:rFonts w:ascii="黑体" w:hAnsi="宋体" w:eastAsia="黑体" w:cs="黑体"/>
          <w:color w:val="000000"/>
          <w:sz w:val="44"/>
          <w:szCs w:val="44"/>
        </w:rPr>
      </w:pPr>
    </w:p>
    <w:p w14:paraId="45CDEB9A">
      <w:pPr>
        <w:pStyle w:val="14"/>
        <w:spacing w:beforeAutospacing="0" w:afterAutospacing="0" w:line="480" w:lineRule="auto"/>
        <w:jc w:val="center"/>
        <w:rPr>
          <w:rFonts w:hint="eastAsia" w:ascii="宋体" w:hAnsi="宋体" w:eastAsia="宋体" w:cs="宋体"/>
          <w:b/>
          <w:color w:val="000000"/>
          <w:sz w:val="72"/>
          <w:szCs w:val="72"/>
        </w:rPr>
      </w:pPr>
      <w:bookmarkStart w:id="187" w:name="_Hlt26955039"/>
      <w:bookmarkStart w:id="188" w:name="_Toc26554094"/>
      <w:bookmarkStart w:id="189" w:name="_Hlt26671244"/>
    </w:p>
    <w:p w14:paraId="0C97A516">
      <w:pPr>
        <w:pStyle w:val="14"/>
        <w:spacing w:beforeAutospacing="0" w:afterAutospacing="0" w:line="480" w:lineRule="auto"/>
        <w:jc w:val="center"/>
        <w:rPr>
          <w:rFonts w:hint="eastAsia" w:ascii="宋体" w:hAnsi="宋体" w:eastAsia="宋体" w:cs="宋体"/>
          <w:b/>
          <w:color w:val="000000"/>
          <w:sz w:val="72"/>
          <w:szCs w:val="72"/>
        </w:rPr>
      </w:pPr>
    </w:p>
    <w:p w14:paraId="7B92511F">
      <w:pPr>
        <w:pStyle w:val="14"/>
        <w:keepNext/>
        <w:spacing w:beforeAutospacing="0" w:afterAutospacing="0" w:line="480" w:lineRule="auto"/>
        <w:ind w:firstLine="1760" w:firstLineChars="400"/>
        <w:jc w:val="both"/>
      </w:pPr>
      <w:r>
        <w:rPr>
          <w:rFonts w:hint="eastAsia" w:ascii="黑体" w:hAnsi="宋体" w:eastAsia="黑体" w:cs="黑体"/>
          <w:color w:val="000000"/>
          <w:sz w:val="44"/>
          <w:szCs w:val="44"/>
        </w:rPr>
        <w:t xml:space="preserve">第六章  投标文件格式 </w:t>
      </w:r>
    </w:p>
    <w:p w14:paraId="42B907C5">
      <w:pPr>
        <w:pStyle w:val="14"/>
        <w:spacing w:beforeAutospacing="0" w:afterAutospacing="0" w:line="480" w:lineRule="auto"/>
        <w:jc w:val="center"/>
        <w:rPr>
          <w:rFonts w:hint="eastAsia" w:ascii="宋体" w:hAnsi="宋体" w:eastAsia="宋体" w:cs="宋体"/>
          <w:b/>
          <w:color w:val="000000"/>
          <w:sz w:val="72"/>
          <w:szCs w:val="72"/>
        </w:rPr>
      </w:pPr>
    </w:p>
    <w:p w14:paraId="4FC9CB36">
      <w:pPr>
        <w:pStyle w:val="14"/>
        <w:spacing w:beforeAutospacing="0" w:afterAutospacing="0" w:line="480" w:lineRule="auto"/>
        <w:jc w:val="center"/>
      </w:pPr>
      <w:r>
        <w:rPr>
          <w:rFonts w:hint="eastAsia" w:ascii="宋体" w:hAnsi="宋体" w:eastAsia="宋体" w:cs="宋体"/>
          <w:b/>
          <w:color w:val="000000"/>
          <w:sz w:val="72"/>
          <w:szCs w:val="72"/>
        </w:rPr>
        <w:t>投  标  文  件</w:t>
      </w:r>
    </w:p>
    <w:p w14:paraId="626AE4D6">
      <w:pPr>
        <w:pStyle w:val="14"/>
        <w:spacing w:beforeAutospacing="0" w:afterAutospacing="0"/>
        <w:jc w:val="center"/>
      </w:pPr>
      <w:r>
        <w:t> </w:t>
      </w:r>
    </w:p>
    <w:p w14:paraId="260956EF">
      <w:pPr>
        <w:pStyle w:val="14"/>
        <w:spacing w:beforeAutospacing="0" w:afterAutospacing="0"/>
        <w:jc w:val="center"/>
      </w:pPr>
      <w:r>
        <w:t> </w:t>
      </w:r>
    </w:p>
    <w:p w14:paraId="4B2AA636">
      <w:pPr>
        <w:pStyle w:val="14"/>
        <w:spacing w:beforeAutospacing="0" w:afterAutospacing="0"/>
        <w:jc w:val="center"/>
      </w:pPr>
      <w:r>
        <w:t> </w:t>
      </w:r>
    </w:p>
    <w:p w14:paraId="0361DBA2">
      <w:pPr>
        <w:pStyle w:val="14"/>
        <w:spacing w:beforeAutospacing="0" w:afterAutospacing="0"/>
        <w:jc w:val="center"/>
      </w:pPr>
      <w:r>
        <w:t> </w:t>
      </w:r>
    </w:p>
    <w:p w14:paraId="0CF3FD23">
      <w:pPr>
        <w:pStyle w:val="14"/>
        <w:spacing w:beforeAutospacing="0" w:afterAutospacing="0"/>
        <w:jc w:val="center"/>
      </w:pPr>
      <w:r>
        <w:t> </w:t>
      </w:r>
    </w:p>
    <w:p w14:paraId="2AC82D84">
      <w:pPr>
        <w:pStyle w:val="14"/>
        <w:spacing w:beforeAutospacing="0" w:afterAutospacing="0"/>
        <w:ind w:firstLine="1084"/>
        <w:jc w:val="both"/>
      </w:pPr>
      <w:r>
        <w:rPr>
          <w:rFonts w:hint="eastAsia" w:ascii="宋体" w:hAnsi="宋体" w:eastAsia="宋体" w:cs="宋体"/>
          <w:b/>
          <w:color w:val="000000"/>
          <w:sz w:val="36"/>
          <w:szCs w:val="36"/>
        </w:rPr>
        <w:t>项 目 名 称：</w:t>
      </w:r>
      <w:r>
        <w:rPr>
          <w:rFonts w:hint="eastAsia" w:ascii="宋体" w:hAnsi="宋体" w:eastAsia="宋体" w:cs="宋体"/>
          <w:b/>
          <w:color w:val="000000"/>
          <w:sz w:val="36"/>
          <w:szCs w:val="36"/>
          <w:u w:val="single"/>
        </w:rPr>
        <w:t>             </w:t>
      </w:r>
    </w:p>
    <w:p w14:paraId="5291B0AF">
      <w:pPr>
        <w:pStyle w:val="14"/>
        <w:spacing w:beforeAutospacing="0" w:afterAutospacing="0"/>
        <w:ind w:firstLine="1084"/>
        <w:jc w:val="both"/>
      </w:pPr>
      <w:r>
        <w:rPr>
          <w:rFonts w:hint="eastAsia" w:ascii="宋体" w:hAnsi="宋体" w:eastAsia="宋体" w:cs="宋体"/>
          <w:b/>
          <w:color w:val="000000"/>
          <w:sz w:val="36"/>
          <w:szCs w:val="36"/>
        </w:rPr>
        <w:t>项 目 编 号：</w:t>
      </w:r>
      <w:r>
        <w:rPr>
          <w:rFonts w:hint="eastAsia" w:ascii="宋体" w:hAnsi="宋体" w:eastAsia="宋体" w:cs="宋体"/>
          <w:b/>
          <w:color w:val="000000"/>
          <w:sz w:val="36"/>
          <w:szCs w:val="36"/>
          <w:u w:val="single"/>
        </w:rPr>
        <w:t>             </w:t>
      </w:r>
    </w:p>
    <w:p w14:paraId="3B413921">
      <w:pPr>
        <w:pStyle w:val="14"/>
        <w:spacing w:beforeAutospacing="0" w:afterAutospacing="0"/>
        <w:jc w:val="both"/>
        <w:rPr>
          <w:rFonts w:hint="default" w:ascii="宋体" w:hAnsi="宋体" w:eastAsia="宋体" w:cs="宋体"/>
          <w:b/>
          <w:color w:val="000000"/>
          <w:sz w:val="36"/>
          <w:szCs w:val="36"/>
          <w:u w:val="single"/>
          <w:lang w:val="en-US" w:eastAsia="zh-CN"/>
        </w:rPr>
      </w:pPr>
      <w:r>
        <w:rPr>
          <w:rFonts w:hint="eastAsia" w:ascii="宋体" w:hAnsi="宋体" w:eastAsia="宋体" w:cs="宋体"/>
          <w:b/>
          <w:color w:val="000000"/>
          <w:sz w:val="36"/>
          <w:szCs w:val="36"/>
        </w:rPr>
        <w:t>   </w:t>
      </w:r>
      <w:r>
        <w:rPr>
          <w:rFonts w:hint="eastAsia" w:ascii="宋体" w:hAnsi="宋体" w:eastAsia="宋体" w:cs="宋体"/>
          <w:b/>
          <w:color w:val="000000"/>
          <w:sz w:val="36"/>
          <w:szCs w:val="36"/>
          <w:lang w:val="en-US" w:eastAsia="zh-CN"/>
        </w:rPr>
        <w:t>标段号：</w:t>
      </w:r>
      <w:r>
        <w:rPr>
          <w:rFonts w:hint="eastAsia" w:ascii="宋体" w:hAnsi="宋体" w:eastAsia="宋体" w:cs="宋体"/>
          <w:b/>
          <w:color w:val="000000"/>
          <w:sz w:val="36"/>
          <w:szCs w:val="36"/>
          <w:u w:val="single"/>
          <w:lang w:val="en-US" w:eastAsia="zh-CN"/>
        </w:rPr>
        <w:t xml:space="preserve">          </w:t>
      </w:r>
    </w:p>
    <w:p w14:paraId="32FE1676">
      <w:pPr>
        <w:pStyle w:val="14"/>
        <w:spacing w:beforeAutospacing="0" w:afterAutospacing="0"/>
        <w:ind w:firstLine="1084" w:firstLineChars="300"/>
        <w:jc w:val="both"/>
      </w:pPr>
      <w:r>
        <w:rPr>
          <w:rFonts w:hint="eastAsia" w:ascii="宋体" w:hAnsi="宋体" w:eastAsia="宋体" w:cs="宋体"/>
          <w:b/>
          <w:color w:val="000000"/>
          <w:sz w:val="36"/>
          <w:szCs w:val="36"/>
        </w:rPr>
        <w:t>投标人名称 ：</w:t>
      </w:r>
      <w:r>
        <w:rPr>
          <w:rFonts w:hint="eastAsia" w:ascii="宋体" w:hAnsi="宋体" w:eastAsia="宋体" w:cs="宋体"/>
          <w:b/>
          <w:color w:val="000000"/>
          <w:sz w:val="36"/>
          <w:szCs w:val="36"/>
          <w:u w:val="single"/>
        </w:rPr>
        <w:t>（加盖CA电子公章）</w:t>
      </w:r>
    </w:p>
    <w:p w14:paraId="74C611F3">
      <w:pPr>
        <w:pStyle w:val="14"/>
        <w:spacing w:beforeAutospacing="0" w:afterAutospacing="0"/>
        <w:jc w:val="both"/>
      </w:pPr>
      <w:r>
        <w:rPr>
          <w:rFonts w:hint="eastAsia" w:ascii="宋体" w:hAnsi="宋体" w:eastAsia="宋体" w:cs="宋体"/>
          <w:b/>
          <w:color w:val="000000"/>
          <w:sz w:val="36"/>
          <w:szCs w:val="36"/>
        </w:rPr>
        <w:t>   日   期 ：</w:t>
      </w:r>
      <w:r>
        <w:rPr>
          <w:rFonts w:hint="eastAsia" w:ascii="宋体" w:hAnsi="宋体" w:eastAsia="宋体" w:cs="宋体"/>
          <w:b/>
          <w:color w:val="000000"/>
          <w:sz w:val="36"/>
          <w:szCs w:val="36"/>
          <w:u w:val="single"/>
        </w:rPr>
        <w:t>             </w:t>
      </w:r>
    </w:p>
    <w:p w14:paraId="7EBC9EF3">
      <w:pPr>
        <w:pStyle w:val="14"/>
        <w:spacing w:beforeAutospacing="0" w:afterAutospacing="0" w:line="0" w:lineRule="atLeast"/>
        <w:jc w:val="both"/>
      </w:pPr>
    </w:p>
    <w:p w14:paraId="58A2B62D">
      <w:pPr>
        <w:pStyle w:val="14"/>
        <w:spacing w:beforeAutospacing="0" w:afterAutospacing="0" w:line="0" w:lineRule="atLeast"/>
        <w:jc w:val="center"/>
      </w:pPr>
    </w:p>
    <w:p w14:paraId="2DB19F0F">
      <w:pPr>
        <w:pStyle w:val="14"/>
        <w:spacing w:beforeAutospacing="0" w:afterAutospacing="0" w:line="0" w:lineRule="atLeast"/>
        <w:jc w:val="center"/>
        <w:rPr>
          <w:rFonts w:hint="eastAsia" w:ascii="宋体" w:hAnsi="宋体" w:eastAsia="宋体" w:cs="宋体"/>
          <w:b/>
          <w:color w:val="000000"/>
          <w:sz w:val="32"/>
          <w:szCs w:val="32"/>
        </w:rPr>
      </w:pPr>
    </w:p>
    <w:p w14:paraId="77C00881">
      <w:pPr>
        <w:pStyle w:val="14"/>
        <w:spacing w:beforeAutospacing="0" w:afterAutospacing="0" w:line="0" w:lineRule="atLeast"/>
        <w:jc w:val="center"/>
      </w:pPr>
      <w:r>
        <w:rPr>
          <w:rFonts w:hint="eastAsia" w:ascii="宋体" w:hAnsi="宋体" w:eastAsia="宋体" w:cs="宋体"/>
          <w:b/>
          <w:color w:val="000000"/>
          <w:sz w:val="32"/>
          <w:szCs w:val="32"/>
        </w:rPr>
        <w:t>投标文件目录</w:t>
      </w:r>
    </w:p>
    <w:p w14:paraId="6F4A1310">
      <w:pPr>
        <w:pStyle w:val="14"/>
        <w:spacing w:beforeAutospacing="0" w:afterAutospacing="0" w:line="0" w:lineRule="atLeast"/>
        <w:jc w:val="center"/>
      </w:pPr>
      <w:r>
        <w:t> </w:t>
      </w:r>
    </w:p>
    <w:p w14:paraId="4781F247">
      <w:pPr>
        <w:pStyle w:val="14"/>
        <w:spacing w:beforeAutospacing="0" w:afterAutospacing="0"/>
        <w:ind w:left="480"/>
        <w:jc w:val="both"/>
      </w:pPr>
      <w:r>
        <w:rPr>
          <w:rFonts w:hint="eastAsia" w:ascii="宋体" w:hAnsi="宋体" w:eastAsia="宋体" w:cs="宋体"/>
          <w:i/>
          <w:color w:val="000000"/>
          <w:u w:val="single"/>
        </w:rPr>
        <w:t>一、法人或者其他组织的营业执照等证明文件，自然人的身份证明</w:t>
      </w:r>
    </w:p>
    <w:p w14:paraId="7231CDBC">
      <w:pPr>
        <w:tabs>
          <w:tab w:val="left" w:pos="1331"/>
        </w:tabs>
        <w:ind w:firstLine="480" w:firstLineChars="200"/>
        <w:jc w:val="left"/>
        <w:rPr>
          <w:rFonts w:ascii="宋体" w:hAnsi="宋体" w:eastAsia="宋体" w:cs="宋体"/>
          <w:i/>
          <w:color w:val="000000"/>
          <w:kern w:val="0"/>
          <w:sz w:val="24"/>
          <w:u w:val="single"/>
        </w:rPr>
      </w:pPr>
      <w:r>
        <w:rPr>
          <w:rFonts w:hint="eastAsia" w:ascii="宋体" w:hAnsi="宋体" w:eastAsia="宋体" w:cs="宋体"/>
          <w:i/>
          <w:color w:val="000000"/>
          <w:kern w:val="0"/>
          <w:sz w:val="24"/>
          <w:u w:val="single"/>
        </w:rPr>
        <w:t>二、上一年度的财务状况报表（至少提供资产负债表、利润表、现金流量表，</w:t>
      </w:r>
    </w:p>
    <w:p w14:paraId="619356A5">
      <w:pPr>
        <w:pStyle w:val="14"/>
        <w:spacing w:beforeAutospacing="0" w:afterAutospacing="0"/>
        <w:ind w:left="480"/>
        <w:jc w:val="both"/>
        <w:rPr>
          <w:rFonts w:ascii="宋体" w:hAnsi="宋体" w:eastAsia="宋体" w:cs="宋体"/>
          <w:i/>
          <w:color w:val="000000"/>
          <w:u w:val="single"/>
        </w:rPr>
      </w:pPr>
      <w:r>
        <w:rPr>
          <w:rFonts w:hint="eastAsia" w:ascii="宋体" w:hAnsi="宋体" w:eastAsia="宋体" w:cs="宋体"/>
          <w:i/>
          <w:color w:val="000000"/>
          <w:u w:val="single"/>
        </w:rPr>
        <w:t>投标人成立不满一年无需提供）</w:t>
      </w:r>
    </w:p>
    <w:p w14:paraId="53C3F61D">
      <w:pPr>
        <w:pStyle w:val="14"/>
        <w:spacing w:beforeAutospacing="0" w:afterAutospacing="0"/>
        <w:ind w:left="480"/>
        <w:jc w:val="both"/>
        <w:rPr>
          <w:rFonts w:ascii="宋体" w:hAnsi="宋体" w:eastAsia="宋体" w:cs="宋体"/>
          <w:i/>
          <w:color w:val="000000"/>
          <w:u w:val="single"/>
        </w:rPr>
      </w:pPr>
      <w:r>
        <w:rPr>
          <w:rFonts w:hint="eastAsia" w:ascii="宋体" w:hAnsi="宋体" w:eastAsia="宋体" w:cs="宋体"/>
          <w:i/>
          <w:color w:val="000000"/>
          <w:u w:val="single"/>
        </w:rPr>
        <w:t>三、具备履行合同所必需的设备和专业技术能力的书面声明</w:t>
      </w:r>
    </w:p>
    <w:p w14:paraId="1CA812BC">
      <w:pPr>
        <w:pStyle w:val="14"/>
        <w:spacing w:beforeAutospacing="0" w:afterAutospacing="0"/>
        <w:ind w:left="480"/>
        <w:jc w:val="both"/>
        <w:rPr>
          <w:rFonts w:ascii="宋体" w:hAnsi="宋体" w:eastAsia="宋体" w:cs="宋体"/>
          <w:i/>
          <w:color w:val="000000"/>
          <w:u w:val="single"/>
        </w:rPr>
      </w:pPr>
      <w:r>
        <w:rPr>
          <w:rFonts w:hint="eastAsia" w:ascii="宋体" w:hAnsi="宋体" w:eastAsia="宋体" w:cs="宋体"/>
          <w:i/>
          <w:color w:val="000000"/>
          <w:u w:val="single"/>
        </w:rPr>
        <w:t>四、依法缴纳税收和社会保障资金的相关材料（提供提交投标文件截止时间前一年内至少一个月依法缴纳税收及缴纳社会保障资金的证明材料。投标人依法享受缓缴、免缴税收、社会保障资金的提供证明材料。）</w:t>
      </w:r>
    </w:p>
    <w:p w14:paraId="3DD327D5">
      <w:pPr>
        <w:pStyle w:val="14"/>
        <w:spacing w:beforeAutospacing="0" w:afterAutospacing="0" w:line="0" w:lineRule="atLeast"/>
        <w:ind w:firstLine="480"/>
        <w:jc w:val="both"/>
      </w:pPr>
      <w:r>
        <w:rPr>
          <w:rFonts w:hint="eastAsia" w:ascii="宋体" w:hAnsi="宋体" w:eastAsia="宋体" w:cs="宋体"/>
          <w:i/>
          <w:color w:val="000000"/>
          <w:u w:val="single"/>
        </w:rPr>
        <w:t>五、参加政府采购活动前 3 年内在经营活动中没有重大违法记录的书面声明</w:t>
      </w:r>
    </w:p>
    <w:p w14:paraId="2BA88505">
      <w:pPr>
        <w:pStyle w:val="14"/>
        <w:spacing w:beforeAutospacing="0" w:afterAutospacing="0" w:line="0" w:lineRule="atLeast"/>
        <w:ind w:firstLine="480"/>
        <w:jc w:val="both"/>
      </w:pPr>
      <w:r>
        <w:rPr>
          <w:rFonts w:hint="eastAsia" w:ascii="宋体" w:hAnsi="宋体" w:eastAsia="宋体" w:cs="宋体"/>
          <w:i/>
          <w:color w:val="000000"/>
          <w:u w:val="single"/>
        </w:rPr>
        <w:t>六、特定资格要求的证明文件（如果本项目设置特定资格要求，则需要提供）</w:t>
      </w:r>
    </w:p>
    <w:p w14:paraId="334385C7">
      <w:pPr>
        <w:pStyle w:val="14"/>
        <w:spacing w:beforeAutospacing="0" w:afterAutospacing="0" w:line="0" w:lineRule="atLeast"/>
        <w:ind w:firstLine="480"/>
        <w:jc w:val="both"/>
      </w:pPr>
      <w:r>
        <w:rPr>
          <w:rFonts w:hint="eastAsia" w:ascii="宋体" w:hAnsi="宋体" w:eastAsia="宋体" w:cs="宋体"/>
          <w:i/>
          <w:color w:val="000000"/>
          <w:u w:val="single"/>
        </w:rPr>
        <w:t>七、法人授权书</w:t>
      </w:r>
    </w:p>
    <w:p w14:paraId="25CBB565">
      <w:pPr>
        <w:pStyle w:val="14"/>
        <w:spacing w:beforeAutospacing="0" w:afterAutospacing="0" w:line="0" w:lineRule="atLeast"/>
        <w:ind w:firstLine="480"/>
        <w:jc w:val="both"/>
      </w:pPr>
      <w:r>
        <w:rPr>
          <w:rFonts w:hint="eastAsia" w:ascii="宋体" w:hAnsi="宋体" w:eastAsia="宋体" w:cs="宋体"/>
          <w:i/>
          <w:color w:val="000000"/>
          <w:u w:val="single"/>
        </w:rPr>
        <w:t>八、投标函</w:t>
      </w:r>
    </w:p>
    <w:p w14:paraId="312F7FDC">
      <w:pPr>
        <w:pStyle w:val="14"/>
        <w:spacing w:beforeAutospacing="0" w:afterAutospacing="0" w:line="0" w:lineRule="atLeast"/>
        <w:ind w:firstLine="480"/>
        <w:jc w:val="both"/>
        <w:rPr>
          <w:rFonts w:ascii="宋体" w:hAnsi="宋体" w:eastAsia="宋体" w:cs="宋体"/>
          <w:i/>
          <w:color w:val="000000"/>
          <w:u w:val="single"/>
        </w:rPr>
      </w:pPr>
      <w:r>
        <w:rPr>
          <w:rFonts w:hint="eastAsia" w:ascii="宋体" w:hAnsi="宋体" w:eastAsia="宋体" w:cs="宋体"/>
          <w:i/>
          <w:color w:val="000000"/>
          <w:u w:val="single"/>
        </w:rPr>
        <w:t>九、中小企业声明函</w:t>
      </w:r>
    </w:p>
    <w:p w14:paraId="283BD19D">
      <w:pPr>
        <w:pStyle w:val="14"/>
        <w:spacing w:beforeAutospacing="0" w:afterAutospacing="0" w:line="0" w:lineRule="atLeast"/>
        <w:ind w:firstLine="480"/>
        <w:jc w:val="both"/>
        <w:rPr>
          <w:rFonts w:hint="eastAsia" w:ascii="宋体" w:hAnsi="宋体" w:eastAsia="宋体" w:cs="宋体"/>
          <w:i/>
          <w:color w:val="000000"/>
          <w:u w:val="single"/>
        </w:rPr>
      </w:pPr>
      <w:r>
        <w:rPr>
          <w:rFonts w:hint="eastAsia" w:ascii="宋体" w:hAnsi="宋体" w:eastAsia="宋体" w:cs="宋体"/>
          <w:i/>
          <w:color w:val="000000"/>
          <w:u w:val="single"/>
        </w:rPr>
        <w:t>十、残疾人福利性单位声明函</w:t>
      </w:r>
    </w:p>
    <w:p w14:paraId="0EE8D560">
      <w:pPr>
        <w:pStyle w:val="14"/>
        <w:spacing w:beforeAutospacing="0" w:afterAutospacing="0" w:line="0" w:lineRule="atLeast"/>
        <w:ind w:firstLine="480"/>
        <w:jc w:val="both"/>
        <w:rPr>
          <w:rFonts w:ascii="宋体" w:hAnsi="宋体" w:eastAsia="宋体" w:cs="宋体"/>
          <w:color w:val="000000"/>
          <w:highlight w:val="cyan"/>
        </w:rPr>
      </w:pPr>
      <w:r>
        <w:rPr>
          <w:rFonts w:hint="eastAsia" w:ascii="宋体" w:hAnsi="宋体" w:eastAsia="宋体" w:cs="宋体"/>
          <w:i/>
          <w:color w:val="000000"/>
          <w:u w:val="single"/>
        </w:rPr>
        <w:t>十一、技术参数响应对照表</w:t>
      </w:r>
    </w:p>
    <w:p w14:paraId="52361CC4">
      <w:pPr>
        <w:pStyle w:val="14"/>
        <w:spacing w:beforeAutospacing="0" w:afterAutospacing="0" w:line="0" w:lineRule="atLeast"/>
        <w:ind w:firstLine="480"/>
        <w:jc w:val="both"/>
        <w:rPr>
          <w:rFonts w:ascii="宋体" w:hAnsi="宋体" w:eastAsia="宋体" w:cs="宋体"/>
          <w:i/>
          <w:color w:val="000000"/>
          <w:u w:val="single"/>
        </w:rPr>
      </w:pPr>
      <w:r>
        <w:rPr>
          <w:rFonts w:hint="eastAsia" w:ascii="宋体" w:hAnsi="宋体" w:eastAsia="宋体" w:cs="宋体"/>
          <w:i/>
          <w:color w:val="000000"/>
          <w:u w:val="single"/>
        </w:rPr>
        <w:t>十二、资格性审查响应对照表</w:t>
      </w:r>
    </w:p>
    <w:p w14:paraId="7784533F">
      <w:pPr>
        <w:pStyle w:val="14"/>
        <w:spacing w:beforeAutospacing="0" w:afterAutospacing="0" w:line="0" w:lineRule="atLeast"/>
        <w:ind w:firstLine="480"/>
        <w:jc w:val="both"/>
        <w:rPr>
          <w:rFonts w:ascii="宋体" w:hAnsi="宋体" w:eastAsia="宋体" w:cs="宋体"/>
          <w:i/>
          <w:color w:val="000000"/>
          <w:u w:val="single"/>
        </w:rPr>
      </w:pPr>
      <w:r>
        <w:rPr>
          <w:rFonts w:hint="eastAsia" w:ascii="宋体" w:hAnsi="宋体" w:eastAsia="宋体" w:cs="宋体"/>
          <w:i/>
          <w:color w:val="000000"/>
          <w:u w:val="single"/>
        </w:rPr>
        <w:t>十三、符合性检查响应对照表</w:t>
      </w:r>
    </w:p>
    <w:p w14:paraId="669C639B">
      <w:pPr>
        <w:pStyle w:val="14"/>
        <w:spacing w:beforeAutospacing="0" w:afterAutospacing="0" w:line="0" w:lineRule="atLeast"/>
        <w:ind w:firstLine="480"/>
        <w:jc w:val="both"/>
        <w:rPr>
          <w:rFonts w:ascii="宋体" w:hAnsi="宋体" w:eastAsia="宋体" w:cs="宋体"/>
          <w:i/>
          <w:color w:val="000000"/>
          <w:u w:val="single"/>
        </w:rPr>
      </w:pPr>
      <w:r>
        <w:rPr>
          <w:rFonts w:hint="eastAsia" w:ascii="宋体" w:hAnsi="宋体" w:eastAsia="宋体" w:cs="宋体"/>
          <w:i/>
          <w:color w:val="000000"/>
          <w:u w:val="single"/>
        </w:rPr>
        <w:t>十四、开标一览表</w:t>
      </w:r>
    </w:p>
    <w:p w14:paraId="47677037">
      <w:pPr>
        <w:pStyle w:val="14"/>
        <w:spacing w:beforeAutospacing="0" w:afterAutospacing="0" w:line="0" w:lineRule="atLeast"/>
        <w:ind w:firstLine="480"/>
        <w:jc w:val="both"/>
        <w:rPr>
          <w:rFonts w:hint="eastAsia" w:ascii="宋体" w:hAnsi="宋体" w:eastAsia="宋体" w:cs="宋体"/>
          <w:i/>
          <w:color w:val="000000"/>
          <w:u w:val="single"/>
        </w:rPr>
      </w:pPr>
      <w:r>
        <w:rPr>
          <w:rFonts w:hint="eastAsia" w:ascii="宋体" w:hAnsi="宋体" w:eastAsia="宋体" w:cs="宋体"/>
          <w:i/>
          <w:color w:val="000000"/>
          <w:u w:val="single"/>
        </w:rPr>
        <w:t>十五、投标分项报价表</w:t>
      </w:r>
    </w:p>
    <w:p w14:paraId="3F0D01C7">
      <w:pPr>
        <w:widowControl/>
        <w:spacing w:before="50" w:after="50"/>
        <w:ind w:firstLine="480" w:firstLineChars="200"/>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十</w:t>
      </w:r>
      <w:r>
        <w:rPr>
          <w:rFonts w:hint="eastAsia" w:ascii="宋体" w:hAnsi="宋体" w:eastAsia="宋体" w:cs="宋体"/>
          <w:color w:val="000000"/>
          <w:kern w:val="0"/>
          <w:sz w:val="24"/>
          <w:highlight w:val="none"/>
          <w:lang w:val="en-US" w:eastAsia="zh-CN"/>
        </w:rPr>
        <w:t>六</w:t>
      </w:r>
      <w:r>
        <w:rPr>
          <w:rFonts w:hint="eastAsia" w:ascii="宋体" w:hAnsi="宋体" w:eastAsia="宋体" w:cs="宋体"/>
          <w:color w:val="000000"/>
          <w:kern w:val="0"/>
          <w:sz w:val="24"/>
          <w:highlight w:val="none"/>
        </w:rPr>
        <w:t>、</w:t>
      </w:r>
      <w:r>
        <w:rPr>
          <w:rFonts w:hint="eastAsia" w:ascii="宋体" w:hAnsi="宋体" w:eastAsia="宋体" w:cs="宋体"/>
          <w:color w:val="000000"/>
          <w:kern w:val="0"/>
          <w:sz w:val="24"/>
          <w:highlight w:val="none"/>
          <w:lang w:val="en-US" w:eastAsia="zh-CN"/>
        </w:rPr>
        <w:t>实施</w:t>
      </w:r>
      <w:r>
        <w:rPr>
          <w:rFonts w:hint="eastAsia" w:ascii="宋体" w:hAnsi="宋体" w:eastAsia="宋体" w:cs="宋体"/>
          <w:color w:val="000000"/>
          <w:kern w:val="0"/>
          <w:sz w:val="24"/>
          <w:highlight w:val="none"/>
        </w:rPr>
        <w:t>方案等</w:t>
      </w:r>
    </w:p>
    <w:p w14:paraId="0D7B5BCD">
      <w:pPr>
        <w:pStyle w:val="14"/>
        <w:spacing w:beforeAutospacing="0" w:afterAutospacing="0" w:line="0" w:lineRule="atLeast"/>
        <w:ind w:firstLine="480"/>
        <w:jc w:val="both"/>
        <w:rPr>
          <w:rFonts w:ascii="宋体" w:hAnsi="宋体" w:eastAsia="宋体" w:cs="宋体"/>
          <w:i/>
          <w:color w:val="000000"/>
          <w:u w:val="single"/>
        </w:rPr>
      </w:pPr>
      <w:r>
        <w:rPr>
          <w:rFonts w:hint="eastAsia" w:ascii="宋体" w:hAnsi="宋体" w:eastAsia="宋体" w:cs="宋体"/>
          <w:i/>
          <w:color w:val="000000"/>
          <w:u w:val="single"/>
        </w:rPr>
        <w:t>十</w:t>
      </w:r>
      <w:r>
        <w:rPr>
          <w:rFonts w:hint="eastAsia" w:ascii="宋体" w:hAnsi="宋体" w:eastAsia="宋体" w:cs="宋体"/>
          <w:i/>
          <w:color w:val="000000"/>
          <w:u w:val="single"/>
          <w:lang w:val="en-US" w:eastAsia="zh-CN"/>
        </w:rPr>
        <w:t>七</w:t>
      </w:r>
      <w:r>
        <w:rPr>
          <w:rFonts w:hint="eastAsia" w:ascii="宋体" w:hAnsi="宋体" w:eastAsia="宋体" w:cs="宋体"/>
          <w:i/>
          <w:color w:val="000000"/>
          <w:u w:val="single"/>
        </w:rPr>
        <w:t>、盐城市政府采购事前信用承诺书</w:t>
      </w:r>
    </w:p>
    <w:p w14:paraId="132D45C3">
      <w:pPr>
        <w:pStyle w:val="14"/>
        <w:spacing w:beforeAutospacing="0" w:afterAutospacing="0" w:line="0" w:lineRule="atLeast"/>
        <w:ind w:firstLine="480"/>
        <w:jc w:val="both"/>
      </w:pPr>
      <w:r>
        <w:t> </w:t>
      </w:r>
    </w:p>
    <w:p w14:paraId="0AD22BB2">
      <w:pPr>
        <w:pStyle w:val="14"/>
        <w:spacing w:beforeAutospacing="0" w:afterAutospacing="0" w:line="0" w:lineRule="atLeast"/>
        <w:ind w:firstLine="480"/>
        <w:jc w:val="both"/>
      </w:pPr>
    </w:p>
    <w:p w14:paraId="0C589243">
      <w:pPr>
        <w:pStyle w:val="14"/>
        <w:spacing w:beforeAutospacing="0" w:afterAutospacing="0" w:line="0" w:lineRule="atLeast"/>
        <w:ind w:firstLine="480"/>
        <w:jc w:val="both"/>
      </w:pPr>
    </w:p>
    <w:p w14:paraId="36E89DFC">
      <w:pPr>
        <w:pStyle w:val="14"/>
        <w:spacing w:beforeAutospacing="0" w:afterAutospacing="0" w:line="0" w:lineRule="atLeast"/>
        <w:ind w:firstLine="480"/>
        <w:jc w:val="both"/>
      </w:pPr>
    </w:p>
    <w:p w14:paraId="29B51010">
      <w:pPr>
        <w:pStyle w:val="14"/>
        <w:spacing w:beforeAutospacing="0" w:afterAutospacing="0" w:line="0" w:lineRule="atLeast"/>
        <w:ind w:firstLine="480"/>
        <w:jc w:val="both"/>
      </w:pPr>
    </w:p>
    <w:p w14:paraId="401FE30D">
      <w:pPr>
        <w:pStyle w:val="14"/>
        <w:spacing w:beforeAutospacing="0" w:afterAutospacing="0" w:line="0" w:lineRule="atLeast"/>
        <w:ind w:firstLine="480"/>
        <w:jc w:val="both"/>
      </w:pPr>
    </w:p>
    <w:p w14:paraId="3F29E439">
      <w:pPr>
        <w:pStyle w:val="14"/>
        <w:spacing w:beforeAutospacing="0" w:afterAutospacing="0" w:line="0" w:lineRule="atLeast"/>
        <w:ind w:firstLine="480"/>
        <w:jc w:val="both"/>
      </w:pPr>
    </w:p>
    <w:p w14:paraId="393BD07C">
      <w:pPr>
        <w:pStyle w:val="14"/>
        <w:spacing w:beforeAutospacing="0" w:afterAutospacing="0" w:line="0" w:lineRule="atLeast"/>
        <w:ind w:firstLine="480"/>
        <w:jc w:val="both"/>
      </w:pPr>
    </w:p>
    <w:p w14:paraId="21B3BA75">
      <w:pPr>
        <w:pStyle w:val="14"/>
        <w:spacing w:beforeAutospacing="0" w:afterAutospacing="0" w:line="0" w:lineRule="atLeast"/>
        <w:ind w:firstLine="480"/>
        <w:jc w:val="both"/>
      </w:pPr>
    </w:p>
    <w:p w14:paraId="32B95902">
      <w:pPr>
        <w:pStyle w:val="14"/>
        <w:spacing w:beforeAutospacing="0" w:afterAutospacing="0" w:line="0" w:lineRule="atLeast"/>
        <w:ind w:firstLine="480"/>
        <w:jc w:val="both"/>
      </w:pPr>
    </w:p>
    <w:p w14:paraId="1B23F9E1">
      <w:pPr>
        <w:pStyle w:val="14"/>
        <w:spacing w:beforeAutospacing="0" w:afterAutospacing="0" w:line="0" w:lineRule="atLeast"/>
        <w:ind w:firstLine="480"/>
        <w:jc w:val="both"/>
      </w:pPr>
    </w:p>
    <w:p w14:paraId="549EDD4F">
      <w:pPr>
        <w:pStyle w:val="14"/>
        <w:spacing w:beforeAutospacing="0" w:afterAutospacing="0" w:line="0" w:lineRule="atLeast"/>
        <w:ind w:firstLine="480"/>
        <w:jc w:val="both"/>
      </w:pPr>
    </w:p>
    <w:p w14:paraId="28F418AF">
      <w:pPr>
        <w:pStyle w:val="14"/>
        <w:spacing w:beforeAutospacing="0" w:afterAutospacing="0" w:line="0" w:lineRule="atLeast"/>
        <w:ind w:firstLine="480"/>
        <w:jc w:val="both"/>
      </w:pPr>
    </w:p>
    <w:p w14:paraId="3FDAC085">
      <w:pPr>
        <w:pStyle w:val="14"/>
        <w:spacing w:beforeAutospacing="0" w:afterAutospacing="0" w:line="0" w:lineRule="atLeast"/>
        <w:ind w:firstLine="480"/>
        <w:jc w:val="both"/>
      </w:pPr>
    </w:p>
    <w:p w14:paraId="438BBAB4">
      <w:pPr>
        <w:pStyle w:val="14"/>
        <w:spacing w:beforeAutospacing="0" w:afterAutospacing="0" w:line="0" w:lineRule="atLeast"/>
        <w:ind w:firstLine="480"/>
        <w:jc w:val="both"/>
      </w:pPr>
    </w:p>
    <w:p w14:paraId="620D977B">
      <w:pPr>
        <w:pStyle w:val="14"/>
        <w:spacing w:beforeAutospacing="0" w:afterAutospacing="0" w:line="0" w:lineRule="atLeast"/>
        <w:ind w:firstLine="480"/>
        <w:jc w:val="both"/>
      </w:pPr>
    </w:p>
    <w:p w14:paraId="39F5CECD">
      <w:pPr>
        <w:pStyle w:val="14"/>
        <w:spacing w:beforeAutospacing="0" w:afterAutospacing="0" w:line="0" w:lineRule="atLeast"/>
        <w:ind w:firstLine="480"/>
        <w:jc w:val="both"/>
      </w:pPr>
    </w:p>
    <w:p w14:paraId="63EE277D">
      <w:pPr>
        <w:pStyle w:val="14"/>
        <w:spacing w:beforeAutospacing="0" w:afterAutospacing="0" w:line="0" w:lineRule="atLeast"/>
        <w:ind w:firstLine="480"/>
        <w:jc w:val="both"/>
      </w:pPr>
    </w:p>
    <w:p w14:paraId="5226B3A2">
      <w:pPr>
        <w:pStyle w:val="14"/>
        <w:spacing w:beforeAutospacing="0" w:afterAutospacing="0" w:line="0" w:lineRule="atLeast"/>
        <w:ind w:firstLine="480"/>
        <w:jc w:val="both"/>
      </w:pPr>
    </w:p>
    <w:p w14:paraId="4CE369F7">
      <w:pPr>
        <w:pStyle w:val="14"/>
        <w:spacing w:beforeAutospacing="0" w:afterAutospacing="0" w:line="0" w:lineRule="atLeast"/>
        <w:ind w:firstLine="480"/>
        <w:jc w:val="both"/>
      </w:pPr>
    </w:p>
    <w:p w14:paraId="7009DFB8">
      <w:pPr>
        <w:pStyle w:val="14"/>
        <w:spacing w:beforeAutospacing="0" w:afterAutospacing="0" w:line="0" w:lineRule="atLeast"/>
        <w:ind w:firstLine="480"/>
        <w:jc w:val="both"/>
      </w:pPr>
    </w:p>
    <w:p w14:paraId="0731891C">
      <w:pPr>
        <w:pStyle w:val="14"/>
        <w:spacing w:beforeAutospacing="0" w:afterAutospacing="0"/>
        <w:jc w:val="both"/>
      </w:pPr>
      <w:r>
        <w:rPr>
          <w:rFonts w:hint="eastAsia" w:ascii="黑体" w:hAnsi="宋体" w:eastAsia="黑体" w:cs="黑体"/>
          <w:i/>
          <w:color w:val="000000"/>
          <w:sz w:val="32"/>
          <w:szCs w:val="32"/>
          <w:u w:val="single"/>
        </w:rPr>
        <w:t>一、法人或者其他组织的营业执照等证明文件，自然人的身份证明</w:t>
      </w:r>
    </w:p>
    <w:p w14:paraId="68F64763">
      <w:pPr>
        <w:pStyle w:val="14"/>
        <w:spacing w:beforeAutospacing="0" w:afterAutospacing="0" w:line="0" w:lineRule="atLeast"/>
        <w:ind w:firstLine="480"/>
        <w:jc w:val="both"/>
      </w:pPr>
      <w:r>
        <w:t> </w:t>
      </w:r>
    </w:p>
    <w:p w14:paraId="7B0C41EA">
      <w:pPr>
        <w:pStyle w:val="14"/>
        <w:spacing w:beforeAutospacing="0" w:afterAutospacing="0"/>
        <w:jc w:val="both"/>
        <w:rPr>
          <w:rFonts w:ascii="黑体" w:hAnsi="宋体" w:eastAsia="黑体" w:cs="黑体"/>
          <w:i/>
          <w:color w:val="000000"/>
          <w:sz w:val="32"/>
          <w:szCs w:val="32"/>
          <w:u w:val="single"/>
        </w:rPr>
      </w:pPr>
      <w:r>
        <w:rPr>
          <w:rFonts w:hint="eastAsia" w:ascii="黑体" w:hAnsi="宋体" w:eastAsia="黑体" w:cs="黑体"/>
          <w:i/>
          <w:color w:val="000000"/>
          <w:sz w:val="32"/>
          <w:szCs w:val="32"/>
          <w:u w:val="single"/>
        </w:rPr>
        <w:t>二、上一年度的财务状况报表</w:t>
      </w:r>
    </w:p>
    <w:p w14:paraId="0D546D83">
      <w:pPr>
        <w:pStyle w:val="14"/>
        <w:spacing w:beforeAutospacing="0" w:afterAutospacing="0" w:line="0" w:lineRule="atLeast"/>
        <w:ind w:firstLine="480"/>
        <w:jc w:val="both"/>
      </w:pPr>
      <w:r>
        <w:rPr>
          <w:rFonts w:hint="eastAsia" w:ascii="宋体" w:hAnsi="宋体" w:eastAsia="宋体" w:cs="宋体"/>
          <w:color w:val="000000"/>
        </w:rPr>
        <w:t>投标人成立不满一年无需提供</w:t>
      </w:r>
    </w:p>
    <w:p w14:paraId="70F86B7E">
      <w:pPr>
        <w:pStyle w:val="14"/>
        <w:spacing w:beforeAutospacing="0" w:afterAutospacing="0"/>
        <w:jc w:val="both"/>
      </w:pPr>
      <w:r>
        <w:t> </w:t>
      </w:r>
    </w:p>
    <w:p w14:paraId="532CC88F">
      <w:pPr>
        <w:pStyle w:val="14"/>
        <w:spacing w:beforeAutospacing="0" w:afterAutospacing="0"/>
        <w:jc w:val="both"/>
      </w:pPr>
      <w:r>
        <w:rPr>
          <w:rFonts w:hint="eastAsia" w:ascii="黑体" w:hAnsi="宋体" w:eastAsia="黑体" w:cs="黑体"/>
          <w:i/>
          <w:color w:val="000000"/>
          <w:sz w:val="32"/>
          <w:szCs w:val="32"/>
          <w:u w:val="single"/>
        </w:rPr>
        <w:t>三、具备履行合同所必需的设备和专业技术能力的书面声明</w:t>
      </w:r>
    </w:p>
    <w:p w14:paraId="71A2E994">
      <w:pPr>
        <w:pStyle w:val="14"/>
        <w:spacing w:beforeAutospacing="0" w:afterAutospacing="0" w:line="0" w:lineRule="atLeast"/>
        <w:ind w:firstLine="492"/>
        <w:jc w:val="both"/>
      </w:pPr>
      <w:r>
        <w:rPr>
          <w:rFonts w:hint="eastAsia" w:ascii="宋体" w:hAnsi="宋体" w:eastAsia="宋体" w:cs="宋体"/>
          <w:color w:val="000000"/>
        </w:rPr>
        <w:t>我单位郑重声明：我单位具备履行本项采购合同所必需的设备和专业技术能力，为履行本项采购合同我公司具备如下主要设备和主要专业技术能力：</w:t>
      </w:r>
    </w:p>
    <w:p w14:paraId="49CAC57F">
      <w:pPr>
        <w:pStyle w:val="14"/>
        <w:spacing w:beforeAutospacing="0" w:afterAutospacing="0" w:line="0" w:lineRule="atLeast"/>
        <w:ind w:firstLine="492"/>
        <w:jc w:val="both"/>
      </w:pPr>
      <w:r>
        <w:rPr>
          <w:rFonts w:hint="eastAsia" w:ascii="宋体" w:hAnsi="宋体" w:eastAsia="宋体" w:cs="宋体"/>
          <w:color w:val="000000"/>
        </w:rPr>
        <w:t>主要设备有：</w:t>
      </w:r>
      <w:r>
        <w:rPr>
          <w:rFonts w:hint="eastAsia" w:ascii="宋体" w:hAnsi="宋体" w:eastAsia="宋体" w:cs="宋体"/>
          <w:color w:val="000000"/>
          <w:u w:val="single"/>
        </w:rPr>
        <w:t xml:space="preserve">  </w:t>
      </w:r>
      <w:r>
        <w:rPr>
          <w:rFonts w:hint="eastAsia" w:ascii="宋体" w:hAnsi="宋体" w:eastAsia="宋体" w:cs="宋体"/>
          <w:color w:val="000000"/>
        </w:rPr>
        <w:t>。</w:t>
      </w:r>
    </w:p>
    <w:p w14:paraId="7ED86F75">
      <w:pPr>
        <w:pStyle w:val="14"/>
        <w:spacing w:beforeAutospacing="0" w:afterAutospacing="0"/>
        <w:jc w:val="both"/>
        <w:rPr>
          <w:rFonts w:ascii="宋体" w:hAnsi="宋体" w:eastAsia="宋体" w:cs="宋体"/>
          <w:color w:val="000000"/>
        </w:rPr>
      </w:pPr>
      <w:r>
        <w:rPr>
          <w:rFonts w:hint="eastAsia" w:ascii="宋体" w:hAnsi="宋体" w:eastAsia="宋体" w:cs="宋体"/>
          <w:color w:val="000000"/>
        </w:rPr>
        <w:t>主要专业技术能力有：</w:t>
      </w:r>
      <w:r>
        <w:rPr>
          <w:rFonts w:hint="eastAsia" w:ascii="宋体" w:hAnsi="宋体" w:eastAsia="宋体" w:cs="宋体"/>
          <w:color w:val="000000"/>
          <w:u w:val="single"/>
        </w:rPr>
        <w:t xml:space="preserve">   </w:t>
      </w:r>
      <w:r>
        <w:rPr>
          <w:rFonts w:hint="eastAsia" w:ascii="宋体" w:hAnsi="宋体" w:eastAsia="宋体" w:cs="宋体"/>
          <w:color w:val="000000"/>
        </w:rPr>
        <w:t>。</w:t>
      </w:r>
    </w:p>
    <w:p w14:paraId="30FD41C7">
      <w:pPr>
        <w:pStyle w:val="14"/>
        <w:spacing w:beforeAutospacing="0" w:afterAutospacing="0"/>
        <w:jc w:val="both"/>
      </w:pPr>
      <w:r>
        <w:rPr>
          <w:rFonts w:hint="eastAsia" w:ascii="黑体" w:hAnsi="宋体" w:eastAsia="黑体" w:cs="黑体"/>
          <w:i/>
          <w:color w:val="000000"/>
          <w:sz w:val="32"/>
          <w:szCs w:val="32"/>
          <w:u w:val="single"/>
        </w:rPr>
        <w:t>四、依法缴纳税收和社会保障资金的相关材料</w:t>
      </w:r>
    </w:p>
    <w:p w14:paraId="00221D58">
      <w:pPr>
        <w:pStyle w:val="14"/>
        <w:spacing w:beforeAutospacing="0" w:afterAutospacing="0"/>
        <w:ind w:firstLine="480"/>
        <w:jc w:val="both"/>
      </w:pPr>
      <w:r>
        <w:rPr>
          <w:rFonts w:hint="eastAsia" w:ascii="宋体" w:hAnsi="宋体" w:eastAsia="宋体" w:cs="宋体"/>
          <w:color w:val="000000"/>
        </w:rPr>
        <w:t>提供提交投标文件截止时间前一年内至少一个月依法缴纳税收及缴纳社会保障资金的证明材料。投标人依法享受缓缴、免缴税收、社会保障资金的提供证明材料。</w:t>
      </w:r>
    </w:p>
    <w:p w14:paraId="3463E556">
      <w:pPr>
        <w:pStyle w:val="14"/>
        <w:spacing w:beforeAutospacing="0" w:afterAutospacing="0"/>
        <w:jc w:val="both"/>
      </w:pPr>
      <w:r>
        <w:t> </w:t>
      </w:r>
    </w:p>
    <w:p w14:paraId="11BEE086">
      <w:pPr>
        <w:pStyle w:val="14"/>
        <w:spacing w:beforeAutospacing="0" w:afterAutospacing="0"/>
        <w:jc w:val="both"/>
      </w:pPr>
      <w:r>
        <w:rPr>
          <w:rFonts w:hint="eastAsia" w:ascii="黑体" w:hAnsi="宋体" w:eastAsia="黑体" w:cs="黑体"/>
          <w:i/>
          <w:color w:val="000000"/>
          <w:sz w:val="32"/>
          <w:szCs w:val="32"/>
          <w:u w:val="single"/>
        </w:rPr>
        <w:t>五、参加政府采购活动前 3 年内在经营活动中没有重大违法记录的书面声明</w:t>
      </w:r>
    </w:p>
    <w:p w14:paraId="5625DF31">
      <w:pPr>
        <w:pStyle w:val="14"/>
        <w:spacing w:beforeAutospacing="0" w:afterAutospacing="0" w:line="0" w:lineRule="atLeast"/>
        <w:jc w:val="both"/>
        <w:rPr>
          <w:rFonts w:ascii="宋体" w:hAnsi="宋体" w:eastAsia="宋体" w:cs="宋体"/>
          <w:b/>
          <w:color w:val="000000"/>
          <w:sz w:val="44"/>
          <w:szCs w:val="44"/>
        </w:rPr>
      </w:pPr>
      <w:r>
        <w:rPr>
          <w:rFonts w:hint="eastAsia" w:ascii="宋体" w:hAnsi="宋体" w:eastAsia="宋体" w:cs="宋体"/>
          <w:b/>
          <w:color w:val="000000"/>
          <w:sz w:val="44"/>
          <w:szCs w:val="44"/>
        </w:rPr>
        <w:t>                </w:t>
      </w:r>
    </w:p>
    <w:p w14:paraId="05571151">
      <w:pPr>
        <w:pStyle w:val="14"/>
        <w:spacing w:beforeAutospacing="0" w:afterAutospacing="0" w:line="0" w:lineRule="atLeast"/>
        <w:ind w:firstLine="3092" w:firstLineChars="700"/>
        <w:jc w:val="both"/>
      </w:pPr>
      <w:r>
        <w:rPr>
          <w:rFonts w:hint="eastAsia" w:ascii="宋体" w:hAnsi="宋体" w:eastAsia="宋体" w:cs="宋体"/>
          <w:b/>
          <w:color w:val="000000"/>
          <w:sz w:val="44"/>
          <w:szCs w:val="44"/>
        </w:rPr>
        <w:t xml:space="preserve"> 声  明</w:t>
      </w:r>
    </w:p>
    <w:p w14:paraId="575303A2">
      <w:pPr>
        <w:pStyle w:val="14"/>
        <w:spacing w:beforeAutospacing="0" w:afterAutospacing="0" w:line="0" w:lineRule="atLeast"/>
        <w:jc w:val="both"/>
      </w:pPr>
      <w:r>
        <w:rPr>
          <w:rFonts w:hint="eastAsia" w:ascii="宋体" w:hAnsi="宋体" w:eastAsia="宋体" w:cs="宋体"/>
          <w:b/>
          <w:color w:val="000000"/>
        </w:rPr>
        <w:t xml:space="preserve">    </w:t>
      </w:r>
      <w:r>
        <w:rPr>
          <w:rFonts w:hint="eastAsia" w:ascii="宋体" w:hAnsi="宋体" w:eastAsia="宋体" w:cs="宋体"/>
          <w:color w:val="000000"/>
        </w:rPr>
        <w:t>我单位郑重声明：参加本次政府采购活动前 3 年内，我单位在经营活动中没有因违法经营受到刑事处罚或者责令停产停业、吊销许可证或者执照、较大数额罚款等行政处罚。</w:t>
      </w:r>
    </w:p>
    <w:p w14:paraId="480EA6D7">
      <w:pPr>
        <w:pStyle w:val="14"/>
        <w:spacing w:beforeAutospacing="0" w:afterAutospacing="0"/>
        <w:jc w:val="both"/>
      </w:pPr>
      <w:r>
        <w:t> </w:t>
      </w:r>
    </w:p>
    <w:p w14:paraId="713D4DAC">
      <w:pPr>
        <w:pStyle w:val="14"/>
        <w:spacing w:beforeAutospacing="0" w:afterAutospacing="0"/>
        <w:jc w:val="both"/>
      </w:pPr>
      <w:r>
        <w:rPr>
          <w:rFonts w:hint="eastAsia" w:ascii="黑体" w:hAnsi="宋体" w:eastAsia="黑体" w:cs="黑体"/>
          <w:i/>
          <w:color w:val="000000"/>
          <w:sz w:val="32"/>
          <w:szCs w:val="32"/>
          <w:u w:val="single"/>
        </w:rPr>
        <w:t>六、特定资格要求的证明文件</w:t>
      </w:r>
    </w:p>
    <w:p w14:paraId="0C7A1F01">
      <w:pPr>
        <w:pStyle w:val="14"/>
        <w:spacing w:beforeAutospacing="0" w:afterAutospacing="0" w:line="0" w:lineRule="atLeast"/>
        <w:jc w:val="both"/>
      </w:pPr>
      <w:r>
        <w:rPr>
          <w:rFonts w:hint="eastAsia" w:ascii="宋体" w:hAnsi="宋体" w:eastAsia="宋体" w:cs="宋体"/>
          <w:color w:val="000000"/>
        </w:rPr>
        <w:t>   如果本项目申请人的特定资格要求中要求提供的，必须提供。</w:t>
      </w:r>
    </w:p>
    <w:p w14:paraId="477C1079">
      <w:pPr>
        <w:pStyle w:val="14"/>
        <w:spacing w:beforeAutospacing="0" w:afterAutospacing="0"/>
        <w:jc w:val="center"/>
        <w:rPr>
          <w:rFonts w:ascii="黑体" w:hAnsi="宋体" w:eastAsia="黑体" w:cs="黑体"/>
          <w:i/>
          <w:color w:val="000000"/>
          <w:sz w:val="32"/>
          <w:szCs w:val="32"/>
          <w:u w:val="single"/>
        </w:rPr>
      </w:pPr>
      <w:bookmarkStart w:id="190" w:name="_Toc120614284"/>
    </w:p>
    <w:p w14:paraId="56E5ECB5">
      <w:pPr>
        <w:pStyle w:val="14"/>
        <w:spacing w:beforeAutospacing="0" w:afterAutospacing="0"/>
        <w:jc w:val="center"/>
        <w:rPr>
          <w:rFonts w:ascii="黑体" w:hAnsi="宋体" w:eastAsia="黑体" w:cs="黑体"/>
          <w:i/>
          <w:color w:val="000000"/>
          <w:sz w:val="32"/>
          <w:szCs w:val="32"/>
          <w:u w:val="single"/>
        </w:rPr>
      </w:pPr>
    </w:p>
    <w:p w14:paraId="4A6922F2">
      <w:pPr>
        <w:pStyle w:val="14"/>
        <w:spacing w:beforeAutospacing="0" w:afterAutospacing="0"/>
        <w:jc w:val="center"/>
        <w:rPr>
          <w:rFonts w:ascii="黑体" w:hAnsi="宋体" w:eastAsia="黑体" w:cs="黑体"/>
          <w:i/>
          <w:color w:val="000000"/>
          <w:sz w:val="32"/>
          <w:szCs w:val="32"/>
          <w:u w:val="single"/>
        </w:rPr>
      </w:pPr>
    </w:p>
    <w:p w14:paraId="52CC94B5">
      <w:pPr>
        <w:pStyle w:val="14"/>
        <w:spacing w:beforeAutospacing="0" w:afterAutospacing="0"/>
        <w:jc w:val="center"/>
        <w:rPr>
          <w:rFonts w:ascii="黑体" w:hAnsi="宋体" w:eastAsia="黑体" w:cs="黑体"/>
          <w:i/>
          <w:color w:val="000000"/>
          <w:sz w:val="32"/>
          <w:szCs w:val="32"/>
          <w:u w:val="single"/>
        </w:rPr>
      </w:pPr>
    </w:p>
    <w:p w14:paraId="02E6EC26">
      <w:pPr>
        <w:pStyle w:val="14"/>
        <w:spacing w:beforeAutospacing="0" w:afterAutospacing="0"/>
        <w:jc w:val="center"/>
      </w:pPr>
      <w:r>
        <w:rPr>
          <w:rFonts w:hint="eastAsia" w:ascii="黑体" w:hAnsi="宋体" w:eastAsia="黑体" w:cs="黑体"/>
          <w:i/>
          <w:color w:val="000000"/>
          <w:sz w:val="32"/>
          <w:szCs w:val="32"/>
          <w:u w:val="single"/>
        </w:rPr>
        <w:t>七、法人授权书</w:t>
      </w:r>
    </w:p>
    <w:p w14:paraId="34DEEA52">
      <w:pPr>
        <w:pStyle w:val="14"/>
        <w:tabs>
          <w:tab w:val="left" w:pos="360"/>
        </w:tabs>
        <w:spacing w:beforeAutospacing="0" w:afterAutospacing="0"/>
        <w:ind w:firstLine="480"/>
        <w:jc w:val="both"/>
      </w:pPr>
      <w:r>
        <w:rPr>
          <w:rFonts w:ascii="Times New Roman" w:hAnsi="Times New Roman"/>
          <w:color w:val="000000"/>
        </w:rPr>
        <w:t>本授权书声明：____________（投标人名称）授权________________（被授权人的姓名）为我方就JSZC-</w:t>
      </w:r>
      <w:r>
        <w:rPr>
          <w:rFonts w:ascii="Times New Roman" w:hAnsi="Times New Roman"/>
          <w:color w:val="000000"/>
          <w:u w:val="single"/>
        </w:rPr>
        <w:t xml:space="preserve">        </w:t>
      </w:r>
      <w:r>
        <w:rPr>
          <w:rFonts w:ascii="Times New Roman" w:hAnsi="Times New Roman"/>
          <w:color w:val="000000"/>
        </w:rPr>
        <w:t>号项目采购活动的合法代理人，以本单位名义全权处理一切与该项目采购有关的事务。</w:t>
      </w:r>
    </w:p>
    <w:p w14:paraId="7A509417">
      <w:pPr>
        <w:pStyle w:val="14"/>
        <w:tabs>
          <w:tab w:val="left" w:pos="360"/>
        </w:tabs>
        <w:spacing w:beforeAutospacing="0" w:afterAutospacing="0"/>
        <w:ind w:firstLine="480"/>
        <w:jc w:val="both"/>
      </w:pPr>
      <w:r>
        <w:rPr>
          <w:rFonts w:ascii="Times New Roman" w:hAnsi="Times New Roman"/>
          <w:color w:val="000000"/>
        </w:rPr>
        <w:t>本授权书于______年____月____日起生效，特此声明。</w:t>
      </w:r>
    </w:p>
    <w:p w14:paraId="3356E589">
      <w:pPr>
        <w:pStyle w:val="14"/>
        <w:tabs>
          <w:tab w:val="left" w:pos="360"/>
        </w:tabs>
        <w:spacing w:beforeAutospacing="0" w:afterAutospacing="0"/>
        <w:jc w:val="both"/>
      </w:pPr>
      <w:r>
        <w:rPr>
          <w:rFonts w:ascii="Times New Roman" w:hAnsi="Times New Roman"/>
          <w:color w:val="000000"/>
        </w:rPr>
        <w:t>          被授权人身份证号码：</w:t>
      </w:r>
      <w:r>
        <w:rPr>
          <w:rFonts w:ascii="Times New Roman" w:hAnsi="Times New Roman"/>
          <w:color w:val="000000"/>
          <w:u w:val="single"/>
        </w:rPr>
        <w:t xml:space="preserve">                              </w:t>
      </w:r>
    </w:p>
    <w:p w14:paraId="70DF83B5">
      <w:pPr>
        <w:pStyle w:val="14"/>
        <w:tabs>
          <w:tab w:val="left" w:pos="360"/>
        </w:tabs>
        <w:spacing w:beforeAutospacing="0" w:afterAutospacing="0"/>
        <w:jc w:val="both"/>
      </w:pPr>
      <w:r>
        <w:rPr>
          <w:rFonts w:ascii="Times New Roman" w:hAnsi="Times New Roman"/>
          <w:color w:val="000000"/>
        </w:rPr>
        <w:t>          被授权人联系电话：（手机）</w:t>
      </w:r>
      <w:r>
        <w:rPr>
          <w:rFonts w:ascii="Times New Roman" w:hAnsi="Times New Roman"/>
          <w:color w:val="000000"/>
          <w:u w:val="single"/>
        </w:rPr>
        <w:t xml:space="preserve">                          </w:t>
      </w:r>
    </w:p>
    <w:p w14:paraId="7A28C04B">
      <w:pPr>
        <w:pStyle w:val="14"/>
        <w:tabs>
          <w:tab w:val="left" w:pos="360"/>
        </w:tabs>
        <w:spacing w:beforeAutospacing="0" w:afterAutospacing="0"/>
        <w:ind w:firstLine="1200"/>
        <w:jc w:val="both"/>
      </w:pPr>
      <w:r>
        <w:rPr>
          <w:rFonts w:ascii="Times New Roman" w:hAnsi="Times New Roman"/>
          <w:color w:val="000000"/>
        </w:rPr>
        <w:t>授权单位名称：</w:t>
      </w:r>
      <w:r>
        <w:rPr>
          <w:rFonts w:ascii="Times New Roman" w:hAnsi="Times New Roman"/>
          <w:color w:val="000000"/>
          <w:u w:val="single"/>
        </w:rPr>
        <w:t>（加盖CA电子公章）</w:t>
      </w:r>
    </w:p>
    <w:p w14:paraId="46AD6C02">
      <w:pPr>
        <w:pStyle w:val="14"/>
        <w:tabs>
          <w:tab w:val="left" w:pos="360"/>
        </w:tabs>
        <w:spacing w:beforeAutospacing="0" w:afterAutospacing="0"/>
        <w:ind w:firstLine="480"/>
        <w:jc w:val="both"/>
      </w:pPr>
      <w:r>
        <w:rPr>
          <w:rFonts w:ascii="Times New Roman" w:hAnsi="Times New Roman"/>
          <w:color w:val="000000"/>
        </w:rPr>
        <w:t>      单位地址：</w:t>
      </w:r>
      <w:r>
        <w:rPr>
          <w:rFonts w:ascii="Times New Roman" w:hAnsi="Times New Roman"/>
          <w:color w:val="000000"/>
          <w:u w:val="single"/>
        </w:rPr>
        <w:t xml:space="preserve">                                         </w:t>
      </w:r>
    </w:p>
    <w:p w14:paraId="59EE314A">
      <w:pPr>
        <w:pStyle w:val="14"/>
        <w:tabs>
          <w:tab w:val="left" w:pos="360"/>
        </w:tabs>
        <w:spacing w:beforeAutospacing="0" w:afterAutospacing="0"/>
        <w:ind w:firstLine="480"/>
        <w:jc w:val="both"/>
      </w:pPr>
      <w:r>
        <w:rPr>
          <w:rFonts w:ascii="Times New Roman" w:hAnsi="Times New Roman"/>
          <w:color w:val="000000"/>
        </w:rPr>
        <w:t>      日期：</w:t>
      </w:r>
      <w:bookmarkStart w:id="191" w:name="_Hlt26955070"/>
      <w:bookmarkStart w:id="192" w:name="_Hlt26671380"/>
      <w:bookmarkStart w:id="193" w:name="_格式3__银行出具的资信证明"/>
      <w:r>
        <w:rPr>
          <w:rFonts w:ascii="Times New Roman" w:hAnsi="Times New Roman"/>
          <w:color w:val="000000"/>
          <w:u w:val="single"/>
        </w:rPr>
        <w:t xml:space="preserve">                                         </w:t>
      </w:r>
    </w:p>
    <w:p w14:paraId="440EA0CC">
      <w:pPr>
        <w:pStyle w:val="14"/>
        <w:spacing w:beforeAutospacing="0" w:afterAutospacing="0"/>
        <w:ind w:firstLine="420"/>
        <w:jc w:val="both"/>
      </w:pPr>
      <w:r>
        <w:t> </w:t>
      </w:r>
    </w:p>
    <w:p w14:paraId="364B0B23">
      <w:pPr>
        <w:pStyle w:val="14"/>
        <w:spacing w:beforeAutospacing="0" w:afterAutospacing="0"/>
        <w:jc w:val="both"/>
      </w:pPr>
      <w:r>
        <w:t> </w:t>
      </w:r>
    </w:p>
    <w:p w14:paraId="06162103">
      <w:pPr>
        <w:pStyle w:val="14"/>
        <w:spacing w:beforeAutospacing="0" w:afterAutospacing="0" w:line="0" w:lineRule="atLeast"/>
        <w:jc w:val="both"/>
      </w:pPr>
      <w:r>
        <w:t> </w:t>
      </w:r>
    </w:p>
    <w:p w14:paraId="08E37008">
      <w:pPr>
        <w:pStyle w:val="14"/>
        <w:keepNext/>
        <w:keepLines/>
        <w:spacing w:before="260" w:beforeAutospacing="0" w:after="260" w:afterAutospacing="0" w:line="415" w:lineRule="auto"/>
        <w:ind w:firstLine="3390"/>
        <w:jc w:val="both"/>
      </w:pPr>
      <w:r>
        <w:rPr>
          <w:rFonts w:hint="eastAsia" w:ascii="宋体" w:hAnsi="宋体" w:eastAsia="宋体" w:cs="宋体"/>
          <w:b/>
          <w:color w:val="000000"/>
        </w:rPr>
        <w:br w:type="page"/>
      </w:r>
      <w:r>
        <w:rPr>
          <w:rFonts w:hint="eastAsia" w:ascii="宋体" w:hAnsi="宋体" w:eastAsia="宋体" w:cs="宋体"/>
          <w:b/>
          <w:color w:val="000000"/>
        </w:rPr>
        <w:t> </w:t>
      </w:r>
      <w:r>
        <w:rPr>
          <w:rFonts w:hint="eastAsia" w:ascii="黑体" w:hAnsi="宋体" w:eastAsia="黑体" w:cs="黑体"/>
          <w:b/>
          <w:i/>
          <w:color w:val="000000"/>
          <w:sz w:val="32"/>
          <w:szCs w:val="32"/>
          <w:u w:val="single"/>
        </w:rPr>
        <w:t>八、投标函</w:t>
      </w:r>
    </w:p>
    <w:p w14:paraId="1C467BBF">
      <w:pPr>
        <w:pStyle w:val="14"/>
        <w:spacing w:beforeAutospacing="0" w:afterAutospacing="0" w:line="0" w:lineRule="atLeast"/>
        <w:rPr>
          <w:rFonts w:eastAsia="宋体"/>
        </w:rPr>
      </w:pPr>
      <w:r>
        <w:rPr>
          <w:rFonts w:hint="eastAsia" w:ascii="宋体" w:hAnsi="宋体" w:eastAsia="宋体" w:cs="宋体"/>
          <w:color w:val="000000"/>
        </w:rPr>
        <w:t>致：盐城畅达招标代理有限公司</w:t>
      </w:r>
    </w:p>
    <w:p w14:paraId="400A6C5B">
      <w:pPr>
        <w:pStyle w:val="14"/>
        <w:spacing w:beforeAutospacing="0" w:afterAutospacing="0" w:line="0" w:lineRule="atLeast"/>
        <w:ind w:firstLine="480"/>
      </w:pPr>
      <w:r>
        <w:rPr>
          <w:rFonts w:hint="eastAsia" w:ascii="宋体" w:hAnsi="宋体" w:eastAsia="宋体" w:cs="宋体"/>
          <w:color w:val="000000"/>
        </w:rPr>
        <w:t>根据贵方的JSZC-***</w:t>
      </w:r>
      <w:r>
        <w:rPr>
          <w:rFonts w:hint="eastAsia" w:ascii="宋体" w:hAnsi="宋体" w:eastAsia="宋体" w:cs="宋体"/>
          <w:b/>
          <w:color w:val="000000"/>
          <w:sz w:val="36"/>
          <w:szCs w:val="36"/>
          <w:u w:val="single"/>
        </w:rPr>
        <w:t xml:space="preserve">            </w:t>
      </w:r>
      <w:r>
        <w:rPr>
          <w:rFonts w:hint="eastAsia" w:ascii="宋体" w:hAnsi="宋体" w:eastAsia="宋体" w:cs="宋体"/>
          <w:color w:val="000000"/>
        </w:rPr>
        <w:t>号招标文件，正式授权下述签字人_________________(姓名)代表我方______________（投标人的名称），全权处理本次项目投标的有关事宜。</w:t>
      </w:r>
    </w:p>
    <w:p w14:paraId="2E4C2148">
      <w:pPr>
        <w:pStyle w:val="14"/>
        <w:spacing w:beforeAutospacing="0" w:afterAutospacing="0" w:line="0" w:lineRule="atLeast"/>
        <w:ind w:firstLine="480"/>
      </w:pPr>
      <w:r>
        <w:rPr>
          <w:rFonts w:hint="eastAsia" w:ascii="宋体" w:hAnsi="宋体" w:eastAsia="宋体" w:cs="宋体"/>
          <w:color w:val="000000"/>
        </w:rPr>
        <w:t>据此函，__________签字人兹宣布同意如下：</w:t>
      </w:r>
    </w:p>
    <w:p w14:paraId="7BEE60F4">
      <w:pPr>
        <w:pStyle w:val="14"/>
        <w:spacing w:beforeAutospacing="0" w:afterAutospacing="0" w:line="0" w:lineRule="atLeast"/>
        <w:ind w:firstLine="480"/>
      </w:pPr>
      <w:r>
        <w:rPr>
          <w:rFonts w:hint="eastAsia" w:ascii="宋体" w:hAnsi="宋体" w:eastAsia="宋体" w:cs="宋体"/>
          <w:color w:val="000000"/>
        </w:rPr>
        <w:t>1.按招标文件规定的各项要求，向买方提供所需货物（包含与货物相关的服务）。</w:t>
      </w:r>
    </w:p>
    <w:p w14:paraId="6C01FB3D">
      <w:pPr>
        <w:pStyle w:val="14"/>
        <w:spacing w:beforeAutospacing="0" w:afterAutospacing="0" w:line="0" w:lineRule="atLeast"/>
        <w:ind w:firstLine="480"/>
      </w:pPr>
      <w:r>
        <w:rPr>
          <w:rFonts w:hint="eastAsia" w:ascii="宋体" w:hAnsi="宋体" w:eastAsia="宋体" w:cs="宋体"/>
          <w:color w:val="000000"/>
        </w:rPr>
        <w:t>2.我们完全理解贵方不一定将合同授予最低报价的投标人。</w:t>
      </w:r>
    </w:p>
    <w:p w14:paraId="56968591">
      <w:pPr>
        <w:pStyle w:val="14"/>
        <w:spacing w:beforeAutospacing="0" w:afterAutospacing="0" w:line="0" w:lineRule="atLeast"/>
        <w:ind w:firstLine="480"/>
      </w:pPr>
      <w:r>
        <w:rPr>
          <w:rFonts w:hint="eastAsia" w:ascii="宋体" w:hAnsi="宋体" w:eastAsia="宋体" w:cs="宋体"/>
          <w:color w:val="000000"/>
        </w:rPr>
        <w:t>3.我们已详细审核全部招标文件及其有效补充文件，我们知道必须放弃提出含糊不清或误解问题的权利。</w:t>
      </w:r>
    </w:p>
    <w:p w14:paraId="4DE58A47">
      <w:pPr>
        <w:pStyle w:val="14"/>
        <w:spacing w:beforeAutospacing="0" w:afterAutospacing="0" w:line="0" w:lineRule="atLeast"/>
        <w:ind w:firstLine="480"/>
      </w:pPr>
      <w:r>
        <w:rPr>
          <w:rFonts w:hint="eastAsia" w:ascii="宋体" w:hAnsi="宋体" w:eastAsia="宋体" w:cs="宋体"/>
          <w:color w:val="000000"/>
        </w:rPr>
        <w:t>4.我们同意从规定的开标日期起遵循本投标文件，并在规定的投标有效期期满之前均具有约束力。</w:t>
      </w:r>
    </w:p>
    <w:p w14:paraId="56CE90F9">
      <w:pPr>
        <w:pStyle w:val="14"/>
        <w:spacing w:beforeAutospacing="0" w:afterAutospacing="0" w:line="0" w:lineRule="atLeast"/>
        <w:ind w:firstLine="480"/>
      </w:pPr>
      <w:r>
        <w:rPr>
          <w:rFonts w:hint="eastAsia" w:ascii="宋体" w:hAnsi="宋体" w:eastAsia="宋体" w:cs="宋体"/>
          <w:color w:val="000000"/>
        </w:rPr>
        <w:t>5.同意向贵方提供贵方可能另外要求的与投标有关的任何证据或资料，并保证我方已提供和将要提供的文件是真实的、准确的。</w:t>
      </w:r>
    </w:p>
    <w:p w14:paraId="5509813C">
      <w:pPr>
        <w:pStyle w:val="14"/>
        <w:spacing w:beforeAutospacing="0" w:afterAutospacing="0" w:line="0" w:lineRule="atLeast"/>
        <w:ind w:firstLine="480"/>
      </w:pPr>
      <w:r>
        <w:rPr>
          <w:rFonts w:hint="eastAsia" w:ascii="宋体" w:hAnsi="宋体" w:eastAsia="宋体" w:cs="宋体"/>
          <w:color w:val="000000"/>
        </w:rPr>
        <w:t>6.一旦我方中标,我方将根据招标文件的规定，严格履行合同的责任和义务,并保证在招标文件规定的时间完成项目，交付买方验收、使用。</w:t>
      </w:r>
    </w:p>
    <w:p w14:paraId="4A47BEA5">
      <w:pPr>
        <w:pStyle w:val="14"/>
        <w:spacing w:beforeAutospacing="0" w:afterAutospacing="0" w:line="0" w:lineRule="atLeast"/>
        <w:ind w:left="425"/>
      </w:pPr>
      <w:r>
        <w:rPr>
          <w:rFonts w:hint="eastAsia" w:ascii="宋体" w:hAnsi="宋体" w:eastAsia="宋体" w:cs="宋体"/>
          <w:color w:val="000000"/>
        </w:rPr>
        <w:t>7.与本投标有关的正式通讯地址为：</w:t>
      </w:r>
    </w:p>
    <w:p w14:paraId="0E547D24">
      <w:pPr>
        <w:pStyle w:val="14"/>
        <w:spacing w:beforeAutospacing="0" w:afterAutospacing="0" w:line="0" w:lineRule="atLeast"/>
        <w:ind w:left="420" w:firstLine="480"/>
      </w:pPr>
      <w:r>
        <w:rPr>
          <w:rFonts w:hint="eastAsia" w:ascii="宋体" w:hAnsi="宋体" w:eastAsia="宋体" w:cs="宋体"/>
          <w:color w:val="000000"/>
        </w:rPr>
        <w:t>地          址：</w:t>
      </w:r>
    </w:p>
    <w:p w14:paraId="3F991FE0">
      <w:pPr>
        <w:pStyle w:val="14"/>
        <w:spacing w:beforeAutospacing="0" w:afterAutospacing="0" w:line="0" w:lineRule="atLeast"/>
        <w:ind w:left="420" w:firstLine="480"/>
      </w:pPr>
      <w:r>
        <w:rPr>
          <w:rFonts w:hint="eastAsia" w:ascii="宋体" w:hAnsi="宋体" w:eastAsia="宋体" w:cs="宋体"/>
          <w:color w:val="000000"/>
        </w:rPr>
        <w:t>邮          编：</w:t>
      </w:r>
    </w:p>
    <w:p w14:paraId="30D7C751">
      <w:pPr>
        <w:pStyle w:val="14"/>
        <w:spacing w:beforeAutospacing="0" w:afterAutospacing="0" w:line="0" w:lineRule="atLeast"/>
        <w:ind w:left="420" w:firstLine="480"/>
      </w:pPr>
      <w:r>
        <w:rPr>
          <w:rFonts w:hint="eastAsia" w:ascii="宋体" w:hAnsi="宋体" w:eastAsia="宋体" w:cs="宋体"/>
          <w:color w:val="000000"/>
        </w:rPr>
        <w:t>电          话：</w:t>
      </w:r>
    </w:p>
    <w:p w14:paraId="6B3766B3">
      <w:pPr>
        <w:pStyle w:val="14"/>
        <w:spacing w:beforeAutospacing="0" w:afterAutospacing="0" w:line="0" w:lineRule="atLeast"/>
        <w:ind w:left="420" w:firstLine="480"/>
      </w:pPr>
      <w:r>
        <w:rPr>
          <w:rFonts w:hint="eastAsia" w:ascii="宋体" w:hAnsi="宋体" w:eastAsia="宋体" w:cs="宋体"/>
          <w:color w:val="000000"/>
        </w:rPr>
        <w:t>传          真：</w:t>
      </w:r>
    </w:p>
    <w:p w14:paraId="12614848">
      <w:pPr>
        <w:pStyle w:val="14"/>
        <w:spacing w:beforeAutospacing="0" w:afterAutospacing="0" w:line="0" w:lineRule="atLeast"/>
        <w:ind w:left="420" w:firstLine="480"/>
      </w:pPr>
      <w:r>
        <w:rPr>
          <w:rFonts w:hint="eastAsia" w:ascii="宋体" w:hAnsi="宋体" w:eastAsia="宋体" w:cs="宋体"/>
          <w:color w:val="000000"/>
        </w:rPr>
        <w:t>投标人开户行：</w:t>
      </w:r>
    </w:p>
    <w:p w14:paraId="60A88FC5">
      <w:pPr>
        <w:pStyle w:val="14"/>
        <w:spacing w:beforeAutospacing="0" w:afterAutospacing="0" w:line="0" w:lineRule="atLeast"/>
        <w:ind w:left="420" w:firstLine="480"/>
      </w:pPr>
      <w:r>
        <w:rPr>
          <w:rFonts w:hint="eastAsia" w:ascii="宋体" w:hAnsi="宋体" w:eastAsia="宋体" w:cs="宋体"/>
          <w:color w:val="000000"/>
        </w:rPr>
        <w:t xml:space="preserve">账          号： </w:t>
      </w:r>
    </w:p>
    <w:p w14:paraId="0BC361B6">
      <w:pPr>
        <w:pStyle w:val="14"/>
        <w:spacing w:beforeAutospacing="0" w:afterAutospacing="0" w:line="0" w:lineRule="atLeast"/>
        <w:ind w:left="420" w:firstLine="480"/>
      </w:pPr>
      <w:r>
        <w:rPr>
          <w:rFonts w:hint="eastAsia" w:ascii="宋体" w:hAnsi="宋体" w:eastAsia="宋体" w:cs="宋体"/>
          <w:color w:val="000000"/>
        </w:rPr>
        <w:t>日           期：________年____月____日</w:t>
      </w:r>
    </w:p>
    <w:p w14:paraId="5415CC55">
      <w:pPr>
        <w:pStyle w:val="14"/>
        <w:spacing w:beforeAutospacing="0" w:afterAutospacing="0" w:line="0" w:lineRule="atLeast"/>
        <w:ind w:firstLine="240"/>
        <w:jc w:val="center"/>
      </w:pPr>
      <w:r>
        <w:t> </w:t>
      </w:r>
    </w:p>
    <w:p w14:paraId="7D219C32">
      <w:pPr>
        <w:pStyle w:val="14"/>
        <w:spacing w:beforeAutospacing="0" w:afterAutospacing="0" w:line="0" w:lineRule="atLeast"/>
        <w:ind w:firstLine="240"/>
        <w:jc w:val="center"/>
      </w:pPr>
      <w:r>
        <w:t> </w:t>
      </w:r>
    </w:p>
    <w:p w14:paraId="6788DDDE">
      <w:pPr>
        <w:pStyle w:val="14"/>
        <w:spacing w:beforeAutospacing="0" w:afterAutospacing="0" w:line="0" w:lineRule="atLeast"/>
        <w:ind w:firstLine="240"/>
        <w:jc w:val="center"/>
      </w:pPr>
      <w:r>
        <w:t> </w:t>
      </w:r>
    </w:p>
    <w:p w14:paraId="72C97FAA">
      <w:pPr>
        <w:pStyle w:val="14"/>
        <w:spacing w:beforeAutospacing="0" w:afterAutospacing="0" w:line="0" w:lineRule="atLeast"/>
        <w:ind w:firstLine="240"/>
        <w:jc w:val="center"/>
      </w:pPr>
      <w:r>
        <w:t> </w:t>
      </w:r>
    </w:p>
    <w:p w14:paraId="7C93DE95">
      <w:pPr>
        <w:pStyle w:val="14"/>
        <w:spacing w:beforeAutospacing="0" w:afterAutospacing="0" w:line="0" w:lineRule="atLeast"/>
        <w:ind w:firstLine="240"/>
        <w:jc w:val="center"/>
      </w:pPr>
    </w:p>
    <w:p w14:paraId="3983648F">
      <w:pPr>
        <w:pStyle w:val="14"/>
        <w:spacing w:beforeAutospacing="0" w:afterAutospacing="0" w:line="0" w:lineRule="atLeast"/>
        <w:ind w:firstLine="240"/>
        <w:jc w:val="center"/>
      </w:pPr>
    </w:p>
    <w:p w14:paraId="2A10ADEF">
      <w:pPr>
        <w:pStyle w:val="14"/>
        <w:spacing w:beforeAutospacing="0" w:afterAutospacing="0" w:line="0" w:lineRule="atLeast"/>
        <w:ind w:firstLine="240"/>
        <w:jc w:val="center"/>
      </w:pPr>
    </w:p>
    <w:p w14:paraId="0CA79E13">
      <w:pPr>
        <w:pStyle w:val="14"/>
        <w:spacing w:beforeAutospacing="0" w:afterAutospacing="0" w:line="0" w:lineRule="atLeast"/>
        <w:ind w:firstLine="240"/>
        <w:jc w:val="center"/>
      </w:pPr>
    </w:p>
    <w:p w14:paraId="60C52521">
      <w:pPr>
        <w:pStyle w:val="14"/>
        <w:spacing w:beforeAutospacing="0" w:afterAutospacing="0" w:line="0" w:lineRule="atLeast"/>
        <w:ind w:firstLine="240"/>
        <w:jc w:val="center"/>
      </w:pPr>
    </w:p>
    <w:p w14:paraId="06504A47">
      <w:pPr>
        <w:pStyle w:val="14"/>
        <w:spacing w:beforeAutospacing="0" w:afterAutospacing="0" w:line="0" w:lineRule="atLeast"/>
        <w:ind w:firstLine="240"/>
        <w:jc w:val="center"/>
      </w:pPr>
    </w:p>
    <w:p w14:paraId="51F4BE60">
      <w:pPr>
        <w:pStyle w:val="14"/>
        <w:spacing w:beforeAutospacing="0" w:afterAutospacing="0" w:line="0" w:lineRule="atLeast"/>
        <w:ind w:firstLine="240"/>
        <w:jc w:val="center"/>
      </w:pPr>
    </w:p>
    <w:p w14:paraId="63E894CA">
      <w:pPr>
        <w:pStyle w:val="14"/>
        <w:spacing w:beforeAutospacing="0" w:afterAutospacing="0" w:line="0" w:lineRule="atLeast"/>
        <w:ind w:firstLine="240"/>
        <w:jc w:val="center"/>
      </w:pPr>
    </w:p>
    <w:p w14:paraId="6D60DFE9">
      <w:pPr>
        <w:pStyle w:val="14"/>
        <w:spacing w:beforeAutospacing="0" w:afterAutospacing="0" w:line="0" w:lineRule="atLeast"/>
        <w:ind w:firstLine="240"/>
        <w:jc w:val="center"/>
      </w:pPr>
    </w:p>
    <w:p w14:paraId="0897A89D">
      <w:pPr>
        <w:pStyle w:val="14"/>
        <w:spacing w:beforeAutospacing="0" w:afterAutospacing="0" w:line="0" w:lineRule="atLeast"/>
        <w:ind w:firstLine="240"/>
        <w:jc w:val="center"/>
      </w:pPr>
    </w:p>
    <w:p w14:paraId="0006AB2C">
      <w:pPr>
        <w:pStyle w:val="14"/>
        <w:spacing w:beforeAutospacing="0" w:afterAutospacing="0" w:line="0" w:lineRule="atLeast"/>
        <w:ind w:firstLine="240"/>
        <w:jc w:val="center"/>
      </w:pPr>
    </w:p>
    <w:p w14:paraId="48E315B7">
      <w:pPr>
        <w:pStyle w:val="14"/>
        <w:spacing w:beforeAutospacing="0" w:afterAutospacing="0" w:line="0" w:lineRule="atLeast"/>
        <w:ind w:firstLine="240"/>
        <w:jc w:val="center"/>
      </w:pPr>
    </w:p>
    <w:p w14:paraId="1D009BE5">
      <w:pPr>
        <w:pStyle w:val="14"/>
        <w:spacing w:beforeAutospacing="0" w:afterAutospacing="0" w:line="0" w:lineRule="atLeast"/>
        <w:ind w:firstLine="240"/>
        <w:jc w:val="center"/>
      </w:pPr>
      <w:r>
        <w:t> </w:t>
      </w:r>
    </w:p>
    <w:p w14:paraId="66355864">
      <w:pPr>
        <w:pStyle w:val="5"/>
        <w:rPr>
          <w:rFonts w:hint="eastAsia" w:ascii="黑体" w:hAnsi="宋体" w:eastAsia="黑体" w:cs="黑体"/>
          <w:b/>
          <w:sz w:val="32"/>
          <w:szCs w:val="32"/>
        </w:rPr>
      </w:pPr>
      <w:r>
        <w:rPr>
          <w:rFonts w:hint="eastAsia" w:ascii="黑体" w:hAnsi="宋体" w:eastAsia="黑体" w:cs="黑体"/>
          <w:b/>
          <w:sz w:val="32"/>
          <w:szCs w:val="32"/>
        </w:rPr>
        <w:t>九、中小企业声明函（货物）</w:t>
      </w:r>
    </w:p>
    <w:p w14:paraId="5C2EC7AA"/>
    <w:p w14:paraId="7DD03D69">
      <w:pPr>
        <w:widowControl/>
        <w:spacing w:line="360" w:lineRule="auto"/>
        <w:ind w:firstLine="420" w:firstLineChars="200"/>
        <w:jc w:val="left"/>
        <w:rPr>
          <w:rFonts w:ascii="宋体" w:hAnsi="宋体" w:cs="宋体"/>
          <w:szCs w:val="28"/>
        </w:rPr>
      </w:pPr>
      <w:r>
        <w:rPr>
          <w:rFonts w:hint="eastAsia" w:ascii="宋体" w:hAnsi="宋体" w:cs="宋体"/>
          <w:szCs w:val="28"/>
        </w:rPr>
        <w:t>本公司（联合体）郑重声明，根据《政府采购促进中小企业发展管理办法》（财库﹝2020﹞46 号）的规定，本公司（联合体）参加</w:t>
      </w:r>
      <w:r>
        <w:rPr>
          <w:rFonts w:hint="eastAsia" w:ascii="宋体" w:hAnsi="宋体" w:cs="宋体"/>
          <w:i/>
          <w:iCs/>
          <w:szCs w:val="28"/>
          <w:u w:val="single"/>
        </w:rPr>
        <w:t>（单位名称）</w:t>
      </w:r>
      <w:r>
        <w:rPr>
          <w:rFonts w:hint="eastAsia" w:ascii="宋体" w:hAnsi="宋体" w:cs="宋体"/>
          <w:szCs w:val="28"/>
        </w:rPr>
        <w:t>的</w:t>
      </w:r>
      <w:r>
        <w:rPr>
          <w:rFonts w:hint="eastAsia" w:ascii="宋体" w:hAnsi="宋体" w:cs="宋体"/>
          <w:i/>
          <w:iCs/>
          <w:szCs w:val="28"/>
          <w:u w:val="single"/>
        </w:rPr>
        <w:t>（项目名称）</w:t>
      </w:r>
      <w:r>
        <w:rPr>
          <w:rFonts w:hint="eastAsia" w:ascii="宋体" w:hAnsi="宋体" w:cs="宋体"/>
          <w:szCs w:val="28"/>
        </w:rPr>
        <w:t>采购活动，提供的货物全部由符合政策要求的中小企业制造。相关企业（含联合体中的中小企业、签订分包意向协议的中小企业）的具体情况如下：</w:t>
      </w:r>
    </w:p>
    <w:p w14:paraId="16F55084">
      <w:pPr>
        <w:widowControl/>
        <w:spacing w:line="360" w:lineRule="auto"/>
        <w:ind w:firstLine="420" w:firstLineChars="200"/>
        <w:jc w:val="left"/>
        <w:rPr>
          <w:rFonts w:ascii="宋体" w:hAnsi="宋体" w:cs="宋体"/>
          <w:szCs w:val="28"/>
        </w:rPr>
      </w:pPr>
      <w:r>
        <w:rPr>
          <w:rFonts w:hint="eastAsia" w:ascii="宋体" w:hAnsi="宋体" w:cs="宋体"/>
          <w:szCs w:val="28"/>
        </w:rPr>
        <w:t>1.</w:t>
      </w:r>
      <w:r>
        <w:rPr>
          <w:rFonts w:hint="eastAsia" w:ascii="宋体" w:hAnsi="宋体" w:cs="宋体"/>
          <w:i/>
          <w:iCs/>
          <w:szCs w:val="28"/>
          <w:u w:val="single"/>
        </w:rPr>
        <w:t xml:space="preserve">（标的名称） </w:t>
      </w:r>
      <w:r>
        <w:rPr>
          <w:rFonts w:hint="eastAsia" w:ascii="宋体" w:hAnsi="宋体" w:cs="宋体"/>
          <w:szCs w:val="28"/>
        </w:rPr>
        <w:t>，属于</w:t>
      </w:r>
      <w:r>
        <w:rPr>
          <w:rFonts w:hint="eastAsia" w:ascii="宋体" w:hAnsi="宋体" w:cs="宋体"/>
          <w:i/>
          <w:iCs/>
          <w:szCs w:val="28"/>
          <w:u w:val="single"/>
        </w:rPr>
        <w:t>（采购文件中明确的所属行业）</w:t>
      </w:r>
      <w:r>
        <w:rPr>
          <w:rFonts w:hint="eastAsia" w:ascii="宋体" w:hAnsi="宋体" w:cs="宋体"/>
          <w:szCs w:val="28"/>
        </w:rPr>
        <w:t>行业；制造商为</w:t>
      </w:r>
      <w:r>
        <w:rPr>
          <w:rFonts w:hint="eastAsia" w:ascii="宋体" w:hAnsi="宋体" w:cs="宋体"/>
          <w:i/>
          <w:iCs/>
          <w:szCs w:val="28"/>
          <w:u w:val="single"/>
        </w:rPr>
        <w:t>（企业名称）</w:t>
      </w:r>
      <w:r>
        <w:rPr>
          <w:rFonts w:hint="eastAsia" w:ascii="宋体" w:hAnsi="宋体" w:cs="宋体"/>
          <w:szCs w:val="28"/>
        </w:rPr>
        <w:t>，从业人员</w:t>
      </w:r>
      <w:r>
        <w:rPr>
          <w:rFonts w:hint="eastAsia" w:ascii="宋体" w:hAnsi="宋体" w:cs="宋体"/>
          <w:i/>
          <w:iCs/>
          <w:szCs w:val="28"/>
          <w:u w:val="single"/>
        </w:rPr>
        <w:t xml:space="preserve">        </w:t>
      </w:r>
      <w:r>
        <w:rPr>
          <w:rFonts w:hint="eastAsia" w:ascii="宋体" w:hAnsi="宋体" w:cs="宋体"/>
          <w:szCs w:val="28"/>
        </w:rPr>
        <w:t>人，营业收入为</w:t>
      </w:r>
      <w:r>
        <w:rPr>
          <w:rFonts w:hint="eastAsia" w:ascii="宋体" w:hAnsi="宋体" w:cs="宋体"/>
          <w:i/>
          <w:iCs/>
          <w:szCs w:val="28"/>
          <w:u w:val="single"/>
        </w:rPr>
        <w:t xml:space="preserve">        </w:t>
      </w:r>
      <w:r>
        <w:rPr>
          <w:rFonts w:hint="eastAsia" w:ascii="宋体" w:hAnsi="宋体" w:cs="宋体"/>
          <w:szCs w:val="28"/>
        </w:rPr>
        <w:t>万元，资产总额为</w:t>
      </w:r>
      <w:r>
        <w:rPr>
          <w:rFonts w:hint="eastAsia" w:ascii="宋体" w:hAnsi="宋体" w:cs="宋体"/>
          <w:i/>
          <w:iCs/>
          <w:szCs w:val="28"/>
          <w:u w:val="single"/>
        </w:rPr>
        <w:t xml:space="preserve">        </w:t>
      </w:r>
      <w:r>
        <w:rPr>
          <w:rFonts w:hint="eastAsia" w:ascii="宋体" w:hAnsi="宋体" w:cs="宋体"/>
          <w:szCs w:val="28"/>
        </w:rPr>
        <w:t>万元，属于</w:t>
      </w:r>
      <w:r>
        <w:rPr>
          <w:rFonts w:hint="eastAsia" w:ascii="宋体" w:hAnsi="宋体" w:cs="宋体"/>
          <w:i/>
          <w:iCs/>
          <w:szCs w:val="28"/>
          <w:u w:val="single"/>
        </w:rPr>
        <w:t>（中型企业、小型企业、微型企业）</w:t>
      </w:r>
      <w:r>
        <w:rPr>
          <w:rFonts w:hint="eastAsia" w:ascii="宋体" w:hAnsi="宋体" w:cs="宋体"/>
          <w:szCs w:val="28"/>
        </w:rPr>
        <w:t>；</w:t>
      </w:r>
    </w:p>
    <w:p w14:paraId="0D752332">
      <w:pPr>
        <w:widowControl/>
        <w:numPr>
          <w:ilvl w:val="0"/>
          <w:numId w:val="1"/>
        </w:numPr>
        <w:spacing w:line="360" w:lineRule="auto"/>
        <w:ind w:firstLine="420" w:firstLineChars="200"/>
        <w:jc w:val="left"/>
        <w:rPr>
          <w:rFonts w:ascii="宋体" w:hAnsi="宋体" w:cs="宋体"/>
          <w:szCs w:val="28"/>
        </w:rPr>
      </w:pPr>
      <w:r>
        <w:rPr>
          <w:rFonts w:hint="eastAsia" w:ascii="宋体" w:hAnsi="宋体" w:cs="宋体"/>
          <w:i/>
          <w:iCs/>
          <w:szCs w:val="28"/>
          <w:u w:val="single"/>
        </w:rPr>
        <w:t xml:space="preserve">（标的名称） </w:t>
      </w:r>
      <w:r>
        <w:rPr>
          <w:rFonts w:hint="eastAsia" w:ascii="宋体" w:hAnsi="宋体" w:cs="宋体"/>
          <w:szCs w:val="28"/>
        </w:rPr>
        <w:t>，属于</w:t>
      </w:r>
      <w:r>
        <w:rPr>
          <w:rFonts w:hint="eastAsia" w:ascii="宋体" w:hAnsi="宋体" w:cs="宋体"/>
          <w:i/>
          <w:iCs/>
          <w:szCs w:val="28"/>
          <w:u w:val="single"/>
        </w:rPr>
        <w:t>（采购文件中明确的所属行业）</w:t>
      </w:r>
      <w:r>
        <w:rPr>
          <w:rFonts w:hint="eastAsia" w:ascii="宋体" w:hAnsi="宋体" w:cs="宋体"/>
          <w:szCs w:val="28"/>
        </w:rPr>
        <w:t>行业；制造商为</w:t>
      </w:r>
      <w:r>
        <w:rPr>
          <w:rFonts w:hint="eastAsia" w:ascii="宋体" w:hAnsi="宋体" w:cs="宋体"/>
          <w:i/>
          <w:iCs/>
          <w:szCs w:val="28"/>
          <w:u w:val="single"/>
        </w:rPr>
        <w:t>（企业名称）</w:t>
      </w:r>
      <w:r>
        <w:rPr>
          <w:rFonts w:hint="eastAsia" w:ascii="宋体" w:hAnsi="宋体" w:cs="宋体"/>
          <w:szCs w:val="28"/>
        </w:rPr>
        <w:t>，从业人员</w:t>
      </w:r>
      <w:r>
        <w:rPr>
          <w:rFonts w:hint="eastAsia" w:ascii="宋体" w:hAnsi="宋体" w:cs="宋体"/>
          <w:i/>
          <w:iCs/>
          <w:szCs w:val="28"/>
          <w:u w:val="single"/>
        </w:rPr>
        <w:t xml:space="preserve">        </w:t>
      </w:r>
      <w:r>
        <w:rPr>
          <w:rFonts w:hint="eastAsia" w:ascii="宋体" w:hAnsi="宋体" w:cs="宋体"/>
          <w:szCs w:val="28"/>
        </w:rPr>
        <w:t>人，营业收入为</w:t>
      </w:r>
      <w:r>
        <w:rPr>
          <w:rFonts w:hint="eastAsia" w:ascii="宋体" w:hAnsi="宋体" w:cs="宋体"/>
          <w:i/>
          <w:iCs/>
          <w:szCs w:val="28"/>
          <w:u w:val="single"/>
        </w:rPr>
        <w:t xml:space="preserve">        </w:t>
      </w:r>
      <w:r>
        <w:rPr>
          <w:rFonts w:hint="eastAsia" w:ascii="宋体" w:hAnsi="宋体" w:cs="宋体"/>
          <w:szCs w:val="28"/>
        </w:rPr>
        <w:t>万元，资产总额为</w:t>
      </w:r>
      <w:r>
        <w:rPr>
          <w:rFonts w:hint="eastAsia" w:ascii="宋体" w:hAnsi="宋体" w:cs="宋体"/>
          <w:i/>
          <w:iCs/>
          <w:szCs w:val="28"/>
          <w:u w:val="single"/>
        </w:rPr>
        <w:t xml:space="preserve">        </w:t>
      </w:r>
      <w:r>
        <w:rPr>
          <w:rFonts w:hint="eastAsia" w:ascii="宋体" w:hAnsi="宋体" w:cs="宋体"/>
          <w:szCs w:val="28"/>
        </w:rPr>
        <w:t>万元，属于</w:t>
      </w:r>
      <w:r>
        <w:rPr>
          <w:rFonts w:hint="eastAsia" w:ascii="宋体" w:hAnsi="宋体" w:cs="宋体"/>
          <w:i/>
          <w:iCs/>
          <w:szCs w:val="28"/>
          <w:u w:val="single"/>
        </w:rPr>
        <w:t>（中型企业、小型企业、微型企业）</w:t>
      </w:r>
      <w:r>
        <w:rPr>
          <w:rFonts w:hint="eastAsia" w:ascii="宋体" w:hAnsi="宋体" w:cs="宋体"/>
          <w:szCs w:val="28"/>
        </w:rPr>
        <w:t>；</w:t>
      </w:r>
    </w:p>
    <w:p w14:paraId="1BF803B7">
      <w:pPr>
        <w:widowControl/>
        <w:spacing w:line="360" w:lineRule="auto"/>
        <w:ind w:firstLine="420" w:firstLineChars="200"/>
        <w:jc w:val="left"/>
        <w:rPr>
          <w:rFonts w:ascii="宋体" w:hAnsi="宋体" w:cs="宋体"/>
          <w:szCs w:val="28"/>
        </w:rPr>
      </w:pPr>
      <w:r>
        <w:rPr>
          <w:rFonts w:hint="eastAsia" w:ascii="宋体" w:hAnsi="宋体" w:cs="宋体"/>
          <w:szCs w:val="28"/>
        </w:rPr>
        <w:t>……</w:t>
      </w:r>
    </w:p>
    <w:p w14:paraId="051D998E">
      <w:pPr>
        <w:widowControl/>
        <w:spacing w:line="360" w:lineRule="auto"/>
        <w:ind w:firstLine="420" w:firstLineChars="200"/>
        <w:jc w:val="left"/>
        <w:rPr>
          <w:rFonts w:ascii="宋体" w:hAnsi="宋体" w:cs="宋体"/>
          <w:szCs w:val="28"/>
        </w:rPr>
      </w:pPr>
      <w:r>
        <w:rPr>
          <w:rFonts w:hint="eastAsia" w:ascii="宋体" w:hAnsi="宋体" w:cs="宋体"/>
        </w:rPr>
        <w:t>供应商如不提供此声明函，价格将不做相应扣除（如项目全面面向中小企业，则资格审查不通过）</w:t>
      </w:r>
    </w:p>
    <w:p w14:paraId="1898C124">
      <w:pPr>
        <w:widowControl/>
        <w:spacing w:line="360" w:lineRule="auto"/>
        <w:ind w:firstLine="420" w:firstLineChars="200"/>
        <w:jc w:val="left"/>
        <w:rPr>
          <w:rFonts w:ascii="宋体" w:hAnsi="宋体" w:cs="宋体"/>
          <w:szCs w:val="28"/>
        </w:rPr>
      </w:pPr>
      <w:r>
        <w:rPr>
          <w:rFonts w:hint="eastAsia" w:ascii="宋体" w:hAnsi="宋体" w:cs="宋体"/>
          <w:szCs w:val="28"/>
        </w:rPr>
        <w:t>以上企业，不属于大企业的分支机构，不存在控股股东为大企业的情形，也不存在与大企业的负责人为同一人的情形。</w:t>
      </w:r>
    </w:p>
    <w:p w14:paraId="26DB0EC2">
      <w:pPr>
        <w:widowControl/>
        <w:spacing w:line="360" w:lineRule="auto"/>
        <w:ind w:firstLine="420" w:firstLineChars="200"/>
        <w:jc w:val="left"/>
        <w:rPr>
          <w:rFonts w:ascii="宋体" w:hAnsi="宋体" w:cs="宋体"/>
          <w:szCs w:val="28"/>
        </w:rPr>
      </w:pPr>
      <w:r>
        <w:rPr>
          <w:rFonts w:hint="eastAsia" w:ascii="宋体" w:hAnsi="宋体" w:cs="宋体"/>
          <w:szCs w:val="28"/>
        </w:rPr>
        <w:t>本企业对上述声明内容的真实性负责。如有虚假，将依法承担相应责任。</w:t>
      </w:r>
    </w:p>
    <w:p w14:paraId="45746395">
      <w:pPr>
        <w:widowControl/>
        <w:spacing w:line="360" w:lineRule="auto"/>
        <w:ind w:firstLine="3570" w:firstLineChars="1700"/>
        <w:jc w:val="left"/>
        <w:rPr>
          <w:rFonts w:ascii="宋体" w:hAnsi="宋体" w:cs="宋体"/>
          <w:szCs w:val="28"/>
        </w:rPr>
      </w:pPr>
    </w:p>
    <w:p w14:paraId="139ABBCC">
      <w:pPr>
        <w:widowControl/>
        <w:spacing w:line="360" w:lineRule="auto"/>
        <w:ind w:firstLine="3570" w:firstLineChars="1700"/>
        <w:jc w:val="left"/>
        <w:rPr>
          <w:rFonts w:ascii="宋体" w:hAnsi="宋体" w:cs="宋体"/>
          <w:szCs w:val="28"/>
        </w:rPr>
      </w:pPr>
    </w:p>
    <w:p w14:paraId="1EF82A53">
      <w:pPr>
        <w:widowControl/>
        <w:spacing w:line="360" w:lineRule="auto"/>
        <w:ind w:firstLine="3570" w:firstLineChars="1700"/>
        <w:jc w:val="left"/>
        <w:rPr>
          <w:rFonts w:ascii="宋体" w:hAnsi="宋体" w:cs="宋体"/>
          <w:szCs w:val="28"/>
        </w:rPr>
      </w:pPr>
    </w:p>
    <w:p w14:paraId="2C2BC831">
      <w:pPr>
        <w:widowControl/>
        <w:spacing w:line="360" w:lineRule="auto"/>
        <w:ind w:firstLine="3570" w:firstLineChars="1700"/>
        <w:jc w:val="left"/>
        <w:rPr>
          <w:rFonts w:ascii="宋体" w:hAnsi="宋体" w:cs="宋体"/>
          <w:szCs w:val="28"/>
        </w:rPr>
      </w:pPr>
      <w:r>
        <w:rPr>
          <w:rFonts w:hint="eastAsia" w:ascii="宋体" w:hAnsi="宋体" w:cs="宋体"/>
          <w:szCs w:val="28"/>
        </w:rPr>
        <w:t>企业名称（</w:t>
      </w:r>
      <w:r>
        <w:rPr>
          <w:rFonts w:hint="eastAsia" w:ascii="宋体" w:hAnsi="宋体" w:cs="宋体"/>
        </w:rPr>
        <w:t>加盖CA电子</w:t>
      </w:r>
      <w:r>
        <w:rPr>
          <w:rFonts w:hint="eastAsia" w:ascii="宋体" w:hAnsi="宋体" w:cs="宋体"/>
          <w:szCs w:val="28"/>
        </w:rPr>
        <w:t>盖章）：</w:t>
      </w:r>
    </w:p>
    <w:p w14:paraId="009C209D">
      <w:pPr>
        <w:widowControl/>
        <w:spacing w:line="360" w:lineRule="auto"/>
        <w:ind w:firstLine="3570" w:firstLineChars="1700"/>
        <w:jc w:val="left"/>
        <w:rPr>
          <w:rFonts w:ascii="宋体" w:hAnsi="宋体" w:cs="宋体"/>
          <w:szCs w:val="28"/>
        </w:rPr>
      </w:pPr>
      <w:r>
        <w:rPr>
          <w:rFonts w:hint="eastAsia" w:ascii="宋体" w:hAnsi="宋体" w:cs="宋体"/>
          <w:szCs w:val="28"/>
        </w:rPr>
        <w:t>日期：</w:t>
      </w:r>
    </w:p>
    <w:p w14:paraId="7FF3BA13">
      <w:pPr>
        <w:pStyle w:val="13"/>
      </w:pPr>
      <w:r>
        <w:t xml:space="preserve"> </w:t>
      </w:r>
    </w:p>
    <w:p w14:paraId="62B2C29E">
      <w:pPr>
        <w:spacing w:line="560" w:lineRule="exact"/>
        <w:jc w:val="center"/>
        <w:rPr>
          <w:rFonts w:ascii="黑体" w:hAnsi="黑体" w:eastAsia="黑体"/>
          <w:b/>
          <w:color w:val="000000"/>
          <w:sz w:val="32"/>
          <w:szCs w:val="32"/>
        </w:rPr>
      </w:pPr>
      <w:r>
        <w:rPr>
          <w:rFonts w:ascii="黑体" w:hAnsi="黑体" w:eastAsia="黑体"/>
          <w:b/>
          <w:color w:val="000000"/>
          <w:sz w:val="32"/>
          <w:szCs w:val="32"/>
        </w:rPr>
        <w:br w:type="page" w:clear="all"/>
      </w:r>
    </w:p>
    <w:p w14:paraId="2E560DCF">
      <w:pPr>
        <w:pStyle w:val="14"/>
        <w:spacing w:beforeAutospacing="0" w:afterAutospacing="0" w:line="0" w:lineRule="atLeast"/>
        <w:jc w:val="center"/>
      </w:pPr>
      <w:r>
        <w:rPr>
          <w:rFonts w:hint="eastAsia" w:ascii="黑体" w:hAnsi="宋体" w:eastAsia="黑体" w:cs="黑体"/>
          <w:b/>
          <w:sz w:val="32"/>
          <w:szCs w:val="32"/>
        </w:rPr>
        <w:t> 十、残疾人福利性单位声明函</w:t>
      </w:r>
    </w:p>
    <w:p w14:paraId="4475BAE7">
      <w:pPr>
        <w:pStyle w:val="14"/>
        <w:spacing w:beforeAutospacing="0" w:afterAutospacing="0" w:line="0" w:lineRule="atLeast"/>
        <w:ind w:firstLine="480"/>
        <w:jc w:val="both"/>
      </w:pPr>
      <w:r>
        <w:rPr>
          <w:rFonts w:hint="eastAsia" w:ascii="宋体" w:hAnsi="宋体" w:cs="宋体"/>
        </w:rPr>
        <w:t>本单位郑重声明，根据《财政部 民政部 中国残疾人联合会关于促进残疾人就业政府采购政策的通知》（财库〔2017〕 141号）的规定，本单位为符合条件的残疾人福利性单位，且本单位参加______单位的采购文件编号为______的</w:t>
      </w:r>
      <w:r>
        <w:rPr>
          <w:rFonts w:hint="eastAsia" w:ascii="宋体" w:hAnsi="宋体" w:cs="宋体"/>
          <w:u w:val="single"/>
        </w:rPr>
        <w:t xml:space="preserve">       </w:t>
      </w:r>
      <w:r>
        <w:rPr>
          <w:rFonts w:hint="eastAsia" w:ascii="宋体" w:hAnsi="宋体" w:cs="宋体"/>
        </w:rPr>
        <w:t>项目（分包号：**）采购活动提供本单位制造的货物，或者提供其他残疾人福利性单位制造的货物（不包括使用非残疾人福利性单位注册商标的货物）。</w:t>
      </w:r>
    </w:p>
    <w:p w14:paraId="193045DE">
      <w:pPr>
        <w:pStyle w:val="14"/>
        <w:spacing w:beforeAutospacing="0" w:afterAutospacing="0" w:line="0" w:lineRule="atLeast"/>
        <w:ind w:firstLine="480"/>
        <w:jc w:val="both"/>
      </w:pPr>
      <w:r>
        <w:rPr>
          <w:rFonts w:hint="eastAsia" w:ascii="宋体" w:hAnsi="宋体" w:cs="宋体"/>
        </w:rPr>
        <w:t>本单位对上述声明的真实性负责。如有虚假，将依法承担相应责任。</w:t>
      </w:r>
    </w:p>
    <w:p w14:paraId="4B6F3F7C">
      <w:pPr>
        <w:pStyle w:val="14"/>
        <w:spacing w:beforeAutospacing="0" w:afterAutospacing="0" w:line="0" w:lineRule="atLeast"/>
        <w:ind w:firstLine="480"/>
        <w:jc w:val="both"/>
      </w:pPr>
      <w:r>
        <w:t> </w:t>
      </w:r>
    </w:p>
    <w:p w14:paraId="30AF52E3">
      <w:pPr>
        <w:pStyle w:val="14"/>
        <w:spacing w:beforeAutospacing="0" w:afterAutospacing="0" w:line="0" w:lineRule="atLeast"/>
        <w:ind w:firstLine="480"/>
        <w:jc w:val="both"/>
      </w:pPr>
      <w:r>
        <w:rPr>
          <w:rFonts w:hint="eastAsia" w:ascii="宋体" w:hAnsi="宋体" w:cs="宋体"/>
        </w:rPr>
        <w:t>备注：1、供应商如不提供此声明函，价格将不做相应扣除（如项目全面面向中小企业，则资格审查不通过）。2、中标供应商为残疾人福利单位的，此声明函将随中标结果同时公告，接受社会监督</w:t>
      </w:r>
    </w:p>
    <w:p w14:paraId="23A6A24A">
      <w:pPr>
        <w:pStyle w:val="14"/>
        <w:spacing w:beforeAutospacing="0" w:afterAutospacing="0" w:line="0" w:lineRule="atLeast"/>
        <w:ind w:firstLine="624"/>
        <w:jc w:val="both"/>
      </w:pPr>
      <w:r>
        <w:t> </w:t>
      </w:r>
    </w:p>
    <w:p w14:paraId="33FC5574">
      <w:pPr>
        <w:pStyle w:val="14"/>
        <w:tabs>
          <w:tab w:val="left" w:pos="4864"/>
        </w:tabs>
        <w:spacing w:beforeAutospacing="0" w:afterAutospacing="0" w:line="0" w:lineRule="atLeast"/>
        <w:ind w:right="1560" w:firstLine="624"/>
        <w:jc w:val="center"/>
      </w:pPr>
      <w:r>
        <w:rPr>
          <w:rFonts w:ascii="仿宋_GB2312" w:eastAsia="仿宋_GB2312" w:cs="仿宋_GB2312"/>
          <w:sz w:val="30"/>
          <w:szCs w:val="30"/>
        </w:rPr>
        <w:t xml:space="preserve">             </w:t>
      </w:r>
      <w:r>
        <w:rPr>
          <w:rFonts w:hint="eastAsia" w:ascii="宋体" w:hAnsi="宋体" w:cs="宋体"/>
        </w:rPr>
        <w:t>          供应商全称（加盖CA电子公章）：</w:t>
      </w:r>
    </w:p>
    <w:p w14:paraId="23337AFA">
      <w:pPr>
        <w:pStyle w:val="14"/>
        <w:tabs>
          <w:tab w:val="left" w:pos="4864"/>
        </w:tabs>
        <w:spacing w:beforeAutospacing="0" w:afterAutospacing="0" w:line="0" w:lineRule="atLeast"/>
        <w:ind w:right="1560" w:firstLine="480"/>
        <w:jc w:val="center"/>
      </w:pPr>
      <w:r>
        <w:rPr>
          <w:rFonts w:hint="eastAsia" w:ascii="宋体" w:hAnsi="宋体" w:cs="宋体"/>
        </w:rPr>
        <w:t>        日  期：</w:t>
      </w:r>
    </w:p>
    <w:p w14:paraId="6DB464B3">
      <w:pPr>
        <w:pStyle w:val="14"/>
        <w:spacing w:beforeAutospacing="0" w:afterAutospacing="0" w:line="0" w:lineRule="atLeast"/>
        <w:jc w:val="center"/>
      </w:pPr>
      <w:r>
        <w:t> </w:t>
      </w:r>
    </w:p>
    <w:p w14:paraId="4DD6B1F6">
      <w:pPr>
        <w:pStyle w:val="14"/>
        <w:spacing w:beforeAutospacing="0" w:afterAutospacing="0" w:line="0" w:lineRule="atLeast"/>
        <w:jc w:val="center"/>
      </w:pPr>
      <w:r>
        <w:t> </w:t>
      </w:r>
    </w:p>
    <w:p w14:paraId="1950FB19">
      <w:pPr>
        <w:pStyle w:val="14"/>
        <w:spacing w:beforeAutospacing="0" w:afterAutospacing="0" w:line="0" w:lineRule="atLeast"/>
        <w:jc w:val="center"/>
      </w:pPr>
      <w:r>
        <w:t> </w:t>
      </w:r>
    </w:p>
    <w:p w14:paraId="415AE7F2">
      <w:pPr>
        <w:pStyle w:val="14"/>
        <w:spacing w:beforeAutospacing="0" w:afterAutospacing="0" w:line="0" w:lineRule="atLeast"/>
        <w:jc w:val="center"/>
      </w:pPr>
      <w:r>
        <w:t> </w:t>
      </w:r>
    </w:p>
    <w:p w14:paraId="5E2A9C08">
      <w:pPr>
        <w:pStyle w:val="14"/>
        <w:spacing w:beforeAutospacing="0" w:afterAutospacing="0" w:line="0" w:lineRule="atLeast"/>
        <w:jc w:val="center"/>
      </w:pPr>
      <w:r>
        <w:t> </w:t>
      </w:r>
    </w:p>
    <w:p w14:paraId="359FC85F">
      <w:pPr>
        <w:pStyle w:val="14"/>
        <w:spacing w:beforeAutospacing="0" w:afterAutospacing="0" w:line="0" w:lineRule="atLeast"/>
        <w:jc w:val="center"/>
      </w:pPr>
      <w:r>
        <w:t> </w:t>
      </w:r>
    </w:p>
    <w:p w14:paraId="423A8E7B">
      <w:pPr>
        <w:pStyle w:val="14"/>
        <w:spacing w:beforeAutospacing="0" w:afterAutospacing="0" w:line="0" w:lineRule="atLeast"/>
        <w:jc w:val="center"/>
      </w:pPr>
      <w:r>
        <w:t> </w:t>
      </w:r>
    </w:p>
    <w:p w14:paraId="4312006C">
      <w:pPr>
        <w:pStyle w:val="14"/>
        <w:spacing w:beforeAutospacing="0" w:afterAutospacing="0" w:line="0" w:lineRule="atLeast"/>
        <w:jc w:val="center"/>
      </w:pPr>
      <w:r>
        <w:t> </w:t>
      </w:r>
    </w:p>
    <w:p w14:paraId="1B62A573">
      <w:pPr>
        <w:pStyle w:val="14"/>
        <w:spacing w:beforeAutospacing="0" w:afterAutospacing="0" w:line="0" w:lineRule="atLeast"/>
        <w:jc w:val="center"/>
      </w:pPr>
      <w:r>
        <w:t> </w:t>
      </w:r>
    </w:p>
    <w:p w14:paraId="77A02F0D">
      <w:pPr>
        <w:pStyle w:val="14"/>
        <w:spacing w:beforeAutospacing="0" w:afterAutospacing="0" w:line="0" w:lineRule="atLeast"/>
        <w:jc w:val="center"/>
      </w:pPr>
    </w:p>
    <w:p w14:paraId="5AF3C845">
      <w:pPr>
        <w:pStyle w:val="14"/>
        <w:spacing w:beforeAutospacing="0" w:afterAutospacing="0" w:line="0" w:lineRule="atLeast"/>
        <w:jc w:val="center"/>
      </w:pPr>
    </w:p>
    <w:p w14:paraId="660E8B2A">
      <w:pPr>
        <w:pStyle w:val="14"/>
        <w:spacing w:beforeAutospacing="0" w:afterAutospacing="0" w:line="0" w:lineRule="atLeast"/>
        <w:jc w:val="center"/>
      </w:pPr>
    </w:p>
    <w:p w14:paraId="7AC8882D">
      <w:pPr>
        <w:pStyle w:val="14"/>
        <w:spacing w:beforeAutospacing="0" w:afterAutospacing="0" w:line="0" w:lineRule="atLeast"/>
        <w:jc w:val="center"/>
      </w:pPr>
    </w:p>
    <w:p w14:paraId="4EE0AF3C">
      <w:pPr>
        <w:pStyle w:val="14"/>
        <w:spacing w:beforeAutospacing="0" w:afterAutospacing="0" w:line="0" w:lineRule="atLeast"/>
        <w:jc w:val="center"/>
      </w:pPr>
    </w:p>
    <w:p w14:paraId="694AA923">
      <w:pPr>
        <w:pStyle w:val="14"/>
        <w:spacing w:beforeAutospacing="0" w:afterAutospacing="0" w:line="0" w:lineRule="atLeast"/>
        <w:jc w:val="center"/>
      </w:pPr>
    </w:p>
    <w:p w14:paraId="14E93B09">
      <w:pPr>
        <w:pStyle w:val="14"/>
        <w:spacing w:beforeAutospacing="0" w:afterAutospacing="0" w:line="0" w:lineRule="atLeast"/>
        <w:jc w:val="center"/>
      </w:pPr>
    </w:p>
    <w:p w14:paraId="5747A73C">
      <w:pPr>
        <w:pStyle w:val="14"/>
        <w:spacing w:beforeAutospacing="0" w:afterAutospacing="0" w:line="0" w:lineRule="atLeast"/>
        <w:jc w:val="center"/>
      </w:pPr>
    </w:p>
    <w:p w14:paraId="39EE956E">
      <w:pPr>
        <w:pStyle w:val="14"/>
        <w:spacing w:beforeAutospacing="0" w:afterAutospacing="0" w:line="0" w:lineRule="atLeast"/>
        <w:jc w:val="center"/>
      </w:pPr>
      <w:r>
        <w:t> </w:t>
      </w:r>
    </w:p>
    <w:p w14:paraId="0FA5C59B">
      <w:pPr>
        <w:pStyle w:val="14"/>
        <w:spacing w:beforeAutospacing="0" w:afterAutospacing="0" w:line="0" w:lineRule="atLeast"/>
        <w:jc w:val="center"/>
      </w:pPr>
    </w:p>
    <w:p w14:paraId="665238B0">
      <w:pPr>
        <w:pStyle w:val="14"/>
        <w:spacing w:beforeAutospacing="0" w:afterAutospacing="0" w:line="0" w:lineRule="atLeast"/>
        <w:jc w:val="center"/>
      </w:pPr>
    </w:p>
    <w:p w14:paraId="7033D8FF">
      <w:pPr>
        <w:pStyle w:val="14"/>
        <w:spacing w:beforeAutospacing="0" w:afterAutospacing="0" w:line="0" w:lineRule="atLeast"/>
        <w:jc w:val="center"/>
      </w:pPr>
    </w:p>
    <w:p w14:paraId="7544E6E7">
      <w:pPr>
        <w:pStyle w:val="14"/>
        <w:spacing w:beforeAutospacing="0" w:afterAutospacing="0" w:line="0" w:lineRule="atLeast"/>
        <w:jc w:val="center"/>
      </w:pPr>
    </w:p>
    <w:p w14:paraId="7C2591D9">
      <w:pPr>
        <w:pStyle w:val="14"/>
        <w:spacing w:beforeAutospacing="0" w:afterAutospacing="0" w:line="0" w:lineRule="atLeast"/>
        <w:jc w:val="center"/>
      </w:pPr>
    </w:p>
    <w:p w14:paraId="5A4375A4">
      <w:pPr>
        <w:pStyle w:val="14"/>
        <w:spacing w:beforeAutospacing="0" w:afterAutospacing="0" w:line="0" w:lineRule="atLeast"/>
        <w:jc w:val="center"/>
      </w:pPr>
    </w:p>
    <w:p w14:paraId="78B2A942">
      <w:pPr>
        <w:pStyle w:val="14"/>
        <w:spacing w:beforeAutospacing="0" w:afterAutospacing="0" w:line="0" w:lineRule="atLeast"/>
        <w:jc w:val="center"/>
      </w:pPr>
    </w:p>
    <w:p w14:paraId="4186ECF8">
      <w:pPr>
        <w:pStyle w:val="14"/>
        <w:spacing w:beforeAutospacing="0" w:afterAutospacing="0" w:line="0" w:lineRule="atLeast"/>
        <w:jc w:val="center"/>
      </w:pPr>
    </w:p>
    <w:p w14:paraId="4C2479B2">
      <w:pPr>
        <w:pStyle w:val="14"/>
        <w:spacing w:beforeAutospacing="0" w:afterAutospacing="0" w:line="0" w:lineRule="atLeast"/>
        <w:jc w:val="center"/>
      </w:pPr>
    </w:p>
    <w:p w14:paraId="764FE571">
      <w:pPr>
        <w:pStyle w:val="14"/>
        <w:spacing w:beforeAutospacing="0" w:afterAutospacing="0" w:line="0" w:lineRule="atLeast"/>
        <w:jc w:val="center"/>
      </w:pPr>
      <w:r>
        <w:t> </w:t>
      </w:r>
    </w:p>
    <w:p w14:paraId="4B085696">
      <w:pPr>
        <w:pStyle w:val="14"/>
        <w:spacing w:beforeAutospacing="0" w:afterAutospacing="0"/>
        <w:jc w:val="both"/>
      </w:pPr>
      <w:r>
        <w:t> </w:t>
      </w:r>
    </w:p>
    <w:p w14:paraId="4B6C1E6B">
      <w:pPr>
        <w:jc w:val="center"/>
        <w:rPr>
          <w:rFonts w:ascii="黑体" w:hAnsi="黑体" w:eastAsia="黑体"/>
          <w:b/>
          <w:color w:val="000000"/>
          <w:sz w:val="32"/>
          <w:szCs w:val="32"/>
        </w:rPr>
      </w:pPr>
      <w:r>
        <w:rPr>
          <w:rFonts w:hint="eastAsia" w:ascii="黑体" w:hAnsi="宋体" w:eastAsia="黑体" w:cs="黑体"/>
          <w:b/>
          <w:color w:val="000000"/>
          <w:sz w:val="32"/>
          <w:szCs w:val="32"/>
        </w:rPr>
        <w:t>十一、</w:t>
      </w:r>
      <w:r>
        <w:rPr>
          <w:rFonts w:hint="eastAsia" w:ascii="黑体" w:hAnsi="黑体" w:eastAsia="黑体"/>
          <w:b/>
          <w:color w:val="000000"/>
          <w:sz w:val="32"/>
          <w:szCs w:val="32"/>
        </w:rPr>
        <w:t>技术参数响应对照表</w:t>
      </w:r>
    </w:p>
    <w:tbl>
      <w:tblPr>
        <w:tblStyle w:val="16"/>
        <w:tblW w:w="938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48"/>
        <w:gridCol w:w="1620"/>
        <w:gridCol w:w="1980"/>
        <w:gridCol w:w="2160"/>
        <w:gridCol w:w="1260"/>
        <w:gridCol w:w="1620"/>
      </w:tblGrid>
      <w:tr w14:paraId="4FF67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40" w:hRule="atLeast"/>
        </w:trPr>
        <w:tc>
          <w:tcPr>
            <w:tcW w:w="748" w:type="dxa"/>
            <w:vAlign w:val="center"/>
          </w:tcPr>
          <w:p w14:paraId="68CFE3A9">
            <w:pPr>
              <w:spacing w:line="420" w:lineRule="exact"/>
              <w:jc w:val="center"/>
              <w:rPr>
                <w:rFonts w:ascii="宋体" w:hAnsi="宋体"/>
                <w:sz w:val="24"/>
              </w:rPr>
            </w:pPr>
            <w:r>
              <w:rPr>
                <w:rFonts w:ascii="宋体" w:hAnsi="宋体"/>
                <w:sz w:val="24"/>
              </w:rPr>
              <w:t>序号</w:t>
            </w:r>
          </w:p>
        </w:tc>
        <w:tc>
          <w:tcPr>
            <w:tcW w:w="1620" w:type="dxa"/>
            <w:vAlign w:val="center"/>
          </w:tcPr>
          <w:p w14:paraId="03A0461A">
            <w:pPr>
              <w:spacing w:line="420" w:lineRule="exact"/>
              <w:jc w:val="center"/>
              <w:rPr>
                <w:rFonts w:ascii="宋体" w:hAnsi="宋体"/>
                <w:sz w:val="24"/>
              </w:rPr>
            </w:pPr>
            <w:r>
              <w:rPr>
                <w:rFonts w:hint="eastAsia" w:ascii="宋体" w:hAnsi="宋体"/>
                <w:sz w:val="24"/>
              </w:rPr>
              <w:t>设备</w:t>
            </w:r>
            <w:r>
              <w:rPr>
                <w:rFonts w:ascii="宋体" w:hAnsi="宋体"/>
                <w:sz w:val="24"/>
              </w:rPr>
              <w:t>名称</w:t>
            </w:r>
            <w:r>
              <w:rPr>
                <w:rFonts w:hint="eastAsia" w:ascii="宋体" w:hAnsi="宋体"/>
                <w:sz w:val="24"/>
              </w:rPr>
              <w:t>及品牌型号</w:t>
            </w:r>
          </w:p>
        </w:tc>
        <w:tc>
          <w:tcPr>
            <w:tcW w:w="1980" w:type="dxa"/>
            <w:vAlign w:val="center"/>
          </w:tcPr>
          <w:p w14:paraId="585C34FF">
            <w:pPr>
              <w:spacing w:line="420" w:lineRule="exact"/>
              <w:jc w:val="center"/>
              <w:rPr>
                <w:rFonts w:ascii="宋体" w:hAnsi="宋体"/>
                <w:sz w:val="24"/>
              </w:rPr>
            </w:pPr>
            <w:r>
              <w:rPr>
                <w:rFonts w:hint="eastAsia" w:ascii="宋体" w:hAnsi="宋体"/>
                <w:sz w:val="24"/>
              </w:rPr>
              <w:t>招标产品技术参数</w:t>
            </w:r>
          </w:p>
        </w:tc>
        <w:tc>
          <w:tcPr>
            <w:tcW w:w="2160" w:type="dxa"/>
            <w:tcBorders>
              <w:right w:val="single" w:color="auto" w:sz="4" w:space="0"/>
            </w:tcBorders>
            <w:vAlign w:val="center"/>
          </w:tcPr>
          <w:p w14:paraId="793DD4B7">
            <w:pPr>
              <w:spacing w:line="420" w:lineRule="exact"/>
              <w:jc w:val="center"/>
              <w:rPr>
                <w:rFonts w:ascii="宋体" w:hAnsi="宋体"/>
                <w:sz w:val="24"/>
              </w:rPr>
            </w:pPr>
            <w:r>
              <w:rPr>
                <w:rFonts w:hint="eastAsia" w:ascii="宋体" w:hAnsi="宋体"/>
                <w:sz w:val="24"/>
              </w:rPr>
              <w:t>投标产品技术参数</w:t>
            </w:r>
          </w:p>
        </w:tc>
        <w:tc>
          <w:tcPr>
            <w:tcW w:w="1260" w:type="dxa"/>
          </w:tcPr>
          <w:p w14:paraId="15EE8BC1">
            <w:pPr>
              <w:autoSpaceDE w:val="0"/>
              <w:autoSpaceDN w:val="0"/>
              <w:adjustRightInd w:val="0"/>
              <w:jc w:val="center"/>
              <w:rPr>
                <w:rFonts w:ascii="宋体" w:hAnsi="宋体"/>
                <w:sz w:val="24"/>
              </w:rPr>
            </w:pPr>
          </w:p>
          <w:p w14:paraId="1F7C4DD1">
            <w:pPr>
              <w:autoSpaceDE w:val="0"/>
              <w:autoSpaceDN w:val="0"/>
              <w:adjustRightInd w:val="0"/>
              <w:rPr>
                <w:rFonts w:ascii="宋体" w:hAnsi="宋体"/>
                <w:sz w:val="24"/>
                <w:lang w:val="zh-CN"/>
              </w:rPr>
            </w:pPr>
            <w:r>
              <w:rPr>
                <w:rFonts w:hint="eastAsia" w:ascii="宋体" w:hAnsi="宋体"/>
                <w:sz w:val="24"/>
              </w:rPr>
              <w:t>符合或负偏离</w:t>
            </w:r>
          </w:p>
        </w:tc>
        <w:tc>
          <w:tcPr>
            <w:tcW w:w="1620" w:type="dxa"/>
            <w:vAlign w:val="center"/>
          </w:tcPr>
          <w:p w14:paraId="091F55B9">
            <w:pPr>
              <w:spacing w:line="420" w:lineRule="exact"/>
              <w:jc w:val="center"/>
              <w:rPr>
                <w:rFonts w:ascii="宋体" w:hAnsi="宋体"/>
                <w:sz w:val="24"/>
              </w:rPr>
            </w:pPr>
            <w:r>
              <w:rPr>
                <w:rFonts w:hint="eastAsia" w:ascii="宋体" w:hAnsi="宋体"/>
                <w:sz w:val="24"/>
              </w:rPr>
              <w:t>原因</w:t>
            </w:r>
          </w:p>
        </w:tc>
      </w:tr>
      <w:tr w14:paraId="63A8E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40" w:hRule="atLeast"/>
        </w:trPr>
        <w:tc>
          <w:tcPr>
            <w:tcW w:w="748" w:type="dxa"/>
            <w:vAlign w:val="center"/>
          </w:tcPr>
          <w:p w14:paraId="34BA1005">
            <w:pPr>
              <w:spacing w:line="420" w:lineRule="exact"/>
              <w:jc w:val="center"/>
              <w:rPr>
                <w:rFonts w:ascii="宋体" w:hAnsi="宋体"/>
                <w:sz w:val="24"/>
              </w:rPr>
            </w:pPr>
          </w:p>
        </w:tc>
        <w:tc>
          <w:tcPr>
            <w:tcW w:w="1620" w:type="dxa"/>
            <w:vAlign w:val="center"/>
          </w:tcPr>
          <w:p w14:paraId="2151264B">
            <w:pPr>
              <w:spacing w:line="420" w:lineRule="exact"/>
              <w:jc w:val="center"/>
              <w:rPr>
                <w:rFonts w:ascii="宋体" w:hAnsi="宋体"/>
                <w:sz w:val="24"/>
              </w:rPr>
            </w:pPr>
          </w:p>
        </w:tc>
        <w:tc>
          <w:tcPr>
            <w:tcW w:w="1980" w:type="dxa"/>
            <w:vAlign w:val="center"/>
          </w:tcPr>
          <w:p w14:paraId="3ED21D3A">
            <w:pPr>
              <w:spacing w:line="420" w:lineRule="exact"/>
              <w:jc w:val="center"/>
              <w:rPr>
                <w:rFonts w:ascii="宋体" w:hAnsi="宋体"/>
                <w:sz w:val="24"/>
              </w:rPr>
            </w:pPr>
          </w:p>
        </w:tc>
        <w:tc>
          <w:tcPr>
            <w:tcW w:w="2160" w:type="dxa"/>
            <w:tcBorders>
              <w:right w:val="single" w:color="auto" w:sz="4" w:space="0"/>
            </w:tcBorders>
            <w:vAlign w:val="center"/>
          </w:tcPr>
          <w:p w14:paraId="7A6A41DC">
            <w:pPr>
              <w:spacing w:line="420" w:lineRule="exact"/>
              <w:jc w:val="center"/>
              <w:rPr>
                <w:rFonts w:ascii="宋体" w:hAnsi="宋体"/>
                <w:sz w:val="24"/>
              </w:rPr>
            </w:pPr>
          </w:p>
        </w:tc>
        <w:tc>
          <w:tcPr>
            <w:tcW w:w="1260" w:type="dxa"/>
          </w:tcPr>
          <w:p w14:paraId="78FDF978">
            <w:pPr>
              <w:spacing w:line="420" w:lineRule="exact"/>
              <w:jc w:val="center"/>
              <w:rPr>
                <w:rFonts w:ascii="宋体" w:hAnsi="宋体"/>
                <w:sz w:val="24"/>
              </w:rPr>
            </w:pPr>
          </w:p>
        </w:tc>
        <w:tc>
          <w:tcPr>
            <w:tcW w:w="1620" w:type="dxa"/>
            <w:vAlign w:val="center"/>
          </w:tcPr>
          <w:p w14:paraId="78468CE9">
            <w:pPr>
              <w:spacing w:line="420" w:lineRule="exact"/>
              <w:jc w:val="center"/>
              <w:rPr>
                <w:rFonts w:ascii="宋体" w:hAnsi="宋体"/>
                <w:sz w:val="24"/>
              </w:rPr>
            </w:pPr>
          </w:p>
        </w:tc>
      </w:tr>
      <w:tr w14:paraId="5D9D8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40" w:hRule="atLeast"/>
        </w:trPr>
        <w:tc>
          <w:tcPr>
            <w:tcW w:w="748" w:type="dxa"/>
            <w:vAlign w:val="center"/>
          </w:tcPr>
          <w:p w14:paraId="6F5C53E1">
            <w:pPr>
              <w:spacing w:line="420" w:lineRule="exact"/>
              <w:jc w:val="center"/>
              <w:rPr>
                <w:rFonts w:ascii="宋体" w:hAnsi="宋体"/>
                <w:sz w:val="24"/>
                <w:highlight w:val="yellow"/>
              </w:rPr>
            </w:pPr>
          </w:p>
        </w:tc>
        <w:tc>
          <w:tcPr>
            <w:tcW w:w="1620" w:type="dxa"/>
            <w:vAlign w:val="center"/>
          </w:tcPr>
          <w:p w14:paraId="0166AEC1">
            <w:pPr>
              <w:spacing w:line="420" w:lineRule="exact"/>
              <w:jc w:val="center"/>
              <w:rPr>
                <w:rFonts w:ascii="宋体" w:hAnsi="宋体"/>
                <w:sz w:val="24"/>
                <w:highlight w:val="yellow"/>
              </w:rPr>
            </w:pPr>
          </w:p>
        </w:tc>
        <w:tc>
          <w:tcPr>
            <w:tcW w:w="1980" w:type="dxa"/>
            <w:vAlign w:val="center"/>
          </w:tcPr>
          <w:p w14:paraId="30C24B1B">
            <w:pPr>
              <w:spacing w:line="420" w:lineRule="exact"/>
              <w:jc w:val="center"/>
              <w:rPr>
                <w:rFonts w:ascii="宋体" w:hAnsi="宋体"/>
                <w:sz w:val="24"/>
                <w:highlight w:val="yellow"/>
              </w:rPr>
            </w:pPr>
          </w:p>
        </w:tc>
        <w:tc>
          <w:tcPr>
            <w:tcW w:w="2160" w:type="dxa"/>
            <w:tcBorders>
              <w:right w:val="single" w:color="auto" w:sz="4" w:space="0"/>
            </w:tcBorders>
            <w:vAlign w:val="center"/>
          </w:tcPr>
          <w:p w14:paraId="27C87B19">
            <w:pPr>
              <w:spacing w:line="420" w:lineRule="exact"/>
              <w:jc w:val="center"/>
              <w:rPr>
                <w:rFonts w:ascii="宋体" w:hAnsi="宋体"/>
                <w:sz w:val="24"/>
                <w:highlight w:val="yellow"/>
              </w:rPr>
            </w:pPr>
          </w:p>
        </w:tc>
        <w:tc>
          <w:tcPr>
            <w:tcW w:w="1260" w:type="dxa"/>
          </w:tcPr>
          <w:p w14:paraId="1C78BDF2">
            <w:pPr>
              <w:spacing w:line="420" w:lineRule="exact"/>
              <w:jc w:val="center"/>
              <w:rPr>
                <w:rFonts w:ascii="宋体" w:hAnsi="宋体"/>
                <w:sz w:val="24"/>
                <w:highlight w:val="yellow"/>
              </w:rPr>
            </w:pPr>
          </w:p>
        </w:tc>
        <w:tc>
          <w:tcPr>
            <w:tcW w:w="1620" w:type="dxa"/>
            <w:vAlign w:val="center"/>
          </w:tcPr>
          <w:p w14:paraId="10B66EBC">
            <w:pPr>
              <w:spacing w:line="420" w:lineRule="exact"/>
              <w:jc w:val="center"/>
              <w:rPr>
                <w:rFonts w:ascii="宋体" w:hAnsi="宋体"/>
                <w:sz w:val="24"/>
                <w:highlight w:val="yellow"/>
              </w:rPr>
            </w:pPr>
          </w:p>
        </w:tc>
      </w:tr>
      <w:tr w14:paraId="06FE1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40" w:hRule="atLeast"/>
        </w:trPr>
        <w:tc>
          <w:tcPr>
            <w:tcW w:w="748" w:type="dxa"/>
            <w:vAlign w:val="center"/>
          </w:tcPr>
          <w:p w14:paraId="13E5794B">
            <w:pPr>
              <w:spacing w:line="420" w:lineRule="exact"/>
              <w:jc w:val="center"/>
              <w:rPr>
                <w:rFonts w:ascii="宋体" w:hAnsi="宋体"/>
                <w:sz w:val="24"/>
                <w:highlight w:val="yellow"/>
              </w:rPr>
            </w:pPr>
          </w:p>
        </w:tc>
        <w:tc>
          <w:tcPr>
            <w:tcW w:w="1620" w:type="dxa"/>
            <w:vAlign w:val="center"/>
          </w:tcPr>
          <w:p w14:paraId="416A0931">
            <w:pPr>
              <w:spacing w:line="420" w:lineRule="exact"/>
              <w:jc w:val="center"/>
              <w:rPr>
                <w:rFonts w:ascii="宋体" w:hAnsi="宋体"/>
                <w:sz w:val="24"/>
                <w:highlight w:val="yellow"/>
              </w:rPr>
            </w:pPr>
          </w:p>
        </w:tc>
        <w:tc>
          <w:tcPr>
            <w:tcW w:w="1980" w:type="dxa"/>
            <w:vAlign w:val="center"/>
          </w:tcPr>
          <w:p w14:paraId="202C39ED">
            <w:pPr>
              <w:spacing w:line="420" w:lineRule="exact"/>
              <w:jc w:val="center"/>
              <w:rPr>
                <w:rFonts w:ascii="宋体" w:hAnsi="宋体"/>
                <w:sz w:val="24"/>
                <w:highlight w:val="yellow"/>
              </w:rPr>
            </w:pPr>
          </w:p>
        </w:tc>
        <w:tc>
          <w:tcPr>
            <w:tcW w:w="2160" w:type="dxa"/>
            <w:tcBorders>
              <w:right w:val="single" w:color="auto" w:sz="4" w:space="0"/>
            </w:tcBorders>
            <w:vAlign w:val="center"/>
          </w:tcPr>
          <w:p w14:paraId="449969B4">
            <w:pPr>
              <w:spacing w:line="420" w:lineRule="exact"/>
              <w:jc w:val="center"/>
              <w:rPr>
                <w:rFonts w:ascii="宋体" w:hAnsi="宋体"/>
                <w:sz w:val="24"/>
                <w:highlight w:val="yellow"/>
              </w:rPr>
            </w:pPr>
          </w:p>
        </w:tc>
        <w:tc>
          <w:tcPr>
            <w:tcW w:w="1260" w:type="dxa"/>
          </w:tcPr>
          <w:p w14:paraId="6BF45C50">
            <w:pPr>
              <w:spacing w:line="420" w:lineRule="exact"/>
              <w:jc w:val="center"/>
              <w:rPr>
                <w:rFonts w:ascii="宋体" w:hAnsi="宋体"/>
                <w:sz w:val="24"/>
                <w:highlight w:val="yellow"/>
              </w:rPr>
            </w:pPr>
          </w:p>
        </w:tc>
        <w:tc>
          <w:tcPr>
            <w:tcW w:w="1620" w:type="dxa"/>
            <w:vAlign w:val="center"/>
          </w:tcPr>
          <w:p w14:paraId="66392193">
            <w:pPr>
              <w:spacing w:line="420" w:lineRule="exact"/>
              <w:jc w:val="center"/>
              <w:rPr>
                <w:rFonts w:ascii="宋体" w:hAnsi="宋体"/>
                <w:sz w:val="24"/>
                <w:highlight w:val="yellow"/>
              </w:rPr>
            </w:pPr>
          </w:p>
        </w:tc>
      </w:tr>
      <w:tr w14:paraId="23190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40" w:hRule="atLeast"/>
        </w:trPr>
        <w:tc>
          <w:tcPr>
            <w:tcW w:w="748" w:type="dxa"/>
            <w:vAlign w:val="center"/>
          </w:tcPr>
          <w:p w14:paraId="76BE6648">
            <w:pPr>
              <w:spacing w:line="420" w:lineRule="exact"/>
              <w:jc w:val="center"/>
              <w:rPr>
                <w:rFonts w:ascii="宋体" w:hAnsi="宋体"/>
                <w:sz w:val="24"/>
                <w:highlight w:val="yellow"/>
              </w:rPr>
            </w:pPr>
          </w:p>
        </w:tc>
        <w:tc>
          <w:tcPr>
            <w:tcW w:w="1620" w:type="dxa"/>
            <w:vAlign w:val="center"/>
          </w:tcPr>
          <w:p w14:paraId="5736E619">
            <w:pPr>
              <w:spacing w:line="420" w:lineRule="exact"/>
              <w:jc w:val="center"/>
              <w:rPr>
                <w:rFonts w:ascii="宋体" w:hAnsi="宋体"/>
                <w:sz w:val="24"/>
                <w:highlight w:val="yellow"/>
              </w:rPr>
            </w:pPr>
          </w:p>
        </w:tc>
        <w:tc>
          <w:tcPr>
            <w:tcW w:w="1980" w:type="dxa"/>
            <w:vAlign w:val="center"/>
          </w:tcPr>
          <w:p w14:paraId="3DF81EF0">
            <w:pPr>
              <w:spacing w:line="420" w:lineRule="exact"/>
              <w:jc w:val="center"/>
              <w:rPr>
                <w:rFonts w:ascii="宋体" w:hAnsi="宋体"/>
                <w:sz w:val="24"/>
                <w:highlight w:val="yellow"/>
              </w:rPr>
            </w:pPr>
          </w:p>
        </w:tc>
        <w:tc>
          <w:tcPr>
            <w:tcW w:w="2160" w:type="dxa"/>
            <w:tcBorders>
              <w:right w:val="single" w:color="auto" w:sz="4" w:space="0"/>
            </w:tcBorders>
            <w:vAlign w:val="center"/>
          </w:tcPr>
          <w:p w14:paraId="4DEBDEB4">
            <w:pPr>
              <w:spacing w:line="420" w:lineRule="exact"/>
              <w:jc w:val="center"/>
              <w:rPr>
                <w:rFonts w:ascii="宋体" w:hAnsi="宋体"/>
                <w:sz w:val="24"/>
                <w:highlight w:val="yellow"/>
              </w:rPr>
            </w:pPr>
          </w:p>
        </w:tc>
        <w:tc>
          <w:tcPr>
            <w:tcW w:w="1260" w:type="dxa"/>
          </w:tcPr>
          <w:p w14:paraId="19D5AF77">
            <w:pPr>
              <w:spacing w:line="420" w:lineRule="exact"/>
              <w:jc w:val="center"/>
              <w:rPr>
                <w:rFonts w:ascii="宋体" w:hAnsi="宋体"/>
                <w:sz w:val="24"/>
                <w:highlight w:val="yellow"/>
              </w:rPr>
            </w:pPr>
          </w:p>
        </w:tc>
        <w:tc>
          <w:tcPr>
            <w:tcW w:w="1620" w:type="dxa"/>
            <w:vAlign w:val="center"/>
          </w:tcPr>
          <w:p w14:paraId="21B0430C">
            <w:pPr>
              <w:spacing w:line="420" w:lineRule="exact"/>
              <w:jc w:val="center"/>
              <w:rPr>
                <w:rFonts w:ascii="宋体" w:hAnsi="宋体"/>
                <w:sz w:val="24"/>
                <w:highlight w:val="yellow"/>
              </w:rPr>
            </w:pPr>
          </w:p>
        </w:tc>
      </w:tr>
      <w:tr w14:paraId="3971E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40" w:hRule="atLeast"/>
        </w:trPr>
        <w:tc>
          <w:tcPr>
            <w:tcW w:w="748" w:type="dxa"/>
            <w:tcBorders>
              <w:top w:val="single" w:color="auto" w:sz="6" w:space="0"/>
              <w:left w:val="single" w:color="auto" w:sz="6" w:space="0"/>
              <w:bottom w:val="single" w:color="auto" w:sz="6" w:space="0"/>
              <w:right w:val="single" w:color="auto" w:sz="6" w:space="0"/>
            </w:tcBorders>
            <w:vAlign w:val="center"/>
          </w:tcPr>
          <w:p w14:paraId="382DFCC5">
            <w:pPr>
              <w:spacing w:line="420" w:lineRule="exact"/>
              <w:jc w:val="center"/>
              <w:rPr>
                <w:rFonts w:ascii="宋体" w:hAnsi="宋体"/>
                <w:sz w:val="24"/>
                <w:highlight w:val="yellow"/>
              </w:rPr>
            </w:pPr>
          </w:p>
        </w:tc>
        <w:tc>
          <w:tcPr>
            <w:tcW w:w="1620" w:type="dxa"/>
            <w:tcBorders>
              <w:top w:val="single" w:color="auto" w:sz="6" w:space="0"/>
              <w:left w:val="single" w:color="auto" w:sz="6" w:space="0"/>
              <w:bottom w:val="single" w:color="auto" w:sz="6" w:space="0"/>
              <w:right w:val="single" w:color="auto" w:sz="6" w:space="0"/>
            </w:tcBorders>
            <w:vAlign w:val="center"/>
          </w:tcPr>
          <w:p w14:paraId="6AC6B74E">
            <w:pPr>
              <w:spacing w:line="420" w:lineRule="exact"/>
              <w:jc w:val="center"/>
              <w:rPr>
                <w:rFonts w:ascii="宋体" w:hAnsi="宋体"/>
                <w:sz w:val="24"/>
                <w:highlight w:val="yellow"/>
              </w:rPr>
            </w:pPr>
          </w:p>
        </w:tc>
        <w:tc>
          <w:tcPr>
            <w:tcW w:w="1980" w:type="dxa"/>
            <w:tcBorders>
              <w:top w:val="single" w:color="auto" w:sz="6" w:space="0"/>
              <w:left w:val="single" w:color="auto" w:sz="6" w:space="0"/>
              <w:bottom w:val="single" w:color="auto" w:sz="6" w:space="0"/>
              <w:right w:val="single" w:color="auto" w:sz="6" w:space="0"/>
            </w:tcBorders>
            <w:vAlign w:val="center"/>
          </w:tcPr>
          <w:p w14:paraId="3FD459AB">
            <w:pPr>
              <w:spacing w:line="420" w:lineRule="exact"/>
              <w:jc w:val="center"/>
              <w:rPr>
                <w:rFonts w:ascii="宋体" w:hAnsi="宋体"/>
                <w:sz w:val="24"/>
                <w:highlight w:val="yellow"/>
              </w:rPr>
            </w:pPr>
          </w:p>
        </w:tc>
        <w:tc>
          <w:tcPr>
            <w:tcW w:w="2160" w:type="dxa"/>
            <w:tcBorders>
              <w:top w:val="single" w:color="auto" w:sz="6" w:space="0"/>
              <w:left w:val="single" w:color="auto" w:sz="6" w:space="0"/>
              <w:bottom w:val="single" w:color="auto" w:sz="6" w:space="0"/>
              <w:right w:val="single" w:color="auto" w:sz="4" w:space="0"/>
            </w:tcBorders>
            <w:vAlign w:val="center"/>
          </w:tcPr>
          <w:p w14:paraId="2F065713">
            <w:pPr>
              <w:spacing w:line="420" w:lineRule="exact"/>
              <w:jc w:val="center"/>
              <w:rPr>
                <w:rFonts w:ascii="宋体" w:hAnsi="宋体"/>
                <w:sz w:val="24"/>
                <w:highlight w:val="yellow"/>
              </w:rPr>
            </w:pPr>
          </w:p>
        </w:tc>
        <w:tc>
          <w:tcPr>
            <w:tcW w:w="1260" w:type="dxa"/>
            <w:tcBorders>
              <w:top w:val="single" w:color="auto" w:sz="6" w:space="0"/>
              <w:left w:val="single" w:color="auto" w:sz="6" w:space="0"/>
              <w:bottom w:val="single" w:color="auto" w:sz="6" w:space="0"/>
              <w:right w:val="single" w:color="auto" w:sz="6" w:space="0"/>
            </w:tcBorders>
          </w:tcPr>
          <w:p w14:paraId="7CF014F3">
            <w:pPr>
              <w:spacing w:line="420" w:lineRule="exact"/>
              <w:jc w:val="center"/>
              <w:rPr>
                <w:rFonts w:ascii="宋体" w:hAnsi="宋体"/>
                <w:sz w:val="24"/>
                <w:highlight w:val="yellow"/>
              </w:rPr>
            </w:pPr>
          </w:p>
        </w:tc>
        <w:tc>
          <w:tcPr>
            <w:tcW w:w="1620" w:type="dxa"/>
            <w:tcBorders>
              <w:top w:val="single" w:color="auto" w:sz="6" w:space="0"/>
              <w:left w:val="single" w:color="auto" w:sz="6" w:space="0"/>
              <w:bottom w:val="single" w:color="auto" w:sz="6" w:space="0"/>
              <w:right w:val="single" w:color="auto" w:sz="6" w:space="0"/>
            </w:tcBorders>
            <w:vAlign w:val="center"/>
          </w:tcPr>
          <w:p w14:paraId="42E6DD74">
            <w:pPr>
              <w:spacing w:line="420" w:lineRule="exact"/>
              <w:jc w:val="center"/>
              <w:rPr>
                <w:rFonts w:ascii="宋体" w:hAnsi="宋体"/>
                <w:sz w:val="24"/>
                <w:highlight w:val="yellow"/>
              </w:rPr>
            </w:pPr>
          </w:p>
        </w:tc>
      </w:tr>
      <w:tr w14:paraId="110AA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40" w:hRule="atLeast"/>
        </w:trPr>
        <w:tc>
          <w:tcPr>
            <w:tcW w:w="748" w:type="dxa"/>
            <w:tcBorders>
              <w:top w:val="single" w:color="auto" w:sz="6" w:space="0"/>
              <w:left w:val="single" w:color="auto" w:sz="6" w:space="0"/>
              <w:bottom w:val="single" w:color="auto" w:sz="6" w:space="0"/>
              <w:right w:val="single" w:color="auto" w:sz="6" w:space="0"/>
            </w:tcBorders>
            <w:vAlign w:val="center"/>
          </w:tcPr>
          <w:p w14:paraId="0178F5FA">
            <w:pPr>
              <w:spacing w:line="420" w:lineRule="exact"/>
              <w:jc w:val="center"/>
              <w:rPr>
                <w:rFonts w:ascii="宋体" w:hAnsi="宋体"/>
                <w:sz w:val="24"/>
                <w:highlight w:val="yellow"/>
              </w:rPr>
            </w:pPr>
          </w:p>
        </w:tc>
        <w:tc>
          <w:tcPr>
            <w:tcW w:w="1620" w:type="dxa"/>
            <w:tcBorders>
              <w:top w:val="single" w:color="auto" w:sz="6" w:space="0"/>
              <w:left w:val="single" w:color="auto" w:sz="6" w:space="0"/>
              <w:bottom w:val="single" w:color="auto" w:sz="6" w:space="0"/>
              <w:right w:val="single" w:color="auto" w:sz="6" w:space="0"/>
            </w:tcBorders>
            <w:vAlign w:val="center"/>
          </w:tcPr>
          <w:p w14:paraId="7938A1FD">
            <w:pPr>
              <w:spacing w:line="420" w:lineRule="exact"/>
              <w:jc w:val="center"/>
              <w:rPr>
                <w:rFonts w:ascii="宋体" w:hAnsi="宋体"/>
                <w:sz w:val="24"/>
                <w:highlight w:val="yellow"/>
              </w:rPr>
            </w:pPr>
          </w:p>
        </w:tc>
        <w:tc>
          <w:tcPr>
            <w:tcW w:w="1980" w:type="dxa"/>
            <w:tcBorders>
              <w:top w:val="single" w:color="auto" w:sz="6" w:space="0"/>
              <w:left w:val="single" w:color="auto" w:sz="6" w:space="0"/>
              <w:bottom w:val="single" w:color="auto" w:sz="6" w:space="0"/>
              <w:right w:val="single" w:color="auto" w:sz="6" w:space="0"/>
            </w:tcBorders>
            <w:vAlign w:val="center"/>
          </w:tcPr>
          <w:p w14:paraId="2C56C423">
            <w:pPr>
              <w:spacing w:line="420" w:lineRule="exact"/>
              <w:jc w:val="center"/>
              <w:rPr>
                <w:rFonts w:ascii="宋体" w:hAnsi="宋体"/>
                <w:sz w:val="24"/>
                <w:highlight w:val="yellow"/>
              </w:rPr>
            </w:pPr>
          </w:p>
        </w:tc>
        <w:tc>
          <w:tcPr>
            <w:tcW w:w="2160" w:type="dxa"/>
            <w:tcBorders>
              <w:top w:val="single" w:color="auto" w:sz="6" w:space="0"/>
              <w:left w:val="single" w:color="auto" w:sz="6" w:space="0"/>
              <w:bottom w:val="single" w:color="auto" w:sz="6" w:space="0"/>
              <w:right w:val="single" w:color="auto" w:sz="4" w:space="0"/>
            </w:tcBorders>
            <w:vAlign w:val="center"/>
          </w:tcPr>
          <w:p w14:paraId="17919274">
            <w:pPr>
              <w:spacing w:line="420" w:lineRule="exact"/>
              <w:jc w:val="center"/>
              <w:rPr>
                <w:rFonts w:ascii="宋体" w:hAnsi="宋体"/>
                <w:sz w:val="24"/>
                <w:highlight w:val="yellow"/>
              </w:rPr>
            </w:pPr>
          </w:p>
        </w:tc>
        <w:tc>
          <w:tcPr>
            <w:tcW w:w="1260" w:type="dxa"/>
            <w:tcBorders>
              <w:top w:val="single" w:color="auto" w:sz="6" w:space="0"/>
              <w:left w:val="single" w:color="auto" w:sz="6" w:space="0"/>
              <w:bottom w:val="single" w:color="auto" w:sz="6" w:space="0"/>
              <w:right w:val="single" w:color="auto" w:sz="6" w:space="0"/>
            </w:tcBorders>
          </w:tcPr>
          <w:p w14:paraId="5CEED079">
            <w:pPr>
              <w:spacing w:line="420" w:lineRule="exact"/>
              <w:jc w:val="center"/>
              <w:rPr>
                <w:rFonts w:ascii="宋体" w:hAnsi="宋体"/>
                <w:sz w:val="24"/>
                <w:highlight w:val="yellow"/>
              </w:rPr>
            </w:pPr>
          </w:p>
        </w:tc>
        <w:tc>
          <w:tcPr>
            <w:tcW w:w="1620" w:type="dxa"/>
            <w:tcBorders>
              <w:top w:val="single" w:color="auto" w:sz="6" w:space="0"/>
              <w:left w:val="single" w:color="auto" w:sz="6" w:space="0"/>
              <w:bottom w:val="single" w:color="auto" w:sz="6" w:space="0"/>
              <w:right w:val="single" w:color="auto" w:sz="6" w:space="0"/>
            </w:tcBorders>
            <w:vAlign w:val="center"/>
          </w:tcPr>
          <w:p w14:paraId="6EDDB8C2">
            <w:pPr>
              <w:spacing w:line="420" w:lineRule="exact"/>
              <w:jc w:val="center"/>
              <w:rPr>
                <w:rFonts w:ascii="宋体" w:hAnsi="宋体"/>
                <w:sz w:val="24"/>
                <w:highlight w:val="yellow"/>
              </w:rPr>
            </w:pPr>
          </w:p>
        </w:tc>
      </w:tr>
      <w:tr w14:paraId="675144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40" w:hRule="atLeast"/>
        </w:trPr>
        <w:tc>
          <w:tcPr>
            <w:tcW w:w="748" w:type="dxa"/>
            <w:tcBorders>
              <w:top w:val="single" w:color="auto" w:sz="6" w:space="0"/>
              <w:left w:val="single" w:color="auto" w:sz="6" w:space="0"/>
              <w:bottom w:val="single" w:color="auto" w:sz="6" w:space="0"/>
              <w:right w:val="single" w:color="auto" w:sz="6" w:space="0"/>
            </w:tcBorders>
            <w:vAlign w:val="center"/>
          </w:tcPr>
          <w:p w14:paraId="6D3B39C7">
            <w:pPr>
              <w:spacing w:line="420" w:lineRule="exact"/>
              <w:jc w:val="center"/>
              <w:rPr>
                <w:rFonts w:ascii="宋体" w:hAnsi="宋体"/>
                <w:sz w:val="24"/>
                <w:highlight w:val="yellow"/>
              </w:rPr>
            </w:pPr>
          </w:p>
        </w:tc>
        <w:tc>
          <w:tcPr>
            <w:tcW w:w="1620" w:type="dxa"/>
            <w:tcBorders>
              <w:top w:val="single" w:color="auto" w:sz="6" w:space="0"/>
              <w:left w:val="single" w:color="auto" w:sz="6" w:space="0"/>
              <w:bottom w:val="single" w:color="auto" w:sz="6" w:space="0"/>
              <w:right w:val="single" w:color="auto" w:sz="6" w:space="0"/>
            </w:tcBorders>
            <w:vAlign w:val="center"/>
          </w:tcPr>
          <w:p w14:paraId="7240A607">
            <w:pPr>
              <w:spacing w:line="420" w:lineRule="exact"/>
              <w:jc w:val="center"/>
              <w:rPr>
                <w:rFonts w:ascii="宋体" w:hAnsi="宋体"/>
                <w:sz w:val="24"/>
                <w:highlight w:val="yellow"/>
              </w:rPr>
            </w:pPr>
          </w:p>
        </w:tc>
        <w:tc>
          <w:tcPr>
            <w:tcW w:w="1980" w:type="dxa"/>
            <w:tcBorders>
              <w:top w:val="single" w:color="auto" w:sz="6" w:space="0"/>
              <w:left w:val="single" w:color="auto" w:sz="6" w:space="0"/>
              <w:bottom w:val="single" w:color="auto" w:sz="6" w:space="0"/>
              <w:right w:val="single" w:color="auto" w:sz="6" w:space="0"/>
            </w:tcBorders>
            <w:vAlign w:val="center"/>
          </w:tcPr>
          <w:p w14:paraId="019A7D87">
            <w:pPr>
              <w:spacing w:line="420" w:lineRule="exact"/>
              <w:jc w:val="center"/>
              <w:rPr>
                <w:rFonts w:ascii="宋体" w:hAnsi="宋体"/>
                <w:sz w:val="24"/>
                <w:highlight w:val="yellow"/>
              </w:rPr>
            </w:pPr>
          </w:p>
        </w:tc>
        <w:tc>
          <w:tcPr>
            <w:tcW w:w="2160" w:type="dxa"/>
            <w:tcBorders>
              <w:top w:val="single" w:color="auto" w:sz="6" w:space="0"/>
              <w:left w:val="single" w:color="auto" w:sz="6" w:space="0"/>
              <w:bottom w:val="single" w:color="auto" w:sz="6" w:space="0"/>
              <w:right w:val="single" w:color="auto" w:sz="4" w:space="0"/>
            </w:tcBorders>
            <w:vAlign w:val="center"/>
          </w:tcPr>
          <w:p w14:paraId="015AF369">
            <w:pPr>
              <w:spacing w:line="420" w:lineRule="exact"/>
              <w:jc w:val="center"/>
              <w:rPr>
                <w:rFonts w:ascii="宋体" w:hAnsi="宋体"/>
                <w:sz w:val="24"/>
                <w:highlight w:val="yellow"/>
              </w:rPr>
            </w:pPr>
          </w:p>
        </w:tc>
        <w:tc>
          <w:tcPr>
            <w:tcW w:w="1260" w:type="dxa"/>
            <w:tcBorders>
              <w:top w:val="single" w:color="auto" w:sz="6" w:space="0"/>
              <w:left w:val="single" w:color="auto" w:sz="6" w:space="0"/>
              <w:bottom w:val="single" w:color="auto" w:sz="6" w:space="0"/>
              <w:right w:val="single" w:color="auto" w:sz="6" w:space="0"/>
            </w:tcBorders>
          </w:tcPr>
          <w:p w14:paraId="6EA21A2B">
            <w:pPr>
              <w:spacing w:line="420" w:lineRule="exact"/>
              <w:jc w:val="center"/>
              <w:rPr>
                <w:rFonts w:ascii="宋体" w:hAnsi="宋体"/>
                <w:sz w:val="24"/>
                <w:highlight w:val="yellow"/>
              </w:rPr>
            </w:pPr>
          </w:p>
        </w:tc>
        <w:tc>
          <w:tcPr>
            <w:tcW w:w="1620" w:type="dxa"/>
            <w:tcBorders>
              <w:top w:val="single" w:color="auto" w:sz="6" w:space="0"/>
              <w:left w:val="single" w:color="auto" w:sz="6" w:space="0"/>
              <w:bottom w:val="single" w:color="auto" w:sz="6" w:space="0"/>
              <w:right w:val="single" w:color="auto" w:sz="6" w:space="0"/>
            </w:tcBorders>
            <w:vAlign w:val="center"/>
          </w:tcPr>
          <w:p w14:paraId="72A8DF63">
            <w:pPr>
              <w:spacing w:line="420" w:lineRule="exact"/>
              <w:jc w:val="center"/>
              <w:rPr>
                <w:rFonts w:ascii="宋体" w:hAnsi="宋体"/>
                <w:sz w:val="24"/>
                <w:highlight w:val="yellow"/>
              </w:rPr>
            </w:pPr>
          </w:p>
        </w:tc>
      </w:tr>
      <w:tr w14:paraId="3C03FB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40" w:hRule="atLeast"/>
        </w:trPr>
        <w:tc>
          <w:tcPr>
            <w:tcW w:w="748" w:type="dxa"/>
            <w:tcBorders>
              <w:top w:val="single" w:color="auto" w:sz="6" w:space="0"/>
              <w:left w:val="single" w:color="auto" w:sz="6" w:space="0"/>
              <w:bottom w:val="single" w:color="auto" w:sz="6" w:space="0"/>
              <w:right w:val="single" w:color="auto" w:sz="6" w:space="0"/>
            </w:tcBorders>
            <w:vAlign w:val="center"/>
          </w:tcPr>
          <w:p w14:paraId="480BD10E">
            <w:pPr>
              <w:spacing w:line="420" w:lineRule="exact"/>
              <w:jc w:val="center"/>
              <w:rPr>
                <w:rFonts w:ascii="宋体" w:hAnsi="宋体"/>
                <w:sz w:val="24"/>
                <w:highlight w:val="yellow"/>
              </w:rPr>
            </w:pPr>
          </w:p>
        </w:tc>
        <w:tc>
          <w:tcPr>
            <w:tcW w:w="1620" w:type="dxa"/>
            <w:tcBorders>
              <w:top w:val="single" w:color="auto" w:sz="6" w:space="0"/>
              <w:left w:val="single" w:color="auto" w:sz="6" w:space="0"/>
              <w:bottom w:val="single" w:color="auto" w:sz="6" w:space="0"/>
              <w:right w:val="single" w:color="auto" w:sz="6" w:space="0"/>
            </w:tcBorders>
            <w:vAlign w:val="center"/>
          </w:tcPr>
          <w:p w14:paraId="765A1BAC">
            <w:pPr>
              <w:spacing w:line="420" w:lineRule="exact"/>
              <w:jc w:val="center"/>
              <w:rPr>
                <w:rFonts w:ascii="宋体" w:hAnsi="宋体"/>
                <w:sz w:val="24"/>
                <w:highlight w:val="yellow"/>
              </w:rPr>
            </w:pPr>
          </w:p>
        </w:tc>
        <w:tc>
          <w:tcPr>
            <w:tcW w:w="1980" w:type="dxa"/>
            <w:tcBorders>
              <w:top w:val="single" w:color="auto" w:sz="6" w:space="0"/>
              <w:left w:val="single" w:color="auto" w:sz="6" w:space="0"/>
              <w:bottom w:val="single" w:color="auto" w:sz="6" w:space="0"/>
              <w:right w:val="single" w:color="auto" w:sz="6" w:space="0"/>
            </w:tcBorders>
            <w:vAlign w:val="center"/>
          </w:tcPr>
          <w:p w14:paraId="1334F17C">
            <w:pPr>
              <w:spacing w:line="420" w:lineRule="exact"/>
              <w:jc w:val="center"/>
              <w:rPr>
                <w:rFonts w:ascii="宋体" w:hAnsi="宋体"/>
                <w:sz w:val="24"/>
                <w:highlight w:val="yellow"/>
              </w:rPr>
            </w:pPr>
          </w:p>
        </w:tc>
        <w:tc>
          <w:tcPr>
            <w:tcW w:w="2160" w:type="dxa"/>
            <w:tcBorders>
              <w:top w:val="single" w:color="auto" w:sz="6" w:space="0"/>
              <w:left w:val="single" w:color="auto" w:sz="6" w:space="0"/>
              <w:bottom w:val="single" w:color="auto" w:sz="6" w:space="0"/>
              <w:right w:val="single" w:color="auto" w:sz="4" w:space="0"/>
            </w:tcBorders>
            <w:vAlign w:val="center"/>
          </w:tcPr>
          <w:p w14:paraId="67543195">
            <w:pPr>
              <w:spacing w:line="420" w:lineRule="exact"/>
              <w:jc w:val="center"/>
              <w:rPr>
                <w:rFonts w:ascii="宋体" w:hAnsi="宋体"/>
                <w:sz w:val="24"/>
                <w:highlight w:val="yellow"/>
              </w:rPr>
            </w:pPr>
          </w:p>
        </w:tc>
        <w:tc>
          <w:tcPr>
            <w:tcW w:w="1260" w:type="dxa"/>
            <w:tcBorders>
              <w:top w:val="single" w:color="auto" w:sz="6" w:space="0"/>
              <w:left w:val="single" w:color="auto" w:sz="6" w:space="0"/>
              <w:bottom w:val="single" w:color="auto" w:sz="6" w:space="0"/>
              <w:right w:val="single" w:color="auto" w:sz="6" w:space="0"/>
            </w:tcBorders>
          </w:tcPr>
          <w:p w14:paraId="41653093">
            <w:pPr>
              <w:spacing w:line="420" w:lineRule="exact"/>
              <w:jc w:val="center"/>
              <w:rPr>
                <w:rFonts w:ascii="宋体" w:hAnsi="宋体"/>
                <w:sz w:val="24"/>
                <w:highlight w:val="yellow"/>
              </w:rPr>
            </w:pPr>
          </w:p>
        </w:tc>
        <w:tc>
          <w:tcPr>
            <w:tcW w:w="1620" w:type="dxa"/>
            <w:tcBorders>
              <w:top w:val="single" w:color="auto" w:sz="6" w:space="0"/>
              <w:left w:val="single" w:color="auto" w:sz="6" w:space="0"/>
              <w:bottom w:val="single" w:color="auto" w:sz="6" w:space="0"/>
              <w:right w:val="single" w:color="auto" w:sz="6" w:space="0"/>
            </w:tcBorders>
            <w:vAlign w:val="center"/>
          </w:tcPr>
          <w:p w14:paraId="3C65B439">
            <w:pPr>
              <w:spacing w:line="420" w:lineRule="exact"/>
              <w:jc w:val="center"/>
              <w:rPr>
                <w:rFonts w:ascii="宋体" w:hAnsi="宋体"/>
                <w:sz w:val="24"/>
                <w:highlight w:val="yellow"/>
              </w:rPr>
            </w:pPr>
          </w:p>
        </w:tc>
      </w:tr>
    </w:tbl>
    <w:p w14:paraId="1D4995D1">
      <w:pPr>
        <w:autoSpaceDE w:val="0"/>
        <w:autoSpaceDN w:val="0"/>
        <w:spacing w:line="560" w:lineRule="exact"/>
        <w:ind w:firstLine="4095" w:firstLineChars="1950"/>
        <w:rPr>
          <w:rFonts w:hAnsi="宋体"/>
          <w:bCs/>
          <w:szCs w:val="28"/>
        </w:rPr>
      </w:pPr>
      <w:r>
        <w:rPr>
          <w:rFonts w:hint="eastAsia" w:hAnsi="宋体"/>
          <w:bCs/>
          <w:szCs w:val="28"/>
        </w:rPr>
        <w:t>投标人</w:t>
      </w:r>
      <w:r>
        <w:rPr>
          <w:rFonts w:hint="eastAsia" w:ascii="宋体" w:hAnsi="宋体"/>
          <w:color w:val="000000"/>
          <w:sz w:val="24"/>
        </w:rPr>
        <w:t>（加盖CA电子签章）</w:t>
      </w:r>
      <w:r>
        <w:rPr>
          <w:rFonts w:hint="eastAsia" w:hAnsi="宋体"/>
          <w:bCs/>
          <w:szCs w:val="28"/>
        </w:rPr>
        <w:t>：</w:t>
      </w:r>
    </w:p>
    <w:p w14:paraId="239E6FCD">
      <w:pPr>
        <w:pStyle w:val="9"/>
        <w:spacing w:line="560" w:lineRule="exact"/>
        <w:ind w:left="0" w:right="0" w:firstLine="4340" w:firstLineChars="1550"/>
        <w:rPr>
          <w:rFonts w:hAnsi="宋体"/>
          <w:bCs/>
          <w:sz w:val="28"/>
        </w:rPr>
      </w:pPr>
      <w:r>
        <w:rPr>
          <w:rFonts w:hint="eastAsia" w:hAnsi="宋体"/>
          <w:bCs/>
          <w:sz w:val="28"/>
        </w:rPr>
        <w:t>日期：</w:t>
      </w:r>
      <w:r>
        <w:rPr>
          <w:rFonts w:hAnsi="宋体"/>
          <w:bCs/>
          <w:sz w:val="28"/>
          <w:u w:val="single"/>
        </w:rPr>
        <w:t xml:space="preserve">      </w:t>
      </w:r>
      <w:r>
        <w:rPr>
          <w:rFonts w:hint="eastAsia" w:hAnsi="宋体"/>
          <w:bCs/>
          <w:sz w:val="28"/>
        </w:rPr>
        <w:t>年</w:t>
      </w:r>
      <w:r>
        <w:rPr>
          <w:rFonts w:hAnsi="宋体"/>
          <w:bCs/>
          <w:sz w:val="28"/>
        </w:rPr>
        <w:t xml:space="preserve"> </w:t>
      </w:r>
      <w:r>
        <w:rPr>
          <w:rFonts w:hAnsi="宋体"/>
          <w:bCs/>
          <w:sz w:val="28"/>
          <w:u w:val="single"/>
        </w:rPr>
        <w:t xml:space="preserve">    </w:t>
      </w:r>
      <w:r>
        <w:rPr>
          <w:rFonts w:hint="eastAsia" w:hAnsi="宋体"/>
          <w:bCs/>
          <w:sz w:val="28"/>
        </w:rPr>
        <w:t>月</w:t>
      </w:r>
      <w:r>
        <w:rPr>
          <w:rFonts w:hAnsi="宋体"/>
          <w:bCs/>
          <w:sz w:val="28"/>
        </w:rPr>
        <w:t xml:space="preserve"> </w:t>
      </w:r>
      <w:r>
        <w:rPr>
          <w:rFonts w:hAnsi="宋体"/>
          <w:bCs/>
          <w:sz w:val="28"/>
          <w:u w:val="single"/>
        </w:rPr>
        <w:t xml:space="preserve">    </w:t>
      </w:r>
      <w:r>
        <w:rPr>
          <w:rFonts w:hint="eastAsia" w:hAnsi="宋体"/>
          <w:bCs/>
          <w:sz w:val="28"/>
        </w:rPr>
        <w:t>日</w:t>
      </w:r>
    </w:p>
    <w:p w14:paraId="4AA55376">
      <w:pPr>
        <w:autoSpaceDE w:val="0"/>
        <w:autoSpaceDN w:val="0"/>
        <w:adjustRightInd w:val="0"/>
        <w:spacing w:line="420" w:lineRule="auto"/>
        <w:rPr>
          <w:rFonts w:ascii="宋体" w:hAnsi="宋体"/>
          <w:szCs w:val="28"/>
        </w:rPr>
      </w:pPr>
    </w:p>
    <w:p w14:paraId="005FE422">
      <w:pPr>
        <w:jc w:val="center"/>
        <w:outlineLvl w:val="1"/>
        <w:rPr>
          <w:rFonts w:ascii="宋体" w:hAnsi="宋体"/>
          <w:b/>
          <w:sz w:val="32"/>
          <w:szCs w:val="32"/>
        </w:rPr>
      </w:pPr>
      <w:r>
        <w:rPr>
          <w:rFonts w:hint="eastAsia" w:ascii="宋体" w:hAnsi="宋体" w:cs="宋体"/>
          <w:b/>
          <w:bCs/>
          <w:szCs w:val="28"/>
          <w:lang w:val="zh-CN"/>
        </w:rPr>
        <w:t>注：各投标人按照招标文件技术要求逐条列出，并作出详细对比说明；如不全或表述不清，有可能导致后果，则责任自负。</w:t>
      </w:r>
    </w:p>
    <w:p w14:paraId="2E96A5FE">
      <w:pPr>
        <w:rPr>
          <w:rFonts w:ascii="黑体" w:hAnsi="Arial" w:eastAsia="黑体"/>
          <w:color w:val="000000"/>
          <w:sz w:val="32"/>
          <w:szCs w:val="21"/>
        </w:rPr>
      </w:pPr>
    </w:p>
    <w:p w14:paraId="79F9D5FC">
      <w:pPr>
        <w:pStyle w:val="2"/>
        <w:spacing w:before="120" w:after="120"/>
      </w:pPr>
    </w:p>
    <w:p w14:paraId="21C6D174"/>
    <w:p w14:paraId="462112E8">
      <w:pPr>
        <w:pStyle w:val="2"/>
        <w:spacing w:before="120" w:after="120"/>
      </w:pPr>
    </w:p>
    <w:p w14:paraId="6B6B9464"/>
    <w:p w14:paraId="049EDCDF"/>
    <w:p w14:paraId="4152BDC4">
      <w:pPr>
        <w:jc w:val="center"/>
        <w:rPr>
          <w:rFonts w:ascii="黑体" w:hAnsi="黑体" w:eastAsia="黑体"/>
          <w:b/>
          <w:color w:val="000000"/>
          <w:sz w:val="32"/>
          <w:szCs w:val="32"/>
        </w:rPr>
      </w:pPr>
      <w:bookmarkStart w:id="194" w:name="_Hlt26609389"/>
      <w:bookmarkStart w:id="195" w:name="_Toc462564146"/>
      <w:bookmarkStart w:id="196" w:name="_Hlt26955054"/>
      <w:bookmarkStart w:id="197" w:name="_Hlt26671374"/>
      <w:bookmarkStart w:id="198" w:name="_Hlt26955066"/>
      <w:bookmarkStart w:id="199" w:name="_格式2__法定代表人授权书"/>
      <w:r>
        <w:rPr>
          <w:rFonts w:hint="eastAsia" w:ascii="黑体" w:hAnsi="黑体" w:eastAsia="黑体"/>
          <w:b/>
          <w:color w:val="000000"/>
          <w:sz w:val="32"/>
          <w:szCs w:val="32"/>
        </w:rPr>
        <w:t>十二、资格性审查响应对照表</w:t>
      </w:r>
    </w:p>
    <w:tbl>
      <w:tblPr>
        <w:tblStyle w:val="16"/>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785"/>
      </w:tblGrid>
      <w:tr w14:paraId="11081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78727F9">
            <w:pPr>
              <w:snapToGrid w:val="0"/>
              <w:spacing w:line="240" w:lineRule="atLeast"/>
              <w:jc w:val="center"/>
              <w:rPr>
                <w:rFonts w:ascii="幼圆" w:eastAsia="幼圆"/>
                <w:b/>
              </w:rPr>
            </w:pPr>
            <w:r>
              <w:rPr>
                <w:rFonts w:hint="eastAsia" w:ascii="幼圆" w:eastAsia="幼圆"/>
                <w:b/>
              </w:rPr>
              <w:t>序号</w:t>
            </w:r>
          </w:p>
        </w:tc>
        <w:tc>
          <w:tcPr>
            <w:tcW w:w="5447" w:type="dxa"/>
            <w:vAlign w:val="center"/>
          </w:tcPr>
          <w:p w14:paraId="7E9DC3F1">
            <w:pPr>
              <w:snapToGrid w:val="0"/>
              <w:spacing w:line="240" w:lineRule="atLeast"/>
              <w:jc w:val="center"/>
              <w:rPr>
                <w:rFonts w:ascii="幼圆" w:eastAsia="幼圆"/>
                <w:b/>
              </w:rPr>
            </w:pPr>
            <w:r>
              <w:rPr>
                <w:rFonts w:hint="eastAsia" w:ascii="幼圆" w:eastAsia="幼圆"/>
                <w:b/>
              </w:rPr>
              <w:t>资格性审查响应内容</w:t>
            </w:r>
          </w:p>
        </w:tc>
        <w:tc>
          <w:tcPr>
            <w:tcW w:w="1680" w:type="dxa"/>
            <w:vAlign w:val="center"/>
          </w:tcPr>
          <w:p w14:paraId="3532B4F7">
            <w:pPr>
              <w:snapToGrid w:val="0"/>
              <w:spacing w:line="240" w:lineRule="atLeast"/>
              <w:jc w:val="center"/>
              <w:rPr>
                <w:rFonts w:ascii="幼圆" w:eastAsia="幼圆"/>
                <w:b/>
              </w:rPr>
            </w:pPr>
            <w:r>
              <w:rPr>
                <w:rFonts w:hint="eastAsia" w:ascii="幼圆" w:eastAsia="幼圆"/>
                <w:b/>
              </w:rPr>
              <w:t>是否响应</w:t>
            </w:r>
          </w:p>
          <w:p w14:paraId="151F388A">
            <w:pPr>
              <w:snapToGrid w:val="0"/>
              <w:spacing w:line="240" w:lineRule="atLeast"/>
              <w:jc w:val="center"/>
              <w:rPr>
                <w:rFonts w:ascii="幼圆" w:eastAsia="幼圆"/>
                <w:b/>
              </w:rPr>
            </w:pPr>
            <w:r>
              <w:rPr>
                <w:rFonts w:hint="eastAsia" w:ascii="幼圆" w:eastAsia="幼圆"/>
                <w:b/>
              </w:rPr>
              <w:t>（填是或者否）</w:t>
            </w:r>
          </w:p>
        </w:tc>
        <w:tc>
          <w:tcPr>
            <w:tcW w:w="1785" w:type="dxa"/>
            <w:vAlign w:val="center"/>
          </w:tcPr>
          <w:p w14:paraId="2B8FE327">
            <w:pPr>
              <w:snapToGrid w:val="0"/>
              <w:spacing w:line="240" w:lineRule="atLeast"/>
              <w:jc w:val="center"/>
              <w:rPr>
                <w:rFonts w:hint="eastAsia" w:ascii="幼圆" w:eastAsia="幼圆"/>
                <w:b/>
                <w:lang w:eastAsia="zh-CN"/>
              </w:rPr>
            </w:pPr>
            <w:r>
              <w:rPr>
                <w:rFonts w:hint="eastAsia" w:ascii="幼圆" w:eastAsia="幼圆"/>
                <w:b/>
                <w:lang w:val="en-US" w:eastAsia="zh-CN"/>
              </w:rPr>
              <w:t>备注</w:t>
            </w:r>
          </w:p>
        </w:tc>
      </w:tr>
      <w:tr w14:paraId="04E91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14:paraId="72CBCA1B">
            <w:pPr>
              <w:rPr>
                <w:rFonts w:hAnsi="宋体"/>
                <w:b/>
              </w:rPr>
            </w:pPr>
            <w:r>
              <w:rPr>
                <w:rFonts w:hint="eastAsia" w:hAnsi="宋体"/>
                <w:b/>
              </w:rPr>
              <w:t>1</w:t>
            </w:r>
          </w:p>
        </w:tc>
        <w:tc>
          <w:tcPr>
            <w:tcW w:w="5447" w:type="dxa"/>
          </w:tcPr>
          <w:p w14:paraId="71F58304">
            <w:pPr>
              <w:spacing w:line="340" w:lineRule="exact"/>
              <w:rPr>
                <w:rFonts w:hAnsi="宋体"/>
                <w:iCs/>
                <w:sz w:val="24"/>
              </w:rPr>
            </w:pPr>
            <w:r>
              <w:rPr>
                <w:rFonts w:hint="eastAsia" w:ascii="宋体" w:hAnsi="宋体"/>
                <w:szCs w:val="21"/>
              </w:rPr>
              <w:t>法人或者其他组织的营业执照等证明文件</w:t>
            </w:r>
          </w:p>
        </w:tc>
        <w:tc>
          <w:tcPr>
            <w:tcW w:w="1680" w:type="dxa"/>
            <w:vAlign w:val="center"/>
          </w:tcPr>
          <w:p w14:paraId="48E2B148">
            <w:pPr>
              <w:rPr>
                <w:rFonts w:hAnsi="宋体"/>
                <w:b/>
              </w:rPr>
            </w:pPr>
          </w:p>
        </w:tc>
        <w:tc>
          <w:tcPr>
            <w:tcW w:w="1785" w:type="dxa"/>
            <w:vAlign w:val="center"/>
          </w:tcPr>
          <w:p w14:paraId="4B4D013D">
            <w:pPr>
              <w:rPr>
                <w:rFonts w:hAnsi="宋体"/>
                <w:b/>
              </w:rPr>
            </w:pPr>
          </w:p>
        </w:tc>
      </w:tr>
      <w:tr w14:paraId="506AF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14:paraId="56AE7CD1">
            <w:pPr>
              <w:rPr>
                <w:rFonts w:hAnsi="宋体"/>
              </w:rPr>
            </w:pPr>
            <w:r>
              <w:rPr>
                <w:rFonts w:hint="eastAsia" w:hAnsi="宋体"/>
              </w:rPr>
              <w:t>2</w:t>
            </w:r>
          </w:p>
        </w:tc>
        <w:tc>
          <w:tcPr>
            <w:tcW w:w="5447" w:type="dxa"/>
            <w:vAlign w:val="center"/>
          </w:tcPr>
          <w:p w14:paraId="679D8B83">
            <w:pPr>
              <w:spacing w:line="340" w:lineRule="exact"/>
              <w:ind w:right="168" w:rightChars="80"/>
              <w:rPr>
                <w:rFonts w:ascii="宋体" w:hAnsi="宋体"/>
                <w:szCs w:val="21"/>
              </w:rPr>
            </w:pPr>
            <w:r>
              <w:rPr>
                <w:rFonts w:hint="eastAsia" w:ascii="宋体" w:hAnsi="宋体"/>
                <w:szCs w:val="21"/>
              </w:rPr>
              <w:t>财务状况报告（表）</w:t>
            </w:r>
          </w:p>
        </w:tc>
        <w:tc>
          <w:tcPr>
            <w:tcW w:w="1680" w:type="dxa"/>
            <w:vAlign w:val="center"/>
          </w:tcPr>
          <w:p w14:paraId="0C61D16C">
            <w:pPr>
              <w:rPr>
                <w:rFonts w:hAnsi="宋体"/>
              </w:rPr>
            </w:pPr>
          </w:p>
        </w:tc>
        <w:tc>
          <w:tcPr>
            <w:tcW w:w="1785" w:type="dxa"/>
            <w:vAlign w:val="center"/>
          </w:tcPr>
          <w:p w14:paraId="0F4794D6">
            <w:pPr>
              <w:rPr>
                <w:rFonts w:hAnsi="宋体"/>
              </w:rPr>
            </w:pPr>
          </w:p>
        </w:tc>
      </w:tr>
      <w:tr w14:paraId="1FCB9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14:paraId="19A089F3">
            <w:pPr>
              <w:rPr>
                <w:rFonts w:hAnsi="宋体"/>
              </w:rPr>
            </w:pPr>
            <w:r>
              <w:rPr>
                <w:rFonts w:hint="eastAsia" w:hAnsi="宋体"/>
              </w:rPr>
              <w:t>3</w:t>
            </w:r>
          </w:p>
        </w:tc>
        <w:tc>
          <w:tcPr>
            <w:tcW w:w="5447" w:type="dxa"/>
            <w:vAlign w:val="center"/>
          </w:tcPr>
          <w:p w14:paraId="2DF531B4">
            <w:pPr>
              <w:spacing w:line="340" w:lineRule="exact"/>
              <w:ind w:right="168" w:rightChars="80"/>
              <w:rPr>
                <w:rFonts w:ascii="宋体" w:hAnsi="宋体"/>
                <w:szCs w:val="21"/>
              </w:rPr>
            </w:pPr>
            <w:r>
              <w:rPr>
                <w:rFonts w:hint="eastAsia" w:ascii="宋体" w:hAnsi="宋体"/>
                <w:szCs w:val="21"/>
              </w:rPr>
              <w:t>依法缴纳税收的相关材料</w:t>
            </w:r>
          </w:p>
        </w:tc>
        <w:tc>
          <w:tcPr>
            <w:tcW w:w="1680" w:type="dxa"/>
            <w:vAlign w:val="center"/>
          </w:tcPr>
          <w:p w14:paraId="68F99205">
            <w:pPr>
              <w:rPr>
                <w:rFonts w:hAnsi="宋体"/>
              </w:rPr>
            </w:pPr>
          </w:p>
        </w:tc>
        <w:tc>
          <w:tcPr>
            <w:tcW w:w="1785" w:type="dxa"/>
            <w:vAlign w:val="center"/>
          </w:tcPr>
          <w:p w14:paraId="26182E7B">
            <w:pPr>
              <w:rPr>
                <w:rFonts w:hAnsi="宋体"/>
              </w:rPr>
            </w:pPr>
          </w:p>
        </w:tc>
      </w:tr>
      <w:tr w14:paraId="58F3F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646" w:type="dxa"/>
            <w:vAlign w:val="center"/>
          </w:tcPr>
          <w:p w14:paraId="68EE55EC">
            <w:pPr>
              <w:rPr>
                <w:rFonts w:hAnsi="宋体"/>
              </w:rPr>
            </w:pPr>
            <w:r>
              <w:rPr>
                <w:rFonts w:hint="eastAsia" w:hAnsi="宋体"/>
              </w:rPr>
              <w:t>4</w:t>
            </w:r>
          </w:p>
        </w:tc>
        <w:tc>
          <w:tcPr>
            <w:tcW w:w="5447" w:type="dxa"/>
            <w:vAlign w:val="center"/>
          </w:tcPr>
          <w:p w14:paraId="1EE31DF8">
            <w:pPr>
              <w:spacing w:line="340" w:lineRule="exact"/>
              <w:ind w:right="168" w:rightChars="80"/>
              <w:rPr>
                <w:rFonts w:ascii="宋体" w:hAnsi="宋体"/>
                <w:szCs w:val="21"/>
              </w:rPr>
            </w:pPr>
            <w:r>
              <w:rPr>
                <w:rFonts w:hint="eastAsia" w:ascii="宋体" w:hAnsi="宋体"/>
                <w:szCs w:val="21"/>
              </w:rPr>
              <w:t>社会保障资金的相关材料</w:t>
            </w:r>
          </w:p>
        </w:tc>
        <w:tc>
          <w:tcPr>
            <w:tcW w:w="1680" w:type="dxa"/>
            <w:vAlign w:val="center"/>
          </w:tcPr>
          <w:p w14:paraId="6D9533AA">
            <w:pPr>
              <w:rPr>
                <w:rFonts w:hAnsi="宋体"/>
              </w:rPr>
            </w:pPr>
          </w:p>
        </w:tc>
        <w:tc>
          <w:tcPr>
            <w:tcW w:w="1785" w:type="dxa"/>
            <w:vAlign w:val="center"/>
          </w:tcPr>
          <w:p w14:paraId="0424C178">
            <w:pPr>
              <w:rPr>
                <w:rFonts w:hAnsi="宋体"/>
              </w:rPr>
            </w:pPr>
          </w:p>
        </w:tc>
      </w:tr>
      <w:tr w14:paraId="465BF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vAlign w:val="center"/>
          </w:tcPr>
          <w:p w14:paraId="0BA79132">
            <w:pPr>
              <w:rPr>
                <w:rFonts w:hAnsi="宋体"/>
              </w:rPr>
            </w:pPr>
            <w:r>
              <w:rPr>
                <w:rFonts w:hint="eastAsia" w:hAnsi="宋体"/>
              </w:rPr>
              <w:t>5</w:t>
            </w:r>
          </w:p>
        </w:tc>
        <w:tc>
          <w:tcPr>
            <w:tcW w:w="5447" w:type="dxa"/>
            <w:vAlign w:val="center"/>
          </w:tcPr>
          <w:p w14:paraId="5E15D67B">
            <w:pPr>
              <w:spacing w:line="340" w:lineRule="exact"/>
              <w:ind w:right="168" w:rightChars="80"/>
              <w:rPr>
                <w:rFonts w:ascii="宋体" w:hAnsi="宋体"/>
                <w:szCs w:val="21"/>
              </w:rPr>
            </w:pPr>
            <w:r>
              <w:rPr>
                <w:rFonts w:hint="eastAsia" w:ascii="宋体" w:hAnsi="宋体"/>
                <w:szCs w:val="21"/>
              </w:rPr>
              <w:t>具备履行合同所必需的设备和专业技术能力的书面声明</w:t>
            </w:r>
          </w:p>
        </w:tc>
        <w:tc>
          <w:tcPr>
            <w:tcW w:w="1680" w:type="dxa"/>
            <w:vAlign w:val="center"/>
          </w:tcPr>
          <w:p w14:paraId="5D81038A">
            <w:pPr>
              <w:rPr>
                <w:rFonts w:hAnsi="宋体"/>
              </w:rPr>
            </w:pPr>
          </w:p>
        </w:tc>
        <w:tc>
          <w:tcPr>
            <w:tcW w:w="1785" w:type="dxa"/>
            <w:vAlign w:val="center"/>
          </w:tcPr>
          <w:p w14:paraId="7D2D409C">
            <w:pPr>
              <w:rPr>
                <w:rFonts w:hAnsi="宋体"/>
              </w:rPr>
            </w:pPr>
          </w:p>
        </w:tc>
      </w:tr>
      <w:tr w14:paraId="19146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vAlign w:val="center"/>
          </w:tcPr>
          <w:p w14:paraId="5484E01D">
            <w:pPr>
              <w:rPr>
                <w:rFonts w:hAnsi="宋体"/>
              </w:rPr>
            </w:pPr>
            <w:r>
              <w:rPr>
                <w:rFonts w:hint="eastAsia" w:hAnsi="宋体"/>
              </w:rPr>
              <w:t>6</w:t>
            </w:r>
          </w:p>
        </w:tc>
        <w:tc>
          <w:tcPr>
            <w:tcW w:w="5447" w:type="dxa"/>
            <w:vAlign w:val="center"/>
          </w:tcPr>
          <w:p w14:paraId="61840181">
            <w:pPr>
              <w:spacing w:line="340" w:lineRule="exact"/>
              <w:ind w:right="168" w:rightChars="80"/>
              <w:rPr>
                <w:rFonts w:ascii="宋体" w:hAnsi="宋体"/>
                <w:szCs w:val="21"/>
              </w:rPr>
            </w:pPr>
            <w:r>
              <w:rPr>
                <w:rFonts w:hint="eastAsia" w:ascii="宋体" w:hAnsi="宋体"/>
                <w:szCs w:val="21"/>
              </w:rPr>
              <w:t>参加政府采购活动前3年内在经营活动中没有重大违法记录的书面声明</w:t>
            </w:r>
          </w:p>
        </w:tc>
        <w:tc>
          <w:tcPr>
            <w:tcW w:w="1680" w:type="dxa"/>
            <w:vAlign w:val="center"/>
          </w:tcPr>
          <w:p w14:paraId="52155FEA">
            <w:pPr>
              <w:rPr>
                <w:rFonts w:hAnsi="宋体"/>
              </w:rPr>
            </w:pPr>
          </w:p>
        </w:tc>
        <w:tc>
          <w:tcPr>
            <w:tcW w:w="1785" w:type="dxa"/>
            <w:vAlign w:val="center"/>
          </w:tcPr>
          <w:p w14:paraId="4B47EAFC">
            <w:pPr>
              <w:rPr>
                <w:rFonts w:hAnsi="宋体"/>
              </w:rPr>
            </w:pPr>
          </w:p>
        </w:tc>
      </w:tr>
      <w:tr w14:paraId="5579C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vAlign w:val="center"/>
          </w:tcPr>
          <w:p w14:paraId="122F3EC7">
            <w:pPr>
              <w:rPr>
                <w:rFonts w:hAnsi="宋体"/>
              </w:rPr>
            </w:pPr>
            <w:r>
              <w:rPr>
                <w:rFonts w:hint="eastAsia" w:hAnsi="宋体"/>
              </w:rPr>
              <w:t>7</w:t>
            </w:r>
          </w:p>
        </w:tc>
        <w:tc>
          <w:tcPr>
            <w:tcW w:w="5447" w:type="dxa"/>
            <w:vAlign w:val="center"/>
          </w:tcPr>
          <w:p w14:paraId="68355BD2">
            <w:pPr>
              <w:spacing w:line="340" w:lineRule="exact"/>
              <w:ind w:right="168" w:rightChars="80"/>
              <w:rPr>
                <w:rFonts w:ascii="宋体" w:hAnsi="宋体"/>
                <w:szCs w:val="21"/>
              </w:rPr>
            </w:pPr>
            <w:r>
              <w:rPr>
                <w:rFonts w:hint="eastAsia" w:ascii="宋体" w:hAnsi="宋体"/>
                <w:szCs w:val="21"/>
              </w:rPr>
              <w:t>单位负责人为同一人或存在控股、管理关系的不同单位，不得同时参加本项目投标，否则相关投标均无效。</w:t>
            </w:r>
          </w:p>
        </w:tc>
        <w:tc>
          <w:tcPr>
            <w:tcW w:w="1680" w:type="dxa"/>
            <w:vAlign w:val="center"/>
          </w:tcPr>
          <w:p w14:paraId="1056BBD4">
            <w:pPr>
              <w:rPr>
                <w:rFonts w:hAnsi="宋体"/>
              </w:rPr>
            </w:pPr>
          </w:p>
        </w:tc>
        <w:tc>
          <w:tcPr>
            <w:tcW w:w="1785" w:type="dxa"/>
            <w:vAlign w:val="center"/>
          </w:tcPr>
          <w:p w14:paraId="3C1B77CE">
            <w:pPr>
              <w:rPr>
                <w:rFonts w:hAnsi="宋体"/>
              </w:rPr>
            </w:pPr>
          </w:p>
        </w:tc>
      </w:tr>
      <w:tr w14:paraId="20002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vAlign w:val="center"/>
          </w:tcPr>
          <w:p w14:paraId="47A9F3DE">
            <w:pPr>
              <w:rPr>
                <w:rFonts w:hAnsi="宋体"/>
                <w:highlight w:val="yellow"/>
              </w:rPr>
            </w:pPr>
            <w:r>
              <w:rPr>
                <w:rFonts w:hint="eastAsia" w:hAnsi="宋体"/>
              </w:rPr>
              <w:t>8</w:t>
            </w:r>
          </w:p>
        </w:tc>
        <w:tc>
          <w:tcPr>
            <w:tcW w:w="5447" w:type="dxa"/>
            <w:vAlign w:val="center"/>
          </w:tcPr>
          <w:p w14:paraId="32D3D0EE">
            <w:pPr>
              <w:spacing w:line="340" w:lineRule="exact"/>
              <w:ind w:right="168" w:rightChars="80"/>
              <w:rPr>
                <w:rFonts w:ascii="宋体" w:hAnsi="宋体"/>
                <w:szCs w:val="21"/>
              </w:rPr>
            </w:pPr>
            <w:r>
              <w:rPr>
                <w:rFonts w:hint="eastAsia" w:ascii="宋体" w:hAnsi="宋体"/>
                <w:szCs w:val="21"/>
              </w:rPr>
              <w:t>参加本次采购活动前3年，投标人必须为未被列入信用中国网站、中国政府采购网渠道信用记录失信被执行人、重大税收违法案件当事人名单、政府采购严重违法失信行为记录名单。</w:t>
            </w:r>
          </w:p>
        </w:tc>
        <w:tc>
          <w:tcPr>
            <w:tcW w:w="1680" w:type="dxa"/>
            <w:vAlign w:val="center"/>
          </w:tcPr>
          <w:p w14:paraId="750E5464">
            <w:pPr>
              <w:rPr>
                <w:rFonts w:hAnsi="宋体"/>
              </w:rPr>
            </w:pPr>
          </w:p>
        </w:tc>
        <w:tc>
          <w:tcPr>
            <w:tcW w:w="1785" w:type="dxa"/>
            <w:vAlign w:val="center"/>
          </w:tcPr>
          <w:p w14:paraId="74810159">
            <w:pPr>
              <w:rPr>
                <w:rFonts w:hAnsi="宋体"/>
              </w:rPr>
            </w:pPr>
          </w:p>
        </w:tc>
      </w:tr>
      <w:tr w14:paraId="3D4C8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vAlign w:val="center"/>
          </w:tcPr>
          <w:p w14:paraId="148C70D6">
            <w:pPr>
              <w:rPr>
                <w:rFonts w:hint="eastAsia" w:hAnsi="宋体" w:eastAsia="宋体"/>
                <w:lang w:val="en-US" w:eastAsia="zh-CN"/>
              </w:rPr>
            </w:pPr>
            <w:r>
              <w:rPr>
                <w:rFonts w:hint="eastAsia" w:hAnsi="宋体" w:eastAsia="宋体"/>
                <w:lang w:val="en-US" w:eastAsia="zh-CN"/>
              </w:rPr>
              <w:t>9</w:t>
            </w:r>
          </w:p>
        </w:tc>
        <w:tc>
          <w:tcPr>
            <w:tcW w:w="5447" w:type="dxa"/>
            <w:vAlign w:val="center"/>
          </w:tcPr>
          <w:p w14:paraId="694D9D22">
            <w:pPr>
              <w:spacing w:line="340" w:lineRule="exact"/>
              <w:ind w:right="168" w:rightChars="80"/>
              <w:rPr>
                <w:rFonts w:hint="default" w:ascii="宋体" w:hAnsi="宋体" w:eastAsiaTheme="minorEastAsia"/>
                <w:szCs w:val="21"/>
                <w:lang w:val="en-US" w:eastAsia="zh-CN"/>
              </w:rPr>
            </w:pPr>
            <w:r>
              <w:rPr>
                <w:rFonts w:hint="eastAsia" w:ascii="宋体" w:hAnsi="宋体"/>
                <w:szCs w:val="21"/>
                <w:lang w:val="en-US" w:eastAsia="zh-CN"/>
              </w:rPr>
              <w:t>中小企业声明函</w:t>
            </w:r>
          </w:p>
        </w:tc>
        <w:tc>
          <w:tcPr>
            <w:tcW w:w="1680" w:type="dxa"/>
            <w:vAlign w:val="center"/>
          </w:tcPr>
          <w:p w14:paraId="1FAEA731">
            <w:pPr>
              <w:rPr>
                <w:rFonts w:hAnsi="宋体"/>
              </w:rPr>
            </w:pPr>
          </w:p>
        </w:tc>
        <w:tc>
          <w:tcPr>
            <w:tcW w:w="1785" w:type="dxa"/>
            <w:vAlign w:val="center"/>
          </w:tcPr>
          <w:p w14:paraId="457D2FEF">
            <w:pPr>
              <w:rPr>
                <w:rFonts w:hAnsi="宋体"/>
              </w:rPr>
            </w:pPr>
          </w:p>
        </w:tc>
      </w:tr>
      <w:tr w14:paraId="2E66E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46" w:type="dxa"/>
            <w:vAlign w:val="center"/>
          </w:tcPr>
          <w:p w14:paraId="54BC89D6">
            <w:pPr>
              <w:rPr>
                <w:rFonts w:hAnsi="宋体" w:eastAsia="宋体"/>
              </w:rPr>
            </w:pPr>
          </w:p>
        </w:tc>
        <w:tc>
          <w:tcPr>
            <w:tcW w:w="5447" w:type="dxa"/>
            <w:vAlign w:val="center"/>
          </w:tcPr>
          <w:p w14:paraId="24BE93C3">
            <w:pPr>
              <w:snapToGrid w:val="0"/>
              <w:spacing w:line="590" w:lineRule="atLeast"/>
              <w:rPr>
                <w:rFonts w:hAnsi="宋体" w:eastAsia="宋体"/>
                <w:iCs/>
                <w:sz w:val="24"/>
              </w:rPr>
            </w:pPr>
          </w:p>
        </w:tc>
        <w:tc>
          <w:tcPr>
            <w:tcW w:w="1680" w:type="dxa"/>
            <w:vAlign w:val="center"/>
          </w:tcPr>
          <w:p w14:paraId="6FFB1454">
            <w:pPr>
              <w:rPr>
                <w:rFonts w:hAnsi="宋体"/>
              </w:rPr>
            </w:pPr>
          </w:p>
        </w:tc>
        <w:tc>
          <w:tcPr>
            <w:tcW w:w="1785" w:type="dxa"/>
            <w:vAlign w:val="center"/>
          </w:tcPr>
          <w:p w14:paraId="2F8595FA">
            <w:pPr>
              <w:rPr>
                <w:rFonts w:hAnsi="宋体"/>
              </w:rPr>
            </w:pPr>
          </w:p>
        </w:tc>
      </w:tr>
      <w:tr w14:paraId="0AEB5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46" w:type="dxa"/>
            <w:vAlign w:val="center"/>
          </w:tcPr>
          <w:p w14:paraId="4566CCB9">
            <w:pPr>
              <w:rPr>
                <w:rFonts w:hAnsi="宋体"/>
              </w:rPr>
            </w:pPr>
          </w:p>
        </w:tc>
        <w:tc>
          <w:tcPr>
            <w:tcW w:w="5447" w:type="dxa"/>
            <w:vAlign w:val="center"/>
          </w:tcPr>
          <w:p w14:paraId="35C9194F">
            <w:pPr>
              <w:snapToGrid w:val="0"/>
              <w:spacing w:line="590" w:lineRule="atLeast"/>
              <w:rPr>
                <w:rFonts w:hAnsi="宋体"/>
                <w:iCs/>
                <w:sz w:val="24"/>
              </w:rPr>
            </w:pPr>
          </w:p>
        </w:tc>
        <w:tc>
          <w:tcPr>
            <w:tcW w:w="1680" w:type="dxa"/>
            <w:vAlign w:val="center"/>
          </w:tcPr>
          <w:p w14:paraId="6C80C348">
            <w:pPr>
              <w:rPr>
                <w:rFonts w:hAnsi="宋体"/>
              </w:rPr>
            </w:pPr>
          </w:p>
        </w:tc>
        <w:tc>
          <w:tcPr>
            <w:tcW w:w="1785" w:type="dxa"/>
            <w:vAlign w:val="center"/>
          </w:tcPr>
          <w:p w14:paraId="5A3D1208">
            <w:pPr>
              <w:rPr>
                <w:rFonts w:hAnsi="宋体"/>
              </w:rPr>
            </w:pPr>
          </w:p>
        </w:tc>
      </w:tr>
    </w:tbl>
    <w:p w14:paraId="116D5EF6">
      <w:pPr>
        <w:autoSpaceDE w:val="0"/>
        <w:autoSpaceDN w:val="0"/>
        <w:ind w:firstLine="210"/>
        <w:rPr>
          <w:rFonts w:cs="宋体"/>
          <w:szCs w:val="28"/>
          <w:lang w:val="zh-CN"/>
        </w:rPr>
      </w:pPr>
    </w:p>
    <w:p w14:paraId="10E11E67">
      <w:pPr>
        <w:autoSpaceDE w:val="0"/>
        <w:autoSpaceDN w:val="0"/>
        <w:ind w:firstLine="210"/>
        <w:rPr>
          <w:rFonts w:cs="宋体"/>
          <w:szCs w:val="28"/>
          <w:lang w:val="zh-CN"/>
        </w:rPr>
      </w:pPr>
      <w:r>
        <w:rPr>
          <w:rFonts w:hint="eastAsia" w:cs="宋体"/>
          <w:color w:val="FF0000"/>
          <w:szCs w:val="28"/>
          <w:lang w:val="zh-CN"/>
        </w:rPr>
        <w:t>注：本表须明确填写并按招标文件要求提供材料，否则资格性检查无法通过。</w:t>
      </w:r>
    </w:p>
    <w:p w14:paraId="60777B1F">
      <w:pPr>
        <w:snapToGrid w:val="0"/>
        <w:spacing w:before="50" w:after="50"/>
        <w:rPr>
          <w:rFonts w:hAnsi="宋体"/>
          <w:b/>
          <w:bCs/>
          <w:sz w:val="32"/>
          <w:szCs w:val="32"/>
        </w:rPr>
      </w:pPr>
    </w:p>
    <w:p w14:paraId="5B813C2F">
      <w:pPr>
        <w:pStyle w:val="15"/>
        <w:rPr>
          <w:rFonts w:hAnsi="宋体"/>
          <w:b/>
          <w:bCs/>
          <w:sz w:val="32"/>
          <w:szCs w:val="32"/>
        </w:rPr>
      </w:pPr>
    </w:p>
    <w:p w14:paraId="4D09B62C">
      <w:pPr>
        <w:pStyle w:val="15"/>
        <w:rPr>
          <w:rFonts w:hAnsi="宋体"/>
          <w:b/>
          <w:bCs/>
          <w:sz w:val="32"/>
          <w:szCs w:val="32"/>
        </w:rPr>
      </w:pPr>
    </w:p>
    <w:p w14:paraId="1192067B">
      <w:pPr>
        <w:snapToGrid w:val="0"/>
        <w:spacing w:before="50" w:after="50"/>
        <w:rPr>
          <w:rFonts w:hAnsi="宋体"/>
          <w:b/>
          <w:bCs/>
          <w:sz w:val="32"/>
          <w:szCs w:val="32"/>
        </w:rPr>
      </w:pPr>
    </w:p>
    <w:p w14:paraId="1A2EAB94">
      <w:pPr>
        <w:snapToGrid w:val="0"/>
        <w:spacing w:before="50" w:after="50"/>
        <w:jc w:val="center"/>
        <w:rPr>
          <w:rFonts w:hAnsi="宋体"/>
          <w:b/>
          <w:bCs/>
          <w:sz w:val="32"/>
          <w:szCs w:val="32"/>
        </w:rPr>
      </w:pPr>
    </w:p>
    <w:p w14:paraId="3EBF76CD">
      <w:pPr>
        <w:pStyle w:val="8"/>
        <w:rPr>
          <w:rFonts w:hAnsi="宋体"/>
          <w:b/>
          <w:bCs/>
          <w:sz w:val="32"/>
          <w:szCs w:val="32"/>
        </w:rPr>
      </w:pPr>
    </w:p>
    <w:p w14:paraId="528D2EC8"/>
    <w:p w14:paraId="3F17C9E6">
      <w:pPr>
        <w:snapToGrid w:val="0"/>
        <w:spacing w:before="50" w:after="50"/>
        <w:rPr>
          <w:rFonts w:hAnsi="宋体"/>
          <w:b/>
          <w:bCs/>
          <w:sz w:val="32"/>
          <w:szCs w:val="32"/>
        </w:rPr>
      </w:pPr>
    </w:p>
    <w:p w14:paraId="6A38D4B3">
      <w:pPr>
        <w:jc w:val="center"/>
        <w:rPr>
          <w:rFonts w:ascii="黑体" w:hAnsi="黑体" w:eastAsia="黑体"/>
          <w:b/>
          <w:color w:val="000000"/>
          <w:sz w:val="32"/>
          <w:szCs w:val="32"/>
        </w:rPr>
      </w:pPr>
      <w:r>
        <w:rPr>
          <w:rFonts w:hint="eastAsia" w:ascii="黑体" w:hAnsi="黑体" w:eastAsia="黑体"/>
          <w:b/>
          <w:color w:val="000000"/>
          <w:sz w:val="32"/>
          <w:szCs w:val="32"/>
        </w:rPr>
        <w:t>十三、符合性检查响应对照表</w:t>
      </w:r>
    </w:p>
    <w:tbl>
      <w:tblPr>
        <w:tblStyle w:val="16"/>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785"/>
      </w:tblGrid>
      <w:tr w14:paraId="2434E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588D341">
            <w:pPr>
              <w:snapToGrid w:val="0"/>
              <w:spacing w:line="240" w:lineRule="atLeast"/>
              <w:jc w:val="center"/>
              <w:rPr>
                <w:rFonts w:ascii="幼圆" w:eastAsia="幼圆"/>
                <w:b/>
              </w:rPr>
            </w:pPr>
            <w:r>
              <w:rPr>
                <w:rFonts w:hint="eastAsia" w:ascii="幼圆" w:eastAsia="幼圆"/>
                <w:b/>
              </w:rPr>
              <w:t>序号</w:t>
            </w:r>
          </w:p>
        </w:tc>
        <w:tc>
          <w:tcPr>
            <w:tcW w:w="5447" w:type="dxa"/>
            <w:vAlign w:val="center"/>
          </w:tcPr>
          <w:p w14:paraId="00C4E39B">
            <w:pPr>
              <w:snapToGrid w:val="0"/>
              <w:spacing w:line="240" w:lineRule="atLeast"/>
              <w:jc w:val="center"/>
              <w:rPr>
                <w:rFonts w:ascii="幼圆" w:eastAsia="幼圆"/>
                <w:b/>
              </w:rPr>
            </w:pPr>
            <w:r>
              <w:rPr>
                <w:rFonts w:hint="eastAsia" w:ascii="幼圆" w:eastAsia="幼圆"/>
                <w:b/>
              </w:rPr>
              <w:t>符合性检查响应内容</w:t>
            </w:r>
          </w:p>
        </w:tc>
        <w:tc>
          <w:tcPr>
            <w:tcW w:w="1680" w:type="dxa"/>
            <w:vAlign w:val="center"/>
          </w:tcPr>
          <w:p w14:paraId="093E0161">
            <w:pPr>
              <w:snapToGrid w:val="0"/>
              <w:spacing w:line="240" w:lineRule="atLeast"/>
              <w:jc w:val="center"/>
              <w:rPr>
                <w:rFonts w:ascii="幼圆" w:eastAsia="幼圆"/>
                <w:b/>
              </w:rPr>
            </w:pPr>
            <w:r>
              <w:rPr>
                <w:rFonts w:hint="eastAsia" w:ascii="幼圆" w:eastAsia="幼圆"/>
                <w:b/>
              </w:rPr>
              <w:t>是否响应</w:t>
            </w:r>
          </w:p>
          <w:p w14:paraId="68867B9B">
            <w:pPr>
              <w:snapToGrid w:val="0"/>
              <w:spacing w:line="240" w:lineRule="atLeast"/>
              <w:jc w:val="center"/>
              <w:rPr>
                <w:rFonts w:ascii="幼圆" w:eastAsia="幼圆"/>
                <w:b/>
              </w:rPr>
            </w:pPr>
            <w:r>
              <w:rPr>
                <w:rFonts w:hint="eastAsia" w:ascii="幼圆" w:eastAsia="幼圆"/>
                <w:b/>
              </w:rPr>
              <w:t>（填是或者否）</w:t>
            </w:r>
          </w:p>
        </w:tc>
        <w:tc>
          <w:tcPr>
            <w:tcW w:w="1785" w:type="dxa"/>
            <w:vAlign w:val="center"/>
          </w:tcPr>
          <w:p w14:paraId="38A6173B">
            <w:pPr>
              <w:snapToGrid w:val="0"/>
              <w:spacing w:line="240" w:lineRule="atLeast"/>
              <w:jc w:val="center"/>
              <w:rPr>
                <w:rFonts w:hint="eastAsia" w:ascii="幼圆" w:eastAsia="幼圆"/>
                <w:b/>
                <w:lang w:eastAsia="zh-CN"/>
              </w:rPr>
            </w:pPr>
            <w:r>
              <w:rPr>
                <w:rFonts w:hint="eastAsia" w:ascii="幼圆" w:eastAsia="幼圆"/>
                <w:b/>
                <w:lang w:val="en-US" w:eastAsia="zh-CN"/>
              </w:rPr>
              <w:t>备注</w:t>
            </w:r>
          </w:p>
        </w:tc>
      </w:tr>
      <w:tr w14:paraId="09058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14:paraId="3BC58380">
            <w:pPr>
              <w:rPr>
                <w:rFonts w:hAnsi="宋体"/>
                <w:iCs/>
                <w:sz w:val="24"/>
              </w:rPr>
            </w:pPr>
            <w:r>
              <w:rPr>
                <w:rFonts w:hint="eastAsia" w:hAnsi="宋体"/>
                <w:iCs/>
                <w:sz w:val="24"/>
              </w:rPr>
              <w:t>1</w:t>
            </w:r>
          </w:p>
        </w:tc>
        <w:tc>
          <w:tcPr>
            <w:tcW w:w="5447" w:type="dxa"/>
            <w:vAlign w:val="center"/>
          </w:tcPr>
          <w:p w14:paraId="2B7264C5">
            <w:pPr>
              <w:rPr>
                <w:rFonts w:hAnsi="宋体"/>
                <w:iCs/>
                <w:sz w:val="24"/>
              </w:rPr>
            </w:pPr>
            <w:r>
              <w:rPr>
                <w:rFonts w:hint="eastAsia" w:hAnsi="宋体"/>
                <w:iCs/>
                <w:sz w:val="24"/>
              </w:rPr>
              <w:t xml:space="preserve">合同履行期限 </w:t>
            </w:r>
          </w:p>
        </w:tc>
        <w:tc>
          <w:tcPr>
            <w:tcW w:w="1680" w:type="dxa"/>
            <w:vAlign w:val="center"/>
          </w:tcPr>
          <w:p w14:paraId="0F0B9678">
            <w:pPr>
              <w:rPr>
                <w:rFonts w:hAnsi="宋体"/>
                <w:b/>
              </w:rPr>
            </w:pPr>
          </w:p>
        </w:tc>
        <w:tc>
          <w:tcPr>
            <w:tcW w:w="1785" w:type="dxa"/>
            <w:vAlign w:val="center"/>
          </w:tcPr>
          <w:p w14:paraId="30E0E49D">
            <w:pPr>
              <w:rPr>
                <w:rFonts w:hAnsi="宋体"/>
                <w:b/>
              </w:rPr>
            </w:pPr>
          </w:p>
        </w:tc>
      </w:tr>
      <w:tr w14:paraId="25998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14:paraId="790151A2">
            <w:pPr>
              <w:rPr>
                <w:rFonts w:hAnsi="宋体"/>
                <w:iCs/>
                <w:sz w:val="24"/>
              </w:rPr>
            </w:pPr>
            <w:r>
              <w:rPr>
                <w:rFonts w:hint="eastAsia" w:hAnsi="宋体"/>
                <w:iCs/>
                <w:sz w:val="24"/>
              </w:rPr>
              <w:t>2</w:t>
            </w:r>
          </w:p>
        </w:tc>
        <w:tc>
          <w:tcPr>
            <w:tcW w:w="5447" w:type="dxa"/>
            <w:vAlign w:val="center"/>
          </w:tcPr>
          <w:p w14:paraId="502FBE11">
            <w:pPr>
              <w:rPr>
                <w:rFonts w:hAnsi="宋体"/>
                <w:iCs/>
                <w:sz w:val="24"/>
              </w:rPr>
            </w:pPr>
            <w:r>
              <w:rPr>
                <w:rFonts w:hint="eastAsia" w:hAnsi="宋体"/>
                <w:iCs/>
                <w:sz w:val="24"/>
              </w:rPr>
              <w:t>质保期</w:t>
            </w:r>
          </w:p>
        </w:tc>
        <w:tc>
          <w:tcPr>
            <w:tcW w:w="1680" w:type="dxa"/>
            <w:vAlign w:val="center"/>
          </w:tcPr>
          <w:p w14:paraId="0DDD1ADD">
            <w:pPr>
              <w:rPr>
                <w:rFonts w:hAnsi="宋体"/>
              </w:rPr>
            </w:pPr>
          </w:p>
        </w:tc>
        <w:tc>
          <w:tcPr>
            <w:tcW w:w="1785" w:type="dxa"/>
            <w:vAlign w:val="center"/>
          </w:tcPr>
          <w:p w14:paraId="4348C267">
            <w:pPr>
              <w:rPr>
                <w:rFonts w:hAnsi="宋体"/>
              </w:rPr>
            </w:pPr>
          </w:p>
        </w:tc>
      </w:tr>
      <w:tr w14:paraId="6CE2A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14:paraId="13E6BB72">
            <w:pPr>
              <w:rPr>
                <w:rFonts w:hAnsi="宋体"/>
                <w:iCs/>
                <w:sz w:val="24"/>
              </w:rPr>
            </w:pPr>
            <w:r>
              <w:rPr>
                <w:rFonts w:hint="eastAsia" w:hAnsi="宋体"/>
                <w:iCs/>
                <w:sz w:val="24"/>
              </w:rPr>
              <w:t>3</w:t>
            </w:r>
          </w:p>
        </w:tc>
        <w:tc>
          <w:tcPr>
            <w:tcW w:w="5447" w:type="dxa"/>
            <w:vAlign w:val="center"/>
          </w:tcPr>
          <w:p w14:paraId="15A5FA5F">
            <w:pPr>
              <w:rPr>
                <w:rFonts w:hint="eastAsia" w:hAnsi="宋体" w:eastAsiaTheme="minorEastAsia"/>
                <w:iCs/>
                <w:sz w:val="24"/>
                <w:lang w:eastAsia="zh-CN"/>
              </w:rPr>
            </w:pPr>
            <w:r>
              <w:rPr>
                <w:rFonts w:hint="eastAsia" w:hAnsi="宋体"/>
                <w:iCs/>
                <w:sz w:val="24"/>
              </w:rPr>
              <w:t>其他实质性响应内容</w:t>
            </w:r>
            <w:r>
              <w:rPr>
                <w:rFonts w:hint="eastAsia" w:hAnsi="宋体"/>
                <w:iCs/>
                <w:sz w:val="24"/>
                <w:lang w:eastAsia="zh-CN"/>
              </w:rPr>
              <w:t>（</w:t>
            </w:r>
            <w:r>
              <w:rPr>
                <w:rFonts w:hint="eastAsia" w:hAnsi="宋体"/>
                <w:iCs/>
                <w:sz w:val="24"/>
                <w:lang w:val="en-US" w:eastAsia="zh-CN"/>
              </w:rPr>
              <w:t>详见附件1</w:t>
            </w:r>
            <w:r>
              <w:rPr>
                <w:rFonts w:hint="eastAsia" w:hAnsi="宋体"/>
                <w:iCs/>
                <w:sz w:val="24"/>
                <w:lang w:eastAsia="zh-CN"/>
              </w:rPr>
              <w:t>）</w:t>
            </w:r>
          </w:p>
        </w:tc>
        <w:tc>
          <w:tcPr>
            <w:tcW w:w="1680" w:type="dxa"/>
            <w:vAlign w:val="center"/>
          </w:tcPr>
          <w:p w14:paraId="78DBF10D">
            <w:pPr>
              <w:rPr>
                <w:rFonts w:hAnsi="宋体"/>
                <w:iCs/>
                <w:sz w:val="24"/>
              </w:rPr>
            </w:pPr>
          </w:p>
        </w:tc>
        <w:tc>
          <w:tcPr>
            <w:tcW w:w="1785" w:type="dxa"/>
            <w:vAlign w:val="center"/>
          </w:tcPr>
          <w:p w14:paraId="4AE4AC5F">
            <w:pPr>
              <w:rPr>
                <w:rFonts w:hAnsi="宋体"/>
                <w:iCs/>
                <w:sz w:val="24"/>
              </w:rPr>
            </w:pPr>
          </w:p>
        </w:tc>
      </w:tr>
      <w:tr w14:paraId="6A8E1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46" w:type="dxa"/>
            <w:vAlign w:val="center"/>
          </w:tcPr>
          <w:p w14:paraId="0879C8C8">
            <w:pPr>
              <w:rPr>
                <w:rFonts w:hint="eastAsia" w:hAnsi="宋体" w:eastAsiaTheme="minorEastAsia"/>
                <w:lang w:val="en-US" w:eastAsia="zh-CN"/>
              </w:rPr>
            </w:pPr>
            <w:r>
              <w:rPr>
                <w:rFonts w:hint="eastAsia" w:hAnsi="宋体"/>
                <w:lang w:val="en-US" w:eastAsia="zh-CN"/>
              </w:rPr>
              <w:t>4</w:t>
            </w:r>
          </w:p>
        </w:tc>
        <w:tc>
          <w:tcPr>
            <w:tcW w:w="5447" w:type="dxa"/>
            <w:vAlign w:val="center"/>
          </w:tcPr>
          <w:p w14:paraId="5972AE34">
            <w:pPr>
              <w:rPr>
                <w:rFonts w:hint="default" w:hAnsi="宋体" w:eastAsiaTheme="minorEastAsia"/>
                <w:iCs/>
                <w:sz w:val="24"/>
                <w:lang w:val="en-US" w:eastAsia="zh-CN"/>
              </w:rPr>
            </w:pPr>
            <w:r>
              <w:rPr>
                <w:rFonts w:hint="default" w:hAnsi="宋体" w:eastAsiaTheme="minorEastAsia"/>
                <w:iCs/>
                <w:sz w:val="24"/>
                <w:lang w:val="en-US" w:eastAsia="zh-CN"/>
              </w:rPr>
              <w:t>同一标段所投产品须为同一品牌</w:t>
            </w:r>
          </w:p>
        </w:tc>
        <w:tc>
          <w:tcPr>
            <w:tcW w:w="1680" w:type="dxa"/>
            <w:vAlign w:val="center"/>
          </w:tcPr>
          <w:p w14:paraId="7DE049C3">
            <w:pPr>
              <w:rPr>
                <w:rFonts w:hAnsi="宋体"/>
              </w:rPr>
            </w:pPr>
          </w:p>
        </w:tc>
        <w:tc>
          <w:tcPr>
            <w:tcW w:w="1785" w:type="dxa"/>
            <w:vAlign w:val="center"/>
          </w:tcPr>
          <w:p w14:paraId="57CB74E6">
            <w:pPr>
              <w:rPr>
                <w:rFonts w:hAnsi="宋体"/>
              </w:rPr>
            </w:pPr>
          </w:p>
        </w:tc>
      </w:tr>
      <w:tr w14:paraId="56D9D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646" w:type="dxa"/>
            <w:vAlign w:val="center"/>
          </w:tcPr>
          <w:p w14:paraId="5AA94D03">
            <w:pPr>
              <w:rPr>
                <w:rFonts w:hAnsi="宋体"/>
              </w:rPr>
            </w:pPr>
          </w:p>
        </w:tc>
        <w:tc>
          <w:tcPr>
            <w:tcW w:w="5447" w:type="dxa"/>
            <w:vAlign w:val="center"/>
          </w:tcPr>
          <w:p w14:paraId="4E9405A1">
            <w:pPr>
              <w:snapToGrid w:val="0"/>
              <w:spacing w:line="590" w:lineRule="atLeast"/>
              <w:rPr>
                <w:rFonts w:hAnsi="宋体"/>
                <w:iCs/>
                <w:sz w:val="24"/>
              </w:rPr>
            </w:pPr>
          </w:p>
        </w:tc>
        <w:tc>
          <w:tcPr>
            <w:tcW w:w="1680" w:type="dxa"/>
            <w:vAlign w:val="center"/>
          </w:tcPr>
          <w:p w14:paraId="2ECD846D">
            <w:pPr>
              <w:rPr>
                <w:rFonts w:hAnsi="宋体"/>
              </w:rPr>
            </w:pPr>
          </w:p>
        </w:tc>
        <w:tc>
          <w:tcPr>
            <w:tcW w:w="1785" w:type="dxa"/>
            <w:vAlign w:val="center"/>
          </w:tcPr>
          <w:p w14:paraId="24E53C58">
            <w:pPr>
              <w:rPr>
                <w:rFonts w:hAnsi="宋体"/>
              </w:rPr>
            </w:pPr>
          </w:p>
        </w:tc>
      </w:tr>
      <w:tr w14:paraId="4F655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6" w:hRule="atLeast"/>
        </w:trPr>
        <w:tc>
          <w:tcPr>
            <w:tcW w:w="646" w:type="dxa"/>
            <w:vAlign w:val="center"/>
          </w:tcPr>
          <w:p w14:paraId="66E69A8E">
            <w:pPr>
              <w:rPr>
                <w:rFonts w:hAnsi="宋体"/>
              </w:rPr>
            </w:pPr>
          </w:p>
        </w:tc>
        <w:tc>
          <w:tcPr>
            <w:tcW w:w="5447" w:type="dxa"/>
            <w:vAlign w:val="center"/>
          </w:tcPr>
          <w:p w14:paraId="29989379">
            <w:pPr>
              <w:snapToGrid w:val="0"/>
              <w:spacing w:line="590" w:lineRule="atLeast"/>
              <w:rPr>
                <w:rFonts w:hAnsi="宋体"/>
                <w:iCs/>
                <w:sz w:val="24"/>
              </w:rPr>
            </w:pPr>
          </w:p>
        </w:tc>
        <w:tc>
          <w:tcPr>
            <w:tcW w:w="1680" w:type="dxa"/>
            <w:vAlign w:val="center"/>
          </w:tcPr>
          <w:p w14:paraId="1F7255A6">
            <w:pPr>
              <w:rPr>
                <w:rFonts w:hAnsi="宋体"/>
              </w:rPr>
            </w:pPr>
          </w:p>
        </w:tc>
        <w:tc>
          <w:tcPr>
            <w:tcW w:w="1785" w:type="dxa"/>
            <w:vAlign w:val="center"/>
          </w:tcPr>
          <w:p w14:paraId="45556FD0">
            <w:pPr>
              <w:rPr>
                <w:rFonts w:hAnsi="宋体"/>
              </w:rPr>
            </w:pPr>
          </w:p>
        </w:tc>
      </w:tr>
      <w:tr w14:paraId="7B02E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vAlign w:val="center"/>
          </w:tcPr>
          <w:p w14:paraId="626A65D1">
            <w:pPr>
              <w:rPr>
                <w:rFonts w:hAnsi="宋体"/>
              </w:rPr>
            </w:pPr>
          </w:p>
        </w:tc>
        <w:tc>
          <w:tcPr>
            <w:tcW w:w="5447" w:type="dxa"/>
            <w:vAlign w:val="center"/>
          </w:tcPr>
          <w:p w14:paraId="2E84F97A">
            <w:pPr>
              <w:snapToGrid w:val="0"/>
              <w:spacing w:line="590" w:lineRule="atLeast"/>
              <w:rPr>
                <w:rFonts w:hAnsi="宋体"/>
                <w:iCs/>
                <w:sz w:val="24"/>
              </w:rPr>
            </w:pPr>
          </w:p>
        </w:tc>
        <w:tc>
          <w:tcPr>
            <w:tcW w:w="1680" w:type="dxa"/>
            <w:vAlign w:val="center"/>
          </w:tcPr>
          <w:p w14:paraId="04774621">
            <w:pPr>
              <w:rPr>
                <w:rFonts w:hAnsi="宋体"/>
              </w:rPr>
            </w:pPr>
          </w:p>
        </w:tc>
        <w:tc>
          <w:tcPr>
            <w:tcW w:w="1785" w:type="dxa"/>
            <w:vAlign w:val="center"/>
          </w:tcPr>
          <w:p w14:paraId="142D5590">
            <w:pPr>
              <w:rPr>
                <w:rFonts w:hAnsi="宋体"/>
              </w:rPr>
            </w:pPr>
          </w:p>
        </w:tc>
      </w:tr>
    </w:tbl>
    <w:p w14:paraId="67FA1F44">
      <w:pPr>
        <w:autoSpaceDE w:val="0"/>
        <w:autoSpaceDN w:val="0"/>
        <w:ind w:firstLine="210"/>
        <w:rPr>
          <w:rFonts w:cs="宋体"/>
          <w:szCs w:val="28"/>
          <w:lang w:val="zh-CN"/>
        </w:rPr>
      </w:pPr>
    </w:p>
    <w:p w14:paraId="0B0A528B">
      <w:pPr>
        <w:autoSpaceDE w:val="0"/>
        <w:autoSpaceDN w:val="0"/>
        <w:ind w:firstLine="210"/>
        <w:rPr>
          <w:rFonts w:cs="宋体"/>
          <w:color w:val="FF0000"/>
          <w:szCs w:val="28"/>
          <w:lang w:val="zh-CN"/>
        </w:rPr>
      </w:pPr>
      <w:r>
        <w:rPr>
          <w:rFonts w:hint="eastAsia" w:cs="宋体"/>
          <w:color w:val="FF0000"/>
          <w:szCs w:val="28"/>
          <w:lang w:val="zh-CN"/>
        </w:rPr>
        <w:t>注：本表须明确填写并按招标文件要求提供材料，否则符合性检查无法通过。</w:t>
      </w:r>
    </w:p>
    <w:p w14:paraId="12CF252B">
      <w:pPr>
        <w:autoSpaceDE w:val="0"/>
        <w:autoSpaceDN w:val="0"/>
        <w:ind w:firstLine="210"/>
        <w:rPr>
          <w:rFonts w:cs="宋体"/>
          <w:szCs w:val="28"/>
          <w:lang w:val="zh-CN"/>
        </w:rPr>
      </w:pPr>
    </w:p>
    <w:p w14:paraId="560CFDDC">
      <w:pPr>
        <w:autoSpaceDE w:val="0"/>
        <w:autoSpaceDN w:val="0"/>
        <w:ind w:firstLine="210"/>
        <w:rPr>
          <w:rFonts w:cs="宋体"/>
          <w:szCs w:val="28"/>
          <w:lang w:val="zh-CN"/>
        </w:rPr>
      </w:pPr>
    </w:p>
    <w:p w14:paraId="5068D8F9">
      <w:pPr>
        <w:pStyle w:val="5"/>
        <w:rPr>
          <w:rFonts w:hAnsi="宋体" w:eastAsia="宋体"/>
          <w:b/>
          <w:bCs/>
          <w:sz w:val="32"/>
          <w:szCs w:val="32"/>
        </w:rPr>
      </w:pPr>
    </w:p>
    <w:p w14:paraId="0C2F33CF">
      <w:pPr>
        <w:rPr>
          <w:rFonts w:hAnsi="宋体"/>
          <w:b/>
          <w:bCs/>
          <w:sz w:val="32"/>
          <w:szCs w:val="32"/>
        </w:rPr>
      </w:pPr>
    </w:p>
    <w:p w14:paraId="4FB094DC">
      <w:pPr>
        <w:pStyle w:val="2"/>
        <w:spacing w:before="120" w:after="120"/>
        <w:ind w:firstLine="643"/>
        <w:rPr>
          <w:b/>
          <w:bCs/>
          <w:sz w:val="32"/>
          <w:szCs w:val="32"/>
        </w:rPr>
      </w:pPr>
    </w:p>
    <w:p w14:paraId="3F89D6BA"/>
    <w:p w14:paraId="645E0C05">
      <w:pPr>
        <w:pStyle w:val="2"/>
        <w:spacing w:before="120" w:after="120"/>
      </w:pPr>
    </w:p>
    <w:p w14:paraId="6AC9E28D"/>
    <w:p w14:paraId="30661D03">
      <w:pPr>
        <w:pStyle w:val="8"/>
      </w:pPr>
    </w:p>
    <w:p w14:paraId="0FC44C85">
      <w:pPr>
        <w:pStyle w:val="5"/>
        <w:spacing w:line="360" w:lineRule="auto"/>
        <w:jc w:val="left"/>
        <w:rPr>
          <w:rFonts w:hAnsi="宋体" w:eastAsia="宋体"/>
          <w:b/>
          <w:bCs/>
          <w:sz w:val="32"/>
          <w:szCs w:val="32"/>
        </w:rPr>
      </w:pPr>
      <w:r>
        <w:rPr>
          <w:rFonts w:hint="eastAsia" w:hAnsi="宋体" w:eastAsia="宋体"/>
          <w:b/>
          <w:bCs/>
          <w:sz w:val="32"/>
          <w:szCs w:val="32"/>
        </w:rPr>
        <w:t>附件1、            实质性响应内容</w:t>
      </w:r>
    </w:p>
    <w:p w14:paraId="650770C3">
      <w:pPr>
        <w:pStyle w:val="22"/>
        <w:spacing w:line="360" w:lineRule="auto"/>
        <w:ind w:firstLine="482"/>
        <w:rPr>
          <w:rFonts w:ascii="宋体" w:hAnsi="宋体" w:cs="Times New Roman"/>
          <w:b/>
          <w:bCs/>
          <w:color w:val="000000"/>
          <w:sz w:val="24"/>
          <w:szCs w:val="24"/>
        </w:rPr>
      </w:pPr>
      <w:r>
        <w:rPr>
          <w:rFonts w:hint="eastAsia" w:ascii="宋体" w:hAnsi="宋体" w:cs="Times New Roman"/>
          <w:b/>
          <w:bCs/>
          <w:color w:val="000000"/>
          <w:sz w:val="24"/>
          <w:szCs w:val="24"/>
          <w:lang w:val="en-US" w:eastAsia="zh-CN"/>
        </w:rPr>
        <w:t>一</w:t>
      </w:r>
      <w:r>
        <w:rPr>
          <w:rFonts w:hint="eastAsia" w:ascii="宋体" w:hAnsi="宋体" w:cs="Times New Roman"/>
          <w:b/>
          <w:bCs/>
          <w:color w:val="000000"/>
          <w:sz w:val="24"/>
          <w:szCs w:val="24"/>
        </w:rPr>
        <w:t>、质量要求：</w:t>
      </w:r>
    </w:p>
    <w:p w14:paraId="2E9FEECB">
      <w:pPr>
        <w:pStyle w:val="22"/>
        <w:spacing w:line="360" w:lineRule="auto"/>
        <w:rPr>
          <w:rFonts w:ascii="宋体" w:hAnsi="宋体" w:cs="Times New Roman"/>
          <w:color w:val="000000"/>
          <w:sz w:val="24"/>
          <w:szCs w:val="24"/>
        </w:rPr>
      </w:pPr>
      <w:r>
        <w:rPr>
          <w:rFonts w:hint="eastAsia" w:ascii="宋体" w:hAnsi="宋体" w:cs="Times New Roman"/>
          <w:color w:val="000000"/>
          <w:sz w:val="24"/>
          <w:szCs w:val="24"/>
        </w:rPr>
        <w:t>1、投标单位不能简单照搬招标文件提供的需求，必须按招标文件技术规格逐项作出实质性应答，如照搬照抄项目需求中的技术的，中标后投标供应商在同采购人签订合同和履约环节中不得提出异议，一切后果和损失由成交供应商承担。</w:t>
      </w:r>
    </w:p>
    <w:p w14:paraId="3E09D097">
      <w:pPr>
        <w:pStyle w:val="22"/>
        <w:spacing w:line="360" w:lineRule="auto"/>
        <w:rPr>
          <w:rFonts w:ascii="宋体" w:hAnsi="宋体" w:cs="Times New Roman"/>
          <w:color w:val="000000"/>
          <w:sz w:val="24"/>
          <w:szCs w:val="24"/>
        </w:rPr>
      </w:pPr>
      <w:r>
        <w:rPr>
          <w:rFonts w:hint="eastAsia" w:ascii="宋体" w:hAnsi="宋体" w:cs="Times New Roman"/>
          <w:color w:val="000000"/>
          <w:sz w:val="24"/>
          <w:szCs w:val="24"/>
        </w:rPr>
        <w:t>2、投标人须明确所投设备的生产厂家、品牌、型号、规格和外形、尺寸等。</w:t>
      </w:r>
    </w:p>
    <w:p w14:paraId="431EE464">
      <w:pPr>
        <w:pStyle w:val="22"/>
        <w:spacing w:line="360" w:lineRule="auto"/>
        <w:rPr>
          <w:rFonts w:ascii="宋体" w:hAnsi="宋体" w:cs="Times New Roman"/>
          <w:color w:val="000000"/>
          <w:sz w:val="24"/>
          <w:szCs w:val="24"/>
        </w:rPr>
      </w:pPr>
      <w:r>
        <w:rPr>
          <w:rFonts w:hint="eastAsia" w:ascii="宋体" w:hAnsi="宋体" w:cs="Times New Roman"/>
          <w:color w:val="000000"/>
          <w:sz w:val="24"/>
          <w:szCs w:val="24"/>
        </w:rPr>
        <w:t>3、投标人应保证货物是全新、未使用过的原厂合格产品，并完全符合招标文件规定的质量、规格和参数的要求。完全符合国家标准规定的质量、规格和性能的要求。在保质期内，投标方应对由设计、工艺或材料的缺陷而发生的任何不足或故障负责。验收过程中发现产品不符合上述要求的，将视作不合格产品，使用方有权终止合同，造成的一切损失由供应商承担。投标产品属于国家规定“三包”范围的，其产品的质量保证期不得低于“三包”规定。供应商的质量保证期承诺优于国家“三包”规定的，按供应商实际承诺执行；</w:t>
      </w:r>
    </w:p>
    <w:p w14:paraId="57BA54A3">
      <w:pPr>
        <w:pStyle w:val="22"/>
        <w:spacing w:line="360" w:lineRule="auto"/>
        <w:rPr>
          <w:rFonts w:ascii="宋体" w:hAnsi="宋体" w:cs="Times New Roman"/>
          <w:color w:val="000000"/>
          <w:sz w:val="24"/>
          <w:szCs w:val="24"/>
        </w:rPr>
      </w:pPr>
      <w:r>
        <w:rPr>
          <w:rFonts w:hint="eastAsia" w:ascii="宋体" w:hAnsi="宋体" w:cs="Times New Roman"/>
          <w:color w:val="000000"/>
          <w:sz w:val="24"/>
          <w:szCs w:val="24"/>
        </w:rPr>
        <w:t>4、投标人应保证提供的产品不得侵犯第三方专利权、商标权和设计权、版权等。否则，供应商应负全部责任，并承担由此引起的一切后果。</w:t>
      </w:r>
    </w:p>
    <w:p w14:paraId="2FA957BA">
      <w:pPr>
        <w:pStyle w:val="22"/>
        <w:spacing w:line="360" w:lineRule="auto"/>
        <w:rPr>
          <w:rFonts w:ascii="宋体" w:hAnsi="宋体" w:cs="Times New Roman"/>
          <w:color w:val="000000"/>
          <w:sz w:val="24"/>
          <w:szCs w:val="24"/>
        </w:rPr>
      </w:pPr>
      <w:r>
        <w:rPr>
          <w:rFonts w:hint="eastAsia" w:ascii="宋体" w:hAnsi="宋体" w:cs="Times New Roman"/>
          <w:color w:val="000000"/>
          <w:sz w:val="24"/>
          <w:szCs w:val="24"/>
        </w:rPr>
        <w:t>5、投标人应保证其货物在正确安装、正常使用下，在其使用寿命期内应具有满意的性能。</w:t>
      </w:r>
    </w:p>
    <w:p w14:paraId="60E14B5C">
      <w:pPr>
        <w:pStyle w:val="22"/>
        <w:spacing w:line="360" w:lineRule="auto"/>
        <w:rPr>
          <w:rFonts w:ascii="宋体" w:hAnsi="宋体" w:cs="Times New Roman"/>
          <w:color w:val="000000"/>
          <w:sz w:val="24"/>
          <w:szCs w:val="24"/>
        </w:rPr>
      </w:pPr>
      <w:r>
        <w:rPr>
          <w:rFonts w:hint="eastAsia" w:ascii="宋体" w:hAnsi="宋体" w:cs="Times New Roman"/>
          <w:color w:val="000000"/>
          <w:sz w:val="24"/>
          <w:szCs w:val="24"/>
        </w:rPr>
        <w:t>6、投标人应采取必要的安全措施保证货物的运输及安装的安全，并承担货物的运输及安装过程中产生的风险。</w:t>
      </w:r>
    </w:p>
    <w:p w14:paraId="290362ED">
      <w:pPr>
        <w:pStyle w:val="22"/>
        <w:spacing w:line="360" w:lineRule="auto"/>
        <w:rPr>
          <w:rFonts w:ascii="宋体" w:hAnsi="宋体" w:cs="Times New Roman"/>
          <w:color w:val="000000"/>
          <w:sz w:val="24"/>
          <w:szCs w:val="24"/>
        </w:rPr>
      </w:pPr>
      <w:r>
        <w:rPr>
          <w:rFonts w:hint="eastAsia" w:ascii="宋体" w:hAnsi="宋体" w:cs="Times New Roman"/>
          <w:color w:val="000000"/>
          <w:sz w:val="24"/>
          <w:szCs w:val="24"/>
        </w:rPr>
        <w:t>7、所有报价的产品的各项技术标准应当符合现行相关生产标准和规范及招标文件的要求。</w:t>
      </w:r>
    </w:p>
    <w:p w14:paraId="1EB36D1D">
      <w:pPr>
        <w:pStyle w:val="22"/>
        <w:spacing w:line="360" w:lineRule="auto"/>
        <w:rPr>
          <w:rFonts w:ascii="宋体" w:hAnsi="宋体" w:cs="Times New Roman"/>
          <w:color w:val="000000"/>
          <w:sz w:val="24"/>
          <w:szCs w:val="24"/>
        </w:rPr>
      </w:pPr>
      <w:r>
        <w:rPr>
          <w:rFonts w:hint="eastAsia" w:ascii="宋体" w:hAnsi="宋体" w:cs="Times New Roman"/>
          <w:color w:val="000000"/>
          <w:sz w:val="24"/>
          <w:szCs w:val="24"/>
        </w:rPr>
        <w:t>8、供货时必须随产品提供出厂材料，包括但不限于检验报告（复印件）、产品合格证（原件）以及设备的测试、运行、保养手册，所有材料均要满足环保要求。</w:t>
      </w:r>
    </w:p>
    <w:p w14:paraId="3D5E0249">
      <w:pPr>
        <w:pStyle w:val="22"/>
        <w:spacing w:line="360" w:lineRule="auto"/>
        <w:rPr>
          <w:rFonts w:ascii="宋体" w:hAnsi="宋体" w:cs="Times New Roman"/>
          <w:color w:val="000000"/>
          <w:sz w:val="24"/>
          <w:szCs w:val="24"/>
        </w:rPr>
      </w:pPr>
      <w:r>
        <w:rPr>
          <w:rFonts w:hint="eastAsia" w:ascii="宋体" w:hAnsi="宋体" w:cs="Times New Roman"/>
          <w:color w:val="000000"/>
          <w:sz w:val="24"/>
          <w:szCs w:val="24"/>
        </w:rPr>
        <w:t>9、招标人将邀请专业人员，对安装到位的设备进行全面检查，发现使用不符合要求的产品，无条件更换，并没收履约保证金。</w:t>
      </w:r>
    </w:p>
    <w:p w14:paraId="4D6555D7">
      <w:pPr>
        <w:pStyle w:val="22"/>
        <w:spacing w:line="360" w:lineRule="auto"/>
        <w:ind w:firstLine="482"/>
        <w:rPr>
          <w:rFonts w:ascii="宋体" w:hAnsi="宋体" w:cs="Times New Roman"/>
          <w:b/>
          <w:bCs/>
          <w:color w:val="000000"/>
          <w:sz w:val="24"/>
          <w:szCs w:val="24"/>
        </w:rPr>
      </w:pPr>
      <w:r>
        <w:rPr>
          <w:rFonts w:hint="eastAsia" w:ascii="宋体" w:hAnsi="宋体" w:cs="Times New Roman"/>
          <w:b/>
          <w:bCs/>
          <w:color w:val="000000"/>
          <w:sz w:val="24"/>
          <w:szCs w:val="24"/>
          <w:lang w:val="en-US" w:eastAsia="zh-CN"/>
        </w:rPr>
        <w:t>二、</w:t>
      </w:r>
      <w:r>
        <w:rPr>
          <w:rFonts w:hint="eastAsia" w:ascii="宋体" w:hAnsi="宋体" w:cs="Times New Roman"/>
          <w:b/>
          <w:bCs/>
          <w:color w:val="000000"/>
          <w:sz w:val="24"/>
          <w:szCs w:val="24"/>
        </w:rPr>
        <w:t>售后服务</w:t>
      </w:r>
    </w:p>
    <w:p w14:paraId="1B7594C6">
      <w:pPr>
        <w:pStyle w:val="22"/>
        <w:spacing w:line="360" w:lineRule="auto"/>
        <w:rPr>
          <w:rFonts w:ascii="宋体" w:hAnsi="宋体" w:cs="Times New Roman"/>
          <w:color w:val="000000"/>
          <w:sz w:val="24"/>
          <w:szCs w:val="24"/>
        </w:rPr>
      </w:pPr>
      <w:r>
        <w:rPr>
          <w:rFonts w:hint="eastAsia" w:ascii="宋体" w:hAnsi="宋体" w:cs="Times New Roman"/>
          <w:color w:val="000000"/>
          <w:sz w:val="24"/>
          <w:szCs w:val="24"/>
        </w:rPr>
        <w:t>1、质量保证期：以上采购清单中耐用器材免费保修期至少8年（易损部件使用寿命不少于2年，更换后应确保使用8年），在质保期内，中标供应商负责提供2次/年巡检服务。</w:t>
      </w:r>
    </w:p>
    <w:p w14:paraId="13833120">
      <w:pPr>
        <w:pStyle w:val="22"/>
        <w:spacing w:line="360" w:lineRule="auto"/>
        <w:rPr>
          <w:rFonts w:ascii="宋体" w:hAnsi="宋体" w:cs="Times New Roman"/>
          <w:color w:val="000000"/>
          <w:sz w:val="24"/>
          <w:szCs w:val="24"/>
        </w:rPr>
      </w:pPr>
      <w:r>
        <w:rPr>
          <w:rFonts w:hint="eastAsia" w:ascii="宋体" w:hAnsi="宋体" w:cs="Times New Roman"/>
          <w:color w:val="000000"/>
          <w:sz w:val="24"/>
          <w:szCs w:val="24"/>
        </w:rPr>
        <w:t>2、在质保期内项目所有产品及其形成的系统性能如出现质量问题（人为除外），供应商负责无条件更换或修复。</w:t>
      </w:r>
    </w:p>
    <w:p w14:paraId="4CAE2DE5">
      <w:pPr>
        <w:pStyle w:val="22"/>
        <w:spacing w:line="360" w:lineRule="auto"/>
        <w:rPr>
          <w:rFonts w:ascii="宋体" w:hAnsi="宋体" w:cs="Times New Roman"/>
          <w:color w:val="000000"/>
          <w:sz w:val="24"/>
          <w:szCs w:val="24"/>
        </w:rPr>
      </w:pPr>
      <w:r>
        <w:rPr>
          <w:rFonts w:hint="eastAsia" w:ascii="宋体" w:hAnsi="宋体" w:cs="Times New Roman"/>
          <w:color w:val="000000"/>
          <w:sz w:val="24"/>
          <w:szCs w:val="24"/>
        </w:rPr>
        <w:t xml:space="preserve">3、中标人需有专业的安装维护队伍，需具有安装维护经验和相应的专业资格证书；有完善的安装实施、培训、维护方案； </w:t>
      </w:r>
    </w:p>
    <w:p w14:paraId="4F803250">
      <w:pPr>
        <w:pStyle w:val="22"/>
        <w:spacing w:line="360" w:lineRule="auto"/>
        <w:rPr>
          <w:rFonts w:ascii="宋体" w:hAnsi="宋体" w:cs="Times New Roman"/>
          <w:color w:val="000000"/>
          <w:sz w:val="24"/>
          <w:szCs w:val="24"/>
        </w:rPr>
      </w:pPr>
      <w:r>
        <w:rPr>
          <w:rFonts w:hint="eastAsia" w:ascii="宋体" w:hAnsi="宋体" w:cs="Times New Roman"/>
          <w:color w:val="000000"/>
          <w:sz w:val="24"/>
          <w:szCs w:val="24"/>
        </w:rPr>
        <w:t>4、如在使用过程中发生质量问题，中标供应商在4小时内予以回应，在质量保修期内设备发生故障必须在得到通知后24小时内派人到现场解决；若无法排除故障，须提供备用设备于24小时内安装到位，不得影响设备正常使用；质保期满后维修费用只收取成本费。</w:t>
      </w:r>
    </w:p>
    <w:p w14:paraId="6735A64D">
      <w:pPr>
        <w:pStyle w:val="22"/>
        <w:spacing w:line="360" w:lineRule="auto"/>
        <w:ind w:firstLine="482"/>
        <w:rPr>
          <w:rFonts w:ascii="宋体" w:hAnsi="宋体" w:cs="Times New Roman"/>
          <w:b/>
          <w:bCs/>
          <w:color w:val="000000"/>
          <w:sz w:val="24"/>
          <w:szCs w:val="24"/>
        </w:rPr>
      </w:pPr>
      <w:r>
        <w:rPr>
          <w:rFonts w:hint="eastAsia" w:ascii="宋体" w:hAnsi="宋体" w:cs="Times New Roman"/>
          <w:b/>
          <w:bCs/>
          <w:color w:val="000000"/>
          <w:sz w:val="24"/>
          <w:szCs w:val="24"/>
          <w:lang w:val="en-US" w:eastAsia="zh-CN"/>
        </w:rPr>
        <w:t>三</w:t>
      </w:r>
      <w:r>
        <w:rPr>
          <w:rFonts w:hint="eastAsia" w:ascii="宋体" w:hAnsi="宋体" w:cs="Times New Roman"/>
          <w:b/>
          <w:bCs/>
          <w:color w:val="000000"/>
          <w:sz w:val="24"/>
          <w:szCs w:val="24"/>
        </w:rPr>
        <w:t>、验收标准：</w:t>
      </w:r>
    </w:p>
    <w:p w14:paraId="1F4ED778">
      <w:pPr>
        <w:pStyle w:val="22"/>
        <w:spacing w:line="360" w:lineRule="auto"/>
        <w:rPr>
          <w:rFonts w:ascii="宋体" w:hAnsi="宋体" w:cs="Times New Roman"/>
          <w:color w:val="000000"/>
          <w:sz w:val="24"/>
          <w:szCs w:val="24"/>
        </w:rPr>
      </w:pPr>
      <w:r>
        <w:rPr>
          <w:rFonts w:hint="eastAsia" w:ascii="宋体" w:hAnsi="宋体" w:cs="Times New Roman"/>
          <w:color w:val="000000"/>
          <w:sz w:val="24"/>
          <w:szCs w:val="24"/>
        </w:rPr>
        <w:t>1.采购人对中标人提交的货物依据招标及投标文件上的技术规格要求和国家有关质量标准进行现场初步验收，外观、说明书、合格证明等符合招标文件技术要求的，给予签收，初步验收不合格的不予签收。</w:t>
      </w:r>
    </w:p>
    <w:p w14:paraId="682981A4">
      <w:pPr>
        <w:pStyle w:val="22"/>
        <w:spacing w:line="360" w:lineRule="auto"/>
        <w:rPr>
          <w:rFonts w:ascii="宋体" w:hAnsi="宋体" w:cs="Times New Roman"/>
          <w:color w:val="000000"/>
          <w:sz w:val="24"/>
          <w:szCs w:val="24"/>
        </w:rPr>
      </w:pPr>
      <w:r>
        <w:rPr>
          <w:rFonts w:hint="eastAsia" w:ascii="宋体" w:hAnsi="宋体" w:cs="Times New Roman"/>
          <w:color w:val="000000"/>
          <w:sz w:val="24"/>
          <w:szCs w:val="24"/>
        </w:rPr>
        <w:t>2.中标人交货前应对产品作出全面检查和对验收文件进行整理，并列出清单，作为采购人收货验收和使用的技术条件依据，检验的结果应随货物交采购人。</w:t>
      </w:r>
    </w:p>
    <w:p w14:paraId="6483A95B">
      <w:pPr>
        <w:pStyle w:val="22"/>
        <w:spacing w:line="360" w:lineRule="auto"/>
        <w:rPr>
          <w:rFonts w:ascii="宋体" w:hAnsi="宋体" w:cs="Times New Roman"/>
          <w:color w:val="000000"/>
          <w:sz w:val="24"/>
          <w:szCs w:val="24"/>
        </w:rPr>
      </w:pPr>
      <w:r>
        <w:rPr>
          <w:rFonts w:hint="eastAsia" w:ascii="宋体" w:hAnsi="宋体" w:cs="Times New Roman"/>
          <w:color w:val="000000"/>
          <w:sz w:val="24"/>
          <w:szCs w:val="24"/>
        </w:rPr>
        <w:t>3.采购人对中标人提供的货物在使用前进行调试时，中标人需负责安装并培训采购人的使用操作人员，并协助采购人一起调试，直到符合技术要求，采购人才做最终验收。</w:t>
      </w:r>
    </w:p>
    <w:p w14:paraId="4357F239">
      <w:pPr>
        <w:pStyle w:val="22"/>
        <w:spacing w:line="360" w:lineRule="auto"/>
        <w:rPr>
          <w:rFonts w:ascii="宋体" w:hAnsi="宋体" w:cs="Times New Roman"/>
          <w:color w:val="000000"/>
          <w:sz w:val="24"/>
          <w:szCs w:val="24"/>
        </w:rPr>
      </w:pPr>
      <w:r>
        <w:rPr>
          <w:rFonts w:hint="eastAsia" w:ascii="宋体" w:hAnsi="宋体" w:cs="Times New Roman"/>
          <w:color w:val="000000"/>
          <w:sz w:val="24"/>
          <w:szCs w:val="24"/>
        </w:rPr>
        <w:t>4.对技术复杂的货物，采购人可请国家认可的专业检测机构参与初步验收及最终验收，并由其出具质量检测报告。</w:t>
      </w:r>
    </w:p>
    <w:p w14:paraId="30CCB2E7">
      <w:pPr>
        <w:pStyle w:val="22"/>
        <w:spacing w:line="360" w:lineRule="auto"/>
        <w:rPr>
          <w:rFonts w:ascii="宋体" w:hAnsi="宋体" w:cs="Times New Roman"/>
          <w:color w:val="000000"/>
          <w:sz w:val="24"/>
          <w:szCs w:val="24"/>
        </w:rPr>
      </w:pPr>
      <w:r>
        <w:rPr>
          <w:rFonts w:hint="eastAsia" w:ascii="宋体" w:hAnsi="宋体" w:cs="Times New Roman"/>
          <w:color w:val="000000"/>
          <w:sz w:val="24"/>
          <w:szCs w:val="24"/>
        </w:rPr>
        <w:t>5. 采购人根据国家有关规定、招标文件、中标人的投标文件以及合同约定的内容和验收标准进行验收。验收情况作为支付货款的依据。如有疑问，以相关质量技术检验检测机构的检验结果为准，如产生检验费用，则该费用由中标人承担。</w:t>
      </w:r>
    </w:p>
    <w:p w14:paraId="14B461F3">
      <w:pPr>
        <w:pStyle w:val="22"/>
        <w:spacing w:line="360" w:lineRule="auto"/>
        <w:ind w:firstLine="482"/>
        <w:rPr>
          <w:rFonts w:ascii="宋体" w:hAnsi="宋体" w:cs="Times New Roman"/>
          <w:b/>
          <w:bCs/>
          <w:color w:val="000000"/>
          <w:sz w:val="24"/>
          <w:szCs w:val="24"/>
        </w:rPr>
      </w:pPr>
      <w:r>
        <w:rPr>
          <w:rFonts w:hint="eastAsia" w:ascii="宋体" w:hAnsi="宋体" w:cs="Times New Roman"/>
          <w:b/>
          <w:bCs/>
          <w:color w:val="000000"/>
          <w:sz w:val="24"/>
          <w:szCs w:val="24"/>
          <w:lang w:val="en-US" w:eastAsia="zh-CN"/>
        </w:rPr>
        <w:t>四</w:t>
      </w:r>
      <w:r>
        <w:rPr>
          <w:rFonts w:hint="eastAsia" w:ascii="宋体" w:hAnsi="宋体" w:cs="Times New Roman"/>
          <w:b/>
          <w:bCs/>
          <w:color w:val="000000"/>
          <w:sz w:val="24"/>
          <w:szCs w:val="24"/>
        </w:rPr>
        <w:t>、合同履行期限和地点</w:t>
      </w:r>
    </w:p>
    <w:p w14:paraId="0CD0C1E1">
      <w:pPr>
        <w:pStyle w:val="22"/>
        <w:spacing w:line="360" w:lineRule="auto"/>
        <w:rPr>
          <w:rFonts w:ascii="宋体" w:hAnsi="宋体" w:cs="Times New Roman"/>
          <w:color w:val="000000"/>
          <w:sz w:val="24"/>
          <w:szCs w:val="24"/>
        </w:rPr>
      </w:pPr>
      <w:r>
        <w:rPr>
          <w:rFonts w:hint="eastAsia" w:ascii="宋体" w:hAnsi="宋体" w:cs="Times New Roman"/>
          <w:color w:val="000000"/>
          <w:sz w:val="24"/>
          <w:szCs w:val="24"/>
        </w:rPr>
        <w:t>1、合同履行期限：签订合同后40天内安装调试完毕，如有变动，以采购人要求为准。</w:t>
      </w:r>
    </w:p>
    <w:p w14:paraId="701D26DE">
      <w:pPr>
        <w:pStyle w:val="22"/>
        <w:spacing w:line="360" w:lineRule="auto"/>
        <w:rPr>
          <w:rFonts w:ascii="宋体" w:hAnsi="宋体" w:cs="Times New Roman"/>
          <w:color w:val="000000"/>
          <w:sz w:val="24"/>
          <w:szCs w:val="24"/>
        </w:rPr>
      </w:pPr>
      <w:r>
        <w:rPr>
          <w:rFonts w:hint="eastAsia" w:ascii="宋体" w:hAnsi="宋体" w:cs="Times New Roman"/>
          <w:color w:val="000000"/>
          <w:sz w:val="24"/>
          <w:szCs w:val="24"/>
        </w:rPr>
        <w:t>2、履约地点：射阳县体育局指定地点。</w:t>
      </w:r>
    </w:p>
    <w:p w14:paraId="1A2E54F0">
      <w:pPr>
        <w:pStyle w:val="22"/>
        <w:spacing w:line="360" w:lineRule="auto"/>
        <w:ind w:firstLine="482"/>
        <w:rPr>
          <w:rFonts w:ascii="宋体" w:hAnsi="宋体" w:cs="Times New Roman"/>
          <w:b/>
          <w:bCs/>
          <w:color w:val="000000"/>
          <w:sz w:val="24"/>
          <w:szCs w:val="24"/>
        </w:rPr>
      </w:pPr>
      <w:r>
        <w:rPr>
          <w:rFonts w:hint="eastAsia" w:ascii="宋体" w:hAnsi="宋体" w:cs="Times New Roman"/>
          <w:b/>
          <w:bCs/>
          <w:color w:val="000000"/>
          <w:sz w:val="24"/>
          <w:szCs w:val="24"/>
          <w:lang w:val="en-US" w:eastAsia="zh-CN"/>
        </w:rPr>
        <w:t>五</w:t>
      </w:r>
      <w:r>
        <w:rPr>
          <w:rFonts w:hint="eastAsia" w:ascii="宋体" w:hAnsi="宋体" w:cs="Times New Roman"/>
          <w:b/>
          <w:bCs/>
          <w:color w:val="000000"/>
          <w:sz w:val="24"/>
          <w:szCs w:val="24"/>
        </w:rPr>
        <w:t>、付款方式</w:t>
      </w:r>
    </w:p>
    <w:p w14:paraId="6EFC1E68">
      <w:pPr>
        <w:pStyle w:val="14"/>
        <w:spacing w:beforeAutospacing="0" w:afterAutospacing="0" w:line="360" w:lineRule="auto"/>
        <w:ind w:firstLine="480"/>
        <w:jc w:val="both"/>
        <w:rPr>
          <w:rFonts w:asciiTheme="minorEastAsia" w:hAnsiTheme="minorEastAsia" w:cstheme="minorEastAsia"/>
          <w:highlight w:val="none"/>
          <w:shd w:val="clear" w:color="auto" w:fill="FFFFFF"/>
        </w:rPr>
      </w:pPr>
      <w:r>
        <w:rPr>
          <w:rFonts w:hint="eastAsia" w:asciiTheme="minorEastAsia" w:hAnsiTheme="minorEastAsia" w:cstheme="minorEastAsia"/>
          <w:highlight w:val="none"/>
          <w:shd w:val="clear" w:color="auto" w:fill="FFFFFF"/>
        </w:rPr>
        <w:t>1、本项目落实预付款制度，预付款比例为30%，采购单位在收到发票后 10个工作日内将预付款支付到合同约定的中标单位账户（在签订合同时，中标、成交供应商明确书面表示无需预付款或者主动要求降低预付款比例的，采购人可就预付款比例作相应调整）。</w:t>
      </w:r>
    </w:p>
    <w:p w14:paraId="77262CAA">
      <w:pPr>
        <w:pStyle w:val="22"/>
        <w:spacing w:line="360" w:lineRule="auto"/>
        <w:rPr>
          <w:rFonts w:ascii="宋体" w:hAnsi="宋体" w:cs="Times New Roman"/>
          <w:color w:val="000000"/>
          <w:sz w:val="24"/>
          <w:szCs w:val="24"/>
        </w:rPr>
      </w:pPr>
      <w:r>
        <w:rPr>
          <w:rFonts w:hint="eastAsia" w:ascii="宋体" w:hAnsi="宋体" w:cs="Times New Roman"/>
          <w:color w:val="000000"/>
          <w:sz w:val="24"/>
          <w:szCs w:val="24"/>
          <w:lang w:val="en-US" w:eastAsia="zh-CN"/>
        </w:rPr>
        <w:t>2、</w:t>
      </w:r>
      <w:r>
        <w:rPr>
          <w:rFonts w:hint="eastAsia" w:ascii="宋体" w:hAnsi="宋体" w:cs="Times New Roman"/>
          <w:color w:val="000000"/>
          <w:sz w:val="24"/>
          <w:szCs w:val="24"/>
        </w:rPr>
        <w:t>中标方按照采购人的要求将货物送到指定地点并完成安装调试，项目验收合格后付至项目总价70%。验收合格满一年后付</w:t>
      </w:r>
      <w:r>
        <w:rPr>
          <w:rFonts w:hint="eastAsia" w:ascii="宋体" w:hAnsi="宋体" w:cs="Times New Roman"/>
          <w:color w:val="000000"/>
          <w:sz w:val="24"/>
          <w:szCs w:val="24"/>
          <w:lang w:val="en-US" w:eastAsia="zh-CN"/>
        </w:rPr>
        <w:t>至</w:t>
      </w:r>
      <w:r>
        <w:rPr>
          <w:rFonts w:hint="eastAsia" w:ascii="宋体" w:hAnsi="宋体" w:cs="Times New Roman"/>
          <w:color w:val="000000"/>
          <w:sz w:val="24"/>
          <w:szCs w:val="24"/>
        </w:rPr>
        <w:t>项目总价</w:t>
      </w:r>
      <w:r>
        <w:rPr>
          <w:rFonts w:hint="eastAsia" w:ascii="宋体" w:hAnsi="宋体" w:cs="Times New Roman"/>
          <w:color w:val="000000"/>
          <w:sz w:val="24"/>
          <w:szCs w:val="24"/>
          <w:lang w:val="en-US" w:eastAsia="zh-CN"/>
        </w:rPr>
        <w:t>9</w:t>
      </w:r>
      <w:r>
        <w:rPr>
          <w:rFonts w:hint="eastAsia" w:ascii="宋体" w:hAnsi="宋体" w:cs="Times New Roman"/>
          <w:color w:val="000000"/>
          <w:sz w:val="24"/>
          <w:szCs w:val="24"/>
        </w:rPr>
        <w:t>0%，验收合格满八年后无质量、服务问题一次性付清余款（无息）。</w:t>
      </w:r>
    </w:p>
    <w:p w14:paraId="6F41FC49">
      <w:pPr>
        <w:pStyle w:val="22"/>
        <w:ind w:firstLine="560"/>
        <w:rPr>
          <w:rFonts w:hAnsi="宋体" w:cs="Times New Roman"/>
          <w:sz w:val="28"/>
          <w:szCs w:val="28"/>
        </w:rPr>
      </w:pPr>
      <w:r>
        <w:rPr>
          <w:rFonts w:hint="eastAsia" w:hAnsi="宋体" w:cs="Times New Roman"/>
          <w:sz w:val="28"/>
          <w:szCs w:val="28"/>
        </w:rPr>
        <w:t>我公司承诺响应上述项目需求内容。</w:t>
      </w:r>
    </w:p>
    <w:p w14:paraId="34527ED5">
      <w:pPr>
        <w:pStyle w:val="22"/>
        <w:ind w:firstLine="560"/>
        <w:rPr>
          <w:rFonts w:hAnsi="宋体" w:cs="Times New Roman"/>
          <w:sz w:val="28"/>
          <w:szCs w:val="28"/>
        </w:rPr>
      </w:pPr>
    </w:p>
    <w:p w14:paraId="6AB605BF">
      <w:pPr>
        <w:pStyle w:val="22"/>
        <w:ind w:firstLine="560"/>
        <w:rPr>
          <w:rFonts w:hAnsi="宋体" w:cs="Times New Roman"/>
          <w:sz w:val="28"/>
          <w:szCs w:val="28"/>
        </w:rPr>
      </w:pPr>
    </w:p>
    <w:p w14:paraId="5D1F170C">
      <w:pPr>
        <w:autoSpaceDE w:val="0"/>
        <w:autoSpaceDN w:val="0"/>
        <w:spacing w:line="560" w:lineRule="exact"/>
        <w:ind w:firstLine="2835" w:firstLineChars="1350"/>
        <w:rPr>
          <w:rFonts w:hAnsi="宋体"/>
          <w:bCs/>
          <w:szCs w:val="28"/>
        </w:rPr>
      </w:pPr>
      <w:r>
        <w:rPr>
          <w:rFonts w:hint="eastAsia" w:hAnsi="宋体"/>
          <w:bCs/>
          <w:szCs w:val="28"/>
        </w:rPr>
        <w:t>投标人</w:t>
      </w:r>
      <w:r>
        <w:rPr>
          <w:rFonts w:hint="eastAsia" w:ascii="宋体" w:hAnsi="宋体"/>
          <w:color w:val="000000"/>
          <w:sz w:val="24"/>
        </w:rPr>
        <w:t>（加盖CA电子签章）</w:t>
      </w:r>
      <w:r>
        <w:rPr>
          <w:rFonts w:hint="eastAsia" w:hAnsi="宋体"/>
          <w:bCs/>
          <w:szCs w:val="28"/>
        </w:rPr>
        <w:t>：</w:t>
      </w:r>
    </w:p>
    <w:p w14:paraId="7AA25ABC">
      <w:pPr>
        <w:pStyle w:val="9"/>
        <w:spacing w:line="560" w:lineRule="exact"/>
        <w:ind w:left="0" w:right="0" w:firstLine="4340" w:firstLineChars="1550"/>
        <w:rPr>
          <w:rFonts w:hAnsi="宋体"/>
          <w:bCs/>
          <w:sz w:val="28"/>
        </w:rPr>
      </w:pPr>
      <w:r>
        <w:rPr>
          <w:rFonts w:hint="eastAsia" w:hAnsi="宋体"/>
          <w:bCs/>
          <w:sz w:val="28"/>
        </w:rPr>
        <w:t>日期：</w:t>
      </w:r>
      <w:r>
        <w:rPr>
          <w:rFonts w:hAnsi="宋体"/>
          <w:bCs/>
          <w:sz w:val="28"/>
          <w:u w:val="single"/>
        </w:rPr>
        <w:t xml:space="preserve">      </w:t>
      </w:r>
      <w:r>
        <w:rPr>
          <w:rFonts w:hint="eastAsia" w:hAnsi="宋体"/>
          <w:bCs/>
          <w:sz w:val="28"/>
        </w:rPr>
        <w:t>年</w:t>
      </w:r>
      <w:r>
        <w:rPr>
          <w:rFonts w:hAnsi="宋体"/>
          <w:bCs/>
          <w:sz w:val="28"/>
        </w:rPr>
        <w:t xml:space="preserve"> </w:t>
      </w:r>
      <w:r>
        <w:rPr>
          <w:rFonts w:hAnsi="宋体"/>
          <w:bCs/>
          <w:sz w:val="28"/>
          <w:u w:val="single"/>
        </w:rPr>
        <w:t xml:space="preserve">    </w:t>
      </w:r>
      <w:r>
        <w:rPr>
          <w:rFonts w:hint="eastAsia" w:hAnsi="宋体"/>
          <w:bCs/>
          <w:sz w:val="28"/>
        </w:rPr>
        <w:t>月</w:t>
      </w:r>
      <w:r>
        <w:rPr>
          <w:rFonts w:hAnsi="宋体"/>
          <w:bCs/>
          <w:sz w:val="28"/>
        </w:rPr>
        <w:t xml:space="preserve"> </w:t>
      </w:r>
      <w:r>
        <w:rPr>
          <w:rFonts w:hAnsi="宋体"/>
          <w:bCs/>
          <w:sz w:val="28"/>
          <w:u w:val="single"/>
        </w:rPr>
        <w:t xml:space="preserve">    </w:t>
      </w:r>
      <w:r>
        <w:rPr>
          <w:rFonts w:hint="eastAsia" w:hAnsi="宋体"/>
          <w:bCs/>
          <w:sz w:val="28"/>
        </w:rPr>
        <w:t>日</w:t>
      </w:r>
    </w:p>
    <w:p w14:paraId="0B6A8B66">
      <w:pPr>
        <w:ind w:firstLine="643" w:firstLineChars="200"/>
        <w:rPr>
          <w:rFonts w:ascii="黑体" w:hAnsi="黑体" w:eastAsia="黑体"/>
          <w:b/>
          <w:i/>
          <w:color w:val="000000"/>
          <w:sz w:val="32"/>
          <w:szCs w:val="32"/>
          <w:u w:val="single"/>
        </w:rPr>
      </w:pPr>
    </w:p>
    <w:p w14:paraId="79BCF6D9">
      <w:pPr>
        <w:ind w:firstLine="643" w:firstLineChars="200"/>
        <w:rPr>
          <w:rFonts w:ascii="黑体" w:hAnsi="黑体" w:eastAsia="黑体"/>
          <w:b/>
          <w:i/>
          <w:color w:val="000000"/>
          <w:sz w:val="32"/>
          <w:szCs w:val="32"/>
          <w:u w:val="single"/>
        </w:rPr>
      </w:pPr>
    </w:p>
    <w:p w14:paraId="7506EBDA">
      <w:pPr>
        <w:ind w:firstLine="643" w:firstLineChars="200"/>
        <w:rPr>
          <w:rFonts w:ascii="黑体" w:hAnsi="黑体" w:eastAsia="黑体"/>
          <w:b/>
          <w:i/>
          <w:color w:val="000000"/>
          <w:sz w:val="32"/>
          <w:szCs w:val="32"/>
          <w:u w:val="single"/>
        </w:rPr>
      </w:pPr>
    </w:p>
    <w:p w14:paraId="6BA5D018">
      <w:pPr>
        <w:pStyle w:val="2"/>
        <w:rPr>
          <w:rFonts w:ascii="黑体" w:hAnsi="黑体" w:eastAsia="黑体"/>
          <w:b/>
          <w:i/>
          <w:color w:val="000000"/>
          <w:sz w:val="32"/>
          <w:szCs w:val="32"/>
          <w:u w:val="single"/>
        </w:rPr>
      </w:pPr>
    </w:p>
    <w:p w14:paraId="001DA84B">
      <w:pPr>
        <w:rPr>
          <w:rFonts w:ascii="黑体" w:hAnsi="黑体" w:eastAsia="黑体"/>
          <w:b/>
          <w:i/>
          <w:color w:val="000000"/>
          <w:sz w:val="32"/>
          <w:szCs w:val="32"/>
          <w:u w:val="single"/>
        </w:rPr>
      </w:pPr>
    </w:p>
    <w:p w14:paraId="1481EF27">
      <w:pPr>
        <w:pStyle w:val="2"/>
      </w:pPr>
    </w:p>
    <w:p w14:paraId="73E3B830"/>
    <w:p w14:paraId="716A7676">
      <w:pPr>
        <w:pStyle w:val="2"/>
      </w:pPr>
    </w:p>
    <w:p w14:paraId="12252BBB"/>
    <w:p w14:paraId="0E41FCD8">
      <w:pPr>
        <w:pStyle w:val="2"/>
      </w:pPr>
    </w:p>
    <w:p w14:paraId="1DD94D85">
      <w:pPr>
        <w:pStyle w:val="14"/>
        <w:spacing w:beforeAutospacing="0" w:afterAutospacing="0"/>
        <w:jc w:val="center"/>
      </w:pPr>
    </w:p>
    <w:p w14:paraId="3F6EEE5A">
      <w:pPr>
        <w:pStyle w:val="14"/>
        <w:spacing w:beforeAutospacing="0" w:afterAutospacing="0"/>
        <w:jc w:val="center"/>
      </w:pPr>
    </w:p>
    <w:p w14:paraId="65D5F118">
      <w:pPr>
        <w:pStyle w:val="14"/>
        <w:spacing w:beforeAutospacing="0" w:afterAutospacing="0"/>
        <w:jc w:val="center"/>
      </w:pPr>
    </w:p>
    <w:p w14:paraId="5BD86140">
      <w:pPr>
        <w:pStyle w:val="14"/>
        <w:spacing w:beforeAutospacing="0" w:afterAutospacing="0"/>
        <w:jc w:val="center"/>
      </w:pPr>
    </w:p>
    <w:p w14:paraId="73E55E4A">
      <w:pPr>
        <w:pStyle w:val="14"/>
        <w:spacing w:beforeAutospacing="0" w:afterAutospacing="0"/>
        <w:jc w:val="center"/>
      </w:pPr>
      <w:r>
        <w:t> </w:t>
      </w:r>
    </w:p>
    <w:p w14:paraId="330385CF">
      <w:pPr>
        <w:pStyle w:val="14"/>
        <w:spacing w:beforeAutospacing="0" w:afterAutospacing="0"/>
        <w:jc w:val="both"/>
      </w:pPr>
      <w:r>
        <w:rPr>
          <w:rFonts w:hint="eastAsia" w:ascii="黑体" w:hAnsi="宋体" w:eastAsia="黑体" w:cs="黑体"/>
          <w:b/>
          <w:i/>
          <w:color w:val="000000"/>
          <w:sz w:val="32"/>
          <w:szCs w:val="32"/>
          <w:u w:val="single"/>
        </w:rPr>
        <w:t>十四、开标一览表</w:t>
      </w:r>
    </w:p>
    <w:p w14:paraId="543FB4A7">
      <w:pPr>
        <w:pStyle w:val="14"/>
        <w:spacing w:beforeAutospacing="0" w:afterAutospacing="0"/>
        <w:ind w:firstLine="480"/>
        <w:jc w:val="both"/>
      </w:pPr>
      <w:r>
        <w:rPr>
          <w:rFonts w:hint="eastAsia" w:ascii="宋体" w:hAnsi="宋体" w:eastAsia="宋体" w:cs="宋体"/>
          <w:color w:val="000000"/>
        </w:rPr>
        <w:t>投标人全称（加盖CA电子签章）：</w:t>
      </w:r>
    </w:p>
    <w:p w14:paraId="1031E641">
      <w:pPr>
        <w:pStyle w:val="14"/>
        <w:spacing w:beforeAutospacing="0" w:afterAutospacing="0"/>
        <w:ind w:firstLine="480"/>
        <w:jc w:val="both"/>
      </w:pPr>
      <w:r>
        <w:rPr>
          <w:rFonts w:hint="eastAsia" w:ascii="宋体" w:hAnsi="宋体" w:eastAsia="宋体" w:cs="宋体"/>
          <w:color w:val="000000"/>
        </w:rPr>
        <w:t>项目名称：</w:t>
      </w:r>
    </w:p>
    <w:p w14:paraId="677D4970">
      <w:pPr>
        <w:pStyle w:val="14"/>
        <w:spacing w:beforeAutospacing="0" w:afterAutospacing="0"/>
        <w:ind w:firstLine="480"/>
        <w:jc w:val="both"/>
      </w:pPr>
      <w:r>
        <w:rPr>
          <w:rFonts w:hint="eastAsia" w:ascii="宋体" w:hAnsi="宋体" w:eastAsia="宋体" w:cs="宋体"/>
          <w:color w:val="000000"/>
        </w:rPr>
        <w:t>招标编号：                                   分包号：</w:t>
      </w:r>
    </w:p>
    <w:tbl>
      <w:tblPr>
        <w:tblStyle w:val="16"/>
        <w:tblW w:w="8414" w:type="dxa"/>
        <w:tblCellSpacing w:w="0" w:type="dxa"/>
        <w:tblInd w:w="118" w:type="dxa"/>
        <w:tblLayout w:type="fixed"/>
        <w:tblCellMar>
          <w:top w:w="0" w:type="dxa"/>
          <w:left w:w="108" w:type="dxa"/>
          <w:bottom w:w="0" w:type="dxa"/>
          <w:right w:w="108" w:type="dxa"/>
        </w:tblCellMar>
      </w:tblPr>
      <w:tblGrid>
        <w:gridCol w:w="8414"/>
      </w:tblGrid>
      <w:tr w14:paraId="5B90C583">
        <w:tblPrEx>
          <w:tblCellMar>
            <w:top w:w="0" w:type="dxa"/>
            <w:left w:w="108" w:type="dxa"/>
            <w:bottom w:w="0" w:type="dxa"/>
            <w:right w:w="108" w:type="dxa"/>
          </w:tblCellMar>
        </w:tblPrEx>
        <w:trPr>
          <w:trHeight w:val="725" w:hRule="atLeast"/>
          <w:tblCellSpacing w:w="0" w:type="dxa"/>
        </w:trPr>
        <w:tc>
          <w:tcPr>
            <w:tcW w:w="8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A0103">
            <w:pPr>
              <w:pStyle w:val="14"/>
              <w:spacing w:beforeAutospacing="0" w:afterAutospacing="0"/>
              <w:jc w:val="both"/>
            </w:pPr>
            <w:r>
              <w:rPr>
                <w:rFonts w:hint="eastAsia" w:ascii="宋体" w:hAnsi="宋体" w:eastAsia="宋体" w:cs="宋体"/>
                <w:color w:val="000000"/>
              </w:rPr>
              <w:t>                      投标总报价</w:t>
            </w:r>
          </w:p>
        </w:tc>
      </w:tr>
      <w:tr w14:paraId="586E732B">
        <w:tblPrEx>
          <w:tblCellMar>
            <w:top w:w="0" w:type="dxa"/>
            <w:left w:w="108" w:type="dxa"/>
            <w:bottom w:w="0" w:type="dxa"/>
            <w:right w:w="108" w:type="dxa"/>
          </w:tblCellMar>
        </w:tblPrEx>
        <w:trPr>
          <w:trHeight w:val="612" w:hRule="atLeast"/>
          <w:tblCellSpacing w:w="0" w:type="dxa"/>
        </w:trPr>
        <w:tc>
          <w:tcPr>
            <w:tcW w:w="8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66F96">
            <w:pPr>
              <w:pStyle w:val="14"/>
              <w:spacing w:beforeAutospacing="0" w:afterAutospacing="0" w:line="0" w:lineRule="atLeast"/>
            </w:pPr>
            <w:r>
              <w:rPr>
                <w:rFonts w:hint="eastAsia" w:ascii="宋体" w:hAnsi="宋体" w:eastAsia="宋体" w:cs="宋体"/>
                <w:color w:val="000000"/>
              </w:rPr>
              <w:t>小写：</w:t>
            </w:r>
            <w:r>
              <w:rPr>
                <w:rFonts w:hint="eastAsia" w:ascii="宋体" w:hAnsi="宋体" w:eastAsia="宋体" w:cs="宋体"/>
                <w:color w:val="000000"/>
                <w:u w:val="single"/>
              </w:rPr>
              <w:t>        /</w:t>
            </w:r>
            <w:r>
              <w:rPr>
                <w:rFonts w:hint="eastAsia" w:ascii="宋体" w:hAnsi="宋体" w:eastAsia="宋体" w:cs="宋体"/>
                <w:color w:val="000000"/>
                <w:u w:val="single"/>
                <w:lang w:val="en-US" w:eastAsia="zh-CN"/>
              </w:rPr>
              <w:t>元</w:t>
            </w:r>
            <w:r>
              <w:rPr>
                <w:rFonts w:hint="eastAsia" w:ascii="宋体" w:hAnsi="宋体" w:eastAsia="宋体" w:cs="宋体"/>
                <w:color w:val="000000"/>
              </w:rPr>
              <w:t>（人民币：元）</w:t>
            </w:r>
          </w:p>
        </w:tc>
      </w:tr>
    </w:tbl>
    <w:p w14:paraId="39DE333D">
      <w:pPr>
        <w:pStyle w:val="14"/>
        <w:spacing w:beforeAutospacing="0" w:afterAutospacing="0"/>
        <w:jc w:val="both"/>
      </w:pPr>
      <w:r>
        <w:t> </w:t>
      </w:r>
    </w:p>
    <w:p w14:paraId="31177CC3">
      <w:pPr>
        <w:pStyle w:val="14"/>
        <w:spacing w:beforeAutospacing="0" w:afterAutospacing="0"/>
        <w:ind w:firstLine="480"/>
        <w:jc w:val="both"/>
      </w:pPr>
      <w:r>
        <w:rPr>
          <w:rFonts w:hint="eastAsia" w:ascii="宋体" w:hAnsi="宋体" w:eastAsia="宋体" w:cs="宋体"/>
          <w:color w:val="000000"/>
        </w:rPr>
        <w:t xml:space="preserve">                                              日期：  </w:t>
      </w:r>
      <w:r>
        <w:rPr>
          <w:rFonts w:hint="eastAsia" w:ascii="宋体" w:hAnsi="宋体" w:eastAsia="宋体" w:cs="宋体"/>
          <w:color w:val="000000"/>
          <w:u w:val="single"/>
        </w:rPr>
        <w:t xml:space="preserve">     </w:t>
      </w:r>
      <w:r>
        <w:rPr>
          <w:rFonts w:hint="eastAsia" w:ascii="宋体" w:hAnsi="宋体" w:eastAsia="宋体" w:cs="宋体"/>
          <w:color w:val="000000"/>
        </w:rPr>
        <w:t>年</w:t>
      </w:r>
      <w:r>
        <w:rPr>
          <w:rFonts w:hint="eastAsia" w:ascii="宋体" w:hAnsi="宋体" w:eastAsia="宋体" w:cs="宋体"/>
          <w:color w:val="000000"/>
          <w:u w:val="single"/>
        </w:rPr>
        <w:t xml:space="preserve">   </w:t>
      </w:r>
      <w:r>
        <w:rPr>
          <w:rFonts w:hint="eastAsia" w:ascii="宋体" w:hAnsi="宋体" w:eastAsia="宋体" w:cs="宋体"/>
          <w:color w:val="000000"/>
        </w:rPr>
        <w:t>月</w:t>
      </w:r>
      <w:r>
        <w:rPr>
          <w:rFonts w:hint="eastAsia" w:ascii="宋体" w:hAnsi="宋体" w:eastAsia="宋体" w:cs="宋体"/>
          <w:color w:val="000000"/>
          <w:u w:val="single"/>
        </w:rPr>
        <w:t xml:space="preserve">   </w:t>
      </w:r>
      <w:r>
        <w:rPr>
          <w:rFonts w:hint="eastAsia" w:ascii="宋体" w:hAnsi="宋体" w:eastAsia="宋体" w:cs="宋体"/>
          <w:color w:val="000000"/>
        </w:rPr>
        <w:t>日</w:t>
      </w:r>
    </w:p>
    <w:p w14:paraId="0116EE75">
      <w:pPr>
        <w:pStyle w:val="14"/>
        <w:spacing w:beforeAutospacing="0" w:afterAutospacing="0"/>
        <w:ind w:firstLine="480"/>
        <w:jc w:val="both"/>
      </w:pPr>
      <w:r>
        <w:t> </w:t>
      </w:r>
    </w:p>
    <w:p w14:paraId="2A841C16">
      <w:pPr>
        <w:pStyle w:val="14"/>
        <w:spacing w:beforeAutospacing="0" w:afterAutospacing="0"/>
        <w:jc w:val="both"/>
        <w:rPr>
          <w:rFonts w:hint="eastAsia" w:ascii="黑体" w:hAnsi="宋体" w:eastAsia="黑体" w:cs="黑体"/>
          <w:b/>
          <w:i/>
          <w:color w:val="000000"/>
          <w:sz w:val="32"/>
          <w:szCs w:val="32"/>
          <w:u w:val="single"/>
        </w:rPr>
      </w:pPr>
      <w:r>
        <w:rPr>
          <w:rFonts w:hint="eastAsia" w:ascii="黑体" w:hAnsi="宋体" w:eastAsia="黑体" w:cs="黑体"/>
          <w:b/>
          <w:i/>
          <w:color w:val="000000"/>
          <w:sz w:val="32"/>
          <w:szCs w:val="32"/>
          <w:u w:val="single"/>
        </w:rPr>
        <w:t>十五、投标分项报价表</w:t>
      </w:r>
    </w:p>
    <w:tbl>
      <w:tblPr>
        <w:tblStyle w:val="16"/>
        <w:tblW w:w="0" w:type="auto"/>
        <w:tblCellSpacing w:w="0" w:type="dxa"/>
        <w:tblInd w:w="10" w:type="dxa"/>
        <w:tblLayout w:type="fixed"/>
        <w:tblCellMar>
          <w:top w:w="0" w:type="dxa"/>
          <w:left w:w="108" w:type="dxa"/>
          <w:bottom w:w="0" w:type="dxa"/>
          <w:right w:w="108" w:type="dxa"/>
        </w:tblCellMar>
      </w:tblPr>
      <w:tblGrid>
        <w:gridCol w:w="546"/>
        <w:gridCol w:w="996"/>
        <w:gridCol w:w="905"/>
        <w:gridCol w:w="1298"/>
        <w:gridCol w:w="746"/>
        <w:gridCol w:w="918"/>
        <w:gridCol w:w="696"/>
        <w:gridCol w:w="1261"/>
        <w:gridCol w:w="1151"/>
      </w:tblGrid>
      <w:tr w14:paraId="54169CF0">
        <w:tblPrEx>
          <w:tblCellMar>
            <w:top w:w="0" w:type="dxa"/>
            <w:left w:w="108" w:type="dxa"/>
            <w:bottom w:w="0" w:type="dxa"/>
            <w:right w:w="108" w:type="dxa"/>
          </w:tblCellMar>
        </w:tblPrEx>
        <w:trPr>
          <w:trHeight w:val="544" w:hRule="atLeast"/>
          <w:tblCellSpacing w:w="0" w:type="dxa"/>
        </w:trPr>
        <w:tc>
          <w:tcPr>
            <w:tcW w:w="546" w:type="dxa"/>
            <w:tcBorders>
              <w:top w:val="single" w:color="000000" w:sz="4" w:space="0"/>
              <w:left w:val="single" w:color="000000" w:sz="4" w:space="0"/>
              <w:bottom w:val="single" w:color="000000" w:sz="4" w:space="0"/>
              <w:right w:val="single" w:color="000000" w:sz="4" w:space="0"/>
            </w:tcBorders>
            <w:vAlign w:val="center"/>
          </w:tcPr>
          <w:p w14:paraId="7386D4A4">
            <w:pPr>
              <w:pStyle w:val="14"/>
              <w:spacing w:beforeAutospacing="0" w:afterAutospacing="0" w:line="0" w:lineRule="atLeast"/>
              <w:jc w:val="center"/>
            </w:pPr>
            <w:r>
              <w:rPr>
                <w:rFonts w:hint="eastAsia" w:ascii="宋体" w:hAnsi="宋体" w:cs="宋体"/>
              </w:rPr>
              <w:t>序号</w:t>
            </w:r>
          </w:p>
        </w:tc>
        <w:tc>
          <w:tcPr>
            <w:tcW w:w="996" w:type="dxa"/>
            <w:tcBorders>
              <w:top w:val="single" w:color="000000" w:sz="4" w:space="0"/>
              <w:left w:val="single" w:color="000000" w:sz="4" w:space="0"/>
              <w:bottom w:val="single" w:color="000000" w:sz="4" w:space="0"/>
              <w:right w:val="single" w:color="000000" w:sz="4" w:space="0"/>
            </w:tcBorders>
            <w:vAlign w:val="center"/>
          </w:tcPr>
          <w:p w14:paraId="5C1FBCB2">
            <w:pPr>
              <w:pStyle w:val="14"/>
              <w:spacing w:beforeAutospacing="0" w:afterAutospacing="0" w:line="0" w:lineRule="atLeast"/>
              <w:jc w:val="center"/>
            </w:pPr>
            <w:r>
              <w:rPr>
                <w:rFonts w:hint="eastAsia" w:ascii="宋体" w:hAnsi="宋体" w:cs="宋体"/>
              </w:rPr>
              <w:t>1</w:t>
            </w:r>
          </w:p>
        </w:tc>
        <w:tc>
          <w:tcPr>
            <w:tcW w:w="905" w:type="dxa"/>
            <w:tcBorders>
              <w:top w:val="single" w:color="000000" w:sz="4" w:space="0"/>
              <w:left w:val="single" w:color="000000" w:sz="4" w:space="0"/>
              <w:bottom w:val="single" w:color="000000" w:sz="4" w:space="0"/>
              <w:right w:val="single" w:color="000000" w:sz="4" w:space="0"/>
            </w:tcBorders>
            <w:vAlign w:val="center"/>
          </w:tcPr>
          <w:p w14:paraId="293A216E">
            <w:pPr>
              <w:pStyle w:val="14"/>
              <w:spacing w:beforeAutospacing="0" w:afterAutospacing="0" w:line="0" w:lineRule="atLeast"/>
              <w:jc w:val="center"/>
            </w:pPr>
            <w:r>
              <w:rPr>
                <w:rFonts w:hint="eastAsia" w:ascii="宋体" w:hAnsi="宋体" w:cs="宋体"/>
              </w:rPr>
              <w:t>2</w:t>
            </w:r>
          </w:p>
        </w:tc>
        <w:tc>
          <w:tcPr>
            <w:tcW w:w="1298" w:type="dxa"/>
            <w:tcBorders>
              <w:top w:val="single" w:color="000000" w:sz="4" w:space="0"/>
              <w:left w:val="single" w:color="000000" w:sz="4" w:space="0"/>
              <w:bottom w:val="single" w:color="000000" w:sz="4" w:space="0"/>
              <w:right w:val="single" w:color="000000" w:sz="4" w:space="0"/>
            </w:tcBorders>
            <w:vAlign w:val="center"/>
          </w:tcPr>
          <w:p w14:paraId="669170D0">
            <w:pPr>
              <w:pStyle w:val="14"/>
              <w:spacing w:beforeAutospacing="0" w:afterAutospacing="0" w:line="0" w:lineRule="atLeast"/>
              <w:jc w:val="center"/>
            </w:pPr>
            <w:r>
              <w:rPr>
                <w:rFonts w:hint="eastAsia" w:ascii="宋体" w:hAnsi="宋体" w:cs="宋体"/>
              </w:rPr>
              <w:t>3</w:t>
            </w:r>
          </w:p>
        </w:tc>
        <w:tc>
          <w:tcPr>
            <w:tcW w:w="746" w:type="dxa"/>
            <w:tcBorders>
              <w:top w:val="single" w:color="000000" w:sz="4" w:space="0"/>
              <w:left w:val="single" w:color="000000" w:sz="4" w:space="0"/>
              <w:bottom w:val="single" w:color="000000" w:sz="4" w:space="0"/>
              <w:right w:val="single" w:color="000000" w:sz="4" w:space="0"/>
            </w:tcBorders>
            <w:vAlign w:val="center"/>
          </w:tcPr>
          <w:p w14:paraId="3399C16F">
            <w:pPr>
              <w:pStyle w:val="14"/>
              <w:spacing w:beforeAutospacing="0" w:afterAutospacing="0" w:line="0" w:lineRule="atLeast"/>
              <w:jc w:val="center"/>
            </w:pPr>
            <w:r>
              <w:rPr>
                <w:rFonts w:hint="eastAsia" w:ascii="宋体" w:hAnsi="宋体" w:cs="宋体"/>
              </w:rPr>
              <w:t>4</w:t>
            </w:r>
          </w:p>
        </w:tc>
        <w:tc>
          <w:tcPr>
            <w:tcW w:w="918" w:type="dxa"/>
            <w:tcBorders>
              <w:top w:val="single" w:color="000000" w:sz="4" w:space="0"/>
              <w:left w:val="single" w:color="000000" w:sz="4" w:space="0"/>
              <w:bottom w:val="single" w:color="000000" w:sz="4" w:space="0"/>
              <w:right w:val="single" w:color="000000" w:sz="4" w:space="0"/>
            </w:tcBorders>
            <w:vAlign w:val="center"/>
          </w:tcPr>
          <w:p w14:paraId="5A7A1DDD">
            <w:pPr>
              <w:pStyle w:val="14"/>
              <w:spacing w:beforeAutospacing="0" w:afterAutospacing="0" w:line="0" w:lineRule="atLeast"/>
              <w:jc w:val="center"/>
            </w:pPr>
            <w:r>
              <w:rPr>
                <w:rFonts w:hint="eastAsia" w:ascii="宋体" w:hAnsi="宋体" w:cs="宋体"/>
              </w:rPr>
              <w:t>5</w:t>
            </w:r>
          </w:p>
        </w:tc>
        <w:tc>
          <w:tcPr>
            <w:tcW w:w="696" w:type="dxa"/>
            <w:tcBorders>
              <w:top w:val="single" w:color="000000" w:sz="4" w:space="0"/>
              <w:left w:val="single" w:color="000000" w:sz="4" w:space="0"/>
              <w:bottom w:val="single" w:color="000000" w:sz="4" w:space="0"/>
              <w:right w:val="single" w:color="000000" w:sz="4" w:space="0"/>
            </w:tcBorders>
            <w:vAlign w:val="center"/>
          </w:tcPr>
          <w:p w14:paraId="50FA95E1">
            <w:pPr>
              <w:pStyle w:val="14"/>
              <w:spacing w:beforeAutospacing="0" w:afterAutospacing="0" w:line="0" w:lineRule="atLeast"/>
              <w:jc w:val="center"/>
            </w:pPr>
            <w:r>
              <w:rPr>
                <w:rFonts w:hint="eastAsia" w:ascii="宋体" w:hAnsi="宋体" w:cs="宋体"/>
              </w:rPr>
              <w:t>6</w:t>
            </w:r>
          </w:p>
        </w:tc>
        <w:tc>
          <w:tcPr>
            <w:tcW w:w="1261" w:type="dxa"/>
            <w:tcBorders>
              <w:top w:val="single" w:color="000000" w:sz="4" w:space="0"/>
              <w:left w:val="single" w:color="000000" w:sz="4" w:space="0"/>
              <w:bottom w:val="single" w:color="000000" w:sz="4" w:space="0"/>
              <w:right w:val="single" w:color="000000" w:sz="4" w:space="0"/>
            </w:tcBorders>
            <w:vAlign w:val="center"/>
          </w:tcPr>
          <w:p w14:paraId="7242151C">
            <w:pPr>
              <w:pStyle w:val="14"/>
              <w:spacing w:beforeAutospacing="0" w:afterAutospacing="0" w:line="0" w:lineRule="atLeast"/>
              <w:jc w:val="center"/>
            </w:pPr>
            <w:r>
              <w:rPr>
                <w:rFonts w:hint="eastAsia" w:ascii="宋体" w:hAnsi="宋体" w:cs="宋体"/>
              </w:rPr>
              <w:t>7</w:t>
            </w:r>
          </w:p>
        </w:tc>
        <w:tc>
          <w:tcPr>
            <w:tcW w:w="1151" w:type="dxa"/>
            <w:tcBorders>
              <w:top w:val="single" w:color="000000" w:sz="4" w:space="0"/>
              <w:left w:val="single" w:color="000000" w:sz="4" w:space="0"/>
              <w:bottom w:val="single" w:color="000000" w:sz="4" w:space="0"/>
              <w:right w:val="single" w:color="000000" w:sz="4" w:space="0"/>
            </w:tcBorders>
            <w:vAlign w:val="center"/>
          </w:tcPr>
          <w:p w14:paraId="29CE043A">
            <w:pPr>
              <w:pStyle w:val="14"/>
              <w:spacing w:beforeAutospacing="0" w:afterAutospacing="0" w:line="0" w:lineRule="atLeast"/>
              <w:jc w:val="center"/>
            </w:pPr>
            <w:r>
              <w:rPr>
                <w:rFonts w:hint="eastAsia" w:ascii="宋体" w:hAnsi="宋体" w:cs="宋体"/>
              </w:rPr>
              <w:t>8</w:t>
            </w:r>
          </w:p>
        </w:tc>
      </w:tr>
      <w:tr w14:paraId="1A0128C2">
        <w:tblPrEx>
          <w:tblCellMar>
            <w:top w:w="0" w:type="dxa"/>
            <w:left w:w="108" w:type="dxa"/>
            <w:bottom w:w="0" w:type="dxa"/>
            <w:right w:w="108" w:type="dxa"/>
          </w:tblCellMar>
        </w:tblPrEx>
        <w:trPr>
          <w:trHeight w:val="294" w:hRule="atLeast"/>
          <w:tblCellSpacing w:w="0" w:type="dxa"/>
        </w:trPr>
        <w:tc>
          <w:tcPr>
            <w:tcW w:w="546" w:type="dxa"/>
            <w:tcBorders>
              <w:top w:val="single" w:color="000000" w:sz="4" w:space="0"/>
              <w:left w:val="single" w:color="000000" w:sz="4" w:space="0"/>
              <w:bottom w:val="single" w:color="000000" w:sz="4" w:space="0"/>
              <w:right w:val="single" w:color="000000" w:sz="4" w:space="0"/>
            </w:tcBorders>
            <w:vAlign w:val="center"/>
          </w:tcPr>
          <w:p w14:paraId="36E65A36">
            <w:pPr>
              <w:pStyle w:val="14"/>
              <w:spacing w:beforeAutospacing="0" w:afterAutospacing="0" w:line="0" w:lineRule="atLeast"/>
              <w:jc w:val="center"/>
            </w:pPr>
            <w:r>
              <w:rPr>
                <w:rFonts w:hint="eastAsia" w:ascii="宋体" w:hAnsi="宋体" w:cs="宋体"/>
              </w:rPr>
              <w:t>1</w:t>
            </w:r>
          </w:p>
        </w:tc>
        <w:tc>
          <w:tcPr>
            <w:tcW w:w="996" w:type="dxa"/>
            <w:tcBorders>
              <w:top w:val="single" w:color="000000" w:sz="4" w:space="0"/>
              <w:left w:val="single" w:color="000000" w:sz="4" w:space="0"/>
              <w:bottom w:val="single" w:color="000000" w:sz="4" w:space="0"/>
              <w:right w:val="single" w:color="000000" w:sz="4" w:space="0"/>
            </w:tcBorders>
            <w:vAlign w:val="center"/>
          </w:tcPr>
          <w:p w14:paraId="040F6DEC">
            <w:pPr>
              <w:pStyle w:val="14"/>
              <w:spacing w:beforeAutospacing="0" w:afterAutospacing="0" w:line="0" w:lineRule="atLeast"/>
              <w:jc w:val="center"/>
            </w:pPr>
            <w:r>
              <w:rPr>
                <w:rFonts w:hint="eastAsia" w:ascii="宋体" w:hAnsi="宋体" w:cs="宋体"/>
              </w:rPr>
              <w:t>产品</w:t>
            </w:r>
          </w:p>
          <w:p w14:paraId="010D3A4E">
            <w:pPr>
              <w:pStyle w:val="14"/>
              <w:spacing w:beforeAutospacing="0" w:afterAutospacing="0" w:line="0" w:lineRule="atLeast"/>
              <w:jc w:val="center"/>
            </w:pPr>
            <w:r>
              <w:rPr>
                <w:rFonts w:hint="eastAsia" w:ascii="宋体" w:hAnsi="宋体" w:cs="宋体"/>
              </w:rPr>
              <w:t>名称</w:t>
            </w:r>
          </w:p>
        </w:tc>
        <w:tc>
          <w:tcPr>
            <w:tcW w:w="905" w:type="dxa"/>
            <w:tcBorders>
              <w:top w:val="single" w:color="000000" w:sz="4" w:space="0"/>
              <w:left w:val="single" w:color="000000" w:sz="4" w:space="0"/>
              <w:bottom w:val="single" w:color="000000" w:sz="4" w:space="0"/>
              <w:right w:val="single" w:color="000000" w:sz="4" w:space="0"/>
            </w:tcBorders>
            <w:vAlign w:val="center"/>
          </w:tcPr>
          <w:p w14:paraId="57E7320C">
            <w:pPr>
              <w:pStyle w:val="14"/>
              <w:spacing w:beforeAutospacing="0" w:afterAutospacing="0" w:line="0" w:lineRule="atLeast"/>
              <w:jc w:val="center"/>
            </w:pPr>
            <w:r>
              <w:rPr>
                <w:rFonts w:hint="eastAsia" w:ascii="宋体" w:hAnsi="宋体" w:cs="宋体"/>
              </w:rPr>
              <w:t>品牌</w:t>
            </w:r>
          </w:p>
        </w:tc>
        <w:tc>
          <w:tcPr>
            <w:tcW w:w="1298" w:type="dxa"/>
            <w:tcBorders>
              <w:top w:val="single" w:color="000000" w:sz="4" w:space="0"/>
              <w:left w:val="single" w:color="000000" w:sz="4" w:space="0"/>
              <w:bottom w:val="single" w:color="000000" w:sz="4" w:space="0"/>
              <w:right w:val="single" w:color="000000" w:sz="4" w:space="0"/>
            </w:tcBorders>
            <w:vAlign w:val="center"/>
          </w:tcPr>
          <w:p w14:paraId="1D1AE08E">
            <w:pPr>
              <w:pStyle w:val="14"/>
              <w:spacing w:beforeAutospacing="0" w:afterAutospacing="0" w:line="0" w:lineRule="atLeast"/>
              <w:jc w:val="center"/>
            </w:pPr>
            <w:r>
              <w:rPr>
                <w:rFonts w:hint="eastAsia" w:ascii="宋体" w:hAnsi="宋体" w:cs="宋体"/>
              </w:rPr>
              <w:t>规格</w:t>
            </w:r>
          </w:p>
          <w:p w14:paraId="1B713E77">
            <w:pPr>
              <w:pStyle w:val="14"/>
              <w:spacing w:beforeAutospacing="0" w:afterAutospacing="0" w:line="0" w:lineRule="atLeast"/>
              <w:jc w:val="center"/>
            </w:pPr>
            <w:r>
              <w:rPr>
                <w:rFonts w:hint="eastAsia" w:ascii="宋体" w:hAnsi="宋体" w:cs="宋体"/>
              </w:rPr>
              <w:t>型号</w:t>
            </w:r>
          </w:p>
        </w:tc>
        <w:tc>
          <w:tcPr>
            <w:tcW w:w="746" w:type="dxa"/>
            <w:tcBorders>
              <w:top w:val="single" w:color="000000" w:sz="4" w:space="0"/>
              <w:left w:val="single" w:color="000000" w:sz="4" w:space="0"/>
              <w:bottom w:val="single" w:color="000000" w:sz="4" w:space="0"/>
              <w:right w:val="single" w:color="000000" w:sz="4" w:space="0"/>
            </w:tcBorders>
            <w:vAlign w:val="center"/>
          </w:tcPr>
          <w:p w14:paraId="48811E12">
            <w:pPr>
              <w:pStyle w:val="14"/>
              <w:spacing w:beforeAutospacing="0" w:afterAutospacing="0" w:line="0" w:lineRule="atLeast"/>
              <w:jc w:val="center"/>
            </w:pPr>
            <w:r>
              <w:rPr>
                <w:rFonts w:hint="eastAsia" w:ascii="宋体" w:hAnsi="宋体" w:cs="宋体"/>
              </w:rPr>
              <w:t>产地</w:t>
            </w:r>
          </w:p>
        </w:tc>
        <w:tc>
          <w:tcPr>
            <w:tcW w:w="918" w:type="dxa"/>
            <w:tcBorders>
              <w:top w:val="single" w:color="000000" w:sz="4" w:space="0"/>
              <w:left w:val="single" w:color="000000" w:sz="4" w:space="0"/>
              <w:bottom w:val="single" w:color="000000" w:sz="4" w:space="0"/>
              <w:right w:val="single" w:color="000000" w:sz="4" w:space="0"/>
            </w:tcBorders>
            <w:vAlign w:val="center"/>
          </w:tcPr>
          <w:p w14:paraId="2476E6BB">
            <w:pPr>
              <w:pStyle w:val="14"/>
              <w:spacing w:beforeAutospacing="0" w:afterAutospacing="0" w:line="0" w:lineRule="atLeast"/>
              <w:jc w:val="center"/>
            </w:pPr>
            <w:r>
              <w:rPr>
                <w:rFonts w:hint="eastAsia" w:ascii="宋体" w:hAnsi="宋体" w:cs="宋体"/>
              </w:rPr>
              <w:t>交付期</w:t>
            </w:r>
          </w:p>
        </w:tc>
        <w:tc>
          <w:tcPr>
            <w:tcW w:w="696" w:type="dxa"/>
            <w:tcBorders>
              <w:top w:val="single" w:color="000000" w:sz="4" w:space="0"/>
              <w:left w:val="single" w:color="000000" w:sz="4" w:space="0"/>
              <w:bottom w:val="single" w:color="000000" w:sz="4" w:space="0"/>
              <w:right w:val="single" w:color="000000" w:sz="4" w:space="0"/>
            </w:tcBorders>
            <w:vAlign w:val="center"/>
          </w:tcPr>
          <w:p w14:paraId="78D29D41">
            <w:pPr>
              <w:pStyle w:val="14"/>
              <w:spacing w:beforeAutospacing="0" w:afterAutospacing="0" w:line="0" w:lineRule="atLeast"/>
              <w:jc w:val="center"/>
            </w:pPr>
            <w:r>
              <w:rPr>
                <w:rFonts w:hint="eastAsia" w:ascii="宋体" w:hAnsi="宋体" w:cs="宋体"/>
              </w:rPr>
              <w:t>数量</w:t>
            </w:r>
          </w:p>
        </w:tc>
        <w:tc>
          <w:tcPr>
            <w:tcW w:w="1261" w:type="dxa"/>
            <w:tcBorders>
              <w:top w:val="single" w:color="000000" w:sz="4" w:space="0"/>
              <w:left w:val="single" w:color="000000" w:sz="4" w:space="0"/>
              <w:bottom w:val="single" w:color="000000" w:sz="4" w:space="0"/>
              <w:right w:val="single" w:color="000000" w:sz="4" w:space="0"/>
            </w:tcBorders>
            <w:vAlign w:val="center"/>
          </w:tcPr>
          <w:p w14:paraId="27DC83AC">
            <w:pPr>
              <w:pStyle w:val="14"/>
              <w:spacing w:beforeAutospacing="0" w:afterAutospacing="0" w:line="0" w:lineRule="atLeast"/>
              <w:jc w:val="center"/>
            </w:pPr>
            <w:r>
              <w:rPr>
                <w:rFonts w:hint="eastAsia" w:ascii="宋体" w:hAnsi="宋体" w:cs="宋体"/>
              </w:rPr>
              <w:t>分项单价</w:t>
            </w:r>
          </w:p>
        </w:tc>
        <w:tc>
          <w:tcPr>
            <w:tcW w:w="1151" w:type="dxa"/>
            <w:tcBorders>
              <w:top w:val="single" w:color="000000" w:sz="4" w:space="0"/>
              <w:left w:val="single" w:color="000000" w:sz="4" w:space="0"/>
              <w:bottom w:val="single" w:color="000000" w:sz="4" w:space="0"/>
              <w:right w:val="single" w:color="000000" w:sz="4" w:space="0"/>
            </w:tcBorders>
            <w:vAlign w:val="center"/>
          </w:tcPr>
          <w:p w14:paraId="33E48244">
            <w:pPr>
              <w:pStyle w:val="14"/>
              <w:spacing w:beforeAutospacing="0" w:afterAutospacing="0" w:line="0" w:lineRule="atLeast"/>
              <w:jc w:val="center"/>
            </w:pPr>
            <w:r>
              <w:rPr>
                <w:rFonts w:hint="eastAsia" w:ascii="宋体" w:hAnsi="宋体" w:cs="宋体"/>
              </w:rPr>
              <w:t>分项总价</w:t>
            </w:r>
          </w:p>
        </w:tc>
      </w:tr>
      <w:tr w14:paraId="2F8725A6">
        <w:tblPrEx>
          <w:tblCellMar>
            <w:top w:w="0" w:type="dxa"/>
            <w:left w:w="108" w:type="dxa"/>
            <w:bottom w:w="0" w:type="dxa"/>
            <w:right w:w="108" w:type="dxa"/>
          </w:tblCellMar>
        </w:tblPrEx>
        <w:trPr>
          <w:trHeight w:val="696" w:hRule="atLeast"/>
          <w:tblCellSpacing w:w="0" w:type="dxa"/>
        </w:trPr>
        <w:tc>
          <w:tcPr>
            <w:tcW w:w="546" w:type="dxa"/>
            <w:tcBorders>
              <w:top w:val="single" w:color="000000" w:sz="4" w:space="0"/>
              <w:left w:val="single" w:color="000000" w:sz="4" w:space="0"/>
              <w:bottom w:val="single" w:color="000000" w:sz="4" w:space="0"/>
              <w:right w:val="single" w:color="000000" w:sz="4" w:space="0"/>
            </w:tcBorders>
            <w:vAlign w:val="center"/>
          </w:tcPr>
          <w:p w14:paraId="30CD2850">
            <w:pPr>
              <w:pStyle w:val="14"/>
              <w:spacing w:beforeAutospacing="0" w:afterAutospacing="0" w:line="0" w:lineRule="atLeast"/>
              <w:jc w:val="center"/>
            </w:pPr>
            <w:r>
              <w:rPr>
                <w:rFonts w:hint="eastAsia" w:ascii="宋体" w:hAnsi="宋体" w:cs="宋体"/>
              </w:rPr>
              <w:t>2</w:t>
            </w:r>
          </w:p>
        </w:tc>
        <w:tc>
          <w:tcPr>
            <w:tcW w:w="996" w:type="dxa"/>
            <w:tcBorders>
              <w:top w:val="single" w:color="000000" w:sz="4" w:space="0"/>
              <w:left w:val="single" w:color="000000" w:sz="4" w:space="0"/>
              <w:bottom w:val="single" w:color="000000" w:sz="4" w:space="0"/>
              <w:right w:val="single" w:color="000000" w:sz="4" w:space="0"/>
            </w:tcBorders>
            <w:vAlign w:val="center"/>
          </w:tcPr>
          <w:p w14:paraId="3B7DED69">
            <w:pPr>
              <w:pStyle w:val="14"/>
              <w:spacing w:beforeAutospacing="0" w:afterAutospacing="0" w:line="0" w:lineRule="atLeast"/>
              <w:jc w:val="both"/>
            </w:pPr>
            <w:r>
              <w:t> </w:t>
            </w:r>
          </w:p>
        </w:tc>
        <w:tc>
          <w:tcPr>
            <w:tcW w:w="905" w:type="dxa"/>
            <w:tcBorders>
              <w:top w:val="single" w:color="000000" w:sz="4" w:space="0"/>
              <w:left w:val="single" w:color="000000" w:sz="4" w:space="0"/>
              <w:bottom w:val="single" w:color="000000" w:sz="4" w:space="0"/>
              <w:right w:val="single" w:color="000000" w:sz="4" w:space="0"/>
            </w:tcBorders>
            <w:vAlign w:val="center"/>
          </w:tcPr>
          <w:p w14:paraId="3553D359">
            <w:pPr>
              <w:pStyle w:val="14"/>
              <w:spacing w:beforeAutospacing="0" w:afterAutospacing="0" w:line="0" w:lineRule="atLeast"/>
              <w:jc w:val="both"/>
            </w:pPr>
            <w:r>
              <w:t> </w:t>
            </w:r>
          </w:p>
        </w:tc>
        <w:tc>
          <w:tcPr>
            <w:tcW w:w="1298" w:type="dxa"/>
            <w:tcBorders>
              <w:top w:val="single" w:color="000000" w:sz="4" w:space="0"/>
              <w:left w:val="single" w:color="000000" w:sz="4" w:space="0"/>
              <w:bottom w:val="single" w:color="000000" w:sz="4" w:space="0"/>
              <w:right w:val="single" w:color="000000" w:sz="4" w:space="0"/>
            </w:tcBorders>
            <w:vAlign w:val="center"/>
          </w:tcPr>
          <w:p w14:paraId="691DCAF7">
            <w:pPr>
              <w:pStyle w:val="14"/>
              <w:spacing w:beforeAutospacing="0" w:afterAutospacing="0" w:line="0" w:lineRule="atLeast"/>
              <w:jc w:val="both"/>
            </w:pPr>
            <w:r>
              <w:t> </w:t>
            </w:r>
          </w:p>
        </w:tc>
        <w:tc>
          <w:tcPr>
            <w:tcW w:w="746" w:type="dxa"/>
            <w:tcBorders>
              <w:top w:val="single" w:color="000000" w:sz="4" w:space="0"/>
              <w:left w:val="single" w:color="000000" w:sz="4" w:space="0"/>
              <w:bottom w:val="single" w:color="000000" w:sz="4" w:space="0"/>
              <w:right w:val="single" w:color="000000" w:sz="4" w:space="0"/>
            </w:tcBorders>
            <w:vAlign w:val="center"/>
          </w:tcPr>
          <w:p w14:paraId="5A877A75">
            <w:pPr>
              <w:pStyle w:val="14"/>
              <w:spacing w:beforeAutospacing="0" w:afterAutospacing="0" w:line="0" w:lineRule="atLeast"/>
              <w:jc w:val="both"/>
            </w:pPr>
            <w:r>
              <w:t> </w:t>
            </w:r>
          </w:p>
        </w:tc>
        <w:tc>
          <w:tcPr>
            <w:tcW w:w="918" w:type="dxa"/>
            <w:tcBorders>
              <w:top w:val="single" w:color="000000" w:sz="4" w:space="0"/>
              <w:left w:val="single" w:color="000000" w:sz="4" w:space="0"/>
              <w:bottom w:val="single" w:color="000000" w:sz="4" w:space="0"/>
              <w:right w:val="single" w:color="000000" w:sz="4" w:space="0"/>
            </w:tcBorders>
            <w:vAlign w:val="center"/>
          </w:tcPr>
          <w:p w14:paraId="35A9630F">
            <w:pPr>
              <w:pStyle w:val="14"/>
              <w:spacing w:beforeAutospacing="0" w:afterAutospacing="0" w:line="0" w:lineRule="atLeast"/>
              <w:jc w:val="both"/>
            </w:pPr>
            <w:r>
              <w:t> </w:t>
            </w:r>
          </w:p>
        </w:tc>
        <w:tc>
          <w:tcPr>
            <w:tcW w:w="696" w:type="dxa"/>
            <w:tcBorders>
              <w:top w:val="single" w:color="000000" w:sz="4" w:space="0"/>
              <w:left w:val="single" w:color="000000" w:sz="4" w:space="0"/>
              <w:bottom w:val="single" w:color="000000" w:sz="4" w:space="0"/>
              <w:right w:val="single" w:color="000000" w:sz="4" w:space="0"/>
            </w:tcBorders>
            <w:vAlign w:val="center"/>
          </w:tcPr>
          <w:p w14:paraId="3F4BDB04">
            <w:pPr>
              <w:pStyle w:val="14"/>
              <w:spacing w:beforeAutospacing="0" w:afterAutospacing="0" w:line="0" w:lineRule="atLeast"/>
              <w:jc w:val="both"/>
            </w:pPr>
            <w:r>
              <w:t> </w:t>
            </w:r>
          </w:p>
        </w:tc>
        <w:tc>
          <w:tcPr>
            <w:tcW w:w="1261" w:type="dxa"/>
            <w:tcBorders>
              <w:top w:val="single" w:color="000000" w:sz="4" w:space="0"/>
              <w:left w:val="single" w:color="000000" w:sz="4" w:space="0"/>
              <w:bottom w:val="single" w:color="000000" w:sz="4" w:space="0"/>
              <w:right w:val="single" w:color="000000" w:sz="4" w:space="0"/>
            </w:tcBorders>
            <w:vAlign w:val="center"/>
          </w:tcPr>
          <w:p w14:paraId="2A87B319">
            <w:pPr>
              <w:pStyle w:val="14"/>
              <w:spacing w:beforeAutospacing="0" w:afterAutospacing="0" w:line="0" w:lineRule="atLeast"/>
              <w:jc w:val="both"/>
            </w:pPr>
            <w:r>
              <w:t> </w:t>
            </w:r>
          </w:p>
        </w:tc>
        <w:tc>
          <w:tcPr>
            <w:tcW w:w="1151" w:type="dxa"/>
            <w:tcBorders>
              <w:top w:val="single" w:color="000000" w:sz="4" w:space="0"/>
              <w:left w:val="single" w:color="000000" w:sz="4" w:space="0"/>
              <w:bottom w:val="single" w:color="000000" w:sz="4" w:space="0"/>
              <w:right w:val="single" w:color="000000" w:sz="4" w:space="0"/>
            </w:tcBorders>
            <w:vAlign w:val="center"/>
          </w:tcPr>
          <w:p w14:paraId="3A4AAC67">
            <w:pPr>
              <w:pStyle w:val="14"/>
              <w:spacing w:beforeAutospacing="0" w:afterAutospacing="0" w:line="0" w:lineRule="atLeast"/>
              <w:jc w:val="both"/>
            </w:pPr>
            <w:r>
              <w:t> </w:t>
            </w:r>
          </w:p>
        </w:tc>
      </w:tr>
      <w:tr w14:paraId="5997C5B2">
        <w:tblPrEx>
          <w:tblCellMar>
            <w:top w:w="0" w:type="dxa"/>
            <w:left w:w="108" w:type="dxa"/>
            <w:bottom w:w="0" w:type="dxa"/>
            <w:right w:w="108" w:type="dxa"/>
          </w:tblCellMar>
        </w:tblPrEx>
        <w:trPr>
          <w:trHeight w:val="724" w:hRule="atLeast"/>
          <w:tblCellSpacing w:w="0" w:type="dxa"/>
        </w:trPr>
        <w:tc>
          <w:tcPr>
            <w:tcW w:w="546" w:type="dxa"/>
            <w:tcBorders>
              <w:top w:val="single" w:color="000000" w:sz="4" w:space="0"/>
              <w:left w:val="single" w:color="000000" w:sz="4" w:space="0"/>
              <w:bottom w:val="single" w:color="000000" w:sz="4" w:space="0"/>
              <w:right w:val="single" w:color="000000" w:sz="4" w:space="0"/>
            </w:tcBorders>
            <w:vAlign w:val="center"/>
          </w:tcPr>
          <w:p w14:paraId="7AAF6BBD">
            <w:pPr>
              <w:pStyle w:val="14"/>
              <w:spacing w:beforeAutospacing="0" w:afterAutospacing="0" w:line="0" w:lineRule="atLeast"/>
              <w:jc w:val="center"/>
              <w:rPr>
                <w:rFonts w:ascii="宋体" w:hAnsi="宋体" w:cs="宋体"/>
              </w:rPr>
            </w:pPr>
            <w:r>
              <w:rPr>
                <w:rFonts w:hint="eastAsia" w:ascii="宋体" w:hAnsi="宋体" w:cs="宋体"/>
              </w:rPr>
              <w:t>…</w:t>
            </w:r>
          </w:p>
        </w:tc>
        <w:tc>
          <w:tcPr>
            <w:tcW w:w="996" w:type="dxa"/>
            <w:tcBorders>
              <w:top w:val="single" w:color="000000" w:sz="4" w:space="0"/>
              <w:left w:val="single" w:color="000000" w:sz="4" w:space="0"/>
              <w:bottom w:val="single" w:color="000000" w:sz="4" w:space="0"/>
              <w:right w:val="single" w:color="000000" w:sz="4" w:space="0"/>
            </w:tcBorders>
            <w:vAlign w:val="center"/>
          </w:tcPr>
          <w:p w14:paraId="6703CE7C">
            <w:pPr>
              <w:pStyle w:val="14"/>
              <w:spacing w:beforeAutospacing="0" w:afterAutospacing="0" w:line="0" w:lineRule="atLeast"/>
              <w:jc w:val="both"/>
            </w:pPr>
          </w:p>
        </w:tc>
        <w:tc>
          <w:tcPr>
            <w:tcW w:w="905" w:type="dxa"/>
            <w:tcBorders>
              <w:top w:val="single" w:color="000000" w:sz="4" w:space="0"/>
              <w:left w:val="single" w:color="000000" w:sz="4" w:space="0"/>
              <w:bottom w:val="single" w:color="000000" w:sz="4" w:space="0"/>
              <w:right w:val="single" w:color="000000" w:sz="4" w:space="0"/>
            </w:tcBorders>
            <w:vAlign w:val="center"/>
          </w:tcPr>
          <w:p w14:paraId="27BF2D86">
            <w:pPr>
              <w:pStyle w:val="14"/>
              <w:spacing w:beforeAutospacing="0" w:afterAutospacing="0" w:line="0" w:lineRule="atLeast"/>
              <w:jc w:val="both"/>
            </w:pPr>
          </w:p>
        </w:tc>
        <w:tc>
          <w:tcPr>
            <w:tcW w:w="1298" w:type="dxa"/>
            <w:tcBorders>
              <w:top w:val="single" w:color="000000" w:sz="4" w:space="0"/>
              <w:left w:val="single" w:color="000000" w:sz="4" w:space="0"/>
              <w:bottom w:val="single" w:color="000000" w:sz="4" w:space="0"/>
              <w:right w:val="single" w:color="000000" w:sz="4" w:space="0"/>
            </w:tcBorders>
            <w:vAlign w:val="center"/>
          </w:tcPr>
          <w:p w14:paraId="25B1644A">
            <w:pPr>
              <w:pStyle w:val="14"/>
              <w:spacing w:beforeAutospacing="0" w:afterAutospacing="0" w:line="0" w:lineRule="atLeast"/>
              <w:jc w:val="both"/>
            </w:pPr>
          </w:p>
        </w:tc>
        <w:tc>
          <w:tcPr>
            <w:tcW w:w="746" w:type="dxa"/>
            <w:tcBorders>
              <w:top w:val="single" w:color="000000" w:sz="4" w:space="0"/>
              <w:left w:val="single" w:color="000000" w:sz="4" w:space="0"/>
              <w:bottom w:val="single" w:color="000000" w:sz="4" w:space="0"/>
              <w:right w:val="single" w:color="000000" w:sz="4" w:space="0"/>
            </w:tcBorders>
            <w:vAlign w:val="center"/>
          </w:tcPr>
          <w:p w14:paraId="2B88E431">
            <w:pPr>
              <w:pStyle w:val="14"/>
              <w:spacing w:beforeAutospacing="0" w:afterAutospacing="0" w:line="0" w:lineRule="atLeast"/>
              <w:jc w:val="both"/>
            </w:pPr>
          </w:p>
        </w:tc>
        <w:tc>
          <w:tcPr>
            <w:tcW w:w="918" w:type="dxa"/>
            <w:tcBorders>
              <w:top w:val="single" w:color="000000" w:sz="4" w:space="0"/>
              <w:left w:val="single" w:color="000000" w:sz="4" w:space="0"/>
              <w:bottom w:val="single" w:color="000000" w:sz="4" w:space="0"/>
              <w:right w:val="single" w:color="000000" w:sz="4" w:space="0"/>
            </w:tcBorders>
            <w:vAlign w:val="center"/>
          </w:tcPr>
          <w:p w14:paraId="0C4A48DB">
            <w:pPr>
              <w:pStyle w:val="14"/>
              <w:spacing w:beforeAutospacing="0" w:afterAutospacing="0" w:line="0" w:lineRule="atLeast"/>
              <w:jc w:val="both"/>
            </w:pPr>
          </w:p>
        </w:tc>
        <w:tc>
          <w:tcPr>
            <w:tcW w:w="696" w:type="dxa"/>
            <w:tcBorders>
              <w:top w:val="single" w:color="000000" w:sz="4" w:space="0"/>
              <w:left w:val="single" w:color="000000" w:sz="4" w:space="0"/>
              <w:bottom w:val="single" w:color="000000" w:sz="4" w:space="0"/>
              <w:right w:val="single" w:color="000000" w:sz="4" w:space="0"/>
            </w:tcBorders>
            <w:vAlign w:val="center"/>
          </w:tcPr>
          <w:p w14:paraId="46C5B566">
            <w:pPr>
              <w:pStyle w:val="14"/>
              <w:spacing w:beforeAutospacing="0" w:afterAutospacing="0" w:line="0" w:lineRule="atLeast"/>
              <w:jc w:val="both"/>
            </w:pPr>
          </w:p>
        </w:tc>
        <w:tc>
          <w:tcPr>
            <w:tcW w:w="1261" w:type="dxa"/>
            <w:tcBorders>
              <w:top w:val="single" w:color="000000" w:sz="4" w:space="0"/>
              <w:left w:val="single" w:color="000000" w:sz="4" w:space="0"/>
              <w:bottom w:val="single" w:color="000000" w:sz="4" w:space="0"/>
              <w:right w:val="single" w:color="000000" w:sz="4" w:space="0"/>
            </w:tcBorders>
            <w:vAlign w:val="center"/>
          </w:tcPr>
          <w:p w14:paraId="1CE96A2F">
            <w:pPr>
              <w:pStyle w:val="14"/>
              <w:spacing w:beforeAutospacing="0" w:afterAutospacing="0" w:line="0" w:lineRule="atLeast"/>
              <w:jc w:val="both"/>
            </w:pPr>
          </w:p>
        </w:tc>
        <w:tc>
          <w:tcPr>
            <w:tcW w:w="1151" w:type="dxa"/>
            <w:tcBorders>
              <w:top w:val="single" w:color="000000" w:sz="4" w:space="0"/>
              <w:left w:val="single" w:color="000000" w:sz="4" w:space="0"/>
              <w:bottom w:val="single" w:color="000000" w:sz="4" w:space="0"/>
              <w:right w:val="single" w:color="000000" w:sz="4" w:space="0"/>
            </w:tcBorders>
            <w:vAlign w:val="center"/>
          </w:tcPr>
          <w:p w14:paraId="35342B4B">
            <w:pPr>
              <w:pStyle w:val="14"/>
              <w:spacing w:beforeAutospacing="0" w:afterAutospacing="0" w:line="0" w:lineRule="atLeast"/>
              <w:jc w:val="both"/>
            </w:pPr>
          </w:p>
        </w:tc>
      </w:tr>
      <w:tr w14:paraId="5F5BB4F1">
        <w:tblPrEx>
          <w:tblCellMar>
            <w:top w:w="0" w:type="dxa"/>
            <w:left w:w="108" w:type="dxa"/>
            <w:bottom w:w="0" w:type="dxa"/>
            <w:right w:w="108" w:type="dxa"/>
          </w:tblCellMar>
        </w:tblPrEx>
        <w:trPr>
          <w:trHeight w:val="724" w:hRule="atLeast"/>
          <w:tblCellSpacing w:w="0" w:type="dxa"/>
        </w:trPr>
        <w:tc>
          <w:tcPr>
            <w:tcW w:w="546" w:type="dxa"/>
            <w:tcBorders>
              <w:top w:val="single" w:color="000000" w:sz="4" w:space="0"/>
              <w:left w:val="single" w:color="000000" w:sz="4" w:space="0"/>
              <w:bottom w:val="single" w:color="000000" w:sz="4" w:space="0"/>
              <w:right w:val="single" w:color="000000" w:sz="4" w:space="0"/>
            </w:tcBorders>
            <w:vAlign w:val="center"/>
          </w:tcPr>
          <w:p w14:paraId="16655FD9">
            <w:pPr>
              <w:pStyle w:val="14"/>
              <w:spacing w:beforeAutospacing="0" w:afterAutospacing="0" w:line="0" w:lineRule="atLeast"/>
              <w:jc w:val="center"/>
              <w:rPr>
                <w:rFonts w:ascii="宋体" w:hAnsi="宋体" w:cs="宋体"/>
              </w:rPr>
            </w:pPr>
            <w:r>
              <w:rPr>
                <w:rFonts w:hint="eastAsia" w:ascii="宋体" w:hAnsi="宋体" w:cs="宋体"/>
              </w:rPr>
              <w:t>…</w:t>
            </w:r>
          </w:p>
        </w:tc>
        <w:tc>
          <w:tcPr>
            <w:tcW w:w="996" w:type="dxa"/>
            <w:tcBorders>
              <w:top w:val="single" w:color="000000" w:sz="4" w:space="0"/>
              <w:left w:val="single" w:color="000000" w:sz="4" w:space="0"/>
              <w:bottom w:val="single" w:color="000000" w:sz="4" w:space="0"/>
              <w:right w:val="single" w:color="000000" w:sz="4" w:space="0"/>
            </w:tcBorders>
            <w:vAlign w:val="center"/>
          </w:tcPr>
          <w:p w14:paraId="10B7C8DC">
            <w:pPr>
              <w:pStyle w:val="14"/>
              <w:spacing w:beforeAutospacing="0" w:afterAutospacing="0" w:line="0" w:lineRule="atLeast"/>
              <w:jc w:val="both"/>
            </w:pPr>
          </w:p>
        </w:tc>
        <w:tc>
          <w:tcPr>
            <w:tcW w:w="905" w:type="dxa"/>
            <w:tcBorders>
              <w:top w:val="single" w:color="000000" w:sz="4" w:space="0"/>
              <w:left w:val="single" w:color="000000" w:sz="4" w:space="0"/>
              <w:bottom w:val="single" w:color="000000" w:sz="4" w:space="0"/>
              <w:right w:val="single" w:color="000000" w:sz="4" w:space="0"/>
            </w:tcBorders>
            <w:vAlign w:val="center"/>
          </w:tcPr>
          <w:p w14:paraId="3CADE27E">
            <w:pPr>
              <w:pStyle w:val="14"/>
              <w:spacing w:beforeAutospacing="0" w:afterAutospacing="0" w:line="0" w:lineRule="atLeast"/>
              <w:jc w:val="both"/>
            </w:pPr>
          </w:p>
        </w:tc>
        <w:tc>
          <w:tcPr>
            <w:tcW w:w="1298" w:type="dxa"/>
            <w:tcBorders>
              <w:top w:val="single" w:color="000000" w:sz="4" w:space="0"/>
              <w:left w:val="single" w:color="000000" w:sz="4" w:space="0"/>
              <w:bottom w:val="single" w:color="000000" w:sz="4" w:space="0"/>
              <w:right w:val="single" w:color="000000" w:sz="4" w:space="0"/>
            </w:tcBorders>
            <w:vAlign w:val="center"/>
          </w:tcPr>
          <w:p w14:paraId="6DFFC918">
            <w:pPr>
              <w:pStyle w:val="14"/>
              <w:spacing w:beforeAutospacing="0" w:afterAutospacing="0" w:line="0" w:lineRule="atLeast"/>
              <w:jc w:val="both"/>
            </w:pPr>
          </w:p>
        </w:tc>
        <w:tc>
          <w:tcPr>
            <w:tcW w:w="746" w:type="dxa"/>
            <w:tcBorders>
              <w:top w:val="single" w:color="000000" w:sz="4" w:space="0"/>
              <w:left w:val="single" w:color="000000" w:sz="4" w:space="0"/>
              <w:bottom w:val="single" w:color="000000" w:sz="4" w:space="0"/>
              <w:right w:val="single" w:color="000000" w:sz="4" w:space="0"/>
            </w:tcBorders>
            <w:vAlign w:val="center"/>
          </w:tcPr>
          <w:p w14:paraId="16AD9424">
            <w:pPr>
              <w:pStyle w:val="14"/>
              <w:spacing w:beforeAutospacing="0" w:afterAutospacing="0" w:line="0" w:lineRule="atLeast"/>
              <w:jc w:val="both"/>
            </w:pPr>
          </w:p>
        </w:tc>
        <w:tc>
          <w:tcPr>
            <w:tcW w:w="918" w:type="dxa"/>
            <w:tcBorders>
              <w:top w:val="single" w:color="000000" w:sz="4" w:space="0"/>
              <w:left w:val="single" w:color="000000" w:sz="4" w:space="0"/>
              <w:bottom w:val="single" w:color="000000" w:sz="4" w:space="0"/>
              <w:right w:val="single" w:color="000000" w:sz="4" w:space="0"/>
            </w:tcBorders>
            <w:vAlign w:val="center"/>
          </w:tcPr>
          <w:p w14:paraId="213908A3">
            <w:pPr>
              <w:pStyle w:val="14"/>
              <w:spacing w:beforeAutospacing="0" w:afterAutospacing="0" w:line="0" w:lineRule="atLeast"/>
              <w:jc w:val="both"/>
            </w:pPr>
          </w:p>
        </w:tc>
        <w:tc>
          <w:tcPr>
            <w:tcW w:w="696" w:type="dxa"/>
            <w:tcBorders>
              <w:top w:val="single" w:color="000000" w:sz="4" w:space="0"/>
              <w:left w:val="single" w:color="000000" w:sz="4" w:space="0"/>
              <w:bottom w:val="single" w:color="000000" w:sz="4" w:space="0"/>
              <w:right w:val="single" w:color="000000" w:sz="4" w:space="0"/>
            </w:tcBorders>
            <w:vAlign w:val="center"/>
          </w:tcPr>
          <w:p w14:paraId="36208F75">
            <w:pPr>
              <w:pStyle w:val="14"/>
              <w:spacing w:beforeAutospacing="0" w:afterAutospacing="0" w:line="0" w:lineRule="atLeast"/>
              <w:jc w:val="both"/>
            </w:pPr>
          </w:p>
        </w:tc>
        <w:tc>
          <w:tcPr>
            <w:tcW w:w="1261" w:type="dxa"/>
            <w:tcBorders>
              <w:top w:val="single" w:color="000000" w:sz="4" w:space="0"/>
              <w:left w:val="single" w:color="000000" w:sz="4" w:space="0"/>
              <w:bottom w:val="single" w:color="000000" w:sz="4" w:space="0"/>
              <w:right w:val="single" w:color="000000" w:sz="4" w:space="0"/>
            </w:tcBorders>
            <w:vAlign w:val="center"/>
          </w:tcPr>
          <w:p w14:paraId="260A837D">
            <w:pPr>
              <w:pStyle w:val="14"/>
              <w:spacing w:beforeAutospacing="0" w:afterAutospacing="0" w:line="0" w:lineRule="atLeast"/>
              <w:jc w:val="both"/>
            </w:pPr>
          </w:p>
        </w:tc>
        <w:tc>
          <w:tcPr>
            <w:tcW w:w="1151" w:type="dxa"/>
            <w:tcBorders>
              <w:top w:val="single" w:color="000000" w:sz="4" w:space="0"/>
              <w:left w:val="single" w:color="000000" w:sz="4" w:space="0"/>
              <w:bottom w:val="single" w:color="000000" w:sz="4" w:space="0"/>
              <w:right w:val="single" w:color="000000" w:sz="4" w:space="0"/>
            </w:tcBorders>
            <w:vAlign w:val="center"/>
          </w:tcPr>
          <w:p w14:paraId="765861C2">
            <w:pPr>
              <w:pStyle w:val="14"/>
              <w:spacing w:beforeAutospacing="0" w:afterAutospacing="0" w:line="0" w:lineRule="atLeast"/>
              <w:jc w:val="both"/>
            </w:pPr>
          </w:p>
        </w:tc>
      </w:tr>
      <w:tr w14:paraId="755E3FAA">
        <w:tblPrEx>
          <w:tblCellMar>
            <w:top w:w="0" w:type="dxa"/>
            <w:left w:w="108" w:type="dxa"/>
            <w:bottom w:w="0" w:type="dxa"/>
            <w:right w:w="108" w:type="dxa"/>
          </w:tblCellMar>
        </w:tblPrEx>
        <w:trPr>
          <w:trHeight w:val="470" w:hRule="atLeast"/>
          <w:tblCellSpacing w:w="0" w:type="dxa"/>
        </w:trPr>
        <w:tc>
          <w:tcPr>
            <w:tcW w:w="8517" w:type="dxa"/>
            <w:gridSpan w:val="9"/>
            <w:tcBorders>
              <w:top w:val="single" w:color="000000" w:sz="4" w:space="0"/>
              <w:left w:val="single" w:color="000000" w:sz="4" w:space="0"/>
              <w:bottom w:val="single" w:color="000000" w:sz="4" w:space="0"/>
              <w:right w:val="single" w:color="000000" w:sz="4" w:space="0"/>
            </w:tcBorders>
            <w:vAlign w:val="center"/>
          </w:tcPr>
          <w:p w14:paraId="530AD640">
            <w:pPr>
              <w:pStyle w:val="14"/>
              <w:spacing w:beforeAutospacing="0" w:afterAutospacing="0"/>
              <w:jc w:val="center"/>
            </w:pPr>
            <w:r>
              <w:rPr>
                <w:rFonts w:hint="eastAsia" w:ascii="宋体" w:hAnsi="宋体" w:cs="宋体"/>
              </w:rPr>
              <w:t>投标总报价（人民币：元）</w:t>
            </w:r>
          </w:p>
        </w:tc>
      </w:tr>
    </w:tbl>
    <w:p w14:paraId="39FF4A40">
      <w:pPr>
        <w:pStyle w:val="14"/>
        <w:spacing w:beforeAutospacing="0" w:afterAutospacing="0"/>
        <w:jc w:val="both"/>
        <w:rPr>
          <w:rFonts w:ascii="宋体" w:hAnsi="宋体" w:cs="宋体"/>
        </w:rPr>
      </w:pPr>
      <w:r>
        <w:rPr>
          <w:rFonts w:hint="eastAsia" w:ascii="宋体" w:hAnsi="宋体" w:cs="宋体"/>
        </w:rPr>
        <w:t>备注：1.投标报价采用总承包方式，“投标总报价”应包括所投货物（包含与货物相关的服务）费用、安装调试费、测试验收费、培训费、运行维护费用、税金、国际国内运输保险、报关清关、开证、办理全套免税手续费用及其他有关的为完成本项目发生的所有费用，招标文件中另有规定的除外。</w:t>
      </w:r>
    </w:p>
    <w:p w14:paraId="1764A090">
      <w:pPr>
        <w:pStyle w:val="14"/>
        <w:spacing w:beforeAutospacing="0" w:afterAutospacing="0"/>
        <w:jc w:val="both"/>
        <w:rPr>
          <w:rFonts w:ascii="宋体" w:hAnsi="宋体" w:cs="宋体"/>
        </w:rPr>
      </w:pPr>
      <w:r>
        <w:rPr>
          <w:rFonts w:hint="eastAsia" w:ascii="宋体" w:hAnsi="宋体" w:cs="宋体"/>
        </w:rPr>
        <w:t>2.</w:t>
      </w:r>
      <w:r>
        <w:rPr>
          <w:rFonts w:ascii="Times New Roman" w:hAnsi="Times New Roman"/>
          <w:sz w:val="21"/>
          <w:szCs w:val="21"/>
        </w:rPr>
        <w:t xml:space="preserve"> “</w:t>
      </w:r>
      <w:r>
        <w:rPr>
          <w:rFonts w:hint="eastAsia" w:ascii="宋体" w:hAnsi="宋体" w:cs="宋体"/>
        </w:rPr>
        <w:t>投标分项报价表</w:t>
      </w:r>
      <w:r>
        <w:rPr>
          <w:rFonts w:ascii="Times New Roman" w:hAnsi="Times New Roman"/>
          <w:sz w:val="21"/>
          <w:szCs w:val="21"/>
        </w:rPr>
        <w:t>”</w:t>
      </w:r>
      <w:r>
        <w:rPr>
          <w:rFonts w:hint="eastAsia" w:ascii="宋体" w:hAnsi="宋体" w:cs="宋体"/>
        </w:rPr>
        <w:t>中“投标总报价”数额应当与“开标一览表”中“投标总报价”数额一致。</w:t>
      </w:r>
    </w:p>
    <w:p w14:paraId="1C2E7EE8">
      <w:pPr>
        <w:pStyle w:val="14"/>
        <w:spacing w:beforeAutospacing="0" w:afterAutospacing="0"/>
        <w:jc w:val="both"/>
        <w:rPr>
          <w:rFonts w:ascii="宋体" w:hAnsi="宋体" w:cs="宋体"/>
          <w:b/>
          <w:bCs/>
        </w:rPr>
      </w:pPr>
      <w:r>
        <w:rPr>
          <w:rFonts w:hint="eastAsia" w:ascii="宋体" w:hAnsi="宋体" w:cs="宋体"/>
          <w:b/>
          <w:bCs/>
        </w:rPr>
        <w:t>3.所投产品要写明品牌型号，如有不能写明的，须在备注上说明原因，不能简单的写上国产或定制等内容，否则有可能会被评标委员会判定为投标无效</w:t>
      </w:r>
      <w:r>
        <w:rPr>
          <w:rFonts w:hint="eastAsia" w:ascii="宋体" w:hAnsi="宋体" w:cs="宋体"/>
        </w:rPr>
        <w:t>。 </w:t>
      </w:r>
    </w:p>
    <w:p w14:paraId="297E01DF">
      <w:pPr>
        <w:pStyle w:val="14"/>
        <w:spacing w:beforeAutospacing="0" w:afterAutospacing="0"/>
        <w:jc w:val="both"/>
        <w:rPr>
          <w:rFonts w:ascii="宋体" w:hAnsi="宋体" w:cs="宋体"/>
          <w:b/>
          <w:bCs/>
        </w:rPr>
      </w:pPr>
      <w:r>
        <w:rPr>
          <w:rFonts w:hint="eastAsia" w:ascii="宋体" w:hAnsi="宋体" w:cs="宋体"/>
          <w:b/>
          <w:bCs/>
        </w:rPr>
        <w:t>4.投标人投标总报价不得超过本项目最高限价；否则按无效投标人处理。</w:t>
      </w:r>
    </w:p>
    <w:p w14:paraId="205B4357">
      <w:pPr>
        <w:pStyle w:val="14"/>
        <w:spacing w:beforeAutospacing="0" w:afterAutospacing="0"/>
        <w:jc w:val="both"/>
        <w:rPr>
          <w:rFonts w:ascii="宋体" w:hAnsi="宋体" w:cs="宋体"/>
          <w:b/>
          <w:bCs/>
        </w:rPr>
      </w:pPr>
    </w:p>
    <w:p w14:paraId="3EA3C824">
      <w:pPr>
        <w:autoSpaceDE w:val="0"/>
        <w:autoSpaceDN w:val="0"/>
        <w:spacing w:line="560" w:lineRule="exact"/>
        <w:ind w:firstLine="2835" w:firstLineChars="1350"/>
        <w:rPr>
          <w:rFonts w:hAnsi="宋体"/>
          <w:bCs/>
          <w:szCs w:val="28"/>
        </w:rPr>
      </w:pPr>
      <w:r>
        <w:t> </w:t>
      </w:r>
      <w:r>
        <w:rPr>
          <w:rFonts w:hint="eastAsia" w:hAnsi="宋体"/>
          <w:bCs/>
          <w:szCs w:val="28"/>
        </w:rPr>
        <w:t>投标人</w:t>
      </w:r>
      <w:r>
        <w:rPr>
          <w:rFonts w:hint="eastAsia" w:ascii="宋体" w:hAnsi="宋体"/>
          <w:sz w:val="24"/>
        </w:rPr>
        <w:t>（加盖CA电子签章）</w:t>
      </w:r>
      <w:r>
        <w:rPr>
          <w:rFonts w:hint="eastAsia" w:hAnsi="宋体"/>
          <w:bCs/>
          <w:szCs w:val="28"/>
        </w:rPr>
        <w:t>：</w:t>
      </w:r>
    </w:p>
    <w:p w14:paraId="37023E1C">
      <w:pPr>
        <w:pStyle w:val="9"/>
        <w:spacing w:line="560" w:lineRule="exact"/>
        <w:ind w:left="0" w:right="0" w:firstLine="4340" w:firstLineChars="1550"/>
        <w:rPr>
          <w:rFonts w:hAnsi="宋体"/>
          <w:bCs/>
          <w:sz w:val="28"/>
        </w:rPr>
      </w:pPr>
      <w:r>
        <w:rPr>
          <w:rFonts w:hint="eastAsia" w:hAnsi="宋体"/>
          <w:bCs/>
          <w:sz w:val="28"/>
        </w:rPr>
        <w:t>日期：</w:t>
      </w:r>
      <w:r>
        <w:rPr>
          <w:rFonts w:hAnsi="宋体"/>
          <w:bCs/>
          <w:sz w:val="28"/>
          <w:u w:val="single"/>
        </w:rPr>
        <w:t xml:space="preserve">      </w:t>
      </w:r>
      <w:r>
        <w:rPr>
          <w:rFonts w:hint="eastAsia" w:hAnsi="宋体"/>
          <w:bCs/>
          <w:sz w:val="28"/>
        </w:rPr>
        <w:t>年</w:t>
      </w:r>
      <w:r>
        <w:rPr>
          <w:rFonts w:hAnsi="宋体"/>
          <w:bCs/>
          <w:sz w:val="28"/>
        </w:rPr>
        <w:t xml:space="preserve"> </w:t>
      </w:r>
      <w:r>
        <w:rPr>
          <w:rFonts w:hAnsi="宋体"/>
          <w:bCs/>
          <w:sz w:val="28"/>
          <w:u w:val="single"/>
        </w:rPr>
        <w:t xml:space="preserve">    </w:t>
      </w:r>
      <w:r>
        <w:rPr>
          <w:rFonts w:hint="eastAsia" w:hAnsi="宋体"/>
          <w:bCs/>
          <w:sz w:val="28"/>
        </w:rPr>
        <w:t>月</w:t>
      </w:r>
      <w:r>
        <w:rPr>
          <w:rFonts w:hAnsi="宋体"/>
          <w:bCs/>
          <w:sz w:val="28"/>
        </w:rPr>
        <w:t xml:space="preserve"> </w:t>
      </w:r>
      <w:r>
        <w:rPr>
          <w:rFonts w:hAnsi="宋体"/>
          <w:bCs/>
          <w:sz w:val="28"/>
          <w:u w:val="single"/>
        </w:rPr>
        <w:t xml:space="preserve">    </w:t>
      </w:r>
      <w:r>
        <w:rPr>
          <w:rFonts w:hint="eastAsia" w:hAnsi="宋体"/>
          <w:bCs/>
          <w:sz w:val="28"/>
        </w:rPr>
        <w:t>日</w:t>
      </w:r>
    </w:p>
    <w:p w14:paraId="6BEEE4FE">
      <w:pPr>
        <w:widowControl/>
        <w:spacing w:before="50" w:after="50"/>
        <w:jc w:val="center"/>
        <w:rPr>
          <w:rFonts w:ascii="宋体" w:hAnsi="宋体" w:eastAsia="宋体" w:cs="宋体"/>
          <w:sz w:val="24"/>
        </w:rPr>
      </w:pPr>
      <w:r>
        <w:rPr>
          <w:rFonts w:hint="eastAsia" w:ascii="宋体" w:hAnsi="宋体" w:eastAsia="宋体" w:cs="宋体"/>
          <w:color w:val="000000"/>
          <w:sz w:val="32"/>
          <w:szCs w:val="32"/>
        </w:rPr>
        <w:t>十六、实施方案等</w:t>
      </w:r>
    </w:p>
    <w:p w14:paraId="4FA8FAC6">
      <w:pPr>
        <w:widowControl/>
        <w:spacing w:line="499" w:lineRule="atLeast"/>
        <w:ind w:firstLine="1600"/>
        <w:rPr>
          <w:rFonts w:ascii="宋体" w:hAnsi="宋体" w:eastAsia="宋体" w:cs="宋体"/>
          <w:sz w:val="24"/>
        </w:rPr>
      </w:pPr>
      <w:r>
        <w:rPr>
          <w:rFonts w:hint="eastAsia" w:ascii="宋体" w:hAnsi="宋体" w:eastAsia="宋体" w:cs="宋体"/>
          <w:color w:val="000000"/>
          <w:sz w:val="32"/>
          <w:szCs w:val="32"/>
        </w:rPr>
        <w:t>十七、盐城市政府采购事前信用承诺书</w:t>
      </w:r>
    </w:p>
    <w:p w14:paraId="55D58856">
      <w:pPr>
        <w:widowControl/>
        <w:spacing w:line="499" w:lineRule="atLeast"/>
        <w:ind w:firstLine="640"/>
        <w:jc w:val="left"/>
        <w:rPr>
          <w:rFonts w:ascii="宋体" w:hAnsi="宋体" w:eastAsia="宋体" w:cs="宋体"/>
          <w:sz w:val="24"/>
        </w:rPr>
      </w:pPr>
      <w:r>
        <w:rPr>
          <w:rFonts w:hint="eastAsia" w:ascii="宋体" w:hAnsi="宋体" w:eastAsia="宋体" w:cs="宋体"/>
          <w:color w:val="000000"/>
          <w:sz w:val="32"/>
          <w:szCs w:val="32"/>
        </w:rPr>
        <w:t> </w:t>
      </w:r>
      <w:r>
        <w:rPr>
          <w:rFonts w:hint="eastAsia" w:ascii="宋体" w:hAnsi="宋体" w:eastAsia="宋体" w:cs="宋体"/>
          <w:color w:val="000000"/>
          <w:sz w:val="24"/>
        </w:rPr>
        <w:t>为营造我市公开、公平、公正、诚实守信的政府采购交易环境，树立诚信守法的投标人形象，本人代表本单位作出以下承诺：</w:t>
      </w:r>
    </w:p>
    <w:p w14:paraId="317E2735">
      <w:pPr>
        <w:widowControl/>
        <w:spacing w:line="499" w:lineRule="atLeast"/>
        <w:jc w:val="left"/>
        <w:rPr>
          <w:rFonts w:ascii="宋体" w:hAnsi="宋体" w:eastAsia="宋体" w:cs="宋体"/>
          <w:sz w:val="24"/>
        </w:rPr>
      </w:pPr>
      <w:r>
        <w:rPr>
          <w:rFonts w:hint="eastAsia" w:ascii="宋体" w:hAnsi="宋体" w:eastAsia="宋体" w:cs="宋体"/>
          <w:color w:val="000000"/>
          <w:sz w:val="24"/>
        </w:rPr>
        <w:t>    （一）本单位对所提交的企（事）业单位基本信息、企（事）业负责人、项目负责人、技术负责人、从业资质和资格、业绩、财务状况、信誉等所有资料，均合法、真实、准确、有效，无任何伪造、修改、虚假成份，并对所提供资料的真实性负责；</w:t>
      </w:r>
    </w:p>
    <w:p w14:paraId="13E6E2BE">
      <w:pPr>
        <w:widowControl/>
        <w:spacing w:line="499" w:lineRule="atLeast"/>
        <w:ind w:firstLine="480"/>
        <w:jc w:val="left"/>
        <w:rPr>
          <w:rFonts w:ascii="宋体" w:hAnsi="宋体" w:eastAsia="宋体" w:cs="宋体"/>
          <w:sz w:val="24"/>
        </w:rPr>
      </w:pPr>
      <w:r>
        <w:rPr>
          <w:rFonts w:hint="eastAsia" w:ascii="宋体" w:hAnsi="宋体" w:eastAsia="宋体" w:cs="宋体"/>
          <w:color w:val="000000"/>
          <w:sz w:val="24"/>
        </w:rPr>
        <w:t>（二）本单位无涉及政府采购活动的违法、违规不良记录，我公司及相关负责人无因存在重大隐患整改不力、发生有重大社会影响生产安全事故或其他严重违法违规行为而被列入失信联合惩戒的不良记录；</w:t>
      </w:r>
    </w:p>
    <w:p w14:paraId="5D572B96">
      <w:pPr>
        <w:widowControl/>
        <w:spacing w:line="499" w:lineRule="atLeast"/>
        <w:jc w:val="left"/>
        <w:rPr>
          <w:rFonts w:ascii="宋体" w:hAnsi="宋体" w:eastAsia="宋体" w:cs="宋体"/>
          <w:sz w:val="24"/>
        </w:rPr>
      </w:pPr>
      <w:r>
        <w:rPr>
          <w:rFonts w:hint="eastAsia" w:ascii="宋体" w:hAnsi="宋体" w:eastAsia="宋体" w:cs="宋体"/>
          <w:color w:val="000000"/>
          <w:sz w:val="24"/>
        </w:rPr>
        <w:t xml:space="preserve">   （三）严格依照国家和省、市关于政府采购的法律、法规、规章、规范性文件，参加政府采购投标活动；积极履行社会责任，促进廉政建设； </w:t>
      </w:r>
    </w:p>
    <w:p w14:paraId="0CD1DBD0">
      <w:pPr>
        <w:widowControl/>
        <w:spacing w:line="499" w:lineRule="atLeast"/>
        <w:jc w:val="left"/>
        <w:rPr>
          <w:rFonts w:ascii="宋体" w:hAnsi="宋体" w:eastAsia="宋体" w:cs="宋体"/>
          <w:sz w:val="24"/>
        </w:rPr>
      </w:pPr>
      <w:r>
        <w:rPr>
          <w:rFonts w:hint="eastAsia" w:ascii="宋体" w:hAnsi="宋体" w:eastAsia="宋体" w:cs="宋体"/>
          <w:color w:val="000000"/>
          <w:sz w:val="24"/>
        </w:rPr>
        <w:t>   （四）严格遵守即时信息公示规定，及时维护和更新维护和更新盐城市政府采购网中与本单位相关的信息；</w:t>
      </w:r>
    </w:p>
    <w:p w14:paraId="346C9F9A">
      <w:pPr>
        <w:widowControl/>
        <w:spacing w:line="499" w:lineRule="atLeast"/>
        <w:jc w:val="left"/>
        <w:rPr>
          <w:rFonts w:ascii="宋体" w:hAnsi="宋体" w:eastAsia="宋体" w:cs="宋体"/>
          <w:sz w:val="24"/>
        </w:rPr>
      </w:pPr>
      <w:r>
        <w:rPr>
          <w:rFonts w:hint="eastAsia" w:ascii="宋体" w:hAnsi="宋体" w:eastAsia="宋体" w:cs="宋体"/>
          <w:color w:val="000000"/>
          <w:sz w:val="24"/>
        </w:rPr>
        <w:t>   （五）自我约束、自我管理，守合同、重信用，自觉维护政府采购交易的良好秩序，与参与本次政府采购活动的其他供应商不存在直接控股或管理关系，不参与围标串标、弄虚作假、骗取中标、干扰评标、违约毁约等行为；</w:t>
      </w:r>
    </w:p>
    <w:p w14:paraId="0E7A08B1">
      <w:pPr>
        <w:widowControl/>
        <w:spacing w:line="499" w:lineRule="atLeast"/>
        <w:jc w:val="left"/>
        <w:rPr>
          <w:rFonts w:ascii="宋体" w:hAnsi="宋体" w:eastAsia="宋体" w:cs="宋体"/>
          <w:sz w:val="24"/>
        </w:rPr>
      </w:pPr>
      <w:r>
        <w:rPr>
          <w:rFonts w:hint="eastAsia" w:ascii="宋体" w:hAnsi="宋体" w:eastAsia="宋体" w:cs="宋体"/>
          <w:color w:val="000000"/>
          <w:sz w:val="24"/>
        </w:rPr>
        <w:t>   （六）自觉接受政府、行业组织、社会公众、新闻舆论的监督；</w:t>
      </w:r>
    </w:p>
    <w:p w14:paraId="692BDE95">
      <w:pPr>
        <w:widowControl/>
        <w:spacing w:line="499" w:lineRule="atLeast"/>
        <w:ind w:firstLine="480"/>
        <w:jc w:val="left"/>
        <w:rPr>
          <w:rFonts w:ascii="宋体" w:hAnsi="宋体" w:eastAsia="宋体" w:cs="宋体"/>
          <w:sz w:val="24"/>
        </w:rPr>
      </w:pPr>
      <w:r>
        <w:rPr>
          <w:rFonts w:hint="eastAsia" w:ascii="宋体" w:hAnsi="宋体" w:eastAsia="宋体" w:cs="宋体"/>
          <w:color w:val="000000"/>
          <w:sz w:val="24"/>
        </w:rPr>
        <w:t>（七）本单位自愿接受政府采购监督管理机构和有关行政监督部门的依法检查。如发生违法违规或不良失信行为，自愿接受政府采购监督管理机构和有关行政监督部门依法给予的行政处罚（处理），并依法承担相应责任；</w:t>
      </w:r>
    </w:p>
    <w:p w14:paraId="259406A8">
      <w:pPr>
        <w:widowControl/>
        <w:spacing w:line="499" w:lineRule="atLeast"/>
        <w:jc w:val="left"/>
        <w:rPr>
          <w:rFonts w:ascii="宋体" w:hAnsi="宋体" w:eastAsia="宋体" w:cs="宋体"/>
          <w:sz w:val="24"/>
        </w:rPr>
      </w:pPr>
      <w:r>
        <w:rPr>
          <w:rFonts w:hint="eastAsia" w:ascii="宋体" w:hAnsi="宋体" w:eastAsia="宋体" w:cs="宋体"/>
          <w:color w:val="000000"/>
          <w:sz w:val="24"/>
        </w:rPr>
        <w:t>   （八）本人已认真阅读了上述承诺，并向本单位员工作了宣传教育。</w:t>
      </w:r>
    </w:p>
    <w:p w14:paraId="26F3933A">
      <w:pPr>
        <w:widowControl/>
        <w:spacing w:line="499" w:lineRule="atLeast"/>
        <w:jc w:val="left"/>
        <w:rPr>
          <w:rFonts w:ascii="宋体" w:hAnsi="宋体" w:eastAsia="宋体" w:cs="宋体"/>
          <w:sz w:val="24"/>
        </w:rPr>
      </w:pPr>
      <w:r>
        <w:rPr>
          <w:rFonts w:hint="eastAsia" w:ascii="宋体" w:hAnsi="宋体" w:eastAsia="宋体" w:cs="宋体"/>
          <w:color w:val="000000"/>
          <w:sz w:val="24"/>
        </w:rPr>
        <w:t>                  法定代表人签名：</w:t>
      </w:r>
    </w:p>
    <w:p w14:paraId="0B800B47">
      <w:pPr>
        <w:widowControl/>
        <w:spacing w:line="499" w:lineRule="atLeast"/>
        <w:jc w:val="center"/>
        <w:rPr>
          <w:rFonts w:ascii="宋体" w:hAnsi="宋体" w:eastAsia="宋体" w:cs="宋体"/>
          <w:sz w:val="24"/>
        </w:rPr>
      </w:pPr>
      <w:r>
        <w:rPr>
          <w:rFonts w:hint="eastAsia" w:ascii="宋体" w:hAnsi="宋体" w:eastAsia="宋体" w:cs="宋体"/>
          <w:color w:val="000000"/>
          <w:sz w:val="24"/>
        </w:rPr>
        <w:t>                   单位名称（</w:t>
      </w:r>
      <w:r>
        <w:rPr>
          <w:rFonts w:hint="eastAsia" w:ascii="宋体" w:hAnsi="宋体" w:eastAsia="宋体" w:cs="宋体"/>
          <w:color w:val="000000"/>
          <w:sz w:val="24"/>
          <w:lang w:val="en-US" w:eastAsia="zh-CN"/>
        </w:rPr>
        <w:t>加盖CA电子</w:t>
      </w:r>
      <w:r>
        <w:rPr>
          <w:rFonts w:hint="eastAsia" w:ascii="宋体" w:hAnsi="宋体" w:eastAsia="宋体" w:cs="宋体"/>
          <w:color w:val="000000"/>
          <w:sz w:val="24"/>
        </w:rPr>
        <w:t>盖章）：</w:t>
      </w:r>
    </w:p>
    <w:p w14:paraId="07874404">
      <w:pPr>
        <w:widowControl/>
        <w:spacing w:line="499" w:lineRule="atLeast"/>
        <w:jc w:val="center"/>
        <w:rPr>
          <w:rFonts w:ascii="宋体" w:hAnsi="宋体" w:eastAsia="宋体" w:cs="宋体"/>
          <w:sz w:val="24"/>
        </w:rPr>
      </w:pPr>
      <w:r>
        <w:rPr>
          <w:rFonts w:hint="eastAsia" w:ascii="宋体" w:hAnsi="宋体" w:eastAsia="宋体" w:cs="宋体"/>
          <w:color w:val="000000"/>
          <w:sz w:val="24"/>
        </w:rPr>
        <w:t>                      年月日</w:t>
      </w:r>
    </w:p>
    <w:p w14:paraId="4D9B866D">
      <w:pPr>
        <w:pStyle w:val="14"/>
        <w:spacing w:beforeAutospacing="0" w:afterAutospacing="0"/>
        <w:jc w:val="center"/>
      </w:pPr>
    </w:p>
    <w:bookmarkEnd w:id="6"/>
    <w:bookmarkEnd w:id="57"/>
    <w:bookmarkEnd w:id="104"/>
    <w:bookmarkEnd w:id="105"/>
    <w:bookmarkEnd w:id="106"/>
    <w:bookmarkEnd w:id="107"/>
    <w:bookmarkEnd w:id="108"/>
    <w:bookmarkEnd w:id="109"/>
    <w:bookmarkEnd w:id="110"/>
    <w:bookmarkEnd w:id="111"/>
    <w:bookmarkEnd w:id="120"/>
    <w:bookmarkEnd w:id="121"/>
    <w:bookmarkEnd w:id="128"/>
    <w:bookmarkEnd w:id="183"/>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14:paraId="1F6B57E9">
      <w:pPr>
        <w:pStyle w:val="14"/>
        <w:spacing w:beforeAutospacing="0" w:afterAutospacing="0"/>
        <w:jc w:val="center"/>
        <w:rPr>
          <w:rFonts w:ascii="宋体" w:hAnsi="宋体" w:eastAsia="宋体" w:cs="宋体"/>
          <w:b/>
          <w:color w:val="000000"/>
          <w:sz w:val="32"/>
          <w:szCs w:val="32"/>
        </w:rPr>
      </w:pPr>
    </w:p>
    <w:p w14:paraId="2720DABA">
      <w:pPr>
        <w:pStyle w:val="14"/>
        <w:spacing w:beforeAutospacing="0" w:afterAutospacing="0"/>
        <w:jc w:val="center"/>
        <w:rPr>
          <w:rFonts w:ascii="宋体" w:hAnsi="宋体" w:eastAsia="宋体" w:cs="宋体"/>
          <w:b/>
          <w:color w:val="000000"/>
          <w:sz w:val="32"/>
          <w:szCs w:val="32"/>
        </w:rPr>
      </w:pPr>
      <w:r>
        <w:rPr>
          <w:rFonts w:hint="eastAsia" w:ascii="宋体" w:hAnsi="宋体" w:eastAsia="宋体" w:cs="宋体"/>
          <w:b/>
          <w:color w:val="000000"/>
          <w:sz w:val="32"/>
          <w:szCs w:val="32"/>
        </w:rPr>
        <w:t>质疑函范本</w:t>
      </w:r>
    </w:p>
    <w:p w14:paraId="74273570">
      <w:pPr>
        <w:pStyle w:val="14"/>
        <w:spacing w:before="290" w:beforeAutospacing="0" w:afterAutospacing="0" w:line="360" w:lineRule="auto"/>
        <w:jc w:val="both"/>
        <w:rPr>
          <w:rFonts w:ascii="宋体" w:hAnsi="宋体" w:eastAsia="宋体" w:cs="宋体"/>
        </w:rPr>
      </w:pPr>
      <w:r>
        <w:rPr>
          <w:rFonts w:hint="eastAsia" w:ascii="宋体" w:hAnsi="宋体" w:eastAsia="宋体" w:cs="宋体"/>
          <w:color w:val="000000"/>
        </w:rPr>
        <w:t>一、质疑供应商基本信息</w:t>
      </w:r>
    </w:p>
    <w:p w14:paraId="1D5FA982">
      <w:pPr>
        <w:pStyle w:val="14"/>
        <w:spacing w:beforeAutospacing="0" w:afterAutospacing="0" w:line="360" w:lineRule="auto"/>
        <w:jc w:val="both"/>
        <w:rPr>
          <w:rFonts w:ascii="宋体" w:hAnsi="宋体" w:eastAsia="宋体" w:cs="宋体"/>
        </w:rPr>
      </w:pPr>
      <w:r>
        <w:rPr>
          <w:rFonts w:hint="eastAsia" w:ascii="宋体" w:hAnsi="宋体" w:eastAsia="宋体" w:cs="宋体"/>
          <w:color w:val="000000"/>
        </w:rPr>
        <w:t>质疑供应商：</w:t>
      </w:r>
      <w:r>
        <w:rPr>
          <w:rFonts w:hint="eastAsia" w:ascii="宋体" w:hAnsi="宋体" w:eastAsia="宋体" w:cs="宋体"/>
          <w:color w:val="000000"/>
          <w:u w:val="single"/>
        </w:rPr>
        <w:t>                    </w:t>
      </w:r>
      <w:r>
        <w:rPr>
          <w:rFonts w:hint="eastAsia" w:ascii="宋体" w:hAnsi="宋体" w:eastAsia="宋体" w:cs="宋体"/>
          <w:color w:val="000000"/>
          <w:u w:val="single"/>
        </w:rPr>
        <w:tab/>
      </w:r>
      <w:r>
        <w:rPr>
          <w:rFonts w:hint="eastAsia" w:ascii="宋体" w:hAnsi="宋体" w:eastAsia="宋体" w:cs="宋体"/>
          <w:color w:val="000000"/>
          <w:u w:val="single"/>
        </w:rPr>
        <w:t> </w:t>
      </w:r>
      <w:r>
        <w:rPr>
          <w:rFonts w:hint="eastAsia" w:ascii="宋体" w:hAnsi="宋体" w:eastAsia="宋体" w:cs="宋体"/>
          <w:color w:val="000000"/>
          <w:u w:val="single"/>
        </w:rPr>
        <w:tab/>
      </w:r>
      <w:r>
        <w:rPr>
          <w:rFonts w:hint="eastAsia" w:ascii="宋体" w:hAnsi="宋体" w:eastAsia="宋体" w:cs="宋体"/>
          <w:color w:val="000000"/>
          <w:u w:val="single"/>
        </w:rPr>
        <w:t xml:space="preserve">       </w:t>
      </w:r>
    </w:p>
    <w:p w14:paraId="46FD368B">
      <w:pPr>
        <w:pStyle w:val="14"/>
        <w:spacing w:beforeAutospacing="0" w:afterAutospacing="0" w:line="360" w:lineRule="auto"/>
        <w:jc w:val="both"/>
        <w:rPr>
          <w:rFonts w:ascii="宋体" w:hAnsi="宋体" w:eastAsia="宋体" w:cs="宋体"/>
          <w:color w:val="000000"/>
          <w:u w:val="single"/>
        </w:rPr>
      </w:pPr>
      <w:r>
        <w:rPr>
          <w:rFonts w:hint="eastAsia" w:ascii="宋体" w:hAnsi="宋体" w:eastAsia="宋体" w:cs="宋体"/>
          <w:color w:val="000000"/>
        </w:rPr>
        <w:t>地址：</w:t>
      </w:r>
      <w:r>
        <w:rPr>
          <w:rFonts w:hint="eastAsia" w:ascii="宋体" w:hAnsi="宋体" w:eastAsia="宋体" w:cs="宋体"/>
          <w:color w:val="000000"/>
          <w:u w:val="single"/>
        </w:rPr>
        <w:t xml:space="preserve">                      </w:t>
      </w:r>
      <w:r>
        <w:rPr>
          <w:rFonts w:hint="eastAsia" w:ascii="宋体" w:hAnsi="宋体" w:eastAsia="宋体" w:cs="宋体"/>
          <w:color w:val="000000"/>
          <w:u w:val="single"/>
        </w:rPr>
        <w:tab/>
      </w:r>
      <w:r>
        <w:rPr>
          <w:rFonts w:hint="eastAsia" w:ascii="宋体" w:hAnsi="宋体" w:eastAsia="宋体" w:cs="宋体"/>
          <w:color w:val="000000"/>
          <w:u w:val="single"/>
        </w:rPr>
        <w:tab/>
      </w:r>
      <w:r>
        <w:rPr>
          <w:rFonts w:hint="eastAsia" w:ascii="宋体" w:hAnsi="宋体" w:eastAsia="宋体" w:cs="宋体"/>
          <w:color w:val="000000"/>
          <w:u w:val="single"/>
        </w:rPr>
        <w:tab/>
      </w:r>
      <w:r>
        <w:rPr>
          <w:rFonts w:hint="eastAsia" w:ascii="宋体" w:hAnsi="宋体" w:eastAsia="宋体" w:cs="宋体"/>
          <w:color w:val="000000"/>
          <w:u w:val="single"/>
        </w:rPr>
        <w:t>      </w:t>
      </w:r>
    </w:p>
    <w:p w14:paraId="3BB87C55">
      <w:pPr>
        <w:pStyle w:val="14"/>
        <w:spacing w:beforeAutospacing="0" w:afterAutospacing="0" w:line="360" w:lineRule="auto"/>
        <w:jc w:val="both"/>
        <w:rPr>
          <w:rFonts w:ascii="宋体" w:hAnsi="宋体" w:eastAsia="宋体" w:cs="宋体"/>
        </w:rPr>
      </w:pPr>
      <w:r>
        <w:rPr>
          <w:rFonts w:hint="eastAsia" w:ascii="宋体" w:hAnsi="宋体" w:eastAsia="宋体" w:cs="宋体"/>
          <w:color w:val="000000"/>
        </w:rPr>
        <w:t>邮编：</w:t>
      </w:r>
      <w:r>
        <w:rPr>
          <w:rFonts w:hint="eastAsia" w:ascii="宋体" w:hAnsi="宋体" w:eastAsia="宋体" w:cs="宋体"/>
          <w:color w:val="000000"/>
          <w:u w:val="single"/>
        </w:rPr>
        <w:t>                       </w:t>
      </w:r>
      <w:r>
        <w:rPr>
          <w:rFonts w:hint="eastAsia" w:ascii="宋体" w:hAnsi="宋体" w:eastAsia="宋体" w:cs="宋体"/>
          <w:color w:val="000000"/>
          <w:u w:val="single"/>
        </w:rPr>
        <w:tab/>
      </w:r>
      <w:r>
        <w:rPr>
          <w:rFonts w:hint="eastAsia" w:ascii="宋体" w:hAnsi="宋体" w:eastAsia="宋体" w:cs="宋体"/>
          <w:color w:val="000000"/>
          <w:u w:val="single"/>
        </w:rPr>
        <w:tab/>
      </w:r>
      <w:r>
        <w:rPr>
          <w:rFonts w:hint="eastAsia" w:ascii="宋体" w:hAnsi="宋体" w:eastAsia="宋体" w:cs="宋体"/>
          <w:color w:val="000000"/>
          <w:u w:val="single"/>
        </w:rPr>
        <w:t xml:space="preserve">        </w:t>
      </w:r>
    </w:p>
    <w:p w14:paraId="3EDC2661">
      <w:pPr>
        <w:pStyle w:val="14"/>
        <w:spacing w:beforeAutospacing="0" w:afterAutospacing="0" w:line="360" w:lineRule="auto"/>
        <w:jc w:val="both"/>
        <w:rPr>
          <w:rFonts w:ascii="宋体" w:hAnsi="宋体" w:eastAsia="宋体" w:cs="宋体"/>
          <w:color w:val="000000"/>
          <w:u w:val="single"/>
        </w:rPr>
      </w:pPr>
      <w:r>
        <w:rPr>
          <w:rFonts w:hint="eastAsia" w:ascii="宋体" w:hAnsi="宋体" w:eastAsia="宋体" w:cs="宋体"/>
          <w:color w:val="000000"/>
        </w:rPr>
        <w:t>联系人：</w:t>
      </w:r>
      <w:r>
        <w:rPr>
          <w:rFonts w:hint="eastAsia" w:ascii="宋体" w:hAnsi="宋体" w:eastAsia="宋体" w:cs="宋体"/>
          <w:color w:val="000000"/>
          <w:u w:val="single"/>
        </w:rPr>
        <w:t>               </w:t>
      </w:r>
      <w:r>
        <w:rPr>
          <w:rFonts w:hint="eastAsia" w:ascii="宋体" w:hAnsi="宋体" w:eastAsia="宋体" w:cs="宋体"/>
          <w:color w:val="000000"/>
          <w:u w:val="single"/>
        </w:rPr>
        <w:tab/>
      </w:r>
      <w:r>
        <w:rPr>
          <w:rFonts w:hint="eastAsia" w:ascii="宋体" w:hAnsi="宋体" w:eastAsia="宋体" w:cs="宋体"/>
          <w:color w:val="000000"/>
          <w:u w:val="single"/>
        </w:rPr>
        <w:tab/>
      </w:r>
      <w:r>
        <w:rPr>
          <w:rFonts w:hint="eastAsia" w:ascii="宋体" w:hAnsi="宋体" w:eastAsia="宋体" w:cs="宋体"/>
          <w:color w:val="000000"/>
          <w:u w:val="single"/>
        </w:rPr>
        <w:tab/>
      </w:r>
      <w:r>
        <w:rPr>
          <w:rFonts w:hint="eastAsia" w:ascii="宋体" w:hAnsi="宋体" w:eastAsia="宋体" w:cs="宋体"/>
          <w:color w:val="000000"/>
          <w:u w:val="single"/>
        </w:rPr>
        <w:tab/>
      </w:r>
      <w:r>
        <w:rPr>
          <w:rFonts w:hint="eastAsia" w:ascii="宋体" w:hAnsi="宋体" w:eastAsia="宋体" w:cs="宋体"/>
          <w:color w:val="000000"/>
          <w:u w:val="single"/>
        </w:rPr>
        <w:tab/>
      </w:r>
      <w:r>
        <w:rPr>
          <w:rFonts w:hint="eastAsia" w:ascii="宋体" w:hAnsi="宋体" w:eastAsia="宋体" w:cs="宋体"/>
          <w:color w:val="000000"/>
          <w:u w:val="single"/>
        </w:rPr>
        <w:tab/>
      </w:r>
      <w:r>
        <w:rPr>
          <w:rFonts w:hint="eastAsia" w:ascii="宋体" w:hAnsi="宋体" w:eastAsia="宋体" w:cs="宋体"/>
          <w:color w:val="000000"/>
          <w:u w:val="single"/>
        </w:rPr>
        <w:t xml:space="preserve">       </w:t>
      </w:r>
    </w:p>
    <w:p w14:paraId="773EF4D5">
      <w:pPr>
        <w:pStyle w:val="14"/>
        <w:spacing w:beforeAutospacing="0" w:afterAutospacing="0" w:line="360" w:lineRule="auto"/>
        <w:jc w:val="both"/>
        <w:rPr>
          <w:rFonts w:ascii="宋体" w:hAnsi="宋体" w:eastAsia="宋体" w:cs="宋体"/>
        </w:rPr>
      </w:pPr>
      <w:r>
        <w:rPr>
          <w:rFonts w:hint="eastAsia" w:ascii="宋体" w:hAnsi="宋体" w:eastAsia="宋体" w:cs="宋体"/>
          <w:color w:val="000000"/>
        </w:rPr>
        <w:t>联系电话：</w:t>
      </w:r>
      <w:r>
        <w:rPr>
          <w:rFonts w:hint="eastAsia" w:ascii="宋体" w:hAnsi="宋体" w:eastAsia="宋体" w:cs="宋体"/>
          <w:color w:val="000000"/>
          <w:u w:val="single"/>
        </w:rPr>
        <w:t xml:space="preserve">                                           </w:t>
      </w:r>
    </w:p>
    <w:p w14:paraId="4B16F5F9">
      <w:pPr>
        <w:pStyle w:val="14"/>
        <w:spacing w:beforeAutospacing="0" w:afterAutospacing="0" w:line="360" w:lineRule="auto"/>
        <w:jc w:val="both"/>
        <w:rPr>
          <w:rFonts w:ascii="宋体" w:hAnsi="宋体" w:eastAsia="宋体" w:cs="宋体"/>
        </w:rPr>
      </w:pPr>
      <w:r>
        <w:rPr>
          <w:rFonts w:hint="eastAsia" w:ascii="宋体" w:hAnsi="宋体" w:eastAsia="宋体" w:cs="宋体"/>
          <w:color w:val="000000"/>
        </w:rPr>
        <w:t>授权代表：</w:t>
      </w:r>
      <w:r>
        <w:rPr>
          <w:rFonts w:hint="eastAsia" w:ascii="宋体" w:hAnsi="宋体" w:eastAsia="宋体" w:cs="宋体"/>
          <w:color w:val="000000"/>
          <w:u w:val="single"/>
        </w:rPr>
        <w:t>                 </w:t>
      </w:r>
      <w:r>
        <w:rPr>
          <w:rFonts w:hint="eastAsia" w:ascii="宋体" w:hAnsi="宋体" w:eastAsia="宋体" w:cs="宋体"/>
          <w:color w:val="000000"/>
          <w:u w:val="single"/>
        </w:rPr>
        <w:tab/>
      </w:r>
      <w:r>
        <w:rPr>
          <w:rFonts w:hint="eastAsia" w:ascii="宋体" w:hAnsi="宋体" w:eastAsia="宋体" w:cs="宋体"/>
          <w:color w:val="000000"/>
          <w:u w:val="single"/>
        </w:rPr>
        <w:tab/>
      </w:r>
      <w:r>
        <w:rPr>
          <w:rFonts w:hint="eastAsia" w:ascii="宋体" w:hAnsi="宋体" w:eastAsia="宋体" w:cs="宋体"/>
          <w:color w:val="000000"/>
          <w:u w:val="single"/>
        </w:rPr>
        <w:tab/>
      </w:r>
      <w:r>
        <w:rPr>
          <w:rFonts w:hint="eastAsia" w:ascii="宋体" w:hAnsi="宋体" w:eastAsia="宋体" w:cs="宋体"/>
          <w:color w:val="000000"/>
          <w:u w:val="single"/>
        </w:rPr>
        <w:tab/>
      </w:r>
      <w:r>
        <w:rPr>
          <w:rFonts w:hint="eastAsia" w:ascii="宋体" w:hAnsi="宋体" w:eastAsia="宋体" w:cs="宋体"/>
          <w:color w:val="000000"/>
          <w:u w:val="single"/>
        </w:rPr>
        <w:t xml:space="preserve">        </w:t>
      </w:r>
    </w:p>
    <w:p w14:paraId="7B207D43">
      <w:pPr>
        <w:pStyle w:val="14"/>
        <w:spacing w:beforeAutospacing="0" w:afterAutospacing="0" w:line="360" w:lineRule="auto"/>
        <w:jc w:val="both"/>
        <w:rPr>
          <w:rFonts w:ascii="宋体" w:hAnsi="宋体" w:eastAsia="宋体" w:cs="宋体"/>
        </w:rPr>
      </w:pPr>
      <w:r>
        <w:rPr>
          <w:rFonts w:hint="eastAsia" w:ascii="宋体" w:hAnsi="宋体" w:eastAsia="宋体" w:cs="宋体"/>
          <w:color w:val="000000"/>
        </w:rPr>
        <w:t>联系电话：</w:t>
      </w:r>
      <w:r>
        <w:rPr>
          <w:rFonts w:hint="eastAsia" w:ascii="宋体" w:hAnsi="宋体" w:eastAsia="宋体" w:cs="宋体"/>
          <w:color w:val="000000"/>
          <w:u w:val="single"/>
        </w:rPr>
        <w:t>                  </w:t>
      </w:r>
      <w:r>
        <w:rPr>
          <w:rFonts w:hint="eastAsia" w:ascii="宋体" w:hAnsi="宋体" w:eastAsia="宋体" w:cs="宋体"/>
          <w:color w:val="000000"/>
          <w:u w:val="single"/>
        </w:rPr>
        <w:tab/>
      </w:r>
      <w:r>
        <w:rPr>
          <w:rFonts w:hint="eastAsia" w:ascii="宋体" w:hAnsi="宋体" w:eastAsia="宋体" w:cs="宋体"/>
          <w:color w:val="000000"/>
          <w:u w:val="single"/>
        </w:rPr>
        <w:tab/>
      </w:r>
      <w:r>
        <w:rPr>
          <w:rFonts w:hint="eastAsia" w:ascii="宋体" w:hAnsi="宋体" w:eastAsia="宋体" w:cs="宋体"/>
          <w:color w:val="000000"/>
          <w:u w:val="single"/>
        </w:rPr>
        <w:tab/>
      </w:r>
      <w:r>
        <w:rPr>
          <w:rFonts w:hint="eastAsia" w:ascii="宋体" w:hAnsi="宋体" w:eastAsia="宋体" w:cs="宋体"/>
          <w:color w:val="000000"/>
          <w:u w:val="single"/>
        </w:rPr>
        <w:tab/>
      </w:r>
      <w:r>
        <w:rPr>
          <w:rFonts w:hint="eastAsia" w:ascii="宋体" w:hAnsi="宋体" w:eastAsia="宋体" w:cs="宋体"/>
          <w:color w:val="000000"/>
          <w:u w:val="single"/>
        </w:rPr>
        <w:t xml:space="preserve">     </w:t>
      </w:r>
    </w:p>
    <w:p w14:paraId="270EF71C">
      <w:pPr>
        <w:pStyle w:val="14"/>
        <w:spacing w:beforeAutospacing="0" w:afterAutospacing="0" w:line="360" w:lineRule="auto"/>
        <w:jc w:val="both"/>
        <w:rPr>
          <w:rFonts w:ascii="宋体" w:hAnsi="宋体" w:eastAsia="宋体" w:cs="宋体"/>
          <w:color w:val="000000"/>
          <w:u w:val="single"/>
        </w:rPr>
      </w:pPr>
      <w:r>
        <w:rPr>
          <w:rFonts w:hint="eastAsia" w:ascii="宋体" w:hAnsi="宋体" w:eastAsia="宋体" w:cs="宋体"/>
          <w:color w:val="000000"/>
        </w:rPr>
        <w:t>地址： </w:t>
      </w:r>
      <w:r>
        <w:rPr>
          <w:rFonts w:hint="eastAsia" w:ascii="宋体" w:hAnsi="宋体" w:eastAsia="宋体" w:cs="宋体"/>
          <w:color w:val="000000"/>
          <w:u w:val="single"/>
        </w:rPr>
        <w:t>                  </w:t>
      </w:r>
      <w:r>
        <w:rPr>
          <w:rFonts w:hint="eastAsia" w:ascii="宋体" w:hAnsi="宋体" w:eastAsia="宋体" w:cs="宋体"/>
          <w:color w:val="000000"/>
          <w:u w:val="single"/>
        </w:rPr>
        <w:tab/>
      </w:r>
      <w:r>
        <w:rPr>
          <w:rFonts w:hint="eastAsia" w:ascii="宋体" w:hAnsi="宋体" w:eastAsia="宋体" w:cs="宋体"/>
          <w:color w:val="000000"/>
          <w:u w:val="single"/>
        </w:rPr>
        <w:tab/>
      </w:r>
      <w:r>
        <w:rPr>
          <w:rFonts w:hint="eastAsia" w:ascii="宋体" w:hAnsi="宋体" w:eastAsia="宋体" w:cs="宋体"/>
          <w:color w:val="000000"/>
          <w:u w:val="single"/>
        </w:rPr>
        <w:tab/>
      </w:r>
      <w:r>
        <w:rPr>
          <w:rFonts w:hint="eastAsia" w:ascii="宋体" w:hAnsi="宋体" w:eastAsia="宋体" w:cs="宋体"/>
          <w:color w:val="000000"/>
          <w:u w:val="single"/>
        </w:rPr>
        <w:tab/>
      </w:r>
      <w:r>
        <w:rPr>
          <w:rFonts w:hint="eastAsia" w:ascii="宋体" w:hAnsi="宋体" w:eastAsia="宋体" w:cs="宋体"/>
          <w:color w:val="000000"/>
          <w:u w:val="single"/>
        </w:rPr>
        <w:t xml:space="preserve">        </w:t>
      </w:r>
    </w:p>
    <w:p w14:paraId="511D7BB5">
      <w:pPr>
        <w:pStyle w:val="14"/>
        <w:spacing w:beforeAutospacing="0" w:afterAutospacing="0" w:line="360" w:lineRule="auto"/>
        <w:jc w:val="both"/>
        <w:rPr>
          <w:rFonts w:ascii="宋体" w:hAnsi="宋体" w:eastAsia="宋体" w:cs="宋体"/>
        </w:rPr>
      </w:pPr>
      <w:r>
        <w:rPr>
          <w:rFonts w:hint="eastAsia" w:ascii="宋体" w:hAnsi="宋体" w:eastAsia="宋体" w:cs="宋体"/>
          <w:color w:val="000000"/>
        </w:rPr>
        <w:t>邮编：</w:t>
      </w:r>
      <w:r>
        <w:rPr>
          <w:rFonts w:hint="eastAsia" w:ascii="宋体" w:hAnsi="宋体" w:eastAsia="宋体" w:cs="宋体"/>
          <w:color w:val="000000"/>
          <w:u w:val="single"/>
        </w:rPr>
        <w:t xml:space="preserve">                                </w:t>
      </w:r>
    </w:p>
    <w:p w14:paraId="0E79BE7A">
      <w:pPr>
        <w:pStyle w:val="14"/>
        <w:spacing w:beforeAutospacing="0" w:afterAutospacing="0" w:line="360" w:lineRule="auto"/>
        <w:jc w:val="both"/>
        <w:rPr>
          <w:rFonts w:ascii="宋体" w:hAnsi="宋体" w:eastAsia="宋体" w:cs="宋体"/>
        </w:rPr>
      </w:pPr>
      <w:r>
        <w:rPr>
          <w:rFonts w:hint="eastAsia" w:ascii="宋体" w:hAnsi="宋体" w:eastAsia="宋体" w:cs="宋体"/>
          <w:color w:val="000000"/>
        </w:rPr>
        <w:t>二、质疑项目基本情况</w:t>
      </w:r>
    </w:p>
    <w:p w14:paraId="0759DC57">
      <w:pPr>
        <w:pStyle w:val="14"/>
        <w:spacing w:beforeAutospacing="0" w:afterAutospacing="0" w:line="360" w:lineRule="auto"/>
        <w:jc w:val="both"/>
        <w:rPr>
          <w:rFonts w:ascii="宋体" w:hAnsi="宋体" w:eastAsia="宋体" w:cs="宋体"/>
        </w:rPr>
      </w:pPr>
      <w:r>
        <w:rPr>
          <w:rFonts w:hint="eastAsia" w:ascii="宋体" w:hAnsi="宋体" w:eastAsia="宋体" w:cs="宋体"/>
          <w:color w:val="000000"/>
        </w:rPr>
        <w:t>质疑项目的名称：</w:t>
      </w:r>
      <w:r>
        <w:rPr>
          <w:rFonts w:hint="eastAsia" w:ascii="宋体" w:hAnsi="宋体" w:eastAsia="宋体" w:cs="宋体"/>
          <w:color w:val="000000"/>
          <w:u w:val="single"/>
        </w:rPr>
        <w:t xml:space="preserve">                            </w:t>
      </w:r>
    </w:p>
    <w:p w14:paraId="440EAEB1">
      <w:pPr>
        <w:pStyle w:val="14"/>
        <w:spacing w:beforeAutospacing="0" w:afterAutospacing="0" w:line="360" w:lineRule="auto"/>
        <w:jc w:val="both"/>
        <w:rPr>
          <w:rFonts w:ascii="宋体" w:hAnsi="宋体" w:eastAsia="宋体" w:cs="宋体"/>
          <w:color w:val="000000"/>
          <w:u w:val="single"/>
        </w:rPr>
      </w:pPr>
      <w:r>
        <w:rPr>
          <w:rFonts w:hint="eastAsia" w:ascii="宋体" w:hAnsi="宋体" w:eastAsia="宋体" w:cs="宋体"/>
          <w:color w:val="000000"/>
        </w:rPr>
        <w:t>质疑项目的编号：</w:t>
      </w:r>
      <w:r>
        <w:rPr>
          <w:rFonts w:hint="eastAsia" w:ascii="宋体" w:hAnsi="宋体" w:eastAsia="宋体" w:cs="宋体"/>
          <w:color w:val="000000"/>
          <w:u w:val="single"/>
        </w:rPr>
        <w:t xml:space="preserve">                          </w:t>
      </w:r>
    </w:p>
    <w:p w14:paraId="53499915">
      <w:pPr>
        <w:pStyle w:val="14"/>
        <w:spacing w:beforeAutospacing="0" w:afterAutospacing="0" w:line="360" w:lineRule="auto"/>
        <w:jc w:val="both"/>
        <w:rPr>
          <w:rFonts w:ascii="宋体" w:hAnsi="宋体" w:eastAsia="宋体" w:cs="宋体"/>
        </w:rPr>
      </w:pPr>
      <w:r>
        <w:rPr>
          <w:rFonts w:hint="eastAsia" w:ascii="宋体" w:hAnsi="宋体" w:eastAsia="宋体" w:cs="宋体"/>
          <w:color w:val="000000"/>
        </w:rPr>
        <w:t>包号：</w:t>
      </w:r>
      <w:r>
        <w:rPr>
          <w:rFonts w:hint="eastAsia" w:ascii="宋体" w:hAnsi="宋体" w:eastAsia="宋体" w:cs="宋体"/>
          <w:color w:val="000000"/>
          <w:u w:val="single"/>
        </w:rPr>
        <w:t xml:space="preserve">                       </w:t>
      </w:r>
      <w:r>
        <w:rPr>
          <w:rFonts w:hint="eastAsia" w:ascii="宋体" w:hAnsi="宋体" w:eastAsia="宋体" w:cs="宋体"/>
          <w:color w:val="000000"/>
          <w:u w:val="single"/>
        </w:rPr>
        <w:tab/>
      </w:r>
      <w:r>
        <w:rPr>
          <w:rFonts w:hint="eastAsia" w:ascii="宋体" w:hAnsi="宋体" w:eastAsia="宋体" w:cs="宋体"/>
          <w:color w:val="000000"/>
          <w:u w:val="single"/>
        </w:rPr>
        <w:tab/>
      </w:r>
      <w:r>
        <w:rPr>
          <w:rFonts w:hint="eastAsia" w:ascii="宋体" w:hAnsi="宋体" w:eastAsia="宋体" w:cs="宋体"/>
          <w:color w:val="000000"/>
          <w:u w:val="single"/>
        </w:rPr>
        <w:tab/>
      </w:r>
      <w:r>
        <w:rPr>
          <w:rFonts w:hint="eastAsia" w:ascii="宋体" w:hAnsi="宋体" w:eastAsia="宋体" w:cs="宋体"/>
          <w:color w:val="000000"/>
          <w:u w:val="single"/>
        </w:rPr>
        <w:t xml:space="preserve">    </w:t>
      </w:r>
    </w:p>
    <w:p w14:paraId="5AC3CDCF">
      <w:pPr>
        <w:pStyle w:val="14"/>
        <w:spacing w:beforeAutospacing="0" w:afterAutospacing="0" w:line="360" w:lineRule="auto"/>
        <w:jc w:val="both"/>
        <w:rPr>
          <w:rFonts w:ascii="宋体" w:hAnsi="宋体" w:eastAsia="宋体" w:cs="宋体"/>
        </w:rPr>
      </w:pPr>
      <w:r>
        <w:rPr>
          <w:rFonts w:hint="eastAsia" w:ascii="宋体" w:hAnsi="宋体" w:eastAsia="宋体" w:cs="宋体"/>
          <w:color w:val="000000"/>
        </w:rPr>
        <w:t>采购人名称：</w:t>
      </w:r>
      <w:r>
        <w:rPr>
          <w:rFonts w:hint="eastAsia" w:ascii="宋体" w:hAnsi="宋体" w:eastAsia="宋体" w:cs="宋体"/>
          <w:color w:val="000000"/>
          <w:u w:val="single"/>
        </w:rPr>
        <w:t xml:space="preserve">                            </w:t>
      </w:r>
    </w:p>
    <w:p w14:paraId="702328BF">
      <w:pPr>
        <w:pStyle w:val="14"/>
        <w:spacing w:beforeAutospacing="0" w:afterAutospacing="0" w:line="360" w:lineRule="auto"/>
        <w:jc w:val="both"/>
        <w:rPr>
          <w:rFonts w:ascii="宋体" w:hAnsi="宋体" w:eastAsia="宋体" w:cs="宋体"/>
        </w:rPr>
      </w:pPr>
      <w:r>
        <w:rPr>
          <w:rFonts w:hint="eastAsia" w:ascii="宋体" w:hAnsi="宋体" w:eastAsia="宋体" w:cs="宋体"/>
          <w:color w:val="000000"/>
        </w:rPr>
        <w:t>采购文件获取日期：</w:t>
      </w:r>
      <w:r>
        <w:rPr>
          <w:rFonts w:hint="eastAsia" w:ascii="宋体" w:hAnsi="宋体" w:eastAsia="宋体" w:cs="宋体"/>
          <w:color w:val="000000"/>
          <w:u w:val="single"/>
        </w:rPr>
        <w:t xml:space="preserve">                             </w:t>
      </w:r>
    </w:p>
    <w:p w14:paraId="6969880A">
      <w:pPr>
        <w:pStyle w:val="14"/>
        <w:spacing w:beforeAutospacing="0" w:afterAutospacing="0" w:line="360" w:lineRule="auto"/>
        <w:jc w:val="both"/>
        <w:rPr>
          <w:rFonts w:ascii="宋体" w:hAnsi="宋体" w:eastAsia="宋体" w:cs="宋体"/>
        </w:rPr>
      </w:pPr>
      <w:r>
        <w:rPr>
          <w:rFonts w:hint="eastAsia" w:ascii="宋体" w:hAnsi="宋体" w:eastAsia="宋体" w:cs="宋体"/>
          <w:color w:val="000000"/>
        </w:rPr>
        <w:t>三、质疑事项具体内容</w:t>
      </w:r>
    </w:p>
    <w:p w14:paraId="1863FC18">
      <w:pPr>
        <w:pStyle w:val="14"/>
        <w:spacing w:beforeAutospacing="0" w:afterAutospacing="0" w:line="360" w:lineRule="auto"/>
        <w:jc w:val="both"/>
        <w:rPr>
          <w:rFonts w:ascii="宋体" w:hAnsi="宋体" w:eastAsia="宋体" w:cs="宋体"/>
        </w:rPr>
      </w:pPr>
      <w:r>
        <w:rPr>
          <w:rFonts w:hint="eastAsia" w:ascii="宋体" w:hAnsi="宋体" w:eastAsia="宋体" w:cs="宋体"/>
          <w:color w:val="000000"/>
        </w:rPr>
        <w:t>质疑事项1：</w:t>
      </w:r>
      <w:r>
        <w:rPr>
          <w:rFonts w:hint="eastAsia" w:ascii="宋体" w:hAnsi="宋体" w:eastAsia="宋体" w:cs="宋体"/>
          <w:color w:val="000000"/>
          <w:u w:val="single"/>
        </w:rPr>
        <w:t xml:space="preserve">                             </w:t>
      </w:r>
    </w:p>
    <w:p w14:paraId="65BDD1D2">
      <w:pPr>
        <w:pStyle w:val="14"/>
        <w:spacing w:beforeAutospacing="0" w:afterAutospacing="0" w:line="360" w:lineRule="auto"/>
        <w:rPr>
          <w:rFonts w:ascii="宋体" w:hAnsi="宋体" w:eastAsia="宋体" w:cs="宋体"/>
        </w:rPr>
      </w:pPr>
      <w:r>
        <w:rPr>
          <w:rFonts w:hint="eastAsia" w:ascii="宋体" w:hAnsi="宋体" w:eastAsia="宋体" w:cs="宋体"/>
          <w:color w:val="000000"/>
        </w:rPr>
        <w:t>事实依据：</w:t>
      </w:r>
      <w:r>
        <w:rPr>
          <w:rFonts w:hint="eastAsia" w:ascii="宋体" w:hAnsi="宋体" w:eastAsia="宋体" w:cs="宋体"/>
          <w:color w:val="000000"/>
          <w:u w:val="single"/>
        </w:rPr>
        <w:t xml:space="preserve">                                                   </w:t>
      </w:r>
    </w:p>
    <w:p w14:paraId="54420028">
      <w:pPr>
        <w:pStyle w:val="14"/>
        <w:spacing w:beforeAutospacing="0" w:afterAutospacing="0" w:line="360" w:lineRule="auto"/>
        <w:jc w:val="both"/>
        <w:rPr>
          <w:rFonts w:ascii="宋体" w:hAnsi="宋体" w:eastAsia="宋体" w:cs="宋体"/>
        </w:rPr>
      </w:pPr>
      <w:r>
        <w:rPr>
          <w:rFonts w:hint="eastAsia" w:ascii="宋体" w:hAnsi="宋体" w:eastAsia="宋体" w:cs="宋体"/>
          <w:color w:val="000000"/>
        </w:rPr>
        <w:t>法律依据：</w:t>
      </w:r>
      <w:r>
        <w:rPr>
          <w:rFonts w:hint="eastAsia" w:ascii="宋体" w:hAnsi="宋体" w:eastAsia="宋体" w:cs="宋体"/>
          <w:color w:val="000000"/>
          <w:u w:val="single"/>
        </w:rPr>
        <w:t xml:space="preserve">                                                    </w:t>
      </w:r>
    </w:p>
    <w:p w14:paraId="776F9CA2">
      <w:pPr>
        <w:pStyle w:val="14"/>
        <w:spacing w:beforeAutospacing="0" w:afterAutospacing="0" w:line="360" w:lineRule="auto"/>
        <w:jc w:val="both"/>
        <w:rPr>
          <w:rFonts w:ascii="宋体" w:hAnsi="宋体" w:eastAsia="宋体" w:cs="宋体"/>
        </w:rPr>
      </w:pPr>
      <w:r>
        <w:rPr>
          <w:rFonts w:hint="eastAsia" w:ascii="宋体" w:hAnsi="宋体" w:eastAsia="宋体" w:cs="宋体"/>
          <w:color w:val="000000"/>
        </w:rPr>
        <w:t>质疑事项2</w:t>
      </w:r>
    </w:p>
    <w:p w14:paraId="193CB8E4">
      <w:pPr>
        <w:pStyle w:val="14"/>
        <w:spacing w:beforeAutospacing="0" w:afterAutospacing="0" w:line="360" w:lineRule="auto"/>
        <w:jc w:val="both"/>
        <w:rPr>
          <w:rFonts w:ascii="宋体" w:hAnsi="宋体" w:eastAsia="宋体" w:cs="宋体"/>
        </w:rPr>
      </w:pPr>
      <w:r>
        <w:rPr>
          <w:rFonts w:hint="eastAsia" w:ascii="宋体" w:hAnsi="宋体" w:eastAsia="宋体" w:cs="宋体"/>
          <w:color w:val="000000"/>
        </w:rPr>
        <w:t>……</w:t>
      </w:r>
    </w:p>
    <w:p w14:paraId="21C2A716">
      <w:pPr>
        <w:pStyle w:val="14"/>
        <w:spacing w:beforeAutospacing="0" w:afterAutospacing="0" w:line="360" w:lineRule="auto"/>
        <w:jc w:val="both"/>
        <w:rPr>
          <w:rFonts w:ascii="宋体" w:hAnsi="宋体" w:eastAsia="宋体" w:cs="宋体"/>
        </w:rPr>
      </w:pPr>
      <w:r>
        <w:rPr>
          <w:rFonts w:hint="eastAsia" w:ascii="宋体" w:hAnsi="宋体" w:eastAsia="宋体" w:cs="宋体"/>
          <w:color w:val="000000"/>
        </w:rPr>
        <w:t>四、与质疑事项相关的质疑请求</w:t>
      </w:r>
    </w:p>
    <w:p w14:paraId="7B90E17C">
      <w:pPr>
        <w:pStyle w:val="14"/>
        <w:spacing w:beforeAutospacing="0" w:afterAutospacing="0" w:line="360" w:lineRule="auto"/>
        <w:jc w:val="both"/>
        <w:rPr>
          <w:rFonts w:ascii="宋体" w:hAnsi="宋体" w:eastAsia="宋体" w:cs="宋体"/>
        </w:rPr>
      </w:pPr>
      <w:r>
        <w:rPr>
          <w:rFonts w:hint="eastAsia" w:ascii="宋体" w:hAnsi="宋体" w:eastAsia="宋体" w:cs="宋体"/>
          <w:color w:val="000000"/>
        </w:rPr>
        <w:t>请求：</w:t>
      </w:r>
      <w:r>
        <w:rPr>
          <w:rFonts w:hint="eastAsia" w:ascii="宋体" w:hAnsi="宋体" w:eastAsia="宋体" w:cs="宋体"/>
          <w:color w:val="000000"/>
          <w:u w:val="single"/>
        </w:rPr>
        <w:t xml:space="preserve">                                                          </w:t>
      </w:r>
    </w:p>
    <w:p w14:paraId="10C583FC">
      <w:pPr>
        <w:pStyle w:val="14"/>
        <w:spacing w:beforeAutospacing="0" w:afterAutospacing="0"/>
        <w:jc w:val="both"/>
        <w:rPr>
          <w:rFonts w:ascii="宋体" w:hAnsi="宋体" w:eastAsia="宋体" w:cs="宋体"/>
        </w:rPr>
      </w:pPr>
      <w:r>
        <w:rPr>
          <w:rFonts w:hint="eastAsia" w:ascii="宋体" w:hAnsi="宋体" w:eastAsia="宋体" w:cs="宋体"/>
          <w:color w:val="000000"/>
        </w:rPr>
        <w:t xml:space="preserve">签字(签章)：                 公章：               日期：    </w:t>
      </w:r>
    </w:p>
    <w:p w14:paraId="561667AF">
      <w:pPr>
        <w:pStyle w:val="14"/>
        <w:spacing w:beforeAutospacing="0" w:afterAutospacing="0" w:line="0" w:lineRule="atLeast"/>
        <w:jc w:val="both"/>
        <w:rPr>
          <w:rFonts w:ascii="宋体" w:hAnsi="宋体" w:eastAsia="宋体" w:cs="宋体"/>
        </w:rPr>
      </w:pPr>
      <w:r>
        <w:rPr>
          <w:rFonts w:hint="eastAsia" w:ascii="宋体" w:hAnsi="宋体" w:eastAsia="宋体" w:cs="宋体"/>
          <w:b/>
          <w:color w:val="000000"/>
        </w:rPr>
        <w:t>质疑函制作说明：</w:t>
      </w:r>
    </w:p>
    <w:p w14:paraId="0AA4E3C8">
      <w:pPr>
        <w:pStyle w:val="14"/>
        <w:widowControl/>
        <w:spacing w:beforeAutospacing="0" w:afterAutospacing="0" w:line="0" w:lineRule="atLeast"/>
        <w:ind w:firstLine="480"/>
        <w:rPr>
          <w:rFonts w:ascii="宋体" w:hAnsi="宋体" w:eastAsia="宋体" w:cs="宋体"/>
        </w:rPr>
      </w:pPr>
      <w:r>
        <w:rPr>
          <w:rFonts w:hint="eastAsia" w:ascii="宋体" w:hAnsi="宋体" w:eastAsia="宋体" w:cs="宋体"/>
          <w:color w:val="000000"/>
        </w:rPr>
        <w:t>1.供应商提出质疑时，应提交质疑函和必要的证明材料。</w:t>
      </w:r>
    </w:p>
    <w:p w14:paraId="2DF6A2E3">
      <w:pPr>
        <w:pStyle w:val="14"/>
        <w:widowControl/>
        <w:spacing w:beforeAutospacing="0" w:afterAutospacing="0" w:line="0" w:lineRule="atLeast"/>
        <w:ind w:firstLine="480"/>
        <w:rPr>
          <w:rFonts w:ascii="宋体" w:hAnsi="宋体" w:eastAsia="宋体" w:cs="宋体"/>
        </w:rPr>
      </w:pPr>
      <w:r>
        <w:rPr>
          <w:rFonts w:hint="eastAsia" w:ascii="宋体" w:hAnsi="宋体" w:eastAsia="宋体" w:cs="宋体"/>
          <w:color w:val="000000"/>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9A1DBEC">
      <w:pPr>
        <w:pStyle w:val="14"/>
        <w:widowControl/>
        <w:spacing w:beforeAutospacing="0" w:afterAutospacing="0" w:line="0" w:lineRule="atLeast"/>
        <w:ind w:firstLine="480"/>
        <w:rPr>
          <w:rFonts w:ascii="宋体" w:hAnsi="宋体" w:eastAsia="宋体" w:cs="宋体"/>
        </w:rPr>
      </w:pPr>
      <w:r>
        <w:rPr>
          <w:rFonts w:hint="eastAsia" w:ascii="宋体" w:hAnsi="宋体" w:eastAsia="宋体" w:cs="宋体"/>
          <w:color w:val="000000"/>
        </w:rPr>
        <w:t>3.质疑供应商若对项目的某一分包进行质疑，质疑函中应列明具体分包号。</w:t>
      </w:r>
    </w:p>
    <w:p w14:paraId="763EAF88">
      <w:pPr>
        <w:pStyle w:val="14"/>
        <w:widowControl/>
        <w:spacing w:beforeAutospacing="0" w:afterAutospacing="0" w:line="0" w:lineRule="atLeast"/>
        <w:ind w:firstLine="480"/>
        <w:rPr>
          <w:rFonts w:ascii="宋体" w:hAnsi="宋体" w:eastAsia="宋体" w:cs="宋体"/>
        </w:rPr>
      </w:pPr>
      <w:r>
        <w:rPr>
          <w:rFonts w:hint="eastAsia" w:ascii="宋体" w:hAnsi="宋体" w:eastAsia="宋体" w:cs="宋体"/>
          <w:color w:val="000000"/>
        </w:rPr>
        <w:t>4.质疑函的质疑事项应具体、明确，并有必要的事实依据和法律依据。</w:t>
      </w:r>
    </w:p>
    <w:p w14:paraId="5AC8E671">
      <w:pPr>
        <w:pStyle w:val="14"/>
        <w:widowControl/>
        <w:spacing w:beforeAutospacing="0" w:afterAutospacing="0" w:line="0" w:lineRule="atLeast"/>
        <w:ind w:firstLine="480"/>
        <w:rPr>
          <w:rFonts w:ascii="宋体" w:hAnsi="宋体" w:eastAsia="宋体" w:cs="宋体"/>
        </w:rPr>
      </w:pPr>
      <w:r>
        <w:rPr>
          <w:rFonts w:hint="eastAsia" w:ascii="宋体" w:hAnsi="宋体" w:eastAsia="宋体" w:cs="宋体"/>
          <w:color w:val="000000"/>
        </w:rPr>
        <w:t>5.质疑函的质疑请求应与质疑事项相关。</w:t>
      </w:r>
    </w:p>
    <w:p w14:paraId="11296CB8">
      <w:pPr>
        <w:pStyle w:val="14"/>
        <w:widowControl/>
        <w:spacing w:beforeAutospacing="0" w:afterAutospacing="0" w:line="0" w:lineRule="atLeast"/>
        <w:ind w:firstLine="480"/>
        <w:rPr>
          <w:rFonts w:ascii="宋体" w:hAnsi="宋体" w:eastAsia="宋体" w:cs="宋体"/>
        </w:rPr>
      </w:pPr>
      <w:r>
        <w:rPr>
          <w:rFonts w:hint="eastAsia" w:ascii="宋体" w:hAnsi="宋体" w:eastAsia="宋体" w:cs="宋体"/>
          <w:color w:val="000000"/>
        </w:rPr>
        <w:t>6.质疑供应商为自然人的，质疑函应由本人签字；质疑供应商为法人或者其他组织的，质疑函应由法定代表人、主要负责人，或者其授权代表签字或者盖章，并加盖公章。</w:t>
      </w:r>
    </w:p>
    <w:p w14:paraId="7740B65B">
      <w:pPr>
        <w:pStyle w:val="14"/>
        <w:spacing w:beforeAutospacing="0" w:afterAutospacing="0"/>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DE1ED">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52B7C1C">
                          <w:pPr>
                            <w:pStyle w:val="11"/>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752B7C1C">
                    <w:pPr>
                      <w:pStyle w:val="11"/>
                    </w:pPr>
                    <w:r>
                      <w:fldChar w:fldCharType="begin"/>
                    </w:r>
                    <w:r>
                      <w:instrText xml:space="preserve"> PAGE  \* MERGEFORMAT </w:instrText>
                    </w:r>
                    <w:r>
                      <w:fldChar w:fldCharType="separate"/>
                    </w:r>
                    <w:r>
                      <w:t>57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2B9532"/>
    <w:multiLevelType w:val="singleLevel"/>
    <w:tmpl w:val="5A2B9532"/>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xMGNlMDVmMWY2NzIxMjgwZWUxN2E1YjUyY2RlNTQifQ=="/>
    <w:docVar w:name="KSO_WPS_MARK_KEY" w:val="7c133a1c-bbc0-482a-a316-57fbacd16277"/>
  </w:docVars>
  <w:rsids>
    <w:rsidRoot w:val="00172A27"/>
    <w:rsid w:val="00027397"/>
    <w:rsid w:val="0008414E"/>
    <w:rsid w:val="00084430"/>
    <w:rsid w:val="000B6FA8"/>
    <w:rsid w:val="000D6064"/>
    <w:rsid w:val="00106EC4"/>
    <w:rsid w:val="00111440"/>
    <w:rsid w:val="00112B63"/>
    <w:rsid w:val="00172A27"/>
    <w:rsid w:val="002218F3"/>
    <w:rsid w:val="002B0C85"/>
    <w:rsid w:val="00322C2A"/>
    <w:rsid w:val="00350857"/>
    <w:rsid w:val="003C54BE"/>
    <w:rsid w:val="004125B1"/>
    <w:rsid w:val="00427F98"/>
    <w:rsid w:val="004529E6"/>
    <w:rsid w:val="004B19AD"/>
    <w:rsid w:val="004E0F29"/>
    <w:rsid w:val="005257A0"/>
    <w:rsid w:val="0053557A"/>
    <w:rsid w:val="005B20EB"/>
    <w:rsid w:val="00653BD4"/>
    <w:rsid w:val="006B6476"/>
    <w:rsid w:val="006E10D2"/>
    <w:rsid w:val="006E6883"/>
    <w:rsid w:val="0070390E"/>
    <w:rsid w:val="00755D43"/>
    <w:rsid w:val="007728A7"/>
    <w:rsid w:val="00777222"/>
    <w:rsid w:val="007A68BB"/>
    <w:rsid w:val="007E3A7B"/>
    <w:rsid w:val="00822248"/>
    <w:rsid w:val="00927A3A"/>
    <w:rsid w:val="009620FE"/>
    <w:rsid w:val="00973C6A"/>
    <w:rsid w:val="009D4169"/>
    <w:rsid w:val="009E04AF"/>
    <w:rsid w:val="00A139C3"/>
    <w:rsid w:val="00A75D0F"/>
    <w:rsid w:val="00A832F0"/>
    <w:rsid w:val="00BD1A9C"/>
    <w:rsid w:val="00C90FDD"/>
    <w:rsid w:val="00CE1146"/>
    <w:rsid w:val="00CF47B8"/>
    <w:rsid w:val="00D00F3E"/>
    <w:rsid w:val="00D20B29"/>
    <w:rsid w:val="00D24F2F"/>
    <w:rsid w:val="00D3382A"/>
    <w:rsid w:val="00D550E3"/>
    <w:rsid w:val="00D724D7"/>
    <w:rsid w:val="00ED0DA8"/>
    <w:rsid w:val="00EE02A5"/>
    <w:rsid w:val="00EE212F"/>
    <w:rsid w:val="00F04D35"/>
    <w:rsid w:val="00F05E1E"/>
    <w:rsid w:val="00F51BEF"/>
    <w:rsid w:val="00F65A6E"/>
    <w:rsid w:val="00FA4B2E"/>
    <w:rsid w:val="00FE0994"/>
    <w:rsid w:val="014036E0"/>
    <w:rsid w:val="015C3D17"/>
    <w:rsid w:val="018E5B7C"/>
    <w:rsid w:val="01A71FD9"/>
    <w:rsid w:val="01AE0C97"/>
    <w:rsid w:val="01DA048A"/>
    <w:rsid w:val="02851591"/>
    <w:rsid w:val="02BD5381"/>
    <w:rsid w:val="02D505AD"/>
    <w:rsid w:val="034115E7"/>
    <w:rsid w:val="034E4AD1"/>
    <w:rsid w:val="037E0789"/>
    <w:rsid w:val="03AC0546"/>
    <w:rsid w:val="03B72067"/>
    <w:rsid w:val="04CF1FA6"/>
    <w:rsid w:val="056E5657"/>
    <w:rsid w:val="062C42CE"/>
    <w:rsid w:val="068A6E34"/>
    <w:rsid w:val="069074E0"/>
    <w:rsid w:val="06EB2968"/>
    <w:rsid w:val="07843C3E"/>
    <w:rsid w:val="07893F2F"/>
    <w:rsid w:val="07994E3B"/>
    <w:rsid w:val="07A02A3F"/>
    <w:rsid w:val="07A40F48"/>
    <w:rsid w:val="0854758E"/>
    <w:rsid w:val="08992D34"/>
    <w:rsid w:val="09132265"/>
    <w:rsid w:val="093A65AB"/>
    <w:rsid w:val="095D46A1"/>
    <w:rsid w:val="09CD6B82"/>
    <w:rsid w:val="0A2D3298"/>
    <w:rsid w:val="0A622F41"/>
    <w:rsid w:val="0ABC363A"/>
    <w:rsid w:val="0AD8294B"/>
    <w:rsid w:val="0B3D594E"/>
    <w:rsid w:val="0B4B3B00"/>
    <w:rsid w:val="0B7E288C"/>
    <w:rsid w:val="0B8A23C1"/>
    <w:rsid w:val="0BAE3813"/>
    <w:rsid w:val="0C380150"/>
    <w:rsid w:val="0C8A677F"/>
    <w:rsid w:val="0CD30126"/>
    <w:rsid w:val="0D4D2FC1"/>
    <w:rsid w:val="0DCA1EF5"/>
    <w:rsid w:val="0E0362D5"/>
    <w:rsid w:val="0E800FA9"/>
    <w:rsid w:val="0E966A8C"/>
    <w:rsid w:val="0E9C09EC"/>
    <w:rsid w:val="0EE55503"/>
    <w:rsid w:val="0EE61CD2"/>
    <w:rsid w:val="0F6D24BC"/>
    <w:rsid w:val="0F7D537E"/>
    <w:rsid w:val="10007707"/>
    <w:rsid w:val="117619C8"/>
    <w:rsid w:val="11AB711C"/>
    <w:rsid w:val="12431559"/>
    <w:rsid w:val="12C37AC7"/>
    <w:rsid w:val="12F015A0"/>
    <w:rsid w:val="137D2B9A"/>
    <w:rsid w:val="14477BA7"/>
    <w:rsid w:val="15B12FCF"/>
    <w:rsid w:val="15BF3E2F"/>
    <w:rsid w:val="15DF5D8E"/>
    <w:rsid w:val="16685DF2"/>
    <w:rsid w:val="169263C8"/>
    <w:rsid w:val="16A61788"/>
    <w:rsid w:val="17005FBC"/>
    <w:rsid w:val="17085A75"/>
    <w:rsid w:val="17427FD3"/>
    <w:rsid w:val="17666D47"/>
    <w:rsid w:val="1792502D"/>
    <w:rsid w:val="18155A97"/>
    <w:rsid w:val="18B057C0"/>
    <w:rsid w:val="18BC4109"/>
    <w:rsid w:val="192F5D4A"/>
    <w:rsid w:val="193260E4"/>
    <w:rsid w:val="19600306"/>
    <w:rsid w:val="19835197"/>
    <w:rsid w:val="1A4F2C83"/>
    <w:rsid w:val="1A5222A9"/>
    <w:rsid w:val="1AD2708F"/>
    <w:rsid w:val="1B5F5046"/>
    <w:rsid w:val="1B9509DF"/>
    <w:rsid w:val="1BA002D8"/>
    <w:rsid w:val="1C410B74"/>
    <w:rsid w:val="1CAC4347"/>
    <w:rsid w:val="1CF17983"/>
    <w:rsid w:val="1D1C1092"/>
    <w:rsid w:val="1D605A5A"/>
    <w:rsid w:val="1D7274E7"/>
    <w:rsid w:val="1DFD1285"/>
    <w:rsid w:val="1E6F3A27"/>
    <w:rsid w:val="1EC70509"/>
    <w:rsid w:val="1F4A0271"/>
    <w:rsid w:val="1F86727A"/>
    <w:rsid w:val="1FC7762D"/>
    <w:rsid w:val="20733730"/>
    <w:rsid w:val="20A83FAF"/>
    <w:rsid w:val="20C52024"/>
    <w:rsid w:val="20EA2689"/>
    <w:rsid w:val="215025DE"/>
    <w:rsid w:val="21CC717D"/>
    <w:rsid w:val="2241392C"/>
    <w:rsid w:val="22424AA4"/>
    <w:rsid w:val="224E7092"/>
    <w:rsid w:val="22E75F1A"/>
    <w:rsid w:val="22F62B8A"/>
    <w:rsid w:val="23092164"/>
    <w:rsid w:val="23254D08"/>
    <w:rsid w:val="23534E2B"/>
    <w:rsid w:val="23A03C41"/>
    <w:rsid w:val="23C465C3"/>
    <w:rsid w:val="23DA5DE6"/>
    <w:rsid w:val="240C4129"/>
    <w:rsid w:val="242C02D7"/>
    <w:rsid w:val="24533DC2"/>
    <w:rsid w:val="24545B99"/>
    <w:rsid w:val="2532334D"/>
    <w:rsid w:val="25445C0D"/>
    <w:rsid w:val="254E25E8"/>
    <w:rsid w:val="26750FF7"/>
    <w:rsid w:val="26E9418F"/>
    <w:rsid w:val="27194423"/>
    <w:rsid w:val="27290FC5"/>
    <w:rsid w:val="279F35CF"/>
    <w:rsid w:val="28A77F49"/>
    <w:rsid w:val="28D63020"/>
    <w:rsid w:val="28FC627B"/>
    <w:rsid w:val="28FE41FC"/>
    <w:rsid w:val="29345C52"/>
    <w:rsid w:val="29580E0C"/>
    <w:rsid w:val="2996274E"/>
    <w:rsid w:val="29AC5B2F"/>
    <w:rsid w:val="2A4648B7"/>
    <w:rsid w:val="2A631C54"/>
    <w:rsid w:val="2B005440"/>
    <w:rsid w:val="2C03574A"/>
    <w:rsid w:val="2C117DB2"/>
    <w:rsid w:val="2C2843D1"/>
    <w:rsid w:val="2C6646BB"/>
    <w:rsid w:val="2C7B3B05"/>
    <w:rsid w:val="2CC277F5"/>
    <w:rsid w:val="2D577EB9"/>
    <w:rsid w:val="2D67525C"/>
    <w:rsid w:val="2D784F24"/>
    <w:rsid w:val="2E5E7AF7"/>
    <w:rsid w:val="2ED51684"/>
    <w:rsid w:val="2EE73822"/>
    <w:rsid w:val="2F35047D"/>
    <w:rsid w:val="2F4A02C4"/>
    <w:rsid w:val="2F971030"/>
    <w:rsid w:val="2FAD4FD9"/>
    <w:rsid w:val="2FB346FB"/>
    <w:rsid w:val="2FD567EC"/>
    <w:rsid w:val="2FFA5778"/>
    <w:rsid w:val="30495C84"/>
    <w:rsid w:val="30650005"/>
    <w:rsid w:val="30A13F14"/>
    <w:rsid w:val="310333AD"/>
    <w:rsid w:val="312B7FCB"/>
    <w:rsid w:val="31522189"/>
    <w:rsid w:val="318A49A8"/>
    <w:rsid w:val="320261C4"/>
    <w:rsid w:val="329E6CD8"/>
    <w:rsid w:val="332F7427"/>
    <w:rsid w:val="33440753"/>
    <w:rsid w:val="33773E42"/>
    <w:rsid w:val="343974FF"/>
    <w:rsid w:val="3498562E"/>
    <w:rsid w:val="34E14EA2"/>
    <w:rsid w:val="34E346A0"/>
    <w:rsid w:val="359B1151"/>
    <w:rsid w:val="35AD49A2"/>
    <w:rsid w:val="36172BC3"/>
    <w:rsid w:val="36CC7C95"/>
    <w:rsid w:val="36EB650A"/>
    <w:rsid w:val="378133A9"/>
    <w:rsid w:val="383A233E"/>
    <w:rsid w:val="39101F1B"/>
    <w:rsid w:val="392D7EB3"/>
    <w:rsid w:val="3930119A"/>
    <w:rsid w:val="39720FC7"/>
    <w:rsid w:val="39CD52E9"/>
    <w:rsid w:val="3A530E39"/>
    <w:rsid w:val="3A64388F"/>
    <w:rsid w:val="3B0B043D"/>
    <w:rsid w:val="3B2E0A9A"/>
    <w:rsid w:val="3B4F27BE"/>
    <w:rsid w:val="3BDF2457"/>
    <w:rsid w:val="3C8E39AA"/>
    <w:rsid w:val="3CA53635"/>
    <w:rsid w:val="3D23372C"/>
    <w:rsid w:val="3DF80C94"/>
    <w:rsid w:val="3E064F5A"/>
    <w:rsid w:val="3E161B6B"/>
    <w:rsid w:val="3E18158D"/>
    <w:rsid w:val="3E7F5998"/>
    <w:rsid w:val="3EAF1656"/>
    <w:rsid w:val="3F0056DB"/>
    <w:rsid w:val="3F1A3023"/>
    <w:rsid w:val="3F243A9D"/>
    <w:rsid w:val="40350295"/>
    <w:rsid w:val="406E1D8D"/>
    <w:rsid w:val="4081789B"/>
    <w:rsid w:val="41F03ED7"/>
    <w:rsid w:val="42053C57"/>
    <w:rsid w:val="42214BD9"/>
    <w:rsid w:val="42324DFA"/>
    <w:rsid w:val="4278084D"/>
    <w:rsid w:val="431353F3"/>
    <w:rsid w:val="43455446"/>
    <w:rsid w:val="43692E36"/>
    <w:rsid w:val="43E75C8A"/>
    <w:rsid w:val="44DA072F"/>
    <w:rsid w:val="454D0F8E"/>
    <w:rsid w:val="45EB1D4D"/>
    <w:rsid w:val="45FC0A54"/>
    <w:rsid w:val="460F14C8"/>
    <w:rsid w:val="461D469A"/>
    <w:rsid w:val="466976E6"/>
    <w:rsid w:val="468C2B19"/>
    <w:rsid w:val="46EA0CE7"/>
    <w:rsid w:val="470D4256"/>
    <w:rsid w:val="472208AE"/>
    <w:rsid w:val="47704C41"/>
    <w:rsid w:val="47A619B8"/>
    <w:rsid w:val="47B925F3"/>
    <w:rsid w:val="48910AEC"/>
    <w:rsid w:val="48A57204"/>
    <w:rsid w:val="48B3170D"/>
    <w:rsid w:val="48B41562"/>
    <w:rsid w:val="48EE16CF"/>
    <w:rsid w:val="493C7DE9"/>
    <w:rsid w:val="4A1E13B4"/>
    <w:rsid w:val="4A2C49B0"/>
    <w:rsid w:val="4A7D1B0F"/>
    <w:rsid w:val="4A875A97"/>
    <w:rsid w:val="4AAC50D1"/>
    <w:rsid w:val="4AE82438"/>
    <w:rsid w:val="4B871B00"/>
    <w:rsid w:val="4BAF5B7D"/>
    <w:rsid w:val="4C5A2B74"/>
    <w:rsid w:val="4C9B476E"/>
    <w:rsid w:val="4D03736B"/>
    <w:rsid w:val="4D2D20D9"/>
    <w:rsid w:val="4D40640B"/>
    <w:rsid w:val="4DA074F7"/>
    <w:rsid w:val="4DA33F07"/>
    <w:rsid w:val="4DDC38F6"/>
    <w:rsid w:val="4DDE52C0"/>
    <w:rsid w:val="4E7B147D"/>
    <w:rsid w:val="4E9609D8"/>
    <w:rsid w:val="4EA07161"/>
    <w:rsid w:val="4EE04351"/>
    <w:rsid w:val="4F4E4E0F"/>
    <w:rsid w:val="4F876573"/>
    <w:rsid w:val="50450E16"/>
    <w:rsid w:val="50A1397F"/>
    <w:rsid w:val="51C75DFE"/>
    <w:rsid w:val="51CE66DB"/>
    <w:rsid w:val="52374280"/>
    <w:rsid w:val="52741FCB"/>
    <w:rsid w:val="52D06B10"/>
    <w:rsid w:val="53536515"/>
    <w:rsid w:val="536B21BA"/>
    <w:rsid w:val="53A862CC"/>
    <w:rsid w:val="542A0FDA"/>
    <w:rsid w:val="544D7D8B"/>
    <w:rsid w:val="545F1F49"/>
    <w:rsid w:val="54857525"/>
    <w:rsid w:val="54E877FB"/>
    <w:rsid w:val="54ED53D0"/>
    <w:rsid w:val="55091CCC"/>
    <w:rsid w:val="55322ADD"/>
    <w:rsid w:val="561E4B04"/>
    <w:rsid w:val="56307253"/>
    <w:rsid w:val="56453199"/>
    <w:rsid w:val="564B4B24"/>
    <w:rsid w:val="56705FB3"/>
    <w:rsid w:val="5797379E"/>
    <w:rsid w:val="57C86FC8"/>
    <w:rsid w:val="57F142D5"/>
    <w:rsid w:val="58232592"/>
    <w:rsid w:val="582F6DAB"/>
    <w:rsid w:val="58975746"/>
    <w:rsid w:val="58AD45AF"/>
    <w:rsid w:val="58D4718C"/>
    <w:rsid w:val="58ED251A"/>
    <w:rsid w:val="59A82CA5"/>
    <w:rsid w:val="5A1804F3"/>
    <w:rsid w:val="5A9E3C26"/>
    <w:rsid w:val="5AD536B4"/>
    <w:rsid w:val="5AEA4CCC"/>
    <w:rsid w:val="5B031B11"/>
    <w:rsid w:val="5B67653B"/>
    <w:rsid w:val="5B96574B"/>
    <w:rsid w:val="5BB1045C"/>
    <w:rsid w:val="5C132BC4"/>
    <w:rsid w:val="5C5A652B"/>
    <w:rsid w:val="5C6E49D7"/>
    <w:rsid w:val="5D320FC0"/>
    <w:rsid w:val="5DE138D8"/>
    <w:rsid w:val="5E1921ED"/>
    <w:rsid w:val="5F7D5E8E"/>
    <w:rsid w:val="5F7F522A"/>
    <w:rsid w:val="5FD25BD4"/>
    <w:rsid w:val="601337BB"/>
    <w:rsid w:val="606A165C"/>
    <w:rsid w:val="60882C6C"/>
    <w:rsid w:val="60BF71DE"/>
    <w:rsid w:val="61562010"/>
    <w:rsid w:val="61D45648"/>
    <w:rsid w:val="62A87E16"/>
    <w:rsid w:val="62CA561A"/>
    <w:rsid w:val="6313315F"/>
    <w:rsid w:val="63531AF3"/>
    <w:rsid w:val="63C43DC5"/>
    <w:rsid w:val="63CD6C1F"/>
    <w:rsid w:val="64553C85"/>
    <w:rsid w:val="64A56430"/>
    <w:rsid w:val="65055217"/>
    <w:rsid w:val="654B3E73"/>
    <w:rsid w:val="65BB2793"/>
    <w:rsid w:val="667027CF"/>
    <w:rsid w:val="6688694C"/>
    <w:rsid w:val="67112E9A"/>
    <w:rsid w:val="67A410D5"/>
    <w:rsid w:val="68245589"/>
    <w:rsid w:val="68777DD2"/>
    <w:rsid w:val="6918017E"/>
    <w:rsid w:val="69983CE0"/>
    <w:rsid w:val="69D50603"/>
    <w:rsid w:val="6A1C1694"/>
    <w:rsid w:val="6A65635A"/>
    <w:rsid w:val="6A751DB0"/>
    <w:rsid w:val="6AB95533"/>
    <w:rsid w:val="6AC87D14"/>
    <w:rsid w:val="6B037E0E"/>
    <w:rsid w:val="6B096CD7"/>
    <w:rsid w:val="6B7F5DBC"/>
    <w:rsid w:val="6BDE41BB"/>
    <w:rsid w:val="6C5462A8"/>
    <w:rsid w:val="6C917FD7"/>
    <w:rsid w:val="6CAD1924"/>
    <w:rsid w:val="6D865F2E"/>
    <w:rsid w:val="6E3A2CD6"/>
    <w:rsid w:val="6E3A4A84"/>
    <w:rsid w:val="6F5E6CFA"/>
    <w:rsid w:val="70741DD0"/>
    <w:rsid w:val="70E84C6C"/>
    <w:rsid w:val="711D243B"/>
    <w:rsid w:val="71BB7860"/>
    <w:rsid w:val="72071122"/>
    <w:rsid w:val="72440385"/>
    <w:rsid w:val="729125E4"/>
    <w:rsid w:val="72C46666"/>
    <w:rsid w:val="73761484"/>
    <w:rsid w:val="743F3C99"/>
    <w:rsid w:val="74835482"/>
    <w:rsid w:val="74877DC7"/>
    <w:rsid w:val="755802CB"/>
    <w:rsid w:val="75890D8F"/>
    <w:rsid w:val="75B043EA"/>
    <w:rsid w:val="75F02366"/>
    <w:rsid w:val="76B37ACA"/>
    <w:rsid w:val="76D90F68"/>
    <w:rsid w:val="770B3462"/>
    <w:rsid w:val="77C1540B"/>
    <w:rsid w:val="783E7320"/>
    <w:rsid w:val="78553332"/>
    <w:rsid w:val="78CB19C0"/>
    <w:rsid w:val="78F35EFE"/>
    <w:rsid w:val="78FF5669"/>
    <w:rsid w:val="7918780F"/>
    <w:rsid w:val="793275BA"/>
    <w:rsid w:val="795D6505"/>
    <w:rsid w:val="79A724F1"/>
    <w:rsid w:val="7A3339BC"/>
    <w:rsid w:val="7A4B7878"/>
    <w:rsid w:val="7A6D100D"/>
    <w:rsid w:val="7ABB519F"/>
    <w:rsid w:val="7C5F16F8"/>
    <w:rsid w:val="7C9D3E10"/>
    <w:rsid w:val="7CAF2E48"/>
    <w:rsid w:val="7CB122FF"/>
    <w:rsid w:val="7CE73774"/>
    <w:rsid w:val="7D9D3452"/>
    <w:rsid w:val="7DBA67DE"/>
    <w:rsid w:val="7DF53ACA"/>
    <w:rsid w:val="7F0E4C61"/>
    <w:rsid w:val="7F7F4C0B"/>
    <w:rsid w:val="7FE96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jc w:val="center"/>
      <w:outlineLvl w:val="0"/>
    </w:pPr>
    <w:rPr>
      <w:rFonts w:ascii="楷体_GB2312" w:eastAsia="楷体_GB2312"/>
      <w:szCs w:val="28"/>
    </w:rPr>
  </w:style>
  <w:style w:type="paragraph" w:styleId="6">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line="360" w:lineRule="auto"/>
      <w:ind w:firstLine="420" w:firstLineChars="200"/>
    </w:pPr>
    <w:rPr>
      <w:rFonts w:ascii="宋体" w:hAnsi="宋体" w:eastAsia="宋体"/>
      <w:sz w:val="21"/>
      <w:szCs w:val="20"/>
    </w:rPr>
  </w:style>
  <w:style w:type="paragraph" w:styleId="3">
    <w:name w:val="Body Text Indent"/>
    <w:basedOn w:val="1"/>
    <w:next w:val="4"/>
    <w:qFormat/>
    <w:uiPriority w:val="0"/>
    <w:pPr>
      <w:ind w:firstLine="645"/>
    </w:pPr>
    <w:rPr>
      <w:rFonts w:ascii="楷体_GB2312" w:eastAsia="楷体_GB2312"/>
      <w:sz w:val="32"/>
      <w:szCs w:val="32"/>
    </w:rPr>
  </w:style>
  <w:style w:type="paragraph" w:styleId="4">
    <w:name w:val="envelope return"/>
    <w:basedOn w:val="1"/>
    <w:qFormat/>
    <w:uiPriority w:val="99"/>
    <w:pPr>
      <w:snapToGrid w:val="0"/>
    </w:pPr>
    <w:rPr>
      <w:rFonts w:ascii="Arial" w:hAnsi="Arial" w:cs="Arial"/>
    </w:rPr>
  </w:style>
  <w:style w:type="paragraph" w:styleId="7">
    <w:name w:val="Normal Indent"/>
    <w:basedOn w:val="1"/>
    <w:qFormat/>
    <w:uiPriority w:val="0"/>
    <w:pPr>
      <w:ind w:firstLine="420"/>
    </w:pPr>
  </w:style>
  <w:style w:type="paragraph" w:styleId="8">
    <w:name w:val="Body Text"/>
    <w:basedOn w:val="1"/>
    <w:qFormat/>
    <w:uiPriority w:val="0"/>
    <w:pPr>
      <w:spacing w:after="120"/>
    </w:pPr>
  </w:style>
  <w:style w:type="paragraph" w:styleId="9">
    <w:name w:val="Block Text"/>
    <w:basedOn w:val="1"/>
    <w:unhideWhenUsed/>
    <w:qFormat/>
    <w:uiPriority w:val="99"/>
    <w:pPr>
      <w:spacing w:before="100" w:beforeAutospacing="1" w:after="100" w:afterAutospacing="1"/>
      <w:ind w:left="256" w:right="6" w:firstLine="624"/>
    </w:pPr>
    <w:rPr>
      <w:rFonts w:ascii="Times New Roman" w:hAnsi="Times New Roman" w:eastAsia="仿宋"/>
      <w:szCs w:val="28"/>
    </w:rPr>
  </w:style>
  <w:style w:type="paragraph" w:styleId="10">
    <w:name w:val="Plain Text"/>
    <w:basedOn w:val="1"/>
    <w:next w:val="7"/>
    <w:qFormat/>
    <w:uiPriority w:val="0"/>
    <w:rPr>
      <w:rFonts w:ascii="宋体" w:hAnsi="Courier New"/>
    </w:rPr>
  </w:style>
  <w:style w:type="paragraph" w:styleId="11">
    <w:name w:val="footer"/>
    <w:basedOn w:val="1"/>
    <w:link w:val="20"/>
    <w:qFormat/>
    <w:uiPriority w:val="0"/>
    <w:pPr>
      <w:tabs>
        <w:tab w:val="center" w:pos="4153"/>
        <w:tab w:val="right" w:pos="8306"/>
      </w:tabs>
      <w:snapToGrid w:val="0"/>
      <w:jc w:val="left"/>
    </w:pPr>
    <w:rPr>
      <w:sz w:val="18"/>
      <w:szCs w:val="18"/>
    </w:rPr>
  </w:style>
  <w:style w:type="paragraph" w:styleId="12">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3">
    <w:name w:val="footnote text"/>
    <w:basedOn w:val="1"/>
    <w:qFormat/>
    <w:uiPriority w:val="0"/>
    <w:pPr>
      <w:snapToGrid w:val="0"/>
      <w:jc w:val="left"/>
    </w:pPr>
    <w:rPr>
      <w:sz w:val="18"/>
      <w:szCs w:val="18"/>
    </w:rPr>
  </w:style>
  <w:style w:type="paragraph" w:styleId="14">
    <w:name w:val="Normal (Web)"/>
    <w:basedOn w:val="1"/>
    <w:qFormat/>
    <w:uiPriority w:val="0"/>
    <w:pPr>
      <w:spacing w:beforeAutospacing="1" w:afterAutospacing="1"/>
      <w:jc w:val="left"/>
    </w:pPr>
    <w:rPr>
      <w:rFonts w:cs="Times New Roman"/>
      <w:kern w:val="0"/>
      <w:sz w:val="24"/>
    </w:rPr>
  </w:style>
  <w:style w:type="paragraph" w:styleId="15">
    <w:name w:val="Body Text First Indent"/>
    <w:basedOn w:val="8"/>
    <w:semiHidden/>
    <w:unhideWhenUsed/>
    <w:qFormat/>
    <w:uiPriority w:val="99"/>
    <w:pPr>
      <w:ind w:firstLine="420" w:firstLineChars="1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9">
    <w:name w:val="页眉 Char"/>
    <w:basedOn w:val="18"/>
    <w:link w:val="12"/>
    <w:qFormat/>
    <w:uiPriority w:val="0"/>
    <w:rPr>
      <w:rFonts w:asciiTheme="minorHAnsi" w:hAnsiTheme="minorHAnsi" w:eastAsiaTheme="minorEastAsia" w:cstheme="minorBidi"/>
      <w:kern w:val="2"/>
      <w:sz w:val="18"/>
      <w:szCs w:val="18"/>
    </w:rPr>
  </w:style>
  <w:style w:type="character" w:customStyle="1" w:styleId="20">
    <w:name w:val="页脚 Char"/>
    <w:basedOn w:val="18"/>
    <w:link w:val="11"/>
    <w:qFormat/>
    <w:uiPriority w:val="0"/>
    <w:rPr>
      <w:rFonts w:asciiTheme="minorHAnsi" w:hAnsiTheme="minorHAnsi" w:eastAsiaTheme="minorEastAsia" w:cstheme="minorBidi"/>
      <w:kern w:val="2"/>
      <w:sz w:val="18"/>
      <w:szCs w:val="18"/>
    </w:rPr>
  </w:style>
  <w:style w:type="paragraph" w:customStyle="1" w:styleId="21">
    <w:name w:val="Default"/>
    <w:unhideWhenUsed/>
    <w:qFormat/>
    <w:uiPriority w:val="99"/>
    <w:pPr>
      <w:widowControl w:val="0"/>
      <w:autoSpaceDE w:val="0"/>
      <w:autoSpaceDN w:val="0"/>
      <w:adjustRightInd w:val="0"/>
    </w:pPr>
    <w:rPr>
      <w:rFonts w:hint="eastAsia" w:ascii="仿宋_GB2312" w:hAnsi="仿宋_GB2312" w:eastAsia="仿宋_GB2312" w:cs="Times New Roman"/>
      <w:color w:val="000000"/>
      <w:sz w:val="24"/>
      <w:lang w:val="en-US" w:eastAsia="zh-CN" w:bidi="ar-SA"/>
    </w:rPr>
  </w:style>
  <w:style w:type="paragraph" w:customStyle="1" w:styleId="22">
    <w:name w:val="正文空2格  1."/>
    <w:basedOn w:val="1"/>
    <w:qFormat/>
    <w:uiPriority w:val="0"/>
    <w:pPr>
      <w:ind w:firstLine="480" w:firstLineChars="200"/>
    </w:pPr>
    <w:rPr>
      <w:rFonts w:cs="宋体"/>
      <w:szCs w:val="20"/>
    </w:rPr>
  </w:style>
  <w:style w:type="paragraph" w:customStyle="1" w:styleId="23">
    <w:name w:val="索引 41"/>
    <w:basedOn w:val="1"/>
    <w:next w:val="1"/>
    <w:semiHidden/>
    <w:qFormat/>
    <w:uiPriority w:val="0"/>
    <w:pPr>
      <w:ind w:left="1260"/>
    </w:pPr>
  </w:style>
  <w:style w:type="paragraph" w:customStyle="1" w:styleId="24">
    <w:name w:val="列出段落1"/>
    <w:basedOn w:val="1"/>
    <w:qFormat/>
    <w:uiPriority w:val="34"/>
    <w:pPr>
      <w:ind w:firstLine="420"/>
    </w:pPr>
    <w:rPr>
      <w:rFonts w:cs="Times New Roman"/>
      <w:lang w:eastAsia="en-US"/>
    </w:rPr>
  </w:style>
  <w:style w:type="paragraph" w:customStyle="1" w:styleId="25">
    <w:name w:val="纯文本1"/>
    <w:basedOn w:val="1"/>
    <w:qFormat/>
    <w:uiPriority w:val="0"/>
    <w:pPr>
      <w:widowControl/>
      <w:adjustRightInd w:val="0"/>
      <w:jc w:val="left"/>
      <w:textAlignment w:val="baseline"/>
    </w:pPr>
    <w:rPr>
      <w:rFonts w:ascii="宋体" w:hAnsi="Courier New" w:eastAsia="楷体_GB2312"/>
      <w:sz w:val="26"/>
    </w:rPr>
  </w:style>
  <w:style w:type="paragraph" w:styleId="26">
    <w:name w:val="List Paragraph"/>
    <w:basedOn w:val="1"/>
    <w:qFormat/>
    <w:uiPriority w:val="34"/>
    <w:pPr>
      <w:ind w:firstLine="420" w:firstLineChars="200"/>
    </w:pPr>
  </w:style>
  <w:style w:type="paragraph" w:customStyle="1" w:styleId="27">
    <w:name w:val="列出段落11"/>
    <w:basedOn w:val="1"/>
    <w:qFormat/>
    <w:uiPriority w:val="99"/>
    <w:pPr>
      <w:widowControl/>
      <w:ind w:firstLine="420" w:firstLineChars="200"/>
      <w:jc w:val="left"/>
    </w:pPr>
    <w:rPr>
      <w:kern w:val="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54</Pages>
  <Words>29878</Words>
  <Characters>31781</Characters>
  <Lines>252</Lines>
  <Paragraphs>71</Paragraphs>
  <TotalTime>20</TotalTime>
  <ScaleCrop>false</ScaleCrop>
  <LinksUpToDate>false</LinksUpToDate>
  <CharactersWithSpaces>33681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2025-02-10T02:12:00Z</dcterms:created>
  <dc:creator>正式环境陈艳测试账号</dc:creator>
  <cp:lastModifiedBy>海阔天空</cp:lastModifiedBy>
  <cp:lastPrinted>2025-05-15T00:37:36Z</cp:lastPrinted>
  <dcterms:modified xsi:type="dcterms:W3CDTF">2025-05-15T00:46:11Z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972BDBF7D0F34B42A3DF3C40B00C9963_13</vt:lpwstr>
  </property>
  <property fmtid="{D5CDD505-2E9C-101B-9397-08002B2CF9AE}" pid="4" name="KSOTemplateDocerSaveRecord">
    <vt:lpwstr>eyJoZGlkIjoiOWM3ZjgyZWI3YTBmYjAwNGQwNDQzZDUyNDIzMzA0ZWYiLCJ1c2VySWQiOiI1Njc5NTk2ODkifQ==</vt:lpwstr>
  </property>
</Properties>
</file>