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Arial" w:hAnsi="Arial" w:eastAsia="Arial" w:cs="Arial"/>
          <w:b/>
          <w:color w:val="000000"/>
          <w:sz w:val="84"/>
        </w:rPr>
        <w:t xml:space="preserve"> </w:t>
      </w:r>
      <w:r>
        <w:rPr>
          <w:rFonts w:ascii="SimSun" w:hAnsi="SimSun" w:eastAsia="SimSun" w:cs="SimSun"/>
          <w:b/>
          <w:color w:val="000000"/>
          <w:sz w:val="84"/>
        </w:rPr>
        <w:t xml:space="preserve">标</w:t>
      </w:r>
      <w:r>
        <w:rPr>
          <w:rFonts w:ascii="Arial" w:hAnsi="Arial" w:eastAsia="Arial" w:cs="Arial"/>
          <w:b/>
          <w:color w:val="000000"/>
          <w:sz w:val="84"/>
        </w:rPr>
        <w:t xml:space="preserve"> </w:t>
      </w:r>
      <w:r>
        <w:rPr>
          <w:rFonts w:ascii="SimSun" w:hAnsi="SimSun" w:eastAsia="SimSun" w:cs="SimSun"/>
          <w:b/>
          <w:color w:val="000000"/>
          <w:sz w:val="84"/>
        </w:rPr>
        <w:t xml:space="preserve">文</w:t>
      </w:r>
      <w:r>
        <w:rPr>
          <w:rFonts w:ascii="Arial" w:hAnsi="Arial" w:eastAsia="Arial" w:cs="Arial"/>
          <w:b/>
          <w:color w:val="000000"/>
          <w:sz w:val="84"/>
        </w:rPr>
        <w:t xml:space="preserve"> </w:t>
      </w:r>
      <w:r>
        <w:rPr>
          <w:rFonts w:ascii="SimSun" w:hAnsi="SimSun" w:eastAsia="SimSun" w:cs="SimSun"/>
          <w:b/>
          <w:color w:val="000000"/>
          <w:sz w:val="84"/>
        </w:rPr>
        <w:t xml:space="preserve">件</w:t>
      </w:r>
      <w:r/>
    </w:p>
    <w:p>
      <w:pPr>
        <w:ind w:left="0" w:right="0" w:firstLine="643"/>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156" w:after="156" w:line="1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项目名称：东台市</w:t>
      </w:r>
      <w:r>
        <w:rPr>
          <w:rFonts w:ascii="Arial" w:hAnsi="Arial" w:eastAsia="Arial" w:cs="Arial"/>
          <w:b/>
          <w:color w:val="000000"/>
          <w:sz w:val="32"/>
        </w:rPr>
        <w:t xml:space="preserve">2024</w:t>
      </w:r>
      <w:r>
        <w:rPr>
          <w:rFonts w:ascii="SimSun" w:hAnsi="SimSun" w:eastAsia="SimSun" w:cs="SimSun"/>
          <w:b/>
          <w:color w:val="000000"/>
          <w:sz w:val="32"/>
        </w:rPr>
        <w:t xml:space="preserve">年度高标准农田建设项目施工跟踪审计、结算审核服务项目</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JSZC-320981-BJZC-G2024-0025</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964"/>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964"/>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w:t>
      </w:r>
      <w:r>
        <w:rPr>
          <w:rFonts w:ascii="SimSun" w:hAnsi="SimSun" w:eastAsia="SimSun" w:cs="SimSun"/>
          <w:b/>
          <w:color w:val="000000"/>
          <w:sz w:val="31"/>
        </w:rPr>
        <w:t xml:space="preserve">东台市农业农村局</w:t>
      </w:r>
      <w:r/>
    </w:p>
    <w:p>
      <w:pPr>
        <w:ind w:left="0" w:right="0" w:firstLine="964"/>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rPr>
          <w:rFonts w:ascii="SimSun" w:hAnsi="SimSun" w:eastAsia="SimSun" w:cs="SimSun"/>
          <w:b/>
          <w:color w:val="000000"/>
          <w:sz w:val="31"/>
        </w:rPr>
        <w:t xml:space="preserve">北京中昌工程咨询有限公司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u w:val="single"/>
        </w:rPr>
        <w:t xml:space="preserve">2024</w:t>
      </w:r>
      <w:r>
        <w:rPr>
          <w:rFonts w:ascii="SimSun" w:hAnsi="SimSun" w:eastAsia="SimSun" w:cs="SimSun"/>
          <w:b/>
          <w:color w:val="000000"/>
          <w:sz w:val="32"/>
        </w:rPr>
        <w:t xml:space="preserve">年</w:t>
      </w:r>
      <w:r>
        <w:rPr>
          <w:rFonts w:ascii="SimSun" w:hAnsi="SimSun" w:eastAsia="SimSun" w:cs="SimSun"/>
          <w:b/>
          <w:color w:val="000000"/>
          <w:sz w:val="32"/>
          <w:u w:val="single"/>
        </w:rPr>
        <w:t xml:space="preserve"> </w:t>
      </w:r>
      <w:r>
        <w:rPr>
          <w:rFonts w:ascii="Arial" w:hAnsi="Arial" w:eastAsia="Arial" w:cs="Arial"/>
          <w:b/>
          <w:color w:val="000000"/>
          <w:sz w:val="32"/>
          <w:u w:val="single"/>
        </w:rPr>
        <w:t xml:space="preserve">8 </w:t>
      </w:r>
      <w:r>
        <w:rPr>
          <w:rFonts w:ascii="SimSun" w:hAnsi="SimSun" w:eastAsia="SimSun" w:cs="SimSun"/>
          <w:b/>
          <w:color w:val="000000"/>
          <w:sz w:val="32"/>
        </w:rPr>
        <w:t xml:space="preserve">月</w:t>
      </w:r>
      <w:r>
        <w:rPr>
          <w:rFonts w:ascii="Arial" w:hAnsi="Arial" w:eastAsia="Arial" w:cs="Arial"/>
          <w:b/>
          <w:color w:val="000000"/>
          <w:sz w:val="32"/>
          <w:u w:val="single"/>
        </w:rPr>
        <w:t xml:space="preserve">30</w:t>
      </w:r>
      <w:r>
        <w:rPr>
          <w:rFonts w:ascii="SimSun" w:hAnsi="SimSun" w:eastAsia="SimSun" w:cs="SimSun"/>
          <w:b/>
          <w:color w:val="000000"/>
          <w:sz w:val="32"/>
        </w:rPr>
        <w:t xml:space="preserve">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  目</w:t>
      </w:r>
      <w:r>
        <w:rPr>
          <w:rFonts w:ascii="SimSun" w:hAnsi="SimSun" w:eastAsia="SimSun" w:cs="SimSun"/>
          <w:b/>
          <w:color w:val="000000"/>
          <w:sz w:val="44"/>
        </w:rPr>
        <w:t xml:space="preserve">  </w:t>
      </w:r>
      <w:r>
        <w:rPr>
          <w:rFonts w:ascii="SimHei" w:hAnsi="SimHei" w:eastAsia="SimHei" w:cs="SimHei"/>
          <w:b/>
          <w:color w:val="000000"/>
          <w:sz w:val="44"/>
        </w:rPr>
        <w:t xml:space="preserve">录</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sdt>
      <w:sdtPr>
        <w15:appearance w15:val="boundingBox"/>
        <w:rPr/>
      </w:sdtPr>
      <w:sdtContent>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hyperlink r:id="rId11" w:tooltip="http://jszfcg.jsczt.cn/jszc/onlyoffice/7.2.1-34/web-apps/apps/documenteditor/main/index_loader.html?_dc=7.2.1-34&amp;lang=zh&amp;customer=%20&amp;logo=%20&amp;headerlogo=%2Ffavicon.ico&amp;frameEditorId=iframePage&amp;compact=true&amp;parentOrigin=http://jszfcg.jsczt.cn#_Toc19097" w:history="1">
            <w:r>
              <w:rPr>
                <w:rStyle w:val="173"/>
                <w:rFonts w:ascii="SimHei" w:hAnsi="SimHei" w:eastAsia="SimHei" w:cs="SimHei"/>
                <w:color w:val="0000ee"/>
                <w:sz w:val="44"/>
                <w:u w:val="single"/>
              </w:rPr>
              <w:t xml:space="preserve">第一章  招标公告</w:t>
            </w:r>
          </w:hyperlink>
          <w:r/>
        </w:p>
        <w:p>
          <w:pPr>
            <w:ind w:left="0" w:right="0" w:firstLine="880"/>
            <w:spacing w:before="240" w:after="240" w:line="113" w:lineRule="atLeast"/>
            <w:pBdr>
              <w:top w:val="none" w:color="000000" w:sz="4" w:space="0"/>
              <w:left w:val="none" w:color="000000" w:sz="4" w:space="0"/>
              <w:bottom w:val="none" w:color="000000" w:sz="4" w:space="0"/>
              <w:right w:val="none" w:color="000000" w:sz="4" w:space="0"/>
            </w:pBdr>
          </w:pPr>
          <w:hyperlink r:id="rId12" w:tooltip="http://jszfcg.jsczt.cn/jszc/onlyoffice/7.2.1-34/web-apps/apps/documenteditor/main/index_loader.html?_dc=7.2.1-34&amp;lang=zh&amp;customer=%20&amp;logo=%20&amp;headerlogo=%2Ffavicon.ico&amp;frameEditorId=iframePage&amp;compact=true&amp;parentOrigin=http://jszfcg.jsczt.cn#_Toc28299" w:history="1">
            <w:r>
              <w:rPr>
                <w:rStyle w:val="173"/>
                <w:rFonts w:ascii="SimHei" w:hAnsi="SimHei" w:eastAsia="SimHei" w:cs="SimHei"/>
                <w:color w:val="0000ee"/>
                <w:sz w:val="44"/>
                <w:u w:val="single"/>
              </w:rPr>
              <w:t xml:space="preserve">第二章  投标人须知</w:t>
            </w:r>
          </w:hyperlink>
          <w:r/>
        </w:p>
        <w:p>
          <w:pPr>
            <w:ind w:left="0" w:right="0" w:firstLine="880"/>
            <w:spacing w:before="240" w:after="240" w:line="113" w:lineRule="atLeast"/>
            <w:pBdr>
              <w:top w:val="none" w:color="000000" w:sz="4" w:space="0"/>
              <w:left w:val="none" w:color="000000" w:sz="4" w:space="0"/>
              <w:bottom w:val="none" w:color="000000" w:sz="4" w:space="0"/>
              <w:right w:val="none" w:color="000000" w:sz="4" w:space="0"/>
            </w:pBdr>
          </w:pPr>
          <w:hyperlink r:id="rId13" w:tooltip="http://jszfcg.jsczt.cn/jszc/onlyoffice/7.2.1-34/web-apps/apps/documenteditor/main/index_loader.html?_dc=7.2.1-34&amp;lang=zh&amp;customer=%20&amp;logo=%20&amp;headerlogo=%2Ffavicon.ico&amp;frameEditorId=iframePage&amp;compact=true&amp;parentOrigin=http://jszfcg.jsczt.cn#_Toc23761" w:history="1">
            <w:r>
              <w:rPr>
                <w:rStyle w:val="173"/>
                <w:rFonts w:ascii="SimHei" w:hAnsi="SimHei" w:eastAsia="SimHei" w:cs="SimHei"/>
                <w:color w:val="0000ee"/>
                <w:sz w:val="44"/>
                <w:u w:val="single"/>
              </w:rPr>
              <w:t xml:space="preserve">第三章  合同文本</w:t>
            </w:r>
          </w:hyperlink>
          <w:r/>
        </w:p>
        <w:p>
          <w:pPr>
            <w:ind w:left="0" w:right="0" w:firstLine="880"/>
            <w:spacing w:before="240" w:after="240" w:line="113" w:lineRule="atLeast"/>
            <w:pBdr>
              <w:top w:val="none" w:color="000000" w:sz="4" w:space="0"/>
              <w:left w:val="none" w:color="000000" w:sz="4" w:space="0"/>
              <w:bottom w:val="none" w:color="000000" w:sz="4" w:space="0"/>
              <w:right w:val="none" w:color="000000" w:sz="4" w:space="0"/>
            </w:pBdr>
          </w:pPr>
          <w:hyperlink r:id="rId14" w:tooltip="http://jszfcg.jsczt.cn/jszc/onlyoffice/7.2.1-34/web-apps/apps/documenteditor/main/index_loader.html?_dc=7.2.1-34&amp;lang=zh&amp;customer=%20&amp;logo=%20&amp;headerlogo=%2Ffavicon.ico&amp;frameEditorId=iframePage&amp;compact=true&amp;parentOrigin=http://jszfcg.jsczt.cn#_Toc23581" w:history="1">
            <w:r>
              <w:rPr>
                <w:rStyle w:val="173"/>
                <w:rFonts w:ascii="SimHei" w:hAnsi="SimHei" w:eastAsia="SimHei" w:cs="SimHei"/>
                <w:color w:val="0000ee"/>
                <w:sz w:val="44"/>
                <w:u w:val="single"/>
              </w:rPr>
              <w:t xml:space="preserve">第四章  采购需求</w:t>
            </w:r>
          </w:hyperlink>
          <w:r/>
        </w:p>
        <w:p>
          <w:pPr>
            <w:ind w:left="0" w:right="0" w:firstLine="880"/>
            <w:spacing w:before="240" w:after="240" w:line="113" w:lineRule="atLeast"/>
            <w:pBdr>
              <w:top w:val="none" w:color="000000" w:sz="4" w:space="0"/>
              <w:left w:val="none" w:color="000000" w:sz="4" w:space="0"/>
              <w:bottom w:val="none" w:color="000000" w:sz="4" w:space="0"/>
              <w:right w:val="none" w:color="000000" w:sz="4" w:space="0"/>
            </w:pBdr>
          </w:pPr>
          <w:hyperlink r:id="rId15" w:tooltip="http://jszfcg.jsczt.cn/jszc/onlyoffice/7.2.1-34/web-apps/apps/documenteditor/main/index_loader.html?_dc=7.2.1-34&amp;lang=zh&amp;customer=%20&amp;logo=%20&amp;headerlogo=%2Ffavicon.ico&amp;frameEditorId=iframePage&amp;compact=true&amp;parentOrigin=http://jszfcg.jsczt.cn#_Toc13969" w:history="1">
            <w:r>
              <w:rPr>
                <w:rStyle w:val="173"/>
                <w:rFonts w:ascii="SimHei" w:hAnsi="SimHei" w:eastAsia="SimHei" w:cs="SimHei"/>
                <w:color w:val="0000ee"/>
                <w:sz w:val="44"/>
                <w:u w:val="single"/>
              </w:rPr>
              <w:t xml:space="preserve">第五章  评标方法与评标标准</w:t>
            </w:r>
          </w:hyperlink>
          <w:r/>
        </w:p>
        <w:p>
          <w:pPr>
            <w:ind w:left="0" w:right="0" w:firstLine="880"/>
            <w:spacing w:before="240" w:after="240" w:line="113" w:lineRule="atLeast"/>
            <w:pBdr>
              <w:top w:val="none" w:color="000000" w:sz="4" w:space="0"/>
              <w:left w:val="none" w:color="000000" w:sz="4" w:space="0"/>
              <w:bottom w:val="none" w:color="000000" w:sz="4" w:space="0"/>
              <w:right w:val="none" w:color="000000" w:sz="4" w:space="0"/>
            </w:pBdr>
          </w:pPr>
          <w:hyperlink r:id="rId16" w:tooltip="http://jszfcg.jsczt.cn/jszc/onlyoffice/7.2.1-34/web-apps/apps/documenteditor/main/index_loader.html?_dc=7.2.1-34&amp;lang=zh&amp;customer=%20&amp;logo=%20&amp;headerlogo=%2Ffavicon.ico&amp;frameEditorId=iframePage&amp;compact=true&amp;parentOrigin=http://jszfcg.jsczt.cn#_Toc14881" w:history="1">
            <w:r>
              <w:rPr>
                <w:rStyle w:val="173"/>
                <w:rFonts w:ascii="SimHei" w:hAnsi="SimHei" w:eastAsia="SimHei" w:cs="SimHei"/>
                <w:color w:val="0000ee"/>
                <w:sz w:val="44"/>
                <w:u w:val="single"/>
              </w:rPr>
              <w:t xml:space="preserve">第六章  投标文件格式</w:t>
            </w:r>
          </w:hyperlink>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sdtContent>
    </w:sdt>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w:t>
      </w:r>
      <w:r>
        <w:rPr>
          <w:rFonts w:ascii="SimSun" w:hAnsi="SimSun" w:eastAsia="SimSun" w:cs="SimSun"/>
          <w:color w:val="000000"/>
          <w:sz w:val="44"/>
        </w:rPr>
        <w:t xml:space="preserve">  </w:t>
      </w:r>
      <w:r>
        <w:rPr>
          <w:rFonts w:ascii="SimHei" w:hAnsi="SimHei" w:eastAsia="SimHei" w:cs="SimHei"/>
          <w:color w:val="000000"/>
          <w:sz w:val="44"/>
        </w:rPr>
        <w:t xml:space="preserve">招标公告</w:t>
      </w:r>
      <w:r/>
    </w:p>
    <w:tbl>
      <w:tblPr>
        <w:tblStyle w:val="6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shd w:val="clear" w:color="ffffff" w:fill="ffffff"/>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项目概况</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东台市2024年度高标准农田建设项目施工跟踪审计结算审核服务项目 JSZC-320981-BJZC-G2024-0025 招标项目的潜在投标人应在中国政府采购网、江苏政府采购网、盐城市政府采购网 获取招标文件，并于2024-09-25 09:00 （北京时间）前递交投标文件。</w:t>
            </w:r>
            <w:r/>
          </w:p>
        </w:tc>
      </w:tr>
    </w:tbl>
    <w:p>
      <w:pPr>
        <w:pStyle w:val="664"/>
        <w:ind w:left="0" w:right="0" w:firstLine="562"/>
        <w:spacing w:before="0" w:after="105" w:line="761"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一、项目基本情况</w:t>
      </w:r>
      <w:r/>
    </w:p>
    <w:p>
      <w:pPr>
        <w:ind w:left="0" w:right="0" w:firstLine="56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项目编号：JSZC-320981-BJZC-G2024-0025 </w:t>
      </w:r>
      <w:r/>
    </w:p>
    <w:p>
      <w:pPr>
        <w:ind w:left="0" w:right="0" w:firstLine="56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项目名称：东台市2024年度高标准农田建设项目施工跟踪审计结算审核服务项目 </w:t>
      </w:r>
      <w:r/>
    </w:p>
    <w:p>
      <w:pPr>
        <w:ind w:left="0" w:right="0" w:firstLine="56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预算金额：51.600000万元 </w:t>
      </w:r>
      <w:r/>
    </w:p>
    <w:p>
      <w:pPr>
        <w:ind w:left="0" w:right="0" w:firstLine="56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最高限价（如有）：审定价的0.285%  </w:t>
      </w:r>
      <w:r/>
    </w:p>
    <w:p>
      <w:pPr>
        <w:ind w:left="0" w:right="0" w:firstLine="56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采购需求：</w:t>
      </w:r>
      <w:r/>
    </w:p>
    <w:tbl>
      <w:tblPr>
        <w:tblStyle w:val="6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0"/>
        <w:gridCol w:w="2640"/>
        <w:gridCol w:w="3960"/>
        <w:gridCol w:w="780"/>
        <w:gridCol w:w="810"/>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750" w:type="dxa"/>
            <w:vAlign w:val="center"/>
            <w:textDirection w:val="lrTb"/>
            <w:noWrap w:val="false"/>
          </w:tcPr>
          <w:p>
            <w:pPr>
              <w:ind w:left="0" w:right="0" w:firstLine="480"/>
              <w:jc w:val="center"/>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640" w:type="dxa"/>
            <w:vAlign w:val="center"/>
            <w:textDirection w:val="lrTb"/>
            <w:noWrap w:val="false"/>
          </w:tcPr>
          <w:p>
            <w:pPr>
              <w:ind w:left="0" w:right="0" w:firstLine="480"/>
              <w:jc w:val="center"/>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960" w:type="dxa"/>
            <w:vAlign w:val="center"/>
            <w:textDirection w:val="lrTb"/>
            <w:noWrap w:val="false"/>
          </w:tcPr>
          <w:p>
            <w:pPr>
              <w:ind w:left="0" w:right="0" w:firstLine="480"/>
              <w:jc w:val="center"/>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服务内容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780" w:type="dxa"/>
            <w:vAlign w:val="center"/>
            <w:textDirection w:val="lrTb"/>
            <w:noWrap w:val="false"/>
          </w:tcPr>
          <w:p>
            <w:pPr>
              <w:ind w:left="0" w:right="0" w:firstLine="480"/>
              <w:jc w:val="center"/>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810" w:type="dxa"/>
            <w:vAlign w:val="center"/>
            <w:textDirection w:val="lrTb"/>
            <w:noWrap w:val="false"/>
          </w:tcPr>
          <w:p>
            <w:pPr>
              <w:ind w:left="0" w:right="0" w:firstLine="480"/>
              <w:jc w:val="center"/>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r>
      <w:tr>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750" w:type="dxa"/>
            <w:vAlign w:val="center"/>
            <w:textDirection w:val="lrTb"/>
            <w:noWrap w:val="false"/>
          </w:tcPr>
          <w:p>
            <w:pPr>
              <w:ind w:left="0" w:right="0" w:firstLine="480"/>
              <w:jc w:val="center"/>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640" w:type="dxa"/>
            <w:vAlign w:val="center"/>
            <w:textDirection w:val="lrTb"/>
            <w:noWrap w:val="false"/>
          </w:tcPr>
          <w:p>
            <w:pPr>
              <w:ind w:left="0" w:right="0" w:firstLine="480"/>
              <w:jc w:val="center"/>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东台市2024年度高标准农田建设项目施工跟踪审计、结算审核服务项目</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960" w:type="dxa"/>
            <w:vAlign w:val="center"/>
            <w:textDirection w:val="lrTb"/>
            <w:noWrap w:val="false"/>
          </w:tcPr>
          <w:p>
            <w:pPr>
              <w:ind w:left="0" w:right="0" w:firstLine="480"/>
              <w:jc w:val="center"/>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东台市2024年度高标准农田建设项目施工跟踪审计、结算审核服务，具体实施以政府发文批准项目为准。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780" w:type="dxa"/>
            <w:vAlign w:val="center"/>
            <w:textDirection w:val="lrTb"/>
            <w:noWrap w:val="false"/>
          </w:tcPr>
          <w:p>
            <w:pPr>
              <w:ind w:left="0" w:right="0" w:firstLine="480"/>
              <w:jc w:val="center"/>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810" w:type="dxa"/>
            <w:vAlign w:val="center"/>
            <w:textDirection w:val="lrTb"/>
            <w:noWrap w:val="false"/>
          </w:tcPr>
          <w:p>
            <w:pPr>
              <w:ind w:left="0" w:right="0" w:firstLine="480"/>
              <w:jc w:val="center"/>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r>
    </w:tbl>
    <w:p>
      <w:pPr>
        <w:ind w:left="0" w:right="0" w:firstLine="48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（详细内容见本招标文件第四章）</w:t>
      </w:r>
      <w:r/>
    </w:p>
    <w:p>
      <w:pPr>
        <w:ind w:left="0" w:right="0" w:firstLine="56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合同履行期限：从合同签订之日起至整个项目竣工验收合格、竣工结算审计完成并出具完整的审计报告，向招标人移交全部审计资料为止。 </w:t>
      </w:r>
      <w:r/>
    </w:p>
    <w:p>
      <w:pPr>
        <w:ind w:left="0" w:right="0" w:firstLine="56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本项目（是/否）接受联合体投标：否</w:t>
      </w:r>
      <w:r/>
    </w:p>
    <w:p>
      <w:pPr>
        <w:pStyle w:val="664"/>
        <w:ind w:left="0" w:right="0" w:firstLine="562"/>
        <w:spacing w:before="0" w:after="105"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二、申请人的资格要求：</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（一）满足《中华人民共和国政府采购法》第二十二条规定：</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1.法人或者其他组织的营业执照等证明文件，自然人的身份证明。</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2.上一年度的财务状况报表（成立不满一年无需提供）。</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4.具备履行合同所必需的设备和专业技术能力的书面声明。</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5.参加政府采购活动前3年内在经营活动中没有重大违法记录的书面声明。</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（二）落实政府采购政策需满足的资格要求：无</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（三）本项目的特定资格要求：</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2.投标人法定代表人身份证明和投标文件签署授权委托书（另附法定代表人和被授权人的身份证复印件或扫描件）</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3.投标人为被授权人、项目负责人缴纳的社会养老保险证明</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4.项目负责人应具有国家注册造价工程师（一级注册造价工程师）执业资格</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5.单位负责人为同一人或者存在直接控股、管理关系的不同供应商，不得参加同一合同项下的政府采购活动（自行承诺，格式自拟）</w:t>
      </w:r>
      <w:r/>
    </w:p>
    <w:p>
      <w:pPr>
        <w:pStyle w:val="664"/>
        <w:ind w:left="0" w:right="0" w:firstLine="562"/>
        <w:spacing w:before="0" w:after="105"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三、获取招标文件</w:t>
      </w:r>
      <w:r/>
    </w:p>
    <w:p>
      <w:pPr>
        <w:ind w:left="0" w:right="0" w:firstLine="56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时间：2024年08月30日至2024年09月07日，每天上午00:00-12:00，下午12:00-23:59（北京时间，法定节假日除外） </w:t>
      </w:r>
      <w:r/>
    </w:p>
    <w:p>
      <w:pPr>
        <w:ind w:left="0" w:right="0" w:firstLine="56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地点：中国政府采购网、江苏政府采购网、盐城市政府采购网 </w:t>
      </w:r>
      <w:r/>
    </w:p>
    <w:p>
      <w:pPr>
        <w:ind w:left="0" w:right="0" w:firstLine="56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方式：自行免费下载 </w:t>
      </w:r>
      <w:r/>
    </w:p>
    <w:p>
      <w:pPr>
        <w:ind w:left="0" w:right="0" w:firstLine="56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售价：0.00元 </w:t>
      </w:r>
      <w:r>
        <w:rPr>
          <w:rFonts w:ascii="Segoe UI" w:hAnsi="Segoe UI" w:eastAsia="Segoe UI" w:cs="Segoe UI"/>
          <w:color w:val="000000"/>
          <w:sz w:val="21"/>
          <w:highlight w:val="white"/>
        </w:rPr>
        <w:t xml:space="preserve"> </w:t>
      </w:r>
      <w:r/>
    </w:p>
    <w:p>
      <w:pPr>
        <w:pStyle w:val="664"/>
        <w:ind w:left="0" w:right="0" w:firstLine="562"/>
        <w:jc w:val="both"/>
        <w:spacing w:before="0" w:after="105"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四、提交投标文件截止时间、开标时间和地点</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2024-09-25 09:00 （北京时间）</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地点：“苏采云”政府采购交易系统  </w:t>
      </w:r>
      <w:r/>
    </w:p>
    <w:p>
      <w:pPr>
        <w:pStyle w:val="664"/>
        <w:ind w:left="0" w:right="0" w:firstLine="562"/>
        <w:jc w:val="both"/>
        <w:spacing w:before="0" w:after="105" w:line="761"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五、公告期限</w:t>
      </w:r>
      <w:r/>
    </w:p>
    <w:p>
      <w:pPr>
        <w:ind w:left="0" w:right="0" w:firstLine="56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自本公告发布之日起5个工作日。</w:t>
      </w:r>
      <w:r/>
    </w:p>
    <w:p>
      <w:pPr>
        <w:pStyle w:val="664"/>
        <w:ind w:left="0" w:right="0" w:firstLine="562"/>
        <w:jc w:val="both"/>
        <w:spacing w:before="0" w:after="105"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六、其他补充事宜</w:t>
      </w:r>
      <w:r/>
    </w:p>
    <w:p>
      <w:pPr>
        <w:ind w:left="0" w:right="0" w:firstLine="48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left="0" w:right="0" w:firstLine="48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http://www.ccgp-jiangsu.gov.cn/jiangsu/zlxz/ee/ee3a4bc5a3454aa2b0d9312230633ce9.html。</w:t>
      </w:r>
      <w:r/>
    </w:p>
    <w:p>
      <w:pPr>
        <w:ind w:left="0" w:right="0" w:firstLine="48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 有关本次招标的事项若存在变动或修改，敬请及时关注“中国政府采购网”、“江苏政府采购网”、“盐城市政府采购网”发布的更正公告。</w:t>
      </w:r>
      <w:r/>
    </w:p>
    <w:p>
      <w:pPr>
        <w:ind w:left="0" w:right="0" w:firstLine="562"/>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highlight w:val="white"/>
        </w:rPr>
        <w:t xml:space="preserve">3.凡为2024年度高标准农田建设项目提供整体设计、规范编制、招标、监理、检测、第三方验收及检测等服务单位不得参与本项投标。</w:t>
      </w:r>
      <w:r/>
    </w:p>
    <w:p>
      <w:pPr>
        <w:pStyle w:val="664"/>
        <w:ind w:left="0" w:right="0" w:firstLine="562"/>
        <w:jc w:val="both"/>
        <w:spacing w:before="0" w:after="105"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highlight w:val="white"/>
        </w:rPr>
        <w:t xml:space="preserve">七、对本次招标提出询问，请按以下方式联系。</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1.采购人信息</w:t>
      </w:r>
      <w:r>
        <w:rPr>
          <w:rFonts w:ascii="Segoe UI" w:hAnsi="Segoe UI" w:eastAsia="Segoe UI" w:cs="Segoe UI"/>
          <w:color w:val="000000"/>
          <w:sz w:val="21"/>
          <w:highlight w:val="white"/>
        </w:rPr>
        <w:t xml:space="preserve"> </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单位名称：东台市农业农村局项目户</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单位地址：东台市广场路6号</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联系人：杜女士</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联系电话：051585231530</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2.采购代理机构信息（如有）</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单位名称：北京中昌工程咨询有限公司</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单位地址：金海广场702</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联系人：杨女士</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联系电话：15371235180</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3.项目联系方式</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项目联系人：杨女士</w:t>
      </w:r>
      <w:r/>
    </w:p>
    <w:p>
      <w:pPr>
        <w:ind w:left="0" w:right="0" w:firstLine="56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电话：15371235180</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1"/>
          <w:highlight w:val="white"/>
        </w:rPr>
        <w:t xml:space="preserve"> </w:t>
      </w:r>
      <w:r/>
    </w:p>
    <w:p>
      <w:pPr>
        <w:ind w:left="0" w:right="84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84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Hei" w:hAnsi="SimHei" w:eastAsia="SimHei" w:cs="SimHei"/>
          <w:b/>
          <w:color w:val="000000"/>
          <w:sz w:val="44"/>
        </w:rPr>
        <w:t xml:space="preserve">第二章</w:t>
      </w:r>
      <w:r>
        <w:rPr>
          <w:rFonts w:ascii="SimSun" w:hAnsi="SimSun" w:eastAsia="SimSun" w:cs="SimSun"/>
          <w:b/>
          <w:color w:val="000000"/>
          <w:sz w:val="44"/>
        </w:rPr>
        <w:t xml:space="preserve">  </w:t>
      </w:r>
      <w:r>
        <w:rPr>
          <w:rFonts w:ascii="SimHei" w:hAnsi="SimHei" w:eastAsia="SimHei" w:cs="SimHei"/>
          <w:b/>
          <w:color w:val="000000"/>
          <w:sz w:val="44"/>
          <w:u w:val="none"/>
        </w:rPr>
        <w:t xml:space="preserve">投标人须知</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一、总则</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1、招标方式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2、合格的投标人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满足本文件实质性条款的规定。</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3、适用法律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4、投标费用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投标人应自行承担所有与参加投标有关的费用，无论投标过程中的做法和结果如何，采购人在任何情况下均无义务和责任承担这些费用。</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5、招标文件的约束力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二、招标文件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6、招标文件构成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6.1招标文件由以下部分组成：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请仔细检查招标文件是否齐全，如有缺漏请立即与采购人或招标代理机构联系解决。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7、招标文件的澄清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7.1任何要求对招标文件进行澄清的投标人，应在投标截止期十五日前按招标公告中的通讯地址，以书面形式通知采购人。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8、招标文件的修改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8.1在投标截止时间前，采购人或招标代理机构可以对招标文件进行修改。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8.2采购人或招标代理机构有权按照法定的要求推迟投标截止日期和开标日期。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8.3招标文件的修改将在“中国政府采购网、江苏政府采购网、盐城市政府采购网”公布，补充文件将作为招标文件的组成部分，并对投标人具有约束力。</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三、投标文件的编制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9、投标文件的语言及度量衡单位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投标人提交的投标文件以及投标人与采购人就有关投标的所有来往通知、函件和文件均应使用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10、投标文件构成</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开标一览表（系统固定格式）</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资格审查资料：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10.2.1 </w:t>
      </w:r>
      <w:r>
        <w:rPr>
          <w:rFonts w:ascii="SimSun" w:hAnsi="SimSun" w:eastAsia="SimSun" w:cs="SimSun"/>
          <w:color w:val="000000"/>
          <w:sz w:val="24"/>
        </w:rPr>
        <w:t xml:space="preserve">法人或者其他组织的营业执照等证明文件，自然人的身份证明；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10.2.2 </w:t>
      </w:r>
      <w:r>
        <w:rPr>
          <w:rFonts w:ascii="SimSun" w:hAnsi="SimSun" w:eastAsia="SimSun" w:cs="SimSun"/>
          <w:color w:val="000000"/>
          <w:sz w:val="24"/>
        </w:rPr>
        <w:t xml:space="preserve">上一年度的财务状况报表（成立不满一年无需提供）；</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10.2.3 </w:t>
      </w:r>
      <w:r>
        <w:rPr>
          <w:rFonts w:ascii="SimSun" w:hAnsi="SimSun" w:eastAsia="SimSun" w:cs="SimSun"/>
          <w:color w:val="000000"/>
          <w:sz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10.2.4 </w:t>
      </w:r>
      <w:r>
        <w:rPr>
          <w:rFonts w:ascii="SimSun" w:hAnsi="SimSun" w:eastAsia="SimSun" w:cs="SimSun"/>
          <w:color w:val="000000"/>
          <w:sz w:val="24"/>
        </w:rPr>
        <w:t xml:space="preserve">具备履行合同所必需的设备和专业技术能力的书面声明；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10.2.5 </w:t>
      </w:r>
      <w:r>
        <w:rPr>
          <w:rFonts w:ascii="SimSun" w:hAnsi="SimSun" w:eastAsia="SimSun" w:cs="SimSun"/>
          <w:color w:val="000000"/>
          <w:sz w:val="24"/>
        </w:rPr>
        <w:t xml:space="preserve">参加政府采购活动前 </w:t>
      </w: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年内在经营活动中没有重大违法记录的书面声明；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10.2.6 </w:t>
      </w:r>
      <w:r>
        <w:rPr>
          <w:rFonts w:ascii="SimSun" w:hAnsi="SimSun" w:eastAsia="SimSun" w:cs="SimSun"/>
          <w:color w:val="000000"/>
          <w:sz w:val="24"/>
        </w:rPr>
        <w:t xml:space="preserve">投标人法定代表人身份证明和投标文件签署授权委托书（另附法定代表人和被授权人的身份证复印件或扫描件）；</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10.2.7 </w:t>
      </w:r>
      <w:r>
        <w:rPr>
          <w:rFonts w:ascii="SimSun" w:hAnsi="SimSun" w:eastAsia="SimSun" w:cs="SimSun"/>
          <w:color w:val="000000"/>
          <w:sz w:val="24"/>
        </w:rPr>
        <w:t xml:space="preserve">投标人为被授权人、项目负责人缴纳的社会养老保险证明；</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10.2.8 </w:t>
      </w:r>
      <w:r>
        <w:rPr>
          <w:rFonts w:ascii="SimSun" w:hAnsi="SimSun" w:eastAsia="SimSun" w:cs="SimSun"/>
          <w:color w:val="000000"/>
          <w:sz w:val="24"/>
        </w:rPr>
        <w:t xml:space="preserve">项目负责人应具有国家注册造价工程师（一级注册造价工程师）执业资格；</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10.2.9非本地企业参加投标的，必须承诺中标后15天内在东台设立固定办公场所和必备的办公设备及相应资格的业务人员（中标后除项目负责人外项目组人员中至少有三名造价师常驻东台）；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10.2.10单位负责人为同一人或者存在直接控股、管理关系的不同供应商，不得参加同一合同项下的政府采购活动（自行承诺，格式自拟）。</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10.2.11 </w:t>
      </w:r>
      <w:r>
        <w:rPr>
          <w:rFonts w:ascii="SimSun" w:hAnsi="SimSun" w:eastAsia="SimSun" w:cs="SimSun"/>
          <w:color w:val="000000"/>
          <w:sz w:val="24"/>
        </w:rPr>
        <w:t xml:space="preserve">与资格审查有关的其他资料（如有）。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 </w:t>
      </w:r>
      <w:r>
        <w:rPr>
          <w:rFonts w:ascii="SimSun" w:hAnsi="SimSun" w:eastAsia="SimSun" w:cs="SimSun"/>
          <w:color w:val="000000"/>
          <w:sz w:val="24"/>
        </w:rPr>
        <w:t xml:space="preserve">符合性资料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10.3.1 </w:t>
      </w:r>
      <w:r>
        <w:rPr>
          <w:rFonts w:ascii="SimSun" w:hAnsi="SimSun" w:eastAsia="SimSun" w:cs="SimSun"/>
          <w:color w:val="000000"/>
          <w:sz w:val="24"/>
        </w:rPr>
        <w:t xml:space="preserve">报价明细表；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10.3.2 </w:t>
      </w:r>
      <w:r>
        <w:rPr>
          <w:rFonts w:ascii="SimSun" w:hAnsi="SimSun" w:eastAsia="SimSun" w:cs="SimSun"/>
          <w:color w:val="000000"/>
          <w:sz w:val="24"/>
        </w:rPr>
        <w:t xml:space="preserve">投标函；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10.3.3 </w:t>
      </w:r>
      <w:r>
        <w:rPr>
          <w:rFonts w:ascii="SimSun" w:hAnsi="SimSun" w:eastAsia="SimSun" w:cs="SimSun"/>
          <w:color w:val="000000"/>
          <w:sz w:val="24"/>
        </w:rPr>
        <w:t xml:space="preserve">所供服务（服务附带的产品）内容及服务要求偏离表；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10.3.4</w:t>
      </w:r>
      <w:r>
        <w:rPr>
          <w:rFonts w:ascii="SimSun" w:hAnsi="SimSun" w:eastAsia="SimSun" w:cs="SimSun"/>
          <w:color w:val="000000"/>
          <w:sz w:val="24"/>
        </w:rPr>
        <w:t xml:space="preserve">投标人的质量保证与纪律保证；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10.3.5 </w:t>
      </w:r>
      <w:r>
        <w:rPr>
          <w:rFonts w:ascii="SimSun" w:hAnsi="SimSun" w:eastAsia="SimSun" w:cs="SimSun"/>
          <w:color w:val="000000"/>
          <w:sz w:val="24"/>
        </w:rPr>
        <w:t xml:space="preserve">小微企业声明函、残疾人福利性单位声明函（如有）；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10.3.6 </w:t>
      </w:r>
      <w:r>
        <w:rPr>
          <w:rFonts w:ascii="SimSun" w:hAnsi="SimSun" w:eastAsia="SimSun" w:cs="SimSun"/>
          <w:color w:val="000000"/>
          <w:sz w:val="24"/>
        </w:rPr>
        <w:t xml:space="preserve">联合体协议（如有）；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10.3.7 </w:t>
      </w:r>
      <w:r>
        <w:rPr>
          <w:rFonts w:ascii="SimSun" w:hAnsi="SimSun" w:eastAsia="SimSun" w:cs="SimSun"/>
          <w:color w:val="000000"/>
          <w:sz w:val="24"/>
        </w:rPr>
        <w:t xml:space="preserve">盐城市政府采购事前信用承诺书；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 </w:t>
      </w:r>
      <w:r>
        <w:rPr>
          <w:rFonts w:ascii="SimSun" w:hAnsi="SimSun" w:eastAsia="SimSun" w:cs="SimSun"/>
          <w:color w:val="000000"/>
          <w:sz w:val="24"/>
        </w:rPr>
        <w:t xml:space="preserve">综合评审相关资料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 </w:t>
      </w:r>
      <w:r>
        <w:rPr>
          <w:rFonts w:ascii="SimSun" w:hAnsi="SimSun" w:eastAsia="SimSun" w:cs="SimSun"/>
          <w:color w:val="000000"/>
          <w:sz w:val="24"/>
        </w:rPr>
        <w:t xml:space="preserve">价格折扣文件（如有）</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）以上材料须按顺序进行排列。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）如为法定代表人参与公开招标的无须提供“投标文件签署授权委托书”和“被授权人缴纳的社会养老保险证明”。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）与本次公开招标无关的资料不要求提供。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10.2如标书制作工具中格式和内容与“江苏政府采购网”、“盐城市政府采购网”发布的招标文件不一致，请以“江苏政府采购网”、“盐城市政府采购网”发布的招标文件为准。</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11、证明投标人及投标标的符合招标文件规定的文件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11.1投标人应按照法律、法规、规章和规范性文件以及招标文件要求提交证明文件，证明其及投标标的符合招标文件规定。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“上一年度的财务状况报表（成立不满一年无需提供）”投标人应至少提供资产负债表、利润表、现金流量表。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“依法缴纳税收的相关材料”，投标人应提供提交投标文件截止时间前一年内至少一个月缴纳税收的凭据。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“依法缴纳社会保障资金的相关材料”，投标人应提供提交投标文件截止时间前一年内至少一个月缴纳社会保险的凭据。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依法免税或不需要缴纳社会保障资金的投标人，应提供相应文件证明其依法免税或不需要缴纳社会保障资金。</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 “申请人的资格要求”和“资格审查资料”中的“近期”是指近两年以来的任一时间段。</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12、投标报价明细表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w:t>
      </w:r>
      <w:r>
        <w:rPr>
          <w:rFonts w:ascii="SimSun" w:hAnsi="SimSun" w:eastAsia="SimSun" w:cs="SimSun"/>
          <w:color w:val="000000"/>
          <w:sz w:val="24"/>
          <w:u w:val="none"/>
        </w:rPr>
        <w:t xml:space="preserve">标人应按照招标文件规定格式填报投标</w:t>
      </w:r>
      <w:r>
        <w:rPr>
          <w:rFonts w:ascii="SimSun" w:hAnsi="SimSun" w:eastAsia="SimSun" w:cs="SimSun"/>
          <w:color w:val="000000"/>
          <w:sz w:val="24"/>
        </w:rPr>
        <w:t xml:space="preserve">报价明细表。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12.3 投标人应按照第六章投标文件格式完整地填写报价明细表，说明其拟提供服务的名称、服务内容、数量、价格等，采购人要求投标人明确填写的相关内容的，也应填写。</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 每项服务内容只允许有一个报价，任何有选择的报价将不予接受。</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 报价除标的物的价款外还应包括包括（但不限于）人工、材料、前期审核、现场踏勘及量测、车费、安全措施、食宿费、劳务费、现场跟踪、税金、配合招标人工作、编制成果报告、利润、风险有可能发生的一切费用。</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13、所供服务（服务附带的产品）内容及服务要求偏离表</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投标人需对招标文件中的服务内容及服务要求要求逐项作出响应或偏离，并说明原因。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14、投标函和开标一览表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14.1投标人应按照招标文件中提供的格式完整、正确填写投标函、开标一览表。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14.2对于采用货币报价的项目，开标一览表中的投标总报价应与投标报价明细表中的投标总报价一致，如不一致，不作为无效投标处理，但评标时按开标一览表中价格为准。</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15、投标有效期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15.1投标有效期为采购人规定的开标之日后六十（60）天。投标有效期比规定短的将被视为未实质性响应招标文件而予以拒绝。</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16、投标有效期的延长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采购中心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四、投标文件的递交</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17、投标文件</w:t>
      </w:r>
      <w:r>
        <w:rPr>
          <w:rFonts w:ascii="SimHei" w:hAnsi="SimHei" w:eastAsia="SimHei" w:cs="SimHei"/>
          <w:color w:val="000000"/>
          <w:sz w:val="28"/>
        </w:rPr>
        <w:t xml:space="preserve">的递交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电子投标文件的递交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18、投标截止时间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18.1投标人上传电子投标文件的时间不得迟于招标公告中规定的投标截止时间。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18.2采购人可以按照规定，通过修改招标文件酌情延长投标截止时间，在此情况下，投标人的所有权利和义务以及投标人受制的截止时间均应以延长后新的截止时间为准。</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19、投标文件</w:t>
      </w:r>
      <w:r>
        <w:rPr>
          <w:rFonts w:ascii="SimHei" w:hAnsi="SimHei" w:eastAsia="SimHei" w:cs="SimHei"/>
          <w:color w:val="000000"/>
          <w:sz w:val="28"/>
        </w:rPr>
        <w:t xml:space="preserve">的拒收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19.1采购人拒绝接收在其规定的投标截止时间后上传的任何投标文件。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20、投标文件的撤回和修改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20.1.1电子投标文件的撤回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20.1.2投标人撤回电子投标文件，则认为其不再参与本项目投标活动。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投标文件的修改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五、开标与评标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21、开标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21.1采购人或代理机构将在招标公告中规定的时间和地点组织公开开标。投标人应当按照《操作手册》规定，参加开标活动和在苏采云系统规定的时间内对投标文件进行解密。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21.2开标仪式由采购人组织。苏采云系统将自动对项目进行开标，并宣布各投标人名称和投标价格。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22、评标委员会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22.1开标后，采购人或代理机构将立即组织评标委员会（以下简称评委会）进行评标。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22.2评委会由采购人代表和有关技术、经济等方面的专家组成，且人员构成符合政府采购有关规定。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22.3评委会独立工作，负责评审所有投标文件并确定中标侯选人。</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23、评标过程的保密与公正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23.1凡是与审查、澄清、评价和比较投标的有关资料以及授标建议等，采购人、评委不得向投标人或与评标无关的其他人员透露。</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23.3采购人和评标委员会不向未中标的投标人解释未中标原因，也不公布评标过程中的相关细节。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23.4采用综合评分法的项目，未中标的投标人可于中标结果公告期限届满之日起通过苏采云系统查看自己的评审得分及排序情况。</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24、投标文件的澄清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24.3接到评委会澄清、说明和补正要求的投标人如未按规定做出澄清、说明和补正，其风险由投标人自行承担。</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25、对投标文件的初审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25.1.1资格审查：依据法律法规和招标文件的规定，由采购人或代理机构对投标文件中的资格证明文件进行审查。资格审查的结论，采购人以书面形式向评委会进行反馈。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25.1.3未通过资格审查或符合性审查的投标人，采购人或者代理机构将在苏采云系统中告知未通过资格审查或符合性审查的原因，评标结束后，采购人将不再告知未通过资格审查和符合性审查的原因。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25.6投标人在开、评标全过程中应保持通讯畅通，及时登录苏采云系统查阅、答复相关信息，并安排专人与</w:t>
      </w:r>
      <w:r>
        <w:rPr>
          <w:rFonts w:ascii="SimSun" w:hAnsi="SimSun" w:eastAsia="SimSun" w:cs="SimSun"/>
          <w:color w:val="000000"/>
          <w:sz w:val="24"/>
        </w:rPr>
        <w:t xml:space="preserve">采购人及评标委员会联系。</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26、无效投标条款和废标条款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26.1无效投标条款</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投标人在苏采云系统规定的时间内未成功解密电子投标文件的。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投标人未按照招标文件要求上传电子投标文件的。</w:t>
      </w:r>
      <w:r/>
    </w:p>
    <w:p>
      <w:pPr>
        <w:ind w:left="479"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同一投标人投标人递交两份或多份内容不同的投标文件，或在一份投标文件中对同一采购项目报有两个或多个报价，且未声明哪一个有效，按招标文件规定提交备选方案的除外。</w:t>
      </w:r>
      <w:r/>
    </w:p>
    <w:p>
      <w:pPr>
        <w:ind w:left="479"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 投标人不具备招标文件中规定资格要求的。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 投标人的报价超过了采购预算或最高限价的。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 被授权人无法提供证明其为本单位正式职工的社会养老保险缴费证明的。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26.1.7 </w:t>
      </w:r>
      <w:r>
        <w:rPr>
          <w:rFonts w:ascii="SimSun" w:hAnsi="SimSun" w:eastAsia="SimSun" w:cs="SimSun"/>
          <w:color w:val="000000"/>
          <w:sz w:val="24"/>
        </w:rPr>
        <w:t xml:space="preserve">由被授权人参加，但未随投标文件一起提交合法、有效的“授权委托书”的。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 投标文件内容不全或关键字迹模糊、无法辨认的。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26.1.9投标文件修改处未加盖投标人公章的。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26.1.10未通过符合性审查的。</w:t>
      </w:r>
      <w:r/>
    </w:p>
    <w:p>
      <w:pPr>
        <w:ind w:left="0" w:right="0" w:firstLine="3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26.1.11不符合招标文件中规定的实质性要求和条件的。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 投标文件含有采购人不能接受的附加条件的。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26.1.14评</w:t>
      </w:r>
      <w:r>
        <w:rPr>
          <w:rFonts w:ascii="SimSun" w:hAnsi="SimSun" w:eastAsia="SimSun" w:cs="SimSun"/>
          <w:b/>
          <w:color w:val="000000"/>
          <w:sz w:val="24"/>
        </w:rPr>
        <w:t xml:space="preserve">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或虽说明理由但评标委员会认为其理由不能成立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26.1.15 投标文件中所供产品供货期限（服务周期）、售后服务条款不符合招标文件相关条款要求或技术指标要求、货物的包装方式、检验标准等低于招标文件规定指标、要求的；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26.1.16 以他人的名义投标、串通投标、以行贿手段谋取中标或者以其他弄虚作假方式投标的；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26.1.17 组成联合体，投标文件未附联合体协议的。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26.1.18 投标文件未按照招标文件要求签署或加盖CA电子公章的。</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26.1.19其他法律、法规及本招标文件规定的属无效投标的情形。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26.2.1符合专业条件的供应商或者对招标文件作实质响应的供应商不足四家的。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26.2.2出现影响采购公正的违法、违规行为的。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26.2.5因苏采云系统故障原因造成开标不成功的。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投标截止时间结束后参加投标的供应商不足四家的处理。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26.3.1如出现投标截止时间结束后参加投标的供应商或者在评标期间对招标文件做出实质响应的供应商不足四家情况，按政府采购相关规定执行。</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六、定标</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27、</w:t>
      </w:r>
      <w:r>
        <w:rPr>
          <w:rFonts w:ascii="SimHei" w:hAnsi="SimHei" w:eastAsia="SimHei" w:cs="SimHei"/>
          <w:color w:val="000000"/>
          <w:sz w:val="28"/>
        </w:rPr>
        <w:t xml:space="preserve">确定中标单位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27.1中标候选人的选取原则和数量见招标文件第五章规定。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27.3采购人将在“中国政府采购网、江苏政府采购网、盐城市政府采购网”发布中标公告，公告期限为1个工作日。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27.4若有充分证据证明，中标人出现下列情况之一的，一经查实，将被取消中标资格：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27.4.2向采购人行贿或者提供其他不正当利益的。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27.4.3属于本文件规定的无效条件，但在评标过程中又未被评委会发现的。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27.5.3不同投标人的投标文件载明的项目管理成员或者联系人员为同一人。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28、质疑处理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或代理机构提出质疑。上述应知其权益受到损害之日，是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供应商应当在法定质疑期内一次性提出针对同一采购程序环节的质疑。供应商如在法定期限内对同一采购程序环节提出多次质疑的，采购人或代理机构将只对供应商第一次质疑作出答复。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28.4供应商（含潜在供应商）对采购方式、招标文件中采购需求、供应商资格条件、评标方法和评标标准、合同文本及资格审查结果的询问、质疑请向采购人或代理机构提出，由采购人或代理机构负责答复。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采购人只接收以纸质原件形式送达的质疑,建议供应商尽量通过邮寄方式提交质疑（采购人不接受未填写快递运单的快件）。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质疑受理部门：</w:t>
      </w:r>
      <w:r>
        <w:rPr>
          <w:rFonts w:ascii="SimSun" w:hAnsi="SimSun" w:eastAsia="SimSun" w:cs="SimSun"/>
          <w:color w:val="000000"/>
          <w:sz w:val="24"/>
          <w:u w:val="single"/>
        </w:rPr>
        <w:t xml:space="preserve">东台市农业农村局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w:t>
      </w:r>
      <w:r>
        <w:rPr>
          <w:rFonts w:ascii="SimSun" w:hAnsi="SimSun" w:eastAsia="SimSun" w:cs="SimSun"/>
          <w:color w:val="000000"/>
          <w:sz w:val="24"/>
          <w:u w:val="single"/>
        </w:rPr>
        <w:t xml:space="preserve">东台市广场路6号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1"/>
          <w:u w:val="single"/>
        </w:rPr>
        <w:t xml:space="preserve"> </w:t>
      </w:r>
      <w:r>
        <w:rPr>
          <w:rFonts w:ascii="SimSun" w:hAnsi="SimSun" w:eastAsia="SimSun" w:cs="SimSun"/>
          <w:color w:val="000000"/>
          <w:sz w:val="24"/>
          <w:u w:val="single"/>
        </w:rPr>
        <w:t xml:space="preserve">0515-85231530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以下情形的质疑不予受理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29、中标通知书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 中标结果确定后，采购人将向中标人发出中标通知书。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七、授予合同</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30.签订合同</w:t>
      </w:r>
      <w:r/>
    </w:p>
    <w:p>
      <w:pPr>
        <w:ind w:left="0" w:right="0" w:firstLine="60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60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30.2招标文件、中标人的投标文件及招标过程中有关澄清、承诺文件均应作为合同附件。</w:t>
      </w:r>
      <w:r/>
    </w:p>
    <w:p>
      <w:pPr>
        <w:ind w:left="0" w:right="0" w:firstLine="601"/>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31、服务（包含与服务相关的货物）的追加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32、政府采购履约资金扶持政策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w:t>
      </w:r>
      <w:r>
        <w:rPr>
          <w:rFonts w:ascii="SimSun" w:hAnsi="SimSun" w:eastAsia="SimSun" w:cs="SimSun"/>
          <w:color w:val="000000"/>
          <w:sz w:val="44"/>
        </w:rPr>
        <w:t xml:space="preserve">  </w:t>
      </w:r>
      <w:r>
        <w:rPr>
          <w:rFonts w:ascii="SimHei" w:hAnsi="SimHei" w:eastAsia="SimHei" w:cs="SimHei"/>
          <w:color w:val="000000"/>
          <w:sz w:val="44"/>
        </w:rPr>
        <w:t xml:space="preserve">合同文本</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以下为中标后签定本项目合同的通用条款，中标人不得提出实质性的修改。</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盐城市政府采购合同（服务）（合同编号）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 目 名 称：</w:t>
      </w:r>
      <w:r>
        <w:rPr>
          <w:rFonts w:ascii="SimSun" w:hAnsi="SimSun" w:eastAsia="SimSun" w:cs="SimSun"/>
          <w:color w:val="000000"/>
          <w:sz w:val="24"/>
          <w:u w:val="single"/>
        </w:rPr>
        <w:t xml:space="preserve">东台市2024年度高标准农田建设项目施工跟踪审计、结算审核服务项目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 目 编 号：</w:t>
      </w:r>
      <w:r>
        <w:rPr>
          <w:rFonts w:ascii="SimSun" w:hAnsi="SimSun" w:eastAsia="SimSun" w:cs="SimSun"/>
          <w:color w:val="000000"/>
          <w:sz w:val="24"/>
          <w:u w:val="single"/>
        </w:rPr>
        <w:t xml:space="preserve">JSZC-320981-BJZC-G2024-0025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 东台市农业农村局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SimSun" w:hAnsi="SimSun" w:eastAsia="SimSun" w:cs="SimSun"/>
          <w:color w:val="000000"/>
          <w:sz w:val="24"/>
          <w:u w:val="single"/>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东台市2024年度高标准农田建设项目施工跟踪审计、结算审核服务项目 </w:t>
      </w:r>
      <w:r>
        <w:rPr>
          <w:rFonts w:ascii="SimSun" w:hAnsi="SimSun" w:eastAsia="SimSun" w:cs="SimSun"/>
          <w:color w:val="000000"/>
          <w:sz w:val="24"/>
        </w:rPr>
        <w:t xml:space="preserve">项目公开招标的结果，签署本合同。</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1.1标的名称：东台市2024年度高标准农田建设项目施工跟踪审计、结算审核服务项目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1.2服务要求：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(1)根据招标人要求开展工作，包括人员、时间、审计要求及组织纪律等。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(2)严格按照廉洁自律的相关要求，不得收取施工单位的礼品与现金、实物和有价票证，不得收取任何费用。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(3)参加审计人员原则上要求具有中级职称或执业资格。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(4)如果出现质量问题或者违规违纪行为，将适当扣除劳务费用，如出现重大责任事故，将依据性质及造成的后果追究其及所在咨询机构责任。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履行时间（期限）：从合同签订之日起至整个项目竣工验收合格、竣工结算审计完成并出具完整的审计报告，向招标人移交全部审计资料为止。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履行地点：东台市</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二、双方约定的由甲方提供工程造价资料及提交的形式、时间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甲方提供与工程相关的资料：施工合同或协议书、工程变更签证（如有）、工程结算书、图纸、位置图等。提交形式以标段为单位，提交时间由甲方确定。</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三、咨询成果报告的要求及交付期限</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工程造价咨询单位根据甲方提供的工程造价资料及国家和省、市行业主管部门的有关工程造价计价标准和规定完成工程竣工结算审核业务，在工程造价咨询单位收到竣工资料15天内向甲方交付咨询成果报告。</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四、双方约定的工程审核内容、付款方式、付款时间和收费标准</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审核内容：中沟级以上建筑物按合同价和设计变更签证计算审定价：道路工程按实际测量长度、宽度及厚度，按照合同价和设计变更签证计算审定价；小沟配套提供规格及数量的报告；林业工程提供实际栽种苗木品种和数量。工程审核必须实地测量。</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收费标准由两部分组成：</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1、基本审核费：审定价×</w:t>
      </w:r>
      <w:r>
        <w:rPr>
          <w:rFonts w:ascii="SimSun" w:hAnsi="SimSun" w:eastAsia="SimSun" w:cs="SimSun"/>
          <w:color w:val="000000"/>
          <w:sz w:val="24"/>
          <w:u w:val="single"/>
        </w:rPr>
        <w:t xml:space="preserve">    </w:t>
      </w:r>
      <w:r>
        <w:rPr>
          <w:rFonts w:ascii="SimSun" w:hAnsi="SimSun" w:eastAsia="SimSun" w:cs="SimSun"/>
          <w:color w:val="000000"/>
          <w:sz w:val="24"/>
        </w:rPr>
        <w:t xml:space="preserve">%（中标费率）。</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2、提成审核费：按项目核减经费提成1%。</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注：1.每个项目工程审核总费用不足3000元的按3000元计算。</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2.总费用如超过上级核准费率的按上级核准费率核算审核费。</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时间：合同签订后预付估算价的30%（在签订合同时，供应商明确书面表示无需预付款或者主动要求降低预付款比例的，采购人可就预付款比例作相应调整。）工程造价咨询单位在规定的时间内向甲方提交全部咨询成果报告后二周内一次性付清，如需审计局复审，则在审核后二周内一次性付清。</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付款方式：转账。</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五、乙方具体工作要求</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在履行本协议期限内，帮助甲方实现预定工程造价咨询目标，公正地维护各方的合法权益。遵守法律、法规，努力做到公正、准确地提供工程造价咨询成果。</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1、施工阶段（含准备工作）</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(1)审查工程进度款支付；</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(2)审查设计变更通知、图纸、现场签证单、技术核定单，并分析其经济性、可行性、合规性、真实性；</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(3)参加隐蔽工程测量并记录留存数据；</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(4)审查施工过程中的其它签证资料；</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(5)审核承建单位的索赔事项；</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(6)参加与工程相关的会议；</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(7)审查建设单位提供材料明细表及施工单位领用签字记录；</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(8)查看材料、设备合格证、材料进场现场验贷记录；</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(9)审查二次招标的招标文件、工程量清单及招标限价；</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(10)参加暂定价材料的询价定价工作，并作出审计建议；</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(11)关注建设单位、监理单位、代建单位等相关单位的履职情况，及时作出审计建议；</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(12)关注工程实体质量。</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2、结算审计</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⑴审查施工结算书、竣工图、隐蔽工程记录等竣工技术文件是否完整，相关人员的签证手续是否齐全；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⑵工程设计图纸和施工技术标准的执行情况；</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⑶设计、监理与施工单位的履约情况；</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⑷甲供材供应商的选择情况、耗用的合理性，甲定乙供材料的价格形成是否合理；</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⑸工程相关合同的完备性与履行情况；</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⑹施工中发生的设计、施工变更及工程量计算情况；对所有签证的合理性、合规性、准确性做出审计报告；</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⑺工程物资管理情况；</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⑻审核索赔费用与反索赔费用的处理情况；</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⑼施工结算书的准确性；</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⑽其他需要审计、审核的内容。</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⑾在甲方接收各级检查验收和审核过程中，必须全程陪同并解释。</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六、甲方的义务</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应当在双方约定的期限内，无偿提供有关工程造价咨询范围所需的详实资料，并对提交的时间、进度、质量负责。若甲方提交资料延期，则工程造价咨询单位咨询工期顺延。甲方对提交资料的真实、合法、完整性负责。</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2、在履行协议期限内，甲方应授权选派一名熟悉业务，知晓法律、法规、能独立作出决定的联系代表，为实现工程造价咨询目标，予以配合，提供依据、证据。</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七、工程造价咨询单位的责任</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1、工程造价咨询单位应当在咨询委托协议书的有效期内，向甲方提供完整、准确的工程造价咨询成果报告并留有完整、准确资料档案，以便查证。</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2、工程造价咨询单位如因质量低劣或弄虚作假造成甲方经济损失，应向甲方进行赔偿，赔偿的方式及金额：（1）重新向甲方出具准确的咨询成果报告；（2）赔偿金额：按现行的法律法规相关条款执行。</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施工单位、设计单位或其他相关单位串通作弊、弄虚作假，或故意叼难、随意克扣，造成不良影响，每发现一次按5万元计扣违约金，服务报酬费不予结算，且委托方有权终止合同，并作为不良行为向相关部门或上网通报，给委托方造成的损失由相关责任人全部承担。</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4、在接受检查验收和审核过程中，对检查或审核出来的问题不能解释清楚，由工程造价咨询单位负责整改并直至消除影响。</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工程造价咨询成果如经财政或审计部门复审发现，其审核结果与复审造价相比在±1%（含1%）以内的不计扣本项目审核服务费；±3%（不含3%）-5%（含5%）的计扣本项目审核服务费的40%；超过±5%的本项目审核服务费不予支付。</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6、工程造价咨询单位在竣工结算审核期间如因项目部人员业务不熟练，给甲方造成不必要的麻烦，甲方可直接指定工程造价咨询单位其他熟悉业务人员负责本项目审核。</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八、甲方的责任</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甲方应当履行工程造价咨询委托协议书约定的义务，如有违约责任，应赔偿工程造价咨询单位经济损失，赔偿的方式及金额按现行的法律法规相关条款执行。</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九、产权担保</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乙方保证所交付的服务（包含与服务相关的货物）的所有权完全属于乙方且无任何抵押、查封等产权瑕疵。</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十、履约保证金</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10.1乙方交纳人民币</w:t>
      </w:r>
      <w:r>
        <w:rPr>
          <w:rFonts w:ascii="SimSun" w:hAnsi="SimSun" w:eastAsia="SimSun" w:cs="SimSun"/>
          <w:color w:val="000000"/>
          <w:sz w:val="21"/>
          <w:u w:val="single"/>
        </w:rPr>
        <w:t xml:space="preserve"> 10000.00元 </w:t>
      </w:r>
      <w:r>
        <w:rPr>
          <w:rFonts w:ascii="SimSun" w:hAnsi="SimSun" w:eastAsia="SimSun" w:cs="SimSun"/>
          <w:color w:val="000000"/>
          <w:sz w:val="21"/>
        </w:rPr>
        <w:t xml:space="preserve">作为本合同的履约保证金。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可以履约保函(保险)形式缴纳履约保证金的相关内容,并明确列示可以通过政府采购电子履约保函(保险)平台(www.isdzbh.com)在线申请履约保函(保险)。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收取履约保证金的，采购人应当允许供应商自主选择以支票、汇票、本票、保函等非现金形式缴纳或提交保证金，并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7030a0"/>
          <w:sz w:val="24"/>
        </w:rPr>
        <w:t xml:space="preserve">按《关于在政府采购活动中应用第三方信用报告落实“信易购”应用场景的通知》（东财购[2021]15号）要求，鼓励采购人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中标人签订采购合同前提供通过“信用盐城网”可查实的AA级及以上第三方信用报告，本项目履约保证金（是/否） </w:t>
      </w:r>
      <w:r>
        <w:rPr>
          <w:rFonts w:ascii="SimSun" w:hAnsi="SimSun" w:eastAsia="SimSun" w:cs="SimSun"/>
          <w:color w:val="7030a0"/>
          <w:sz w:val="24"/>
          <w:u w:val="single"/>
        </w:rPr>
        <w:t xml:space="preserve">是 </w:t>
      </w:r>
      <w:r>
        <w:rPr>
          <w:rFonts w:ascii="SimSun" w:hAnsi="SimSun" w:eastAsia="SimSun" w:cs="SimSun"/>
          <w:color w:val="7030a0"/>
          <w:sz w:val="24"/>
        </w:rPr>
        <w:t xml:space="preserve">免收，降低履约保证金缴纳比例</w:t>
      </w:r>
      <w:r>
        <w:rPr>
          <w:rFonts w:ascii="SimSun" w:hAnsi="SimSun" w:eastAsia="SimSun" w:cs="SimSun"/>
          <w:color w:val="7030a0"/>
          <w:sz w:val="24"/>
          <w:u w:val="single"/>
        </w:rPr>
        <w:t xml:space="preserve"> 100 </w:t>
      </w:r>
      <w:r>
        <w:rPr>
          <w:rFonts w:ascii="SimSun" w:hAnsi="SimSun" w:eastAsia="SimSun" w:cs="SimSun"/>
          <w:color w:val="7030a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10.3履约保证金的退还：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10.3.1方式：无息退还至投标人缴纳履约保证金的账户。如为保函，在到期时自行失效。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10.3.2时间：验收合格且采购人收到发票后30日内。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10.3.3条件：按合同要求全部履约完成并经采购人验收合格，且采购人收到中标人出具的发票。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10.3.4不予退还情形：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除不可抗力情况外，投标人出现下列情形之一的，其履约保证金，招标人将视情节决定不予退还或部分不予退还。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6.3.5逾期退还的违约责任：采购人逾期无故未退还履约保证金的，按中国人民银行同期贷款基准利率上浮20%后的利率支付超期资金占用费，但因供应商自身原因导致无法及时退还的除外。</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十一、合同转包或分包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11.1乙方不得将合同标的转包给他人履行。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11.2乙方不得将合同标的分包给他人履行。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11.3乙方如有转包或未经甲方同意的分包行为，甲方有权解除合同。</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十二、税费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本合同执行中相关的一切税费均由乙方负担。</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十三、不可抗力事件处理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13.1在合同有效期内，任何一方因不可抗力事件导致不能履行合同，则合同履行期可延长，其延长期与不可抗力影响期相同。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13.2不可抗力事件发生后，应立即通知对方，并寄送有关权威机构出具的证明。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13.3不可抗力事件延续120天以上，双方应通过友好协商，确定是否继续履行合同。</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十四、解决争议的方法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双方在签订、履行合同中所发生的一切争议，应通过友好协商解决。如协商不成，由甲方住所地人民法院管辖。</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十五、合同生效及其它</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15.1合同经双方法定代表人或授权委托代表人签字并加盖单位公章后生效。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15.2本合同未尽事宜，遵照《民法典》、《政府采购法》有关条文执行。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本合同正本一式两份，具有同等法律效力，甲方、乙方各执一份。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项目属性:服务类项目。</w:t>
      </w:r>
      <w:r/>
    </w:p>
    <w:p>
      <w:pPr>
        <w:numPr>
          <w:ilvl w:val="0"/>
          <w:numId w:val="6"/>
        </w:numPr>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根据采购人委托完成东台市2024年度高标准农田建设项目施工跟踪审计、结算审核服务项目，具体实施以政府发文批准项目为准。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2、预算金额：51.6万元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3、最高限价为：</w:t>
      </w:r>
      <w:r>
        <w:rPr>
          <w:rFonts w:ascii="SimSun" w:hAnsi="SimSun" w:eastAsia="SimSun" w:cs="SimSun"/>
          <w:color w:val="000000"/>
          <w:sz w:val="24"/>
          <w:u w:val="single"/>
        </w:rPr>
        <w:t xml:space="preserve">审定价的0.285%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4、项目负责人应具有国家注册造价工程师（一级注册造价工程师）执业资格。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5、凡为2024年度高标准农田建设项目提供整体设计、规范编制、招标、监理、第三方验收及检测等服务单位不得参与本项投标。</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1、根据招标人要求开展工作，包括人员、时间、审计要求及组织纪律等。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2、严格按照廉洁自律的相关要求，不得收取施工单位的礼品与现金、实物和有价票证，不得收取任何费用。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3、参加审计人员原则上要求具有中级职称或执业资格。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4、如果出现质量问题或者违规违纪行为，将适当扣除劳务费用，如出现重大责任事故，将依据性质及造成的后果追究其及所在咨询机构责任。</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三、履行期限和地点：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履行期限：从合同签订之日起至整个项目竣工验收合格、竣工结算审计完成并出具完整的审计报告，向招标人移交全部审计资料为止。</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履行地点：东台市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四、双方约定的由甲方提供工程造价资料及提交的形式、时间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甲方提供与工程相关的资料：施工合同或协议书、工程变更签证（如有）、工程结算书、图纸、位置图等。提交形式以标段为单位，提交时间由甲方确定。</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五、咨询成果报告的要求及交付期限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工程造价咨询单位根据甲方提供的工程造价资料及国家和省、市行业主管部门的有关工程造价计价标准和规定完成工程竣工结算审核业务，在工程造价咨询单位收到竣工资料15天内向甲方交付咨询成果报告。</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highlight w:val="yellow"/>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2024年度高标准农田建设项目工程审计分配表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bl>
      <w:tblPr>
        <w:tblStyle w:val="6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1"/>
        <w:gridCol w:w="5336"/>
        <w:gridCol w:w="1186"/>
        <w:gridCol w:w="1198"/>
        <w:gridCol w:w="11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6" w:type="dxa"/>
            <w:vAlign w:val="center"/>
            <w:textDirection w:val="lrTb"/>
            <w:noWrap w:val="false"/>
          </w:tcPr>
          <w:p>
            <w:pPr>
              <w:ind w:left="42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项目规模（万亩）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rHeight w:val="6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6"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2024年度江苏省盐城市东台市唐洋镇高标准农田新建项目（财政补助）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vMerge w:val="restart"/>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第一中标候选人</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6"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2024年度江苏省盐城市东台市三仓镇高标准农田新建项目（财政补助）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6"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2024年度江苏省盐城市东台市三仓镇高标准农田改造提升建设项目（财政补助）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改造提升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w:t>
            </w:r>
            <w:r/>
          </w:p>
        </w:tc>
        <w:tc>
          <w:tcPr>
            <w:vMerge w:val="continue"/>
            <w:textDirection w:val="lrTb"/>
            <w:noWrap w:val="false"/>
          </w:tcPr>
          <w:p>
            <w:r/>
            <w:r/>
          </w:p>
        </w:tc>
      </w:tr>
      <w:tr>
        <w:trPr>
          <w:trHeight w:val="6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6"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2024年度江苏省盐城市东台市时堰镇高标准农田改造提升建设项目（财政补助）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改造提升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0.9</w:t>
            </w:r>
            <w:r/>
          </w:p>
        </w:tc>
        <w:tc>
          <w:tcPr>
            <w:vMerge w:val="continue"/>
            <w:textDirection w:val="lrTb"/>
            <w:noWrap w:val="false"/>
          </w:tcPr>
          <w:p>
            <w:r/>
            <w:r/>
          </w:p>
        </w:tc>
      </w:tr>
      <w:tr>
        <w:trPr>
          <w:trHeight w:val="6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6"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2024年度江苏省盐城市东台市南沈灶镇高标准农田改造提升建设项目（财政补助）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改造提升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vMerge w:val="continue"/>
            <w:textDirection w:val="lrTb"/>
            <w:noWrap w:val="false"/>
          </w:tcPr>
          <w:p>
            <w:r/>
            <w:r/>
          </w:p>
        </w:tc>
      </w:tr>
      <w:tr>
        <w:trPr>
          <w:trHeight w:val="7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6"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2024年度江苏省盐城市东台市富安镇高标准农田改造提升建设项目（财政补助）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改造提升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0.35</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2024年度江苏省盐城市东台市五烈镇高标准农田新建项目（财政补助）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2" w:type="dxa"/>
            <w:vAlign w:val="center"/>
            <w:vMerge w:val="restart"/>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第二中标候选人</w:t>
            </w:r>
            <w:r/>
          </w:p>
        </w:tc>
      </w:tr>
      <w:tr>
        <w:trPr>
          <w:trHeight w:val="5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2024年度江苏省盐城市东台市头灶镇高标准农田改造提升建设项目（财政补助）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改造提升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0.8</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2024年度江苏省盐城市东台市东台镇高标准农田新建项目（财政补助）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0.4</w:t>
            </w:r>
            <w:r/>
          </w:p>
        </w:tc>
        <w:tc>
          <w:tcPr>
            <w:vMerge w:val="continue"/>
            <w:textDirection w:val="lrTb"/>
            <w:noWrap w:val="false"/>
          </w:tcPr>
          <w:p>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2024年度江苏省盐城市东台市梁垛镇高标准农田改造提升建设项目（财政补助）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改造提升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0"/>
              <w:jc w:val="center"/>
              <w:spacing w:before="210" w:after="12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vMerge w:val="continue"/>
            <w:textDirection w:val="lrTb"/>
            <w:noWrap w:val="false"/>
          </w:tcPr>
          <w:p>
            <w:r/>
            <w:r/>
          </w:p>
        </w:tc>
      </w:tr>
    </w:tbl>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第五章</w:t>
      </w:r>
      <w:r>
        <w:rPr>
          <w:rFonts w:ascii="SimSun" w:hAnsi="SimSun" w:eastAsia="SimSun" w:cs="SimSun"/>
          <w:color w:val="000000"/>
          <w:sz w:val="44"/>
        </w:rPr>
        <w:t xml:space="preserve">  </w:t>
      </w:r>
      <w:r>
        <w:rPr>
          <w:rFonts w:ascii="SimHei" w:hAnsi="SimHei" w:eastAsia="SimHei" w:cs="SimHei"/>
          <w:b/>
          <w:color w:val="000000"/>
          <w:sz w:val="44"/>
        </w:rPr>
        <w:t xml:space="preserve">评标方法与评标标准</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2名中标候选人。</w:t>
      </w:r>
      <w:r>
        <w:rPr>
          <w:rFonts w:ascii="FangSong" w:hAnsi="FangSong" w:eastAsia="FangSong" w:cs="FangSong"/>
          <w:b/>
          <w:color w:val="000000"/>
          <w:sz w:val="24"/>
        </w:rPr>
        <w:t xml:space="preserve">在综合得分最高的二名投标人中，</w:t>
      </w:r>
      <w:r>
        <w:rPr>
          <w:rFonts w:ascii="FangSong" w:hAnsi="FangSong" w:eastAsia="FangSong" w:cs="FangSong"/>
          <w:b/>
          <w:color w:val="000000"/>
          <w:sz w:val="24"/>
          <w:highlight w:val="yellow"/>
        </w:rPr>
        <w:t xml:space="preserve">平均后报价为中标报价，综合得分最高的二名投标人承诺该报价，如不承诺，视同放弃。</w:t>
      </w:r>
      <w:r>
        <w:rPr>
          <w:rFonts w:ascii="FangSong" w:hAnsi="FangSong" w:eastAsia="FangSong" w:cs="FangSong"/>
          <w:b/>
          <w:color w:val="000000"/>
          <w:sz w:val="24"/>
        </w:rPr>
        <w:t xml:space="preserve">则从得分由高到低的顺序按上述方法递选中标候选人。依此类推，直至最终确定二名中标候选人。</w:t>
      </w:r>
      <w:r/>
    </w:p>
    <w:p>
      <w:pPr>
        <w:ind w:left="0" w:right="0" w:firstLine="482"/>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一、政府采购政策功能落实</w:t>
      </w:r>
      <w:r/>
    </w:p>
    <w:p>
      <w:pPr>
        <w:ind w:left="0" w:right="0" w:firstLine="48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1、小微型企业价格扣除</w:t>
      </w:r>
      <w:r/>
    </w:p>
    <w:p>
      <w:pPr>
        <w:ind w:left="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（1）本项目对小型和微型企业提供的服务给予</w:t>
      </w:r>
      <w:r>
        <w:rPr>
          <w:rFonts w:ascii="SimSun" w:hAnsi="SimSun" w:eastAsia="SimSun" w:cs="SimSun"/>
          <w:color w:val="000000"/>
          <w:sz w:val="24"/>
          <w:u w:val="single"/>
        </w:rPr>
        <w:t xml:space="preserve">20%</w:t>
      </w:r>
      <w:r>
        <w:rPr>
          <w:rFonts w:ascii="SimSun" w:hAnsi="SimSun" w:eastAsia="SimSun" w:cs="SimSun"/>
          <w:color w:val="000000"/>
          <w:sz w:val="24"/>
        </w:rPr>
        <w:t xml:space="preserve">的扣除价格，用扣除后的价格参与评审。</w:t>
      </w:r>
      <w:r/>
    </w:p>
    <w:p>
      <w:pPr>
        <w:ind w:left="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2、残疾人福利单位价格扣除</w:t>
      </w:r>
      <w:r/>
    </w:p>
    <w:p>
      <w:pPr>
        <w:ind w:left="12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w:t>
      </w:r>
      <w:r/>
    </w:p>
    <w:p>
      <w:pPr>
        <w:ind w:left="12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3、监狱和戒毒企业价格扣除</w:t>
      </w:r>
      <w:r/>
    </w:p>
    <w:p>
      <w:pPr>
        <w:ind w:left="0" w:right="0" w:firstLine="48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p>
    <w:p>
      <w:pPr>
        <w:ind w:left="0" w:right="0" w:firstLine="48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12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6、联合体各方均为小型、微型企业（残疾人福利单位、监狱企业）的，联合体享受20%。</w:t>
      </w:r>
      <w:r/>
    </w:p>
    <w:p>
      <w:pPr>
        <w:ind w:left="12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12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8.供应商对于投标产品的商品包装、快递包装应按照《关于印发《商品包装政府采购需求标准（试行）》、《快递包装政府采购需求标准（试行）》的通知》（财办库〔2020〕123号）执行。</w:t>
      </w:r>
      <w:r/>
    </w:p>
    <w:p>
      <w:pPr>
        <w:ind w:left="12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9.本文件中若涉及到数据中心采购，应按照《&lt;绿色数据中心政府采购需求标准（试行）&gt;的通知》（财库〔2023〕7号）执行。</w:t>
      </w:r>
      <w:r/>
    </w:p>
    <w:p>
      <w:pPr>
        <w:ind w:left="120" w:right="0" w:firstLine="360"/>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10.根据《江苏省政府采购信用管理暂行办法》的规定，供应商信用评价结果为三星的扣2分，评价结果为二星的扣3分，评价结果为一星的扣4分。</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二、评标方法与评标标准</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1、本次招标活动采用综合评分法：是指投标文件满足招标文件全部实质性要求，且按照评审因素的量化指标评审得分最高的投标人为中标候选人的评标方法。</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具体评审细则如下：</w:t>
      </w:r>
      <w:r/>
    </w:p>
    <w:tbl>
      <w:tblPr>
        <w:tblStyle w:val="6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1"/>
        <w:gridCol w:w="1389"/>
        <w:gridCol w:w="1337"/>
        <w:gridCol w:w="656"/>
        <w:gridCol w:w="4585"/>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分部内容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分项内容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85" w:type="dxa"/>
            <w:vAlign w:val="center"/>
            <w:textDirection w:val="lrTb"/>
            <w:noWrap w:val="false"/>
          </w:tcPr>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打分要求</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价格部分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报价分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5"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满足招标文件要求且投标价格最低的投标报价为基准价，其价格分为满分。报价得分=(评标基准价/投标报价)×10。</w:t>
            </w:r>
            <w:r/>
          </w:p>
        </w:tc>
      </w:tr>
      <w:tr>
        <w:trPr>
          <w:trHeight w:val="27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人员投入、资信及荣誉表彰情况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企业为本项目服务的注册造价师数量及专业配备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5"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企业为本项目服务的注册造价师数量及专业配备（6分）：6—10人(含10人)得4分；11-15人（含15人）得5分；16人及以上得6分。注:投标人投标时提供其员工的造价师注册证书扫描件（已批准注册但尚未取得造价师注册证书的须提供批准文件）、养老保险交纳证明扫描件（或分公司养老保险交纳证明，执业期范围内退休人员提供续聘合同、退休证明扫描件），不提供不得分。</w:t>
            </w:r>
            <w:r/>
          </w:p>
        </w:tc>
      </w:tr>
      <w:tr>
        <w:trPr>
          <w:trHeight w:val="246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企业资信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具有有效期内的工程造价管理协会颁发的信用登记证书：国家级AAA或省级AAAAA级或市级及以上工程造价管理处评定的企业信用评价五星得3分；国家级AA或省级AAAA级或市级及以上工程造价管理处评定的企业信用评价四星得2分；国家级A或省级AAA级或市级及以上工程造价管理处评定的企业信用评价三星得1分。其他不得分。</w:t>
            </w:r>
            <w:r/>
          </w:p>
        </w:tc>
      </w:tr>
      <w:tr>
        <w:trPr>
          <w:trHeight w:val="1687"/>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企业认证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具有ISO9001质量管理体系认证证书、ISO14001环境管理体系认证证书、OHSAS18001职业健康安全体系认证证书或ISO45001职业健康安全管理体系认证证书，且在有效期范围内的，有1个得1分，最高得3分，不提供不得分。</w:t>
            </w:r>
            <w:r/>
          </w:p>
        </w:tc>
      </w:tr>
      <w:tr>
        <w:trPr>
          <w:trHeight w:val="114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荣誉表彰情况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投标人2019年以来（以获得造价管理部门颁发的地市级及以上荣誉表彰的得1分，最高得2分（提供表彰证书或批文扫描件，不提供不得分）。</w:t>
            </w:r>
            <w:r/>
          </w:p>
        </w:tc>
      </w:tr>
      <w:tr>
        <w:trPr>
          <w:trHeight w:val="2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三</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企业内部管理及质量控制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评委会根据提供的企业组织机构、审计质量内部控制体系、审计质量控制制度、内部档案管理制度、内部人事管理和财务管理制度的完善性、可行性、合理性进行综合打分，打评分区间：15-28分。</w:t>
            </w:r>
            <w:r/>
          </w:p>
        </w:tc>
      </w:tr>
      <w:tr>
        <w:trPr>
          <w:trHeight w:val="18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四</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服务措施及拟定的审查方案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评价内容包括：组织实施的方案、人员计划安排、项目实施组织机构情况、负责人业绩与介绍、进度保证、审查工作标准与要求、实施过程中突发事件处理机构与预案、优质服务承诺、与相关机构之间的协调机制及对参加人员的管理情况综合打分，打评分区间：18-30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五</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廉政建设的保证措施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廉政建设情况：廉政建设的保证措施是否得力可行，评分区间：7-13分。以0.01分为记分单位。</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项目负责人自2021年以来承担的类似单项工程结算审（核）项目工程审计业绩。有一个得2分，最多得5分。注：需提供合同、成果文件。不提供不得分。</w:t>
            </w:r>
            <w:r/>
          </w:p>
        </w:tc>
      </w:tr>
    </w:tbl>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说明：（1）所有打分项均以投标人所提供的投标文件进行打分，投标文件中未提及的不予认可，投标文件提交截止时间后不得修改或是补充投标文件。</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（2）投标人的最终得分为所有评委打分的平均值，计算结果保留至小数点后两位。</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（3）评标委员会根据评标标准或采购人的委托确定中标（候选）人。</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yellow"/>
        </w:rPr>
        <w:t xml:space="preserve"> </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w:t>
      </w:r>
      <w:r>
        <w:rPr>
          <w:rFonts w:ascii="SimSun" w:hAnsi="SimSun" w:eastAsia="SimSun" w:cs="SimSun"/>
          <w:color w:val="000000"/>
          <w:sz w:val="44"/>
        </w:rPr>
        <w:t xml:space="preserve">  </w:t>
      </w:r>
      <w:r>
        <w:rPr>
          <w:rFonts w:ascii="SimHei" w:hAnsi="SimHei" w:eastAsia="SimHei" w:cs="SimHei"/>
          <w:color w:val="000000"/>
          <w:sz w:val="44"/>
        </w:rPr>
        <w:t xml:space="preserve">投标文件格式</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投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名 称：</w:t>
      </w:r>
      <w:r>
        <w:rPr>
          <w:rFonts w:ascii="SimSun" w:hAnsi="SimSun" w:eastAsia="SimSun" w:cs="SimSun"/>
          <w:b/>
          <w:color w:val="000000"/>
          <w:sz w:val="36"/>
          <w:u w:val="single"/>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编 号：</w:t>
      </w: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投标文件目录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一、开标一览表（系统固定格式）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二、资格审查资料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（2）上一年度的财务状况报表（成立不满一年无需提供）投标人应至少提供资产负债表、利润表、现金流量表；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 3 年内在经营活动中没有重大违法记录的书面声明；</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（6）投标人法定代表人身份证明和投标文件签署授权委托书（另附法定代表人和被授权人的身份证复印件或扫描件）；</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（7）投标人为被授权人、项目负责人缴纳的社会养老保险证明；</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）项目负责人应具有国家注册造价工程师（一级注册造价工程师）执业资格；</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）非本地企业参加投标的，必须承诺中标后15天内在东台设立固定办公场所和必备的办公设备及相应资格的业务人员（中标后除项目负责人外项目组人员中至少有三名造价师常驻东台）；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（10）单位负责人为同一人或者存在直接控股、管理关系的不同供应商，不得参加同一合同项下的政府采购活动（自行承诺，格式自拟）；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（11）与资格审查有关的其他资料（如有）。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三、符合性资料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（1）投标报价明细表；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（3）所供服务（服务附带的产品）内容及服务要求偏离表；</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（4）投标人的质量保证与纪律保证；</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（5）小微企业声明函（如有）；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（6）残疾人福利性单位声明函（如有）；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（7）联合体协议（如有）；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（8）盐城市政府采购事前信用承诺书。</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四、综合评审相关资料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五、价格折扣文件（如有）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1.具有履行合同所必需的设备和专业技术能力的书面声明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p>
    <w:p>
      <w:pPr>
        <w:ind w:left="0" w:right="0" w:firstLine="16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16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2.参加政府采购活动前3年内在经营活动中</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没有重大违法记录的书面声明</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p>
    <w:p>
      <w:pPr>
        <w:ind w:left="0" w:right="0" w:firstLine="16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16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right"/>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3.法定代表人身份证明书</w:t>
      </w:r>
      <w:r/>
    </w:p>
    <w:p>
      <w:pPr>
        <w:ind w:left="0" w:right="0" w:firstLine="0"/>
        <w:jc w:val="center"/>
        <w:spacing w:before="0" w:after="0" w:line="6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：（采购人名称）</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（法定代表人姓名） </w:t>
      </w:r>
      <w:r>
        <w:rPr>
          <w:rFonts w:ascii="SimSun" w:hAnsi="SimSun" w:eastAsia="SimSun" w:cs="SimSun"/>
          <w:color w:val="000000"/>
          <w:sz w:val="24"/>
        </w:rPr>
        <w:t xml:space="preserve">在</w:t>
      </w:r>
      <w:r>
        <w:rPr>
          <w:rFonts w:ascii="SimSun" w:hAnsi="SimSun" w:eastAsia="SimSun" w:cs="SimSun"/>
          <w:color w:val="000000"/>
          <w:sz w:val="24"/>
          <w:u w:val="single"/>
        </w:rPr>
        <w:t xml:space="preserve">     （投标人名称）</w:t>
      </w:r>
      <w:r>
        <w:rPr>
          <w:rFonts w:ascii="SimSun" w:hAnsi="SimSun" w:eastAsia="SimSun" w:cs="SimSun"/>
          <w:color w:val="000000"/>
          <w:sz w:val="24"/>
        </w:rPr>
        <w:t xml:space="preserve"> 任</w:t>
      </w:r>
      <w:r>
        <w:rPr>
          <w:rFonts w:ascii="SimSun" w:hAnsi="SimSun" w:eastAsia="SimSun" w:cs="SimSun"/>
          <w:color w:val="000000"/>
          <w:sz w:val="24"/>
          <w:u w:val="single"/>
        </w:rPr>
        <w:t xml:space="preserve">（职务名称）</w:t>
      </w:r>
      <w:r>
        <w:rPr>
          <w:rFonts w:ascii="SimSun" w:hAnsi="SimSun" w:eastAsia="SimSun" w:cs="SimSun"/>
          <w:color w:val="000000"/>
          <w:sz w:val="24"/>
        </w:rPr>
        <w:t xml:space="preserve">职务，是</w:t>
      </w:r>
      <w:r>
        <w:rPr>
          <w:rFonts w:ascii="SimSun" w:hAnsi="SimSun" w:eastAsia="SimSun" w:cs="SimSun"/>
          <w:color w:val="000000"/>
          <w:sz w:val="24"/>
          <w:u w:val="single"/>
        </w:rPr>
        <w:t xml:space="preserve">        （投标人名称）</w:t>
      </w:r>
      <w:r>
        <w:rPr>
          <w:rFonts w:ascii="SimSun" w:hAnsi="SimSun" w:eastAsia="SimSun" w:cs="SimSun"/>
          <w:color w:val="000000"/>
          <w:sz w:val="24"/>
        </w:rPr>
        <w:t xml:space="preserve">的法定代表人，联系电话（手机号码）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      </w:t>
      </w:r>
      <w:r/>
    </w:p>
    <w:p>
      <w:pPr>
        <w:ind w:left="0" w:right="0" w:firstLine="120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126"/>
        <w:jc w:val="right"/>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（附：法定代表人身份证正反面复印件或扫描件）</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4.授权委托书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本授权书声明：我</w:t>
      </w:r>
      <w:r>
        <w:rPr>
          <w:rFonts w:ascii="SimSun" w:hAnsi="SimSun" w:eastAsia="SimSun" w:cs="SimSun"/>
          <w:color w:val="000000"/>
          <w:sz w:val="24"/>
          <w:u w:val="single"/>
        </w:rPr>
        <w:t xml:space="preserve">       （姓名）</w:t>
      </w:r>
      <w:r>
        <w:rPr>
          <w:rFonts w:ascii="SimSun" w:hAnsi="SimSun" w:eastAsia="SimSun" w:cs="SimSun"/>
          <w:color w:val="000000"/>
          <w:sz w:val="24"/>
        </w:rPr>
        <w:t xml:space="preserve">系</w:t>
      </w:r>
      <w:r>
        <w:rPr>
          <w:rFonts w:ascii="SimSun" w:hAnsi="SimSun" w:eastAsia="SimSun" w:cs="SimSun"/>
          <w:color w:val="000000"/>
          <w:sz w:val="24"/>
          <w:u w:val="single"/>
        </w:rPr>
        <w:t xml:space="preserve">      （投标人名称）</w:t>
      </w:r>
      <w:r>
        <w:rPr>
          <w:rFonts w:ascii="SimSun" w:hAnsi="SimSun" w:eastAsia="SimSun" w:cs="SimSun"/>
          <w:color w:val="000000"/>
          <w:sz w:val="24"/>
        </w:rPr>
        <w:t xml:space="preserve"> 的法定代表人，现授权____________（投标人名称）的________________（被授权人的姓名）为我单位就JSZC-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号项目的投标文件的法定代表人授权委托代理，，我承认被授权人全权代表我所签署的本项目的投标文件的内容。以本单位名义全权处理一切与该项目采购有关的事务。</w:t>
      </w:r>
      <w:r/>
    </w:p>
    <w:p>
      <w:pPr>
        <w:ind w:left="0" w:right="0" w:firstLine="48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代理人被授权人身份证号码：</w:t>
      </w:r>
      <w:r>
        <w:rPr>
          <w:rFonts w:ascii="SimSun" w:hAnsi="SimSun" w:eastAsia="SimSun" w:cs="SimSun"/>
          <w:color w:val="000000"/>
          <w:sz w:val="24"/>
          <w:u w:val="single"/>
        </w:rPr>
        <w:t xml:space="preserve">                              </w:t>
      </w:r>
      <w:r/>
    </w:p>
    <w:p>
      <w:pPr>
        <w:ind w:left="0" w:right="0" w:firstLine="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  （加盖CA电子公章）</w:t>
      </w:r>
      <w:r/>
    </w:p>
    <w:p>
      <w:pPr>
        <w:ind w:left="0" w:right="0" w:firstLine="1200"/>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（附：被授权人身份证正反面复印件或扫描件）</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5.开标一览表（格式）</w:t>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tbl>
      <w:tblPr>
        <w:tblStyle w:val="6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4"/>
        <w:gridCol w:w="6712"/>
      </w:tblGrid>
      <w:tr>
        <w:trPr>
          <w:trHeight w:val="7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 编 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12" w:type="dxa"/>
            <w:vAlign w:val="center"/>
            <w:textDirection w:val="lrTb"/>
            <w:noWrap w:val="false"/>
          </w:tcPr>
          <w:p>
            <w:pPr>
              <w:ind w:left="0" w:right="0" w:firstLine="689"/>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tc>
      </w:tr>
      <w:tr>
        <w:trPr>
          <w:trHeight w:val="7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 目 名 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2"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8"/>
              </w:rPr>
              <w:t xml:space="preserve"> </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项目投标报价：（大写）</w:t>
            </w:r>
            <w:r>
              <w:rPr>
                <w:rFonts w:ascii="SimSun" w:hAnsi="SimSun" w:eastAsia="SimSun" w:cs="SimSun"/>
                <w:b/>
                <w:color w:val="000000"/>
                <w:sz w:val="21"/>
                <w:u w:val="single"/>
              </w:rPr>
              <w:t xml:space="preserve">                       </w:t>
            </w:r>
            <w:r>
              <w:rPr>
                <w:rFonts w:ascii="SimSun" w:hAnsi="SimSun" w:eastAsia="SimSun" w:cs="SimSun"/>
                <w:b/>
                <w:color w:val="000000"/>
                <w:sz w:val="21"/>
              </w:rPr>
              <w:t xml:space="preserve">，小写：</w:t>
            </w:r>
            <w:r>
              <w:rPr>
                <w:rFonts w:ascii="SimSun" w:hAnsi="SimSun" w:eastAsia="SimSun" w:cs="SimSun"/>
                <w:b/>
                <w:color w:val="000000"/>
                <w:sz w:val="21"/>
                <w:u w:val="single"/>
              </w:rPr>
              <w:t xml:space="preserve">                     </w:t>
            </w:r>
            <w:r>
              <w:rPr>
                <w:rFonts w:ascii="SimSun" w:hAnsi="SimSun" w:eastAsia="SimSun" w:cs="SimSun"/>
                <w:b/>
                <w:color w:val="000000"/>
                <w:sz w:val="21"/>
              </w:rPr>
              <w:t xml:space="preserve"> </w:t>
            </w:r>
            <w:r/>
          </w:p>
        </w:tc>
      </w:tr>
      <w:tr>
        <w:trPr>
          <w:trHeight w:val="82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是否提供《企业类型声明函》：</w:t>
            </w:r>
            <w:r>
              <w:rPr>
                <w:rFonts w:ascii="SimSun" w:hAnsi="SimSun" w:eastAsia="SimSun" w:cs="SimSun"/>
                <w:b/>
                <w:color w:val="000000"/>
                <w:sz w:val="21"/>
                <w:u w:val="single"/>
              </w:rPr>
              <w:t xml:space="preserve">  是/否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填写说明：</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开标一览表不得填报选择性报价，否则将作为无效投标。</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投标报价保留三位小数。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pPr>
        <w:ind w:left="0" w:right="0" w:firstLine="240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33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p>
    <w:p>
      <w:pPr>
        <w:ind w:left="0" w:right="0" w:firstLine="16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120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年</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月</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6.报价明细表（格式）</w:t>
      </w:r>
      <w:r/>
    </w:p>
    <w:tbl>
      <w:tblPr>
        <w:tblStyle w:val="6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3"/>
        <w:gridCol w:w="3635"/>
        <w:gridCol w:w="702"/>
        <w:gridCol w:w="1049"/>
        <w:gridCol w:w="2470"/>
      </w:tblGrid>
      <w:tr>
        <w:trPr>
          <w:trHeight w:val="59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36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报价</w:t>
            </w:r>
            <w:r/>
          </w:p>
        </w:tc>
      </w:tr>
      <w:tr>
        <w:trPr>
          <w:trHeight w:val="57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36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东台市2024年度高标准农田建设项目施工跟踪审计、结算审核服务</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审定价的</w:t>
            </w:r>
            <w:r>
              <w:rPr>
                <w:rFonts w:ascii="SimSun" w:hAnsi="SimSun" w:eastAsia="SimSun" w:cs="SimSun"/>
                <w:color w:val="000000"/>
                <w:sz w:val="21"/>
                <w:u w:val="single"/>
              </w:rPr>
              <w:t xml:space="preserve">    %</w:t>
            </w:r>
            <w:r/>
          </w:p>
        </w:tc>
      </w:tr>
    </w:tbl>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注：1.单价及总价中包括（但不限于）人工、材料、前期审核、现场踏勘及量测、车费、安全措施、食宿费、劳务费、现场跟踪、税金、配合招标人工作、编制成果报告、利润、风险有可能发生的一切费用。</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2.此表可以根据需要自行增减行数。</w:t>
      </w:r>
      <w:r/>
    </w:p>
    <w:p>
      <w:pPr>
        <w:ind w:left="0" w:right="0" w:firstLine="42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p>
    <w:p>
      <w:pPr>
        <w:ind w:left="0" w:right="0" w:firstLine="168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3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120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7.投标函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JSZC-320000-***</w:t>
      </w:r>
      <w:r>
        <w:rPr>
          <w:rFonts w:ascii="SimSun" w:hAnsi="SimSun" w:eastAsia="SimSun" w:cs="SimSun"/>
          <w:color w:val="000000"/>
          <w:sz w:val="24"/>
        </w:rPr>
        <w:t xml:space="preserve">号招标文件，正式授权下述签字人______(姓名)代表我方______________（投标人的名称），全权处理本次项目投标的有关事宜。</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numPr>
          <w:ilvl w:val="0"/>
          <w:numId w:val="9"/>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按招标文件规定的各项要求，向买方提供所需货物与服务。</w:t>
      </w:r>
      <w:r/>
    </w:p>
    <w:p>
      <w:pPr>
        <w:numPr>
          <w:ilvl w:val="0"/>
          <w:numId w:val="9"/>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我们完全理解贵方不一定将合同授予最低报价的投标人。</w:t>
      </w:r>
      <w:r/>
    </w:p>
    <w:p>
      <w:pPr>
        <w:numPr>
          <w:ilvl w:val="0"/>
          <w:numId w:val="9"/>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我们已详细审核全部招标文件及其有效补充文件，我们知道必须放弃提出含糊不清或误解问题的权利。</w:t>
      </w:r>
      <w:r/>
    </w:p>
    <w:p>
      <w:pPr>
        <w:numPr>
          <w:ilvl w:val="0"/>
          <w:numId w:val="9"/>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我们同意从规定的投标文件提交截止时间起遵循本投标文件，具有约束力。</w:t>
      </w:r>
      <w:r/>
    </w:p>
    <w:p>
      <w:pPr>
        <w:numPr>
          <w:ilvl w:val="0"/>
          <w:numId w:val="9"/>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同意向贵方提供贵方可能另外要求的与采购有关的任何证据或资料，并保证我方已提供的文件是真实的、准确的。</w:t>
      </w:r>
      <w:r/>
    </w:p>
    <w:p>
      <w:pPr>
        <w:numPr>
          <w:ilvl w:val="0"/>
          <w:numId w:val="9"/>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一旦我方中标，我方将根据招标文件的规定，严格履行合同的责任和义务，并保证在招标文件规定的时间完成项目，交付买方验收、使用。</w:t>
      </w:r>
      <w:r/>
    </w:p>
    <w:p>
      <w:pPr>
        <w:numPr>
          <w:ilvl w:val="0"/>
          <w:numId w:val="9"/>
        </w:numPr>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与本次招标有关的正式通讯地址为：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w:t>
      </w:r>
      <w:r/>
    </w:p>
    <w:p>
      <w:pPr>
        <w:ind w:left="0" w:right="0" w:firstLine="924"/>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rPr>
          <w:rFonts w:ascii="SimSun" w:hAnsi="SimSun" w:eastAsia="SimSun" w:cs="SimSun"/>
          <w:color w:val="000000"/>
          <w:sz w:val="24"/>
          <w:u w:val="single"/>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rPr>
          <w:rFonts w:ascii="FangSong" w:hAnsi="FangSong" w:eastAsia="FangSong" w:cs="FangSong"/>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48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8.所供服务（服务附带的产品）内容及服务要求偏离表</w:t>
      </w:r>
      <w:r/>
    </w:p>
    <w:p>
      <w:pPr>
        <w:ind w:left="48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bl>
      <w:tblPr>
        <w:tblStyle w:val="6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1760"/>
        <w:gridCol w:w="2493"/>
        <w:gridCol w:w="2268"/>
        <w:gridCol w:w="1067"/>
      </w:tblGrid>
      <w:tr>
        <w:trPr>
          <w:trHeight w:val="556"/>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76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49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采购服务（服务附带的产品）内容及服务要求</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226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所供服务（服务附带的产品）内容及服务要求</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5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6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49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26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6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49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26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6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49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26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6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49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26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6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49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26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5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24"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76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493"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26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06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注：该表必须按照招标文件要求逐条如实填写，根据所供产品情况在“偏离说明”项填写正偏离或负偏离及原因，完全符合的填写“无偏离”。</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9.质量保证与纪律保证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如我方中标，郑重承诺如下：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本保证书作为</w:t>
      </w:r>
      <w:r>
        <w:rPr>
          <w:rFonts w:ascii="SimSun" w:hAnsi="SimSun" w:eastAsia="SimSun" w:cs="SimSun"/>
          <w:color w:val="000000"/>
          <w:sz w:val="24"/>
          <w:u w:val="single"/>
        </w:rPr>
        <w:t xml:space="preserve">                 </w:t>
      </w:r>
      <w:r>
        <w:rPr>
          <w:rFonts w:ascii="SimSun" w:hAnsi="SimSun" w:eastAsia="SimSun" w:cs="SimSun"/>
          <w:color w:val="000000"/>
          <w:sz w:val="24"/>
        </w:rPr>
        <w:t xml:space="preserve">（投标人单位名称）参加东台市农业农村局组织的</w:t>
      </w:r>
      <w:r>
        <w:rPr>
          <w:rFonts w:ascii="SimSun" w:hAnsi="SimSun" w:eastAsia="SimSun" w:cs="SimSun"/>
          <w:color w:val="000000"/>
          <w:sz w:val="24"/>
          <w:u w:val="single"/>
        </w:rPr>
        <w:t xml:space="preserve">“东台市2024年度高标准农田建设项目施工跟踪审计、结算审核服务项目”</w:t>
      </w:r>
      <w:r>
        <w:rPr>
          <w:rFonts w:ascii="SimSun" w:hAnsi="SimSun" w:eastAsia="SimSun" w:cs="SimSun"/>
          <w:color w:val="000000"/>
          <w:sz w:val="24"/>
        </w:rPr>
        <w:t xml:space="preserve">招标投标文件的不可分割的一部分。如我单位有幸成为该招标项目最终的成交供应商，在本次合同有效期内，特向贵方保证：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1、在履行协议期间，项目跟踪审查人员不得泄露与项目有关的保密资料，对保密项目，应遵守国家有关保密规定；</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2、项目跟踪、审查工作应坚持独立、客观、公正的原则，并对跟踪、审查结果的真实性、准确性承担责任；</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3、履行协议期间，我方将严格保证廉洁自律，不与项目建设单位或其他与项目跟踪、监管工作有利益关连的单位有任何经济往来。</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4、在财政、审计等部门组织的复审中，审查与复审数据的相差在本招标文件合同条款规定的范围以内。</w:t>
      </w:r>
      <w:r/>
    </w:p>
    <w:p>
      <w:pPr>
        <w:ind w:left="0" w:right="0" w:firstLine="4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5、2021年以来，我单位在经营活动中，从未出现重大违法记录，否则一经发现查实，贵方有权取消我单位的中标资格，并据此没收我方的全部保证金。</w:t>
      </w:r>
      <w:r/>
    </w:p>
    <w:p>
      <w:pPr>
        <w:ind w:left="0" w:right="0" w:firstLine="4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60"/>
        <w:jc w:val="both"/>
        <w:spacing w:before="0" w:after="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6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10.小微企业声明函（服务）（分包号：**）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组织的采购编号为</w:t>
      </w:r>
      <w:r>
        <w:rPr>
          <w:rFonts w:ascii="SimSun" w:hAnsi="SimSun" w:eastAsia="SimSun" w:cs="SimSun"/>
          <w:color w:val="000000"/>
          <w:sz w:val="24"/>
          <w:u w:val="single"/>
        </w:rPr>
        <w:t xml:space="preserve">***，（项目名称）（分包号：**）</w:t>
      </w:r>
      <w:r>
        <w:rPr>
          <w:rFonts w:ascii="SimSun" w:hAnsi="SimSun" w:eastAsia="SimSun" w:cs="SimSun"/>
          <w:color w:val="000000"/>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行业；承接企业为（企业名称），从业人</w:t>
      </w:r>
      <w:r>
        <w:rPr>
          <w:rFonts w:ascii="SimSun" w:hAnsi="SimSun" w:eastAsia="SimSun" w:cs="SimSun"/>
          <w:color w:val="000000"/>
          <w:sz w:val="24"/>
          <w:u w:val="single"/>
        </w:rPr>
        <w:t xml:space="preserve">  </w:t>
      </w:r>
      <w:r>
        <w:rPr>
          <w:rFonts w:ascii="SimSun" w:hAnsi="SimSun" w:eastAsia="SimSun" w:cs="SimSun"/>
          <w:color w:val="000000"/>
          <w:sz w:val="24"/>
        </w:rPr>
        <w:t xml:space="preserve">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行业；承接企业为（企业名称），从业人</w:t>
      </w:r>
      <w:r>
        <w:rPr>
          <w:rFonts w:ascii="SimSun" w:hAnsi="SimSun" w:eastAsia="SimSun" w:cs="SimSun"/>
          <w:color w:val="000000"/>
          <w:sz w:val="24"/>
          <w:u w:val="single"/>
        </w:rPr>
        <w:t xml:space="preserve">  </w:t>
      </w:r>
      <w:r>
        <w:rPr>
          <w:rFonts w:ascii="SimSun" w:hAnsi="SimSun" w:eastAsia="SimSun" w:cs="SimSun"/>
          <w:color w:val="000000"/>
          <w:sz w:val="24"/>
        </w:rPr>
        <w:t xml:space="preserve">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55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备注1：从业人员、营业收入、资产总额填报上一年度数据，无上一年度数据的新成立企业可不填报。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11.残疾人福利性单位声明函（分包号：**）</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（备注：1、供应商如不提供此声明函，价格将不做相应扣除。2、中标人为残疾人福利单位的，此声明函将随中标结果同时公告，接受社会监督）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p>
    <w:p>
      <w:pPr>
        <w:ind w:left="0" w:right="1560" w:firstLine="624"/>
        <w:jc w:val="center"/>
        <w:spacing w:before="0" w:after="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12.联合体协议（参考格式）（分包号：**）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（联合体中各供应商全称）</w:t>
      </w:r>
      <w:r>
        <w:rPr>
          <w:rFonts w:ascii="SimSun" w:hAnsi="SimSun" w:eastAsia="SimSun" w:cs="SimSun"/>
          <w:color w:val="000000"/>
          <w:sz w:val="24"/>
        </w:rPr>
        <w:t xml:space="preserve">在此达成以下协议：</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1、我们自愿组成联合体，参加采购编号为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项目（分包号：**）的政府采购活动，我联合体指定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840"/>
        <w:jc w:val="both"/>
        <w:spacing w:before="0" w:after="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2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105" w:firstLine="48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13.盐城市政府采购事前信用承诺书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为营造我市公开、公平、公正、诚实守信的政府采购交易环境，树立诚信守法的供应商形象，本人代表本单位作出以下承诺：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（三）严格依照国家和省、市关于政府采购的法律、法规、规章、规范性文件，参加政府采购活动；积极履行社会责任，促进廉政建设；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（四）严格遵守即时信息公示规定，及时维护和更新与本单位相关的信息；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8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14</w:t>
      </w:r>
      <w:r>
        <w:rPr>
          <w:rFonts w:ascii="SimHei" w:hAnsi="SimHei" w:eastAsia="SimHei" w:cs="SimHei"/>
          <w:color w:val="000000"/>
          <w:sz w:val="30"/>
        </w:rPr>
        <w:t xml:space="preserve">.非本地企业承诺书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    （采购人名称）</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果我方中标，我方保证在中标后15天内在东台城区内设立的固定办公场所，并提供经不动产管理部门登记备案的房屋租赁合同复印件交于贵方备案和必备的办公设备及相应资格的业务人员（中标后除项目负责人外项目组人员中至少有三名造价师常驻东台）</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如果我方未能完成上述承诺，同意贵方取消我方中标资格。</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法定代表人或被授权人签字：</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(附件：</w:t>
      </w:r>
      <w:r>
        <w:rPr>
          <w:rFonts w:ascii="FangSong" w:hAnsi="FangSong" w:eastAsia="FangSong" w:cs="FangSong"/>
          <w:b/>
          <w:color w:val="000000"/>
          <w:sz w:val="28"/>
        </w:rPr>
        <w:t xml:space="preserve">中标后除项目负责人外项目组人员中至少有三名造价师常驻东台人员名单及相关人员证书扫描件)</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项目组组成结构表格式</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项目组组成人员情况表</w:t>
      </w:r>
      <w:r/>
    </w:p>
    <w:tbl>
      <w:tblPr>
        <w:tblStyle w:val="65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4"/>
        <w:gridCol w:w="1118"/>
        <w:gridCol w:w="534"/>
        <w:gridCol w:w="534"/>
        <w:gridCol w:w="815"/>
        <w:gridCol w:w="821"/>
        <w:gridCol w:w="1201"/>
        <w:gridCol w:w="1112"/>
        <w:gridCol w:w="961"/>
        <w:gridCol w:w="1152"/>
        <w:gridCol w:w="794"/>
      </w:tblGrid>
      <w:tr>
        <w:trPr>
          <w:trHeight w:val="539"/>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别</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龄</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是否本</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式人员</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  业</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及证号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   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拟在本项目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担任的岗位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　注</w:t>
            </w:r>
            <w:r/>
          </w:p>
        </w:tc>
      </w:tr>
      <w:tr>
        <w:trPr>
          <w:trHeight w:val="63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3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w:t>
      </w:r>
      <w:r>
        <w:rPr>
          <w:rFonts w:ascii="SimSun" w:hAnsi="SimSun" w:eastAsia="SimSun" w:cs="SimSun"/>
          <w:color w:val="000000"/>
          <w:sz w:val="21"/>
          <w:u w:val="single"/>
        </w:rPr>
        <w:t xml:space="preserve">         （盖章）</w:t>
      </w:r>
      <w:r>
        <w:rPr>
          <w:rFonts w:ascii="SimSun" w:hAnsi="SimSun" w:eastAsia="SimSun" w:cs="SimSun"/>
          <w:color w:val="000000"/>
          <w:sz w:val="21"/>
        </w:rPr>
        <w:t xml:space="preserve">  法定代表人或委托代理人：</w:t>
      </w:r>
      <w:r>
        <w:rPr>
          <w:rFonts w:ascii="SimSun" w:hAnsi="SimSun" w:eastAsia="SimSun" w:cs="SimSun"/>
          <w:color w:val="000000"/>
          <w:sz w:val="21"/>
          <w:u w:val="single"/>
        </w:rPr>
        <w:t xml:space="preserve">      （签字或盖章）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9"/>
      <w:footnotePr/>
      <w:endnotePr/>
      <w:type w:val="nextPage"/>
      <w:pgSz w:w="11906" w:h="16838" w:orient="portrait"/>
      <w:pgMar w:top="1440" w:right="1077" w:bottom="1440" w:left="107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ouYuan">
    <w:panose1 w:val="02010509060101010101"/>
  </w:font>
  <w:font w:name="Segoe UI">
    <w:panose1 w:val="020B0502040204020203"/>
  </w:font>
  <w:font w:name="SimHei">
    <w:panose1 w:val="02010609060101010101"/>
  </w:font>
  <w:font w:name="FangSong">
    <w:panose1 w:val="02010609060101010101"/>
  </w:font>
  <w:font w:name="Calibri">
    <w:panose1 w:val="020F0502020204030204"/>
  </w:font>
  <w:font w:name="Symbol">
    <w:panose1 w:val="05050102010706020507"/>
  </w:font>
  <w:font w:name="Wingdings">
    <w:panose1 w:val="05000000000000000000"/>
  </w:font>
  <w:font w:name="方正仿宋_GBK">
    <w:panose1 w:val="020B0503020202020204"/>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0"/>
  </w:num>
  <w:num w:numId="5">
    <w:abstractNumId w:val="1"/>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6"/>
    <w:link w:val="662"/>
    <w:uiPriority w:val="9"/>
    <w:rPr>
      <w:rFonts w:ascii="Arial" w:hAnsi="Arial" w:eastAsia="Arial" w:cs="Arial"/>
      <w:sz w:val="40"/>
      <w:szCs w:val="40"/>
    </w:rPr>
  </w:style>
  <w:style w:type="character" w:styleId="15">
    <w:name w:val="Heading 2 Char"/>
    <w:basedOn w:val="646"/>
    <w:link w:val="664"/>
    <w:uiPriority w:val="9"/>
    <w:rPr>
      <w:rFonts w:ascii="Arial" w:hAnsi="Arial" w:eastAsia="Arial" w:cs="Arial"/>
      <w:sz w:val="34"/>
    </w:rPr>
  </w:style>
  <w:style w:type="paragraph" w:styleId="16">
    <w:name w:val="Heading 3"/>
    <w:basedOn w:val="643"/>
    <w:next w:val="6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6"/>
    <w:link w:val="16"/>
    <w:uiPriority w:val="9"/>
    <w:rPr>
      <w:rFonts w:ascii="Arial" w:hAnsi="Arial" w:eastAsia="Arial" w:cs="Arial"/>
      <w:sz w:val="30"/>
      <w:szCs w:val="30"/>
    </w:rPr>
  </w:style>
  <w:style w:type="character" w:styleId="19">
    <w:name w:val="Heading 4 Char"/>
    <w:basedOn w:val="646"/>
    <w:link w:val="663"/>
    <w:uiPriority w:val="9"/>
    <w:rPr>
      <w:rFonts w:ascii="Arial" w:hAnsi="Arial" w:eastAsia="Arial" w:cs="Arial"/>
      <w:b/>
      <w:bCs/>
      <w:sz w:val="26"/>
      <w:szCs w:val="26"/>
    </w:rPr>
  </w:style>
  <w:style w:type="paragraph" w:styleId="20">
    <w:name w:val="Heading 5"/>
    <w:basedOn w:val="643"/>
    <w:next w:val="6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6"/>
    <w:link w:val="20"/>
    <w:uiPriority w:val="9"/>
    <w:rPr>
      <w:rFonts w:ascii="Arial" w:hAnsi="Arial" w:eastAsia="Arial" w:cs="Arial"/>
      <w:b/>
      <w:bCs/>
      <w:sz w:val="24"/>
      <w:szCs w:val="24"/>
    </w:rPr>
  </w:style>
  <w:style w:type="paragraph" w:styleId="22">
    <w:name w:val="Heading 6"/>
    <w:basedOn w:val="643"/>
    <w:next w:val="6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6"/>
    <w:link w:val="22"/>
    <w:uiPriority w:val="9"/>
    <w:rPr>
      <w:rFonts w:ascii="Arial" w:hAnsi="Arial" w:eastAsia="Arial" w:cs="Arial"/>
      <w:b/>
      <w:bCs/>
      <w:sz w:val="22"/>
      <w:szCs w:val="22"/>
    </w:rPr>
  </w:style>
  <w:style w:type="paragraph" w:styleId="24">
    <w:name w:val="Heading 7"/>
    <w:basedOn w:val="643"/>
    <w:next w:val="6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6"/>
    <w:link w:val="24"/>
    <w:uiPriority w:val="9"/>
    <w:rPr>
      <w:rFonts w:ascii="Arial" w:hAnsi="Arial" w:eastAsia="Arial" w:cs="Arial"/>
      <w:b/>
      <w:bCs/>
      <w:i/>
      <w:iCs/>
      <w:sz w:val="22"/>
      <w:szCs w:val="22"/>
    </w:rPr>
  </w:style>
  <w:style w:type="paragraph" w:styleId="26">
    <w:name w:val="Heading 8"/>
    <w:basedOn w:val="643"/>
    <w:next w:val="6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6"/>
    <w:link w:val="26"/>
    <w:uiPriority w:val="9"/>
    <w:rPr>
      <w:rFonts w:ascii="Arial" w:hAnsi="Arial" w:eastAsia="Arial" w:cs="Arial"/>
      <w:i/>
      <w:iCs/>
      <w:sz w:val="22"/>
      <w:szCs w:val="22"/>
    </w:rPr>
  </w:style>
  <w:style w:type="paragraph" w:styleId="28">
    <w:name w:val="Heading 9"/>
    <w:basedOn w:val="643"/>
    <w:next w:val="6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6"/>
    <w:link w:val="28"/>
    <w:uiPriority w:val="9"/>
    <w:rPr>
      <w:rFonts w:ascii="Arial" w:hAnsi="Arial" w:eastAsia="Arial" w:cs="Arial"/>
      <w:i/>
      <w:iCs/>
      <w:sz w:val="21"/>
      <w:szCs w:val="21"/>
    </w:rPr>
  </w:style>
  <w:style w:type="paragraph" w:styleId="30">
    <w:name w:val="List Paragraph"/>
    <w:basedOn w:val="6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3"/>
    <w:next w:val="643"/>
    <w:link w:val="34"/>
    <w:uiPriority w:val="10"/>
    <w:qFormat/>
    <w:pPr>
      <w:contextualSpacing/>
      <w:spacing w:before="300" w:after="200"/>
    </w:pPr>
    <w:rPr>
      <w:sz w:val="48"/>
      <w:szCs w:val="48"/>
    </w:rPr>
  </w:style>
  <w:style w:type="character" w:styleId="34">
    <w:name w:val="Title Char"/>
    <w:basedOn w:val="646"/>
    <w:link w:val="33"/>
    <w:uiPriority w:val="10"/>
    <w:rPr>
      <w:sz w:val="48"/>
      <w:szCs w:val="48"/>
    </w:rPr>
  </w:style>
  <w:style w:type="paragraph" w:styleId="35">
    <w:name w:val="Subtitle"/>
    <w:basedOn w:val="643"/>
    <w:next w:val="643"/>
    <w:link w:val="36"/>
    <w:uiPriority w:val="11"/>
    <w:qFormat/>
    <w:pPr>
      <w:spacing w:before="200" w:after="200"/>
    </w:pPr>
    <w:rPr>
      <w:sz w:val="24"/>
      <w:szCs w:val="24"/>
    </w:rPr>
  </w:style>
  <w:style w:type="character" w:styleId="36">
    <w:name w:val="Subtitle Char"/>
    <w:basedOn w:val="646"/>
    <w:link w:val="35"/>
    <w:uiPriority w:val="11"/>
    <w:rPr>
      <w:sz w:val="24"/>
      <w:szCs w:val="24"/>
    </w:rPr>
  </w:style>
  <w:style w:type="paragraph" w:styleId="37">
    <w:name w:val="Quote"/>
    <w:basedOn w:val="643"/>
    <w:next w:val="643"/>
    <w:link w:val="38"/>
    <w:uiPriority w:val="29"/>
    <w:qFormat/>
    <w:pPr>
      <w:ind w:left="720" w:right="720"/>
    </w:pPr>
    <w:rPr>
      <w:i/>
    </w:rPr>
  </w:style>
  <w:style w:type="character" w:styleId="38">
    <w:name w:val="Quote Char"/>
    <w:link w:val="37"/>
    <w:uiPriority w:val="29"/>
    <w:rPr>
      <w:i/>
    </w:rPr>
  </w:style>
  <w:style w:type="paragraph" w:styleId="39">
    <w:name w:val="Intense Quote"/>
    <w:basedOn w:val="643"/>
    <w:next w:val="6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6"/>
    <w:link w:val="654"/>
    <w:uiPriority w:val="99"/>
  </w:style>
  <w:style w:type="character" w:styleId="44">
    <w:name w:val="Footer Char"/>
    <w:basedOn w:val="646"/>
    <w:link w:val="653"/>
    <w:uiPriority w:val="99"/>
  </w:style>
  <w:style w:type="paragraph" w:styleId="45">
    <w:name w:val="Caption"/>
    <w:basedOn w:val="643"/>
    <w:next w:val="643"/>
    <w:uiPriority w:val="35"/>
    <w:semiHidden/>
    <w:unhideWhenUsed/>
    <w:qFormat/>
    <w:pPr>
      <w:spacing w:line="276" w:lineRule="auto"/>
    </w:pPr>
    <w:rPr>
      <w:b/>
      <w:bCs/>
      <w:color w:val="4f81bd" w:themeColor="accent1"/>
      <w:sz w:val="18"/>
      <w:szCs w:val="18"/>
    </w:rPr>
  </w:style>
  <w:style w:type="character" w:styleId="46">
    <w:name w:val="Caption Char"/>
    <w:basedOn w:val="45"/>
    <w:link w:val="653"/>
    <w:uiPriority w:val="99"/>
  </w:style>
  <w:style w:type="table" w:styleId="48">
    <w:name w:val="Table Grid Light"/>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6"/>
    <w:uiPriority w:val="99"/>
    <w:unhideWhenUsed/>
    <w:rPr>
      <w:vertAlign w:val="superscript"/>
    </w:rPr>
  </w:style>
  <w:style w:type="paragraph" w:styleId="177">
    <w:name w:val="endnote text"/>
    <w:basedOn w:val="6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6"/>
    <w:uiPriority w:val="99"/>
    <w:semiHidden/>
    <w:unhideWhenUsed/>
    <w:rPr>
      <w:vertAlign w:val="superscript"/>
    </w:rPr>
  </w:style>
  <w:style w:type="paragraph" w:styleId="180">
    <w:name w:val="toc 1"/>
    <w:basedOn w:val="643"/>
    <w:next w:val="643"/>
    <w:uiPriority w:val="39"/>
    <w:unhideWhenUsed/>
    <w:pPr>
      <w:ind w:left="0" w:right="0" w:firstLine="0"/>
      <w:spacing w:after="57"/>
    </w:pPr>
  </w:style>
  <w:style w:type="paragraph" w:styleId="181">
    <w:name w:val="toc 2"/>
    <w:basedOn w:val="643"/>
    <w:next w:val="643"/>
    <w:uiPriority w:val="39"/>
    <w:unhideWhenUsed/>
    <w:pPr>
      <w:ind w:left="283" w:right="0" w:firstLine="0"/>
      <w:spacing w:after="57"/>
    </w:pPr>
  </w:style>
  <w:style w:type="paragraph" w:styleId="182">
    <w:name w:val="toc 3"/>
    <w:basedOn w:val="643"/>
    <w:next w:val="643"/>
    <w:uiPriority w:val="39"/>
    <w:unhideWhenUsed/>
    <w:pPr>
      <w:ind w:left="567" w:right="0" w:firstLine="0"/>
      <w:spacing w:after="57"/>
    </w:pPr>
  </w:style>
  <w:style w:type="paragraph" w:styleId="183">
    <w:name w:val="toc 4"/>
    <w:basedOn w:val="643"/>
    <w:next w:val="643"/>
    <w:uiPriority w:val="39"/>
    <w:unhideWhenUsed/>
    <w:pPr>
      <w:ind w:left="850" w:right="0" w:firstLine="0"/>
      <w:spacing w:after="57"/>
    </w:pPr>
  </w:style>
  <w:style w:type="paragraph" w:styleId="184">
    <w:name w:val="toc 5"/>
    <w:basedOn w:val="643"/>
    <w:next w:val="643"/>
    <w:uiPriority w:val="39"/>
    <w:unhideWhenUsed/>
    <w:pPr>
      <w:ind w:left="1134" w:right="0" w:firstLine="0"/>
      <w:spacing w:after="57"/>
    </w:pPr>
  </w:style>
  <w:style w:type="paragraph" w:styleId="185">
    <w:name w:val="toc 6"/>
    <w:basedOn w:val="643"/>
    <w:next w:val="643"/>
    <w:uiPriority w:val="39"/>
    <w:unhideWhenUsed/>
    <w:pPr>
      <w:ind w:left="1417" w:right="0" w:firstLine="0"/>
      <w:spacing w:after="57"/>
    </w:pPr>
  </w:style>
  <w:style w:type="paragraph" w:styleId="186">
    <w:name w:val="toc 7"/>
    <w:basedOn w:val="643"/>
    <w:next w:val="643"/>
    <w:uiPriority w:val="39"/>
    <w:unhideWhenUsed/>
    <w:pPr>
      <w:ind w:left="1701" w:right="0" w:firstLine="0"/>
      <w:spacing w:after="57"/>
    </w:pPr>
  </w:style>
  <w:style w:type="paragraph" w:styleId="187">
    <w:name w:val="toc 8"/>
    <w:basedOn w:val="643"/>
    <w:next w:val="643"/>
    <w:uiPriority w:val="39"/>
    <w:unhideWhenUsed/>
    <w:pPr>
      <w:ind w:left="1984" w:right="0" w:firstLine="0"/>
      <w:spacing w:after="57"/>
    </w:pPr>
  </w:style>
  <w:style w:type="paragraph" w:styleId="188">
    <w:name w:val="toc 9"/>
    <w:basedOn w:val="643"/>
    <w:next w:val="6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3"/>
    <w:next w:val="643"/>
    <w:uiPriority w:val="99"/>
    <w:unhideWhenUsed/>
    <w:pPr>
      <w:spacing w:after="0" w:afterAutospacing="0"/>
    </w:pPr>
  </w:style>
  <w:style w:type="paragraph" w:styleId="643" w:default="1">
    <w:name w:val="Normal"/>
    <w:next w:val="648"/>
    <w:link w:val="67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4">
    <w:name w:val="Heading 2"/>
    <w:basedOn w:val="643"/>
    <w:next w:val="64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45">
    <w:name w:val="Heading 4"/>
    <w:basedOn w:val="643"/>
    <w:next w:val="649"/>
    <w:uiPriority w:val="0"/>
    <w:qFormat/>
    <w:pPr>
      <w:keepLines/>
      <w:keepNext/>
      <w:spacing w:before="280" w:after="290" w:line="376" w:lineRule="auto"/>
      <w:outlineLvl w:val="3"/>
    </w:pPr>
    <w:rPr>
      <w:rFonts w:ascii="Arial" w:hAnsi="Arial" w:eastAsia="黑体" w:cs="Arial"/>
      <w:b/>
      <w:bCs/>
      <w:sz w:val="28"/>
      <w:szCs w:val="28"/>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customStyle="1">
    <w:name w:val="正文文本缩进 21"/>
    <w:basedOn w:val="643"/>
    <w:uiPriority w:val="0"/>
    <w:qFormat/>
    <w:pPr>
      <w:ind w:firstLine="480"/>
    </w:pPr>
    <w:rPr>
      <w:rFonts w:ascii="仿宋_GB2312" w:eastAsia="仿宋_GB2312"/>
      <w:sz w:val="24"/>
    </w:rPr>
  </w:style>
  <w:style w:type="paragraph" w:styleId="649">
    <w:name w:val="Normal Indent"/>
    <w:basedOn w:val="643"/>
    <w:uiPriority w:val="0"/>
    <w:qFormat/>
    <w:pPr>
      <w:ind w:firstLine="420"/>
    </w:pPr>
  </w:style>
  <w:style w:type="paragraph" w:styleId="650">
    <w:name w:val="annotation text"/>
    <w:basedOn w:val="643"/>
    <w:uiPriority w:val="0"/>
    <w:qFormat/>
    <w:pPr>
      <w:jc w:val="left"/>
    </w:pPr>
  </w:style>
  <w:style w:type="paragraph" w:styleId="651">
    <w:name w:val="Body Text"/>
    <w:basedOn w:val="643"/>
    <w:uiPriority w:val="0"/>
    <w:qFormat/>
    <w:rPr>
      <w:rFonts w:ascii="楷体_GB2312" w:hAnsi="Arial" w:eastAsia="楷体_GB2312"/>
      <w:sz w:val="28"/>
      <w:szCs w:val="20"/>
    </w:rPr>
  </w:style>
  <w:style w:type="paragraph" w:styleId="652">
    <w:name w:val="Body Text Indent 2"/>
    <w:basedOn w:val="643"/>
    <w:uiPriority w:val="99"/>
    <w:unhideWhenUsed/>
    <w:qFormat/>
    <w:pPr>
      <w:ind w:left="420"/>
      <w:spacing w:after="120" w:line="480" w:lineRule="auto"/>
      <w:tabs>
        <w:tab w:val="left" w:pos="2340" w:leader="none"/>
        <w:tab w:val="left" w:pos="3240" w:leader="none"/>
        <w:tab w:val="left" w:pos="4860" w:leader="none"/>
      </w:tabs>
    </w:pPr>
  </w:style>
  <w:style w:type="paragraph" w:styleId="653">
    <w:name w:val="Footer"/>
    <w:basedOn w:val="643"/>
    <w:link w:val="660"/>
    <w:uiPriority w:val="0"/>
    <w:qFormat/>
    <w:pPr>
      <w:jc w:val="left"/>
      <w:tabs>
        <w:tab w:val="center" w:pos="4153" w:leader="none"/>
        <w:tab w:val="right" w:pos="8306" w:leader="none"/>
      </w:tabs>
    </w:pPr>
    <w:rPr>
      <w:sz w:val="18"/>
      <w:szCs w:val="18"/>
    </w:rPr>
  </w:style>
  <w:style w:type="paragraph" w:styleId="654">
    <w:name w:val="Header"/>
    <w:basedOn w:val="643"/>
    <w:link w:val="659"/>
    <w:uiPriority w:val="0"/>
    <w:qFormat/>
    <w:pPr>
      <w:jc w:val="center"/>
      <w:tabs>
        <w:tab w:val="center" w:pos="4153" w:leader="none"/>
        <w:tab w:val="right" w:pos="8306" w:leader="none"/>
      </w:tabs>
      <w:pBdr>
        <w:bottom w:val="single" w:color="auto" w:sz="6" w:space="1"/>
      </w:pBdr>
    </w:pPr>
    <w:rPr>
      <w:sz w:val="18"/>
      <w:szCs w:val="18"/>
    </w:rPr>
  </w:style>
  <w:style w:type="paragraph" w:styleId="655">
    <w:name w:val="index 9"/>
    <w:basedOn w:val="643"/>
    <w:next w:val="643"/>
    <w:uiPriority w:val="0"/>
    <w:qFormat/>
    <w:pPr>
      <w:ind w:left="1600"/>
    </w:pPr>
    <w:rPr>
      <w:rFonts w:ascii="Times New Roman" w:hAnsi="Times New Roman" w:eastAsia="宋体" w:cs="Times New Roman"/>
    </w:rPr>
  </w:style>
  <w:style w:type="paragraph" w:styleId="656">
    <w:name w:val="Normal (Web)"/>
    <w:basedOn w:val="643"/>
    <w:uiPriority w:val="0"/>
    <w:qFormat/>
    <w:pPr>
      <w:jc w:val="left"/>
      <w:spacing w:beforeAutospacing="1" w:afterAutospacing="1"/>
    </w:pPr>
    <w:rPr>
      <w:rFonts w:cs="Times New Roman"/>
      <w:sz w:val="24"/>
    </w:rPr>
  </w:style>
  <w:style w:type="table" w:styleId="657">
    <w:name w:val="Table Grid"/>
    <w:basedOn w:val="647"/>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8">
    <w:name w:val="page number"/>
    <w:uiPriority w:val="0"/>
    <w:qFormat/>
  </w:style>
  <w:style w:type="character" w:styleId="659" w:customStyle="1">
    <w:name w:val="页眉 Char"/>
    <w:basedOn w:val="646"/>
    <w:link w:val="654"/>
    <w:uiPriority w:val="0"/>
    <w:qFormat/>
    <w:rPr>
      <w:rFonts w:asciiTheme="minorHAnsi" w:hAnsiTheme="minorHAnsi" w:eastAsiaTheme="minorEastAsia" w:cstheme="minorBidi"/>
      <w:sz w:val="18"/>
      <w:szCs w:val="18"/>
    </w:rPr>
  </w:style>
  <w:style w:type="character" w:styleId="660" w:customStyle="1">
    <w:name w:val="页脚 Char"/>
    <w:basedOn w:val="646"/>
    <w:link w:val="653"/>
    <w:uiPriority w:val="0"/>
    <w:qFormat/>
    <w:rPr>
      <w:rFonts w:asciiTheme="minorHAnsi" w:hAnsiTheme="minorHAnsi" w:eastAsiaTheme="minorEastAsia" w:cstheme="minorBidi"/>
      <w:sz w:val="18"/>
      <w:szCs w:val="18"/>
    </w:rPr>
  </w:style>
  <w:style w:type="character" w:styleId="661" w:customStyle="1">
    <w:name w:val="NormalCharacter"/>
    <w:uiPriority w:val="0"/>
    <w:qFormat/>
  </w:style>
  <w:style w:type="paragraph" w:styleId="662" w:customStyle="1">
    <w:name w:val="Heading 1"/>
    <w:basedOn w:val="643"/>
    <w:next w:val="643"/>
    <w:uiPriority w:val="0"/>
    <w:qFormat/>
    <w:pPr>
      <w:jc w:val="center"/>
      <w:keepNext/>
    </w:pPr>
    <w:rPr>
      <w:rFonts w:ascii="楷体_GB2312" w:eastAsia="楷体_GB2312"/>
      <w:sz w:val="28"/>
      <w:szCs w:val="28"/>
    </w:rPr>
  </w:style>
  <w:style w:type="paragraph" w:styleId="663" w:customStyle="1">
    <w:name w:val="Heading 4"/>
    <w:basedOn w:val="643"/>
    <w:next w:val="643"/>
    <w:uiPriority w:val="0"/>
    <w:qFormat/>
    <w:pPr>
      <w:keepLines/>
      <w:keepNext/>
      <w:spacing w:before="280" w:after="290" w:line="376" w:lineRule="auto"/>
    </w:pPr>
    <w:rPr>
      <w:rFonts w:ascii="Arial" w:hAnsi="Arial" w:eastAsia="黑体" w:cs="Times New Roman"/>
      <w:b/>
      <w:bCs/>
      <w:sz w:val="28"/>
      <w:szCs w:val="28"/>
    </w:rPr>
  </w:style>
  <w:style w:type="paragraph" w:styleId="664" w:customStyle="1">
    <w:name w:val="Heading 2"/>
    <w:basedOn w:val="643"/>
    <w:next w:val="665"/>
    <w:uiPriority w:val="0"/>
    <w:qFormat/>
    <w:pPr>
      <w:jc w:val="center"/>
      <w:keepLines/>
      <w:keepNext/>
      <w:spacing w:before="260" w:after="260" w:line="416" w:lineRule="auto"/>
    </w:pPr>
    <w:rPr>
      <w:rFonts w:ascii="Arial" w:hAnsi="Arial" w:eastAsia="幼圆" w:cs="Times New Roman"/>
      <w:b/>
      <w:bCs/>
      <w:sz w:val="44"/>
      <w:szCs w:val="44"/>
    </w:rPr>
  </w:style>
  <w:style w:type="paragraph" w:styleId="665" w:customStyle="1">
    <w:name w:val="NormalIndent"/>
    <w:basedOn w:val="643"/>
    <w:uiPriority w:val="0"/>
    <w:qFormat/>
    <w:pPr>
      <w:ind w:firstLine="420"/>
    </w:pPr>
    <w:rPr>
      <w:szCs w:val="20"/>
    </w:rPr>
  </w:style>
  <w:style w:type="paragraph" w:styleId="666" w:customStyle="1">
    <w:name w:val="PlainText"/>
    <w:basedOn w:val="643"/>
    <w:uiPriority w:val="0"/>
    <w:qFormat/>
    <w:rPr>
      <w:rFonts w:ascii="宋体" w:hAnsi="Courier New"/>
    </w:rPr>
  </w:style>
  <w:style w:type="paragraph" w:styleId="667" w:customStyle="1">
    <w:name w:val="WPSOffice手动目录 1"/>
    <w:uiPriority w:val="0"/>
    <w:qFormat/>
    <w:rPr>
      <w:rFonts w:ascii="Times New Roman" w:hAnsi="Times New Roman" w:eastAsia="宋体" w:cs="Times New Roman"/>
      <w:sz w:val="20"/>
      <w:szCs w:val="20"/>
    </w:rPr>
  </w:style>
  <w:style w:type="paragraph" w:styleId="668" w:customStyle="1">
    <w:name w:val="Char"/>
    <w:basedOn w:val="643"/>
    <w:uiPriority w:val="0"/>
    <w:qFormat/>
    <w:pPr>
      <w:ind w:firstLine="200"/>
      <w:tabs>
        <w:tab w:val="left" w:pos="360" w:leader="none"/>
      </w:tabs>
    </w:pPr>
    <w:rPr>
      <w:sz w:val="28"/>
      <w:szCs w:val="30"/>
    </w:rPr>
  </w:style>
  <w:style w:type="paragraph" w:styleId="669"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670" w:customStyle="1">
    <w:name w:val="普通正文"/>
    <w:basedOn w:val="643"/>
    <w:uiPriority w:val="0"/>
    <w:qFormat/>
    <w:pPr>
      <w:ind w:firstLine="480"/>
      <w:jc w:val="left"/>
      <w:spacing w:before="120" w:after="120" w:line="360" w:lineRule="auto"/>
    </w:pPr>
    <w:rPr>
      <w:rFonts w:ascii="Arial" w:hAnsi="Arial"/>
      <w:sz w:val="24"/>
      <w:szCs w:val="24"/>
    </w:rPr>
  </w:style>
  <w:style w:type="table" w:styleId="671" w:customStyle="1">
    <w:name w:val="网格型1"/>
    <w:basedOn w:val="672"/>
    <w:uiPriority w:val="99"/>
    <w:unhideWhenUsed/>
    <w:qFormat/>
    <w:pPr>
      <w:jc w:val="both"/>
      <w:widowControl w:val="off"/>
    </w:pPr>
    <w:tblPr/>
  </w:style>
  <w:style w:type="table" w:styleId="672" w:customStyle="1">
    <w:name w:val="普通表格1"/>
    <w:uiPriority w:val="99"/>
    <w:unhideWhenUsed/>
    <w:qFormat/>
    <w:tblPr/>
  </w:style>
  <w:style w:type="paragraph" w:styleId="673" w:customStyle="1">
    <w:name w:val="页脚1"/>
    <w:basedOn w:val="643"/>
    <w:uiPriority w:val="0"/>
    <w:qFormat/>
    <w:pPr>
      <w:jc w:val="left"/>
      <w:tabs>
        <w:tab w:val="center" w:pos="4153" w:leader="none"/>
        <w:tab w:val="right" w:pos="8306" w:leader="none"/>
      </w:tabs>
    </w:pPr>
    <w:rPr>
      <w:sz w:val="18"/>
    </w:rPr>
  </w:style>
  <w:style w:type="character" w:styleId="674" w:customStyle="1">
    <w:name w:val="font11"/>
    <w:basedOn w:val="675"/>
    <w:link w:val="643"/>
    <w:uiPriority w:val="0"/>
    <w:qFormat/>
    <w:rPr>
      <w:rFonts w:asciiTheme="minorHAnsi" w:hAnsiTheme="minorHAnsi" w:eastAsiaTheme="minorEastAsia" w:cstheme="minorBidi"/>
      <w:sz w:val="21"/>
      <w:szCs w:val="24"/>
      <w:lang w:val="en-US" w:eastAsia="zh-CN" w:bidi="ar-SA"/>
    </w:rPr>
  </w:style>
  <w:style w:type="character" w:styleId="675" w:customStyle="1">
    <w:name w:val="默认段落字体1"/>
    <w:link w:val="643"/>
    <w:uiPriority w:val="0"/>
    <w:qFormat/>
  </w:style>
  <w:style w:type="character" w:styleId="676" w:customStyle="1">
    <w:name w:val="font21"/>
    <w:basedOn w:val="646"/>
    <w:uiPriority w:val="0"/>
    <w:qFormat/>
    <w:rPr>
      <w:rFonts w:hint="default" w:ascii="Times New Roman" w:hAnsi="Times New Roman" w:cs="Times New Roman"/>
      <w:color w:val="000000"/>
      <w:sz w:val="24"/>
      <w:szCs w:val="24"/>
      <w:u w:val="none"/>
    </w:rPr>
  </w:style>
  <w:style w:type="character" w:styleId="677" w:customStyle="1">
    <w:name w:val="font41"/>
    <w:basedOn w:val="646"/>
    <w:uiPriority w:val="0"/>
    <w:qFormat/>
    <w:rPr>
      <w:rFonts w:ascii="方正仿宋_GBK" w:hAnsi="方正仿宋_GBK" w:eastAsia="方正仿宋_GBK" w:cs="方正仿宋_GBK"/>
      <w:color w:val="000000"/>
      <w:sz w:val="24"/>
      <w:szCs w:val="24"/>
      <w:u w:val="none"/>
    </w:rPr>
  </w:style>
  <w:style w:type="paragraph" w:styleId="678" w:customStyle="1">
    <w:name w:val="普通(网站)11"/>
    <w:basedOn w:val="643"/>
    <w:uiPriority w:val="99"/>
    <w:qFormat/>
    <w:pPr>
      <w:jc w:val="left"/>
      <w:spacing w:before="100" w:beforeAutospacing="1" w:after="100" w:afterAutospacing="1"/>
      <w:widowControl/>
    </w:pPr>
    <w:rPr>
      <w:rFonts w:ascii="宋体" w:hAnsi="宋体" w:cs="宋体"/>
      <w:sz w:val="24"/>
      <w:szCs w:val="24"/>
    </w:rPr>
  </w:style>
  <w:style w:type="numbering" w:styleId="81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097"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299"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761"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581"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969"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88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杨翠萍</cp:lastModifiedBy>
  <cp:revision>273</cp:revision>
  <dcterms:created xsi:type="dcterms:W3CDTF">2014-10-29T12:08:00Z</dcterms:created>
  <dcterms:modified xsi:type="dcterms:W3CDTF">2024-08-30T03:07:27Z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C86974721AD44AAA9363CAB3BD34B394_13</vt:lpwstr>
  </property>
</Properties>
</file>