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A87D2A">
      <w:pPr>
        <w:pageBreakBefore w:val="0"/>
        <w:kinsoku/>
        <w:wordWrap/>
        <w:overflowPunct/>
        <w:topLinePunct w:val="0"/>
        <w:autoSpaceDE/>
        <w:autoSpaceDN/>
        <w:bidi w:val="0"/>
        <w:adjustRightInd/>
        <w:spacing w:line="360" w:lineRule="auto"/>
        <w:jc w:val="right"/>
        <w:textAlignment w:val="auto"/>
        <w:rPr>
          <w:rFonts w:hint="eastAsia" w:ascii="宋体" w:hAnsi="宋体"/>
          <w:b/>
          <w:bCs/>
          <w:color w:val="auto"/>
          <w:sz w:val="36"/>
          <w:highlight w:val="none"/>
        </w:rPr>
      </w:pPr>
    </w:p>
    <w:p w14:paraId="17C4B02A">
      <w:pPr>
        <w:pageBreakBefore w:val="0"/>
        <w:kinsoku/>
        <w:wordWrap/>
        <w:overflowPunct/>
        <w:topLinePunct w:val="0"/>
        <w:autoSpaceDE/>
        <w:autoSpaceDN/>
        <w:bidi w:val="0"/>
        <w:adjustRightInd/>
        <w:spacing w:line="360" w:lineRule="auto"/>
        <w:jc w:val="right"/>
        <w:textAlignment w:val="auto"/>
        <w:rPr>
          <w:rFonts w:hint="eastAsia" w:ascii="宋体" w:hAnsi="宋体"/>
          <w:b/>
          <w:bCs/>
          <w:color w:val="auto"/>
          <w:sz w:val="36"/>
          <w:highlight w:val="none"/>
        </w:rPr>
      </w:pPr>
    </w:p>
    <w:p w14:paraId="5B1368EF">
      <w:pPr>
        <w:pageBreakBefore w:val="0"/>
        <w:kinsoku/>
        <w:wordWrap/>
        <w:overflowPunct/>
        <w:topLinePunct w:val="0"/>
        <w:autoSpaceDE/>
        <w:autoSpaceDN/>
        <w:bidi w:val="0"/>
        <w:adjustRightInd/>
        <w:spacing w:line="360" w:lineRule="auto"/>
        <w:jc w:val="right"/>
        <w:textAlignment w:val="auto"/>
        <w:rPr>
          <w:rFonts w:hint="eastAsia" w:ascii="宋体" w:hAnsi="宋体"/>
          <w:b/>
          <w:bCs/>
          <w:color w:val="auto"/>
          <w:sz w:val="36"/>
          <w:highlight w:val="none"/>
        </w:rPr>
      </w:pPr>
      <w:r>
        <w:rPr>
          <w:rFonts w:hint="eastAsia" w:ascii="宋体" w:hAnsi="宋体"/>
          <w:b/>
          <w:bCs/>
          <w:color w:val="auto"/>
          <w:sz w:val="36"/>
          <w:highlight w:val="none"/>
        </w:rPr>
        <w:t>编号：</w:t>
      </w:r>
      <w:r>
        <w:rPr>
          <w:rFonts w:hint="eastAsia" w:ascii="宋体" w:hAnsi="宋体"/>
          <w:b/>
          <w:bCs/>
          <w:color w:val="auto"/>
          <w:sz w:val="36"/>
          <w:highlight w:val="none"/>
          <w:lang w:eastAsia="zh-CN"/>
        </w:rPr>
        <w:t>JSZC-321092-JJJC-G2024-0033</w:t>
      </w:r>
    </w:p>
    <w:p w14:paraId="17F9D584">
      <w:pPr>
        <w:pStyle w:val="214"/>
        <w:pageBreakBefore w:val="0"/>
        <w:kinsoku/>
        <w:wordWrap/>
        <w:overflowPunct/>
        <w:topLinePunct w:val="0"/>
        <w:autoSpaceDE/>
        <w:autoSpaceDN/>
        <w:bidi w:val="0"/>
        <w:adjustRightInd/>
        <w:spacing w:line="360" w:lineRule="auto"/>
        <w:ind w:firstLine="0"/>
        <w:textAlignment w:val="auto"/>
        <w:rPr>
          <w:rFonts w:hint="eastAsia"/>
          <w:color w:val="auto"/>
          <w:highlight w:val="none"/>
        </w:rPr>
      </w:pPr>
    </w:p>
    <w:p w14:paraId="14449281">
      <w:pPr>
        <w:rPr>
          <w:rFonts w:hint="eastAsia"/>
          <w:color w:val="auto"/>
          <w:highlight w:val="none"/>
        </w:rPr>
      </w:pPr>
    </w:p>
    <w:p w14:paraId="5D2ABF97">
      <w:pPr>
        <w:rPr>
          <w:rFonts w:hint="eastAsia"/>
          <w:color w:val="auto"/>
          <w:highlight w:val="none"/>
        </w:rPr>
      </w:pPr>
    </w:p>
    <w:p w14:paraId="0DDACC5B">
      <w:pPr>
        <w:pageBreakBefore w:val="0"/>
        <w:kinsoku/>
        <w:wordWrap/>
        <w:overflowPunct/>
        <w:topLinePunct w:val="0"/>
        <w:autoSpaceDE/>
        <w:autoSpaceDN/>
        <w:bidi w:val="0"/>
        <w:adjustRightInd/>
        <w:spacing w:line="360" w:lineRule="auto"/>
        <w:jc w:val="center"/>
        <w:textAlignment w:val="auto"/>
        <w:rPr>
          <w:rFonts w:hint="eastAsia" w:ascii="宋体" w:hAnsi="宋体"/>
          <w:color w:val="auto"/>
          <w:sz w:val="36"/>
          <w:szCs w:val="36"/>
          <w:highlight w:val="none"/>
        </w:rPr>
      </w:pPr>
      <w:r>
        <w:rPr>
          <w:rFonts w:hint="eastAsia" w:ascii="宋体" w:hAnsi="宋体"/>
          <w:b/>
          <w:bCs/>
          <w:color w:val="auto"/>
          <w:sz w:val="36"/>
          <w:highlight w:val="none"/>
          <w:lang w:eastAsia="zh-CN"/>
        </w:rPr>
        <w:t>扬州市梅岭街道办事处梅岭街道2024-2026年居家养老购买服务（A包）二次</w:t>
      </w:r>
      <w:r>
        <w:rPr>
          <w:rFonts w:hint="eastAsia" w:ascii="宋体" w:hAnsi="宋体"/>
          <w:b/>
          <w:bCs/>
          <w:color w:val="auto"/>
          <w:sz w:val="36"/>
          <w:highlight w:val="none"/>
        </w:rPr>
        <w:t>公开招标文件</w:t>
      </w:r>
    </w:p>
    <w:p w14:paraId="14C2AE6E">
      <w:pPr>
        <w:pageBreakBefore w:val="0"/>
        <w:kinsoku/>
        <w:wordWrap/>
        <w:overflowPunct/>
        <w:topLinePunct w:val="0"/>
        <w:autoSpaceDE/>
        <w:autoSpaceDN/>
        <w:bidi w:val="0"/>
        <w:adjustRightInd/>
        <w:spacing w:line="360" w:lineRule="auto"/>
        <w:jc w:val="center"/>
        <w:textAlignment w:val="auto"/>
        <w:rPr>
          <w:rFonts w:hint="eastAsia" w:ascii="宋体" w:hAnsi="宋体"/>
          <w:color w:val="auto"/>
          <w:sz w:val="36"/>
          <w:szCs w:val="36"/>
          <w:highlight w:val="none"/>
        </w:rPr>
      </w:pPr>
    </w:p>
    <w:p w14:paraId="1ABF25D9">
      <w:pPr>
        <w:pageBreakBefore w:val="0"/>
        <w:kinsoku/>
        <w:wordWrap/>
        <w:overflowPunct/>
        <w:topLinePunct w:val="0"/>
        <w:autoSpaceDE/>
        <w:autoSpaceDN/>
        <w:bidi w:val="0"/>
        <w:adjustRightInd/>
        <w:spacing w:line="360" w:lineRule="auto"/>
        <w:jc w:val="center"/>
        <w:textAlignment w:val="auto"/>
        <w:rPr>
          <w:rFonts w:hint="eastAsia" w:ascii="宋体" w:hAnsi="宋体"/>
          <w:color w:val="auto"/>
          <w:sz w:val="36"/>
          <w:szCs w:val="36"/>
          <w:highlight w:val="none"/>
        </w:rPr>
      </w:pPr>
    </w:p>
    <w:p w14:paraId="02FDBBD3">
      <w:pPr>
        <w:pageBreakBefore w:val="0"/>
        <w:kinsoku/>
        <w:wordWrap/>
        <w:overflowPunct/>
        <w:topLinePunct w:val="0"/>
        <w:autoSpaceDE/>
        <w:autoSpaceDN/>
        <w:bidi w:val="0"/>
        <w:adjustRightInd/>
        <w:spacing w:line="360" w:lineRule="auto"/>
        <w:jc w:val="center"/>
        <w:textAlignment w:val="auto"/>
        <w:rPr>
          <w:rFonts w:hint="eastAsia" w:ascii="宋体" w:hAnsi="宋体"/>
          <w:color w:val="auto"/>
          <w:sz w:val="36"/>
          <w:szCs w:val="36"/>
          <w:highlight w:val="none"/>
        </w:rPr>
      </w:pPr>
    </w:p>
    <w:p w14:paraId="0A9072F2">
      <w:pPr>
        <w:pageBreakBefore w:val="0"/>
        <w:kinsoku/>
        <w:wordWrap/>
        <w:overflowPunct/>
        <w:topLinePunct w:val="0"/>
        <w:autoSpaceDE/>
        <w:autoSpaceDN/>
        <w:bidi w:val="0"/>
        <w:adjustRightInd/>
        <w:spacing w:line="360" w:lineRule="auto"/>
        <w:jc w:val="center"/>
        <w:textAlignment w:val="auto"/>
        <w:rPr>
          <w:rFonts w:hint="eastAsia" w:ascii="宋体" w:hAnsi="宋体"/>
          <w:color w:val="auto"/>
          <w:sz w:val="36"/>
          <w:szCs w:val="36"/>
          <w:highlight w:val="none"/>
        </w:rPr>
      </w:pPr>
    </w:p>
    <w:p w14:paraId="503EF9C0">
      <w:pPr>
        <w:pageBreakBefore w:val="0"/>
        <w:kinsoku/>
        <w:wordWrap/>
        <w:overflowPunct/>
        <w:topLinePunct w:val="0"/>
        <w:autoSpaceDE/>
        <w:autoSpaceDN/>
        <w:bidi w:val="0"/>
        <w:adjustRightInd/>
        <w:spacing w:line="360" w:lineRule="auto"/>
        <w:jc w:val="center"/>
        <w:textAlignment w:val="auto"/>
        <w:rPr>
          <w:rFonts w:hint="eastAsia" w:ascii="宋体" w:hAnsi="宋体"/>
          <w:color w:val="auto"/>
          <w:sz w:val="36"/>
          <w:szCs w:val="36"/>
          <w:highlight w:val="none"/>
        </w:rPr>
      </w:pPr>
    </w:p>
    <w:p w14:paraId="05B4D202">
      <w:pPr>
        <w:pageBreakBefore w:val="0"/>
        <w:kinsoku/>
        <w:wordWrap/>
        <w:overflowPunct/>
        <w:topLinePunct w:val="0"/>
        <w:autoSpaceDE/>
        <w:autoSpaceDN/>
        <w:bidi w:val="0"/>
        <w:adjustRightInd/>
        <w:spacing w:line="360" w:lineRule="auto"/>
        <w:jc w:val="center"/>
        <w:textAlignment w:val="auto"/>
        <w:rPr>
          <w:rFonts w:hint="eastAsia" w:ascii="宋体" w:hAnsi="宋体"/>
          <w:color w:val="auto"/>
          <w:sz w:val="36"/>
          <w:szCs w:val="36"/>
          <w:highlight w:val="none"/>
        </w:rPr>
      </w:pPr>
    </w:p>
    <w:p w14:paraId="1AE64DE5">
      <w:pPr>
        <w:pageBreakBefore w:val="0"/>
        <w:kinsoku/>
        <w:wordWrap/>
        <w:overflowPunct/>
        <w:topLinePunct w:val="0"/>
        <w:autoSpaceDE/>
        <w:autoSpaceDN/>
        <w:bidi w:val="0"/>
        <w:adjustRightInd/>
        <w:spacing w:line="360" w:lineRule="auto"/>
        <w:jc w:val="center"/>
        <w:textAlignment w:val="auto"/>
        <w:rPr>
          <w:rFonts w:hint="eastAsia" w:ascii="宋体" w:hAnsi="宋体"/>
          <w:color w:val="auto"/>
          <w:sz w:val="36"/>
          <w:szCs w:val="36"/>
          <w:highlight w:val="none"/>
        </w:rPr>
      </w:pPr>
    </w:p>
    <w:p w14:paraId="7D27CFC8">
      <w:pPr>
        <w:pageBreakBefore w:val="0"/>
        <w:kinsoku/>
        <w:wordWrap/>
        <w:overflowPunct/>
        <w:topLinePunct w:val="0"/>
        <w:autoSpaceDE/>
        <w:autoSpaceDN/>
        <w:bidi w:val="0"/>
        <w:adjustRightInd/>
        <w:spacing w:line="360" w:lineRule="auto"/>
        <w:jc w:val="center"/>
        <w:textAlignment w:val="auto"/>
        <w:rPr>
          <w:rFonts w:hint="eastAsia" w:ascii="宋体" w:hAnsi="宋体"/>
          <w:color w:val="auto"/>
          <w:sz w:val="36"/>
          <w:szCs w:val="36"/>
          <w:highlight w:val="none"/>
        </w:rPr>
      </w:pPr>
    </w:p>
    <w:p w14:paraId="1BBD9EFE">
      <w:pPr>
        <w:pageBreakBefore w:val="0"/>
        <w:kinsoku/>
        <w:wordWrap/>
        <w:overflowPunct/>
        <w:topLinePunct w:val="0"/>
        <w:autoSpaceDE/>
        <w:autoSpaceDN/>
        <w:bidi w:val="0"/>
        <w:adjustRightInd/>
        <w:spacing w:line="360" w:lineRule="auto"/>
        <w:jc w:val="center"/>
        <w:textAlignment w:val="auto"/>
        <w:rPr>
          <w:rFonts w:hint="eastAsia" w:ascii="宋体" w:hAnsi="宋体" w:eastAsia="宋体"/>
          <w:b/>
          <w:bCs/>
          <w:color w:val="auto"/>
          <w:sz w:val="36"/>
          <w:highlight w:val="none"/>
          <w:lang w:eastAsia="zh-CN"/>
        </w:rPr>
      </w:pPr>
      <w:r>
        <w:rPr>
          <w:rFonts w:hint="eastAsia" w:ascii="宋体" w:hAnsi="宋体"/>
          <w:b/>
          <w:bCs/>
          <w:color w:val="auto"/>
          <w:sz w:val="36"/>
          <w:highlight w:val="none"/>
          <w:lang w:eastAsia="zh-CN"/>
        </w:rPr>
        <w:t>江苏嘉加诚工程投资咨询有限公司</w:t>
      </w:r>
    </w:p>
    <w:p w14:paraId="31B2D227">
      <w:pPr>
        <w:pageBreakBefore w:val="0"/>
        <w:kinsoku/>
        <w:wordWrap/>
        <w:overflowPunct/>
        <w:topLinePunct w:val="0"/>
        <w:autoSpaceDE/>
        <w:autoSpaceDN/>
        <w:bidi w:val="0"/>
        <w:adjustRightInd/>
        <w:spacing w:line="360" w:lineRule="auto"/>
        <w:jc w:val="center"/>
        <w:textAlignment w:val="auto"/>
        <w:rPr>
          <w:rFonts w:hint="eastAsia" w:ascii="宋体" w:hAnsi="宋体"/>
          <w:color w:val="auto"/>
          <w:sz w:val="36"/>
          <w:szCs w:val="36"/>
          <w:highlight w:val="none"/>
        </w:rPr>
      </w:pPr>
    </w:p>
    <w:p w14:paraId="75DE7211">
      <w:pPr>
        <w:pageBreakBefore w:val="0"/>
        <w:kinsoku/>
        <w:wordWrap/>
        <w:overflowPunct/>
        <w:topLinePunct w:val="0"/>
        <w:autoSpaceDE/>
        <w:autoSpaceDN/>
        <w:bidi w:val="0"/>
        <w:adjustRightInd/>
        <w:spacing w:line="360" w:lineRule="auto"/>
        <w:jc w:val="center"/>
        <w:textAlignment w:val="auto"/>
        <w:rPr>
          <w:rFonts w:hint="eastAsia" w:ascii="宋体" w:hAnsi="宋体"/>
          <w:b/>
          <w:bCs/>
          <w:color w:val="auto"/>
          <w:sz w:val="36"/>
          <w:szCs w:val="36"/>
          <w:highlight w:val="none"/>
        </w:rPr>
      </w:pPr>
      <w:r>
        <w:rPr>
          <w:rFonts w:hint="eastAsia" w:ascii="宋体" w:hAnsi="宋体"/>
          <w:b/>
          <w:bCs/>
          <w:color w:val="auto"/>
          <w:sz w:val="36"/>
          <w:highlight w:val="none"/>
        </w:rPr>
        <w:t>202</w:t>
      </w:r>
      <w:r>
        <w:rPr>
          <w:rFonts w:hint="default" w:ascii="宋体" w:hAnsi="宋体"/>
          <w:b/>
          <w:bCs/>
          <w:color w:val="auto"/>
          <w:sz w:val="36"/>
          <w:highlight w:val="none"/>
          <w:lang w:val="en-US"/>
        </w:rPr>
        <w:t>4</w:t>
      </w:r>
      <w:r>
        <w:rPr>
          <w:rFonts w:hint="eastAsia" w:ascii="宋体" w:hAnsi="宋体"/>
          <w:b/>
          <w:bCs/>
          <w:color w:val="auto"/>
          <w:sz w:val="36"/>
          <w:highlight w:val="none"/>
        </w:rPr>
        <w:t>年</w:t>
      </w:r>
      <w:r>
        <w:rPr>
          <w:rFonts w:hint="eastAsia" w:ascii="宋体" w:hAnsi="宋体"/>
          <w:b/>
          <w:bCs/>
          <w:color w:val="auto"/>
          <w:sz w:val="36"/>
          <w:highlight w:val="none"/>
          <w:lang w:val="en-US" w:eastAsia="zh-CN"/>
        </w:rPr>
        <w:t>10</w:t>
      </w:r>
      <w:r>
        <w:rPr>
          <w:rFonts w:hint="eastAsia" w:ascii="宋体" w:hAnsi="宋体"/>
          <w:b/>
          <w:bCs/>
          <w:color w:val="auto"/>
          <w:sz w:val="36"/>
          <w:highlight w:val="none"/>
        </w:rPr>
        <w:t>月</w:t>
      </w:r>
      <w:r>
        <w:rPr>
          <w:rFonts w:hint="eastAsia" w:ascii="宋体" w:hAnsi="宋体"/>
          <w:b/>
          <w:bCs/>
          <w:color w:val="auto"/>
          <w:sz w:val="36"/>
          <w:highlight w:val="none"/>
          <w:lang w:val="en-US" w:eastAsia="zh-CN"/>
        </w:rPr>
        <w:t>24</w:t>
      </w:r>
      <w:r>
        <w:rPr>
          <w:rFonts w:hint="eastAsia" w:ascii="宋体" w:hAnsi="宋体"/>
          <w:b/>
          <w:bCs/>
          <w:color w:val="auto"/>
          <w:sz w:val="36"/>
          <w:highlight w:val="none"/>
        </w:rPr>
        <w:t>日</w:t>
      </w:r>
    </w:p>
    <w:p w14:paraId="7458FA09">
      <w:pPr>
        <w:pageBreakBefore w:val="0"/>
        <w:kinsoku/>
        <w:wordWrap/>
        <w:overflowPunct/>
        <w:topLinePunct w:val="0"/>
        <w:autoSpaceDE/>
        <w:autoSpaceDN/>
        <w:bidi w:val="0"/>
        <w:adjustRightInd/>
        <w:spacing w:line="360" w:lineRule="auto"/>
        <w:textAlignment w:val="auto"/>
        <w:rPr>
          <w:color w:val="auto"/>
          <w:highlight w:val="none"/>
        </w:rPr>
      </w:pPr>
    </w:p>
    <w:p w14:paraId="685B65A8">
      <w:pPr>
        <w:pageBreakBefore w:val="0"/>
        <w:kinsoku/>
        <w:wordWrap/>
        <w:overflowPunct/>
        <w:topLinePunct w:val="0"/>
        <w:autoSpaceDE/>
        <w:autoSpaceDN/>
        <w:bidi w:val="0"/>
        <w:adjustRightInd/>
        <w:spacing w:line="360" w:lineRule="auto"/>
        <w:textAlignment w:val="auto"/>
        <w:rPr>
          <w:rFonts w:hint="eastAsia" w:ascii="宋体" w:hAnsi="宋体"/>
          <w:color w:val="auto"/>
          <w:sz w:val="32"/>
          <w:highlight w:val="none"/>
        </w:rPr>
      </w:pPr>
    </w:p>
    <w:p w14:paraId="5759E2A1">
      <w:pPr>
        <w:pageBreakBefore w:val="0"/>
        <w:kinsoku/>
        <w:wordWrap/>
        <w:overflowPunct/>
        <w:topLinePunct w:val="0"/>
        <w:autoSpaceDE/>
        <w:autoSpaceDN/>
        <w:bidi w:val="0"/>
        <w:adjustRightInd/>
        <w:spacing w:line="360" w:lineRule="auto"/>
        <w:jc w:val="center"/>
        <w:textAlignment w:val="auto"/>
        <w:rPr>
          <w:rFonts w:hint="eastAsia" w:ascii="宋体" w:hAnsi="宋体"/>
          <w:color w:val="auto"/>
          <w:sz w:val="32"/>
          <w:szCs w:val="32"/>
          <w:highlight w:val="none"/>
        </w:rPr>
      </w:pPr>
    </w:p>
    <w:p w14:paraId="3AC9A591">
      <w:pPr>
        <w:pageBreakBefore w:val="0"/>
        <w:kinsoku/>
        <w:wordWrap/>
        <w:overflowPunct/>
        <w:topLinePunct w:val="0"/>
        <w:autoSpaceDE/>
        <w:autoSpaceDN/>
        <w:bidi w:val="0"/>
        <w:adjustRightInd/>
        <w:spacing w:line="360" w:lineRule="auto"/>
        <w:jc w:val="center"/>
        <w:textAlignment w:val="auto"/>
        <w:rPr>
          <w:rFonts w:hint="eastAsia" w:ascii="宋体" w:hAnsi="宋体"/>
          <w:color w:val="auto"/>
          <w:sz w:val="32"/>
          <w:szCs w:val="32"/>
          <w:highlight w:val="none"/>
        </w:rPr>
      </w:pPr>
    </w:p>
    <w:p w14:paraId="621F2A8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olor w:val="auto"/>
          <w:sz w:val="32"/>
          <w:szCs w:val="32"/>
          <w:highlight w:val="none"/>
        </w:rPr>
      </w:pPr>
      <w:r>
        <w:rPr>
          <w:rFonts w:hint="eastAsia" w:ascii="宋体" w:hAnsi="宋体"/>
          <w:color w:val="auto"/>
          <w:sz w:val="32"/>
          <w:highlight w:val="none"/>
        </w:rPr>
        <w:t>目 录</w:t>
      </w:r>
    </w:p>
    <w:p w14:paraId="07F6C7E5">
      <w:pPr>
        <w:pStyle w:val="214"/>
        <w:keepNext w:val="0"/>
        <w:keepLines w:val="0"/>
        <w:pageBreakBefore w:val="0"/>
        <w:widowControl w:val="0"/>
        <w:kinsoku/>
        <w:wordWrap/>
        <w:overflowPunct/>
        <w:topLinePunct w:val="0"/>
        <w:autoSpaceDE/>
        <w:autoSpaceDN/>
        <w:bidi w:val="0"/>
        <w:adjustRightInd/>
        <w:snapToGrid/>
        <w:spacing w:line="360" w:lineRule="auto"/>
        <w:ind w:firstLine="400"/>
        <w:textAlignment w:val="auto"/>
        <w:rPr>
          <w:color w:val="auto"/>
          <w:highlight w:val="none"/>
        </w:rPr>
      </w:pPr>
    </w:p>
    <w:p w14:paraId="3A10E4BC">
      <w:pPr>
        <w:pStyle w:val="209"/>
        <w:keepNext w:val="0"/>
        <w:keepLines w:val="0"/>
        <w:pageBreakBefore w:val="0"/>
        <w:widowControl w:val="0"/>
        <w:tabs>
          <w:tab w:val="right" w:leader="dot" w:pos="8296"/>
        </w:tabs>
        <w:kinsoku/>
        <w:wordWrap/>
        <w:overflowPunct/>
        <w:topLinePunct w:val="0"/>
        <w:autoSpaceDE/>
        <w:autoSpaceDN/>
        <w:bidi w:val="0"/>
        <w:adjustRightInd/>
        <w:snapToGrid/>
        <w:spacing w:line="360" w:lineRule="auto"/>
        <w:textAlignment w:val="auto"/>
        <w:rPr>
          <w:rFonts w:hint="eastAsia"/>
          <w:color w:val="auto"/>
          <w:highlight w:val="none"/>
        </w:rPr>
      </w:pPr>
      <w:r>
        <w:rPr>
          <w:rFonts w:hint="eastAsia" w:ascii="宋体" w:hAnsi="宋体"/>
          <w:color w:val="auto"/>
          <w:sz w:val="28"/>
          <w:highlight w:val="none"/>
        </w:rPr>
        <w:fldChar w:fldCharType="begin"/>
      </w:r>
      <w:r>
        <w:rPr>
          <w:rFonts w:hint="eastAsia" w:ascii="宋体" w:hAnsi="宋体"/>
          <w:color w:val="auto"/>
          <w:sz w:val="28"/>
          <w:highlight w:val="none"/>
        </w:rPr>
        <w:instrText xml:space="preserve"> TOC \o "1-3" \f </w:instrText>
      </w:r>
      <w:r>
        <w:rPr>
          <w:rFonts w:hint="eastAsia" w:ascii="宋体" w:hAnsi="宋体"/>
          <w:color w:val="auto"/>
          <w:sz w:val="28"/>
          <w:highlight w:val="none"/>
        </w:rPr>
        <w:fldChar w:fldCharType="separate"/>
      </w:r>
      <w:r>
        <w:rPr>
          <w:rFonts w:hint="eastAsia" w:ascii="宋体" w:hAnsi="宋体"/>
          <w:color w:val="auto"/>
          <w:highlight w:val="none"/>
        </w:rPr>
        <w:t>第一章 招标公告</w:t>
      </w:r>
      <w:r>
        <w:rPr>
          <w:rFonts w:hint="eastAsia"/>
          <w:color w:val="auto"/>
          <w:highlight w:val="none"/>
        </w:rPr>
        <w:tab/>
      </w:r>
      <w:r>
        <w:rPr>
          <w:rFonts w:hint="eastAsia"/>
          <w:color w:val="auto"/>
          <w:highlight w:val="none"/>
        </w:rPr>
        <w:t>3</w:t>
      </w:r>
    </w:p>
    <w:p w14:paraId="45ADC4EA">
      <w:pPr>
        <w:pStyle w:val="209"/>
        <w:keepNext w:val="0"/>
        <w:keepLines w:val="0"/>
        <w:pageBreakBefore w:val="0"/>
        <w:widowControl w:val="0"/>
        <w:tabs>
          <w:tab w:val="right" w:leader="dot" w:pos="8296"/>
        </w:tabs>
        <w:kinsoku/>
        <w:wordWrap/>
        <w:overflowPunct/>
        <w:topLinePunct w:val="0"/>
        <w:autoSpaceDE/>
        <w:autoSpaceDN/>
        <w:bidi w:val="0"/>
        <w:adjustRightInd/>
        <w:snapToGrid/>
        <w:spacing w:line="360" w:lineRule="auto"/>
        <w:textAlignment w:val="auto"/>
        <w:rPr>
          <w:rFonts w:hint="eastAsia"/>
          <w:color w:val="auto"/>
          <w:highlight w:val="none"/>
        </w:rPr>
      </w:pPr>
      <w:r>
        <w:rPr>
          <w:rFonts w:hint="eastAsia" w:ascii="宋体" w:hAnsi="宋体"/>
          <w:color w:val="auto"/>
          <w:highlight w:val="none"/>
        </w:rPr>
        <w:t>第二章 投标人须知</w:t>
      </w:r>
      <w:r>
        <w:rPr>
          <w:rFonts w:hint="eastAsia"/>
          <w:color w:val="auto"/>
          <w:highlight w:val="none"/>
        </w:rPr>
        <w:tab/>
      </w:r>
      <w:r>
        <w:rPr>
          <w:rFonts w:hint="eastAsia"/>
          <w:color w:val="auto"/>
          <w:highlight w:val="none"/>
        </w:rPr>
        <w:t>7</w:t>
      </w:r>
    </w:p>
    <w:p w14:paraId="35F33FA8">
      <w:pPr>
        <w:pStyle w:val="209"/>
        <w:keepNext w:val="0"/>
        <w:keepLines w:val="0"/>
        <w:pageBreakBefore w:val="0"/>
        <w:widowControl w:val="0"/>
        <w:tabs>
          <w:tab w:val="right" w:leader="dot" w:pos="8296"/>
        </w:tabs>
        <w:kinsoku/>
        <w:wordWrap/>
        <w:overflowPunct/>
        <w:topLinePunct w:val="0"/>
        <w:autoSpaceDE/>
        <w:autoSpaceDN/>
        <w:bidi w:val="0"/>
        <w:adjustRightInd/>
        <w:snapToGrid/>
        <w:spacing w:line="360" w:lineRule="auto"/>
        <w:textAlignment w:val="auto"/>
        <w:rPr>
          <w:rFonts w:hint="eastAsia" w:eastAsia="宋体"/>
          <w:color w:val="auto"/>
          <w:highlight w:val="none"/>
          <w:lang w:eastAsia="zh-CN"/>
        </w:rPr>
      </w:pPr>
      <w:r>
        <w:rPr>
          <w:rFonts w:hint="eastAsia" w:ascii="宋体" w:hAnsi="宋体"/>
          <w:color w:val="auto"/>
          <w:highlight w:val="none"/>
        </w:rPr>
        <w:t>第三章 合同条款及格式</w:t>
      </w:r>
      <w:r>
        <w:rPr>
          <w:rFonts w:hint="eastAsia"/>
          <w:color w:val="auto"/>
          <w:highlight w:val="none"/>
        </w:rPr>
        <w:tab/>
      </w:r>
      <w:r>
        <w:rPr>
          <w:rFonts w:hint="eastAsia"/>
          <w:color w:val="auto"/>
          <w:highlight w:val="none"/>
        </w:rPr>
        <w:t>1</w:t>
      </w:r>
      <w:r>
        <w:rPr>
          <w:rFonts w:hint="eastAsia"/>
          <w:color w:val="auto"/>
          <w:highlight w:val="none"/>
          <w:lang w:val="en-US" w:eastAsia="zh-CN"/>
        </w:rPr>
        <w:t>7</w:t>
      </w:r>
    </w:p>
    <w:p w14:paraId="2A7E25AE">
      <w:pPr>
        <w:pStyle w:val="209"/>
        <w:keepNext w:val="0"/>
        <w:keepLines w:val="0"/>
        <w:pageBreakBefore w:val="0"/>
        <w:widowControl w:val="0"/>
        <w:tabs>
          <w:tab w:val="right" w:leader="dot" w:pos="8296"/>
        </w:tabs>
        <w:kinsoku/>
        <w:wordWrap/>
        <w:overflowPunct/>
        <w:topLinePunct w:val="0"/>
        <w:autoSpaceDE/>
        <w:autoSpaceDN/>
        <w:bidi w:val="0"/>
        <w:adjustRightInd/>
        <w:snapToGrid/>
        <w:spacing w:line="360" w:lineRule="auto"/>
        <w:textAlignment w:val="auto"/>
        <w:rPr>
          <w:rFonts w:hint="eastAsia" w:eastAsia="宋体"/>
          <w:color w:val="auto"/>
          <w:highlight w:val="none"/>
          <w:lang w:eastAsia="zh-CN"/>
        </w:rPr>
      </w:pPr>
      <w:r>
        <w:rPr>
          <w:rFonts w:hint="eastAsia"/>
          <w:color w:val="auto"/>
          <w:highlight w:val="none"/>
        </w:rPr>
        <w:t>第四章 项目需求</w:t>
      </w:r>
      <w:r>
        <w:rPr>
          <w:rFonts w:hint="eastAsia"/>
          <w:color w:val="auto"/>
          <w:highlight w:val="none"/>
        </w:rPr>
        <w:tab/>
      </w:r>
      <w:r>
        <w:rPr>
          <w:rFonts w:hint="eastAsia"/>
          <w:color w:val="auto"/>
          <w:highlight w:val="none"/>
        </w:rPr>
        <w:t>2</w:t>
      </w:r>
      <w:r>
        <w:rPr>
          <w:rFonts w:hint="eastAsia"/>
          <w:color w:val="auto"/>
          <w:highlight w:val="none"/>
          <w:lang w:val="en-US" w:eastAsia="zh-CN"/>
        </w:rPr>
        <w:t>2</w:t>
      </w:r>
    </w:p>
    <w:p w14:paraId="4C4D9956">
      <w:pPr>
        <w:pStyle w:val="209"/>
        <w:keepNext w:val="0"/>
        <w:keepLines w:val="0"/>
        <w:pageBreakBefore w:val="0"/>
        <w:widowControl w:val="0"/>
        <w:tabs>
          <w:tab w:val="right" w:leader="dot" w:pos="8296"/>
        </w:tabs>
        <w:kinsoku/>
        <w:wordWrap/>
        <w:overflowPunct/>
        <w:topLinePunct w:val="0"/>
        <w:autoSpaceDE/>
        <w:autoSpaceDN/>
        <w:bidi w:val="0"/>
        <w:adjustRightInd/>
        <w:snapToGrid/>
        <w:spacing w:line="360" w:lineRule="auto"/>
        <w:textAlignment w:val="auto"/>
        <w:rPr>
          <w:rFonts w:hint="default" w:eastAsia="宋体"/>
          <w:color w:val="auto"/>
          <w:highlight w:val="none"/>
          <w:lang w:val="en-US" w:eastAsia="zh-CN"/>
        </w:rPr>
      </w:pPr>
      <w:r>
        <w:rPr>
          <w:rFonts w:hint="eastAsia" w:ascii="宋体" w:hAnsi="宋体"/>
          <w:color w:val="auto"/>
          <w:highlight w:val="none"/>
        </w:rPr>
        <w:t>第五章 评标方法及评标标准</w:t>
      </w:r>
      <w:r>
        <w:rPr>
          <w:rFonts w:hint="eastAsia"/>
          <w:color w:val="auto"/>
          <w:highlight w:val="none"/>
        </w:rPr>
        <w:tab/>
      </w:r>
      <w:r>
        <w:rPr>
          <w:rFonts w:hint="eastAsia"/>
          <w:color w:val="auto"/>
          <w:highlight w:val="none"/>
          <w:lang w:val="en-US" w:eastAsia="zh-CN"/>
        </w:rPr>
        <w:t>28</w:t>
      </w:r>
    </w:p>
    <w:p w14:paraId="41330F33">
      <w:pPr>
        <w:pStyle w:val="209"/>
        <w:keepNext w:val="0"/>
        <w:keepLines w:val="0"/>
        <w:pageBreakBefore w:val="0"/>
        <w:widowControl w:val="0"/>
        <w:tabs>
          <w:tab w:val="right" w:leader="dot" w:pos="8296"/>
        </w:tabs>
        <w:kinsoku/>
        <w:wordWrap/>
        <w:overflowPunct/>
        <w:topLinePunct w:val="0"/>
        <w:autoSpaceDE/>
        <w:autoSpaceDN/>
        <w:bidi w:val="0"/>
        <w:adjustRightInd/>
        <w:snapToGrid/>
        <w:spacing w:line="360" w:lineRule="auto"/>
        <w:textAlignment w:val="auto"/>
        <w:rPr>
          <w:rFonts w:hint="eastAsia" w:eastAsia="宋体"/>
          <w:color w:val="auto"/>
          <w:highlight w:val="none"/>
          <w:lang w:eastAsia="zh-CN"/>
        </w:rPr>
      </w:pPr>
      <w:r>
        <w:rPr>
          <w:rFonts w:hint="eastAsia" w:ascii="宋体" w:hAnsi="宋体"/>
          <w:color w:val="auto"/>
          <w:highlight w:val="none"/>
        </w:rPr>
        <w:t>第六章 投标文件格式</w:t>
      </w:r>
      <w:r>
        <w:rPr>
          <w:rFonts w:hint="eastAsia"/>
          <w:color w:val="auto"/>
          <w:highlight w:val="none"/>
        </w:rPr>
        <w:tab/>
      </w:r>
      <w:r>
        <w:rPr>
          <w:rFonts w:hint="eastAsia"/>
          <w:color w:val="auto"/>
          <w:highlight w:val="none"/>
        </w:rPr>
        <w:t>3</w:t>
      </w:r>
      <w:r>
        <w:rPr>
          <w:rFonts w:hint="eastAsia"/>
          <w:color w:val="auto"/>
          <w:highlight w:val="none"/>
          <w:lang w:val="en-US" w:eastAsia="zh-CN"/>
        </w:rPr>
        <w:t>2</w:t>
      </w:r>
    </w:p>
    <w:p w14:paraId="4F8804D1">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color w:val="auto"/>
          <w:sz w:val="28"/>
          <w:highlight w:val="none"/>
        </w:rPr>
      </w:pPr>
      <w:r>
        <w:rPr>
          <w:rFonts w:hint="eastAsia" w:ascii="宋体" w:hAnsi="宋体"/>
          <w:color w:val="auto"/>
          <w:sz w:val="28"/>
          <w:highlight w:val="none"/>
        </w:rPr>
        <w:fldChar w:fldCharType="end"/>
      </w:r>
    </w:p>
    <w:p w14:paraId="7D92EDD8">
      <w:pPr>
        <w:pageBreakBefore w:val="0"/>
        <w:kinsoku/>
        <w:wordWrap/>
        <w:overflowPunct/>
        <w:topLinePunct w:val="0"/>
        <w:autoSpaceDE/>
        <w:autoSpaceDN/>
        <w:bidi w:val="0"/>
        <w:adjustRightInd/>
        <w:spacing w:line="360" w:lineRule="auto"/>
        <w:jc w:val="center"/>
        <w:textAlignment w:val="auto"/>
        <w:rPr>
          <w:rFonts w:hint="eastAsia" w:ascii="宋体" w:hAnsi="宋体"/>
          <w:b/>
          <w:bCs/>
          <w:color w:val="auto"/>
          <w:sz w:val="36"/>
          <w:highlight w:val="none"/>
        </w:rPr>
      </w:pPr>
      <w:r>
        <w:rPr>
          <w:rFonts w:hint="eastAsia" w:ascii="宋体" w:hAnsi="宋体"/>
          <w:color w:val="auto"/>
          <w:sz w:val="28"/>
          <w:highlight w:val="none"/>
        </w:rPr>
        <w:br w:type="page" w:clear="all"/>
      </w:r>
      <w:r>
        <w:rPr>
          <w:rFonts w:hint="eastAsia" w:ascii="宋体" w:hAnsi="宋体"/>
          <w:b/>
          <w:bCs/>
          <w:color w:val="auto"/>
          <w:sz w:val="44"/>
          <w:szCs w:val="28"/>
          <w:highlight w:val="none"/>
        </w:rPr>
        <w:t>第一章 招标公告</w:t>
      </w:r>
    </w:p>
    <w:p w14:paraId="64F706E9">
      <w:pPr>
        <w:pageBreakBefore w:val="0"/>
        <w:tabs>
          <w:tab w:val="left" w:pos="266"/>
        </w:tabs>
        <w:kinsoku/>
        <w:wordWrap/>
        <w:overflowPunct/>
        <w:topLinePunct w:val="0"/>
        <w:autoSpaceDE/>
        <w:autoSpaceDN/>
        <w:bidi w:val="0"/>
        <w:adjustRightInd/>
        <w:spacing w:line="360" w:lineRule="auto"/>
        <w:ind w:firstLine="420"/>
        <w:textAlignment w:val="auto"/>
        <w:rPr>
          <w:rFonts w:ascii="宋体" w:hAnsi="宋体" w:cs="宋体"/>
          <w:color w:val="auto"/>
          <w:szCs w:val="21"/>
          <w:highlight w:val="none"/>
        </w:rPr>
      </w:pPr>
      <w:r>
        <w:rPr>
          <w:rFonts w:hint="eastAsia" w:ascii="宋体" w:hAnsi="宋体" w:cs="宋体"/>
          <w:color w:val="auto"/>
          <w:highlight w:val="none"/>
        </w:rPr>
        <w:t>受</w:t>
      </w:r>
      <w:r>
        <w:rPr>
          <w:rFonts w:hint="eastAsia" w:ascii="宋体" w:hAnsi="宋体" w:cs="宋体"/>
          <w:color w:val="auto"/>
          <w:highlight w:val="none"/>
          <w:lang w:eastAsia="zh-CN"/>
        </w:rPr>
        <w:t>扬州市梅岭街道办事处</w:t>
      </w:r>
      <w:r>
        <w:rPr>
          <w:rFonts w:hint="eastAsia" w:ascii="宋体" w:hAnsi="宋体" w:cs="宋体"/>
          <w:color w:val="auto"/>
          <w:highlight w:val="none"/>
        </w:rPr>
        <w:t>的委托，</w:t>
      </w:r>
      <w:r>
        <w:rPr>
          <w:rFonts w:hint="eastAsia" w:ascii="宋体" w:hAnsi="宋体" w:cs="宋体"/>
          <w:color w:val="auto"/>
          <w:highlight w:val="none"/>
          <w:lang w:eastAsia="zh-CN"/>
        </w:rPr>
        <w:t>江苏嘉加诚工程投资咨询有限公司</w:t>
      </w:r>
      <w:r>
        <w:rPr>
          <w:rFonts w:hint="eastAsia" w:ascii="宋体" w:hAnsi="宋体" w:cs="宋体"/>
          <w:color w:val="auto"/>
          <w:highlight w:val="none"/>
        </w:rPr>
        <w:t>就</w:t>
      </w:r>
      <w:r>
        <w:rPr>
          <w:rFonts w:hint="eastAsia" w:ascii="宋体" w:hAnsi="宋体" w:cs="宋体"/>
          <w:color w:val="auto"/>
          <w:highlight w:val="none"/>
          <w:lang w:eastAsia="zh-CN"/>
        </w:rPr>
        <w:t>扬州市梅岭街道办事处梅岭街道2024-2026年居家养老购买服务（A包）二次</w:t>
      </w:r>
      <w:r>
        <w:rPr>
          <w:rFonts w:hint="eastAsia" w:ascii="宋体" w:hAnsi="宋体" w:cs="宋体"/>
          <w:color w:val="auto"/>
          <w:highlight w:val="none"/>
        </w:rPr>
        <w:t>进行公开招标采购，欢迎符合条件的供应商投标。</w:t>
      </w:r>
    </w:p>
    <w:p w14:paraId="3A31B4A3">
      <w:pPr>
        <w:pageBreakBefore w:val="0"/>
        <w:pBdr>
          <w:top w:val="single" w:color="000000" w:sz="4" w:space="1"/>
          <w:left w:val="single" w:color="000000" w:sz="4" w:space="4"/>
          <w:bottom w:val="single" w:color="000000" w:sz="4" w:space="1"/>
          <w:right w:val="single" w:color="000000" w:sz="4" w:space="4"/>
        </w:pBdr>
        <w:kinsoku/>
        <w:wordWrap/>
        <w:overflowPunct/>
        <w:topLinePunct w:val="0"/>
        <w:autoSpaceDE/>
        <w:autoSpaceDN/>
        <w:bidi w:val="0"/>
        <w:adjustRightInd/>
        <w:spacing w:line="360" w:lineRule="auto"/>
        <w:textAlignment w:val="auto"/>
        <w:rPr>
          <w:rFonts w:hint="eastAsia" w:ascii="宋体" w:hAnsi="宋体" w:cs="宋体"/>
          <w:b/>
          <w:bCs/>
          <w:color w:val="auto"/>
          <w:highlight w:val="none"/>
        </w:rPr>
      </w:pPr>
      <w:r>
        <w:rPr>
          <w:rFonts w:hint="eastAsia" w:ascii="宋体" w:hAnsi="宋体" w:cs="宋体"/>
          <w:b/>
          <w:bCs/>
          <w:color w:val="auto"/>
          <w:highlight w:val="none"/>
        </w:rPr>
        <w:t>项目概况：</w:t>
      </w:r>
    </w:p>
    <w:p w14:paraId="53064E32">
      <w:pPr>
        <w:pageBreakBefore w:val="0"/>
        <w:pBdr>
          <w:top w:val="single" w:color="000000" w:sz="4" w:space="1"/>
          <w:left w:val="single" w:color="000000" w:sz="4" w:space="4"/>
          <w:bottom w:val="single" w:color="000000" w:sz="4" w:space="1"/>
          <w:right w:val="single" w:color="000000" w:sz="4" w:space="4"/>
        </w:pBdr>
        <w:kinsoku/>
        <w:wordWrap/>
        <w:overflowPunct/>
        <w:topLinePunct w:val="0"/>
        <w:autoSpaceDE/>
        <w:autoSpaceDN/>
        <w:bidi w:val="0"/>
        <w:adjustRightInd/>
        <w:spacing w:line="360" w:lineRule="auto"/>
        <w:ind w:firstLine="420"/>
        <w:textAlignment w:val="auto"/>
        <w:rPr>
          <w:rFonts w:ascii="宋体" w:hAnsi="宋体" w:cs="宋体"/>
          <w:color w:val="auto"/>
          <w:highlight w:val="none"/>
        </w:rPr>
      </w:pPr>
      <w:r>
        <w:rPr>
          <w:rFonts w:hint="eastAsia" w:ascii="宋体" w:hAnsi="宋体" w:cs="宋体"/>
          <w:color w:val="auto"/>
          <w:highlight w:val="none"/>
          <w:u w:val="single"/>
          <w:lang w:eastAsia="zh-CN"/>
        </w:rPr>
        <w:t>扬州市梅岭街道办事处梅岭街道2024-2026年居家养老购买服务（A包）二次</w:t>
      </w:r>
      <w:r>
        <w:rPr>
          <w:rFonts w:hint="eastAsia" w:ascii="宋体" w:hAnsi="宋体" w:cs="宋体"/>
          <w:color w:val="auto"/>
          <w:highlight w:val="none"/>
        </w:rPr>
        <w:t>的潜在投标人可在</w:t>
      </w:r>
      <w:r>
        <w:rPr>
          <w:rFonts w:hint="eastAsia" w:ascii="宋体" w:hAnsi="宋体" w:cs="宋体"/>
          <w:color w:val="auto"/>
          <w:highlight w:val="none"/>
          <w:u w:val="single"/>
          <w:lang w:eastAsia="zh-CN"/>
        </w:rPr>
        <w:t>“扬州市政府采购网”、“江苏省政府采购网”、“中国政府采购网”</w:t>
      </w:r>
      <w:r>
        <w:rPr>
          <w:rFonts w:hint="eastAsia" w:ascii="宋体" w:hAnsi="宋体" w:cs="宋体"/>
          <w:color w:val="auto"/>
          <w:highlight w:val="none"/>
          <w:u w:val="single"/>
        </w:rPr>
        <w:t>自行免费下载</w:t>
      </w:r>
      <w:r>
        <w:rPr>
          <w:rFonts w:hint="eastAsia" w:ascii="宋体" w:hAnsi="宋体" w:cs="宋体"/>
          <w:color w:val="auto"/>
          <w:highlight w:val="none"/>
        </w:rPr>
        <w:t>招标文件，并于</w:t>
      </w:r>
      <w:r>
        <w:rPr>
          <w:rFonts w:hint="eastAsia" w:ascii="宋体" w:hAnsi="宋体" w:cs="宋体"/>
          <w:bCs/>
          <w:color w:val="auto"/>
          <w:highlight w:val="none"/>
          <w:u w:val="single"/>
        </w:rPr>
        <w:t>202</w:t>
      </w:r>
      <w:r>
        <w:rPr>
          <w:rFonts w:hint="eastAsia" w:ascii="宋体" w:hAnsi="宋体" w:cs="宋体"/>
          <w:bCs/>
          <w:color w:val="auto"/>
          <w:highlight w:val="none"/>
          <w:u w:val="single"/>
          <w:lang w:val="en-US" w:eastAsia="zh-CN"/>
        </w:rPr>
        <w:t>4</w:t>
      </w:r>
      <w:r>
        <w:rPr>
          <w:rFonts w:hint="eastAsia" w:ascii="宋体" w:hAnsi="宋体" w:cs="宋体"/>
          <w:bCs/>
          <w:color w:val="auto"/>
          <w:highlight w:val="none"/>
          <w:u w:val="single"/>
        </w:rPr>
        <w:t>年</w:t>
      </w:r>
      <w:r>
        <w:rPr>
          <w:rFonts w:hint="eastAsia" w:ascii="宋体" w:hAnsi="宋体" w:cs="宋体"/>
          <w:bCs/>
          <w:color w:val="auto"/>
          <w:highlight w:val="none"/>
          <w:u w:val="single"/>
          <w:lang w:val="en-US" w:eastAsia="zh-CN"/>
        </w:rPr>
        <w:t>11</w:t>
      </w:r>
      <w:r>
        <w:rPr>
          <w:rFonts w:hint="eastAsia" w:ascii="宋体" w:hAnsi="宋体" w:cs="宋体"/>
          <w:bCs/>
          <w:color w:val="auto"/>
          <w:highlight w:val="none"/>
          <w:u w:val="single"/>
        </w:rPr>
        <w:t>月</w:t>
      </w:r>
      <w:r>
        <w:rPr>
          <w:rFonts w:hint="eastAsia" w:ascii="宋体" w:hAnsi="宋体" w:cs="宋体"/>
          <w:bCs/>
          <w:color w:val="auto"/>
          <w:highlight w:val="none"/>
          <w:u w:val="single"/>
          <w:lang w:val="en-US" w:eastAsia="zh-CN"/>
        </w:rPr>
        <w:t>14</w:t>
      </w:r>
      <w:r>
        <w:rPr>
          <w:rFonts w:hint="eastAsia" w:ascii="宋体" w:hAnsi="宋体" w:cs="宋体"/>
          <w:bCs/>
          <w:color w:val="auto"/>
          <w:highlight w:val="none"/>
          <w:u w:val="single"/>
        </w:rPr>
        <w:t>日</w:t>
      </w:r>
      <w:r>
        <w:rPr>
          <w:rFonts w:hint="eastAsia" w:ascii="宋体" w:hAnsi="宋体" w:cs="宋体"/>
          <w:bCs/>
          <w:color w:val="auto"/>
          <w:highlight w:val="none"/>
          <w:u w:val="single"/>
          <w:lang w:val="en-US" w:eastAsia="zh-CN"/>
        </w:rPr>
        <w:t>上午9:30</w:t>
      </w:r>
      <w:r>
        <w:rPr>
          <w:rFonts w:hint="eastAsia" w:ascii="宋体" w:hAnsi="宋体" w:cs="宋体"/>
          <w:bCs/>
          <w:color w:val="auto"/>
          <w:highlight w:val="none"/>
        </w:rPr>
        <w:t>（北京时间）前递交投标文件</w:t>
      </w:r>
      <w:r>
        <w:rPr>
          <w:rFonts w:hint="eastAsia" w:ascii="宋体" w:hAnsi="宋体" w:cs="宋体"/>
          <w:color w:val="auto"/>
          <w:highlight w:val="none"/>
        </w:rPr>
        <w:t>。</w:t>
      </w:r>
    </w:p>
    <w:p w14:paraId="4D646E6F">
      <w:pPr>
        <w:pageBreakBefore w:val="0"/>
        <w:tabs>
          <w:tab w:val="left" w:pos="266"/>
        </w:tabs>
        <w:kinsoku/>
        <w:wordWrap/>
        <w:overflowPunct/>
        <w:topLinePunct w:val="0"/>
        <w:autoSpaceDE/>
        <w:autoSpaceDN/>
        <w:bidi w:val="0"/>
        <w:adjustRightInd/>
        <w:spacing w:line="360" w:lineRule="auto"/>
        <w:textAlignment w:val="auto"/>
        <w:rPr>
          <w:rFonts w:ascii="宋体" w:hAnsi="宋体" w:cs="宋体"/>
          <w:b/>
          <w:bCs/>
          <w:color w:val="auto"/>
          <w:highlight w:val="none"/>
        </w:rPr>
      </w:pPr>
      <w:bookmarkStart w:id="0" w:name="_Toc38985263"/>
      <w:bookmarkStart w:id="1" w:name="_Toc35393621"/>
      <w:bookmarkStart w:id="2" w:name="_Toc35393790"/>
      <w:bookmarkStart w:id="3" w:name="_Toc28359002"/>
      <w:bookmarkStart w:id="4" w:name="_Toc28359079"/>
      <w:bookmarkStart w:id="5" w:name="_Hlk24379207"/>
      <w:r>
        <w:rPr>
          <w:rFonts w:hint="eastAsia" w:ascii="宋体" w:hAnsi="宋体" w:cs="宋体"/>
          <w:b/>
          <w:bCs/>
          <w:color w:val="auto"/>
          <w:highlight w:val="none"/>
        </w:rPr>
        <w:t>一、项目基本情况</w:t>
      </w:r>
      <w:bookmarkEnd w:id="0"/>
      <w:bookmarkEnd w:id="1"/>
      <w:bookmarkEnd w:id="2"/>
      <w:bookmarkEnd w:id="3"/>
      <w:bookmarkEnd w:id="4"/>
    </w:p>
    <w:p w14:paraId="55E31765">
      <w:pPr>
        <w:pageBreakBefore w:val="0"/>
        <w:kinsoku/>
        <w:wordWrap/>
        <w:overflowPunct/>
        <w:topLinePunct w:val="0"/>
        <w:autoSpaceDE/>
        <w:autoSpaceDN/>
        <w:bidi w:val="0"/>
        <w:adjustRightInd/>
        <w:spacing w:line="360" w:lineRule="auto"/>
        <w:ind w:firstLine="420"/>
        <w:textAlignment w:val="auto"/>
        <w:rPr>
          <w:rFonts w:hint="eastAsia" w:ascii="宋体" w:hAnsi="宋体" w:cs="宋体"/>
          <w:color w:val="auto"/>
          <w:szCs w:val="21"/>
          <w:highlight w:val="none"/>
        </w:rPr>
      </w:pPr>
      <w:r>
        <w:rPr>
          <w:rFonts w:hint="eastAsia" w:ascii="宋体" w:hAnsi="宋体" w:cs="宋体"/>
          <w:color w:val="auto"/>
          <w:highlight w:val="none"/>
        </w:rPr>
        <w:t>1.项目编号：</w:t>
      </w:r>
      <w:bookmarkStart w:id="63" w:name="_GoBack"/>
      <w:r>
        <w:rPr>
          <w:rFonts w:hint="eastAsia" w:ascii="宋体" w:hAnsi="宋体" w:cs="宋体"/>
          <w:color w:val="auto"/>
          <w:highlight w:val="none"/>
          <w:lang w:eastAsia="zh-CN"/>
        </w:rPr>
        <w:t>JSZC-321092-JJJC-G2024-0033</w:t>
      </w:r>
      <w:bookmarkEnd w:id="63"/>
    </w:p>
    <w:p w14:paraId="2BD9312F">
      <w:pPr>
        <w:pageBreakBefore w:val="0"/>
        <w:kinsoku/>
        <w:wordWrap/>
        <w:overflowPunct/>
        <w:topLinePunct w:val="0"/>
        <w:autoSpaceDE/>
        <w:autoSpaceDN/>
        <w:bidi w:val="0"/>
        <w:adjustRightInd/>
        <w:spacing w:line="360" w:lineRule="auto"/>
        <w:ind w:firstLine="420"/>
        <w:textAlignment w:val="auto"/>
        <w:rPr>
          <w:rFonts w:hint="eastAsia" w:ascii="宋体" w:hAnsi="宋体" w:eastAsia="宋体" w:cs="宋体"/>
          <w:color w:val="auto"/>
          <w:highlight w:val="none"/>
          <w:lang w:eastAsia="zh-CN"/>
        </w:rPr>
      </w:pPr>
      <w:r>
        <w:rPr>
          <w:rFonts w:hint="eastAsia" w:ascii="宋体" w:hAnsi="宋体" w:cs="宋体"/>
          <w:color w:val="auto"/>
          <w:highlight w:val="none"/>
        </w:rPr>
        <w:t>2.项目名称：</w:t>
      </w:r>
      <w:r>
        <w:rPr>
          <w:rFonts w:hint="eastAsia" w:ascii="宋体" w:hAnsi="宋体" w:cs="宋体"/>
          <w:color w:val="auto"/>
          <w:highlight w:val="none"/>
          <w:lang w:eastAsia="zh-CN"/>
        </w:rPr>
        <w:t>扬州市梅岭街道办事处梅岭街道2024-2026年居家养老购买服务（A包）二次</w:t>
      </w:r>
    </w:p>
    <w:bookmarkEnd w:id="5"/>
    <w:p w14:paraId="039BEE45">
      <w:pPr>
        <w:pageBreakBefore w:val="0"/>
        <w:kinsoku/>
        <w:wordWrap/>
        <w:overflowPunct/>
        <w:topLinePunct w:val="0"/>
        <w:autoSpaceDE/>
        <w:autoSpaceDN/>
        <w:bidi w:val="0"/>
        <w:adjustRightInd/>
        <w:spacing w:line="360" w:lineRule="auto"/>
        <w:ind w:firstLine="420"/>
        <w:textAlignment w:val="auto"/>
        <w:rPr>
          <w:rFonts w:hint="eastAsia" w:ascii="宋体" w:hAnsi="宋体"/>
          <w:color w:val="auto"/>
          <w:sz w:val="21"/>
          <w:szCs w:val="21"/>
          <w:highlight w:val="none"/>
          <w:shd w:val="clear" w:fill="FBD4B4" w:themeFill="accent6" w:themeFillTint="66"/>
          <w:lang w:val="en-US" w:eastAsia="zh-CN"/>
        </w:rPr>
      </w:pPr>
      <w:r>
        <w:rPr>
          <w:rFonts w:hint="eastAsia" w:ascii="宋体" w:hAnsi="宋体" w:eastAsia="宋体" w:cs="宋体"/>
          <w:color w:val="auto"/>
          <w:highlight w:val="none"/>
        </w:rPr>
        <w:t>3.预算金额：</w:t>
      </w:r>
      <w:r>
        <w:rPr>
          <w:rFonts w:hint="eastAsia" w:ascii="宋体" w:hAnsi="宋体"/>
          <w:color w:val="auto"/>
          <w:sz w:val="21"/>
          <w:szCs w:val="21"/>
          <w:highlight w:val="none"/>
          <w:lang w:val="en-US" w:eastAsia="zh-CN"/>
        </w:rPr>
        <w:t>A包预算金额110万元</w:t>
      </w:r>
    </w:p>
    <w:p w14:paraId="427E19EA">
      <w:pPr>
        <w:pageBreakBefore w:val="0"/>
        <w:kinsoku/>
        <w:wordWrap/>
        <w:overflowPunct/>
        <w:topLinePunct w:val="0"/>
        <w:autoSpaceDE/>
        <w:autoSpaceDN/>
        <w:bidi w:val="0"/>
        <w:adjustRightInd/>
        <w:spacing w:line="360" w:lineRule="auto"/>
        <w:ind w:firstLine="420"/>
        <w:textAlignment w:val="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A包负责辖区内邗沟社区、便益门社区、广储社区、漕河社区符合条件居民；</w:t>
      </w:r>
    </w:p>
    <w:p w14:paraId="6F9621E4">
      <w:pPr>
        <w:pageBreakBefore w:val="0"/>
        <w:kinsoku/>
        <w:wordWrap/>
        <w:overflowPunct/>
        <w:topLinePunct w:val="0"/>
        <w:autoSpaceDE/>
        <w:autoSpaceDN/>
        <w:bidi w:val="0"/>
        <w:adjustRightInd/>
        <w:spacing w:line="360" w:lineRule="auto"/>
        <w:ind w:firstLine="420"/>
        <w:textAlignment w:val="auto"/>
        <w:rPr>
          <w:rFonts w:hint="default" w:ascii="宋体" w:hAnsi="宋体"/>
          <w:color w:val="auto"/>
          <w:szCs w:val="21"/>
          <w:highlight w:val="none"/>
          <w:lang w:val="en-US"/>
        </w:rPr>
      </w:pPr>
      <w:r>
        <w:rPr>
          <w:rFonts w:hint="default" w:ascii="宋体" w:hAnsi="宋体"/>
          <w:color w:val="auto"/>
          <w:szCs w:val="21"/>
          <w:highlight w:val="none"/>
          <w:lang w:val="en-US"/>
        </w:rPr>
        <w:t>4.最高限价</w:t>
      </w:r>
      <w:r>
        <w:rPr>
          <w:rFonts w:hint="eastAsia" w:ascii="宋体" w:hAnsi="宋体" w:cs="宋体"/>
        </w:rPr>
        <w:t>为人民币</w:t>
      </w:r>
      <w:r>
        <w:rPr>
          <w:rFonts w:hint="eastAsia" w:ascii="宋体" w:hAnsi="宋体" w:cs="宋体"/>
          <w:shd w:val="clear"/>
        </w:rPr>
        <w:t>30</w:t>
      </w:r>
      <w:r>
        <w:rPr>
          <w:rFonts w:hint="eastAsia" w:ascii="宋体" w:hAnsi="宋体" w:cs="宋体"/>
        </w:rPr>
        <w:t>元/小时。（以上</w:t>
      </w:r>
      <w:r>
        <w:rPr>
          <w:rFonts w:hint="eastAsia" w:ascii="宋体" w:hAnsi="宋体" w:cs="宋体"/>
          <w:spacing w:val="-7"/>
          <w:szCs w:val="21"/>
        </w:rPr>
        <w:t>报价含服务费、管理费、服务人员交通费及通讯费等所有费用），报价超过最高限价的为无效报价，按照无效响应处理。</w:t>
      </w:r>
    </w:p>
    <w:p w14:paraId="5B476FE5">
      <w:pPr>
        <w:pageBreakBefore w:val="0"/>
        <w:kinsoku/>
        <w:wordWrap/>
        <w:overflowPunct/>
        <w:topLinePunct w:val="0"/>
        <w:autoSpaceDE/>
        <w:autoSpaceDN/>
        <w:bidi w:val="0"/>
        <w:adjustRightInd/>
        <w:spacing w:line="360" w:lineRule="auto"/>
        <w:ind w:firstLine="420"/>
        <w:textAlignment w:val="auto"/>
        <w:rPr>
          <w:rFonts w:ascii="宋体" w:hAnsi="宋体" w:cs="宋体"/>
          <w:color w:val="auto"/>
          <w:highlight w:val="none"/>
          <w:u w:val="single"/>
        </w:rPr>
      </w:pPr>
      <w:r>
        <w:rPr>
          <w:rFonts w:hint="eastAsia" w:ascii="宋体" w:hAnsi="宋体" w:cs="宋体"/>
          <w:color w:val="auto"/>
          <w:highlight w:val="none"/>
        </w:rPr>
        <w:t>5.采购需求：</w:t>
      </w:r>
      <w:r>
        <w:rPr>
          <w:rFonts w:hint="eastAsia" w:ascii="宋体" w:hAnsi="宋体"/>
          <w:color w:val="auto"/>
          <w:szCs w:val="21"/>
          <w:highlight w:val="none"/>
        </w:rPr>
        <w:t>具体详见第四章“项目需求”。</w:t>
      </w:r>
    </w:p>
    <w:p w14:paraId="1BCFA114">
      <w:pPr>
        <w:pageBreakBefore w:val="0"/>
        <w:kinsoku/>
        <w:wordWrap/>
        <w:overflowPunct/>
        <w:topLinePunct w:val="0"/>
        <w:autoSpaceDE/>
        <w:autoSpaceDN/>
        <w:bidi w:val="0"/>
        <w:adjustRightInd/>
        <w:spacing w:line="360" w:lineRule="auto"/>
        <w:ind w:firstLine="420"/>
        <w:jc w:val="left"/>
        <w:textAlignment w:val="auto"/>
        <w:rPr>
          <w:rFonts w:ascii="宋体" w:hAnsi="宋体"/>
          <w:color w:val="auto"/>
          <w:szCs w:val="21"/>
          <w:highlight w:val="none"/>
        </w:rPr>
      </w:pPr>
      <w:r>
        <w:rPr>
          <w:rFonts w:hint="eastAsia" w:ascii="宋体" w:hAnsi="宋体" w:cs="宋体"/>
          <w:color w:val="auto"/>
          <w:highlight w:val="none"/>
        </w:rPr>
        <w:t>6.合同履行期限：</w:t>
      </w:r>
      <w:r>
        <w:rPr>
          <w:rFonts w:hint="eastAsia" w:ascii="宋体" w:hAnsi="宋体"/>
          <w:color w:val="auto"/>
          <w:szCs w:val="21"/>
          <w:highlight w:val="none"/>
        </w:rPr>
        <w:t>合同签订之日起</w:t>
      </w:r>
      <w:r>
        <w:rPr>
          <w:rFonts w:hint="eastAsia" w:ascii="宋体" w:hAnsi="宋体"/>
          <w:color w:val="auto"/>
          <w:szCs w:val="21"/>
          <w:highlight w:val="none"/>
          <w:lang w:val="en-US" w:eastAsia="zh-CN"/>
        </w:rPr>
        <w:t>两</w:t>
      </w:r>
      <w:r>
        <w:rPr>
          <w:rFonts w:hint="eastAsia" w:ascii="宋体" w:hAnsi="宋体"/>
          <w:color w:val="auto"/>
          <w:szCs w:val="21"/>
          <w:highlight w:val="none"/>
        </w:rPr>
        <w:t>年。</w:t>
      </w:r>
    </w:p>
    <w:p w14:paraId="646B8739">
      <w:pPr>
        <w:pageBreakBefore w:val="0"/>
        <w:kinsoku/>
        <w:wordWrap/>
        <w:overflowPunct/>
        <w:topLinePunct w:val="0"/>
        <w:autoSpaceDE/>
        <w:autoSpaceDN/>
        <w:bidi w:val="0"/>
        <w:adjustRightInd/>
        <w:spacing w:line="360" w:lineRule="auto"/>
        <w:ind w:firstLine="420"/>
        <w:textAlignment w:val="auto"/>
        <w:rPr>
          <w:rFonts w:ascii="宋体" w:hAnsi="宋体" w:cs="宋体"/>
          <w:color w:val="auto"/>
          <w:highlight w:val="none"/>
        </w:rPr>
      </w:pPr>
      <w:r>
        <w:rPr>
          <w:rFonts w:hint="eastAsia" w:ascii="宋体" w:hAnsi="宋体" w:cs="宋体"/>
          <w:color w:val="auto"/>
          <w:highlight w:val="none"/>
        </w:rPr>
        <w:t>7.本项目</w:t>
      </w:r>
      <w:r>
        <w:rPr>
          <w:rFonts w:hint="eastAsia" w:ascii="宋体" w:hAnsi="宋体" w:cs="宋体"/>
          <w:color w:val="auto"/>
          <w:highlight w:val="none"/>
          <w:u w:val="single"/>
        </w:rPr>
        <w:t>不接受</w:t>
      </w:r>
      <w:r>
        <w:rPr>
          <w:rFonts w:hint="eastAsia" w:ascii="宋体" w:hAnsi="宋体" w:cs="宋体"/>
          <w:color w:val="auto"/>
          <w:highlight w:val="none"/>
        </w:rPr>
        <w:t>联合体投标</w:t>
      </w:r>
    </w:p>
    <w:p w14:paraId="70D16D90">
      <w:pPr>
        <w:pageBreakBefore w:val="0"/>
        <w:kinsoku/>
        <w:wordWrap/>
        <w:overflowPunct/>
        <w:topLinePunct w:val="0"/>
        <w:autoSpaceDE/>
        <w:autoSpaceDN/>
        <w:bidi w:val="0"/>
        <w:adjustRightInd/>
        <w:spacing w:line="360" w:lineRule="auto"/>
        <w:ind w:firstLine="420"/>
        <w:textAlignment w:val="auto"/>
        <w:rPr>
          <w:color w:val="auto"/>
          <w:highlight w:val="none"/>
        </w:rPr>
      </w:pPr>
      <w:r>
        <w:rPr>
          <w:rFonts w:hint="eastAsia" w:ascii="宋体" w:hAnsi="宋体" w:cs="宋体"/>
          <w:color w:val="auto"/>
          <w:highlight w:val="none"/>
        </w:rPr>
        <w:t>8.本项目</w:t>
      </w:r>
      <w:r>
        <w:rPr>
          <w:rFonts w:hint="eastAsia" w:ascii="宋体" w:hAnsi="宋体" w:cs="宋体"/>
          <w:color w:val="auto"/>
          <w:highlight w:val="none"/>
          <w:u w:val="single"/>
        </w:rPr>
        <w:t>不接受</w:t>
      </w:r>
      <w:r>
        <w:rPr>
          <w:rFonts w:hint="eastAsia" w:ascii="宋体" w:hAnsi="宋体" w:cs="宋体"/>
          <w:color w:val="auto"/>
          <w:highlight w:val="none"/>
        </w:rPr>
        <w:t>进口产品投标</w:t>
      </w:r>
    </w:p>
    <w:p w14:paraId="5773E854">
      <w:pPr>
        <w:pageBreakBefore w:val="0"/>
        <w:tabs>
          <w:tab w:val="left" w:pos="266"/>
        </w:tabs>
        <w:kinsoku/>
        <w:wordWrap/>
        <w:overflowPunct/>
        <w:topLinePunct w:val="0"/>
        <w:autoSpaceDE/>
        <w:autoSpaceDN/>
        <w:bidi w:val="0"/>
        <w:adjustRightInd/>
        <w:spacing w:line="360" w:lineRule="auto"/>
        <w:textAlignment w:val="auto"/>
        <w:rPr>
          <w:rFonts w:ascii="宋体" w:hAnsi="宋体" w:cs="宋体"/>
          <w:b/>
          <w:bCs/>
          <w:color w:val="auto"/>
          <w:highlight w:val="none"/>
        </w:rPr>
      </w:pPr>
      <w:bookmarkStart w:id="6" w:name="_Toc28359003"/>
      <w:bookmarkStart w:id="7" w:name="_Toc35393791"/>
      <w:bookmarkStart w:id="8" w:name="_Toc28359080"/>
      <w:bookmarkStart w:id="9" w:name="_Toc38985264"/>
      <w:bookmarkStart w:id="10" w:name="_Toc35393622"/>
      <w:r>
        <w:rPr>
          <w:rFonts w:hint="eastAsia" w:ascii="宋体" w:hAnsi="宋体" w:cs="宋体"/>
          <w:b/>
          <w:bCs/>
          <w:color w:val="auto"/>
          <w:highlight w:val="none"/>
        </w:rPr>
        <w:t>二、申请人的资格要求：</w:t>
      </w:r>
      <w:bookmarkEnd w:id="6"/>
      <w:bookmarkEnd w:id="7"/>
      <w:bookmarkEnd w:id="8"/>
      <w:bookmarkEnd w:id="9"/>
      <w:bookmarkEnd w:id="10"/>
    </w:p>
    <w:p w14:paraId="1035D758">
      <w:pPr>
        <w:pageBreakBefore w:val="0"/>
        <w:kinsoku/>
        <w:wordWrap/>
        <w:overflowPunct/>
        <w:topLinePunct w:val="0"/>
        <w:autoSpaceDE/>
        <w:autoSpaceDN/>
        <w:bidi w:val="0"/>
        <w:adjustRightInd/>
        <w:spacing w:line="360" w:lineRule="auto"/>
        <w:ind w:firstLine="420"/>
        <w:textAlignment w:val="auto"/>
        <w:rPr>
          <w:rFonts w:hint="eastAsia" w:ascii="宋体" w:hAnsi="宋体" w:cs="宋体"/>
          <w:color w:val="auto"/>
          <w:szCs w:val="21"/>
          <w:highlight w:val="none"/>
        </w:rPr>
      </w:pPr>
      <w:bookmarkStart w:id="11" w:name="_Toc35393623"/>
      <w:bookmarkStart w:id="12" w:name="_Toc35393792"/>
      <w:bookmarkStart w:id="13" w:name="_Toc28359004"/>
      <w:bookmarkStart w:id="14" w:name="_Toc28359081"/>
      <w:bookmarkStart w:id="15" w:name="_Toc38985265"/>
      <w:r>
        <w:rPr>
          <w:rFonts w:hint="eastAsia" w:ascii="宋体" w:hAnsi="宋体" w:cs="宋体"/>
          <w:color w:val="auto"/>
          <w:szCs w:val="21"/>
          <w:highlight w:val="none"/>
        </w:rPr>
        <w:t xml:space="preserve">1.满足《中华人民共和国政府采购法》第二十二条规定，并提供下列材料： </w:t>
      </w:r>
    </w:p>
    <w:p w14:paraId="72E93699">
      <w:pPr>
        <w:pageBreakBefore w:val="0"/>
        <w:kinsoku/>
        <w:wordWrap/>
        <w:overflowPunct/>
        <w:topLinePunct w:val="0"/>
        <w:autoSpaceDE/>
        <w:autoSpaceDN/>
        <w:bidi w:val="0"/>
        <w:adjustRightInd/>
        <w:spacing w:line="360" w:lineRule="auto"/>
        <w:ind w:firstLine="420"/>
        <w:textAlignment w:val="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1.1 法人或者其他组织的营业执照等证明文件，自然人的身份证明；</w:t>
      </w:r>
    </w:p>
    <w:p w14:paraId="669C8044">
      <w:pPr>
        <w:pageBreakBefore w:val="0"/>
        <w:kinsoku/>
        <w:wordWrap/>
        <w:overflowPunct/>
        <w:topLinePunct w:val="0"/>
        <w:autoSpaceDE/>
        <w:autoSpaceDN/>
        <w:bidi w:val="0"/>
        <w:adjustRightInd/>
        <w:spacing w:line="360" w:lineRule="auto"/>
        <w:ind w:firstLine="420"/>
        <w:textAlignment w:val="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1.2上一年度的财务状况报告（成立不满一年无需提供）；</w:t>
      </w:r>
    </w:p>
    <w:p w14:paraId="3E47CA6B">
      <w:pPr>
        <w:pageBreakBefore w:val="0"/>
        <w:kinsoku/>
        <w:wordWrap/>
        <w:overflowPunct/>
        <w:topLinePunct w:val="0"/>
        <w:autoSpaceDE/>
        <w:autoSpaceDN/>
        <w:bidi w:val="0"/>
        <w:adjustRightInd/>
        <w:spacing w:line="360" w:lineRule="auto"/>
        <w:ind w:firstLine="420"/>
        <w:textAlignment w:val="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1.3依法缴纳税收和社会保障资金的相关材料（提供提交投标文件截止时间前一年内至少一个月依法缴纳税收及缴纳社会保障资金的证明材料。投标人依法享受缓缴、免缴税收、社会保障资金的提供证明材料。）；</w:t>
      </w:r>
    </w:p>
    <w:p w14:paraId="6389B6C0">
      <w:pPr>
        <w:pageBreakBefore w:val="0"/>
        <w:kinsoku/>
        <w:wordWrap/>
        <w:overflowPunct/>
        <w:topLinePunct w:val="0"/>
        <w:autoSpaceDE/>
        <w:autoSpaceDN/>
        <w:bidi w:val="0"/>
        <w:adjustRightInd/>
        <w:spacing w:line="360" w:lineRule="auto"/>
        <w:ind w:firstLine="420"/>
        <w:textAlignment w:val="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1.4具备履行合同所必需的设备和专业技术能力的书面声明；</w:t>
      </w:r>
    </w:p>
    <w:p w14:paraId="2B276D0B">
      <w:pPr>
        <w:pageBreakBefore w:val="0"/>
        <w:kinsoku/>
        <w:wordWrap/>
        <w:overflowPunct/>
        <w:topLinePunct w:val="0"/>
        <w:autoSpaceDE/>
        <w:autoSpaceDN/>
        <w:bidi w:val="0"/>
        <w:adjustRightInd/>
        <w:spacing w:line="360" w:lineRule="auto"/>
        <w:ind w:firstLine="420"/>
        <w:textAlignment w:val="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1.5参加政府采购活动前3年内在经营活动中没有重大违法记录的书面声明。</w:t>
      </w:r>
    </w:p>
    <w:p w14:paraId="180FEC6E">
      <w:pPr>
        <w:pageBreakBefore w:val="0"/>
        <w:kinsoku/>
        <w:wordWrap/>
        <w:overflowPunct/>
        <w:topLinePunct w:val="0"/>
        <w:autoSpaceDE/>
        <w:autoSpaceDN/>
        <w:bidi w:val="0"/>
        <w:adjustRightInd/>
        <w:spacing w:line="360" w:lineRule="auto"/>
        <w:ind w:firstLine="420"/>
        <w:textAlignment w:val="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1.6供应商信用承诺函。</w:t>
      </w:r>
    </w:p>
    <w:p w14:paraId="1A36F960">
      <w:pPr>
        <w:pageBreakBefore w:val="0"/>
        <w:numPr>
          <w:ilvl w:val="0"/>
          <w:numId w:val="0"/>
        </w:numPr>
        <w:kinsoku/>
        <w:wordWrap/>
        <w:overflowPunct/>
        <w:topLinePunct w:val="0"/>
        <w:autoSpaceDE/>
        <w:autoSpaceDN/>
        <w:bidi w:val="0"/>
        <w:adjustRightInd/>
        <w:spacing w:line="360" w:lineRule="auto"/>
        <w:ind w:firstLine="420" w:firstLineChars="0"/>
        <w:textAlignment w:val="auto"/>
        <w:rPr>
          <w:rFonts w:hint="eastAsia" w:ascii="宋体" w:hAnsi="宋体" w:cs="宋体"/>
          <w:i/>
          <w:iCs/>
          <w:color w:val="auto"/>
          <w:szCs w:val="21"/>
          <w:highlight w:val="none"/>
          <w:u w:val="single"/>
        </w:rPr>
      </w:pPr>
      <w:r>
        <w:rPr>
          <w:rFonts w:hint="eastAsia" w:ascii="宋体" w:hAnsi="宋体" w:eastAsia="宋体" w:cs="宋体"/>
          <w:i/>
          <w:iCs/>
          <w:color w:val="auto"/>
          <w:sz w:val="21"/>
          <w:szCs w:val="21"/>
          <w:lang w:val="en-US" w:eastAsia="zh-CN" w:bidi="ar-SA"/>
        </w:rPr>
        <w:t>2.</w:t>
      </w:r>
      <w:r>
        <w:rPr>
          <w:rFonts w:hint="eastAsia" w:ascii="宋体" w:hAnsi="宋体" w:cs="宋体"/>
          <w:i/>
          <w:iCs/>
          <w:color w:val="auto"/>
          <w:szCs w:val="21"/>
          <w:highlight w:val="none"/>
          <w:u w:val="single"/>
        </w:rPr>
        <w:t>未被“信用中国”网站、“中国政府采购网"列入失信被执行人、重大税收违法案件当事人名单、政府采购严重违法失信行为记录名单及其他不符合《中华人民共和国政府采购法》第二十二条规定条件的信用记录。</w:t>
      </w:r>
    </w:p>
    <w:p w14:paraId="3FAFB767">
      <w:pPr>
        <w:pageBreakBefore w:val="0"/>
        <w:numPr>
          <w:ilvl w:val="0"/>
          <w:numId w:val="0"/>
        </w:numPr>
        <w:kinsoku/>
        <w:wordWrap/>
        <w:overflowPunct/>
        <w:topLinePunct w:val="0"/>
        <w:autoSpaceDE/>
        <w:autoSpaceDN/>
        <w:bidi w:val="0"/>
        <w:adjustRightInd/>
        <w:spacing w:line="360" w:lineRule="auto"/>
        <w:ind w:firstLine="420" w:firstLineChars="200"/>
        <w:textAlignment w:val="auto"/>
        <w:rPr>
          <w:rFonts w:hint="eastAsia" w:ascii="宋体" w:hAnsi="宋体" w:cs="宋体"/>
          <w:color w:val="auto"/>
          <w:szCs w:val="21"/>
          <w:highlight w:val="none"/>
        </w:rPr>
      </w:pPr>
      <w:r>
        <w:rPr>
          <w:rFonts w:hint="default" w:ascii="宋体" w:hAnsi="宋体" w:cs="宋体"/>
          <w:color w:val="auto"/>
          <w:szCs w:val="21"/>
          <w:highlight w:val="none"/>
          <w:lang w:val="en-US"/>
        </w:rPr>
        <w:t>3</w:t>
      </w:r>
      <w:r>
        <w:rPr>
          <w:rFonts w:hint="eastAsia" w:ascii="宋体" w:hAnsi="宋体" w:cs="宋体"/>
          <w:color w:val="auto"/>
          <w:szCs w:val="21"/>
          <w:highlight w:val="none"/>
        </w:rPr>
        <w:t>.落实政府采购政策需满足的资格要求：</w:t>
      </w:r>
      <w:r>
        <w:rPr>
          <w:rFonts w:hint="eastAsia" w:ascii="Times New Roman" w:hAnsi="Times New Roman" w:eastAsia="宋体" w:cs="宋体"/>
          <w:i/>
          <w:iCs/>
          <w:color w:val="auto"/>
          <w:szCs w:val="21"/>
          <w:u w:val="single"/>
          <w:lang w:val="en-US" w:eastAsia="zh-CN"/>
        </w:rPr>
        <w:t>本项目专门面向中小企业采购。投标人须提供《中小企业声明函》。</w:t>
      </w:r>
    </w:p>
    <w:p w14:paraId="0C656687">
      <w:pPr>
        <w:pageBreakBefore w:val="0"/>
        <w:kinsoku/>
        <w:wordWrap/>
        <w:overflowPunct/>
        <w:topLinePunct w:val="0"/>
        <w:autoSpaceDE/>
        <w:autoSpaceDN/>
        <w:bidi w:val="0"/>
        <w:adjustRightInd/>
        <w:spacing w:line="360" w:lineRule="auto"/>
        <w:ind w:firstLine="420"/>
        <w:textAlignment w:val="auto"/>
        <w:rPr>
          <w:rFonts w:hint="eastAsia" w:ascii="宋体" w:hAnsi="宋体" w:eastAsia="宋体" w:cs="宋体"/>
          <w:color w:val="auto"/>
          <w:szCs w:val="21"/>
          <w:highlight w:val="none"/>
          <w:lang w:val="en-US" w:eastAsia="zh-CN"/>
        </w:rPr>
      </w:pPr>
      <w:r>
        <w:rPr>
          <w:rFonts w:hint="default" w:ascii="宋体" w:hAnsi="宋体" w:cs="宋体"/>
          <w:color w:val="auto"/>
          <w:szCs w:val="21"/>
          <w:highlight w:val="none"/>
          <w:lang w:val="en-US"/>
        </w:rPr>
        <w:t>4</w:t>
      </w:r>
      <w:r>
        <w:rPr>
          <w:rFonts w:hint="eastAsia" w:ascii="宋体" w:hAnsi="宋体" w:cs="宋体"/>
          <w:color w:val="auto"/>
          <w:szCs w:val="21"/>
          <w:highlight w:val="none"/>
        </w:rPr>
        <w:t>.本项目的特定资格要求：</w:t>
      </w:r>
      <w:r>
        <w:rPr>
          <w:rFonts w:hint="eastAsia" w:ascii="宋体" w:hAnsi="宋体" w:cs="宋体"/>
          <w:color w:val="auto"/>
          <w:szCs w:val="21"/>
          <w:highlight w:val="none"/>
          <w:u w:val="single"/>
          <w:lang w:val="en-US" w:eastAsia="zh-CN"/>
        </w:rPr>
        <w:t>无</w:t>
      </w:r>
    </w:p>
    <w:p w14:paraId="7DF3C1A1">
      <w:pPr>
        <w:pageBreakBefore w:val="0"/>
        <w:tabs>
          <w:tab w:val="left" w:pos="266"/>
        </w:tabs>
        <w:kinsoku/>
        <w:wordWrap/>
        <w:overflowPunct/>
        <w:topLinePunct w:val="0"/>
        <w:autoSpaceDE/>
        <w:autoSpaceDN/>
        <w:bidi w:val="0"/>
        <w:adjustRightInd/>
        <w:spacing w:line="360" w:lineRule="auto"/>
        <w:textAlignment w:val="auto"/>
        <w:rPr>
          <w:rFonts w:ascii="宋体" w:hAnsi="宋体" w:cs="宋体"/>
          <w:b/>
          <w:bCs/>
          <w:color w:val="auto"/>
          <w:highlight w:val="none"/>
        </w:rPr>
      </w:pPr>
      <w:r>
        <w:rPr>
          <w:rFonts w:hint="eastAsia" w:ascii="宋体" w:hAnsi="宋体" w:cs="宋体"/>
          <w:b/>
          <w:bCs/>
          <w:color w:val="auto"/>
          <w:highlight w:val="none"/>
        </w:rPr>
        <w:t>三、获取招标文件</w:t>
      </w:r>
      <w:bookmarkEnd w:id="11"/>
      <w:bookmarkEnd w:id="12"/>
      <w:bookmarkEnd w:id="13"/>
      <w:bookmarkEnd w:id="14"/>
      <w:bookmarkEnd w:id="15"/>
    </w:p>
    <w:p w14:paraId="32E0A210">
      <w:pPr>
        <w:pageBreakBefore w:val="0"/>
        <w:kinsoku/>
        <w:wordWrap/>
        <w:overflowPunct/>
        <w:topLinePunct w:val="0"/>
        <w:autoSpaceDE/>
        <w:autoSpaceDN/>
        <w:bidi w:val="0"/>
        <w:adjustRightInd/>
        <w:spacing w:line="360" w:lineRule="auto"/>
        <w:ind w:firstLine="540"/>
        <w:textAlignment w:val="auto"/>
        <w:rPr>
          <w:rFonts w:ascii="宋体" w:hAnsi="宋体" w:cs="宋体"/>
          <w:color w:val="auto"/>
          <w:highlight w:val="none"/>
        </w:rPr>
      </w:pPr>
      <w:bookmarkStart w:id="16" w:name="_Toc28359082"/>
      <w:bookmarkStart w:id="17" w:name="_Toc35393624"/>
      <w:bookmarkStart w:id="18" w:name="_Toc35393793"/>
      <w:bookmarkStart w:id="19" w:name="_Toc28359005"/>
      <w:bookmarkStart w:id="20" w:name="_Toc38985266"/>
      <w:bookmarkStart w:id="21" w:name="_Toc35393625"/>
      <w:bookmarkStart w:id="22" w:name="_Toc35393794"/>
      <w:bookmarkStart w:id="23" w:name="_Toc28359007"/>
      <w:bookmarkStart w:id="24" w:name="_Toc28359084"/>
      <w:bookmarkStart w:id="25" w:name="_Toc38985267"/>
      <w:r>
        <w:rPr>
          <w:rFonts w:hint="eastAsia" w:ascii="宋体" w:hAnsi="宋体" w:cs="宋体"/>
          <w:color w:val="auto"/>
          <w:highlight w:val="none"/>
        </w:rPr>
        <w:t>1.时间：自招标文件公告发布之日起5个工作日。5个工作日后仍可下载招标文件，但不作为供应商权益受到损害的证明材料和依据。</w:t>
      </w:r>
    </w:p>
    <w:p w14:paraId="47BA33D0">
      <w:pPr>
        <w:pageBreakBefore w:val="0"/>
        <w:kinsoku/>
        <w:wordWrap/>
        <w:overflowPunct/>
        <w:topLinePunct w:val="0"/>
        <w:autoSpaceDE/>
        <w:autoSpaceDN/>
        <w:bidi w:val="0"/>
        <w:adjustRightInd/>
        <w:spacing w:line="360" w:lineRule="auto"/>
        <w:ind w:firstLine="540"/>
        <w:textAlignment w:val="auto"/>
        <w:rPr>
          <w:rFonts w:ascii="宋体" w:hAnsi="宋体"/>
          <w:b/>
          <w:bCs/>
          <w:color w:val="auto"/>
          <w:szCs w:val="21"/>
          <w:highlight w:val="none"/>
        </w:rPr>
      </w:pPr>
      <w:r>
        <w:rPr>
          <w:rFonts w:hint="eastAsia" w:ascii="宋体" w:hAnsi="宋体" w:cs="宋体"/>
          <w:b/>
          <w:bCs/>
          <w:color w:val="auto"/>
          <w:highlight w:val="none"/>
        </w:rPr>
        <w:t>2.获取方式：</w:t>
      </w:r>
      <w:r>
        <w:rPr>
          <w:rFonts w:hint="eastAsia" w:ascii="宋体" w:hAnsi="宋体"/>
          <w:b/>
          <w:bCs/>
          <w:color w:val="auto"/>
          <w:szCs w:val="21"/>
          <w:highlight w:val="none"/>
        </w:rPr>
        <w:t>本项目采用网上注册登记方式。</w:t>
      </w:r>
    </w:p>
    <w:bookmarkEnd w:id="16"/>
    <w:bookmarkEnd w:id="17"/>
    <w:bookmarkEnd w:id="18"/>
    <w:bookmarkEnd w:id="19"/>
    <w:bookmarkEnd w:id="20"/>
    <w:p w14:paraId="29BF8474">
      <w:pPr>
        <w:pageBreakBefore w:val="0"/>
        <w:kinsoku/>
        <w:wordWrap/>
        <w:overflowPunct/>
        <w:topLinePunct w:val="0"/>
        <w:autoSpaceDE/>
        <w:autoSpaceDN/>
        <w:bidi w:val="0"/>
        <w:adjustRightInd/>
        <w:spacing w:line="360" w:lineRule="auto"/>
        <w:ind w:firstLine="540"/>
        <w:textAlignment w:val="auto"/>
        <w:rPr>
          <w:rFonts w:ascii="宋体" w:hAnsi="宋体" w:cs="宋体"/>
          <w:b/>
          <w:bCs/>
          <w:color w:val="auto"/>
          <w:highlight w:val="none"/>
        </w:rPr>
      </w:pPr>
      <w:r>
        <w:rPr>
          <w:rFonts w:hint="eastAsia" w:ascii="宋体" w:hAnsi="宋体" w:cs="宋体"/>
          <w:b/>
          <w:bCs/>
          <w:color w:val="auto"/>
          <w:highlight w:val="none"/>
        </w:rPr>
        <w:t>3.潜在投标人访问</w:t>
      </w:r>
      <w:r>
        <w:rPr>
          <w:rFonts w:hint="eastAsia" w:ascii="宋体" w:hAnsi="宋体"/>
          <w:b/>
          <w:bCs/>
          <w:color w:val="auto"/>
          <w:szCs w:val="21"/>
          <w:highlight w:val="none"/>
        </w:rPr>
        <w:t>政府采购管理交易系统（苏采云）</w:t>
      </w:r>
      <w:r>
        <w:rPr>
          <w:rFonts w:hint="eastAsia" w:ascii="宋体" w:hAnsi="宋体" w:cs="宋体"/>
          <w:b/>
          <w:bCs/>
          <w:color w:val="auto"/>
          <w:highlight w:val="none"/>
        </w:rPr>
        <w:t>的网络地址和方法：</w:t>
      </w:r>
    </w:p>
    <w:p w14:paraId="5A2E1086">
      <w:pPr>
        <w:pageBreakBefore w:val="0"/>
        <w:kinsoku/>
        <w:wordWrap/>
        <w:overflowPunct/>
        <w:topLinePunct w:val="0"/>
        <w:autoSpaceDE/>
        <w:autoSpaceDN/>
        <w:bidi w:val="0"/>
        <w:adjustRightInd/>
        <w:spacing w:line="360" w:lineRule="auto"/>
        <w:ind w:firstLine="540"/>
        <w:textAlignment w:val="auto"/>
        <w:rPr>
          <w:rFonts w:hint="eastAsia" w:ascii="宋体" w:hAnsi="宋体"/>
          <w:b/>
          <w:bCs/>
          <w:color w:val="auto"/>
          <w:szCs w:val="21"/>
          <w:highlight w:val="none"/>
        </w:rPr>
      </w:pPr>
      <w:r>
        <w:rPr>
          <w:rFonts w:hint="eastAsia" w:ascii="宋体" w:hAnsi="宋体"/>
          <w:b/>
          <w:bCs/>
          <w:color w:val="auto"/>
          <w:szCs w:val="21"/>
          <w:highlight w:val="none"/>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2CA142CA">
      <w:pPr>
        <w:pageBreakBefore w:val="0"/>
        <w:kinsoku/>
        <w:wordWrap/>
        <w:overflowPunct/>
        <w:topLinePunct w:val="0"/>
        <w:autoSpaceDE/>
        <w:autoSpaceDN/>
        <w:bidi w:val="0"/>
        <w:adjustRightInd/>
        <w:spacing w:line="360" w:lineRule="auto"/>
        <w:ind w:firstLine="540"/>
        <w:textAlignment w:val="auto"/>
        <w:rPr>
          <w:rFonts w:hint="eastAsia" w:ascii="宋体" w:hAnsi="宋体"/>
          <w:b/>
          <w:bCs/>
          <w:color w:val="auto"/>
          <w:szCs w:val="21"/>
          <w:highlight w:val="none"/>
        </w:rPr>
      </w:pPr>
      <w:r>
        <w:rPr>
          <w:rFonts w:hint="eastAsia" w:ascii="宋体" w:hAnsi="宋体"/>
          <w:b/>
          <w:bCs/>
          <w:color w:val="auto"/>
          <w:szCs w:val="21"/>
          <w:highlight w:val="none"/>
        </w:rPr>
        <w:t>（2）“CA数字证书”的获取：供应商需办理CA锁，“苏采云”系统目前仅支持“苏采云”系统下的政务CA，省内各地区办理的“苏采云”系统下的政务CA全省通用。</w:t>
      </w:r>
    </w:p>
    <w:p w14:paraId="772CA199">
      <w:pPr>
        <w:pageBreakBefore w:val="0"/>
        <w:kinsoku/>
        <w:wordWrap/>
        <w:overflowPunct/>
        <w:topLinePunct w:val="0"/>
        <w:autoSpaceDE/>
        <w:autoSpaceDN/>
        <w:bidi w:val="0"/>
        <w:adjustRightInd/>
        <w:spacing w:line="360" w:lineRule="auto"/>
        <w:ind w:firstLine="540"/>
        <w:textAlignment w:val="auto"/>
        <w:rPr>
          <w:rFonts w:hint="eastAsia" w:ascii="宋体" w:hAnsi="宋体"/>
          <w:b/>
          <w:bCs/>
          <w:color w:val="auto"/>
          <w:szCs w:val="21"/>
          <w:highlight w:val="none"/>
        </w:rPr>
      </w:pPr>
      <w:r>
        <w:rPr>
          <w:rFonts w:hint="eastAsia" w:ascii="宋体" w:hAnsi="宋体"/>
          <w:b/>
          <w:bCs/>
          <w:color w:val="auto"/>
          <w:szCs w:val="21"/>
          <w:highlight w:val="none"/>
        </w:rPr>
        <w:t>（3）“CA数字证书”的办理材料以及供应商操作手册详见：</w:t>
      </w:r>
    </w:p>
    <w:p w14:paraId="563DFEEA">
      <w:pPr>
        <w:pageBreakBefore w:val="0"/>
        <w:kinsoku/>
        <w:wordWrap/>
        <w:overflowPunct/>
        <w:topLinePunct w:val="0"/>
        <w:autoSpaceDE/>
        <w:autoSpaceDN/>
        <w:bidi w:val="0"/>
        <w:adjustRightInd/>
        <w:spacing w:line="360" w:lineRule="auto"/>
        <w:ind w:firstLine="540"/>
        <w:textAlignment w:val="auto"/>
        <w:rPr>
          <w:rFonts w:hint="eastAsia" w:ascii="宋体" w:hAnsi="宋体"/>
          <w:b/>
          <w:bCs/>
          <w:color w:val="auto"/>
          <w:szCs w:val="21"/>
          <w:highlight w:val="none"/>
        </w:rPr>
      </w:pPr>
      <w:r>
        <w:rPr>
          <w:rFonts w:hint="eastAsia" w:ascii="宋体" w:hAnsi="宋体"/>
          <w:b/>
          <w:bCs/>
          <w:color w:val="auto"/>
          <w:szCs w:val="21"/>
          <w:highlight w:val="none"/>
        </w:rPr>
        <w:t>http://zfcg.yangzhou.gov.cn/zfcg/xzzx/202309/4d7de1f7865f4a2894fc22bc452f94d8.shtml。</w:t>
      </w:r>
    </w:p>
    <w:p w14:paraId="0C2BF134">
      <w:pPr>
        <w:pageBreakBefore w:val="0"/>
        <w:kinsoku/>
        <w:wordWrap/>
        <w:overflowPunct/>
        <w:topLinePunct w:val="0"/>
        <w:autoSpaceDE/>
        <w:autoSpaceDN/>
        <w:bidi w:val="0"/>
        <w:adjustRightInd/>
        <w:spacing w:line="360" w:lineRule="auto"/>
        <w:ind w:firstLine="540"/>
        <w:textAlignment w:val="auto"/>
        <w:rPr>
          <w:rFonts w:hint="eastAsia" w:ascii="宋体" w:hAnsi="宋体"/>
          <w:b/>
          <w:bCs/>
          <w:color w:val="auto"/>
          <w:szCs w:val="21"/>
          <w:highlight w:val="none"/>
        </w:rPr>
      </w:pPr>
      <w:r>
        <w:rPr>
          <w:rFonts w:hint="eastAsia" w:ascii="宋体" w:hAnsi="宋体"/>
          <w:b/>
          <w:bCs/>
          <w:color w:val="auto"/>
          <w:szCs w:val="21"/>
          <w:highlight w:val="none"/>
        </w:rPr>
        <w:t>（4）潜在供应商访问“苏采云”系统的网络地址和方法：“苏采云”系统的网址：http://jszfcg.jsczt.cn/。</w:t>
      </w:r>
    </w:p>
    <w:p w14:paraId="15542528">
      <w:pPr>
        <w:pageBreakBefore w:val="0"/>
        <w:kinsoku/>
        <w:wordWrap/>
        <w:overflowPunct/>
        <w:topLinePunct w:val="0"/>
        <w:autoSpaceDE/>
        <w:autoSpaceDN/>
        <w:bidi w:val="0"/>
        <w:adjustRightInd/>
        <w:spacing w:line="360" w:lineRule="auto"/>
        <w:ind w:firstLine="540"/>
        <w:textAlignment w:val="auto"/>
        <w:rPr>
          <w:rFonts w:hint="eastAsia" w:ascii="宋体" w:hAnsi="宋体"/>
          <w:b/>
          <w:bCs/>
          <w:color w:val="auto"/>
          <w:szCs w:val="21"/>
          <w:highlight w:val="none"/>
        </w:rPr>
      </w:pPr>
      <w:r>
        <w:rPr>
          <w:rFonts w:hint="eastAsia" w:ascii="宋体" w:hAnsi="宋体"/>
          <w:b/>
          <w:bCs/>
          <w:color w:val="auto"/>
          <w:szCs w:val="21"/>
          <w:highlight w:val="none"/>
        </w:rPr>
        <w:t>（5）采购文件（后缀名为“.kedt”）、供应商操作手册及政府采购客户端工具也可通过“苏采云”系统--已报名项目--报名详情页面内相应链接进行下载。</w:t>
      </w:r>
    </w:p>
    <w:p w14:paraId="64A92633">
      <w:pPr>
        <w:pageBreakBefore w:val="0"/>
        <w:kinsoku/>
        <w:wordWrap/>
        <w:overflowPunct/>
        <w:topLinePunct w:val="0"/>
        <w:autoSpaceDE/>
        <w:autoSpaceDN/>
        <w:bidi w:val="0"/>
        <w:adjustRightInd/>
        <w:spacing w:line="360" w:lineRule="auto"/>
        <w:ind w:firstLine="540"/>
        <w:textAlignment w:val="auto"/>
        <w:rPr>
          <w:rFonts w:hint="eastAsia" w:ascii="宋体" w:hAnsi="宋体"/>
          <w:b/>
          <w:bCs/>
          <w:color w:val="auto"/>
          <w:szCs w:val="21"/>
          <w:highlight w:val="none"/>
        </w:rPr>
      </w:pPr>
      <w:r>
        <w:rPr>
          <w:rFonts w:hint="eastAsia" w:ascii="宋体" w:hAnsi="宋体"/>
          <w:b/>
          <w:bCs/>
          <w:color w:val="auto"/>
          <w:szCs w:val="21"/>
          <w:highlight w:val="none"/>
        </w:rPr>
        <w:t>（6）招标代理机构（采购代理机构）将数据电文形式的采购文件加载至“苏采云”系统，供潜在供应商下载或者查阅。     </w:t>
      </w:r>
    </w:p>
    <w:p w14:paraId="169D6010">
      <w:pPr>
        <w:pageBreakBefore w:val="0"/>
        <w:kinsoku/>
        <w:wordWrap/>
        <w:overflowPunct/>
        <w:topLinePunct w:val="0"/>
        <w:autoSpaceDE/>
        <w:autoSpaceDN/>
        <w:bidi w:val="0"/>
        <w:adjustRightInd/>
        <w:spacing w:line="360" w:lineRule="auto"/>
        <w:ind w:firstLine="540"/>
        <w:textAlignment w:val="auto"/>
        <w:rPr>
          <w:rFonts w:hint="eastAsia" w:ascii="宋体" w:hAnsi="宋体"/>
          <w:b/>
          <w:bCs/>
          <w:color w:val="auto"/>
          <w:szCs w:val="21"/>
          <w:highlight w:val="none"/>
        </w:rPr>
      </w:pPr>
      <w:r>
        <w:rPr>
          <w:rFonts w:hint="eastAsia" w:ascii="宋体" w:hAnsi="宋体"/>
          <w:b/>
          <w:bCs/>
          <w:color w:val="auto"/>
          <w:szCs w:val="21"/>
          <w:highlight w:val="none"/>
        </w:rPr>
        <w:t>（7）苏采云系统使用谷歌浏览器参与不见面开标。</w:t>
      </w:r>
    </w:p>
    <w:p w14:paraId="67F1AE25">
      <w:pPr>
        <w:pageBreakBefore w:val="0"/>
        <w:tabs>
          <w:tab w:val="left" w:pos="266"/>
        </w:tabs>
        <w:kinsoku/>
        <w:wordWrap/>
        <w:overflowPunct/>
        <w:topLinePunct w:val="0"/>
        <w:autoSpaceDE/>
        <w:autoSpaceDN/>
        <w:bidi w:val="0"/>
        <w:adjustRightInd/>
        <w:spacing w:line="360" w:lineRule="auto"/>
        <w:textAlignment w:val="auto"/>
        <w:rPr>
          <w:rFonts w:ascii="宋体" w:hAnsi="宋体" w:cs="宋体"/>
          <w:b/>
          <w:bCs/>
          <w:color w:val="auto"/>
          <w:highlight w:val="none"/>
        </w:rPr>
      </w:pPr>
      <w:r>
        <w:rPr>
          <w:rFonts w:hint="eastAsia" w:ascii="宋体" w:hAnsi="宋体" w:cs="宋体"/>
          <w:b/>
          <w:bCs/>
          <w:color w:val="auto"/>
          <w:highlight w:val="none"/>
        </w:rPr>
        <w:t>四、提交投标文件截止时间、开标时间和地点</w:t>
      </w:r>
    </w:p>
    <w:p w14:paraId="6E679325">
      <w:pPr>
        <w:pageBreakBefore w:val="0"/>
        <w:kinsoku/>
        <w:wordWrap/>
        <w:overflowPunct/>
        <w:topLinePunct w:val="0"/>
        <w:autoSpaceDE/>
        <w:autoSpaceDN/>
        <w:bidi w:val="0"/>
        <w:adjustRightInd/>
        <w:spacing w:line="360" w:lineRule="auto"/>
        <w:ind w:firstLine="420"/>
        <w:textAlignment w:val="auto"/>
        <w:rPr>
          <w:rFonts w:ascii="宋体" w:hAnsi="宋体" w:cs="宋体"/>
          <w:bCs/>
          <w:color w:val="auto"/>
          <w:szCs w:val="21"/>
          <w:highlight w:val="none"/>
          <w:u w:val="single"/>
        </w:rPr>
      </w:pPr>
      <w:r>
        <w:rPr>
          <w:rFonts w:hint="eastAsia" w:ascii="宋体" w:hAnsi="宋体" w:cs="宋体"/>
          <w:color w:val="auto"/>
          <w:highlight w:val="none"/>
        </w:rPr>
        <w:t>1.时间：</w:t>
      </w:r>
      <w:r>
        <w:rPr>
          <w:rFonts w:hint="eastAsia" w:ascii="宋体" w:hAnsi="宋体" w:cs="宋体"/>
          <w:bCs/>
          <w:color w:val="auto"/>
          <w:highlight w:val="none"/>
          <w:u w:val="single"/>
        </w:rPr>
        <w:t>2024年</w:t>
      </w:r>
      <w:r>
        <w:rPr>
          <w:rFonts w:hint="eastAsia" w:ascii="宋体" w:hAnsi="宋体" w:cs="宋体"/>
          <w:bCs/>
          <w:color w:val="auto"/>
          <w:highlight w:val="none"/>
          <w:u w:val="single"/>
          <w:lang w:val="en-US" w:eastAsia="zh-CN"/>
        </w:rPr>
        <w:t>11</w:t>
      </w:r>
      <w:r>
        <w:rPr>
          <w:rFonts w:hint="eastAsia" w:ascii="宋体" w:hAnsi="宋体" w:cs="宋体"/>
          <w:bCs/>
          <w:color w:val="auto"/>
          <w:highlight w:val="none"/>
          <w:u w:val="single"/>
        </w:rPr>
        <w:t>月</w:t>
      </w:r>
      <w:r>
        <w:rPr>
          <w:rFonts w:hint="eastAsia" w:ascii="宋体" w:hAnsi="宋体" w:cs="宋体"/>
          <w:bCs/>
          <w:color w:val="auto"/>
          <w:highlight w:val="none"/>
          <w:u w:val="single"/>
          <w:lang w:val="en-US" w:eastAsia="zh-CN"/>
        </w:rPr>
        <w:t>14</w:t>
      </w:r>
      <w:r>
        <w:rPr>
          <w:rFonts w:hint="eastAsia" w:ascii="宋体" w:hAnsi="宋体" w:cs="宋体"/>
          <w:bCs/>
          <w:color w:val="auto"/>
          <w:highlight w:val="none"/>
          <w:u w:val="single"/>
        </w:rPr>
        <w:t xml:space="preserve">日 </w:t>
      </w:r>
      <w:r>
        <w:rPr>
          <w:rFonts w:hint="eastAsia" w:ascii="宋体" w:hAnsi="宋体" w:cs="宋体"/>
          <w:bCs/>
          <w:color w:val="auto"/>
          <w:highlight w:val="none"/>
          <w:u w:val="single"/>
          <w:lang w:val="en-US" w:eastAsia="zh-CN"/>
        </w:rPr>
        <w:t>上午9:30</w:t>
      </w:r>
      <w:r>
        <w:rPr>
          <w:rFonts w:hint="eastAsia" w:ascii="宋体" w:hAnsi="宋体" w:cs="宋体"/>
          <w:bCs/>
          <w:color w:val="auto"/>
          <w:highlight w:val="none"/>
        </w:rPr>
        <w:t>（北京时间）</w:t>
      </w:r>
    </w:p>
    <w:p w14:paraId="4E42037D">
      <w:pPr>
        <w:pageBreakBefore w:val="0"/>
        <w:kinsoku/>
        <w:wordWrap/>
        <w:overflowPunct/>
        <w:topLinePunct w:val="0"/>
        <w:autoSpaceDE/>
        <w:autoSpaceDN/>
        <w:bidi w:val="0"/>
        <w:adjustRightInd/>
        <w:spacing w:line="360" w:lineRule="auto"/>
        <w:ind w:firstLine="420"/>
        <w:textAlignment w:val="auto"/>
        <w:rPr>
          <w:rFonts w:hint="eastAsia" w:ascii="宋体" w:hAnsi="宋体"/>
          <w:b/>
          <w:color w:val="auto"/>
          <w:szCs w:val="21"/>
          <w:highlight w:val="none"/>
        </w:rPr>
      </w:pPr>
      <w:r>
        <w:rPr>
          <w:rFonts w:hint="eastAsia" w:ascii="宋体" w:hAnsi="宋体" w:cs="宋体"/>
          <w:color w:val="auto"/>
          <w:highlight w:val="none"/>
        </w:rPr>
        <w:t>2.开标地点：</w:t>
      </w:r>
      <w:r>
        <w:rPr>
          <w:rFonts w:hint="eastAsia" w:ascii="宋体" w:hAnsi="宋体"/>
          <w:b/>
          <w:color w:val="auto"/>
          <w:szCs w:val="21"/>
          <w:highlight w:val="none"/>
        </w:rPr>
        <w:t>“苏采云”系统（网址：</w:t>
      </w:r>
      <w:r>
        <w:rPr>
          <w:rFonts w:hint="eastAsia" w:ascii="宋体" w:hAnsi="宋体"/>
          <w:b/>
          <w:color w:val="auto"/>
          <w:szCs w:val="21"/>
          <w:highlight w:val="none"/>
        </w:rPr>
        <w:fldChar w:fldCharType="begin"/>
      </w:r>
      <w:r>
        <w:rPr>
          <w:rFonts w:hint="eastAsia" w:ascii="宋体" w:hAnsi="宋体"/>
          <w:b/>
          <w:color w:val="auto"/>
          <w:szCs w:val="21"/>
          <w:highlight w:val="none"/>
        </w:rPr>
        <w:instrText xml:space="preserve"> HYPERLINK "http://jszfcg.jsczt.cn/）\“开标大厅\”" </w:instrText>
      </w:r>
      <w:r>
        <w:rPr>
          <w:rFonts w:hint="eastAsia" w:ascii="宋体" w:hAnsi="宋体"/>
          <w:b/>
          <w:color w:val="auto"/>
          <w:szCs w:val="21"/>
          <w:highlight w:val="none"/>
        </w:rPr>
        <w:fldChar w:fldCharType="separate"/>
      </w:r>
      <w:r>
        <w:rPr>
          <w:rFonts w:hint="eastAsia" w:ascii="宋体" w:hAnsi="宋体"/>
          <w:b/>
          <w:color w:val="auto"/>
          <w:szCs w:val="21"/>
          <w:highlight w:val="none"/>
        </w:rPr>
        <w:t>http://jszfcg.jsczt.cn/）“开标大厅”</w:t>
      </w:r>
      <w:r>
        <w:rPr>
          <w:rFonts w:hint="eastAsia" w:ascii="宋体" w:hAnsi="宋体"/>
          <w:b/>
          <w:color w:val="auto"/>
          <w:szCs w:val="21"/>
          <w:highlight w:val="none"/>
        </w:rPr>
        <w:fldChar w:fldCharType="end"/>
      </w:r>
    </w:p>
    <w:p w14:paraId="0591F9F5">
      <w:pPr>
        <w:pStyle w:val="229"/>
        <w:pageBreakBefore w:val="0"/>
        <w:kinsoku/>
        <w:wordWrap/>
        <w:overflowPunct/>
        <w:topLinePunct w:val="0"/>
        <w:autoSpaceDE/>
        <w:autoSpaceDN/>
        <w:bidi w:val="0"/>
        <w:adjustRightInd/>
        <w:spacing w:before="0" w:after="0" w:line="360" w:lineRule="auto"/>
        <w:textAlignment w:val="auto"/>
        <w:rPr>
          <w:rFonts w:hint="eastAsia" w:ascii="宋体" w:hAnsi="宋体" w:cs="宋体"/>
          <w:bCs w:val="0"/>
          <w:color w:val="auto"/>
          <w:sz w:val="21"/>
          <w:szCs w:val="21"/>
          <w:highlight w:val="none"/>
        </w:rPr>
      </w:pPr>
      <w:bookmarkStart w:id="26" w:name="_Toc109304967"/>
      <w:bookmarkStart w:id="27" w:name="_Toc12476"/>
      <w:r>
        <w:rPr>
          <w:rFonts w:hint="eastAsia" w:ascii="宋体" w:hAnsi="宋体" w:cs="宋体"/>
          <w:bCs w:val="0"/>
          <w:color w:val="auto"/>
          <w:sz w:val="21"/>
          <w:szCs w:val="21"/>
          <w:highlight w:val="none"/>
        </w:rPr>
        <w:t>五、开启</w:t>
      </w:r>
      <w:bookmarkEnd w:id="26"/>
      <w:bookmarkEnd w:id="27"/>
    </w:p>
    <w:p w14:paraId="52656ABE">
      <w:pPr>
        <w:pStyle w:val="233"/>
        <w:pageBreakBefore w:val="0"/>
        <w:kinsoku/>
        <w:wordWrap/>
        <w:overflowPunct/>
        <w:topLinePunct w:val="0"/>
        <w:autoSpaceDE/>
        <w:autoSpaceDN/>
        <w:bidi w:val="0"/>
        <w:adjustRightInd/>
        <w:spacing w:line="360" w:lineRule="auto"/>
        <w:textAlignment w:val="auto"/>
        <w:rPr>
          <w:rFonts w:hint="eastAsia"/>
          <w:color w:val="auto"/>
          <w:highlight w:val="none"/>
        </w:rPr>
      </w:pPr>
      <w:r>
        <w:rPr>
          <w:rFonts w:hint="eastAsia" w:ascii="宋体" w:hAnsi="宋体" w:cs="宋体"/>
          <w:color w:val="auto"/>
          <w:szCs w:val="21"/>
          <w:highlight w:val="none"/>
        </w:rPr>
        <w:t>1.时间：</w:t>
      </w:r>
      <w:r>
        <w:rPr>
          <w:rFonts w:hint="eastAsia" w:ascii="宋体" w:hAnsi="宋体" w:cs="宋体"/>
          <w:bCs/>
          <w:color w:val="auto"/>
          <w:highlight w:val="none"/>
          <w:u w:val="single"/>
        </w:rPr>
        <w:t>2024年</w:t>
      </w:r>
      <w:r>
        <w:rPr>
          <w:rFonts w:hint="eastAsia" w:ascii="宋体" w:hAnsi="宋体" w:cs="宋体"/>
          <w:bCs/>
          <w:color w:val="auto"/>
          <w:highlight w:val="none"/>
          <w:u w:val="single"/>
          <w:lang w:val="en-US" w:eastAsia="zh-CN"/>
        </w:rPr>
        <w:t>11</w:t>
      </w:r>
      <w:r>
        <w:rPr>
          <w:rFonts w:hint="eastAsia" w:ascii="宋体" w:hAnsi="宋体" w:cs="宋体"/>
          <w:bCs/>
          <w:color w:val="auto"/>
          <w:highlight w:val="none"/>
          <w:u w:val="single"/>
        </w:rPr>
        <w:t>月</w:t>
      </w:r>
      <w:r>
        <w:rPr>
          <w:rFonts w:hint="eastAsia" w:ascii="宋体" w:hAnsi="宋体" w:cs="宋体"/>
          <w:bCs/>
          <w:color w:val="auto"/>
          <w:highlight w:val="none"/>
          <w:u w:val="single"/>
          <w:lang w:val="en-US" w:eastAsia="zh-CN"/>
        </w:rPr>
        <w:t>14</w:t>
      </w:r>
      <w:r>
        <w:rPr>
          <w:rFonts w:hint="eastAsia" w:ascii="宋体" w:hAnsi="宋体" w:cs="宋体"/>
          <w:bCs/>
          <w:color w:val="auto"/>
          <w:highlight w:val="none"/>
          <w:u w:val="single"/>
        </w:rPr>
        <w:t xml:space="preserve">日 </w:t>
      </w:r>
      <w:r>
        <w:rPr>
          <w:rFonts w:hint="eastAsia" w:ascii="宋体" w:hAnsi="宋体" w:cs="宋体"/>
          <w:bCs/>
          <w:color w:val="auto"/>
          <w:highlight w:val="none"/>
          <w:u w:val="single"/>
          <w:lang w:val="en-US" w:eastAsia="zh-CN"/>
        </w:rPr>
        <w:t>上午9:30</w:t>
      </w:r>
      <w:r>
        <w:rPr>
          <w:rFonts w:hint="eastAsia" w:ascii="宋体" w:hAnsi="宋体" w:cs="宋体"/>
          <w:bCs/>
          <w:color w:val="auto"/>
          <w:highlight w:val="none"/>
        </w:rPr>
        <w:t>（北京时间）</w:t>
      </w:r>
    </w:p>
    <w:bookmarkEnd w:id="21"/>
    <w:bookmarkEnd w:id="22"/>
    <w:bookmarkEnd w:id="23"/>
    <w:bookmarkEnd w:id="24"/>
    <w:bookmarkEnd w:id="25"/>
    <w:p w14:paraId="6606A139">
      <w:pPr>
        <w:pageBreakBefore w:val="0"/>
        <w:tabs>
          <w:tab w:val="left" w:pos="266"/>
        </w:tabs>
        <w:kinsoku/>
        <w:wordWrap/>
        <w:overflowPunct/>
        <w:topLinePunct w:val="0"/>
        <w:autoSpaceDE/>
        <w:autoSpaceDN/>
        <w:bidi w:val="0"/>
        <w:adjustRightInd/>
        <w:spacing w:line="360" w:lineRule="auto"/>
        <w:textAlignment w:val="auto"/>
        <w:rPr>
          <w:rFonts w:ascii="宋体" w:hAnsi="宋体" w:cs="宋体"/>
          <w:b/>
          <w:bCs/>
          <w:color w:val="auto"/>
          <w:highlight w:val="none"/>
        </w:rPr>
      </w:pPr>
      <w:bookmarkStart w:id="28" w:name="_Toc38985268"/>
      <w:bookmarkStart w:id="29" w:name="_Toc35393626"/>
      <w:bookmarkStart w:id="30" w:name="_Toc35393795"/>
      <w:r>
        <w:rPr>
          <w:rFonts w:hint="eastAsia" w:ascii="宋体" w:hAnsi="宋体" w:cs="宋体"/>
          <w:b/>
          <w:bCs/>
          <w:color w:val="auto"/>
          <w:highlight w:val="none"/>
        </w:rPr>
        <w:t>六、公告期限</w:t>
      </w:r>
    </w:p>
    <w:p w14:paraId="2B03FB73">
      <w:pPr>
        <w:pageBreakBefore w:val="0"/>
        <w:kinsoku/>
        <w:wordWrap/>
        <w:overflowPunct/>
        <w:topLinePunct w:val="0"/>
        <w:autoSpaceDE/>
        <w:autoSpaceDN/>
        <w:bidi w:val="0"/>
        <w:adjustRightInd/>
        <w:spacing w:line="360" w:lineRule="auto"/>
        <w:ind w:firstLine="420"/>
        <w:textAlignment w:val="auto"/>
        <w:rPr>
          <w:rFonts w:ascii="宋体" w:hAnsi="宋体" w:cs="宋体"/>
          <w:color w:val="auto"/>
          <w:highlight w:val="none"/>
        </w:rPr>
      </w:pPr>
      <w:r>
        <w:rPr>
          <w:rFonts w:hint="eastAsia" w:ascii="宋体" w:hAnsi="宋体" w:cs="宋体"/>
          <w:color w:val="auto"/>
          <w:highlight w:val="none"/>
        </w:rPr>
        <w:t>招标公告及招标文件公告期限为自本公告发布之日起5个工作日。</w:t>
      </w:r>
    </w:p>
    <w:p w14:paraId="2922F60D">
      <w:pPr>
        <w:pageBreakBefore w:val="0"/>
        <w:tabs>
          <w:tab w:val="left" w:pos="266"/>
        </w:tabs>
        <w:kinsoku/>
        <w:wordWrap/>
        <w:overflowPunct/>
        <w:topLinePunct w:val="0"/>
        <w:autoSpaceDE/>
        <w:autoSpaceDN/>
        <w:bidi w:val="0"/>
        <w:adjustRightInd/>
        <w:spacing w:line="360" w:lineRule="auto"/>
        <w:textAlignment w:val="auto"/>
        <w:rPr>
          <w:rFonts w:ascii="宋体" w:hAnsi="宋体" w:cs="宋体"/>
          <w:b/>
          <w:bCs/>
          <w:color w:val="auto"/>
          <w:highlight w:val="none"/>
        </w:rPr>
      </w:pPr>
      <w:r>
        <w:rPr>
          <w:rFonts w:hint="eastAsia" w:ascii="宋体" w:hAnsi="宋体" w:cs="宋体"/>
          <w:b/>
          <w:bCs/>
          <w:color w:val="auto"/>
          <w:highlight w:val="none"/>
        </w:rPr>
        <w:t>七、其他补充事宜</w:t>
      </w:r>
      <w:bookmarkEnd w:id="28"/>
      <w:bookmarkEnd w:id="29"/>
      <w:bookmarkEnd w:id="30"/>
    </w:p>
    <w:p w14:paraId="6734F2B8">
      <w:pPr>
        <w:pageBreakBefore w:val="0"/>
        <w:shd w:val="clear" w:color="auto" w:fill="FFFFFF"/>
        <w:kinsoku/>
        <w:wordWrap/>
        <w:overflowPunct/>
        <w:topLinePunct w:val="0"/>
        <w:autoSpaceDE/>
        <w:autoSpaceDN/>
        <w:bidi w:val="0"/>
        <w:adjustRightInd/>
        <w:spacing w:line="360" w:lineRule="auto"/>
        <w:ind w:firstLine="422"/>
        <w:textAlignment w:val="auto"/>
        <w:rPr>
          <w:rFonts w:ascii="宋体" w:hAnsi="宋体"/>
          <w:b/>
          <w:bCs/>
          <w:color w:val="auto"/>
          <w:highlight w:val="none"/>
        </w:rPr>
      </w:pPr>
      <w:bookmarkStart w:id="31" w:name="_Toc28359085"/>
      <w:bookmarkStart w:id="32" w:name="_Toc35393627"/>
      <w:bookmarkStart w:id="33" w:name="_Toc28359008"/>
      <w:bookmarkStart w:id="34" w:name="_Toc35393796"/>
      <w:bookmarkStart w:id="35" w:name="_Toc38985269"/>
      <w:r>
        <w:rPr>
          <w:rFonts w:hint="eastAsia" w:ascii="宋体" w:hAnsi="宋体"/>
          <w:b/>
          <w:bCs/>
          <w:color w:val="auto"/>
          <w:highlight w:val="none"/>
        </w:rPr>
        <w:t>1.</w:t>
      </w:r>
      <w:r>
        <w:rPr>
          <w:rFonts w:hint="eastAsia" w:ascii="宋体" w:hAnsi="宋体"/>
          <w:b/>
          <w:bCs/>
          <w:color w:val="auto"/>
          <w:szCs w:val="21"/>
          <w:highlight w:val="none"/>
        </w:rPr>
        <w:t>本次采购采用“政府采购管理交易系统（苏采云）”，招标、投标、评标和中标结果发布全程电子化，开标方式为不见面开标。投标人应当按照</w:t>
      </w:r>
      <w:r>
        <w:rPr>
          <w:rFonts w:hint="eastAsia" w:ascii="宋体" w:hAnsi="宋体" w:cs="宋体"/>
          <w:b/>
          <w:bCs/>
          <w:color w:val="auto"/>
          <w:highlight w:val="none"/>
        </w:rPr>
        <w:t>《政府采购管理交易系统（苏采云）供应商操作手册》</w:t>
      </w:r>
      <w:r>
        <w:rPr>
          <w:rFonts w:hint="eastAsia" w:ascii="宋体" w:hAnsi="宋体"/>
          <w:b/>
          <w:bCs/>
          <w:color w:val="auto"/>
          <w:szCs w:val="21"/>
          <w:highlight w:val="none"/>
        </w:rPr>
        <w:t>参加投标活动。</w:t>
      </w:r>
      <w:r>
        <w:rPr>
          <w:rFonts w:hint="eastAsia" w:ascii="宋体" w:hAnsi="宋体"/>
          <w:b/>
          <w:bCs/>
          <w:color w:val="auto"/>
          <w:highlight w:val="none"/>
        </w:rPr>
        <w:t>如投标人未按要求操作，由此所产生的风险由投标人自行承担。</w:t>
      </w:r>
    </w:p>
    <w:p w14:paraId="15915074">
      <w:pPr>
        <w:pageBreakBefore w:val="0"/>
        <w:shd w:val="clear" w:color="auto" w:fill="FFFFFF"/>
        <w:kinsoku/>
        <w:wordWrap/>
        <w:overflowPunct/>
        <w:topLinePunct w:val="0"/>
        <w:autoSpaceDE/>
        <w:autoSpaceDN/>
        <w:bidi w:val="0"/>
        <w:adjustRightInd/>
        <w:spacing w:line="360" w:lineRule="auto"/>
        <w:ind w:firstLine="422"/>
        <w:textAlignment w:val="auto"/>
        <w:rPr>
          <w:rFonts w:ascii="宋体" w:hAnsi="宋体"/>
          <w:b/>
          <w:bCs/>
          <w:color w:val="auto"/>
          <w:szCs w:val="21"/>
          <w:highlight w:val="none"/>
        </w:rPr>
      </w:pPr>
      <w:r>
        <w:rPr>
          <w:rFonts w:hint="eastAsia" w:ascii="宋体" w:hAnsi="宋体"/>
          <w:b/>
          <w:bCs/>
          <w:color w:val="auto"/>
          <w:highlight w:val="none"/>
        </w:rPr>
        <w:t>2.</w:t>
      </w:r>
      <w:r>
        <w:rPr>
          <w:rFonts w:hint="eastAsia" w:ascii="宋体" w:hAnsi="宋体" w:cs="宋体"/>
          <w:b/>
          <w:bCs/>
          <w:color w:val="auto"/>
          <w:highlight w:val="none"/>
        </w:rPr>
        <w:t>供应商如确定参加投标，可自行下载招标文件及有关资料，按照《操作手册》进行注</w:t>
      </w:r>
      <w:r>
        <w:rPr>
          <w:rFonts w:hint="eastAsia" w:ascii="宋体" w:hAnsi="宋体"/>
          <w:b/>
          <w:bCs/>
          <w:color w:val="auto"/>
          <w:szCs w:val="21"/>
          <w:highlight w:val="none"/>
        </w:rPr>
        <w:t>册，领取CA和办理电子签章，并按《操作手册》要求制作、上传电子投标文件，技术支持联系方式：13813140731。</w:t>
      </w:r>
    </w:p>
    <w:p w14:paraId="7B774FBB">
      <w:pPr>
        <w:pageBreakBefore w:val="0"/>
        <w:kinsoku/>
        <w:wordWrap/>
        <w:overflowPunct/>
        <w:topLinePunct w:val="0"/>
        <w:autoSpaceDE/>
        <w:autoSpaceDN/>
        <w:bidi w:val="0"/>
        <w:adjustRightInd/>
        <w:spacing w:line="360" w:lineRule="auto"/>
        <w:ind w:firstLine="420"/>
        <w:textAlignment w:val="auto"/>
        <w:rPr>
          <w:rFonts w:hint="eastAsia" w:ascii="宋体" w:hAnsi="宋体"/>
          <w:color w:val="auto"/>
          <w:szCs w:val="21"/>
          <w:highlight w:val="none"/>
        </w:rPr>
      </w:pPr>
      <w:r>
        <w:rPr>
          <w:rFonts w:hint="eastAsia" w:ascii="宋体" w:hAnsi="宋体"/>
          <w:color w:val="auto"/>
          <w:szCs w:val="21"/>
          <w:highlight w:val="none"/>
        </w:rPr>
        <w:t>3.本次招标不收取投标保证金。</w:t>
      </w:r>
    </w:p>
    <w:p w14:paraId="743E1D65">
      <w:pPr>
        <w:pageBreakBefore w:val="0"/>
        <w:kinsoku/>
        <w:wordWrap/>
        <w:overflowPunct/>
        <w:topLinePunct w:val="0"/>
        <w:autoSpaceDE/>
        <w:autoSpaceDN/>
        <w:bidi w:val="0"/>
        <w:adjustRightInd/>
        <w:spacing w:line="360" w:lineRule="auto"/>
        <w:ind w:firstLine="420"/>
        <w:textAlignment w:val="auto"/>
        <w:rPr>
          <w:rFonts w:hint="eastAsia" w:ascii="宋体" w:hAnsi="宋体"/>
          <w:color w:val="auto"/>
          <w:szCs w:val="21"/>
          <w:highlight w:val="none"/>
        </w:rPr>
      </w:pPr>
      <w:r>
        <w:rPr>
          <w:rFonts w:hint="eastAsia" w:ascii="宋体" w:hAnsi="宋体"/>
          <w:color w:val="auto"/>
          <w:szCs w:val="21"/>
          <w:highlight w:val="none"/>
        </w:rPr>
        <w:t>4.潜在供应商对采购文件项目需求部分的询问、质疑请向采购人提出，由采购人负责答复。</w:t>
      </w:r>
    </w:p>
    <w:p w14:paraId="094B5778">
      <w:pPr>
        <w:pageBreakBefore w:val="0"/>
        <w:kinsoku/>
        <w:wordWrap/>
        <w:overflowPunct/>
        <w:topLinePunct w:val="0"/>
        <w:autoSpaceDE/>
        <w:autoSpaceDN/>
        <w:bidi w:val="0"/>
        <w:adjustRightInd/>
        <w:spacing w:line="360" w:lineRule="auto"/>
        <w:ind w:firstLine="420"/>
        <w:textAlignment w:val="auto"/>
        <w:rPr>
          <w:rFonts w:hint="eastAsia" w:ascii="宋体" w:hAnsi="宋体"/>
          <w:color w:val="auto"/>
          <w:szCs w:val="21"/>
          <w:highlight w:val="none"/>
        </w:rPr>
      </w:pPr>
      <w:r>
        <w:rPr>
          <w:rFonts w:hint="eastAsia" w:ascii="宋体" w:hAnsi="宋体"/>
          <w:color w:val="auto"/>
          <w:szCs w:val="21"/>
          <w:highlight w:val="none"/>
        </w:rPr>
        <w:t>5.有关本次招标的事项若存在变动或修改，敬请及时关注“扬州市政府采购网”、“江苏省政府采购网”、“中国政府采购网”发布的信息。</w:t>
      </w:r>
    </w:p>
    <w:p w14:paraId="701AB7F1">
      <w:pPr>
        <w:pageBreakBefore w:val="0"/>
        <w:kinsoku/>
        <w:wordWrap/>
        <w:overflowPunct/>
        <w:topLinePunct w:val="0"/>
        <w:autoSpaceDE/>
        <w:autoSpaceDN/>
        <w:bidi w:val="0"/>
        <w:adjustRightInd/>
        <w:spacing w:line="360" w:lineRule="auto"/>
        <w:ind w:firstLine="422"/>
        <w:textAlignment w:val="auto"/>
        <w:rPr>
          <w:rFonts w:hint="eastAsia" w:ascii="宋体" w:hAnsi="宋体" w:cs="宋体"/>
          <w:b/>
          <w:i/>
          <w:iCs/>
          <w:color w:val="auto"/>
          <w:highlight w:val="none"/>
          <w:u w:val="single"/>
        </w:rPr>
      </w:pPr>
      <w:r>
        <w:rPr>
          <w:rFonts w:hint="eastAsia" w:ascii="宋体" w:hAnsi="宋体" w:cs="宋体"/>
          <w:b/>
          <w:i/>
          <w:iCs/>
          <w:color w:val="auto"/>
          <w:highlight w:val="none"/>
          <w:u w:val="single"/>
          <w:lang w:val="en-US" w:eastAsia="zh-CN"/>
        </w:rPr>
        <w:t>6</w:t>
      </w:r>
      <w:r>
        <w:rPr>
          <w:rFonts w:hint="eastAsia" w:ascii="宋体" w:hAnsi="宋体" w:cs="宋体"/>
          <w:b/>
          <w:i/>
          <w:iCs/>
          <w:color w:val="auto"/>
          <w:highlight w:val="none"/>
          <w:u w:val="single"/>
        </w:rPr>
        <w:t>.本项目招标文件中所有斜体下划线部分为实质性条款，如不满足，则为无效投标。</w:t>
      </w:r>
    </w:p>
    <w:p w14:paraId="3EF8221F">
      <w:pPr>
        <w:pageBreakBefore w:val="0"/>
        <w:tabs>
          <w:tab w:val="left" w:pos="266"/>
        </w:tabs>
        <w:kinsoku/>
        <w:wordWrap/>
        <w:overflowPunct/>
        <w:topLinePunct w:val="0"/>
        <w:autoSpaceDE/>
        <w:autoSpaceDN/>
        <w:bidi w:val="0"/>
        <w:adjustRightInd/>
        <w:spacing w:line="360" w:lineRule="auto"/>
        <w:ind w:firstLine="420"/>
        <w:textAlignment w:val="auto"/>
        <w:rPr>
          <w:rFonts w:hint="eastAsia" w:ascii="宋体" w:hAnsi="宋体" w:cs="宋体"/>
          <w:bCs/>
          <w:color w:val="auto"/>
          <w:highlight w:val="none"/>
        </w:rPr>
      </w:pPr>
      <w:r>
        <w:rPr>
          <w:rFonts w:hint="eastAsia" w:ascii="宋体" w:hAnsi="宋体" w:cs="宋体"/>
          <w:bCs/>
          <w:color w:val="auto"/>
          <w:highlight w:val="none"/>
          <w:lang w:val="en-US" w:eastAsia="zh-CN"/>
        </w:rPr>
        <w:t>7</w:t>
      </w:r>
      <w:r>
        <w:rPr>
          <w:rFonts w:hint="eastAsia" w:ascii="宋体" w:hAnsi="宋体" w:cs="宋体"/>
          <w:bCs/>
          <w:color w:val="auto"/>
          <w:highlight w:val="none"/>
        </w:rPr>
        <w:t>.如在开标时间发生系统崩溃等不可预见的情况，造成开评标活动无法正常进行的，将延迟开评标，具体开评标时间另行通知。</w:t>
      </w:r>
    </w:p>
    <w:p w14:paraId="1996DFE4">
      <w:pPr>
        <w:pageBreakBefore w:val="0"/>
        <w:kinsoku/>
        <w:wordWrap/>
        <w:overflowPunct/>
        <w:topLinePunct w:val="0"/>
        <w:autoSpaceDE/>
        <w:autoSpaceDN/>
        <w:bidi w:val="0"/>
        <w:adjustRightInd/>
        <w:spacing w:line="360" w:lineRule="auto"/>
        <w:ind w:firstLine="420"/>
        <w:jc w:val="left"/>
        <w:textAlignment w:val="auto"/>
        <w:rPr>
          <w:rFonts w:ascii="宋体" w:hAnsi="宋体" w:cs="宋体"/>
          <w:b/>
          <w:color w:val="auto"/>
          <w:szCs w:val="21"/>
          <w:highlight w:val="none"/>
        </w:rPr>
      </w:pPr>
      <w:r>
        <w:rPr>
          <w:rFonts w:hint="eastAsia" w:ascii="宋体" w:hAnsi="宋体" w:cs="宋体"/>
          <w:b/>
          <w:color w:val="auto"/>
          <w:szCs w:val="21"/>
          <w:highlight w:val="none"/>
          <w:lang w:val="en-US" w:eastAsia="zh-CN"/>
        </w:rPr>
        <w:t>8</w:t>
      </w:r>
      <w:r>
        <w:rPr>
          <w:rFonts w:hint="eastAsia" w:ascii="宋体" w:hAnsi="宋体" w:cs="宋体"/>
          <w:b/>
          <w:color w:val="auto"/>
          <w:szCs w:val="21"/>
          <w:highlight w:val="none"/>
        </w:rPr>
        <w:t>.</w:t>
      </w:r>
      <w:r>
        <w:rPr>
          <w:rFonts w:ascii="宋体" w:hAnsi="宋体" w:cs="宋体"/>
          <w:b/>
          <w:color w:val="auto"/>
          <w:szCs w:val="21"/>
          <w:highlight w:val="none"/>
        </w:rPr>
        <w:t>落实好政府采购履约资金扶持政策。中标/成交供应商可凭政府采购合同办理融资贷款，详见江苏政府采购网“政采贷”专栏。”</w:t>
      </w:r>
      <w:r>
        <w:rPr>
          <w:rFonts w:ascii="宋体" w:hAnsi="宋体" w:cs="宋体"/>
          <w:b/>
          <w:color w:val="auto"/>
          <w:szCs w:val="21"/>
          <w:highlight w:val="none"/>
        </w:rPr>
        <w:br w:type="textWrapping" w:clear="all"/>
      </w:r>
      <w:r>
        <w:rPr>
          <w:rFonts w:hint="eastAsia" w:ascii="宋体" w:hAnsi="宋体" w:cs="宋体"/>
          <w:b/>
          <w:color w:val="auto"/>
          <w:szCs w:val="21"/>
          <w:highlight w:val="none"/>
        </w:rPr>
        <w:t xml:space="preserve">    </w:t>
      </w:r>
      <w:r>
        <w:rPr>
          <w:rFonts w:hint="eastAsia" w:ascii="宋体" w:hAnsi="宋体" w:cs="宋体"/>
          <w:b/>
          <w:color w:val="auto"/>
          <w:szCs w:val="21"/>
          <w:highlight w:val="none"/>
          <w:lang w:val="en-US" w:eastAsia="zh-CN"/>
        </w:rPr>
        <w:t>9</w:t>
      </w:r>
      <w:r>
        <w:rPr>
          <w:rFonts w:hint="eastAsia" w:ascii="宋体" w:hAnsi="宋体" w:cs="宋体"/>
          <w:b/>
          <w:color w:val="auto"/>
          <w:szCs w:val="21"/>
          <w:highlight w:val="none"/>
        </w:rPr>
        <w:t>.</w:t>
      </w:r>
      <w:r>
        <w:rPr>
          <w:rFonts w:ascii="宋体" w:hAnsi="宋体" w:cs="宋体"/>
          <w:b/>
          <w:color w:val="auto"/>
          <w:szCs w:val="21"/>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4D134F96">
      <w:pPr>
        <w:pageBreakBefore w:val="0"/>
        <w:kinsoku/>
        <w:wordWrap/>
        <w:overflowPunct/>
        <w:topLinePunct w:val="0"/>
        <w:autoSpaceDE/>
        <w:autoSpaceDN/>
        <w:bidi w:val="0"/>
        <w:adjustRightInd/>
        <w:spacing w:line="360" w:lineRule="auto"/>
        <w:ind w:firstLine="420"/>
        <w:textAlignment w:val="auto"/>
        <w:rPr>
          <w:rFonts w:hAnsi="宋体" w:cs="宋体"/>
          <w:b/>
          <w:color w:val="auto"/>
          <w:szCs w:val="21"/>
          <w:highlight w:val="none"/>
        </w:rPr>
      </w:pPr>
      <w:r>
        <w:rPr>
          <w:rFonts w:hint="eastAsia" w:ascii="宋体" w:hAnsi="宋体" w:cs="宋体"/>
          <w:b/>
          <w:color w:val="auto"/>
          <w:szCs w:val="21"/>
          <w:highlight w:val="none"/>
        </w:rPr>
        <w:t>1</w:t>
      </w:r>
      <w:r>
        <w:rPr>
          <w:rFonts w:hint="eastAsia" w:ascii="宋体" w:hAnsi="宋体" w:cs="宋体"/>
          <w:b/>
          <w:color w:val="auto"/>
          <w:szCs w:val="21"/>
          <w:highlight w:val="none"/>
          <w:lang w:val="en-US" w:eastAsia="zh-CN"/>
        </w:rPr>
        <w:t>0</w:t>
      </w:r>
      <w:r>
        <w:rPr>
          <w:rFonts w:hint="eastAsia" w:ascii="宋体" w:hAnsi="宋体" w:cs="宋体"/>
          <w:b/>
          <w:color w:val="auto"/>
          <w:szCs w:val="21"/>
          <w:highlight w:val="none"/>
        </w:rPr>
        <w:t>.</w:t>
      </w:r>
      <w:r>
        <w:rPr>
          <w:rFonts w:ascii="宋体" w:hAnsi="宋体" w:cs="宋体"/>
          <w:b/>
          <w:color w:val="auto"/>
          <w:szCs w:val="21"/>
          <w:highlight w:val="none"/>
        </w:rPr>
        <w:t>供应商对于投标产品的包装应按照“财办库〔2020〕123号《关于印发《商品包装</w:t>
      </w:r>
      <w:r>
        <w:rPr>
          <w:rFonts w:hAnsi="宋体" w:cs="宋体"/>
          <w:b/>
          <w:color w:val="auto"/>
          <w:szCs w:val="21"/>
          <w:highlight w:val="none"/>
        </w:rPr>
        <w:t>政府采购需求标准（试行）》、《快递包装政府采购需求标准（试行）》的通知》”执行。</w:t>
      </w:r>
    </w:p>
    <w:p w14:paraId="6E47F15A">
      <w:pPr>
        <w:pageBreakBefore w:val="0"/>
        <w:tabs>
          <w:tab w:val="left" w:pos="266"/>
        </w:tabs>
        <w:kinsoku/>
        <w:wordWrap/>
        <w:overflowPunct/>
        <w:topLinePunct w:val="0"/>
        <w:autoSpaceDE/>
        <w:autoSpaceDN/>
        <w:bidi w:val="0"/>
        <w:adjustRightInd/>
        <w:spacing w:line="360" w:lineRule="auto"/>
        <w:textAlignment w:val="auto"/>
        <w:rPr>
          <w:rFonts w:ascii="宋体" w:hAnsi="宋体" w:cs="宋体"/>
          <w:b/>
          <w:bCs/>
          <w:color w:val="auto"/>
          <w:highlight w:val="none"/>
        </w:rPr>
      </w:pPr>
      <w:r>
        <w:rPr>
          <w:rFonts w:hint="eastAsia" w:ascii="宋体" w:hAnsi="宋体" w:cs="宋体"/>
          <w:b/>
          <w:bCs/>
          <w:color w:val="auto"/>
          <w:highlight w:val="none"/>
        </w:rPr>
        <w:t>八、本次招标联系方式</w:t>
      </w:r>
      <w:bookmarkEnd w:id="31"/>
      <w:bookmarkEnd w:id="32"/>
      <w:bookmarkEnd w:id="33"/>
      <w:bookmarkEnd w:id="34"/>
      <w:bookmarkEnd w:id="35"/>
    </w:p>
    <w:p w14:paraId="364D6E9B">
      <w:pPr>
        <w:pageBreakBefore w:val="0"/>
        <w:widowControl/>
        <w:kinsoku/>
        <w:wordWrap/>
        <w:overflowPunct/>
        <w:topLinePunct w:val="0"/>
        <w:autoSpaceDE/>
        <w:autoSpaceDN/>
        <w:bidi w:val="0"/>
        <w:adjustRightInd/>
        <w:spacing w:line="360" w:lineRule="auto"/>
        <w:ind w:firstLine="420"/>
        <w:jc w:val="left"/>
        <w:textAlignment w:val="auto"/>
        <w:rPr>
          <w:rFonts w:ascii="宋体" w:hAnsi="宋体" w:cs="宋体"/>
          <w:color w:val="auto"/>
          <w:szCs w:val="21"/>
          <w:highlight w:val="none"/>
        </w:rPr>
      </w:pPr>
      <w:r>
        <w:rPr>
          <w:rFonts w:hint="eastAsia" w:ascii="宋体" w:hAnsi="宋体" w:cs="宋体"/>
          <w:color w:val="auto"/>
          <w:highlight w:val="none"/>
        </w:rPr>
        <w:t>1.采购人信息</w:t>
      </w:r>
    </w:p>
    <w:p w14:paraId="018183CF">
      <w:pPr>
        <w:pageBreakBefore w:val="0"/>
        <w:kinsoku/>
        <w:wordWrap/>
        <w:overflowPunct/>
        <w:topLinePunct w:val="0"/>
        <w:autoSpaceDE/>
        <w:autoSpaceDN/>
        <w:bidi w:val="0"/>
        <w:adjustRightInd/>
        <w:spacing w:line="360" w:lineRule="auto"/>
        <w:ind w:firstLine="420"/>
        <w:jc w:val="left"/>
        <w:textAlignment w:val="auto"/>
        <w:rPr>
          <w:rFonts w:hint="eastAsia" w:ascii="宋体" w:hAnsi="宋体" w:eastAsia="宋体"/>
          <w:color w:val="auto"/>
          <w:szCs w:val="21"/>
          <w:highlight w:val="none"/>
          <w:lang w:eastAsia="zh-CN"/>
        </w:rPr>
      </w:pPr>
      <w:r>
        <w:rPr>
          <w:rFonts w:hint="eastAsia" w:ascii="宋体" w:hAnsi="宋体"/>
          <w:color w:val="auto"/>
          <w:szCs w:val="21"/>
          <w:highlight w:val="none"/>
        </w:rPr>
        <w:t>名 称：</w:t>
      </w:r>
      <w:r>
        <w:rPr>
          <w:rFonts w:hint="eastAsia" w:ascii="宋体" w:hAnsi="宋体"/>
          <w:color w:val="auto"/>
          <w:szCs w:val="21"/>
          <w:highlight w:val="none"/>
          <w:lang w:eastAsia="zh-CN"/>
        </w:rPr>
        <w:t>扬州市梅岭街道办事处</w:t>
      </w:r>
    </w:p>
    <w:p w14:paraId="58A50092">
      <w:pPr>
        <w:pageBreakBefore w:val="0"/>
        <w:kinsoku/>
        <w:wordWrap/>
        <w:overflowPunct/>
        <w:topLinePunct w:val="0"/>
        <w:autoSpaceDE/>
        <w:autoSpaceDN/>
        <w:bidi w:val="0"/>
        <w:adjustRightInd/>
        <w:spacing w:line="360" w:lineRule="auto"/>
        <w:ind w:firstLine="420"/>
        <w:jc w:val="left"/>
        <w:textAlignment w:val="auto"/>
        <w:rPr>
          <w:rFonts w:hint="default" w:ascii="宋体" w:hAnsi="宋体" w:eastAsia="宋体"/>
          <w:color w:val="auto"/>
          <w:szCs w:val="21"/>
          <w:highlight w:val="none"/>
          <w:lang w:val="en-US" w:eastAsia="zh-CN"/>
        </w:rPr>
      </w:pPr>
      <w:r>
        <w:rPr>
          <w:rFonts w:hint="eastAsia" w:ascii="宋体" w:hAnsi="宋体"/>
          <w:color w:val="auto"/>
          <w:szCs w:val="21"/>
          <w:highlight w:val="none"/>
        </w:rPr>
        <w:t>地 址：</w:t>
      </w:r>
      <w:r>
        <w:rPr>
          <w:rFonts w:hint="eastAsia" w:ascii="宋体" w:hAnsi="宋体" w:cs="宋体"/>
          <w:szCs w:val="21"/>
        </w:rPr>
        <w:t>扬州市邗江区</w:t>
      </w:r>
      <w:r>
        <w:rPr>
          <w:rFonts w:hint="eastAsia" w:ascii="宋体" w:hAnsi="宋体" w:cs="宋体"/>
          <w:szCs w:val="21"/>
          <w:lang w:val="en-US" w:eastAsia="zh-CN"/>
        </w:rPr>
        <w:t>史可法路46号</w:t>
      </w:r>
    </w:p>
    <w:p w14:paraId="055A6C2A">
      <w:pPr>
        <w:keepNext w:val="0"/>
        <w:keepLines w:val="0"/>
        <w:pageBreakBefore w:val="0"/>
        <w:widowControl w:val="0"/>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olor w:val="auto"/>
          <w:szCs w:val="21"/>
          <w:highlight w:val="none"/>
          <w:lang w:val="en-US" w:eastAsia="zh-CN"/>
        </w:rPr>
      </w:pPr>
      <w:r>
        <w:rPr>
          <w:rFonts w:hint="eastAsia" w:ascii="宋体" w:hAnsi="宋体"/>
          <w:color w:val="auto"/>
          <w:szCs w:val="21"/>
          <w:highlight w:val="none"/>
        </w:rPr>
        <w:t>联系人：</w:t>
      </w:r>
      <w:r>
        <w:rPr>
          <w:rFonts w:hint="eastAsia" w:ascii="宋体" w:hAnsi="宋体"/>
          <w:color w:val="auto"/>
          <w:szCs w:val="21"/>
          <w:highlight w:val="none"/>
          <w:lang w:val="en-US" w:eastAsia="zh-CN"/>
        </w:rPr>
        <w:t>刘佳玲</w:t>
      </w:r>
    </w:p>
    <w:p w14:paraId="3F4AA71F">
      <w:pPr>
        <w:pageBreakBefore w:val="0"/>
        <w:kinsoku/>
        <w:wordWrap/>
        <w:overflowPunct/>
        <w:topLinePunct w:val="0"/>
        <w:autoSpaceDE/>
        <w:autoSpaceDN/>
        <w:bidi w:val="0"/>
        <w:adjustRightInd/>
        <w:spacing w:line="360" w:lineRule="auto"/>
        <w:ind w:firstLine="420"/>
        <w:jc w:val="left"/>
        <w:textAlignment w:val="auto"/>
        <w:rPr>
          <w:rFonts w:hint="default" w:ascii="宋体" w:hAnsi="宋体" w:eastAsia="宋体"/>
          <w:color w:val="auto"/>
          <w:szCs w:val="21"/>
          <w:highlight w:val="none"/>
          <w:lang w:val="en-US" w:eastAsia="zh-CN"/>
        </w:rPr>
      </w:pPr>
      <w:r>
        <w:rPr>
          <w:rFonts w:hint="eastAsia" w:ascii="宋体" w:hAnsi="宋体"/>
          <w:color w:val="auto"/>
          <w:szCs w:val="21"/>
          <w:highlight w:val="none"/>
        </w:rPr>
        <w:t>联系方式：</w:t>
      </w:r>
      <w:r>
        <w:rPr>
          <w:rFonts w:hint="eastAsia" w:ascii="宋体" w:hAnsi="宋体"/>
          <w:color w:val="auto"/>
          <w:szCs w:val="21"/>
          <w:highlight w:val="none"/>
          <w:lang w:val="en-US" w:eastAsia="zh-CN"/>
        </w:rPr>
        <w:t>0514-87626538</w:t>
      </w:r>
    </w:p>
    <w:p w14:paraId="696842D9">
      <w:pPr>
        <w:pageBreakBefore w:val="0"/>
        <w:kinsoku/>
        <w:wordWrap/>
        <w:overflowPunct/>
        <w:topLinePunct w:val="0"/>
        <w:autoSpaceDE/>
        <w:autoSpaceDN/>
        <w:bidi w:val="0"/>
        <w:adjustRightInd/>
        <w:spacing w:line="360" w:lineRule="auto"/>
        <w:ind w:firstLine="420"/>
        <w:jc w:val="left"/>
        <w:textAlignment w:val="auto"/>
        <w:rPr>
          <w:rFonts w:hint="eastAsia" w:ascii="宋体" w:hAnsi="宋体"/>
          <w:color w:val="auto"/>
          <w:szCs w:val="21"/>
          <w:highlight w:val="none"/>
        </w:rPr>
      </w:pPr>
      <w:r>
        <w:rPr>
          <w:rFonts w:hint="eastAsia" w:ascii="宋体" w:hAnsi="宋体"/>
          <w:color w:val="auto"/>
          <w:szCs w:val="21"/>
          <w:highlight w:val="none"/>
        </w:rPr>
        <w:t>2.代理机构信息</w:t>
      </w:r>
    </w:p>
    <w:p w14:paraId="1568BE61">
      <w:pPr>
        <w:pageBreakBefore w:val="0"/>
        <w:kinsoku/>
        <w:wordWrap/>
        <w:overflowPunct/>
        <w:topLinePunct w:val="0"/>
        <w:autoSpaceDE/>
        <w:autoSpaceDN/>
        <w:bidi w:val="0"/>
        <w:adjustRightInd/>
        <w:spacing w:line="360" w:lineRule="auto"/>
        <w:ind w:firstLine="420"/>
        <w:jc w:val="left"/>
        <w:textAlignment w:val="auto"/>
        <w:rPr>
          <w:rFonts w:hint="eastAsia" w:ascii="宋体" w:hAnsi="宋体" w:eastAsia="宋体" w:cs="宋体"/>
          <w:color w:val="auto"/>
          <w:highlight w:val="none"/>
          <w:lang w:eastAsia="zh-CN"/>
        </w:rPr>
      </w:pPr>
      <w:r>
        <w:rPr>
          <w:rFonts w:hint="eastAsia" w:ascii="宋体" w:hAnsi="宋体" w:cs="宋体"/>
          <w:color w:val="auto"/>
          <w:highlight w:val="none"/>
        </w:rPr>
        <w:t>名 称：</w:t>
      </w:r>
      <w:r>
        <w:rPr>
          <w:rFonts w:hint="eastAsia" w:ascii="宋体" w:hAnsi="宋体"/>
          <w:color w:val="auto"/>
          <w:szCs w:val="21"/>
          <w:highlight w:val="none"/>
          <w:lang w:eastAsia="zh-CN"/>
        </w:rPr>
        <w:t>江苏嘉加诚工程投资咨询有限公司</w:t>
      </w:r>
    </w:p>
    <w:p w14:paraId="24C99127">
      <w:pPr>
        <w:pageBreakBefore w:val="0"/>
        <w:kinsoku/>
        <w:wordWrap/>
        <w:overflowPunct/>
        <w:topLinePunct w:val="0"/>
        <w:autoSpaceDE/>
        <w:autoSpaceDN/>
        <w:bidi w:val="0"/>
        <w:adjustRightInd/>
        <w:spacing w:line="360" w:lineRule="auto"/>
        <w:ind w:firstLine="420"/>
        <w:textAlignment w:val="auto"/>
        <w:rPr>
          <w:rFonts w:ascii="宋体" w:hAnsi="宋体" w:cs="宋体"/>
          <w:color w:val="auto"/>
          <w:highlight w:val="none"/>
        </w:rPr>
      </w:pPr>
      <w:r>
        <w:rPr>
          <w:rFonts w:hint="eastAsia" w:ascii="宋体" w:hAnsi="宋体" w:cs="宋体"/>
          <w:color w:val="auto"/>
          <w:highlight w:val="none"/>
        </w:rPr>
        <w:t>地　址：</w:t>
      </w:r>
      <w:r>
        <w:rPr>
          <w:rFonts w:hint="eastAsia" w:ascii="宋体" w:hAnsi="宋体"/>
          <w:color w:val="auto"/>
          <w:szCs w:val="21"/>
          <w:highlight w:val="none"/>
        </w:rPr>
        <w:t>江苏省扬州市邗江区文汇西路268号新辰大厦F7层</w:t>
      </w:r>
    </w:p>
    <w:p w14:paraId="7ED51517">
      <w:pPr>
        <w:pageBreakBefore w:val="0"/>
        <w:numPr>
          <w:ilvl w:val="0"/>
          <w:numId w:val="0"/>
        </w:numPr>
        <w:kinsoku/>
        <w:wordWrap/>
        <w:overflowPunct/>
        <w:topLinePunct w:val="0"/>
        <w:autoSpaceDE/>
        <w:autoSpaceDN/>
        <w:bidi w:val="0"/>
        <w:adjustRightInd/>
        <w:spacing w:line="360" w:lineRule="auto"/>
        <w:ind w:firstLine="420" w:firstLineChars="200"/>
        <w:textAlignment w:val="auto"/>
        <w:rPr>
          <w:rFonts w:hint="eastAsia" w:ascii="宋体" w:hAnsi="宋体" w:eastAsia="宋体"/>
          <w:color w:val="auto"/>
          <w:szCs w:val="21"/>
          <w:highlight w:val="none"/>
          <w:lang w:eastAsia="zh-CN"/>
        </w:rPr>
      </w:pPr>
      <w:bookmarkStart w:id="36" w:name="_Toc28359087"/>
      <w:bookmarkStart w:id="37" w:name="_Toc28359010"/>
      <w:r>
        <w:rPr>
          <w:rFonts w:hint="eastAsia" w:ascii="宋体" w:hAnsi="宋体"/>
          <w:color w:val="auto"/>
          <w:szCs w:val="21"/>
          <w:highlight w:val="none"/>
        </w:rPr>
        <w:t>项目联系人：</w:t>
      </w:r>
      <w:r>
        <w:rPr>
          <w:rFonts w:hint="eastAsia" w:ascii="宋体" w:hAnsi="宋体"/>
          <w:color w:val="auto"/>
          <w:szCs w:val="21"/>
          <w:highlight w:val="none"/>
          <w:lang w:val="en-US" w:eastAsia="zh-CN"/>
        </w:rPr>
        <w:t>刘庆</w:t>
      </w:r>
    </w:p>
    <w:p w14:paraId="710CA4F7">
      <w:pPr>
        <w:pageBreakBefore w:val="0"/>
        <w:kinsoku/>
        <w:wordWrap/>
        <w:overflowPunct/>
        <w:topLinePunct w:val="0"/>
        <w:autoSpaceDE/>
        <w:autoSpaceDN/>
        <w:bidi w:val="0"/>
        <w:adjustRightInd/>
        <w:spacing w:line="360" w:lineRule="auto"/>
        <w:ind w:firstLine="420"/>
        <w:textAlignment w:val="auto"/>
        <w:rPr>
          <w:rFonts w:hint="default" w:ascii="宋体" w:hAnsi="宋体" w:eastAsia="宋体" w:cs="宋体"/>
          <w:b/>
          <w:bCs/>
          <w:color w:val="auto"/>
          <w:highlight w:val="none"/>
          <w:lang w:val="en-US" w:eastAsia="zh-CN"/>
        </w:rPr>
      </w:pPr>
      <w:r>
        <w:rPr>
          <w:rFonts w:hint="eastAsia" w:ascii="宋体" w:hAnsi="宋体"/>
          <w:color w:val="auto"/>
          <w:szCs w:val="21"/>
          <w:highlight w:val="none"/>
        </w:rPr>
        <w:t>联系方式：</w:t>
      </w:r>
      <w:r>
        <w:rPr>
          <w:rFonts w:hint="eastAsia" w:ascii="宋体" w:hAnsi="宋体"/>
          <w:color w:val="auto"/>
          <w:szCs w:val="21"/>
          <w:highlight w:val="none"/>
          <w:lang w:val="en-US" w:eastAsia="zh-CN"/>
        </w:rPr>
        <w:t>18616611978</w:t>
      </w:r>
    </w:p>
    <w:bookmarkEnd w:id="36"/>
    <w:bookmarkEnd w:id="37"/>
    <w:p w14:paraId="4CF94C1E">
      <w:pPr>
        <w:pStyle w:val="192"/>
        <w:pageBreakBefore w:val="0"/>
        <w:kinsoku/>
        <w:wordWrap/>
        <w:overflowPunct/>
        <w:topLinePunct w:val="0"/>
        <w:autoSpaceDE/>
        <w:autoSpaceDN/>
        <w:bidi w:val="0"/>
        <w:adjustRightInd/>
        <w:spacing w:line="360" w:lineRule="auto"/>
        <w:jc w:val="center"/>
        <w:textAlignment w:val="auto"/>
        <w:rPr>
          <w:rFonts w:hint="eastAsia" w:ascii="宋体" w:hAnsi="宋体"/>
          <w:b w:val="0"/>
          <w:color w:val="auto"/>
          <w:szCs w:val="21"/>
          <w:highlight w:val="none"/>
        </w:rPr>
      </w:pPr>
      <w:r>
        <w:rPr>
          <w:rFonts w:hint="eastAsia" w:ascii="宋体" w:hAnsi="宋体"/>
          <w:color w:val="auto"/>
          <w:szCs w:val="36"/>
          <w:highlight w:val="none"/>
        </w:rPr>
        <w:br w:type="page" w:clear="all"/>
      </w:r>
      <w:r>
        <w:rPr>
          <w:rFonts w:hint="eastAsia" w:ascii="宋体" w:hAnsi="宋体"/>
          <w:color w:val="auto"/>
          <w:szCs w:val="36"/>
          <w:highlight w:val="none"/>
        </w:rPr>
        <w:t>第二章 投标人须知</w:t>
      </w:r>
    </w:p>
    <w:p w14:paraId="67400A3B">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r>
        <w:rPr>
          <w:rFonts w:hint="eastAsia" w:ascii="宋体" w:hAnsi="宋体"/>
          <w:b/>
          <w:color w:val="auto"/>
          <w:szCs w:val="21"/>
          <w:highlight w:val="none"/>
        </w:rPr>
        <w:t>1、招标方式</w:t>
      </w:r>
    </w:p>
    <w:p w14:paraId="4B46E3BC">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1.1 本次招标采取公开招标方式，本招标文件仅适用于</w:t>
      </w:r>
      <w:r>
        <w:rPr>
          <w:rFonts w:hint="eastAsia" w:ascii="宋体" w:hAnsi="宋体"/>
          <w:bCs/>
          <w:color w:val="auto"/>
          <w:szCs w:val="21"/>
          <w:highlight w:val="none"/>
          <w:lang w:eastAsia="zh-CN"/>
        </w:rPr>
        <w:t>JSZC-321092-JJJC-G2024-0033</w:t>
      </w:r>
      <w:r>
        <w:rPr>
          <w:rFonts w:hint="eastAsia" w:ascii="宋体" w:hAnsi="宋体"/>
          <w:bCs/>
          <w:color w:val="auto"/>
          <w:szCs w:val="21"/>
          <w:highlight w:val="none"/>
        </w:rPr>
        <w:t>项目。</w:t>
      </w:r>
    </w:p>
    <w:p w14:paraId="7CA099D2">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r>
        <w:rPr>
          <w:rFonts w:hint="eastAsia" w:ascii="宋体" w:hAnsi="宋体"/>
          <w:b/>
          <w:color w:val="auto"/>
          <w:szCs w:val="21"/>
          <w:highlight w:val="none"/>
        </w:rPr>
        <w:t>2、投标人</w:t>
      </w:r>
    </w:p>
    <w:p w14:paraId="19D7F125">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2.1 本招标文件中“供应商”，即“投标人”，是指参加投标竞争，并符合招标文件规定资格条件的法人、其他组织或者自然人。</w:t>
      </w:r>
    </w:p>
    <w:p w14:paraId="5C02CC27">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2.2合格的投标人</w:t>
      </w:r>
    </w:p>
    <w:p w14:paraId="4B67FC60">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2.2.1 满足招标公告中供应商的资格条件要求的规定。</w:t>
      </w:r>
    </w:p>
    <w:p w14:paraId="7BF33535">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2.2.2 满足本文件实质性条款的规定。</w:t>
      </w:r>
    </w:p>
    <w:p w14:paraId="7D8A2CBE">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r>
        <w:rPr>
          <w:rFonts w:hint="eastAsia" w:ascii="宋体" w:hAnsi="宋体"/>
          <w:b/>
          <w:color w:val="auto"/>
          <w:szCs w:val="21"/>
          <w:highlight w:val="none"/>
        </w:rPr>
        <w:t>3、适用法律</w:t>
      </w:r>
    </w:p>
    <w:p w14:paraId="60973905">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3.1 本次招标及由此产生的合同受中华人民共和国有关的法律法规制约和保护。</w:t>
      </w:r>
    </w:p>
    <w:p w14:paraId="1BC33E96">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r>
        <w:rPr>
          <w:rFonts w:hint="eastAsia" w:ascii="宋体" w:hAnsi="宋体"/>
          <w:b/>
          <w:color w:val="auto"/>
          <w:szCs w:val="21"/>
          <w:highlight w:val="none"/>
        </w:rPr>
        <w:t>4、投标费用</w:t>
      </w:r>
    </w:p>
    <w:p w14:paraId="4EDD5A03">
      <w:pPr>
        <w:pageBreakBefore w:val="0"/>
        <w:kinsoku/>
        <w:wordWrap/>
        <w:overflowPunct/>
        <w:topLinePunct w:val="0"/>
        <w:autoSpaceDE/>
        <w:autoSpaceDN/>
        <w:bidi w:val="0"/>
        <w:adjustRightInd/>
        <w:spacing w:line="360" w:lineRule="auto"/>
        <w:ind w:firstLine="420"/>
        <w:textAlignment w:val="auto"/>
        <w:rPr>
          <w:rFonts w:hint="eastAsia" w:ascii="宋体" w:hAnsi="宋体"/>
          <w:bCs/>
          <w:color w:val="auto"/>
          <w:szCs w:val="21"/>
          <w:highlight w:val="none"/>
        </w:rPr>
      </w:pPr>
      <w:r>
        <w:rPr>
          <w:rFonts w:hint="eastAsia" w:ascii="宋体" w:hAnsi="宋体"/>
          <w:bCs/>
          <w:color w:val="auto"/>
          <w:szCs w:val="21"/>
          <w:highlight w:val="none"/>
        </w:rPr>
        <w:t xml:space="preserve">4.1 投标人应自行承担所有与参加投标有关的费用，无论投标过程中的做法和结果如 何，代理机构在任何情况下均无义务和责任承担这些费用。 </w:t>
      </w:r>
    </w:p>
    <w:p w14:paraId="3108BB96">
      <w:pPr>
        <w:pageBreakBefore w:val="0"/>
        <w:kinsoku/>
        <w:wordWrap/>
        <w:overflowPunct/>
        <w:topLinePunct w:val="0"/>
        <w:autoSpaceDE/>
        <w:autoSpaceDN/>
        <w:bidi w:val="0"/>
        <w:adjustRightInd/>
        <w:spacing w:line="360" w:lineRule="auto"/>
        <w:ind w:firstLine="420"/>
        <w:textAlignment w:val="auto"/>
        <w:rPr>
          <w:rFonts w:hint="eastAsia" w:ascii="宋体" w:hAnsi="宋体"/>
          <w:bCs/>
          <w:color w:val="auto"/>
          <w:szCs w:val="21"/>
          <w:highlight w:val="none"/>
        </w:rPr>
      </w:pPr>
      <w:r>
        <w:rPr>
          <w:rFonts w:hint="eastAsia" w:ascii="宋体" w:hAnsi="宋体"/>
          <w:bCs/>
          <w:color w:val="auto"/>
          <w:szCs w:val="21"/>
          <w:highlight w:val="none"/>
        </w:rPr>
        <w:t>4.2本次采购由各中标人在领取中标通知书前按照国家计委印发的《招标代理服务收费管理暂行办法》(发改价格[2011]534号)服务类标准70%一次性支付给招标代理机构代理服务费。</w:t>
      </w:r>
    </w:p>
    <w:p w14:paraId="6D966575">
      <w:pPr>
        <w:pageBreakBefore w:val="0"/>
        <w:kinsoku/>
        <w:wordWrap/>
        <w:overflowPunct/>
        <w:topLinePunct w:val="0"/>
        <w:autoSpaceDE/>
        <w:autoSpaceDN/>
        <w:bidi w:val="0"/>
        <w:adjustRightInd/>
        <w:spacing w:line="360" w:lineRule="auto"/>
        <w:ind w:firstLine="420"/>
        <w:textAlignment w:val="auto"/>
        <w:rPr>
          <w:rFonts w:hint="eastAsia" w:ascii="宋体" w:hAnsi="宋体"/>
          <w:bCs/>
          <w:color w:val="auto"/>
          <w:szCs w:val="21"/>
          <w:highlight w:val="none"/>
        </w:rPr>
      </w:pPr>
      <w:r>
        <w:rPr>
          <w:rFonts w:hint="eastAsia" w:ascii="宋体" w:hAnsi="宋体"/>
          <w:bCs/>
          <w:color w:val="auto"/>
          <w:szCs w:val="21"/>
          <w:highlight w:val="none"/>
        </w:rPr>
        <w:t>（1）代理服务费以人民币支付；</w:t>
      </w:r>
    </w:p>
    <w:p w14:paraId="308F0DB5">
      <w:pPr>
        <w:pageBreakBefore w:val="0"/>
        <w:kinsoku/>
        <w:wordWrap/>
        <w:overflowPunct/>
        <w:topLinePunct w:val="0"/>
        <w:autoSpaceDE/>
        <w:autoSpaceDN/>
        <w:bidi w:val="0"/>
        <w:adjustRightInd/>
        <w:spacing w:line="360" w:lineRule="auto"/>
        <w:ind w:firstLine="420"/>
        <w:textAlignment w:val="auto"/>
        <w:rPr>
          <w:rFonts w:hint="eastAsia" w:ascii="宋体" w:hAnsi="宋体"/>
          <w:bCs/>
          <w:color w:val="auto"/>
          <w:szCs w:val="21"/>
          <w:highlight w:val="none"/>
        </w:rPr>
      </w:pPr>
      <w:r>
        <w:rPr>
          <w:rFonts w:hint="eastAsia" w:ascii="宋体" w:hAnsi="宋体"/>
          <w:bCs/>
          <w:color w:val="auto"/>
          <w:szCs w:val="21"/>
          <w:highlight w:val="none"/>
        </w:rPr>
        <w:t>（2）代理服务费一次性以电汇或转账等非现金形式支付。</w:t>
      </w:r>
    </w:p>
    <w:p w14:paraId="78F6FBFE">
      <w:pPr>
        <w:pageBreakBefore w:val="0"/>
        <w:kinsoku/>
        <w:wordWrap/>
        <w:overflowPunct/>
        <w:topLinePunct w:val="0"/>
        <w:autoSpaceDE/>
        <w:autoSpaceDN/>
        <w:bidi w:val="0"/>
        <w:adjustRightInd/>
        <w:spacing w:line="360" w:lineRule="auto"/>
        <w:ind w:firstLine="420"/>
        <w:textAlignment w:val="auto"/>
        <w:rPr>
          <w:rFonts w:hint="eastAsia" w:ascii="宋体" w:hAnsi="宋体"/>
          <w:bCs/>
          <w:color w:val="auto"/>
          <w:szCs w:val="21"/>
          <w:highlight w:val="none"/>
        </w:rPr>
      </w:pPr>
      <w:r>
        <w:rPr>
          <w:rFonts w:hint="eastAsia" w:ascii="宋体" w:hAnsi="宋体"/>
          <w:bCs/>
          <w:color w:val="auto"/>
          <w:szCs w:val="21"/>
          <w:highlight w:val="none"/>
        </w:rPr>
        <w:t>（3）代理服务费不在报价中单列，由中标人支付给代理机构。</w:t>
      </w:r>
    </w:p>
    <w:p w14:paraId="4FFAF8EE">
      <w:pPr>
        <w:pageBreakBefore w:val="0"/>
        <w:kinsoku/>
        <w:wordWrap/>
        <w:overflowPunct/>
        <w:topLinePunct w:val="0"/>
        <w:autoSpaceDE/>
        <w:autoSpaceDN/>
        <w:bidi w:val="0"/>
        <w:adjustRightInd/>
        <w:spacing w:line="360" w:lineRule="auto"/>
        <w:ind w:firstLine="420"/>
        <w:textAlignment w:val="auto"/>
        <w:rPr>
          <w:rFonts w:hint="eastAsia" w:ascii="宋体" w:hAnsi="宋体"/>
          <w:bCs/>
          <w:color w:val="auto"/>
          <w:szCs w:val="21"/>
          <w:highlight w:val="none"/>
        </w:rPr>
      </w:pPr>
      <w:r>
        <w:rPr>
          <w:rFonts w:hint="eastAsia" w:ascii="宋体" w:hAnsi="宋体"/>
          <w:bCs/>
          <w:color w:val="auto"/>
          <w:szCs w:val="21"/>
          <w:highlight w:val="none"/>
        </w:rPr>
        <w:t>4.3专家评审费按《扬州市财政局关于进一步规范扬州市政府采购专家评审费标准的通知》（扬财购〔2020〕40号）执行。</w:t>
      </w:r>
    </w:p>
    <w:p w14:paraId="18A3EF3F">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r>
        <w:rPr>
          <w:rFonts w:hint="eastAsia" w:ascii="宋体" w:hAnsi="宋体"/>
          <w:b/>
          <w:color w:val="auto"/>
          <w:szCs w:val="21"/>
          <w:highlight w:val="none"/>
        </w:rPr>
        <w:t>5、招标文件的约束力</w:t>
      </w:r>
    </w:p>
    <w:p w14:paraId="24A60072">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5.1 投标人一旦参加本项目采购活动，即被认为接受了本招标文件的规定和约束。</w:t>
      </w:r>
    </w:p>
    <w:p w14:paraId="1C09252C">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r>
        <w:rPr>
          <w:rFonts w:hint="eastAsia" w:ascii="宋体" w:hAnsi="宋体"/>
          <w:b/>
          <w:color w:val="auto"/>
          <w:szCs w:val="21"/>
          <w:highlight w:val="none"/>
        </w:rPr>
        <w:t>6、招标文件构成</w:t>
      </w:r>
    </w:p>
    <w:p w14:paraId="1E39038A">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6.1 招标文件有以下部分组成：</w:t>
      </w:r>
    </w:p>
    <w:p w14:paraId="2C69F52B">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（1）招标公告</w:t>
      </w:r>
    </w:p>
    <w:p w14:paraId="1CD01A13">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（2）投标人须知</w:t>
      </w:r>
      <w:r>
        <w:rPr>
          <w:rFonts w:hint="eastAsia" w:ascii="宋体" w:hAnsi="宋体"/>
          <w:bCs/>
          <w:color w:val="auto"/>
          <w:szCs w:val="21"/>
          <w:highlight w:val="none"/>
        </w:rPr>
        <w:tab/>
      </w:r>
    </w:p>
    <w:p w14:paraId="363CFFEB">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（3）合同条款及格式</w:t>
      </w:r>
    </w:p>
    <w:p w14:paraId="2A5E04F6">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（4）项目需求</w:t>
      </w:r>
    </w:p>
    <w:p w14:paraId="3184788E">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（5）评标方法与评标标准</w:t>
      </w:r>
    </w:p>
    <w:p w14:paraId="337350D4">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（6）投标文件格式</w:t>
      </w:r>
    </w:p>
    <w:p w14:paraId="2B89EAB5">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请仔细检查招标文件是否齐全，如有缺漏请立即与代理机构联系解决。</w:t>
      </w:r>
    </w:p>
    <w:p w14:paraId="2D430D5B">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6.2 招标的最小单位是包。招标服务数量及技术要求中未分包的，供应商对要求提供的服务不得部分投标；招标服务数量及技术要求中已经分包的，应当以包为单位投标。</w:t>
      </w:r>
    </w:p>
    <w:p w14:paraId="6F7DAAB8">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6.3 招标文件如果要求供应商提交备选投标方案的，供应商可以提交备选方案；否则，备选方案将被拒绝。</w:t>
      </w:r>
    </w:p>
    <w:p w14:paraId="4CDBB470">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579C9D6E">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r>
        <w:rPr>
          <w:rFonts w:hint="eastAsia" w:ascii="宋体" w:hAnsi="宋体"/>
          <w:b/>
          <w:color w:val="auto"/>
          <w:szCs w:val="21"/>
          <w:highlight w:val="none"/>
        </w:rPr>
        <w:t>7、招标文件的澄清</w:t>
      </w:r>
    </w:p>
    <w:p w14:paraId="7480C56C">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7.1 任何要求对招标文件进行澄清的投标人，应在投标截止日期的十日前按招标公告中的通讯地址，以书面形式通知代理机构。</w:t>
      </w:r>
    </w:p>
    <w:p w14:paraId="67F09B42">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r>
        <w:rPr>
          <w:rFonts w:hint="eastAsia" w:ascii="宋体" w:hAnsi="宋体"/>
          <w:b/>
          <w:color w:val="auto"/>
          <w:szCs w:val="21"/>
          <w:highlight w:val="none"/>
        </w:rPr>
        <w:t>8、招标文件的修改</w:t>
      </w:r>
    </w:p>
    <w:p w14:paraId="21D37CDC">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8.1 在投标截止时间前，代理机构可以对招标文件进行修改。</w:t>
      </w:r>
    </w:p>
    <w:p w14:paraId="206E7909">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8.2代理机构在招标文件要求提交投标文件截止时间前，有权按照法定要求推迟投标截止时间和开标时间。</w:t>
      </w:r>
    </w:p>
    <w:p w14:paraId="796058E5">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8.3招标文件的修改将在</w:t>
      </w:r>
      <w:r>
        <w:rPr>
          <w:rFonts w:hint="eastAsia" w:ascii="宋体" w:hAnsi="宋体"/>
          <w:bCs/>
          <w:color w:val="auto"/>
          <w:szCs w:val="21"/>
          <w:highlight w:val="none"/>
          <w:lang w:eastAsia="zh-CN"/>
        </w:rPr>
        <w:t>“扬州市政府采购网”、“江苏省政府采购网”、“中国政府采购网”</w:t>
      </w:r>
      <w:r>
        <w:rPr>
          <w:rFonts w:hint="eastAsia" w:ascii="宋体" w:hAnsi="宋体"/>
          <w:bCs/>
          <w:color w:val="auto"/>
          <w:szCs w:val="21"/>
          <w:highlight w:val="none"/>
        </w:rPr>
        <w:t>公布，补充文件将作为招标文件的组成部分，并对投标人具有约束力。</w:t>
      </w:r>
    </w:p>
    <w:p w14:paraId="134EBD22">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r>
        <w:rPr>
          <w:rFonts w:hint="eastAsia" w:ascii="宋体" w:hAnsi="宋体"/>
          <w:b/>
          <w:color w:val="auto"/>
          <w:szCs w:val="21"/>
          <w:highlight w:val="none"/>
        </w:rPr>
        <w:t>9、投标文件的语言、度量衡单位、货币</w:t>
      </w:r>
    </w:p>
    <w:p w14:paraId="3EA0CA88">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9.1投标人提交的投标文件以及投标人与代理机构就有关投标的所有来往通知、函件和文件均应使用简体中文。</w:t>
      </w:r>
    </w:p>
    <w:p w14:paraId="4D6EF0DC">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9.2 除技术性能另有规定外，投标文件所使用的度量衡单位，均须采用国家法定计量单位。</w:t>
      </w:r>
    </w:p>
    <w:p w14:paraId="23C2C003">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9.3投标人应使用人民币报价。</w:t>
      </w:r>
    </w:p>
    <w:p w14:paraId="76D44B86">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r>
        <w:rPr>
          <w:rFonts w:hint="eastAsia" w:ascii="宋体" w:hAnsi="宋体"/>
          <w:b/>
          <w:color w:val="auto"/>
          <w:szCs w:val="21"/>
          <w:highlight w:val="none"/>
        </w:rPr>
        <w:t>10、投标文件构成</w:t>
      </w:r>
    </w:p>
    <w:p w14:paraId="5886E3F9">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10.1投标文件由以下部分组成</w:t>
      </w:r>
    </w:p>
    <w:p w14:paraId="52D8CE4D">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（1）资格审查响应对照表</w:t>
      </w:r>
    </w:p>
    <w:p w14:paraId="66691D59">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（2）符合性审查响应对照表</w:t>
      </w:r>
    </w:p>
    <w:p w14:paraId="3033039A">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（3）非实质性响应对照表</w:t>
      </w:r>
    </w:p>
    <w:p w14:paraId="458B2DC1">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 xml:space="preserve">（4）开标一览表 </w:t>
      </w:r>
    </w:p>
    <w:p w14:paraId="768C8BCF">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 xml:space="preserve">（5）分项报价表 </w:t>
      </w:r>
    </w:p>
    <w:p w14:paraId="3FD23CD0">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 xml:space="preserve">（6）技术参数响应及偏离表 </w:t>
      </w:r>
    </w:p>
    <w:p w14:paraId="2FAC8B6D">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 xml:space="preserve">（7）商务条款响应及偏离表 </w:t>
      </w:r>
    </w:p>
    <w:p w14:paraId="0F58B9AC">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（8）其他 （投标人认为有必要提供的声明和文件，如有自拟并自行添加）</w:t>
      </w:r>
    </w:p>
    <w:p w14:paraId="5EB94BB4">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10.2投标人应当根据招标文件要求编制投标文件，投标文件应对招标文件提出的要求和条件作出响应，并在相应的投标文件中逐条标明满足与否。</w:t>
      </w:r>
    </w:p>
    <w:p w14:paraId="4E11718B">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r>
        <w:rPr>
          <w:rFonts w:hint="eastAsia" w:ascii="宋体" w:hAnsi="宋体"/>
          <w:b/>
          <w:color w:val="auto"/>
          <w:szCs w:val="21"/>
          <w:highlight w:val="none"/>
        </w:rPr>
        <w:t>11、证明投标人资格及符合招标文件规定的文件</w:t>
      </w:r>
    </w:p>
    <w:p w14:paraId="075C8251">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11.1投标人应按要求提交资格证明文件及符合招标文件规定的文件。</w:t>
      </w:r>
    </w:p>
    <w:p w14:paraId="15044C5B">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11.2投标人应提交证明其有资格参加投标和中标后有能力独立履行合同的文件。</w:t>
      </w:r>
    </w:p>
    <w:p w14:paraId="461C4306">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11.3投标人除必须具有履行合同所需提供的产品或服务的能力外，还必须具备相应的财务、技术方面的能力。</w:t>
      </w:r>
    </w:p>
    <w:p w14:paraId="73EFA825">
      <w:pPr>
        <w:pageBreakBefore w:val="0"/>
        <w:kinsoku/>
        <w:wordWrap/>
        <w:overflowPunct/>
        <w:topLinePunct w:val="0"/>
        <w:autoSpaceDE/>
        <w:autoSpaceDN/>
        <w:bidi w:val="0"/>
        <w:adjustRightInd/>
        <w:spacing w:line="360" w:lineRule="auto"/>
        <w:textAlignment w:val="auto"/>
        <w:rPr>
          <w:rFonts w:ascii="宋体" w:hAnsi="宋体"/>
          <w:bCs/>
          <w:color w:val="auto"/>
          <w:szCs w:val="21"/>
          <w:highlight w:val="none"/>
        </w:rPr>
      </w:pPr>
      <w:r>
        <w:rPr>
          <w:rFonts w:hint="eastAsia" w:ascii="宋体" w:hAnsi="宋体"/>
          <w:bCs/>
          <w:color w:val="auto"/>
          <w:szCs w:val="21"/>
          <w:highlight w:val="none"/>
        </w:rPr>
        <w:t xml:space="preserve">    11.4投标人应提交根据合同要求提供的证明服务质量合格以及符合招标文件规定的证明文件。</w:t>
      </w:r>
    </w:p>
    <w:p w14:paraId="5F5838E0">
      <w:pPr>
        <w:pageBreakBefore w:val="0"/>
        <w:kinsoku/>
        <w:wordWrap/>
        <w:overflowPunct/>
        <w:topLinePunct w:val="0"/>
        <w:autoSpaceDE/>
        <w:autoSpaceDN/>
        <w:bidi w:val="0"/>
        <w:adjustRightInd/>
        <w:spacing w:line="360" w:lineRule="auto"/>
        <w:textAlignment w:val="auto"/>
        <w:rPr>
          <w:rFonts w:ascii="宋体" w:hAnsi="宋体"/>
          <w:bCs/>
          <w:color w:val="auto"/>
          <w:szCs w:val="21"/>
          <w:highlight w:val="none"/>
        </w:rPr>
      </w:pPr>
      <w:r>
        <w:rPr>
          <w:rFonts w:hint="eastAsia" w:ascii="宋体" w:hAnsi="宋体"/>
          <w:bCs/>
          <w:color w:val="auto"/>
          <w:szCs w:val="21"/>
          <w:highlight w:val="none"/>
        </w:rPr>
        <w:t xml:space="preserve">    11.5证明投标人所提供服务与招标文件的要求相一致的文件可以是手册、图纸、文字资料和数据。</w:t>
      </w:r>
    </w:p>
    <w:p w14:paraId="2F364C58">
      <w:pPr>
        <w:pageBreakBefore w:val="0"/>
        <w:kinsoku/>
        <w:wordWrap/>
        <w:overflowPunct/>
        <w:topLinePunct w:val="0"/>
        <w:autoSpaceDE/>
        <w:autoSpaceDN/>
        <w:bidi w:val="0"/>
        <w:adjustRightInd/>
        <w:spacing w:line="360" w:lineRule="auto"/>
        <w:ind w:left="420"/>
        <w:textAlignment w:val="auto"/>
        <w:rPr>
          <w:rFonts w:ascii="宋体" w:hAnsi="宋体"/>
          <w:b/>
          <w:color w:val="auto"/>
          <w:szCs w:val="21"/>
          <w:highlight w:val="none"/>
        </w:rPr>
      </w:pPr>
      <w:r>
        <w:rPr>
          <w:rFonts w:hint="eastAsia" w:ascii="宋体" w:hAnsi="宋体"/>
          <w:b/>
          <w:color w:val="auto"/>
          <w:szCs w:val="21"/>
          <w:highlight w:val="none"/>
        </w:rPr>
        <w:t>12、</w:t>
      </w:r>
      <w:r>
        <w:rPr>
          <w:rFonts w:hint="eastAsia"/>
          <w:b/>
          <w:bCs/>
          <w:color w:val="auto"/>
          <w:highlight w:val="none"/>
        </w:rPr>
        <w:t>分项报价表</w:t>
      </w:r>
    </w:p>
    <w:p w14:paraId="110576FC">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p>
    <w:p w14:paraId="6249BAEC">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12.2 标的物</w:t>
      </w:r>
    </w:p>
    <w:p w14:paraId="599AF9EE">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采购人需求的服务供应、安装，调试及有关技术服务等。</w:t>
      </w:r>
    </w:p>
    <w:p w14:paraId="41E5702E">
      <w:pPr>
        <w:pageBreakBefore w:val="0"/>
        <w:kinsoku/>
        <w:wordWrap/>
        <w:overflowPunct/>
        <w:topLinePunct w:val="0"/>
        <w:autoSpaceDE/>
        <w:autoSpaceDN/>
        <w:bidi w:val="0"/>
        <w:adjustRightInd/>
        <w:spacing w:line="360" w:lineRule="auto"/>
        <w:ind w:firstLine="420"/>
        <w:textAlignment w:val="auto"/>
        <w:rPr>
          <w:rFonts w:ascii="宋体" w:hAnsi="宋体"/>
          <w:color w:val="auto"/>
          <w:highlight w:val="none"/>
        </w:rPr>
      </w:pPr>
      <w:r>
        <w:rPr>
          <w:rFonts w:hint="eastAsia" w:ascii="宋体" w:hAnsi="宋体"/>
          <w:color w:val="auto"/>
          <w:highlight w:val="none"/>
        </w:rPr>
        <w:t>12.3其它费用处理</w:t>
      </w:r>
    </w:p>
    <w:p w14:paraId="42A70D46">
      <w:pPr>
        <w:pageBreakBefore w:val="0"/>
        <w:kinsoku/>
        <w:wordWrap/>
        <w:overflowPunct/>
        <w:topLinePunct w:val="0"/>
        <w:autoSpaceDE/>
        <w:autoSpaceDN/>
        <w:bidi w:val="0"/>
        <w:adjustRightInd/>
        <w:spacing w:line="360" w:lineRule="auto"/>
        <w:ind w:firstLine="420"/>
        <w:textAlignment w:val="auto"/>
        <w:rPr>
          <w:rFonts w:ascii="宋体" w:hAnsi="宋体"/>
          <w:color w:val="auto"/>
          <w:highlight w:val="none"/>
        </w:rPr>
      </w:pPr>
      <w:r>
        <w:rPr>
          <w:rFonts w:hint="eastAsia" w:ascii="宋体" w:hAnsi="宋体"/>
          <w:color w:val="auto"/>
          <w:highlight w:val="none"/>
        </w:rPr>
        <w:t>招标文件未列明，而投标人认为必需的费用也需列入报价。</w:t>
      </w:r>
    </w:p>
    <w:p w14:paraId="418791AE">
      <w:pPr>
        <w:pageBreakBefore w:val="0"/>
        <w:kinsoku/>
        <w:wordWrap/>
        <w:overflowPunct/>
        <w:topLinePunct w:val="0"/>
        <w:autoSpaceDE/>
        <w:autoSpaceDN/>
        <w:bidi w:val="0"/>
        <w:adjustRightInd/>
        <w:spacing w:line="360" w:lineRule="auto"/>
        <w:ind w:firstLine="420"/>
        <w:textAlignment w:val="auto"/>
        <w:rPr>
          <w:rFonts w:ascii="宋体" w:hAnsi="宋体"/>
          <w:color w:val="auto"/>
          <w:highlight w:val="none"/>
        </w:rPr>
      </w:pPr>
      <w:r>
        <w:rPr>
          <w:rFonts w:hint="eastAsia" w:ascii="宋体" w:hAnsi="宋体"/>
          <w:color w:val="auto"/>
          <w:highlight w:val="none"/>
        </w:rPr>
        <w:t>12.4投标货币</w:t>
      </w:r>
    </w:p>
    <w:p w14:paraId="5CB15136">
      <w:pPr>
        <w:pageBreakBefore w:val="0"/>
        <w:kinsoku/>
        <w:wordWrap/>
        <w:overflowPunct/>
        <w:topLinePunct w:val="0"/>
        <w:autoSpaceDE/>
        <w:autoSpaceDN/>
        <w:bidi w:val="0"/>
        <w:adjustRightInd/>
        <w:spacing w:line="360" w:lineRule="auto"/>
        <w:ind w:firstLine="420"/>
        <w:textAlignment w:val="auto"/>
        <w:rPr>
          <w:rFonts w:ascii="宋体" w:hAnsi="宋体"/>
          <w:color w:val="auto"/>
          <w:highlight w:val="none"/>
        </w:rPr>
      </w:pPr>
      <w:r>
        <w:rPr>
          <w:rFonts w:hint="eastAsia" w:ascii="宋体" w:hAnsi="宋体"/>
          <w:color w:val="auto"/>
          <w:highlight w:val="none"/>
        </w:rPr>
        <w:t>投标文件中的服务单价和总价无特殊规定的采用人民币报价，以元为单位标注。招标文件中另有规定的按规定执行。</w:t>
      </w:r>
    </w:p>
    <w:p w14:paraId="1D9B6420">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r>
        <w:rPr>
          <w:rFonts w:hint="eastAsia" w:ascii="宋体" w:hAnsi="宋体"/>
          <w:b/>
          <w:color w:val="auto"/>
          <w:szCs w:val="21"/>
          <w:highlight w:val="none"/>
        </w:rPr>
        <w:t>13、技术参数响应及偏离表、商务条款响应及偏离表及投标货物说明</w:t>
      </w:r>
    </w:p>
    <w:p w14:paraId="0BD39101">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13.1 对招标文件中的技术与商务条款要求逐项作出响应或偏离，并说明原因；</w:t>
      </w:r>
    </w:p>
    <w:p w14:paraId="230F3CC4">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13.2 提供参加本项目类似案例简介；</w:t>
      </w:r>
    </w:p>
    <w:p w14:paraId="7E7BB730">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13.3 培训计划；</w:t>
      </w:r>
    </w:p>
    <w:p w14:paraId="1E268019">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13.4 投标人认为需要的其他技术文件或说明。</w:t>
      </w:r>
    </w:p>
    <w:p w14:paraId="35360A9F">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r>
        <w:rPr>
          <w:rFonts w:hint="eastAsia" w:ascii="宋体" w:hAnsi="宋体"/>
          <w:b/>
          <w:color w:val="auto"/>
          <w:szCs w:val="21"/>
          <w:highlight w:val="none"/>
        </w:rPr>
        <w:t>14、服务承诺及售后服务机构、人员的情况介绍</w:t>
      </w:r>
    </w:p>
    <w:p w14:paraId="349DC069">
      <w:pPr>
        <w:pageBreakBefore w:val="0"/>
        <w:kinsoku/>
        <w:wordWrap/>
        <w:overflowPunct/>
        <w:topLinePunct w:val="0"/>
        <w:autoSpaceDE/>
        <w:autoSpaceDN/>
        <w:bidi w:val="0"/>
        <w:adjustRightInd/>
        <w:spacing w:line="360" w:lineRule="auto"/>
        <w:textAlignment w:val="auto"/>
        <w:rPr>
          <w:rFonts w:ascii="宋体" w:hAnsi="宋体"/>
          <w:bCs/>
          <w:color w:val="auto"/>
          <w:szCs w:val="21"/>
          <w:highlight w:val="none"/>
        </w:rPr>
      </w:pPr>
      <w:r>
        <w:rPr>
          <w:rFonts w:hint="eastAsia" w:ascii="宋体" w:hAnsi="宋体"/>
          <w:bCs/>
          <w:color w:val="auto"/>
          <w:szCs w:val="21"/>
          <w:highlight w:val="none"/>
        </w:rPr>
        <w:t xml:space="preserve">    14.1投标人的服务承诺应按不低于招标文件中商务要求的标准。</w:t>
      </w:r>
    </w:p>
    <w:p w14:paraId="5EC2FA4D">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14.2提供投标人有关售后服务的管理制度、售后服务机构的分布情况、售后服务人员的数量、素质、技术水平及售后服务的反应能力。</w:t>
      </w:r>
    </w:p>
    <w:p w14:paraId="685D47EB">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r>
        <w:rPr>
          <w:rFonts w:hint="eastAsia" w:ascii="宋体" w:hAnsi="宋体"/>
          <w:b/>
          <w:color w:val="auto"/>
          <w:szCs w:val="21"/>
          <w:highlight w:val="none"/>
        </w:rPr>
        <w:t>15、投标函和开标一览表</w:t>
      </w:r>
    </w:p>
    <w:p w14:paraId="40AABDD2">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15.1 投标人应按照招标文件中提供的格式完整、正确填写投标函、开标一览表。</w:t>
      </w:r>
    </w:p>
    <w:p w14:paraId="3BA3C729">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15.2 开标一览表中的价格应与投标文件中分项报价表中的价格一致，如不一致，不作为无效投标处理，但评标时按开标一览表中价格为准。</w:t>
      </w:r>
    </w:p>
    <w:p w14:paraId="2B99567C">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r>
        <w:rPr>
          <w:rFonts w:hint="eastAsia" w:ascii="宋体" w:hAnsi="宋体"/>
          <w:b/>
          <w:color w:val="auto"/>
          <w:szCs w:val="21"/>
          <w:highlight w:val="none"/>
        </w:rPr>
        <w:t>16、投标有效期</w:t>
      </w:r>
    </w:p>
    <w:p w14:paraId="1C8BBEDF">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16.1 投标有效期为开标之日起六十（60）天。投标有效期比规定短的将被视为非响应性投标而予以拒绝。</w:t>
      </w:r>
    </w:p>
    <w:p w14:paraId="1F446BDD">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p>
    <w:p w14:paraId="43E5B793">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bookmarkStart w:id="38" w:name="_Toc462564084"/>
      <w:bookmarkStart w:id="39" w:name="_Toc20823297"/>
      <w:bookmarkStart w:id="40" w:name="_Toc16938541"/>
      <w:bookmarkStart w:id="41" w:name="_Toc513029225"/>
      <w:r>
        <w:rPr>
          <w:rFonts w:hint="eastAsia" w:ascii="宋体" w:hAnsi="宋体"/>
          <w:b/>
          <w:color w:val="auto"/>
          <w:szCs w:val="21"/>
          <w:highlight w:val="none"/>
        </w:rPr>
        <w:t>17、投标文件</w:t>
      </w:r>
      <w:bookmarkEnd w:id="38"/>
      <w:bookmarkEnd w:id="39"/>
      <w:bookmarkEnd w:id="40"/>
      <w:bookmarkEnd w:id="41"/>
      <w:r>
        <w:rPr>
          <w:rFonts w:hint="eastAsia" w:ascii="宋体" w:hAnsi="宋体"/>
          <w:b/>
          <w:color w:val="auto"/>
          <w:szCs w:val="21"/>
          <w:highlight w:val="none"/>
        </w:rPr>
        <w:t>的递交</w:t>
      </w:r>
    </w:p>
    <w:p w14:paraId="4CF4CB4C">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17.1 电子投标文件的递交投标人应当按照《操作手册》规定，在投标截止时间前制作并上传电子投标文件。</w:t>
      </w:r>
      <w:bookmarkStart w:id="42" w:name="_Toc513029226"/>
      <w:bookmarkStart w:id="43" w:name="_Toc16938542"/>
      <w:bookmarkStart w:id="44" w:name="_Toc20823298"/>
    </w:p>
    <w:p w14:paraId="14E79A9F">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r>
        <w:rPr>
          <w:rFonts w:hint="eastAsia" w:ascii="宋体" w:hAnsi="宋体"/>
          <w:b/>
          <w:color w:val="auto"/>
          <w:szCs w:val="21"/>
          <w:highlight w:val="none"/>
        </w:rPr>
        <w:t>17.2</w:t>
      </w:r>
      <w:r>
        <w:rPr>
          <w:rFonts w:hint="eastAsia" w:ascii="宋体" w:hAnsi="宋体"/>
          <w:b/>
          <w:bCs/>
          <w:color w:val="auto"/>
          <w:szCs w:val="21"/>
          <w:highlight w:val="none"/>
        </w:rPr>
        <w:t>政府采购管理交易系统（苏采云）</w:t>
      </w:r>
      <w:r>
        <w:rPr>
          <w:rFonts w:hint="eastAsia" w:ascii="宋体" w:hAnsi="宋体"/>
          <w:b/>
          <w:color w:val="auto"/>
          <w:szCs w:val="21"/>
          <w:highlight w:val="none"/>
        </w:rPr>
        <w:t>相关要求是本招标文件的组成部分。</w:t>
      </w:r>
    </w:p>
    <w:p w14:paraId="55DEE2FF">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r>
        <w:rPr>
          <w:rFonts w:hint="eastAsia" w:ascii="宋体" w:hAnsi="宋体"/>
          <w:b/>
          <w:color w:val="auto"/>
          <w:szCs w:val="21"/>
          <w:highlight w:val="none"/>
        </w:rPr>
        <w:t>17.3投标人应对 CA 证书妥善保管，如被他人盗用投标，因此带来的结果均由投标人自行承担。</w:t>
      </w:r>
    </w:p>
    <w:p w14:paraId="23CC6342">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r>
        <w:rPr>
          <w:rFonts w:hint="eastAsia" w:ascii="宋体" w:hAnsi="宋体"/>
          <w:b/>
          <w:color w:val="auto"/>
          <w:szCs w:val="21"/>
          <w:highlight w:val="none"/>
        </w:rPr>
        <w:t>17.4投标人应当对招标文件提出的要求和条件作出实质性响应，并在电子投标系统逐条应答。</w:t>
      </w:r>
    </w:p>
    <w:p w14:paraId="6196F6E2">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r>
        <w:rPr>
          <w:rFonts w:hint="eastAsia" w:ascii="宋体" w:hAnsi="宋体"/>
          <w:b/>
          <w:color w:val="auto"/>
          <w:szCs w:val="21"/>
          <w:highlight w:val="none"/>
        </w:rPr>
        <w:t>17.5投标人应对要求提供的资格证明文件（如资质证书、资格证书）、技术资料（如白皮书、彩页、手册、检测报告等）扫描上传至投标系统。</w:t>
      </w:r>
    </w:p>
    <w:p w14:paraId="671B96AA">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r>
        <w:rPr>
          <w:rFonts w:hint="eastAsia" w:ascii="宋体" w:hAnsi="宋体"/>
          <w:b/>
          <w:color w:val="auto"/>
          <w:szCs w:val="21"/>
          <w:highlight w:val="none"/>
        </w:rPr>
        <w:t>17.6投标人应当在招标文件要求提交投标文件的截止时间前，将投标文件提交至“苏采云”系统，逾期提交的投标文件，“苏采云”系统将自动拒收。</w:t>
      </w:r>
    </w:p>
    <w:p w14:paraId="28F4534B">
      <w:pPr>
        <w:pageBreakBefore w:val="0"/>
        <w:kinsoku/>
        <w:wordWrap/>
        <w:overflowPunct/>
        <w:topLinePunct w:val="0"/>
        <w:autoSpaceDE/>
        <w:autoSpaceDN/>
        <w:bidi w:val="0"/>
        <w:adjustRightInd/>
        <w:spacing w:line="360" w:lineRule="auto"/>
        <w:ind w:firstLine="422"/>
        <w:textAlignment w:val="auto"/>
        <w:rPr>
          <w:color w:val="auto"/>
          <w:highlight w:val="none"/>
        </w:rPr>
      </w:pPr>
      <w:r>
        <w:rPr>
          <w:rFonts w:hint="eastAsia" w:ascii="宋体" w:hAnsi="宋体"/>
          <w:b/>
          <w:color w:val="auto"/>
          <w:szCs w:val="21"/>
          <w:highlight w:val="none"/>
        </w:rPr>
        <w:t>17.7各投标人应在规定时间内凭CA证书进行网上解密。</w:t>
      </w:r>
    </w:p>
    <w:p w14:paraId="4D932FAF">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r>
        <w:rPr>
          <w:rFonts w:hint="eastAsia" w:ascii="宋体" w:hAnsi="宋体"/>
          <w:b/>
          <w:color w:val="auto"/>
          <w:szCs w:val="21"/>
          <w:highlight w:val="none"/>
        </w:rPr>
        <w:t>18、投标截止日期</w:t>
      </w:r>
      <w:bookmarkEnd w:id="42"/>
      <w:bookmarkEnd w:id="43"/>
      <w:bookmarkEnd w:id="44"/>
    </w:p>
    <w:p w14:paraId="2B8A4659">
      <w:pPr>
        <w:pageBreakBefore w:val="0"/>
        <w:kinsoku/>
        <w:wordWrap/>
        <w:overflowPunct/>
        <w:topLinePunct w:val="0"/>
        <w:autoSpaceDE/>
        <w:autoSpaceDN/>
        <w:bidi w:val="0"/>
        <w:adjustRightInd/>
        <w:spacing w:line="360" w:lineRule="auto"/>
        <w:ind w:firstLine="420"/>
        <w:textAlignment w:val="auto"/>
        <w:rPr>
          <w:rFonts w:ascii="宋体" w:hAnsi="宋体"/>
          <w:bCs/>
          <w:i/>
          <w:iCs/>
          <w:color w:val="auto"/>
          <w:szCs w:val="21"/>
          <w:highlight w:val="none"/>
          <w:u w:val="single"/>
        </w:rPr>
      </w:pPr>
      <w:r>
        <w:rPr>
          <w:rFonts w:hint="eastAsia" w:ascii="宋体" w:hAnsi="宋体"/>
          <w:bCs/>
          <w:i/>
          <w:iCs/>
          <w:color w:val="auto"/>
          <w:szCs w:val="21"/>
          <w:highlight w:val="none"/>
          <w:u w:val="single"/>
        </w:rPr>
        <w:t>18.1 投标人上传电子投标文件的时间不得迟于招标公告中规定的投标截止时间。</w:t>
      </w:r>
    </w:p>
    <w:p w14:paraId="55E20CC1">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投标人应充分考虑到网络环境、网络带宽等风险因素，如因投标人自身原因造成的电子投标文件上传不成功由投标人自行承担全部责任。</w:t>
      </w:r>
    </w:p>
    <w:p w14:paraId="32A56F41">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18.2 代理机构可以按照规定，通过修改招标文件延长投标截止日期，在此情况下，投标人的所有权利和义务以及投标人受制的截止日期均应以延长后新的截止日期为准。</w:t>
      </w:r>
    </w:p>
    <w:p w14:paraId="09D8DECC">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bookmarkStart w:id="45" w:name="_Toc513029227"/>
      <w:bookmarkStart w:id="46" w:name="_Toc20823299"/>
      <w:bookmarkStart w:id="47" w:name="_Toc16938543"/>
      <w:r>
        <w:rPr>
          <w:rFonts w:hint="eastAsia" w:ascii="宋体" w:hAnsi="宋体"/>
          <w:b/>
          <w:color w:val="auto"/>
          <w:szCs w:val="21"/>
          <w:highlight w:val="none"/>
        </w:rPr>
        <w:t>19、投标文件</w:t>
      </w:r>
      <w:bookmarkEnd w:id="45"/>
      <w:bookmarkEnd w:id="46"/>
      <w:bookmarkEnd w:id="47"/>
      <w:r>
        <w:rPr>
          <w:rFonts w:hint="eastAsia" w:ascii="宋体" w:hAnsi="宋体"/>
          <w:b/>
          <w:color w:val="auto"/>
          <w:szCs w:val="21"/>
          <w:highlight w:val="none"/>
        </w:rPr>
        <w:t>的拒收</w:t>
      </w:r>
    </w:p>
    <w:p w14:paraId="2CC8AFAF">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19.1代理机构拒绝接收在其规定的投标截止时间后上传的任何投标文件。</w:t>
      </w:r>
    </w:p>
    <w:p w14:paraId="45D35664">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bookmarkStart w:id="48" w:name="_Toc20823300"/>
      <w:bookmarkStart w:id="49" w:name="_Toc16938544"/>
      <w:bookmarkStart w:id="50" w:name="_Toc513029228"/>
      <w:r>
        <w:rPr>
          <w:rFonts w:hint="eastAsia" w:ascii="宋体" w:hAnsi="宋体"/>
          <w:b/>
          <w:color w:val="auto"/>
          <w:szCs w:val="21"/>
          <w:highlight w:val="none"/>
        </w:rPr>
        <w:t>20、投标文件的撤回和修改</w:t>
      </w:r>
      <w:bookmarkEnd w:id="48"/>
      <w:bookmarkEnd w:id="49"/>
      <w:bookmarkEnd w:id="50"/>
    </w:p>
    <w:p w14:paraId="54D6C7A3">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20.1 投标文件的撤回</w:t>
      </w:r>
    </w:p>
    <w:p w14:paraId="4DBAE0EE">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20.1.1 电子投标文件的撤回</w:t>
      </w:r>
    </w:p>
    <w:p w14:paraId="7A5C463E">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投标人可在投标截止时间前，撤回其电子投标文件，具体操作方法见《操作手册》。</w:t>
      </w:r>
    </w:p>
    <w:p w14:paraId="6D7D9522">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20.1.2 投标人撤回电子投标文件，则认为其不再参与本项目投标活动。</w:t>
      </w:r>
    </w:p>
    <w:p w14:paraId="1A2ABC00">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20.2 投标文件的修改</w:t>
      </w:r>
    </w:p>
    <w:p w14:paraId="247738A9">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投标人可在投标截止时间前，对其电子投标文件进行修改，具体操作方法见《操作手册》。</w:t>
      </w:r>
    </w:p>
    <w:p w14:paraId="310B39B9">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20.3 在投标截止时间之后，投标人不得对其电子投标文件作任何修改。</w:t>
      </w:r>
    </w:p>
    <w:p w14:paraId="7A108FC8">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20.4 在投标截止时间至招标文件中规定的投标有效期满之间的这段时间内，投标人不得撤回其投标。</w:t>
      </w:r>
    </w:p>
    <w:p w14:paraId="05FFC490">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r>
        <w:rPr>
          <w:rFonts w:hint="eastAsia" w:ascii="宋体" w:hAnsi="宋体"/>
          <w:b/>
          <w:color w:val="auto"/>
          <w:szCs w:val="21"/>
          <w:highlight w:val="none"/>
        </w:rPr>
        <w:t>21、开标</w:t>
      </w:r>
    </w:p>
    <w:p w14:paraId="7789F95F">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21.1 代理机构将在招标公告中规定的时间和地点组织公开开标。投标人应当按照《操作手册》规定，参加开标活动。投标人未参加开标的，视同认可开标结果。</w:t>
      </w:r>
    </w:p>
    <w:p w14:paraId="5CC8DF45">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21.2投标人不足3家的，不得开标。</w:t>
      </w:r>
    </w:p>
    <w:p w14:paraId="48902E76">
      <w:pPr>
        <w:pageBreakBefore w:val="0"/>
        <w:kinsoku/>
        <w:wordWrap/>
        <w:overflowPunct/>
        <w:topLinePunct w:val="0"/>
        <w:autoSpaceDE/>
        <w:autoSpaceDN/>
        <w:bidi w:val="0"/>
        <w:adjustRightInd/>
        <w:spacing w:line="360" w:lineRule="auto"/>
        <w:textAlignment w:val="auto"/>
        <w:rPr>
          <w:rFonts w:ascii="宋体" w:hAnsi="宋体"/>
          <w:bCs/>
          <w:color w:val="auto"/>
          <w:szCs w:val="21"/>
          <w:highlight w:val="none"/>
        </w:rPr>
      </w:pPr>
      <w:r>
        <w:rPr>
          <w:rFonts w:hint="eastAsia" w:ascii="宋体" w:hAnsi="宋体"/>
          <w:bCs/>
          <w:color w:val="auto"/>
          <w:szCs w:val="21"/>
          <w:highlight w:val="none"/>
        </w:rPr>
        <w:t xml:space="preserve">    </w:t>
      </w:r>
      <w:r>
        <w:rPr>
          <w:rFonts w:hint="eastAsia" w:ascii="宋体" w:hAnsi="宋体"/>
          <w:b/>
          <w:color w:val="auto"/>
          <w:szCs w:val="21"/>
          <w:highlight w:val="none"/>
        </w:rPr>
        <w:t>21.3开标仪式由代理机构主持。“政府采购管理交易系统（苏采云）”将自动对项目进行开标，并宣读各投标人的《开标一览表》。</w:t>
      </w:r>
    </w:p>
    <w:p w14:paraId="3D5C4700">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21.4投标人在开标过程中涉及到的投标文件解密、开标结果确认等工作，应按照《操作手册》规定执行。</w:t>
      </w:r>
    </w:p>
    <w:p w14:paraId="7F3B585F">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r>
        <w:rPr>
          <w:rFonts w:hint="eastAsia" w:ascii="宋体" w:hAnsi="宋体"/>
          <w:b/>
          <w:color w:val="auto"/>
          <w:szCs w:val="21"/>
          <w:highlight w:val="none"/>
        </w:rPr>
        <w:t>22、评标委员会</w:t>
      </w:r>
    </w:p>
    <w:p w14:paraId="5EE2320B">
      <w:pPr>
        <w:pageBreakBefore w:val="0"/>
        <w:kinsoku/>
        <w:wordWrap/>
        <w:overflowPunct/>
        <w:topLinePunct w:val="0"/>
        <w:autoSpaceDE/>
        <w:autoSpaceDN/>
        <w:bidi w:val="0"/>
        <w:adjustRightInd/>
        <w:spacing w:line="360" w:lineRule="auto"/>
        <w:textAlignment w:val="auto"/>
        <w:rPr>
          <w:rFonts w:ascii="宋体" w:hAnsi="宋体"/>
          <w:bCs/>
          <w:color w:val="auto"/>
          <w:szCs w:val="21"/>
          <w:highlight w:val="none"/>
        </w:rPr>
      </w:pPr>
      <w:r>
        <w:rPr>
          <w:rFonts w:hint="eastAsia" w:ascii="宋体" w:hAnsi="宋体"/>
          <w:bCs/>
          <w:color w:val="auto"/>
          <w:szCs w:val="21"/>
          <w:highlight w:val="none"/>
        </w:rPr>
        <w:t xml:space="preserve">    22.1 开标后，代理机构将立即组织评标委员会（以下简称评委会）进行评标。</w:t>
      </w:r>
    </w:p>
    <w:p w14:paraId="0EBEBC49">
      <w:pPr>
        <w:pageBreakBefore w:val="0"/>
        <w:kinsoku/>
        <w:wordWrap/>
        <w:overflowPunct/>
        <w:topLinePunct w:val="0"/>
        <w:autoSpaceDE/>
        <w:autoSpaceDN/>
        <w:bidi w:val="0"/>
        <w:adjustRightInd/>
        <w:spacing w:line="360" w:lineRule="auto"/>
        <w:textAlignment w:val="auto"/>
        <w:rPr>
          <w:rFonts w:ascii="宋体" w:hAnsi="宋体"/>
          <w:bCs/>
          <w:color w:val="auto"/>
          <w:szCs w:val="21"/>
          <w:highlight w:val="none"/>
        </w:rPr>
      </w:pPr>
      <w:r>
        <w:rPr>
          <w:rFonts w:hint="eastAsia" w:ascii="宋体" w:hAnsi="宋体"/>
          <w:bCs/>
          <w:color w:val="auto"/>
          <w:szCs w:val="21"/>
          <w:highlight w:val="none"/>
        </w:rPr>
        <w:t xml:space="preserve">    22.2 评委会由采购人代表和有关技术、经济等方面的专家组成，且人员构成符合政府采购有关规定。</w:t>
      </w:r>
    </w:p>
    <w:p w14:paraId="288DC88C">
      <w:pPr>
        <w:pageBreakBefore w:val="0"/>
        <w:kinsoku/>
        <w:wordWrap/>
        <w:overflowPunct/>
        <w:topLinePunct w:val="0"/>
        <w:autoSpaceDE/>
        <w:autoSpaceDN/>
        <w:bidi w:val="0"/>
        <w:adjustRightInd/>
        <w:spacing w:line="360" w:lineRule="auto"/>
        <w:textAlignment w:val="auto"/>
        <w:rPr>
          <w:rFonts w:ascii="宋体" w:hAnsi="宋体"/>
          <w:bCs/>
          <w:color w:val="auto"/>
          <w:szCs w:val="21"/>
          <w:highlight w:val="none"/>
        </w:rPr>
      </w:pPr>
      <w:r>
        <w:rPr>
          <w:rFonts w:hint="eastAsia" w:ascii="宋体" w:hAnsi="宋体"/>
          <w:bCs/>
          <w:color w:val="auto"/>
          <w:szCs w:val="21"/>
          <w:highlight w:val="none"/>
        </w:rPr>
        <w:t xml:space="preserve">    22.3评委会独立工作，负责评审所有投标文件并确定中标候选人。</w:t>
      </w:r>
    </w:p>
    <w:p w14:paraId="464C11C4">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r>
        <w:rPr>
          <w:rFonts w:hint="eastAsia" w:ascii="宋体" w:hAnsi="宋体"/>
          <w:b/>
          <w:color w:val="auto"/>
          <w:szCs w:val="21"/>
          <w:highlight w:val="none"/>
        </w:rPr>
        <w:t>23、评标过程的保密与公正</w:t>
      </w:r>
    </w:p>
    <w:p w14:paraId="395909FC">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23.1公开开标后，直至签订合同之日止，凡是与审查、澄清、评价和比较投标的有关资料以及授标建议等，采购人、评委、代理机构工作人员均不得向投标人或与评标无关的其他人员透露。</w:t>
      </w:r>
    </w:p>
    <w:p w14:paraId="3C3CE74A">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23.2在评标过程中，投标人不得以任何行为影响评标过程，否则其投标文件将被作为无效投标文件。</w:t>
      </w:r>
    </w:p>
    <w:p w14:paraId="30B60801">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23.3 在评标期间，代理机构将设专门工作人员与投标人联系。</w:t>
      </w:r>
    </w:p>
    <w:p w14:paraId="547E4BBF">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23.4 代理机构和评委会不向未中标的投标人解释未中标原因，也不公布评标过程中的相关细节。</w:t>
      </w:r>
    </w:p>
    <w:p w14:paraId="716F2A4F">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23.5 采用综合评分法的项目，未中标的投标人可于中标结果公告期限届满之日起通过“政府采购管理交易系统（苏采云）”查看自己的评审得分及排序情况。</w:t>
      </w:r>
    </w:p>
    <w:p w14:paraId="7D94E3AA">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r>
        <w:rPr>
          <w:rFonts w:hint="eastAsia" w:ascii="宋体" w:hAnsi="宋体"/>
          <w:b/>
          <w:color w:val="auto"/>
          <w:szCs w:val="21"/>
          <w:highlight w:val="none"/>
        </w:rPr>
        <w:t>24、投标的澄清</w:t>
      </w:r>
    </w:p>
    <w:p w14:paraId="1BC3C9B5">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24.1评标期间，为有助于对投标文件的审查、评价和比较，评委会有权以电子函件形式要求投标人对其投标文件进行澄清，但并非对每个投标人都作澄清要求。</w:t>
      </w:r>
    </w:p>
    <w:p w14:paraId="47E6CD86">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p>
    <w:p w14:paraId="57443AEA">
      <w:pPr>
        <w:pageBreakBefore w:val="0"/>
        <w:kinsoku/>
        <w:wordWrap/>
        <w:overflowPunct/>
        <w:topLinePunct w:val="0"/>
        <w:autoSpaceDE/>
        <w:autoSpaceDN/>
        <w:bidi w:val="0"/>
        <w:adjustRightInd/>
        <w:spacing w:line="360" w:lineRule="auto"/>
        <w:textAlignment w:val="auto"/>
        <w:rPr>
          <w:rFonts w:ascii="宋体" w:hAnsi="宋体"/>
          <w:bCs/>
          <w:color w:val="auto"/>
          <w:szCs w:val="21"/>
          <w:highlight w:val="none"/>
        </w:rPr>
      </w:pPr>
      <w:r>
        <w:rPr>
          <w:rFonts w:hint="eastAsia" w:ascii="宋体" w:hAnsi="宋体"/>
          <w:bCs/>
          <w:color w:val="auto"/>
          <w:szCs w:val="21"/>
          <w:highlight w:val="none"/>
        </w:rPr>
        <w:t xml:space="preserve">    24.3 接到评委会澄清要求的投标人如未按规定做出澄清，其风险由投标人自行承担。</w:t>
      </w:r>
    </w:p>
    <w:p w14:paraId="7F43F88F">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r>
        <w:rPr>
          <w:rFonts w:hint="eastAsia" w:ascii="宋体" w:hAnsi="宋体"/>
          <w:b/>
          <w:color w:val="auto"/>
          <w:szCs w:val="21"/>
          <w:highlight w:val="none"/>
        </w:rPr>
        <w:t>25、对投标文件的初审</w:t>
      </w:r>
    </w:p>
    <w:p w14:paraId="4A82AB3B">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25.1投标文件初审分为资格审查和符合性审查。</w:t>
      </w:r>
    </w:p>
    <w:p w14:paraId="12BB4AA9">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25.1.1资格审查：依据法律法规和招标文件的规定，由采购人对投标文件中的资格证明文件进行审查。并将审查结论以书面形式向评委会反馈。</w:t>
      </w:r>
    </w:p>
    <w:p w14:paraId="0FE676C3">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p>
    <w:p w14:paraId="27245FC2">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若接受联合体投标的项目，两个以上的自然人、法人或者其他组织组成一个联合体，以一个供应商的身份共同参加政府采购活动的,联合体成员存在不良信用记录的，视同联合体存在不良信用记录。</w:t>
      </w:r>
    </w:p>
    <w:p w14:paraId="2C151989">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25.1.2符合性检查：依据招标文件的规定，由评委会从投标文件的有效性、完整性和对招标文件的响应程度进行审查，以确定是否对招标文件的实质性要求作出响应。</w:t>
      </w:r>
    </w:p>
    <w:p w14:paraId="4032F3CF">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25.1.3 未通过资格审查或符合性审查的投标人，代理机构将在“政府采购管理交易系统（苏采云）”中告知未通过资格审查或符合性审查的原因，评审结束后，代理机构将不再告知未通过资格审查或符合性审查的原因。</w:t>
      </w:r>
    </w:p>
    <w:p w14:paraId="3DA90D6C">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26B6A2CA">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p>
    <w:p w14:paraId="71CDFEA3">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25.3如果投标文件实质上没有响应招标文件的要求，评委会将予以拒绝，投标人不得通过修改或撤销不合要求的偏离或保留而使其投标成为实质性响应的投标。</w:t>
      </w:r>
    </w:p>
    <w:p w14:paraId="3EB91499">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25.4评委会将对确定为实质性响应的投标进行进一步审核，看其是否有计算上或累加上的算术错误，修正错误的原则如下：</w:t>
      </w:r>
    </w:p>
    <w:p w14:paraId="44B1F12D">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（1）投标文件中开标一览表内容与投标文件中相应内容不一致的，以开标一览表为准。</w:t>
      </w:r>
    </w:p>
    <w:p w14:paraId="3B2FF002">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（2）大写金额与小写金额不一致的，以大写金额为准。</w:t>
      </w:r>
    </w:p>
    <w:p w14:paraId="515521F9">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（3）单价金额小数点或者百分比有明显错位的，以开标一览表的总价为准，并修改单价。</w:t>
      </w:r>
    </w:p>
    <w:p w14:paraId="6625ADE7">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（4）总价金额与按单价汇总金额不一致的，以单价金额计算结果为准。</w:t>
      </w:r>
    </w:p>
    <w:p w14:paraId="32B16891">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同时出现两种以上错误的，按照前款规定的顺序修正。</w:t>
      </w:r>
    </w:p>
    <w:p w14:paraId="6DD5C2C7">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25.5评委会将按上述修正错误的方法调整投标文件中的投标报价，并通过“政府采购管理交易系统（苏采云）”告知投标人，调整后的价格应对投标人具有约束力。如果投标人不接受修正后的价格，则其投标将被拒绝。</w:t>
      </w:r>
    </w:p>
    <w:p w14:paraId="76BD170E">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25.6评委会将允许修正投标文件中不构成重大偏离的、微小的、非正规的、不一致的或不规则的地方，但这些修改不能影响任何投标人相应的名次排列。</w:t>
      </w:r>
    </w:p>
    <w:p w14:paraId="1B243434">
      <w:pPr>
        <w:pageBreakBefore w:val="0"/>
        <w:kinsoku/>
        <w:wordWrap/>
        <w:overflowPunct/>
        <w:topLinePunct w:val="0"/>
        <w:autoSpaceDE/>
        <w:autoSpaceDN/>
        <w:bidi w:val="0"/>
        <w:adjustRightInd/>
        <w:spacing w:line="360" w:lineRule="auto"/>
        <w:ind w:firstLine="420"/>
        <w:jc w:val="left"/>
        <w:textAlignment w:val="auto"/>
        <w:rPr>
          <w:rFonts w:ascii="宋体" w:hAnsi="宋体"/>
          <w:color w:val="auto"/>
          <w:highlight w:val="none"/>
        </w:rPr>
      </w:pPr>
      <w:r>
        <w:rPr>
          <w:rFonts w:hint="eastAsia" w:ascii="宋体" w:hAnsi="宋体"/>
          <w:color w:val="auto"/>
          <w:highlight w:val="none"/>
        </w:rPr>
        <w:t>25.7 投标人在开、评标全过程中应保持通讯畅通，并安排专人与代理机构及评委会联系。</w:t>
      </w:r>
    </w:p>
    <w:p w14:paraId="45566740">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r>
        <w:rPr>
          <w:rFonts w:hint="eastAsia" w:ascii="宋体" w:hAnsi="宋体"/>
          <w:b/>
          <w:color w:val="auto"/>
          <w:szCs w:val="21"/>
          <w:highlight w:val="none"/>
        </w:rPr>
        <w:t>26、无效投标、废标及投标人不足三家的处理</w:t>
      </w:r>
    </w:p>
    <w:p w14:paraId="5135BC4A">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26.1无效投标条款</w:t>
      </w:r>
    </w:p>
    <w:p w14:paraId="42483CBA">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26.1.1 投标人未成功解密电子投标文件的。</w:t>
      </w:r>
    </w:p>
    <w:p w14:paraId="4F446B2B">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26.1.2 投标人未按照招标文件要求上传电子投标文件的。</w:t>
      </w:r>
    </w:p>
    <w:p w14:paraId="2F2225E1">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26.1.3投标人在报价时采用选择性报价的。</w:t>
      </w:r>
    </w:p>
    <w:p w14:paraId="7D7091A7">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26.1.4投标人不具备招标文件中规定资格要求的。</w:t>
      </w:r>
    </w:p>
    <w:p w14:paraId="61D086B5">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26.1.5投标人的报价超过了采购预算或最高限价的。</w:t>
      </w:r>
    </w:p>
    <w:p w14:paraId="2FADEDB2">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26.1.6未通过符合性审查的。</w:t>
      </w:r>
    </w:p>
    <w:p w14:paraId="0AE8A264">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26.1.7不符合招标文件中规定的其他实质性要求和条件的（</w:t>
      </w:r>
      <w:r>
        <w:rPr>
          <w:rFonts w:hint="eastAsia" w:ascii="宋体" w:hAnsi="宋体"/>
          <w:bCs/>
          <w:i/>
          <w:iCs/>
          <w:color w:val="auto"/>
          <w:szCs w:val="21"/>
          <w:highlight w:val="none"/>
          <w:u w:val="single"/>
        </w:rPr>
        <w:t>本招标文件中斜体且有下划线部分为实质性要求和条件</w:t>
      </w:r>
      <w:r>
        <w:rPr>
          <w:rFonts w:hint="eastAsia" w:ascii="宋体" w:hAnsi="宋体"/>
          <w:bCs/>
          <w:color w:val="auto"/>
          <w:szCs w:val="21"/>
          <w:highlight w:val="none"/>
        </w:rPr>
        <w:t>）。</w:t>
      </w:r>
    </w:p>
    <w:p w14:paraId="10B372F4">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p>
    <w:p w14:paraId="74D410BF">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26.1.9  投标文件含有采购人不能接受的附加条件的。</w:t>
      </w:r>
    </w:p>
    <w:p w14:paraId="1EDA7E0C">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p>
    <w:p w14:paraId="70E68A57">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26.1.11 本项目采购产品被财政部、国家发改委、生态环境部等列入“节能产品品目清单”、“环境标志产品品目清单”强制采购范围，而投标人所投标产品不在强制采购范围内的。</w:t>
      </w:r>
    </w:p>
    <w:p w14:paraId="1F4EEF74">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26.1.12 投标文件未按照招标文件要求加盖电子签章。</w:t>
      </w:r>
    </w:p>
    <w:p w14:paraId="4125C9A6">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26.1.13其他法律、法规及本招标文件规定的属无效投标的情形。</w:t>
      </w:r>
    </w:p>
    <w:p w14:paraId="07DFFA5C">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26.2废标条款：</w:t>
      </w:r>
    </w:p>
    <w:p w14:paraId="300082D9">
      <w:pPr>
        <w:pageBreakBefore w:val="0"/>
        <w:kinsoku/>
        <w:wordWrap/>
        <w:overflowPunct/>
        <w:topLinePunct w:val="0"/>
        <w:autoSpaceDE/>
        <w:autoSpaceDN/>
        <w:bidi w:val="0"/>
        <w:adjustRightInd/>
        <w:spacing w:line="360" w:lineRule="auto"/>
        <w:ind w:left="420"/>
        <w:textAlignment w:val="auto"/>
        <w:rPr>
          <w:rFonts w:hint="eastAsia" w:ascii="宋体" w:hAnsi="宋体"/>
          <w:bCs/>
          <w:color w:val="auto"/>
          <w:szCs w:val="21"/>
          <w:highlight w:val="none"/>
        </w:rPr>
      </w:pPr>
      <w:r>
        <w:rPr>
          <w:rFonts w:hint="eastAsia" w:ascii="宋体" w:hAnsi="宋体"/>
          <w:bCs/>
          <w:color w:val="auto"/>
          <w:szCs w:val="21"/>
          <w:highlight w:val="none"/>
        </w:rPr>
        <w:t>26.2.1符合专业条件的供应商或者对招标文件作实质响应的供应商不足三家的。</w:t>
      </w:r>
    </w:p>
    <w:p w14:paraId="1E017DEB">
      <w:pPr>
        <w:pageBreakBefore w:val="0"/>
        <w:kinsoku/>
        <w:wordWrap/>
        <w:overflowPunct/>
        <w:topLinePunct w:val="0"/>
        <w:autoSpaceDE/>
        <w:autoSpaceDN/>
        <w:bidi w:val="0"/>
        <w:adjustRightInd/>
        <w:spacing w:line="360" w:lineRule="auto"/>
        <w:ind w:left="420"/>
        <w:textAlignment w:val="auto"/>
        <w:rPr>
          <w:rFonts w:ascii="宋体" w:hAnsi="宋体"/>
          <w:bCs/>
          <w:color w:val="auto"/>
          <w:szCs w:val="21"/>
          <w:highlight w:val="none"/>
        </w:rPr>
      </w:pPr>
      <w:r>
        <w:rPr>
          <w:rFonts w:hint="eastAsia" w:ascii="宋体" w:hAnsi="宋体"/>
          <w:bCs/>
          <w:color w:val="auto"/>
          <w:szCs w:val="21"/>
          <w:highlight w:val="none"/>
        </w:rPr>
        <w:t>26.2.2出现影响采购公正的违法、违规行为的。</w:t>
      </w:r>
    </w:p>
    <w:p w14:paraId="5DCB72B0">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26.2.3因重大变故，采购任务取消的。</w:t>
      </w:r>
    </w:p>
    <w:p w14:paraId="3C3167E9">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26.2.4评委会认定招标文件存在歧义、重大缺陷导致评审工作无法进行。</w:t>
      </w:r>
    </w:p>
    <w:p w14:paraId="2AE5A2A4">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26.3 投标截止时间结束后参加投标的供应商不足三家的处理：</w:t>
      </w:r>
    </w:p>
    <w:p w14:paraId="40A1FB05">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26.3.1如出现投标截止时间结束后参加投标的供应商或者在评标期间对招标文件做出实质性响应的供应商不足三家情况，按政府采购相关规定执行。</w:t>
      </w:r>
    </w:p>
    <w:p w14:paraId="7A0253F6">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r>
        <w:rPr>
          <w:rFonts w:hint="eastAsia" w:ascii="宋体" w:hAnsi="宋体"/>
          <w:b/>
          <w:color w:val="auto"/>
          <w:szCs w:val="21"/>
          <w:highlight w:val="none"/>
        </w:rPr>
        <w:t>27、确定中标单位</w:t>
      </w:r>
    </w:p>
    <w:p w14:paraId="02A12289">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27.1评委会根据本招标文件规定评标方法与评标标准向采购人推荐出中标候选人。</w:t>
      </w:r>
    </w:p>
    <w:p w14:paraId="2C3457EB">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27.2 采购人应根据评委会推荐的中标候选人确定中标人。</w:t>
      </w:r>
    </w:p>
    <w:p w14:paraId="0F8D2B64">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27.3代理机构将在</w:t>
      </w:r>
      <w:r>
        <w:rPr>
          <w:rFonts w:hint="eastAsia" w:ascii="宋体" w:hAnsi="宋体"/>
          <w:bCs/>
          <w:color w:val="auto"/>
          <w:szCs w:val="21"/>
          <w:highlight w:val="none"/>
          <w:lang w:eastAsia="zh-CN"/>
        </w:rPr>
        <w:t>“扬州市政府采购网”、“江苏省政府采购网”、“中国政府采购网”</w:t>
      </w:r>
      <w:r>
        <w:rPr>
          <w:rFonts w:hint="eastAsia" w:ascii="宋体" w:hAnsi="宋体"/>
          <w:bCs/>
          <w:color w:val="auto"/>
          <w:szCs w:val="21"/>
          <w:highlight w:val="none"/>
        </w:rPr>
        <w:t>发布中标公告，公告期限为1个工作日。</w:t>
      </w:r>
    </w:p>
    <w:p w14:paraId="54AC156C">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27.4若有充分证据证明，中标人出现下列情况之一的，一经查实，将被取消中标资格：</w:t>
      </w:r>
    </w:p>
    <w:p w14:paraId="3EC0137C">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27.4.1提供虚假材料谋取中标的；</w:t>
      </w:r>
    </w:p>
    <w:p w14:paraId="0CDE8FAF">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27.4.2向采购人、代理机构行贿或者提供其他不正当利益的；</w:t>
      </w:r>
    </w:p>
    <w:p w14:paraId="637BFF40">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27.4.3恶意竞争，投标总报价明显低于其自身合理成本且又无法提供证明的；</w:t>
      </w:r>
    </w:p>
    <w:p w14:paraId="26DE49EE">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27.4.4属于本文件规定的无效条件，但在评标过程中又未被评委会发现的；</w:t>
      </w:r>
    </w:p>
    <w:p w14:paraId="3E820159">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27.4.5与采购人或者其他投标人恶意串通的；</w:t>
      </w:r>
    </w:p>
    <w:p w14:paraId="70A7BC80">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27.4.6采取不正当手段诋毁、排挤其他供应商的；</w:t>
      </w:r>
    </w:p>
    <w:p w14:paraId="45C517BD">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27.4.7不符合法律、法规的规定的。</w:t>
      </w:r>
    </w:p>
    <w:p w14:paraId="57420FEB">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27.5. 有下列情形之一的，视为投标人串通投标，投标无效：</w:t>
      </w:r>
    </w:p>
    <w:p w14:paraId="2570F001">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27.5.1不同投标人的投标文件由同一单位或者个人编制。</w:t>
      </w:r>
    </w:p>
    <w:p w14:paraId="571C430C">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27.5.2不同投标人委托同一单位或者个人办理投标事宜。</w:t>
      </w:r>
    </w:p>
    <w:p w14:paraId="5BD7B6A0">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27.5.3 不同投标人的投标文件载明的项目管理成员或者联系人员为同一人。</w:t>
      </w:r>
    </w:p>
    <w:p w14:paraId="028CE4A6">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27.5.4不同投标人的投标文件异常一致或者投标报价呈规律性差异。</w:t>
      </w:r>
    </w:p>
    <w:p w14:paraId="293157FD">
      <w:pPr>
        <w:pageBreakBefore w:val="0"/>
        <w:kinsoku/>
        <w:wordWrap/>
        <w:overflowPunct/>
        <w:topLinePunct w:val="0"/>
        <w:autoSpaceDE/>
        <w:autoSpaceDN/>
        <w:bidi w:val="0"/>
        <w:adjustRightInd/>
        <w:spacing w:line="360" w:lineRule="auto"/>
        <w:ind w:firstLine="420"/>
        <w:textAlignment w:val="auto"/>
        <w:rPr>
          <w:rFonts w:hint="eastAsia" w:ascii="宋体" w:hAnsi="宋体"/>
          <w:bCs/>
          <w:color w:val="auto"/>
          <w:szCs w:val="21"/>
          <w:highlight w:val="none"/>
        </w:rPr>
      </w:pPr>
      <w:r>
        <w:rPr>
          <w:rFonts w:hint="eastAsia" w:ascii="宋体" w:hAnsi="宋体"/>
          <w:bCs/>
          <w:color w:val="auto"/>
          <w:szCs w:val="21"/>
          <w:highlight w:val="none"/>
        </w:rPr>
        <w:t>27.5.5不同投标人的投标文件相互混装。</w:t>
      </w:r>
    </w:p>
    <w:p w14:paraId="48495C76">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r>
        <w:rPr>
          <w:rFonts w:hint="eastAsia" w:ascii="宋体" w:hAnsi="宋体"/>
          <w:b/>
          <w:color w:val="auto"/>
          <w:szCs w:val="21"/>
          <w:highlight w:val="none"/>
        </w:rPr>
        <w:t>28、质疑处理</w:t>
      </w:r>
    </w:p>
    <w:p w14:paraId="7DD2E167">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28.1提出质疑的供应商应当是参与所质疑项目采购活动的供应商。潜在供应商依法获取其可质疑的采购文件的，可以对采购文件提出质疑。</w:t>
      </w:r>
    </w:p>
    <w:p w14:paraId="1A3327FF">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对项目需求部分的质疑，潜在供应商应向采购人提出，由采购人负责答复。</w:t>
      </w:r>
    </w:p>
    <w:p w14:paraId="6278F107">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28.2投标人认为采购文件、采购过程和中标或成交结果使自己的权益受到损害的，可以在知道或应知其权益受到损害之日起7个工作日内，以书面形式向采购人或代理机构提出质疑。</w:t>
      </w:r>
    </w:p>
    <w:p w14:paraId="7B14DDAC">
      <w:pPr>
        <w:pageBreakBefore w:val="0"/>
        <w:kinsoku/>
        <w:wordWrap/>
        <w:overflowPunct/>
        <w:topLinePunct w:val="0"/>
        <w:autoSpaceDE/>
        <w:autoSpaceDN/>
        <w:bidi w:val="0"/>
        <w:adjustRightInd/>
        <w:spacing w:line="360" w:lineRule="auto"/>
        <w:ind w:firstLine="420"/>
        <w:textAlignment w:val="auto"/>
        <w:rPr>
          <w:rFonts w:hint="eastAsia" w:ascii="宋体" w:hAnsi="宋体"/>
          <w:bCs/>
          <w:color w:val="auto"/>
          <w:szCs w:val="21"/>
          <w:highlight w:val="none"/>
        </w:rPr>
      </w:pPr>
      <w:r>
        <w:rPr>
          <w:rFonts w:hint="eastAsia" w:ascii="宋体" w:hAnsi="宋体"/>
          <w:bCs/>
          <w:color w:val="auto"/>
          <w:szCs w:val="21"/>
          <w:highlight w:val="none"/>
        </w:rPr>
        <w:t>28.2.1对采购文件提出质疑的，应当在获取采购文件之日或者采购文件公告期限届满之日起7个工作日内提出。</w:t>
      </w:r>
    </w:p>
    <w:p w14:paraId="55B3AFC4">
      <w:pPr>
        <w:pageBreakBefore w:val="0"/>
        <w:kinsoku/>
        <w:wordWrap/>
        <w:overflowPunct/>
        <w:topLinePunct w:val="0"/>
        <w:autoSpaceDE/>
        <w:autoSpaceDN/>
        <w:bidi w:val="0"/>
        <w:adjustRightInd/>
        <w:spacing w:line="360" w:lineRule="auto"/>
        <w:ind w:firstLine="420"/>
        <w:textAlignment w:val="auto"/>
        <w:rPr>
          <w:rFonts w:hint="eastAsia" w:ascii="宋体" w:hAnsi="宋体"/>
          <w:bCs/>
          <w:color w:val="auto"/>
          <w:szCs w:val="21"/>
          <w:highlight w:val="none"/>
        </w:rPr>
      </w:pPr>
      <w:r>
        <w:rPr>
          <w:rFonts w:hint="eastAsia" w:ascii="宋体" w:hAnsi="宋体"/>
          <w:bCs/>
          <w:color w:val="auto"/>
          <w:szCs w:val="21"/>
          <w:highlight w:val="none"/>
        </w:rPr>
        <w:t>28.2.2对采购过程提出质疑的，为各采购程序环节结束之日起7个工作日内提出。</w:t>
      </w:r>
    </w:p>
    <w:p w14:paraId="21F5221C">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28.2.3对中标结果提出质疑的，为中标结果公告期限届满之日起7个工作日内提出。</w:t>
      </w:r>
    </w:p>
    <w:p w14:paraId="0D211C04">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28.3投标人/供应商应在法定质疑期内一次性提出针对同一采购程序环节的质疑。投标人/供应商如在法定期限内对同一采购程序环节提出多次质疑的，代理机构、采购人将只对投标人/供应商第一次质疑作出答复。</w:t>
      </w:r>
    </w:p>
    <w:p w14:paraId="54D24CFB">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p>
    <w:p w14:paraId="32121AAE">
      <w:pPr>
        <w:pageBreakBefore w:val="0"/>
        <w:kinsoku/>
        <w:wordWrap/>
        <w:overflowPunct/>
        <w:topLinePunct w:val="0"/>
        <w:autoSpaceDE/>
        <w:autoSpaceDN/>
        <w:bidi w:val="0"/>
        <w:adjustRightInd/>
        <w:spacing w:line="360" w:lineRule="auto"/>
        <w:ind w:firstLine="420"/>
        <w:textAlignment w:val="auto"/>
        <w:rPr>
          <w:rFonts w:hint="eastAsia" w:ascii="宋体" w:hAnsi="宋体"/>
          <w:b/>
          <w:color w:val="auto"/>
          <w:szCs w:val="21"/>
          <w:highlight w:val="none"/>
        </w:rPr>
      </w:pPr>
      <w:r>
        <w:rPr>
          <w:rFonts w:hint="eastAsia" w:ascii="宋体" w:hAnsi="宋体"/>
          <w:bCs/>
          <w:color w:val="auto"/>
          <w:szCs w:val="21"/>
          <w:highlight w:val="none"/>
        </w:rPr>
        <w:t>28.5 代理机构及采购人只接收以纸质原件形式送达的质疑。</w:t>
      </w:r>
      <w:r>
        <w:rPr>
          <w:rFonts w:hint="eastAsia" w:ascii="宋体" w:hAnsi="宋体"/>
          <w:b/>
          <w:color w:val="auto"/>
          <w:szCs w:val="21"/>
          <w:highlight w:val="none"/>
        </w:rPr>
        <w:t>同时需与采购代理机构经办人确认是否收到《质疑函》，如供应商未按上述要求去做，将自行承担所产生的风险。</w:t>
      </w:r>
    </w:p>
    <w:p w14:paraId="7E584A63">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采购人质疑接收人及联系方式见招标文件第一章。</w:t>
      </w:r>
    </w:p>
    <w:p w14:paraId="152FD0F2">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28.6代理机构收到质疑申请后，将对质疑的形式和内容进行审查，如质疑内容、格式不符合规定，代理机构将告知质疑人进行补正。</w:t>
      </w:r>
    </w:p>
    <w:p w14:paraId="31C33D90">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28.7质疑人应当在法定质疑期限内进行补正并重新提交质疑函。</w:t>
      </w:r>
    </w:p>
    <w:p w14:paraId="08C1812F">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28.8 以下情形的质疑不予受理</w:t>
      </w:r>
    </w:p>
    <w:p w14:paraId="0D090124">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28.8.1 内容不符合《政府采购质疑和投诉办法》第十二条规定的质疑。</w:t>
      </w:r>
    </w:p>
    <w:p w14:paraId="45DF810A">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28.8.2 超出政府采购法定期限的质疑。</w:t>
      </w:r>
    </w:p>
    <w:p w14:paraId="7FA35CD5">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28.8.3 以传真、电子邮件等方式递交的非原件形式的质疑。</w:t>
      </w:r>
    </w:p>
    <w:p w14:paraId="08931466">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28.8.4 未参加投标活动的供应商或在投标活动中自身权益未受到损害的供应商所提出的质疑。</w:t>
      </w:r>
    </w:p>
    <w:p w14:paraId="15C001CA">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28.8.5供应商组成联合体参加投标，联合体中任何一方或多方未按要求签字、盖章、加盖公章的质疑。</w:t>
      </w:r>
    </w:p>
    <w:p w14:paraId="3C56FBC0">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p>
    <w:p w14:paraId="69ED6120">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28.10代理机构应当在收到供应商的书面质疑后7个工作日内作出答复，并以书面形式通知质疑供应商和其他有关供应商，但答复的内容不得涉及商业秘密。</w:t>
      </w:r>
    </w:p>
    <w:p w14:paraId="69816A85">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r>
        <w:rPr>
          <w:rFonts w:hint="eastAsia" w:ascii="宋体" w:hAnsi="宋体"/>
          <w:b/>
          <w:color w:val="auto"/>
          <w:szCs w:val="21"/>
          <w:highlight w:val="none"/>
        </w:rPr>
        <w:t>29、中标通知书</w:t>
      </w:r>
    </w:p>
    <w:p w14:paraId="28442816">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29.l 中标结果确定后，代理机构将向中标人发出中标通知书。</w:t>
      </w:r>
    </w:p>
    <w:p w14:paraId="47C0EA8A">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29.2 中标人可在“政府采购管理交易系统（苏采云）”中标通知书下载模块中自行下载中标通知书。</w:t>
      </w:r>
    </w:p>
    <w:p w14:paraId="14C30468">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29.3中标通知书将是合同的一个组成部分。对采购人和中标人均具有法律效力。中标通知书发出后，采购人改变中标结果的，或者中标人放弃中标项目的，应当依法承担法律责任。</w:t>
      </w:r>
    </w:p>
    <w:p w14:paraId="524E9D27">
      <w:pPr>
        <w:pageBreakBefore w:val="0"/>
        <w:kinsoku/>
        <w:wordWrap/>
        <w:overflowPunct/>
        <w:topLinePunct w:val="0"/>
        <w:autoSpaceDE/>
        <w:autoSpaceDN/>
        <w:bidi w:val="0"/>
        <w:adjustRightInd/>
        <w:spacing w:line="360" w:lineRule="auto"/>
        <w:ind w:firstLine="422"/>
        <w:textAlignment w:val="auto"/>
        <w:rPr>
          <w:rFonts w:ascii="宋体" w:hAnsi="宋体"/>
          <w:b/>
          <w:color w:val="auto"/>
          <w:szCs w:val="21"/>
          <w:highlight w:val="none"/>
        </w:rPr>
      </w:pPr>
      <w:r>
        <w:rPr>
          <w:rFonts w:hint="eastAsia" w:ascii="宋体" w:hAnsi="宋体"/>
          <w:b/>
          <w:color w:val="auto"/>
          <w:szCs w:val="21"/>
          <w:highlight w:val="none"/>
        </w:rPr>
        <w:t>30、 签订合同</w:t>
      </w:r>
    </w:p>
    <w:p w14:paraId="27A98257">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30.l中标人应在中标通知书发出之日起</w:t>
      </w:r>
      <w:r>
        <w:rPr>
          <w:rFonts w:hint="eastAsia" w:ascii="宋体" w:hAnsi="宋体"/>
          <w:bCs/>
          <w:color w:val="auto"/>
          <w:szCs w:val="21"/>
          <w:highlight w:val="none"/>
          <w:lang w:val="en-US" w:eastAsia="zh-CN"/>
        </w:rPr>
        <w:t>三十</w:t>
      </w:r>
      <w:r>
        <w:rPr>
          <w:rFonts w:hint="eastAsia" w:ascii="宋体" w:hAnsi="宋体"/>
          <w:bCs/>
          <w:color w:val="auto"/>
          <w:szCs w:val="21"/>
          <w:highlight w:val="none"/>
        </w:rPr>
        <w:t>日内，按照招标文件确定的事项与采购人签订政府采购合同。</w:t>
      </w:r>
    </w:p>
    <w:p w14:paraId="1C29289C">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30.2 招标文件、中标人的投标文件及招标过程中有关澄清、承诺文件均应作为合同附件。</w:t>
      </w:r>
    </w:p>
    <w:p w14:paraId="43530269">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30.3 合同在“政府采购管理交易系统（苏采云）”中签订，签订合同后，</w:t>
      </w:r>
      <w:r>
        <w:rPr>
          <w:rFonts w:hint="eastAsia" w:ascii="宋体" w:hAnsi="宋体"/>
          <w:bCs/>
          <w:i/>
          <w:iCs/>
          <w:color w:val="auto"/>
          <w:szCs w:val="21"/>
          <w:highlight w:val="none"/>
          <w:u w:val="single"/>
        </w:rPr>
        <w:t>中标人不得将货物或服务及其他服务进行转包</w:t>
      </w:r>
      <w:r>
        <w:rPr>
          <w:rFonts w:hint="eastAsia" w:ascii="宋体" w:hAnsi="宋体"/>
          <w:bCs/>
          <w:color w:val="auto"/>
          <w:szCs w:val="21"/>
          <w:highlight w:val="none"/>
        </w:rPr>
        <w:t>。未经采购人同意，中标人也不得采用分包的形式履行合同，否则采购人有权终止合同。转包或分包造成采购人损失的，中标人应承担赔偿责任。</w:t>
      </w:r>
    </w:p>
    <w:p w14:paraId="0F580BA1">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rFonts w:hint="eastAsia" w:ascii="宋体" w:hAnsi="宋体"/>
          <w:bCs/>
          <w:color w:val="auto"/>
          <w:szCs w:val="21"/>
          <w:highlight w:val="none"/>
        </w:rPr>
        <w:t>30.4采购人不得向中标人提出任何不合理的要求作为签订合同的条件，不得与中标人私下订立背离合同实质性内容的协议。所签订的合同不得对招标文件确定事项和中标人投标文件作实质性修改。</w:t>
      </w:r>
    </w:p>
    <w:p w14:paraId="4D79E8C1">
      <w:pPr>
        <w:pageBreakBefore w:val="0"/>
        <w:kinsoku/>
        <w:wordWrap/>
        <w:overflowPunct/>
        <w:topLinePunct w:val="0"/>
        <w:autoSpaceDE/>
        <w:autoSpaceDN/>
        <w:bidi w:val="0"/>
        <w:adjustRightInd/>
        <w:spacing w:line="360" w:lineRule="auto"/>
        <w:ind w:firstLine="422"/>
        <w:textAlignment w:val="auto"/>
        <w:rPr>
          <w:rFonts w:hint="eastAsia"/>
          <w:b/>
          <w:bCs/>
          <w:color w:val="auto"/>
          <w:highlight w:val="none"/>
        </w:rPr>
      </w:pPr>
      <w:r>
        <w:rPr>
          <w:b/>
          <w:bCs/>
          <w:color w:val="auto"/>
          <w:highlight w:val="none"/>
        </w:rPr>
        <w:t>3</w:t>
      </w:r>
      <w:r>
        <w:rPr>
          <w:rFonts w:hint="eastAsia"/>
          <w:b/>
          <w:bCs/>
          <w:color w:val="auto"/>
          <w:highlight w:val="none"/>
        </w:rPr>
        <w:t>1其他</w:t>
      </w:r>
    </w:p>
    <w:p w14:paraId="0C6180C2">
      <w:pPr>
        <w:pageBreakBefore w:val="0"/>
        <w:kinsoku/>
        <w:wordWrap/>
        <w:overflowPunct/>
        <w:topLinePunct w:val="0"/>
        <w:autoSpaceDE/>
        <w:autoSpaceDN/>
        <w:bidi w:val="0"/>
        <w:adjustRightInd/>
        <w:spacing w:line="360" w:lineRule="auto"/>
        <w:ind w:firstLine="420"/>
        <w:textAlignment w:val="auto"/>
        <w:rPr>
          <w:rFonts w:ascii="宋体" w:hAnsi="宋体"/>
          <w:bCs/>
          <w:color w:val="auto"/>
          <w:szCs w:val="21"/>
          <w:highlight w:val="none"/>
        </w:rPr>
      </w:pPr>
      <w:r>
        <w:rPr>
          <w:color w:val="auto"/>
          <w:highlight w:val="none"/>
        </w:rPr>
        <w:t xml:space="preserve">    3</w:t>
      </w:r>
      <w:r>
        <w:rPr>
          <w:rFonts w:hint="eastAsia"/>
          <w:color w:val="auto"/>
          <w:highlight w:val="none"/>
        </w:rPr>
        <w:t>1</w:t>
      </w:r>
      <w:r>
        <w:rPr>
          <w:color w:val="auto"/>
          <w:highlight w:val="none"/>
        </w:rPr>
        <w:t xml:space="preserve">.1 </w:t>
      </w:r>
      <w:r>
        <w:rPr>
          <w:rFonts w:hint="eastAsia"/>
          <w:color w:val="auto"/>
          <w:highlight w:val="none"/>
        </w:rPr>
        <w:t>依据《政府采购促进中小企业发展管理办法》享受享受扶持政策获得政府采购合同的，小微企业不得将合同分包给大中型企业，中型企业不得将合同分包给大型企业。</w:t>
      </w:r>
    </w:p>
    <w:p w14:paraId="1B8E156E">
      <w:pPr>
        <w:pageBreakBefore w:val="0"/>
        <w:kinsoku/>
        <w:wordWrap/>
        <w:overflowPunct/>
        <w:topLinePunct w:val="0"/>
        <w:autoSpaceDE/>
        <w:autoSpaceDN/>
        <w:bidi w:val="0"/>
        <w:adjustRightInd/>
        <w:spacing w:line="360" w:lineRule="auto"/>
        <w:jc w:val="center"/>
        <w:textAlignment w:val="auto"/>
        <w:rPr>
          <w:rFonts w:hint="eastAsia" w:ascii="宋体" w:hAnsi="宋体"/>
          <w:b/>
          <w:bCs/>
          <w:color w:val="auto"/>
          <w:sz w:val="32"/>
          <w:szCs w:val="32"/>
          <w:highlight w:val="none"/>
        </w:rPr>
      </w:pPr>
      <w:r>
        <w:rPr>
          <w:rFonts w:hint="eastAsia" w:ascii="宋体" w:hAnsi="宋体"/>
          <w:bCs/>
          <w:color w:val="auto"/>
          <w:szCs w:val="21"/>
          <w:highlight w:val="none"/>
        </w:rPr>
        <w:br w:type="page" w:clear="all"/>
      </w:r>
      <w:bookmarkStart w:id="51" w:name="_Toc55204179"/>
      <w:bookmarkStart w:id="52" w:name="_Hlk69392822"/>
      <w:r>
        <w:rPr>
          <w:rFonts w:hint="eastAsia" w:ascii="宋体" w:hAnsi="宋体"/>
          <w:b/>
          <w:bCs/>
          <w:color w:val="auto"/>
          <w:sz w:val="44"/>
          <w:szCs w:val="36"/>
          <w:highlight w:val="none"/>
        </w:rPr>
        <w:t>第三章 合同条款及格式</w:t>
      </w:r>
      <w:bookmarkEnd w:id="51"/>
    </w:p>
    <w:p w14:paraId="2950F273">
      <w:pPr>
        <w:pStyle w:val="203"/>
        <w:pageBreakBefore w:val="0"/>
        <w:kinsoku/>
        <w:wordWrap/>
        <w:overflowPunct/>
        <w:topLinePunct w:val="0"/>
        <w:autoSpaceDE/>
        <w:autoSpaceDN/>
        <w:bidi w:val="0"/>
        <w:adjustRightInd/>
        <w:spacing w:before="120" w:after="120" w:line="360" w:lineRule="auto"/>
        <w:ind w:firstLine="420"/>
        <w:textAlignment w:val="auto"/>
        <w:rPr>
          <w:rFonts w:hAnsi="宋体"/>
          <w:color w:val="auto"/>
          <w:sz w:val="21"/>
          <w:highlight w:val="none"/>
        </w:rPr>
      </w:pPr>
      <w:r>
        <w:rPr>
          <w:rFonts w:hint="eastAsia" w:hAnsi="宋体"/>
          <w:color w:val="auto"/>
          <w:sz w:val="21"/>
          <w:highlight w:val="none"/>
        </w:rPr>
        <w:t>以下为中标后签定本项目合同的通用条款，中标人不得提出实质性的修改，关于专用条款将由采购人与中标人结合本项目具体情况协商后签订。</w:t>
      </w:r>
    </w:p>
    <w:p w14:paraId="624D6E4A">
      <w:pPr>
        <w:pStyle w:val="203"/>
        <w:pageBreakBefore w:val="0"/>
        <w:kinsoku/>
        <w:wordWrap/>
        <w:overflowPunct/>
        <w:topLinePunct w:val="0"/>
        <w:autoSpaceDE/>
        <w:autoSpaceDN/>
        <w:bidi w:val="0"/>
        <w:adjustRightInd/>
        <w:spacing w:before="120" w:after="120" w:line="360" w:lineRule="auto"/>
        <w:ind w:firstLine="422"/>
        <w:jc w:val="center"/>
        <w:textAlignment w:val="auto"/>
        <w:rPr>
          <w:rFonts w:hAnsi="宋体"/>
          <w:b/>
          <w:bCs/>
          <w:color w:val="auto"/>
          <w:sz w:val="21"/>
          <w:highlight w:val="none"/>
        </w:rPr>
      </w:pPr>
      <w:r>
        <w:rPr>
          <w:rFonts w:hint="eastAsia" w:hAnsi="宋体"/>
          <w:b/>
          <w:bCs/>
          <w:color w:val="auto"/>
          <w:sz w:val="21"/>
          <w:highlight w:val="none"/>
        </w:rPr>
        <w:t>扬州市政府采购合同（服务)（合同编号）</w:t>
      </w:r>
    </w:p>
    <w:p w14:paraId="057BDC5E">
      <w:pPr>
        <w:pStyle w:val="203"/>
        <w:keepNext w:val="0"/>
        <w:keepLines w:val="0"/>
        <w:pageBreakBefore w:val="0"/>
        <w:widowControl w:val="0"/>
        <w:kinsoku/>
        <w:wordWrap/>
        <w:overflowPunct/>
        <w:topLinePunct w:val="0"/>
        <w:autoSpaceDE/>
        <w:autoSpaceDN/>
        <w:bidi w:val="0"/>
        <w:adjustRightInd/>
        <w:spacing w:line="360" w:lineRule="auto"/>
        <w:ind w:lef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w:t>
      </w:r>
      <w:r>
        <w:rPr>
          <w:rFonts w:hint="eastAsia" w:hAnsi="宋体" w:cs="宋体"/>
          <w:color w:val="auto"/>
          <w:sz w:val="21"/>
          <w:szCs w:val="21"/>
          <w:highlight w:val="none"/>
          <w:lang w:eastAsia="zh-CN"/>
        </w:rPr>
        <w:t>扬州市梅岭街道办事处梅岭街道2024-2026年居家养老购买服务（A包）二次</w:t>
      </w:r>
      <w:r>
        <w:rPr>
          <w:rFonts w:hint="eastAsia" w:ascii="宋体" w:hAnsi="宋体" w:eastAsia="宋体" w:cs="宋体"/>
          <w:color w:val="auto"/>
          <w:sz w:val="21"/>
          <w:szCs w:val="21"/>
          <w:highlight w:val="none"/>
        </w:rPr>
        <w:t xml:space="preserve">      </w:t>
      </w:r>
    </w:p>
    <w:p w14:paraId="490BFA10">
      <w:pPr>
        <w:pStyle w:val="203"/>
        <w:keepNext w:val="0"/>
        <w:keepLines w:val="0"/>
        <w:pageBreakBefore w:val="0"/>
        <w:widowControl w:val="0"/>
        <w:kinsoku/>
        <w:wordWrap/>
        <w:overflowPunct/>
        <w:topLinePunct w:val="0"/>
        <w:autoSpaceDE/>
        <w:autoSpaceDN/>
        <w:bidi w:val="0"/>
        <w:adjustRightInd/>
        <w:spacing w:line="360" w:lineRule="auto"/>
        <w:ind w:left="0" w:firstLine="42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编号：</w:t>
      </w:r>
      <w:r>
        <w:rPr>
          <w:rFonts w:hint="eastAsia" w:ascii="宋体" w:hAnsi="宋体" w:eastAsia="宋体" w:cs="宋体"/>
          <w:color w:val="auto"/>
          <w:sz w:val="21"/>
          <w:szCs w:val="21"/>
          <w:highlight w:val="none"/>
          <w:lang w:val="en-US" w:eastAsia="zh-CN"/>
        </w:rPr>
        <w:t xml:space="preserve"> </w:t>
      </w:r>
      <w:r>
        <w:rPr>
          <w:rFonts w:hint="eastAsia" w:hAnsi="宋体" w:cs="宋体"/>
          <w:color w:val="auto"/>
          <w:sz w:val="21"/>
          <w:szCs w:val="21"/>
          <w:highlight w:val="none"/>
          <w:lang w:val="en-US" w:eastAsia="zh-CN"/>
        </w:rPr>
        <w:t>JSZC-321092-JJJC-G2024-0033</w:t>
      </w:r>
    </w:p>
    <w:p w14:paraId="77C26B1C">
      <w:pPr>
        <w:pStyle w:val="203"/>
        <w:keepNext w:val="0"/>
        <w:keepLines w:val="0"/>
        <w:pageBreakBefore w:val="0"/>
        <w:widowControl w:val="0"/>
        <w:kinsoku/>
        <w:wordWrap/>
        <w:overflowPunct/>
        <w:topLinePunct w:val="0"/>
        <w:autoSpaceDE/>
        <w:autoSpaceDN/>
        <w:bidi w:val="0"/>
        <w:adjustRightInd/>
        <w:spacing w:line="360" w:lineRule="auto"/>
        <w:ind w:left="0"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甲方（采购人/</w:t>
      </w:r>
      <w:r>
        <w:rPr>
          <w:rFonts w:hint="eastAsia" w:ascii="宋体" w:hAnsi="宋体" w:eastAsia="宋体" w:cs="宋体"/>
          <w:color w:val="auto"/>
          <w:sz w:val="21"/>
          <w:szCs w:val="21"/>
          <w:highlight w:val="none"/>
          <w:lang w:val="en-US" w:eastAsia="zh-CN"/>
        </w:rPr>
        <w:t>委托</w:t>
      </w:r>
      <w:r>
        <w:rPr>
          <w:rFonts w:hint="eastAsia" w:ascii="宋体" w:hAnsi="宋体" w:eastAsia="宋体" w:cs="宋体"/>
          <w:color w:val="auto"/>
          <w:sz w:val="21"/>
          <w:szCs w:val="21"/>
          <w:highlight w:val="none"/>
        </w:rPr>
        <w:t>方）：</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74F5F018">
      <w:pPr>
        <w:pStyle w:val="203"/>
        <w:keepNext w:val="0"/>
        <w:keepLines w:val="0"/>
        <w:pageBreakBefore w:val="0"/>
        <w:widowControl w:val="0"/>
        <w:kinsoku/>
        <w:wordWrap/>
        <w:overflowPunct/>
        <w:topLinePunct w:val="0"/>
        <w:autoSpaceDE/>
        <w:autoSpaceDN/>
        <w:bidi w:val="0"/>
        <w:adjustRightInd/>
        <w:spacing w:line="360" w:lineRule="auto"/>
        <w:ind w:left="0" w:firstLine="42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乙方（供应商/</w:t>
      </w:r>
      <w:r>
        <w:rPr>
          <w:rFonts w:hint="eastAsia" w:ascii="宋体" w:hAnsi="宋体" w:eastAsia="宋体" w:cs="宋体"/>
          <w:color w:val="auto"/>
          <w:sz w:val="21"/>
          <w:szCs w:val="21"/>
          <w:highlight w:val="none"/>
          <w:lang w:val="en-US" w:eastAsia="zh-CN"/>
        </w:rPr>
        <w:t>受托</w:t>
      </w:r>
      <w:r>
        <w:rPr>
          <w:rFonts w:hint="eastAsia" w:ascii="宋体" w:hAnsi="宋体" w:eastAsia="宋体" w:cs="宋体"/>
          <w:color w:val="auto"/>
          <w:sz w:val="21"/>
          <w:szCs w:val="21"/>
          <w:highlight w:val="none"/>
        </w:rPr>
        <w:t>方）：</w:t>
      </w:r>
      <w:r>
        <w:rPr>
          <w:rFonts w:hint="eastAsia" w:ascii="宋体" w:hAnsi="宋体" w:eastAsia="宋体" w:cs="宋体"/>
          <w:color w:val="auto"/>
          <w:sz w:val="21"/>
          <w:szCs w:val="21"/>
          <w:highlight w:val="none"/>
          <w:u w:val="single"/>
          <w:lang w:val="en-US" w:eastAsia="zh-CN"/>
        </w:rPr>
        <w:t xml:space="preserve">                                   </w:t>
      </w:r>
    </w:p>
    <w:p w14:paraId="1D25EB43">
      <w:pPr>
        <w:pStyle w:val="203"/>
        <w:keepNext w:val="0"/>
        <w:keepLines w:val="0"/>
        <w:pageBreakBefore w:val="0"/>
        <w:widowControl w:val="0"/>
        <w:kinsoku/>
        <w:wordWrap/>
        <w:overflowPunct/>
        <w:topLinePunct w:val="0"/>
        <w:autoSpaceDE/>
        <w:autoSpaceDN/>
        <w:bidi w:val="0"/>
        <w:adjustRightInd/>
        <w:spacing w:line="360" w:lineRule="auto"/>
        <w:ind w:left="0" w:firstLine="420"/>
        <w:textAlignment w:val="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rPr>
        <w:t>见证方：</w:t>
      </w:r>
      <w:r>
        <w:rPr>
          <w:rFonts w:hint="eastAsia" w:hAnsi="宋体" w:cs="宋体"/>
          <w:color w:val="auto"/>
          <w:sz w:val="21"/>
          <w:szCs w:val="21"/>
          <w:highlight w:val="none"/>
          <w:lang w:eastAsia="zh-CN"/>
        </w:rPr>
        <w:t>江苏嘉加诚工程投资咨询有限公司</w:t>
      </w:r>
    </w:p>
    <w:p w14:paraId="20267BD6">
      <w:pPr>
        <w:pStyle w:val="203"/>
        <w:pageBreakBefore w:val="0"/>
        <w:kinsoku/>
        <w:wordWrap/>
        <w:overflowPunct/>
        <w:topLinePunct w:val="0"/>
        <w:autoSpaceDE/>
        <w:autoSpaceDN/>
        <w:bidi w:val="0"/>
        <w:adjustRightInd/>
        <w:spacing w:before="120" w:after="120" w:line="360" w:lineRule="auto"/>
        <w:ind w:firstLine="420"/>
        <w:textAlignment w:val="auto"/>
        <w:rPr>
          <w:rFonts w:hAnsi="宋体"/>
          <w:color w:val="auto"/>
          <w:sz w:val="21"/>
          <w:highlight w:val="none"/>
        </w:rPr>
      </w:pPr>
      <w:r>
        <w:rPr>
          <w:rFonts w:hint="eastAsia" w:hAnsi="宋体"/>
          <w:color w:val="auto"/>
          <w:sz w:val="21"/>
          <w:highlight w:val="none"/>
        </w:rPr>
        <w:t>甲、乙双方根据</w:t>
      </w:r>
      <w:r>
        <w:rPr>
          <w:rFonts w:hint="eastAsia" w:hAnsi="宋体"/>
          <w:color w:val="auto"/>
          <w:sz w:val="21"/>
          <w:highlight w:val="none"/>
          <w:lang w:eastAsia="zh-CN"/>
        </w:rPr>
        <w:t>江苏嘉加诚工程投资咨询有限公司</w:t>
      </w:r>
      <w:r>
        <w:rPr>
          <w:rFonts w:hint="eastAsia" w:hAnsi="宋体"/>
          <w:color w:val="auto"/>
          <w:sz w:val="21"/>
          <w:highlight w:val="none"/>
          <w:u w:val="single"/>
        </w:rPr>
        <w:t xml:space="preserve"> </w:t>
      </w:r>
      <w:r>
        <w:rPr>
          <w:rFonts w:hint="eastAsia" w:hAnsi="宋体"/>
          <w:color w:val="auto"/>
          <w:sz w:val="21"/>
          <w:highlight w:val="none"/>
          <w:u w:val="single"/>
          <w:lang w:eastAsia="zh-CN"/>
        </w:rPr>
        <w:t>扬州市梅岭街道办事处梅岭街道2024-2026年居家养老购买服务（A包）二次</w:t>
      </w:r>
      <w:r>
        <w:rPr>
          <w:rFonts w:hint="eastAsia" w:hAnsi="宋体"/>
          <w:color w:val="auto"/>
          <w:sz w:val="21"/>
          <w:highlight w:val="none"/>
          <w:u w:val="single"/>
        </w:rPr>
        <w:t xml:space="preserve"> </w:t>
      </w:r>
      <w:r>
        <w:rPr>
          <w:rFonts w:hint="eastAsia" w:hAnsi="宋体"/>
          <w:color w:val="auto"/>
          <w:sz w:val="21"/>
          <w:highlight w:val="none"/>
        </w:rPr>
        <w:t>项目公开招标的结果，签署本合同。</w:t>
      </w:r>
    </w:p>
    <w:p w14:paraId="3A512AC0">
      <w:pPr>
        <w:pStyle w:val="203"/>
        <w:pageBreakBefore w:val="0"/>
        <w:kinsoku/>
        <w:wordWrap/>
        <w:overflowPunct/>
        <w:topLinePunct w:val="0"/>
        <w:autoSpaceDE/>
        <w:autoSpaceDN/>
        <w:bidi w:val="0"/>
        <w:adjustRightInd/>
        <w:spacing w:before="120" w:after="120" w:line="360" w:lineRule="auto"/>
        <w:ind w:firstLine="422"/>
        <w:textAlignment w:val="auto"/>
        <w:rPr>
          <w:rFonts w:hAnsi="宋体"/>
          <w:b/>
          <w:bCs/>
          <w:color w:val="auto"/>
          <w:sz w:val="21"/>
          <w:highlight w:val="none"/>
        </w:rPr>
      </w:pPr>
      <w:r>
        <w:rPr>
          <w:rFonts w:hint="eastAsia" w:hAnsi="宋体"/>
          <w:b/>
          <w:bCs/>
          <w:color w:val="auto"/>
          <w:sz w:val="21"/>
          <w:highlight w:val="none"/>
        </w:rPr>
        <w:t>一、服务</w:t>
      </w:r>
    </w:p>
    <w:p w14:paraId="014FDB6D">
      <w:pPr>
        <w:pStyle w:val="203"/>
        <w:pageBreakBefore w:val="0"/>
        <w:kinsoku/>
        <w:wordWrap/>
        <w:overflowPunct/>
        <w:topLinePunct w:val="0"/>
        <w:autoSpaceDE/>
        <w:autoSpaceDN/>
        <w:bidi w:val="0"/>
        <w:adjustRightInd/>
        <w:spacing w:before="120" w:after="120" w:line="360" w:lineRule="auto"/>
        <w:ind w:firstLine="420"/>
        <w:textAlignment w:val="auto"/>
        <w:rPr>
          <w:rFonts w:hAnsi="宋体"/>
          <w:color w:val="auto"/>
          <w:sz w:val="21"/>
          <w:highlight w:val="none"/>
        </w:rPr>
      </w:pPr>
      <w:r>
        <w:rPr>
          <w:rFonts w:hint="eastAsia" w:hAnsi="宋体"/>
          <w:color w:val="auto"/>
          <w:sz w:val="21"/>
          <w:highlight w:val="none"/>
        </w:rPr>
        <w:t>1.1 服务名称：</w:t>
      </w:r>
    </w:p>
    <w:p w14:paraId="46C1B3DA">
      <w:pPr>
        <w:pStyle w:val="203"/>
        <w:pageBreakBefore w:val="0"/>
        <w:kinsoku/>
        <w:wordWrap/>
        <w:overflowPunct/>
        <w:topLinePunct w:val="0"/>
        <w:autoSpaceDE/>
        <w:autoSpaceDN/>
        <w:bidi w:val="0"/>
        <w:adjustRightInd/>
        <w:spacing w:before="120" w:after="120" w:line="360" w:lineRule="auto"/>
        <w:ind w:firstLine="420"/>
        <w:textAlignment w:val="auto"/>
        <w:rPr>
          <w:rFonts w:hAnsi="宋体"/>
          <w:color w:val="auto"/>
          <w:sz w:val="21"/>
          <w:highlight w:val="none"/>
        </w:rPr>
      </w:pPr>
      <w:r>
        <w:rPr>
          <w:rFonts w:hAnsi="宋体"/>
          <w:color w:val="auto"/>
          <w:sz w:val="21"/>
          <w:highlight w:val="none"/>
        </w:rPr>
        <w:t xml:space="preserve">1.2 </w:t>
      </w:r>
      <w:r>
        <w:rPr>
          <w:rFonts w:hint="eastAsia" w:hAnsi="宋体"/>
          <w:color w:val="auto"/>
          <w:sz w:val="21"/>
          <w:highlight w:val="none"/>
        </w:rPr>
        <w:t>服务内容等要求详见招标文件及乙方投标文件(附：项目需求)。</w:t>
      </w:r>
    </w:p>
    <w:p w14:paraId="39A2B2DC">
      <w:pPr>
        <w:pStyle w:val="203"/>
        <w:pageBreakBefore w:val="0"/>
        <w:kinsoku/>
        <w:wordWrap/>
        <w:overflowPunct/>
        <w:topLinePunct w:val="0"/>
        <w:autoSpaceDE/>
        <w:autoSpaceDN/>
        <w:bidi w:val="0"/>
        <w:adjustRightInd/>
        <w:spacing w:before="120" w:after="120" w:line="360" w:lineRule="auto"/>
        <w:ind w:firstLine="422"/>
        <w:textAlignment w:val="auto"/>
        <w:rPr>
          <w:rFonts w:hAnsi="宋体"/>
          <w:b/>
          <w:bCs/>
          <w:color w:val="auto"/>
          <w:sz w:val="21"/>
          <w:highlight w:val="none"/>
        </w:rPr>
      </w:pPr>
      <w:r>
        <w:rPr>
          <w:rFonts w:hint="eastAsia" w:hAnsi="宋体"/>
          <w:b/>
          <w:bCs/>
          <w:color w:val="auto"/>
          <w:sz w:val="21"/>
          <w:highlight w:val="none"/>
        </w:rPr>
        <w:t>二、合同金额</w:t>
      </w:r>
    </w:p>
    <w:p w14:paraId="414AECE8">
      <w:pPr>
        <w:pStyle w:val="203"/>
        <w:pageBreakBefore w:val="0"/>
        <w:kinsoku/>
        <w:wordWrap/>
        <w:overflowPunct/>
        <w:topLinePunct w:val="0"/>
        <w:autoSpaceDE/>
        <w:autoSpaceDN/>
        <w:bidi w:val="0"/>
        <w:adjustRightInd/>
        <w:spacing w:before="120" w:after="120" w:line="360" w:lineRule="auto"/>
        <w:ind w:firstLine="422"/>
        <w:textAlignment w:val="auto"/>
        <w:rPr>
          <w:rFonts w:hint="eastAsia" w:hAnsi="宋体"/>
          <w:color w:val="auto"/>
          <w:sz w:val="21"/>
          <w:highlight w:val="none"/>
        </w:rPr>
      </w:pPr>
      <w:r>
        <w:rPr>
          <w:rFonts w:hint="eastAsia" w:hAnsi="宋体"/>
          <w:color w:val="auto"/>
          <w:sz w:val="21"/>
          <w:highlight w:val="none"/>
        </w:rPr>
        <w:t>2.1本合同金额为（大写）：_______________________________元人民币（¥_____元）。</w:t>
      </w:r>
    </w:p>
    <w:p w14:paraId="5E7011A6">
      <w:pPr>
        <w:pStyle w:val="203"/>
        <w:pageBreakBefore w:val="0"/>
        <w:kinsoku/>
        <w:wordWrap/>
        <w:overflowPunct/>
        <w:topLinePunct w:val="0"/>
        <w:autoSpaceDE/>
        <w:autoSpaceDN/>
        <w:bidi w:val="0"/>
        <w:adjustRightInd/>
        <w:spacing w:before="120" w:after="120" w:line="360" w:lineRule="auto"/>
        <w:ind w:firstLine="422"/>
        <w:textAlignment w:val="auto"/>
        <w:rPr>
          <w:rFonts w:hint="eastAsia" w:hAnsi="宋体"/>
          <w:color w:val="auto"/>
          <w:sz w:val="21"/>
          <w:highlight w:val="none"/>
        </w:rPr>
      </w:pPr>
      <w:r>
        <w:rPr>
          <w:rFonts w:hint="eastAsia" w:hAnsi="宋体"/>
          <w:color w:val="auto"/>
          <w:sz w:val="21"/>
          <w:highlight w:val="none"/>
        </w:rPr>
        <w:t>2.2本合同总金额包括乙方提供的服务及其他有关的为完成本项目发生的所有费用，包括交通费、人工费用、技术服务、日常耗材费等为完成采购文件规定的服务工作所涉及到的一切相关费用，招标文件中另有规定的除外。</w:t>
      </w:r>
    </w:p>
    <w:p w14:paraId="7AE511C4">
      <w:pPr>
        <w:pStyle w:val="203"/>
        <w:pageBreakBefore w:val="0"/>
        <w:kinsoku/>
        <w:wordWrap/>
        <w:overflowPunct/>
        <w:topLinePunct w:val="0"/>
        <w:autoSpaceDE/>
        <w:autoSpaceDN/>
        <w:bidi w:val="0"/>
        <w:adjustRightInd/>
        <w:spacing w:before="120" w:after="120" w:line="360" w:lineRule="auto"/>
        <w:ind w:firstLine="422"/>
        <w:textAlignment w:val="auto"/>
        <w:rPr>
          <w:rFonts w:hint="eastAsia" w:hAnsi="宋体"/>
          <w:color w:val="auto"/>
          <w:sz w:val="21"/>
          <w:highlight w:val="none"/>
        </w:rPr>
      </w:pPr>
      <w:r>
        <w:rPr>
          <w:rFonts w:hint="eastAsia" w:hAnsi="宋体"/>
          <w:color w:val="auto"/>
          <w:sz w:val="21"/>
          <w:highlight w:val="none"/>
        </w:rPr>
        <w:t>2.3在招标文件未列明，而乙方认为履行本合同必需的费用也包含在合同总金额中。</w:t>
      </w:r>
    </w:p>
    <w:p w14:paraId="684B9001">
      <w:pPr>
        <w:pStyle w:val="203"/>
        <w:pageBreakBefore w:val="0"/>
        <w:kinsoku/>
        <w:wordWrap/>
        <w:overflowPunct/>
        <w:topLinePunct w:val="0"/>
        <w:autoSpaceDE/>
        <w:autoSpaceDN/>
        <w:bidi w:val="0"/>
        <w:adjustRightInd/>
        <w:spacing w:before="120" w:after="120" w:line="360" w:lineRule="auto"/>
        <w:ind w:firstLine="422"/>
        <w:textAlignment w:val="auto"/>
        <w:rPr>
          <w:rFonts w:hint="eastAsia" w:hAnsi="宋体"/>
          <w:color w:val="auto"/>
          <w:sz w:val="21"/>
          <w:highlight w:val="none"/>
        </w:rPr>
      </w:pPr>
      <w:r>
        <w:rPr>
          <w:rFonts w:hint="eastAsia" w:hAnsi="宋体"/>
          <w:color w:val="auto"/>
          <w:sz w:val="21"/>
          <w:highlight w:val="none"/>
        </w:rPr>
        <w:t>2.4本合同总金额还包含乙方提供的伴随服务/售后服务费用。</w:t>
      </w:r>
    </w:p>
    <w:p w14:paraId="49D132DB">
      <w:pPr>
        <w:pStyle w:val="203"/>
        <w:pageBreakBefore w:val="0"/>
        <w:kinsoku/>
        <w:wordWrap/>
        <w:overflowPunct/>
        <w:topLinePunct w:val="0"/>
        <w:autoSpaceDE/>
        <w:autoSpaceDN/>
        <w:bidi w:val="0"/>
        <w:adjustRightInd/>
        <w:spacing w:before="120" w:after="120" w:line="360" w:lineRule="auto"/>
        <w:ind w:firstLine="422"/>
        <w:textAlignment w:val="auto"/>
        <w:rPr>
          <w:rFonts w:hint="eastAsia" w:hAnsi="宋体"/>
          <w:color w:val="auto"/>
          <w:sz w:val="21"/>
          <w:highlight w:val="none"/>
        </w:rPr>
      </w:pPr>
      <w:r>
        <w:rPr>
          <w:rFonts w:hint="eastAsia" w:hAnsi="宋体"/>
          <w:color w:val="auto"/>
          <w:sz w:val="21"/>
          <w:highlight w:val="none"/>
        </w:rPr>
        <w:t>2.5 本合同签订后：甲方需追加与合同标的相同的服务，在不改变合同其他条款的前提下，可以与乙方协商签订补充合同，但所有补充合同的增加的金额不超过原合同金额的10%；甲方若由于各种客观原因，必须对采购项目所牵涉的服务进行适当的减少时，在与乙方协商一致后，可以按照招标采购时的价格水平做相应的调减，并据此签订补充合同；除上述情况外，本合同执行期间合同总金额不变。</w:t>
      </w:r>
    </w:p>
    <w:p w14:paraId="6BB6B975">
      <w:pPr>
        <w:pStyle w:val="203"/>
        <w:pageBreakBefore w:val="0"/>
        <w:kinsoku/>
        <w:wordWrap/>
        <w:overflowPunct/>
        <w:topLinePunct w:val="0"/>
        <w:autoSpaceDE/>
        <w:autoSpaceDN/>
        <w:bidi w:val="0"/>
        <w:adjustRightInd/>
        <w:spacing w:before="120" w:after="120" w:line="360" w:lineRule="auto"/>
        <w:ind w:firstLine="422"/>
        <w:textAlignment w:val="auto"/>
        <w:rPr>
          <w:rFonts w:hAnsi="宋体"/>
          <w:b/>
          <w:bCs/>
          <w:color w:val="auto"/>
          <w:sz w:val="21"/>
          <w:highlight w:val="none"/>
        </w:rPr>
      </w:pPr>
      <w:r>
        <w:rPr>
          <w:rFonts w:hint="eastAsia" w:hAnsi="宋体"/>
          <w:b/>
          <w:bCs/>
          <w:color w:val="auto"/>
          <w:sz w:val="21"/>
          <w:highlight w:val="none"/>
        </w:rPr>
        <w:t>三、技术资料</w:t>
      </w:r>
    </w:p>
    <w:p w14:paraId="534292F2">
      <w:pPr>
        <w:pStyle w:val="203"/>
        <w:pageBreakBefore w:val="0"/>
        <w:kinsoku/>
        <w:wordWrap/>
        <w:overflowPunct/>
        <w:topLinePunct w:val="0"/>
        <w:autoSpaceDE/>
        <w:autoSpaceDN/>
        <w:bidi w:val="0"/>
        <w:adjustRightInd/>
        <w:spacing w:before="120" w:after="120" w:line="360" w:lineRule="auto"/>
        <w:ind w:firstLine="420"/>
        <w:textAlignment w:val="auto"/>
        <w:rPr>
          <w:rFonts w:hAnsi="宋体"/>
          <w:color w:val="auto"/>
          <w:sz w:val="21"/>
          <w:highlight w:val="none"/>
        </w:rPr>
      </w:pPr>
      <w:r>
        <w:rPr>
          <w:rFonts w:hint="eastAsia" w:hAnsi="宋体"/>
          <w:color w:val="auto"/>
          <w:sz w:val="21"/>
          <w:highlight w:val="none"/>
        </w:rPr>
        <w:t>3.1乙方应按招标文件规定的时间向甲方提供使用服务的有关技术资料。</w:t>
      </w:r>
    </w:p>
    <w:p w14:paraId="3D645F0B">
      <w:pPr>
        <w:pStyle w:val="203"/>
        <w:pageBreakBefore w:val="0"/>
        <w:kinsoku/>
        <w:wordWrap/>
        <w:overflowPunct/>
        <w:topLinePunct w:val="0"/>
        <w:autoSpaceDE/>
        <w:autoSpaceDN/>
        <w:bidi w:val="0"/>
        <w:adjustRightInd/>
        <w:spacing w:before="120" w:after="120" w:line="360" w:lineRule="auto"/>
        <w:ind w:firstLine="420"/>
        <w:textAlignment w:val="auto"/>
        <w:rPr>
          <w:rFonts w:hAnsi="宋体"/>
          <w:color w:val="auto"/>
          <w:sz w:val="21"/>
          <w:highlight w:val="none"/>
        </w:rPr>
      </w:pPr>
      <w:r>
        <w:rPr>
          <w:rFonts w:hint="eastAsia" w:hAnsi="宋体"/>
          <w:color w:val="auto"/>
          <w:sz w:val="21"/>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50D3E1A8">
      <w:pPr>
        <w:pStyle w:val="203"/>
        <w:pageBreakBefore w:val="0"/>
        <w:kinsoku/>
        <w:wordWrap/>
        <w:overflowPunct/>
        <w:topLinePunct w:val="0"/>
        <w:autoSpaceDE/>
        <w:autoSpaceDN/>
        <w:bidi w:val="0"/>
        <w:adjustRightInd/>
        <w:spacing w:before="120" w:after="120" w:line="360" w:lineRule="auto"/>
        <w:ind w:firstLine="210" w:firstLineChars="100"/>
        <w:textAlignment w:val="auto"/>
        <w:rPr>
          <w:rFonts w:hint="eastAsia" w:hAnsi="宋体"/>
          <w:color w:val="auto"/>
          <w:sz w:val="21"/>
          <w:highlight w:val="none"/>
          <w:lang w:val="en-US" w:eastAsia="zh-CN"/>
        </w:rPr>
      </w:pPr>
      <w:r>
        <w:rPr>
          <w:rFonts w:hint="eastAsia" w:hAnsi="宋体"/>
          <w:color w:val="auto"/>
          <w:sz w:val="21"/>
          <w:highlight w:val="none"/>
          <w:lang w:val="en-US" w:eastAsia="zh-CN"/>
        </w:rPr>
        <w:t>3.3 关于本项目政府采购的招投标文件或与本次采购活动方式相适应的文件及有关附件是本合同不可分割的组成部分，这些文件包括但不限于：</w:t>
      </w:r>
    </w:p>
    <w:p w14:paraId="3DA405CB">
      <w:pPr>
        <w:pStyle w:val="203"/>
        <w:pageBreakBefore w:val="0"/>
        <w:kinsoku/>
        <w:wordWrap/>
        <w:overflowPunct/>
        <w:topLinePunct w:val="0"/>
        <w:autoSpaceDE/>
        <w:autoSpaceDN/>
        <w:bidi w:val="0"/>
        <w:adjustRightInd/>
        <w:spacing w:before="120" w:after="120" w:line="360" w:lineRule="auto"/>
        <w:ind w:firstLine="210" w:firstLineChars="100"/>
        <w:textAlignment w:val="auto"/>
        <w:rPr>
          <w:rFonts w:hint="eastAsia" w:hAnsi="宋体"/>
          <w:color w:val="auto"/>
          <w:sz w:val="21"/>
          <w:highlight w:val="none"/>
          <w:lang w:val="en-US" w:eastAsia="zh-CN"/>
        </w:rPr>
      </w:pPr>
      <w:r>
        <w:rPr>
          <w:rFonts w:hint="eastAsia" w:hAnsi="宋体"/>
          <w:color w:val="auto"/>
          <w:sz w:val="21"/>
          <w:highlight w:val="none"/>
          <w:lang w:val="en-US" w:eastAsia="zh-CN"/>
        </w:rPr>
        <w:t>（1）招标文件；                   （2）投标报价文件；</w:t>
      </w:r>
    </w:p>
    <w:p w14:paraId="6D41EA9B">
      <w:pPr>
        <w:pStyle w:val="203"/>
        <w:pageBreakBefore w:val="0"/>
        <w:kinsoku/>
        <w:wordWrap/>
        <w:overflowPunct/>
        <w:topLinePunct w:val="0"/>
        <w:autoSpaceDE/>
        <w:autoSpaceDN/>
        <w:bidi w:val="0"/>
        <w:adjustRightInd/>
        <w:spacing w:before="120" w:after="120" w:line="360" w:lineRule="auto"/>
        <w:ind w:firstLine="210" w:firstLineChars="100"/>
        <w:textAlignment w:val="auto"/>
        <w:rPr>
          <w:rFonts w:hint="eastAsia" w:hAnsi="宋体"/>
          <w:color w:val="auto"/>
          <w:sz w:val="21"/>
          <w:highlight w:val="none"/>
          <w:lang w:val="en-US" w:eastAsia="zh-CN"/>
        </w:rPr>
      </w:pPr>
      <w:r>
        <w:rPr>
          <w:rFonts w:hint="eastAsia" w:hAnsi="宋体"/>
          <w:color w:val="auto"/>
          <w:sz w:val="21"/>
          <w:highlight w:val="none"/>
          <w:lang w:val="en-US" w:eastAsia="zh-CN"/>
        </w:rPr>
        <w:t>（3）项目组人员表                 （4）服务要求响应及偏离表；</w:t>
      </w:r>
    </w:p>
    <w:p w14:paraId="0374A909">
      <w:pPr>
        <w:pStyle w:val="203"/>
        <w:pageBreakBefore w:val="0"/>
        <w:kinsoku/>
        <w:wordWrap/>
        <w:overflowPunct/>
        <w:topLinePunct w:val="0"/>
        <w:autoSpaceDE/>
        <w:autoSpaceDN/>
        <w:bidi w:val="0"/>
        <w:adjustRightInd/>
        <w:spacing w:before="120" w:after="120" w:line="360" w:lineRule="auto"/>
        <w:ind w:firstLine="210" w:firstLineChars="100"/>
        <w:textAlignment w:val="auto"/>
        <w:rPr>
          <w:rFonts w:hint="eastAsia" w:hAnsi="宋体"/>
          <w:color w:val="auto"/>
          <w:sz w:val="21"/>
          <w:highlight w:val="none"/>
          <w:lang w:val="en-US" w:eastAsia="zh-CN"/>
        </w:rPr>
      </w:pPr>
      <w:r>
        <w:rPr>
          <w:rFonts w:hint="eastAsia" w:hAnsi="宋体"/>
          <w:color w:val="auto"/>
          <w:sz w:val="21"/>
          <w:highlight w:val="none"/>
          <w:lang w:val="en-US" w:eastAsia="zh-CN"/>
        </w:rPr>
        <w:t>（5）服务承诺；                   （6）中标通知书；</w:t>
      </w:r>
    </w:p>
    <w:p w14:paraId="62DD2BEC">
      <w:pPr>
        <w:pStyle w:val="203"/>
        <w:pageBreakBefore w:val="0"/>
        <w:kinsoku/>
        <w:wordWrap/>
        <w:overflowPunct/>
        <w:topLinePunct w:val="0"/>
        <w:autoSpaceDE/>
        <w:autoSpaceDN/>
        <w:bidi w:val="0"/>
        <w:adjustRightInd/>
        <w:spacing w:before="120" w:after="120" w:line="360" w:lineRule="auto"/>
        <w:ind w:firstLine="210" w:firstLineChars="100"/>
        <w:textAlignment w:val="auto"/>
        <w:rPr>
          <w:rFonts w:hint="eastAsia" w:hAnsi="宋体"/>
          <w:color w:val="auto"/>
          <w:sz w:val="21"/>
          <w:highlight w:val="none"/>
          <w:lang w:val="en-US" w:eastAsia="zh-CN"/>
        </w:rPr>
      </w:pPr>
      <w:r>
        <w:rPr>
          <w:rFonts w:hint="eastAsia" w:hAnsi="宋体"/>
          <w:color w:val="auto"/>
          <w:sz w:val="21"/>
          <w:highlight w:val="none"/>
          <w:lang w:val="en-US" w:eastAsia="zh-CN"/>
        </w:rPr>
        <w:t>（7）甲乙双方补充协议；           （8）乙方投标时提供的响应文件。</w:t>
      </w:r>
    </w:p>
    <w:p w14:paraId="2986D69E">
      <w:pPr>
        <w:pStyle w:val="203"/>
        <w:pageBreakBefore w:val="0"/>
        <w:kinsoku/>
        <w:wordWrap/>
        <w:overflowPunct/>
        <w:topLinePunct w:val="0"/>
        <w:autoSpaceDE/>
        <w:autoSpaceDN/>
        <w:bidi w:val="0"/>
        <w:adjustRightInd/>
        <w:spacing w:before="120" w:after="120" w:line="360" w:lineRule="auto"/>
        <w:ind w:firstLine="422"/>
        <w:textAlignment w:val="auto"/>
        <w:rPr>
          <w:rFonts w:hAnsi="宋体"/>
          <w:b/>
          <w:bCs/>
          <w:color w:val="auto"/>
          <w:sz w:val="21"/>
          <w:highlight w:val="none"/>
        </w:rPr>
      </w:pPr>
      <w:r>
        <w:rPr>
          <w:rFonts w:hint="eastAsia" w:hAnsi="宋体"/>
          <w:b/>
          <w:bCs/>
          <w:color w:val="auto"/>
          <w:sz w:val="21"/>
          <w:highlight w:val="none"/>
        </w:rPr>
        <w:t>四、知识产权</w:t>
      </w:r>
    </w:p>
    <w:p w14:paraId="3C2C0D85">
      <w:pPr>
        <w:pStyle w:val="203"/>
        <w:pageBreakBefore w:val="0"/>
        <w:kinsoku/>
        <w:wordWrap/>
        <w:overflowPunct/>
        <w:topLinePunct w:val="0"/>
        <w:autoSpaceDE/>
        <w:autoSpaceDN/>
        <w:bidi w:val="0"/>
        <w:adjustRightInd/>
        <w:spacing w:before="120" w:after="120" w:line="360" w:lineRule="auto"/>
        <w:ind w:firstLine="420"/>
        <w:textAlignment w:val="auto"/>
        <w:rPr>
          <w:rFonts w:hAnsi="宋体"/>
          <w:color w:val="auto"/>
          <w:sz w:val="21"/>
          <w:highlight w:val="none"/>
        </w:rPr>
      </w:pPr>
      <w:r>
        <w:rPr>
          <w:rFonts w:hint="eastAsia" w:hAnsi="宋体"/>
          <w:color w:val="auto"/>
          <w:sz w:val="21"/>
          <w:highlight w:val="none"/>
        </w:rPr>
        <w:t>4.1乙方应保证甲方在使用、接受本合同服务或其任何一部分时不受第三方提出侵犯其专利权、版权、商标权和工业设计权等知识产权的起诉。一旦出现侵权，由乙方负全部责任。</w:t>
      </w:r>
    </w:p>
    <w:p w14:paraId="0966E5C1">
      <w:pPr>
        <w:pStyle w:val="203"/>
        <w:pageBreakBefore w:val="0"/>
        <w:kinsoku/>
        <w:wordWrap/>
        <w:overflowPunct/>
        <w:topLinePunct w:val="0"/>
        <w:autoSpaceDE/>
        <w:autoSpaceDN/>
        <w:bidi w:val="0"/>
        <w:adjustRightInd/>
        <w:spacing w:before="120" w:after="120" w:line="360" w:lineRule="auto"/>
        <w:ind w:firstLine="422"/>
        <w:textAlignment w:val="auto"/>
        <w:rPr>
          <w:rFonts w:hAnsi="宋体"/>
          <w:b/>
          <w:bCs/>
          <w:color w:val="auto"/>
          <w:sz w:val="21"/>
          <w:highlight w:val="none"/>
        </w:rPr>
      </w:pPr>
      <w:r>
        <w:rPr>
          <w:rFonts w:hint="eastAsia" w:hAnsi="宋体"/>
          <w:b/>
          <w:bCs/>
          <w:color w:val="auto"/>
          <w:sz w:val="21"/>
          <w:highlight w:val="none"/>
        </w:rPr>
        <w:t>五、产权担保</w:t>
      </w:r>
    </w:p>
    <w:p w14:paraId="02D3B038">
      <w:pPr>
        <w:pStyle w:val="203"/>
        <w:pageBreakBefore w:val="0"/>
        <w:kinsoku/>
        <w:wordWrap/>
        <w:overflowPunct/>
        <w:topLinePunct w:val="0"/>
        <w:autoSpaceDE/>
        <w:autoSpaceDN/>
        <w:bidi w:val="0"/>
        <w:adjustRightInd/>
        <w:spacing w:before="120" w:after="120" w:line="360" w:lineRule="auto"/>
        <w:ind w:firstLine="420"/>
        <w:textAlignment w:val="auto"/>
        <w:rPr>
          <w:rFonts w:hAnsi="宋体"/>
          <w:color w:val="auto"/>
          <w:sz w:val="21"/>
          <w:highlight w:val="none"/>
        </w:rPr>
      </w:pPr>
      <w:r>
        <w:rPr>
          <w:rFonts w:hint="eastAsia" w:hAnsi="宋体"/>
          <w:color w:val="auto"/>
          <w:sz w:val="21"/>
          <w:highlight w:val="none"/>
        </w:rPr>
        <w:t>5.1 乙方保证所交付的服务的所有权完全属于乙方且无任何抵押、查封等产权瑕疵。</w:t>
      </w:r>
    </w:p>
    <w:p w14:paraId="4294D540">
      <w:pPr>
        <w:pStyle w:val="203"/>
        <w:pageBreakBefore w:val="0"/>
        <w:kinsoku/>
        <w:wordWrap/>
        <w:overflowPunct/>
        <w:topLinePunct w:val="0"/>
        <w:autoSpaceDE/>
        <w:autoSpaceDN/>
        <w:bidi w:val="0"/>
        <w:adjustRightInd/>
        <w:spacing w:before="120" w:after="120" w:line="360" w:lineRule="auto"/>
        <w:ind w:firstLine="422"/>
        <w:textAlignment w:val="auto"/>
        <w:rPr>
          <w:rFonts w:hAnsi="宋体"/>
          <w:b/>
          <w:bCs/>
          <w:color w:val="auto"/>
          <w:sz w:val="21"/>
          <w:highlight w:val="none"/>
        </w:rPr>
      </w:pPr>
      <w:r>
        <w:rPr>
          <w:rFonts w:hint="eastAsia" w:hAnsi="宋体"/>
          <w:b/>
          <w:bCs/>
          <w:color w:val="auto"/>
          <w:sz w:val="21"/>
          <w:highlight w:val="none"/>
        </w:rPr>
        <w:t>六、履约保证金</w:t>
      </w:r>
    </w:p>
    <w:p w14:paraId="258C7084">
      <w:pPr>
        <w:pStyle w:val="203"/>
        <w:pageBreakBefore w:val="0"/>
        <w:kinsoku/>
        <w:wordWrap/>
        <w:overflowPunct/>
        <w:topLinePunct w:val="0"/>
        <w:autoSpaceDE/>
        <w:autoSpaceDN/>
        <w:bidi w:val="0"/>
        <w:adjustRightInd/>
        <w:spacing w:before="120" w:after="120" w:line="360" w:lineRule="auto"/>
        <w:ind w:firstLine="420"/>
        <w:textAlignment w:val="auto"/>
        <w:rPr>
          <w:rFonts w:hAnsi="宋体"/>
          <w:color w:val="auto"/>
          <w:sz w:val="21"/>
          <w:highlight w:val="none"/>
        </w:rPr>
      </w:pPr>
      <w:r>
        <w:rPr>
          <w:rFonts w:hAnsi="宋体"/>
          <w:color w:val="auto"/>
          <w:sz w:val="21"/>
          <w:highlight w:val="none"/>
        </w:rPr>
        <w:t>6.1 收取履约保证金的，</w:t>
      </w:r>
      <w:r>
        <w:rPr>
          <w:rFonts w:hint="eastAsia" w:hAnsi="宋体"/>
          <w:color w:val="auto"/>
          <w:sz w:val="21"/>
          <w:highlight w:val="none"/>
        </w:rPr>
        <w:t>允许中标人自主选择支票、汇票、本票、保函等非现金形式缴纳或提交，</w:t>
      </w:r>
      <w:r>
        <w:rPr>
          <w:rFonts w:hAnsi="宋体"/>
          <w:color w:val="auto"/>
          <w:sz w:val="21"/>
          <w:highlight w:val="none"/>
        </w:rPr>
        <w:t>应当在采购合同中约定履约保证金退还的方式、时间、条件和不予退还的情形，明确逾期退还履约保证金的违约责任。</w:t>
      </w:r>
    </w:p>
    <w:p w14:paraId="1EC247B4">
      <w:pPr>
        <w:pStyle w:val="203"/>
        <w:pageBreakBefore w:val="0"/>
        <w:kinsoku/>
        <w:wordWrap/>
        <w:overflowPunct/>
        <w:topLinePunct w:val="0"/>
        <w:autoSpaceDE/>
        <w:autoSpaceDN/>
        <w:bidi w:val="0"/>
        <w:adjustRightInd/>
        <w:spacing w:before="120" w:after="120" w:line="360" w:lineRule="auto"/>
        <w:ind w:firstLine="420"/>
        <w:textAlignment w:val="auto"/>
        <w:rPr>
          <w:rFonts w:hAnsi="宋体"/>
          <w:color w:val="auto"/>
          <w:sz w:val="21"/>
          <w:highlight w:val="none"/>
        </w:rPr>
      </w:pPr>
      <w:r>
        <w:rPr>
          <w:rFonts w:hint="eastAsia" w:hAnsi="宋体"/>
          <w:color w:val="auto"/>
          <w:sz w:val="21"/>
          <w:highlight w:val="none"/>
        </w:rPr>
        <w:t>6.2履约保证金用以约束乙方在合同履行中的行为，以及弥补合同履行中由于乙方自身行为可能给甲方带来的各种损失；若履约保证金额不足以弥补乙方违约造成甲方损失的，甲方可继续向乙方主张索赔。</w:t>
      </w:r>
    </w:p>
    <w:p w14:paraId="71F2DE59">
      <w:pPr>
        <w:pStyle w:val="203"/>
        <w:pageBreakBefore w:val="0"/>
        <w:kinsoku/>
        <w:wordWrap/>
        <w:overflowPunct/>
        <w:topLinePunct w:val="0"/>
        <w:autoSpaceDE/>
        <w:autoSpaceDN/>
        <w:bidi w:val="0"/>
        <w:adjustRightInd/>
        <w:spacing w:before="120" w:after="120" w:line="360" w:lineRule="auto"/>
        <w:ind w:firstLine="420"/>
        <w:textAlignment w:val="auto"/>
        <w:rPr>
          <w:rFonts w:hAnsi="宋体" w:cs="宋体"/>
          <w:color w:val="auto"/>
          <w:sz w:val="21"/>
          <w:highlight w:val="none"/>
        </w:rPr>
      </w:pPr>
      <w:r>
        <w:rPr>
          <w:rFonts w:hint="eastAsia" w:hAnsi="宋体" w:cs="宋体"/>
          <w:color w:val="auto"/>
          <w:sz w:val="21"/>
          <w:highlight w:val="none"/>
        </w:rPr>
        <w:t>6.3 履约保证金扣除甲方应得的补偿后的余额，在本合同履行结束后由甲方无息退还。逾期退还的，按中国人民银行同期贷款基准利率上浮20%后的利率支付超期资金占用费，但因乙方自身原因导致无法及时退还的除外。 </w:t>
      </w:r>
    </w:p>
    <w:p w14:paraId="0611EA75">
      <w:pPr>
        <w:pStyle w:val="203"/>
        <w:pageBreakBefore w:val="0"/>
        <w:kinsoku/>
        <w:wordWrap/>
        <w:overflowPunct/>
        <w:topLinePunct w:val="0"/>
        <w:autoSpaceDE/>
        <w:autoSpaceDN/>
        <w:bidi w:val="0"/>
        <w:adjustRightInd/>
        <w:spacing w:before="120" w:after="120" w:line="360" w:lineRule="auto"/>
        <w:ind w:firstLine="420"/>
        <w:textAlignment w:val="auto"/>
        <w:rPr>
          <w:rFonts w:hint="eastAsia" w:hAnsi="宋体" w:eastAsia="宋体"/>
          <w:color w:val="auto"/>
          <w:sz w:val="21"/>
          <w:highlight w:val="none"/>
          <w:lang w:eastAsia="zh-CN"/>
        </w:rPr>
      </w:pPr>
      <w:r>
        <w:rPr>
          <w:rFonts w:hint="eastAsia" w:hAnsi="宋体"/>
          <w:color w:val="auto"/>
          <w:sz w:val="21"/>
          <w:highlight w:val="none"/>
        </w:rPr>
        <w:t>6.4 履约保证金收取：无</w:t>
      </w:r>
      <w:r>
        <w:rPr>
          <w:rFonts w:hint="eastAsia" w:hAnsi="宋体"/>
          <w:color w:val="auto"/>
          <w:sz w:val="21"/>
          <w:highlight w:val="none"/>
          <w:lang w:eastAsia="zh-CN"/>
        </w:rPr>
        <w:t>。</w:t>
      </w:r>
    </w:p>
    <w:p w14:paraId="0FF7FD49">
      <w:pPr>
        <w:pStyle w:val="203"/>
        <w:pageBreakBefore w:val="0"/>
        <w:kinsoku/>
        <w:wordWrap/>
        <w:overflowPunct/>
        <w:topLinePunct w:val="0"/>
        <w:autoSpaceDE/>
        <w:autoSpaceDN/>
        <w:bidi w:val="0"/>
        <w:adjustRightInd/>
        <w:spacing w:before="120" w:after="120" w:line="360" w:lineRule="auto"/>
        <w:ind w:firstLine="422"/>
        <w:textAlignment w:val="auto"/>
        <w:rPr>
          <w:rFonts w:hAnsi="宋体"/>
          <w:b/>
          <w:bCs/>
          <w:color w:val="auto"/>
          <w:sz w:val="21"/>
          <w:highlight w:val="none"/>
        </w:rPr>
      </w:pPr>
      <w:r>
        <w:rPr>
          <w:rFonts w:hint="eastAsia" w:hAnsi="宋体"/>
          <w:b/>
          <w:bCs/>
          <w:color w:val="auto"/>
          <w:sz w:val="21"/>
          <w:highlight w:val="none"/>
        </w:rPr>
        <w:t>七、转包或分包</w:t>
      </w:r>
    </w:p>
    <w:p w14:paraId="6A2AA7FC">
      <w:pPr>
        <w:pStyle w:val="203"/>
        <w:pageBreakBefore w:val="0"/>
        <w:kinsoku/>
        <w:wordWrap/>
        <w:overflowPunct/>
        <w:topLinePunct w:val="0"/>
        <w:autoSpaceDE/>
        <w:autoSpaceDN/>
        <w:bidi w:val="0"/>
        <w:adjustRightInd/>
        <w:spacing w:before="120" w:after="120" w:line="360" w:lineRule="auto"/>
        <w:ind w:firstLine="420"/>
        <w:textAlignment w:val="auto"/>
        <w:rPr>
          <w:rFonts w:hAnsi="宋体"/>
          <w:color w:val="auto"/>
          <w:sz w:val="21"/>
          <w:highlight w:val="none"/>
        </w:rPr>
      </w:pPr>
      <w:r>
        <w:rPr>
          <w:rFonts w:hint="eastAsia" w:hAnsi="宋体"/>
          <w:color w:val="auto"/>
          <w:sz w:val="21"/>
          <w:highlight w:val="none"/>
        </w:rPr>
        <w:t>7.1本合同范围的服务，应由乙方直接供应，不得转让他人供应；</w:t>
      </w:r>
    </w:p>
    <w:p w14:paraId="7B385043">
      <w:pPr>
        <w:pStyle w:val="203"/>
        <w:pageBreakBefore w:val="0"/>
        <w:kinsoku/>
        <w:wordWrap/>
        <w:overflowPunct/>
        <w:topLinePunct w:val="0"/>
        <w:autoSpaceDE/>
        <w:autoSpaceDN/>
        <w:bidi w:val="0"/>
        <w:adjustRightInd/>
        <w:spacing w:before="120" w:after="120" w:line="360" w:lineRule="auto"/>
        <w:ind w:firstLine="420"/>
        <w:textAlignment w:val="auto"/>
        <w:rPr>
          <w:rFonts w:hAnsi="宋体"/>
          <w:color w:val="auto"/>
          <w:sz w:val="21"/>
          <w:highlight w:val="none"/>
        </w:rPr>
      </w:pPr>
      <w:r>
        <w:rPr>
          <w:rFonts w:hint="eastAsia" w:hAnsi="宋体"/>
          <w:color w:val="auto"/>
          <w:sz w:val="21"/>
          <w:highlight w:val="none"/>
        </w:rPr>
        <w:t>7.2 除非得到甲方的书面同意，乙方不得部分分包给他人供应。</w:t>
      </w:r>
    </w:p>
    <w:p w14:paraId="13222435">
      <w:pPr>
        <w:pStyle w:val="203"/>
        <w:pageBreakBefore w:val="0"/>
        <w:kinsoku/>
        <w:wordWrap/>
        <w:overflowPunct/>
        <w:topLinePunct w:val="0"/>
        <w:autoSpaceDE/>
        <w:autoSpaceDN/>
        <w:bidi w:val="0"/>
        <w:adjustRightInd/>
        <w:spacing w:before="120" w:after="120" w:line="360" w:lineRule="auto"/>
        <w:ind w:firstLine="420"/>
        <w:textAlignment w:val="auto"/>
        <w:rPr>
          <w:rFonts w:hAnsi="宋体"/>
          <w:color w:val="auto"/>
          <w:sz w:val="21"/>
          <w:highlight w:val="none"/>
        </w:rPr>
      </w:pPr>
      <w:r>
        <w:rPr>
          <w:rFonts w:hint="eastAsia" w:hAnsi="宋体"/>
          <w:color w:val="auto"/>
          <w:sz w:val="21"/>
          <w:highlight w:val="none"/>
        </w:rPr>
        <w:t>7.3如有转让和未经甲方同意的分包行为，甲方有权给予终止合同。</w:t>
      </w:r>
    </w:p>
    <w:p w14:paraId="0D01E87B">
      <w:pPr>
        <w:pStyle w:val="203"/>
        <w:pageBreakBefore w:val="0"/>
        <w:kinsoku/>
        <w:wordWrap/>
        <w:overflowPunct/>
        <w:topLinePunct w:val="0"/>
        <w:autoSpaceDE/>
        <w:autoSpaceDN/>
        <w:bidi w:val="0"/>
        <w:adjustRightInd/>
        <w:spacing w:before="120" w:after="120" w:line="360" w:lineRule="auto"/>
        <w:ind w:left="315" w:firstLine="105"/>
        <w:textAlignment w:val="auto"/>
        <w:rPr>
          <w:rFonts w:hAnsi="宋体"/>
          <w:b/>
          <w:bCs/>
          <w:color w:val="auto"/>
          <w:sz w:val="21"/>
          <w:highlight w:val="none"/>
        </w:rPr>
      </w:pPr>
      <w:r>
        <w:rPr>
          <w:rFonts w:hint="eastAsia" w:hAnsi="宋体"/>
          <w:b/>
          <w:bCs/>
          <w:color w:val="auto"/>
          <w:sz w:val="21"/>
          <w:highlight w:val="none"/>
        </w:rPr>
        <w:t>八、服务期</w:t>
      </w:r>
    </w:p>
    <w:p w14:paraId="77BB3EF6">
      <w:pPr>
        <w:pStyle w:val="203"/>
        <w:pageBreakBefore w:val="0"/>
        <w:shd w:val="clear"/>
        <w:kinsoku/>
        <w:wordWrap/>
        <w:overflowPunct/>
        <w:topLinePunct w:val="0"/>
        <w:autoSpaceDE/>
        <w:autoSpaceDN/>
        <w:bidi w:val="0"/>
        <w:adjustRightInd/>
        <w:spacing w:before="120" w:after="120" w:line="360" w:lineRule="auto"/>
        <w:ind w:firstLine="420"/>
        <w:textAlignment w:val="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8.1 </w:t>
      </w:r>
      <w:r>
        <w:rPr>
          <w:rFonts w:hint="eastAsia" w:ascii="宋体" w:hAnsi="宋体" w:eastAsia="宋体" w:cs="Times New Roman"/>
          <w:color w:val="auto"/>
          <w:sz w:val="21"/>
          <w:szCs w:val="21"/>
          <w:highlight w:val="none"/>
          <w:lang w:val="en-US" w:eastAsia="zh-CN"/>
        </w:rPr>
        <w:t>服务期：合同签订之日</w:t>
      </w:r>
      <w:r>
        <w:rPr>
          <w:rFonts w:hint="eastAsia" w:ascii="宋体" w:hAnsi="宋体" w:eastAsia="宋体" w:cs="Times New Roman"/>
          <w:color w:val="auto"/>
          <w:sz w:val="21"/>
          <w:szCs w:val="21"/>
          <w:highlight w:val="none"/>
          <w:shd w:val="clear"/>
          <w:lang w:val="en-US" w:eastAsia="zh-CN"/>
        </w:rPr>
        <w:t>起</w:t>
      </w:r>
      <w:r>
        <w:rPr>
          <w:rFonts w:hint="eastAsia" w:hAnsi="宋体" w:cs="Times New Roman"/>
          <w:color w:val="auto"/>
          <w:sz w:val="21"/>
          <w:szCs w:val="21"/>
          <w:highlight w:val="none"/>
          <w:shd w:val="clear"/>
          <w:lang w:val="en-US" w:eastAsia="zh-CN"/>
        </w:rPr>
        <w:t>两</w:t>
      </w:r>
      <w:r>
        <w:rPr>
          <w:rFonts w:hint="eastAsia" w:ascii="宋体" w:hAnsi="宋体" w:eastAsia="宋体" w:cs="Times New Roman"/>
          <w:color w:val="auto"/>
          <w:sz w:val="21"/>
          <w:szCs w:val="21"/>
          <w:highlight w:val="none"/>
          <w:shd w:val="clear"/>
          <w:lang w:val="en-US" w:eastAsia="zh-CN"/>
        </w:rPr>
        <w:t>年。</w:t>
      </w:r>
    </w:p>
    <w:p w14:paraId="5FAA18FE">
      <w:pPr>
        <w:pStyle w:val="19"/>
        <w:pageBreakBefore w:val="0"/>
        <w:shd w:val="clear"/>
        <w:kinsoku/>
        <w:wordWrap/>
        <w:overflowPunct/>
        <w:topLinePunct w:val="0"/>
        <w:autoSpaceDE/>
        <w:autoSpaceDN/>
        <w:bidi w:val="0"/>
        <w:adjustRightInd/>
        <w:snapToGrid w:val="0"/>
        <w:spacing w:line="360" w:lineRule="auto"/>
        <w:ind w:firstLine="422" w:firstLineChars="200"/>
        <w:textAlignment w:val="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九、交付期、交付方式及交付地点</w:t>
      </w:r>
    </w:p>
    <w:p w14:paraId="1B33EF09">
      <w:pPr>
        <w:pStyle w:val="19"/>
        <w:pageBreakBefore w:val="0"/>
        <w:shd w:val="clear"/>
        <w:kinsoku/>
        <w:wordWrap/>
        <w:overflowPunct/>
        <w:topLinePunct w:val="0"/>
        <w:autoSpaceDE/>
        <w:autoSpaceDN/>
        <w:bidi w:val="0"/>
        <w:adjustRightInd/>
        <w:snapToGrid w:val="0"/>
        <w:spacing w:line="360" w:lineRule="auto"/>
        <w:ind w:firstLine="420" w:firstLineChars="200"/>
        <w:textAlignment w:val="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9.1 交付期：甲方指定时间</w:t>
      </w:r>
    </w:p>
    <w:p w14:paraId="324EAA75">
      <w:pPr>
        <w:pStyle w:val="19"/>
        <w:pageBreakBefore w:val="0"/>
        <w:shd w:val="clear"/>
        <w:kinsoku/>
        <w:wordWrap/>
        <w:overflowPunct/>
        <w:topLinePunct w:val="0"/>
        <w:autoSpaceDE/>
        <w:autoSpaceDN/>
        <w:bidi w:val="0"/>
        <w:adjustRightInd/>
        <w:snapToGrid w:val="0"/>
        <w:spacing w:line="360" w:lineRule="auto"/>
        <w:ind w:firstLine="420" w:firstLineChars="200"/>
        <w:textAlignment w:val="auto"/>
        <w:rPr>
          <w:rFonts w:ascii="Times New Roman" w:hAnsi="Times New Roman" w:eastAsia="宋体"/>
          <w:color w:val="auto"/>
          <w:sz w:val="21"/>
          <w:highlight w:val="none"/>
        </w:rPr>
      </w:pPr>
      <w:r>
        <w:rPr>
          <w:rFonts w:hint="eastAsia" w:ascii="Times New Roman" w:hAnsi="Times New Roman" w:eastAsia="宋体"/>
          <w:color w:val="auto"/>
          <w:sz w:val="21"/>
          <w:highlight w:val="none"/>
        </w:rPr>
        <w:t>9.2 交付方式：甲方指定方式</w:t>
      </w:r>
    </w:p>
    <w:p w14:paraId="24D6D7CE">
      <w:pPr>
        <w:pStyle w:val="19"/>
        <w:pageBreakBefore w:val="0"/>
        <w:shd w:val="clear"/>
        <w:kinsoku/>
        <w:wordWrap/>
        <w:overflowPunct/>
        <w:topLinePunct w:val="0"/>
        <w:autoSpaceDE/>
        <w:autoSpaceDN/>
        <w:bidi w:val="0"/>
        <w:adjustRightInd/>
        <w:snapToGrid w:val="0"/>
        <w:spacing w:line="360" w:lineRule="auto"/>
        <w:ind w:firstLine="420" w:firstLineChars="200"/>
        <w:textAlignment w:val="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9.3 交付地点：甲方指定地点</w:t>
      </w:r>
    </w:p>
    <w:p w14:paraId="6C99B499">
      <w:pPr>
        <w:pStyle w:val="203"/>
        <w:pageBreakBefore w:val="0"/>
        <w:shd w:val="clear"/>
        <w:kinsoku/>
        <w:wordWrap/>
        <w:overflowPunct/>
        <w:topLinePunct w:val="0"/>
        <w:autoSpaceDE/>
        <w:autoSpaceDN/>
        <w:bidi w:val="0"/>
        <w:adjustRightInd/>
        <w:spacing w:before="120" w:after="120" w:line="360" w:lineRule="auto"/>
        <w:ind w:firstLine="422"/>
        <w:textAlignment w:val="auto"/>
        <w:rPr>
          <w:rFonts w:hAnsi="宋体"/>
          <w:b/>
          <w:bCs/>
          <w:color w:val="auto"/>
          <w:sz w:val="21"/>
          <w:highlight w:val="none"/>
        </w:rPr>
      </w:pPr>
      <w:r>
        <w:rPr>
          <w:rFonts w:hint="eastAsia" w:hAnsi="宋体"/>
          <w:b/>
          <w:bCs/>
          <w:color w:val="auto"/>
          <w:sz w:val="21"/>
          <w:highlight w:val="none"/>
        </w:rPr>
        <w:t>十、</w:t>
      </w:r>
      <w:r>
        <w:rPr>
          <w:rFonts w:hint="eastAsia" w:hAnsi="宋体"/>
          <w:b/>
          <w:bCs/>
          <w:color w:val="auto"/>
          <w:sz w:val="21"/>
          <w:highlight w:val="none"/>
          <w:lang w:val="en-US" w:eastAsia="zh-CN"/>
        </w:rPr>
        <w:t>费用</w:t>
      </w:r>
      <w:r>
        <w:rPr>
          <w:rFonts w:hint="eastAsia" w:hAnsi="宋体"/>
          <w:b/>
          <w:bCs/>
          <w:color w:val="auto"/>
          <w:sz w:val="21"/>
          <w:highlight w:val="none"/>
        </w:rPr>
        <w:t>支付</w:t>
      </w:r>
    </w:p>
    <w:p w14:paraId="64AF018B">
      <w:pPr>
        <w:pageBreakBefore w:val="0"/>
        <w:shd w:val="clear"/>
        <w:kinsoku/>
        <w:wordWrap/>
        <w:overflowPunct/>
        <w:topLinePunct w:val="0"/>
        <w:autoSpaceDE/>
        <w:autoSpaceDN/>
        <w:bidi w:val="0"/>
        <w:adjustRightInd/>
        <w:spacing w:line="360" w:lineRule="auto"/>
        <w:ind w:firstLine="420"/>
        <w:textAlignment w:val="auto"/>
        <w:rPr>
          <w:rFonts w:ascii="宋体" w:hAnsi="宋体" w:cs="宋体"/>
          <w:color w:val="auto"/>
          <w:szCs w:val="21"/>
          <w:highlight w:val="none"/>
        </w:rPr>
      </w:pPr>
      <w:r>
        <w:rPr>
          <w:rFonts w:hint="eastAsia" w:ascii="宋体" w:hAnsi="宋体" w:cs="宋体"/>
          <w:color w:val="auto"/>
          <w:szCs w:val="21"/>
          <w:highlight w:val="none"/>
        </w:rPr>
        <w:t xml:space="preserve">10.1 本合同项下所有款项均以人民币支付。 </w:t>
      </w:r>
    </w:p>
    <w:p w14:paraId="4105DC5B">
      <w:pPr>
        <w:pageBreakBefore w:val="0"/>
        <w:shd w:val="clear"/>
        <w:kinsoku/>
        <w:wordWrap/>
        <w:overflowPunct/>
        <w:topLinePunct w:val="0"/>
        <w:autoSpaceDE/>
        <w:autoSpaceDN/>
        <w:bidi w:val="0"/>
        <w:adjustRightInd/>
        <w:spacing w:line="360" w:lineRule="auto"/>
        <w:ind w:firstLine="420"/>
        <w:textAlignment w:val="auto"/>
        <w:rPr>
          <w:rFonts w:ascii="宋体" w:hAnsi="宋体" w:cs="宋体"/>
          <w:color w:val="auto"/>
          <w:szCs w:val="21"/>
          <w:highlight w:val="none"/>
        </w:rPr>
      </w:pPr>
      <w:r>
        <w:rPr>
          <w:rFonts w:hint="eastAsia" w:ascii="宋体" w:hAnsi="宋体" w:cs="宋体"/>
          <w:color w:val="auto"/>
          <w:szCs w:val="21"/>
          <w:highlight w:val="none"/>
        </w:rPr>
        <w:t>10.2 本合同项下的采购资金由甲方支付，付款前乙方向甲方开具发票。</w:t>
      </w:r>
    </w:p>
    <w:p w14:paraId="05024786">
      <w:pPr>
        <w:shd w:val="clear"/>
        <w:spacing w:line="360" w:lineRule="auto"/>
        <w:ind w:firstLine="420"/>
        <w:rPr>
          <w:rFonts w:hint="eastAsia" w:ascii="宋体" w:hAnsi="宋体"/>
          <w:szCs w:val="21"/>
          <w:highlight w:val="none"/>
        </w:rPr>
      </w:pPr>
      <w:r>
        <w:rPr>
          <w:rFonts w:hint="eastAsia" w:ascii="宋体" w:hAnsi="宋体" w:cs="宋体"/>
          <w:szCs w:val="21"/>
          <w:highlight w:val="none"/>
        </w:rPr>
        <w:t>10.3 甲方付款方式：</w:t>
      </w:r>
      <w:r>
        <w:rPr>
          <w:rFonts w:hint="eastAsia" w:ascii="宋体" w:hAnsi="宋体"/>
          <w:szCs w:val="21"/>
          <w:highlight w:val="none"/>
        </w:rPr>
        <w:t>本项目为单价结算，乙方已充分考虑自身实际情况进行报价。最终服务费根据乙方实际提供服务的小时(并得到甲方认可)按实结算。</w:t>
      </w:r>
    </w:p>
    <w:p w14:paraId="710AE8DF">
      <w:pPr>
        <w:shd w:val="clear"/>
        <w:spacing w:line="360" w:lineRule="auto"/>
        <w:ind w:firstLine="420"/>
        <w:rPr>
          <w:rFonts w:hint="eastAsia" w:hAnsi="宋体" w:cs="宋体"/>
          <w:szCs w:val="21"/>
          <w:highlight w:val="none"/>
        </w:rPr>
      </w:pPr>
      <w:r>
        <w:rPr>
          <w:rFonts w:hint="eastAsia" w:ascii="宋体" w:hAnsi="宋体"/>
          <w:szCs w:val="21"/>
          <w:highlight w:val="none"/>
        </w:rPr>
        <w:t>合同签订后，甲方收到乙方开具的发票后</w:t>
      </w:r>
      <w:r>
        <w:rPr>
          <w:rFonts w:hint="eastAsia" w:ascii="宋体" w:hAnsi="宋体"/>
          <w:szCs w:val="21"/>
          <w:highlight w:val="none"/>
          <w:lang w:val="en-US" w:eastAsia="zh-CN"/>
        </w:rPr>
        <w:t>10</w:t>
      </w:r>
      <w:r>
        <w:rPr>
          <w:rFonts w:hint="eastAsia" w:ascii="宋体" w:hAnsi="宋体"/>
          <w:szCs w:val="21"/>
          <w:highlight w:val="none"/>
        </w:rPr>
        <w:t>日内支付年度合同价的10%作为预付款。剩余合同款依据第三方机构考核结果按半年付款，乙方于第七个月月初上报前六个月完成的工作量</w:t>
      </w:r>
      <w:r>
        <w:rPr>
          <w:rFonts w:hint="eastAsia" w:ascii="宋体" w:hAnsi="宋体"/>
          <w:szCs w:val="21"/>
          <w:highlight w:val="none"/>
          <w:lang w:val="zh-CN"/>
        </w:rPr>
        <w:t>，</w:t>
      </w:r>
      <w:r>
        <w:rPr>
          <w:rFonts w:hint="eastAsia" w:ascii="宋体" w:hAnsi="宋体"/>
          <w:szCs w:val="21"/>
          <w:highlight w:val="none"/>
        </w:rPr>
        <w:t>并</w:t>
      </w:r>
      <w:r>
        <w:rPr>
          <w:rFonts w:hint="eastAsia" w:ascii="宋体" w:hAnsi="宋体"/>
          <w:szCs w:val="21"/>
          <w:highlight w:val="none"/>
          <w:lang w:val="zh-CN"/>
        </w:rPr>
        <w:t>提交</w:t>
      </w:r>
      <w:r>
        <w:rPr>
          <w:rFonts w:hint="eastAsia" w:ascii="宋体" w:hAnsi="宋体"/>
          <w:szCs w:val="21"/>
          <w:highlight w:val="none"/>
        </w:rPr>
        <w:t>前六个月</w:t>
      </w:r>
      <w:r>
        <w:rPr>
          <w:rFonts w:hint="eastAsia" w:ascii="宋体" w:hAnsi="宋体"/>
          <w:szCs w:val="21"/>
          <w:highlight w:val="none"/>
          <w:lang w:val="zh-CN"/>
        </w:rPr>
        <w:t>的申请付款材料，甲方在当月25号之前完成审核，</w:t>
      </w:r>
      <w:r>
        <w:rPr>
          <w:rFonts w:hint="eastAsia" w:ascii="宋体" w:hAnsi="宋体"/>
          <w:szCs w:val="21"/>
          <w:highlight w:val="none"/>
        </w:rPr>
        <w:t>满足合同约定支付条件时，乙方应按合同约定金额开具发票，甲方收到乙方开具的发票后</w:t>
      </w:r>
      <w:r>
        <w:rPr>
          <w:rFonts w:hint="eastAsia" w:ascii="宋体" w:hAnsi="宋体"/>
          <w:szCs w:val="21"/>
          <w:highlight w:val="none"/>
          <w:lang w:val="en-US" w:eastAsia="zh-CN"/>
        </w:rPr>
        <w:t>10</w:t>
      </w:r>
      <w:r>
        <w:rPr>
          <w:rFonts w:hint="eastAsia" w:ascii="宋体" w:hAnsi="宋体"/>
          <w:szCs w:val="21"/>
          <w:highlight w:val="none"/>
        </w:rPr>
        <w:t>日内支付。（</w:t>
      </w:r>
      <w:r>
        <w:rPr>
          <w:rFonts w:hint="eastAsia" w:ascii="宋体" w:hAnsi="宋体"/>
          <w:szCs w:val="21"/>
          <w:highlight w:val="none"/>
          <w:lang w:val="zh-CN"/>
        </w:rPr>
        <w:t>所有付款</w:t>
      </w:r>
      <w:r>
        <w:rPr>
          <w:rFonts w:hint="eastAsia" w:ascii="宋体" w:hAnsi="宋体"/>
          <w:szCs w:val="21"/>
          <w:highlight w:val="none"/>
        </w:rPr>
        <w:t>须满足</w:t>
      </w:r>
      <w:r>
        <w:rPr>
          <w:rFonts w:hint="eastAsia" w:ascii="宋体" w:hAnsi="宋体"/>
          <w:szCs w:val="21"/>
          <w:highlight w:val="none"/>
          <w:lang w:val="zh-CN"/>
        </w:rPr>
        <w:t>市、区民政局要求</w:t>
      </w:r>
      <w:r>
        <w:rPr>
          <w:rFonts w:hint="eastAsia" w:ascii="宋体" w:hAnsi="宋体"/>
          <w:szCs w:val="21"/>
          <w:highlight w:val="none"/>
        </w:rPr>
        <w:t>，根据实际</w:t>
      </w:r>
      <w:r>
        <w:rPr>
          <w:rFonts w:hint="eastAsia" w:ascii="宋体" w:hAnsi="宋体"/>
          <w:szCs w:val="21"/>
          <w:highlight w:val="none"/>
          <w:lang w:val="zh-CN"/>
        </w:rPr>
        <w:t>考核情况，待资金下拨到</w:t>
      </w:r>
      <w:r>
        <w:rPr>
          <w:rFonts w:hint="eastAsia" w:ascii="宋体" w:hAnsi="宋体"/>
          <w:szCs w:val="21"/>
          <w:highlight w:val="none"/>
        </w:rPr>
        <w:t>政府</w:t>
      </w:r>
      <w:r>
        <w:rPr>
          <w:rFonts w:hint="eastAsia" w:ascii="宋体" w:hAnsi="宋体"/>
          <w:szCs w:val="21"/>
          <w:highlight w:val="none"/>
          <w:lang w:val="zh-CN"/>
        </w:rPr>
        <w:t>后</w:t>
      </w:r>
      <w:r>
        <w:rPr>
          <w:rFonts w:hint="eastAsia" w:ascii="宋体" w:hAnsi="宋体"/>
          <w:szCs w:val="21"/>
          <w:highlight w:val="none"/>
        </w:rPr>
        <w:t>依据采购人付款流程及时</w:t>
      </w:r>
      <w:r>
        <w:rPr>
          <w:rFonts w:hint="eastAsia" w:ascii="宋体" w:hAnsi="宋体"/>
          <w:szCs w:val="21"/>
          <w:highlight w:val="none"/>
          <w:lang w:val="zh-CN"/>
        </w:rPr>
        <w:t>结算）。</w:t>
      </w:r>
    </w:p>
    <w:p w14:paraId="0AD83D3C">
      <w:pPr>
        <w:pStyle w:val="234"/>
        <w:shd w:val="clear"/>
        <w:spacing w:before="120" w:after="120" w:line="360" w:lineRule="auto"/>
        <w:ind w:firstLine="420"/>
        <w:rPr>
          <w:rFonts w:hint="eastAsia" w:ascii="宋体" w:hAnsi="宋体" w:eastAsia="宋体" w:cs="宋体"/>
          <w:color w:val="auto"/>
          <w:sz w:val="21"/>
          <w:szCs w:val="21"/>
          <w:highlight w:val="none"/>
          <w:lang w:val="en-US" w:eastAsia="zh-CN" w:bidi="ar-SA"/>
        </w:rPr>
      </w:pPr>
      <w:r>
        <w:rPr>
          <w:rFonts w:hint="eastAsia" w:hAnsi="宋体" w:cs="宋体"/>
          <w:sz w:val="21"/>
          <w:highlight w:val="none"/>
        </w:rPr>
        <w:t>注：每次付款前乙方需向甲方出具发票，甲方自收到发票之日起</w:t>
      </w:r>
      <w:r>
        <w:rPr>
          <w:rFonts w:hint="eastAsia" w:hAnsi="宋体" w:cs="宋体"/>
          <w:sz w:val="21"/>
          <w:highlight w:val="none"/>
          <w:lang w:val="en-US" w:eastAsia="zh-CN"/>
        </w:rPr>
        <w:t>10</w:t>
      </w:r>
      <w:r>
        <w:rPr>
          <w:rFonts w:hint="eastAsia" w:hAnsi="宋体" w:cs="宋体"/>
          <w:sz w:val="21"/>
          <w:highlight w:val="none"/>
        </w:rPr>
        <w:t>日内支付。</w:t>
      </w:r>
    </w:p>
    <w:p w14:paraId="036BEFDD">
      <w:pPr>
        <w:pStyle w:val="203"/>
        <w:pageBreakBefore w:val="0"/>
        <w:kinsoku/>
        <w:wordWrap/>
        <w:overflowPunct/>
        <w:topLinePunct w:val="0"/>
        <w:autoSpaceDE/>
        <w:autoSpaceDN/>
        <w:bidi w:val="0"/>
        <w:adjustRightInd/>
        <w:spacing w:before="120" w:after="120" w:line="360" w:lineRule="auto"/>
        <w:ind w:firstLine="422"/>
        <w:textAlignment w:val="auto"/>
        <w:rPr>
          <w:rFonts w:hAnsi="宋体"/>
          <w:b/>
          <w:bCs/>
          <w:color w:val="auto"/>
          <w:sz w:val="21"/>
          <w:highlight w:val="none"/>
        </w:rPr>
      </w:pPr>
      <w:r>
        <w:rPr>
          <w:rFonts w:hint="eastAsia" w:hAnsi="宋体"/>
          <w:b/>
          <w:bCs/>
          <w:color w:val="auto"/>
          <w:sz w:val="21"/>
          <w:highlight w:val="none"/>
        </w:rPr>
        <w:t>十一、税费</w:t>
      </w:r>
    </w:p>
    <w:p w14:paraId="1015CC5C">
      <w:pPr>
        <w:pStyle w:val="203"/>
        <w:pageBreakBefore w:val="0"/>
        <w:kinsoku/>
        <w:wordWrap/>
        <w:overflowPunct/>
        <w:topLinePunct w:val="0"/>
        <w:autoSpaceDE/>
        <w:autoSpaceDN/>
        <w:bidi w:val="0"/>
        <w:adjustRightInd/>
        <w:spacing w:before="120" w:after="120" w:line="360" w:lineRule="auto"/>
        <w:ind w:firstLine="420"/>
        <w:textAlignment w:val="auto"/>
        <w:rPr>
          <w:rFonts w:hAnsi="宋体"/>
          <w:color w:val="auto"/>
          <w:sz w:val="21"/>
          <w:highlight w:val="none"/>
        </w:rPr>
      </w:pPr>
      <w:r>
        <w:rPr>
          <w:rFonts w:hint="eastAsia" w:hAnsi="宋体"/>
          <w:color w:val="auto"/>
          <w:sz w:val="21"/>
          <w:highlight w:val="none"/>
        </w:rPr>
        <w:t>11.1本合同执行中相关的一切税费均由乙方负担。</w:t>
      </w:r>
    </w:p>
    <w:p w14:paraId="44D81C05">
      <w:pPr>
        <w:pStyle w:val="203"/>
        <w:pageBreakBefore w:val="0"/>
        <w:kinsoku/>
        <w:wordWrap/>
        <w:overflowPunct/>
        <w:topLinePunct w:val="0"/>
        <w:autoSpaceDE/>
        <w:autoSpaceDN/>
        <w:bidi w:val="0"/>
        <w:adjustRightInd/>
        <w:spacing w:before="120" w:after="120" w:line="360" w:lineRule="auto"/>
        <w:ind w:firstLine="422"/>
        <w:textAlignment w:val="auto"/>
        <w:rPr>
          <w:rFonts w:hAnsi="宋体"/>
          <w:b/>
          <w:bCs/>
          <w:color w:val="auto"/>
          <w:sz w:val="21"/>
          <w:highlight w:val="none"/>
        </w:rPr>
      </w:pPr>
      <w:r>
        <w:rPr>
          <w:rFonts w:hint="eastAsia" w:hAnsi="宋体"/>
          <w:b/>
          <w:bCs/>
          <w:color w:val="auto"/>
          <w:sz w:val="21"/>
          <w:highlight w:val="none"/>
        </w:rPr>
        <w:t>十二、质量保证及售后服务</w:t>
      </w:r>
    </w:p>
    <w:p w14:paraId="7B055F0D">
      <w:pPr>
        <w:pageBreakBefore w:val="0"/>
        <w:kinsoku/>
        <w:wordWrap/>
        <w:overflowPunct/>
        <w:topLinePunct w:val="0"/>
        <w:autoSpaceDE/>
        <w:autoSpaceDN/>
        <w:bidi w:val="0"/>
        <w:adjustRightInd/>
        <w:spacing w:line="360" w:lineRule="auto"/>
        <w:ind w:firstLine="420"/>
        <w:textAlignment w:val="auto"/>
        <w:rPr>
          <w:rFonts w:ascii="宋体" w:hAnsi="宋体"/>
          <w:color w:val="auto"/>
          <w:szCs w:val="21"/>
          <w:highlight w:val="none"/>
        </w:rPr>
      </w:pPr>
      <w:r>
        <w:rPr>
          <w:rFonts w:hint="eastAsia" w:ascii="宋体" w:hAnsi="宋体" w:cs="宋体"/>
          <w:color w:val="auto"/>
          <w:szCs w:val="21"/>
          <w:highlight w:val="none"/>
        </w:rPr>
        <w:t>12.1 乙方应按招标文件规定及响应文件承诺的技术性能、技术要求、质量标准向甲方提供服务；若无特殊说明，则按国家有关部门最新颁布的标准及规范为准。</w:t>
      </w:r>
    </w:p>
    <w:p w14:paraId="57EB2069">
      <w:pPr>
        <w:pageBreakBefore w:val="0"/>
        <w:kinsoku/>
        <w:wordWrap/>
        <w:overflowPunct/>
        <w:topLinePunct w:val="0"/>
        <w:autoSpaceDE/>
        <w:autoSpaceDN/>
        <w:bidi w:val="0"/>
        <w:adjustRightInd/>
        <w:spacing w:line="360" w:lineRule="auto"/>
        <w:ind w:firstLine="420"/>
        <w:textAlignment w:val="auto"/>
        <w:rPr>
          <w:rFonts w:ascii="宋体" w:hAnsi="宋体"/>
          <w:color w:val="auto"/>
          <w:szCs w:val="21"/>
          <w:highlight w:val="none"/>
        </w:rPr>
      </w:pPr>
      <w:r>
        <w:rPr>
          <w:rFonts w:hint="eastAsia" w:ascii="宋体" w:hAnsi="宋体" w:cs="宋体"/>
          <w:color w:val="auto"/>
          <w:szCs w:val="21"/>
          <w:highlight w:val="none"/>
        </w:rPr>
        <w:t>12.2乙方应保证其提供的服务是全面和规范的，并完全符合招投标文件。如因乙方提供的服务有瑕疵造成甲方损失的，所需费用由乙方承担。</w:t>
      </w:r>
    </w:p>
    <w:p w14:paraId="1A8CD26E">
      <w:pPr>
        <w:pageBreakBefore w:val="0"/>
        <w:kinsoku/>
        <w:wordWrap/>
        <w:overflowPunct/>
        <w:topLinePunct w:val="0"/>
        <w:autoSpaceDE/>
        <w:autoSpaceDN/>
        <w:bidi w:val="0"/>
        <w:adjustRightInd/>
        <w:spacing w:line="360" w:lineRule="auto"/>
        <w:ind w:firstLine="420"/>
        <w:textAlignment w:val="auto"/>
        <w:rPr>
          <w:rFonts w:hAnsi="宋体"/>
          <w:color w:val="auto"/>
          <w:sz w:val="21"/>
          <w:highlight w:val="none"/>
        </w:rPr>
      </w:pPr>
      <w:r>
        <w:rPr>
          <w:rFonts w:hint="eastAsia" w:ascii="宋体" w:hAnsi="宋体" w:cs="宋体"/>
          <w:color w:val="auto"/>
          <w:szCs w:val="21"/>
          <w:highlight w:val="none"/>
        </w:rPr>
        <w:t>12.3 如在使用过程中发生质量问题，乙方在接到甲方通知后在___小时内到达甲方现场。</w:t>
      </w:r>
    </w:p>
    <w:p w14:paraId="6C2A31CE">
      <w:pPr>
        <w:pStyle w:val="203"/>
        <w:pageBreakBefore w:val="0"/>
        <w:kinsoku/>
        <w:wordWrap/>
        <w:overflowPunct/>
        <w:topLinePunct w:val="0"/>
        <w:autoSpaceDE/>
        <w:autoSpaceDN/>
        <w:bidi w:val="0"/>
        <w:adjustRightInd/>
        <w:spacing w:before="120" w:after="120" w:line="360" w:lineRule="auto"/>
        <w:ind w:firstLine="422"/>
        <w:textAlignment w:val="auto"/>
        <w:rPr>
          <w:rFonts w:hAnsi="宋体"/>
          <w:b/>
          <w:bCs/>
          <w:color w:val="auto"/>
          <w:sz w:val="21"/>
          <w:highlight w:val="none"/>
        </w:rPr>
      </w:pPr>
      <w:r>
        <w:rPr>
          <w:rFonts w:hint="eastAsia" w:hAnsi="宋体"/>
          <w:b/>
          <w:bCs/>
          <w:color w:val="auto"/>
          <w:sz w:val="21"/>
          <w:highlight w:val="none"/>
        </w:rPr>
        <w:t>十三、</w:t>
      </w:r>
      <w:r>
        <w:rPr>
          <w:rFonts w:hint="eastAsia" w:hAnsi="宋体"/>
          <w:b/>
          <w:bCs/>
          <w:color w:val="auto"/>
          <w:sz w:val="21"/>
          <w:highlight w:val="none"/>
          <w:lang w:eastAsia="zh-CN"/>
        </w:rPr>
        <w:t>交付</w:t>
      </w:r>
      <w:r>
        <w:rPr>
          <w:rFonts w:hint="eastAsia" w:hAnsi="宋体"/>
          <w:b/>
          <w:bCs/>
          <w:color w:val="auto"/>
          <w:sz w:val="21"/>
          <w:highlight w:val="none"/>
        </w:rPr>
        <w:t>和验收</w:t>
      </w:r>
    </w:p>
    <w:p w14:paraId="41D3C88D">
      <w:pPr>
        <w:pageBreakBefore w:val="0"/>
        <w:kinsoku/>
        <w:wordWrap/>
        <w:overflowPunct/>
        <w:topLinePunct w:val="0"/>
        <w:autoSpaceDE/>
        <w:autoSpaceDN/>
        <w:bidi w:val="0"/>
        <w:adjustRightInd/>
        <w:spacing w:line="360" w:lineRule="auto"/>
        <w:ind w:firstLine="420"/>
        <w:textAlignment w:val="auto"/>
        <w:rPr>
          <w:rFonts w:ascii="宋体" w:hAnsi="宋体"/>
          <w:color w:val="auto"/>
          <w:szCs w:val="21"/>
          <w:highlight w:val="none"/>
        </w:rPr>
      </w:pPr>
      <w:r>
        <w:rPr>
          <w:rFonts w:hint="eastAsia" w:ascii="宋体" w:hAnsi="宋体"/>
          <w:color w:val="auto"/>
          <w:szCs w:val="21"/>
          <w:highlight w:val="none"/>
        </w:rPr>
        <w:t>13.1 乙方应当在合同签订后</w:t>
      </w:r>
      <w:r>
        <w:rPr>
          <w:rFonts w:hint="eastAsia" w:ascii="宋体" w:hAnsi="宋体"/>
          <w:color w:val="auto"/>
          <w:szCs w:val="21"/>
          <w:highlight w:val="none"/>
          <w:u w:val="single"/>
        </w:rPr>
        <w:t xml:space="preserve">     </w:t>
      </w:r>
      <w:r>
        <w:rPr>
          <w:rFonts w:hint="eastAsia" w:ascii="宋体" w:hAnsi="宋体"/>
          <w:color w:val="auto"/>
          <w:szCs w:val="21"/>
          <w:highlight w:val="none"/>
        </w:rPr>
        <w:t>天内完成服务事项，招标文件有约定的，从其约定。</w:t>
      </w:r>
    </w:p>
    <w:p w14:paraId="2952B2F9">
      <w:pPr>
        <w:pageBreakBefore w:val="0"/>
        <w:kinsoku/>
        <w:wordWrap/>
        <w:overflowPunct/>
        <w:topLinePunct w:val="0"/>
        <w:autoSpaceDE/>
        <w:autoSpaceDN/>
        <w:bidi w:val="0"/>
        <w:adjustRightInd/>
        <w:spacing w:line="360" w:lineRule="auto"/>
        <w:ind w:firstLine="420"/>
        <w:textAlignment w:val="auto"/>
        <w:rPr>
          <w:rFonts w:ascii="宋体" w:hAnsi="宋体"/>
          <w:color w:val="auto"/>
          <w:szCs w:val="21"/>
          <w:highlight w:val="none"/>
        </w:rPr>
      </w:pPr>
      <w:r>
        <w:rPr>
          <w:rFonts w:hint="eastAsia" w:ascii="宋体" w:hAnsi="宋体"/>
          <w:color w:val="auto"/>
          <w:szCs w:val="21"/>
          <w:highlight w:val="none"/>
        </w:rPr>
        <w:t>在交付前，乙方应作出全面检查和对验收文件进行整理，并列出清单，作为甲方初验收和使用的技术条件依据，检验的结果交甲方。</w:t>
      </w:r>
    </w:p>
    <w:p w14:paraId="146511C7">
      <w:pPr>
        <w:pageBreakBefore w:val="0"/>
        <w:kinsoku/>
        <w:wordWrap/>
        <w:overflowPunct/>
        <w:topLinePunct w:val="0"/>
        <w:autoSpaceDE/>
        <w:autoSpaceDN/>
        <w:bidi w:val="0"/>
        <w:adjustRightInd/>
        <w:spacing w:line="360" w:lineRule="auto"/>
        <w:ind w:firstLine="420"/>
        <w:textAlignment w:val="auto"/>
        <w:rPr>
          <w:rFonts w:ascii="宋体" w:hAnsi="宋体"/>
          <w:color w:val="auto"/>
          <w:szCs w:val="21"/>
          <w:highlight w:val="none"/>
        </w:rPr>
      </w:pPr>
      <w:r>
        <w:rPr>
          <w:rFonts w:hint="eastAsia" w:ascii="宋体" w:hAnsi="宋体"/>
          <w:color w:val="auto"/>
          <w:szCs w:val="21"/>
          <w:highlight w:val="none"/>
        </w:rPr>
        <w:t>13.2 验收标准：按乙方投标文件的承诺，并不低于国家相关标准。</w:t>
      </w:r>
    </w:p>
    <w:p w14:paraId="5647D761">
      <w:pPr>
        <w:pageBreakBefore w:val="0"/>
        <w:kinsoku/>
        <w:wordWrap/>
        <w:overflowPunct/>
        <w:topLinePunct w:val="0"/>
        <w:autoSpaceDE/>
        <w:autoSpaceDN/>
        <w:bidi w:val="0"/>
        <w:adjustRightInd/>
        <w:spacing w:line="360" w:lineRule="auto"/>
        <w:ind w:firstLine="420"/>
        <w:textAlignment w:val="auto"/>
        <w:rPr>
          <w:rFonts w:ascii="宋体" w:hAnsi="宋体"/>
          <w:color w:val="auto"/>
          <w:szCs w:val="21"/>
          <w:highlight w:val="none"/>
        </w:rPr>
      </w:pPr>
      <w:r>
        <w:rPr>
          <w:rFonts w:hint="eastAsia" w:ascii="宋体" w:hAnsi="宋体"/>
          <w:color w:val="auto"/>
          <w:szCs w:val="21"/>
          <w:highlight w:val="none"/>
        </w:rPr>
        <w:t>对于乙方要交付的服务，甲乙双方须在</w:t>
      </w:r>
      <w:r>
        <w:rPr>
          <w:rFonts w:hint="eastAsia" w:ascii="宋体" w:hAnsi="宋体"/>
          <w:color w:val="auto"/>
          <w:szCs w:val="21"/>
          <w:highlight w:val="none"/>
          <w:u w:val="single"/>
        </w:rPr>
        <w:t xml:space="preserve">     </w:t>
      </w:r>
      <w:r>
        <w:rPr>
          <w:rFonts w:hint="eastAsia" w:ascii="宋体" w:hAnsi="宋体"/>
          <w:color w:val="auto"/>
          <w:szCs w:val="21"/>
          <w:highlight w:val="none"/>
        </w:rPr>
        <w:t>工作日内初验收，甲方对乙方提交的服务依据招标文件上的技术要求和国家有关质量标准进行现场初步验收，外观、说明书、包装符合招标文件技术要求的，给予签收，初步验收不合格的不予签收。</w:t>
      </w:r>
    </w:p>
    <w:p w14:paraId="2203A157">
      <w:pPr>
        <w:pageBreakBefore w:val="0"/>
        <w:kinsoku/>
        <w:wordWrap/>
        <w:overflowPunct/>
        <w:topLinePunct w:val="0"/>
        <w:autoSpaceDE/>
        <w:autoSpaceDN/>
        <w:bidi w:val="0"/>
        <w:adjustRightInd/>
        <w:spacing w:line="360" w:lineRule="auto"/>
        <w:ind w:firstLine="420"/>
        <w:textAlignment w:val="auto"/>
        <w:rPr>
          <w:rFonts w:ascii="宋体" w:hAnsi="宋体"/>
          <w:color w:val="auto"/>
          <w:szCs w:val="21"/>
          <w:highlight w:val="none"/>
        </w:rPr>
      </w:pPr>
      <w:r>
        <w:rPr>
          <w:rFonts w:hint="eastAsia" w:ascii="宋体" w:hAnsi="宋体"/>
          <w:color w:val="auto"/>
          <w:szCs w:val="21"/>
          <w:highlight w:val="none"/>
        </w:rPr>
        <w:t>13.3 乙方按照招标文件要求负责甲方的使用操作人员，乙方在甲方使用前进行调试，调试直到符合技术要求的甲方才做最终验收。</w:t>
      </w:r>
    </w:p>
    <w:p w14:paraId="4023315F">
      <w:pPr>
        <w:pageBreakBefore w:val="0"/>
        <w:kinsoku/>
        <w:wordWrap/>
        <w:overflowPunct/>
        <w:topLinePunct w:val="0"/>
        <w:autoSpaceDE/>
        <w:autoSpaceDN/>
        <w:bidi w:val="0"/>
        <w:adjustRightInd/>
        <w:spacing w:line="360" w:lineRule="auto"/>
        <w:ind w:firstLine="420"/>
        <w:textAlignment w:val="auto"/>
        <w:rPr>
          <w:rFonts w:ascii="宋体" w:hAnsi="宋体"/>
          <w:color w:val="auto"/>
          <w:szCs w:val="21"/>
          <w:highlight w:val="none"/>
        </w:rPr>
      </w:pPr>
      <w:r>
        <w:rPr>
          <w:rFonts w:hint="eastAsia" w:ascii="宋体" w:hAnsi="宋体"/>
          <w:color w:val="auto"/>
          <w:szCs w:val="21"/>
          <w:highlight w:val="none"/>
        </w:rPr>
        <w:t>13.4 对技术复杂的</w:t>
      </w:r>
      <w:r>
        <w:rPr>
          <w:rFonts w:hint="eastAsia" w:ascii="宋体" w:hAnsi="宋体"/>
          <w:color w:val="auto"/>
          <w:szCs w:val="21"/>
          <w:highlight w:val="none"/>
          <w:lang w:val="en-US" w:eastAsia="zh-CN"/>
        </w:rPr>
        <w:t>服务内容</w:t>
      </w:r>
      <w:r>
        <w:rPr>
          <w:rFonts w:hint="eastAsia" w:ascii="宋体" w:hAnsi="宋体"/>
          <w:color w:val="auto"/>
          <w:szCs w:val="21"/>
          <w:highlight w:val="none"/>
        </w:rPr>
        <w:t>，甲方可请国家认可的专业检测机构或者相关专家参与初步验收及最终验收，并由其出具质量检测报告或者评审报告。验收时乙方必须在现场，验收完毕后作出验收结果报告；甲方牵头组织验收，验收相关费用由乙方支付。</w:t>
      </w:r>
    </w:p>
    <w:p w14:paraId="0E204AD6">
      <w:pPr>
        <w:pageBreakBefore w:val="0"/>
        <w:kinsoku/>
        <w:wordWrap/>
        <w:overflowPunct/>
        <w:topLinePunct w:val="0"/>
        <w:autoSpaceDE/>
        <w:autoSpaceDN/>
        <w:bidi w:val="0"/>
        <w:adjustRightInd/>
        <w:spacing w:line="360" w:lineRule="auto"/>
        <w:ind w:firstLine="420"/>
        <w:textAlignment w:val="auto"/>
        <w:rPr>
          <w:rFonts w:ascii="宋体" w:hAnsi="宋体"/>
          <w:color w:val="auto"/>
          <w:szCs w:val="21"/>
          <w:highlight w:val="none"/>
          <w:u w:val="single"/>
        </w:rPr>
      </w:pPr>
      <w:r>
        <w:rPr>
          <w:rFonts w:hint="eastAsia" w:ascii="宋体" w:hAnsi="宋体"/>
          <w:color w:val="auto"/>
          <w:szCs w:val="21"/>
          <w:highlight w:val="none"/>
        </w:rPr>
        <w:t>13.5 甲乙双方关于调试和验收的其他约定：</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w:t>
      </w:r>
    </w:p>
    <w:p w14:paraId="73797750">
      <w:pPr>
        <w:pStyle w:val="203"/>
        <w:pageBreakBefore w:val="0"/>
        <w:kinsoku/>
        <w:wordWrap/>
        <w:overflowPunct/>
        <w:topLinePunct w:val="0"/>
        <w:autoSpaceDE/>
        <w:autoSpaceDN/>
        <w:bidi w:val="0"/>
        <w:adjustRightInd/>
        <w:spacing w:before="120" w:after="120" w:line="360" w:lineRule="auto"/>
        <w:ind w:firstLine="422"/>
        <w:textAlignment w:val="auto"/>
        <w:rPr>
          <w:rFonts w:hAnsi="宋体"/>
          <w:b/>
          <w:bCs/>
          <w:color w:val="auto"/>
          <w:sz w:val="21"/>
          <w:highlight w:val="none"/>
        </w:rPr>
      </w:pPr>
      <w:r>
        <w:rPr>
          <w:rFonts w:hint="eastAsia" w:hAnsi="宋体"/>
          <w:b/>
          <w:bCs/>
          <w:color w:val="auto"/>
          <w:sz w:val="21"/>
          <w:highlight w:val="none"/>
        </w:rPr>
        <w:t>十四、包装、发运及运输</w:t>
      </w:r>
    </w:p>
    <w:p w14:paraId="18F0486D">
      <w:pPr>
        <w:pStyle w:val="203"/>
        <w:pageBreakBefore w:val="0"/>
        <w:kinsoku/>
        <w:wordWrap/>
        <w:overflowPunct/>
        <w:topLinePunct w:val="0"/>
        <w:autoSpaceDE/>
        <w:autoSpaceDN/>
        <w:bidi w:val="0"/>
        <w:adjustRightInd/>
        <w:spacing w:line="360" w:lineRule="auto"/>
        <w:ind w:firstLine="420"/>
        <w:textAlignment w:val="auto"/>
        <w:rPr>
          <w:rFonts w:hAnsi="宋体"/>
          <w:color w:val="auto"/>
          <w:sz w:val="21"/>
          <w:highlight w:val="none"/>
        </w:rPr>
      </w:pPr>
      <w:r>
        <w:rPr>
          <w:rFonts w:hint="eastAsia" w:hAnsi="宋体"/>
          <w:color w:val="auto"/>
          <w:sz w:val="21"/>
          <w:highlight w:val="none"/>
        </w:rPr>
        <w:t>14.1 乙方应对其提供的服务所涉及物品在发运前对其进行满足运输距离、防潮、防震、防锈和防破损装卸等要求包装，以保证安全运达甲方指定地点。</w:t>
      </w:r>
    </w:p>
    <w:p w14:paraId="693F81E7">
      <w:pPr>
        <w:pStyle w:val="203"/>
        <w:pageBreakBefore w:val="0"/>
        <w:kinsoku/>
        <w:wordWrap/>
        <w:overflowPunct/>
        <w:topLinePunct w:val="0"/>
        <w:autoSpaceDE/>
        <w:autoSpaceDN/>
        <w:bidi w:val="0"/>
        <w:adjustRightInd/>
        <w:spacing w:line="360" w:lineRule="auto"/>
        <w:ind w:firstLine="420"/>
        <w:textAlignment w:val="auto"/>
        <w:rPr>
          <w:rFonts w:hAnsi="宋体"/>
          <w:color w:val="auto"/>
          <w:sz w:val="21"/>
          <w:highlight w:val="none"/>
        </w:rPr>
      </w:pPr>
      <w:r>
        <w:rPr>
          <w:rFonts w:hint="eastAsia" w:hAnsi="宋体"/>
          <w:color w:val="auto"/>
          <w:sz w:val="21"/>
          <w:highlight w:val="none"/>
        </w:rPr>
        <w:t>14.4 服务在交付甲方前发生的风险均由乙方负责。</w:t>
      </w:r>
    </w:p>
    <w:p w14:paraId="7B81F167">
      <w:pPr>
        <w:pStyle w:val="203"/>
        <w:pageBreakBefore w:val="0"/>
        <w:kinsoku/>
        <w:wordWrap/>
        <w:overflowPunct/>
        <w:topLinePunct w:val="0"/>
        <w:autoSpaceDE/>
        <w:autoSpaceDN/>
        <w:bidi w:val="0"/>
        <w:adjustRightInd/>
        <w:spacing w:before="120" w:after="120" w:line="360" w:lineRule="auto"/>
        <w:ind w:firstLine="420"/>
        <w:textAlignment w:val="auto"/>
        <w:rPr>
          <w:rFonts w:hint="eastAsia" w:hAnsi="宋体"/>
          <w:color w:val="auto"/>
          <w:sz w:val="21"/>
          <w:highlight w:val="none"/>
        </w:rPr>
      </w:pPr>
      <w:r>
        <w:rPr>
          <w:rFonts w:hint="eastAsia" w:hAnsi="宋体"/>
          <w:color w:val="auto"/>
          <w:sz w:val="21"/>
          <w:highlight w:val="none"/>
        </w:rPr>
        <w:t>14.5 服务在规定的交付期限内由乙方送达甲方指定的地点。</w:t>
      </w:r>
    </w:p>
    <w:p w14:paraId="6B4D5459">
      <w:pPr>
        <w:pStyle w:val="203"/>
        <w:pageBreakBefore w:val="0"/>
        <w:kinsoku/>
        <w:wordWrap/>
        <w:overflowPunct/>
        <w:topLinePunct w:val="0"/>
        <w:autoSpaceDE/>
        <w:autoSpaceDN/>
        <w:bidi w:val="0"/>
        <w:adjustRightInd/>
        <w:spacing w:before="120" w:after="120" w:line="360" w:lineRule="auto"/>
        <w:ind w:firstLine="422"/>
        <w:textAlignment w:val="auto"/>
        <w:rPr>
          <w:rFonts w:hAnsi="宋体"/>
          <w:b/>
          <w:bCs/>
          <w:color w:val="auto"/>
          <w:sz w:val="21"/>
          <w:highlight w:val="none"/>
        </w:rPr>
      </w:pPr>
      <w:r>
        <w:rPr>
          <w:rFonts w:hint="eastAsia" w:hAnsi="宋体"/>
          <w:b/>
          <w:bCs/>
          <w:color w:val="auto"/>
          <w:sz w:val="21"/>
          <w:highlight w:val="none"/>
        </w:rPr>
        <w:t>十五、违约责任</w:t>
      </w:r>
    </w:p>
    <w:p w14:paraId="7C299A22">
      <w:pPr>
        <w:pStyle w:val="203"/>
        <w:pageBreakBefore w:val="0"/>
        <w:kinsoku/>
        <w:wordWrap/>
        <w:overflowPunct/>
        <w:topLinePunct w:val="0"/>
        <w:autoSpaceDE/>
        <w:autoSpaceDN/>
        <w:bidi w:val="0"/>
        <w:adjustRightInd/>
        <w:spacing w:before="120" w:after="120" w:line="360" w:lineRule="auto"/>
        <w:ind w:firstLine="420"/>
        <w:textAlignment w:val="auto"/>
        <w:rPr>
          <w:rFonts w:hAnsi="宋体"/>
          <w:color w:val="auto"/>
          <w:sz w:val="21"/>
          <w:highlight w:val="none"/>
        </w:rPr>
      </w:pPr>
      <w:r>
        <w:rPr>
          <w:rFonts w:hint="eastAsia" w:hAnsi="宋体"/>
          <w:color w:val="auto"/>
          <w:sz w:val="21"/>
          <w:highlight w:val="none"/>
        </w:rPr>
        <w:t>15.1 甲方无正当理由拒收服务的，甲方向乙方偿付拒收款项总值的百分之五违约金。</w:t>
      </w:r>
    </w:p>
    <w:p w14:paraId="27F94294">
      <w:pPr>
        <w:pStyle w:val="203"/>
        <w:pageBreakBefore w:val="0"/>
        <w:kinsoku/>
        <w:wordWrap/>
        <w:overflowPunct/>
        <w:topLinePunct w:val="0"/>
        <w:autoSpaceDE/>
        <w:autoSpaceDN/>
        <w:bidi w:val="0"/>
        <w:adjustRightInd/>
        <w:spacing w:before="120" w:after="120" w:line="360" w:lineRule="auto"/>
        <w:ind w:firstLine="420"/>
        <w:textAlignment w:val="auto"/>
        <w:rPr>
          <w:rFonts w:hAnsi="宋体"/>
          <w:color w:val="auto"/>
          <w:sz w:val="21"/>
          <w:highlight w:val="none"/>
        </w:rPr>
      </w:pPr>
      <w:r>
        <w:rPr>
          <w:rFonts w:hint="eastAsia" w:hAnsi="宋体"/>
          <w:color w:val="auto"/>
          <w:sz w:val="21"/>
          <w:highlight w:val="none"/>
        </w:rPr>
        <w:t>15.2 甲方无故逾期验收和办理款项支付手续的,甲方应按逾期付款总额每日万分之五向乙方支付违约金。</w:t>
      </w:r>
    </w:p>
    <w:p w14:paraId="12F717D6">
      <w:pPr>
        <w:pStyle w:val="203"/>
        <w:pageBreakBefore w:val="0"/>
        <w:kinsoku/>
        <w:wordWrap/>
        <w:overflowPunct/>
        <w:topLinePunct w:val="0"/>
        <w:autoSpaceDE/>
        <w:autoSpaceDN/>
        <w:bidi w:val="0"/>
        <w:adjustRightInd/>
        <w:spacing w:before="120" w:after="120" w:line="360" w:lineRule="auto"/>
        <w:ind w:firstLine="420"/>
        <w:textAlignment w:val="auto"/>
        <w:rPr>
          <w:rFonts w:hAnsi="宋体"/>
          <w:color w:val="auto"/>
          <w:sz w:val="21"/>
          <w:highlight w:val="none"/>
        </w:rPr>
      </w:pPr>
      <w:r>
        <w:rPr>
          <w:rFonts w:hint="eastAsia" w:hAnsi="宋体"/>
          <w:color w:val="auto"/>
          <w:sz w:val="21"/>
          <w:highlight w:val="none"/>
        </w:rPr>
        <w:t xml:space="preserve">15.3 乙方逾期交付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p>
    <w:p w14:paraId="30E04824">
      <w:pPr>
        <w:pStyle w:val="203"/>
        <w:pageBreakBefore w:val="0"/>
        <w:kinsoku/>
        <w:wordWrap/>
        <w:overflowPunct/>
        <w:topLinePunct w:val="0"/>
        <w:autoSpaceDE/>
        <w:autoSpaceDN/>
        <w:bidi w:val="0"/>
        <w:adjustRightInd/>
        <w:spacing w:before="120" w:after="120" w:line="360" w:lineRule="auto"/>
        <w:ind w:firstLine="420"/>
        <w:textAlignment w:val="auto"/>
        <w:rPr>
          <w:rFonts w:hAnsi="宋体"/>
          <w:color w:val="auto"/>
          <w:sz w:val="21"/>
          <w:highlight w:val="none"/>
        </w:rPr>
      </w:pPr>
      <w:r>
        <w:rPr>
          <w:rFonts w:hint="eastAsia" w:hAnsi="宋体"/>
          <w:color w:val="auto"/>
          <w:sz w:val="21"/>
          <w:highlight w:val="none"/>
        </w:rPr>
        <w:t>15.4 乙方所交的服务数量、质量不符合合同规定及招标文件规定标准的，甲方有权拒收该服务，乙方愿意更换服务但逾期交付的，按乙方逾期交付处理。乙方拒绝更换服务的，甲方可单方面解除合同。</w:t>
      </w:r>
    </w:p>
    <w:p w14:paraId="5806B377">
      <w:pPr>
        <w:pStyle w:val="203"/>
        <w:pageBreakBefore w:val="0"/>
        <w:kinsoku/>
        <w:wordWrap/>
        <w:overflowPunct/>
        <w:topLinePunct w:val="0"/>
        <w:autoSpaceDE/>
        <w:autoSpaceDN/>
        <w:bidi w:val="0"/>
        <w:adjustRightInd/>
        <w:spacing w:before="120" w:after="120" w:line="360" w:lineRule="auto"/>
        <w:ind w:firstLine="422"/>
        <w:textAlignment w:val="auto"/>
        <w:rPr>
          <w:rFonts w:hAnsi="宋体"/>
          <w:b/>
          <w:bCs/>
          <w:color w:val="auto"/>
          <w:sz w:val="21"/>
          <w:highlight w:val="none"/>
        </w:rPr>
      </w:pPr>
      <w:r>
        <w:rPr>
          <w:rFonts w:hint="eastAsia" w:hAnsi="宋体"/>
          <w:b/>
          <w:bCs/>
          <w:color w:val="auto"/>
          <w:sz w:val="21"/>
          <w:highlight w:val="none"/>
        </w:rPr>
        <w:t>十六、不可抗力事件处理</w:t>
      </w:r>
    </w:p>
    <w:p w14:paraId="24E61C59">
      <w:pPr>
        <w:pStyle w:val="203"/>
        <w:pageBreakBefore w:val="0"/>
        <w:kinsoku/>
        <w:wordWrap/>
        <w:overflowPunct/>
        <w:topLinePunct w:val="0"/>
        <w:autoSpaceDE/>
        <w:autoSpaceDN/>
        <w:bidi w:val="0"/>
        <w:adjustRightInd/>
        <w:spacing w:before="120" w:after="120" w:line="360" w:lineRule="auto"/>
        <w:ind w:firstLine="420"/>
        <w:textAlignment w:val="auto"/>
        <w:rPr>
          <w:rFonts w:hAnsi="宋体"/>
          <w:color w:val="auto"/>
          <w:sz w:val="21"/>
          <w:highlight w:val="none"/>
        </w:rPr>
      </w:pPr>
      <w:r>
        <w:rPr>
          <w:rFonts w:hint="eastAsia" w:hAnsi="宋体"/>
          <w:color w:val="auto"/>
          <w:sz w:val="21"/>
          <w:highlight w:val="none"/>
        </w:rPr>
        <w:t>16.1 在合同有效期内，任何一方因不可抗力事件导致不能履行合同，则合同履行期可延长，其延长期与不可抗力影响期相同。</w:t>
      </w:r>
    </w:p>
    <w:p w14:paraId="2F0BEC8E">
      <w:pPr>
        <w:pStyle w:val="203"/>
        <w:pageBreakBefore w:val="0"/>
        <w:kinsoku/>
        <w:wordWrap/>
        <w:overflowPunct/>
        <w:topLinePunct w:val="0"/>
        <w:autoSpaceDE/>
        <w:autoSpaceDN/>
        <w:bidi w:val="0"/>
        <w:adjustRightInd/>
        <w:spacing w:before="120" w:after="120" w:line="360" w:lineRule="auto"/>
        <w:ind w:firstLine="420"/>
        <w:textAlignment w:val="auto"/>
        <w:rPr>
          <w:rFonts w:hAnsi="宋体"/>
          <w:color w:val="auto"/>
          <w:sz w:val="21"/>
          <w:highlight w:val="none"/>
        </w:rPr>
      </w:pPr>
      <w:r>
        <w:rPr>
          <w:rFonts w:hint="eastAsia" w:hAnsi="宋体"/>
          <w:color w:val="auto"/>
          <w:sz w:val="21"/>
          <w:highlight w:val="none"/>
        </w:rPr>
        <w:t>16.2 不可抗力事件发生后，应立即通知对方，并寄送有关权威机构出具的证明。</w:t>
      </w:r>
    </w:p>
    <w:p w14:paraId="0951F291">
      <w:pPr>
        <w:pStyle w:val="203"/>
        <w:pageBreakBefore w:val="0"/>
        <w:kinsoku/>
        <w:wordWrap/>
        <w:overflowPunct/>
        <w:topLinePunct w:val="0"/>
        <w:autoSpaceDE/>
        <w:autoSpaceDN/>
        <w:bidi w:val="0"/>
        <w:adjustRightInd/>
        <w:spacing w:before="120" w:after="120" w:line="360" w:lineRule="auto"/>
        <w:ind w:firstLine="420"/>
        <w:textAlignment w:val="auto"/>
        <w:rPr>
          <w:rFonts w:hAnsi="宋体"/>
          <w:color w:val="auto"/>
          <w:sz w:val="21"/>
          <w:highlight w:val="none"/>
        </w:rPr>
      </w:pPr>
      <w:r>
        <w:rPr>
          <w:rFonts w:hint="eastAsia" w:hAnsi="宋体"/>
          <w:color w:val="auto"/>
          <w:sz w:val="21"/>
          <w:highlight w:val="none"/>
        </w:rPr>
        <w:t>16.3 不可抗力事件延续120天以上，双方应通过友好协商，确定是否继续履行合同。</w:t>
      </w:r>
    </w:p>
    <w:p w14:paraId="4BA97851">
      <w:pPr>
        <w:pStyle w:val="203"/>
        <w:pageBreakBefore w:val="0"/>
        <w:kinsoku/>
        <w:wordWrap/>
        <w:overflowPunct/>
        <w:topLinePunct w:val="0"/>
        <w:autoSpaceDE/>
        <w:autoSpaceDN/>
        <w:bidi w:val="0"/>
        <w:adjustRightInd/>
        <w:spacing w:before="120" w:after="120" w:line="360" w:lineRule="auto"/>
        <w:ind w:firstLine="422"/>
        <w:textAlignment w:val="auto"/>
        <w:rPr>
          <w:rFonts w:hAnsi="宋体"/>
          <w:b/>
          <w:bCs/>
          <w:color w:val="auto"/>
          <w:sz w:val="21"/>
          <w:highlight w:val="none"/>
        </w:rPr>
      </w:pPr>
      <w:r>
        <w:rPr>
          <w:rFonts w:hint="eastAsia" w:hAnsi="宋体"/>
          <w:b/>
          <w:bCs/>
          <w:color w:val="auto"/>
          <w:sz w:val="21"/>
          <w:highlight w:val="none"/>
        </w:rPr>
        <w:t>十七、诉讼</w:t>
      </w:r>
    </w:p>
    <w:p w14:paraId="7FDAF35A">
      <w:pPr>
        <w:pStyle w:val="203"/>
        <w:pageBreakBefore w:val="0"/>
        <w:kinsoku/>
        <w:wordWrap/>
        <w:overflowPunct/>
        <w:topLinePunct w:val="0"/>
        <w:autoSpaceDE/>
        <w:autoSpaceDN/>
        <w:bidi w:val="0"/>
        <w:adjustRightInd/>
        <w:spacing w:before="120" w:after="120" w:line="360" w:lineRule="auto"/>
        <w:ind w:firstLine="420"/>
        <w:textAlignment w:val="auto"/>
        <w:rPr>
          <w:rFonts w:hAnsi="宋体"/>
          <w:color w:val="auto"/>
          <w:sz w:val="21"/>
          <w:highlight w:val="none"/>
        </w:rPr>
      </w:pPr>
      <w:r>
        <w:rPr>
          <w:rFonts w:hint="eastAsia" w:hAnsi="宋体"/>
          <w:color w:val="auto"/>
          <w:sz w:val="21"/>
          <w:highlight w:val="none"/>
        </w:rPr>
        <w:t>17.1 双方在执行合同中所发生的一切争议，应通过协商解决。如协商不成，可向合同签订地法院起诉，合同签订地在此约定为扬州市。</w:t>
      </w:r>
    </w:p>
    <w:p w14:paraId="6E313799">
      <w:pPr>
        <w:pageBreakBefore w:val="0"/>
        <w:kinsoku/>
        <w:wordWrap/>
        <w:overflowPunct/>
        <w:topLinePunct w:val="0"/>
        <w:autoSpaceDE/>
        <w:autoSpaceDN/>
        <w:bidi w:val="0"/>
        <w:adjustRightInd/>
        <w:spacing w:line="360" w:lineRule="auto"/>
        <w:ind w:firstLine="422"/>
        <w:textAlignment w:val="auto"/>
        <w:rPr>
          <w:rFonts w:hAnsi="宋体"/>
          <w:color w:val="auto"/>
          <w:szCs w:val="21"/>
          <w:highlight w:val="none"/>
        </w:rPr>
      </w:pPr>
      <w:r>
        <w:rPr>
          <w:rFonts w:hint="eastAsia" w:ascii="宋体" w:hAnsi="宋体"/>
          <w:b/>
          <w:bCs/>
          <w:color w:val="auto"/>
          <w:szCs w:val="21"/>
          <w:highlight w:val="none"/>
        </w:rPr>
        <w:t>十八、</w:t>
      </w:r>
      <w:r>
        <w:rPr>
          <w:rFonts w:hint="eastAsia" w:ascii="宋体" w:hAnsi="宋体" w:eastAsia="宋体" w:cs="宋体"/>
          <w:bCs/>
          <w:color w:val="auto"/>
          <w:highlight w:val="none"/>
          <w:lang w:eastAsia="zh-CN"/>
        </w:rPr>
        <w:t>为</w:t>
      </w:r>
      <w:r>
        <w:rPr>
          <w:rFonts w:hint="eastAsia" w:ascii="宋体" w:hAnsi="宋体" w:eastAsia="宋体" w:cs="宋体"/>
          <w:bCs/>
          <w:color w:val="auto"/>
          <w:highlight w:val="none"/>
        </w:rPr>
        <w:t>落实好政府采购履约资金扶持政策</w:t>
      </w:r>
      <w:r>
        <w:rPr>
          <w:rFonts w:hint="eastAsia" w:ascii="宋体" w:hAnsi="宋体" w:eastAsia="宋体" w:cs="宋体"/>
          <w:bCs/>
          <w:color w:val="auto"/>
          <w:highlight w:val="none"/>
          <w:lang w:eastAsia="zh-CN"/>
        </w:rPr>
        <w:t>，乙方</w:t>
      </w:r>
      <w:r>
        <w:rPr>
          <w:rFonts w:hint="eastAsia" w:ascii="宋体" w:hAnsi="宋体" w:eastAsia="宋体" w:cs="宋体"/>
          <w:bCs/>
          <w:color w:val="auto"/>
          <w:highlight w:val="none"/>
        </w:rPr>
        <w:t>可凭政府采购合同办理融资贷款，详见江苏政府采购网“政采贷”专栏。</w:t>
      </w:r>
    </w:p>
    <w:p w14:paraId="6C4FB6A3">
      <w:pPr>
        <w:pStyle w:val="203"/>
        <w:pageBreakBefore w:val="0"/>
        <w:kinsoku/>
        <w:wordWrap/>
        <w:overflowPunct/>
        <w:topLinePunct w:val="0"/>
        <w:autoSpaceDE/>
        <w:autoSpaceDN/>
        <w:bidi w:val="0"/>
        <w:adjustRightInd/>
        <w:spacing w:before="120" w:after="120" w:line="360" w:lineRule="auto"/>
        <w:ind w:firstLine="422"/>
        <w:textAlignment w:val="auto"/>
        <w:rPr>
          <w:rFonts w:hAnsi="宋体"/>
          <w:b/>
          <w:bCs/>
          <w:color w:val="auto"/>
          <w:sz w:val="21"/>
          <w:highlight w:val="none"/>
        </w:rPr>
      </w:pPr>
      <w:r>
        <w:rPr>
          <w:rFonts w:hint="eastAsia" w:hAnsi="宋体"/>
          <w:b/>
          <w:bCs/>
          <w:color w:val="auto"/>
          <w:sz w:val="21"/>
          <w:highlight w:val="none"/>
        </w:rPr>
        <w:t>十九、合同生效及其它</w:t>
      </w:r>
    </w:p>
    <w:p w14:paraId="71788008">
      <w:pPr>
        <w:pStyle w:val="203"/>
        <w:pageBreakBefore w:val="0"/>
        <w:kinsoku/>
        <w:wordWrap/>
        <w:overflowPunct/>
        <w:topLinePunct w:val="0"/>
        <w:autoSpaceDE/>
        <w:autoSpaceDN/>
        <w:bidi w:val="0"/>
        <w:adjustRightInd/>
        <w:spacing w:before="120" w:after="120" w:line="360" w:lineRule="auto"/>
        <w:ind w:firstLine="420"/>
        <w:textAlignment w:val="auto"/>
        <w:rPr>
          <w:rFonts w:hAnsi="宋体"/>
          <w:color w:val="auto"/>
          <w:sz w:val="21"/>
          <w:highlight w:val="none"/>
        </w:rPr>
      </w:pPr>
      <w:r>
        <w:rPr>
          <w:rFonts w:hint="eastAsia" w:hAnsi="宋体"/>
          <w:color w:val="auto"/>
          <w:sz w:val="21"/>
          <w:highlight w:val="none"/>
        </w:rPr>
        <w:t>19.1 合同经双方法定代表人签章并加盖单位公章，并经</w:t>
      </w:r>
      <w:r>
        <w:rPr>
          <w:rFonts w:hint="eastAsia" w:hAnsi="宋体"/>
          <w:color w:val="auto"/>
          <w:sz w:val="21"/>
          <w:highlight w:val="none"/>
          <w:lang w:eastAsia="zh-CN"/>
        </w:rPr>
        <w:t>江苏嘉加诚工程投资咨询有限公司</w:t>
      </w:r>
      <w:r>
        <w:rPr>
          <w:rFonts w:hint="eastAsia" w:hAnsi="宋体"/>
          <w:color w:val="auto"/>
          <w:sz w:val="21"/>
          <w:highlight w:val="none"/>
        </w:rPr>
        <w:t>见证盖章后生效。</w:t>
      </w:r>
    </w:p>
    <w:p w14:paraId="4DEB0AA2">
      <w:pPr>
        <w:pStyle w:val="203"/>
        <w:pageBreakBefore w:val="0"/>
        <w:kinsoku/>
        <w:wordWrap/>
        <w:overflowPunct/>
        <w:topLinePunct w:val="0"/>
        <w:autoSpaceDE/>
        <w:autoSpaceDN/>
        <w:bidi w:val="0"/>
        <w:adjustRightInd/>
        <w:spacing w:before="120" w:after="120" w:line="360" w:lineRule="auto"/>
        <w:ind w:firstLine="420"/>
        <w:textAlignment w:val="auto"/>
        <w:rPr>
          <w:rFonts w:hAnsi="宋体"/>
          <w:color w:val="auto"/>
          <w:sz w:val="21"/>
          <w:highlight w:val="none"/>
        </w:rPr>
      </w:pPr>
      <w:r>
        <w:rPr>
          <w:rFonts w:hint="eastAsia" w:hAnsi="宋体"/>
          <w:color w:val="auto"/>
          <w:sz w:val="21"/>
          <w:highlight w:val="none"/>
        </w:rPr>
        <w:t>19.2本合同未尽事宜，遵照《民法典》有关条文执行。</w:t>
      </w:r>
    </w:p>
    <w:p w14:paraId="7FB87585">
      <w:pPr>
        <w:pStyle w:val="203"/>
        <w:pageBreakBefore w:val="0"/>
        <w:kinsoku/>
        <w:wordWrap/>
        <w:overflowPunct/>
        <w:topLinePunct w:val="0"/>
        <w:autoSpaceDE/>
        <w:autoSpaceDN/>
        <w:bidi w:val="0"/>
        <w:adjustRightInd/>
        <w:spacing w:before="120" w:after="120" w:line="360" w:lineRule="auto"/>
        <w:ind w:firstLine="420"/>
        <w:textAlignment w:val="auto"/>
        <w:rPr>
          <w:rFonts w:hAnsi="宋体"/>
          <w:color w:val="auto"/>
          <w:sz w:val="21"/>
          <w:highlight w:val="none"/>
        </w:rPr>
      </w:pPr>
      <w:r>
        <w:rPr>
          <w:rFonts w:hint="eastAsia" w:hAnsi="宋体"/>
          <w:color w:val="auto"/>
          <w:sz w:val="21"/>
          <w:highlight w:val="none"/>
        </w:rPr>
        <w:t xml:space="preserve">19.3 本合同正本一式四份，具有同等法律效力，甲方、乙方、见证方及财政监管部门各执一份。  </w:t>
      </w:r>
    </w:p>
    <w:tbl>
      <w:tblPr>
        <w:tblStyle w:val="34"/>
        <w:tblW w:w="8522" w:type="dxa"/>
        <w:tblInd w:w="27" w:type="dxa"/>
        <w:tblLayout w:type="fixed"/>
        <w:tblCellMar>
          <w:top w:w="0" w:type="dxa"/>
          <w:left w:w="108" w:type="dxa"/>
          <w:bottom w:w="0" w:type="dxa"/>
          <w:right w:w="108" w:type="dxa"/>
        </w:tblCellMar>
      </w:tblPr>
      <w:tblGrid>
        <w:gridCol w:w="4284"/>
        <w:gridCol w:w="4238"/>
      </w:tblGrid>
      <w:tr w14:paraId="494ACBB3">
        <w:tblPrEx>
          <w:tblCellMar>
            <w:top w:w="0" w:type="dxa"/>
            <w:left w:w="108" w:type="dxa"/>
            <w:bottom w:w="0" w:type="dxa"/>
            <w:right w:w="108" w:type="dxa"/>
          </w:tblCellMar>
        </w:tblPrEx>
        <w:tc>
          <w:tcPr>
            <w:tcW w:w="4284" w:type="dxa"/>
            <w:tcBorders>
              <w:top w:val="nil"/>
              <w:left w:val="nil"/>
              <w:bottom w:val="nil"/>
              <w:right w:val="nil"/>
            </w:tcBorders>
            <w:noWrap w:val="0"/>
            <w:vAlign w:val="top"/>
          </w:tcPr>
          <w:p w14:paraId="57ED19C0">
            <w:pPr>
              <w:pStyle w:val="203"/>
              <w:pageBreakBefore w:val="0"/>
              <w:kinsoku/>
              <w:wordWrap/>
              <w:overflowPunct/>
              <w:topLinePunct w:val="0"/>
              <w:autoSpaceDE/>
              <w:autoSpaceDN/>
              <w:bidi w:val="0"/>
              <w:adjustRightInd/>
              <w:spacing w:before="120" w:after="120" w:line="360" w:lineRule="auto"/>
              <w:textAlignment w:val="auto"/>
              <w:rPr>
                <w:rFonts w:hint="eastAsia" w:hAnsi="宋体" w:eastAsia="宋体"/>
                <w:color w:val="auto"/>
                <w:sz w:val="21"/>
                <w:highlight w:val="none"/>
                <w:lang w:eastAsia="zh-CN"/>
              </w:rPr>
            </w:pPr>
            <w:r>
              <w:rPr>
                <w:rFonts w:hint="eastAsia" w:hAnsi="宋体"/>
                <w:color w:val="auto"/>
                <w:sz w:val="21"/>
                <w:highlight w:val="none"/>
              </w:rPr>
              <w:t>甲方：</w:t>
            </w:r>
          </w:p>
        </w:tc>
        <w:tc>
          <w:tcPr>
            <w:tcW w:w="4238" w:type="dxa"/>
            <w:tcBorders>
              <w:top w:val="nil"/>
              <w:left w:val="nil"/>
              <w:bottom w:val="nil"/>
              <w:right w:val="nil"/>
            </w:tcBorders>
            <w:noWrap w:val="0"/>
            <w:vAlign w:val="top"/>
          </w:tcPr>
          <w:p w14:paraId="1656628F">
            <w:pPr>
              <w:pStyle w:val="203"/>
              <w:pageBreakBefore w:val="0"/>
              <w:kinsoku/>
              <w:wordWrap/>
              <w:overflowPunct/>
              <w:topLinePunct w:val="0"/>
              <w:autoSpaceDE/>
              <w:autoSpaceDN/>
              <w:bidi w:val="0"/>
              <w:adjustRightInd/>
              <w:spacing w:before="120" w:after="120" w:line="360" w:lineRule="auto"/>
              <w:textAlignment w:val="auto"/>
              <w:rPr>
                <w:rFonts w:hAnsi="宋体"/>
                <w:color w:val="auto"/>
                <w:sz w:val="21"/>
                <w:highlight w:val="none"/>
              </w:rPr>
            </w:pPr>
            <w:r>
              <w:rPr>
                <w:rFonts w:hint="eastAsia" w:hAnsi="宋体"/>
                <w:color w:val="auto"/>
                <w:sz w:val="21"/>
                <w:highlight w:val="none"/>
              </w:rPr>
              <w:t xml:space="preserve">乙方： </w:t>
            </w:r>
          </w:p>
        </w:tc>
      </w:tr>
      <w:tr w14:paraId="1474AFE2">
        <w:tblPrEx>
          <w:tblCellMar>
            <w:top w:w="0" w:type="dxa"/>
            <w:left w:w="108" w:type="dxa"/>
            <w:bottom w:w="0" w:type="dxa"/>
            <w:right w:w="108" w:type="dxa"/>
          </w:tblCellMar>
        </w:tblPrEx>
        <w:tc>
          <w:tcPr>
            <w:tcW w:w="4284" w:type="dxa"/>
            <w:tcBorders>
              <w:top w:val="nil"/>
              <w:left w:val="nil"/>
              <w:bottom w:val="nil"/>
              <w:right w:val="nil"/>
            </w:tcBorders>
            <w:noWrap w:val="0"/>
            <w:vAlign w:val="top"/>
          </w:tcPr>
          <w:p w14:paraId="3364114D">
            <w:pPr>
              <w:pStyle w:val="203"/>
              <w:pageBreakBefore w:val="0"/>
              <w:kinsoku/>
              <w:wordWrap/>
              <w:overflowPunct/>
              <w:topLinePunct w:val="0"/>
              <w:autoSpaceDE/>
              <w:autoSpaceDN/>
              <w:bidi w:val="0"/>
              <w:adjustRightInd/>
              <w:spacing w:before="120" w:after="120" w:line="360" w:lineRule="auto"/>
              <w:textAlignment w:val="auto"/>
              <w:rPr>
                <w:rFonts w:hint="eastAsia" w:hAnsi="宋体" w:eastAsia="宋体"/>
                <w:color w:val="auto"/>
                <w:sz w:val="21"/>
                <w:highlight w:val="none"/>
                <w:lang w:eastAsia="zh-CN"/>
              </w:rPr>
            </w:pPr>
            <w:r>
              <w:rPr>
                <w:rFonts w:hint="eastAsia" w:hAnsi="宋体"/>
                <w:color w:val="auto"/>
                <w:sz w:val="21"/>
                <w:highlight w:val="none"/>
              </w:rPr>
              <w:t>地址：</w:t>
            </w:r>
            <w:r>
              <w:rPr>
                <w:rFonts w:hint="eastAsia" w:hAnsi="宋体"/>
                <w:color w:val="auto"/>
                <w:sz w:val="21"/>
                <w:highlight w:val="none"/>
                <w:lang w:val="en-US" w:eastAsia="zh-CN"/>
              </w:rPr>
              <w:t xml:space="preserve"> </w:t>
            </w:r>
          </w:p>
        </w:tc>
        <w:tc>
          <w:tcPr>
            <w:tcW w:w="4238" w:type="dxa"/>
            <w:tcBorders>
              <w:top w:val="nil"/>
              <w:left w:val="nil"/>
              <w:bottom w:val="nil"/>
              <w:right w:val="nil"/>
            </w:tcBorders>
            <w:noWrap w:val="0"/>
            <w:vAlign w:val="top"/>
          </w:tcPr>
          <w:p w14:paraId="55F36D6F">
            <w:pPr>
              <w:pStyle w:val="203"/>
              <w:pageBreakBefore w:val="0"/>
              <w:kinsoku/>
              <w:wordWrap/>
              <w:overflowPunct/>
              <w:topLinePunct w:val="0"/>
              <w:autoSpaceDE/>
              <w:autoSpaceDN/>
              <w:bidi w:val="0"/>
              <w:adjustRightInd/>
              <w:spacing w:before="120" w:after="120" w:line="360" w:lineRule="auto"/>
              <w:textAlignment w:val="auto"/>
              <w:rPr>
                <w:rFonts w:hAnsi="宋体"/>
                <w:color w:val="auto"/>
                <w:sz w:val="21"/>
                <w:highlight w:val="none"/>
              </w:rPr>
            </w:pPr>
            <w:r>
              <w:rPr>
                <w:rFonts w:hint="eastAsia" w:hAnsi="宋体"/>
                <w:color w:val="auto"/>
                <w:sz w:val="21"/>
                <w:highlight w:val="none"/>
              </w:rPr>
              <w:t xml:space="preserve">地址： </w:t>
            </w:r>
          </w:p>
        </w:tc>
      </w:tr>
      <w:tr w14:paraId="144F0607">
        <w:tblPrEx>
          <w:tblCellMar>
            <w:top w:w="0" w:type="dxa"/>
            <w:left w:w="108" w:type="dxa"/>
            <w:bottom w:w="0" w:type="dxa"/>
            <w:right w:w="108" w:type="dxa"/>
          </w:tblCellMar>
        </w:tblPrEx>
        <w:tc>
          <w:tcPr>
            <w:tcW w:w="4284" w:type="dxa"/>
            <w:tcBorders>
              <w:top w:val="nil"/>
              <w:left w:val="nil"/>
              <w:bottom w:val="nil"/>
              <w:right w:val="nil"/>
            </w:tcBorders>
            <w:noWrap w:val="0"/>
            <w:vAlign w:val="top"/>
          </w:tcPr>
          <w:p w14:paraId="2EDBF4E9">
            <w:pPr>
              <w:pStyle w:val="203"/>
              <w:pageBreakBefore w:val="0"/>
              <w:kinsoku/>
              <w:wordWrap/>
              <w:overflowPunct/>
              <w:topLinePunct w:val="0"/>
              <w:autoSpaceDE/>
              <w:autoSpaceDN/>
              <w:bidi w:val="0"/>
              <w:adjustRightInd/>
              <w:spacing w:before="120" w:after="120" w:line="360" w:lineRule="auto"/>
              <w:textAlignment w:val="auto"/>
              <w:rPr>
                <w:rFonts w:hAnsi="宋体"/>
                <w:color w:val="auto"/>
                <w:sz w:val="21"/>
                <w:highlight w:val="none"/>
              </w:rPr>
            </w:pPr>
            <w:r>
              <w:rPr>
                <w:rFonts w:hint="eastAsia" w:hAnsi="宋体"/>
                <w:color w:val="auto"/>
                <w:sz w:val="21"/>
                <w:highlight w:val="none"/>
              </w:rPr>
              <w:t>法定代表人或授权代表：</w:t>
            </w:r>
          </w:p>
        </w:tc>
        <w:tc>
          <w:tcPr>
            <w:tcW w:w="4238" w:type="dxa"/>
            <w:tcBorders>
              <w:top w:val="nil"/>
              <w:left w:val="nil"/>
              <w:bottom w:val="nil"/>
              <w:right w:val="nil"/>
            </w:tcBorders>
            <w:noWrap w:val="0"/>
            <w:vAlign w:val="top"/>
          </w:tcPr>
          <w:p w14:paraId="241212CC">
            <w:pPr>
              <w:pStyle w:val="203"/>
              <w:pageBreakBefore w:val="0"/>
              <w:kinsoku/>
              <w:wordWrap/>
              <w:overflowPunct/>
              <w:topLinePunct w:val="0"/>
              <w:autoSpaceDE/>
              <w:autoSpaceDN/>
              <w:bidi w:val="0"/>
              <w:adjustRightInd/>
              <w:spacing w:before="120" w:after="120" w:line="360" w:lineRule="auto"/>
              <w:textAlignment w:val="auto"/>
              <w:rPr>
                <w:rFonts w:hAnsi="宋体"/>
                <w:color w:val="auto"/>
                <w:sz w:val="21"/>
                <w:highlight w:val="none"/>
              </w:rPr>
            </w:pPr>
            <w:r>
              <w:rPr>
                <w:rFonts w:hint="eastAsia" w:hAnsi="宋体"/>
                <w:color w:val="auto"/>
                <w:sz w:val="21"/>
                <w:highlight w:val="none"/>
              </w:rPr>
              <w:t>法定代表人或授权代表：</w:t>
            </w:r>
          </w:p>
        </w:tc>
      </w:tr>
      <w:tr w14:paraId="58BB282E">
        <w:tblPrEx>
          <w:tblCellMar>
            <w:top w:w="0" w:type="dxa"/>
            <w:left w:w="108" w:type="dxa"/>
            <w:bottom w:w="0" w:type="dxa"/>
            <w:right w:w="108" w:type="dxa"/>
          </w:tblCellMar>
        </w:tblPrEx>
        <w:tc>
          <w:tcPr>
            <w:tcW w:w="4284" w:type="dxa"/>
            <w:tcBorders>
              <w:top w:val="nil"/>
              <w:left w:val="nil"/>
              <w:bottom w:val="nil"/>
              <w:right w:val="nil"/>
            </w:tcBorders>
            <w:noWrap w:val="0"/>
            <w:vAlign w:val="top"/>
          </w:tcPr>
          <w:p w14:paraId="57CE02E5">
            <w:pPr>
              <w:pStyle w:val="203"/>
              <w:pageBreakBefore w:val="0"/>
              <w:kinsoku/>
              <w:wordWrap/>
              <w:overflowPunct/>
              <w:topLinePunct w:val="0"/>
              <w:autoSpaceDE/>
              <w:autoSpaceDN/>
              <w:bidi w:val="0"/>
              <w:adjustRightInd/>
              <w:spacing w:before="120" w:after="120" w:line="360" w:lineRule="auto"/>
              <w:textAlignment w:val="auto"/>
              <w:rPr>
                <w:rFonts w:hAnsi="宋体"/>
                <w:color w:val="auto"/>
                <w:sz w:val="21"/>
                <w:highlight w:val="none"/>
              </w:rPr>
            </w:pPr>
            <w:r>
              <w:rPr>
                <w:rFonts w:hint="eastAsia" w:hAnsi="宋体"/>
                <w:color w:val="auto"/>
                <w:sz w:val="21"/>
                <w:highlight w:val="none"/>
              </w:rPr>
              <w:t>联系电话：</w:t>
            </w:r>
          </w:p>
        </w:tc>
        <w:tc>
          <w:tcPr>
            <w:tcW w:w="4238" w:type="dxa"/>
            <w:tcBorders>
              <w:top w:val="nil"/>
              <w:left w:val="nil"/>
              <w:bottom w:val="nil"/>
              <w:right w:val="nil"/>
            </w:tcBorders>
            <w:noWrap w:val="0"/>
            <w:vAlign w:val="top"/>
          </w:tcPr>
          <w:p w14:paraId="737238FA">
            <w:pPr>
              <w:pStyle w:val="203"/>
              <w:pageBreakBefore w:val="0"/>
              <w:kinsoku/>
              <w:wordWrap/>
              <w:overflowPunct/>
              <w:topLinePunct w:val="0"/>
              <w:autoSpaceDE/>
              <w:autoSpaceDN/>
              <w:bidi w:val="0"/>
              <w:adjustRightInd/>
              <w:spacing w:before="120" w:after="120" w:line="360" w:lineRule="auto"/>
              <w:textAlignment w:val="auto"/>
              <w:rPr>
                <w:rFonts w:hAnsi="宋体"/>
                <w:color w:val="auto"/>
                <w:sz w:val="21"/>
                <w:highlight w:val="none"/>
              </w:rPr>
            </w:pPr>
            <w:r>
              <w:rPr>
                <w:rFonts w:hint="eastAsia" w:hAnsi="宋体"/>
                <w:color w:val="auto"/>
                <w:sz w:val="21"/>
                <w:highlight w:val="none"/>
              </w:rPr>
              <w:t>联系电话：</w:t>
            </w:r>
          </w:p>
        </w:tc>
      </w:tr>
      <w:tr w14:paraId="490C186A">
        <w:tblPrEx>
          <w:tblCellMar>
            <w:top w:w="0" w:type="dxa"/>
            <w:left w:w="108" w:type="dxa"/>
            <w:bottom w:w="0" w:type="dxa"/>
            <w:right w:w="108" w:type="dxa"/>
          </w:tblCellMar>
        </w:tblPrEx>
        <w:tc>
          <w:tcPr>
            <w:tcW w:w="4284" w:type="dxa"/>
            <w:tcBorders>
              <w:top w:val="nil"/>
              <w:left w:val="nil"/>
              <w:bottom w:val="nil"/>
              <w:right w:val="nil"/>
            </w:tcBorders>
            <w:noWrap w:val="0"/>
            <w:vAlign w:val="top"/>
          </w:tcPr>
          <w:p w14:paraId="27994617">
            <w:pPr>
              <w:pStyle w:val="203"/>
              <w:pageBreakBefore w:val="0"/>
              <w:kinsoku/>
              <w:wordWrap/>
              <w:overflowPunct/>
              <w:topLinePunct w:val="0"/>
              <w:autoSpaceDE/>
              <w:autoSpaceDN/>
              <w:bidi w:val="0"/>
              <w:adjustRightInd/>
              <w:spacing w:before="120" w:after="120" w:line="360" w:lineRule="auto"/>
              <w:textAlignment w:val="auto"/>
              <w:rPr>
                <w:rFonts w:hAnsi="宋体"/>
                <w:color w:val="auto"/>
                <w:sz w:val="21"/>
                <w:highlight w:val="none"/>
              </w:rPr>
            </w:pPr>
            <w:r>
              <w:rPr>
                <w:rFonts w:hint="eastAsia" w:hAnsi="宋体"/>
                <w:color w:val="auto"/>
                <w:sz w:val="21"/>
                <w:highlight w:val="none"/>
              </w:rPr>
              <w:t xml:space="preserve">日期：      年    月    日  </w:t>
            </w:r>
          </w:p>
        </w:tc>
        <w:tc>
          <w:tcPr>
            <w:tcW w:w="4238" w:type="dxa"/>
            <w:tcBorders>
              <w:top w:val="nil"/>
              <w:left w:val="nil"/>
              <w:bottom w:val="nil"/>
              <w:right w:val="nil"/>
            </w:tcBorders>
            <w:noWrap w:val="0"/>
            <w:vAlign w:val="top"/>
          </w:tcPr>
          <w:p w14:paraId="45986260">
            <w:pPr>
              <w:pStyle w:val="203"/>
              <w:pageBreakBefore w:val="0"/>
              <w:kinsoku/>
              <w:wordWrap/>
              <w:overflowPunct/>
              <w:topLinePunct w:val="0"/>
              <w:autoSpaceDE/>
              <w:autoSpaceDN/>
              <w:bidi w:val="0"/>
              <w:adjustRightInd/>
              <w:spacing w:before="120" w:after="120" w:line="360" w:lineRule="auto"/>
              <w:textAlignment w:val="auto"/>
              <w:rPr>
                <w:rFonts w:hAnsi="宋体"/>
                <w:color w:val="auto"/>
                <w:sz w:val="21"/>
                <w:highlight w:val="none"/>
              </w:rPr>
            </w:pPr>
            <w:r>
              <w:rPr>
                <w:rFonts w:hint="eastAsia" w:hAnsi="宋体"/>
                <w:color w:val="auto"/>
                <w:sz w:val="21"/>
                <w:highlight w:val="none"/>
              </w:rPr>
              <w:t>日期：      年    月    日</w:t>
            </w:r>
          </w:p>
        </w:tc>
      </w:tr>
      <w:tr w14:paraId="0689CF52">
        <w:tblPrEx>
          <w:tblCellMar>
            <w:top w:w="0" w:type="dxa"/>
            <w:left w:w="108" w:type="dxa"/>
            <w:bottom w:w="0" w:type="dxa"/>
            <w:right w:w="108" w:type="dxa"/>
          </w:tblCellMar>
        </w:tblPrEx>
        <w:tc>
          <w:tcPr>
            <w:tcW w:w="4284" w:type="dxa"/>
            <w:tcBorders>
              <w:top w:val="nil"/>
              <w:left w:val="nil"/>
              <w:bottom w:val="nil"/>
              <w:right w:val="nil"/>
            </w:tcBorders>
            <w:noWrap w:val="0"/>
            <w:vAlign w:val="top"/>
          </w:tcPr>
          <w:p w14:paraId="522C976F">
            <w:pPr>
              <w:pStyle w:val="203"/>
              <w:pageBreakBefore w:val="0"/>
              <w:kinsoku/>
              <w:wordWrap/>
              <w:overflowPunct/>
              <w:topLinePunct w:val="0"/>
              <w:autoSpaceDE/>
              <w:autoSpaceDN/>
              <w:bidi w:val="0"/>
              <w:adjustRightInd/>
              <w:spacing w:before="120" w:after="120" w:line="360" w:lineRule="auto"/>
              <w:textAlignment w:val="auto"/>
              <w:rPr>
                <w:rFonts w:hint="eastAsia" w:hAnsi="宋体"/>
                <w:color w:val="auto"/>
                <w:sz w:val="21"/>
                <w:highlight w:val="none"/>
              </w:rPr>
            </w:pPr>
            <w:r>
              <w:rPr>
                <w:rFonts w:hint="eastAsia" w:hAnsi="宋体"/>
                <w:color w:val="auto"/>
                <w:sz w:val="21"/>
                <w:highlight w:val="none"/>
              </w:rPr>
              <w:t>见证方：</w:t>
            </w:r>
            <w:r>
              <w:rPr>
                <w:rFonts w:hint="eastAsia" w:hAnsi="宋体"/>
                <w:color w:val="auto"/>
                <w:sz w:val="21"/>
                <w:highlight w:val="none"/>
                <w:lang w:eastAsia="zh-CN"/>
              </w:rPr>
              <w:t>江苏嘉加诚工程投资咨询有限公司</w:t>
            </w:r>
          </w:p>
        </w:tc>
        <w:tc>
          <w:tcPr>
            <w:tcW w:w="4238" w:type="dxa"/>
            <w:tcBorders>
              <w:top w:val="nil"/>
              <w:left w:val="nil"/>
              <w:bottom w:val="nil"/>
              <w:right w:val="nil"/>
            </w:tcBorders>
            <w:noWrap w:val="0"/>
            <w:vAlign w:val="top"/>
          </w:tcPr>
          <w:p w14:paraId="31418A7A">
            <w:pPr>
              <w:pStyle w:val="203"/>
              <w:pageBreakBefore w:val="0"/>
              <w:kinsoku/>
              <w:wordWrap/>
              <w:overflowPunct/>
              <w:topLinePunct w:val="0"/>
              <w:autoSpaceDE/>
              <w:autoSpaceDN/>
              <w:bidi w:val="0"/>
              <w:adjustRightInd/>
              <w:spacing w:before="120" w:after="120" w:line="360" w:lineRule="auto"/>
              <w:textAlignment w:val="auto"/>
              <w:rPr>
                <w:rFonts w:hint="eastAsia" w:hAnsi="宋体"/>
                <w:color w:val="auto"/>
                <w:sz w:val="21"/>
                <w:highlight w:val="none"/>
              </w:rPr>
            </w:pPr>
          </w:p>
        </w:tc>
      </w:tr>
      <w:tr w14:paraId="6F5AAB22">
        <w:tblPrEx>
          <w:tblCellMar>
            <w:top w:w="0" w:type="dxa"/>
            <w:left w:w="108" w:type="dxa"/>
            <w:bottom w:w="0" w:type="dxa"/>
            <w:right w:w="108" w:type="dxa"/>
          </w:tblCellMar>
        </w:tblPrEx>
        <w:tc>
          <w:tcPr>
            <w:tcW w:w="4284" w:type="dxa"/>
            <w:tcBorders>
              <w:top w:val="nil"/>
              <w:left w:val="nil"/>
              <w:bottom w:val="nil"/>
              <w:right w:val="nil"/>
            </w:tcBorders>
            <w:noWrap w:val="0"/>
            <w:vAlign w:val="top"/>
          </w:tcPr>
          <w:p w14:paraId="2B12243D">
            <w:pPr>
              <w:pStyle w:val="203"/>
              <w:pageBreakBefore w:val="0"/>
              <w:kinsoku/>
              <w:wordWrap/>
              <w:overflowPunct/>
              <w:topLinePunct w:val="0"/>
              <w:autoSpaceDE/>
              <w:autoSpaceDN/>
              <w:bidi w:val="0"/>
              <w:adjustRightInd/>
              <w:spacing w:before="120" w:after="120" w:line="360" w:lineRule="auto"/>
              <w:textAlignment w:val="auto"/>
              <w:rPr>
                <w:rFonts w:hint="eastAsia" w:hAnsi="宋体"/>
                <w:color w:val="auto"/>
                <w:sz w:val="21"/>
                <w:highlight w:val="none"/>
              </w:rPr>
            </w:pPr>
            <w:r>
              <w:rPr>
                <w:rFonts w:hint="eastAsia" w:hAnsi="宋体"/>
                <w:color w:val="auto"/>
                <w:sz w:val="21"/>
                <w:highlight w:val="none"/>
              </w:rPr>
              <w:t>项目经办人：</w:t>
            </w:r>
          </w:p>
        </w:tc>
        <w:tc>
          <w:tcPr>
            <w:tcW w:w="4238" w:type="dxa"/>
            <w:tcBorders>
              <w:top w:val="nil"/>
              <w:left w:val="nil"/>
              <w:bottom w:val="nil"/>
              <w:right w:val="nil"/>
            </w:tcBorders>
            <w:noWrap w:val="0"/>
            <w:vAlign w:val="top"/>
          </w:tcPr>
          <w:p w14:paraId="0201FB90">
            <w:pPr>
              <w:pStyle w:val="203"/>
              <w:pageBreakBefore w:val="0"/>
              <w:kinsoku/>
              <w:wordWrap/>
              <w:overflowPunct/>
              <w:topLinePunct w:val="0"/>
              <w:autoSpaceDE/>
              <w:autoSpaceDN/>
              <w:bidi w:val="0"/>
              <w:adjustRightInd/>
              <w:spacing w:before="120" w:after="120" w:line="360" w:lineRule="auto"/>
              <w:textAlignment w:val="auto"/>
              <w:rPr>
                <w:rFonts w:hint="eastAsia" w:hAnsi="宋体"/>
                <w:color w:val="auto"/>
                <w:sz w:val="21"/>
                <w:highlight w:val="none"/>
              </w:rPr>
            </w:pPr>
          </w:p>
        </w:tc>
      </w:tr>
      <w:tr w14:paraId="6594580F">
        <w:tblPrEx>
          <w:tblCellMar>
            <w:top w:w="0" w:type="dxa"/>
            <w:left w:w="108" w:type="dxa"/>
            <w:bottom w:w="0" w:type="dxa"/>
            <w:right w:w="108" w:type="dxa"/>
          </w:tblCellMar>
        </w:tblPrEx>
        <w:tc>
          <w:tcPr>
            <w:tcW w:w="4284" w:type="dxa"/>
            <w:tcBorders>
              <w:top w:val="nil"/>
              <w:left w:val="nil"/>
              <w:bottom w:val="nil"/>
              <w:right w:val="nil"/>
            </w:tcBorders>
            <w:noWrap w:val="0"/>
            <w:vAlign w:val="top"/>
          </w:tcPr>
          <w:p w14:paraId="01E406D6">
            <w:pPr>
              <w:pStyle w:val="203"/>
              <w:pageBreakBefore w:val="0"/>
              <w:kinsoku/>
              <w:wordWrap/>
              <w:overflowPunct/>
              <w:topLinePunct w:val="0"/>
              <w:autoSpaceDE/>
              <w:autoSpaceDN/>
              <w:bidi w:val="0"/>
              <w:adjustRightInd/>
              <w:spacing w:before="120" w:after="120" w:line="360" w:lineRule="auto"/>
              <w:textAlignment w:val="auto"/>
              <w:rPr>
                <w:rFonts w:hint="eastAsia" w:hAnsi="宋体"/>
                <w:color w:val="auto"/>
                <w:sz w:val="21"/>
                <w:highlight w:val="none"/>
              </w:rPr>
            </w:pPr>
            <w:r>
              <w:rPr>
                <w:rFonts w:hint="eastAsia" w:hAnsi="宋体"/>
                <w:color w:val="auto"/>
                <w:sz w:val="21"/>
                <w:highlight w:val="none"/>
              </w:rPr>
              <w:t xml:space="preserve">日期：      年    月    日 </w:t>
            </w:r>
          </w:p>
        </w:tc>
        <w:tc>
          <w:tcPr>
            <w:tcW w:w="4238" w:type="dxa"/>
            <w:tcBorders>
              <w:top w:val="nil"/>
              <w:left w:val="nil"/>
              <w:bottom w:val="nil"/>
              <w:right w:val="nil"/>
            </w:tcBorders>
            <w:noWrap w:val="0"/>
            <w:vAlign w:val="top"/>
          </w:tcPr>
          <w:p w14:paraId="63A64AB8">
            <w:pPr>
              <w:pStyle w:val="203"/>
              <w:pageBreakBefore w:val="0"/>
              <w:kinsoku/>
              <w:wordWrap/>
              <w:overflowPunct/>
              <w:topLinePunct w:val="0"/>
              <w:autoSpaceDE/>
              <w:autoSpaceDN/>
              <w:bidi w:val="0"/>
              <w:adjustRightInd/>
              <w:spacing w:before="120" w:after="120" w:line="360" w:lineRule="auto"/>
              <w:textAlignment w:val="auto"/>
              <w:rPr>
                <w:rFonts w:hint="eastAsia" w:hAnsi="宋体"/>
                <w:color w:val="auto"/>
                <w:sz w:val="21"/>
                <w:highlight w:val="none"/>
              </w:rPr>
            </w:pPr>
          </w:p>
        </w:tc>
      </w:tr>
    </w:tbl>
    <w:p w14:paraId="0634A77C">
      <w:pPr>
        <w:pStyle w:val="203"/>
        <w:pageBreakBefore w:val="0"/>
        <w:kinsoku/>
        <w:wordWrap/>
        <w:overflowPunct/>
        <w:topLinePunct w:val="0"/>
        <w:autoSpaceDE/>
        <w:autoSpaceDN/>
        <w:bidi w:val="0"/>
        <w:adjustRightInd/>
        <w:spacing w:before="120" w:after="120" w:line="360" w:lineRule="auto"/>
        <w:textAlignment w:val="auto"/>
        <w:rPr>
          <w:rFonts w:hAnsi="宋体"/>
          <w:color w:val="auto"/>
          <w:sz w:val="21"/>
          <w:highlight w:val="none"/>
        </w:rPr>
      </w:pPr>
      <w:r>
        <w:rPr>
          <w:rFonts w:hint="eastAsia" w:hAnsi="宋体"/>
          <w:color w:val="auto"/>
          <w:sz w:val="21"/>
          <w:highlight w:val="none"/>
        </w:rPr>
        <w:t xml:space="preserve"> </w:t>
      </w:r>
    </w:p>
    <w:p w14:paraId="07C0FACA">
      <w:pPr>
        <w:pStyle w:val="203"/>
        <w:pageBreakBefore w:val="0"/>
        <w:kinsoku/>
        <w:wordWrap/>
        <w:overflowPunct/>
        <w:topLinePunct w:val="0"/>
        <w:autoSpaceDE/>
        <w:autoSpaceDN/>
        <w:bidi w:val="0"/>
        <w:adjustRightInd/>
        <w:spacing w:before="120" w:after="120" w:line="360" w:lineRule="auto"/>
        <w:textAlignment w:val="auto"/>
        <w:rPr>
          <w:rFonts w:hAnsi="宋体"/>
          <w:color w:val="auto"/>
          <w:sz w:val="21"/>
          <w:highlight w:val="none"/>
        </w:rPr>
      </w:pPr>
      <w:r>
        <w:rPr>
          <w:rFonts w:hint="eastAsia" w:hAnsi="宋体"/>
          <w:color w:val="auto"/>
          <w:sz w:val="21"/>
          <w:highlight w:val="none"/>
        </w:rPr>
        <w:t xml:space="preserve"> </w:t>
      </w:r>
    </w:p>
    <w:p w14:paraId="6BD3277E">
      <w:pPr>
        <w:pStyle w:val="203"/>
        <w:pageBreakBefore w:val="0"/>
        <w:kinsoku/>
        <w:wordWrap/>
        <w:overflowPunct/>
        <w:topLinePunct w:val="0"/>
        <w:autoSpaceDE/>
        <w:autoSpaceDN/>
        <w:bidi w:val="0"/>
        <w:adjustRightInd/>
        <w:spacing w:before="120" w:after="120" w:line="360" w:lineRule="auto"/>
        <w:textAlignment w:val="auto"/>
        <w:rPr>
          <w:color w:val="auto"/>
          <w:highlight w:val="none"/>
        </w:rPr>
      </w:pPr>
      <w:r>
        <w:rPr>
          <w:rFonts w:hint="eastAsia" w:hAnsi="宋体"/>
          <w:color w:val="auto"/>
          <w:sz w:val="21"/>
          <w:highlight w:val="none"/>
        </w:rPr>
        <w:t xml:space="preserve">  </w:t>
      </w:r>
      <w:bookmarkEnd w:id="52"/>
    </w:p>
    <w:p w14:paraId="7B9BFBA9">
      <w:pPr>
        <w:pStyle w:val="192"/>
        <w:pageBreakBefore w:val="0"/>
        <w:kinsoku/>
        <w:wordWrap/>
        <w:overflowPunct/>
        <w:topLinePunct w:val="0"/>
        <w:autoSpaceDE/>
        <w:autoSpaceDN/>
        <w:bidi w:val="0"/>
        <w:adjustRightInd/>
        <w:spacing w:line="360" w:lineRule="auto"/>
        <w:jc w:val="center"/>
        <w:textAlignment w:val="auto"/>
        <w:rPr>
          <w:rFonts w:hint="eastAsia" w:ascii="宋体" w:hAnsi="宋体"/>
          <w:color w:val="auto"/>
          <w:sz w:val="32"/>
          <w:szCs w:val="32"/>
          <w:highlight w:val="none"/>
        </w:rPr>
        <w:sectPr>
          <w:footerReference r:id="rId3" w:type="default"/>
          <w:pgSz w:w="11906" w:h="16838"/>
          <w:pgMar w:top="1440" w:right="1803" w:bottom="1440" w:left="1803" w:header="851" w:footer="992" w:gutter="0"/>
          <w:cols w:space="1701" w:num="1"/>
          <w:docGrid w:linePitch="360" w:charSpace="0"/>
        </w:sectPr>
      </w:pPr>
    </w:p>
    <w:p w14:paraId="046A186A">
      <w:pPr>
        <w:pStyle w:val="192"/>
        <w:pageBreakBefore w:val="0"/>
        <w:kinsoku/>
        <w:wordWrap/>
        <w:overflowPunct/>
        <w:topLinePunct w:val="0"/>
        <w:autoSpaceDE/>
        <w:autoSpaceDN/>
        <w:bidi w:val="0"/>
        <w:adjustRightInd/>
        <w:snapToGrid/>
        <w:spacing w:line="360" w:lineRule="auto"/>
        <w:jc w:val="center"/>
        <w:textAlignment w:val="auto"/>
        <w:rPr>
          <w:rFonts w:ascii="宋体" w:hAnsi="宋体"/>
          <w:color w:val="auto"/>
          <w:sz w:val="32"/>
          <w:szCs w:val="32"/>
          <w:highlight w:val="none"/>
        </w:rPr>
      </w:pPr>
      <w:r>
        <w:rPr>
          <w:rFonts w:hint="eastAsia" w:ascii="宋体" w:hAnsi="宋体"/>
          <w:color w:val="auto"/>
          <w:szCs w:val="36"/>
          <w:highlight w:val="none"/>
        </w:rPr>
        <w:t>第四章 项目需求</w:t>
      </w:r>
    </w:p>
    <w:p w14:paraId="34DDDD72">
      <w:pPr>
        <w:spacing w:line="360" w:lineRule="auto"/>
        <w:ind w:firstLine="422"/>
        <w:contextualSpacing/>
        <w:rPr>
          <w:rFonts w:ascii="宋体" w:hAnsi="宋体" w:cs="宋体"/>
          <w:szCs w:val="21"/>
        </w:rPr>
      </w:pPr>
      <w:r>
        <w:rPr>
          <w:rFonts w:hint="eastAsia" w:ascii="宋体" w:hAnsi="宋体" w:cs="宋体"/>
          <w:b/>
          <w:bCs/>
          <w:szCs w:val="21"/>
        </w:rPr>
        <w:t>一、项目背景</w:t>
      </w:r>
    </w:p>
    <w:p w14:paraId="0BDA3808">
      <w:pPr>
        <w:spacing w:line="360" w:lineRule="auto"/>
        <w:ind w:firstLine="420"/>
        <w:contextualSpacing/>
        <w:rPr>
          <w:rFonts w:hint="eastAsia" w:ascii="宋体" w:hAnsi="宋体" w:cs="宋体"/>
          <w:szCs w:val="21"/>
        </w:rPr>
      </w:pPr>
      <w:r>
        <w:rPr>
          <w:rFonts w:hint="eastAsia" w:ascii="宋体" w:hAnsi="宋体" w:cs="宋体"/>
          <w:szCs w:val="21"/>
        </w:rPr>
        <w:t>为认真贯彻落实《省政府关于进一步推进养老服务高质量发展的实施意见》(苏政发〔2019〕85号)、《</w:t>
      </w:r>
      <w:r>
        <w:rPr>
          <w:rFonts w:hint="eastAsia" w:ascii="宋体" w:hAnsi="宋体" w:cs="宋体"/>
          <w:szCs w:val="21"/>
          <w:lang w:val="en-US" w:eastAsia="zh-CN"/>
        </w:rPr>
        <w:t>居家养老上门服务基本规范</w:t>
      </w:r>
      <w:r>
        <w:rPr>
          <w:rFonts w:hint="eastAsia" w:ascii="宋体" w:hAnsi="宋体" w:cs="宋体"/>
          <w:szCs w:val="21"/>
        </w:rPr>
        <w:t>》、《</w:t>
      </w:r>
      <w:r>
        <w:rPr>
          <w:rFonts w:hint="eastAsia" w:ascii="宋体" w:hAnsi="宋体" w:cs="宋体"/>
          <w:szCs w:val="21"/>
          <w:lang w:val="en-US" w:eastAsia="zh-CN"/>
        </w:rPr>
        <w:t>扬州市居家养老服务条例</w:t>
      </w:r>
      <w:r>
        <w:rPr>
          <w:rFonts w:hint="eastAsia" w:ascii="宋体" w:hAnsi="宋体" w:cs="宋体"/>
          <w:szCs w:val="21"/>
        </w:rPr>
        <w:t>》、《扬州市区政府购买居家养老服务采购管理办法》(扬政民(2015)129号</w:t>
      </w:r>
      <w:r>
        <w:rPr>
          <w:rFonts w:hint="eastAsia" w:ascii="宋体" w:hAnsi="宋体" w:cs="宋体"/>
          <w:szCs w:val="21"/>
          <w:lang w:val="en-US" w:eastAsia="zh-CN"/>
        </w:rPr>
        <w:t>以及</w:t>
      </w:r>
      <w:r>
        <w:rPr>
          <w:rFonts w:hint="eastAsia" w:ascii="宋体" w:hAnsi="宋体" w:cs="宋体"/>
          <w:szCs w:val="21"/>
          <w:lang w:eastAsia="zh-CN"/>
        </w:rPr>
        <w:t>《</w:t>
      </w:r>
      <w:r>
        <w:rPr>
          <w:rFonts w:hint="eastAsia" w:ascii="宋体" w:hAnsi="宋体" w:cs="宋体"/>
          <w:szCs w:val="21"/>
          <w:lang w:val="en-US" w:eastAsia="zh-CN"/>
        </w:rPr>
        <w:t>关于进一步规范居家养老政务购买服务工作的通知</w:t>
      </w:r>
      <w:r>
        <w:rPr>
          <w:rFonts w:hint="eastAsia" w:ascii="宋体" w:hAnsi="宋体" w:cs="宋体"/>
          <w:szCs w:val="21"/>
          <w:lang w:eastAsia="zh-CN"/>
        </w:rPr>
        <w:t>》（</w:t>
      </w:r>
      <w:r>
        <w:rPr>
          <w:rFonts w:hint="eastAsia" w:ascii="宋体" w:hAnsi="宋体" w:cs="宋体"/>
          <w:szCs w:val="21"/>
          <w:lang w:val="en-US" w:eastAsia="zh-CN"/>
        </w:rPr>
        <w:t>扬政民（2022）74号</w:t>
      </w:r>
      <w:r>
        <w:rPr>
          <w:rFonts w:hint="eastAsia" w:ascii="宋体" w:hAnsi="宋体" w:cs="宋体"/>
          <w:szCs w:val="21"/>
          <w:lang w:eastAsia="zh-CN"/>
        </w:rPr>
        <w:t>）</w:t>
      </w:r>
      <w:r>
        <w:rPr>
          <w:rFonts w:hint="eastAsia" w:ascii="宋体" w:hAnsi="宋体" w:cs="宋体"/>
          <w:szCs w:val="21"/>
        </w:rPr>
        <w:t>文件要求，围绕高质量考核指标，进一步提升扬州市</w:t>
      </w:r>
      <w:r>
        <w:rPr>
          <w:rFonts w:hint="eastAsia" w:ascii="宋体" w:hAnsi="宋体" w:cs="宋体"/>
          <w:szCs w:val="21"/>
          <w:lang w:val="en-US" w:eastAsia="zh-CN"/>
        </w:rPr>
        <w:t>梅岭</w:t>
      </w:r>
      <w:r>
        <w:rPr>
          <w:rFonts w:hint="eastAsia" w:ascii="宋体" w:hAnsi="宋体" w:cs="宋体"/>
          <w:szCs w:val="21"/>
        </w:rPr>
        <w:t>街道养老服务专业化水平，促进扬州市</w:t>
      </w:r>
      <w:r>
        <w:rPr>
          <w:rFonts w:hint="eastAsia" w:ascii="宋体" w:hAnsi="宋体" w:cs="宋体"/>
          <w:szCs w:val="21"/>
          <w:lang w:val="en-US" w:eastAsia="zh-CN"/>
        </w:rPr>
        <w:t>梅岭</w:t>
      </w:r>
      <w:r>
        <w:rPr>
          <w:rFonts w:hint="eastAsia" w:ascii="宋体" w:hAnsi="宋体" w:cs="宋体"/>
          <w:szCs w:val="21"/>
        </w:rPr>
        <w:t>街道居家养老服务持续、有序和更高标准发展，不断提升老年人幸福感、获得感、安全感和满意度，扬州市</w:t>
      </w:r>
      <w:r>
        <w:rPr>
          <w:rFonts w:hint="eastAsia" w:ascii="宋体" w:hAnsi="宋体" w:cs="宋体"/>
          <w:szCs w:val="21"/>
          <w:lang w:val="en-US" w:eastAsia="zh-CN"/>
        </w:rPr>
        <w:t>梅岭</w:t>
      </w:r>
      <w:r>
        <w:rPr>
          <w:rFonts w:hint="eastAsia" w:ascii="宋体" w:hAnsi="宋体" w:cs="宋体"/>
          <w:szCs w:val="21"/>
        </w:rPr>
        <w:t>街道办事处为政府购买养老服务对象提供居家上门生活照料、康复护理、精神关爱、紧急援助等居家养老服务。</w:t>
      </w:r>
    </w:p>
    <w:p w14:paraId="07A49FCB">
      <w:pPr>
        <w:spacing w:line="360" w:lineRule="auto"/>
        <w:ind w:firstLine="422"/>
        <w:contextualSpacing/>
        <w:rPr>
          <w:rFonts w:ascii="宋体" w:hAnsi="宋体" w:cs="宋体"/>
          <w:b/>
          <w:bCs/>
          <w:szCs w:val="21"/>
        </w:rPr>
      </w:pPr>
      <w:r>
        <w:rPr>
          <w:rFonts w:hint="eastAsia" w:ascii="宋体" w:hAnsi="宋体" w:cs="宋体"/>
          <w:b/>
          <w:bCs/>
          <w:szCs w:val="21"/>
        </w:rPr>
        <w:t>二、项目概况</w:t>
      </w:r>
    </w:p>
    <w:p w14:paraId="2C332F75">
      <w:pPr>
        <w:spacing w:line="360" w:lineRule="auto"/>
        <w:ind w:firstLine="420"/>
        <w:rPr>
          <w:rFonts w:hint="eastAsia" w:ascii="宋体" w:hAnsi="宋体" w:eastAsia="宋体" w:cs="宋体"/>
          <w:szCs w:val="21"/>
          <w:highlight w:val="none"/>
          <w:lang w:val="en-US" w:eastAsia="zh-CN"/>
        </w:rPr>
      </w:pPr>
      <w:r>
        <w:rPr>
          <w:rFonts w:hint="eastAsia" w:ascii="宋体" w:hAnsi="宋体" w:cs="宋体"/>
          <w:szCs w:val="21"/>
        </w:rPr>
        <w:t>1.</w:t>
      </w:r>
      <w:r>
        <w:rPr>
          <w:rFonts w:hint="eastAsia" w:ascii="宋体" w:hAnsi="宋体" w:cs="宋体"/>
          <w:szCs w:val="21"/>
          <w:highlight w:val="none"/>
        </w:rPr>
        <w:t>项目编号：</w:t>
      </w:r>
      <w:r>
        <w:rPr>
          <w:rFonts w:hint="eastAsia" w:ascii="宋体" w:hAnsi="宋体" w:cs="宋体"/>
          <w:szCs w:val="21"/>
          <w:highlight w:val="none"/>
          <w:lang w:eastAsia="zh-CN"/>
        </w:rPr>
        <w:t>JSZC-321092-JJJC-G2024-0033</w:t>
      </w:r>
    </w:p>
    <w:p w14:paraId="58B9D502">
      <w:pPr>
        <w:spacing w:line="360" w:lineRule="auto"/>
        <w:ind w:firstLine="420"/>
        <w:rPr>
          <w:rFonts w:hint="default" w:ascii="宋体" w:hAnsi="宋体" w:eastAsia="宋体" w:cs="宋体"/>
          <w:color w:val="000000" w:themeColor="text1"/>
          <w:szCs w:val="21"/>
          <w:lang w:val="en-US" w:eastAsia="zh-CN"/>
          <w14:textFill>
            <w14:solidFill>
              <w14:schemeClr w14:val="tx1"/>
            </w14:solidFill>
          </w14:textFill>
        </w:rPr>
      </w:pPr>
      <w:r>
        <w:rPr>
          <w:rFonts w:hint="eastAsia" w:ascii="宋体" w:hAnsi="宋体" w:cs="宋体"/>
          <w:szCs w:val="21"/>
        </w:rPr>
        <w:t>2.项目名称：</w:t>
      </w:r>
      <w:r>
        <w:rPr>
          <w:rFonts w:hint="eastAsia" w:ascii="宋体" w:hAnsi="宋体" w:cs="宋体"/>
          <w:szCs w:val="21"/>
          <w:lang w:val="en-US" w:eastAsia="zh-CN"/>
        </w:rPr>
        <w:t>梅岭</w:t>
      </w:r>
      <w:r>
        <w:rPr>
          <w:rFonts w:hint="eastAsia" w:ascii="宋体" w:hAnsi="宋体" w:cs="宋体"/>
          <w:color w:val="000000" w:themeColor="text1"/>
          <w:szCs w:val="21"/>
          <w14:textFill>
            <w14:solidFill>
              <w14:schemeClr w14:val="tx1"/>
            </w14:solidFill>
          </w14:textFill>
        </w:rPr>
        <w:t>街道2024</w:t>
      </w:r>
      <w:r>
        <w:rPr>
          <w:rFonts w:hint="eastAsia" w:ascii="宋体" w:hAnsi="宋体" w:cs="宋体"/>
          <w:color w:val="000000" w:themeColor="text1"/>
          <w:szCs w:val="21"/>
          <w:lang w:val="en-US" w:eastAsia="zh-CN"/>
          <w14:textFill>
            <w14:solidFill>
              <w14:schemeClr w14:val="tx1"/>
            </w14:solidFill>
          </w14:textFill>
        </w:rPr>
        <w:t>-2026</w:t>
      </w:r>
      <w:r>
        <w:rPr>
          <w:rFonts w:hint="eastAsia" w:ascii="宋体" w:hAnsi="宋体" w:cs="宋体"/>
          <w:color w:val="000000" w:themeColor="text1"/>
          <w:szCs w:val="21"/>
          <w14:textFill>
            <w14:solidFill>
              <w14:schemeClr w14:val="tx1"/>
            </w14:solidFill>
          </w14:textFill>
        </w:rPr>
        <w:t>年居家养老购买服务</w:t>
      </w:r>
      <w:r>
        <w:rPr>
          <w:rFonts w:hint="eastAsia" w:ascii="宋体" w:hAnsi="宋体" w:cs="宋体"/>
          <w:color w:val="000000" w:themeColor="text1"/>
          <w:szCs w:val="21"/>
          <w:lang w:eastAsia="zh-CN"/>
          <w14:textFill>
            <w14:solidFill>
              <w14:schemeClr w14:val="tx1"/>
            </w14:solidFill>
          </w14:textFill>
        </w:rPr>
        <w:t>（</w:t>
      </w:r>
      <w:r>
        <w:rPr>
          <w:rFonts w:hint="eastAsia" w:ascii="宋体" w:hAnsi="宋体" w:cs="宋体"/>
          <w:color w:val="000000" w:themeColor="text1"/>
          <w:szCs w:val="21"/>
          <w:lang w:val="en-US" w:eastAsia="zh-CN"/>
          <w14:textFill>
            <w14:solidFill>
              <w14:schemeClr w14:val="tx1"/>
            </w14:solidFill>
          </w14:textFill>
        </w:rPr>
        <w:t>二次</w:t>
      </w:r>
      <w:r>
        <w:rPr>
          <w:rFonts w:hint="eastAsia" w:ascii="宋体" w:hAnsi="宋体" w:cs="宋体"/>
          <w:color w:val="000000" w:themeColor="text1"/>
          <w:szCs w:val="21"/>
          <w:lang w:eastAsia="zh-CN"/>
          <w14:textFill>
            <w14:solidFill>
              <w14:schemeClr w14:val="tx1"/>
            </w14:solidFill>
          </w14:textFill>
        </w:rPr>
        <w:t>）</w:t>
      </w:r>
    </w:p>
    <w:p w14:paraId="521450DE">
      <w:pPr>
        <w:pageBreakBefore w:val="0"/>
        <w:shd w:val="clear"/>
        <w:kinsoku/>
        <w:wordWrap/>
        <w:overflowPunct/>
        <w:topLinePunct w:val="0"/>
        <w:autoSpaceDE/>
        <w:autoSpaceDN/>
        <w:bidi w:val="0"/>
        <w:adjustRightInd/>
        <w:spacing w:line="360" w:lineRule="auto"/>
        <w:ind w:firstLine="420"/>
        <w:textAlignment w:val="auto"/>
        <w:rPr>
          <w:rFonts w:hint="eastAsia" w:ascii="宋体" w:hAnsi="宋体"/>
          <w:color w:val="000000" w:themeColor="text1"/>
          <w:sz w:val="21"/>
          <w:szCs w:val="21"/>
          <w:highlight w:val="none"/>
          <w:shd w:val="clear" w:fill="FBD4B4" w:themeFill="accent6" w:themeFillTint="66"/>
          <w:lang w:val="en-US" w:eastAsia="zh-CN"/>
          <w14:textFill>
            <w14:solidFill>
              <w14:schemeClr w14:val="tx1"/>
            </w14:solidFill>
          </w14:textFill>
        </w:rPr>
      </w:pPr>
      <w:r>
        <w:rPr>
          <w:rFonts w:hint="eastAsia" w:ascii="宋体" w:hAnsi="宋体" w:cs="宋体"/>
          <w:color w:val="000000" w:themeColor="text1"/>
          <w14:textFill>
            <w14:solidFill>
              <w14:schemeClr w14:val="tx1"/>
            </w14:solidFill>
          </w14:textFill>
        </w:rPr>
        <w:t>3.预算金额：</w:t>
      </w:r>
      <w:r>
        <w:rPr>
          <w:rFonts w:hint="eastAsia" w:ascii="宋体" w:hAnsi="宋体"/>
          <w:color w:val="000000" w:themeColor="text1"/>
          <w:sz w:val="21"/>
          <w:szCs w:val="21"/>
          <w:highlight w:val="none"/>
          <w:lang w:val="en-US" w:eastAsia="zh-CN"/>
          <w14:textFill>
            <w14:solidFill>
              <w14:schemeClr w14:val="tx1"/>
            </w14:solidFill>
          </w14:textFill>
        </w:rPr>
        <w:t>A包预算金额110万元。</w:t>
      </w:r>
    </w:p>
    <w:p w14:paraId="556AA3A2">
      <w:pPr>
        <w:pageBreakBefore w:val="0"/>
        <w:shd w:val="clear"/>
        <w:kinsoku/>
        <w:wordWrap/>
        <w:overflowPunct/>
        <w:topLinePunct w:val="0"/>
        <w:autoSpaceDE/>
        <w:autoSpaceDN/>
        <w:bidi w:val="0"/>
        <w:adjustRightInd/>
        <w:spacing w:line="360" w:lineRule="auto"/>
        <w:ind w:firstLine="420"/>
        <w:textAlignment w:val="auto"/>
        <w:rPr>
          <w:rFonts w:hint="eastAsia" w:ascii="宋体" w:hAnsi="宋体"/>
          <w:color w:val="000000" w:themeColor="text1"/>
          <w:sz w:val="21"/>
          <w:szCs w:val="21"/>
          <w:highlight w:val="none"/>
          <w:lang w:val="en-US" w:eastAsia="zh-CN"/>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A包负责辖区内邗沟社区、便益门社区、广储社区、漕河社区符合条件居民；</w:t>
      </w:r>
    </w:p>
    <w:p w14:paraId="7F87B209">
      <w:pPr>
        <w:shd w:val="clear"/>
        <w:spacing w:line="360" w:lineRule="auto"/>
        <w:ind w:firstLine="420" w:firstLineChars="200"/>
        <w:rPr>
          <w:rFonts w:ascii="宋体" w:hAnsi="宋体" w:cs="宋体"/>
          <w:spacing w:val="-7"/>
          <w:szCs w:val="21"/>
          <w:highlight w:val="none"/>
        </w:rPr>
      </w:pPr>
      <w:r>
        <w:rPr>
          <w:rFonts w:hint="eastAsia" w:ascii="宋体" w:hAnsi="宋体" w:cs="宋体"/>
          <w:color w:val="000000" w:themeColor="text1"/>
          <w:highlight w:val="none"/>
          <w14:textFill>
            <w14:solidFill>
              <w14:schemeClr w14:val="tx1"/>
            </w14:solidFill>
          </w14:textFill>
        </w:rPr>
        <w:t>4.本项目设定最高限价为人民币</w:t>
      </w:r>
      <w:r>
        <w:rPr>
          <w:rFonts w:hint="eastAsia" w:ascii="宋体" w:hAnsi="宋体" w:cs="宋体"/>
          <w:color w:val="000000" w:themeColor="text1"/>
          <w:highlight w:val="none"/>
          <w:shd w:val="clear"/>
          <w14:textFill>
            <w14:solidFill>
              <w14:schemeClr w14:val="tx1"/>
            </w14:solidFill>
          </w14:textFill>
        </w:rPr>
        <w:t>30</w:t>
      </w:r>
      <w:r>
        <w:rPr>
          <w:rFonts w:hint="eastAsia" w:ascii="宋体" w:hAnsi="宋体" w:cs="宋体"/>
          <w:color w:val="000000" w:themeColor="text1"/>
          <w:highlight w:val="none"/>
          <w14:textFill>
            <w14:solidFill>
              <w14:schemeClr w14:val="tx1"/>
            </w14:solidFill>
          </w14:textFill>
        </w:rPr>
        <w:t>元/小时。（以上</w:t>
      </w:r>
      <w:r>
        <w:rPr>
          <w:rFonts w:hint="eastAsia" w:ascii="宋体" w:hAnsi="宋体" w:cs="宋体"/>
          <w:color w:val="000000" w:themeColor="text1"/>
          <w:spacing w:val="-7"/>
          <w:szCs w:val="21"/>
          <w:highlight w:val="none"/>
          <w14:textFill>
            <w14:solidFill>
              <w14:schemeClr w14:val="tx1"/>
            </w14:solidFill>
          </w14:textFill>
        </w:rPr>
        <w:t>报价含服务费、管理费、服务人员交通费及通讯费等所有费用），报价超过最高限价的为无效报</w:t>
      </w:r>
      <w:r>
        <w:rPr>
          <w:rFonts w:hint="eastAsia" w:ascii="宋体" w:hAnsi="宋体" w:cs="宋体"/>
          <w:spacing w:val="-7"/>
          <w:szCs w:val="21"/>
          <w:highlight w:val="none"/>
        </w:rPr>
        <w:t>价，按照无效响应处理。</w:t>
      </w:r>
    </w:p>
    <w:p w14:paraId="093E9843">
      <w:pPr>
        <w:shd w:val="clear"/>
        <w:spacing w:line="360" w:lineRule="auto"/>
        <w:ind w:firstLine="420"/>
        <w:rPr>
          <w:rFonts w:hint="eastAsia" w:ascii="宋体" w:hAnsi="宋体" w:cs="宋体"/>
          <w:szCs w:val="21"/>
          <w:highlight w:val="none"/>
          <w:u w:val="single"/>
        </w:rPr>
      </w:pPr>
      <w:r>
        <w:rPr>
          <w:rFonts w:hint="eastAsia" w:ascii="宋体" w:hAnsi="宋体" w:cs="宋体"/>
          <w:szCs w:val="21"/>
          <w:highlight w:val="none"/>
        </w:rPr>
        <w:t>5.采购需求：具体详见招标文件第四章。</w:t>
      </w:r>
    </w:p>
    <w:p w14:paraId="1C6F9869">
      <w:pPr>
        <w:shd w:val="clear"/>
        <w:spacing w:line="360" w:lineRule="auto"/>
        <w:ind w:firstLine="420"/>
        <w:rPr>
          <w:rFonts w:hint="eastAsia" w:ascii="宋体" w:hAnsi="宋体" w:cs="宋体"/>
          <w:szCs w:val="21"/>
          <w:highlight w:val="none"/>
        </w:rPr>
      </w:pPr>
      <w:r>
        <w:rPr>
          <w:rFonts w:hint="eastAsia" w:ascii="宋体" w:hAnsi="宋体" w:cs="宋体"/>
          <w:szCs w:val="21"/>
          <w:highlight w:val="none"/>
        </w:rPr>
        <w:t>6.合同履行期限：</w:t>
      </w:r>
      <w:r>
        <w:rPr>
          <w:rFonts w:hint="eastAsia" w:ascii="宋体" w:hAnsi="宋体"/>
          <w:highlight w:val="none"/>
        </w:rPr>
        <w:t>自合同签订之日起</w:t>
      </w:r>
      <w:r>
        <w:rPr>
          <w:rFonts w:hint="eastAsia" w:ascii="宋体" w:hAnsi="宋体"/>
          <w:highlight w:val="none"/>
          <w:lang w:val="en-US" w:eastAsia="zh-CN"/>
        </w:rPr>
        <w:t>两年</w:t>
      </w:r>
      <w:r>
        <w:rPr>
          <w:rFonts w:hint="eastAsia" w:ascii="宋体" w:hAnsi="宋体" w:cs="宋体"/>
          <w:szCs w:val="21"/>
          <w:highlight w:val="none"/>
        </w:rPr>
        <w:t>。</w:t>
      </w:r>
    </w:p>
    <w:p w14:paraId="4E0930F2">
      <w:pPr>
        <w:spacing w:line="360" w:lineRule="auto"/>
        <w:ind w:firstLine="422"/>
        <w:rPr>
          <w:rFonts w:hint="eastAsia" w:ascii="宋体" w:hAnsi="宋体" w:cs="宋体"/>
          <w:b/>
          <w:bCs/>
          <w:szCs w:val="21"/>
        </w:rPr>
      </w:pPr>
      <w:r>
        <w:rPr>
          <w:rFonts w:hint="eastAsia" w:ascii="宋体" w:hAnsi="宋体" w:cs="宋体"/>
          <w:b/>
          <w:bCs/>
          <w:szCs w:val="21"/>
        </w:rPr>
        <w:t>三、政府购买服务对象</w:t>
      </w:r>
    </w:p>
    <w:p w14:paraId="3A219098">
      <w:pPr>
        <w:spacing w:line="360" w:lineRule="auto"/>
        <w:ind w:firstLine="420"/>
        <w:rPr>
          <w:rFonts w:hint="eastAsia" w:ascii="宋体" w:hAnsi="宋体" w:cs="宋体"/>
        </w:rPr>
      </w:pPr>
      <w:r>
        <w:rPr>
          <w:rFonts w:hint="eastAsia" w:ascii="宋体" w:hAnsi="宋体" w:cs="宋体"/>
        </w:rPr>
        <w:t>1、低收入人口中的老年人。对象范围包括低保对象、分散供养特困人员、低保边缘家庭、支出型困难家庭；</w:t>
      </w:r>
    </w:p>
    <w:p w14:paraId="1374C1AE">
      <w:pPr>
        <w:spacing w:line="360" w:lineRule="auto"/>
        <w:ind w:firstLine="420"/>
        <w:rPr>
          <w:rFonts w:hint="eastAsia" w:ascii="宋体" w:hAnsi="宋体" w:cs="宋体"/>
        </w:rPr>
      </w:pPr>
      <w:r>
        <w:rPr>
          <w:rFonts w:hint="eastAsia" w:ascii="宋体" w:hAnsi="宋体" w:cs="宋体"/>
        </w:rPr>
        <w:t>2、困难残疾人生活补贴对象中一户多残、依老养残家庭中的老年人；</w:t>
      </w:r>
    </w:p>
    <w:p w14:paraId="61A5B416">
      <w:pPr>
        <w:spacing w:line="360" w:lineRule="auto"/>
        <w:ind w:firstLine="420"/>
        <w:rPr>
          <w:rFonts w:hint="eastAsia" w:ascii="宋体" w:hAnsi="宋体" w:cs="宋体"/>
        </w:rPr>
      </w:pPr>
      <w:r>
        <w:rPr>
          <w:rFonts w:hint="eastAsia" w:ascii="宋体" w:hAnsi="宋体" w:cs="宋体"/>
        </w:rPr>
        <w:t>3、特殊困难群体跟踪帮扶重点户中的老年人</w:t>
      </w:r>
    </w:p>
    <w:p w14:paraId="5105DE97">
      <w:pPr>
        <w:spacing w:line="360" w:lineRule="auto"/>
        <w:ind w:firstLine="420"/>
        <w:rPr>
          <w:rFonts w:hint="eastAsia" w:ascii="宋体" w:hAnsi="宋体" w:cs="宋体"/>
        </w:rPr>
      </w:pPr>
      <w:r>
        <w:rPr>
          <w:rFonts w:hint="eastAsia" w:ascii="宋体" w:hAnsi="宋体" w:cs="宋体"/>
        </w:rPr>
        <w:t>4、计划生育特别扶助家庭中的老年人；</w:t>
      </w:r>
    </w:p>
    <w:p w14:paraId="2FE11671">
      <w:pPr>
        <w:spacing w:line="360" w:lineRule="auto"/>
        <w:ind w:firstLine="420"/>
        <w:rPr>
          <w:rFonts w:hint="eastAsia" w:ascii="宋体" w:hAnsi="宋体" w:cs="宋体"/>
        </w:rPr>
      </w:pPr>
      <w:r>
        <w:rPr>
          <w:rFonts w:hint="eastAsia" w:ascii="宋体" w:hAnsi="宋体" w:cs="宋体"/>
        </w:rPr>
        <w:t>5、重点优抚对象中的老年人。对象范围包括残疾军人、烈 士家属、因公牺牲军人家属、病故军人家属、在乡老复员军人、带病回乡退伍军人等；</w:t>
      </w:r>
    </w:p>
    <w:p w14:paraId="581D4DC1">
      <w:pPr>
        <w:spacing w:line="360" w:lineRule="auto"/>
        <w:ind w:firstLine="420"/>
        <w:rPr>
          <w:rFonts w:hint="eastAsia" w:ascii="宋体" w:hAnsi="宋体" w:cs="宋体"/>
        </w:rPr>
      </w:pPr>
      <w:r>
        <w:rPr>
          <w:rFonts w:hint="eastAsia" w:ascii="宋体" w:hAnsi="宋体" w:cs="宋体"/>
        </w:rPr>
        <w:t>6、 空巢独居老年人。主要指没有子女、与子女不在同一设区市主城区或同一县(市)居住的老人，且长期一个人居住；</w:t>
      </w:r>
    </w:p>
    <w:p w14:paraId="3F4621E9">
      <w:pPr>
        <w:spacing w:line="360" w:lineRule="auto"/>
        <w:ind w:firstLine="420"/>
        <w:rPr>
          <w:rFonts w:hint="eastAsia" w:ascii="宋体" w:hAnsi="宋体" w:cs="宋体"/>
        </w:rPr>
      </w:pPr>
      <w:r>
        <w:rPr>
          <w:rFonts w:hint="eastAsia" w:ascii="宋体" w:hAnsi="宋体" w:cs="宋体"/>
        </w:rPr>
        <w:t>7、特殊贡献老年人。对象范围包括市级及以上政府特殊津贴获得者、劳动模范、道德模范；</w:t>
      </w:r>
    </w:p>
    <w:p w14:paraId="6DD673DD">
      <w:pPr>
        <w:spacing w:line="360" w:lineRule="auto"/>
        <w:ind w:firstLine="420"/>
        <w:rPr>
          <w:rFonts w:hint="eastAsia" w:ascii="宋体" w:hAnsi="宋体" w:cs="宋体"/>
        </w:rPr>
      </w:pPr>
      <w:r>
        <w:rPr>
          <w:rFonts w:hint="eastAsia" w:ascii="宋体" w:hAnsi="宋体" w:cs="宋体"/>
        </w:rPr>
        <w:t>8、80周岁及以上高龄老年人。</w:t>
      </w:r>
    </w:p>
    <w:p w14:paraId="3C609AEC">
      <w:pPr>
        <w:pStyle w:val="40"/>
        <w:shd w:val="clear"/>
        <w:rPr>
          <w:rFonts w:hint="default" w:eastAsia="楷体_GB2312"/>
          <w:lang w:val="en-US" w:eastAsia="zh-CN"/>
        </w:rPr>
      </w:pPr>
      <w:r>
        <w:rPr>
          <w:rFonts w:hint="eastAsia" w:ascii="宋体" w:hAnsi="宋体" w:cs="宋体"/>
          <w:lang w:val="en-US" w:eastAsia="zh-CN"/>
        </w:rPr>
        <w:t xml:space="preserve">  </w:t>
      </w:r>
      <w:r>
        <w:rPr>
          <w:rFonts w:hint="eastAsia" w:ascii="宋体" w:hAnsi="宋体" w:eastAsia="宋体" w:cs="宋体"/>
          <w:sz w:val="21"/>
          <w:szCs w:val="22"/>
          <w:lang w:val="en-US" w:eastAsia="zh-CN" w:bidi="ar-SA"/>
        </w:rPr>
        <w:t xml:space="preserve"> </w:t>
      </w:r>
      <w:r>
        <w:rPr>
          <w:rFonts w:hint="eastAsia" w:hAnsi="宋体" w:cs="宋体"/>
          <w:sz w:val="21"/>
          <w:szCs w:val="22"/>
          <w:lang w:val="en-US" w:eastAsia="zh-CN" w:bidi="ar-SA"/>
        </w:rPr>
        <w:t xml:space="preserve"> </w:t>
      </w:r>
      <w:r>
        <w:rPr>
          <w:rFonts w:hint="eastAsia" w:ascii="宋体" w:hAnsi="宋体" w:eastAsia="宋体" w:cs="宋体"/>
          <w:sz w:val="21"/>
          <w:szCs w:val="22"/>
          <w:lang w:val="en-US" w:eastAsia="zh-CN" w:bidi="ar-SA"/>
        </w:rPr>
        <w:t>9、经申请地乡（街道）认定的其他特殊情况确需服务的老年人。</w:t>
      </w:r>
    </w:p>
    <w:p w14:paraId="20A14EDE">
      <w:pPr>
        <w:shd w:val="clear"/>
        <w:spacing w:line="360" w:lineRule="auto"/>
        <w:ind w:firstLine="422"/>
        <w:rPr>
          <w:rFonts w:hint="eastAsia" w:ascii="宋体" w:hAnsi="宋体" w:cs="宋体"/>
          <w:b/>
          <w:bCs/>
          <w:szCs w:val="21"/>
        </w:rPr>
      </w:pPr>
      <w:r>
        <w:rPr>
          <w:rFonts w:hint="eastAsia" w:ascii="宋体" w:hAnsi="宋体" w:cs="宋体"/>
          <w:b/>
          <w:bCs/>
          <w:szCs w:val="21"/>
        </w:rPr>
        <w:t>四、项目预算</w:t>
      </w:r>
    </w:p>
    <w:p w14:paraId="33397D35">
      <w:pPr>
        <w:shd w:val="clear"/>
        <w:spacing w:line="360" w:lineRule="auto"/>
        <w:ind w:firstLine="420"/>
        <w:rPr>
          <w:rFonts w:hint="eastAsia" w:ascii="宋体" w:hAnsi="宋体" w:cs="宋体"/>
          <w:szCs w:val="21"/>
          <w:highlight w:val="none"/>
        </w:rPr>
      </w:pPr>
      <w:r>
        <w:rPr>
          <w:rFonts w:hint="eastAsia" w:ascii="宋体" w:hAnsi="宋体" w:eastAsia="宋体" w:cs="宋体"/>
          <w:szCs w:val="21"/>
          <w:highlight w:val="none"/>
          <w:lang w:val="en-US" w:eastAsia="zh-CN"/>
        </w:rPr>
        <w:t>市区1-7类老年人根据生活能力评估结果，区分自理（能力完好）、半失能（轻度失能和中度失能）、失能（重度失能）类别，按照每人每月80元、150元、260元的标准给予补贴；第8-9类老年人按照每月60元的标准给予补贴。</w:t>
      </w:r>
      <w:r>
        <w:rPr>
          <w:rFonts w:hint="eastAsia" w:ascii="宋体" w:hAnsi="宋体" w:eastAsia="宋体" w:cs="宋体"/>
          <w:szCs w:val="21"/>
          <w:highlight w:val="none"/>
          <w:lang w:val="en-US" w:eastAsia="zh-CN"/>
        </w:rPr>
        <w:t>补助标准可能会根据市、区民政部门相关政策的要求做出相应的调整，居家养老政府购买服务对象经民政部门审批确定。</w:t>
      </w:r>
      <w:r>
        <w:rPr>
          <w:rFonts w:hint="eastAsia" w:ascii="宋体" w:hAnsi="宋体" w:cs="宋体"/>
          <w:szCs w:val="21"/>
          <w:highlight w:val="none"/>
        </w:rPr>
        <w:t>服务对象暂按</w:t>
      </w:r>
      <w:r>
        <w:rPr>
          <w:rFonts w:hint="eastAsia" w:ascii="宋体" w:hAnsi="宋体" w:cs="宋体"/>
          <w:color w:val="auto"/>
          <w:szCs w:val="21"/>
          <w:highlight w:val="none"/>
          <w:lang w:val="en-US" w:eastAsia="zh-CN"/>
        </w:rPr>
        <w:t>1348</w:t>
      </w:r>
      <w:r>
        <w:rPr>
          <w:rFonts w:hint="eastAsia" w:ascii="宋体" w:hAnsi="宋体" w:cs="宋体"/>
          <w:szCs w:val="21"/>
          <w:highlight w:val="none"/>
        </w:rPr>
        <w:t>人计算，具体人数以实际服务为准，根据政策调整，可适当调整服务人数。</w:t>
      </w:r>
    </w:p>
    <w:p w14:paraId="0F711C98">
      <w:pPr>
        <w:spacing w:line="360" w:lineRule="auto"/>
        <w:ind w:firstLine="422"/>
        <w:rPr>
          <w:rFonts w:hint="eastAsia" w:ascii="宋体" w:hAnsi="宋体" w:cs="宋体"/>
          <w:b/>
          <w:bCs/>
          <w:szCs w:val="21"/>
          <w:highlight w:val="none"/>
        </w:rPr>
      </w:pPr>
      <w:r>
        <w:rPr>
          <w:rFonts w:hint="eastAsia" w:ascii="宋体" w:hAnsi="宋体" w:cs="宋体"/>
          <w:b/>
          <w:bCs/>
          <w:szCs w:val="21"/>
          <w:highlight w:val="none"/>
        </w:rPr>
        <w:t>五、服务要求</w:t>
      </w:r>
    </w:p>
    <w:p w14:paraId="0A5ECFFB">
      <w:pPr>
        <w:spacing w:line="360" w:lineRule="auto"/>
        <w:ind w:firstLine="420"/>
        <w:rPr>
          <w:rFonts w:hint="eastAsia" w:ascii="宋体" w:hAnsi="宋体" w:cs="宋体"/>
          <w:szCs w:val="21"/>
          <w:highlight w:val="none"/>
        </w:rPr>
      </w:pPr>
      <w:r>
        <w:rPr>
          <w:rFonts w:hint="eastAsia" w:ascii="宋体" w:hAnsi="宋体" w:cs="宋体"/>
          <w:szCs w:val="21"/>
          <w:highlight w:val="none"/>
        </w:rPr>
        <w:t>1、服务人员要求：</w:t>
      </w:r>
    </w:p>
    <w:p w14:paraId="038E2860">
      <w:pPr>
        <w:spacing w:line="360" w:lineRule="auto"/>
        <w:ind w:firstLine="422"/>
        <w:rPr>
          <w:rFonts w:hint="eastAsia" w:ascii="宋体" w:hAnsi="宋体" w:cs="宋体"/>
          <w:szCs w:val="21"/>
          <w:highlight w:val="none"/>
        </w:rPr>
      </w:pPr>
      <w:r>
        <w:rPr>
          <w:rFonts w:hint="eastAsia" w:ascii="宋体" w:hAnsi="宋体" w:cs="宋体"/>
          <w:szCs w:val="21"/>
          <w:highlight w:val="none"/>
        </w:rPr>
        <w:t>（1）服务团队需明确一名项目负责人，项目负责人具备一定的管理和服务能力，能够针对不同服务需求制定服务计划、管理服务团队，从而精准地提供服务。项目负责人不得随意更换或挂名履职。</w:t>
      </w:r>
    </w:p>
    <w:p w14:paraId="2D2A784A">
      <w:pPr>
        <w:spacing w:line="360" w:lineRule="auto"/>
        <w:ind w:firstLine="422"/>
        <w:rPr>
          <w:rFonts w:hint="default" w:ascii="宋体" w:hAnsi="宋体" w:cs="宋体"/>
          <w:szCs w:val="21"/>
          <w:highlight w:val="none"/>
          <w:lang w:val="en-US" w:eastAsia="zh-CN"/>
        </w:rPr>
      </w:pPr>
      <w:r>
        <w:rPr>
          <w:rFonts w:hint="eastAsia" w:ascii="宋体" w:hAnsi="宋体" w:cs="宋体"/>
          <w:szCs w:val="21"/>
          <w:highlight w:val="none"/>
          <w:lang w:eastAsia="zh-CN"/>
        </w:rPr>
        <w:t>（</w:t>
      </w:r>
      <w:r>
        <w:rPr>
          <w:rFonts w:hint="eastAsia" w:ascii="宋体" w:hAnsi="宋体" w:cs="宋体"/>
          <w:szCs w:val="21"/>
          <w:highlight w:val="none"/>
          <w:lang w:val="en-US" w:eastAsia="zh-CN"/>
        </w:rPr>
        <w:t>2</w:t>
      </w:r>
      <w:r>
        <w:rPr>
          <w:rFonts w:hint="eastAsia" w:ascii="宋体" w:hAnsi="宋体" w:cs="宋体"/>
          <w:szCs w:val="21"/>
          <w:highlight w:val="none"/>
          <w:lang w:eastAsia="zh-CN"/>
        </w:rPr>
        <w:t>）</w:t>
      </w:r>
      <w:r>
        <w:rPr>
          <w:rFonts w:hint="eastAsia" w:ascii="宋体" w:hAnsi="宋体" w:cs="宋体"/>
          <w:szCs w:val="21"/>
          <w:highlight w:val="none"/>
        </w:rPr>
        <w:t>转变上门服务方式。改变直接上门、内容简单、服务粗放的现状，实现预约上门、内容标准、服务规范的要求。服务人员要与老人和家属积极沟通，让他们了解居家养老政府购买上门服务的项目有哪些、服务次数及时长是多少、怎样进行预约等，让服务对象由“被服务”转变为“要服务”。</w:t>
      </w:r>
    </w:p>
    <w:p w14:paraId="5A82C6FA">
      <w:pPr>
        <w:spacing w:line="360" w:lineRule="auto"/>
        <w:ind w:firstLine="422"/>
        <w:rPr>
          <w:rFonts w:hint="eastAsia" w:ascii="宋体" w:hAnsi="宋体" w:cs="宋体"/>
          <w:szCs w:val="21"/>
          <w:highlight w:val="none"/>
        </w:rPr>
      </w:pPr>
      <w:r>
        <w:rPr>
          <w:rFonts w:hint="eastAsia" w:ascii="宋体" w:hAnsi="宋体" w:cs="宋体"/>
          <w:szCs w:val="21"/>
          <w:highlight w:val="none"/>
        </w:rPr>
        <w:t>（</w:t>
      </w:r>
      <w:r>
        <w:rPr>
          <w:rFonts w:hint="eastAsia" w:ascii="宋体" w:hAnsi="宋体" w:cs="宋体"/>
          <w:szCs w:val="21"/>
          <w:highlight w:val="none"/>
          <w:lang w:val="en-US" w:eastAsia="zh-CN"/>
        </w:rPr>
        <w:t>3</w:t>
      </w:r>
      <w:r>
        <w:rPr>
          <w:rFonts w:hint="eastAsia" w:ascii="宋体" w:hAnsi="宋体" w:cs="宋体"/>
          <w:szCs w:val="21"/>
          <w:highlight w:val="none"/>
        </w:rPr>
        <w:t>）</w:t>
      </w:r>
      <w:r>
        <w:rPr>
          <w:rFonts w:hint="eastAsia" w:ascii="宋体" w:hAnsi="宋体" w:cs="宋体"/>
          <w:szCs w:val="21"/>
          <w:highlight w:val="none"/>
          <w:lang w:eastAsia="zh-CN"/>
        </w:rPr>
        <w:t>中标</w:t>
      </w:r>
      <w:r>
        <w:rPr>
          <w:rFonts w:hint="eastAsia" w:ascii="宋体" w:hAnsi="宋体" w:cs="宋体"/>
          <w:szCs w:val="21"/>
          <w:highlight w:val="none"/>
        </w:rPr>
        <w:t>单位负责组建一支专业的养老护理员队伍</w:t>
      </w:r>
      <w:r>
        <w:rPr>
          <w:rFonts w:hint="eastAsia" w:ascii="宋体" w:hAnsi="宋体" w:cs="宋体"/>
          <w:szCs w:val="21"/>
          <w:highlight w:val="none"/>
          <w:lang w:eastAsia="zh-CN"/>
        </w:rPr>
        <w:t>，</w:t>
      </w:r>
      <w:r>
        <w:rPr>
          <w:rFonts w:hint="eastAsia" w:ascii="宋体" w:hAnsi="宋体" w:cs="宋体"/>
          <w:szCs w:val="21"/>
          <w:highlight w:val="none"/>
        </w:rPr>
        <w:t>具有合法的劳动从业资格，</w:t>
      </w:r>
      <w:r>
        <w:rPr>
          <w:rFonts w:hint="eastAsia" w:ascii="宋体" w:hAnsi="宋体" w:cs="宋体"/>
          <w:szCs w:val="21"/>
          <w:highlight w:val="none"/>
          <w:lang w:eastAsia="zh-CN"/>
        </w:rPr>
        <w:t>中标</w:t>
      </w:r>
      <w:r>
        <w:rPr>
          <w:rFonts w:hint="eastAsia" w:ascii="宋体" w:hAnsi="宋体" w:cs="宋体"/>
          <w:szCs w:val="21"/>
          <w:highlight w:val="none"/>
        </w:rPr>
        <w:t>单位要对服务人员集中开展文明礼仪和业务技能的培训，培训不合格人员不得上岗，不断提高服务人员综合素质和服务形象。</w:t>
      </w:r>
      <w:r>
        <w:rPr>
          <w:rFonts w:hint="eastAsia" w:ascii="宋体" w:hAnsi="宋体" w:cs="宋体"/>
          <w:szCs w:val="21"/>
          <w:highlight w:val="none"/>
          <w:lang w:eastAsia="zh-CN"/>
        </w:rPr>
        <w:t>中标</w:t>
      </w:r>
      <w:r>
        <w:rPr>
          <w:rFonts w:hint="eastAsia" w:ascii="宋体" w:hAnsi="宋体" w:cs="宋体"/>
          <w:szCs w:val="21"/>
          <w:highlight w:val="none"/>
        </w:rPr>
        <w:t>单位不仅要有一定规模的养老护理人员，还要有一定数量的、从事其他专业的人员，如理发师、足疗师、水电工、家电维修等;要通过多种方式为居家老人提供专业的医疗类服务</w:t>
      </w:r>
      <w:r>
        <w:rPr>
          <w:rFonts w:hint="eastAsia" w:ascii="宋体" w:hAnsi="宋体" w:cs="宋体"/>
          <w:szCs w:val="21"/>
          <w:highlight w:val="none"/>
          <w:lang w:eastAsia="zh-CN"/>
        </w:rPr>
        <w:t>；</w:t>
      </w:r>
      <w:r>
        <w:rPr>
          <w:rFonts w:hint="eastAsia" w:ascii="宋体" w:hAnsi="宋体" w:cs="宋体"/>
          <w:szCs w:val="21"/>
          <w:highlight w:val="none"/>
          <w:lang w:val="en-US" w:eastAsia="zh-CN"/>
        </w:rPr>
        <w:t>从业人员要</w:t>
      </w:r>
      <w:r>
        <w:rPr>
          <w:rFonts w:hint="eastAsia" w:ascii="宋体" w:hAnsi="宋体" w:cs="宋体"/>
          <w:szCs w:val="21"/>
          <w:highlight w:val="none"/>
        </w:rPr>
        <w:t>信守职业道德，遵纪守法，熟悉居家养老服务程序和规范要求；具有符合工作岗位要求的文化程度、健康状况证明及语言表达能力；无精神病史和各类传染病；尊老敬老，富有爱心，宽容，忍让。</w:t>
      </w:r>
    </w:p>
    <w:p w14:paraId="0E32E57E">
      <w:pPr>
        <w:spacing w:line="360" w:lineRule="auto"/>
        <w:ind w:firstLine="422"/>
        <w:rPr>
          <w:rFonts w:hint="eastAsia" w:ascii="宋体" w:hAnsi="宋体" w:cs="宋体"/>
          <w:szCs w:val="21"/>
          <w:highlight w:val="none"/>
          <w:lang w:eastAsia="zh-CN"/>
        </w:rPr>
      </w:pPr>
      <w:r>
        <w:rPr>
          <w:rFonts w:hint="eastAsia" w:ascii="宋体" w:hAnsi="宋体" w:cs="宋体"/>
          <w:szCs w:val="21"/>
          <w:highlight w:val="none"/>
        </w:rPr>
        <w:t>（</w:t>
      </w:r>
      <w:r>
        <w:rPr>
          <w:rFonts w:hint="eastAsia" w:ascii="宋体" w:hAnsi="宋体" w:cs="宋体"/>
          <w:szCs w:val="21"/>
          <w:highlight w:val="none"/>
          <w:lang w:val="en-US" w:eastAsia="zh-CN"/>
        </w:rPr>
        <w:t>4</w:t>
      </w:r>
      <w:r>
        <w:rPr>
          <w:rFonts w:hint="eastAsia" w:ascii="宋体" w:hAnsi="宋体" w:cs="宋体"/>
          <w:szCs w:val="21"/>
          <w:highlight w:val="none"/>
        </w:rPr>
        <w:t>）明确时间要求。根据招投标中标小时单价，确定购买服务对象每月服务时长。高龄老人上门服务每月不少于1次;困难老人上门服务自理老人每月不少于1次;半失能老人每月不少于2次;失能老人每月不少于4次</w:t>
      </w:r>
      <w:r>
        <w:rPr>
          <w:rFonts w:hint="eastAsia" w:ascii="宋体" w:hAnsi="宋体" w:cs="宋体"/>
          <w:szCs w:val="21"/>
          <w:highlight w:val="none"/>
          <w:lang w:eastAsia="zh-CN"/>
        </w:rPr>
        <w:t>，</w:t>
      </w:r>
      <w:r>
        <w:rPr>
          <w:rFonts w:hint="eastAsia" w:ascii="宋体" w:hAnsi="宋体" w:cs="宋体"/>
          <w:szCs w:val="21"/>
          <w:highlight w:val="none"/>
          <w:lang w:val="en-US" w:eastAsia="zh-CN"/>
        </w:rPr>
        <w:t>各类服务对象的月服务总时长具体以中标价折合时长为准</w:t>
      </w:r>
      <w:r>
        <w:rPr>
          <w:rFonts w:hint="eastAsia" w:ascii="宋体" w:hAnsi="宋体" w:cs="宋体"/>
          <w:szCs w:val="21"/>
          <w:highlight w:val="none"/>
        </w:rPr>
        <w:t>。服务的时间和次数也可根据老人所选服务套餐或者服务项目而定，需满足老年人多样化需求</w:t>
      </w:r>
      <w:r>
        <w:rPr>
          <w:rFonts w:hint="eastAsia" w:ascii="宋体" w:hAnsi="宋体" w:cs="宋体"/>
          <w:szCs w:val="21"/>
          <w:highlight w:val="none"/>
          <w:lang w:eastAsia="zh-CN"/>
        </w:rPr>
        <w:t>。</w:t>
      </w:r>
    </w:p>
    <w:p w14:paraId="235160A4">
      <w:pPr>
        <w:spacing w:line="360" w:lineRule="auto"/>
        <w:ind w:firstLine="422"/>
        <w:rPr>
          <w:rFonts w:hint="eastAsia" w:ascii="宋体" w:hAnsi="宋体" w:cs="宋体"/>
          <w:szCs w:val="21"/>
          <w:highlight w:val="none"/>
        </w:rPr>
      </w:pPr>
      <w:r>
        <w:rPr>
          <w:rFonts w:hint="eastAsia" w:ascii="宋体" w:hAnsi="宋体" w:cs="宋体"/>
          <w:szCs w:val="21"/>
          <w:highlight w:val="none"/>
        </w:rPr>
        <w:t>（</w:t>
      </w:r>
      <w:r>
        <w:rPr>
          <w:rFonts w:hint="eastAsia" w:ascii="宋体" w:hAnsi="宋体" w:cs="宋体"/>
          <w:szCs w:val="21"/>
          <w:highlight w:val="none"/>
          <w:lang w:val="en-US" w:eastAsia="zh-CN"/>
        </w:rPr>
        <w:t>5</w:t>
      </w:r>
      <w:r>
        <w:rPr>
          <w:rFonts w:hint="eastAsia" w:ascii="宋体" w:hAnsi="宋体" w:cs="宋体"/>
          <w:szCs w:val="21"/>
          <w:highlight w:val="none"/>
        </w:rPr>
        <w:t>）规范服务流程。</w:t>
      </w:r>
      <w:r>
        <w:rPr>
          <w:rFonts w:hint="eastAsia" w:ascii="宋体" w:hAnsi="宋体" w:cs="宋体"/>
          <w:szCs w:val="21"/>
          <w:highlight w:val="none"/>
          <w:lang w:eastAsia="zh-CN"/>
        </w:rPr>
        <w:t>中标</w:t>
      </w:r>
      <w:r>
        <w:rPr>
          <w:rFonts w:hint="eastAsia" w:ascii="宋体" w:hAnsi="宋体" w:cs="宋体"/>
          <w:szCs w:val="21"/>
          <w:highlight w:val="none"/>
        </w:rPr>
        <w:t>单位接到老人服务需求后,通过统一使用的智慧养老服务平台系统派出服务工单，服务人员使用智慧养老服务APP上门服务，最后</w:t>
      </w:r>
      <w:r>
        <w:rPr>
          <w:rFonts w:hint="eastAsia" w:ascii="宋体" w:hAnsi="宋体" w:cs="宋体"/>
          <w:szCs w:val="21"/>
          <w:highlight w:val="none"/>
          <w:lang w:eastAsia="zh-CN"/>
        </w:rPr>
        <w:t>中标</w:t>
      </w:r>
      <w:r>
        <w:rPr>
          <w:rFonts w:hint="eastAsia" w:ascii="宋体" w:hAnsi="宋体" w:cs="宋体"/>
          <w:szCs w:val="21"/>
          <w:highlight w:val="none"/>
        </w:rPr>
        <w:t>单位需要对完成的工单进行满意度回访。</w:t>
      </w:r>
    </w:p>
    <w:p w14:paraId="6B9656F1">
      <w:pPr>
        <w:spacing w:line="360" w:lineRule="auto"/>
        <w:ind w:firstLine="422"/>
        <w:rPr>
          <w:rFonts w:hint="eastAsia" w:ascii="宋体" w:hAnsi="宋体" w:cs="宋体"/>
          <w:szCs w:val="21"/>
          <w:highlight w:val="none"/>
        </w:rPr>
      </w:pPr>
      <w:r>
        <w:rPr>
          <w:rFonts w:hint="eastAsia" w:ascii="宋体" w:hAnsi="宋体" w:cs="宋体"/>
          <w:szCs w:val="21"/>
          <w:highlight w:val="none"/>
          <w:lang w:eastAsia="zh-CN"/>
        </w:rPr>
        <w:t>（</w:t>
      </w:r>
      <w:r>
        <w:rPr>
          <w:rFonts w:hint="eastAsia" w:ascii="宋体" w:hAnsi="宋体" w:cs="宋体"/>
          <w:szCs w:val="21"/>
          <w:highlight w:val="none"/>
          <w:lang w:val="en-US" w:eastAsia="zh-CN"/>
        </w:rPr>
        <w:t>6</w:t>
      </w:r>
      <w:r>
        <w:rPr>
          <w:rFonts w:hint="eastAsia" w:ascii="宋体" w:hAnsi="宋体" w:cs="宋体"/>
          <w:szCs w:val="21"/>
          <w:highlight w:val="none"/>
          <w:lang w:eastAsia="zh-CN"/>
        </w:rPr>
        <w:t>）</w:t>
      </w:r>
      <w:r>
        <w:rPr>
          <w:rFonts w:hint="eastAsia" w:ascii="宋体" w:hAnsi="宋体" w:cs="宋体"/>
          <w:szCs w:val="21"/>
          <w:highlight w:val="none"/>
        </w:rPr>
        <w:t>提升服务形象。上门服务人员要统一着装，佩带工作牌，工作牌必须标有服务人员的姓名、照片、服务工号、联系电话和所在组织(单位)的名称和服务监督电话。服务过程中使用文明礼貌用语，遵守服务规范和流程，树立养老服务良好形象。上门服务人员要成为养老政策的宣传员、服务对象的初审员、服务需求的观察员、企业形象的展示员。</w:t>
      </w:r>
    </w:p>
    <w:p w14:paraId="68F88A0E">
      <w:pPr>
        <w:spacing w:line="360" w:lineRule="auto"/>
        <w:ind w:firstLine="422"/>
        <w:rPr>
          <w:rFonts w:hint="eastAsia" w:ascii="宋体" w:hAnsi="宋体" w:cs="宋体"/>
          <w:szCs w:val="21"/>
          <w:highlight w:val="none"/>
        </w:rPr>
      </w:pPr>
      <w:r>
        <w:rPr>
          <w:rFonts w:hint="eastAsia" w:ascii="宋体" w:hAnsi="宋体" w:cs="宋体"/>
          <w:szCs w:val="21"/>
          <w:highlight w:val="none"/>
        </w:rPr>
        <w:t>（</w:t>
      </w:r>
      <w:r>
        <w:rPr>
          <w:rFonts w:hint="eastAsia" w:ascii="宋体" w:hAnsi="宋体" w:cs="宋体"/>
          <w:szCs w:val="21"/>
          <w:highlight w:val="none"/>
          <w:lang w:val="en-US" w:eastAsia="zh-CN"/>
        </w:rPr>
        <w:t>7</w:t>
      </w:r>
      <w:r>
        <w:rPr>
          <w:rFonts w:hint="eastAsia" w:ascii="宋体" w:hAnsi="宋体" w:cs="宋体"/>
          <w:szCs w:val="21"/>
          <w:highlight w:val="none"/>
        </w:rPr>
        <w:t>）</w:t>
      </w:r>
      <w:r>
        <w:rPr>
          <w:rFonts w:hint="eastAsia" w:ascii="宋体" w:hAnsi="宋体" w:cs="宋体"/>
          <w:szCs w:val="21"/>
          <w:highlight w:val="none"/>
          <w:lang w:eastAsia="zh-CN"/>
        </w:rPr>
        <w:t>中标</w:t>
      </w:r>
      <w:r>
        <w:rPr>
          <w:rFonts w:hint="eastAsia" w:ascii="宋体" w:hAnsi="宋体" w:cs="宋体"/>
          <w:szCs w:val="21"/>
          <w:highlight w:val="none"/>
        </w:rPr>
        <w:t>单位应具备服务监管能力</w:t>
      </w:r>
      <w:r>
        <w:rPr>
          <w:rFonts w:hint="eastAsia" w:ascii="宋体" w:hAnsi="宋体" w:cs="宋体"/>
          <w:szCs w:val="21"/>
          <w:highlight w:val="none"/>
          <w:lang w:eastAsia="zh-CN"/>
        </w:rPr>
        <w:t>，</w:t>
      </w:r>
      <w:r>
        <w:rPr>
          <w:rFonts w:hint="eastAsia" w:ascii="宋体" w:hAnsi="宋体" w:cs="宋体"/>
          <w:szCs w:val="21"/>
          <w:highlight w:val="none"/>
        </w:rPr>
        <w:t>负责对服务过程进行有效监管，</w:t>
      </w:r>
      <w:r>
        <w:rPr>
          <w:rFonts w:hint="eastAsia" w:ascii="宋体" w:hAnsi="宋体" w:cs="宋体"/>
          <w:szCs w:val="21"/>
          <w:highlight w:val="none"/>
          <w:lang w:val="en-US" w:eastAsia="zh-CN"/>
        </w:rPr>
        <w:t>并</w:t>
      </w:r>
      <w:r>
        <w:rPr>
          <w:rFonts w:hint="eastAsia" w:ascii="宋体" w:hAnsi="宋体" w:cs="宋体"/>
          <w:szCs w:val="21"/>
          <w:highlight w:val="none"/>
        </w:rPr>
        <w:t>及时跟踪回访完成服务工单，对每日产生的工单进行回访，所有回访结果必须记载备查，实现回访结果的统计、汇总、查询。对于服务时长不足等不符合服务规范的，均作废单处理，通知服务人员重新提供服务;对于异常工单或投诉工单，要及时跟踪了解情况积极处理，并向采购人反馈结果。</w:t>
      </w:r>
    </w:p>
    <w:p w14:paraId="2399C321">
      <w:pPr>
        <w:spacing w:line="360" w:lineRule="auto"/>
        <w:ind w:firstLine="422"/>
        <w:rPr>
          <w:rFonts w:hint="eastAsia" w:ascii="宋体" w:hAnsi="宋体" w:cs="宋体"/>
          <w:szCs w:val="21"/>
          <w:highlight w:val="none"/>
        </w:rPr>
      </w:pPr>
      <w:r>
        <w:rPr>
          <w:rFonts w:hint="eastAsia" w:ascii="宋体" w:hAnsi="宋体" w:cs="宋体"/>
          <w:szCs w:val="21"/>
          <w:highlight w:val="none"/>
          <w:lang w:eastAsia="zh-CN"/>
        </w:rPr>
        <w:t>（</w:t>
      </w:r>
      <w:r>
        <w:rPr>
          <w:rFonts w:hint="eastAsia" w:ascii="宋体" w:hAnsi="宋体" w:cs="宋体"/>
          <w:szCs w:val="21"/>
          <w:highlight w:val="none"/>
          <w:lang w:val="en-US" w:eastAsia="zh-CN"/>
        </w:rPr>
        <w:t>8</w:t>
      </w:r>
      <w:r>
        <w:rPr>
          <w:rFonts w:hint="eastAsia" w:ascii="宋体" w:hAnsi="宋体" w:cs="宋体"/>
          <w:szCs w:val="21"/>
          <w:highlight w:val="none"/>
          <w:lang w:eastAsia="zh-CN"/>
        </w:rPr>
        <w:t>）</w:t>
      </w:r>
      <w:r>
        <w:rPr>
          <w:rFonts w:hint="eastAsia" w:ascii="宋体" w:hAnsi="宋体" w:cs="宋体"/>
          <w:szCs w:val="21"/>
          <w:highlight w:val="none"/>
        </w:rPr>
        <w:t>配合采购人加强购买服务人员动态管理。配合做好居家养老上门服务对象的增减工作</w:t>
      </w:r>
      <w:r>
        <w:rPr>
          <w:rFonts w:hint="eastAsia" w:ascii="宋体" w:hAnsi="宋体" w:cs="宋体"/>
          <w:szCs w:val="21"/>
          <w:highlight w:val="none"/>
          <w:lang w:eastAsia="zh-CN"/>
        </w:rPr>
        <w:t>，</w:t>
      </w:r>
      <w:r>
        <w:rPr>
          <w:rFonts w:hint="eastAsia" w:ascii="宋体" w:hAnsi="宋体" w:cs="宋体"/>
          <w:szCs w:val="21"/>
          <w:highlight w:val="none"/>
        </w:rPr>
        <w:t>对接受服务中的老年人，要实现社区、服务人员、供应商、采购人四方信息互通有无，定期核实居家养老上门服务对象真实情况，如发现有老人过世、迁出或其他不符合服务条件的情况，应立即核销平台人员信息、停止提供服务，并上报社区和采购人进行复核增减。</w:t>
      </w:r>
    </w:p>
    <w:p w14:paraId="0948EE5A">
      <w:pPr>
        <w:spacing w:line="360" w:lineRule="auto"/>
        <w:ind w:firstLine="422"/>
        <w:rPr>
          <w:rFonts w:hint="eastAsia" w:ascii="宋体" w:hAnsi="宋体" w:cs="宋体"/>
          <w:szCs w:val="21"/>
          <w:highlight w:val="none"/>
          <w:lang w:eastAsia="zh-CN"/>
        </w:rPr>
      </w:pPr>
      <w:r>
        <w:rPr>
          <w:rFonts w:hint="eastAsia" w:ascii="宋体" w:hAnsi="宋体" w:cs="宋体"/>
          <w:szCs w:val="21"/>
          <w:highlight w:val="none"/>
          <w:lang w:eastAsia="zh-CN"/>
        </w:rPr>
        <w:t>（</w:t>
      </w:r>
      <w:r>
        <w:rPr>
          <w:rFonts w:hint="eastAsia" w:ascii="宋体" w:hAnsi="宋体" w:cs="宋体"/>
          <w:szCs w:val="21"/>
          <w:highlight w:val="none"/>
          <w:lang w:val="en-US" w:eastAsia="zh-CN"/>
        </w:rPr>
        <w:t>9</w:t>
      </w:r>
      <w:r>
        <w:rPr>
          <w:rFonts w:hint="eastAsia" w:ascii="宋体" w:hAnsi="宋体" w:cs="宋体"/>
          <w:szCs w:val="21"/>
          <w:highlight w:val="none"/>
          <w:lang w:eastAsia="zh-CN"/>
        </w:rPr>
        <w:t>）</w:t>
      </w:r>
      <w:r>
        <w:rPr>
          <w:rFonts w:hint="eastAsia" w:ascii="宋体" w:hAnsi="宋体" w:cs="宋体"/>
          <w:szCs w:val="21"/>
          <w:highlight w:val="none"/>
        </w:rPr>
        <w:t>使用区级统一监管平台。</w:t>
      </w:r>
      <w:r>
        <w:rPr>
          <w:rFonts w:hint="eastAsia" w:ascii="宋体" w:hAnsi="宋体" w:cs="宋体"/>
          <w:szCs w:val="21"/>
          <w:highlight w:val="none"/>
          <w:lang w:val="en-US" w:eastAsia="zh-CN"/>
        </w:rPr>
        <w:t>中标</w:t>
      </w:r>
      <w:r>
        <w:rPr>
          <w:rFonts w:hint="eastAsia" w:ascii="宋体" w:hAnsi="宋体" w:cs="宋体"/>
          <w:szCs w:val="21"/>
          <w:highlight w:val="none"/>
        </w:rPr>
        <w:t>供应商统一使用全区智慧养老服务信息平台，平台将对服务平台管理使用人员进行业务培训指导，规范各服务商服务流程，对服务商的服务质量进行电话回访和满意度调查</w:t>
      </w:r>
      <w:r>
        <w:rPr>
          <w:rFonts w:hint="eastAsia" w:ascii="宋体" w:hAnsi="宋体" w:cs="宋体"/>
          <w:szCs w:val="21"/>
          <w:highlight w:val="none"/>
          <w:lang w:eastAsia="zh-CN"/>
        </w:rPr>
        <w:t>。</w:t>
      </w:r>
    </w:p>
    <w:p w14:paraId="02C361E7">
      <w:pPr>
        <w:shd w:val="clear"/>
        <w:spacing w:line="360" w:lineRule="auto"/>
        <w:ind w:firstLine="420"/>
        <w:rPr>
          <w:rFonts w:hint="eastAsia" w:ascii="宋体" w:hAnsi="宋体" w:cs="宋体"/>
          <w:szCs w:val="21"/>
          <w:highlight w:val="none"/>
        </w:rPr>
      </w:pPr>
      <w:r>
        <w:rPr>
          <w:rFonts w:hint="eastAsia" w:ascii="宋体" w:hAnsi="宋体" w:cs="宋体"/>
          <w:szCs w:val="21"/>
          <w:highlight w:val="none"/>
        </w:rPr>
        <w:t>2、服务内容要求：</w:t>
      </w:r>
    </w:p>
    <w:tbl>
      <w:tblPr>
        <w:tblStyle w:val="34"/>
        <w:tblW w:w="80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04"/>
        <w:gridCol w:w="1138"/>
        <w:gridCol w:w="1119"/>
        <w:gridCol w:w="4803"/>
      </w:tblGrid>
      <w:tr w14:paraId="4323C8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4" w:hRule="atLeast"/>
          <w:jc w:val="center"/>
        </w:trPr>
        <w:tc>
          <w:tcPr>
            <w:tcW w:w="1004" w:type="dxa"/>
            <w:noWrap w:val="0"/>
            <w:vAlign w:val="top"/>
          </w:tcPr>
          <w:p w14:paraId="0BDA791F">
            <w:pPr>
              <w:pStyle w:val="240"/>
              <w:spacing w:line="241" w:lineRule="auto"/>
            </w:pPr>
          </w:p>
          <w:p w14:paraId="2A43E22F">
            <w:pPr>
              <w:spacing w:before="68" w:line="219" w:lineRule="auto"/>
              <w:ind w:left="77"/>
              <w:rPr>
                <w:rFonts w:ascii="宋体" w:hAnsi="宋体" w:cs="宋体"/>
                <w:szCs w:val="21"/>
              </w:rPr>
            </w:pPr>
            <w:r>
              <w:rPr>
                <w:rFonts w:ascii="宋体" w:hAnsi="宋体" w:cs="宋体"/>
                <w:b/>
                <w:bCs/>
                <w:spacing w:val="-4"/>
                <w:szCs w:val="21"/>
              </w:rPr>
              <w:t>服务类别</w:t>
            </w:r>
          </w:p>
        </w:tc>
        <w:tc>
          <w:tcPr>
            <w:tcW w:w="1138" w:type="dxa"/>
            <w:noWrap w:val="0"/>
            <w:vAlign w:val="top"/>
          </w:tcPr>
          <w:p w14:paraId="61A66328">
            <w:pPr>
              <w:pStyle w:val="240"/>
              <w:spacing w:line="241" w:lineRule="auto"/>
            </w:pPr>
          </w:p>
          <w:p w14:paraId="63E3A0D1">
            <w:pPr>
              <w:spacing w:before="68" w:line="219" w:lineRule="auto"/>
              <w:ind w:left="144"/>
              <w:rPr>
                <w:rFonts w:ascii="宋体" w:hAnsi="宋体" w:cs="宋体"/>
                <w:szCs w:val="21"/>
              </w:rPr>
            </w:pPr>
            <w:r>
              <w:rPr>
                <w:rFonts w:ascii="宋体" w:hAnsi="宋体" w:cs="宋体"/>
                <w:b/>
                <w:bCs/>
                <w:spacing w:val="-4"/>
                <w:szCs w:val="21"/>
              </w:rPr>
              <w:t>服务内容</w:t>
            </w:r>
          </w:p>
        </w:tc>
        <w:tc>
          <w:tcPr>
            <w:tcW w:w="1119" w:type="dxa"/>
            <w:noWrap w:val="0"/>
            <w:vAlign w:val="top"/>
          </w:tcPr>
          <w:p w14:paraId="39E11B63">
            <w:pPr>
              <w:pStyle w:val="240"/>
              <w:spacing w:line="241" w:lineRule="auto"/>
            </w:pPr>
          </w:p>
          <w:p w14:paraId="4A0C2DE6">
            <w:pPr>
              <w:spacing w:before="68" w:line="219" w:lineRule="auto"/>
              <w:ind w:left="136"/>
              <w:rPr>
                <w:rFonts w:ascii="宋体" w:hAnsi="宋体" w:cs="宋体"/>
                <w:szCs w:val="21"/>
              </w:rPr>
            </w:pPr>
            <w:r>
              <w:rPr>
                <w:rFonts w:ascii="宋体" w:hAnsi="宋体" w:cs="宋体"/>
                <w:b/>
                <w:bCs/>
                <w:spacing w:val="6"/>
                <w:szCs w:val="21"/>
              </w:rPr>
              <w:t>服务项目</w:t>
            </w:r>
          </w:p>
        </w:tc>
        <w:tc>
          <w:tcPr>
            <w:tcW w:w="4803" w:type="dxa"/>
            <w:noWrap w:val="0"/>
            <w:vAlign w:val="top"/>
          </w:tcPr>
          <w:p w14:paraId="3EFB091F">
            <w:pPr>
              <w:pStyle w:val="240"/>
              <w:spacing w:line="241" w:lineRule="auto"/>
            </w:pPr>
          </w:p>
          <w:p w14:paraId="092D9F62">
            <w:pPr>
              <w:spacing w:before="68" w:line="219" w:lineRule="auto"/>
              <w:ind w:left="1977"/>
              <w:rPr>
                <w:rFonts w:ascii="宋体" w:hAnsi="宋体" w:cs="宋体"/>
                <w:szCs w:val="21"/>
              </w:rPr>
            </w:pPr>
            <w:r>
              <w:rPr>
                <w:rFonts w:ascii="宋体" w:hAnsi="宋体" w:cs="宋体"/>
                <w:b/>
                <w:bCs/>
                <w:spacing w:val="-9"/>
                <w:szCs w:val="21"/>
              </w:rPr>
              <w:t>服</w:t>
            </w:r>
            <w:r>
              <w:rPr>
                <w:rFonts w:ascii="宋体" w:hAnsi="宋体" w:cs="宋体"/>
                <w:spacing w:val="4"/>
                <w:szCs w:val="21"/>
              </w:rPr>
              <w:t xml:space="preserve">  </w:t>
            </w:r>
            <w:r>
              <w:rPr>
                <w:rFonts w:ascii="宋体" w:hAnsi="宋体" w:cs="宋体"/>
                <w:b/>
                <w:bCs/>
                <w:spacing w:val="-9"/>
                <w:szCs w:val="21"/>
              </w:rPr>
              <w:t>务</w:t>
            </w:r>
            <w:r>
              <w:rPr>
                <w:rFonts w:ascii="宋体" w:hAnsi="宋体" w:cs="宋体"/>
                <w:spacing w:val="4"/>
                <w:szCs w:val="21"/>
              </w:rPr>
              <w:t xml:space="preserve">  </w:t>
            </w:r>
            <w:r>
              <w:rPr>
                <w:rFonts w:ascii="宋体" w:hAnsi="宋体" w:cs="宋体"/>
                <w:b/>
                <w:bCs/>
                <w:spacing w:val="-9"/>
                <w:szCs w:val="21"/>
              </w:rPr>
              <w:t>标</w:t>
            </w:r>
            <w:r>
              <w:rPr>
                <w:rFonts w:ascii="宋体" w:hAnsi="宋体" w:cs="宋体"/>
                <w:spacing w:val="5"/>
                <w:szCs w:val="21"/>
              </w:rPr>
              <w:t xml:space="preserve">  </w:t>
            </w:r>
            <w:r>
              <w:rPr>
                <w:rFonts w:ascii="宋体" w:hAnsi="宋体" w:cs="宋体"/>
                <w:b/>
                <w:bCs/>
                <w:spacing w:val="-9"/>
                <w:szCs w:val="21"/>
              </w:rPr>
              <w:t>准</w:t>
            </w:r>
          </w:p>
        </w:tc>
      </w:tr>
      <w:tr w14:paraId="01E72A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670" w:hRule="atLeast"/>
          <w:jc w:val="center"/>
        </w:trPr>
        <w:tc>
          <w:tcPr>
            <w:tcW w:w="1004" w:type="dxa"/>
            <w:vMerge w:val="restart"/>
            <w:tcBorders>
              <w:bottom w:val="nil"/>
            </w:tcBorders>
            <w:noWrap w:val="0"/>
            <w:vAlign w:val="top"/>
          </w:tcPr>
          <w:p w14:paraId="29317476">
            <w:pPr>
              <w:pStyle w:val="240"/>
            </w:pPr>
          </w:p>
          <w:p w14:paraId="77CE7B97">
            <w:pPr>
              <w:pStyle w:val="240"/>
            </w:pPr>
          </w:p>
          <w:p w14:paraId="223DC3BF">
            <w:pPr>
              <w:pStyle w:val="240"/>
            </w:pPr>
          </w:p>
          <w:p w14:paraId="42A4DC8F">
            <w:pPr>
              <w:pStyle w:val="240"/>
            </w:pPr>
          </w:p>
          <w:p w14:paraId="36847028">
            <w:pPr>
              <w:pStyle w:val="240"/>
            </w:pPr>
          </w:p>
          <w:p w14:paraId="4BC3233E">
            <w:pPr>
              <w:pStyle w:val="240"/>
            </w:pPr>
          </w:p>
          <w:p w14:paraId="3929220E">
            <w:pPr>
              <w:pStyle w:val="240"/>
            </w:pPr>
          </w:p>
          <w:p w14:paraId="2B72CE59">
            <w:pPr>
              <w:pStyle w:val="240"/>
            </w:pPr>
          </w:p>
          <w:p w14:paraId="5E362299">
            <w:pPr>
              <w:pStyle w:val="240"/>
            </w:pPr>
          </w:p>
          <w:p w14:paraId="0C2A04FE">
            <w:pPr>
              <w:pStyle w:val="240"/>
            </w:pPr>
          </w:p>
          <w:p w14:paraId="33710B1B">
            <w:pPr>
              <w:pStyle w:val="240"/>
            </w:pPr>
          </w:p>
          <w:p w14:paraId="0501DEB8">
            <w:pPr>
              <w:pStyle w:val="240"/>
            </w:pPr>
          </w:p>
          <w:p w14:paraId="5BA91FE4">
            <w:pPr>
              <w:pStyle w:val="240"/>
            </w:pPr>
          </w:p>
          <w:p w14:paraId="46A577B4">
            <w:pPr>
              <w:pStyle w:val="240"/>
            </w:pPr>
          </w:p>
          <w:p w14:paraId="735D2497">
            <w:pPr>
              <w:pStyle w:val="240"/>
            </w:pPr>
          </w:p>
          <w:p w14:paraId="4FEC83D9">
            <w:pPr>
              <w:pStyle w:val="240"/>
            </w:pPr>
          </w:p>
          <w:p w14:paraId="4D373337">
            <w:pPr>
              <w:pStyle w:val="240"/>
            </w:pPr>
          </w:p>
          <w:p w14:paraId="32A3788B">
            <w:pPr>
              <w:pStyle w:val="240"/>
            </w:pPr>
          </w:p>
          <w:p w14:paraId="50D9CA49">
            <w:pPr>
              <w:pStyle w:val="240"/>
            </w:pPr>
          </w:p>
          <w:p w14:paraId="2C547416">
            <w:pPr>
              <w:pStyle w:val="240"/>
            </w:pPr>
          </w:p>
          <w:p w14:paraId="4999D2E6">
            <w:pPr>
              <w:pStyle w:val="240"/>
            </w:pPr>
          </w:p>
          <w:p w14:paraId="61E0CE07">
            <w:pPr>
              <w:pStyle w:val="240"/>
            </w:pPr>
          </w:p>
          <w:p w14:paraId="756F1972">
            <w:pPr>
              <w:pStyle w:val="240"/>
            </w:pPr>
          </w:p>
          <w:p w14:paraId="66FB5427">
            <w:pPr>
              <w:pStyle w:val="240"/>
            </w:pPr>
          </w:p>
          <w:p w14:paraId="527FACD6">
            <w:pPr>
              <w:pStyle w:val="240"/>
            </w:pPr>
          </w:p>
          <w:p w14:paraId="33568543">
            <w:pPr>
              <w:pStyle w:val="240"/>
              <w:spacing w:line="241" w:lineRule="auto"/>
            </w:pPr>
          </w:p>
          <w:p w14:paraId="31FEC299">
            <w:pPr>
              <w:spacing w:before="68" w:line="232" w:lineRule="auto"/>
              <w:ind w:left="177" w:right="85" w:hanging="100"/>
              <w:rPr>
                <w:rFonts w:ascii="宋体" w:hAnsi="宋体" w:cs="宋体"/>
                <w:szCs w:val="21"/>
              </w:rPr>
            </w:pPr>
            <w:r>
              <w:rPr>
                <w:rFonts w:ascii="宋体" w:hAnsi="宋体" w:cs="宋体"/>
                <w:b/>
                <w:bCs/>
                <w:spacing w:val="-5"/>
                <w:szCs w:val="21"/>
              </w:rPr>
              <w:t>生活照料</w:t>
            </w:r>
            <w:r>
              <w:rPr>
                <w:rFonts w:ascii="宋体" w:hAnsi="宋体" w:cs="宋体"/>
                <w:szCs w:val="21"/>
              </w:rPr>
              <w:t xml:space="preserve"> </w:t>
            </w:r>
            <w:r>
              <w:rPr>
                <w:rFonts w:ascii="宋体" w:hAnsi="宋体" w:cs="宋体"/>
                <w:b/>
                <w:bCs/>
                <w:spacing w:val="-5"/>
                <w:szCs w:val="21"/>
              </w:rPr>
              <w:t>类服务</w:t>
            </w:r>
          </w:p>
        </w:tc>
        <w:tc>
          <w:tcPr>
            <w:tcW w:w="1138" w:type="dxa"/>
            <w:vMerge w:val="restart"/>
            <w:tcBorders>
              <w:bottom w:val="nil"/>
            </w:tcBorders>
            <w:noWrap w:val="0"/>
            <w:vAlign w:val="top"/>
          </w:tcPr>
          <w:p w14:paraId="639B0C0C">
            <w:pPr>
              <w:pStyle w:val="240"/>
              <w:spacing w:line="289" w:lineRule="auto"/>
            </w:pPr>
          </w:p>
          <w:p w14:paraId="558A7D11">
            <w:pPr>
              <w:pStyle w:val="240"/>
              <w:spacing w:line="289" w:lineRule="auto"/>
            </w:pPr>
          </w:p>
          <w:p w14:paraId="5096FCD8">
            <w:pPr>
              <w:spacing w:before="68" w:line="219" w:lineRule="auto"/>
              <w:ind w:left="141"/>
              <w:rPr>
                <w:rFonts w:ascii="宋体" w:hAnsi="宋体" w:cs="宋体"/>
                <w:szCs w:val="21"/>
              </w:rPr>
            </w:pPr>
            <w:r>
              <w:rPr>
                <w:rFonts w:ascii="宋体" w:hAnsi="宋体" w:cs="宋体"/>
                <w:spacing w:val="-2"/>
                <w:szCs w:val="21"/>
              </w:rPr>
              <w:t>助餐服务</w:t>
            </w:r>
          </w:p>
        </w:tc>
        <w:tc>
          <w:tcPr>
            <w:tcW w:w="1119" w:type="dxa"/>
            <w:noWrap w:val="0"/>
            <w:vAlign w:val="top"/>
          </w:tcPr>
          <w:p w14:paraId="0F7ABD4C">
            <w:pPr>
              <w:spacing w:before="229" w:line="219" w:lineRule="auto"/>
              <w:ind w:left="133"/>
              <w:rPr>
                <w:rFonts w:ascii="宋体" w:hAnsi="宋体" w:cs="宋体"/>
                <w:szCs w:val="21"/>
              </w:rPr>
            </w:pPr>
            <w:r>
              <w:rPr>
                <w:rFonts w:ascii="宋体" w:hAnsi="宋体" w:cs="宋体"/>
                <w:spacing w:val="5"/>
                <w:szCs w:val="21"/>
              </w:rPr>
              <w:t>送餐上门</w:t>
            </w:r>
          </w:p>
        </w:tc>
        <w:tc>
          <w:tcPr>
            <w:tcW w:w="4803" w:type="dxa"/>
            <w:noWrap w:val="0"/>
            <w:vAlign w:val="top"/>
          </w:tcPr>
          <w:p w14:paraId="2CE519C6">
            <w:pPr>
              <w:spacing w:before="229" w:line="219" w:lineRule="auto"/>
              <w:ind w:left="83"/>
              <w:rPr>
                <w:rFonts w:ascii="宋体" w:hAnsi="宋体" w:cs="宋体"/>
                <w:szCs w:val="21"/>
              </w:rPr>
            </w:pPr>
            <w:r>
              <w:rPr>
                <w:rFonts w:ascii="宋体" w:hAnsi="宋体" w:cs="宋体"/>
                <w:spacing w:val="-1"/>
                <w:szCs w:val="21"/>
              </w:rPr>
              <w:t>送餐运输工具应保持清洁卫生；餐具做到每餐消毒。</w:t>
            </w:r>
          </w:p>
        </w:tc>
      </w:tr>
      <w:tr w14:paraId="580839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819" w:hRule="atLeast"/>
          <w:jc w:val="center"/>
        </w:trPr>
        <w:tc>
          <w:tcPr>
            <w:tcW w:w="1004" w:type="dxa"/>
            <w:vMerge w:val="continue"/>
            <w:tcBorders>
              <w:top w:val="nil"/>
              <w:bottom w:val="nil"/>
            </w:tcBorders>
            <w:noWrap w:val="0"/>
            <w:vAlign w:val="top"/>
          </w:tcPr>
          <w:p w14:paraId="20B6C9D6">
            <w:pPr>
              <w:pStyle w:val="240"/>
              <w:rPr>
                <w:lang w:eastAsia="zh-CN"/>
              </w:rPr>
            </w:pPr>
          </w:p>
        </w:tc>
        <w:tc>
          <w:tcPr>
            <w:tcW w:w="1138" w:type="dxa"/>
            <w:vMerge w:val="continue"/>
            <w:tcBorders>
              <w:top w:val="nil"/>
            </w:tcBorders>
            <w:noWrap w:val="0"/>
            <w:vAlign w:val="top"/>
          </w:tcPr>
          <w:p w14:paraId="4CF028FC">
            <w:pPr>
              <w:pStyle w:val="240"/>
              <w:rPr>
                <w:lang w:eastAsia="zh-CN"/>
              </w:rPr>
            </w:pPr>
          </w:p>
        </w:tc>
        <w:tc>
          <w:tcPr>
            <w:tcW w:w="1119" w:type="dxa"/>
            <w:noWrap w:val="0"/>
            <w:vAlign w:val="top"/>
          </w:tcPr>
          <w:p w14:paraId="1FBCBB72">
            <w:pPr>
              <w:pStyle w:val="240"/>
              <w:spacing w:line="309" w:lineRule="auto"/>
              <w:rPr>
                <w:lang w:eastAsia="zh-CN"/>
              </w:rPr>
            </w:pPr>
          </w:p>
          <w:p w14:paraId="0C59D073">
            <w:pPr>
              <w:spacing w:before="68" w:line="219" w:lineRule="auto"/>
              <w:ind w:left="133"/>
              <w:rPr>
                <w:rFonts w:ascii="宋体" w:hAnsi="宋体" w:cs="宋体"/>
                <w:szCs w:val="21"/>
              </w:rPr>
            </w:pPr>
            <w:r>
              <w:rPr>
                <w:rFonts w:ascii="宋体" w:hAnsi="宋体" w:cs="宋体"/>
                <w:spacing w:val="-2"/>
                <w:szCs w:val="21"/>
              </w:rPr>
              <w:t>上门做餐</w:t>
            </w:r>
          </w:p>
        </w:tc>
        <w:tc>
          <w:tcPr>
            <w:tcW w:w="4803" w:type="dxa"/>
            <w:noWrap w:val="0"/>
            <w:vAlign w:val="top"/>
          </w:tcPr>
          <w:p w14:paraId="2B3275B6">
            <w:pPr>
              <w:spacing w:before="178" w:line="255" w:lineRule="auto"/>
              <w:ind w:left="82" w:right="11" w:hanging="9"/>
              <w:rPr>
                <w:rFonts w:ascii="宋体" w:hAnsi="宋体" w:cs="宋体"/>
                <w:szCs w:val="21"/>
              </w:rPr>
            </w:pPr>
            <w:r>
              <w:rPr>
                <w:rFonts w:ascii="宋体" w:hAnsi="宋体" w:cs="宋体"/>
                <w:spacing w:val="-1"/>
                <w:szCs w:val="21"/>
              </w:rPr>
              <w:t>菜品自备，可协助购买；以老人要求为准，上门煮饭炒菜</w:t>
            </w:r>
            <w:r>
              <w:rPr>
                <w:rFonts w:ascii="宋体" w:hAnsi="宋体" w:cs="宋体"/>
                <w:spacing w:val="15"/>
                <w:szCs w:val="21"/>
              </w:rPr>
              <w:t xml:space="preserve"> </w:t>
            </w:r>
            <w:r>
              <w:rPr>
                <w:rFonts w:ascii="宋体" w:hAnsi="宋体" w:cs="宋体"/>
                <w:spacing w:val="-1"/>
                <w:szCs w:val="21"/>
              </w:rPr>
              <w:t>整理厨房、清洁餐具。</w:t>
            </w:r>
          </w:p>
        </w:tc>
      </w:tr>
      <w:tr w14:paraId="6C30D6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889" w:hRule="atLeast"/>
          <w:jc w:val="center"/>
        </w:trPr>
        <w:tc>
          <w:tcPr>
            <w:tcW w:w="1004" w:type="dxa"/>
            <w:vMerge w:val="continue"/>
            <w:tcBorders>
              <w:top w:val="nil"/>
              <w:bottom w:val="nil"/>
            </w:tcBorders>
            <w:noWrap w:val="0"/>
            <w:vAlign w:val="top"/>
          </w:tcPr>
          <w:p w14:paraId="5D73B033">
            <w:pPr>
              <w:pStyle w:val="240"/>
              <w:rPr>
                <w:lang w:eastAsia="zh-CN"/>
              </w:rPr>
            </w:pPr>
          </w:p>
        </w:tc>
        <w:tc>
          <w:tcPr>
            <w:tcW w:w="1138" w:type="dxa"/>
            <w:vMerge w:val="restart"/>
            <w:tcBorders>
              <w:bottom w:val="nil"/>
            </w:tcBorders>
            <w:noWrap w:val="0"/>
            <w:vAlign w:val="top"/>
          </w:tcPr>
          <w:p w14:paraId="629DA9DD">
            <w:pPr>
              <w:pStyle w:val="240"/>
              <w:spacing w:line="278" w:lineRule="auto"/>
              <w:rPr>
                <w:lang w:eastAsia="zh-CN"/>
              </w:rPr>
            </w:pPr>
          </w:p>
          <w:p w14:paraId="562DB3AC">
            <w:pPr>
              <w:pStyle w:val="240"/>
              <w:spacing w:line="278" w:lineRule="auto"/>
              <w:rPr>
                <w:lang w:eastAsia="zh-CN"/>
              </w:rPr>
            </w:pPr>
          </w:p>
          <w:p w14:paraId="41EAC5AD">
            <w:pPr>
              <w:pStyle w:val="240"/>
              <w:spacing w:line="279" w:lineRule="auto"/>
              <w:rPr>
                <w:lang w:eastAsia="zh-CN"/>
              </w:rPr>
            </w:pPr>
          </w:p>
          <w:p w14:paraId="3530CAB3">
            <w:pPr>
              <w:pStyle w:val="240"/>
              <w:spacing w:line="279" w:lineRule="auto"/>
              <w:rPr>
                <w:lang w:eastAsia="zh-CN"/>
              </w:rPr>
            </w:pPr>
          </w:p>
          <w:p w14:paraId="6B43A5D9">
            <w:pPr>
              <w:pStyle w:val="240"/>
              <w:spacing w:line="279" w:lineRule="auto"/>
              <w:rPr>
                <w:lang w:eastAsia="zh-CN"/>
              </w:rPr>
            </w:pPr>
          </w:p>
          <w:p w14:paraId="0F711CE1">
            <w:pPr>
              <w:pStyle w:val="240"/>
              <w:spacing w:line="279" w:lineRule="auto"/>
              <w:rPr>
                <w:lang w:eastAsia="zh-CN"/>
              </w:rPr>
            </w:pPr>
          </w:p>
          <w:p w14:paraId="00917139">
            <w:pPr>
              <w:spacing w:before="68" w:line="219" w:lineRule="auto"/>
              <w:ind w:left="141"/>
              <w:rPr>
                <w:rFonts w:ascii="宋体" w:hAnsi="宋体" w:cs="宋体"/>
                <w:szCs w:val="21"/>
              </w:rPr>
            </w:pPr>
            <w:r>
              <w:rPr>
                <w:rFonts w:ascii="宋体" w:hAnsi="宋体" w:cs="宋体"/>
                <w:spacing w:val="-2"/>
                <w:szCs w:val="21"/>
              </w:rPr>
              <w:t>助浴服务</w:t>
            </w:r>
          </w:p>
        </w:tc>
        <w:tc>
          <w:tcPr>
            <w:tcW w:w="1119" w:type="dxa"/>
            <w:noWrap w:val="0"/>
            <w:vAlign w:val="top"/>
          </w:tcPr>
          <w:p w14:paraId="1E3E9DD4">
            <w:pPr>
              <w:pStyle w:val="240"/>
              <w:spacing w:line="256" w:lineRule="auto"/>
            </w:pPr>
          </w:p>
          <w:p w14:paraId="2ECAE723">
            <w:pPr>
              <w:pStyle w:val="240"/>
              <w:spacing w:line="256" w:lineRule="auto"/>
            </w:pPr>
          </w:p>
          <w:p w14:paraId="304D7577">
            <w:pPr>
              <w:pStyle w:val="240"/>
              <w:spacing w:line="256" w:lineRule="auto"/>
            </w:pPr>
          </w:p>
          <w:p w14:paraId="21A2D9BE">
            <w:pPr>
              <w:spacing w:before="68" w:line="220" w:lineRule="auto"/>
              <w:ind w:left="133"/>
              <w:rPr>
                <w:rFonts w:ascii="宋体" w:hAnsi="宋体" w:cs="宋体"/>
                <w:szCs w:val="21"/>
              </w:rPr>
            </w:pPr>
            <w:r>
              <w:rPr>
                <w:rFonts w:ascii="宋体" w:hAnsi="宋体" w:cs="宋体"/>
                <w:spacing w:val="-2"/>
                <w:szCs w:val="21"/>
              </w:rPr>
              <w:t>上门助浴</w:t>
            </w:r>
          </w:p>
        </w:tc>
        <w:tc>
          <w:tcPr>
            <w:tcW w:w="4803" w:type="dxa"/>
            <w:noWrap w:val="0"/>
            <w:vAlign w:val="top"/>
          </w:tcPr>
          <w:p w14:paraId="197F66E4">
            <w:pPr>
              <w:spacing w:before="232" w:line="272" w:lineRule="auto"/>
              <w:ind w:left="63"/>
              <w:rPr>
                <w:rFonts w:ascii="宋体" w:hAnsi="宋体" w:cs="宋体"/>
                <w:szCs w:val="21"/>
              </w:rPr>
            </w:pPr>
            <w:r>
              <w:rPr>
                <w:rFonts w:ascii="宋体" w:hAnsi="宋体" w:cs="宋体"/>
                <w:szCs w:val="21"/>
              </w:rPr>
              <w:t>助浴前应进行安全提示；助浴过程中应有家属或其他监护</w:t>
            </w:r>
            <w:r>
              <w:rPr>
                <w:rFonts w:ascii="宋体" w:hAnsi="宋体" w:cs="宋体"/>
                <w:spacing w:val="10"/>
                <w:szCs w:val="21"/>
              </w:rPr>
              <w:t xml:space="preserve"> </w:t>
            </w:r>
            <w:r>
              <w:rPr>
                <w:rFonts w:ascii="宋体" w:hAnsi="宋体" w:cs="宋体"/>
                <w:szCs w:val="21"/>
              </w:rPr>
              <w:t>人在场，注重老人隐私保护，防止老人烫伤、摔倒，注意</w:t>
            </w:r>
            <w:r>
              <w:rPr>
                <w:rFonts w:ascii="宋体" w:hAnsi="宋体" w:cs="宋体"/>
                <w:spacing w:val="8"/>
                <w:szCs w:val="21"/>
              </w:rPr>
              <w:t xml:space="preserve"> </w:t>
            </w:r>
            <w:r>
              <w:rPr>
                <w:rFonts w:ascii="宋体" w:hAnsi="宋体" w:cs="宋体"/>
                <w:szCs w:val="21"/>
              </w:rPr>
              <w:t>观察老年人身体情况，如遇老年人身体不适，协助采取相</w:t>
            </w:r>
            <w:r>
              <w:rPr>
                <w:rFonts w:ascii="宋体" w:hAnsi="宋体" w:cs="宋体"/>
                <w:spacing w:val="12"/>
                <w:szCs w:val="21"/>
              </w:rPr>
              <w:t xml:space="preserve"> </w:t>
            </w:r>
            <w:r>
              <w:rPr>
                <w:rFonts w:ascii="宋体" w:hAnsi="宋体" w:cs="宋体"/>
                <w:spacing w:val="-1"/>
                <w:szCs w:val="21"/>
              </w:rPr>
              <w:t>应应急措施；应根据四季气候状况和老年人居住条件，注</w:t>
            </w:r>
            <w:r>
              <w:rPr>
                <w:rFonts w:ascii="宋体" w:hAnsi="宋体" w:cs="宋体"/>
                <w:spacing w:val="11"/>
                <w:szCs w:val="21"/>
              </w:rPr>
              <w:t xml:space="preserve"> </w:t>
            </w:r>
            <w:r>
              <w:rPr>
                <w:rFonts w:ascii="宋体" w:hAnsi="宋体" w:cs="宋体"/>
                <w:szCs w:val="21"/>
              </w:rPr>
              <w:t>意防寒保暖、防暑降温及浴室通风。</w:t>
            </w:r>
          </w:p>
        </w:tc>
      </w:tr>
      <w:tr w14:paraId="3BE8A5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809" w:hRule="atLeast"/>
          <w:jc w:val="center"/>
        </w:trPr>
        <w:tc>
          <w:tcPr>
            <w:tcW w:w="1004" w:type="dxa"/>
            <w:vMerge w:val="continue"/>
            <w:tcBorders>
              <w:top w:val="nil"/>
              <w:bottom w:val="nil"/>
            </w:tcBorders>
            <w:noWrap w:val="0"/>
            <w:vAlign w:val="top"/>
          </w:tcPr>
          <w:p w14:paraId="3F55DC4A">
            <w:pPr>
              <w:pStyle w:val="240"/>
              <w:rPr>
                <w:lang w:eastAsia="zh-CN"/>
              </w:rPr>
            </w:pPr>
          </w:p>
        </w:tc>
        <w:tc>
          <w:tcPr>
            <w:tcW w:w="1138" w:type="dxa"/>
            <w:vMerge w:val="continue"/>
            <w:tcBorders>
              <w:top w:val="nil"/>
            </w:tcBorders>
            <w:noWrap w:val="0"/>
            <w:vAlign w:val="top"/>
          </w:tcPr>
          <w:p w14:paraId="2E50FD3C">
            <w:pPr>
              <w:pStyle w:val="240"/>
              <w:rPr>
                <w:lang w:eastAsia="zh-CN"/>
              </w:rPr>
            </w:pPr>
          </w:p>
        </w:tc>
        <w:tc>
          <w:tcPr>
            <w:tcW w:w="1119" w:type="dxa"/>
            <w:noWrap w:val="0"/>
            <w:vAlign w:val="top"/>
          </w:tcPr>
          <w:p w14:paraId="048987E3">
            <w:pPr>
              <w:pStyle w:val="240"/>
              <w:spacing w:line="243" w:lineRule="auto"/>
              <w:rPr>
                <w:lang w:eastAsia="zh-CN"/>
              </w:rPr>
            </w:pPr>
          </w:p>
          <w:p w14:paraId="371315DC">
            <w:pPr>
              <w:pStyle w:val="240"/>
              <w:spacing w:line="243" w:lineRule="auto"/>
              <w:rPr>
                <w:lang w:eastAsia="zh-CN"/>
              </w:rPr>
            </w:pPr>
          </w:p>
          <w:p w14:paraId="338E341C">
            <w:pPr>
              <w:pStyle w:val="240"/>
              <w:spacing w:line="243" w:lineRule="auto"/>
              <w:rPr>
                <w:lang w:eastAsia="zh-CN"/>
              </w:rPr>
            </w:pPr>
          </w:p>
          <w:p w14:paraId="3814DC04">
            <w:pPr>
              <w:spacing w:before="68" w:line="220" w:lineRule="auto"/>
              <w:ind w:left="133"/>
              <w:rPr>
                <w:rFonts w:ascii="宋体" w:hAnsi="宋体" w:cs="宋体"/>
                <w:szCs w:val="21"/>
              </w:rPr>
            </w:pPr>
            <w:r>
              <w:rPr>
                <w:rFonts w:ascii="宋体" w:hAnsi="宋体" w:cs="宋体"/>
                <w:spacing w:val="2"/>
                <w:szCs w:val="21"/>
              </w:rPr>
              <w:t>外出助浴</w:t>
            </w:r>
          </w:p>
        </w:tc>
        <w:tc>
          <w:tcPr>
            <w:tcW w:w="4803" w:type="dxa"/>
            <w:noWrap w:val="0"/>
            <w:vAlign w:val="top"/>
          </w:tcPr>
          <w:p w14:paraId="7AF6D00A">
            <w:pPr>
              <w:spacing w:before="189" w:line="273" w:lineRule="auto"/>
              <w:ind w:left="13" w:firstLine="49"/>
              <w:rPr>
                <w:rFonts w:ascii="宋体" w:hAnsi="宋体" w:cs="宋体"/>
                <w:szCs w:val="21"/>
              </w:rPr>
            </w:pPr>
            <w:r>
              <w:rPr>
                <w:rFonts w:ascii="宋体" w:hAnsi="宋体" w:cs="宋体"/>
                <w:spacing w:val="-4"/>
                <w:szCs w:val="21"/>
              </w:rPr>
              <w:t>选择有资质的公共洗浴场所或有公用沐浴设施的养老服务</w:t>
            </w:r>
            <w:r>
              <w:rPr>
                <w:rFonts w:ascii="宋体" w:hAnsi="宋体" w:cs="宋体"/>
                <w:spacing w:val="1"/>
                <w:szCs w:val="21"/>
              </w:rPr>
              <w:t xml:space="preserve">  </w:t>
            </w:r>
            <w:r>
              <w:rPr>
                <w:rFonts w:ascii="宋体" w:hAnsi="宋体" w:cs="宋体"/>
                <w:spacing w:val="-2"/>
                <w:szCs w:val="21"/>
              </w:rPr>
              <w:t>机构，往返途中确保安全；助浴前应进行安全提示；助浴</w:t>
            </w:r>
            <w:r>
              <w:rPr>
                <w:rFonts w:ascii="宋体" w:hAnsi="宋体" w:cs="宋体"/>
                <w:spacing w:val="1"/>
                <w:szCs w:val="21"/>
              </w:rPr>
              <w:t xml:space="preserve">  </w:t>
            </w:r>
            <w:r>
              <w:rPr>
                <w:rFonts w:ascii="宋体" w:hAnsi="宋体" w:cs="宋体"/>
                <w:spacing w:val="-6"/>
                <w:szCs w:val="21"/>
              </w:rPr>
              <w:t>过程中应有家属或其他监护人在场，防止老人烫伤、摔倒，</w:t>
            </w:r>
            <w:r>
              <w:rPr>
                <w:rFonts w:ascii="宋体" w:hAnsi="宋体" w:cs="宋体"/>
                <w:spacing w:val="8"/>
                <w:szCs w:val="21"/>
              </w:rPr>
              <w:t xml:space="preserve"> </w:t>
            </w:r>
            <w:r>
              <w:rPr>
                <w:rFonts w:ascii="宋体" w:hAnsi="宋体" w:cs="宋体"/>
                <w:spacing w:val="-2"/>
                <w:szCs w:val="21"/>
              </w:rPr>
              <w:t>注意观察老年人身体情况，如遇老年人身体不适，协助采</w:t>
            </w:r>
            <w:r>
              <w:rPr>
                <w:rFonts w:ascii="宋体" w:hAnsi="宋体" w:cs="宋体"/>
                <w:szCs w:val="21"/>
              </w:rPr>
              <w:t xml:space="preserve">  取相应应急措施。</w:t>
            </w:r>
          </w:p>
        </w:tc>
      </w:tr>
      <w:tr w14:paraId="19B10F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939" w:hRule="atLeast"/>
          <w:jc w:val="center"/>
        </w:trPr>
        <w:tc>
          <w:tcPr>
            <w:tcW w:w="1004" w:type="dxa"/>
            <w:vMerge w:val="continue"/>
            <w:tcBorders>
              <w:top w:val="nil"/>
              <w:bottom w:val="nil"/>
            </w:tcBorders>
            <w:noWrap w:val="0"/>
            <w:vAlign w:val="top"/>
          </w:tcPr>
          <w:p w14:paraId="7BCE9CA0">
            <w:pPr>
              <w:pStyle w:val="240"/>
              <w:rPr>
                <w:lang w:eastAsia="zh-CN"/>
              </w:rPr>
            </w:pPr>
          </w:p>
        </w:tc>
        <w:tc>
          <w:tcPr>
            <w:tcW w:w="1138" w:type="dxa"/>
            <w:vMerge w:val="restart"/>
            <w:noWrap w:val="0"/>
            <w:vAlign w:val="top"/>
          </w:tcPr>
          <w:p w14:paraId="2A407117">
            <w:pPr>
              <w:pStyle w:val="240"/>
              <w:spacing w:line="263" w:lineRule="auto"/>
              <w:rPr>
                <w:lang w:eastAsia="zh-CN"/>
              </w:rPr>
            </w:pPr>
          </w:p>
          <w:p w14:paraId="161322C8">
            <w:pPr>
              <w:pStyle w:val="240"/>
              <w:spacing w:line="263" w:lineRule="auto"/>
              <w:rPr>
                <w:lang w:eastAsia="zh-CN"/>
              </w:rPr>
            </w:pPr>
          </w:p>
          <w:p w14:paraId="572FFD42">
            <w:pPr>
              <w:pStyle w:val="240"/>
              <w:spacing w:line="263" w:lineRule="auto"/>
              <w:rPr>
                <w:lang w:eastAsia="zh-CN"/>
              </w:rPr>
            </w:pPr>
          </w:p>
          <w:p w14:paraId="32EA9FFA">
            <w:pPr>
              <w:pStyle w:val="240"/>
              <w:spacing w:line="263" w:lineRule="auto"/>
              <w:rPr>
                <w:lang w:eastAsia="zh-CN"/>
              </w:rPr>
            </w:pPr>
          </w:p>
          <w:p w14:paraId="23C5BADE">
            <w:pPr>
              <w:pStyle w:val="240"/>
              <w:spacing w:line="263" w:lineRule="auto"/>
              <w:rPr>
                <w:lang w:eastAsia="zh-CN"/>
              </w:rPr>
            </w:pPr>
          </w:p>
          <w:p w14:paraId="47FD49E9">
            <w:pPr>
              <w:pStyle w:val="240"/>
              <w:spacing w:line="263" w:lineRule="auto"/>
              <w:rPr>
                <w:lang w:eastAsia="zh-CN"/>
              </w:rPr>
            </w:pPr>
          </w:p>
          <w:p w14:paraId="0904389C">
            <w:pPr>
              <w:pStyle w:val="240"/>
              <w:spacing w:line="264" w:lineRule="auto"/>
              <w:rPr>
                <w:lang w:eastAsia="zh-CN"/>
              </w:rPr>
            </w:pPr>
          </w:p>
          <w:p w14:paraId="050B574C">
            <w:pPr>
              <w:pStyle w:val="240"/>
              <w:spacing w:line="264" w:lineRule="auto"/>
              <w:rPr>
                <w:lang w:eastAsia="zh-CN"/>
              </w:rPr>
            </w:pPr>
          </w:p>
          <w:p w14:paraId="351E7D01">
            <w:pPr>
              <w:pStyle w:val="240"/>
              <w:spacing w:line="264" w:lineRule="auto"/>
              <w:rPr>
                <w:lang w:eastAsia="zh-CN"/>
              </w:rPr>
            </w:pPr>
          </w:p>
          <w:p w14:paraId="3378575C">
            <w:pPr>
              <w:spacing w:before="68" w:line="219" w:lineRule="auto"/>
              <w:ind w:left="141"/>
              <w:rPr>
                <w:rFonts w:ascii="宋体" w:hAnsi="宋体" w:cs="宋体"/>
                <w:szCs w:val="21"/>
              </w:rPr>
            </w:pPr>
            <w:r>
              <w:rPr>
                <w:rFonts w:ascii="宋体" w:hAnsi="宋体" w:cs="宋体"/>
                <w:spacing w:val="-2"/>
                <w:szCs w:val="21"/>
              </w:rPr>
              <w:t>助洁服务</w:t>
            </w:r>
          </w:p>
        </w:tc>
        <w:tc>
          <w:tcPr>
            <w:tcW w:w="1119" w:type="dxa"/>
            <w:noWrap w:val="0"/>
            <w:vAlign w:val="top"/>
          </w:tcPr>
          <w:p w14:paraId="54097AF6">
            <w:pPr>
              <w:pStyle w:val="240"/>
              <w:spacing w:line="303" w:lineRule="auto"/>
            </w:pPr>
          </w:p>
          <w:p w14:paraId="6FC9430D">
            <w:pPr>
              <w:spacing w:before="68" w:line="220" w:lineRule="auto"/>
              <w:ind w:left="133"/>
              <w:rPr>
                <w:rFonts w:ascii="宋体" w:hAnsi="宋体" w:cs="宋体"/>
                <w:szCs w:val="21"/>
              </w:rPr>
            </w:pPr>
            <w:r>
              <w:rPr>
                <w:rFonts w:ascii="宋体" w:hAnsi="宋体" w:cs="宋体"/>
                <w:spacing w:val="-2"/>
                <w:szCs w:val="21"/>
              </w:rPr>
              <w:t>居室清洁</w:t>
            </w:r>
          </w:p>
        </w:tc>
        <w:tc>
          <w:tcPr>
            <w:tcW w:w="4803" w:type="dxa"/>
            <w:noWrap w:val="0"/>
            <w:vAlign w:val="top"/>
          </w:tcPr>
          <w:p w14:paraId="08167062">
            <w:pPr>
              <w:spacing w:before="243" w:line="260" w:lineRule="auto"/>
              <w:ind w:left="33" w:right="22" w:firstLine="29"/>
              <w:rPr>
                <w:rFonts w:ascii="宋体" w:hAnsi="宋体" w:cs="宋体"/>
                <w:szCs w:val="21"/>
              </w:rPr>
            </w:pPr>
            <w:r>
              <w:rPr>
                <w:rFonts w:ascii="宋体" w:hAnsi="宋体" w:cs="宋体"/>
                <w:spacing w:val="-1"/>
                <w:szCs w:val="21"/>
              </w:rPr>
              <w:t>拖洗地面、室内除尘；根据老人具体需求进行日常居家整</w:t>
            </w:r>
            <w:r>
              <w:rPr>
                <w:rFonts w:ascii="宋体" w:hAnsi="宋体" w:cs="宋体"/>
                <w:spacing w:val="14"/>
                <w:szCs w:val="21"/>
              </w:rPr>
              <w:t xml:space="preserve"> </w:t>
            </w:r>
            <w:r>
              <w:rPr>
                <w:rFonts w:ascii="宋体" w:hAnsi="宋体" w:cs="宋体"/>
                <w:spacing w:val="-2"/>
                <w:szCs w:val="21"/>
              </w:rPr>
              <w:t>理。</w:t>
            </w:r>
          </w:p>
        </w:tc>
      </w:tr>
      <w:tr w14:paraId="502153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670" w:hRule="atLeast"/>
          <w:jc w:val="center"/>
        </w:trPr>
        <w:tc>
          <w:tcPr>
            <w:tcW w:w="1004" w:type="dxa"/>
            <w:vMerge w:val="continue"/>
            <w:tcBorders>
              <w:top w:val="nil"/>
              <w:bottom w:val="nil"/>
            </w:tcBorders>
            <w:noWrap w:val="0"/>
            <w:vAlign w:val="top"/>
          </w:tcPr>
          <w:p w14:paraId="23FCF629">
            <w:pPr>
              <w:pStyle w:val="240"/>
              <w:rPr>
                <w:lang w:eastAsia="zh-CN"/>
              </w:rPr>
            </w:pPr>
          </w:p>
        </w:tc>
        <w:tc>
          <w:tcPr>
            <w:tcW w:w="1138" w:type="dxa"/>
            <w:vMerge w:val="continue"/>
            <w:noWrap w:val="0"/>
            <w:vAlign w:val="top"/>
          </w:tcPr>
          <w:p w14:paraId="467DCD2A">
            <w:pPr>
              <w:pStyle w:val="240"/>
              <w:rPr>
                <w:lang w:eastAsia="zh-CN"/>
              </w:rPr>
            </w:pPr>
          </w:p>
        </w:tc>
        <w:tc>
          <w:tcPr>
            <w:tcW w:w="1119" w:type="dxa"/>
            <w:noWrap w:val="0"/>
            <w:vAlign w:val="top"/>
          </w:tcPr>
          <w:p w14:paraId="76096162">
            <w:pPr>
              <w:pStyle w:val="240"/>
              <w:spacing w:line="244" w:lineRule="auto"/>
              <w:rPr>
                <w:lang w:eastAsia="zh-CN"/>
              </w:rPr>
            </w:pPr>
          </w:p>
          <w:p w14:paraId="19D97E43">
            <w:pPr>
              <w:spacing w:before="68" w:line="220" w:lineRule="auto"/>
              <w:ind w:left="133"/>
              <w:rPr>
                <w:rFonts w:ascii="宋体" w:hAnsi="宋体" w:cs="宋体"/>
                <w:szCs w:val="21"/>
              </w:rPr>
            </w:pPr>
            <w:r>
              <w:rPr>
                <w:rFonts w:ascii="宋体" w:hAnsi="宋体" w:cs="宋体"/>
                <w:spacing w:val="-3"/>
                <w:szCs w:val="21"/>
              </w:rPr>
              <w:t>厨卫清洁</w:t>
            </w:r>
          </w:p>
        </w:tc>
        <w:tc>
          <w:tcPr>
            <w:tcW w:w="4803" w:type="dxa"/>
            <w:noWrap w:val="0"/>
            <w:vAlign w:val="top"/>
          </w:tcPr>
          <w:p w14:paraId="2D66964E">
            <w:pPr>
              <w:spacing w:before="233" w:line="219" w:lineRule="auto"/>
              <w:ind w:left="63"/>
              <w:rPr>
                <w:rFonts w:ascii="宋体" w:hAnsi="宋体" w:cs="宋体"/>
                <w:szCs w:val="21"/>
              </w:rPr>
            </w:pPr>
            <w:r>
              <w:rPr>
                <w:rFonts w:ascii="宋体" w:hAnsi="宋体" w:cs="宋体"/>
                <w:spacing w:val="-8"/>
                <w:szCs w:val="21"/>
              </w:rPr>
              <w:t>对橱柜、灶台、洗碗池、地面等区域去污清洁。</w:t>
            </w:r>
          </w:p>
        </w:tc>
      </w:tr>
      <w:tr w14:paraId="56723A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219" w:hRule="atLeast"/>
          <w:jc w:val="center"/>
        </w:trPr>
        <w:tc>
          <w:tcPr>
            <w:tcW w:w="1004" w:type="dxa"/>
            <w:vMerge w:val="continue"/>
            <w:tcBorders>
              <w:top w:val="nil"/>
              <w:bottom w:val="nil"/>
            </w:tcBorders>
            <w:noWrap w:val="0"/>
            <w:vAlign w:val="top"/>
          </w:tcPr>
          <w:p w14:paraId="48315555">
            <w:pPr>
              <w:pStyle w:val="240"/>
              <w:rPr>
                <w:lang w:eastAsia="zh-CN"/>
              </w:rPr>
            </w:pPr>
          </w:p>
        </w:tc>
        <w:tc>
          <w:tcPr>
            <w:tcW w:w="1138" w:type="dxa"/>
            <w:vMerge w:val="continue"/>
            <w:noWrap w:val="0"/>
            <w:vAlign w:val="top"/>
          </w:tcPr>
          <w:p w14:paraId="392CD445">
            <w:pPr>
              <w:pStyle w:val="240"/>
              <w:rPr>
                <w:lang w:eastAsia="zh-CN"/>
              </w:rPr>
            </w:pPr>
          </w:p>
        </w:tc>
        <w:tc>
          <w:tcPr>
            <w:tcW w:w="1119" w:type="dxa"/>
            <w:noWrap w:val="0"/>
            <w:vAlign w:val="top"/>
          </w:tcPr>
          <w:p w14:paraId="5A5B2053">
            <w:pPr>
              <w:pStyle w:val="240"/>
              <w:spacing w:line="443" w:lineRule="auto"/>
              <w:rPr>
                <w:lang w:eastAsia="zh-CN"/>
              </w:rPr>
            </w:pPr>
          </w:p>
          <w:p w14:paraId="76CDCAE6">
            <w:pPr>
              <w:spacing w:before="68" w:line="220" w:lineRule="auto"/>
              <w:ind w:left="133"/>
              <w:rPr>
                <w:rFonts w:ascii="宋体" w:hAnsi="宋体" w:cs="宋体"/>
                <w:szCs w:val="21"/>
              </w:rPr>
            </w:pPr>
            <w:r>
              <w:rPr>
                <w:rFonts w:ascii="宋体" w:hAnsi="宋体" w:cs="宋体"/>
                <w:spacing w:val="-2"/>
                <w:szCs w:val="21"/>
              </w:rPr>
              <w:t>衣物洗涤</w:t>
            </w:r>
          </w:p>
        </w:tc>
        <w:tc>
          <w:tcPr>
            <w:tcW w:w="4803" w:type="dxa"/>
            <w:noWrap w:val="0"/>
            <w:vAlign w:val="top"/>
          </w:tcPr>
          <w:p w14:paraId="44497255">
            <w:pPr>
              <w:spacing w:before="242" w:line="258" w:lineRule="auto"/>
              <w:ind w:left="62" w:hanging="49"/>
              <w:rPr>
                <w:rFonts w:ascii="宋体" w:hAnsi="宋体" w:cs="宋体"/>
                <w:szCs w:val="21"/>
              </w:rPr>
            </w:pPr>
            <w:r>
              <w:rPr>
                <w:rFonts w:ascii="宋体" w:hAnsi="宋体" w:cs="宋体"/>
                <w:spacing w:val="-6"/>
                <w:szCs w:val="21"/>
              </w:rPr>
              <w:t>以老年人需求为准，对日常衣物、床上用品进行清洁洗涤；</w:t>
            </w:r>
            <w:r>
              <w:rPr>
                <w:rFonts w:ascii="宋体" w:hAnsi="宋体" w:cs="宋体"/>
                <w:spacing w:val="8"/>
                <w:szCs w:val="21"/>
              </w:rPr>
              <w:t xml:space="preserve"> </w:t>
            </w:r>
            <w:r>
              <w:rPr>
                <w:rFonts w:ascii="宋体" w:hAnsi="宋体" w:cs="宋体"/>
                <w:spacing w:val="-3"/>
                <w:szCs w:val="21"/>
              </w:rPr>
              <w:t>包括季节交替生活用品的更换清洗，如清洗纱窗、擦洗凉</w:t>
            </w:r>
            <w:r>
              <w:rPr>
                <w:rFonts w:ascii="宋体" w:hAnsi="宋体" w:cs="宋体"/>
                <w:szCs w:val="21"/>
              </w:rPr>
              <w:t xml:space="preserve">  </w:t>
            </w:r>
            <w:r>
              <w:rPr>
                <w:rFonts w:ascii="宋体" w:hAnsi="宋体" w:cs="宋体"/>
                <w:spacing w:val="-2"/>
                <w:szCs w:val="21"/>
              </w:rPr>
              <w:t>席、换洗窗帘、换洗鞋类等。</w:t>
            </w:r>
          </w:p>
        </w:tc>
      </w:tr>
      <w:tr w14:paraId="6F6797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969" w:hRule="atLeast"/>
          <w:jc w:val="center"/>
        </w:trPr>
        <w:tc>
          <w:tcPr>
            <w:tcW w:w="1004" w:type="dxa"/>
            <w:vMerge w:val="continue"/>
            <w:tcBorders>
              <w:top w:val="nil"/>
              <w:bottom w:val="nil"/>
            </w:tcBorders>
            <w:noWrap w:val="0"/>
            <w:vAlign w:val="top"/>
          </w:tcPr>
          <w:p w14:paraId="34356986">
            <w:pPr>
              <w:pStyle w:val="240"/>
              <w:rPr>
                <w:lang w:eastAsia="zh-CN"/>
              </w:rPr>
            </w:pPr>
          </w:p>
        </w:tc>
        <w:tc>
          <w:tcPr>
            <w:tcW w:w="1138" w:type="dxa"/>
            <w:vMerge w:val="continue"/>
            <w:noWrap w:val="0"/>
            <w:vAlign w:val="top"/>
          </w:tcPr>
          <w:p w14:paraId="2AFA39EA">
            <w:pPr>
              <w:pStyle w:val="240"/>
              <w:rPr>
                <w:lang w:eastAsia="zh-CN"/>
              </w:rPr>
            </w:pPr>
          </w:p>
        </w:tc>
        <w:tc>
          <w:tcPr>
            <w:tcW w:w="1119" w:type="dxa"/>
            <w:noWrap w:val="0"/>
            <w:vAlign w:val="top"/>
          </w:tcPr>
          <w:p w14:paraId="5EBC8C74">
            <w:pPr>
              <w:pStyle w:val="240"/>
              <w:spacing w:line="394" w:lineRule="auto"/>
              <w:rPr>
                <w:lang w:eastAsia="zh-CN"/>
              </w:rPr>
            </w:pPr>
          </w:p>
          <w:p w14:paraId="73AB3D28">
            <w:pPr>
              <w:spacing w:before="68" w:line="219" w:lineRule="auto"/>
              <w:ind w:left="133"/>
              <w:rPr>
                <w:rFonts w:ascii="宋体" w:hAnsi="宋体" w:cs="宋体"/>
                <w:szCs w:val="21"/>
              </w:rPr>
            </w:pPr>
            <w:r>
              <w:rPr>
                <w:rFonts w:ascii="宋体" w:hAnsi="宋体" w:cs="宋体"/>
                <w:spacing w:val="-2"/>
                <w:szCs w:val="21"/>
              </w:rPr>
              <w:t>洗头理发</w:t>
            </w:r>
          </w:p>
        </w:tc>
        <w:tc>
          <w:tcPr>
            <w:tcW w:w="4803" w:type="dxa"/>
            <w:noWrap w:val="0"/>
            <w:vAlign w:val="top"/>
          </w:tcPr>
          <w:p w14:paraId="089525AD">
            <w:pPr>
              <w:spacing w:before="284" w:line="251" w:lineRule="auto"/>
              <w:ind w:left="73" w:firstLine="9"/>
              <w:rPr>
                <w:rFonts w:ascii="宋体" w:hAnsi="宋体" w:cs="宋体"/>
                <w:szCs w:val="21"/>
              </w:rPr>
            </w:pPr>
            <w:r>
              <w:rPr>
                <w:rFonts w:ascii="宋体" w:hAnsi="宋体" w:cs="宋体"/>
                <w:spacing w:val="-9"/>
                <w:szCs w:val="21"/>
              </w:rPr>
              <w:t>由专业理发师上门；配备专业理发工具；包括洗头、理发、</w:t>
            </w:r>
            <w:r>
              <w:rPr>
                <w:rFonts w:ascii="宋体" w:hAnsi="宋体" w:cs="宋体"/>
                <w:spacing w:val="16"/>
                <w:szCs w:val="21"/>
              </w:rPr>
              <w:t xml:space="preserve"> </w:t>
            </w:r>
            <w:r>
              <w:rPr>
                <w:rFonts w:ascii="宋体" w:hAnsi="宋体" w:cs="宋体"/>
                <w:spacing w:val="-4"/>
                <w:szCs w:val="21"/>
              </w:rPr>
              <w:t>现场清理。</w:t>
            </w:r>
          </w:p>
        </w:tc>
      </w:tr>
      <w:tr w14:paraId="42A549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269" w:hRule="atLeast"/>
          <w:jc w:val="center"/>
        </w:trPr>
        <w:tc>
          <w:tcPr>
            <w:tcW w:w="1004" w:type="dxa"/>
            <w:vMerge w:val="continue"/>
            <w:tcBorders>
              <w:top w:val="nil"/>
              <w:bottom w:val="nil"/>
            </w:tcBorders>
            <w:noWrap w:val="0"/>
            <w:vAlign w:val="top"/>
          </w:tcPr>
          <w:p w14:paraId="15FC9BD3">
            <w:pPr>
              <w:pStyle w:val="240"/>
              <w:rPr>
                <w:lang w:eastAsia="zh-CN"/>
              </w:rPr>
            </w:pPr>
          </w:p>
        </w:tc>
        <w:tc>
          <w:tcPr>
            <w:tcW w:w="1138" w:type="dxa"/>
            <w:vMerge w:val="continue"/>
            <w:noWrap w:val="0"/>
            <w:vAlign w:val="top"/>
          </w:tcPr>
          <w:p w14:paraId="345947C7">
            <w:pPr>
              <w:pStyle w:val="240"/>
              <w:rPr>
                <w:lang w:eastAsia="zh-CN"/>
              </w:rPr>
            </w:pPr>
          </w:p>
        </w:tc>
        <w:tc>
          <w:tcPr>
            <w:tcW w:w="1119" w:type="dxa"/>
            <w:noWrap w:val="0"/>
            <w:vAlign w:val="top"/>
          </w:tcPr>
          <w:p w14:paraId="5F309C0C">
            <w:pPr>
              <w:pStyle w:val="240"/>
              <w:spacing w:line="463" w:lineRule="auto"/>
              <w:rPr>
                <w:lang w:eastAsia="zh-CN"/>
              </w:rPr>
            </w:pPr>
          </w:p>
          <w:p w14:paraId="3E4139CA">
            <w:pPr>
              <w:spacing w:before="68" w:line="219" w:lineRule="auto"/>
              <w:ind w:left="133"/>
              <w:rPr>
                <w:rFonts w:ascii="宋体" w:hAnsi="宋体" w:cs="宋体"/>
                <w:szCs w:val="21"/>
              </w:rPr>
            </w:pPr>
            <w:r>
              <w:rPr>
                <w:rFonts w:ascii="宋体" w:hAnsi="宋体" w:cs="宋体"/>
                <w:spacing w:val="6"/>
                <w:szCs w:val="21"/>
              </w:rPr>
              <w:t>扦脚修甲</w:t>
            </w:r>
          </w:p>
        </w:tc>
        <w:tc>
          <w:tcPr>
            <w:tcW w:w="4803" w:type="dxa"/>
            <w:noWrap w:val="0"/>
            <w:vAlign w:val="top"/>
          </w:tcPr>
          <w:p w14:paraId="51689BCD">
            <w:pPr>
              <w:spacing w:before="264" w:line="261" w:lineRule="auto"/>
              <w:ind w:left="63"/>
              <w:rPr>
                <w:rFonts w:ascii="宋体" w:hAnsi="宋体" w:cs="宋体"/>
                <w:szCs w:val="21"/>
              </w:rPr>
            </w:pPr>
            <w:r>
              <w:rPr>
                <w:rFonts w:ascii="宋体" w:hAnsi="宋体" w:cs="宋体"/>
                <w:szCs w:val="21"/>
              </w:rPr>
              <w:t>由专业修脚师上门；配备专业扦脚工具；修脚刀片、垫脚</w:t>
            </w:r>
            <w:r>
              <w:rPr>
                <w:rFonts w:ascii="宋体" w:hAnsi="宋体" w:cs="宋体"/>
                <w:spacing w:val="11"/>
                <w:szCs w:val="21"/>
              </w:rPr>
              <w:t xml:space="preserve"> </w:t>
            </w:r>
            <w:r>
              <w:rPr>
                <w:rFonts w:ascii="宋体" w:hAnsi="宋体" w:cs="宋体"/>
                <w:spacing w:val="-6"/>
                <w:szCs w:val="21"/>
              </w:rPr>
              <w:t>巾，做到规范消毒、当面更换、</w:t>
            </w:r>
            <w:r>
              <w:rPr>
                <w:rFonts w:ascii="宋体" w:hAnsi="宋体" w:cs="宋体"/>
                <w:spacing w:val="55"/>
                <w:szCs w:val="21"/>
              </w:rPr>
              <w:t xml:space="preserve"> </w:t>
            </w:r>
            <w:r>
              <w:rPr>
                <w:rFonts w:ascii="宋体" w:hAnsi="宋体" w:cs="宋体"/>
                <w:spacing w:val="-6"/>
                <w:szCs w:val="21"/>
              </w:rPr>
              <w:t>一人一换；服务过程中主</w:t>
            </w:r>
            <w:r>
              <w:rPr>
                <w:rFonts w:ascii="宋体" w:hAnsi="宋体" w:cs="宋体"/>
                <w:szCs w:val="21"/>
              </w:rPr>
              <w:t xml:space="preserve"> 动与老人沟通，避免损伤甲床及周围皮肤。</w:t>
            </w:r>
          </w:p>
        </w:tc>
      </w:tr>
      <w:tr w14:paraId="555F08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269" w:hRule="atLeast"/>
          <w:jc w:val="center"/>
        </w:trPr>
        <w:tc>
          <w:tcPr>
            <w:tcW w:w="1004" w:type="dxa"/>
            <w:vMerge w:val="continue"/>
            <w:tcBorders>
              <w:top w:val="nil"/>
              <w:bottom w:val="nil"/>
            </w:tcBorders>
            <w:noWrap w:val="0"/>
            <w:vAlign w:val="top"/>
          </w:tcPr>
          <w:p w14:paraId="0F19339F">
            <w:pPr>
              <w:pStyle w:val="240"/>
              <w:rPr>
                <w:lang w:eastAsia="zh-CN"/>
              </w:rPr>
            </w:pPr>
          </w:p>
        </w:tc>
        <w:tc>
          <w:tcPr>
            <w:tcW w:w="1138" w:type="dxa"/>
            <w:vMerge w:val="continue"/>
            <w:noWrap w:val="0"/>
            <w:vAlign w:val="top"/>
          </w:tcPr>
          <w:p w14:paraId="6C975792">
            <w:pPr>
              <w:pStyle w:val="240"/>
              <w:rPr>
                <w:lang w:eastAsia="zh-CN"/>
              </w:rPr>
            </w:pPr>
          </w:p>
        </w:tc>
        <w:tc>
          <w:tcPr>
            <w:tcW w:w="1119" w:type="dxa"/>
            <w:noWrap w:val="0"/>
            <w:vAlign w:val="center"/>
          </w:tcPr>
          <w:p w14:paraId="73A96A9D">
            <w:pPr>
              <w:spacing w:before="68" w:line="219" w:lineRule="auto"/>
              <w:ind w:left="133"/>
              <w:jc w:val="center"/>
              <w:rPr>
                <w:rFonts w:hint="eastAsia" w:ascii="宋体" w:hAnsi="宋体" w:eastAsia="宋体" w:cs="宋体"/>
                <w:spacing w:val="6"/>
                <w:szCs w:val="21"/>
                <w:lang w:val="en-US" w:eastAsia="zh-CN"/>
              </w:rPr>
            </w:pPr>
            <w:r>
              <w:rPr>
                <w:rFonts w:hint="eastAsia" w:ascii="宋体" w:hAnsi="宋体" w:eastAsia="宋体" w:cs="宋体"/>
                <w:spacing w:val="6"/>
                <w:szCs w:val="21"/>
                <w:lang w:val="en-US" w:eastAsia="zh-CN"/>
              </w:rPr>
              <w:t>清洗家电</w:t>
            </w:r>
          </w:p>
        </w:tc>
        <w:tc>
          <w:tcPr>
            <w:tcW w:w="4803" w:type="dxa"/>
            <w:noWrap w:val="0"/>
            <w:vAlign w:val="top"/>
          </w:tcPr>
          <w:p w14:paraId="2D669FF8">
            <w:pPr>
              <w:spacing w:before="264" w:line="261" w:lineRule="auto"/>
              <w:ind w:left="63"/>
              <w:rPr>
                <w:rFonts w:hint="default" w:ascii="宋体" w:hAnsi="宋体" w:eastAsia="宋体" w:cs="宋体"/>
                <w:szCs w:val="21"/>
                <w:lang w:val="en-US" w:eastAsia="zh-CN"/>
              </w:rPr>
            </w:pPr>
            <w:r>
              <w:rPr>
                <w:rFonts w:hint="eastAsia" w:ascii="宋体" w:hAnsi="宋体" w:cs="宋体"/>
                <w:szCs w:val="21"/>
                <w:lang w:val="en-US" w:eastAsia="zh-CN"/>
              </w:rPr>
              <w:t>由专业师傅上门，配备专业清洗工具，对家电可拆卸部分进行拆卸清洗，确保家电内部清洁；并在清洗结束后恢复家电电源，确保机器正常运行。</w:t>
            </w:r>
          </w:p>
        </w:tc>
      </w:tr>
      <w:tr w14:paraId="2DB192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329" w:hRule="atLeast"/>
          <w:jc w:val="center"/>
        </w:trPr>
        <w:tc>
          <w:tcPr>
            <w:tcW w:w="1004" w:type="dxa"/>
            <w:vMerge w:val="continue"/>
            <w:tcBorders>
              <w:top w:val="nil"/>
              <w:bottom w:val="nil"/>
            </w:tcBorders>
            <w:noWrap w:val="0"/>
            <w:vAlign w:val="top"/>
          </w:tcPr>
          <w:p w14:paraId="4C8F9D02">
            <w:pPr>
              <w:pStyle w:val="240"/>
              <w:rPr>
                <w:lang w:eastAsia="zh-CN"/>
              </w:rPr>
            </w:pPr>
          </w:p>
        </w:tc>
        <w:tc>
          <w:tcPr>
            <w:tcW w:w="1138" w:type="dxa"/>
            <w:vMerge w:val="restart"/>
            <w:tcBorders>
              <w:bottom w:val="nil"/>
            </w:tcBorders>
            <w:noWrap w:val="0"/>
            <w:vAlign w:val="top"/>
          </w:tcPr>
          <w:p w14:paraId="7AF0F153">
            <w:pPr>
              <w:pStyle w:val="240"/>
              <w:spacing w:line="297" w:lineRule="auto"/>
              <w:rPr>
                <w:lang w:eastAsia="zh-CN"/>
              </w:rPr>
            </w:pPr>
          </w:p>
          <w:p w14:paraId="3E9C1786">
            <w:pPr>
              <w:pStyle w:val="240"/>
              <w:spacing w:line="298" w:lineRule="auto"/>
              <w:rPr>
                <w:lang w:eastAsia="zh-CN"/>
              </w:rPr>
            </w:pPr>
          </w:p>
          <w:p w14:paraId="5BEA54A9">
            <w:pPr>
              <w:pStyle w:val="240"/>
              <w:spacing w:line="298" w:lineRule="auto"/>
              <w:rPr>
                <w:lang w:eastAsia="zh-CN"/>
              </w:rPr>
            </w:pPr>
          </w:p>
          <w:p w14:paraId="2E97092A">
            <w:pPr>
              <w:pStyle w:val="240"/>
              <w:spacing w:line="298" w:lineRule="auto"/>
              <w:rPr>
                <w:lang w:eastAsia="zh-CN"/>
              </w:rPr>
            </w:pPr>
          </w:p>
          <w:p w14:paraId="3ABB282C">
            <w:pPr>
              <w:spacing w:before="68" w:line="219" w:lineRule="auto"/>
              <w:ind w:left="141"/>
              <w:rPr>
                <w:rFonts w:ascii="宋体" w:hAnsi="宋体" w:cs="宋体"/>
                <w:szCs w:val="21"/>
              </w:rPr>
            </w:pPr>
            <w:r>
              <w:rPr>
                <w:rFonts w:ascii="宋体" w:hAnsi="宋体" w:cs="宋体"/>
                <w:spacing w:val="-2"/>
                <w:szCs w:val="21"/>
              </w:rPr>
              <w:t>助医服务</w:t>
            </w:r>
          </w:p>
        </w:tc>
        <w:tc>
          <w:tcPr>
            <w:tcW w:w="1119" w:type="dxa"/>
            <w:noWrap w:val="0"/>
            <w:vAlign w:val="top"/>
          </w:tcPr>
          <w:p w14:paraId="015E8EE2">
            <w:pPr>
              <w:pStyle w:val="240"/>
              <w:spacing w:line="247" w:lineRule="auto"/>
            </w:pPr>
          </w:p>
          <w:p w14:paraId="456BD01C">
            <w:pPr>
              <w:pStyle w:val="240"/>
              <w:spacing w:line="248" w:lineRule="auto"/>
            </w:pPr>
          </w:p>
          <w:p w14:paraId="62C92735">
            <w:pPr>
              <w:spacing w:before="68" w:line="219" w:lineRule="auto"/>
              <w:ind w:left="133"/>
              <w:rPr>
                <w:rFonts w:ascii="宋体" w:hAnsi="宋体" w:cs="宋体"/>
                <w:szCs w:val="21"/>
              </w:rPr>
            </w:pPr>
            <w:r>
              <w:rPr>
                <w:rFonts w:ascii="宋体" w:hAnsi="宋体" w:cs="宋体"/>
                <w:spacing w:val="2"/>
                <w:szCs w:val="21"/>
              </w:rPr>
              <w:t>陪同就诊</w:t>
            </w:r>
          </w:p>
        </w:tc>
        <w:tc>
          <w:tcPr>
            <w:tcW w:w="4803" w:type="dxa"/>
            <w:noWrap w:val="0"/>
            <w:vAlign w:val="top"/>
          </w:tcPr>
          <w:p w14:paraId="1ED6BD05">
            <w:pPr>
              <w:spacing w:before="276" w:line="267" w:lineRule="auto"/>
              <w:ind w:left="63"/>
              <w:rPr>
                <w:rFonts w:ascii="宋体" w:hAnsi="宋体" w:cs="宋体"/>
                <w:szCs w:val="21"/>
              </w:rPr>
            </w:pPr>
            <w:r>
              <w:rPr>
                <w:rFonts w:ascii="宋体" w:hAnsi="宋体" w:cs="宋体"/>
                <w:szCs w:val="21"/>
              </w:rPr>
              <w:t>陪同就诊的情形为常见病、慢性病复诊、辅助性检查；门</w:t>
            </w:r>
            <w:r>
              <w:rPr>
                <w:rFonts w:ascii="宋体" w:hAnsi="宋体" w:cs="宋体"/>
                <w:spacing w:val="12"/>
                <w:szCs w:val="21"/>
              </w:rPr>
              <w:t xml:space="preserve"> </w:t>
            </w:r>
            <w:r>
              <w:rPr>
                <w:rFonts w:ascii="宋体" w:hAnsi="宋体" w:cs="宋体"/>
                <w:szCs w:val="21"/>
              </w:rPr>
              <w:t>诊注射、换药；陪同就诊应注意途中安全；及时向老人家 属或其他监护人反馈就诊情况。</w:t>
            </w:r>
          </w:p>
        </w:tc>
      </w:tr>
      <w:tr w14:paraId="6F188D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394" w:hRule="atLeast"/>
          <w:jc w:val="center"/>
        </w:trPr>
        <w:tc>
          <w:tcPr>
            <w:tcW w:w="1004" w:type="dxa"/>
            <w:vMerge w:val="continue"/>
            <w:tcBorders>
              <w:top w:val="nil"/>
            </w:tcBorders>
            <w:noWrap w:val="0"/>
            <w:vAlign w:val="top"/>
          </w:tcPr>
          <w:p w14:paraId="1CD10056">
            <w:pPr>
              <w:pStyle w:val="240"/>
              <w:rPr>
                <w:lang w:eastAsia="zh-CN"/>
              </w:rPr>
            </w:pPr>
          </w:p>
        </w:tc>
        <w:tc>
          <w:tcPr>
            <w:tcW w:w="1138" w:type="dxa"/>
            <w:vMerge w:val="continue"/>
            <w:tcBorders>
              <w:top w:val="nil"/>
            </w:tcBorders>
            <w:noWrap w:val="0"/>
            <w:vAlign w:val="top"/>
          </w:tcPr>
          <w:p w14:paraId="6399CAE4">
            <w:pPr>
              <w:pStyle w:val="240"/>
              <w:rPr>
                <w:lang w:eastAsia="zh-CN"/>
              </w:rPr>
            </w:pPr>
          </w:p>
        </w:tc>
        <w:tc>
          <w:tcPr>
            <w:tcW w:w="1119" w:type="dxa"/>
            <w:noWrap w:val="0"/>
            <w:vAlign w:val="top"/>
          </w:tcPr>
          <w:p w14:paraId="70D8A70B">
            <w:pPr>
              <w:pStyle w:val="240"/>
              <w:spacing w:line="263" w:lineRule="auto"/>
              <w:rPr>
                <w:lang w:eastAsia="zh-CN"/>
              </w:rPr>
            </w:pPr>
          </w:p>
          <w:p w14:paraId="0B3451FE">
            <w:pPr>
              <w:pStyle w:val="240"/>
              <w:spacing w:line="263" w:lineRule="auto"/>
              <w:rPr>
                <w:lang w:eastAsia="zh-CN"/>
              </w:rPr>
            </w:pPr>
          </w:p>
          <w:p w14:paraId="7D27D515">
            <w:pPr>
              <w:spacing w:before="68" w:line="219" w:lineRule="auto"/>
              <w:ind w:left="133"/>
              <w:rPr>
                <w:rFonts w:ascii="宋体" w:hAnsi="宋体" w:cs="宋体"/>
                <w:szCs w:val="21"/>
              </w:rPr>
            </w:pPr>
            <w:r>
              <w:rPr>
                <w:rFonts w:ascii="宋体" w:hAnsi="宋体" w:cs="宋体"/>
                <w:spacing w:val="-2"/>
                <w:szCs w:val="21"/>
              </w:rPr>
              <w:t>代为配药</w:t>
            </w:r>
          </w:p>
        </w:tc>
        <w:tc>
          <w:tcPr>
            <w:tcW w:w="4803" w:type="dxa"/>
            <w:noWrap w:val="0"/>
            <w:vAlign w:val="top"/>
          </w:tcPr>
          <w:p w14:paraId="78D14B55">
            <w:pPr>
              <w:spacing w:before="169" w:line="261" w:lineRule="auto"/>
              <w:ind w:left="43" w:firstLine="19"/>
              <w:rPr>
                <w:rFonts w:ascii="宋体" w:hAnsi="宋体" w:cs="宋体"/>
                <w:szCs w:val="21"/>
              </w:rPr>
            </w:pPr>
            <w:r>
              <w:rPr>
                <w:rFonts w:ascii="宋体" w:hAnsi="宋体" w:cs="宋体"/>
                <w:szCs w:val="21"/>
              </w:rPr>
              <w:t>代为配药的范围为诊断明确、病情稳定、治疗方案确定的</w:t>
            </w:r>
            <w:r>
              <w:rPr>
                <w:rFonts w:ascii="宋体" w:hAnsi="宋体" w:cs="宋体"/>
                <w:spacing w:val="12"/>
                <w:szCs w:val="21"/>
              </w:rPr>
              <w:t xml:space="preserve"> </w:t>
            </w:r>
            <w:r>
              <w:rPr>
                <w:rFonts w:ascii="宋体" w:hAnsi="宋体" w:cs="宋体"/>
                <w:spacing w:val="1"/>
                <w:szCs w:val="21"/>
              </w:rPr>
              <w:t>常见病、慢性病；代为配药一般到老年人居住地所在区域</w:t>
            </w:r>
            <w:r>
              <w:rPr>
                <w:rFonts w:ascii="宋体" w:hAnsi="宋体" w:cs="宋体"/>
                <w:szCs w:val="21"/>
              </w:rPr>
              <w:t xml:space="preserve"> </w:t>
            </w:r>
            <w:r>
              <w:rPr>
                <w:rFonts w:ascii="宋体" w:hAnsi="宋体" w:cs="宋体"/>
                <w:spacing w:val="1"/>
                <w:szCs w:val="21"/>
              </w:rPr>
              <w:t xml:space="preserve">范围内的医疗机构；代为配药应做到当面清点钱款和药物 </w:t>
            </w:r>
            <w:r>
              <w:rPr>
                <w:rFonts w:ascii="宋体" w:hAnsi="宋体" w:cs="宋体"/>
                <w:spacing w:val="-2"/>
                <w:szCs w:val="21"/>
              </w:rPr>
              <w:t>等。</w:t>
            </w:r>
          </w:p>
        </w:tc>
      </w:tr>
      <w:tr w14:paraId="274A09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849" w:hRule="atLeast"/>
          <w:jc w:val="center"/>
        </w:trPr>
        <w:tc>
          <w:tcPr>
            <w:tcW w:w="1004" w:type="dxa"/>
            <w:vMerge w:val="restart"/>
            <w:tcBorders>
              <w:bottom w:val="nil"/>
            </w:tcBorders>
            <w:noWrap w:val="0"/>
            <w:vAlign w:val="top"/>
          </w:tcPr>
          <w:p w14:paraId="40D7608E">
            <w:pPr>
              <w:pStyle w:val="240"/>
            </w:pPr>
          </w:p>
        </w:tc>
        <w:tc>
          <w:tcPr>
            <w:tcW w:w="1138" w:type="dxa"/>
            <w:noWrap w:val="0"/>
            <w:vAlign w:val="top"/>
          </w:tcPr>
          <w:p w14:paraId="54C81C42">
            <w:pPr>
              <w:pStyle w:val="240"/>
              <w:spacing w:line="250" w:lineRule="auto"/>
            </w:pPr>
          </w:p>
          <w:p w14:paraId="010432C5">
            <w:pPr>
              <w:spacing w:before="68" w:line="219" w:lineRule="auto"/>
              <w:ind w:left="131"/>
              <w:rPr>
                <w:rFonts w:ascii="宋体" w:hAnsi="宋体" w:cs="宋体"/>
                <w:szCs w:val="21"/>
              </w:rPr>
            </w:pPr>
            <w:r>
              <w:rPr>
                <w:rFonts w:ascii="宋体" w:hAnsi="宋体" w:cs="宋体"/>
                <w:spacing w:val="-2"/>
                <w:szCs w:val="21"/>
              </w:rPr>
              <w:t>助行服务</w:t>
            </w:r>
          </w:p>
        </w:tc>
        <w:tc>
          <w:tcPr>
            <w:tcW w:w="1119" w:type="dxa"/>
            <w:noWrap w:val="0"/>
            <w:vAlign w:val="top"/>
          </w:tcPr>
          <w:p w14:paraId="0FEAE623">
            <w:pPr>
              <w:pStyle w:val="240"/>
              <w:spacing w:line="329" w:lineRule="auto"/>
            </w:pPr>
          </w:p>
          <w:p w14:paraId="60B76CD0">
            <w:pPr>
              <w:spacing w:before="68" w:line="219" w:lineRule="auto"/>
              <w:ind w:left="133"/>
              <w:rPr>
                <w:rFonts w:ascii="宋体" w:hAnsi="宋体" w:cs="宋体"/>
                <w:szCs w:val="21"/>
              </w:rPr>
            </w:pPr>
            <w:r>
              <w:rPr>
                <w:rFonts w:ascii="宋体" w:hAnsi="宋体" w:cs="宋体"/>
                <w:spacing w:val="6"/>
                <w:szCs w:val="21"/>
              </w:rPr>
              <w:t>陪同外出</w:t>
            </w:r>
          </w:p>
        </w:tc>
        <w:tc>
          <w:tcPr>
            <w:tcW w:w="4803" w:type="dxa"/>
            <w:noWrap w:val="0"/>
            <w:vAlign w:val="top"/>
          </w:tcPr>
          <w:p w14:paraId="34262376">
            <w:pPr>
              <w:spacing w:before="198" w:line="255" w:lineRule="auto"/>
              <w:ind w:left="54"/>
              <w:rPr>
                <w:rFonts w:ascii="宋体" w:hAnsi="宋体" w:cs="宋体"/>
                <w:szCs w:val="21"/>
              </w:rPr>
            </w:pPr>
            <w:r>
              <w:rPr>
                <w:rFonts w:ascii="宋体" w:hAnsi="宋体" w:cs="宋体"/>
                <w:spacing w:val="-9"/>
                <w:szCs w:val="21"/>
              </w:rPr>
              <w:t>一般在老年人住宅小区及周边区域内；应注意途中安全；使</w:t>
            </w:r>
            <w:r>
              <w:rPr>
                <w:rFonts w:ascii="宋体" w:hAnsi="宋体" w:cs="宋体"/>
                <w:spacing w:val="6"/>
                <w:szCs w:val="21"/>
              </w:rPr>
              <w:t xml:space="preserve"> </w:t>
            </w:r>
            <w:r>
              <w:rPr>
                <w:rFonts w:ascii="宋体" w:hAnsi="宋体" w:cs="宋体"/>
                <w:spacing w:val="-1"/>
                <w:szCs w:val="21"/>
              </w:rPr>
              <w:t>用助行器时应按使用说明操作。</w:t>
            </w:r>
          </w:p>
        </w:tc>
      </w:tr>
      <w:tr w14:paraId="21CAA8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540" w:hRule="atLeast"/>
          <w:jc w:val="center"/>
        </w:trPr>
        <w:tc>
          <w:tcPr>
            <w:tcW w:w="1004" w:type="dxa"/>
            <w:vMerge w:val="continue"/>
            <w:tcBorders>
              <w:top w:val="nil"/>
              <w:bottom w:val="nil"/>
            </w:tcBorders>
            <w:noWrap w:val="0"/>
            <w:vAlign w:val="top"/>
          </w:tcPr>
          <w:p w14:paraId="08F0D0C5">
            <w:pPr>
              <w:pStyle w:val="240"/>
              <w:rPr>
                <w:lang w:eastAsia="zh-CN"/>
              </w:rPr>
            </w:pPr>
          </w:p>
        </w:tc>
        <w:tc>
          <w:tcPr>
            <w:tcW w:w="1138" w:type="dxa"/>
            <w:vMerge w:val="restart"/>
            <w:tcBorders>
              <w:bottom w:val="nil"/>
            </w:tcBorders>
            <w:noWrap w:val="0"/>
            <w:vAlign w:val="top"/>
          </w:tcPr>
          <w:p w14:paraId="73834BE3">
            <w:pPr>
              <w:pStyle w:val="240"/>
              <w:spacing w:line="344" w:lineRule="auto"/>
              <w:rPr>
                <w:lang w:eastAsia="zh-CN"/>
              </w:rPr>
            </w:pPr>
          </w:p>
          <w:p w14:paraId="037539BD">
            <w:pPr>
              <w:pStyle w:val="240"/>
              <w:spacing w:line="344" w:lineRule="auto"/>
              <w:rPr>
                <w:lang w:eastAsia="zh-CN"/>
              </w:rPr>
            </w:pPr>
          </w:p>
          <w:p w14:paraId="7A16F3B9">
            <w:pPr>
              <w:spacing w:before="68" w:line="219" w:lineRule="auto"/>
              <w:ind w:left="131"/>
              <w:rPr>
                <w:rFonts w:ascii="宋体" w:hAnsi="宋体" w:cs="宋体"/>
                <w:szCs w:val="21"/>
              </w:rPr>
            </w:pPr>
            <w:r>
              <w:rPr>
                <w:rFonts w:ascii="宋体" w:hAnsi="宋体" w:cs="宋体"/>
                <w:spacing w:val="-2"/>
                <w:szCs w:val="21"/>
              </w:rPr>
              <w:t>助急服务</w:t>
            </w:r>
          </w:p>
        </w:tc>
        <w:tc>
          <w:tcPr>
            <w:tcW w:w="1119" w:type="dxa"/>
            <w:noWrap w:val="0"/>
            <w:vAlign w:val="top"/>
          </w:tcPr>
          <w:p w14:paraId="14913FB6">
            <w:pPr>
              <w:pStyle w:val="240"/>
            </w:pPr>
          </w:p>
          <w:p w14:paraId="2DCD72E8">
            <w:pPr>
              <w:spacing w:before="68" w:line="193" w:lineRule="auto"/>
              <w:ind w:left="133"/>
              <w:rPr>
                <w:rFonts w:ascii="宋体" w:hAnsi="宋体" w:cs="宋体"/>
                <w:szCs w:val="21"/>
              </w:rPr>
            </w:pPr>
            <w:r>
              <w:rPr>
                <w:rFonts w:ascii="宋体" w:hAnsi="宋体" w:cs="宋体"/>
                <w:spacing w:val="-2"/>
                <w:szCs w:val="21"/>
              </w:rPr>
              <w:t>开锁修锁</w:t>
            </w:r>
          </w:p>
        </w:tc>
        <w:tc>
          <w:tcPr>
            <w:tcW w:w="4803" w:type="dxa"/>
            <w:noWrap w:val="0"/>
            <w:vAlign w:val="top"/>
          </w:tcPr>
          <w:p w14:paraId="16C9465F">
            <w:pPr>
              <w:spacing w:before="169" w:line="219" w:lineRule="auto"/>
              <w:jc w:val="right"/>
              <w:rPr>
                <w:rFonts w:ascii="宋体" w:hAnsi="宋体" w:cs="宋体"/>
                <w:szCs w:val="21"/>
              </w:rPr>
            </w:pPr>
            <w:r>
              <w:rPr>
                <w:rFonts w:ascii="宋体" w:hAnsi="宋体" w:cs="宋体"/>
                <w:spacing w:val="-1"/>
                <w:szCs w:val="21"/>
              </w:rPr>
              <w:t>由专业人员进行服务；维修过程中产生的材料费用另算。</w:t>
            </w:r>
          </w:p>
        </w:tc>
      </w:tr>
      <w:tr w14:paraId="6546F5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570" w:hRule="atLeast"/>
          <w:jc w:val="center"/>
        </w:trPr>
        <w:tc>
          <w:tcPr>
            <w:tcW w:w="1004" w:type="dxa"/>
            <w:vMerge w:val="continue"/>
            <w:tcBorders>
              <w:top w:val="nil"/>
              <w:bottom w:val="nil"/>
            </w:tcBorders>
            <w:noWrap w:val="0"/>
            <w:vAlign w:val="top"/>
          </w:tcPr>
          <w:p w14:paraId="230D402E">
            <w:pPr>
              <w:pStyle w:val="240"/>
              <w:rPr>
                <w:lang w:eastAsia="zh-CN"/>
              </w:rPr>
            </w:pPr>
          </w:p>
        </w:tc>
        <w:tc>
          <w:tcPr>
            <w:tcW w:w="1138" w:type="dxa"/>
            <w:vMerge w:val="continue"/>
            <w:tcBorders>
              <w:top w:val="nil"/>
              <w:bottom w:val="nil"/>
            </w:tcBorders>
            <w:noWrap w:val="0"/>
            <w:vAlign w:val="top"/>
          </w:tcPr>
          <w:p w14:paraId="6B572DA4">
            <w:pPr>
              <w:pStyle w:val="240"/>
              <w:rPr>
                <w:lang w:eastAsia="zh-CN"/>
              </w:rPr>
            </w:pPr>
          </w:p>
        </w:tc>
        <w:tc>
          <w:tcPr>
            <w:tcW w:w="1119" w:type="dxa"/>
            <w:noWrap w:val="0"/>
            <w:vAlign w:val="top"/>
          </w:tcPr>
          <w:p w14:paraId="0F0A8291">
            <w:pPr>
              <w:pStyle w:val="240"/>
              <w:spacing w:line="241" w:lineRule="auto"/>
              <w:rPr>
                <w:lang w:eastAsia="zh-CN"/>
              </w:rPr>
            </w:pPr>
          </w:p>
          <w:p w14:paraId="6ADA78CD">
            <w:pPr>
              <w:spacing w:before="68" w:line="219" w:lineRule="auto"/>
              <w:ind w:left="133"/>
              <w:rPr>
                <w:rFonts w:ascii="宋体" w:hAnsi="宋体" w:cs="宋体"/>
                <w:szCs w:val="21"/>
              </w:rPr>
            </w:pPr>
            <w:r>
              <w:rPr>
                <w:rFonts w:ascii="宋体" w:hAnsi="宋体" w:cs="宋体"/>
                <w:spacing w:val="-2"/>
                <w:szCs w:val="21"/>
              </w:rPr>
              <w:t>家电维修</w:t>
            </w:r>
          </w:p>
        </w:tc>
        <w:tc>
          <w:tcPr>
            <w:tcW w:w="4803" w:type="dxa"/>
            <w:noWrap w:val="0"/>
            <w:vAlign w:val="top"/>
          </w:tcPr>
          <w:p w14:paraId="79A54C63">
            <w:pPr>
              <w:spacing w:before="179" w:line="219" w:lineRule="auto"/>
              <w:jc w:val="right"/>
              <w:rPr>
                <w:rFonts w:ascii="宋体" w:hAnsi="宋体" w:cs="宋体"/>
                <w:szCs w:val="21"/>
              </w:rPr>
            </w:pPr>
            <w:r>
              <w:rPr>
                <w:rFonts w:ascii="宋体" w:hAnsi="宋体" w:cs="宋体"/>
                <w:spacing w:val="-1"/>
                <w:szCs w:val="21"/>
              </w:rPr>
              <w:t>由专业人员进行服务；维修过程中产生的材料费用另算。</w:t>
            </w:r>
          </w:p>
        </w:tc>
      </w:tr>
      <w:tr w14:paraId="4EF3D3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590" w:hRule="atLeast"/>
          <w:jc w:val="center"/>
        </w:trPr>
        <w:tc>
          <w:tcPr>
            <w:tcW w:w="1004" w:type="dxa"/>
            <w:vMerge w:val="continue"/>
            <w:tcBorders>
              <w:top w:val="nil"/>
              <w:bottom w:val="nil"/>
            </w:tcBorders>
            <w:noWrap w:val="0"/>
            <w:vAlign w:val="top"/>
          </w:tcPr>
          <w:p w14:paraId="2C631FBD">
            <w:pPr>
              <w:pStyle w:val="240"/>
              <w:rPr>
                <w:lang w:eastAsia="zh-CN"/>
              </w:rPr>
            </w:pPr>
          </w:p>
        </w:tc>
        <w:tc>
          <w:tcPr>
            <w:tcW w:w="1138" w:type="dxa"/>
            <w:vMerge w:val="continue"/>
            <w:tcBorders>
              <w:top w:val="nil"/>
            </w:tcBorders>
            <w:noWrap w:val="0"/>
            <w:vAlign w:val="top"/>
          </w:tcPr>
          <w:p w14:paraId="270A18BE">
            <w:pPr>
              <w:pStyle w:val="240"/>
              <w:rPr>
                <w:lang w:eastAsia="zh-CN"/>
              </w:rPr>
            </w:pPr>
          </w:p>
        </w:tc>
        <w:tc>
          <w:tcPr>
            <w:tcW w:w="1119" w:type="dxa"/>
            <w:noWrap w:val="0"/>
            <w:vAlign w:val="top"/>
          </w:tcPr>
          <w:p w14:paraId="6630BAB3">
            <w:pPr>
              <w:pStyle w:val="240"/>
              <w:spacing w:line="251" w:lineRule="auto"/>
              <w:rPr>
                <w:lang w:eastAsia="zh-CN"/>
              </w:rPr>
            </w:pPr>
          </w:p>
          <w:p w14:paraId="25C57103">
            <w:pPr>
              <w:spacing w:before="68" w:line="219" w:lineRule="auto"/>
              <w:ind w:left="133"/>
              <w:rPr>
                <w:rFonts w:ascii="宋体" w:hAnsi="宋体" w:cs="宋体"/>
                <w:szCs w:val="21"/>
              </w:rPr>
            </w:pPr>
            <w:r>
              <w:rPr>
                <w:rFonts w:ascii="宋体" w:hAnsi="宋体" w:cs="宋体"/>
                <w:spacing w:val="2"/>
                <w:szCs w:val="21"/>
              </w:rPr>
              <w:t>管道疏通</w:t>
            </w:r>
          </w:p>
        </w:tc>
        <w:tc>
          <w:tcPr>
            <w:tcW w:w="4803" w:type="dxa"/>
            <w:noWrap w:val="0"/>
            <w:vAlign w:val="top"/>
          </w:tcPr>
          <w:p w14:paraId="4198E31E">
            <w:pPr>
              <w:spacing w:before="189" w:line="219" w:lineRule="auto"/>
              <w:jc w:val="right"/>
              <w:rPr>
                <w:rFonts w:ascii="宋体" w:hAnsi="宋体" w:cs="宋体"/>
                <w:szCs w:val="21"/>
              </w:rPr>
            </w:pPr>
            <w:r>
              <w:rPr>
                <w:rFonts w:ascii="宋体" w:hAnsi="宋体" w:cs="宋体"/>
                <w:spacing w:val="-1"/>
                <w:szCs w:val="21"/>
              </w:rPr>
              <w:t>由专业人员进行服务；维修过程中产生的材料费用另算。</w:t>
            </w:r>
          </w:p>
        </w:tc>
      </w:tr>
      <w:tr w14:paraId="179BEB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909" w:hRule="atLeast"/>
          <w:jc w:val="center"/>
        </w:trPr>
        <w:tc>
          <w:tcPr>
            <w:tcW w:w="1004" w:type="dxa"/>
            <w:vMerge w:val="continue"/>
            <w:tcBorders>
              <w:top w:val="nil"/>
            </w:tcBorders>
            <w:noWrap w:val="0"/>
            <w:vAlign w:val="top"/>
          </w:tcPr>
          <w:p w14:paraId="2479CCEC">
            <w:pPr>
              <w:pStyle w:val="240"/>
              <w:rPr>
                <w:lang w:eastAsia="zh-CN"/>
              </w:rPr>
            </w:pPr>
          </w:p>
        </w:tc>
        <w:tc>
          <w:tcPr>
            <w:tcW w:w="1138" w:type="dxa"/>
            <w:noWrap w:val="0"/>
            <w:vAlign w:val="top"/>
          </w:tcPr>
          <w:p w14:paraId="6B991DF0">
            <w:pPr>
              <w:pStyle w:val="240"/>
              <w:spacing w:line="280" w:lineRule="auto"/>
              <w:rPr>
                <w:lang w:eastAsia="zh-CN"/>
              </w:rPr>
            </w:pPr>
          </w:p>
          <w:p w14:paraId="7F15A7FF">
            <w:pPr>
              <w:spacing w:before="69" w:line="219" w:lineRule="auto"/>
              <w:ind w:left="131"/>
              <w:rPr>
                <w:rFonts w:ascii="宋体" w:hAnsi="宋体" w:cs="宋体"/>
                <w:szCs w:val="21"/>
              </w:rPr>
            </w:pPr>
            <w:r>
              <w:rPr>
                <w:rFonts w:ascii="宋体" w:hAnsi="宋体" w:cs="宋体"/>
                <w:spacing w:val="-2"/>
                <w:szCs w:val="21"/>
              </w:rPr>
              <w:t>代办服务</w:t>
            </w:r>
          </w:p>
        </w:tc>
        <w:tc>
          <w:tcPr>
            <w:tcW w:w="1119" w:type="dxa"/>
            <w:noWrap w:val="0"/>
            <w:vAlign w:val="top"/>
          </w:tcPr>
          <w:p w14:paraId="05003BEF">
            <w:pPr>
              <w:pStyle w:val="240"/>
              <w:spacing w:line="259" w:lineRule="auto"/>
            </w:pPr>
          </w:p>
          <w:p w14:paraId="11417156">
            <w:pPr>
              <w:spacing w:before="68" w:line="242" w:lineRule="auto"/>
              <w:ind w:left="310" w:hanging="298"/>
              <w:rPr>
                <w:rFonts w:ascii="宋体" w:hAnsi="宋体" w:cs="宋体"/>
                <w:szCs w:val="21"/>
              </w:rPr>
            </w:pPr>
            <w:r>
              <w:rPr>
                <w:rFonts w:ascii="宋体" w:hAnsi="宋体" w:cs="宋体"/>
                <w:spacing w:val="-25"/>
                <w:szCs w:val="21"/>
              </w:rPr>
              <w:t>代购、代领、</w:t>
            </w:r>
            <w:r>
              <w:rPr>
                <w:rFonts w:ascii="宋体" w:hAnsi="宋体" w:cs="宋体"/>
                <w:spacing w:val="7"/>
                <w:szCs w:val="21"/>
              </w:rPr>
              <w:t xml:space="preserve"> </w:t>
            </w:r>
            <w:r>
              <w:rPr>
                <w:rFonts w:ascii="宋体" w:hAnsi="宋体" w:cs="宋体"/>
                <w:spacing w:val="-12"/>
                <w:szCs w:val="21"/>
              </w:rPr>
              <w:t>代缴</w:t>
            </w:r>
          </w:p>
        </w:tc>
        <w:tc>
          <w:tcPr>
            <w:tcW w:w="4803" w:type="dxa"/>
            <w:noWrap w:val="0"/>
            <w:vAlign w:val="top"/>
          </w:tcPr>
          <w:p w14:paraId="1C3C8535">
            <w:pPr>
              <w:spacing w:before="220" w:line="246" w:lineRule="auto"/>
              <w:ind w:left="54"/>
              <w:rPr>
                <w:rFonts w:ascii="宋体" w:hAnsi="宋体" w:cs="宋体"/>
                <w:szCs w:val="21"/>
              </w:rPr>
            </w:pPr>
            <w:r>
              <w:rPr>
                <w:rFonts w:ascii="宋体" w:hAnsi="宋体" w:cs="宋体"/>
                <w:spacing w:val="-1"/>
                <w:szCs w:val="21"/>
              </w:rPr>
              <w:t>代办服务范围一般为日常生活事务，具体内容以老年人要</w:t>
            </w:r>
            <w:r>
              <w:rPr>
                <w:rFonts w:ascii="宋体" w:hAnsi="宋体" w:cs="宋体"/>
                <w:spacing w:val="7"/>
                <w:szCs w:val="21"/>
              </w:rPr>
              <w:t xml:space="preserve"> </w:t>
            </w:r>
            <w:r>
              <w:rPr>
                <w:rFonts w:ascii="宋体" w:hAnsi="宋体" w:cs="宋体"/>
                <w:spacing w:val="-1"/>
                <w:szCs w:val="21"/>
              </w:rPr>
              <w:t>求为准：代办服务时应当面清点钱物、证件、单据等。</w:t>
            </w:r>
          </w:p>
        </w:tc>
      </w:tr>
      <w:tr w14:paraId="4E9807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819" w:hRule="atLeast"/>
          <w:jc w:val="center"/>
        </w:trPr>
        <w:tc>
          <w:tcPr>
            <w:tcW w:w="1004" w:type="dxa"/>
            <w:vMerge w:val="restart"/>
            <w:tcBorders>
              <w:bottom w:val="nil"/>
            </w:tcBorders>
            <w:noWrap w:val="0"/>
            <w:vAlign w:val="top"/>
          </w:tcPr>
          <w:p w14:paraId="3F34386B">
            <w:pPr>
              <w:pStyle w:val="240"/>
              <w:spacing w:line="247" w:lineRule="auto"/>
              <w:rPr>
                <w:lang w:eastAsia="zh-CN"/>
              </w:rPr>
            </w:pPr>
          </w:p>
          <w:p w14:paraId="78CF8859">
            <w:pPr>
              <w:pStyle w:val="240"/>
              <w:spacing w:line="247" w:lineRule="auto"/>
              <w:rPr>
                <w:lang w:eastAsia="zh-CN"/>
              </w:rPr>
            </w:pPr>
          </w:p>
          <w:p w14:paraId="245F499F">
            <w:pPr>
              <w:pStyle w:val="240"/>
              <w:spacing w:line="247" w:lineRule="auto"/>
              <w:rPr>
                <w:lang w:eastAsia="zh-CN"/>
              </w:rPr>
            </w:pPr>
          </w:p>
          <w:p w14:paraId="04DCFC17">
            <w:pPr>
              <w:pStyle w:val="240"/>
              <w:spacing w:line="247" w:lineRule="auto"/>
              <w:rPr>
                <w:lang w:eastAsia="zh-CN"/>
              </w:rPr>
            </w:pPr>
          </w:p>
          <w:p w14:paraId="3F493631">
            <w:pPr>
              <w:pStyle w:val="240"/>
              <w:spacing w:line="247" w:lineRule="auto"/>
              <w:rPr>
                <w:lang w:eastAsia="zh-CN"/>
              </w:rPr>
            </w:pPr>
          </w:p>
          <w:p w14:paraId="7C19A0DA">
            <w:pPr>
              <w:pStyle w:val="240"/>
              <w:spacing w:line="247" w:lineRule="auto"/>
              <w:rPr>
                <w:lang w:eastAsia="zh-CN"/>
              </w:rPr>
            </w:pPr>
          </w:p>
          <w:p w14:paraId="2A0E5495">
            <w:pPr>
              <w:pStyle w:val="240"/>
              <w:spacing w:line="248" w:lineRule="auto"/>
              <w:rPr>
                <w:lang w:eastAsia="zh-CN"/>
              </w:rPr>
            </w:pPr>
          </w:p>
          <w:p w14:paraId="030728A3">
            <w:pPr>
              <w:pStyle w:val="240"/>
              <w:spacing w:line="248" w:lineRule="auto"/>
              <w:rPr>
                <w:lang w:eastAsia="zh-CN"/>
              </w:rPr>
            </w:pPr>
          </w:p>
          <w:p w14:paraId="2CFE73CF">
            <w:pPr>
              <w:spacing w:before="68" w:line="237" w:lineRule="auto"/>
              <w:ind w:left="167" w:right="74" w:hanging="99"/>
              <w:rPr>
                <w:rFonts w:ascii="宋体" w:hAnsi="宋体" w:cs="宋体"/>
                <w:szCs w:val="21"/>
              </w:rPr>
            </w:pPr>
            <w:r>
              <w:rPr>
                <w:rFonts w:ascii="宋体" w:hAnsi="宋体" w:cs="宋体"/>
                <w:b/>
                <w:bCs/>
                <w:spacing w:val="-5"/>
                <w:szCs w:val="21"/>
              </w:rPr>
              <w:t>健康医疗</w:t>
            </w:r>
            <w:r>
              <w:rPr>
                <w:rFonts w:ascii="宋体" w:hAnsi="宋体" w:cs="宋体"/>
                <w:spacing w:val="1"/>
                <w:szCs w:val="21"/>
              </w:rPr>
              <w:t xml:space="preserve"> </w:t>
            </w:r>
            <w:r>
              <w:rPr>
                <w:rFonts w:ascii="宋体" w:hAnsi="宋体" w:cs="宋体"/>
                <w:b/>
                <w:bCs/>
                <w:spacing w:val="-5"/>
                <w:szCs w:val="21"/>
              </w:rPr>
              <w:t>类服务</w:t>
            </w:r>
          </w:p>
        </w:tc>
        <w:tc>
          <w:tcPr>
            <w:tcW w:w="1138" w:type="dxa"/>
            <w:vMerge w:val="restart"/>
            <w:tcBorders>
              <w:bottom w:val="nil"/>
            </w:tcBorders>
            <w:noWrap w:val="0"/>
            <w:vAlign w:val="top"/>
          </w:tcPr>
          <w:p w14:paraId="5E08C3F9">
            <w:pPr>
              <w:pStyle w:val="240"/>
              <w:spacing w:line="319" w:lineRule="auto"/>
            </w:pPr>
          </w:p>
          <w:p w14:paraId="074FB8BB">
            <w:pPr>
              <w:pStyle w:val="240"/>
              <w:spacing w:line="319" w:lineRule="auto"/>
            </w:pPr>
          </w:p>
          <w:p w14:paraId="05E88EA7">
            <w:pPr>
              <w:pStyle w:val="240"/>
              <w:spacing w:line="319" w:lineRule="auto"/>
            </w:pPr>
          </w:p>
          <w:p w14:paraId="6FD51B7F">
            <w:pPr>
              <w:spacing w:before="68" w:line="219" w:lineRule="auto"/>
              <w:ind w:left="131"/>
              <w:rPr>
                <w:rFonts w:ascii="宋体" w:hAnsi="宋体" w:cs="宋体"/>
                <w:szCs w:val="21"/>
              </w:rPr>
            </w:pPr>
            <w:r>
              <w:rPr>
                <w:rFonts w:ascii="宋体" w:hAnsi="宋体" w:cs="宋体"/>
                <w:spacing w:val="-2"/>
                <w:szCs w:val="21"/>
              </w:rPr>
              <w:t>健康管理</w:t>
            </w:r>
          </w:p>
        </w:tc>
        <w:tc>
          <w:tcPr>
            <w:tcW w:w="1119" w:type="dxa"/>
            <w:noWrap w:val="0"/>
            <w:vAlign w:val="top"/>
          </w:tcPr>
          <w:p w14:paraId="30352E0B">
            <w:pPr>
              <w:pStyle w:val="240"/>
              <w:spacing w:line="242" w:lineRule="auto"/>
            </w:pPr>
          </w:p>
          <w:p w14:paraId="5C3E3DEF">
            <w:pPr>
              <w:spacing w:before="68" w:line="219" w:lineRule="auto"/>
              <w:ind w:left="133"/>
              <w:rPr>
                <w:rFonts w:ascii="宋体" w:hAnsi="宋体" w:cs="宋体"/>
                <w:szCs w:val="21"/>
              </w:rPr>
            </w:pPr>
            <w:r>
              <w:rPr>
                <w:rFonts w:ascii="宋体" w:hAnsi="宋体" w:cs="宋体"/>
                <w:spacing w:val="4"/>
                <w:szCs w:val="21"/>
              </w:rPr>
              <w:t>健康咨询</w:t>
            </w:r>
          </w:p>
        </w:tc>
        <w:tc>
          <w:tcPr>
            <w:tcW w:w="4803" w:type="dxa"/>
            <w:noWrap w:val="0"/>
            <w:vAlign w:val="top"/>
          </w:tcPr>
          <w:p w14:paraId="02B2A4F9">
            <w:pPr>
              <w:spacing w:before="152" w:line="255" w:lineRule="auto"/>
              <w:ind w:left="54" w:firstLine="19"/>
              <w:rPr>
                <w:rFonts w:ascii="宋体" w:hAnsi="宋体" w:cs="宋体"/>
                <w:szCs w:val="21"/>
              </w:rPr>
            </w:pPr>
            <w:r>
              <w:rPr>
                <w:rFonts w:ascii="宋体" w:hAnsi="宋体" w:cs="宋体"/>
                <w:spacing w:val="-2"/>
                <w:szCs w:val="21"/>
              </w:rPr>
              <w:t>由具备资质的医务人员开展服务；根据老年人健康状况做</w:t>
            </w:r>
            <w:r>
              <w:rPr>
                <w:rFonts w:ascii="宋体" w:hAnsi="宋体" w:cs="宋体"/>
                <w:spacing w:val="12"/>
                <w:szCs w:val="21"/>
              </w:rPr>
              <w:t xml:space="preserve"> </w:t>
            </w:r>
            <w:r>
              <w:rPr>
                <w:rFonts w:ascii="宋体" w:hAnsi="宋体" w:cs="宋体"/>
                <w:spacing w:val="-1"/>
                <w:szCs w:val="21"/>
              </w:rPr>
              <w:t>出用药指导、就医指导以及护理建议，</w:t>
            </w:r>
          </w:p>
        </w:tc>
      </w:tr>
      <w:tr w14:paraId="6E6449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829" w:hRule="atLeast"/>
          <w:jc w:val="center"/>
        </w:trPr>
        <w:tc>
          <w:tcPr>
            <w:tcW w:w="1004" w:type="dxa"/>
            <w:vMerge w:val="continue"/>
            <w:tcBorders>
              <w:top w:val="nil"/>
              <w:bottom w:val="nil"/>
            </w:tcBorders>
            <w:noWrap w:val="0"/>
            <w:vAlign w:val="top"/>
          </w:tcPr>
          <w:p w14:paraId="73F6F83B">
            <w:pPr>
              <w:pStyle w:val="240"/>
              <w:rPr>
                <w:lang w:eastAsia="zh-CN"/>
              </w:rPr>
            </w:pPr>
          </w:p>
        </w:tc>
        <w:tc>
          <w:tcPr>
            <w:tcW w:w="1138" w:type="dxa"/>
            <w:vMerge w:val="continue"/>
            <w:tcBorders>
              <w:top w:val="nil"/>
              <w:bottom w:val="nil"/>
            </w:tcBorders>
            <w:noWrap w:val="0"/>
            <w:vAlign w:val="top"/>
          </w:tcPr>
          <w:p w14:paraId="1B45638A">
            <w:pPr>
              <w:pStyle w:val="240"/>
              <w:rPr>
                <w:lang w:eastAsia="zh-CN"/>
              </w:rPr>
            </w:pPr>
          </w:p>
        </w:tc>
        <w:tc>
          <w:tcPr>
            <w:tcW w:w="1119" w:type="dxa"/>
            <w:noWrap w:val="0"/>
            <w:vAlign w:val="top"/>
          </w:tcPr>
          <w:p w14:paraId="0F0EA832">
            <w:pPr>
              <w:pStyle w:val="240"/>
              <w:spacing w:line="243" w:lineRule="auto"/>
              <w:rPr>
                <w:lang w:eastAsia="zh-CN"/>
              </w:rPr>
            </w:pPr>
          </w:p>
          <w:p w14:paraId="65FD35E1">
            <w:pPr>
              <w:spacing w:before="68" w:line="219" w:lineRule="auto"/>
              <w:ind w:left="133"/>
              <w:rPr>
                <w:rFonts w:ascii="宋体" w:hAnsi="宋体" w:cs="宋体"/>
                <w:szCs w:val="21"/>
              </w:rPr>
            </w:pPr>
            <w:r>
              <w:rPr>
                <w:rFonts w:ascii="宋体" w:hAnsi="宋体" w:cs="宋体"/>
                <w:spacing w:val="-2"/>
                <w:szCs w:val="21"/>
              </w:rPr>
              <w:t>上门体检</w:t>
            </w:r>
          </w:p>
        </w:tc>
        <w:tc>
          <w:tcPr>
            <w:tcW w:w="4803" w:type="dxa"/>
            <w:noWrap w:val="0"/>
            <w:vAlign w:val="top"/>
          </w:tcPr>
          <w:p w14:paraId="4F910380">
            <w:pPr>
              <w:spacing w:before="192" w:line="246" w:lineRule="auto"/>
              <w:ind w:left="54" w:right="605"/>
              <w:rPr>
                <w:rFonts w:ascii="宋体" w:hAnsi="宋体" w:cs="宋体"/>
                <w:szCs w:val="21"/>
              </w:rPr>
            </w:pPr>
            <w:r>
              <w:rPr>
                <w:rFonts w:ascii="宋体" w:hAnsi="宋体" w:cs="宋体"/>
                <w:szCs w:val="21"/>
              </w:rPr>
              <w:t>由具备资质的医务人员开展服务；上门为老人量血</w:t>
            </w:r>
            <w:r>
              <w:rPr>
                <w:rFonts w:ascii="宋体" w:hAnsi="宋体" w:cs="宋体"/>
                <w:spacing w:val="7"/>
                <w:szCs w:val="21"/>
              </w:rPr>
              <w:t xml:space="preserve"> </w:t>
            </w:r>
            <w:r>
              <w:rPr>
                <w:rFonts w:ascii="宋体" w:hAnsi="宋体" w:cs="宋体"/>
                <w:spacing w:val="-1"/>
                <w:szCs w:val="21"/>
              </w:rPr>
              <w:t>压、测血糖、心电图测量等。</w:t>
            </w:r>
          </w:p>
        </w:tc>
      </w:tr>
      <w:tr w14:paraId="3A7629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600" w:hRule="atLeast"/>
          <w:jc w:val="center"/>
        </w:trPr>
        <w:tc>
          <w:tcPr>
            <w:tcW w:w="1004" w:type="dxa"/>
            <w:vMerge w:val="continue"/>
            <w:tcBorders>
              <w:top w:val="nil"/>
              <w:bottom w:val="nil"/>
            </w:tcBorders>
            <w:noWrap w:val="0"/>
            <w:vAlign w:val="top"/>
          </w:tcPr>
          <w:p w14:paraId="26126B35">
            <w:pPr>
              <w:pStyle w:val="240"/>
              <w:rPr>
                <w:lang w:eastAsia="zh-CN"/>
              </w:rPr>
            </w:pPr>
          </w:p>
        </w:tc>
        <w:tc>
          <w:tcPr>
            <w:tcW w:w="1138" w:type="dxa"/>
            <w:vMerge w:val="continue"/>
            <w:tcBorders>
              <w:top w:val="nil"/>
            </w:tcBorders>
            <w:noWrap w:val="0"/>
            <w:vAlign w:val="top"/>
          </w:tcPr>
          <w:p w14:paraId="39FBA7E0">
            <w:pPr>
              <w:pStyle w:val="240"/>
              <w:rPr>
                <w:lang w:eastAsia="zh-CN"/>
              </w:rPr>
            </w:pPr>
          </w:p>
        </w:tc>
        <w:tc>
          <w:tcPr>
            <w:tcW w:w="1119" w:type="dxa"/>
            <w:noWrap w:val="0"/>
            <w:vAlign w:val="top"/>
          </w:tcPr>
          <w:p w14:paraId="15EC0F02">
            <w:pPr>
              <w:spacing w:before="203" w:line="219" w:lineRule="auto"/>
              <w:ind w:left="133"/>
              <w:rPr>
                <w:rFonts w:ascii="宋体" w:hAnsi="宋体" w:cs="宋体"/>
                <w:szCs w:val="21"/>
              </w:rPr>
            </w:pPr>
            <w:r>
              <w:rPr>
                <w:rFonts w:ascii="宋体" w:hAnsi="宋体" w:cs="宋体"/>
                <w:spacing w:val="3"/>
                <w:szCs w:val="21"/>
              </w:rPr>
              <w:t>推拿按摩</w:t>
            </w:r>
          </w:p>
        </w:tc>
        <w:tc>
          <w:tcPr>
            <w:tcW w:w="4803" w:type="dxa"/>
            <w:noWrap w:val="0"/>
            <w:vAlign w:val="top"/>
          </w:tcPr>
          <w:p w14:paraId="01D1C7A3">
            <w:pPr>
              <w:spacing w:before="202" w:line="219" w:lineRule="auto"/>
              <w:ind w:left="54"/>
              <w:rPr>
                <w:rFonts w:ascii="宋体" w:hAnsi="宋体" w:cs="宋体"/>
                <w:szCs w:val="21"/>
              </w:rPr>
            </w:pPr>
            <w:r>
              <w:rPr>
                <w:rFonts w:ascii="宋体" w:hAnsi="宋体" w:cs="宋体"/>
                <w:spacing w:val="-1"/>
                <w:szCs w:val="21"/>
              </w:rPr>
              <w:t>由专业人员提供穴位推拿按摩。</w:t>
            </w:r>
          </w:p>
        </w:tc>
      </w:tr>
      <w:tr w14:paraId="079A1A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419" w:hRule="atLeast"/>
          <w:jc w:val="center"/>
        </w:trPr>
        <w:tc>
          <w:tcPr>
            <w:tcW w:w="1004" w:type="dxa"/>
            <w:vMerge w:val="continue"/>
            <w:tcBorders>
              <w:top w:val="nil"/>
              <w:bottom w:val="nil"/>
            </w:tcBorders>
            <w:noWrap w:val="0"/>
            <w:vAlign w:val="top"/>
          </w:tcPr>
          <w:p w14:paraId="798166B7">
            <w:pPr>
              <w:pStyle w:val="240"/>
              <w:rPr>
                <w:lang w:eastAsia="zh-CN"/>
              </w:rPr>
            </w:pPr>
          </w:p>
        </w:tc>
        <w:tc>
          <w:tcPr>
            <w:tcW w:w="1138" w:type="dxa"/>
            <w:vMerge w:val="restart"/>
            <w:tcBorders>
              <w:bottom w:val="nil"/>
            </w:tcBorders>
            <w:noWrap w:val="0"/>
            <w:vAlign w:val="top"/>
          </w:tcPr>
          <w:p w14:paraId="48C9AB62">
            <w:pPr>
              <w:pStyle w:val="240"/>
              <w:spacing w:line="313" w:lineRule="auto"/>
              <w:rPr>
                <w:lang w:eastAsia="zh-CN"/>
              </w:rPr>
            </w:pPr>
          </w:p>
          <w:p w14:paraId="510CDBD7">
            <w:pPr>
              <w:pStyle w:val="240"/>
              <w:spacing w:line="313" w:lineRule="auto"/>
              <w:rPr>
                <w:lang w:eastAsia="zh-CN"/>
              </w:rPr>
            </w:pPr>
          </w:p>
          <w:p w14:paraId="52145C57">
            <w:pPr>
              <w:pStyle w:val="240"/>
              <w:spacing w:line="313" w:lineRule="auto"/>
              <w:rPr>
                <w:lang w:eastAsia="zh-CN"/>
              </w:rPr>
            </w:pPr>
          </w:p>
          <w:p w14:paraId="01AD69A6">
            <w:pPr>
              <w:spacing w:before="68" w:line="219" w:lineRule="auto"/>
              <w:ind w:left="131"/>
              <w:rPr>
                <w:rFonts w:ascii="宋体" w:hAnsi="宋体" w:cs="宋体"/>
                <w:szCs w:val="21"/>
              </w:rPr>
            </w:pPr>
            <w:r>
              <w:rPr>
                <w:rFonts w:ascii="宋体" w:hAnsi="宋体" w:cs="宋体"/>
                <w:spacing w:val="-2"/>
                <w:szCs w:val="21"/>
              </w:rPr>
              <w:t>康复护理</w:t>
            </w:r>
          </w:p>
        </w:tc>
        <w:tc>
          <w:tcPr>
            <w:tcW w:w="1119" w:type="dxa"/>
            <w:noWrap w:val="0"/>
            <w:vAlign w:val="top"/>
          </w:tcPr>
          <w:p w14:paraId="7543E5DD">
            <w:pPr>
              <w:pStyle w:val="240"/>
              <w:spacing w:line="271" w:lineRule="auto"/>
            </w:pPr>
          </w:p>
          <w:p w14:paraId="43EE7550">
            <w:pPr>
              <w:pStyle w:val="240"/>
              <w:spacing w:line="271" w:lineRule="auto"/>
            </w:pPr>
          </w:p>
          <w:p w14:paraId="4CD58B8A">
            <w:pPr>
              <w:spacing w:before="68" w:line="219" w:lineRule="auto"/>
              <w:ind w:left="133"/>
              <w:rPr>
                <w:rFonts w:ascii="宋体" w:hAnsi="宋体" w:cs="宋体"/>
                <w:szCs w:val="21"/>
              </w:rPr>
            </w:pPr>
            <w:r>
              <w:rPr>
                <w:rFonts w:ascii="宋体" w:hAnsi="宋体" w:cs="宋体"/>
                <w:spacing w:val="-2"/>
                <w:szCs w:val="21"/>
              </w:rPr>
              <w:t>个体康复</w:t>
            </w:r>
          </w:p>
        </w:tc>
        <w:tc>
          <w:tcPr>
            <w:tcW w:w="4803" w:type="dxa"/>
            <w:noWrap w:val="0"/>
            <w:vAlign w:val="top"/>
          </w:tcPr>
          <w:p w14:paraId="3CECCC75">
            <w:pPr>
              <w:spacing w:before="142" w:line="266" w:lineRule="auto"/>
              <w:ind w:left="53" w:hanging="19"/>
              <w:rPr>
                <w:rFonts w:ascii="宋体" w:hAnsi="宋体" w:cs="宋体"/>
                <w:szCs w:val="21"/>
              </w:rPr>
            </w:pPr>
            <w:r>
              <w:rPr>
                <w:rFonts w:ascii="宋体" w:hAnsi="宋体" w:cs="宋体"/>
                <w:szCs w:val="21"/>
              </w:rPr>
              <w:t>应由专业人员开展服务；提供保健性和功能性康复训练；</w:t>
            </w:r>
            <w:r>
              <w:rPr>
                <w:rFonts w:ascii="宋体" w:hAnsi="宋体" w:cs="宋体"/>
                <w:spacing w:val="2"/>
                <w:szCs w:val="21"/>
              </w:rPr>
              <w:t xml:space="preserve"> </w:t>
            </w:r>
            <w:r>
              <w:rPr>
                <w:rFonts w:ascii="宋体" w:hAnsi="宋体" w:cs="宋体"/>
                <w:spacing w:val="-5"/>
                <w:szCs w:val="21"/>
              </w:rPr>
              <w:t>康复辅助应符合老年人的生理心理特点；康复辅助过程中</w:t>
            </w:r>
            <w:r>
              <w:rPr>
                <w:rFonts w:ascii="宋体" w:hAnsi="宋体" w:cs="宋体"/>
                <w:spacing w:val="8"/>
                <w:szCs w:val="21"/>
              </w:rPr>
              <w:t xml:space="preserve">  </w:t>
            </w:r>
            <w:r>
              <w:rPr>
                <w:rFonts w:ascii="宋体" w:hAnsi="宋体" w:cs="宋体"/>
                <w:spacing w:val="-5"/>
                <w:szCs w:val="21"/>
              </w:rPr>
              <w:t>应注意观察老年人的身体适应情况，防止损伤；康复辅助</w:t>
            </w:r>
            <w:r>
              <w:rPr>
                <w:rFonts w:ascii="宋体" w:hAnsi="宋体" w:cs="宋体"/>
                <w:spacing w:val="8"/>
                <w:szCs w:val="21"/>
              </w:rPr>
              <w:t xml:space="preserve">  </w:t>
            </w:r>
            <w:r>
              <w:rPr>
                <w:rFonts w:ascii="宋体" w:hAnsi="宋体" w:cs="宋体"/>
                <w:spacing w:val="-4"/>
                <w:szCs w:val="21"/>
              </w:rPr>
              <w:t>根据可需要配备相应的康复器具。</w:t>
            </w:r>
          </w:p>
        </w:tc>
      </w:tr>
      <w:tr w14:paraId="7017E5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799" w:hRule="atLeast"/>
          <w:jc w:val="center"/>
        </w:trPr>
        <w:tc>
          <w:tcPr>
            <w:tcW w:w="1004" w:type="dxa"/>
            <w:vMerge w:val="continue"/>
            <w:tcBorders>
              <w:top w:val="nil"/>
            </w:tcBorders>
            <w:noWrap w:val="0"/>
            <w:vAlign w:val="top"/>
          </w:tcPr>
          <w:p w14:paraId="3740589B">
            <w:pPr>
              <w:pStyle w:val="240"/>
              <w:rPr>
                <w:lang w:eastAsia="zh-CN"/>
              </w:rPr>
            </w:pPr>
          </w:p>
        </w:tc>
        <w:tc>
          <w:tcPr>
            <w:tcW w:w="1138" w:type="dxa"/>
            <w:vMerge w:val="continue"/>
            <w:tcBorders>
              <w:top w:val="nil"/>
            </w:tcBorders>
            <w:noWrap w:val="0"/>
            <w:vAlign w:val="top"/>
          </w:tcPr>
          <w:p w14:paraId="761101DE">
            <w:pPr>
              <w:pStyle w:val="240"/>
              <w:rPr>
                <w:lang w:eastAsia="zh-CN"/>
              </w:rPr>
            </w:pPr>
          </w:p>
        </w:tc>
        <w:tc>
          <w:tcPr>
            <w:tcW w:w="1119" w:type="dxa"/>
            <w:noWrap w:val="0"/>
            <w:vAlign w:val="top"/>
          </w:tcPr>
          <w:p w14:paraId="597363DA">
            <w:pPr>
              <w:spacing w:before="305" w:line="220" w:lineRule="auto"/>
              <w:ind w:left="133"/>
              <w:rPr>
                <w:rFonts w:ascii="宋体" w:hAnsi="宋体" w:cs="宋体"/>
                <w:szCs w:val="21"/>
              </w:rPr>
            </w:pPr>
            <w:r>
              <w:rPr>
                <w:rFonts w:ascii="宋体" w:hAnsi="宋体" w:cs="宋体"/>
                <w:spacing w:val="-2"/>
                <w:szCs w:val="21"/>
              </w:rPr>
              <w:t>专业护理</w:t>
            </w:r>
          </w:p>
        </w:tc>
        <w:tc>
          <w:tcPr>
            <w:tcW w:w="4803" w:type="dxa"/>
            <w:noWrap w:val="0"/>
            <w:vAlign w:val="top"/>
          </w:tcPr>
          <w:p w14:paraId="251544D7">
            <w:pPr>
              <w:spacing w:before="173" w:line="242" w:lineRule="auto"/>
              <w:ind w:left="54"/>
              <w:rPr>
                <w:rFonts w:ascii="宋体" w:hAnsi="宋体" w:cs="宋体"/>
                <w:szCs w:val="21"/>
              </w:rPr>
            </w:pPr>
            <w:r>
              <w:rPr>
                <w:rFonts w:ascii="宋体" w:hAnsi="宋体" w:cs="宋体"/>
                <w:spacing w:val="-1"/>
                <w:szCs w:val="21"/>
              </w:rPr>
              <w:t>由专业人员为有需求的失能老年人，在家中提供专业的翻</w:t>
            </w:r>
            <w:r>
              <w:rPr>
                <w:rFonts w:ascii="宋体" w:hAnsi="宋体" w:cs="宋体"/>
                <w:spacing w:val="7"/>
                <w:szCs w:val="21"/>
              </w:rPr>
              <w:t xml:space="preserve"> </w:t>
            </w:r>
            <w:r>
              <w:rPr>
                <w:rFonts w:ascii="宋体" w:hAnsi="宋体" w:cs="宋体"/>
                <w:spacing w:val="-1"/>
                <w:szCs w:val="21"/>
              </w:rPr>
              <w:t>身、预防压疮、协助排痰、维持关节活动等服务。</w:t>
            </w:r>
          </w:p>
        </w:tc>
      </w:tr>
      <w:tr w14:paraId="68398A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089" w:hRule="atLeast"/>
          <w:jc w:val="center"/>
        </w:trPr>
        <w:tc>
          <w:tcPr>
            <w:tcW w:w="1004" w:type="dxa"/>
            <w:vMerge w:val="restart"/>
            <w:tcBorders>
              <w:bottom w:val="nil"/>
            </w:tcBorders>
            <w:noWrap w:val="0"/>
            <w:vAlign w:val="top"/>
          </w:tcPr>
          <w:p w14:paraId="79751AC2">
            <w:pPr>
              <w:pStyle w:val="240"/>
              <w:spacing w:line="325" w:lineRule="auto"/>
              <w:rPr>
                <w:lang w:eastAsia="zh-CN"/>
              </w:rPr>
            </w:pPr>
          </w:p>
          <w:p w14:paraId="729B540F">
            <w:pPr>
              <w:pStyle w:val="240"/>
              <w:spacing w:line="325" w:lineRule="auto"/>
              <w:rPr>
                <w:lang w:eastAsia="zh-CN"/>
              </w:rPr>
            </w:pPr>
          </w:p>
          <w:p w14:paraId="6F168A32">
            <w:pPr>
              <w:spacing w:before="68" w:line="237" w:lineRule="auto"/>
              <w:ind w:left="167" w:right="74" w:hanging="99"/>
              <w:rPr>
                <w:rFonts w:ascii="宋体" w:hAnsi="宋体" w:cs="宋体"/>
                <w:szCs w:val="21"/>
              </w:rPr>
            </w:pPr>
            <w:r>
              <w:rPr>
                <w:rFonts w:ascii="宋体" w:hAnsi="宋体" w:cs="宋体"/>
                <w:b/>
                <w:bCs/>
                <w:spacing w:val="-5"/>
                <w:szCs w:val="21"/>
              </w:rPr>
              <w:t>精神慰藉</w:t>
            </w:r>
            <w:r>
              <w:rPr>
                <w:rFonts w:ascii="宋体" w:hAnsi="宋体" w:cs="宋体"/>
                <w:spacing w:val="1"/>
                <w:szCs w:val="21"/>
              </w:rPr>
              <w:t xml:space="preserve"> </w:t>
            </w:r>
            <w:r>
              <w:rPr>
                <w:rFonts w:ascii="宋体" w:hAnsi="宋体" w:cs="宋体"/>
                <w:b/>
                <w:bCs/>
                <w:spacing w:val="-5"/>
                <w:szCs w:val="21"/>
              </w:rPr>
              <w:t>类服务</w:t>
            </w:r>
          </w:p>
        </w:tc>
        <w:tc>
          <w:tcPr>
            <w:tcW w:w="1138" w:type="dxa"/>
            <w:vMerge w:val="restart"/>
            <w:tcBorders>
              <w:bottom w:val="nil"/>
            </w:tcBorders>
            <w:noWrap w:val="0"/>
            <w:vAlign w:val="top"/>
          </w:tcPr>
          <w:p w14:paraId="60931F6E">
            <w:pPr>
              <w:pStyle w:val="240"/>
              <w:spacing w:line="250" w:lineRule="auto"/>
            </w:pPr>
          </w:p>
          <w:p w14:paraId="2ACA95D3">
            <w:pPr>
              <w:pStyle w:val="240"/>
              <w:spacing w:line="250" w:lineRule="auto"/>
            </w:pPr>
          </w:p>
          <w:p w14:paraId="14F1542B">
            <w:pPr>
              <w:pStyle w:val="240"/>
              <w:spacing w:line="251" w:lineRule="auto"/>
            </w:pPr>
          </w:p>
          <w:p w14:paraId="2AD6B2BF">
            <w:pPr>
              <w:spacing w:before="68" w:line="219" w:lineRule="auto"/>
              <w:ind w:left="131"/>
              <w:rPr>
                <w:rFonts w:ascii="宋体" w:hAnsi="宋体" w:cs="宋体"/>
                <w:szCs w:val="21"/>
              </w:rPr>
            </w:pPr>
            <w:r>
              <w:rPr>
                <w:rFonts w:ascii="宋体" w:hAnsi="宋体" w:cs="宋体"/>
                <w:spacing w:val="-2"/>
                <w:szCs w:val="21"/>
              </w:rPr>
              <w:t>精神关爱</w:t>
            </w:r>
          </w:p>
        </w:tc>
        <w:tc>
          <w:tcPr>
            <w:tcW w:w="1119" w:type="dxa"/>
            <w:noWrap w:val="0"/>
            <w:vAlign w:val="top"/>
          </w:tcPr>
          <w:p w14:paraId="3B35B45C">
            <w:pPr>
              <w:pStyle w:val="240"/>
              <w:spacing w:line="375" w:lineRule="auto"/>
            </w:pPr>
          </w:p>
          <w:p w14:paraId="2DC88664">
            <w:pPr>
              <w:spacing w:before="68" w:line="219" w:lineRule="auto"/>
              <w:ind w:left="133"/>
              <w:rPr>
                <w:rFonts w:ascii="宋体" w:hAnsi="宋体" w:cs="宋体"/>
                <w:szCs w:val="21"/>
              </w:rPr>
            </w:pPr>
            <w:r>
              <w:rPr>
                <w:rFonts w:ascii="宋体" w:hAnsi="宋体" w:cs="宋体"/>
                <w:spacing w:val="-2"/>
                <w:szCs w:val="21"/>
              </w:rPr>
              <w:t>上门陪伴</w:t>
            </w:r>
          </w:p>
        </w:tc>
        <w:tc>
          <w:tcPr>
            <w:tcW w:w="4803" w:type="dxa"/>
            <w:noWrap w:val="0"/>
            <w:vAlign w:val="top"/>
          </w:tcPr>
          <w:p w14:paraId="3F283CCC">
            <w:pPr>
              <w:spacing w:before="145" w:line="264" w:lineRule="auto"/>
              <w:ind w:left="54" w:right="387"/>
              <w:rPr>
                <w:rFonts w:ascii="宋体" w:hAnsi="宋体" w:cs="宋体"/>
                <w:szCs w:val="21"/>
              </w:rPr>
            </w:pPr>
            <w:r>
              <w:rPr>
                <w:rFonts w:ascii="宋体" w:hAnsi="宋体" w:cs="宋体"/>
                <w:spacing w:val="-1"/>
                <w:szCs w:val="21"/>
              </w:rPr>
              <w:t>提供聊天、读报等服务，为老年人舒缓心情，排遣孤</w:t>
            </w:r>
            <w:r>
              <w:rPr>
                <w:rFonts w:ascii="宋体" w:hAnsi="宋体" w:cs="宋体"/>
                <w:spacing w:val="12"/>
                <w:szCs w:val="21"/>
              </w:rPr>
              <w:t xml:space="preserve"> </w:t>
            </w:r>
            <w:r>
              <w:rPr>
                <w:rFonts w:ascii="宋体" w:hAnsi="宋体" w:cs="宋体"/>
                <w:szCs w:val="21"/>
              </w:rPr>
              <w:t>独：及时了解老年人兴趣爱好等情况与老年人保持良</w:t>
            </w:r>
            <w:r>
              <w:rPr>
                <w:rFonts w:ascii="宋体" w:hAnsi="宋体" w:cs="宋体"/>
                <w:spacing w:val="15"/>
                <w:szCs w:val="21"/>
              </w:rPr>
              <w:t xml:space="preserve"> </w:t>
            </w:r>
            <w:r>
              <w:rPr>
                <w:rFonts w:ascii="宋体" w:hAnsi="宋体" w:cs="宋体"/>
                <w:spacing w:val="-1"/>
                <w:szCs w:val="21"/>
              </w:rPr>
              <w:t>性互动。</w:t>
            </w:r>
          </w:p>
        </w:tc>
      </w:tr>
      <w:tr w14:paraId="3A6065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739" w:hRule="atLeast"/>
          <w:jc w:val="center"/>
        </w:trPr>
        <w:tc>
          <w:tcPr>
            <w:tcW w:w="1004" w:type="dxa"/>
            <w:vMerge w:val="continue"/>
            <w:tcBorders>
              <w:top w:val="nil"/>
            </w:tcBorders>
            <w:noWrap w:val="0"/>
            <w:vAlign w:val="top"/>
          </w:tcPr>
          <w:p w14:paraId="4AE4D496">
            <w:pPr>
              <w:pStyle w:val="240"/>
              <w:rPr>
                <w:lang w:eastAsia="zh-CN"/>
              </w:rPr>
            </w:pPr>
          </w:p>
        </w:tc>
        <w:tc>
          <w:tcPr>
            <w:tcW w:w="1138" w:type="dxa"/>
            <w:vMerge w:val="continue"/>
            <w:tcBorders>
              <w:top w:val="nil"/>
            </w:tcBorders>
            <w:noWrap w:val="0"/>
            <w:vAlign w:val="top"/>
          </w:tcPr>
          <w:p w14:paraId="7616E813">
            <w:pPr>
              <w:pStyle w:val="240"/>
              <w:rPr>
                <w:lang w:eastAsia="zh-CN"/>
              </w:rPr>
            </w:pPr>
          </w:p>
        </w:tc>
        <w:tc>
          <w:tcPr>
            <w:tcW w:w="1119" w:type="dxa"/>
            <w:noWrap w:val="0"/>
            <w:vAlign w:val="top"/>
          </w:tcPr>
          <w:p w14:paraId="102B5427">
            <w:pPr>
              <w:spacing w:before="277" w:line="221" w:lineRule="auto"/>
              <w:ind w:left="133"/>
              <w:rPr>
                <w:rFonts w:ascii="宋体" w:hAnsi="宋体" w:cs="宋体"/>
                <w:szCs w:val="21"/>
              </w:rPr>
            </w:pPr>
            <w:r>
              <w:rPr>
                <w:rFonts w:ascii="宋体" w:hAnsi="宋体" w:cs="宋体"/>
                <w:spacing w:val="4"/>
                <w:szCs w:val="21"/>
              </w:rPr>
              <w:t>心理咨询</w:t>
            </w:r>
          </w:p>
        </w:tc>
        <w:tc>
          <w:tcPr>
            <w:tcW w:w="4803" w:type="dxa"/>
            <w:noWrap w:val="0"/>
            <w:vAlign w:val="top"/>
          </w:tcPr>
          <w:p w14:paraId="31CEB300">
            <w:pPr>
              <w:spacing w:before="275" w:line="219" w:lineRule="auto"/>
              <w:ind w:left="54"/>
              <w:rPr>
                <w:rFonts w:ascii="宋体" w:hAnsi="宋体" w:cs="宋体"/>
                <w:szCs w:val="21"/>
              </w:rPr>
            </w:pPr>
            <w:r>
              <w:rPr>
                <w:rFonts w:ascii="宋体" w:hAnsi="宋体" w:cs="宋体"/>
                <w:spacing w:val="-1"/>
                <w:szCs w:val="21"/>
              </w:rPr>
              <w:t>由持证专业心理咨询师提供服务。</w:t>
            </w:r>
          </w:p>
        </w:tc>
      </w:tr>
      <w:tr w14:paraId="2EFF89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839" w:hRule="atLeast"/>
          <w:jc w:val="center"/>
        </w:trPr>
        <w:tc>
          <w:tcPr>
            <w:tcW w:w="1004" w:type="dxa"/>
            <w:vMerge w:val="restart"/>
            <w:noWrap w:val="0"/>
            <w:vAlign w:val="center"/>
          </w:tcPr>
          <w:p w14:paraId="61C58D35">
            <w:pPr>
              <w:pStyle w:val="240"/>
              <w:spacing w:line="316" w:lineRule="auto"/>
              <w:jc w:val="center"/>
              <w:rPr>
                <w:lang w:eastAsia="zh-CN"/>
              </w:rPr>
            </w:pPr>
          </w:p>
          <w:p w14:paraId="6FB18F63">
            <w:pPr>
              <w:pStyle w:val="240"/>
              <w:spacing w:line="316" w:lineRule="auto"/>
              <w:jc w:val="center"/>
              <w:rPr>
                <w:lang w:eastAsia="zh-CN"/>
              </w:rPr>
            </w:pPr>
          </w:p>
          <w:p w14:paraId="47EDE862">
            <w:pPr>
              <w:spacing w:before="68" w:line="246" w:lineRule="auto"/>
              <w:ind w:left="377" w:right="74" w:hanging="309"/>
              <w:jc w:val="center"/>
              <w:rPr>
                <w:rFonts w:ascii="宋体" w:hAnsi="宋体" w:cs="宋体"/>
                <w:b/>
                <w:bCs/>
                <w:spacing w:val="-5"/>
                <w:szCs w:val="21"/>
              </w:rPr>
            </w:pPr>
            <w:r>
              <w:rPr>
                <w:rFonts w:ascii="宋体" w:hAnsi="宋体" w:cs="宋体"/>
                <w:b/>
                <w:bCs/>
                <w:spacing w:val="-5"/>
                <w:szCs w:val="21"/>
              </w:rPr>
              <w:t>其他类</w:t>
            </w:r>
          </w:p>
          <w:p w14:paraId="7A333068">
            <w:pPr>
              <w:spacing w:before="68" w:line="246" w:lineRule="auto"/>
              <w:ind w:left="377" w:right="74" w:hanging="309"/>
              <w:jc w:val="center"/>
              <w:rPr>
                <w:rFonts w:ascii="宋体" w:hAnsi="宋体" w:cs="宋体"/>
                <w:szCs w:val="21"/>
              </w:rPr>
            </w:pPr>
            <w:r>
              <w:rPr>
                <w:rFonts w:ascii="宋体" w:hAnsi="宋体" w:cs="宋体"/>
                <w:b/>
                <w:bCs/>
                <w:spacing w:val="-5"/>
                <w:szCs w:val="21"/>
              </w:rPr>
              <w:t>服</w:t>
            </w:r>
            <w:r>
              <w:rPr>
                <w:rFonts w:ascii="宋体" w:hAnsi="宋体" w:cs="宋体"/>
                <w:spacing w:val="1"/>
                <w:szCs w:val="21"/>
              </w:rPr>
              <w:t xml:space="preserve"> </w:t>
            </w:r>
            <w:r>
              <w:rPr>
                <w:rFonts w:ascii="宋体" w:hAnsi="宋体" w:cs="宋体"/>
                <w:b/>
                <w:bCs/>
                <w:spacing w:val="-3"/>
                <w:szCs w:val="21"/>
              </w:rPr>
              <w:t>务</w:t>
            </w:r>
          </w:p>
        </w:tc>
        <w:tc>
          <w:tcPr>
            <w:tcW w:w="1138" w:type="dxa"/>
            <w:vMerge w:val="restart"/>
            <w:tcBorders>
              <w:bottom w:val="nil"/>
            </w:tcBorders>
            <w:noWrap w:val="0"/>
            <w:vAlign w:val="top"/>
          </w:tcPr>
          <w:p w14:paraId="6E33D3BE">
            <w:pPr>
              <w:pStyle w:val="240"/>
              <w:spacing w:line="254" w:lineRule="auto"/>
            </w:pPr>
          </w:p>
          <w:p w14:paraId="6AC8501B">
            <w:pPr>
              <w:pStyle w:val="240"/>
              <w:spacing w:line="255" w:lineRule="auto"/>
            </w:pPr>
          </w:p>
          <w:p w14:paraId="028C8B5B">
            <w:pPr>
              <w:pStyle w:val="240"/>
              <w:spacing w:line="255" w:lineRule="auto"/>
            </w:pPr>
          </w:p>
          <w:p w14:paraId="674B86E3">
            <w:pPr>
              <w:spacing w:before="69" w:line="219" w:lineRule="auto"/>
              <w:ind w:left="131"/>
              <w:rPr>
                <w:rFonts w:ascii="宋体" w:hAnsi="宋体" w:cs="宋体"/>
                <w:szCs w:val="21"/>
              </w:rPr>
            </w:pPr>
            <w:r>
              <w:rPr>
                <w:rFonts w:ascii="宋体" w:hAnsi="宋体" w:cs="宋体"/>
                <w:spacing w:val="-2"/>
                <w:szCs w:val="21"/>
              </w:rPr>
              <w:t>应急服务</w:t>
            </w:r>
          </w:p>
        </w:tc>
        <w:tc>
          <w:tcPr>
            <w:tcW w:w="1119" w:type="dxa"/>
            <w:noWrap w:val="0"/>
            <w:vAlign w:val="top"/>
          </w:tcPr>
          <w:p w14:paraId="661B8B3F">
            <w:pPr>
              <w:pStyle w:val="240"/>
              <w:spacing w:line="258" w:lineRule="auto"/>
            </w:pPr>
          </w:p>
          <w:p w14:paraId="459842B7">
            <w:pPr>
              <w:spacing w:before="68" w:line="220" w:lineRule="auto"/>
              <w:ind w:left="133"/>
              <w:rPr>
                <w:rFonts w:ascii="宋体" w:hAnsi="宋体" w:cs="宋体"/>
                <w:szCs w:val="21"/>
              </w:rPr>
            </w:pPr>
            <w:r>
              <w:rPr>
                <w:rFonts w:ascii="宋体" w:hAnsi="宋体" w:cs="宋体"/>
                <w:spacing w:val="2"/>
                <w:szCs w:val="21"/>
              </w:rPr>
              <w:t>关爱巡访</w:t>
            </w:r>
          </w:p>
        </w:tc>
        <w:tc>
          <w:tcPr>
            <w:tcW w:w="4803" w:type="dxa"/>
            <w:noWrap w:val="0"/>
            <w:vAlign w:val="top"/>
          </w:tcPr>
          <w:p w14:paraId="0C09DE84">
            <w:pPr>
              <w:spacing w:before="187" w:line="246" w:lineRule="auto"/>
              <w:ind w:left="53" w:hanging="39"/>
              <w:rPr>
                <w:rFonts w:ascii="宋体" w:hAnsi="宋体" w:cs="宋体"/>
                <w:szCs w:val="21"/>
              </w:rPr>
            </w:pPr>
            <w:r>
              <w:rPr>
                <w:rFonts w:ascii="宋体" w:hAnsi="宋体" w:cs="宋体"/>
                <w:spacing w:val="-7"/>
                <w:szCs w:val="21"/>
              </w:rPr>
              <w:t>定期上门探访或者电话问询，及时了解老年人</w:t>
            </w:r>
            <w:r>
              <w:rPr>
                <w:rFonts w:ascii="宋体" w:hAnsi="宋体" w:cs="宋体"/>
                <w:spacing w:val="-8"/>
                <w:szCs w:val="21"/>
              </w:rPr>
              <w:t>的情况，发现</w:t>
            </w:r>
            <w:r>
              <w:rPr>
                <w:rFonts w:ascii="宋体" w:hAnsi="宋体" w:cs="宋体"/>
                <w:szCs w:val="21"/>
              </w:rPr>
              <w:t xml:space="preserve"> </w:t>
            </w:r>
            <w:r>
              <w:rPr>
                <w:rFonts w:ascii="宋体" w:hAnsi="宋体" w:cs="宋体"/>
                <w:spacing w:val="-1"/>
                <w:szCs w:val="21"/>
              </w:rPr>
              <w:t>问题及时上报并协助解决。</w:t>
            </w:r>
          </w:p>
        </w:tc>
      </w:tr>
      <w:tr w14:paraId="6269EB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014" w:hRule="atLeast"/>
          <w:jc w:val="center"/>
        </w:trPr>
        <w:tc>
          <w:tcPr>
            <w:tcW w:w="1004" w:type="dxa"/>
            <w:vMerge w:val="continue"/>
            <w:noWrap w:val="0"/>
            <w:vAlign w:val="top"/>
          </w:tcPr>
          <w:p w14:paraId="1B6976EC">
            <w:pPr>
              <w:pStyle w:val="240"/>
              <w:rPr>
                <w:lang w:eastAsia="zh-CN"/>
              </w:rPr>
            </w:pPr>
          </w:p>
        </w:tc>
        <w:tc>
          <w:tcPr>
            <w:tcW w:w="1138" w:type="dxa"/>
            <w:vMerge w:val="continue"/>
            <w:tcBorders>
              <w:top w:val="nil"/>
              <w:bottom w:val="nil"/>
            </w:tcBorders>
            <w:noWrap w:val="0"/>
            <w:vAlign w:val="top"/>
          </w:tcPr>
          <w:p w14:paraId="5266365B">
            <w:pPr>
              <w:pStyle w:val="240"/>
              <w:rPr>
                <w:lang w:eastAsia="zh-CN"/>
              </w:rPr>
            </w:pPr>
          </w:p>
        </w:tc>
        <w:tc>
          <w:tcPr>
            <w:tcW w:w="1119" w:type="dxa"/>
            <w:noWrap w:val="0"/>
            <w:vAlign w:val="top"/>
          </w:tcPr>
          <w:p w14:paraId="317BE9DE">
            <w:pPr>
              <w:pStyle w:val="240"/>
              <w:spacing w:line="338" w:lineRule="auto"/>
              <w:rPr>
                <w:lang w:eastAsia="zh-CN"/>
              </w:rPr>
            </w:pPr>
          </w:p>
          <w:p w14:paraId="31CC3BB5">
            <w:pPr>
              <w:spacing w:before="68" w:line="219" w:lineRule="auto"/>
              <w:ind w:left="133"/>
              <w:rPr>
                <w:rFonts w:ascii="宋体" w:hAnsi="宋体" w:cs="宋体"/>
                <w:szCs w:val="21"/>
              </w:rPr>
            </w:pPr>
            <w:r>
              <w:rPr>
                <w:rFonts w:ascii="宋体" w:hAnsi="宋体" w:cs="宋体"/>
                <w:spacing w:val="2"/>
                <w:szCs w:val="21"/>
              </w:rPr>
              <w:t>紧急救援</w:t>
            </w:r>
          </w:p>
        </w:tc>
        <w:tc>
          <w:tcPr>
            <w:tcW w:w="4803" w:type="dxa"/>
            <w:noWrap w:val="0"/>
            <w:vAlign w:val="top"/>
          </w:tcPr>
          <w:p w14:paraId="1C780927">
            <w:pPr>
              <w:spacing w:before="279" w:line="250" w:lineRule="auto"/>
              <w:ind w:left="54" w:right="446" w:firstLine="69"/>
              <w:rPr>
                <w:rFonts w:ascii="宋体" w:hAnsi="宋体" w:cs="宋体"/>
                <w:szCs w:val="21"/>
              </w:rPr>
            </w:pPr>
            <w:r>
              <w:rPr>
                <w:rFonts w:ascii="宋体" w:hAnsi="宋体" w:cs="宋体"/>
                <w:spacing w:val="-1"/>
                <w:szCs w:val="21"/>
              </w:rPr>
              <w:t>接到紧急呼叫，应及时拨打120、110、119等救援电</w:t>
            </w:r>
            <w:r>
              <w:rPr>
                <w:rFonts w:ascii="宋体" w:hAnsi="宋体" w:cs="宋体"/>
                <w:spacing w:val="18"/>
                <w:szCs w:val="21"/>
              </w:rPr>
              <w:t xml:space="preserve"> </w:t>
            </w:r>
            <w:r>
              <w:rPr>
                <w:rFonts w:ascii="宋体" w:hAnsi="宋体" w:cs="宋体"/>
                <w:spacing w:val="-1"/>
                <w:szCs w:val="21"/>
              </w:rPr>
              <w:t>话并联络家属，并派员及时赶到现场。</w:t>
            </w:r>
          </w:p>
        </w:tc>
      </w:tr>
      <w:tr w14:paraId="10830B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014" w:hRule="atLeast"/>
          <w:jc w:val="center"/>
        </w:trPr>
        <w:tc>
          <w:tcPr>
            <w:tcW w:w="1004" w:type="dxa"/>
            <w:vMerge w:val="continue"/>
            <w:noWrap w:val="0"/>
            <w:vAlign w:val="top"/>
          </w:tcPr>
          <w:p w14:paraId="1FCB4D03">
            <w:pPr>
              <w:pStyle w:val="240"/>
              <w:rPr>
                <w:lang w:eastAsia="zh-CN"/>
              </w:rPr>
            </w:pPr>
          </w:p>
        </w:tc>
        <w:tc>
          <w:tcPr>
            <w:tcW w:w="1138" w:type="dxa"/>
            <w:tcBorders>
              <w:top w:val="nil"/>
            </w:tcBorders>
            <w:noWrap w:val="0"/>
            <w:vAlign w:val="center"/>
          </w:tcPr>
          <w:p w14:paraId="7B7A5CAE">
            <w:pPr>
              <w:pStyle w:val="240"/>
              <w:jc w:val="center"/>
              <w:rPr>
                <w:rFonts w:hint="default"/>
                <w:lang w:val="en-US" w:eastAsia="zh-CN"/>
              </w:rPr>
            </w:pPr>
            <w:r>
              <w:rPr>
                <w:rFonts w:hint="eastAsia"/>
                <w:lang w:val="en-US" w:eastAsia="zh-CN"/>
              </w:rPr>
              <w:t>个性化服务</w:t>
            </w:r>
          </w:p>
        </w:tc>
        <w:tc>
          <w:tcPr>
            <w:tcW w:w="1119" w:type="dxa"/>
            <w:noWrap w:val="0"/>
            <w:vAlign w:val="top"/>
          </w:tcPr>
          <w:p w14:paraId="16B9FC78">
            <w:pPr>
              <w:spacing w:before="68" w:line="219" w:lineRule="auto"/>
              <w:ind w:left="133"/>
              <w:rPr>
                <w:rFonts w:ascii="宋体" w:hAnsi="宋体" w:cs="宋体"/>
                <w:spacing w:val="2"/>
                <w:szCs w:val="21"/>
              </w:rPr>
            </w:pPr>
          </w:p>
        </w:tc>
        <w:tc>
          <w:tcPr>
            <w:tcW w:w="4803" w:type="dxa"/>
            <w:noWrap w:val="0"/>
            <w:vAlign w:val="top"/>
          </w:tcPr>
          <w:p w14:paraId="1BAC3144">
            <w:pPr>
              <w:spacing w:before="279" w:line="250" w:lineRule="auto"/>
              <w:ind w:left="54" w:right="446" w:firstLine="69"/>
              <w:rPr>
                <w:rFonts w:hint="default" w:ascii="宋体" w:hAnsi="宋体" w:eastAsia="宋体" w:cs="宋体"/>
                <w:spacing w:val="-1"/>
                <w:szCs w:val="21"/>
                <w:lang w:val="en-US" w:eastAsia="zh-CN"/>
              </w:rPr>
            </w:pPr>
            <w:r>
              <w:rPr>
                <w:rFonts w:hint="eastAsia" w:ascii="宋体" w:hAnsi="宋体" w:cs="宋体"/>
                <w:spacing w:val="-1"/>
                <w:szCs w:val="21"/>
                <w:lang w:val="en-US" w:eastAsia="zh-CN"/>
              </w:rPr>
              <w:t>根据需求，为老人提供社工介入服务、生日关怀服务、咨询投诉服务等。</w:t>
            </w:r>
          </w:p>
        </w:tc>
      </w:tr>
    </w:tbl>
    <w:p w14:paraId="2BB842D0">
      <w:pPr>
        <w:spacing w:line="360" w:lineRule="auto"/>
        <w:ind w:firstLine="420"/>
        <w:rPr>
          <w:rFonts w:hint="eastAsia" w:ascii="宋体" w:hAnsi="宋体" w:cs="宋体"/>
          <w:szCs w:val="21"/>
        </w:rPr>
      </w:pPr>
      <w:r>
        <w:rPr>
          <w:rFonts w:hint="eastAsia" w:ascii="宋体" w:hAnsi="宋体" w:cs="宋体"/>
          <w:szCs w:val="21"/>
        </w:rPr>
        <w:t>3、其他要求：</w:t>
      </w:r>
    </w:p>
    <w:p w14:paraId="1A9DA341">
      <w:pPr>
        <w:spacing w:line="360" w:lineRule="auto"/>
        <w:ind w:firstLine="420"/>
        <w:rPr>
          <w:rFonts w:hint="default" w:ascii="宋体" w:hAnsi="宋体" w:eastAsia="宋体" w:cs="宋体"/>
          <w:color w:val="000000" w:themeColor="text1"/>
          <w:szCs w:val="21"/>
          <w:lang w:val="en-US" w:eastAsia="zh-CN"/>
          <w14:textFill>
            <w14:solidFill>
              <w14:schemeClr w14:val="tx1"/>
            </w14:solidFill>
          </w14:textFill>
        </w:rPr>
      </w:pPr>
      <w:r>
        <w:rPr>
          <w:rFonts w:hint="eastAsia" w:ascii="宋体" w:hAnsi="宋体" w:cs="宋体"/>
          <w:szCs w:val="21"/>
        </w:rPr>
        <w:t>(1)</w:t>
      </w:r>
      <w:r>
        <w:rPr>
          <w:rFonts w:hint="eastAsia" w:ascii="宋体" w:hAnsi="宋体" w:cs="宋体"/>
          <w:color w:val="000000" w:themeColor="text1"/>
          <w:szCs w:val="21"/>
          <w14:textFill>
            <w14:solidFill>
              <w14:schemeClr w14:val="tx1"/>
            </w14:solidFill>
          </w14:textFill>
        </w:rPr>
        <w:t>供应商对于服务人员的聘用要严格把关，服务人员和服务对象要相处融洽，为服务对象提供最大化的服务。</w:t>
      </w:r>
      <w:r>
        <w:rPr>
          <w:rFonts w:hint="eastAsia" w:ascii="宋体" w:hAnsi="宋体" w:cs="宋体"/>
          <w:color w:val="000000" w:themeColor="text1"/>
          <w:szCs w:val="21"/>
          <w:shd w:val="clear"/>
          <w:lang w:val="en-US" w:eastAsia="zh-CN"/>
          <w14:textFill>
            <w14:solidFill>
              <w14:schemeClr w14:val="tx1"/>
            </w14:solidFill>
          </w14:textFill>
        </w:rPr>
        <w:t>服务过程中，若服务单位被区级及以上各级民政部门通报两次及以上或者被居民投诉3次及以上者，甲方有权终止合同。</w:t>
      </w:r>
    </w:p>
    <w:p w14:paraId="2275F4DB">
      <w:pPr>
        <w:spacing w:line="360" w:lineRule="auto"/>
        <w:ind w:firstLine="420"/>
        <w:rPr>
          <w:rFonts w:hint="eastAsia" w:ascii="宋体" w:hAnsi="宋体" w:cs="宋体"/>
          <w:szCs w:val="21"/>
        </w:rPr>
      </w:pPr>
      <w:r>
        <w:rPr>
          <w:rFonts w:hint="eastAsia" w:ascii="宋体" w:hAnsi="宋体" w:cs="宋体"/>
          <w:color w:val="000000" w:themeColor="text1"/>
          <w:szCs w:val="21"/>
          <w14:textFill>
            <w14:solidFill>
              <w14:schemeClr w14:val="tx1"/>
            </w14:solidFill>
          </w14:textFill>
        </w:rPr>
        <w:t>(2)供应商每月底向甲方汇报上门服务情况，对在一个月内无任何服务需求的老人，服务机构应定期上门走访或电话联系进行无偿服务等</w:t>
      </w:r>
      <w:r>
        <w:rPr>
          <w:rFonts w:hint="eastAsia" w:ascii="宋体" w:hAnsi="宋体" w:cs="宋体"/>
          <w:color w:val="000000" w:themeColor="text1"/>
          <w:szCs w:val="21"/>
          <w:lang w:eastAsia="zh-CN"/>
          <w14:textFill>
            <w14:solidFill>
              <w14:schemeClr w14:val="tx1"/>
            </w14:solidFill>
          </w14:textFill>
        </w:rPr>
        <w:t>，</w:t>
      </w:r>
      <w:r>
        <w:rPr>
          <w:rFonts w:hint="eastAsia" w:ascii="宋体" w:hAnsi="宋体" w:cs="宋体"/>
          <w:color w:val="000000" w:themeColor="text1"/>
          <w:szCs w:val="21"/>
          <w14:textFill>
            <w14:solidFill>
              <w14:schemeClr w14:val="tx1"/>
            </w14:solidFill>
          </w14:textFill>
        </w:rPr>
        <w:t>如有协议期限内不</w:t>
      </w:r>
      <w:r>
        <w:rPr>
          <w:rFonts w:hint="eastAsia" w:ascii="宋体" w:hAnsi="宋体" w:cs="宋体"/>
          <w:szCs w:val="21"/>
        </w:rPr>
        <w:t>需要服务的老年人及时告知所属的社区备案并上报甲方。</w:t>
      </w:r>
    </w:p>
    <w:p w14:paraId="1826AF70">
      <w:pPr>
        <w:spacing w:line="360" w:lineRule="auto"/>
        <w:ind w:firstLine="420"/>
        <w:rPr>
          <w:rFonts w:hint="eastAsia" w:ascii="宋体" w:hAnsi="宋体" w:cs="宋体"/>
          <w:szCs w:val="21"/>
        </w:rPr>
      </w:pPr>
      <w:r>
        <w:rPr>
          <w:rFonts w:hint="eastAsia" w:ascii="宋体" w:hAnsi="宋体" w:cs="宋体"/>
          <w:szCs w:val="21"/>
        </w:rPr>
        <w:t>(3)按照区民政部门对居家养老服务的要求进行操作，配备相应的硬件软件，在上门服务时进行系统打卡，保证系统后台数据接收畅通和月度服务数据正常上交。</w:t>
      </w:r>
    </w:p>
    <w:p w14:paraId="4906D04F">
      <w:pPr>
        <w:spacing w:line="360" w:lineRule="auto"/>
        <w:ind w:firstLine="420"/>
        <w:rPr>
          <w:rFonts w:hint="eastAsia" w:ascii="宋体" w:hAnsi="宋体" w:cs="宋体"/>
          <w:szCs w:val="21"/>
        </w:rPr>
      </w:pPr>
      <w:r>
        <w:rPr>
          <w:rFonts w:hint="eastAsia" w:ascii="宋体" w:hAnsi="宋体" w:cs="宋体"/>
          <w:szCs w:val="21"/>
        </w:rPr>
        <w:t>(4)制定完善的管理制度、合理的薪资标准，符合劳动法等相关法律法规规定。</w:t>
      </w:r>
    </w:p>
    <w:p w14:paraId="4872980F">
      <w:pPr>
        <w:spacing w:line="360" w:lineRule="auto"/>
        <w:ind w:firstLine="420"/>
        <w:rPr>
          <w:rFonts w:hint="eastAsia" w:ascii="宋体" w:hAnsi="宋体" w:cs="宋体"/>
          <w:szCs w:val="21"/>
        </w:rPr>
      </w:pPr>
      <w:r>
        <w:rPr>
          <w:rFonts w:hint="eastAsia" w:ascii="宋体" w:hAnsi="宋体" w:cs="宋体"/>
          <w:szCs w:val="21"/>
        </w:rPr>
        <w:t>(5)落实相关安全管理要求，确保服务过程中服务对象及服务人员的人身安全。</w:t>
      </w:r>
    </w:p>
    <w:p w14:paraId="09C990BC">
      <w:pPr>
        <w:spacing w:line="360" w:lineRule="auto"/>
        <w:ind w:firstLine="420"/>
        <w:rPr>
          <w:rFonts w:hint="eastAsia" w:ascii="宋体" w:hAnsi="宋体" w:cs="宋体"/>
          <w:szCs w:val="21"/>
        </w:rPr>
      </w:pPr>
      <w:r>
        <w:rPr>
          <w:rFonts w:hint="eastAsia" w:ascii="宋体" w:hAnsi="宋体" w:cs="宋体"/>
          <w:szCs w:val="21"/>
          <w:lang w:val="en-US" w:eastAsia="zh-CN"/>
        </w:rPr>
        <w:t>（6）</w:t>
      </w:r>
      <w:r>
        <w:rPr>
          <w:rFonts w:hint="eastAsia" w:ascii="宋体" w:hAnsi="宋体" w:cs="宋体"/>
          <w:szCs w:val="21"/>
        </w:rPr>
        <w:t>服务过程中因投标人责任所造成的经济损失或其他损害由投标人按实际金额赔偿或承担相应的法律责任。</w:t>
      </w:r>
    </w:p>
    <w:p w14:paraId="382E59B9">
      <w:pPr>
        <w:spacing w:line="360" w:lineRule="auto"/>
        <w:ind w:firstLine="420"/>
        <w:rPr>
          <w:rFonts w:hint="eastAsia" w:ascii="宋体" w:hAnsi="宋体" w:cs="宋体"/>
          <w:szCs w:val="21"/>
        </w:rPr>
      </w:pPr>
      <w:r>
        <w:rPr>
          <w:rFonts w:hint="eastAsia" w:ascii="宋体" w:hAnsi="宋体" w:cs="宋体"/>
          <w:szCs w:val="21"/>
          <w:lang w:val="en-US" w:eastAsia="zh-CN"/>
        </w:rPr>
        <w:t>（7）</w:t>
      </w:r>
      <w:r>
        <w:rPr>
          <w:rFonts w:hint="eastAsia" w:ascii="宋体" w:hAnsi="宋体" w:cs="宋体"/>
          <w:szCs w:val="21"/>
        </w:rPr>
        <w:t>合同终止时，应将所有的服务记录等档案资料交给招标人。</w:t>
      </w:r>
    </w:p>
    <w:p w14:paraId="01EE3D8B">
      <w:pPr>
        <w:spacing w:line="360" w:lineRule="auto"/>
        <w:ind w:firstLine="420"/>
        <w:rPr>
          <w:rFonts w:hint="eastAsia" w:ascii="宋体" w:hAnsi="宋体" w:cs="宋体"/>
          <w:szCs w:val="21"/>
        </w:rPr>
      </w:pPr>
      <w:r>
        <w:rPr>
          <w:rFonts w:hint="eastAsia" w:ascii="宋体" w:hAnsi="宋体" w:cs="宋体"/>
          <w:szCs w:val="21"/>
          <w:lang w:val="en-US" w:eastAsia="zh-CN"/>
        </w:rPr>
        <w:t>（8）</w:t>
      </w:r>
      <w:r>
        <w:rPr>
          <w:rFonts w:hint="eastAsia" w:ascii="宋体" w:hAnsi="宋体" w:cs="宋体"/>
          <w:szCs w:val="21"/>
        </w:rPr>
        <w:t>中标单位的相关管理资料，如服务老人的工作明细表等需每月报招标单位一份。</w:t>
      </w:r>
    </w:p>
    <w:p w14:paraId="33E2C939">
      <w:pPr>
        <w:spacing w:line="360" w:lineRule="auto"/>
        <w:ind w:firstLine="422"/>
        <w:rPr>
          <w:rFonts w:hint="eastAsia" w:ascii="宋体" w:hAnsi="宋体" w:cs="宋体"/>
          <w:szCs w:val="21"/>
        </w:rPr>
      </w:pPr>
      <w:r>
        <w:rPr>
          <w:rFonts w:hint="eastAsia" w:ascii="宋体" w:hAnsi="宋体" w:cs="宋体"/>
          <w:b/>
          <w:bCs/>
          <w:szCs w:val="21"/>
        </w:rPr>
        <w:t>六、考核</w:t>
      </w:r>
    </w:p>
    <w:p w14:paraId="75DF2058">
      <w:pPr>
        <w:spacing w:line="360" w:lineRule="auto"/>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甲方根据运营管理情况每月对乙方考核一次，通过上门、电话访问、填写服务满意度调查表的形式调查服务情况</w:t>
      </w:r>
      <w:r>
        <w:rPr>
          <w:rFonts w:hint="eastAsia" w:ascii="宋体" w:hAnsi="宋体" w:cs="宋体"/>
          <w:color w:val="000000" w:themeColor="text1"/>
          <w:szCs w:val="21"/>
          <w:lang w:eastAsia="zh-CN"/>
          <w14:textFill>
            <w14:solidFill>
              <w14:schemeClr w14:val="tx1"/>
            </w14:solidFill>
          </w14:textFill>
        </w:rPr>
        <w:t>，每半年请第三方对服务情况进行评估。</w:t>
      </w:r>
      <w:r>
        <w:rPr>
          <w:rFonts w:hint="eastAsia" w:ascii="宋体" w:hAnsi="宋体" w:cs="宋体"/>
          <w:color w:val="000000" w:themeColor="text1"/>
          <w:szCs w:val="21"/>
          <w14:textFill>
            <w14:solidFill>
              <w14:schemeClr w14:val="tx1"/>
            </w14:solidFill>
          </w14:textFill>
        </w:rPr>
        <w:t>具体考核办法由</w:t>
      </w:r>
      <w:r>
        <w:rPr>
          <w:rFonts w:hint="eastAsia" w:ascii="宋体" w:hAnsi="宋体" w:cs="宋体"/>
          <w:color w:val="000000" w:themeColor="text1"/>
          <w:szCs w:val="21"/>
          <w:lang w:eastAsia="zh-CN"/>
          <w14:textFill>
            <w14:solidFill>
              <w14:schemeClr w14:val="tx1"/>
            </w14:solidFill>
          </w14:textFill>
        </w:rPr>
        <w:t>甲方</w:t>
      </w:r>
      <w:r>
        <w:rPr>
          <w:rFonts w:hint="eastAsia" w:ascii="宋体" w:hAnsi="宋体" w:cs="宋体"/>
          <w:color w:val="000000" w:themeColor="text1"/>
          <w:szCs w:val="21"/>
          <w14:textFill>
            <w14:solidFill>
              <w14:schemeClr w14:val="tx1"/>
            </w14:solidFill>
          </w14:textFill>
        </w:rPr>
        <w:t>与</w:t>
      </w:r>
      <w:r>
        <w:rPr>
          <w:rFonts w:hint="eastAsia" w:ascii="宋体" w:hAnsi="宋体" w:cs="宋体"/>
          <w:color w:val="000000" w:themeColor="text1"/>
          <w:szCs w:val="21"/>
          <w:lang w:eastAsia="zh-CN"/>
          <w14:textFill>
            <w14:solidFill>
              <w14:schemeClr w14:val="tx1"/>
            </w14:solidFill>
          </w14:textFill>
        </w:rPr>
        <w:t>中标</w:t>
      </w:r>
      <w:r>
        <w:rPr>
          <w:rFonts w:hint="eastAsia" w:ascii="宋体" w:hAnsi="宋体" w:cs="宋体"/>
          <w:color w:val="000000" w:themeColor="text1"/>
          <w:szCs w:val="21"/>
          <w14:textFill>
            <w14:solidFill>
              <w14:schemeClr w14:val="tx1"/>
            </w14:solidFill>
          </w14:textFill>
        </w:rPr>
        <w:t>单位根据采购文件及响应文件商榷后制定，考核情况与运营费用给付挂钩。发现虚假服务或服务满意度低于90%给予警告，警告</w:t>
      </w:r>
      <w:r>
        <w:rPr>
          <w:rFonts w:hint="eastAsia" w:ascii="宋体" w:hAnsi="宋体" w:cs="宋体"/>
          <w:color w:val="000000" w:themeColor="text1"/>
          <w:szCs w:val="21"/>
          <w:lang w:val="en-US" w:eastAsia="zh-CN"/>
          <w14:textFill>
            <w14:solidFill>
              <w14:schemeClr w14:val="tx1"/>
            </w14:solidFill>
          </w14:textFill>
        </w:rPr>
        <w:t>两</w:t>
      </w:r>
      <w:r>
        <w:rPr>
          <w:rFonts w:hint="eastAsia" w:ascii="宋体" w:hAnsi="宋体" w:cs="宋体"/>
          <w:color w:val="000000" w:themeColor="text1"/>
          <w:szCs w:val="21"/>
          <w14:textFill>
            <w14:solidFill>
              <w14:schemeClr w14:val="tx1"/>
            </w14:solidFill>
          </w14:textFill>
        </w:rPr>
        <w:t>次后，甲方有权</w:t>
      </w:r>
      <w:r>
        <w:rPr>
          <w:rFonts w:hint="eastAsia" w:ascii="宋体" w:hAnsi="宋体" w:cs="宋体"/>
          <w:color w:val="000000" w:themeColor="text1"/>
          <w:szCs w:val="21"/>
          <w:lang w:eastAsia="zh-CN"/>
          <w14:textFill>
            <w14:solidFill>
              <w14:schemeClr w14:val="tx1"/>
            </w14:solidFill>
          </w14:textFill>
        </w:rPr>
        <w:t>单方面</w:t>
      </w:r>
      <w:r>
        <w:rPr>
          <w:rFonts w:hint="eastAsia" w:ascii="宋体" w:hAnsi="宋体" w:cs="宋体"/>
          <w:color w:val="000000" w:themeColor="text1"/>
          <w:szCs w:val="21"/>
          <w14:textFill>
            <w14:solidFill>
              <w14:schemeClr w14:val="tx1"/>
            </w14:solidFill>
          </w14:textFill>
        </w:rPr>
        <w:t>终止合同。供应商有以下情形之一的，取消服务资格，并在近三年内不得参与全</w:t>
      </w:r>
      <w:r>
        <w:rPr>
          <w:rFonts w:hint="eastAsia" w:ascii="宋体" w:hAnsi="宋体" w:cs="宋体"/>
          <w:color w:val="000000" w:themeColor="text1"/>
          <w:szCs w:val="21"/>
          <w:lang w:eastAsia="zh-CN"/>
          <w14:textFill>
            <w14:solidFill>
              <w14:schemeClr w14:val="tx1"/>
            </w14:solidFill>
          </w14:textFill>
        </w:rPr>
        <w:t>街</w:t>
      </w:r>
      <w:r>
        <w:rPr>
          <w:rFonts w:hint="eastAsia" w:ascii="宋体" w:hAnsi="宋体" w:cs="宋体"/>
          <w:color w:val="000000" w:themeColor="text1"/>
          <w:szCs w:val="21"/>
          <w14:textFill>
            <w14:solidFill>
              <w14:schemeClr w14:val="tx1"/>
            </w14:solidFill>
          </w14:textFill>
        </w:rPr>
        <w:t>范围内的居家养老服务:⑴以向服务对象送实物等变通方式套取服务对象补贴资金的;⑵借助开展服务的机会向老年人推销保健产品的;⑶借助开展服务的机会向老年人集资、吸储等严重损害了老年人合法权益的;⑷成交后，不具备完成政府购买服务能力的;⑸供应商有其他违法行为的。</w:t>
      </w:r>
    </w:p>
    <w:p w14:paraId="3AD5BF91">
      <w:pPr>
        <w:spacing w:line="360" w:lineRule="auto"/>
        <w:ind w:firstLine="422"/>
        <w:rPr>
          <w:rFonts w:hint="eastAsia" w:ascii="宋体" w:hAnsi="宋体" w:cs="宋体"/>
          <w:b/>
          <w:bCs/>
          <w:szCs w:val="21"/>
        </w:rPr>
      </w:pPr>
      <w:r>
        <w:rPr>
          <w:rFonts w:hint="eastAsia" w:ascii="宋体" w:hAnsi="宋体" w:cs="宋体"/>
          <w:b/>
          <w:bCs/>
          <w:szCs w:val="21"/>
        </w:rPr>
        <w:t>七、其他要求</w:t>
      </w:r>
    </w:p>
    <w:p w14:paraId="72BCAC3D">
      <w:pPr>
        <w:spacing w:line="360" w:lineRule="auto"/>
        <w:ind w:firstLine="420"/>
        <w:rPr>
          <w:rFonts w:hint="eastAsia" w:ascii="宋体" w:hAnsi="宋体" w:cs="宋体"/>
          <w:szCs w:val="21"/>
        </w:rPr>
      </w:pPr>
      <w:r>
        <w:rPr>
          <w:rFonts w:hint="eastAsia" w:ascii="宋体" w:hAnsi="宋体" w:cs="宋体"/>
          <w:szCs w:val="21"/>
        </w:rPr>
        <w:t>1、</w:t>
      </w:r>
      <w:r>
        <w:rPr>
          <w:rFonts w:hint="eastAsia" w:ascii="宋体" w:hAnsi="宋体" w:cs="宋体"/>
          <w:szCs w:val="21"/>
          <w:lang w:eastAsia="zh-CN"/>
        </w:rPr>
        <w:t>中标</w:t>
      </w:r>
      <w:r>
        <w:rPr>
          <w:rFonts w:hint="eastAsia" w:ascii="宋体" w:hAnsi="宋体" w:cs="宋体"/>
          <w:szCs w:val="21"/>
        </w:rPr>
        <w:t>单位的服务人员要统一服从采购单位的监管。</w:t>
      </w:r>
    </w:p>
    <w:p w14:paraId="28AFAAFE">
      <w:pPr>
        <w:spacing w:line="360" w:lineRule="auto"/>
        <w:ind w:firstLine="420"/>
        <w:rPr>
          <w:rFonts w:hint="eastAsia" w:ascii="宋体" w:hAnsi="宋体" w:cs="宋体"/>
          <w:szCs w:val="21"/>
        </w:rPr>
      </w:pPr>
      <w:r>
        <w:rPr>
          <w:rFonts w:hint="eastAsia" w:ascii="宋体" w:hAnsi="宋体" w:cs="宋体"/>
          <w:szCs w:val="21"/>
        </w:rPr>
        <w:t>2、服务机构应根据采购单位需求，无条件配合采购单位向辖区独居、空巢、留守、失能(失智)、计划生育特殊家庭等特殊困难老年人进行关爱探访服务。</w:t>
      </w:r>
    </w:p>
    <w:p w14:paraId="52E79622">
      <w:pPr>
        <w:spacing w:line="360" w:lineRule="auto"/>
        <w:ind w:firstLine="420"/>
        <w:rPr>
          <w:rFonts w:hint="eastAsia" w:ascii="宋体" w:hAnsi="宋体" w:cs="宋体"/>
          <w:szCs w:val="21"/>
        </w:rPr>
      </w:pPr>
      <w:r>
        <w:rPr>
          <w:rFonts w:hint="eastAsia" w:ascii="宋体" w:hAnsi="宋体" w:cs="宋体"/>
          <w:szCs w:val="21"/>
        </w:rPr>
        <w:t>3、采购人除服务费用之外不再承担其它任何费用，服务人员的薪金、福利、休假日补贴、医疗费用、与工作相关的意外事故所产生的费用等均由</w:t>
      </w:r>
      <w:r>
        <w:rPr>
          <w:rFonts w:hint="eastAsia" w:ascii="宋体" w:hAnsi="宋体" w:cs="宋体"/>
          <w:szCs w:val="21"/>
          <w:lang w:eastAsia="zh-CN"/>
        </w:rPr>
        <w:t>中标</w:t>
      </w:r>
      <w:r>
        <w:rPr>
          <w:rFonts w:hint="eastAsia" w:ascii="宋体" w:hAnsi="宋体" w:cs="宋体"/>
          <w:szCs w:val="21"/>
        </w:rPr>
        <w:t>单位负责，与采购人无关。</w:t>
      </w:r>
    </w:p>
    <w:p w14:paraId="7F1730DC">
      <w:pPr>
        <w:spacing w:line="360" w:lineRule="auto"/>
        <w:ind w:firstLine="420"/>
        <w:rPr>
          <w:rFonts w:hint="eastAsia" w:ascii="宋体" w:hAnsi="宋体" w:cs="宋体"/>
          <w:szCs w:val="21"/>
        </w:rPr>
      </w:pPr>
      <w:r>
        <w:rPr>
          <w:rFonts w:hint="eastAsia" w:ascii="宋体" w:hAnsi="宋体" w:cs="宋体"/>
          <w:szCs w:val="21"/>
        </w:rPr>
        <w:t>4、服务价格应包括拟提供服务验收合格及之前所有含税费用，报价包括但并不仅限于完成本项目服务所需的人员工资、交通运输费、设备费、办公费、管理费、税金、合理利润及不可预见等所有费用。报价还应包含乙方应当提供的伴随服务。</w:t>
      </w:r>
    </w:p>
    <w:p w14:paraId="4207C241">
      <w:pPr>
        <w:spacing w:line="360" w:lineRule="auto"/>
        <w:ind w:firstLine="420"/>
        <w:rPr>
          <w:rFonts w:hint="default" w:ascii="宋体" w:hAnsi="宋体" w:cs="宋体"/>
          <w:b/>
          <w:bCs/>
          <w:szCs w:val="21"/>
          <w:lang w:val="en-US" w:eastAsia="zh-CN"/>
        </w:rPr>
      </w:pPr>
      <w:r>
        <w:rPr>
          <w:rFonts w:hint="eastAsia" w:ascii="宋体" w:hAnsi="宋体" w:cs="宋体"/>
          <w:b/>
          <w:bCs/>
          <w:szCs w:val="21"/>
          <w:lang w:val="en-US" w:eastAsia="zh-CN"/>
        </w:rPr>
        <w:t>八、本项目前期已中标B包单位扬州富德康养老服务有限公司及原A包放弃中标单位扬州扬子江玖玖养老服务有限公司不得参与该项目投标以及在破产重整期间的单位不得参与。</w:t>
      </w:r>
    </w:p>
    <w:p w14:paraId="5EEE7CD6">
      <w:pPr>
        <w:keepNext w:val="0"/>
        <w:keepLines w:val="0"/>
        <w:pageBreakBefore w:val="0"/>
        <w:kinsoku/>
        <w:wordWrap/>
        <w:overflowPunct/>
        <w:topLinePunct w:val="0"/>
        <w:autoSpaceDE/>
        <w:autoSpaceDN/>
        <w:bidi w:val="0"/>
        <w:adjustRightInd/>
        <w:snapToGrid/>
        <w:spacing w:line="360" w:lineRule="auto"/>
        <w:ind w:firstLine="422"/>
        <w:textAlignment w:val="auto"/>
        <w:rPr>
          <w:rFonts w:hint="eastAsia" w:ascii="宋体" w:hAnsi="宋体" w:eastAsia="宋体" w:cs="宋体"/>
          <w:b/>
          <w:color w:val="auto"/>
          <w:szCs w:val="21"/>
          <w:highlight w:val="none"/>
        </w:rPr>
      </w:pPr>
      <w:r>
        <w:rPr>
          <w:rFonts w:hint="eastAsia" w:ascii="宋体" w:hAnsi="宋体" w:cs="宋体"/>
          <w:b/>
          <w:color w:val="auto"/>
          <w:szCs w:val="21"/>
          <w:highlight w:val="none"/>
          <w:lang w:val="en-US" w:eastAsia="zh-CN"/>
        </w:rPr>
        <w:t>九</w:t>
      </w:r>
      <w:r>
        <w:rPr>
          <w:rFonts w:hint="eastAsia" w:ascii="宋体" w:hAnsi="宋体" w:eastAsia="宋体" w:cs="宋体"/>
          <w:b/>
          <w:color w:val="auto"/>
          <w:szCs w:val="21"/>
          <w:highlight w:val="none"/>
        </w:rPr>
        <w:t>、节能产品要求</w:t>
      </w:r>
    </w:p>
    <w:p w14:paraId="40C5B5ED">
      <w:pPr>
        <w:keepNext w:val="0"/>
        <w:keepLines w:val="0"/>
        <w:pageBreakBefore w:val="0"/>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本次拟采购的产品如属于《节能产品政府采购品目清单》中强制采购范围内产品，各投标人应当提供获得国家确定的认证机构出具的、有效期之内的节能产品认证证书的产品，上述品目清单可通过“中国政府采购网”（http://www.ccgp.gov.cn/zcfg/mof/201904/t20190403_11849836.htm）查询</w:t>
      </w:r>
      <w:r>
        <w:rPr>
          <w:rFonts w:hint="eastAsia" w:ascii="宋体" w:hAnsi="宋体" w:eastAsia="宋体" w:cs="宋体"/>
          <w:i/>
          <w:color w:val="auto"/>
          <w:szCs w:val="21"/>
          <w:highlight w:val="none"/>
          <w:u w:val="single"/>
        </w:rPr>
        <w:t>,并在投标文件内提供由国家确定的认证机构出具的、处于有效期之内的节能产品认证证书原件，扫描上传，否则视为无效投标。本项目涉及强制采购范围内产品有：无）</w:t>
      </w:r>
    </w:p>
    <w:p w14:paraId="7DC84C36">
      <w:pPr>
        <w:pageBreakBefore w:val="0"/>
        <w:kinsoku/>
        <w:wordWrap/>
        <w:overflowPunct/>
        <w:topLinePunct w:val="0"/>
        <w:autoSpaceDE/>
        <w:autoSpaceDN/>
        <w:bidi w:val="0"/>
        <w:adjustRightInd/>
        <w:spacing w:line="360" w:lineRule="auto"/>
        <w:jc w:val="left"/>
        <w:textAlignment w:val="auto"/>
        <w:rPr>
          <w:rFonts w:ascii="宋体" w:hAnsi="宋体" w:cs="宋体"/>
          <w:iCs/>
          <w:color w:val="auto"/>
          <w:szCs w:val="21"/>
          <w:highlight w:val="none"/>
        </w:rPr>
      </w:pPr>
      <w:r>
        <w:rPr>
          <w:rFonts w:ascii="宋体" w:hAnsi="宋体" w:cs="宋体"/>
          <w:iCs/>
          <w:color w:val="auto"/>
          <w:szCs w:val="21"/>
          <w:highlight w:val="none"/>
        </w:rPr>
        <w:br w:type="page" w:clear="all"/>
      </w:r>
    </w:p>
    <w:p w14:paraId="1A4190DC">
      <w:pPr>
        <w:pStyle w:val="214"/>
        <w:pageBreakBefore w:val="0"/>
        <w:numPr>
          <w:ilvl w:val="0"/>
          <w:numId w:val="3"/>
        </w:numPr>
        <w:kinsoku/>
        <w:wordWrap/>
        <w:overflowPunct/>
        <w:topLinePunct w:val="0"/>
        <w:autoSpaceDE/>
        <w:autoSpaceDN/>
        <w:bidi w:val="0"/>
        <w:adjustRightInd/>
        <w:spacing w:line="360" w:lineRule="auto"/>
        <w:ind w:firstLine="883"/>
        <w:jc w:val="center"/>
        <w:textAlignment w:val="auto"/>
        <w:rPr>
          <w:rFonts w:hint="eastAsia" w:ascii="宋体" w:hAnsi="宋体"/>
          <w:b/>
          <w:bCs/>
          <w:color w:val="auto"/>
          <w:sz w:val="44"/>
          <w:szCs w:val="36"/>
          <w:highlight w:val="none"/>
        </w:rPr>
      </w:pPr>
      <w:bookmarkStart w:id="53" w:name="_Toc55204181"/>
      <w:r>
        <w:rPr>
          <w:rFonts w:hint="eastAsia" w:ascii="宋体" w:hAnsi="宋体"/>
          <w:b/>
          <w:bCs/>
          <w:color w:val="auto"/>
          <w:sz w:val="44"/>
          <w:szCs w:val="36"/>
          <w:highlight w:val="none"/>
        </w:rPr>
        <w:t>评标方法及评标标准</w:t>
      </w:r>
      <w:bookmarkEnd w:id="53"/>
    </w:p>
    <w:p w14:paraId="38FB8687">
      <w:pPr>
        <w:pageBreakBefore w:val="0"/>
        <w:numPr>
          <w:ilvl w:val="0"/>
          <w:numId w:val="4"/>
        </w:numPr>
        <w:kinsoku/>
        <w:wordWrap/>
        <w:overflowPunct/>
        <w:topLinePunct w:val="0"/>
        <w:autoSpaceDE/>
        <w:autoSpaceDN/>
        <w:bidi w:val="0"/>
        <w:adjustRightInd/>
        <w:spacing w:line="360" w:lineRule="auto"/>
        <w:ind w:firstLine="422"/>
        <w:textAlignment w:val="auto"/>
        <w:rPr>
          <w:color w:val="auto"/>
          <w:highlight w:val="none"/>
        </w:rPr>
      </w:pPr>
      <w:r>
        <w:rPr>
          <w:rFonts w:hint="eastAsia"/>
          <w:b/>
          <w:bCs/>
          <w:color w:val="auto"/>
          <w:highlight w:val="none"/>
        </w:rPr>
        <w:t>评标方法</w:t>
      </w:r>
    </w:p>
    <w:p w14:paraId="446359B6">
      <w:pPr>
        <w:pageBreakBefore w:val="0"/>
        <w:kinsoku/>
        <w:wordWrap/>
        <w:overflowPunct/>
        <w:topLinePunct w:val="0"/>
        <w:autoSpaceDE/>
        <w:autoSpaceDN/>
        <w:bidi w:val="0"/>
        <w:adjustRightInd/>
        <w:spacing w:line="360" w:lineRule="auto"/>
        <w:ind w:firstLine="420"/>
        <w:textAlignment w:val="auto"/>
        <w:rPr>
          <w:color w:val="auto"/>
          <w:highlight w:val="none"/>
        </w:rPr>
      </w:pPr>
      <w:r>
        <w:rPr>
          <w:rFonts w:hint="eastAsia"/>
          <w:color w:val="auto"/>
          <w:highlight w:val="none"/>
        </w:rPr>
        <w:t>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5018AC66">
      <w:pPr>
        <w:pageBreakBefore w:val="0"/>
        <w:kinsoku/>
        <w:wordWrap/>
        <w:overflowPunct/>
        <w:topLinePunct w:val="0"/>
        <w:autoSpaceDE/>
        <w:autoSpaceDN/>
        <w:bidi w:val="0"/>
        <w:adjustRightInd/>
        <w:spacing w:line="360" w:lineRule="auto"/>
        <w:ind w:firstLine="422"/>
        <w:textAlignment w:val="auto"/>
        <w:rPr>
          <w:rFonts w:hint="eastAsia" w:ascii="宋体" w:hAnsi="宋体"/>
          <w:b/>
          <w:color w:val="auto"/>
          <w:szCs w:val="21"/>
          <w:highlight w:val="none"/>
        </w:rPr>
      </w:pPr>
      <w:bookmarkStart w:id="54" w:name="_Toc449016388"/>
      <w:bookmarkStart w:id="55" w:name="_Toc449017024"/>
      <w:r>
        <w:rPr>
          <w:rFonts w:hint="eastAsia" w:ascii="宋体" w:hAnsi="宋体"/>
          <w:b/>
          <w:color w:val="auto"/>
          <w:szCs w:val="21"/>
          <w:highlight w:val="none"/>
        </w:rPr>
        <w:t>二、政府采购政策功能落实</w:t>
      </w:r>
      <w:bookmarkEnd w:id="54"/>
      <w:bookmarkEnd w:id="55"/>
    </w:p>
    <w:p w14:paraId="4896B45B">
      <w:pPr>
        <w:spacing w:before="120" w:after="120" w:line="360" w:lineRule="auto"/>
        <w:ind w:firstLine="441"/>
        <w:jc w:val="left"/>
        <w:rPr>
          <w:rFonts w:hint="eastAsia" w:ascii="宋体" w:hAnsi="宋体"/>
          <w:sz w:val="21"/>
          <w:szCs w:val="21"/>
        </w:rPr>
      </w:pPr>
      <w:r>
        <w:rPr>
          <w:rFonts w:hint="eastAsia" w:ascii="宋体" w:hAnsi="宋体"/>
          <w:b/>
          <w:sz w:val="21"/>
          <w:szCs w:val="21"/>
        </w:rPr>
        <w:t>本项目专门面向中小企业采购</w:t>
      </w:r>
    </w:p>
    <w:p w14:paraId="31537663">
      <w:pPr>
        <w:pStyle w:val="22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r>
        <w:rPr>
          <w:rFonts w:hint="eastAsia" w:ascii="宋体" w:hAnsi="宋体" w:eastAsia="宋体" w:cs="宋体"/>
          <w:sz w:val="21"/>
          <w:szCs w:val="21"/>
        </w:rPr>
        <w:t>1、小微型企业价格扣除</w:t>
      </w:r>
    </w:p>
    <w:p w14:paraId="7593648B">
      <w:pPr>
        <w:pStyle w:val="226"/>
        <w:keepNext w:val="0"/>
        <w:keepLines w:val="0"/>
        <w:pageBreakBefore w:val="0"/>
        <w:widowControl w:val="0"/>
        <w:kinsoku/>
        <w:wordWrap/>
        <w:overflowPunct/>
        <w:topLinePunct w:val="0"/>
        <w:autoSpaceDE/>
        <w:autoSpaceDN/>
        <w:bidi w:val="0"/>
        <w:adjustRightInd/>
        <w:snapToGrid/>
        <w:spacing w:line="360" w:lineRule="auto"/>
        <w:ind w:firstLine="360"/>
        <w:textAlignment w:val="auto"/>
        <w:rPr>
          <w:rFonts w:hint="eastAsia" w:ascii="宋体" w:hAnsi="宋体" w:eastAsia="宋体" w:cs="宋体"/>
          <w:sz w:val="21"/>
          <w:szCs w:val="21"/>
        </w:rPr>
      </w:pPr>
      <w:r>
        <w:rPr>
          <w:rFonts w:hint="eastAsia" w:ascii="宋体" w:hAnsi="宋体" w:eastAsia="宋体" w:cs="宋体"/>
          <w:color w:val="000000"/>
          <w:sz w:val="21"/>
          <w:szCs w:val="21"/>
        </w:rPr>
        <w:t>（1）</w:t>
      </w:r>
      <w:r>
        <w:rPr>
          <w:rFonts w:hint="eastAsia" w:ascii="宋体" w:hAnsi="宋体" w:eastAsia="宋体" w:cs="宋体"/>
          <w:color w:val="0000FF"/>
          <w:sz w:val="21"/>
          <w:szCs w:val="21"/>
        </w:rPr>
        <w:t xml:space="preserve"> </w:t>
      </w:r>
      <w:r>
        <w:rPr>
          <w:rFonts w:hint="eastAsia" w:ascii="宋体" w:hAnsi="宋体" w:eastAsia="宋体" w:cs="宋体"/>
          <w:sz w:val="21"/>
          <w:szCs w:val="21"/>
        </w:rPr>
        <w:t>对小型和微型企业提供的服务给予</w:t>
      </w:r>
      <w:r>
        <w:rPr>
          <w:rFonts w:hint="eastAsia" w:ascii="宋体" w:hAnsi="宋体" w:eastAsia="宋体" w:cs="宋体"/>
          <w:color w:val="000000"/>
          <w:sz w:val="21"/>
          <w:szCs w:val="21"/>
          <w:u w:val="single"/>
        </w:rPr>
        <w:t xml:space="preserve"> </w:t>
      </w:r>
      <w:r>
        <w:rPr>
          <w:rFonts w:hint="eastAsia" w:ascii="宋体" w:hAnsi="宋体" w:cs="宋体"/>
          <w:color w:val="000000"/>
          <w:sz w:val="21"/>
          <w:szCs w:val="21"/>
          <w:u w:val="single"/>
          <w:lang w:val="en-US" w:eastAsia="zh-CN"/>
        </w:rPr>
        <w:t>20%</w:t>
      </w:r>
      <w:r>
        <w:rPr>
          <w:rFonts w:hint="eastAsia" w:ascii="宋体" w:hAnsi="宋体" w:eastAsia="宋体" w:cs="宋体"/>
          <w:color w:val="000000"/>
          <w:sz w:val="21"/>
          <w:szCs w:val="21"/>
          <w:u w:val="single"/>
        </w:rPr>
        <w:t xml:space="preserve"> </w:t>
      </w:r>
      <w:r>
        <w:rPr>
          <w:rFonts w:hint="eastAsia" w:ascii="宋体" w:hAnsi="宋体" w:eastAsia="宋体" w:cs="宋体"/>
          <w:sz w:val="21"/>
          <w:szCs w:val="21"/>
        </w:rPr>
        <w:t>的扣除价格，用扣除后的价格参与评审。</w:t>
      </w:r>
    </w:p>
    <w:p w14:paraId="6A753A6B">
      <w:pPr>
        <w:pStyle w:val="226"/>
        <w:keepNext w:val="0"/>
        <w:keepLines w:val="0"/>
        <w:pageBreakBefore w:val="0"/>
        <w:widowControl w:val="0"/>
        <w:kinsoku/>
        <w:wordWrap/>
        <w:overflowPunct/>
        <w:topLinePunct w:val="0"/>
        <w:autoSpaceDE/>
        <w:autoSpaceDN/>
        <w:bidi w:val="0"/>
        <w:adjustRightInd/>
        <w:snapToGrid/>
        <w:spacing w:line="360" w:lineRule="auto"/>
        <w:ind w:firstLine="360"/>
        <w:textAlignment w:val="auto"/>
        <w:rPr>
          <w:rFonts w:hint="eastAsia" w:ascii="宋体" w:hAnsi="宋体" w:eastAsia="宋体" w:cs="宋体"/>
          <w:sz w:val="21"/>
          <w:szCs w:val="21"/>
        </w:rPr>
      </w:pPr>
      <w:r>
        <w:rPr>
          <w:rFonts w:hint="eastAsia" w:ascii="宋体" w:hAnsi="宋体" w:eastAsia="宋体" w:cs="宋体"/>
          <w:sz w:val="21"/>
          <w:szCs w:val="21"/>
        </w:rPr>
        <w:t>（2）供应商需按照采购文件的要求提供相应的《小微企业声明函》。</w:t>
      </w:r>
    </w:p>
    <w:p w14:paraId="1AB87C4E">
      <w:pPr>
        <w:pStyle w:val="226"/>
        <w:keepNext w:val="0"/>
        <w:keepLines w:val="0"/>
        <w:pageBreakBefore w:val="0"/>
        <w:widowControl w:val="0"/>
        <w:kinsoku/>
        <w:wordWrap/>
        <w:overflowPunct/>
        <w:topLinePunct w:val="0"/>
        <w:autoSpaceDE/>
        <w:autoSpaceDN/>
        <w:bidi w:val="0"/>
        <w:adjustRightInd/>
        <w:snapToGrid/>
        <w:spacing w:line="360" w:lineRule="auto"/>
        <w:ind w:firstLine="360"/>
        <w:textAlignment w:val="auto"/>
        <w:rPr>
          <w:rFonts w:hint="eastAsia" w:ascii="宋体" w:hAnsi="宋体" w:eastAsia="宋体" w:cs="宋体"/>
          <w:sz w:val="21"/>
          <w:szCs w:val="21"/>
        </w:rPr>
      </w:pPr>
      <w:r>
        <w:rPr>
          <w:rFonts w:hint="eastAsia" w:ascii="宋体" w:hAnsi="宋体" w:eastAsia="宋体" w:cs="宋体"/>
          <w:sz w:val="21"/>
          <w:szCs w:val="21"/>
        </w:rPr>
        <w:t>（3）企业标准请参照《关于印发中小企业划型标准规定的通知》（工信部联企业[2011]300号）文件规定自行填写。</w:t>
      </w:r>
    </w:p>
    <w:p w14:paraId="0ABCE934">
      <w:pPr>
        <w:pStyle w:val="22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r>
        <w:rPr>
          <w:rFonts w:hint="eastAsia" w:ascii="宋体" w:hAnsi="宋体" w:eastAsia="宋体" w:cs="宋体"/>
          <w:sz w:val="21"/>
          <w:szCs w:val="21"/>
        </w:rPr>
        <w:t>2、残疾人福利单位价格扣除</w:t>
      </w:r>
    </w:p>
    <w:p w14:paraId="2CD3A7C6">
      <w:pPr>
        <w:pStyle w:val="226"/>
        <w:keepNext w:val="0"/>
        <w:keepLines w:val="0"/>
        <w:pageBreakBefore w:val="0"/>
        <w:widowControl w:val="0"/>
        <w:kinsoku/>
        <w:wordWrap/>
        <w:overflowPunct/>
        <w:topLinePunct w:val="0"/>
        <w:autoSpaceDE/>
        <w:autoSpaceDN/>
        <w:bidi w:val="0"/>
        <w:adjustRightInd/>
        <w:snapToGrid/>
        <w:spacing w:line="360" w:lineRule="auto"/>
        <w:ind w:left="120" w:firstLine="360"/>
        <w:textAlignment w:val="auto"/>
        <w:rPr>
          <w:rFonts w:hint="eastAsia" w:ascii="宋体" w:hAnsi="宋体" w:eastAsia="宋体" w:cs="宋体"/>
          <w:sz w:val="21"/>
          <w:szCs w:val="21"/>
        </w:rPr>
      </w:pPr>
      <w:r>
        <w:rPr>
          <w:rFonts w:hint="eastAsia" w:ascii="宋体" w:hAnsi="宋体" w:eastAsia="宋体" w:cs="宋体"/>
          <w:color w:val="000000"/>
          <w:sz w:val="21"/>
          <w:szCs w:val="21"/>
        </w:rPr>
        <w:t>（1）</w:t>
      </w:r>
      <w:r>
        <w:rPr>
          <w:rFonts w:hint="eastAsia" w:ascii="宋体" w:hAnsi="宋体" w:eastAsia="宋体" w:cs="宋体"/>
          <w:sz w:val="21"/>
          <w:szCs w:val="21"/>
        </w:rPr>
        <w:t>对残疾人福利性单位视同小型、微型企业，给予</w:t>
      </w:r>
      <w:r>
        <w:rPr>
          <w:rFonts w:hint="eastAsia" w:ascii="宋体" w:hAnsi="宋体" w:eastAsia="宋体" w:cs="宋体"/>
          <w:color w:val="000000"/>
          <w:sz w:val="21"/>
          <w:szCs w:val="21"/>
          <w:u w:val="single"/>
        </w:rPr>
        <w:t xml:space="preserve"> </w:t>
      </w:r>
      <w:r>
        <w:rPr>
          <w:rFonts w:hint="eastAsia" w:ascii="宋体" w:hAnsi="宋体" w:cs="宋体"/>
          <w:color w:val="000000"/>
          <w:sz w:val="21"/>
          <w:szCs w:val="21"/>
          <w:u w:val="single"/>
          <w:lang w:val="en-US" w:eastAsia="zh-CN"/>
        </w:rPr>
        <w:t>20%</w:t>
      </w:r>
      <w:r>
        <w:rPr>
          <w:rFonts w:hint="eastAsia" w:ascii="宋体" w:hAnsi="宋体" w:eastAsia="宋体" w:cs="宋体"/>
          <w:color w:val="000000"/>
          <w:sz w:val="21"/>
          <w:szCs w:val="21"/>
          <w:u w:val="single"/>
        </w:rPr>
        <w:t xml:space="preserve">  </w:t>
      </w:r>
      <w:r>
        <w:rPr>
          <w:rFonts w:hint="eastAsia" w:ascii="宋体" w:hAnsi="宋体" w:eastAsia="宋体" w:cs="宋体"/>
          <w:sz w:val="21"/>
          <w:szCs w:val="21"/>
        </w:rPr>
        <w:t>的价格扣除，用扣除后的价格参与评审。</w:t>
      </w:r>
    </w:p>
    <w:p w14:paraId="321C5C0E">
      <w:pPr>
        <w:pStyle w:val="226"/>
        <w:keepNext w:val="0"/>
        <w:keepLines w:val="0"/>
        <w:pageBreakBefore w:val="0"/>
        <w:widowControl w:val="0"/>
        <w:kinsoku/>
        <w:wordWrap/>
        <w:overflowPunct/>
        <w:topLinePunct w:val="0"/>
        <w:autoSpaceDE/>
        <w:autoSpaceDN/>
        <w:bidi w:val="0"/>
        <w:adjustRightInd/>
        <w:snapToGrid/>
        <w:spacing w:line="360" w:lineRule="auto"/>
        <w:ind w:left="120" w:firstLine="360"/>
        <w:textAlignment w:val="auto"/>
        <w:rPr>
          <w:rFonts w:hint="eastAsia" w:ascii="宋体" w:hAnsi="宋体" w:eastAsia="宋体" w:cs="宋体"/>
          <w:sz w:val="21"/>
          <w:szCs w:val="21"/>
        </w:rPr>
      </w:pPr>
      <w:r>
        <w:rPr>
          <w:rFonts w:hint="eastAsia" w:ascii="宋体" w:hAnsi="宋体" w:eastAsia="宋体" w:cs="宋体"/>
          <w:sz w:val="21"/>
          <w:szCs w:val="21"/>
        </w:rPr>
        <w:t>（2）残疾人福利单位需按照采购文件的要求提供《残疾人福利性单位声明函》。</w:t>
      </w:r>
    </w:p>
    <w:p w14:paraId="008ADDA5">
      <w:pPr>
        <w:pStyle w:val="226"/>
        <w:keepNext w:val="0"/>
        <w:keepLines w:val="0"/>
        <w:pageBreakBefore w:val="0"/>
        <w:widowControl w:val="0"/>
        <w:kinsoku/>
        <w:wordWrap/>
        <w:overflowPunct/>
        <w:topLinePunct w:val="0"/>
        <w:autoSpaceDE/>
        <w:autoSpaceDN/>
        <w:bidi w:val="0"/>
        <w:adjustRightInd/>
        <w:snapToGrid/>
        <w:spacing w:line="360" w:lineRule="auto"/>
        <w:ind w:left="120" w:firstLine="360"/>
        <w:textAlignment w:val="auto"/>
        <w:rPr>
          <w:rFonts w:hint="eastAsia" w:ascii="宋体" w:hAnsi="宋体" w:eastAsia="宋体" w:cs="宋体"/>
          <w:sz w:val="21"/>
          <w:szCs w:val="21"/>
        </w:rPr>
      </w:pPr>
      <w:r>
        <w:rPr>
          <w:rFonts w:hint="eastAsia" w:ascii="宋体" w:hAnsi="宋体" w:eastAsia="宋体" w:cs="宋体"/>
          <w:sz w:val="21"/>
          <w:szCs w:val="21"/>
        </w:rPr>
        <w:t>（3）残疾人福利单位标准请参照《关于促进残疾人就业政府采购政策的通知》（财库〔2017〕141号）。</w:t>
      </w:r>
    </w:p>
    <w:p w14:paraId="4F13866A">
      <w:pPr>
        <w:pStyle w:val="22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r>
        <w:rPr>
          <w:rFonts w:hint="eastAsia" w:ascii="宋体" w:hAnsi="宋体" w:eastAsia="宋体" w:cs="宋体"/>
          <w:sz w:val="21"/>
          <w:szCs w:val="21"/>
        </w:rPr>
        <w:t>3、监狱和戒毒企业价格扣除</w:t>
      </w:r>
    </w:p>
    <w:p w14:paraId="44622422">
      <w:pPr>
        <w:pStyle w:val="22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r>
        <w:rPr>
          <w:rFonts w:hint="eastAsia" w:ascii="宋体" w:hAnsi="宋体" w:eastAsia="宋体" w:cs="宋体"/>
          <w:color w:val="000000"/>
          <w:sz w:val="21"/>
          <w:szCs w:val="21"/>
        </w:rPr>
        <w:t>（1）</w:t>
      </w:r>
      <w:r>
        <w:rPr>
          <w:rFonts w:hint="eastAsia" w:ascii="宋体" w:hAnsi="宋体" w:eastAsia="宋体" w:cs="宋体"/>
          <w:sz w:val="21"/>
          <w:szCs w:val="21"/>
        </w:rPr>
        <w:t>对监狱和戒毒企业（简称监狱企业）视同小型、微型企业，给予</w:t>
      </w:r>
      <w:r>
        <w:rPr>
          <w:rFonts w:hint="eastAsia" w:ascii="宋体" w:hAnsi="宋体" w:eastAsia="宋体" w:cs="宋体"/>
          <w:color w:val="000000"/>
          <w:sz w:val="21"/>
          <w:szCs w:val="21"/>
          <w:u w:val="single"/>
        </w:rPr>
        <w:t xml:space="preserve"> </w:t>
      </w:r>
      <w:r>
        <w:rPr>
          <w:rFonts w:hint="eastAsia" w:ascii="宋体" w:hAnsi="宋体" w:cs="宋体"/>
          <w:color w:val="000000"/>
          <w:sz w:val="21"/>
          <w:szCs w:val="21"/>
          <w:u w:val="single"/>
          <w:lang w:val="en-US" w:eastAsia="zh-CN"/>
        </w:rPr>
        <w:t>20%</w:t>
      </w:r>
      <w:r>
        <w:rPr>
          <w:rFonts w:hint="eastAsia" w:ascii="宋体" w:hAnsi="宋体" w:eastAsia="宋体" w:cs="宋体"/>
          <w:color w:val="000000"/>
          <w:sz w:val="21"/>
          <w:szCs w:val="21"/>
          <w:u w:val="single"/>
        </w:rPr>
        <w:t xml:space="preserve">  </w:t>
      </w:r>
      <w:r>
        <w:rPr>
          <w:rFonts w:hint="eastAsia" w:ascii="宋体" w:hAnsi="宋体" w:eastAsia="宋体" w:cs="宋体"/>
          <w:sz w:val="21"/>
          <w:szCs w:val="21"/>
        </w:rPr>
        <w:t>的价格扣除，用扣除后的价格参与评审。</w:t>
      </w:r>
    </w:p>
    <w:p w14:paraId="429E544D">
      <w:pPr>
        <w:pStyle w:val="22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r>
        <w:rPr>
          <w:rFonts w:hint="eastAsia" w:ascii="宋体" w:hAnsi="宋体" w:eastAsia="宋体" w:cs="宋体"/>
          <w:sz w:val="21"/>
          <w:szCs w:val="21"/>
        </w:rPr>
        <w:t>（2）监狱企业参加政府采购活动时，需提供由省级以上监狱管理局、戒毒管理局(含新疆生产建设兵团)出具的属于监狱企业的证明文件。供应商如不提供上述证明文件，价格将不做相应扣除。</w:t>
      </w:r>
    </w:p>
    <w:p w14:paraId="35F132EE">
      <w:pPr>
        <w:pStyle w:val="22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r>
        <w:rPr>
          <w:rFonts w:hint="eastAsia" w:ascii="宋体" w:hAnsi="宋体" w:eastAsia="宋体" w:cs="宋体"/>
          <w:sz w:val="21"/>
          <w:szCs w:val="21"/>
        </w:rPr>
        <w:t>（3）监狱企业标准请参照《关于政府采购支持监狱企业发展有关问题的通知》（财库[2014]68号）。</w:t>
      </w:r>
    </w:p>
    <w:p w14:paraId="65BAB64F">
      <w:pPr>
        <w:pStyle w:val="22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r>
        <w:rPr>
          <w:rFonts w:hint="eastAsia" w:ascii="宋体" w:hAnsi="宋体" w:eastAsia="宋体" w:cs="宋体"/>
          <w:sz w:val="21"/>
          <w:szCs w:val="21"/>
        </w:rPr>
        <w:t>4、残疾人福利单位、监狱企业属于小型、微型企业的，不重复享受政策。</w:t>
      </w:r>
    </w:p>
    <w:p w14:paraId="536F869D">
      <w:pPr>
        <w:pStyle w:val="22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r>
        <w:rPr>
          <w:rFonts w:hint="eastAsia" w:ascii="宋体" w:hAnsi="宋体" w:eastAsia="宋体" w:cs="宋体"/>
          <w:sz w:val="21"/>
          <w:szCs w:val="21"/>
        </w:rPr>
        <w:t>5、</w:t>
      </w:r>
      <w:r>
        <w:rPr>
          <w:rFonts w:hint="eastAsia" w:ascii="宋体" w:hAnsi="宋体" w:eastAsia="宋体" w:cs="宋体"/>
          <w:color w:val="000000"/>
          <w:sz w:val="21"/>
          <w:szCs w:val="21"/>
        </w:rPr>
        <w:t>如果同意</w:t>
      </w:r>
      <w:r>
        <w:rPr>
          <w:rFonts w:hint="eastAsia" w:ascii="宋体" w:hAnsi="宋体" w:eastAsia="宋体" w:cs="宋体"/>
          <w:sz w:val="21"/>
          <w:szCs w:val="21"/>
        </w:rPr>
        <w:t>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sz w:val="21"/>
          <w:szCs w:val="21"/>
          <w:u w:val="single"/>
        </w:rPr>
        <w:t xml:space="preserve"> </w:t>
      </w:r>
      <w:r>
        <w:rPr>
          <w:rFonts w:hint="eastAsia" w:ascii="宋体" w:hAnsi="宋体" w:cs="宋体"/>
          <w:color w:val="000000"/>
          <w:sz w:val="21"/>
          <w:szCs w:val="21"/>
          <w:u w:val="single"/>
          <w:lang w:val="en-US" w:eastAsia="zh-CN"/>
        </w:rPr>
        <w:t>6%</w:t>
      </w:r>
      <w:r>
        <w:rPr>
          <w:rFonts w:hint="eastAsia" w:ascii="宋体" w:hAnsi="宋体" w:eastAsia="宋体" w:cs="宋体"/>
          <w:sz w:val="21"/>
          <w:szCs w:val="21"/>
          <w:u w:val="single"/>
        </w:rPr>
        <w:t xml:space="preserve">  </w:t>
      </w:r>
      <w:r>
        <w:rPr>
          <w:rFonts w:hint="eastAsia" w:ascii="宋体" w:hAnsi="宋体" w:eastAsia="宋体" w:cs="宋体"/>
          <w:sz w:val="21"/>
          <w:szCs w:val="21"/>
        </w:rPr>
        <w:t>的价格扣除，用扣除后的价格参与评审。</w:t>
      </w:r>
    </w:p>
    <w:p w14:paraId="3B8249A4">
      <w:pPr>
        <w:pStyle w:val="226"/>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rPr>
      </w:pPr>
      <w:r>
        <w:rPr>
          <w:rFonts w:hint="eastAsia" w:ascii="宋体" w:hAnsi="宋体" w:eastAsia="宋体" w:cs="宋体"/>
          <w:sz w:val="21"/>
          <w:szCs w:val="21"/>
        </w:rPr>
        <w:t>6、联合体各方均为小型、微型企业（残疾人福利单位、监狱企业）的，联合体享受</w:t>
      </w:r>
      <w:r>
        <w:rPr>
          <w:rFonts w:hint="eastAsia" w:ascii="宋体" w:hAnsi="宋体" w:eastAsia="宋体" w:cs="宋体"/>
          <w:color w:val="000000"/>
          <w:sz w:val="21"/>
          <w:szCs w:val="21"/>
          <w:u w:val="single"/>
        </w:rPr>
        <w:t xml:space="preserve"> </w:t>
      </w:r>
      <w:r>
        <w:rPr>
          <w:rFonts w:hint="eastAsia" w:ascii="宋体" w:hAnsi="宋体" w:cs="宋体"/>
          <w:color w:val="000000"/>
          <w:sz w:val="21"/>
          <w:szCs w:val="21"/>
          <w:u w:val="single"/>
          <w:lang w:val="en-US" w:eastAsia="zh-CN"/>
        </w:rPr>
        <w:t>20%</w:t>
      </w:r>
      <w:r>
        <w:rPr>
          <w:rFonts w:hint="eastAsia" w:ascii="宋体" w:hAnsi="宋体" w:eastAsia="宋体" w:cs="宋体"/>
          <w:color w:val="000000"/>
          <w:sz w:val="21"/>
          <w:szCs w:val="21"/>
          <w:u w:val="single"/>
        </w:rPr>
        <w:t xml:space="preserve"> </w:t>
      </w:r>
      <w:r>
        <w:rPr>
          <w:rFonts w:hint="eastAsia" w:ascii="宋体" w:hAnsi="宋体" w:eastAsia="宋体" w:cs="宋体"/>
          <w:sz w:val="21"/>
          <w:szCs w:val="21"/>
        </w:rPr>
        <w:t>价格扣除，用扣除后的价格参与评审。</w:t>
      </w:r>
    </w:p>
    <w:p w14:paraId="224C50FD">
      <w:pPr>
        <w:pStyle w:val="226"/>
        <w:keepNext w:val="0"/>
        <w:keepLines w:val="0"/>
        <w:pageBreakBefore w:val="0"/>
        <w:widowControl w:val="0"/>
        <w:kinsoku/>
        <w:wordWrap/>
        <w:overflowPunct/>
        <w:topLinePunct w:val="0"/>
        <w:autoSpaceDE/>
        <w:autoSpaceDN/>
        <w:bidi w:val="0"/>
        <w:adjustRightInd/>
        <w:spacing w:before="0" w:after="0" w:line="360" w:lineRule="auto"/>
        <w:ind w:firstLine="0"/>
        <w:textAlignment w:val="auto"/>
        <w:rPr>
          <w:rFonts w:hint="eastAsia" w:ascii="宋体" w:hAnsi="宋体" w:eastAsia="宋体" w:cs="宋体"/>
          <w:b/>
          <w:color w:val="auto"/>
          <w:sz w:val="21"/>
          <w:szCs w:val="21"/>
          <w:highlight w:val="none"/>
        </w:rPr>
      </w:pPr>
      <w:r>
        <w:rPr>
          <w:rFonts w:hint="eastAsia" w:ascii="宋体" w:hAnsi="宋体"/>
          <w:b/>
          <w:color w:val="auto"/>
          <w:szCs w:val="21"/>
          <w:highlight w:val="none"/>
        </w:rPr>
        <w:t>三、评标标准</w:t>
      </w:r>
    </w:p>
    <w:tbl>
      <w:tblPr>
        <w:tblStyle w:val="241"/>
        <w:tblW w:w="8648"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76"/>
        <w:gridCol w:w="7372"/>
      </w:tblGrid>
      <w:tr w14:paraId="01D17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3" w:hRule="atLeast"/>
        </w:trPr>
        <w:tc>
          <w:tcPr>
            <w:tcW w:w="1276" w:type="dxa"/>
          </w:tcPr>
          <w:p w14:paraId="48DB4171">
            <w:pPr>
              <w:keepNext w:val="0"/>
              <w:keepLines w:val="0"/>
              <w:pageBreakBefore w:val="0"/>
              <w:widowControl w:val="0"/>
              <w:kinsoku/>
              <w:wordWrap/>
              <w:overflowPunct/>
              <w:topLinePunct w:val="0"/>
              <w:autoSpaceDE/>
              <w:autoSpaceDN/>
              <w:bidi w:val="0"/>
              <w:adjustRightInd/>
              <w:snapToGrid/>
              <w:spacing w:line="360" w:lineRule="auto"/>
              <w:ind w:left="330"/>
              <w:textAlignment w:val="auto"/>
              <w:rPr>
                <w:rFonts w:ascii="宋体" w:hAnsi="宋体" w:eastAsia="宋体" w:cs="宋体"/>
                <w:snapToGrid w:val="0"/>
                <w:color w:val="000000" w:themeColor="text1"/>
                <w:kern w:val="0"/>
                <w14:textFill>
                  <w14:solidFill>
                    <w14:schemeClr w14:val="tx1"/>
                  </w14:solidFill>
                </w14:textFill>
              </w:rPr>
            </w:pPr>
            <w:r>
              <w:rPr>
                <w:rFonts w:ascii="宋体" w:hAnsi="宋体" w:eastAsia="宋体" w:cs="宋体"/>
                <w:snapToGrid w:val="0"/>
                <w:color w:val="000000" w:themeColor="text1"/>
                <w:spacing w:val="10"/>
                <w:kern w:val="0"/>
                <w14:textFill>
                  <w14:solidFill>
                    <w14:schemeClr w14:val="tx1"/>
                  </w14:solidFill>
                </w14:textFill>
              </w:rPr>
              <w:t>项</w:t>
            </w:r>
            <w:r>
              <w:rPr>
                <w:rFonts w:ascii="宋体" w:hAnsi="宋体" w:eastAsia="宋体" w:cs="宋体"/>
                <w:snapToGrid w:val="0"/>
                <w:color w:val="000000" w:themeColor="text1"/>
                <w:spacing w:val="9"/>
                <w:kern w:val="0"/>
                <w14:textFill>
                  <w14:solidFill>
                    <w14:schemeClr w14:val="tx1"/>
                  </w14:solidFill>
                </w14:textFill>
              </w:rPr>
              <w:t>目</w:t>
            </w:r>
          </w:p>
        </w:tc>
        <w:tc>
          <w:tcPr>
            <w:tcW w:w="7372" w:type="dxa"/>
          </w:tcPr>
          <w:p w14:paraId="1B75ADC0">
            <w:pPr>
              <w:keepNext w:val="0"/>
              <w:keepLines w:val="0"/>
              <w:pageBreakBefore w:val="0"/>
              <w:widowControl w:val="0"/>
              <w:kinsoku/>
              <w:wordWrap/>
              <w:overflowPunct/>
              <w:topLinePunct w:val="0"/>
              <w:autoSpaceDE/>
              <w:autoSpaceDN/>
              <w:bidi w:val="0"/>
              <w:adjustRightInd/>
              <w:snapToGrid/>
              <w:spacing w:line="360" w:lineRule="auto"/>
              <w:ind w:left="2948"/>
              <w:textAlignment w:val="auto"/>
              <w:rPr>
                <w:rFonts w:ascii="宋体" w:hAnsi="宋体" w:eastAsia="宋体" w:cs="宋体"/>
                <w:snapToGrid w:val="0"/>
                <w:color w:val="000000" w:themeColor="text1"/>
                <w:kern w:val="0"/>
                <w14:textFill>
                  <w14:solidFill>
                    <w14:schemeClr w14:val="tx1"/>
                  </w14:solidFill>
                </w14:textFill>
              </w:rPr>
            </w:pPr>
            <w:r>
              <w:rPr>
                <w:rFonts w:ascii="宋体" w:hAnsi="宋体" w:eastAsia="宋体" w:cs="宋体"/>
                <w:snapToGrid w:val="0"/>
                <w:color w:val="000000" w:themeColor="text1"/>
                <w:spacing w:val="1"/>
                <w:kern w:val="0"/>
                <w14:textFill>
                  <w14:solidFill>
                    <w14:schemeClr w14:val="tx1"/>
                  </w14:solidFill>
                </w14:textFill>
              </w:rPr>
              <w:t>评分标准</w:t>
            </w:r>
          </w:p>
        </w:tc>
      </w:tr>
      <w:tr w14:paraId="045E6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80" w:hRule="atLeast"/>
        </w:trPr>
        <w:tc>
          <w:tcPr>
            <w:tcW w:w="1276" w:type="dxa"/>
            <w:vAlign w:val="center"/>
          </w:tcPr>
          <w:p w14:paraId="19233603">
            <w:pPr>
              <w:keepNext w:val="0"/>
              <w:keepLines w:val="0"/>
              <w:pageBreakBefore w:val="0"/>
              <w:widowControl w:val="0"/>
              <w:kinsoku/>
              <w:wordWrap/>
              <w:overflowPunct/>
              <w:topLinePunct w:val="0"/>
              <w:autoSpaceDE/>
              <w:autoSpaceDN/>
              <w:bidi w:val="0"/>
              <w:adjustRightInd/>
              <w:snapToGrid/>
              <w:spacing w:line="360" w:lineRule="auto"/>
              <w:ind w:right="201"/>
              <w:jc w:val="center"/>
              <w:textAlignment w:val="auto"/>
              <w:rPr>
                <w:rFonts w:ascii="宋体" w:hAnsi="宋体" w:eastAsia="宋体" w:cs="宋体"/>
                <w:snapToGrid w:val="0"/>
                <w:color w:val="000000" w:themeColor="text1"/>
                <w:spacing w:val="-3"/>
                <w:kern w:val="0"/>
                <w14:textFill>
                  <w14:solidFill>
                    <w14:schemeClr w14:val="tx1"/>
                  </w14:solidFill>
                </w14:textFill>
              </w:rPr>
            </w:pPr>
            <w:r>
              <w:rPr>
                <w:rFonts w:ascii="宋体" w:hAnsi="宋体" w:eastAsia="宋体" w:cs="宋体"/>
                <w:snapToGrid w:val="0"/>
                <w:color w:val="000000" w:themeColor="text1"/>
                <w:spacing w:val="-4"/>
                <w:kern w:val="0"/>
                <w14:textFill>
                  <w14:solidFill>
                    <w14:schemeClr w14:val="tx1"/>
                  </w14:solidFill>
                </w14:textFill>
              </w:rPr>
              <w:t>价</w:t>
            </w:r>
            <w:r>
              <w:rPr>
                <w:rFonts w:ascii="宋体" w:hAnsi="宋体" w:eastAsia="宋体" w:cs="宋体"/>
                <w:snapToGrid w:val="0"/>
                <w:color w:val="000000" w:themeColor="text1"/>
                <w:spacing w:val="-3"/>
                <w:kern w:val="0"/>
                <w14:textFill>
                  <w14:solidFill>
                    <w14:schemeClr w14:val="tx1"/>
                  </w14:solidFill>
                </w14:textFill>
              </w:rPr>
              <w:t>格</w:t>
            </w:r>
          </w:p>
          <w:p w14:paraId="45C2EB4B">
            <w:pPr>
              <w:keepNext w:val="0"/>
              <w:keepLines w:val="0"/>
              <w:pageBreakBefore w:val="0"/>
              <w:widowControl w:val="0"/>
              <w:kinsoku/>
              <w:wordWrap/>
              <w:overflowPunct/>
              <w:topLinePunct w:val="0"/>
              <w:autoSpaceDE/>
              <w:autoSpaceDN/>
              <w:bidi w:val="0"/>
              <w:adjustRightInd/>
              <w:snapToGrid/>
              <w:spacing w:line="360" w:lineRule="auto"/>
              <w:ind w:right="201"/>
              <w:jc w:val="center"/>
              <w:textAlignment w:val="auto"/>
              <w:rPr>
                <w:rFonts w:ascii="宋体" w:hAnsi="宋体" w:eastAsia="宋体" w:cs="宋体"/>
                <w:snapToGrid w:val="0"/>
                <w:color w:val="000000" w:themeColor="text1"/>
                <w:kern w:val="0"/>
                <w14:textFill>
                  <w14:solidFill>
                    <w14:schemeClr w14:val="tx1"/>
                  </w14:solidFill>
                </w14:textFill>
              </w:rPr>
            </w:pPr>
            <w:r>
              <w:rPr>
                <w:rFonts w:ascii="宋体" w:hAnsi="宋体" w:eastAsia="宋体" w:cs="宋体"/>
                <w:snapToGrid w:val="0"/>
                <w:color w:val="000000" w:themeColor="text1"/>
                <w:spacing w:val="8"/>
                <w:kern w:val="0"/>
                <w14:textFill>
                  <w14:solidFill>
                    <w14:schemeClr w14:val="tx1"/>
                  </w14:solidFill>
                </w14:textFill>
              </w:rPr>
              <w:t>(</w:t>
            </w:r>
            <w:r>
              <w:rPr>
                <w:rFonts w:ascii="宋体" w:hAnsi="宋体" w:eastAsia="宋体" w:cs="宋体"/>
                <w:snapToGrid w:val="0"/>
                <w:color w:val="000000" w:themeColor="text1"/>
                <w:spacing w:val="4"/>
                <w:kern w:val="0"/>
                <w14:textFill>
                  <w14:solidFill>
                    <w14:schemeClr w14:val="tx1"/>
                  </w14:solidFill>
                </w14:textFill>
              </w:rPr>
              <w:t>1</w:t>
            </w:r>
            <w:r>
              <w:rPr>
                <w:rFonts w:hint="eastAsia" w:ascii="宋体" w:hAnsi="宋体" w:cs="宋体"/>
                <w:snapToGrid w:val="0"/>
                <w:color w:val="000000" w:themeColor="text1"/>
                <w:spacing w:val="4"/>
                <w:kern w:val="0"/>
                <w:lang w:val="en-US" w:eastAsia="zh-CN"/>
                <w14:textFill>
                  <w14:solidFill>
                    <w14:schemeClr w14:val="tx1"/>
                  </w14:solidFill>
                </w14:textFill>
              </w:rPr>
              <w:t>5</w:t>
            </w:r>
            <w:r>
              <w:rPr>
                <w:rFonts w:ascii="宋体" w:hAnsi="宋体" w:eastAsia="宋体" w:cs="宋体"/>
                <w:snapToGrid w:val="0"/>
                <w:color w:val="000000" w:themeColor="text1"/>
                <w:spacing w:val="4"/>
                <w:kern w:val="0"/>
                <w14:textFill>
                  <w14:solidFill>
                    <w14:schemeClr w14:val="tx1"/>
                  </w14:solidFill>
                </w14:textFill>
              </w:rPr>
              <w:t>分)</w:t>
            </w:r>
          </w:p>
        </w:tc>
        <w:tc>
          <w:tcPr>
            <w:tcW w:w="7372" w:type="dxa"/>
          </w:tcPr>
          <w:p w14:paraId="50D5FC9D">
            <w:pPr>
              <w:keepNext w:val="0"/>
              <w:keepLines w:val="0"/>
              <w:pageBreakBefore w:val="0"/>
              <w:widowControl w:val="0"/>
              <w:kinsoku/>
              <w:wordWrap/>
              <w:overflowPunct/>
              <w:topLinePunct w:val="0"/>
              <w:autoSpaceDE/>
              <w:autoSpaceDN/>
              <w:bidi w:val="0"/>
              <w:adjustRightInd/>
              <w:snapToGrid/>
              <w:spacing w:line="360" w:lineRule="auto"/>
              <w:ind w:left="109" w:right="119"/>
              <w:textAlignment w:val="auto"/>
              <w:rPr>
                <w:rFonts w:ascii="宋体" w:hAnsi="宋体" w:eastAsia="宋体" w:cs="宋体"/>
                <w:snapToGrid w:val="0"/>
                <w:color w:val="000000" w:themeColor="text1"/>
                <w:kern w:val="0"/>
                <w14:textFill>
                  <w14:solidFill>
                    <w14:schemeClr w14:val="tx1"/>
                  </w14:solidFill>
                </w14:textFill>
              </w:rPr>
            </w:pPr>
            <w:r>
              <w:rPr>
                <w:rFonts w:hint="eastAsia" w:ascii="宋体" w:hAnsi="宋体" w:eastAsia="宋体" w:cs="宋体"/>
                <w:snapToGrid w:val="0"/>
                <w:color w:val="000000" w:themeColor="text1"/>
                <w:kern w:val="0"/>
                <w14:textFill>
                  <w14:solidFill>
                    <w14:schemeClr w14:val="tx1"/>
                  </w14:solidFill>
                </w14:textFill>
              </w:rPr>
              <w:t>满足招标文件要求且投标价格最低的有效投标报价为评标基准价，其价格分为满分。其他投标人的价格分统一按照下列公式计算：</w:t>
            </w:r>
          </w:p>
          <w:p w14:paraId="5A6C89A9">
            <w:pPr>
              <w:keepNext w:val="0"/>
              <w:keepLines w:val="0"/>
              <w:pageBreakBefore w:val="0"/>
              <w:widowControl w:val="0"/>
              <w:kinsoku/>
              <w:wordWrap/>
              <w:overflowPunct/>
              <w:topLinePunct w:val="0"/>
              <w:autoSpaceDE/>
              <w:autoSpaceDN/>
              <w:bidi w:val="0"/>
              <w:adjustRightInd/>
              <w:snapToGrid/>
              <w:spacing w:line="360" w:lineRule="auto"/>
              <w:ind w:left="109" w:right="119"/>
              <w:textAlignment w:val="auto"/>
              <w:rPr>
                <w:rFonts w:hint="eastAsia" w:ascii="宋体" w:hAnsi="宋体" w:cs="宋体"/>
                <w:snapToGrid w:val="0"/>
                <w:color w:val="000000" w:themeColor="text1"/>
                <w:kern w:val="0"/>
                <w14:textFill>
                  <w14:solidFill>
                    <w14:schemeClr w14:val="tx1"/>
                  </w14:solidFill>
                </w14:textFill>
              </w:rPr>
            </w:pPr>
            <w:r>
              <w:rPr>
                <w:rFonts w:hint="eastAsia" w:ascii="宋体" w:hAnsi="宋体" w:eastAsia="宋体" w:cs="宋体"/>
                <w:snapToGrid w:val="0"/>
                <w:color w:val="000000" w:themeColor="text1"/>
                <w:kern w:val="0"/>
                <w14:textFill>
                  <w14:solidFill>
                    <w14:schemeClr w14:val="tx1"/>
                  </w14:solidFill>
                </w14:textFill>
              </w:rPr>
              <w:t>投标报价得分=(评标基准价／投标报价)×</w:t>
            </w:r>
            <w:r>
              <w:rPr>
                <w:rFonts w:ascii="宋体" w:hAnsi="宋体" w:eastAsia="宋体" w:cs="宋体"/>
                <w:snapToGrid w:val="0"/>
                <w:color w:val="000000" w:themeColor="text1"/>
                <w:kern w:val="0"/>
                <w14:textFill>
                  <w14:solidFill>
                    <w14:schemeClr w14:val="tx1"/>
                  </w14:solidFill>
                </w14:textFill>
              </w:rPr>
              <w:t>1</w:t>
            </w:r>
            <w:r>
              <w:rPr>
                <w:rFonts w:hint="eastAsia" w:ascii="宋体" w:hAnsi="宋体" w:cs="宋体"/>
                <w:snapToGrid w:val="0"/>
                <w:color w:val="000000" w:themeColor="text1"/>
                <w:kern w:val="0"/>
                <w:lang w:val="en-US" w:eastAsia="zh-CN"/>
                <w14:textFill>
                  <w14:solidFill>
                    <w14:schemeClr w14:val="tx1"/>
                  </w14:solidFill>
                </w14:textFill>
              </w:rPr>
              <w:t>5</w:t>
            </w:r>
            <w:r>
              <w:rPr>
                <w:rFonts w:hint="eastAsia" w:ascii="宋体" w:hAnsi="宋体" w:eastAsia="宋体" w:cs="宋体"/>
                <w:snapToGrid w:val="0"/>
                <w:color w:val="000000" w:themeColor="text1"/>
                <w:kern w:val="0"/>
                <w14:textFill>
                  <w14:solidFill>
                    <w14:schemeClr w14:val="tx1"/>
                  </w14:solidFill>
                </w14:textFill>
              </w:rPr>
              <w:t>×100%。（小数点保留两位）</w:t>
            </w:r>
            <w:r>
              <w:rPr>
                <w:rFonts w:ascii="宋体" w:hAnsi="宋体" w:eastAsia="宋体" w:cs="宋体"/>
                <w:snapToGrid w:val="0"/>
                <w:color w:val="000000" w:themeColor="text1"/>
                <w:spacing w:val="-1"/>
                <w:kern w:val="0"/>
                <w14:textFill>
                  <w14:solidFill>
                    <w14:schemeClr w14:val="tx1"/>
                  </w14:solidFill>
                </w14:textFill>
              </w:rPr>
              <w:t>注：</w:t>
            </w:r>
            <w:r>
              <w:rPr>
                <w:rFonts w:ascii="宋体" w:hAnsi="宋体" w:eastAsia="宋体" w:cs="宋体"/>
                <w:snapToGrid w:val="0"/>
                <w:color w:val="000000" w:themeColor="text1"/>
                <w:kern w:val="0"/>
                <w14:textFill>
                  <w14:solidFill>
                    <w14:schemeClr w14:val="tx1"/>
                  </w14:solidFill>
                </w14:textFill>
              </w:rPr>
              <w:t>评审委员会认为供应商的报价明显低于其他通过符合性审查供应商的报</w:t>
            </w:r>
            <w:r>
              <w:rPr>
                <w:rFonts w:ascii="宋体" w:hAnsi="宋体" w:eastAsia="宋体" w:cs="宋体"/>
                <w:snapToGrid w:val="0"/>
                <w:color w:val="000000" w:themeColor="text1"/>
                <w:spacing w:val="-1"/>
                <w:kern w:val="0"/>
                <w14:textFill>
                  <w14:solidFill>
                    <w14:schemeClr w14:val="tx1"/>
                  </w14:solidFill>
                </w14:textFill>
              </w:rPr>
              <w:t>价，有可</w:t>
            </w:r>
            <w:r>
              <w:rPr>
                <w:rFonts w:ascii="宋体" w:hAnsi="宋体" w:eastAsia="宋体" w:cs="宋体"/>
                <w:snapToGrid w:val="0"/>
                <w:color w:val="000000" w:themeColor="text1"/>
                <w:kern w:val="0"/>
                <w14:textFill>
                  <w14:solidFill>
                    <w14:schemeClr w14:val="tx1"/>
                  </w14:solidFill>
                </w14:textFill>
              </w:rPr>
              <w:t>能影响服务质量或者不能诚信履约的，应当要求其在评审现场合理的</w:t>
            </w:r>
            <w:r>
              <w:rPr>
                <w:rFonts w:ascii="宋体" w:hAnsi="宋体" w:eastAsia="宋体" w:cs="宋体"/>
                <w:snapToGrid w:val="0"/>
                <w:color w:val="000000" w:themeColor="text1"/>
                <w:spacing w:val="-6"/>
                <w:kern w:val="0"/>
                <w14:textFill>
                  <w14:solidFill>
                    <w14:schemeClr w14:val="tx1"/>
                  </w14:solidFill>
                </w14:textFill>
              </w:rPr>
              <w:t>时</w:t>
            </w:r>
            <w:r>
              <w:rPr>
                <w:rFonts w:ascii="宋体" w:hAnsi="宋体" w:eastAsia="宋体" w:cs="宋体"/>
                <w:snapToGrid w:val="0"/>
                <w:color w:val="000000" w:themeColor="text1"/>
                <w:spacing w:val="-4"/>
                <w:kern w:val="0"/>
                <w14:textFill>
                  <w14:solidFill>
                    <w14:schemeClr w14:val="tx1"/>
                  </w14:solidFill>
                </w14:textFill>
              </w:rPr>
              <w:t>间</w:t>
            </w:r>
            <w:r>
              <w:rPr>
                <w:rFonts w:ascii="宋体" w:hAnsi="宋体" w:eastAsia="宋体" w:cs="宋体"/>
                <w:snapToGrid w:val="0"/>
                <w:color w:val="000000" w:themeColor="text1"/>
                <w:spacing w:val="-3"/>
                <w:kern w:val="0"/>
                <w14:textFill>
                  <w14:solidFill>
                    <w14:schemeClr w14:val="tx1"/>
                  </w14:solidFill>
                </w14:textFill>
              </w:rPr>
              <w:t>内提供书面说明，必要时提交相关证明材料；供应商不能证明其报价合理</w:t>
            </w:r>
            <w:r>
              <w:rPr>
                <w:rFonts w:ascii="宋体" w:hAnsi="宋体" w:eastAsia="宋体" w:cs="宋体"/>
                <w:snapToGrid w:val="0"/>
                <w:color w:val="000000" w:themeColor="text1"/>
                <w:spacing w:val="-5"/>
                <w:kern w:val="0"/>
                <w14:textFill>
                  <w14:solidFill>
                    <w14:schemeClr w14:val="tx1"/>
                  </w14:solidFill>
                </w14:textFill>
              </w:rPr>
              <w:t>性的，评审委员会应当将其作为无效响应处理</w:t>
            </w:r>
            <w:r>
              <w:rPr>
                <w:rFonts w:ascii="宋体" w:hAnsi="宋体" w:eastAsia="宋体" w:cs="宋体"/>
                <w:snapToGrid w:val="0"/>
                <w:color w:val="000000" w:themeColor="text1"/>
                <w:spacing w:val="-4"/>
                <w:kern w:val="0"/>
                <w14:textFill>
                  <w14:solidFill>
                    <w14:schemeClr w14:val="tx1"/>
                  </w14:solidFill>
                </w14:textFill>
              </w:rPr>
              <w:t>。</w:t>
            </w:r>
          </w:p>
        </w:tc>
      </w:tr>
      <w:tr w14:paraId="4EA5B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52" w:hRule="atLeast"/>
        </w:trPr>
        <w:tc>
          <w:tcPr>
            <w:tcW w:w="1276" w:type="dxa"/>
            <w:vMerge w:val="restart"/>
            <w:vAlign w:val="center"/>
          </w:tcPr>
          <w:p w14:paraId="19ACB241">
            <w:pPr>
              <w:keepNext w:val="0"/>
              <w:keepLines w:val="0"/>
              <w:pageBreakBefore w:val="0"/>
              <w:widowControl w:val="0"/>
              <w:kinsoku/>
              <w:wordWrap/>
              <w:overflowPunct/>
              <w:topLinePunct w:val="0"/>
              <w:autoSpaceDE/>
              <w:autoSpaceDN/>
              <w:bidi w:val="0"/>
              <w:adjustRightInd/>
              <w:snapToGrid/>
              <w:spacing w:line="360" w:lineRule="auto"/>
              <w:ind w:left="201" w:right="201" w:firstLine="20"/>
              <w:jc w:val="center"/>
              <w:textAlignment w:val="auto"/>
              <w:rPr>
                <w:rFonts w:ascii="宋体" w:hAnsi="宋体" w:eastAsia="宋体" w:cs="宋体"/>
                <w:snapToGrid w:val="0"/>
                <w:color w:val="000000" w:themeColor="text1"/>
                <w:kern w:val="0"/>
                <w14:textFill>
                  <w14:solidFill>
                    <w14:schemeClr w14:val="tx1"/>
                  </w14:solidFill>
                </w14:textFill>
              </w:rPr>
            </w:pPr>
            <w:r>
              <w:rPr>
                <w:rFonts w:ascii="宋体" w:hAnsi="宋体" w:eastAsia="宋体" w:cs="宋体"/>
                <w:snapToGrid w:val="0"/>
                <w:color w:val="000000" w:themeColor="text1"/>
                <w:spacing w:val="-1"/>
                <w:kern w:val="0"/>
                <w14:textFill>
                  <w14:solidFill>
                    <w14:schemeClr w14:val="tx1"/>
                  </w14:solidFill>
                </w14:textFill>
              </w:rPr>
              <w:t>服务方案</w:t>
            </w:r>
            <w:r>
              <w:rPr>
                <w:rFonts w:ascii="宋体" w:hAnsi="宋体" w:eastAsia="宋体" w:cs="宋体"/>
                <w:snapToGrid w:val="0"/>
                <w:color w:val="000000" w:themeColor="text1"/>
                <w:spacing w:val="8"/>
                <w:kern w:val="0"/>
                <w14:textFill>
                  <w14:solidFill>
                    <w14:schemeClr w14:val="tx1"/>
                  </w14:solidFill>
                </w14:textFill>
              </w:rPr>
              <w:t>(</w:t>
            </w:r>
            <w:r>
              <w:rPr>
                <w:rFonts w:hint="eastAsia" w:ascii="宋体" w:hAnsi="宋体" w:cs="宋体"/>
                <w:snapToGrid w:val="0"/>
                <w:color w:val="000000" w:themeColor="text1"/>
                <w:spacing w:val="4"/>
                <w:kern w:val="0"/>
                <w14:textFill>
                  <w14:solidFill>
                    <w14:schemeClr w14:val="tx1"/>
                  </w14:solidFill>
                </w14:textFill>
              </w:rPr>
              <w:t>4</w:t>
            </w:r>
            <w:r>
              <w:rPr>
                <w:rFonts w:hint="eastAsia" w:ascii="宋体" w:hAnsi="宋体" w:cs="宋体"/>
                <w:snapToGrid w:val="0"/>
                <w:color w:val="000000" w:themeColor="text1"/>
                <w:spacing w:val="4"/>
                <w:kern w:val="0"/>
                <w:lang w:val="en-US" w:eastAsia="zh-CN"/>
                <w14:textFill>
                  <w14:solidFill>
                    <w14:schemeClr w14:val="tx1"/>
                  </w14:solidFill>
                </w14:textFill>
              </w:rPr>
              <w:t>5</w:t>
            </w:r>
            <w:r>
              <w:rPr>
                <w:rFonts w:ascii="宋体" w:hAnsi="宋体" w:eastAsia="宋体" w:cs="宋体"/>
                <w:snapToGrid w:val="0"/>
                <w:color w:val="000000" w:themeColor="text1"/>
                <w:spacing w:val="4"/>
                <w:kern w:val="0"/>
                <w14:textFill>
                  <w14:solidFill>
                    <w14:schemeClr w14:val="tx1"/>
                  </w14:solidFill>
                </w14:textFill>
              </w:rPr>
              <w:t>分)</w:t>
            </w:r>
          </w:p>
        </w:tc>
        <w:tc>
          <w:tcPr>
            <w:tcW w:w="7372" w:type="dxa"/>
            <w:shd w:val="clear" w:color="auto" w:fill="auto"/>
            <w:vAlign w:val="center"/>
          </w:tcPr>
          <w:p w14:paraId="69F587E8">
            <w:pPr>
              <w:rPr>
                <w:rFonts w:hint="eastAsia"/>
                <w:snapToGrid w:val="0"/>
                <w:color w:val="000000"/>
                <w:kern w:val="0"/>
                <w:szCs w:val="21"/>
                <w:lang w:eastAsia="zh-CN"/>
              </w:rPr>
            </w:pPr>
            <w:r>
              <w:rPr>
                <w:rFonts w:hint="eastAsia"/>
                <w:snapToGrid w:val="0"/>
                <w:color w:val="000000"/>
                <w:kern w:val="0"/>
                <w:szCs w:val="21"/>
                <w:lang w:eastAsia="zh-CN"/>
              </w:rPr>
              <w:t>项目实施总体方案（5分）</w:t>
            </w:r>
          </w:p>
          <w:p w14:paraId="62F62135">
            <w:pPr>
              <w:rPr>
                <w:rFonts w:hint="eastAsia" w:ascii="Calibri" w:hAnsi="Calibri" w:eastAsia="宋体" w:cs="Times New Roman"/>
                <w:snapToGrid w:val="0"/>
                <w:color w:val="000000"/>
                <w:kern w:val="0"/>
                <w:sz w:val="21"/>
                <w:szCs w:val="21"/>
                <w:lang w:val="en-US" w:eastAsia="zh-CN" w:bidi="ar-SA"/>
              </w:rPr>
            </w:pPr>
            <w:r>
              <w:rPr>
                <w:rFonts w:hint="eastAsia"/>
                <w:snapToGrid w:val="0"/>
                <w:color w:val="000000"/>
                <w:kern w:val="0"/>
                <w:szCs w:val="21"/>
                <w:lang w:eastAsia="zh-CN"/>
              </w:rPr>
              <w:t>供应商</w:t>
            </w:r>
            <w:r>
              <w:rPr>
                <w:rFonts w:hint="eastAsia"/>
                <w:snapToGrid w:val="0"/>
                <w:color w:val="000000"/>
                <w:kern w:val="0"/>
                <w:szCs w:val="21"/>
              </w:rPr>
              <w:t>针对本项目制定服务总体方案。服务总体方案优于招标文件要求的得</w:t>
            </w:r>
            <w:r>
              <w:rPr>
                <w:rFonts w:hint="eastAsia"/>
                <w:snapToGrid w:val="0"/>
                <w:color w:val="000000"/>
                <w:kern w:val="0"/>
                <w:szCs w:val="21"/>
                <w:lang w:val="en-US" w:eastAsia="zh-CN"/>
              </w:rPr>
              <w:t>5</w:t>
            </w:r>
            <w:r>
              <w:rPr>
                <w:rFonts w:hint="eastAsia"/>
                <w:snapToGrid w:val="0"/>
                <w:color w:val="000000"/>
                <w:kern w:val="0"/>
                <w:szCs w:val="21"/>
              </w:rPr>
              <w:t>分；服务总体方案完全符合</w:t>
            </w:r>
            <w:r>
              <w:rPr>
                <w:rFonts w:hint="eastAsia" w:ascii="宋体" w:hAnsi="宋体" w:cs="宋体"/>
                <w:snapToGrid w:val="0"/>
                <w:color w:val="000000"/>
                <w:kern w:val="0"/>
                <w:szCs w:val="21"/>
              </w:rPr>
              <w:t>招标文件要求的</w:t>
            </w:r>
            <w:r>
              <w:rPr>
                <w:rFonts w:hint="eastAsia"/>
                <w:snapToGrid w:val="0"/>
                <w:color w:val="000000"/>
                <w:kern w:val="0"/>
                <w:szCs w:val="21"/>
              </w:rPr>
              <w:t>得</w:t>
            </w:r>
            <w:r>
              <w:rPr>
                <w:rFonts w:hint="eastAsia"/>
                <w:snapToGrid w:val="0"/>
                <w:color w:val="000000"/>
                <w:kern w:val="0"/>
                <w:szCs w:val="21"/>
                <w:lang w:val="en-US" w:eastAsia="zh-CN"/>
              </w:rPr>
              <w:t>3</w:t>
            </w:r>
            <w:r>
              <w:rPr>
                <w:rFonts w:hint="eastAsia"/>
                <w:snapToGrid w:val="0"/>
                <w:color w:val="000000"/>
                <w:kern w:val="0"/>
                <w:szCs w:val="21"/>
              </w:rPr>
              <w:t>分；服务总体方案基本符合</w:t>
            </w:r>
            <w:r>
              <w:rPr>
                <w:rFonts w:hint="eastAsia" w:ascii="宋体" w:hAnsi="宋体" w:cs="宋体"/>
                <w:snapToGrid w:val="0"/>
                <w:color w:val="000000"/>
                <w:kern w:val="0"/>
                <w:szCs w:val="21"/>
              </w:rPr>
              <w:t>招标文件要求的</w:t>
            </w:r>
            <w:r>
              <w:rPr>
                <w:rFonts w:hint="eastAsia"/>
                <w:snapToGrid w:val="0"/>
                <w:color w:val="000000"/>
                <w:kern w:val="0"/>
                <w:szCs w:val="21"/>
              </w:rPr>
              <w:t>得</w:t>
            </w:r>
            <w:r>
              <w:rPr>
                <w:rFonts w:hint="eastAsia"/>
                <w:snapToGrid w:val="0"/>
                <w:color w:val="000000"/>
                <w:kern w:val="0"/>
                <w:szCs w:val="21"/>
                <w:lang w:val="en-US" w:eastAsia="zh-CN"/>
              </w:rPr>
              <w:t>1</w:t>
            </w:r>
            <w:r>
              <w:rPr>
                <w:rFonts w:hint="eastAsia"/>
                <w:snapToGrid w:val="0"/>
                <w:color w:val="000000"/>
                <w:kern w:val="0"/>
                <w:szCs w:val="21"/>
              </w:rPr>
              <w:t>分；服务总体方案不符合</w:t>
            </w:r>
            <w:r>
              <w:rPr>
                <w:rFonts w:hint="eastAsia" w:ascii="宋体" w:hAnsi="宋体" w:cs="宋体"/>
                <w:snapToGrid w:val="0"/>
                <w:color w:val="000000"/>
                <w:kern w:val="0"/>
                <w:szCs w:val="21"/>
              </w:rPr>
              <w:t>招标文件要求</w:t>
            </w:r>
            <w:r>
              <w:rPr>
                <w:rFonts w:hint="eastAsia"/>
                <w:snapToGrid w:val="0"/>
                <w:color w:val="000000"/>
                <w:kern w:val="0"/>
                <w:szCs w:val="21"/>
              </w:rPr>
              <w:t>或未提供的不得分。</w:t>
            </w:r>
          </w:p>
        </w:tc>
      </w:tr>
      <w:tr w14:paraId="4B043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43" w:hRule="atLeast"/>
        </w:trPr>
        <w:tc>
          <w:tcPr>
            <w:tcW w:w="1276" w:type="dxa"/>
            <w:vMerge w:val="continue"/>
          </w:tcPr>
          <w:p w14:paraId="22226025">
            <w:pPr>
              <w:keepNext w:val="0"/>
              <w:keepLines w:val="0"/>
              <w:pageBreakBefore w:val="0"/>
              <w:widowControl w:val="0"/>
              <w:kinsoku/>
              <w:wordWrap/>
              <w:overflowPunct/>
              <w:topLinePunct w:val="0"/>
              <w:autoSpaceDE/>
              <w:autoSpaceDN/>
              <w:bidi w:val="0"/>
              <w:adjustRightInd/>
              <w:snapToGrid/>
              <w:spacing w:line="360" w:lineRule="auto"/>
              <w:textAlignment w:val="auto"/>
              <w:rPr>
                <w:snapToGrid w:val="0"/>
                <w:color w:val="000000" w:themeColor="text1"/>
                <w:kern w:val="0"/>
                <w14:textFill>
                  <w14:solidFill>
                    <w14:schemeClr w14:val="tx1"/>
                  </w14:solidFill>
                </w14:textFill>
              </w:rPr>
            </w:pPr>
          </w:p>
        </w:tc>
        <w:tc>
          <w:tcPr>
            <w:tcW w:w="7372" w:type="dxa"/>
            <w:shd w:val="clear" w:color="auto" w:fill="auto"/>
            <w:vAlign w:val="center"/>
          </w:tcPr>
          <w:p w14:paraId="130D0BEF">
            <w:pPr>
              <w:jc w:val="both"/>
              <w:rPr>
                <w:rFonts w:hint="eastAsia"/>
                <w:snapToGrid w:val="0"/>
                <w:color w:val="000000"/>
                <w:kern w:val="0"/>
                <w:szCs w:val="21"/>
                <w:lang w:eastAsia="zh-CN"/>
              </w:rPr>
            </w:pPr>
            <w:r>
              <w:rPr>
                <w:rFonts w:hint="eastAsia"/>
                <w:snapToGrid w:val="0"/>
                <w:color w:val="000000"/>
                <w:kern w:val="0"/>
              </w:rPr>
              <w:t>针对性分析（</w:t>
            </w:r>
            <w:r>
              <w:rPr>
                <w:snapToGrid w:val="0"/>
                <w:color w:val="000000"/>
                <w:kern w:val="0"/>
              </w:rPr>
              <w:t>5</w:t>
            </w:r>
            <w:r>
              <w:rPr>
                <w:rFonts w:hint="eastAsia"/>
                <w:snapToGrid w:val="0"/>
                <w:color w:val="000000"/>
                <w:kern w:val="0"/>
              </w:rPr>
              <w:t>分）</w:t>
            </w:r>
          </w:p>
          <w:p w14:paraId="56225EB5">
            <w:pPr>
              <w:rPr>
                <w:rFonts w:hint="default" w:ascii="Calibri" w:hAnsi="Calibri" w:eastAsia="宋体" w:cs="Times New Roman"/>
                <w:snapToGrid w:val="0"/>
                <w:color w:val="000000"/>
                <w:kern w:val="0"/>
                <w:sz w:val="21"/>
                <w:szCs w:val="21"/>
                <w:lang w:val="en-US" w:eastAsia="zh-CN" w:bidi="ar-SA"/>
              </w:rPr>
            </w:pPr>
            <w:r>
              <w:rPr>
                <w:rFonts w:hint="eastAsia"/>
                <w:snapToGrid w:val="0"/>
                <w:color w:val="000000"/>
                <w:kern w:val="0"/>
                <w:szCs w:val="21"/>
                <w:lang w:eastAsia="zh-CN"/>
              </w:rPr>
              <w:t>供应商</w:t>
            </w:r>
            <w:r>
              <w:rPr>
                <w:rFonts w:hint="eastAsia"/>
                <w:snapToGrid w:val="0"/>
                <w:color w:val="000000"/>
                <w:kern w:val="0"/>
                <w:szCs w:val="21"/>
              </w:rPr>
              <w:t>结合自己的服务经验，针对本包做出调研分析并提供解决方案。解决方案优于</w:t>
            </w:r>
            <w:r>
              <w:rPr>
                <w:rFonts w:hint="eastAsia" w:ascii="宋体" w:hAnsi="宋体" w:cs="宋体"/>
                <w:snapToGrid w:val="0"/>
                <w:color w:val="000000"/>
                <w:kern w:val="0"/>
                <w:szCs w:val="21"/>
              </w:rPr>
              <w:t>招标文件要求的</w:t>
            </w:r>
            <w:r>
              <w:rPr>
                <w:rFonts w:hint="eastAsia"/>
                <w:snapToGrid w:val="0"/>
                <w:color w:val="000000"/>
                <w:kern w:val="0"/>
                <w:szCs w:val="21"/>
              </w:rPr>
              <w:t>得5分；解决方案完全符合</w:t>
            </w:r>
            <w:r>
              <w:rPr>
                <w:rFonts w:hint="eastAsia" w:ascii="宋体" w:hAnsi="宋体" w:cs="宋体"/>
                <w:snapToGrid w:val="0"/>
                <w:color w:val="000000"/>
                <w:kern w:val="0"/>
                <w:szCs w:val="21"/>
              </w:rPr>
              <w:t>招标文件要求的</w:t>
            </w:r>
            <w:r>
              <w:rPr>
                <w:rFonts w:hint="eastAsia"/>
                <w:snapToGrid w:val="0"/>
                <w:color w:val="000000"/>
                <w:kern w:val="0"/>
                <w:szCs w:val="21"/>
              </w:rPr>
              <w:t>得3分；解决方案基本符合</w:t>
            </w:r>
            <w:r>
              <w:rPr>
                <w:rFonts w:hint="eastAsia" w:ascii="宋体" w:hAnsi="宋体" w:cs="宋体"/>
                <w:snapToGrid w:val="0"/>
                <w:color w:val="000000"/>
                <w:kern w:val="0"/>
                <w:szCs w:val="21"/>
              </w:rPr>
              <w:t>招标文件要求的</w:t>
            </w:r>
            <w:r>
              <w:rPr>
                <w:rFonts w:hint="eastAsia"/>
                <w:snapToGrid w:val="0"/>
                <w:color w:val="000000"/>
                <w:kern w:val="0"/>
                <w:szCs w:val="21"/>
              </w:rPr>
              <w:t>得1分；解决方案不符合</w:t>
            </w:r>
            <w:r>
              <w:rPr>
                <w:rFonts w:hint="eastAsia" w:ascii="宋体" w:hAnsi="宋体" w:cs="宋体"/>
                <w:snapToGrid w:val="0"/>
                <w:color w:val="000000"/>
                <w:kern w:val="0"/>
                <w:szCs w:val="21"/>
              </w:rPr>
              <w:t>招标文件要求</w:t>
            </w:r>
            <w:r>
              <w:rPr>
                <w:rFonts w:hint="eastAsia"/>
                <w:snapToGrid w:val="0"/>
                <w:color w:val="000000"/>
                <w:kern w:val="0"/>
                <w:szCs w:val="21"/>
              </w:rPr>
              <w:t>或未提供的不得分。</w:t>
            </w:r>
          </w:p>
        </w:tc>
      </w:tr>
      <w:tr w14:paraId="5E3A4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57" w:hRule="atLeast"/>
        </w:trPr>
        <w:tc>
          <w:tcPr>
            <w:tcW w:w="1276" w:type="dxa"/>
            <w:vMerge w:val="continue"/>
          </w:tcPr>
          <w:p w14:paraId="2C27CD4C">
            <w:pPr>
              <w:keepNext w:val="0"/>
              <w:keepLines w:val="0"/>
              <w:pageBreakBefore w:val="0"/>
              <w:widowControl w:val="0"/>
              <w:kinsoku/>
              <w:wordWrap/>
              <w:overflowPunct/>
              <w:topLinePunct w:val="0"/>
              <w:autoSpaceDE/>
              <w:autoSpaceDN/>
              <w:bidi w:val="0"/>
              <w:adjustRightInd/>
              <w:snapToGrid/>
              <w:spacing w:line="360" w:lineRule="auto"/>
              <w:textAlignment w:val="auto"/>
              <w:rPr>
                <w:snapToGrid w:val="0"/>
                <w:color w:val="000000" w:themeColor="text1"/>
                <w:kern w:val="0"/>
                <w14:textFill>
                  <w14:solidFill>
                    <w14:schemeClr w14:val="tx1"/>
                  </w14:solidFill>
                </w14:textFill>
              </w:rPr>
            </w:pPr>
          </w:p>
        </w:tc>
        <w:tc>
          <w:tcPr>
            <w:tcW w:w="7372" w:type="dxa"/>
            <w:shd w:val="clear" w:color="auto" w:fill="auto"/>
            <w:vAlign w:val="center"/>
          </w:tcPr>
          <w:p w14:paraId="1AB906A9">
            <w:pPr>
              <w:jc w:val="both"/>
              <w:rPr>
                <w:rFonts w:hint="eastAsia" w:ascii="宋体" w:hAnsi="宋体"/>
                <w:snapToGrid w:val="0"/>
                <w:color w:val="000000"/>
                <w:kern w:val="0"/>
                <w:szCs w:val="21"/>
              </w:rPr>
            </w:pPr>
            <w:r>
              <w:rPr>
                <w:rFonts w:hint="eastAsia" w:ascii="宋体" w:hAnsi="宋体"/>
                <w:snapToGrid w:val="0"/>
                <w:color w:val="000000"/>
                <w:kern w:val="0"/>
                <w:szCs w:val="21"/>
              </w:rPr>
              <w:t>服务质量控制（5分）</w:t>
            </w:r>
          </w:p>
          <w:p w14:paraId="307F41F7">
            <w:pPr>
              <w:jc w:val="left"/>
              <w:rPr>
                <w:rFonts w:hint="eastAsia" w:ascii="Calibri" w:hAnsi="Calibri" w:eastAsia="宋体" w:cs="Times New Roman"/>
                <w:snapToGrid w:val="0"/>
                <w:color w:val="000000"/>
                <w:kern w:val="0"/>
                <w:sz w:val="21"/>
                <w:szCs w:val="21"/>
                <w:lang w:val="en-US" w:eastAsia="zh-CN" w:bidi="ar-SA"/>
              </w:rPr>
            </w:pPr>
            <w:r>
              <w:rPr>
                <w:rFonts w:hint="eastAsia"/>
                <w:snapToGrid w:val="0"/>
                <w:color w:val="000000"/>
                <w:kern w:val="0"/>
                <w:szCs w:val="21"/>
                <w:lang w:eastAsia="zh-CN"/>
              </w:rPr>
              <w:t>供应商</w:t>
            </w:r>
            <w:r>
              <w:rPr>
                <w:rFonts w:hint="eastAsia"/>
                <w:snapToGrid w:val="0"/>
                <w:color w:val="000000"/>
                <w:kern w:val="0"/>
                <w:szCs w:val="21"/>
              </w:rPr>
              <w:t>提供针对本项目的服务质量控制方案。方案优于</w:t>
            </w:r>
            <w:r>
              <w:rPr>
                <w:rFonts w:hint="eastAsia" w:ascii="宋体" w:hAnsi="宋体" w:cs="宋体"/>
                <w:snapToGrid w:val="0"/>
                <w:color w:val="000000"/>
                <w:kern w:val="0"/>
                <w:szCs w:val="21"/>
              </w:rPr>
              <w:t>招标文件要求的</w:t>
            </w:r>
            <w:r>
              <w:rPr>
                <w:rFonts w:hint="eastAsia"/>
                <w:snapToGrid w:val="0"/>
                <w:color w:val="000000"/>
                <w:kern w:val="0"/>
                <w:szCs w:val="21"/>
              </w:rPr>
              <w:t>得5分；方案完全符合</w:t>
            </w:r>
            <w:r>
              <w:rPr>
                <w:rFonts w:hint="eastAsia" w:ascii="宋体" w:hAnsi="宋体" w:cs="宋体"/>
                <w:snapToGrid w:val="0"/>
                <w:color w:val="000000"/>
                <w:kern w:val="0"/>
                <w:szCs w:val="21"/>
              </w:rPr>
              <w:t>招标文件要求的</w:t>
            </w:r>
            <w:r>
              <w:rPr>
                <w:rFonts w:hint="eastAsia"/>
                <w:snapToGrid w:val="0"/>
                <w:color w:val="000000"/>
                <w:kern w:val="0"/>
                <w:szCs w:val="21"/>
              </w:rPr>
              <w:t>得3分；方案基本符合</w:t>
            </w:r>
            <w:r>
              <w:rPr>
                <w:rFonts w:hint="eastAsia" w:ascii="宋体" w:hAnsi="宋体" w:cs="宋体"/>
                <w:snapToGrid w:val="0"/>
                <w:color w:val="000000"/>
                <w:kern w:val="0"/>
                <w:szCs w:val="21"/>
              </w:rPr>
              <w:t>招标文件要求的</w:t>
            </w:r>
            <w:r>
              <w:rPr>
                <w:rFonts w:hint="eastAsia"/>
                <w:snapToGrid w:val="0"/>
                <w:color w:val="000000"/>
                <w:kern w:val="0"/>
                <w:szCs w:val="21"/>
              </w:rPr>
              <w:t>得1分；方案不符合</w:t>
            </w:r>
            <w:r>
              <w:rPr>
                <w:rFonts w:hint="eastAsia" w:ascii="宋体" w:hAnsi="宋体" w:cs="宋体"/>
                <w:snapToGrid w:val="0"/>
                <w:color w:val="000000"/>
                <w:kern w:val="0"/>
                <w:szCs w:val="21"/>
              </w:rPr>
              <w:t>招标文件要求</w:t>
            </w:r>
            <w:r>
              <w:rPr>
                <w:rFonts w:hint="eastAsia"/>
                <w:snapToGrid w:val="0"/>
                <w:color w:val="000000"/>
                <w:kern w:val="0"/>
                <w:szCs w:val="21"/>
              </w:rPr>
              <w:t>或未提供的不得分。</w:t>
            </w:r>
          </w:p>
        </w:tc>
      </w:tr>
      <w:tr w14:paraId="4ED54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05" w:hRule="atLeast"/>
        </w:trPr>
        <w:tc>
          <w:tcPr>
            <w:tcW w:w="1276" w:type="dxa"/>
            <w:vMerge w:val="continue"/>
          </w:tcPr>
          <w:p w14:paraId="6FF9CC27">
            <w:pPr>
              <w:keepNext w:val="0"/>
              <w:keepLines w:val="0"/>
              <w:pageBreakBefore w:val="0"/>
              <w:widowControl w:val="0"/>
              <w:kinsoku/>
              <w:wordWrap/>
              <w:overflowPunct/>
              <w:topLinePunct w:val="0"/>
              <w:autoSpaceDE/>
              <w:autoSpaceDN/>
              <w:bidi w:val="0"/>
              <w:adjustRightInd/>
              <w:snapToGrid/>
              <w:spacing w:line="360" w:lineRule="auto"/>
              <w:textAlignment w:val="auto"/>
              <w:rPr>
                <w:snapToGrid w:val="0"/>
                <w:color w:val="000000" w:themeColor="text1"/>
                <w:kern w:val="0"/>
                <w14:textFill>
                  <w14:solidFill>
                    <w14:schemeClr w14:val="tx1"/>
                  </w14:solidFill>
                </w14:textFill>
              </w:rPr>
            </w:pPr>
          </w:p>
        </w:tc>
        <w:tc>
          <w:tcPr>
            <w:tcW w:w="7372" w:type="dxa"/>
            <w:shd w:val="clear" w:color="auto" w:fill="auto"/>
            <w:vAlign w:val="center"/>
          </w:tcPr>
          <w:p w14:paraId="08EEDE3D">
            <w:pPr>
              <w:jc w:val="both"/>
              <w:rPr>
                <w:rFonts w:hint="eastAsia" w:ascii="宋体" w:hAnsi="宋体"/>
                <w:snapToGrid w:val="0"/>
                <w:color w:val="000000"/>
                <w:kern w:val="0"/>
                <w:szCs w:val="21"/>
              </w:rPr>
            </w:pPr>
            <w:r>
              <w:rPr>
                <w:rFonts w:hint="eastAsia" w:ascii="宋体" w:hAnsi="宋体"/>
                <w:snapToGrid w:val="0"/>
                <w:color w:val="000000"/>
                <w:kern w:val="0"/>
                <w:szCs w:val="21"/>
              </w:rPr>
              <w:t>内部管理制度（5分）</w:t>
            </w:r>
          </w:p>
          <w:p w14:paraId="61FDE598">
            <w:pPr>
              <w:jc w:val="left"/>
              <w:rPr>
                <w:rFonts w:hint="eastAsia" w:ascii="Calibri" w:hAnsi="Calibri" w:eastAsia="宋体" w:cs="Times New Roman"/>
                <w:snapToGrid w:val="0"/>
                <w:color w:val="000000"/>
                <w:kern w:val="0"/>
                <w:sz w:val="21"/>
                <w:szCs w:val="21"/>
                <w:lang w:val="en-US" w:eastAsia="zh-CN" w:bidi="ar-SA"/>
              </w:rPr>
            </w:pPr>
            <w:r>
              <w:rPr>
                <w:rFonts w:hint="eastAsia"/>
                <w:snapToGrid w:val="0"/>
                <w:color w:val="000000"/>
                <w:kern w:val="0"/>
                <w:szCs w:val="21"/>
                <w:lang w:eastAsia="zh-CN"/>
              </w:rPr>
              <w:t>供应商</w:t>
            </w:r>
            <w:r>
              <w:rPr>
                <w:rFonts w:hint="eastAsia"/>
                <w:snapToGrid w:val="0"/>
                <w:color w:val="000000"/>
                <w:kern w:val="0"/>
                <w:szCs w:val="21"/>
              </w:rPr>
              <w:t>针对本项目制定内部管理架构、运行管理制度、财务管理制度、内部考核制度。制度优于</w:t>
            </w:r>
            <w:r>
              <w:rPr>
                <w:rFonts w:hint="eastAsia" w:ascii="宋体" w:hAnsi="宋体" w:cs="宋体"/>
                <w:snapToGrid w:val="0"/>
                <w:color w:val="000000"/>
                <w:kern w:val="0"/>
                <w:szCs w:val="21"/>
              </w:rPr>
              <w:t>招标文件要求的</w:t>
            </w:r>
            <w:r>
              <w:rPr>
                <w:rFonts w:hint="eastAsia"/>
                <w:snapToGrid w:val="0"/>
                <w:color w:val="000000"/>
                <w:kern w:val="0"/>
                <w:szCs w:val="21"/>
              </w:rPr>
              <w:t>得5分；制度完全符合</w:t>
            </w:r>
            <w:r>
              <w:rPr>
                <w:rFonts w:hint="eastAsia" w:ascii="宋体" w:hAnsi="宋体" w:cs="宋体"/>
                <w:snapToGrid w:val="0"/>
                <w:color w:val="000000"/>
                <w:kern w:val="0"/>
                <w:szCs w:val="21"/>
              </w:rPr>
              <w:t>招标文件要求的</w:t>
            </w:r>
            <w:r>
              <w:rPr>
                <w:rFonts w:hint="eastAsia"/>
                <w:snapToGrid w:val="0"/>
                <w:color w:val="000000"/>
                <w:kern w:val="0"/>
                <w:szCs w:val="21"/>
              </w:rPr>
              <w:t>得3分；制度基本符合</w:t>
            </w:r>
            <w:r>
              <w:rPr>
                <w:rFonts w:hint="eastAsia" w:ascii="宋体" w:hAnsi="宋体" w:cs="宋体"/>
                <w:snapToGrid w:val="0"/>
                <w:color w:val="000000"/>
                <w:kern w:val="0"/>
                <w:szCs w:val="21"/>
              </w:rPr>
              <w:t>招标文件要求的</w:t>
            </w:r>
            <w:r>
              <w:rPr>
                <w:rFonts w:hint="eastAsia"/>
                <w:snapToGrid w:val="0"/>
                <w:color w:val="000000"/>
                <w:kern w:val="0"/>
                <w:szCs w:val="21"/>
              </w:rPr>
              <w:t>得1分；制度不符合</w:t>
            </w:r>
            <w:r>
              <w:rPr>
                <w:rFonts w:hint="eastAsia" w:ascii="宋体" w:hAnsi="宋体" w:cs="宋体"/>
                <w:snapToGrid w:val="0"/>
                <w:color w:val="000000"/>
                <w:kern w:val="0"/>
                <w:szCs w:val="21"/>
              </w:rPr>
              <w:t>招标文件要求</w:t>
            </w:r>
            <w:r>
              <w:rPr>
                <w:rFonts w:hint="eastAsia"/>
                <w:snapToGrid w:val="0"/>
                <w:color w:val="000000"/>
                <w:kern w:val="0"/>
                <w:szCs w:val="21"/>
              </w:rPr>
              <w:t>或未提供的不得分。</w:t>
            </w:r>
          </w:p>
        </w:tc>
      </w:tr>
      <w:tr w14:paraId="004F7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27" w:hRule="atLeast"/>
        </w:trPr>
        <w:tc>
          <w:tcPr>
            <w:tcW w:w="1276" w:type="dxa"/>
            <w:vMerge w:val="continue"/>
          </w:tcPr>
          <w:p w14:paraId="1D4173A7">
            <w:pPr>
              <w:keepNext w:val="0"/>
              <w:keepLines w:val="0"/>
              <w:pageBreakBefore w:val="0"/>
              <w:widowControl w:val="0"/>
              <w:kinsoku/>
              <w:wordWrap/>
              <w:overflowPunct/>
              <w:topLinePunct w:val="0"/>
              <w:autoSpaceDE/>
              <w:autoSpaceDN/>
              <w:bidi w:val="0"/>
              <w:adjustRightInd/>
              <w:snapToGrid/>
              <w:spacing w:line="360" w:lineRule="auto"/>
              <w:textAlignment w:val="auto"/>
              <w:rPr>
                <w:snapToGrid w:val="0"/>
                <w:color w:val="000000" w:themeColor="text1"/>
                <w:kern w:val="0"/>
                <w14:textFill>
                  <w14:solidFill>
                    <w14:schemeClr w14:val="tx1"/>
                  </w14:solidFill>
                </w14:textFill>
              </w:rPr>
            </w:pPr>
          </w:p>
        </w:tc>
        <w:tc>
          <w:tcPr>
            <w:tcW w:w="7372" w:type="dxa"/>
            <w:shd w:val="clear" w:color="auto" w:fill="auto"/>
            <w:vAlign w:val="center"/>
          </w:tcPr>
          <w:p w14:paraId="55F536E4">
            <w:pPr>
              <w:jc w:val="both"/>
              <w:rPr>
                <w:rFonts w:hint="eastAsia" w:ascii="宋体" w:hAnsi="宋体"/>
                <w:snapToGrid w:val="0"/>
                <w:color w:val="000000"/>
                <w:kern w:val="0"/>
                <w:szCs w:val="21"/>
              </w:rPr>
            </w:pPr>
            <w:r>
              <w:rPr>
                <w:rFonts w:hint="eastAsia" w:ascii="宋体" w:hAnsi="宋体"/>
                <w:snapToGrid w:val="0"/>
                <w:color w:val="000000"/>
                <w:kern w:val="0"/>
                <w:szCs w:val="21"/>
              </w:rPr>
              <w:t>应急预案（5分）</w:t>
            </w:r>
          </w:p>
          <w:p w14:paraId="7A22BF66">
            <w:pPr>
              <w:jc w:val="both"/>
              <w:rPr>
                <w:rFonts w:hint="default" w:ascii="Calibri" w:hAnsi="Calibri" w:eastAsia="宋体" w:cs="Times New Roman"/>
                <w:snapToGrid w:val="0"/>
                <w:color w:val="000000"/>
                <w:kern w:val="0"/>
                <w:sz w:val="21"/>
                <w:szCs w:val="21"/>
                <w:lang w:val="en-US" w:eastAsia="zh-CN" w:bidi="ar-SA"/>
              </w:rPr>
            </w:pPr>
            <w:r>
              <w:rPr>
                <w:rFonts w:hint="eastAsia"/>
                <w:snapToGrid w:val="0"/>
                <w:color w:val="000000"/>
                <w:kern w:val="0"/>
                <w:szCs w:val="21"/>
                <w:lang w:eastAsia="zh-CN"/>
              </w:rPr>
              <w:t>供应商</w:t>
            </w:r>
            <w:r>
              <w:rPr>
                <w:rFonts w:hint="eastAsia"/>
                <w:snapToGrid w:val="0"/>
                <w:color w:val="000000"/>
                <w:kern w:val="0"/>
                <w:szCs w:val="21"/>
              </w:rPr>
              <w:t>针对本项目制定的突发事件应急预案。应急预案优于</w:t>
            </w:r>
            <w:r>
              <w:rPr>
                <w:rFonts w:hint="eastAsia" w:ascii="宋体" w:hAnsi="宋体" w:cs="宋体"/>
                <w:snapToGrid w:val="0"/>
                <w:color w:val="000000"/>
                <w:kern w:val="0"/>
                <w:szCs w:val="21"/>
              </w:rPr>
              <w:t>招标文件要求的</w:t>
            </w:r>
            <w:r>
              <w:rPr>
                <w:rFonts w:hint="eastAsia"/>
                <w:snapToGrid w:val="0"/>
                <w:color w:val="000000"/>
                <w:kern w:val="0"/>
                <w:szCs w:val="21"/>
              </w:rPr>
              <w:t>得5分；应急预案完全符合</w:t>
            </w:r>
            <w:r>
              <w:rPr>
                <w:rFonts w:hint="eastAsia" w:ascii="宋体" w:hAnsi="宋体" w:cs="宋体"/>
                <w:snapToGrid w:val="0"/>
                <w:color w:val="000000"/>
                <w:kern w:val="0"/>
                <w:szCs w:val="21"/>
              </w:rPr>
              <w:t>招标文件要求的</w:t>
            </w:r>
            <w:r>
              <w:rPr>
                <w:rFonts w:hint="eastAsia"/>
                <w:snapToGrid w:val="0"/>
                <w:color w:val="000000"/>
                <w:kern w:val="0"/>
                <w:szCs w:val="21"/>
              </w:rPr>
              <w:t>得3分；应急预案基本符合</w:t>
            </w:r>
            <w:r>
              <w:rPr>
                <w:rFonts w:hint="eastAsia" w:ascii="宋体" w:hAnsi="宋体" w:cs="宋体"/>
                <w:snapToGrid w:val="0"/>
                <w:color w:val="000000"/>
                <w:kern w:val="0"/>
                <w:szCs w:val="21"/>
              </w:rPr>
              <w:t>招标文件要求</w:t>
            </w:r>
            <w:r>
              <w:rPr>
                <w:rFonts w:hint="eastAsia"/>
                <w:snapToGrid w:val="0"/>
                <w:color w:val="000000"/>
                <w:kern w:val="0"/>
                <w:szCs w:val="21"/>
              </w:rPr>
              <w:t>的得1分；应急预案不符合</w:t>
            </w:r>
            <w:r>
              <w:rPr>
                <w:rFonts w:hint="eastAsia" w:ascii="宋体" w:hAnsi="宋体" w:cs="宋体"/>
                <w:snapToGrid w:val="0"/>
                <w:color w:val="000000"/>
                <w:kern w:val="0"/>
                <w:szCs w:val="21"/>
              </w:rPr>
              <w:t>招标文件要求</w:t>
            </w:r>
            <w:r>
              <w:rPr>
                <w:rFonts w:hint="eastAsia"/>
                <w:snapToGrid w:val="0"/>
                <w:color w:val="000000"/>
                <w:kern w:val="0"/>
                <w:szCs w:val="21"/>
              </w:rPr>
              <w:t>或未提供的不得分。</w:t>
            </w:r>
          </w:p>
        </w:tc>
      </w:tr>
      <w:tr w14:paraId="79147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12" w:hRule="atLeast"/>
        </w:trPr>
        <w:tc>
          <w:tcPr>
            <w:tcW w:w="1276" w:type="dxa"/>
            <w:vMerge w:val="continue"/>
          </w:tcPr>
          <w:p w14:paraId="012DD299">
            <w:pPr>
              <w:keepNext w:val="0"/>
              <w:keepLines w:val="0"/>
              <w:pageBreakBefore w:val="0"/>
              <w:widowControl w:val="0"/>
              <w:kinsoku/>
              <w:wordWrap/>
              <w:overflowPunct/>
              <w:topLinePunct w:val="0"/>
              <w:autoSpaceDE/>
              <w:autoSpaceDN/>
              <w:bidi w:val="0"/>
              <w:adjustRightInd/>
              <w:snapToGrid/>
              <w:spacing w:line="360" w:lineRule="auto"/>
              <w:textAlignment w:val="auto"/>
              <w:rPr>
                <w:snapToGrid w:val="0"/>
                <w:color w:val="000000" w:themeColor="text1"/>
                <w:kern w:val="0"/>
                <w14:textFill>
                  <w14:solidFill>
                    <w14:schemeClr w14:val="tx1"/>
                  </w14:solidFill>
                </w14:textFill>
              </w:rPr>
            </w:pPr>
          </w:p>
        </w:tc>
        <w:tc>
          <w:tcPr>
            <w:tcW w:w="7372" w:type="dxa"/>
            <w:shd w:val="clear" w:color="auto" w:fill="auto"/>
            <w:vAlign w:val="center"/>
          </w:tcPr>
          <w:p w14:paraId="5C7E45F0">
            <w:pPr>
              <w:jc w:val="left"/>
              <w:rPr>
                <w:rFonts w:hint="eastAsia" w:ascii="宋体" w:hAnsi="宋体"/>
                <w:snapToGrid w:val="0"/>
                <w:color w:val="000000"/>
                <w:kern w:val="0"/>
                <w:szCs w:val="21"/>
              </w:rPr>
            </w:pPr>
            <w:r>
              <w:rPr>
                <w:rFonts w:hint="eastAsia" w:ascii="宋体" w:hAnsi="宋体"/>
                <w:snapToGrid w:val="0"/>
                <w:color w:val="000000"/>
                <w:kern w:val="0"/>
                <w:szCs w:val="21"/>
              </w:rPr>
              <w:t>培训计划方案（5分）</w:t>
            </w:r>
          </w:p>
          <w:p w14:paraId="573CD6F9">
            <w:pPr>
              <w:jc w:val="left"/>
              <w:rPr>
                <w:rFonts w:hint="default" w:ascii="Calibri" w:hAnsi="Calibri" w:eastAsia="宋体" w:cs="Times New Roman"/>
                <w:snapToGrid w:val="0"/>
                <w:color w:val="000000"/>
                <w:kern w:val="0"/>
                <w:sz w:val="21"/>
                <w:szCs w:val="21"/>
                <w:lang w:val="en-US" w:eastAsia="zh-CN" w:bidi="ar-SA"/>
              </w:rPr>
            </w:pPr>
            <w:r>
              <w:rPr>
                <w:rFonts w:hint="eastAsia"/>
                <w:snapToGrid w:val="0"/>
                <w:color w:val="000000"/>
                <w:kern w:val="0"/>
                <w:szCs w:val="21"/>
              </w:rPr>
              <w:t>针对本项目服务人员的服务培训计划、方式、目的等进行评审，计划方案清晰、规范、符合服务实际。培训计划优于</w:t>
            </w:r>
            <w:r>
              <w:rPr>
                <w:rFonts w:hint="eastAsia" w:ascii="宋体" w:hAnsi="宋体" w:cs="宋体"/>
                <w:snapToGrid w:val="0"/>
                <w:color w:val="000000"/>
                <w:kern w:val="0"/>
                <w:szCs w:val="21"/>
              </w:rPr>
              <w:t>招标文件要求的</w:t>
            </w:r>
            <w:r>
              <w:rPr>
                <w:rFonts w:hint="eastAsia"/>
                <w:snapToGrid w:val="0"/>
                <w:color w:val="000000"/>
                <w:kern w:val="0"/>
                <w:szCs w:val="21"/>
              </w:rPr>
              <w:t>得5分；培训计划完全符合</w:t>
            </w:r>
            <w:r>
              <w:rPr>
                <w:rFonts w:hint="eastAsia" w:ascii="宋体" w:hAnsi="宋体" w:cs="宋体"/>
                <w:snapToGrid w:val="0"/>
                <w:color w:val="000000"/>
                <w:kern w:val="0"/>
                <w:szCs w:val="21"/>
              </w:rPr>
              <w:t>招标文件要求的</w:t>
            </w:r>
            <w:r>
              <w:rPr>
                <w:rFonts w:hint="eastAsia"/>
                <w:snapToGrid w:val="0"/>
                <w:color w:val="000000"/>
                <w:kern w:val="0"/>
                <w:szCs w:val="21"/>
              </w:rPr>
              <w:t>得3分；培训计划基本符合</w:t>
            </w:r>
            <w:r>
              <w:rPr>
                <w:rFonts w:hint="eastAsia" w:ascii="宋体" w:hAnsi="宋体" w:cs="宋体"/>
                <w:snapToGrid w:val="0"/>
                <w:color w:val="000000"/>
                <w:kern w:val="0"/>
                <w:szCs w:val="21"/>
              </w:rPr>
              <w:t>招标文件要求的</w:t>
            </w:r>
            <w:r>
              <w:rPr>
                <w:rFonts w:hint="eastAsia"/>
                <w:snapToGrid w:val="0"/>
                <w:color w:val="000000"/>
                <w:kern w:val="0"/>
                <w:szCs w:val="21"/>
              </w:rPr>
              <w:t>得1分；培训计划不符合</w:t>
            </w:r>
            <w:r>
              <w:rPr>
                <w:rFonts w:hint="eastAsia" w:ascii="宋体" w:hAnsi="宋体" w:cs="宋体"/>
                <w:snapToGrid w:val="0"/>
                <w:color w:val="000000"/>
                <w:kern w:val="0"/>
                <w:szCs w:val="21"/>
              </w:rPr>
              <w:t>招标文件要求</w:t>
            </w:r>
            <w:r>
              <w:rPr>
                <w:rFonts w:hint="eastAsia"/>
                <w:snapToGrid w:val="0"/>
                <w:color w:val="000000"/>
                <w:kern w:val="0"/>
                <w:szCs w:val="21"/>
              </w:rPr>
              <w:t>或未提供的不得分。</w:t>
            </w:r>
          </w:p>
        </w:tc>
      </w:tr>
      <w:tr w14:paraId="3F7AD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43" w:hRule="atLeast"/>
        </w:trPr>
        <w:tc>
          <w:tcPr>
            <w:tcW w:w="1276" w:type="dxa"/>
            <w:vMerge w:val="continue"/>
          </w:tcPr>
          <w:p w14:paraId="691D3499">
            <w:pPr>
              <w:keepNext w:val="0"/>
              <w:keepLines w:val="0"/>
              <w:pageBreakBefore w:val="0"/>
              <w:widowControl w:val="0"/>
              <w:kinsoku/>
              <w:wordWrap/>
              <w:overflowPunct/>
              <w:topLinePunct w:val="0"/>
              <w:autoSpaceDE/>
              <w:autoSpaceDN/>
              <w:bidi w:val="0"/>
              <w:adjustRightInd/>
              <w:snapToGrid/>
              <w:spacing w:line="360" w:lineRule="auto"/>
              <w:textAlignment w:val="auto"/>
              <w:rPr>
                <w:snapToGrid w:val="0"/>
                <w:color w:val="000000" w:themeColor="text1"/>
                <w:kern w:val="0"/>
                <w14:textFill>
                  <w14:solidFill>
                    <w14:schemeClr w14:val="tx1"/>
                  </w14:solidFill>
                </w14:textFill>
              </w:rPr>
            </w:pPr>
          </w:p>
        </w:tc>
        <w:tc>
          <w:tcPr>
            <w:tcW w:w="7372" w:type="dxa"/>
            <w:shd w:val="clear" w:color="auto" w:fill="auto"/>
            <w:vAlign w:val="center"/>
          </w:tcPr>
          <w:p w14:paraId="63106CB1">
            <w:pPr>
              <w:jc w:val="left"/>
              <w:rPr>
                <w:rFonts w:hint="eastAsia" w:ascii="宋体" w:hAnsi="宋体" w:cs="宋体"/>
                <w:snapToGrid w:val="0"/>
                <w:color w:val="000000"/>
                <w:kern w:val="0"/>
                <w:szCs w:val="21"/>
              </w:rPr>
            </w:pPr>
            <w:r>
              <w:rPr>
                <w:rFonts w:hint="eastAsia" w:ascii="宋体" w:hAnsi="宋体" w:cs="宋体"/>
                <w:snapToGrid w:val="0"/>
                <w:color w:val="000000"/>
                <w:kern w:val="0"/>
                <w:szCs w:val="21"/>
              </w:rPr>
              <w:t>个性化服务（5分）</w:t>
            </w:r>
          </w:p>
          <w:p w14:paraId="604E37D8">
            <w:pPr>
              <w:jc w:val="left"/>
              <w:rPr>
                <w:rFonts w:hint="default" w:ascii="Calibri" w:hAnsi="Calibri" w:eastAsia="宋体" w:cs="Times New Roman"/>
                <w:snapToGrid w:val="0"/>
                <w:color w:val="000000"/>
                <w:kern w:val="0"/>
                <w:sz w:val="21"/>
                <w:szCs w:val="21"/>
                <w:lang w:val="en-US" w:eastAsia="zh-CN" w:bidi="ar-SA"/>
              </w:rPr>
            </w:pPr>
            <w:r>
              <w:rPr>
                <w:rFonts w:hint="eastAsia"/>
                <w:snapToGrid w:val="0"/>
                <w:color w:val="000000"/>
                <w:kern w:val="0"/>
                <w:szCs w:val="21"/>
                <w:lang w:eastAsia="zh-CN"/>
              </w:rPr>
              <w:t>供应商</w:t>
            </w:r>
            <w:r>
              <w:rPr>
                <w:rFonts w:hint="eastAsia"/>
                <w:snapToGrid w:val="0"/>
                <w:color w:val="000000"/>
                <w:kern w:val="0"/>
                <w:szCs w:val="21"/>
              </w:rPr>
              <w:t>根据不同老人的实际需求，结合自身服务能力，提供个性化服务方案。每提供1个个性化服务方案，服务方案科学、严密、合理，描述详细的得1分，满分5分。</w:t>
            </w:r>
          </w:p>
        </w:tc>
      </w:tr>
      <w:tr w14:paraId="10C70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29" w:hRule="atLeast"/>
        </w:trPr>
        <w:tc>
          <w:tcPr>
            <w:tcW w:w="1276" w:type="dxa"/>
            <w:vMerge w:val="continue"/>
          </w:tcPr>
          <w:p w14:paraId="7876E9E2">
            <w:pPr>
              <w:keepNext w:val="0"/>
              <w:keepLines w:val="0"/>
              <w:pageBreakBefore w:val="0"/>
              <w:widowControl w:val="0"/>
              <w:kinsoku/>
              <w:wordWrap/>
              <w:overflowPunct/>
              <w:topLinePunct w:val="0"/>
              <w:autoSpaceDE/>
              <w:autoSpaceDN/>
              <w:bidi w:val="0"/>
              <w:adjustRightInd/>
              <w:snapToGrid/>
              <w:spacing w:line="360" w:lineRule="auto"/>
              <w:textAlignment w:val="auto"/>
              <w:rPr>
                <w:snapToGrid w:val="0"/>
                <w:color w:val="000000" w:themeColor="text1"/>
                <w:kern w:val="0"/>
                <w14:textFill>
                  <w14:solidFill>
                    <w14:schemeClr w14:val="tx1"/>
                  </w14:solidFill>
                </w14:textFill>
              </w:rPr>
            </w:pPr>
          </w:p>
        </w:tc>
        <w:tc>
          <w:tcPr>
            <w:tcW w:w="7372" w:type="dxa"/>
            <w:shd w:val="clear" w:color="auto" w:fill="auto"/>
            <w:vAlign w:val="center"/>
          </w:tcPr>
          <w:p w14:paraId="2C43AF52">
            <w:pPr>
              <w:jc w:val="left"/>
              <w:rPr>
                <w:rFonts w:hint="eastAsia" w:ascii="宋体" w:hAnsi="宋体"/>
                <w:snapToGrid w:val="0"/>
                <w:color w:val="000000"/>
                <w:kern w:val="0"/>
                <w:szCs w:val="21"/>
              </w:rPr>
            </w:pPr>
            <w:r>
              <w:rPr>
                <w:rFonts w:hint="eastAsia" w:ascii="宋体" w:hAnsi="宋体"/>
                <w:snapToGrid w:val="0"/>
                <w:color w:val="000000"/>
                <w:kern w:val="0"/>
                <w:szCs w:val="21"/>
              </w:rPr>
              <w:t>老年人能力和需求评估方案（5分）</w:t>
            </w:r>
          </w:p>
          <w:p w14:paraId="04D65CDA">
            <w:pPr>
              <w:jc w:val="left"/>
              <w:rPr>
                <w:rFonts w:hint="eastAsia" w:ascii="Calibri" w:hAnsi="Calibri" w:eastAsia="宋体" w:cs="Times New Roman"/>
                <w:snapToGrid w:val="0"/>
                <w:color w:val="000000"/>
                <w:kern w:val="0"/>
                <w:sz w:val="21"/>
                <w:szCs w:val="21"/>
                <w:lang w:val="en-US" w:eastAsia="zh-CN" w:bidi="ar-SA"/>
              </w:rPr>
            </w:pPr>
            <w:r>
              <w:rPr>
                <w:rFonts w:hint="eastAsia"/>
                <w:snapToGrid w:val="0"/>
                <w:color w:val="000000"/>
                <w:kern w:val="0"/>
                <w:szCs w:val="21"/>
                <w:lang w:eastAsia="zh-CN"/>
              </w:rPr>
              <w:t>供应商</w:t>
            </w:r>
            <w:r>
              <w:rPr>
                <w:rFonts w:hint="eastAsia"/>
                <w:snapToGrid w:val="0"/>
                <w:color w:val="000000"/>
                <w:kern w:val="0"/>
                <w:szCs w:val="21"/>
              </w:rPr>
              <w:t>针对本项目老年人的能力和需求进行评估。方案优于</w:t>
            </w:r>
            <w:r>
              <w:rPr>
                <w:rFonts w:hint="eastAsia" w:ascii="宋体" w:hAnsi="宋体" w:cs="宋体"/>
                <w:snapToGrid w:val="0"/>
                <w:color w:val="000000"/>
                <w:kern w:val="0"/>
                <w:szCs w:val="21"/>
              </w:rPr>
              <w:t>招标文件要求的</w:t>
            </w:r>
            <w:r>
              <w:rPr>
                <w:rFonts w:hint="eastAsia"/>
                <w:snapToGrid w:val="0"/>
                <w:color w:val="000000"/>
                <w:kern w:val="0"/>
                <w:szCs w:val="21"/>
              </w:rPr>
              <w:t>得5分；方案完全符合</w:t>
            </w:r>
            <w:r>
              <w:rPr>
                <w:rFonts w:hint="eastAsia" w:ascii="宋体" w:hAnsi="宋体" w:cs="宋体"/>
                <w:snapToGrid w:val="0"/>
                <w:color w:val="000000"/>
                <w:kern w:val="0"/>
                <w:szCs w:val="21"/>
              </w:rPr>
              <w:t>招标文件要求的</w:t>
            </w:r>
            <w:r>
              <w:rPr>
                <w:rFonts w:hint="eastAsia"/>
                <w:snapToGrid w:val="0"/>
                <w:color w:val="000000"/>
                <w:kern w:val="0"/>
                <w:szCs w:val="21"/>
              </w:rPr>
              <w:t>得3分；方案基本符合</w:t>
            </w:r>
            <w:r>
              <w:rPr>
                <w:rFonts w:hint="eastAsia" w:ascii="宋体" w:hAnsi="宋体" w:cs="宋体"/>
                <w:snapToGrid w:val="0"/>
                <w:color w:val="000000"/>
                <w:kern w:val="0"/>
                <w:szCs w:val="21"/>
              </w:rPr>
              <w:t>招标文件要求的</w:t>
            </w:r>
            <w:r>
              <w:rPr>
                <w:rFonts w:hint="eastAsia"/>
                <w:snapToGrid w:val="0"/>
                <w:color w:val="000000"/>
                <w:kern w:val="0"/>
                <w:szCs w:val="21"/>
              </w:rPr>
              <w:t>得1分；方案不符合</w:t>
            </w:r>
            <w:r>
              <w:rPr>
                <w:rFonts w:hint="eastAsia" w:ascii="宋体" w:hAnsi="宋体" w:cs="宋体"/>
                <w:snapToGrid w:val="0"/>
                <w:color w:val="000000"/>
                <w:kern w:val="0"/>
                <w:szCs w:val="21"/>
              </w:rPr>
              <w:t>招标文件要求的</w:t>
            </w:r>
            <w:r>
              <w:rPr>
                <w:rFonts w:hint="eastAsia"/>
                <w:snapToGrid w:val="0"/>
                <w:color w:val="000000"/>
                <w:kern w:val="0"/>
                <w:szCs w:val="21"/>
              </w:rPr>
              <w:t>或未提供的不得分。</w:t>
            </w:r>
          </w:p>
        </w:tc>
      </w:tr>
      <w:tr w14:paraId="76DE8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01" w:hRule="atLeast"/>
        </w:trPr>
        <w:tc>
          <w:tcPr>
            <w:tcW w:w="1276" w:type="dxa"/>
            <w:vMerge w:val="continue"/>
          </w:tcPr>
          <w:p w14:paraId="4D8B4E6C">
            <w:pPr>
              <w:keepNext w:val="0"/>
              <w:keepLines w:val="0"/>
              <w:pageBreakBefore w:val="0"/>
              <w:widowControl w:val="0"/>
              <w:kinsoku/>
              <w:wordWrap/>
              <w:overflowPunct/>
              <w:topLinePunct w:val="0"/>
              <w:autoSpaceDE/>
              <w:autoSpaceDN/>
              <w:bidi w:val="0"/>
              <w:adjustRightInd/>
              <w:snapToGrid/>
              <w:spacing w:line="360" w:lineRule="auto"/>
              <w:textAlignment w:val="auto"/>
              <w:rPr>
                <w:snapToGrid w:val="0"/>
                <w:color w:val="000000" w:themeColor="text1"/>
                <w:kern w:val="0"/>
                <w14:textFill>
                  <w14:solidFill>
                    <w14:schemeClr w14:val="tx1"/>
                  </w14:solidFill>
                </w14:textFill>
              </w:rPr>
            </w:pPr>
          </w:p>
        </w:tc>
        <w:tc>
          <w:tcPr>
            <w:tcW w:w="7372" w:type="dxa"/>
            <w:shd w:val="clear" w:color="auto" w:fill="auto"/>
            <w:vAlign w:val="center"/>
          </w:tcPr>
          <w:p w14:paraId="16A0DDD4">
            <w:pPr>
              <w:jc w:val="left"/>
              <w:rPr>
                <w:rFonts w:hint="eastAsia" w:ascii="宋体" w:hAnsi="宋体"/>
                <w:snapToGrid w:val="0"/>
                <w:color w:val="000000"/>
                <w:kern w:val="0"/>
                <w:szCs w:val="21"/>
              </w:rPr>
            </w:pPr>
            <w:r>
              <w:rPr>
                <w:rFonts w:hint="eastAsia" w:ascii="宋体" w:hAnsi="宋体"/>
                <w:snapToGrid w:val="0"/>
                <w:color w:val="000000"/>
                <w:kern w:val="0"/>
                <w:szCs w:val="21"/>
              </w:rPr>
              <w:t>服务承诺（</w:t>
            </w:r>
            <w:r>
              <w:rPr>
                <w:rFonts w:hint="eastAsia" w:ascii="宋体" w:hAnsi="宋体"/>
                <w:snapToGrid w:val="0"/>
                <w:color w:val="000000"/>
                <w:kern w:val="0"/>
                <w:szCs w:val="21"/>
                <w:lang w:val="en-US" w:eastAsia="zh-CN"/>
              </w:rPr>
              <w:t>5</w:t>
            </w:r>
            <w:r>
              <w:rPr>
                <w:rFonts w:hint="eastAsia" w:ascii="宋体" w:hAnsi="宋体"/>
                <w:snapToGrid w:val="0"/>
                <w:color w:val="000000"/>
                <w:kern w:val="0"/>
                <w:szCs w:val="21"/>
              </w:rPr>
              <w:t>分）</w:t>
            </w:r>
          </w:p>
          <w:p w14:paraId="0BA0B217">
            <w:pPr>
              <w:jc w:val="left"/>
              <w:rPr>
                <w:rFonts w:hint="eastAsia" w:ascii="Calibri" w:hAnsi="Calibri" w:eastAsia="宋体" w:cs="Times New Roman"/>
                <w:snapToGrid w:val="0"/>
                <w:color w:val="000000"/>
                <w:kern w:val="0"/>
                <w:sz w:val="21"/>
                <w:szCs w:val="21"/>
                <w:lang w:val="en-US" w:eastAsia="zh-CN" w:bidi="ar-SA"/>
              </w:rPr>
            </w:pPr>
            <w:r>
              <w:rPr>
                <w:rFonts w:hint="eastAsia"/>
                <w:snapToGrid w:val="0"/>
                <w:color w:val="000000"/>
                <w:kern w:val="0"/>
                <w:szCs w:val="21"/>
                <w:lang w:eastAsia="zh-CN"/>
              </w:rPr>
              <w:t>供应商</w:t>
            </w:r>
            <w:r>
              <w:rPr>
                <w:rFonts w:hint="eastAsia"/>
                <w:snapToGrid w:val="0"/>
                <w:color w:val="000000"/>
                <w:kern w:val="0"/>
                <w:szCs w:val="21"/>
              </w:rPr>
              <w:t>满足本项目项目需求的基础上进行承诺。提出的服务承诺优于</w:t>
            </w:r>
            <w:r>
              <w:rPr>
                <w:rFonts w:hint="eastAsia" w:ascii="宋体" w:hAnsi="宋体" w:cs="宋体"/>
                <w:snapToGrid w:val="0"/>
                <w:color w:val="000000"/>
                <w:kern w:val="0"/>
                <w:szCs w:val="21"/>
              </w:rPr>
              <w:t>招标文件要求的</w:t>
            </w:r>
            <w:r>
              <w:rPr>
                <w:rFonts w:hint="eastAsia"/>
                <w:snapToGrid w:val="0"/>
                <w:color w:val="000000"/>
                <w:kern w:val="0"/>
                <w:szCs w:val="21"/>
              </w:rPr>
              <w:t>得</w:t>
            </w:r>
            <w:r>
              <w:rPr>
                <w:rFonts w:hint="eastAsia"/>
                <w:snapToGrid w:val="0"/>
                <w:color w:val="000000"/>
                <w:kern w:val="0"/>
                <w:szCs w:val="21"/>
                <w:lang w:val="en-US" w:eastAsia="zh-CN"/>
              </w:rPr>
              <w:t>5</w:t>
            </w:r>
            <w:r>
              <w:rPr>
                <w:rFonts w:hint="eastAsia"/>
                <w:snapToGrid w:val="0"/>
                <w:color w:val="000000"/>
                <w:kern w:val="0"/>
                <w:szCs w:val="21"/>
              </w:rPr>
              <w:t>分；提出的服务承诺完全符合</w:t>
            </w:r>
            <w:r>
              <w:rPr>
                <w:rFonts w:hint="eastAsia" w:ascii="宋体" w:hAnsi="宋体" w:cs="宋体"/>
                <w:snapToGrid w:val="0"/>
                <w:color w:val="000000"/>
                <w:kern w:val="0"/>
                <w:szCs w:val="21"/>
              </w:rPr>
              <w:t>招标文件要求的</w:t>
            </w:r>
            <w:r>
              <w:rPr>
                <w:rFonts w:hint="eastAsia"/>
                <w:snapToGrid w:val="0"/>
                <w:color w:val="000000"/>
                <w:kern w:val="0"/>
                <w:szCs w:val="21"/>
              </w:rPr>
              <w:t>得</w:t>
            </w:r>
            <w:r>
              <w:rPr>
                <w:rFonts w:hint="eastAsia"/>
                <w:snapToGrid w:val="0"/>
                <w:color w:val="000000"/>
                <w:kern w:val="0"/>
                <w:szCs w:val="21"/>
                <w:lang w:val="en-US" w:eastAsia="zh-CN"/>
              </w:rPr>
              <w:t>3</w:t>
            </w:r>
            <w:r>
              <w:rPr>
                <w:rFonts w:hint="eastAsia"/>
                <w:snapToGrid w:val="0"/>
                <w:color w:val="000000"/>
                <w:kern w:val="0"/>
                <w:szCs w:val="21"/>
              </w:rPr>
              <w:t>分；提出的服务承诺基本符合</w:t>
            </w:r>
            <w:r>
              <w:rPr>
                <w:rFonts w:hint="eastAsia" w:ascii="宋体" w:hAnsi="宋体" w:cs="宋体"/>
                <w:snapToGrid w:val="0"/>
                <w:color w:val="000000"/>
                <w:kern w:val="0"/>
                <w:szCs w:val="21"/>
              </w:rPr>
              <w:t>招标文件要求的</w:t>
            </w:r>
            <w:r>
              <w:rPr>
                <w:rFonts w:hint="eastAsia"/>
                <w:snapToGrid w:val="0"/>
                <w:color w:val="000000"/>
                <w:kern w:val="0"/>
                <w:szCs w:val="21"/>
              </w:rPr>
              <w:t>得1分；提出的服务承诺不符合</w:t>
            </w:r>
            <w:r>
              <w:rPr>
                <w:rFonts w:hint="eastAsia" w:ascii="宋体" w:hAnsi="宋体" w:cs="宋体"/>
                <w:snapToGrid w:val="0"/>
                <w:color w:val="000000"/>
                <w:kern w:val="0"/>
                <w:szCs w:val="21"/>
              </w:rPr>
              <w:t>招标文件要求</w:t>
            </w:r>
            <w:r>
              <w:rPr>
                <w:rFonts w:hint="eastAsia"/>
                <w:snapToGrid w:val="0"/>
                <w:color w:val="000000"/>
                <w:kern w:val="0"/>
                <w:szCs w:val="21"/>
              </w:rPr>
              <w:t>或未提供的不得分。</w:t>
            </w:r>
          </w:p>
        </w:tc>
      </w:tr>
      <w:tr w14:paraId="1B4E3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276" w:type="dxa"/>
            <w:vAlign w:val="center"/>
          </w:tcPr>
          <w:p w14:paraId="213F6E1C">
            <w:pPr>
              <w:keepNext w:val="0"/>
              <w:keepLines w:val="0"/>
              <w:pageBreakBefore w:val="0"/>
              <w:widowControl w:val="0"/>
              <w:kinsoku/>
              <w:wordWrap/>
              <w:overflowPunct/>
              <w:topLinePunct w:val="0"/>
              <w:autoSpaceDE/>
              <w:autoSpaceDN/>
              <w:bidi w:val="0"/>
              <w:adjustRightInd/>
              <w:snapToGrid/>
              <w:spacing w:line="360" w:lineRule="auto"/>
              <w:ind w:left="201" w:right="201" w:firstLine="20"/>
              <w:jc w:val="center"/>
              <w:textAlignment w:val="auto"/>
              <w:rPr>
                <w:rFonts w:ascii="宋体" w:hAnsi="宋体" w:eastAsia="宋体" w:cs="宋体"/>
                <w:snapToGrid w:val="0"/>
                <w:color w:val="000000" w:themeColor="text1"/>
                <w:kern w:val="0"/>
                <w14:textFill>
                  <w14:solidFill>
                    <w14:schemeClr w14:val="tx1"/>
                  </w14:solidFill>
                </w14:textFill>
              </w:rPr>
            </w:pPr>
            <w:r>
              <w:rPr>
                <w:rFonts w:ascii="宋体" w:hAnsi="宋体" w:eastAsia="宋体" w:cs="宋体"/>
                <w:snapToGrid w:val="0"/>
                <w:color w:val="000000" w:themeColor="text1"/>
                <w:spacing w:val="-1"/>
                <w:kern w:val="0"/>
                <w14:textFill>
                  <w14:solidFill>
                    <w14:schemeClr w14:val="tx1"/>
                  </w14:solidFill>
                </w14:textFill>
              </w:rPr>
              <w:t>服务团队</w:t>
            </w:r>
            <w:r>
              <w:rPr>
                <w:rFonts w:ascii="宋体" w:hAnsi="宋体" w:eastAsia="宋体" w:cs="宋体"/>
                <w:snapToGrid w:val="0"/>
                <w:color w:val="000000" w:themeColor="text1"/>
                <w:spacing w:val="8"/>
                <w:kern w:val="0"/>
                <w14:textFill>
                  <w14:solidFill>
                    <w14:schemeClr w14:val="tx1"/>
                  </w14:solidFill>
                </w14:textFill>
              </w:rPr>
              <w:t>(</w:t>
            </w:r>
            <w:r>
              <w:rPr>
                <w:rFonts w:hint="eastAsia" w:ascii="宋体" w:hAnsi="宋体" w:cs="宋体"/>
                <w:snapToGrid w:val="0"/>
                <w:color w:val="000000" w:themeColor="text1"/>
                <w:spacing w:val="4"/>
                <w:kern w:val="0"/>
                <w:lang w:val="en-US" w:eastAsia="zh-CN"/>
                <w14:textFill>
                  <w14:solidFill>
                    <w14:schemeClr w14:val="tx1"/>
                  </w14:solidFill>
                </w14:textFill>
              </w:rPr>
              <w:t>19</w:t>
            </w:r>
            <w:r>
              <w:rPr>
                <w:rFonts w:ascii="宋体" w:hAnsi="宋体" w:eastAsia="宋体" w:cs="宋体"/>
                <w:snapToGrid w:val="0"/>
                <w:color w:val="000000" w:themeColor="text1"/>
                <w:spacing w:val="4"/>
                <w:kern w:val="0"/>
                <w14:textFill>
                  <w14:solidFill>
                    <w14:schemeClr w14:val="tx1"/>
                  </w14:solidFill>
                </w14:textFill>
              </w:rPr>
              <w:t>分)</w:t>
            </w:r>
          </w:p>
        </w:tc>
        <w:tc>
          <w:tcPr>
            <w:tcW w:w="7372" w:type="dxa"/>
          </w:tcPr>
          <w:p w14:paraId="0DC1B1D4">
            <w:pPr>
              <w:keepNext w:val="0"/>
              <w:keepLines w:val="0"/>
              <w:pageBreakBefore w:val="0"/>
              <w:widowControl w:val="0"/>
              <w:kinsoku/>
              <w:wordWrap/>
              <w:overflowPunct/>
              <w:topLinePunct w:val="0"/>
              <w:autoSpaceDE/>
              <w:autoSpaceDN/>
              <w:bidi w:val="0"/>
              <w:adjustRightInd/>
              <w:snapToGrid/>
              <w:spacing w:line="360" w:lineRule="auto"/>
              <w:ind w:left="108" w:right="104" w:firstLine="16"/>
              <w:textAlignment w:val="auto"/>
              <w:rPr>
                <w:rFonts w:ascii="宋体" w:hAnsi="宋体" w:eastAsia="宋体" w:cs="宋体"/>
                <w:snapToGrid w:val="0"/>
                <w:color w:val="000000" w:themeColor="text1"/>
                <w:kern w:val="0"/>
                <w14:textFill>
                  <w14:solidFill>
                    <w14:schemeClr w14:val="tx1"/>
                  </w14:solidFill>
                </w14:textFill>
              </w:rPr>
            </w:pPr>
            <w:r>
              <w:rPr>
                <w:rFonts w:ascii="宋体" w:hAnsi="宋体" w:eastAsia="宋体" w:cs="宋体"/>
                <w:snapToGrid w:val="0"/>
                <w:color w:val="000000" w:themeColor="text1"/>
                <w:spacing w:val="-16"/>
                <w:kern w:val="0"/>
                <w14:textFill>
                  <w14:solidFill>
                    <w14:schemeClr w14:val="tx1"/>
                  </w14:solidFill>
                </w14:textFill>
              </w:rPr>
              <w:t>1</w:t>
            </w:r>
            <w:r>
              <w:rPr>
                <w:rFonts w:ascii="宋体" w:hAnsi="宋体" w:eastAsia="宋体" w:cs="宋体"/>
                <w:snapToGrid w:val="0"/>
                <w:color w:val="000000" w:themeColor="text1"/>
                <w:spacing w:val="-15"/>
                <w:kern w:val="0"/>
                <w14:textFill>
                  <w14:solidFill>
                    <w14:schemeClr w14:val="tx1"/>
                  </w14:solidFill>
                </w14:textFill>
              </w:rPr>
              <w:t>、</w:t>
            </w:r>
            <w:r>
              <w:rPr>
                <w:rFonts w:ascii="宋体" w:hAnsi="宋体" w:eastAsia="宋体" w:cs="宋体"/>
                <w:snapToGrid w:val="0"/>
                <w:color w:val="000000" w:themeColor="text1"/>
                <w:spacing w:val="-8"/>
                <w:kern w:val="0"/>
                <w14:textFill>
                  <w14:solidFill>
                    <w14:schemeClr w14:val="tx1"/>
                  </w14:solidFill>
                </w14:textFill>
              </w:rPr>
              <w:t>项目负责人：①具有社会工作师证书得</w:t>
            </w:r>
            <w:r>
              <w:rPr>
                <w:rFonts w:hint="eastAsia" w:ascii="宋体" w:hAnsi="宋体" w:cs="宋体"/>
                <w:snapToGrid w:val="0"/>
                <w:color w:val="000000" w:themeColor="text1"/>
                <w:spacing w:val="-8"/>
                <w:kern w:val="0"/>
                <w:lang w:val="en-US" w:eastAsia="zh-CN"/>
                <w14:textFill>
                  <w14:solidFill>
                    <w14:schemeClr w14:val="tx1"/>
                  </w14:solidFill>
                </w14:textFill>
              </w:rPr>
              <w:t>2</w:t>
            </w:r>
            <w:r>
              <w:rPr>
                <w:rFonts w:ascii="宋体" w:hAnsi="宋体" w:eastAsia="宋体" w:cs="宋体"/>
                <w:snapToGrid w:val="0"/>
                <w:color w:val="000000" w:themeColor="text1"/>
                <w:spacing w:val="-8"/>
                <w:kern w:val="0"/>
                <w14:textFill>
                  <w14:solidFill>
                    <w14:schemeClr w14:val="tx1"/>
                  </w14:solidFill>
                </w14:textFill>
              </w:rPr>
              <w:t>分；</w:t>
            </w:r>
            <w:r>
              <w:rPr>
                <w:rFonts w:hint="eastAsia" w:ascii="宋体" w:hAnsi="宋体" w:cs="宋体"/>
                <w:snapToGrid w:val="0"/>
                <w:color w:val="000000" w:themeColor="text1"/>
                <w:spacing w:val="-8"/>
                <w:kern w:val="0"/>
                <w14:textFill>
                  <w14:solidFill>
                    <w14:schemeClr w14:val="tx1"/>
                  </w14:solidFill>
                </w14:textFill>
              </w:rPr>
              <w:t>有</w:t>
            </w:r>
            <w:r>
              <w:rPr>
                <w:rFonts w:ascii="宋体" w:hAnsi="宋体" w:eastAsia="宋体" w:cs="宋体"/>
                <w:snapToGrid w:val="0"/>
                <w:color w:val="000000" w:themeColor="text1"/>
                <w:spacing w:val="-8"/>
                <w:kern w:val="0"/>
                <w14:textFill>
                  <w14:solidFill>
                    <w14:schemeClr w14:val="tx1"/>
                  </w14:solidFill>
                </w14:textFill>
              </w:rPr>
              <w:t>助理社会工作师</w:t>
            </w:r>
            <w:r>
              <w:rPr>
                <w:rFonts w:hint="eastAsia" w:ascii="宋体" w:hAnsi="宋体" w:cs="宋体"/>
                <w:snapToGrid w:val="0"/>
                <w:color w:val="000000" w:themeColor="text1"/>
                <w:spacing w:val="-8"/>
                <w:kern w:val="0"/>
                <w14:textFill>
                  <w14:solidFill>
                    <w14:schemeClr w14:val="tx1"/>
                  </w14:solidFill>
                </w14:textFill>
              </w:rPr>
              <w:t>证书得</w:t>
            </w:r>
            <w:r>
              <w:rPr>
                <w:rFonts w:hint="eastAsia" w:ascii="宋体" w:hAnsi="宋体" w:cs="宋体"/>
                <w:snapToGrid w:val="0"/>
                <w:color w:val="000000" w:themeColor="text1"/>
                <w:spacing w:val="-8"/>
                <w:kern w:val="0"/>
                <w:lang w:val="en-US" w:eastAsia="zh-CN"/>
                <w14:textFill>
                  <w14:solidFill>
                    <w14:schemeClr w14:val="tx1"/>
                  </w14:solidFill>
                </w14:textFill>
              </w:rPr>
              <w:t>1</w:t>
            </w:r>
            <w:r>
              <w:rPr>
                <w:rFonts w:hint="eastAsia" w:ascii="宋体" w:hAnsi="宋体" w:cs="宋体"/>
                <w:snapToGrid w:val="0"/>
                <w:color w:val="000000" w:themeColor="text1"/>
                <w:spacing w:val="-8"/>
                <w:kern w:val="0"/>
                <w14:textFill>
                  <w14:solidFill>
                    <w14:schemeClr w14:val="tx1"/>
                  </w14:solidFill>
                </w14:textFill>
              </w:rPr>
              <w:t>分；</w:t>
            </w:r>
            <w:r>
              <w:rPr>
                <w:rFonts w:ascii="宋体" w:hAnsi="宋体" w:eastAsia="宋体" w:cs="宋体"/>
                <w:snapToGrid w:val="0"/>
                <w:color w:val="000000" w:themeColor="text1"/>
                <w:spacing w:val="-8"/>
                <w:kern w:val="0"/>
                <w14:textFill>
                  <w14:solidFill>
                    <w14:schemeClr w14:val="tx1"/>
                  </w14:solidFill>
                </w14:textFill>
              </w:rPr>
              <w:t>②具有</w:t>
            </w:r>
            <w:r>
              <w:rPr>
                <w:rFonts w:hint="eastAsia" w:ascii="宋体" w:hAnsi="宋体" w:eastAsia="宋体" w:cs="宋体"/>
                <w:snapToGrid w:val="0"/>
                <w:color w:val="000000" w:themeColor="text1"/>
                <w:spacing w:val="-8"/>
                <w:kern w:val="0"/>
                <w14:textFill>
                  <w14:solidFill>
                    <w14:schemeClr w14:val="tx1"/>
                  </w14:solidFill>
                </w14:textFill>
              </w:rPr>
              <w:t>养老护理员证书</w:t>
            </w:r>
            <w:r>
              <w:rPr>
                <w:rFonts w:hint="eastAsia" w:ascii="宋体" w:hAnsi="宋体" w:cs="宋体"/>
                <w:snapToGrid w:val="0"/>
                <w:color w:val="000000" w:themeColor="text1"/>
                <w:spacing w:val="-8"/>
                <w:kern w:val="0"/>
                <w:lang w:val="en-US" w:eastAsia="zh-CN"/>
                <w14:textFill>
                  <w14:solidFill>
                    <w14:schemeClr w14:val="tx1"/>
                  </w14:solidFill>
                </w14:textFill>
              </w:rPr>
              <w:t>四级</w:t>
            </w:r>
            <w:r>
              <w:rPr>
                <w:rFonts w:hint="eastAsia" w:ascii="宋体" w:hAnsi="宋体" w:eastAsia="宋体" w:cs="宋体"/>
                <w:snapToGrid w:val="0"/>
                <w:color w:val="000000" w:themeColor="text1"/>
                <w:spacing w:val="-8"/>
                <w:kern w:val="0"/>
                <w14:textFill>
                  <w14:solidFill>
                    <w14:schemeClr w14:val="tx1"/>
                  </w14:solidFill>
                </w14:textFill>
              </w:rPr>
              <w:t>及以上证书的得</w:t>
            </w:r>
            <w:r>
              <w:rPr>
                <w:rFonts w:hint="eastAsia" w:ascii="宋体" w:hAnsi="宋体" w:cs="宋体"/>
                <w:snapToGrid w:val="0"/>
                <w:color w:val="000000" w:themeColor="text1"/>
                <w:spacing w:val="-8"/>
                <w:kern w:val="0"/>
                <w:lang w:val="en-US" w:eastAsia="zh-CN"/>
                <w14:textFill>
                  <w14:solidFill>
                    <w14:schemeClr w14:val="tx1"/>
                  </w14:solidFill>
                </w14:textFill>
              </w:rPr>
              <w:t>2</w:t>
            </w:r>
            <w:r>
              <w:rPr>
                <w:rFonts w:hint="eastAsia" w:ascii="宋体" w:hAnsi="宋体" w:eastAsia="宋体" w:cs="宋体"/>
                <w:snapToGrid w:val="0"/>
                <w:color w:val="000000" w:themeColor="text1"/>
                <w:spacing w:val="-8"/>
                <w:kern w:val="0"/>
                <w14:textFill>
                  <w14:solidFill>
                    <w14:schemeClr w14:val="tx1"/>
                  </w14:solidFill>
                </w14:textFill>
              </w:rPr>
              <w:t>分</w:t>
            </w:r>
            <w:r>
              <w:rPr>
                <w:rFonts w:hint="eastAsia" w:ascii="宋体" w:hAnsi="宋体" w:cs="宋体"/>
                <w:snapToGrid w:val="0"/>
                <w:color w:val="000000" w:themeColor="text1"/>
                <w:spacing w:val="-10"/>
                <w:kern w:val="0"/>
                <w:lang w:eastAsia="zh-CN"/>
                <w14:textFill>
                  <w14:solidFill>
                    <w14:schemeClr w14:val="tx1"/>
                  </w14:solidFill>
                </w14:textFill>
              </w:rPr>
              <w:t>；</w:t>
            </w:r>
            <w:r>
              <w:rPr>
                <w:rFonts w:hint="eastAsia" w:ascii="宋体" w:hAnsi="宋体" w:cs="宋体"/>
                <w:snapToGrid w:val="0"/>
                <w:color w:val="000000" w:themeColor="text1"/>
                <w:spacing w:val="-10"/>
                <w:kern w:val="0"/>
                <w:lang w:val="en-US" w:eastAsia="zh-CN"/>
                <w14:textFill>
                  <w14:solidFill>
                    <w14:schemeClr w14:val="tx1"/>
                  </w14:solidFill>
                </w14:textFill>
              </w:rPr>
              <w:t>③具有健康管理师证书得2分。</w:t>
            </w:r>
            <w:r>
              <w:rPr>
                <w:rFonts w:ascii="宋体" w:hAnsi="宋体" w:eastAsia="宋体" w:cs="宋体"/>
                <w:snapToGrid w:val="0"/>
                <w:color w:val="000000" w:themeColor="text1"/>
                <w:spacing w:val="-10"/>
                <w:kern w:val="0"/>
                <w14:textFill>
                  <w14:solidFill>
                    <w14:schemeClr w14:val="tx1"/>
                  </w14:solidFill>
                </w14:textFill>
              </w:rPr>
              <w:t>本项满分</w:t>
            </w:r>
            <w:r>
              <w:rPr>
                <w:rFonts w:hint="eastAsia" w:ascii="宋体" w:hAnsi="宋体" w:cs="宋体"/>
                <w:snapToGrid w:val="0"/>
                <w:color w:val="000000" w:themeColor="text1"/>
                <w:spacing w:val="-10"/>
                <w:kern w:val="0"/>
                <w:lang w:val="en-US" w:eastAsia="zh-CN"/>
                <w14:textFill>
                  <w14:solidFill>
                    <w14:schemeClr w14:val="tx1"/>
                  </w14:solidFill>
                </w14:textFill>
              </w:rPr>
              <w:t>6</w:t>
            </w:r>
            <w:r>
              <w:rPr>
                <w:rFonts w:ascii="宋体" w:hAnsi="宋体" w:eastAsia="宋体" w:cs="宋体"/>
                <w:snapToGrid w:val="0"/>
                <w:color w:val="000000" w:themeColor="text1"/>
                <w:spacing w:val="-10"/>
                <w:kern w:val="0"/>
                <w14:textFill>
                  <w14:solidFill>
                    <w14:schemeClr w14:val="tx1"/>
                  </w14:solidFill>
                </w14:textFill>
              </w:rPr>
              <w:t>分。</w:t>
            </w:r>
            <w:r>
              <w:rPr>
                <w:rFonts w:ascii="宋体" w:hAnsi="宋体" w:eastAsia="宋体" w:cs="宋体"/>
                <w:b/>
                <w:bCs/>
                <w:snapToGrid w:val="0"/>
                <w:color w:val="000000" w:themeColor="text1"/>
                <w:spacing w:val="-10"/>
                <w:kern w:val="0"/>
                <w14:textFill>
                  <w14:solidFill>
                    <w14:schemeClr w14:val="tx1"/>
                  </w14:solidFill>
                </w14:textFill>
              </w:rPr>
              <w:t>提供相关证书及其在供应商单位</w:t>
            </w:r>
            <w:r>
              <w:rPr>
                <w:rFonts w:ascii="宋体" w:hAnsi="宋体" w:eastAsia="宋体" w:cs="宋体"/>
                <w:b/>
                <w:bCs/>
                <w:snapToGrid w:val="0"/>
                <w:color w:val="000000" w:themeColor="text1"/>
                <w:spacing w:val="-12"/>
                <w:kern w:val="0"/>
                <w14:textFill>
                  <w14:solidFill>
                    <w14:schemeClr w14:val="tx1"/>
                  </w14:solidFill>
                </w14:textFill>
              </w:rPr>
              <w:t>近三个月</w:t>
            </w:r>
            <w:r>
              <w:rPr>
                <w:rFonts w:hint="eastAsia" w:ascii="宋体" w:hAnsi="宋体" w:cs="宋体"/>
                <w:b/>
                <w:bCs/>
                <w:snapToGrid w:val="0"/>
                <w:color w:val="000000" w:themeColor="text1"/>
                <w:spacing w:val="-12"/>
                <w:kern w:val="0"/>
                <w:lang w:val="en-US" w:eastAsia="zh-CN"/>
                <w14:textFill>
                  <w14:solidFill>
                    <w14:schemeClr w14:val="tx1"/>
                  </w14:solidFill>
                </w14:textFill>
              </w:rPr>
              <w:t>内任意一个月</w:t>
            </w:r>
            <w:r>
              <w:rPr>
                <w:rFonts w:ascii="宋体" w:hAnsi="宋体" w:eastAsia="宋体" w:cs="宋体"/>
                <w:b/>
                <w:bCs/>
                <w:snapToGrid w:val="0"/>
                <w:color w:val="000000" w:themeColor="text1"/>
                <w:spacing w:val="-6"/>
                <w:kern w:val="0"/>
                <w14:textFill>
                  <w14:solidFill>
                    <w14:schemeClr w14:val="tx1"/>
                  </w14:solidFill>
                </w14:textFill>
              </w:rPr>
              <w:t>的社保缴纳证明资料</w:t>
            </w:r>
            <w:r>
              <w:rPr>
                <w:rFonts w:ascii="宋体" w:hAnsi="宋体" w:eastAsia="宋体" w:cs="宋体"/>
                <w:b/>
                <w:bCs/>
                <w:snapToGrid w:val="0"/>
                <w:color w:val="000000" w:themeColor="text1"/>
                <w:spacing w:val="-10"/>
                <w:kern w:val="0"/>
                <w14:textFill>
                  <w14:solidFill>
                    <w14:schemeClr w14:val="tx1"/>
                  </w14:solidFill>
                </w14:textFill>
              </w:rPr>
              <w:t>，</w:t>
            </w:r>
            <w:r>
              <w:rPr>
                <w:rFonts w:hint="eastAsia" w:ascii="宋体" w:hAnsi="宋体" w:eastAsia="宋体" w:cs="宋体"/>
                <w:b/>
                <w:bCs/>
                <w:snapToGrid w:val="0"/>
                <w:color w:val="000000" w:themeColor="text1"/>
                <w:spacing w:val="-10"/>
                <w:kern w:val="0"/>
                <w14:textFill>
                  <w14:solidFill>
                    <w14:schemeClr w14:val="tx1"/>
                  </w14:solidFill>
                </w14:textFill>
              </w:rPr>
              <w:t>原件扫描上传</w:t>
            </w:r>
            <w:r>
              <w:rPr>
                <w:rFonts w:hint="eastAsia" w:ascii="宋体" w:hAnsi="宋体" w:cs="宋体"/>
                <w:b/>
                <w:bCs/>
                <w:snapToGrid w:val="0"/>
                <w:color w:val="000000" w:themeColor="text1"/>
                <w:spacing w:val="-1"/>
                <w:kern w:val="0"/>
                <w14:textFill>
                  <w14:solidFill>
                    <w14:schemeClr w14:val="tx1"/>
                  </w14:solidFill>
                </w14:textFill>
              </w:rPr>
              <w:t>。</w:t>
            </w:r>
            <w:r>
              <w:rPr>
                <w:rFonts w:ascii="宋体" w:hAnsi="宋体" w:eastAsia="宋体" w:cs="宋体"/>
                <w:b/>
                <w:bCs/>
                <w:snapToGrid w:val="0"/>
                <w:color w:val="000000" w:themeColor="text1"/>
                <w:kern w:val="0"/>
                <w14:textFill>
                  <w14:solidFill>
                    <w14:schemeClr w14:val="tx1"/>
                  </w14:solidFill>
                </w14:textFill>
              </w:rPr>
              <w:t xml:space="preserve"> </w:t>
            </w:r>
          </w:p>
          <w:p w14:paraId="7583DFE3">
            <w:pPr>
              <w:keepNext w:val="0"/>
              <w:keepLines w:val="0"/>
              <w:pageBreakBefore w:val="0"/>
              <w:widowControl w:val="0"/>
              <w:kinsoku/>
              <w:wordWrap/>
              <w:overflowPunct/>
              <w:topLinePunct w:val="0"/>
              <w:autoSpaceDE/>
              <w:autoSpaceDN/>
              <w:bidi w:val="0"/>
              <w:adjustRightInd/>
              <w:snapToGrid/>
              <w:spacing w:line="360" w:lineRule="auto"/>
              <w:ind w:left="108" w:right="104" w:firstLine="16"/>
              <w:textAlignment w:val="auto"/>
              <w:rPr>
                <w:rFonts w:hint="eastAsia" w:ascii="宋体" w:hAnsi="宋体" w:eastAsia="宋体" w:cs="宋体"/>
                <w:snapToGrid w:val="0"/>
                <w:color w:val="000000" w:themeColor="text1"/>
                <w:kern w:val="0"/>
                <w:lang w:val="en-US" w:eastAsia="zh-CN"/>
                <w14:textFill>
                  <w14:solidFill>
                    <w14:schemeClr w14:val="tx1"/>
                  </w14:solidFill>
                </w14:textFill>
              </w:rPr>
            </w:pPr>
            <w:r>
              <w:rPr>
                <w:rFonts w:ascii="宋体" w:hAnsi="宋体" w:eastAsia="宋体" w:cs="宋体"/>
                <w:snapToGrid w:val="0"/>
                <w:color w:val="000000" w:themeColor="text1"/>
                <w:spacing w:val="-4"/>
                <w:kern w:val="0"/>
                <w14:textFill>
                  <w14:solidFill>
                    <w14:schemeClr w14:val="tx1"/>
                  </w14:solidFill>
                </w14:textFill>
              </w:rPr>
              <w:t>2、团队成员中(项目负责人除外)：①具有助理社会工</w:t>
            </w:r>
            <w:r>
              <w:rPr>
                <w:rFonts w:ascii="宋体" w:hAnsi="宋体" w:eastAsia="宋体" w:cs="宋体"/>
                <w:snapToGrid w:val="0"/>
                <w:color w:val="000000" w:themeColor="text1"/>
                <w:spacing w:val="-8"/>
                <w:kern w:val="0"/>
                <w14:textFill>
                  <w14:solidFill>
                    <w14:schemeClr w14:val="tx1"/>
                  </w14:solidFill>
                </w14:textFill>
              </w:rPr>
              <w:t>作师证的，每有1人得</w:t>
            </w:r>
            <w:r>
              <w:rPr>
                <w:rFonts w:hint="eastAsia" w:ascii="宋体" w:hAnsi="宋体" w:eastAsia="宋体" w:cs="宋体"/>
                <w:snapToGrid w:val="0"/>
                <w:color w:val="000000" w:themeColor="text1"/>
                <w:spacing w:val="-8"/>
                <w:kern w:val="0"/>
                <w14:textFill>
                  <w14:solidFill>
                    <w14:schemeClr w14:val="tx1"/>
                  </w14:solidFill>
                </w14:textFill>
              </w:rPr>
              <w:t>1</w:t>
            </w:r>
            <w:r>
              <w:rPr>
                <w:rFonts w:ascii="宋体" w:hAnsi="宋体" w:eastAsia="宋体" w:cs="宋体"/>
                <w:snapToGrid w:val="0"/>
                <w:color w:val="000000" w:themeColor="text1"/>
                <w:spacing w:val="-8"/>
                <w:kern w:val="0"/>
                <w14:textFill>
                  <w14:solidFill>
                    <w14:schemeClr w14:val="tx1"/>
                  </w14:solidFill>
                </w14:textFill>
              </w:rPr>
              <w:t>分，最高得</w:t>
            </w:r>
            <w:r>
              <w:rPr>
                <w:rFonts w:hint="eastAsia" w:ascii="宋体" w:hAnsi="宋体" w:eastAsia="宋体" w:cs="宋体"/>
                <w:snapToGrid w:val="0"/>
                <w:color w:val="000000" w:themeColor="text1"/>
                <w:spacing w:val="-8"/>
                <w:kern w:val="0"/>
                <w:lang w:val="en-US" w:eastAsia="zh-CN"/>
                <w14:textFill>
                  <w14:solidFill>
                    <w14:schemeClr w14:val="tx1"/>
                  </w14:solidFill>
                </w14:textFill>
              </w:rPr>
              <w:t>4</w:t>
            </w:r>
            <w:r>
              <w:rPr>
                <w:rFonts w:ascii="宋体" w:hAnsi="宋体" w:eastAsia="宋体" w:cs="宋体"/>
                <w:snapToGrid w:val="0"/>
                <w:color w:val="000000" w:themeColor="text1"/>
                <w:spacing w:val="-8"/>
                <w:kern w:val="0"/>
                <w14:textFill>
                  <w14:solidFill>
                    <w14:schemeClr w14:val="tx1"/>
                  </w14:solidFill>
                </w14:textFill>
              </w:rPr>
              <w:t>分；②具有社会工作师证的，每有1人得</w:t>
            </w:r>
            <w:r>
              <w:rPr>
                <w:rFonts w:hint="eastAsia" w:ascii="宋体" w:hAnsi="宋体" w:cs="宋体"/>
                <w:snapToGrid w:val="0"/>
                <w:color w:val="000000" w:themeColor="text1"/>
                <w:spacing w:val="-8"/>
                <w:kern w:val="0"/>
                <w:lang w:val="en-US" w:eastAsia="zh-CN"/>
                <w14:textFill>
                  <w14:solidFill>
                    <w14:schemeClr w14:val="tx1"/>
                  </w14:solidFill>
                </w14:textFill>
              </w:rPr>
              <w:t>2</w:t>
            </w:r>
            <w:r>
              <w:rPr>
                <w:rFonts w:ascii="宋体" w:hAnsi="宋体" w:eastAsia="宋体" w:cs="宋体"/>
                <w:snapToGrid w:val="0"/>
                <w:color w:val="000000" w:themeColor="text1"/>
                <w:spacing w:val="-8"/>
                <w:kern w:val="0"/>
                <w14:textFill>
                  <w14:solidFill>
                    <w14:schemeClr w14:val="tx1"/>
                  </w14:solidFill>
                </w14:textFill>
              </w:rPr>
              <w:t>分，最高得</w:t>
            </w:r>
            <w:r>
              <w:rPr>
                <w:rFonts w:hint="eastAsia" w:ascii="宋体" w:hAnsi="宋体" w:cs="宋体"/>
                <w:snapToGrid w:val="0"/>
                <w:color w:val="000000" w:themeColor="text1"/>
                <w:spacing w:val="-8"/>
                <w:kern w:val="0"/>
                <w:lang w:val="en-US" w:eastAsia="zh-CN"/>
                <w14:textFill>
                  <w14:solidFill>
                    <w14:schemeClr w14:val="tx1"/>
                  </w14:solidFill>
                </w14:textFill>
              </w:rPr>
              <w:t>6</w:t>
            </w:r>
            <w:r>
              <w:rPr>
                <w:rFonts w:ascii="宋体" w:hAnsi="宋体" w:eastAsia="宋体" w:cs="宋体"/>
                <w:snapToGrid w:val="0"/>
                <w:color w:val="000000" w:themeColor="text1"/>
                <w:spacing w:val="-8"/>
                <w:kern w:val="0"/>
                <w14:textFill>
                  <w14:solidFill>
                    <w14:schemeClr w14:val="tx1"/>
                  </w14:solidFill>
                </w14:textFill>
              </w:rPr>
              <w:t>分；</w:t>
            </w:r>
            <w:r>
              <w:rPr>
                <w:rFonts w:hint="eastAsia" w:ascii="宋体" w:hAnsi="宋体" w:eastAsia="宋体" w:cs="宋体"/>
                <w:snapToGrid w:val="0"/>
                <w:color w:val="000000" w:themeColor="text1"/>
                <w:spacing w:val="-8"/>
                <w:kern w:val="0"/>
                <w:lang w:val="en-US" w:eastAsia="zh-CN"/>
                <w14:textFill>
                  <w14:solidFill>
                    <w14:schemeClr w14:val="tx1"/>
                  </w14:solidFill>
                </w14:textFill>
              </w:rPr>
              <w:t>本项满分</w:t>
            </w:r>
            <w:r>
              <w:rPr>
                <w:rFonts w:hint="eastAsia" w:ascii="宋体" w:hAnsi="宋体" w:cs="宋体"/>
                <w:snapToGrid w:val="0"/>
                <w:color w:val="000000" w:themeColor="text1"/>
                <w:spacing w:val="-8"/>
                <w:kern w:val="0"/>
                <w:lang w:val="en-US" w:eastAsia="zh-CN"/>
                <w14:textFill>
                  <w14:solidFill>
                    <w14:schemeClr w14:val="tx1"/>
                  </w14:solidFill>
                </w14:textFill>
              </w:rPr>
              <w:t>10</w:t>
            </w:r>
            <w:r>
              <w:rPr>
                <w:rFonts w:hint="eastAsia" w:ascii="宋体" w:hAnsi="宋体" w:cs="宋体"/>
                <w:snapToGrid w:val="0"/>
                <w:color w:val="000000" w:themeColor="text1"/>
                <w:spacing w:val="-15"/>
                <w:kern w:val="0"/>
                <w:lang w:val="en-US" w:eastAsia="zh-CN"/>
                <w14:textFill>
                  <w14:solidFill>
                    <w14:schemeClr w14:val="tx1"/>
                  </w14:solidFill>
                </w14:textFill>
              </w:rPr>
              <w:t>分。</w:t>
            </w:r>
            <w:r>
              <w:rPr>
                <w:rFonts w:ascii="宋体" w:hAnsi="宋体" w:eastAsia="宋体" w:cs="宋体"/>
                <w:b/>
                <w:bCs/>
                <w:snapToGrid w:val="0"/>
                <w:color w:val="000000" w:themeColor="text1"/>
                <w:spacing w:val="-10"/>
                <w:kern w:val="0"/>
                <w14:textFill>
                  <w14:solidFill>
                    <w14:schemeClr w14:val="tx1"/>
                  </w14:solidFill>
                </w14:textFill>
              </w:rPr>
              <w:t>提供相关证书及其在供应商单位</w:t>
            </w:r>
            <w:r>
              <w:rPr>
                <w:rFonts w:ascii="宋体" w:hAnsi="宋体" w:eastAsia="宋体" w:cs="宋体"/>
                <w:b/>
                <w:bCs/>
                <w:snapToGrid w:val="0"/>
                <w:color w:val="000000" w:themeColor="text1"/>
                <w:spacing w:val="-12"/>
                <w:kern w:val="0"/>
                <w14:textFill>
                  <w14:solidFill>
                    <w14:schemeClr w14:val="tx1"/>
                  </w14:solidFill>
                </w14:textFill>
              </w:rPr>
              <w:t>近三个月</w:t>
            </w:r>
            <w:r>
              <w:rPr>
                <w:rFonts w:hint="eastAsia" w:ascii="宋体" w:hAnsi="宋体" w:cs="宋体"/>
                <w:b/>
                <w:bCs/>
                <w:snapToGrid w:val="0"/>
                <w:color w:val="000000" w:themeColor="text1"/>
                <w:spacing w:val="-12"/>
                <w:kern w:val="0"/>
                <w:lang w:val="en-US" w:eastAsia="zh-CN"/>
                <w14:textFill>
                  <w14:solidFill>
                    <w14:schemeClr w14:val="tx1"/>
                  </w14:solidFill>
                </w14:textFill>
              </w:rPr>
              <w:t>内任意一个月</w:t>
            </w:r>
            <w:r>
              <w:rPr>
                <w:rFonts w:ascii="宋体" w:hAnsi="宋体" w:eastAsia="宋体" w:cs="宋体"/>
                <w:b/>
                <w:bCs/>
                <w:snapToGrid w:val="0"/>
                <w:color w:val="000000" w:themeColor="text1"/>
                <w:spacing w:val="-6"/>
                <w:kern w:val="0"/>
                <w14:textFill>
                  <w14:solidFill>
                    <w14:schemeClr w14:val="tx1"/>
                  </w14:solidFill>
                </w14:textFill>
              </w:rPr>
              <w:t>的社保缴纳证明资料</w:t>
            </w:r>
            <w:r>
              <w:rPr>
                <w:rFonts w:ascii="宋体" w:hAnsi="宋体" w:eastAsia="宋体" w:cs="宋体"/>
                <w:b/>
                <w:bCs/>
                <w:snapToGrid w:val="0"/>
                <w:color w:val="000000" w:themeColor="text1"/>
                <w:spacing w:val="-10"/>
                <w:kern w:val="0"/>
                <w14:textFill>
                  <w14:solidFill>
                    <w14:schemeClr w14:val="tx1"/>
                  </w14:solidFill>
                </w14:textFill>
              </w:rPr>
              <w:t>，</w:t>
            </w:r>
            <w:r>
              <w:rPr>
                <w:rFonts w:hint="eastAsia" w:ascii="宋体" w:hAnsi="宋体" w:eastAsia="宋体" w:cs="宋体"/>
                <w:b/>
                <w:bCs/>
                <w:snapToGrid w:val="0"/>
                <w:color w:val="000000" w:themeColor="text1"/>
                <w:spacing w:val="-10"/>
                <w:kern w:val="0"/>
                <w14:textFill>
                  <w14:solidFill>
                    <w14:schemeClr w14:val="tx1"/>
                  </w14:solidFill>
                </w14:textFill>
              </w:rPr>
              <w:t>原件扫描上传</w:t>
            </w:r>
            <w:r>
              <w:rPr>
                <w:rFonts w:hint="eastAsia" w:ascii="宋体" w:hAnsi="宋体" w:cs="宋体"/>
                <w:b/>
                <w:bCs/>
                <w:snapToGrid w:val="0"/>
                <w:color w:val="000000" w:themeColor="text1"/>
                <w:spacing w:val="-1"/>
                <w:kern w:val="0"/>
                <w14:textFill>
                  <w14:solidFill>
                    <w14:schemeClr w14:val="tx1"/>
                  </w14:solidFill>
                </w14:textFill>
              </w:rPr>
              <w:t>。</w:t>
            </w:r>
            <w:r>
              <w:rPr>
                <w:rFonts w:ascii="宋体" w:hAnsi="宋体" w:eastAsia="宋体" w:cs="宋体"/>
                <w:b/>
                <w:bCs/>
                <w:snapToGrid w:val="0"/>
                <w:color w:val="000000" w:themeColor="text1"/>
                <w:kern w:val="0"/>
                <w14:textFill>
                  <w14:solidFill>
                    <w14:schemeClr w14:val="tx1"/>
                  </w14:solidFill>
                </w14:textFill>
              </w:rPr>
              <w:t xml:space="preserve"> </w:t>
            </w:r>
          </w:p>
          <w:p w14:paraId="166CBACF">
            <w:pPr>
              <w:keepNext w:val="0"/>
              <w:keepLines w:val="0"/>
              <w:pageBreakBefore w:val="0"/>
              <w:widowControl w:val="0"/>
              <w:kinsoku/>
              <w:wordWrap/>
              <w:overflowPunct/>
              <w:topLinePunct w:val="0"/>
              <w:autoSpaceDE/>
              <w:autoSpaceDN/>
              <w:bidi w:val="0"/>
              <w:adjustRightInd/>
              <w:snapToGrid/>
              <w:spacing w:line="360" w:lineRule="auto"/>
              <w:ind w:left="114" w:right="119" w:hanging="2"/>
              <w:textAlignment w:val="auto"/>
              <w:rPr>
                <w:rFonts w:hint="eastAsia" w:ascii="宋体" w:hAnsi="宋体" w:cs="宋体"/>
                <w:snapToGrid w:val="0"/>
                <w:color w:val="000000" w:themeColor="text1"/>
                <w:kern w:val="0"/>
                <w14:textFill>
                  <w14:solidFill>
                    <w14:schemeClr w14:val="tx1"/>
                  </w14:solidFill>
                </w14:textFill>
              </w:rPr>
            </w:pPr>
            <w:r>
              <w:rPr>
                <w:rFonts w:ascii="宋体" w:hAnsi="宋体" w:eastAsia="宋体" w:cs="宋体"/>
                <w:snapToGrid w:val="0"/>
                <w:color w:val="000000" w:themeColor="text1"/>
                <w:spacing w:val="-16"/>
                <w:kern w:val="0"/>
                <w14:textFill>
                  <w14:solidFill>
                    <w14:schemeClr w14:val="tx1"/>
                  </w14:solidFill>
                </w14:textFill>
              </w:rPr>
              <w:t>3</w:t>
            </w:r>
            <w:r>
              <w:rPr>
                <w:rFonts w:ascii="宋体" w:hAnsi="宋体" w:eastAsia="宋体" w:cs="宋体"/>
                <w:snapToGrid w:val="0"/>
                <w:color w:val="000000" w:themeColor="text1"/>
                <w:spacing w:val="-13"/>
                <w:kern w:val="0"/>
                <w14:textFill>
                  <w14:solidFill>
                    <w14:schemeClr w14:val="tx1"/>
                  </w14:solidFill>
                </w14:textFill>
              </w:rPr>
              <w:t>、</w:t>
            </w:r>
            <w:r>
              <w:rPr>
                <w:rFonts w:ascii="宋体" w:hAnsi="宋体" w:eastAsia="宋体" w:cs="宋体"/>
                <w:snapToGrid w:val="0"/>
                <w:color w:val="000000" w:themeColor="text1"/>
                <w:spacing w:val="-8"/>
                <w:kern w:val="0"/>
                <w14:textFill>
                  <w14:solidFill>
                    <w14:schemeClr w14:val="tx1"/>
                  </w14:solidFill>
                </w14:textFill>
              </w:rPr>
              <w:t>供应商拟投入持证养老服务团队人数：8-13人的得1分；14-19人的得</w:t>
            </w:r>
            <w:r>
              <w:rPr>
                <w:rFonts w:hint="eastAsia" w:ascii="宋体" w:hAnsi="宋体" w:cs="宋体"/>
                <w:snapToGrid w:val="0"/>
                <w:color w:val="000000" w:themeColor="text1"/>
                <w:spacing w:val="-8"/>
                <w:kern w:val="0"/>
                <w:lang w:val="en-US" w:eastAsia="zh-CN"/>
                <w14:textFill>
                  <w14:solidFill>
                    <w14:schemeClr w14:val="tx1"/>
                  </w14:solidFill>
                </w14:textFill>
              </w:rPr>
              <w:t>2</w:t>
            </w:r>
            <w:r>
              <w:rPr>
                <w:rFonts w:ascii="宋体" w:hAnsi="宋体" w:eastAsia="宋体" w:cs="宋体"/>
                <w:snapToGrid w:val="0"/>
                <w:color w:val="000000" w:themeColor="text1"/>
                <w:spacing w:val="-14"/>
                <w:kern w:val="0"/>
                <w14:textFill>
                  <w14:solidFill>
                    <w14:schemeClr w14:val="tx1"/>
                  </w14:solidFill>
                </w14:textFill>
              </w:rPr>
              <w:t>分</w:t>
            </w:r>
            <w:r>
              <w:rPr>
                <w:rFonts w:ascii="宋体" w:hAnsi="宋体" w:eastAsia="宋体" w:cs="宋体"/>
                <w:snapToGrid w:val="0"/>
                <w:color w:val="000000" w:themeColor="text1"/>
                <w:spacing w:val="-12"/>
                <w:kern w:val="0"/>
                <w14:textFill>
                  <w14:solidFill>
                    <w14:schemeClr w14:val="tx1"/>
                  </w14:solidFill>
                </w14:textFill>
              </w:rPr>
              <w:t>；20人及以上的得</w:t>
            </w:r>
            <w:r>
              <w:rPr>
                <w:rFonts w:hint="eastAsia" w:ascii="宋体" w:hAnsi="宋体" w:cs="宋体"/>
                <w:snapToGrid w:val="0"/>
                <w:color w:val="000000" w:themeColor="text1"/>
                <w:spacing w:val="-12"/>
                <w:kern w:val="0"/>
                <w:lang w:val="en-US" w:eastAsia="zh-CN"/>
                <w14:textFill>
                  <w14:solidFill>
                    <w14:schemeClr w14:val="tx1"/>
                  </w14:solidFill>
                </w14:textFill>
              </w:rPr>
              <w:t>3</w:t>
            </w:r>
            <w:r>
              <w:rPr>
                <w:rFonts w:ascii="宋体" w:hAnsi="宋体" w:eastAsia="宋体" w:cs="宋体"/>
                <w:snapToGrid w:val="0"/>
                <w:color w:val="000000" w:themeColor="text1"/>
                <w:spacing w:val="-12"/>
                <w:kern w:val="0"/>
                <w14:textFill>
                  <w14:solidFill>
                    <w14:schemeClr w14:val="tx1"/>
                  </w14:solidFill>
                </w14:textFill>
              </w:rPr>
              <w:t>分；7人及以下不得分。本项满分</w:t>
            </w:r>
            <w:r>
              <w:rPr>
                <w:rFonts w:hint="eastAsia" w:ascii="宋体" w:hAnsi="宋体" w:cs="宋体"/>
                <w:snapToGrid w:val="0"/>
                <w:color w:val="000000" w:themeColor="text1"/>
                <w:spacing w:val="-12"/>
                <w:kern w:val="0"/>
                <w:lang w:val="en-US" w:eastAsia="zh-CN"/>
                <w14:textFill>
                  <w14:solidFill>
                    <w14:schemeClr w14:val="tx1"/>
                  </w14:solidFill>
                </w14:textFill>
              </w:rPr>
              <w:t>3</w:t>
            </w:r>
            <w:r>
              <w:rPr>
                <w:rFonts w:ascii="宋体" w:hAnsi="宋体" w:eastAsia="宋体" w:cs="宋体"/>
                <w:snapToGrid w:val="0"/>
                <w:color w:val="000000" w:themeColor="text1"/>
                <w:spacing w:val="-12"/>
                <w:kern w:val="0"/>
                <w14:textFill>
                  <w14:solidFill>
                    <w14:schemeClr w14:val="tx1"/>
                  </w14:solidFill>
                </w14:textFill>
              </w:rPr>
              <w:t>分</w:t>
            </w:r>
            <w:r>
              <w:rPr>
                <w:rFonts w:ascii="宋体" w:hAnsi="宋体" w:eastAsia="宋体" w:cs="宋体"/>
                <w:b/>
                <w:bCs/>
                <w:snapToGrid w:val="0"/>
                <w:color w:val="000000" w:themeColor="text1"/>
                <w:spacing w:val="-12"/>
                <w:kern w:val="0"/>
                <w14:textFill>
                  <w14:solidFill>
                    <w14:schemeClr w14:val="tx1"/>
                  </w14:solidFill>
                </w14:textFill>
              </w:rPr>
              <w:t>(提供</w:t>
            </w:r>
            <w:r>
              <w:rPr>
                <w:rFonts w:hint="eastAsia" w:ascii="宋体" w:hAnsi="宋体" w:cs="宋体"/>
                <w:b/>
                <w:bCs/>
                <w:snapToGrid w:val="0"/>
                <w:color w:val="000000" w:themeColor="text1"/>
                <w:spacing w:val="-12"/>
                <w:kern w:val="0"/>
                <w:lang w:val="en-US" w:eastAsia="zh-CN"/>
                <w14:textFill>
                  <w14:solidFill>
                    <w14:schemeClr w14:val="tx1"/>
                  </w14:solidFill>
                </w14:textFill>
              </w:rPr>
              <w:t>人员花名册、人员资质证书、劳动合同</w:t>
            </w:r>
            <w:r>
              <w:rPr>
                <w:rFonts w:ascii="宋体" w:hAnsi="宋体" w:eastAsia="宋体" w:cs="宋体"/>
                <w:b/>
                <w:bCs/>
                <w:snapToGrid w:val="0"/>
                <w:color w:val="000000" w:themeColor="text1"/>
                <w:spacing w:val="-10"/>
                <w:kern w:val="0"/>
                <w14:textFill>
                  <w14:solidFill>
                    <w14:schemeClr w14:val="tx1"/>
                  </w14:solidFill>
                </w14:textFill>
              </w:rPr>
              <w:t>及其在供应商单位</w:t>
            </w:r>
            <w:r>
              <w:rPr>
                <w:rFonts w:ascii="宋体" w:hAnsi="宋体" w:eastAsia="宋体" w:cs="宋体"/>
                <w:b/>
                <w:bCs/>
                <w:snapToGrid w:val="0"/>
                <w:color w:val="000000" w:themeColor="text1"/>
                <w:spacing w:val="-12"/>
                <w:kern w:val="0"/>
                <w14:textFill>
                  <w14:solidFill>
                    <w14:schemeClr w14:val="tx1"/>
                  </w14:solidFill>
                </w14:textFill>
              </w:rPr>
              <w:t>近三个月</w:t>
            </w:r>
            <w:r>
              <w:rPr>
                <w:rFonts w:hint="eastAsia" w:ascii="宋体" w:hAnsi="宋体" w:cs="宋体"/>
                <w:b/>
                <w:bCs/>
                <w:snapToGrid w:val="0"/>
                <w:color w:val="000000" w:themeColor="text1"/>
                <w:spacing w:val="-12"/>
                <w:kern w:val="0"/>
                <w:lang w:val="en-US" w:eastAsia="zh-CN"/>
                <w14:textFill>
                  <w14:solidFill>
                    <w14:schemeClr w14:val="tx1"/>
                  </w14:solidFill>
                </w14:textFill>
              </w:rPr>
              <w:t>内任意一个月</w:t>
            </w:r>
            <w:r>
              <w:rPr>
                <w:rFonts w:ascii="宋体" w:hAnsi="宋体" w:eastAsia="宋体" w:cs="宋体"/>
                <w:b/>
                <w:bCs/>
                <w:snapToGrid w:val="0"/>
                <w:color w:val="000000" w:themeColor="text1"/>
                <w:spacing w:val="-6"/>
                <w:kern w:val="0"/>
                <w14:textFill>
                  <w14:solidFill>
                    <w14:schemeClr w14:val="tx1"/>
                  </w14:solidFill>
                </w14:textFill>
              </w:rPr>
              <w:t>的社保缴纳证明资料</w:t>
            </w:r>
            <w:r>
              <w:rPr>
                <w:rFonts w:ascii="宋体" w:hAnsi="宋体" w:eastAsia="宋体" w:cs="宋体"/>
                <w:b/>
                <w:bCs/>
                <w:snapToGrid w:val="0"/>
                <w:color w:val="000000" w:themeColor="text1"/>
                <w:spacing w:val="-10"/>
                <w:kern w:val="0"/>
                <w14:textFill>
                  <w14:solidFill>
                    <w14:schemeClr w14:val="tx1"/>
                  </w14:solidFill>
                </w14:textFill>
              </w:rPr>
              <w:t>，</w:t>
            </w:r>
            <w:r>
              <w:rPr>
                <w:rFonts w:hint="eastAsia" w:ascii="宋体" w:hAnsi="宋体" w:eastAsia="宋体" w:cs="宋体"/>
                <w:b/>
                <w:bCs/>
                <w:snapToGrid w:val="0"/>
                <w:color w:val="000000" w:themeColor="text1"/>
                <w:spacing w:val="-10"/>
                <w:kern w:val="0"/>
                <w14:textFill>
                  <w14:solidFill>
                    <w14:schemeClr w14:val="tx1"/>
                  </w14:solidFill>
                </w14:textFill>
              </w:rPr>
              <w:t>原件扫描上传</w:t>
            </w:r>
            <w:r>
              <w:rPr>
                <w:rFonts w:hint="eastAsia" w:ascii="宋体" w:hAnsi="宋体" w:cs="宋体"/>
                <w:b/>
                <w:bCs/>
                <w:snapToGrid w:val="0"/>
                <w:color w:val="000000" w:themeColor="text1"/>
                <w:spacing w:val="-1"/>
                <w:kern w:val="0"/>
                <w14:textFill>
                  <w14:solidFill>
                    <w14:schemeClr w14:val="tx1"/>
                  </w14:solidFill>
                </w14:textFill>
              </w:rPr>
              <w:t>。</w:t>
            </w:r>
            <w:r>
              <w:rPr>
                <w:rFonts w:ascii="宋体" w:hAnsi="宋体" w:eastAsia="宋体" w:cs="宋体"/>
                <w:b/>
                <w:bCs/>
                <w:snapToGrid w:val="0"/>
                <w:color w:val="000000" w:themeColor="text1"/>
                <w:kern w:val="0"/>
                <w14:textFill>
                  <w14:solidFill>
                    <w14:schemeClr w14:val="tx1"/>
                  </w14:solidFill>
                </w14:textFill>
              </w:rPr>
              <w:t xml:space="preserve"> </w:t>
            </w:r>
            <w:r>
              <w:rPr>
                <w:rFonts w:hint="eastAsia" w:ascii="宋体" w:hAnsi="宋体" w:cs="宋体"/>
                <w:b/>
                <w:bCs/>
                <w:snapToGrid w:val="0"/>
                <w:color w:val="000000" w:themeColor="text1"/>
                <w:spacing w:val="-10"/>
                <w:kern w:val="0"/>
                <w:lang w:eastAsia="zh-CN"/>
                <w14:textFill>
                  <w14:solidFill>
                    <w14:schemeClr w14:val="tx1"/>
                  </w14:solidFill>
                </w14:textFill>
              </w:rPr>
              <w:t>）</w:t>
            </w:r>
          </w:p>
        </w:tc>
      </w:tr>
      <w:tr w14:paraId="30656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276" w:type="dxa"/>
            <w:vAlign w:val="center"/>
          </w:tcPr>
          <w:p w14:paraId="7C0391F7">
            <w:pPr>
              <w:keepNext w:val="0"/>
              <w:keepLines w:val="0"/>
              <w:pageBreakBefore w:val="0"/>
              <w:widowControl w:val="0"/>
              <w:kinsoku/>
              <w:wordWrap/>
              <w:overflowPunct/>
              <w:topLinePunct w:val="0"/>
              <w:autoSpaceDE/>
              <w:autoSpaceDN/>
              <w:bidi w:val="0"/>
              <w:adjustRightInd/>
              <w:snapToGrid/>
              <w:spacing w:line="360" w:lineRule="auto"/>
              <w:ind w:right="201"/>
              <w:jc w:val="center"/>
              <w:textAlignment w:val="auto"/>
              <w:rPr>
                <w:rFonts w:ascii="宋体" w:hAnsi="宋体" w:eastAsia="宋体" w:cs="宋体"/>
                <w:snapToGrid w:val="0"/>
                <w:color w:val="000000" w:themeColor="text1"/>
                <w:spacing w:val="-2"/>
                <w:kern w:val="0"/>
                <w14:textFill>
                  <w14:solidFill>
                    <w14:schemeClr w14:val="tx1"/>
                  </w14:solidFill>
                </w14:textFill>
              </w:rPr>
            </w:pPr>
            <w:r>
              <w:rPr>
                <w:rFonts w:ascii="宋体" w:hAnsi="宋体" w:eastAsia="宋体" w:cs="宋体"/>
                <w:snapToGrid w:val="0"/>
                <w:color w:val="000000" w:themeColor="text1"/>
                <w:spacing w:val="-3"/>
                <w:kern w:val="0"/>
                <w14:textFill>
                  <w14:solidFill>
                    <w14:schemeClr w14:val="tx1"/>
                  </w14:solidFill>
                </w14:textFill>
              </w:rPr>
              <w:t>业</w:t>
            </w:r>
            <w:r>
              <w:rPr>
                <w:rFonts w:ascii="宋体" w:hAnsi="宋体" w:eastAsia="宋体" w:cs="宋体"/>
                <w:snapToGrid w:val="0"/>
                <w:color w:val="000000" w:themeColor="text1"/>
                <w:spacing w:val="-2"/>
                <w:kern w:val="0"/>
                <w14:textFill>
                  <w14:solidFill>
                    <w14:schemeClr w14:val="tx1"/>
                  </w14:solidFill>
                </w14:textFill>
              </w:rPr>
              <w:t>绩</w:t>
            </w:r>
          </w:p>
          <w:p w14:paraId="5A51B101">
            <w:pPr>
              <w:keepNext w:val="0"/>
              <w:keepLines w:val="0"/>
              <w:pageBreakBefore w:val="0"/>
              <w:widowControl w:val="0"/>
              <w:kinsoku/>
              <w:wordWrap/>
              <w:overflowPunct/>
              <w:topLinePunct w:val="0"/>
              <w:autoSpaceDE/>
              <w:autoSpaceDN/>
              <w:bidi w:val="0"/>
              <w:adjustRightInd/>
              <w:snapToGrid/>
              <w:spacing w:line="360" w:lineRule="auto"/>
              <w:ind w:right="201"/>
              <w:jc w:val="center"/>
              <w:textAlignment w:val="auto"/>
              <w:rPr>
                <w:rFonts w:ascii="宋体" w:hAnsi="宋体" w:eastAsia="宋体" w:cs="宋体"/>
                <w:snapToGrid w:val="0"/>
                <w:color w:val="000000" w:themeColor="text1"/>
                <w:kern w:val="0"/>
                <w14:textFill>
                  <w14:solidFill>
                    <w14:schemeClr w14:val="tx1"/>
                  </w14:solidFill>
                </w14:textFill>
              </w:rPr>
            </w:pPr>
            <w:r>
              <w:rPr>
                <w:rFonts w:ascii="宋体" w:hAnsi="宋体" w:eastAsia="宋体" w:cs="宋体"/>
                <w:snapToGrid w:val="0"/>
                <w:color w:val="000000" w:themeColor="text1"/>
                <w:spacing w:val="8"/>
                <w:kern w:val="0"/>
                <w14:textFill>
                  <w14:solidFill>
                    <w14:schemeClr w14:val="tx1"/>
                  </w14:solidFill>
                </w14:textFill>
              </w:rPr>
              <w:t>(</w:t>
            </w:r>
            <w:r>
              <w:rPr>
                <w:rFonts w:hint="eastAsia" w:ascii="宋体" w:hAnsi="宋体" w:cs="宋体"/>
                <w:snapToGrid w:val="0"/>
                <w:color w:val="000000" w:themeColor="text1"/>
                <w:spacing w:val="4"/>
                <w:kern w:val="0"/>
                <w:lang w:val="en-US" w:eastAsia="zh-CN"/>
                <w14:textFill>
                  <w14:solidFill>
                    <w14:schemeClr w14:val="tx1"/>
                  </w14:solidFill>
                </w14:textFill>
              </w:rPr>
              <w:t>10</w:t>
            </w:r>
            <w:r>
              <w:rPr>
                <w:rFonts w:ascii="宋体" w:hAnsi="宋体" w:eastAsia="宋体" w:cs="宋体"/>
                <w:snapToGrid w:val="0"/>
                <w:color w:val="000000" w:themeColor="text1"/>
                <w:spacing w:val="4"/>
                <w:kern w:val="0"/>
                <w14:textFill>
                  <w14:solidFill>
                    <w14:schemeClr w14:val="tx1"/>
                  </w14:solidFill>
                </w14:textFill>
              </w:rPr>
              <w:t>分)</w:t>
            </w:r>
          </w:p>
        </w:tc>
        <w:tc>
          <w:tcPr>
            <w:tcW w:w="7372" w:type="dxa"/>
          </w:tcPr>
          <w:p w14:paraId="2B31C9CA">
            <w:pPr>
              <w:keepNext w:val="0"/>
              <w:keepLines w:val="0"/>
              <w:pageBreakBefore w:val="0"/>
              <w:widowControl w:val="0"/>
              <w:numPr>
                <w:ilvl w:val="0"/>
                <w:numId w:val="5"/>
              </w:numPr>
              <w:kinsoku/>
              <w:wordWrap/>
              <w:overflowPunct/>
              <w:topLinePunct w:val="0"/>
              <w:autoSpaceDE/>
              <w:autoSpaceDN/>
              <w:bidi w:val="0"/>
              <w:adjustRightInd/>
              <w:snapToGrid/>
              <w:spacing w:line="360" w:lineRule="auto"/>
              <w:ind w:right="107" w:rightChars="0"/>
              <w:textAlignment w:val="auto"/>
              <w:rPr>
                <w:rFonts w:ascii="宋体" w:hAnsi="宋体" w:eastAsia="宋体" w:cs="宋体"/>
                <w:snapToGrid w:val="0"/>
                <w:color w:val="000000" w:themeColor="text1"/>
                <w:kern w:val="0"/>
                <w:highlight w:val="none"/>
                <w14:textFill>
                  <w14:solidFill>
                    <w14:schemeClr w14:val="tx1"/>
                  </w14:solidFill>
                </w14:textFill>
              </w:rPr>
            </w:pPr>
            <w:r>
              <w:rPr>
                <w:rFonts w:ascii="宋体" w:hAnsi="宋体" w:eastAsia="宋体" w:cs="宋体"/>
                <w:snapToGrid w:val="0"/>
                <w:color w:val="000000" w:themeColor="text1"/>
                <w:spacing w:val="-10"/>
                <w:kern w:val="0"/>
                <w:highlight w:val="none"/>
                <w14:textFill>
                  <w14:solidFill>
                    <w14:schemeClr w14:val="tx1"/>
                  </w14:solidFill>
                </w14:textFill>
              </w:rPr>
              <w:t>自2019年1月1日以来，供应商</w:t>
            </w:r>
            <w:r>
              <w:rPr>
                <w:rFonts w:hint="eastAsia" w:ascii="宋体" w:hAnsi="宋体" w:eastAsia="宋体" w:cs="宋体"/>
                <w:snapToGrid w:val="0"/>
                <w:color w:val="000000" w:themeColor="text1"/>
                <w:spacing w:val="-10"/>
                <w:kern w:val="0"/>
                <w:highlight w:val="none"/>
                <w14:textFill>
                  <w14:solidFill>
                    <w14:schemeClr w14:val="tx1"/>
                  </w14:solidFill>
                </w14:textFill>
              </w:rPr>
              <w:t>承接过类似本项目的</w:t>
            </w:r>
            <w:r>
              <w:rPr>
                <w:rFonts w:ascii="宋体" w:hAnsi="宋体" w:eastAsia="宋体" w:cs="宋体"/>
                <w:snapToGrid w:val="0"/>
                <w:color w:val="000000" w:themeColor="text1"/>
                <w:spacing w:val="-6"/>
                <w:kern w:val="0"/>
                <w:highlight w:val="none"/>
                <w14:textFill>
                  <w14:solidFill>
                    <w14:schemeClr w14:val="tx1"/>
                  </w14:solidFill>
                </w14:textFill>
              </w:rPr>
              <w:t>，</w:t>
            </w:r>
            <w:r>
              <w:rPr>
                <w:rFonts w:ascii="宋体" w:hAnsi="宋体" w:eastAsia="宋体" w:cs="宋体"/>
                <w:snapToGrid w:val="0"/>
                <w:color w:val="000000" w:themeColor="text1"/>
                <w:spacing w:val="-14"/>
                <w:kern w:val="0"/>
                <w:highlight w:val="none"/>
                <w14:textFill>
                  <w14:solidFill>
                    <w14:schemeClr w14:val="tx1"/>
                  </w14:solidFill>
                </w14:textFill>
              </w:rPr>
              <w:t>每有一</w:t>
            </w:r>
            <w:r>
              <w:rPr>
                <w:rFonts w:ascii="宋体" w:hAnsi="宋体" w:eastAsia="宋体" w:cs="宋体"/>
                <w:snapToGrid w:val="0"/>
                <w:color w:val="000000" w:themeColor="text1"/>
                <w:spacing w:val="-11"/>
                <w:kern w:val="0"/>
                <w:highlight w:val="none"/>
                <w14:textFill>
                  <w14:solidFill>
                    <w14:schemeClr w14:val="tx1"/>
                  </w14:solidFill>
                </w14:textFill>
              </w:rPr>
              <w:t>个</w:t>
            </w:r>
            <w:r>
              <w:rPr>
                <w:rFonts w:ascii="宋体" w:hAnsi="宋体" w:eastAsia="宋体" w:cs="宋体"/>
                <w:snapToGrid w:val="0"/>
                <w:color w:val="000000" w:themeColor="text1"/>
                <w:spacing w:val="-7"/>
                <w:kern w:val="0"/>
                <w:highlight w:val="none"/>
                <w14:textFill>
                  <w14:solidFill>
                    <w14:schemeClr w14:val="tx1"/>
                  </w14:solidFill>
                </w14:textFill>
              </w:rPr>
              <w:t>项目得</w:t>
            </w:r>
            <w:r>
              <w:rPr>
                <w:rFonts w:hint="eastAsia" w:ascii="宋体" w:hAnsi="宋体" w:cs="宋体"/>
                <w:snapToGrid w:val="0"/>
                <w:color w:val="000000" w:themeColor="text1"/>
                <w:spacing w:val="-7"/>
                <w:kern w:val="0"/>
                <w:highlight w:val="none"/>
                <w:lang w:val="en-US" w:eastAsia="zh-CN"/>
                <w14:textFill>
                  <w14:solidFill>
                    <w14:schemeClr w14:val="tx1"/>
                  </w14:solidFill>
                </w14:textFill>
              </w:rPr>
              <w:t>1</w:t>
            </w:r>
            <w:r>
              <w:rPr>
                <w:rFonts w:ascii="宋体" w:hAnsi="宋体" w:eastAsia="宋体" w:cs="宋体"/>
                <w:snapToGrid w:val="0"/>
                <w:color w:val="000000" w:themeColor="text1"/>
                <w:spacing w:val="-7"/>
                <w:kern w:val="0"/>
                <w:highlight w:val="none"/>
                <w14:textFill>
                  <w14:solidFill>
                    <w14:schemeClr w14:val="tx1"/>
                  </w14:solidFill>
                </w14:textFill>
              </w:rPr>
              <w:t>分，本项满分</w:t>
            </w:r>
            <w:r>
              <w:rPr>
                <w:rFonts w:hint="eastAsia" w:ascii="宋体" w:hAnsi="宋体" w:cs="宋体"/>
                <w:snapToGrid w:val="0"/>
                <w:color w:val="000000" w:themeColor="text1"/>
                <w:spacing w:val="-7"/>
                <w:kern w:val="0"/>
                <w:highlight w:val="none"/>
                <w:lang w:val="en-US" w:eastAsia="zh-CN"/>
                <w14:textFill>
                  <w14:solidFill>
                    <w14:schemeClr w14:val="tx1"/>
                  </w14:solidFill>
                </w14:textFill>
              </w:rPr>
              <w:t>5</w:t>
            </w:r>
            <w:r>
              <w:rPr>
                <w:rFonts w:ascii="宋体" w:hAnsi="宋体" w:eastAsia="宋体" w:cs="宋体"/>
                <w:snapToGrid w:val="0"/>
                <w:color w:val="000000" w:themeColor="text1"/>
                <w:spacing w:val="-7"/>
                <w:kern w:val="0"/>
                <w:highlight w:val="none"/>
                <w14:textFill>
                  <w14:solidFill>
                    <w14:schemeClr w14:val="tx1"/>
                  </w14:solidFill>
                </w14:textFill>
              </w:rPr>
              <w:t>分。</w:t>
            </w:r>
            <w:r>
              <w:rPr>
                <w:rFonts w:ascii="宋体" w:hAnsi="宋体" w:eastAsia="宋体" w:cs="宋体"/>
                <w:b/>
                <w:bCs/>
                <w:snapToGrid w:val="0"/>
                <w:color w:val="000000" w:themeColor="text1"/>
                <w:spacing w:val="-7"/>
                <w:kern w:val="0"/>
                <w:highlight w:val="none"/>
                <w14:textFill>
                  <w14:solidFill>
                    <w14:schemeClr w14:val="tx1"/>
                  </w14:solidFill>
                </w14:textFill>
              </w:rPr>
              <w:t>(以合同签订日期为准，提供</w:t>
            </w:r>
            <w:r>
              <w:rPr>
                <w:rFonts w:hint="eastAsia" w:ascii="宋体" w:hAnsi="宋体" w:eastAsia="宋体" w:cs="宋体"/>
                <w:b/>
                <w:bCs/>
                <w:snapToGrid w:val="0"/>
                <w:color w:val="000000" w:themeColor="text1"/>
                <w:spacing w:val="-7"/>
                <w:kern w:val="0"/>
                <w:highlight w:val="none"/>
                <w:lang w:val="en-US" w:eastAsia="zh-CN"/>
                <w14:textFill>
                  <w14:solidFill>
                    <w14:schemeClr w14:val="tx1"/>
                  </w14:solidFill>
                </w14:textFill>
              </w:rPr>
              <w:t>项目</w:t>
            </w:r>
            <w:r>
              <w:rPr>
                <w:rFonts w:ascii="宋体" w:hAnsi="宋体" w:eastAsia="宋体" w:cs="宋体"/>
                <w:b/>
                <w:bCs/>
                <w:snapToGrid w:val="0"/>
                <w:color w:val="000000" w:themeColor="text1"/>
                <w:spacing w:val="-7"/>
                <w:kern w:val="0"/>
                <w:highlight w:val="none"/>
                <w14:textFill>
                  <w14:solidFill>
                    <w14:schemeClr w14:val="tx1"/>
                  </w14:solidFill>
                </w14:textFill>
              </w:rPr>
              <w:t>合同</w:t>
            </w:r>
            <w:r>
              <w:rPr>
                <w:rFonts w:hint="eastAsia" w:ascii="宋体" w:hAnsi="宋体" w:eastAsia="宋体" w:cs="宋体"/>
                <w:b/>
                <w:bCs/>
                <w:snapToGrid w:val="0"/>
                <w:color w:val="000000" w:themeColor="text1"/>
                <w:spacing w:val="-10"/>
                <w:kern w:val="0"/>
                <w:highlight w:val="none"/>
                <w14:textFill>
                  <w14:solidFill>
                    <w14:schemeClr w14:val="tx1"/>
                  </w14:solidFill>
                </w14:textFill>
              </w:rPr>
              <w:t>原件扫描上传</w:t>
            </w:r>
            <w:r>
              <w:rPr>
                <w:rFonts w:ascii="宋体" w:hAnsi="宋体" w:eastAsia="宋体" w:cs="宋体"/>
                <w:b/>
                <w:bCs/>
                <w:snapToGrid w:val="0"/>
                <w:color w:val="000000" w:themeColor="text1"/>
                <w:kern w:val="0"/>
                <w:highlight w:val="none"/>
                <w14:textFill>
                  <w14:solidFill>
                    <w14:schemeClr w14:val="tx1"/>
                  </w14:solidFill>
                </w14:textFill>
              </w:rPr>
              <w:t>)</w:t>
            </w:r>
          </w:p>
          <w:p w14:paraId="0CCF56E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107" w:rightChars="0"/>
              <w:textAlignment w:val="auto"/>
              <w:rPr>
                <w:rFonts w:hint="default"/>
                <w:snapToGrid w:val="0"/>
                <w:color w:val="000000"/>
                <w:kern w:val="0"/>
                <w:lang w:val="en-US"/>
              </w:rPr>
            </w:pPr>
            <w:r>
              <w:rPr>
                <w:rFonts w:hint="default" w:ascii="宋体" w:hAnsi="宋体" w:eastAsia="宋体" w:cs="宋体"/>
                <w:snapToGrid w:val="0"/>
                <w:color w:val="000000" w:themeColor="text1"/>
                <w:kern w:val="0"/>
                <w:sz w:val="21"/>
                <w:szCs w:val="22"/>
                <w:lang w:val="en-US" w:eastAsia="en-US" w:bidi="ar-SA"/>
                <w14:textFill>
                  <w14:solidFill>
                    <w14:schemeClr w14:val="tx1"/>
                  </w14:solidFill>
                </w14:textFill>
              </w:rPr>
              <w:t>2</w:t>
            </w:r>
            <w:r>
              <w:rPr>
                <w:rFonts w:hint="default" w:ascii="宋体" w:hAnsi="Calibri" w:eastAsia="宋体" w:cs="Times New Roman"/>
                <w:snapToGrid w:val="0"/>
                <w:color w:val="000000"/>
                <w:kern w:val="0"/>
                <w:sz w:val="24"/>
                <w:szCs w:val="20"/>
                <w:lang w:val="en-US" w:eastAsia="en-US" w:bidi="ar-SA"/>
              </w:rPr>
              <w:t>、</w:t>
            </w:r>
            <w:r>
              <w:rPr>
                <w:rFonts w:hint="eastAsia" w:ascii="宋体" w:hAnsi="宋体" w:eastAsia="宋体" w:cs="宋体"/>
                <w:snapToGrid w:val="0"/>
                <w:color w:val="000000" w:themeColor="text1"/>
                <w:spacing w:val="-10"/>
                <w:kern w:val="0"/>
                <w:sz w:val="21"/>
                <w:szCs w:val="22"/>
                <w:highlight w:val="none"/>
                <w:lang w:val="en-US" w:eastAsia="zh-CN" w:bidi="ar-SA"/>
                <w14:textFill>
                  <w14:solidFill>
                    <w14:schemeClr w14:val="tx1"/>
                  </w14:solidFill>
                </w14:textFill>
              </w:rPr>
              <w:t>供应商提供自20</w:t>
            </w:r>
            <w:r>
              <w:rPr>
                <w:rFonts w:hint="eastAsia" w:ascii="宋体" w:hAnsi="宋体" w:cs="宋体"/>
                <w:snapToGrid w:val="0"/>
                <w:color w:val="000000" w:themeColor="text1"/>
                <w:spacing w:val="-10"/>
                <w:kern w:val="0"/>
                <w:sz w:val="21"/>
                <w:szCs w:val="22"/>
                <w:highlight w:val="none"/>
                <w:lang w:val="en-US" w:eastAsia="zh-CN" w:bidi="ar-SA"/>
                <w14:textFill>
                  <w14:solidFill>
                    <w14:schemeClr w14:val="tx1"/>
                  </w14:solidFill>
                </w14:textFill>
              </w:rPr>
              <w:t>19</w:t>
            </w:r>
            <w:r>
              <w:rPr>
                <w:rFonts w:hint="eastAsia" w:ascii="宋体" w:hAnsi="宋体" w:eastAsia="宋体" w:cs="宋体"/>
                <w:snapToGrid w:val="0"/>
                <w:color w:val="000000" w:themeColor="text1"/>
                <w:spacing w:val="-10"/>
                <w:kern w:val="0"/>
                <w:sz w:val="21"/>
                <w:szCs w:val="22"/>
                <w:highlight w:val="none"/>
                <w:lang w:val="en-US" w:eastAsia="zh-CN" w:bidi="ar-SA"/>
                <w14:textFill>
                  <w14:solidFill>
                    <w14:schemeClr w14:val="tx1"/>
                  </w14:solidFill>
                </w14:textFill>
              </w:rPr>
              <w:t>年1月1日以来提供过类似业绩相对应的服务单位</w:t>
            </w:r>
            <w:r>
              <w:rPr>
                <w:rFonts w:hint="eastAsia" w:ascii="宋体" w:hAnsi="宋体" w:cs="宋体"/>
                <w:snapToGrid w:val="0"/>
                <w:color w:val="000000" w:themeColor="text1"/>
                <w:spacing w:val="-10"/>
                <w:kern w:val="0"/>
                <w:sz w:val="21"/>
                <w:szCs w:val="22"/>
                <w:highlight w:val="none"/>
                <w:lang w:val="en-US" w:eastAsia="zh-CN" w:bidi="ar-SA"/>
                <w14:textFill>
                  <w14:solidFill>
                    <w14:schemeClr w14:val="tx1"/>
                  </w14:solidFill>
                </w14:textFill>
              </w:rPr>
              <w:t>或考核单位</w:t>
            </w:r>
            <w:r>
              <w:rPr>
                <w:rFonts w:hint="eastAsia" w:ascii="宋体" w:hAnsi="宋体" w:eastAsia="宋体" w:cs="宋体"/>
                <w:snapToGrid w:val="0"/>
                <w:color w:val="000000" w:themeColor="text1"/>
                <w:spacing w:val="-10"/>
                <w:kern w:val="0"/>
                <w:sz w:val="21"/>
                <w:szCs w:val="22"/>
                <w:highlight w:val="none"/>
                <w:lang w:val="en-US" w:eastAsia="zh-CN" w:bidi="ar-SA"/>
                <w14:textFill>
                  <w14:solidFill>
                    <w14:schemeClr w14:val="tx1"/>
                  </w14:solidFill>
                </w14:textFill>
              </w:rPr>
              <w:t>履约评价，履约评价优秀的每有1个得</w:t>
            </w:r>
            <w:r>
              <w:rPr>
                <w:rFonts w:hint="eastAsia" w:ascii="宋体" w:hAnsi="宋体" w:cs="宋体"/>
                <w:snapToGrid w:val="0"/>
                <w:color w:val="000000" w:themeColor="text1"/>
                <w:spacing w:val="-10"/>
                <w:kern w:val="0"/>
                <w:sz w:val="21"/>
                <w:szCs w:val="22"/>
                <w:highlight w:val="none"/>
                <w:lang w:val="en-US" w:eastAsia="zh-CN" w:bidi="ar-SA"/>
                <w14:textFill>
                  <w14:solidFill>
                    <w14:schemeClr w14:val="tx1"/>
                  </w14:solidFill>
                </w14:textFill>
              </w:rPr>
              <w:t>1</w:t>
            </w:r>
            <w:r>
              <w:rPr>
                <w:rFonts w:hint="eastAsia" w:ascii="宋体" w:hAnsi="宋体" w:eastAsia="宋体" w:cs="宋体"/>
                <w:snapToGrid w:val="0"/>
                <w:color w:val="000000" w:themeColor="text1"/>
                <w:spacing w:val="-10"/>
                <w:kern w:val="0"/>
                <w:sz w:val="21"/>
                <w:szCs w:val="22"/>
                <w:highlight w:val="none"/>
                <w:lang w:val="en-US" w:eastAsia="zh-CN" w:bidi="ar-SA"/>
                <w14:textFill>
                  <w14:solidFill>
                    <w14:schemeClr w14:val="tx1"/>
                  </w14:solidFill>
                </w14:textFill>
              </w:rPr>
              <w:t>分；履约评价良好的每有1个得</w:t>
            </w:r>
            <w:r>
              <w:rPr>
                <w:rFonts w:hint="eastAsia" w:ascii="宋体" w:hAnsi="宋体" w:cs="宋体"/>
                <w:snapToGrid w:val="0"/>
                <w:color w:val="000000" w:themeColor="text1"/>
                <w:spacing w:val="-10"/>
                <w:kern w:val="0"/>
                <w:sz w:val="21"/>
                <w:szCs w:val="22"/>
                <w:highlight w:val="none"/>
                <w:lang w:val="en-US" w:eastAsia="zh-CN" w:bidi="ar-SA"/>
                <w14:textFill>
                  <w14:solidFill>
                    <w14:schemeClr w14:val="tx1"/>
                  </w14:solidFill>
                </w14:textFill>
              </w:rPr>
              <w:t>0.5</w:t>
            </w:r>
            <w:r>
              <w:rPr>
                <w:rFonts w:hint="eastAsia" w:ascii="宋体" w:hAnsi="宋体" w:eastAsia="宋体" w:cs="宋体"/>
                <w:snapToGrid w:val="0"/>
                <w:color w:val="000000" w:themeColor="text1"/>
                <w:spacing w:val="-10"/>
                <w:kern w:val="0"/>
                <w:sz w:val="21"/>
                <w:szCs w:val="22"/>
                <w:highlight w:val="none"/>
                <w:lang w:val="en-US" w:eastAsia="zh-CN" w:bidi="ar-SA"/>
                <w14:textFill>
                  <w14:solidFill>
                    <w14:schemeClr w14:val="tx1"/>
                  </w14:solidFill>
                </w14:textFill>
              </w:rPr>
              <w:t>分；履约评价差的不得分，最高得</w:t>
            </w:r>
            <w:r>
              <w:rPr>
                <w:rFonts w:hint="eastAsia" w:ascii="宋体" w:hAnsi="宋体" w:cs="宋体"/>
                <w:snapToGrid w:val="0"/>
                <w:color w:val="000000" w:themeColor="text1"/>
                <w:spacing w:val="-10"/>
                <w:kern w:val="0"/>
                <w:sz w:val="21"/>
                <w:szCs w:val="22"/>
                <w:highlight w:val="none"/>
                <w:lang w:val="en-US" w:eastAsia="zh-CN" w:bidi="ar-SA"/>
                <w14:textFill>
                  <w14:solidFill>
                    <w14:schemeClr w14:val="tx1"/>
                  </w14:solidFill>
                </w14:textFill>
              </w:rPr>
              <w:t>5</w:t>
            </w:r>
            <w:r>
              <w:rPr>
                <w:rFonts w:hint="eastAsia" w:ascii="宋体" w:hAnsi="宋体" w:eastAsia="宋体" w:cs="宋体"/>
                <w:snapToGrid w:val="0"/>
                <w:color w:val="000000" w:themeColor="text1"/>
                <w:spacing w:val="-10"/>
                <w:kern w:val="0"/>
                <w:sz w:val="21"/>
                <w:szCs w:val="22"/>
                <w:highlight w:val="none"/>
                <w:lang w:val="en-US" w:eastAsia="zh-CN" w:bidi="ar-SA"/>
                <w14:textFill>
                  <w14:solidFill>
                    <w14:schemeClr w14:val="tx1"/>
                  </w14:solidFill>
                </w14:textFill>
              </w:rPr>
              <w:t>分。</w:t>
            </w:r>
            <w:r>
              <w:rPr>
                <w:rFonts w:hint="eastAsia" w:ascii="宋体" w:hAnsi="宋体" w:eastAsia="宋体" w:cs="宋体"/>
                <w:b/>
                <w:bCs/>
                <w:snapToGrid w:val="0"/>
                <w:color w:val="000000" w:themeColor="text1"/>
                <w:spacing w:val="-10"/>
                <w:kern w:val="0"/>
                <w:sz w:val="21"/>
                <w:szCs w:val="22"/>
                <w:highlight w:val="none"/>
                <w:lang w:val="en-US" w:eastAsia="zh-CN" w:bidi="ar-SA"/>
                <w14:textFill>
                  <w14:solidFill>
                    <w14:schemeClr w14:val="tx1"/>
                  </w14:solidFill>
                </w14:textFill>
              </w:rPr>
              <w:t>（须提供履约评价原件扫描件上传）</w:t>
            </w:r>
          </w:p>
        </w:tc>
      </w:tr>
      <w:tr w14:paraId="352D0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59" w:hRule="atLeast"/>
        </w:trPr>
        <w:tc>
          <w:tcPr>
            <w:tcW w:w="1276" w:type="dxa"/>
            <w:vAlign w:val="center"/>
          </w:tcPr>
          <w:p w14:paraId="0727E2F1">
            <w:pPr>
              <w:keepNext w:val="0"/>
              <w:keepLines w:val="0"/>
              <w:pageBreakBefore w:val="0"/>
              <w:widowControl w:val="0"/>
              <w:kinsoku/>
              <w:wordWrap/>
              <w:overflowPunct/>
              <w:topLinePunct w:val="0"/>
              <w:autoSpaceDE/>
              <w:autoSpaceDN/>
              <w:bidi w:val="0"/>
              <w:adjustRightInd/>
              <w:snapToGrid/>
              <w:spacing w:line="360" w:lineRule="auto"/>
              <w:ind w:left="201" w:right="201" w:firstLine="23"/>
              <w:jc w:val="center"/>
              <w:textAlignment w:val="auto"/>
              <w:rPr>
                <w:rFonts w:ascii="宋体" w:hAnsi="宋体" w:eastAsia="宋体" w:cs="宋体"/>
                <w:snapToGrid w:val="0"/>
                <w:color w:val="000000" w:themeColor="text1"/>
                <w:kern w:val="0"/>
                <w14:textFill>
                  <w14:solidFill>
                    <w14:schemeClr w14:val="tx1"/>
                  </w14:solidFill>
                </w14:textFill>
              </w:rPr>
            </w:pPr>
            <w:r>
              <w:rPr>
                <w:rFonts w:ascii="宋体" w:hAnsi="宋体" w:eastAsia="宋体" w:cs="宋体"/>
                <w:snapToGrid w:val="0"/>
                <w:color w:val="000000" w:themeColor="text1"/>
                <w:spacing w:val="-2"/>
                <w:kern w:val="0"/>
                <w14:textFill>
                  <w14:solidFill>
                    <w14:schemeClr w14:val="tx1"/>
                  </w14:solidFill>
                </w14:textFill>
              </w:rPr>
              <w:t>企业实</w:t>
            </w:r>
            <w:r>
              <w:rPr>
                <w:rFonts w:ascii="宋体" w:hAnsi="宋体" w:eastAsia="宋体" w:cs="宋体"/>
                <w:snapToGrid w:val="0"/>
                <w:color w:val="000000" w:themeColor="text1"/>
                <w:spacing w:val="-1"/>
                <w:kern w:val="0"/>
                <w14:textFill>
                  <w14:solidFill>
                    <w14:schemeClr w14:val="tx1"/>
                  </w14:solidFill>
                </w14:textFill>
              </w:rPr>
              <w:t>力</w:t>
            </w:r>
            <w:r>
              <w:rPr>
                <w:rFonts w:ascii="宋体" w:hAnsi="宋体" w:eastAsia="宋体" w:cs="宋体"/>
                <w:snapToGrid w:val="0"/>
                <w:color w:val="000000" w:themeColor="text1"/>
                <w:spacing w:val="8"/>
                <w:kern w:val="0"/>
                <w14:textFill>
                  <w14:solidFill>
                    <w14:schemeClr w14:val="tx1"/>
                  </w14:solidFill>
                </w14:textFill>
              </w:rPr>
              <w:t>(</w:t>
            </w:r>
            <w:r>
              <w:rPr>
                <w:rFonts w:hint="eastAsia" w:ascii="宋体" w:hAnsi="宋体" w:cs="宋体"/>
                <w:snapToGrid w:val="0"/>
                <w:color w:val="000000" w:themeColor="text1"/>
                <w:spacing w:val="4"/>
                <w:kern w:val="0"/>
                <w:lang w:val="en-US" w:eastAsia="zh-CN"/>
                <w14:textFill>
                  <w14:solidFill>
                    <w14:schemeClr w14:val="tx1"/>
                  </w14:solidFill>
                </w14:textFill>
              </w:rPr>
              <w:t>11</w:t>
            </w:r>
            <w:r>
              <w:rPr>
                <w:rFonts w:ascii="宋体" w:hAnsi="宋体" w:eastAsia="宋体" w:cs="宋体"/>
                <w:snapToGrid w:val="0"/>
                <w:color w:val="000000" w:themeColor="text1"/>
                <w:spacing w:val="4"/>
                <w:kern w:val="0"/>
                <w14:textFill>
                  <w14:solidFill>
                    <w14:schemeClr w14:val="tx1"/>
                  </w14:solidFill>
                </w14:textFill>
              </w:rPr>
              <w:t>分)</w:t>
            </w:r>
          </w:p>
        </w:tc>
        <w:tc>
          <w:tcPr>
            <w:tcW w:w="7372" w:type="dxa"/>
          </w:tcPr>
          <w:p w14:paraId="328CFA10">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eastAsia="宋体" w:cs="宋体"/>
                <w:b w:val="0"/>
                <w:bCs w:val="0"/>
                <w:snapToGrid w:val="0"/>
                <w:color w:val="000000" w:themeColor="text1"/>
                <w:kern w:val="0"/>
                <w14:textFill>
                  <w14:solidFill>
                    <w14:schemeClr w14:val="tx1"/>
                  </w14:solidFill>
                </w14:textFill>
              </w:rPr>
            </w:pPr>
            <w:r>
              <w:rPr>
                <w:rFonts w:ascii="宋体" w:hAnsi="宋体" w:eastAsia="宋体" w:cs="宋体"/>
                <w:snapToGrid w:val="0"/>
                <w:color w:val="000000" w:themeColor="text1"/>
                <w:spacing w:val="-2"/>
                <w:kern w:val="0"/>
                <w14:textFill>
                  <w14:solidFill>
                    <w14:schemeClr w14:val="tx1"/>
                  </w14:solidFill>
                </w14:textFill>
              </w:rPr>
              <w:t>1、评估等级</w:t>
            </w:r>
            <w:r>
              <w:rPr>
                <w:rFonts w:ascii="宋体" w:hAnsi="宋体" w:eastAsia="宋体" w:cs="宋体"/>
                <w:snapToGrid w:val="0"/>
                <w:color w:val="000000" w:themeColor="text1"/>
                <w:spacing w:val="-1"/>
                <w:kern w:val="0"/>
                <w14:textFill>
                  <w14:solidFill>
                    <w14:schemeClr w14:val="tx1"/>
                  </w14:solidFill>
                </w14:textFill>
              </w:rPr>
              <w:t>或信用等</w:t>
            </w:r>
            <w:r>
              <w:rPr>
                <w:rFonts w:ascii="宋体" w:hAnsi="宋体" w:eastAsia="宋体" w:cs="宋体"/>
                <w:b w:val="0"/>
                <w:bCs w:val="0"/>
                <w:snapToGrid w:val="0"/>
                <w:color w:val="000000" w:themeColor="text1"/>
                <w:spacing w:val="-1"/>
                <w:kern w:val="0"/>
                <w14:textFill>
                  <w14:solidFill>
                    <w14:schemeClr w14:val="tx1"/>
                  </w14:solidFill>
                </w14:textFill>
              </w:rPr>
              <w:t>级(本项满分4分)</w:t>
            </w:r>
          </w:p>
          <w:p w14:paraId="33303DE6">
            <w:pPr>
              <w:keepNext w:val="0"/>
              <w:keepLines w:val="0"/>
              <w:pageBreakBefore w:val="0"/>
              <w:widowControl w:val="0"/>
              <w:kinsoku/>
              <w:wordWrap/>
              <w:overflowPunct/>
              <w:topLinePunct w:val="0"/>
              <w:autoSpaceDE/>
              <w:autoSpaceDN/>
              <w:bidi w:val="0"/>
              <w:adjustRightInd/>
              <w:snapToGrid/>
              <w:spacing w:line="360" w:lineRule="auto"/>
              <w:ind w:left="108"/>
              <w:textAlignment w:val="auto"/>
              <w:rPr>
                <w:rFonts w:ascii="宋体" w:hAnsi="宋体" w:eastAsia="宋体" w:cs="宋体"/>
                <w:b/>
                <w:bCs/>
                <w:snapToGrid w:val="0"/>
                <w:color w:val="000000" w:themeColor="text1"/>
                <w:kern w:val="0"/>
                <w14:textFill>
                  <w14:solidFill>
                    <w14:schemeClr w14:val="tx1"/>
                  </w14:solidFill>
                </w14:textFill>
              </w:rPr>
            </w:pPr>
            <w:r>
              <w:rPr>
                <w:rFonts w:ascii="宋体" w:hAnsi="宋体" w:eastAsia="宋体" w:cs="宋体"/>
                <w:b w:val="0"/>
                <w:bCs w:val="0"/>
                <w:snapToGrid w:val="0"/>
                <w:color w:val="000000" w:themeColor="text1"/>
                <w:spacing w:val="-34"/>
                <w:kern w:val="0"/>
                <w14:textFill>
                  <w14:solidFill>
                    <w14:schemeClr w14:val="tx1"/>
                  </w14:solidFill>
                </w14:textFill>
              </w:rPr>
              <w:t>①</w:t>
            </w:r>
            <w:r>
              <w:rPr>
                <w:rFonts w:ascii="宋体" w:hAnsi="宋体" w:eastAsia="宋体" w:cs="宋体"/>
                <w:b w:val="0"/>
                <w:bCs w:val="0"/>
                <w:snapToGrid w:val="0"/>
                <w:color w:val="000000" w:themeColor="text1"/>
                <w:spacing w:val="-20"/>
                <w:kern w:val="0"/>
                <w14:textFill>
                  <w14:solidFill>
                    <w14:schemeClr w14:val="tx1"/>
                  </w14:solidFill>
                </w14:textFill>
              </w:rPr>
              <w:t>供</w:t>
            </w:r>
            <w:r>
              <w:rPr>
                <w:rFonts w:ascii="宋体" w:hAnsi="宋体" w:eastAsia="宋体" w:cs="宋体"/>
                <w:b w:val="0"/>
                <w:bCs w:val="0"/>
                <w:snapToGrid w:val="0"/>
                <w:color w:val="000000" w:themeColor="text1"/>
                <w:spacing w:val="-17"/>
                <w:kern w:val="0"/>
                <w14:textFill>
                  <w14:solidFill>
                    <w14:schemeClr w14:val="tx1"/>
                  </w14:solidFill>
                </w14:textFill>
              </w:rPr>
              <w:t>应商为社会组织的：具有社会组织评估等级，1A得1分，2A得2分，3A得</w:t>
            </w:r>
            <w:r>
              <w:rPr>
                <w:rFonts w:ascii="宋体" w:hAnsi="宋体" w:eastAsia="宋体" w:cs="宋体"/>
                <w:b w:val="0"/>
                <w:bCs w:val="0"/>
                <w:snapToGrid w:val="0"/>
                <w:color w:val="000000" w:themeColor="text1"/>
                <w:spacing w:val="-31"/>
                <w:kern w:val="0"/>
                <w14:textFill>
                  <w14:solidFill>
                    <w14:schemeClr w14:val="tx1"/>
                  </w14:solidFill>
                </w14:textFill>
              </w:rPr>
              <w:t>3</w:t>
            </w:r>
            <w:r>
              <w:rPr>
                <w:rFonts w:ascii="宋体" w:hAnsi="宋体" w:eastAsia="宋体" w:cs="宋体"/>
                <w:b w:val="0"/>
                <w:bCs w:val="0"/>
                <w:snapToGrid w:val="0"/>
                <w:color w:val="000000" w:themeColor="text1"/>
                <w:spacing w:val="-19"/>
                <w:kern w:val="0"/>
                <w14:textFill>
                  <w14:solidFill>
                    <w14:schemeClr w14:val="tx1"/>
                  </w14:solidFill>
                </w14:textFill>
              </w:rPr>
              <w:t>分，4A及以上得4分。</w:t>
            </w:r>
            <w:r>
              <w:rPr>
                <w:rFonts w:ascii="宋体" w:hAnsi="宋体" w:eastAsia="宋体" w:cs="宋体"/>
                <w:b w:val="0"/>
                <w:bCs w:val="0"/>
                <w:snapToGrid w:val="0"/>
                <w:color w:val="000000" w:themeColor="text1"/>
                <w:spacing w:val="-11"/>
                <w:kern w:val="0"/>
                <w14:textFill>
                  <w14:solidFill>
                    <w14:schemeClr w14:val="tx1"/>
                  </w14:solidFill>
                </w14:textFill>
              </w:rPr>
              <w:t>②供应商为企业的：具有第三方出具的信用等级报告，1A得2分，2</w:t>
            </w:r>
            <w:r>
              <w:rPr>
                <w:rFonts w:ascii="宋体" w:hAnsi="宋体" w:eastAsia="宋体" w:cs="宋体"/>
                <w:b w:val="0"/>
                <w:bCs w:val="0"/>
                <w:snapToGrid w:val="0"/>
                <w:color w:val="000000" w:themeColor="text1"/>
                <w:spacing w:val="-8"/>
                <w:kern w:val="0"/>
                <w14:textFill>
                  <w14:solidFill>
                    <w14:schemeClr w14:val="tx1"/>
                  </w14:solidFill>
                </w14:textFill>
              </w:rPr>
              <w:t>A</w:t>
            </w:r>
            <w:r>
              <w:rPr>
                <w:rFonts w:ascii="宋体" w:hAnsi="宋体" w:eastAsia="宋体" w:cs="宋体"/>
                <w:b w:val="0"/>
                <w:bCs w:val="0"/>
                <w:snapToGrid w:val="0"/>
                <w:color w:val="000000" w:themeColor="text1"/>
                <w:spacing w:val="-11"/>
                <w:kern w:val="0"/>
                <w14:textFill>
                  <w14:solidFill>
                    <w14:schemeClr w14:val="tx1"/>
                  </w14:solidFill>
                </w14:textFill>
              </w:rPr>
              <w:t>得3分，</w:t>
            </w:r>
            <w:r>
              <w:rPr>
                <w:rFonts w:ascii="宋体" w:hAnsi="宋体" w:eastAsia="宋体" w:cs="宋体"/>
                <w:b w:val="0"/>
                <w:bCs w:val="0"/>
                <w:snapToGrid w:val="0"/>
                <w:color w:val="000000" w:themeColor="text1"/>
                <w:spacing w:val="-24"/>
                <w:kern w:val="0"/>
                <w14:textFill>
                  <w14:solidFill>
                    <w14:schemeClr w14:val="tx1"/>
                  </w14:solidFill>
                </w14:textFill>
              </w:rPr>
              <w:t>3</w:t>
            </w:r>
            <w:r>
              <w:rPr>
                <w:rFonts w:ascii="宋体" w:hAnsi="宋体" w:eastAsia="宋体" w:cs="宋体"/>
                <w:b w:val="0"/>
                <w:bCs w:val="0"/>
                <w:snapToGrid w:val="0"/>
                <w:color w:val="000000" w:themeColor="text1"/>
                <w:spacing w:val="-18"/>
                <w:kern w:val="0"/>
                <w14:textFill>
                  <w14:solidFill>
                    <w14:schemeClr w14:val="tx1"/>
                  </w14:solidFill>
                </w14:textFill>
              </w:rPr>
              <w:t>A得4分。</w:t>
            </w:r>
            <w:r>
              <w:rPr>
                <w:rFonts w:hint="eastAsia" w:ascii="宋体" w:hAnsi="宋体" w:cs="宋体"/>
                <w:b/>
                <w:bCs/>
                <w:snapToGrid w:val="0"/>
                <w:color w:val="000000" w:themeColor="text1"/>
                <w:spacing w:val="-18"/>
                <w:kern w:val="0"/>
                <w:lang w:eastAsia="zh-CN"/>
                <w14:textFill>
                  <w14:solidFill>
                    <w14:schemeClr w14:val="tx1"/>
                  </w14:solidFill>
                </w14:textFill>
              </w:rPr>
              <w:t>（</w:t>
            </w:r>
            <w:r>
              <w:rPr>
                <w:rFonts w:ascii="宋体" w:hAnsi="宋体" w:eastAsia="宋体" w:cs="宋体"/>
                <w:b/>
                <w:bCs/>
                <w:snapToGrid w:val="0"/>
                <w:color w:val="000000" w:themeColor="text1"/>
                <w:kern w:val="0"/>
                <w14:textFill>
                  <w14:solidFill>
                    <w14:schemeClr w14:val="tx1"/>
                  </w14:solidFill>
                </w14:textFill>
              </w:rPr>
              <w:t>需提供有效期内的证书</w:t>
            </w:r>
            <w:r>
              <w:rPr>
                <w:rFonts w:hint="eastAsia" w:ascii="宋体" w:hAnsi="宋体" w:eastAsia="宋体" w:cs="宋体"/>
                <w:b/>
                <w:bCs/>
                <w:snapToGrid w:val="0"/>
                <w:color w:val="000000" w:themeColor="text1"/>
                <w:spacing w:val="-10"/>
                <w:kern w:val="0"/>
                <w14:textFill>
                  <w14:solidFill>
                    <w14:schemeClr w14:val="tx1"/>
                  </w14:solidFill>
                </w14:textFill>
              </w:rPr>
              <w:t>原件扫描上传</w:t>
            </w:r>
            <w:r>
              <w:rPr>
                <w:rFonts w:hint="eastAsia" w:ascii="宋体" w:hAnsi="宋体" w:cs="宋体"/>
                <w:b/>
                <w:bCs/>
                <w:snapToGrid w:val="0"/>
                <w:color w:val="000000" w:themeColor="text1"/>
                <w:spacing w:val="-18"/>
                <w:kern w:val="0"/>
                <w:lang w:eastAsia="zh-CN"/>
                <w14:textFill>
                  <w14:solidFill>
                    <w14:schemeClr w14:val="tx1"/>
                  </w14:solidFill>
                </w14:textFill>
              </w:rPr>
              <w:t>）</w:t>
            </w:r>
          </w:p>
          <w:p w14:paraId="66679198">
            <w:pPr>
              <w:keepNext w:val="0"/>
              <w:keepLines w:val="0"/>
              <w:pageBreakBefore w:val="0"/>
              <w:widowControl w:val="0"/>
              <w:kinsoku/>
              <w:wordWrap/>
              <w:overflowPunct/>
              <w:topLinePunct w:val="0"/>
              <w:autoSpaceDE/>
              <w:autoSpaceDN/>
              <w:bidi w:val="0"/>
              <w:adjustRightInd/>
              <w:snapToGrid/>
              <w:spacing w:line="360" w:lineRule="auto"/>
              <w:ind w:right="104"/>
              <w:textAlignment w:val="auto"/>
              <w:rPr>
                <w:rFonts w:ascii="宋体" w:hAnsi="宋体" w:eastAsia="宋体" w:cs="宋体"/>
                <w:b w:val="0"/>
                <w:bCs w:val="0"/>
                <w:snapToGrid w:val="0"/>
                <w:color w:val="000000" w:themeColor="text1"/>
                <w:kern w:val="0"/>
                <w:highlight w:val="none"/>
                <w14:textFill>
                  <w14:solidFill>
                    <w14:schemeClr w14:val="tx1"/>
                  </w14:solidFill>
                </w14:textFill>
              </w:rPr>
            </w:pPr>
            <w:r>
              <w:rPr>
                <w:rFonts w:ascii="宋体" w:hAnsi="宋体" w:eastAsia="宋体" w:cs="宋体"/>
                <w:b w:val="0"/>
                <w:bCs w:val="0"/>
                <w:snapToGrid w:val="0"/>
                <w:color w:val="000000" w:themeColor="text1"/>
                <w:spacing w:val="-5"/>
                <w:kern w:val="0"/>
                <w:highlight w:val="none"/>
                <w14:textFill>
                  <w14:solidFill>
                    <w14:schemeClr w14:val="tx1"/>
                  </w14:solidFill>
                </w14:textFill>
              </w:rPr>
              <w:t>2、2019年1月1日至今，供应商获得：</w:t>
            </w:r>
            <w:r>
              <w:rPr>
                <w:rFonts w:hint="eastAsia" w:ascii="宋体" w:hAnsi="宋体" w:cs="宋体"/>
                <w:b w:val="0"/>
                <w:bCs w:val="0"/>
                <w:snapToGrid w:val="0"/>
                <w:color w:val="000000" w:themeColor="text1"/>
                <w:spacing w:val="-5"/>
                <w:kern w:val="0"/>
                <w:highlight w:val="none"/>
                <w14:textFill>
                  <w14:solidFill>
                    <w14:schemeClr w14:val="tx1"/>
                  </w14:solidFill>
                </w14:textFill>
              </w:rPr>
              <w:t>市</w:t>
            </w:r>
            <w:r>
              <w:rPr>
                <w:rFonts w:ascii="宋体" w:hAnsi="宋体" w:eastAsia="宋体" w:cs="宋体"/>
                <w:b w:val="0"/>
                <w:bCs w:val="0"/>
                <w:snapToGrid w:val="0"/>
                <w:color w:val="000000" w:themeColor="text1"/>
                <w:spacing w:val="-5"/>
                <w:kern w:val="0"/>
                <w:highlight w:val="none"/>
                <w14:textFill>
                  <w14:solidFill>
                    <w14:schemeClr w14:val="tx1"/>
                  </w14:solidFill>
                </w14:textFill>
              </w:rPr>
              <w:t>级</w:t>
            </w:r>
            <w:r>
              <w:rPr>
                <w:rFonts w:hint="eastAsia" w:ascii="宋体" w:hAnsi="宋体" w:cs="宋体"/>
                <w:b w:val="0"/>
                <w:bCs w:val="0"/>
                <w:snapToGrid w:val="0"/>
                <w:color w:val="000000" w:themeColor="text1"/>
                <w:spacing w:val="-5"/>
                <w:kern w:val="0"/>
                <w:highlight w:val="none"/>
                <w:lang w:val="en-US" w:eastAsia="zh-CN"/>
                <w14:textFill>
                  <w14:solidFill>
                    <w14:schemeClr w14:val="tx1"/>
                  </w14:solidFill>
                </w14:textFill>
              </w:rPr>
              <w:t>及以上</w:t>
            </w:r>
            <w:r>
              <w:rPr>
                <w:rFonts w:ascii="宋体" w:hAnsi="宋体" w:eastAsia="宋体" w:cs="宋体"/>
                <w:b w:val="0"/>
                <w:bCs w:val="0"/>
                <w:snapToGrid w:val="0"/>
                <w:color w:val="000000" w:themeColor="text1"/>
                <w:spacing w:val="-5"/>
                <w:kern w:val="0"/>
                <w:highlight w:val="none"/>
                <w14:textFill>
                  <w14:solidFill>
                    <w14:schemeClr w14:val="tx1"/>
                  </w14:solidFill>
                </w14:textFill>
              </w:rPr>
              <w:t>相关行政主管部门</w:t>
            </w:r>
            <w:r>
              <w:rPr>
                <w:rFonts w:ascii="宋体" w:hAnsi="宋体" w:eastAsia="宋体" w:cs="宋体"/>
                <w:b w:val="0"/>
                <w:bCs w:val="0"/>
                <w:snapToGrid w:val="0"/>
                <w:color w:val="000000" w:themeColor="text1"/>
                <w:spacing w:val="-1"/>
                <w:kern w:val="0"/>
                <w:highlight w:val="none"/>
                <w14:textFill>
                  <w14:solidFill>
                    <w14:schemeClr w14:val="tx1"/>
                  </w14:solidFill>
                </w14:textFill>
              </w:rPr>
              <w:t>颁</w:t>
            </w:r>
            <w:r>
              <w:rPr>
                <w:rFonts w:ascii="宋体" w:hAnsi="宋体" w:eastAsia="宋体" w:cs="宋体"/>
                <w:b w:val="0"/>
                <w:bCs w:val="0"/>
                <w:snapToGrid w:val="0"/>
                <w:color w:val="000000" w:themeColor="text1"/>
                <w:spacing w:val="-8"/>
                <w:kern w:val="0"/>
                <w:highlight w:val="none"/>
                <w14:textFill>
                  <w14:solidFill>
                    <w14:schemeClr w14:val="tx1"/>
                  </w14:solidFill>
                </w14:textFill>
              </w:rPr>
              <w:t>发的</w:t>
            </w:r>
            <w:r>
              <w:rPr>
                <w:rFonts w:hint="eastAsia" w:ascii="宋体" w:hAnsi="宋体" w:cs="宋体"/>
                <w:b w:val="0"/>
                <w:bCs w:val="0"/>
                <w:snapToGrid w:val="0"/>
                <w:color w:val="000000" w:themeColor="text1"/>
                <w:spacing w:val="-8"/>
                <w:kern w:val="0"/>
                <w:highlight w:val="none"/>
                <w:lang w:val="en-US" w:eastAsia="zh-CN"/>
                <w14:textFill>
                  <w14:solidFill>
                    <w14:schemeClr w14:val="tx1"/>
                  </w14:solidFill>
                </w14:textFill>
              </w:rPr>
              <w:t>类似养老</w:t>
            </w:r>
            <w:r>
              <w:rPr>
                <w:rFonts w:ascii="宋体" w:hAnsi="宋体" w:eastAsia="宋体" w:cs="宋体"/>
                <w:b w:val="0"/>
                <w:bCs w:val="0"/>
                <w:snapToGrid w:val="0"/>
                <w:color w:val="000000" w:themeColor="text1"/>
                <w:spacing w:val="-8"/>
                <w:kern w:val="0"/>
                <w:highlight w:val="none"/>
                <w14:textFill>
                  <w14:solidFill>
                    <w14:schemeClr w14:val="tx1"/>
                  </w14:solidFill>
                </w14:textFill>
              </w:rPr>
              <w:t>荣誉，每有1个得</w:t>
            </w:r>
            <w:r>
              <w:rPr>
                <w:rFonts w:hint="eastAsia" w:ascii="宋体" w:hAnsi="宋体" w:cs="宋体"/>
                <w:b w:val="0"/>
                <w:bCs w:val="0"/>
                <w:snapToGrid w:val="0"/>
                <w:color w:val="000000" w:themeColor="text1"/>
                <w:spacing w:val="-8"/>
                <w:kern w:val="0"/>
                <w:highlight w:val="none"/>
                <w:lang w:val="en-US" w:eastAsia="zh-CN"/>
                <w14:textFill>
                  <w14:solidFill>
                    <w14:schemeClr w14:val="tx1"/>
                  </w14:solidFill>
                </w14:textFill>
              </w:rPr>
              <w:t>1</w:t>
            </w:r>
            <w:r>
              <w:rPr>
                <w:rFonts w:ascii="宋体" w:hAnsi="宋体" w:eastAsia="宋体" w:cs="宋体"/>
                <w:b w:val="0"/>
                <w:bCs w:val="0"/>
                <w:snapToGrid w:val="0"/>
                <w:color w:val="000000" w:themeColor="text1"/>
                <w:spacing w:val="-8"/>
                <w:kern w:val="0"/>
                <w:highlight w:val="none"/>
                <w14:textFill>
                  <w14:solidFill>
                    <w14:schemeClr w14:val="tx1"/>
                  </w14:solidFill>
                </w14:textFill>
              </w:rPr>
              <w:t>分</w:t>
            </w:r>
            <w:r>
              <w:rPr>
                <w:rFonts w:hint="eastAsia" w:ascii="宋体" w:hAnsi="宋体" w:cs="宋体"/>
                <w:b w:val="0"/>
                <w:bCs w:val="0"/>
                <w:snapToGrid w:val="0"/>
                <w:color w:val="000000" w:themeColor="text1"/>
                <w:spacing w:val="-8"/>
                <w:kern w:val="0"/>
                <w:highlight w:val="none"/>
                <w:lang w:eastAsia="zh-CN"/>
                <w14:textFill>
                  <w14:solidFill>
                    <w14:schemeClr w14:val="tx1"/>
                  </w14:solidFill>
                </w14:textFill>
              </w:rPr>
              <w:t>，</w:t>
            </w:r>
            <w:r>
              <w:rPr>
                <w:rFonts w:ascii="宋体" w:hAnsi="宋体" w:eastAsia="宋体" w:cs="宋体"/>
                <w:b w:val="0"/>
                <w:bCs w:val="0"/>
                <w:snapToGrid w:val="0"/>
                <w:color w:val="000000" w:themeColor="text1"/>
                <w:spacing w:val="-8"/>
                <w:kern w:val="0"/>
                <w:highlight w:val="none"/>
                <w14:textFill>
                  <w14:solidFill>
                    <w14:schemeClr w14:val="tx1"/>
                  </w14:solidFill>
                </w14:textFill>
              </w:rPr>
              <w:t>本项</w:t>
            </w:r>
            <w:r>
              <w:rPr>
                <w:rFonts w:hint="eastAsia" w:ascii="宋体" w:hAnsi="宋体" w:cs="宋体"/>
                <w:b w:val="0"/>
                <w:bCs w:val="0"/>
                <w:snapToGrid w:val="0"/>
                <w:color w:val="000000" w:themeColor="text1"/>
                <w:spacing w:val="-8"/>
                <w:kern w:val="0"/>
                <w:highlight w:val="none"/>
                <w:lang w:val="en-US" w:eastAsia="zh-CN"/>
                <w14:textFill>
                  <w14:solidFill>
                    <w14:schemeClr w14:val="tx1"/>
                  </w14:solidFill>
                </w14:textFill>
              </w:rPr>
              <w:t>满分2</w:t>
            </w:r>
            <w:r>
              <w:rPr>
                <w:rFonts w:ascii="宋体" w:hAnsi="宋体" w:eastAsia="宋体" w:cs="宋体"/>
                <w:b w:val="0"/>
                <w:bCs w:val="0"/>
                <w:snapToGrid w:val="0"/>
                <w:color w:val="000000" w:themeColor="text1"/>
                <w:spacing w:val="-8"/>
                <w:kern w:val="0"/>
                <w:highlight w:val="none"/>
                <w14:textFill>
                  <w14:solidFill>
                    <w14:schemeClr w14:val="tx1"/>
                  </w14:solidFill>
                </w14:textFill>
              </w:rPr>
              <w:t>分。</w:t>
            </w:r>
            <w:r>
              <w:rPr>
                <w:rFonts w:ascii="宋体" w:hAnsi="宋体" w:eastAsia="宋体" w:cs="宋体"/>
                <w:b/>
                <w:bCs/>
                <w:snapToGrid w:val="0"/>
                <w:color w:val="000000" w:themeColor="text1"/>
                <w:spacing w:val="-8"/>
                <w:kern w:val="0"/>
                <w:highlight w:val="none"/>
                <w14:textFill>
                  <w14:solidFill>
                    <w14:schemeClr w14:val="tx1"/>
                  </w14:solidFill>
                </w14:textFill>
              </w:rPr>
              <w:t>(提供相关荣誉证书或网上公示文件</w:t>
            </w:r>
            <w:r>
              <w:rPr>
                <w:rFonts w:hint="eastAsia" w:ascii="宋体" w:hAnsi="宋体" w:eastAsia="宋体" w:cs="宋体"/>
                <w:b/>
                <w:bCs/>
                <w:snapToGrid w:val="0"/>
                <w:color w:val="000000" w:themeColor="text1"/>
                <w:spacing w:val="-10"/>
                <w:kern w:val="0"/>
                <w:highlight w:val="none"/>
                <w14:textFill>
                  <w14:solidFill>
                    <w14:schemeClr w14:val="tx1"/>
                  </w14:solidFill>
                </w14:textFill>
              </w:rPr>
              <w:t>原件扫描上传</w:t>
            </w:r>
            <w:r>
              <w:rPr>
                <w:rFonts w:ascii="宋体" w:hAnsi="宋体" w:eastAsia="宋体" w:cs="宋体"/>
                <w:b/>
                <w:bCs/>
                <w:snapToGrid w:val="0"/>
                <w:color w:val="000000" w:themeColor="text1"/>
                <w:spacing w:val="-8"/>
                <w:kern w:val="0"/>
                <w:highlight w:val="none"/>
                <w14:textFill>
                  <w14:solidFill>
                    <w14:schemeClr w14:val="tx1"/>
                  </w14:solidFill>
                </w14:textFill>
              </w:rPr>
              <w:t>)</w:t>
            </w:r>
          </w:p>
          <w:p w14:paraId="2E2FD6FB">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ascii="宋体" w:hAnsi="宋体" w:eastAsia="宋体" w:cs="宋体"/>
                <w:b w:val="0"/>
                <w:bCs w:val="0"/>
                <w:snapToGrid w:val="0"/>
                <w:color w:val="000000" w:themeColor="text1"/>
                <w:kern w:val="0"/>
                <w14:textFill>
                  <w14:solidFill>
                    <w14:schemeClr w14:val="tx1"/>
                  </w14:solidFill>
                </w14:textFill>
              </w:rPr>
            </w:pPr>
            <w:r>
              <w:rPr>
                <w:rFonts w:hint="default" w:ascii="宋体" w:hAnsi="宋体" w:eastAsia="宋体" w:cs="宋体"/>
                <w:b w:val="0"/>
                <w:bCs w:val="0"/>
                <w:snapToGrid w:val="0"/>
                <w:color w:val="000000" w:themeColor="text1"/>
                <w:kern w:val="0"/>
                <w:sz w:val="21"/>
                <w:szCs w:val="22"/>
                <w:lang w:val="en-US" w:eastAsia="zh-CN" w:bidi="ar-SA"/>
                <w14:textFill>
                  <w14:solidFill>
                    <w14:schemeClr w14:val="tx1"/>
                  </w14:solidFill>
                </w14:textFill>
              </w:rPr>
              <w:t>3、</w:t>
            </w:r>
            <w:r>
              <w:rPr>
                <w:rFonts w:ascii="宋体" w:hAnsi="宋体" w:eastAsia="宋体" w:cs="宋体"/>
                <w:b w:val="0"/>
                <w:bCs w:val="0"/>
                <w:snapToGrid w:val="0"/>
                <w:color w:val="000000" w:themeColor="text1"/>
                <w:spacing w:val="-18"/>
                <w:kern w:val="0"/>
                <w14:textFill>
                  <w14:solidFill>
                    <w14:schemeClr w14:val="tx1"/>
                  </w14:solidFill>
                </w14:textFill>
              </w:rPr>
              <w:t>供</w:t>
            </w:r>
            <w:r>
              <w:rPr>
                <w:rFonts w:ascii="宋体" w:hAnsi="宋体" w:eastAsia="宋体" w:cs="宋体"/>
                <w:b w:val="0"/>
                <w:bCs w:val="0"/>
                <w:snapToGrid w:val="0"/>
                <w:color w:val="000000" w:themeColor="text1"/>
                <w:spacing w:val="-15"/>
                <w:kern w:val="0"/>
                <w14:textFill>
                  <w14:solidFill>
                    <w14:schemeClr w14:val="tx1"/>
                  </w14:solidFill>
                </w14:textFill>
              </w:rPr>
              <w:t>应</w:t>
            </w:r>
            <w:r>
              <w:rPr>
                <w:rFonts w:ascii="宋体" w:hAnsi="宋体" w:eastAsia="宋体" w:cs="宋体"/>
                <w:b w:val="0"/>
                <w:bCs w:val="0"/>
                <w:snapToGrid w:val="0"/>
                <w:color w:val="000000" w:themeColor="text1"/>
                <w:spacing w:val="-9"/>
                <w:kern w:val="0"/>
                <w14:textFill>
                  <w14:solidFill>
                    <w14:schemeClr w14:val="tx1"/>
                  </w14:solidFill>
                </w14:textFill>
              </w:rPr>
              <w:t>商</w:t>
            </w:r>
            <w:r>
              <w:rPr>
                <w:rFonts w:hint="eastAsia" w:ascii="宋体" w:hAnsi="宋体" w:cs="宋体"/>
                <w:b w:val="0"/>
                <w:bCs w:val="0"/>
                <w:snapToGrid w:val="0"/>
                <w:color w:val="000000" w:themeColor="text1"/>
                <w:spacing w:val="-9"/>
                <w:kern w:val="0"/>
                <w14:textFill>
                  <w14:solidFill>
                    <w14:schemeClr w14:val="tx1"/>
                  </w14:solidFill>
                </w14:textFill>
              </w:rPr>
              <w:t>在本市</w:t>
            </w:r>
            <w:r>
              <w:rPr>
                <w:rFonts w:ascii="宋体" w:hAnsi="宋体" w:eastAsia="宋体" w:cs="宋体"/>
                <w:b w:val="0"/>
                <w:bCs w:val="0"/>
                <w:snapToGrid w:val="0"/>
                <w:color w:val="000000" w:themeColor="text1"/>
                <w:spacing w:val="-9"/>
                <w:kern w:val="0"/>
                <w14:textFill>
                  <w14:solidFill>
                    <w14:schemeClr w14:val="tx1"/>
                  </w14:solidFill>
                </w14:textFill>
              </w:rPr>
              <w:t>拥有居家养老服务中心网点2个及以上的，得2分；1个网点的，得</w:t>
            </w:r>
            <w:r>
              <w:rPr>
                <w:rFonts w:ascii="宋体" w:hAnsi="宋体" w:eastAsia="宋体" w:cs="宋体"/>
                <w:b w:val="0"/>
                <w:bCs w:val="0"/>
                <w:snapToGrid w:val="0"/>
                <w:color w:val="000000" w:themeColor="text1"/>
                <w:spacing w:val="-11"/>
                <w:kern w:val="0"/>
                <w14:textFill>
                  <w14:solidFill>
                    <w14:schemeClr w14:val="tx1"/>
                  </w14:solidFill>
                </w14:textFill>
              </w:rPr>
              <w:t>1</w:t>
            </w:r>
            <w:r>
              <w:rPr>
                <w:rFonts w:ascii="宋体" w:hAnsi="宋体" w:eastAsia="宋体" w:cs="宋体"/>
                <w:b w:val="0"/>
                <w:bCs w:val="0"/>
                <w:snapToGrid w:val="0"/>
                <w:color w:val="000000" w:themeColor="text1"/>
                <w:spacing w:val="-8"/>
                <w:kern w:val="0"/>
                <w14:textFill>
                  <w14:solidFill>
                    <w14:schemeClr w14:val="tx1"/>
                  </w14:solidFill>
                </w14:textFill>
              </w:rPr>
              <w:t>分，没有的不得分</w:t>
            </w:r>
            <w:r>
              <w:rPr>
                <w:rFonts w:hint="eastAsia" w:ascii="宋体" w:hAnsi="宋体" w:cs="宋体"/>
                <w:b w:val="0"/>
                <w:bCs w:val="0"/>
                <w:snapToGrid w:val="0"/>
                <w:color w:val="000000" w:themeColor="text1"/>
                <w:spacing w:val="-8"/>
                <w:kern w:val="0"/>
                <w:lang w:eastAsia="zh-CN"/>
                <w14:textFill>
                  <w14:solidFill>
                    <w14:schemeClr w14:val="tx1"/>
                  </w14:solidFill>
                </w14:textFill>
              </w:rPr>
              <w:t>，</w:t>
            </w:r>
            <w:r>
              <w:rPr>
                <w:rFonts w:ascii="宋体" w:hAnsi="宋体" w:eastAsia="宋体" w:cs="宋体"/>
                <w:b w:val="0"/>
                <w:bCs w:val="0"/>
                <w:snapToGrid w:val="0"/>
                <w:color w:val="000000" w:themeColor="text1"/>
                <w:spacing w:val="-8"/>
                <w:kern w:val="0"/>
                <w14:textFill>
                  <w14:solidFill>
                    <w14:schemeClr w14:val="tx1"/>
                  </w14:solidFill>
                </w14:textFill>
              </w:rPr>
              <w:t>本项</w:t>
            </w:r>
            <w:r>
              <w:rPr>
                <w:rFonts w:hint="eastAsia" w:ascii="宋体" w:hAnsi="宋体" w:cs="宋体"/>
                <w:b w:val="0"/>
                <w:bCs w:val="0"/>
                <w:snapToGrid w:val="0"/>
                <w:color w:val="000000" w:themeColor="text1"/>
                <w:spacing w:val="-8"/>
                <w:kern w:val="0"/>
                <w:lang w:val="en-US" w:eastAsia="zh-CN"/>
                <w14:textFill>
                  <w14:solidFill>
                    <w14:schemeClr w14:val="tx1"/>
                  </w14:solidFill>
                </w14:textFill>
              </w:rPr>
              <w:t>满分</w:t>
            </w:r>
            <w:r>
              <w:rPr>
                <w:rFonts w:ascii="宋体" w:hAnsi="宋体" w:eastAsia="宋体" w:cs="宋体"/>
                <w:b w:val="0"/>
                <w:bCs w:val="0"/>
                <w:snapToGrid w:val="0"/>
                <w:color w:val="000000" w:themeColor="text1"/>
                <w:spacing w:val="-8"/>
                <w:kern w:val="0"/>
                <w14:textFill>
                  <w14:solidFill>
                    <w14:schemeClr w14:val="tx1"/>
                  </w14:solidFill>
                </w14:textFill>
              </w:rPr>
              <w:t>2分。</w:t>
            </w:r>
            <w:r>
              <w:rPr>
                <w:rFonts w:ascii="宋体" w:hAnsi="宋体" w:eastAsia="宋体" w:cs="宋体"/>
                <w:b/>
                <w:bCs/>
                <w:snapToGrid w:val="0"/>
                <w:color w:val="000000" w:themeColor="text1"/>
                <w:spacing w:val="-8"/>
                <w:kern w:val="0"/>
                <w14:textFill>
                  <w14:solidFill>
                    <w14:schemeClr w14:val="tx1"/>
                  </w14:solidFill>
                </w14:textFill>
              </w:rPr>
              <w:t>(提供证明材料以及网点照片，</w:t>
            </w:r>
            <w:r>
              <w:rPr>
                <w:rFonts w:hint="eastAsia" w:ascii="宋体" w:hAnsi="宋体" w:eastAsia="宋体" w:cs="宋体"/>
                <w:b/>
                <w:bCs/>
                <w:snapToGrid w:val="0"/>
                <w:color w:val="000000" w:themeColor="text1"/>
                <w:spacing w:val="-10"/>
                <w:kern w:val="0"/>
                <w14:textFill>
                  <w14:solidFill>
                    <w14:schemeClr w14:val="tx1"/>
                  </w14:solidFill>
                </w14:textFill>
              </w:rPr>
              <w:t>原件扫描上传</w:t>
            </w:r>
            <w:r>
              <w:rPr>
                <w:rFonts w:ascii="宋体" w:hAnsi="宋体" w:eastAsia="宋体" w:cs="宋体"/>
                <w:b/>
                <w:bCs/>
                <w:snapToGrid w:val="0"/>
                <w:color w:val="000000" w:themeColor="text1"/>
                <w:kern w:val="0"/>
                <w14:textFill>
                  <w14:solidFill>
                    <w14:schemeClr w14:val="tx1"/>
                  </w14:solidFill>
                </w14:textFill>
              </w:rPr>
              <w:t>)</w:t>
            </w:r>
          </w:p>
          <w:p w14:paraId="154514CA">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cs="宋体"/>
                <w:snapToGrid w:val="0"/>
                <w:color w:val="000000" w:themeColor="text1"/>
                <w:kern w:val="0"/>
                <w14:textFill>
                  <w14:solidFill>
                    <w14:schemeClr w14:val="tx1"/>
                  </w14:solidFill>
                </w14:textFill>
              </w:rPr>
            </w:pPr>
            <w:r>
              <w:rPr>
                <w:rFonts w:hint="eastAsia" w:ascii="宋体" w:hAnsi="宋体" w:cs="宋体"/>
                <w:b w:val="0"/>
                <w:bCs w:val="0"/>
                <w:snapToGrid w:val="0"/>
                <w:color w:val="000000" w:themeColor="text1"/>
                <w:kern w:val="0"/>
                <w:lang w:val="en-US" w:eastAsia="zh-CN"/>
                <w14:textFill>
                  <w14:solidFill>
                    <w14:schemeClr w14:val="tx1"/>
                  </w14:solidFill>
                </w14:textFill>
              </w:rPr>
              <w:t>4</w:t>
            </w:r>
            <w:r>
              <w:rPr>
                <w:rFonts w:hint="eastAsia" w:ascii="宋体" w:hAnsi="宋体" w:eastAsia="宋体" w:cs="宋体"/>
                <w:b w:val="0"/>
                <w:bCs w:val="0"/>
                <w:snapToGrid w:val="0"/>
                <w:color w:val="000000" w:themeColor="text1"/>
                <w:kern w:val="0"/>
                <w14:textFill>
                  <w14:solidFill>
                    <w14:schemeClr w14:val="tx1"/>
                  </w14:solidFill>
                </w14:textFill>
              </w:rPr>
              <w:t>、供应商应根据实际需求合理配备现场服务设施（如助浴设施、康复设施、应急救助设施等)，每提供一项得1分，满分</w:t>
            </w:r>
            <w:r>
              <w:rPr>
                <w:rFonts w:hint="eastAsia" w:ascii="宋体" w:hAnsi="宋体" w:cs="宋体"/>
                <w:b w:val="0"/>
                <w:bCs w:val="0"/>
                <w:snapToGrid w:val="0"/>
                <w:color w:val="000000" w:themeColor="text1"/>
                <w:kern w:val="0"/>
                <w:lang w:val="en-US" w:eastAsia="zh-CN"/>
                <w14:textFill>
                  <w14:solidFill>
                    <w14:schemeClr w14:val="tx1"/>
                  </w14:solidFill>
                </w14:textFill>
              </w:rPr>
              <w:t>3</w:t>
            </w:r>
            <w:r>
              <w:rPr>
                <w:rFonts w:hint="eastAsia" w:ascii="宋体" w:hAnsi="宋体" w:eastAsia="宋体" w:cs="宋体"/>
                <w:b w:val="0"/>
                <w:bCs w:val="0"/>
                <w:snapToGrid w:val="0"/>
                <w:color w:val="000000" w:themeColor="text1"/>
                <w:kern w:val="0"/>
                <w14:textFill>
                  <w14:solidFill>
                    <w14:schemeClr w14:val="tx1"/>
                  </w14:solidFill>
                </w14:textFill>
              </w:rPr>
              <w:t>分。</w:t>
            </w:r>
            <w:r>
              <w:rPr>
                <w:rFonts w:hint="eastAsia" w:ascii="宋体" w:hAnsi="宋体" w:eastAsia="宋体" w:cs="宋体"/>
                <w:b/>
                <w:bCs/>
                <w:snapToGrid w:val="0"/>
                <w:color w:val="000000" w:themeColor="text1"/>
                <w:kern w:val="0"/>
                <w14:textFill>
                  <w14:solidFill>
                    <w14:schemeClr w14:val="tx1"/>
                  </w14:solidFill>
                </w14:textFill>
              </w:rPr>
              <w:t>（以上提供实物照片上传，否则不得分）</w:t>
            </w:r>
          </w:p>
        </w:tc>
      </w:tr>
    </w:tbl>
    <w:p w14:paraId="65E6D5F6">
      <w:pPr>
        <w:pStyle w:val="238"/>
        <w:keepNext w:val="0"/>
        <w:keepLines w:val="0"/>
        <w:pageBreakBefore w:val="0"/>
        <w:widowControl w:val="0"/>
        <w:numPr>
          <w:ilvl w:val="0"/>
          <w:numId w:val="0"/>
        </w:numPr>
        <w:kinsoku/>
        <w:wordWrap/>
        <w:overflowPunct/>
        <w:topLinePunct w:val="0"/>
        <w:autoSpaceDE/>
        <w:autoSpaceDN/>
        <w:bidi w:val="0"/>
        <w:adjustRightInd/>
        <w:spacing w:line="360" w:lineRule="auto"/>
        <w:ind w:firstLine="0"/>
        <w:textAlignment w:val="auto"/>
        <w:rPr>
          <w:rFonts w:hint="eastAsia" w:ascii="宋体" w:hAnsi="宋体" w:eastAsia="宋体" w:cs="宋体"/>
          <w:color w:val="auto"/>
          <w:sz w:val="21"/>
          <w:szCs w:val="21"/>
          <w:highlight w:val="none"/>
        </w:rPr>
      </w:pPr>
    </w:p>
    <w:p w14:paraId="3784CE35">
      <w:pPr>
        <w:rPr>
          <w:rFonts w:hint="eastAsia" w:ascii="宋体" w:hAnsi="宋体"/>
          <w:color w:val="auto"/>
          <w:highlight w:val="none"/>
        </w:rPr>
      </w:pPr>
      <w:r>
        <w:rPr>
          <w:rFonts w:hint="eastAsia" w:ascii="宋体" w:hAnsi="宋体"/>
          <w:color w:val="auto"/>
          <w:highlight w:val="none"/>
        </w:rPr>
        <w:br w:type="page"/>
      </w:r>
    </w:p>
    <w:p w14:paraId="4DEFD5A0">
      <w:pPr>
        <w:pStyle w:val="192"/>
        <w:pageBreakBefore w:val="0"/>
        <w:kinsoku/>
        <w:wordWrap/>
        <w:overflowPunct/>
        <w:topLinePunct w:val="0"/>
        <w:autoSpaceDE/>
        <w:autoSpaceDN/>
        <w:bidi w:val="0"/>
        <w:adjustRightInd/>
        <w:spacing w:line="360" w:lineRule="auto"/>
        <w:jc w:val="center"/>
        <w:textAlignment w:val="auto"/>
        <w:rPr>
          <w:rFonts w:ascii="宋体" w:hAnsi="宋体"/>
          <w:color w:val="auto"/>
          <w:highlight w:val="none"/>
        </w:rPr>
      </w:pPr>
      <w:r>
        <w:rPr>
          <w:rFonts w:hint="eastAsia" w:ascii="宋体" w:hAnsi="宋体"/>
          <w:color w:val="auto"/>
          <w:highlight w:val="none"/>
        </w:rPr>
        <w:t xml:space="preserve">第六章 投标文件格式 </w:t>
      </w:r>
    </w:p>
    <w:p w14:paraId="0D1205D7">
      <w:pPr>
        <w:pageBreakBefore w:val="0"/>
        <w:kinsoku/>
        <w:wordWrap/>
        <w:overflowPunct/>
        <w:topLinePunct w:val="0"/>
        <w:autoSpaceDE/>
        <w:autoSpaceDN/>
        <w:bidi w:val="0"/>
        <w:adjustRightInd/>
        <w:spacing w:line="360" w:lineRule="auto"/>
        <w:textAlignment w:val="auto"/>
        <w:rPr>
          <w:rFonts w:ascii="黑体" w:eastAsia="黑体"/>
          <w:bCs/>
          <w:color w:val="auto"/>
          <w:sz w:val="44"/>
          <w:highlight w:val="none"/>
        </w:rPr>
      </w:pPr>
    </w:p>
    <w:p w14:paraId="50B1D713">
      <w:pPr>
        <w:pageBreakBefore w:val="0"/>
        <w:kinsoku/>
        <w:wordWrap/>
        <w:overflowPunct/>
        <w:topLinePunct w:val="0"/>
        <w:autoSpaceDE/>
        <w:autoSpaceDN/>
        <w:bidi w:val="0"/>
        <w:adjustRightInd/>
        <w:spacing w:line="360" w:lineRule="auto"/>
        <w:jc w:val="center"/>
        <w:textAlignment w:val="auto"/>
        <w:rPr>
          <w:rFonts w:ascii="宋体" w:hAnsi="宋体"/>
          <w:b/>
          <w:color w:val="auto"/>
          <w:sz w:val="72"/>
          <w:highlight w:val="none"/>
        </w:rPr>
      </w:pPr>
      <w:r>
        <w:rPr>
          <w:rFonts w:hint="eastAsia" w:ascii="宋体" w:hAnsi="宋体"/>
          <w:b/>
          <w:color w:val="auto"/>
          <w:sz w:val="72"/>
          <w:highlight w:val="none"/>
        </w:rPr>
        <w:t>投  标  文  件</w:t>
      </w:r>
    </w:p>
    <w:p w14:paraId="2F950D54">
      <w:pPr>
        <w:pageBreakBefore w:val="0"/>
        <w:kinsoku/>
        <w:wordWrap/>
        <w:overflowPunct/>
        <w:topLinePunct w:val="0"/>
        <w:autoSpaceDE/>
        <w:autoSpaceDN/>
        <w:bidi w:val="0"/>
        <w:adjustRightInd/>
        <w:spacing w:line="360" w:lineRule="auto"/>
        <w:jc w:val="center"/>
        <w:textAlignment w:val="auto"/>
        <w:rPr>
          <w:rFonts w:ascii="宋体" w:hAnsi="宋体"/>
          <w:b/>
          <w:color w:val="auto"/>
          <w:sz w:val="72"/>
          <w:highlight w:val="none"/>
        </w:rPr>
      </w:pPr>
    </w:p>
    <w:p w14:paraId="2A87AB26">
      <w:pPr>
        <w:pageBreakBefore w:val="0"/>
        <w:kinsoku/>
        <w:wordWrap/>
        <w:overflowPunct/>
        <w:topLinePunct w:val="0"/>
        <w:autoSpaceDE/>
        <w:autoSpaceDN/>
        <w:bidi w:val="0"/>
        <w:adjustRightInd/>
        <w:spacing w:line="360" w:lineRule="auto"/>
        <w:jc w:val="center"/>
        <w:textAlignment w:val="auto"/>
        <w:rPr>
          <w:rFonts w:ascii="宋体" w:hAnsi="宋体"/>
          <w:b/>
          <w:color w:val="auto"/>
          <w:sz w:val="72"/>
          <w:highlight w:val="none"/>
        </w:rPr>
      </w:pPr>
    </w:p>
    <w:p w14:paraId="4FE79294">
      <w:pPr>
        <w:pageBreakBefore w:val="0"/>
        <w:kinsoku/>
        <w:wordWrap/>
        <w:overflowPunct/>
        <w:topLinePunct w:val="0"/>
        <w:autoSpaceDE/>
        <w:autoSpaceDN/>
        <w:bidi w:val="0"/>
        <w:adjustRightInd/>
        <w:spacing w:line="360" w:lineRule="auto"/>
        <w:jc w:val="center"/>
        <w:textAlignment w:val="auto"/>
        <w:rPr>
          <w:rFonts w:ascii="宋体" w:hAnsi="宋体"/>
          <w:b/>
          <w:color w:val="auto"/>
          <w:sz w:val="36"/>
          <w:highlight w:val="none"/>
        </w:rPr>
      </w:pPr>
    </w:p>
    <w:p w14:paraId="1E52F171">
      <w:pPr>
        <w:pageBreakBefore w:val="0"/>
        <w:kinsoku/>
        <w:wordWrap/>
        <w:overflowPunct/>
        <w:topLinePunct w:val="0"/>
        <w:autoSpaceDE/>
        <w:autoSpaceDN/>
        <w:bidi w:val="0"/>
        <w:adjustRightInd/>
        <w:spacing w:line="360" w:lineRule="auto"/>
        <w:textAlignment w:val="auto"/>
        <w:rPr>
          <w:rFonts w:ascii="宋体" w:hAnsi="宋体"/>
          <w:b/>
          <w:color w:val="auto"/>
          <w:sz w:val="36"/>
          <w:highlight w:val="none"/>
        </w:rPr>
      </w:pPr>
    </w:p>
    <w:p w14:paraId="43B0A75C">
      <w:pPr>
        <w:pageBreakBefore w:val="0"/>
        <w:kinsoku/>
        <w:wordWrap/>
        <w:overflowPunct/>
        <w:topLinePunct w:val="0"/>
        <w:autoSpaceDE/>
        <w:autoSpaceDN/>
        <w:bidi w:val="0"/>
        <w:adjustRightInd/>
        <w:spacing w:line="360" w:lineRule="auto"/>
        <w:jc w:val="center"/>
        <w:textAlignment w:val="auto"/>
        <w:rPr>
          <w:rFonts w:ascii="宋体" w:hAnsi="宋体"/>
          <w:b/>
          <w:color w:val="auto"/>
          <w:sz w:val="36"/>
          <w:highlight w:val="none"/>
        </w:rPr>
      </w:pPr>
    </w:p>
    <w:p w14:paraId="0C6716B6">
      <w:pPr>
        <w:pageBreakBefore w:val="0"/>
        <w:kinsoku/>
        <w:wordWrap/>
        <w:overflowPunct/>
        <w:topLinePunct w:val="0"/>
        <w:autoSpaceDE/>
        <w:autoSpaceDN/>
        <w:bidi w:val="0"/>
        <w:adjustRightInd/>
        <w:spacing w:line="360" w:lineRule="auto"/>
        <w:ind w:firstLine="1807"/>
        <w:textAlignment w:val="auto"/>
        <w:rPr>
          <w:rFonts w:ascii="宋体" w:hAnsi="宋体"/>
          <w:b/>
          <w:color w:val="auto"/>
          <w:sz w:val="36"/>
          <w:highlight w:val="none"/>
        </w:rPr>
      </w:pPr>
      <w:r>
        <w:rPr>
          <w:rFonts w:hint="eastAsia" w:ascii="宋体" w:hAnsi="宋体"/>
          <w:b/>
          <w:color w:val="auto"/>
          <w:sz w:val="36"/>
          <w:highlight w:val="none"/>
        </w:rPr>
        <w:t>项 目 名 称：</w:t>
      </w:r>
      <w:r>
        <w:rPr>
          <w:rFonts w:hint="eastAsia" w:ascii="宋体" w:hAnsi="宋体"/>
          <w:b/>
          <w:color w:val="auto"/>
          <w:sz w:val="36"/>
          <w:highlight w:val="none"/>
          <w:u w:val="single"/>
        </w:rPr>
        <w:t xml:space="preserve">               </w:t>
      </w:r>
    </w:p>
    <w:p w14:paraId="28344D46">
      <w:pPr>
        <w:pageBreakBefore w:val="0"/>
        <w:kinsoku/>
        <w:wordWrap/>
        <w:overflowPunct/>
        <w:topLinePunct w:val="0"/>
        <w:autoSpaceDE/>
        <w:autoSpaceDN/>
        <w:bidi w:val="0"/>
        <w:adjustRightInd/>
        <w:spacing w:line="360" w:lineRule="auto"/>
        <w:ind w:firstLine="1807"/>
        <w:textAlignment w:val="auto"/>
        <w:rPr>
          <w:rFonts w:ascii="宋体" w:hAnsi="宋体"/>
          <w:b/>
          <w:color w:val="auto"/>
          <w:sz w:val="36"/>
          <w:highlight w:val="none"/>
          <w:u w:val="single"/>
        </w:rPr>
      </w:pPr>
      <w:r>
        <w:rPr>
          <w:rFonts w:hint="eastAsia" w:ascii="宋体" w:hAnsi="宋体"/>
          <w:b/>
          <w:color w:val="auto"/>
          <w:sz w:val="36"/>
          <w:highlight w:val="none"/>
        </w:rPr>
        <w:t>招 标 编 号：</w:t>
      </w:r>
      <w:r>
        <w:rPr>
          <w:rFonts w:hint="eastAsia" w:ascii="宋体" w:hAnsi="宋体"/>
          <w:b/>
          <w:color w:val="auto"/>
          <w:sz w:val="36"/>
          <w:highlight w:val="none"/>
          <w:u w:val="single"/>
        </w:rPr>
        <w:t xml:space="preserve">               </w:t>
      </w:r>
    </w:p>
    <w:p w14:paraId="502D4C6B">
      <w:pPr>
        <w:pageBreakBefore w:val="0"/>
        <w:kinsoku/>
        <w:wordWrap/>
        <w:overflowPunct/>
        <w:topLinePunct w:val="0"/>
        <w:autoSpaceDE/>
        <w:autoSpaceDN/>
        <w:bidi w:val="0"/>
        <w:adjustRightInd/>
        <w:spacing w:line="360" w:lineRule="auto"/>
        <w:textAlignment w:val="auto"/>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p>
    <w:p w14:paraId="3C64F35E">
      <w:pPr>
        <w:pageBreakBefore w:val="0"/>
        <w:kinsoku/>
        <w:wordWrap/>
        <w:overflowPunct/>
        <w:topLinePunct w:val="0"/>
        <w:autoSpaceDE/>
        <w:autoSpaceDN/>
        <w:bidi w:val="0"/>
        <w:adjustRightInd/>
        <w:spacing w:line="360" w:lineRule="auto"/>
        <w:textAlignment w:val="auto"/>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p>
    <w:p w14:paraId="32C85239">
      <w:pPr>
        <w:pageBreakBefore w:val="0"/>
        <w:kinsoku/>
        <w:wordWrap/>
        <w:overflowPunct/>
        <w:topLinePunct w:val="0"/>
        <w:autoSpaceDE/>
        <w:autoSpaceDN/>
        <w:bidi w:val="0"/>
        <w:adjustRightInd/>
        <w:spacing w:line="360" w:lineRule="auto"/>
        <w:ind w:firstLine="1807"/>
        <w:textAlignment w:val="auto"/>
        <w:rPr>
          <w:rFonts w:ascii="宋体" w:hAnsi="宋体"/>
          <w:b/>
          <w:color w:val="auto"/>
          <w:sz w:val="36"/>
          <w:highlight w:val="none"/>
        </w:rPr>
      </w:pPr>
      <w:r>
        <w:rPr>
          <w:rFonts w:hint="eastAsia" w:ascii="宋体" w:hAnsi="宋体"/>
          <w:b/>
          <w:color w:val="auto"/>
          <w:sz w:val="36"/>
          <w:highlight w:val="none"/>
        </w:rPr>
        <w:t>投  标  人：</w:t>
      </w:r>
      <w:r>
        <w:rPr>
          <w:rFonts w:hint="eastAsia" w:ascii="宋体" w:hAnsi="宋体"/>
          <w:b/>
          <w:color w:val="auto"/>
          <w:sz w:val="36"/>
          <w:highlight w:val="none"/>
          <w:u w:val="single"/>
        </w:rPr>
        <w:t xml:space="preserve">         </w:t>
      </w:r>
      <w:r>
        <w:rPr>
          <w:rFonts w:hint="eastAsia" w:ascii="宋体" w:hAnsi="宋体"/>
          <w:b/>
          <w:color w:val="auto"/>
          <w:sz w:val="36"/>
          <w:highlight w:val="none"/>
        </w:rPr>
        <w:t>（电子签章）</w:t>
      </w:r>
    </w:p>
    <w:p w14:paraId="0E897CD0">
      <w:pPr>
        <w:pageBreakBefore w:val="0"/>
        <w:kinsoku/>
        <w:wordWrap/>
        <w:overflowPunct/>
        <w:topLinePunct w:val="0"/>
        <w:autoSpaceDE/>
        <w:autoSpaceDN/>
        <w:bidi w:val="0"/>
        <w:adjustRightInd/>
        <w:spacing w:line="360" w:lineRule="auto"/>
        <w:jc w:val="center"/>
        <w:textAlignment w:val="auto"/>
        <w:rPr>
          <w:rFonts w:ascii="宋体" w:hAnsi="宋体"/>
          <w:b/>
          <w:bCs/>
          <w:color w:val="auto"/>
          <w:sz w:val="32"/>
          <w:szCs w:val="32"/>
          <w:highlight w:val="none"/>
        </w:rPr>
      </w:pPr>
    </w:p>
    <w:p w14:paraId="4DA496D2">
      <w:pPr>
        <w:pageBreakBefore w:val="0"/>
        <w:kinsoku/>
        <w:wordWrap/>
        <w:overflowPunct/>
        <w:topLinePunct w:val="0"/>
        <w:autoSpaceDE/>
        <w:autoSpaceDN/>
        <w:bidi w:val="0"/>
        <w:adjustRightInd/>
        <w:spacing w:line="360" w:lineRule="auto"/>
        <w:jc w:val="center"/>
        <w:textAlignment w:val="auto"/>
        <w:rPr>
          <w:rFonts w:ascii="宋体" w:hAnsi="宋体"/>
          <w:b/>
          <w:bCs/>
          <w:color w:val="auto"/>
          <w:sz w:val="32"/>
          <w:szCs w:val="32"/>
          <w:highlight w:val="none"/>
        </w:rPr>
      </w:pPr>
    </w:p>
    <w:p w14:paraId="5BA2E5C8">
      <w:pPr>
        <w:pStyle w:val="214"/>
        <w:pageBreakBefore w:val="0"/>
        <w:kinsoku/>
        <w:wordWrap/>
        <w:overflowPunct/>
        <w:topLinePunct w:val="0"/>
        <w:autoSpaceDE/>
        <w:autoSpaceDN/>
        <w:bidi w:val="0"/>
        <w:adjustRightInd/>
        <w:spacing w:line="360" w:lineRule="auto"/>
        <w:ind w:firstLine="643"/>
        <w:textAlignment w:val="auto"/>
        <w:rPr>
          <w:rFonts w:ascii="宋体" w:hAnsi="宋体"/>
          <w:b/>
          <w:bCs/>
          <w:color w:val="auto"/>
          <w:sz w:val="32"/>
          <w:szCs w:val="32"/>
          <w:highlight w:val="none"/>
        </w:rPr>
      </w:pPr>
    </w:p>
    <w:p w14:paraId="16373B7C">
      <w:pPr>
        <w:pageBreakBefore w:val="0"/>
        <w:kinsoku/>
        <w:wordWrap/>
        <w:overflowPunct/>
        <w:topLinePunct w:val="0"/>
        <w:autoSpaceDE/>
        <w:autoSpaceDN/>
        <w:bidi w:val="0"/>
        <w:adjustRightInd/>
        <w:spacing w:line="360" w:lineRule="auto"/>
        <w:jc w:val="center"/>
        <w:textAlignment w:val="auto"/>
        <w:rPr>
          <w:rFonts w:ascii="宋体" w:hAnsi="宋体"/>
          <w:b/>
          <w:bCs/>
          <w:color w:val="auto"/>
          <w:sz w:val="32"/>
          <w:szCs w:val="32"/>
          <w:highlight w:val="none"/>
        </w:rPr>
      </w:pPr>
      <w:r>
        <w:rPr>
          <w:rFonts w:hint="eastAsia" w:ascii="宋体" w:hAnsi="宋体"/>
          <w:b/>
          <w:bCs/>
          <w:color w:val="auto"/>
          <w:sz w:val="32"/>
          <w:szCs w:val="32"/>
          <w:highlight w:val="none"/>
        </w:rPr>
        <w:t>投标主要文件目录</w:t>
      </w:r>
    </w:p>
    <w:p w14:paraId="4E39E4D2">
      <w:pPr>
        <w:pageBreakBefore w:val="0"/>
        <w:kinsoku/>
        <w:wordWrap/>
        <w:overflowPunct/>
        <w:topLinePunct w:val="0"/>
        <w:autoSpaceDE/>
        <w:autoSpaceDN/>
        <w:bidi w:val="0"/>
        <w:adjustRightInd/>
        <w:spacing w:line="360" w:lineRule="auto"/>
        <w:jc w:val="center"/>
        <w:textAlignment w:val="auto"/>
        <w:rPr>
          <w:rFonts w:ascii="宋体" w:hAnsi="宋体"/>
          <w:b/>
          <w:bCs/>
          <w:color w:val="auto"/>
          <w:sz w:val="32"/>
          <w:szCs w:val="32"/>
          <w:highlight w:val="none"/>
        </w:rPr>
      </w:pPr>
    </w:p>
    <w:p w14:paraId="61BA2D24">
      <w:pPr>
        <w:pageBreakBefore w:val="0"/>
        <w:kinsoku/>
        <w:wordWrap/>
        <w:overflowPunct/>
        <w:topLinePunct w:val="0"/>
        <w:autoSpaceDE/>
        <w:autoSpaceDN/>
        <w:bidi w:val="0"/>
        <w:adjustRightInd/>
        <w:spacing w:line="360" w:lineRule="auto"/>
        <w:ind w:firstLine="480"/>
        <w:textAlignment w:val="auto"/>
        <w:rPr>
          <w:rFonts w:ascii="宋体" w:hAnsi="宋体"/>
          <w:color w:val="auto"/>
          <w:sz w:val="24"/>
          <w:highlight w:val="none"/>
        </w:rPr>
      </w:pPr>
      <w:r>
        <w:rPr>
          <w:rFonts w:hint="eastAsia" w:ascii="宋体" w:hAnsi="宋体"/>
          <w:color w:val="auto"/>
          <w:sz w:val="24"/>
          <w:highlight w:val="none"/>
        </w:rPr>
        <w:t>一、资格审查响应对照表</w:t>
      </w:r>
    </w:p>
    <w:p w14:paraId="3A6939F3">
      <w:pPr>
        <w:pageBreakBefore w:val="0"/>
        <w:kinsoku/>
        <w:wordWrap/>
        <w:overflowPunct/>
        <w:topLinePunct w:val="0"/>
        <w:autoSpaceDE/>
        <w:autoSpaceDN/>
        <w:bidi w:val="0"/>
        <w:adjustRightInd/>
        <w:spacing w:line="360" w:lineRule="auto"/>
        <w:ind w:left="480"/>
        <w:textAlignment w:val="auto"/>
        <w:rPr>
          <w:rFonts w:ascii="宋体" w:hAnsi="宋体"/>
          <w:color w:val="auto"/>
          <w:sz w:val="24"/>
          <w:highlight w:val="none"/>
        </w:rPr>
      </w:pPr>
      <w:r>
        <w:rPr>
          <w:rFonts w:hint="eastAsia" w:ascii="宋体" w:hAnsi="宋体"/>
          <w:color w:val="auto"/>
          <w:sz w:val="24"/>
          <w:highlight w:val="none"/>
        </w:rPr>
        <w:t>二、符合性审查响应对照表</w:t>
      </w:r>
    </w:p>
    <w:p w14:paraId="4FEB77EC">
      <w:pPr>
        <w:pageBreakBefore w:val="0"/>
        <w:kinsoku/>
        <w:wordWrap/>
        <w:overflowPunct/>
        <w:topLinePunct w:val="0"/>
        <w:autoSpaceDE/>
        <w:autoSpaceDN/>
        <w:bidi w:val="0"/>
        <w:adjustRightInd/>
        <w:spacing w:line="360" w:lineRule="auto"/>
        <w:ind w:left="480"/>
        <w:textAlignment w:val="auto"/>
        <w:rPr>
          <w:rFonts w:ascii="宋体" w:hAnsi="宋体"/>
          <w:color w:val="auto"/>
          <w:sz w:val="24"/>
          <w:highlight w:val="none"/>
        </w:rPr>
      </w:pPr>
      <w:r>
        <w:rPr>
          <w:rFonts w:hint="eastAsia" w:ascii="宋体" w:hAnsi="宋体"/>
          <w:color w:val="auto"/>
          <w:sz w:val="24"/>
          <w:highlight w:val="none"/>
        </w:rPr>
        <w:t>三、非实质性响应对照表</w:t>
      </w:r>
    </w:p>
    <w:p w14:paraId="6D58E1DE">
      <w:pPr>
        <w:pageBreakBefore w:val="0"/>
        <w:kinsoku/>
        <w:wordWrap/>
        <w:overflowPunct/>
        <w:topLinePunct w:val="0"/>
        <w:autoSpaceDE/>
        <w:autoSpaceDN/>
        <w:bidi w:val="0"/>
        <w:adjustRightInd/>
        <w:spacing w:line="360" w:lineRule="auto"/>
        <w:ind w:firstLine="480"/>
        <w:textAlignment w:val="auto"/>
        <w:rPr>
          <w:rFonts w:ascii="宋体" w:hAnsi="宋体"/>
          <w:b/>
          <w:bCs/>
          <w:color w:val="auto"/>
          <w:sz w:val="24"/>
          <w:highlight w:val="none"/>
        </w:rPr>
      </w:pPr>
      <w:r>
        <w:rPr>
          <w:rFonts w:hint="eastAsia" w:ascii="宋体" w:hAnsi="宋体"/>
          <w:color w:val="auto"/>
          <w:sz w:val="24"/>
          <w:highlight w:val="none"/>
        </w:rPr>
        <w:t>四</w:t>
      </w:r>
      <w:r>
        <w:rPr>
          <w:rFonts w:hint="eastAsia" w:ascii="宋体" w:hAnsi="宋体"/>
          <w:b/>
          <w:bCs/>
          <w:color w:val="auto"/>
          <w:sz w:val="24"/>
          <w:highlight w:val="none"/>
        </w:rPr>
        <w:t>、</w:t>
      </w:r>
      <w:r>
        <w:rPr>
          <w:rFonts w:hint="eastAsia" w:ascii="宋体" w:hAnsi="宋体"/>
          <w:i/>
          <w:color w:val="auto"/>
          <w:sz w:val="24"/>
          <w:highlight w:val="none"/>
          <w:u w:val="single"/>
        </w:rPr>
        <w:t>开标一览表</w:t>
      </w:r>
    </w:p>
    <w:p w14:paraId="329B556E">
      <w:pPr>
        <w:pageBreakBefore w:val="0"/>
        <w:kinsoku/>
        <w:wordWrap/>
        <w:overflowPunct/>
        <w:topLinePunct w:val="0"/>
        <w:autoSpaceDE/>
        <w:autoSpaceDN/>
        <w:bidi w:val="0"/>
        <w:adjustRightInd/>
        <w:spacing w:line="360" w:lineRule="auto"/>
        <w:ind w:firstLine="480"/>
        <w:textAlignment w:val="auto"/>
        <w:rPr>
          <w:rFonts w:ascii="宋体" w:hAnsi="宋体"/>
          <w:color w:val="auto"/>
          <w:sz w:val="24"/>
          <w:highlight w:val="none"/>
        </w:rPr>
      </w:pPr>
      <w:r>
        <w:rPr>
          <w:rFonts w:hint="eastAsia" w:ascii="宋体" w:hAnsi="宋体"/>
          <w:color w:val="auto"/>
          <w:sz w:val="24"/>
          <w:highlight w:val="none"/>
        </w:rPr>
        <w:t>五、分项报价表</w:t>
      </w:r>
    </w:p>
    <w:p w14:paraId="3BE8E881">
      <w:pPr>
        <w:pageBreakBefore w:val="0"/>
        <w:kinsoku/>
        <w:wordWrap/>
        <w:overflowPunct/>
        <w:topLinePunct w:val="0"/>
        <w:autoSpaceDE/>
        <w:autoSpaceDN/>
        <w:bidi w:val="0"/>
        <w:adjustRightInd/>
        <w:spacing w:line="360" w:lineRule="auto"/>
        <w:ind w:firstLine="480"/>
        <w:textAlignment w:val="auto"/>
        <w:rPr>
          <w:rFonts w:ascii="宋体" w:hAnsi="宋体"/>
          <w:color w:val="auto"/>
          <w:sz w:val="24"/>
          <w:highlight w:val="none"/>
        </w:rPr>
      </w:pPr>
      <w:r>
        <w:rPr>
          <w:rFonts w:hint="eastAsia" w:ascii="宋体" w:hAnsi="宋体"/>
          <w:color w:val="auto"/>
          <w:sz w:val="24"/>
          <w:highlight w:val="none"/>
        </w:rPr>
        <w:t>六</w:t>
      </w:r>
      <w:r>
        <w:rPr>
          <w:rFonts w:hint="eastAsia" w:ascii="宋体" w:hAnsi="宋体" w:cs="Courier New"/>
          <w:color w:val="auto"/>
          <w:sz w:val="24"/>
          <w:szCs w:val="24"/>
          <w:highlight w:val="none"/>
        </w:rPr>
        <w:t>、</w:t>
      </w:r>
      <w:r>
        <w:rPr>
          <w:rFonts w:hint="eastAsia" w:ascii="宋体" w:hAnsi="宋体"/>
          <w:color w:val="auto"/>
          <w:sz w:val="24"/>
          <w:szCs w:val="24"/>
          <w:highlight w:val="none"/>
        </w:rPr>
        <w:t>技术参数响应及偏离表</w:t>
      </w:r>
    </w:p>
    <w:p w14:paraId="26490C57">
      <w:pPr>
        <w:pageBreakBefore w:val="0"/>
        <w:kinsoku/>
        <w:wordWrap/>
        <w:overflowPunct/>
        <w:topLinePunct w:val="0"/>
        <w:autoSpaceDE/>
        <w:autoSpaceDN/>
        <w:bidi w:val="0"/>
        <w:adjustRightInd/>
        <w:spacing w:line="360" w:lineRule="auto"/>
        <w:ind w:firstLine="480"/>
        <w:textAlignment w:val="auto"/>
        <w:rPr>
          <w:rFonts w:ascii="宋体" w:hAnsi="宋体"/>
          <w:color w:val="auto"/>
          <w:sz w:val="24"/>
          <w:highlight w:val="none"/>
        </w:rPr>
      </w:pPr>
      <w:r>
        <w:rPr>
          <w:rFonts w:hint="eastAsia" w:ascii="宋体" w:hAnsi="宋体"/>
          <w:color w:val="auto"/>
          <w:sz w:val="24"/>
          <w:highlight w:val="none"/>
        </w:rPr>
        <w:t>七、商务条款响应及偏离表</w:t>
      </w:r>
    </w:p>
    <w:p w14:paraId="1A38E5EC">
      <w:pPr>
        <w:pageBreakBefore w:val="0"/>
        <w:kinsoku/>
        <w:wordWrap/>
        <w:overflowPunct/>
        <w:topLinePunct w:val="0"/>
        <w:autoSpaceDE/>
        <w:autoSpaceDN/>
        <w:bidi w:val="0"/>
        <w:adjustRightInd/>
        <w:spacing w:line="360" w:lineRule="auto"/>
        <w:ind w:firstLine="480"/>
        <w:textAlignment w:val="auto"/>
        <w:rPr>
          <w:color w:val="auto"/>
          <w:sz w:val="36"/>
          <w:szCs w:val="36"/>
          <w:highlight w:val="none"/>
        </w:rPr>
      </w:pPr>
      <w:r>
        <w:rPr>
          <w:rFonts w:hint="eastAsia" w:ascii="宋体" w:hAnsi="宋体"/>
          <w:color w:val="auto"/>
          <w:sz w:val="24"/>
          <w:highlight w:val="none"/>
        </w:rPr>
        <w:t>八、其他 （投标人认为有必要提供的声明和文件，如有自拟并自行添加）</w:t>
      </w:r>
    </w:p>
    <w:p w14:paraId="53A1DF84">
      <w:pPr>
        <w:pageBreakBefore w:val="0"/>
        <w:kinsoku/>
        <w:wordWrap/>
        <w:overflowPunct/>
        <w:topLinePunct w:val="0"/>
        <w:autoSpaceDE/>
        <w:autoSpaceDN/>
        <w:bidi w:val="0"/>
        <w:adjustRightInd/>
        <w:spacing w:line="360" w:lineRule="auto"/>
        <w:contextualSpacing/>
        <w:jc w:val="center"/>
        <w:textAlignment w:val="auto"/>
        <w:rPr>
          <w:rFonts w:ascii="宋体" w:hAnsi="宋体"/>
          <w:b/>
          <w:color w:val="auto"/>
          <w:sz w:val="72"/>
          <w:highlight w:val="none"/>
        </w:rPr>
      </w:pPr>
    </w:p>
    <w:p w14:paraId="19F96E5E">
      <w:pPr>
        <w:pageBreakBefore w:val="0"/>
        <w:kinsoku/>
        <w:wordWrap/>
        <w:overflowPunct/>
        <w:topLinePunct w:val="0"/>
        <w:autoSpaceDE/>
        <w:autoSpaceDN/>
        <w:bidi w:val="0"/>
        <w:adjustRightInd/>
        <w:spacing w:line="360" w:lineRule="auto"/>
        <w:contextualSpacing/>
        <w:jc w:val="center"/>
        <w:textAlignment w:val="auto"/>
        <w:rPr>
          <w:rFonts w:ascii="宋体" w:hAnsi="宋体"/>
          <w:b/>
          <w:color w:val="auto"/>
          <w:sz w:val="72"/>
          <w:highlight w:val="none"/>
        </w:rPr>
      </w:pPr>
    </w:p>
    <w:p w14:paraId="4A4E4919">
      <w:pPr>
        <w:pageBreakBefore w:val="0"/>
        <w:kinsoku/>
        <w:wordWrap/>
        <w:overflowPunct/>
        <w:topLinePunct w:val="0"/>
        <w:autoSpaceDE/>
        <w:autoSpaceDN/>
        <w:bidi w:val="0"/>
        <w:adjustRightInd/>
        <w:spacing w:line="360" w:lineRule="auto"/>
        <w:contextualSpacing/>
        <w:jc w:val="center"/>
        <w:textAlignment w:val="auto"/>
        <w:rPr>
          <w:rFonts w:ascii="宋体" w:hAnsi="宋体"/>
          <w:b/>
          <w:color w:val="auto"/>
          <w:sz w:val="72"/>
          <w:highlight w:val="none"/>
        </w:rPr>
      </w:pPr>
    </w:p>
    <w:p w14:paraId="298A9BF3">
      <w:pPr>
        <w:pageBreakBefore w:val="0"/>
        <w:kinsoku/>
        <w:wordWrap/>
        <w:overflowPunct/>
        <w:topLinePunct w:val="0"/>
        <w:autoSpaceDE/>
        <w:autoSpaceDN/>
        <w:bidi w:val="0"/>
        <w:adjustRightInd/>
        <w:spacing w:line="360" w:lineRule="auto"/>
        <w:contextualSpacing/>
        <w:textAlignment w:val="auto"/>
        <w:rPr>
          <w:rFonts w:ascii="宋体" w:hAnsi="宋体"/>
          <w:b/>
          <w:color w:val="auto"/>
          <w:sz w:val="36"/>
          <w:highlight w:val="none"/>
        </w:rPr>
      </w:pPr>
    </w:p>
    <w:p w14:paraId="39AFB160">
      <w:pPr>
        <w:pageBreakBefore w:val="0"/>
        <w:kinsoku/>
        <w:wordWrap/>
        <w:overflowPunct/>
        <w:topLinePunct w:val="0"/>
        <w:autoSpaceDE/>
        <w:autoSpaceDN/>
        <w:bidi w:val="0"/>
        <w:adjustRightInd/>
        <w:spacing w:line="360" w:lineRule="auto"/>
        <w:contextualSpacing/>
        <w:textAlignment w:val="auto"/>
        <w:rPr>
          <w:rFonts w:ascii="宋体" w:hAnsi="宋体"/>
          <w:b/>
          <w:color w:val="auto"/>
          <w:sz w:val="36"/>
          <w:highlight w:val="none"/>
        </w:rPr>
      </w:pPr>
    </w:p>
    <w:p w14:paraId="144FE7E2">
      <w:pPr>
        <w:pageBreakBefore w:val="0"/>
        <w:kinsoku/>
        <w:wordWrap/>
        <w:overflowPunct/>
        <w:topLinePunct w:val="0"/>
        <w:autoSpaceDE/>
        <w:autoSpaceDN/>
        <w:bidi w:val="0"/>
        <w:adjustRightInd/>
        <w:spacing w:line="360" w:lineRule="auto"/>
        <w:contextualSpacing/>
        <w:textAlignment w:val="auto"/>
        <w:rPr>
          <w:rFonts w:ascii="宋体" w:hAnsi="宋体"/>
          <w:b/>
          <w:color w:val="auto"/>
          <w:sz w:val="36"/>
          <w:highlight w:val="none"/>
        </w:rPr>
      </w:pPr>
    </w:p>
    <w:p w14:paraId="22C98A1A">
      <w:pPr>
        <w:pageBreakBefore w:val="0"/>
        <w:kinsoku/>
        <w:wordWrap/>
        <w:overflowPunct/>
        <w:topLinePunct w:val="0"/>
        <w:autoSpaceDE/>
        <w:autoSpaceDN/>
        <w:bidi w:val="0"/>
        <w:adjustRightInd/>
        <w:spacing w:line="360" w:lineRule="auto"/>
        <w:contextualSpacing/>
        <w:textAlignment w:val="auto"/>
        <w:rPr>
          <w:rFonts w:ascii="宋体" w:hAnsi="宋体"/>
          <w:b/>
          <w:color w:val="auto"/>
          <w:sz w:val="36"/>
          <w:highlight w:val="none"/>
        </w:rPr>
      </w:pPr>
    </w:p>
    <w:p w14:paraId="55DEFF1D">
      <w:pPr>
        <w:pStyle w:val="16"/>
      </w:pPr>
    </w:p>
    <w:p w14:paraId="46B353AA">
      <w:pPr>
        <w:pStyle w:val="193"/>
        <w:pageBreakBefore w:val="0"/>
        <w:kinsoku/>
        <w:wordWrap/>
        <w:overflowPunct/>
        <w:topLinePunct w:val="0"/>
        <w:autoSpaceDE/>
        <w:autoSpaceDN/>
        <w:bidi w:val="0"/>
        <w:adjustRightInd/>
        <w:spacing w:line="360" w:lineRule="auto"/>
        <w:textAlignment w:val="auto"/>
        <w:rPr>
          <w:rFonts w:ascii="宋体" w:hAnsi="宋体" w:eastAsia="宋体"/>
          <w:b w:val="0"/>
          <w:color w:val="auto"/>
          <w:sz w:val="32"/>
          <w:szCs w:val="32"/>
          <w:highlight w:val="none"/>
        </w:rPr>
      </w:pPr>
      <w:r>
        <w:rPr>
          <w:rFonts w:hint="eastAsia" w:ascii="宋体" w:hAnsi="宋体" w:eastAsia="宋体"/>
          <w:color w:val="auto"/>
          <w:sz w:val="32"/>
          <w:highlight w:val="none"/>
        </w:rPr>
        <w:t>一、资格审查响应对照表</w:t>
      </w:r>
    </w:p>
    <w:tbl>
      <w:tblPr>
        <w:tblStyle w:val="34"/>
        <w:tblW w:w="9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60"/>
        <w:gridCol w:w="6311"/>
        <w:gridCol w:w="2207"/>
      </w:tblGrid>
      <w:tr w14:paraId="102C7D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3" w:hRule="atLeast"/>
        </w:trPr>
        <w:tc>
          <w:tcPr>
            <w:tcW w:w="660" w:type="dxa"/>
            <w:noWrap w:val="0"/>
            <w:vAlign w:val="center"/>
          </w:tcPr>
          <w:p w14:paraId="7C244340">
            <w:pPr>
              <w:pageBreakBefore w:val="0"/>
              <w:kinsoku/>
              <w:wordWrap/>
              <w:overflowPunct/>
              <w:topLinePunct w:val="0"/>
              <w:autoSpaceDE/>
              <w:autoSpaceDN/>
              <w:bidi w:val="0"/>
              <w:adjustRightInd/>
              <w:spacing w:line="360" w:lineRule="auto"/>
              <w:jc w:val="center"/>
              <w:textAlignment w:val="auto"/>
              <w:rPr>
                <w:rFonts w:ascii="幼圆" w:eastAsia="幼圆"/>
                <w:b/>
                <w:color w:val="auto"/>
                <w:szCs w:val="21"/>
                <w:highlight w:val="none"/>
              </w:rPr>
            </w:pPr>
            <w:r>
              <w:rPr>
                <w:rFonts w:hint="eastAsia" w:ascii="幼圆" w:eastAsia="幼圆"/>
                <w:b/>
                <w:color w:val="auto"/>
                <w:szCs w:val="21"/>
                <w:highlight w:val="none"/>
              </w:rPr>
              <w:t>序号</w:t>
            </w:r>
          </w:p>
        </w:tc>
        <w:tc>
          <w:tcPr>
            <w:tcW w:w="6311" w:type="dxa"/>
            <w:noWrap w:val="0"/>
            <w:vAlign w:val="center"/>
          </w:tcPr>
          <w:p w14:paraId="69893415">
            <w:pPr>
              <w:pageBreakBefore w:val="0"/>
              <w:kinsoku/>
              <w:wordWrap/>
              <w:overflowPunct/>
              <w:topLinePunct w:val="0"/>
              <w:autoSpaceDE/>
              <w:autoSpaceDN/>
              <w:bidi w:val="0"/>
              <w:adjustRightInd/>
              <w:spacing w:line="360" w:lineRule="auto"/>
              <w:jc w:val="center"/>
              <w:textAlignment w:val="auto"/>
              <w:rPr>
                <w:rFonts w:ascii="幼圆" w:eastAsia="幼圆"/>
                <w:b/>
                <w:color w:val="auto"/>
                <w:szCs w:val="21"/>
                <w:highlight w:val="none"/>
              </w:rPr>
            </w:pPr>
            <w:r>
              <w:rPr>
                <w:rFonts w:hint="eastAsia" w:ascii="幼圆" w:eastAsia="幼圆"/>
                <w:b/>
                <w:color w:val="auto"/>
                <w:szCs w:val="21"/>
                <w:highlight w:val="none"/>
              </w:rPr>
              <w:t>资格审查响应内容</w:t>
            </w:r>
          </w:p>
        </w:tc>
        <w:tc>
          <w:tcPr>
            <w:tcW w:w="2207" w:type="dxa"/>
            <w:noWrap w:val="0"/>
            <w:vAlign w:val="center"/>
          </w:tcPr>
          <w:p w14:paraId="403F3CE4">
            <w:pPr>
              <w:pageBreakBefore w:val="0"/>
              <w:kinsoku/>
              <w:wordWrap/>
              <w:overflowPunct/>
              <w:topLinePunct w:val="0"/>
              <w:autoSpaceDE/>
              <w:autoSpaceDN/>
              <w:bidi w:val="0"/>
              <w:adjustRightInd/>
              <w:spacing w:line="360" w:lineRule="auto"/>
              <w:jc w:val="center"/>
              <w:textAlignment w:val="auto"/>
              <w:rPr>
                <w:rFonts w:ascii="幼圆" w:eastAsia="幼圆"/>
                <w:b/>
                <w:color w:val="auto"/>
                <w:szCs w:val="21"/>
                <w:highlight w:val="none"/>
              </w:rPr>
            </w:pPr>
            <w:r>
              <w:rPr>
                <w:rFonts w:hint="eastAsia" w:ascii="幼圆" w:eastAsia="幼圆"/>
                <w:b/>
                <w:color w:val="auto"/>
                <w:szCs w:val="21"/>
                <w:highlight w:val="none"/>
              </w:rPr>
              <w:t>是否响应</w:t>
            </w:r>
          </w:p>
          <w:p w14:paraId="12C87D07">
            <w:pPr>
              <w:pageBreakBefore w:val="0"/>
              <w:kinsoku/>
              <w:wordWrap/>
              <w:overflowPunct/>
              <w:topLinePunct w:val="0"/>
              <w:autoSpaceDE/>
              <w:autoSpaceDN/>
              <w:bidi w:val="0"/>
              <w:adjustRightInd/>
              <w:spacing w:line="360" w:lineRule="auto"/>
              <w:jc w:val="center"/>
              <w:textAlignment w:val="auto"/>
              <w:rPr>
                <w:rFonts w:ascii="幼圆" w:eastAsia="幼圆"/>
                <w:b/>
                <w:color w:val="auto"/>
                <w:szCs w:val="21"/>
                <w:highlight w:val="none"/>
              </w:rPr>
            </w:pPr>
            <w:r>
              <w:rPr>
                <w:rFonts w:hint="eastAsia" w:ascii="幼圆" w:eastAsia="幼圆"/>
                <w:b/>
                <w:color w:val="auto"/>
                <w:szCs w:val="21"/>
                <w:highlight w:val="none"/>
              </w:rPr>
              <w:t>（填是或者否）</w:t>
            </w:r>
          </w:p>
        </w:tc>
      </w:tr>
      <w:tr w14:paraId="21BFB5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8" w:hRule="atLeast"/>
        </w:trPr>
        <w:tc>
          <w:tcPr>
            <w:tcW w:w="9178" w:type="dxa"/>
            <w:gridSpan w:val="3"/>
            <w:noWrap w:val="0"/>
            <w:vAlign w:val="center"/>
          </w:tcPr>
          <w:p w14:paraId="586C14CF">
            <w:pPr>
              <w:pageBreakBefore w:val="0"/>
              <w:kinsoku/>
              <w:wordWrap/>
              <w:overflowPunct/>
              <w:topLinePunct w:val="0"/>
              <w:autoSpaceDE/>
              <w:autoSpaceDN/>
              <w:bidi w:val="0"/>
              <w:adjustRightInd/>
              <w:spacing w:line="360" w:lineRule="auto"/>
              <w:textAlignment w:val="auto"/>
              <w:rPr>
                <w:rFonts w:ascii="宋体" w:hAnsi="宋体"/>
                <w:b/>
                <w:color w:val="auto"/>
                <w:szCs w:val="21"/>
                <w:highlight w:val="none"/>
              </w:rPr>
            </w:pPr>
            <w:r>
              <w:rPr>
                <w:rFonts w:hint="eastAsia" w:ascii="宋体" w:hAnsi="宋体"/>
                <w:b/>
                <w:color w:val="auto"/>
                <w:szCs w:val="21"/>
                <w:highlight w:val="none"/>
              </w:rPr>
              <w:t>通用资格条件</w:t>
            </w:r>
          </w:p>
        </w:tc>
      </w:tr>
      <w:tr w14:paraId="0FD375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60" w:type="dxa"/>
            <w:noWrap w:val="0"/>
            <w:vAlign w:val="center"/>
          </w:tcPr>
          <w:p w14:paraId="2DC3DBE5">
            <w:pPr>
              <w:pageBreakBefore w:val="0"/>
              <w:kinsoku/>
              <w:wordWrap/>
              <w:overflowPunct/>
              <w:topLinePunct w:val="0"/>
              <w:autoSpaceDE/>
              <w:autoSpaceDN/>
              <w:bidi w:val="0"/>
              <w:adjustRightInd/>
              <w:spacing w:line="360" w:lineRule="auto"/>
              <w:jc w:val="center"/>
              <w:textAlignment w:val="auto"/>
              <w:rPr>
                <w:rFonts w:ascii="宋体" w:hAnsi="宋体"/>
                <w:b/>
                <w:color w:val="auto"/>
                <w:sz w:val="21"/>
                <w:szCs w:val="21"/>
                <w:highlight w:val="none"/>
              </w:rPr>
            </w:pPr>
            <w:r>
              <w:rPr>
                <w:rFonts w:hint="eastAsia" w:ascii="宋体" w:hAnsi="宋体"/>
                <w:color w:val="auto"/>
                <w:sz w:val="21"/>
                <w:szCs w:val="21"/>
                <w:highlight w:val="none"/>
              </w:rPr>
              <w:t>1</w:t>
            </w:r>
          </w:p>
        </w:tc>
        <w:tc>
          <w:tcPr>
            <w:tcW w:w="6311" w:type="dxa"/>
            <w:noWrap w:val="0"/>
            <w:vAlign w:val="center"/>
          </w:tcPr>
          <w:p w14:paraId="44A057CC">
            <w:pPr>
              <w:pageBreakBefore w:val="0"/>
              <w:kinsoku/>
              <w:wordWrap/>
              <w:overflowPunct/>
              <w:topLinePunct w:val="0"/>
              <w:autoSpaceDE/>
              <w:autoSpaceDN/>
              <w:bidi w:val="0"/>
              <w:adjustRightInd/>
              <w:spacing w:line="360" w:lineRule="auto"/>
              <w:textAlignment w:val="auto"/>
              <w:rPr>
                <w:rFonts w:ascii="宋体" w:hAnsi="宋体"/>
                <w:iCs/>
                <w:color w:val="auto"/>
                <w:sz w:val="21"/>
                <w:szCs w:val="21"/>
                <w:highlight w:val="none"/>
              </w:rPr>
            </w:pPr>
            <w:r>
              <w:rPr>
                <w:rFonts w:hint="eastAsia" w:ascii="宋体" w:hAnsi="宋体"/>
                <w:color w:val="auto"/>
                <w:sz w:val="21"/>
                <w:szCs w:val="21"/>
              </w:rPr>
              <w:t>法人或者其他组织的营业执照等证明文件，自然人的身份证明；</w:t>
            </w:r>
          </w:p>
        </w:tc>
        <w:tc>
          <w:tcPr>
            <w:tcW w:w="2207" w:type="dxa"/>
            <w:noWrap w:val="0"/>
            <w:vAlign w:val="center"/>
          </w:tcPr>
          <w:p w14:paraId="0937A107">
            <w:pPr>
              <w:pageBreakBefore w:val="0"/>
              <w:kinsoku/>
              <w:wordWrap/>
              <w:overflowPunct/>
              <w:topLinePunct w:val="0"/>
              <w:autoSpaceDE/>
              <w:autoSpaceDN/>
              <w:bidi w:val="0"/>
              <w:adjustRightInd/>
              <w:spacing w:line="360" w:lineRule="auto"/>
              <w:textAlignment w:val="auto"/>
              <w:rPr>
                <w:rFonts w:ascii="宋体" w:hAnsi="宋体"/>
                <w:b/>
                <w:color w:val="auto"/>
                <w:sz w:val="21"/>
                <w:szCs w:val="21"/>
                <w:highlight w:val="none"/>
              </w:rPr>
            </w:pPr>
          </w:p>
        </w:tc>
      </w:tr>
      <w:tr w14:paraId="1C35C5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60" w:type="dxa"/>
            <w:noWrap w:val="0"/>
            <w:vAlign w:val="center"/>
          </w:tcPr>
          <w:p w14:paraId="5E71FBB4">
            <w:pPr>
              <w:pageBreakBefore w:val="0"/>
              <w:kinsoku/>
              <w:wordWrap/>
              <w:overflowPunct/>
              <w:topLinePunct w:val="0"/>
              <w:autoSpaceDE/>
              <w:autoSpaceDN/>
              <w:bidi w:val="0"/>
              <w:adjustRightInd/>
              <w:spacing w:line="360" w:lineRule="auto"/>
              <w:jc w:val="center"/>
              <w:textAlignment w:val="auto"/>
              <w:rPr>
                <w:rFonts w:ascii="宋体" w:hAnsi="宋体"/>
                <w:color w:val="auto"/>
                <w:sz w:val="21"/>
                <w:szCs w:val="21"/>
                <w:highlight w:val="none"/>
              </w:rPr>
            </w:pPr>
            <w:r>
              <w:rPr>
                <w:rFonts w:hint="eastAsia" w:ascii="宋体" w:hAnsi="宋体"/>
                <w:color w:val="auto"/>
                <w:sz w:val="21"/>
                <w:szCs w:val="21"/>
                <w:highlight w:val="none"/>
              </w:rPr>
              <w:t>2</w:t>
            </w:r>
          </w:p>
        </w:tc>
        <w:tc>
          <w:tcPr>
            <w:tcW w:w="6311" w:type="dxa"/>
            <w:noWrap w:val="0"/>
            <w:vAlign w:val="center"/>
          </w:tcPr>
          <w:p w14:paraId="35FC7CAA">
            <w:pPr>
              <w:pageBreakBefore w:val="0"/>
              <w:kinsoku/>
              <w:wordWrap/>
              <w:overflowPunct/>
              <w:topLinePunct w:val="0"/>
              <w:autoSpaceDE/>
              <w:autoSpaceDN/>
              <w:bidi w:val="0"/>
              <w:adjustRightInd/>
              <w:spacing w:line="360" w:lineRule="auto"/>
              <w:textAlignment w:val="auto"/>
              <w:rPr>
                <w:rFonts w:ascii="宋体" w:hAnsi="宋体"/>
                <w:iCs/>
                <w:color w:val="auto"/>
                <w:sz w:val="21"/>
                <w:szCs w:val="21"/>
                <w:highlight w:val="none"/>
              </w:rPr>
            </w:pPr>
            <w:r>
              <w:rPr>
                <w:rFonts w:hint="eastAsia" w:ascii="宋体" w:hAnsi="宋体"/>
                <w:color w:val="auto"/>
                <w:sz w:val="21"/>
                <w:szCs w:val="21"/>
              </w:rPr>
              <w:t>上一年度的财务状况报告（成立不满一年无需提供）；</w:t>
            </w:r>
          </w:p>
        </w:tc>
        <w:tc>
          <w:tcPr>
            <w:tcW w:w="2207" w:type="dxa"/>
            <w:noWrap w:val="0"/>
            <w:vAlign w:val="center"/>
          </w:tcPr>
          <w:p w14:paraId="791D2988">
            <w:pPr>
              <w:pageBreakBefore w:val="0"/>
              <w:kinsoku/>
              <w:wordWrap/>
              <w:overflowPunct/>
              <w:topLinePunct w:val="0"/>
              <w:autoSpaceDE/>
              <w:autoSpaceDN/>
              <w:bidi w:val="0"/>
              <w:adjustRightInd/>
              <w:spacing w:line="360" w:lineRule="auto"/>
              <w:textAlignment w:val="auto"/>
              <w:rPr>
                <w:rFonts w:ascii="宋体" w:hAnsi="宋体"/>
                <w:color w:val="auto"/>
                <w:sz w:val="21"/>
                <w:szCs w:val="21"/>
                <w:highlight w:val="none"/>
              </w:rPr>
            </w:pPr>
          </w:p>
        </w:tc>
      </w:tr>
      <w:tr w14:paraId="086409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60" w:type="dxa"/>
            <w:noWrap w:val="0"/>
            <w:vAlign w:val="center"/>
          </w:tcPr>
          <w:p w14:paraId="5F291D21">
            <w:pPr>
              <w:pageBreakBefore w:val="0"/>
              <w:kinsoku/>
              <w:wordWrap/>
              <w:overflowPunct/>
              <w:topLinePunct w:val="0"/>
              <w:autoSpaceDE/>
              <w:autoSpaceDN/>
              <w:bidi w:val="0"/>
              <w:adjustRightInd/>
              <w:spacing w:line="360" w:lineRule="auto"/>
              <w:jc w:val="center"/>
              <w:textAlignment w:val="auto"/>
              <w:rPr>
                <w:rFonts w:ascii="宋体" w:hAnsi="宋体"/>
                <w:color w:val="auto"/>
                <w:sz w:val="21"/>
                <w:szCs w:val="21"/>
                <w:highlight w:val="none"/>
              </w:rPr>
            </w:pPr>
            <w:r>
              <w:rPr>
                <w:rFonts w:hint="eastAsia" w:ascii="宋体" w:hAnsi="宋体"/>
                <w:color w:val="auto"/>
                <w:sz w:val="21"/>
                <w:szCs w:val="21"/>
                <w:highlight w:val="none"/>
              </w:rPr>
              <w:t>3</w:t>
            </w:r>
          </w:p>
        </w:tc>
        <w:tc>
          <w:tcPr>
            <w:tcW w:w="6311" w:type="dxa"/>
            <w:noWrap w:val="0"/>
            <w:vAlign w:val="center"/>
          </w:tcPr>
          <w:p w14:paraId="0A777C6F">
            <w:pPr>
              <w:pageBreakBefore w:val="0"/>
              <w:kinsoku/>
              <w:wordWrap/>
              <w:overflowPunct/>
              <w:topLinePunct w:val="0"/>
              <w:autoSpaceDE/>
              <w:autoSpaceDN/>
              <w:bidi w:val="0"/>
              <w:adjustRightInd/>
              <w:spacing w:line="360" w:lineRule="auto"/>
              <w:textAlignment w:val="auto"/>
              <w:rPr>
                <w:rFonts w:ascii="宋体" w:hAnsi="宋体"/>
                <w:iCs/>
                <w:color w:val="auto"/>
                <w:sz w:val="21"/>
                <w:szCs w:val="21"/>
                <w:highlight w:val="none"/>
              </w:rPr>
            </w:pPr>
            <w:r>
              <w:rPr>
                <w:rFonts w:hint="eastAsia" w:ascii="宋体" w:hAnsi="宋体"/>
                <w:color w:val="auto"/>
                <w:sz w:val="21"/>
                <w:szCs w:val="21"/>
              </w:rPr>
              <w:t>依法缴纳税收和社会保障资金的相关材料（提供提交投标文件截止时间前一年内至少一个月依法缴纳税收及缴纳社会保障资金的证明材料。投标人依法享受缓缴、免缴税收、社会保障资金的提供证明材料。）；</w:t>
            </w:r>
          </w:p>
        </w:tc>
        <w:tc>
          <w:tcPr>
            <w:tcW w:w="2207" w:type="dxa"/>
            <w:noWrap w:val="0"/>
            <w:vAlign w:val="center"/>
          </w:tcPr>
          <w:p w14:paraId="24B8355E">
            <w:pPr>
              <w:pageBreakBefore w:val="0"/>
              <w:kinsoku/>
              <w:wordWrap/>
              <w:overflowPunct/>
              <w:topLinePunct w:val="0"/>
              <w:autoSpaceDE/>
              <w:autoSpaceDN/>
              <w:bidi w:val="0"/>
              <w:adjustRightInd/>
              <w:spacing w:line="360" w:lineRule="auto"/>
              <w:textAlignment w:val="auto"/>
              <w:rPr>
                <w:rFonts w:ascii="宋体" w:hAnsi="宋体"/>
                <w:color w:val="auto"/>
                <w:sz w:val="21"/>
                <w:szCs w:val="21"/>
                <w:highlight w:val="none"/>
              </w:rPr>
            </w:pPr>
          </w:p>
        </w:tc>
      </w:tr>
      <w:tr w14:paraId="181A97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60" w:type="dxa"/>
            <w:noWrap w:val="0"/>
            <w:vAlign w:val="center"/>
          </w:tcPr>
          <w:p w14:paraId="4AB6387F">
            <w:pPr>
              <w:pageBreakBefore w:val="0"/>
              <w:kinsoku/>
              <w:wordWrap/>
              <w:overflowPunct/>
              <w:topLinePunct w:val="0"/>
              <w:autoSpaceDE/>
              <w:autoSpaceDN/>
              <w:bidi w:val="0"/>
              <w:adjustRightInd/>
              <w:spacing w:line="360" w:lineRule="auto"/>
              <w:jc w:val="center"/>
              <w:textAlignment w:val="auto"/>
              <w:rPr>
                <w:rFonts w:ascii="宋体" w:hAnsi="宋体"/>
                <w:color w:val="auto"/>
                <w:sz w:val="21"/>
                <w:szCs w:val="21"/>
                <w:highlight w:val="none"/>
              </w:rPr>
            </w:pPr>
            <w:r>
              <w:rPr>
                <w:rFonts w:hint="eastAsia" w:ascii="宋体" w:hAnsi="宋体"/>
                <w:color w:val="auto"/>
                <w:sz w:val="21"/>
                <w:szCs w:val="21"/>
                <w:highlight w:val="none"/>
              </w:rPr>
              <w:t>4</w:t>
            </w:r>
          </w:p>
        </w:tc>
        <w:tc>
          <w:tcPr>
            <w:tcW w:w="6311" w:type="dxa"/>
            <w:noWrap w:val="0"/>
            <w:vAlign w:val="center"/>
          </w:tcPr>
          <w:p w14:paraId="753F90B0">
            <w:pPr>
              <w:pageBreakBefore w:val="0"/>
              <w:kinsoku/>
              <w:wordWrap/>
              <w:overflowPunct/>
              <w:topLinePunct w:val="0"/>
              <w:autoSpaceDE/>
              <w:autoSpaceDN/>
              <w:bidi w:val="0"/>
              <w:adjustRightInd/>
              <w:spacing w:line="360" w:lineRule="auto"/>
              <w:textAlignment w:val="auto"/>
              <w:rPr>
                <w:rFonts w:ascii="宋体" w:hAnsi="宋体"/>
                <w:iCs/>
                <w:color w:val="auto"/>
                <w:sz w:val="21"/>
                <w:szCs w:val="21"/>
                <w:highlight w:val="none"/>
              </w:rPr>
            </w:pPr>
            <w:r>
              <w:rPr>
                <w:rFonts w:hint="eastAsia" w:ascii="宋体" w:hAnsi="宋体"/>
                <w:color w:val="auto"/>
                <w:sz w:val="21"/>
                <w:szCs w:val="21"/>
              </w:rPr>
              <w:t>具备履行合同所必需的设备和专业技术能力的书面声明；</w:t>
            </w:r>
          </w:p>
        </w:tc>
        <w:tc>
          <w:tcPr>
            <w:tcW w:w="2207" w:type="dxa"/>
            <w:noWrap w:val="0"/>
            <w:vAlign w:val="center"/>
          </w:tcPr>
          <w:p w14:paraId="59039FDE">
            <w:pPr>
              <w:pageBreakBefore w:val="0"/>
              <w:kinsoku/>
              <w:wordWrap/>
              <w:overflowPunct/>
              <w:topLinePunct w:val="0"/>
              <w:autoSpaceDE/>
              <w:autoSpaceDN/>
              <w:bidi w:val="0"/>
              <w:adjustRightInd/>
              <w:spacing w:line="360" w:lineRule="auto"/>
              <w:textAlignment w:val="auto"/>
              <w:rPr>
                <w:rFonts w:ascii="宋体" w:hAnsi="宋体"/>
                <w:color w:val="auto"/>
                <w:sz w:val="21"/>
                <w:szCs w:val="21"/>
                <w:highlight w:val="none"/>
              </w:rPr>
            </w:pPr>
          </w:p>
        </w:tc>
      </w:tr>
      <w:tr w14:paraId="187395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60" w:type="dxa"/>
            <w:noWrap w:val="0"/>
            <w:vAlign w:val="center"/>
          </w:tcPr>
          <w:p w14:paraId="39A5C215">
            <w:pPr>
              <w:pageBreakBefore w:val="0"/>
              <w:kinsoku/>
              <w:wordWrap/>
              <w:overflowPunct/>
              <w:topLinePunct w:val="0"/>
              <w:autoSpaceDE/>
              <w:autoSpaceDN/>
              <w:bidi w:val="0"/>
              <w:adjustRightInd/>
              <w:spacing w:line="360" w:lineRule="auto"/>
              <w:jc w:val="center"/>
              <w:textAlignment w:val="auto"/>
              <w:rPr>
                <w:rFonts w:ascii="宋体" w:hAnsi="宋体"/>
                <w:color w:val="auto"/>
                <w:sz w:val="21"/>
                <w:szCs w:val="21"/>
                <w:highlight w:val="none"/>
              </w:rPr>
            </w:pPr>
            <w:r>
              <w:rPr>
                <w:rFonts w:hint="eastAsia" w:ascii="宋体" w:hAnsi="宋体"/>
                <w:color w:val="auto"/>
                <w:sz w:val="21"/>
                <w:szCs w:val="21"/>
                <w:highlight w:val="none"/>
              </w:rPr>
              <w:t>5</w:t>
            </w:r>
          </w:p>
        </w:tc>
        <w:tc>
          <w:tcPr>
            <w:tcW w:w="6311" w:type="dxa"/>
            <w:noWrap w:val="0"/>
            <w:vAlign w:val="center"/>
          </w:tcPr>
          <w:p w14:paraId="5EE1601A">
            <w:pPr>
              <w:pageBreakBefore w:val="0"/>
              <w:kinsoku/>
              <w:wordWrap/>
              <w:overflowPunct/>
              <w:topLinePunct w:val="0"/>
              <w:autoSpaceDE/>
              <w:autoSpaceDN/>
              <w:bidi w:val="0"/>
              <w:adjustRightInd/>
              <w:spacing w:line="360" w:lineRule="auto"/>
              <w:textAlignment w:val="auto"/>
              <w:rPr>
                <w:rFonts w:ascii="宋体" w:hAnsi="宋体"/>
                <w:iCs/>
                <w:color w:val="auto"/>
                <w:sz w:val="21"/>
                <w:szCs w:val="21"/>
                <w:highlight w:val="none"/>
              </w:rPr>
            </w:pPr>
            <w:r>
              <w:rPr>
                <w:rFonts w:hint="eastAsia" w:ascii="宋体" w:hAnsi="宋体"/>
                <w:color w:val="auto"/>
                <w:sz w:val="21"/>
                <w:szCs w:val="21"/>
              </w:rPr>
              <w:t>参加政府采购活动前3年内在经营活动中没有重大违法记录的书面声明。</w:t>
            </w:r>
          </w:p>
        </w:tc>
        <w:tc>
          <w:tcPr>
            <w:tcW w:w="2207" w:type="dxa"/>
            <w:noWrap w:val="0"/>
            <w:vAlign w:val="center"/>
          </w:tcPr>
          <w:p w14:paraId="670D8E0C">
            <w:pPr>
              <w:pageBreakBefore w:val="0"/>
              <w:kinsoku/>
              <w:wordWrap/>
              <w:overflowPunct/>
              <w:topLinePunct w:val="0"/>
              <w:autoSpaceDE/>
              <w:autoSpaceDN/>
              <w:bidi w:val="0"/>
              <w:adjustRightInd/>
              <w:spacing w:line="360" w:lineRule="auto"/>
              <w:textAlignment w:val="auto"/>
              <w:rPr>
                <w:rFonts w:ascii="宋体" w:hAnsi="宋体"/>
                <w:color w:val="auto"/>
                <w:sz w:val="21"/>
                <w:szCs w:val="21"/>
                <w:highlight w:val="none"/>
              </w:rPr>
            </w:pPr>
          </w:p>
        </w:tc>
      </w:tr>
      <w:tr w14:paraId="3091D2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60" w:type="dxa"/>
            <w:noWrap w:val="0"/>
            <w:vAlign w:val="center"/>
          </w:tcPr>
          <w:p w14:paraId="57FE3A9C">
            <w:pPr>
              <w:pageBreakBefore w:val="0"/>
              <w:kinsoku/>
              <w:wordWrap/>
              <w:overflowPunct/>
              <w:topLinePunct w:val="0"/>
              <w:autoSpaceDE/>
              <w:autoSpaceDN/>
              <w:bidi w:val="0"/>
              <w:adjustRightInd/>
              <w:spacing w:line="360" w:lineRule="auto"/>
              <w:jc w:val="center"/>
              <w:textAlignment w:val="auto"/>
              <w:rPr>
                <w:rFonts w:ascii="宋体" w:hAnsi="宋体"/>
                <w:color w:val="auto"/>
                <w:sz w:val="21"/>
                <w:szCs w:val="21"/>
                <w:highlight w:val="none"/>
              </w:rPr>
            </w:pPr>
            <w:r>
              <w:rPr>
                <w:rFonts w:hint="eastAsia" w:ascii="宋体" w:hAnsi="宋体"/>
                <w:color w:val="auto"/>
                <w:sz w:val="21"/>
                <w:szCs w:val="21"/>
                <w:highlight w:val="none"/>
              </w:rPr>
              <w:t>6</w:t>
            </w:r>
          </w:p>
        </w:tc>
        <w:tc>
          <w:tcPr>
            <w:tcW w:w="6311" w:type="dxa"/>
            <w:noWrap w:val="0"/>
            <w:vAlign w:val="center"/>
          </w:tcPr>
          <w:p w14:paraId="69CB587F">
            <w:pPr>
              <w:pageBreakBefore w:val="0"/>
              <w:kinsoku/>
              <w:wordWrap/>
              <w:overflowPunct/>
              <w:topLinePunct w:val="0"/>
              <w:autoSpaceDE/>
              <w:autoSpaceDN/>
              <w:bidi w:val="0"/>
              <w:adjustRightInd/>
              <w:spacing w:line="360" w:lineRule="auto"/>
              <w:textAlignment w:val="auto"/>
              <w:rPr>
                <w:rFonts w:ascii="宋体" w:hAnsi="宋体"/>
                <w:iCs/>
                <w:color w:val="auto"/>
                <w:sz w:val="21"/>
                <w:szCs w:val="21"/>
                <w:highlight w:val="none"/>
              </w:rPr>
            </w:pPr>
            <w:r>
              <w:rPr>
                <w:rFonts w:hint="eastAsia" w:ascii="宋体" w:hAnsi="宋体"/>
                <w:color w:val="auto"/>
                <w:sz w:val="21"/>
                <w:szCs w:val="21"/>
                <w:lang w:val="en-US" w:eastAsia="zh-CN"/>
              </w:rPr>
              <w:t>供应商信用承诺函。</w:t>
            </w:r>
          </w:p>
        </w:tc>
        <w:tc>
          <w:tcPr>
            <w:tcW w:w="2207" w:type="dxa"/>
            <w:noWrap w:val="0"/>
            <w:vAlign w:val="center"/>
          </w:tcPr>
          <w:p w14:paraId="6D38D5AE">
            <w:pPr>
              <w:pageBreakBefore w:val="0"/>
              <w:kinsoku/>
              <w:wordWrap/>
              <w:overflowPunct/>
              <w:topLinePunct w:val="0"/>
              <w:autoSpaceDE/>
              <w:autoSpaceDN/>
              <w:bidi w:val="0"/>
              <w:adjustRightInd/>
              <w:spacing w:line="360" w:lineRule="auto"/>
              <w:textAlignment w:val="auto"/>
              <w:rPr>
                <w:rFonts w:ascii="宋体" w:hAnsi="宋体"/>
                <w:color w:val="auto"/>
                <w:sz w:val="21"/>
                <w:szCs w:val="21"/>
                <w:highlight w:val="none"/>
              </w:rPr>
            </w:pPr>
          </w:p>
        </w:tc>
      </w:tr>
      <w:tr w14:paraId="3FD169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60" w:type="dxa"/>
            <w:noWrap w:val="0"/>
            <w:vAlign w:val="center"/>
          </w:tcPr>
          <w:p w14:paraId="58672C05">
            <w:pPr>
              <w:pageBreakBefore w:val="0"/>
              <w:kinsoku/>
              <w:wordWrap/>
              <w:overflowPunct/>
              <w:topLinePunct w:val="0"/>
              <w:autoSpaceDE/>
              <w:autoSpaceDN/>
              <w:bidi w:val="0"/>
              <w:adjustRightInd/>
              <w:spacing w:line="360" w:lineRule="auto"/>
              <w:jc w:val="center"/>
              <w:textAlignment w:val="auto"/>
              <w:rPr>
                <w:rFonts w:hint="default" w:ascii="宋体" w:hAnsi="宋体"/>
                <w:color w:val="auto"/>
                <w:sz w:val="21"/>
                <w:szCs w:val="21"/>
                <w:highlight w:val="none"/>
                <w:lang w:val="en-US"/>
              </w:rPr>
            </w:pPr>
            <w:r>
              <w:rPr>
                <w:rFonts w:hint="default" w:ascii="宋体" w:hAnsi="宋体"/>
                <w:color w:val="auto"/>
                <w:sz w:val="21"/>
                <w:szCs w:val="21"/>
                <w:highlight w:val="none"/>
                <w:lang w:val="en-US"/>
              </w:rPr>
              <w:t>7</w:t>
            </w:r>
          </w:p>
        </w:tc>
        <w:tc>
          <w:tcPr>
            <w:tcW w:w="6311" w:type="dxa"/>
            <w:noWrap w:val="0"/>
            <w:vAlign w:val="center"/>
          </w:tcPr>
          <w:p w14:paraId="2B7C9292">
            <w:pPr>
              <w:pageBreakBefore w:val="0"/>
              <w:kinsoku/>
              <w:wordWrap/>
              <w:overflowPunct/>
              <w:topLinePunct w:val="0"/>
              <w:autoSpaceDE/>
              <w:autoSpaceDN/>
              <w:bidi w:val="0"/>
              <w:adjustRightInd/>
              <w:spacing w:line="360" w:lineRule="auto"/>
              <w:textAlignment w:val="auto"/>
              <w:rPr>
                <w:rFonts w:hint="eastAsia" w:ascii="宋体" w:hAnsi="宋体"/>
                <w:color w:val="auto"/>
                <w:sz w:val="21"/>
                <w:szCs w:val="21"/>
                <w:lang w:val="en-US" w:eastAsia="zh-CN"/>
              </w:rPr>
            </w:pPr>
            <w:r>
              <w:rPr>
                <w:rFonts w:hint="eastAsia" w:ascii="宋体" w:hAnsi="宋体"/>
                <w:color w:val="auto"/>
                <w:sz w:val="21"/>
                <w:szCs w:val="21"/>
                <w:lang w:val="en-US" w:eastAsia="zh-CN"/>
              </w:rPr>
              <w:t>未被“信用中国”网站、“中国政府采购网"列入失信被执行人、重大税收违法案件当事人名单、政府采购严重违法失信行为记录名单及其他不符合《中华人民共和国政府采购法》第二十二条规定条件的信用记录。</w:t>
            </w:r>
          </w:p>
        </w:tc>
        <w:tc>
          <w:tcPr>
            <w:tcW w:w="2207" w:type="dxa"/>
            <w:noWrap w:val="0"/>
            <w:vAlign w:val="center"/>
          </w:tcPr>
          <w:p w14:paraId="54585F3F">
            <w:pPr>
              <w:pageBreakBefore w:val="0"/>
              <w:kinsoku/>
              <w:wordWrap/>
              <w:overflowPunct/>
              <w:topLinePunct w:val="0"/>
              <w:autoSpaceDE/>
              <w:autoSpaceDN/>
              <w:bidi w:val="0"/>
              <w:adjustRightInd/>
              <w:spacing w:line="360" w:lineRule="auto"/>
              <w:textAlignment w:val="auto"/>
              <w:rPr>
                <w:rFonts w:ascii="宋体" w:hAnsi="宋体"/>
                <w:color w:val="auto"/>
                <w:sz w:val="21"/>
                <w:szCs w:val="21"/>
                <w:highlight w:val="none"/>
              </w:rPr>
            </w:pPr>
          </w:p>
        </w:tc>
      </w:tr>
      <w:tr w14:paraId="0270BF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6" w:hRule="atLeast"/>
        </w:trPr>
        <w:tc>
          <w:tcPr>
            <w:tcW w:w="9178" w:type="dxa"/>
            <w:gridSpan w:val="3"/>
            <w:noWrap w:val="0"/>
            <w:vAlign w:val="center"/>
          </w:tcPr>
          <w:p w14:paraId="7C4E0183">
            <w:pPr>
              <w:pageBreakBefore w:val="0"/>
              <w:kinsoku/>
              <w:wordWrap/>
              <w:overflowPunct/>
              <w:topLinePunct w:val="0"/>
              <w:autoSpaceDE/>
              <w:autoSpaceDN/>
              <w:bidi w:val="0"/>
              <w:adjustRightInd/>
              <w:spacing w:line="360" w:lineRule="auto"/>
              <w:textAlignment w:val="auto"/>
              <w:rPr>
                <w:rFonts w:ascii="宋体" w:hAnsi="宋体"/>
                <w:color w:val="auto"/>
                <w:szCs w:val="21"/>
                <w:highlight w:val="none"/>
              </w:rPr>
            </w:pPr>
            <w:r>
              <w:rPr>
                <w:rFonts w:hint="eastAsia" w:ascii="宋体" w:hAnsi="宋体" w:cs="宋体"/>
                <w:b/>
                <w:bCs/>
                <w:color w:val="auto"/>
                <w:szCs w:val="21"/>
                <w:highlight w:val="none"/>
              </w:rPr>
              <w:t>落实政府采购政策需满足的资格要求</w:t>
            </w:r>
          </w:p>
        </w:tc>
      </w:tr>
      <w:tr w14:paraId="48995A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9" w:hRule="atLeast"/>
        </w:trPr>
        <w:tc>
          <w:tcPr>
            <w:tcW w:w="660" w:type="dxa"/>
            <w:noWrap w:val="0"/>
            <w:vAlign w:val="center"/>
          </w:tcPr>
          <w:p w14:paraId="3E776ECD">
            <w:pPr>
              <w:pageBreakBefore w:val="0"/>
              <w:kinsoku/>
              <w:wordWrap/>
              <w:overflowPunct/>
              <w:topLinePunct w:val="0"/>
              <w:autoSpaceDE/>
              <w:autoSpaceDN/>
              <w:bidi w:val="0"/>
              <w:adjustRightInd/>
              <w:spacing w:line="360" w:lineRule="auto"/>
              <w:textAlignment w:val="auto"/>
              <w:rPr>
                <w:rFonts w:hint="eastAsia" w:ascii="宋体" w:hAnsi="宋体" w:cs="宋体"/>
                <w:color w:val="auto"/>
                <w:szCs w:val="21"/>
                <w:highlight w:val="none"/>
              </w:rPr>
            </w:pPr>
            <w:r>
              <w:rPr>
                <w:rFonts w:hint="default" w:ascii="宋体" w:hAnsi="宋体" w:cs="宋体"/>
                <w:color w:val="auto"/>
                <w:szCs w:val="21"/>
                <w:highlight w:val="none"/>
                <w:lang w:val="en-US"/>
              </w:rPr>
              <w:t>8</w:t>
            </w:r>
          </w:p>
        </w:tc>
        <w:tc>
          <w:tcPr>
            <w:tcW w:w="6311" w:type="dxa"/>
            <w:noWrap w:val="0"/>
            <w:vAlign w:val="center"/>
          </w:tcPr>
          <w:p w14:paraId="53911C4F">
            <w:pPr>
              <w:keepNext w:val="0"/>
              <w:keepLines w:val="0"/>
              <w:pageBreakBefore w:val="0"/>
              <w:widowControl w:val="0"/>
              <w:kinsoku/>
              <w:wordWrap/>
              <w:overflowPunct/>
              <w:topLinePunct w:val="0"/>
              <w:autoSpaceDE/>
              <w:autoSpaceDN/>
              <w:bidi w:val="0"/>
              <w:adjustRightInd/>
              <w:spacing w:line="360" w:lineRule="auto"/>
              <w:ind w:firstLine="0"/>
              <w:textAlignment w:val="auto"/>
              <w:rPr>
                <w:rFonts w:hint="eastAsia" w:ascii="宋体" w:hAnsi="宋体" w:cs="宋体"/>
                <w:color w:val="auto"/>
                <w:szCs w:val="21"/>
                <w:highlight w:val="none"/>
              </w:rPr>
            </w:pPr>
            <w:r>
              <w:rPr>
                <w:rFonts w:hint="eastAsia" w:ascii="Times New Roman" w:hAnsi="Times New Roman" w:eastAsia="宋体" w:cs="宋体"/>
                <w:i/>
                <w:iCs/>
                <w:color w:val="auto"/>
                <w:szCs w:val="21"/>
                <w:u w:val="single"/>
                <w:lang w:val="en-US" w:eastAsia="zh-CN"/>
              </w:rPr>
              <w:t>本项目专门面向中小企业采购。投标人须提供《中小企业声明函》</w:t>
            </w:r>
          </w:p>
        </w:tc>
        <w:tc>
          <w:tcPr>
            <w:tcW w:w="2207" w:type="dxa"/>
            <w:noWrap w:val="0"/>
            <w:vAlign w:val="center"/>
          </w:tcPr>
          <w:p w14:paraId="3A0EE2AA">
            <w:pPr>
              <w:pageBreakBefore w:val="0"/>
              <w:kinsoku/>
              <w:wordWrap/>
              <w:overflowPunct/>
              <w:topLinePunct w:val="0"/>
              <w:autoSpaceDE/>
              <w:autoSpaceDN/>
              <w:bidi w:val="0"/>
              <w:adjustRightInd/>
              <w:spacing w:line="360" w:lineRule="auto"/>
              <w:textAlignment w:val="auto"/>
              <w:rPr>
                <w:rFonts w:ascii="宋体" w:hAnsi="宋体"/>
                <w:color w:val="auto"/>
                <w:szCs w:val="21"/>
                <w:highlight w:val="none"/>
              </w:rPr>
            </w:pPr>
          </w:p>
        </w:tc>
      </w:tr>
      <w:tr w14:paraId="49E813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6" w:hRule="atLeast"/>
        </w:trPr>
        <w:tc>
          <w:tcPr>
            <w:tcW w:w="9178" w:type="dxa"/>
            <w:gridSpan w:val="3"/>
            <w:noWrap w:val="0"/>
            <w:vAlign w:val="center"/>
          </w:tcPr>
          <w:p w14:paraId="4357DA64">
            <w:pPr>
              <w:pageBreakBefore w:val="0"/>
              <w:kinsoku/>
              <w:wordWrap/>
              <w:overflowPunct/>
              <w:topLinePunct w:val="0"/>
              <w:autoSpaceDE/>
              <w:autoSpaceDN/>
              <w:bidi w:val="0"/>
              <w:adjustRightInd/>
              <w:spacing w:line="360" w:lineRule="auto"/>
              <w:textAlignment w:val="auto"/>
              <w:rPr>
                <w:rFonts w:ascii="宋体" w:hAnsi="宋体"/>
                <w:color w:val="auto"/>
                <w:szCs w:val="21"/>
                <w:highlight w:val="none"/>
              </w:rPr>
            </w:pPr>
            <w:r>
              <w:rPr>
                <w:rFonts w:hint="eastAsia" w:ascii="宋体" w:hAnsi="宋体"/>
                <w:b/>
                <w:color w:val="auto"/>
                <w:szCs w:val="21"/>
                <w:highlight w:val="none"/>
              </w:rPr>
              <w:t>特定资格条件</w:t>
            </w:r>
          </w:p>
        </w:tc>
      </w:tr>
      <w:tr w14:paraId="26B07E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6" w:hRule="atLeast"/>
        </w:trPr>
        <w:tc>
          <w:tcPr>
            <w:tcW w:w="660" w:type="dxa"/>
            <w:noWrap w:val="0"/>
            <w:vAlign w:val="center"/>
          </w:tcPr>
          <w:p w14:paraId="7C10FDCE">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r>
              <w:rPr>
                <w:rFonts w:hint="default" w:ascii="宋体" w:hAnsi="宋体"/>
                <w:color w:val="auto"/>
                <w:szCs w:val="21"/>
                <w:highlight w:val="none"/>
                <w:lang w:val="en-US"/>
              </w:rPr>
              <w:t>9</w:t>
            </w:r>
          </w:p>
        </w:tc>
        <w:tc>
          <w:tcPr>
            <w:tcW w:w="6311" w:type="dxa"/>
            <w:noWrap w:val="0"/>
            <w:vAlign w:val="center"/>
          </w:tcPr>
          <w:p w14:paraId="52AF888A">
            <w:pPr>
              <w:pageBreakBefore w:val="0"/>
              <w:kinsoku/>
              <w:wordWrap/>
              <w:overflowPunct/>
              <w:topLinePunct w:val="0"/>
              <w:autoSpaceDE/>
              <w:autoSpaceDN/>
              <w:bidi w:val="0"/>
              <w:adjustRightInd/>
              <w:spacing w:line="360" w:lineRule="auto"/>
              <w:textAlignment w:val="auto"/>
              <w:rPr>
                <w:rFonts w:hint="eastAsia" w:ascii="宋体" w:hAnsi="宋体" w:eastAsia="宋体"/>
                <w:iCs/>
                <w:color w:val="auto"/>
                <w:szCs w:val="21"/>
                <w:highlight w:val="none"/>
                <w:lang w:val="en-US" w:eastAsia="zh-CN"/>
              </w:rPr>
            </w:pPr>
            <w:r>
              <w:rPr>
                <w:rFonts w:hint="eastAsia" w:ascii="宋体" w:hAnsi="宋体"/>
                <w:iCs/>
                <w:color w:val="auto"/>
                <w:szCs w:val="21"/>
                <w:highlight w:val="none"/>
                <w:lang w:val="en-US" w:eastAsia="zh-CN"/>
              </w:rPr>
              <w:t>无</w:t>
            </w:r>
          </w:p>
        </w:tc>
        <w:tc>
          <w:tcPr>
            <w:tcW w:w="2207" w:type="dxa"/>
            <w:noWrap w:val="0"/>
            <w:vAlign w:val="center"/>
          </w:tcPr>
          <w:p w14:paraId="670D7981">
            <w:pPr>
              <w:pageBreakBefore w:val="0"/>
              <w:kinsoku/>
              <w:wordWrap/>
              <w:overflowPunct/>
              <w:topLinePunct w:val="0"/>
              <w:autoSpaceDE/>
              <w:autoSpaceDN/>
              <w:bidi w:val="0"/>
              <w:adjustRightInd/>
              <w:spacing w:line="360" w:lineRule="auto"/>
              <w:textAlignment w:val="auto"/>
              <w:rPr>
                <w:rFonts w:ascii="宋体" w:hAnsi="宋体"/>
                <w:color w:val="auto"/>
                <w:szCs w:val="21"/>
                <w:highlight w:val="none"/>
              </w:rPr>
            </w:pPr>
          </w:p>
        </w:tc>
      </w:tr>
      <w:tr w14:paraId="5ED5F8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6" w:hRule="atLeast"/>
        </w:trPr>
        <w:tc>
          <w:tcPr>
            <w:tcW w:w="9178" w:type="dxa"/>
            <w:gridSpan w:val="3"/>
            <w:noWrap w:val="0"/>
            <w:vAlign w:val="center"/>
          </w:tcPr>
          <w:p w14:paraId="2CF4AAC0">
            <w:pPr>
              <w:pageBreakBefore w:val="0"/>
              <w:kinsoku/>
              <w:wordWrap/>
              <w:overflowPunct/>
              <w:topLinePunct w:val="0"/>
              <w:autoSpaceDE/>
              <w:autoSpaceDN/>
              <w:bidi w:val="0"/>
              <w:adjustRightInd/>
              <w:spacing w:line="360" w:lineRule="auto"/>
              <w:textAlignment w:val="auto"/>
              <w:rPr>
                <w:rFonts w:ascii="宋体" w:hAnsi="宋体"/>
                <w:color w:val="auto"/>
                <w:szCs w:val="21"/>
                <w:highlight w:val="none"/>
              </w:rPr>
            </w:pPr>
            <w:r>
              <w:rPr>
                <w:rFonts w:hint="eastAsia" w:ascii="宋体" w:hAnsi="宋体"/>
                <w:b/>
                <w:color w:val="auto"/>
                <w:szCs w:val="21"/>
                <w:highlight w:val="none"/>
              </w:rPr>
              <w:t>其他资格条件</w:t>
            </w:r>
          </w:p>
        </w:tc>
      </w:tr>
      <w:tr w14:paraId="160963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6" w:hRule="atLeast"/>
        </w:trPr>
        <w:tc>
          <w:tcPr>
            <w:tcW w:w="660" w:type="dxa"/>
            <w:noWrap w:val="0"/>
            <w:vAlign w:val="center"/>
          </w:tcPr>
          <w:p w14:paraId="4E076C50">
            <w:pPr>
              <w:pageBreakBefore w:val="0"/>
              <w:kinsoku/>
              <w:wordWrap/>
              <w:overflowPunct/>
              <w:topLinePunct w:val="0"/>
              <w:autoSpaceDE/>
              <w:autoSpaceDN/>
              <w:bidi w:val="0"/>
              <w:adjustRightInd/>
              <w:spacing w:line="360" w:lineRule="auto"/>
              <w:jc w:val="center"/>
              <w:textAlignment w:val="auto"/>
              <w:rPr>
                <w:rFonts w:hint="default" w:ascii="宋体" w:hAnsi="宋体"/>
                <w:color w:val="auto"/>
                <w:szCs w:val="21"/>
                <w:highlight w:val="none"/>
                <w:lang w:val="en-US"/>
              </w:rPr>
            </w:pPr>
            <w:r>
              <w:rPr>
                <w:rFonts w:hint="default" w:ascii="宋体" w:hAnsi="宋体"/>
                <w:color w:val="auto"/>
                <w:szCs w:val="21"/>
                <w:highlight w:val="none"/>
                <w:lang w:val="en-US"/>
              </w:rPr>
              <w:t>10</w:t>
            </w:r>
          </w:p>
        </w:tc>
        <w:tc>
          <w:tcPr>
            <w:tcW w:w="6311" w:type="dxa"/>
            <w:noWrap w:val="0"/>
            <w:vAlign w:val="center"/>
          </w:tcPr>
          <w:p w14:paraId="44B9798B">
            <w:pPr>
              <w:pageBreakBefore w:val="0"/>
              <w:kinsoku/>
              <w:wordWrap/>
              <w:overflowPunct/>
              <w:topLinePunct w:val="0"/>
              <w:autoSpaceDE/>
              <w:autoSpaceDN/>
              <w:bidi w:val="0"/>
              <w:adjustRightInd/>
              <w:spacing w:line="360" w:lineRule="auto"/>
              <w:jc w:val="left"/>
              <w:textAlignment w:val="auto"/>
              <w:rPr>
                <w:rFonts w:ascii="宋体" w:hAnsi="宋体"/>
                <w:iCs/>
                <w:color w:val="auto"/>
                <w:szCs w:val="21"/>
                <w:highlight w:val="none"/>
              </w:rPr>
            </w:pPr>
            <w:r>
              <w:rPr>
                <w:rFonts w:hint="eastAsia" w:ascii="宋体" w:hAnsi="宋体"/>
                <w:iCs/>
                <w:color w:val="auto"/>
                <w:szCs w:val="21"/>
                <w:highlight w:val="none"/>
              </w:rPr>
              <w:t>投标函</w:t>
            </w:r>
          </w:p>
        </w:tc>
        <w:tc>
          <w:tcPr>
            <w:tcW w:w="2207" w:type="dxa"/>
            <w:noWrap w:val="0"/>
            <w:vAlign w:val="center"/>
          </w:tcPr>
          <w:p w14:paraId="786FD5CD">
            <w:pPr>
              <w:pageBreakBefore w:val="0"/>
              <w:kinsoku/>
              <w:wordWrap/>
              <w:overflowPunct/>
              <w:topLinePunct w:val="0"/>
              <w:autoSpaceDE/>
              <w:autoSpaceDN/>
              <w:bidi w:val="0"/>
              <w:adjustRightInd/>
              <w:spacing w:line="360" w:lineRule="auto"/>
              <w:textAlignment w:val="auto"/>
              <w:rPr>
                <w:rFonts w:ascii="宋体" w:hAnsi="宋体"/>
                <w:color w:val="auto"/>
                <w:szCs w:val="21"/>
                <w:highlight w:val="none"/>
              </w:rPr>
            </w:pPr>
          </w:p>
        </w:tc>
      </w:tr>
      <w:tr w14:paraId="7EFAE2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6" w:hRule="atLeast"/>
        </w:trPr>
        <w:tc>
          <w:tcPr>
            <w:tcW w:w="660" w:type="dxa"/>
            <w:noWrap w:val="0"/>
            <w:vAlign w:val="center"/>
          </w:tcPr>
          <w:p w14:paraId="424300E3">
            <w:pPr>
              <w:pageBreakBefore w:val="0"/>
              <w:kinsoku/>
              <w:wordWrap/>
              <w:overflowPunct/>
              <w:topLinePunct w:val="0"/>
              <w:autoSpaceDE/>
              <w:autoSpaceDN/>
              <w:bidi w:val="0"/>
              <w:adjustRightInd/>
              <w:spacing w:line="360" w:lineRule="auto"/>
              <w:jc w:val="center"/>
              <w:textAlignment w:val="auto"/>
              <w:rPr>
                <w:rFonts w:hint="default" w:ascii="宋体" w:hAnsi="宋体"/>
                <w:color w:val="auto"/>
                <w:szCs w:val="21"/>
                <w:highlight w:val="none"/>
                <w:lang w:val="en-US"/>
              </w:rPr>
            </w:pPr>
            <w:r>
              <w:rPr>
                <w:rFonts w:hint="default" w:ascii="宋体" w:hAnsi="宋体"/>
                <w:color w:val="auto"/>
                <w:szCs w:val="21"/>
                <w:highlight w:val="none"/>
                <w:lang w:val="en-US"/>
              </w:rPr>
              <w:t>11</w:t>
            </w:r>
          </w:p>
        </w:tc>
        <w:tc>
          <w:tcPr>
            <w:tcW w:w="6311" w:type="dxa"/>
            <w:noWrap w:val="0"/>
            <w:vAlign w:val="center"/>
          </w:tcPr>
          <w:p w14:paraId="285C88F4">
            <w:pPr>
              <w:pageBreakBefore w:val="0"/>
              <w:kinsoku/>
              <w:wordWrap/>
              <w:overflowPunct/>
              <w:topLinePunct w:val="0"/>
              <w:autoSpaceDE/>
              <w:autoSpaceDN/>
              <w:bidi w:val="0"/>
              <w:adjustRightInd/>
              <w:spacing w:line="360" w:lineRule="auto"/>
              <w:jc w:val="left"/>
              <w:textAlignment w:val="auto"/>
              <w:rPr>
                <w:rFonts w:ascii="宋体" w:hAnsi="宋体"/>
                <w:iCs/>
                <w:color w:val="auto"/>
                <w:szCs w:val="21"/>
                <w:highlight w:val="none"/>
              </w:rPr>
            </w:pPr>
            <w:r>
              <w:rPr>
                <w:rFonts w:hint="eastAsia" w:ascii="宋体" w:hAnsi="宋体"/>
                <w:iCs/>
                <w:color w:val="auto"/>
                <w:szCs w:val="21"/>
                <w:highlight w:val="none"/>
              </w:rPr>
              <w:t>法人授权书</w:t>
            </w:r>
          </w:p>
        </w:tc>
        <w:tc>
          <w:tcPr>
            <w:tcW w:w="2207" w:type="dxa"/>
            <w:noWrap w:val="0"/>
            <w:vAlign w:val="center"/>
          </w:tcPr>
          <w:p w14:paraId="12F2E621">
            <w:pPr>
              <w:pageBreakBefore w:val="0"/>
              <w:kinsoku/>
              <w:wordWrap/>
              <w:overflowPunct/>
              <w:topLinePunct w:val="0"/>
              <w:autoSpaceDE/>
              <w:autoSpaceDN/>
              <w:bidi w:val="0"/>
              <w:adjustRightInd/>
              <w:spacing w:line="360" w:lineRule="auto"/>
              <w:textAlignment w:val="auto"/>
              <w:rPr>
                <w:rFonts w:ascii="宋体" w:hAnsi="宋体"/>
                <w:color w:val="auto"/>
                <w:szCs w:val="21"/>
                <w:highlight w:val="none"/>
              </w:rPr>
            </w:pPr>
          </w:p>
        </w:tc>
      </w:tr>
    </w:tbl>
    <w:p w14:paraId="05728EF7">
      <w:pPr>
        <w:pageBreakBefore w:val="0"/>
        <w:kinsoku/>
        <w:wordWrap/>
        <w:overflowPunct/>
        <w:topLinePunct w:val="0"/>
        <w:autoSpaceDE/>
        <w:autoSpaceDN/>
        <w:bidi w:val="0"/>
        <w:adjustRightInd/>
        <w:spacing w:before="156" w:after="156" w:line="360" w:lineRule="auto"/>
        <w:ind w:firstLine="1476"/>
        <w:textAlignment w:val="auto"/>
        <w:rPr>
          <w:rFonts w:hint="eastAsia" w:ascii="宋体" w:hAnsi="宋体"/>
          <w:b/>
          <w:bCs/>
          <w:color w:val="auto"/>
          <w:highlight w:val="none"/>
        </w:rPr>
        <w:sectPr>
          <w:headerReference r:id="rId4" w:type="default"/>
          <w:footerReference r:id="rId5" w:type="default"/>
          <w:pgSz w:w="11906" w:h="16838"/>
          <w:pgMar w:top="1440" w:right="1576" w:bottom="1440" w:left="1463" w:header="851" w:footer="992" w:gutter="0"/>
          <w:cols w:space="1701" w:num="1"/>
          <w:docGrid w:linePitch="360" w:charSpace="0"/>
        </w:sectPr>
      </w:pPr>
    </w:p>
    <w:p w14:paraId="7B2C8BED">
      <w:pPr>
        <w:pageBreakBefore w:val="0"/>
        <w:kinsoku/>
        <w:wordWrap/>
        <w:overflowPunct/>
        <w:topLinePunct w:val="0"/>
        <w:autoSpaceDE/>
        <w:autoSpaceDN/>
        <w:bidi w:val="0"/>
        <w:adjustRightInd/>
        <w:spacing w:before="156" w:after="156" w:line="360" w:lineRule="auto"/>
        <w:jc w:val="center"/>
        <w:textAlignment w:val="auto"/>
        <w:rPr>
          <w:rFonts w:ascii="宋体" w:hAnsi="宋体"/>
          <w:b/>
          <w:bCs/>
          <w:color w:val="auto"/>
          <w:sz w:val="28"/>
          <w:szCs w:val="28"/>
          <w:highlight w:val="none"/>
        </w:rPr>
      </w:pPr>
      <w:r>
        <w:rPr>
          <w:rFonts w:hint="eastAsia" w:ascii="宋体" w:hAnsi="宋体"/>
          <w:b/>
          <w:bCs/>
          <w:color w:val="auto"/>
          <w:sz w:val="28"/>
          <w:szCs w:val="28"/>
          <w:highlight w:val="none"/>
        </w:rPr>
        <w:t>具备履行合同所必需的设备和专业技术能力的书面声明</w:t>
      </w:r>
    </w:p>
    <w:p w14:paraId="06F2E04D">
      <w:pPr>
        <w:pageBreakBefore w:val="0"/>
        <w:kinsoku/>
        <w:wordWrap/>
        <w:overflowPunct/>
        <w:topLinePunct w:val="0"/>
        <w:autoSpaceDE/>
        <w:autoSpaceDN/>
        <w:bidi w:val="0"/>
        <w:adjustRightInd/>
        <w:spacing w:line="360" w:lineRule="auto"/>
        <w:ind w:firstLine="492"/>
        <w:textAlignment w:val="auto"/>
        <w:rPr>
          <w:rFonts w:ascii="宋体" w:hAnsi="宋体"/>
          <w:bCs/>
          <w:color w:val="auto"/>
          <w:szCs w:val="21"/>
          <w:highlight w:val="none"/>
        </w:rPr>
      </w:pPr>
      <w:r>
        <w:rPr>
          <w:rFonts w:hint="eastAsia" w:ascii="宋体" w:hAnsi="宋体"/>
          <w:bCs/>
          <w:color w:val="auto"/>
          <w:szCs w:val="21"/>
          <w:highlight w:val="none"/>
        </w:rPr>
        <w:t>我单位郑重声明：我单位具备履行本项采购合同所必需的设备和专业技术能力，为履行本项采购合同我公司具备如下主要设备和主要专业技术能力：</w:t>
      </w:r>
    </w:p>
    <w:p w14:paraId="6541A205">
      <w:pPr>
        <w:pageBreakBefore w:val="0"/>
        <w:kinsoku/>
        <w:wordWrap/>
        <w:overflowPunct/>
        <w:topLinePunct w:val="0"/>
        <w:autoSpaceDE/>
        <w:autoSpaceDN/>
        <w:bidi w:val="0"/>
        <w:adjustRightInd/>
        <w:spacing w:line="360" w:lineRule="auto"/>
        <w:ind w:firstLine="492"/>
        <w:textAlignment w:val="auto"/>
        <w:rPr>
          <w:rFonts w:ascii="宋体" w:hAnsi="宋体"/>
          <w:bCs/>
          <w:color w:val="auto"/>
          <w:szCs w:val="21"/>
          <w:highlight w:val="none"/>
        </w:rPr>
      </w:pPr>
      <w:r>
        <w:rPr>
          <w:rFonts w:hint="eastAsia" w:ascii="宋体" w:hAnsi="宋体"/>
          <w:bCs/>
          <w:color w:val="auto"/>
          <w:szCs w:val="21"/>
          <w:highlight w:val="none"/>
        </w:rPr>
        <w:t>主要设备有：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w:t>
      </w:r>
    </w:p>
    <w:p w14:paraId="2852D1C1">
      <w:pPr>
        <w:pageBreakBefore w:val="0"/>
        <w:kinsoku/>
        <w:wordWrap/>
        <w:overflowPunct/>
        <w:topLinePunct w:val="0"/>
        <w:autoSpaceDE/>
        <w:autoSpaceDN/>
        <w:bidi w:val="0"/>
        <w:adjustRightInd/>
        <w:spacing w:line="360" w:lineRule="auto"/>
        <w:ind w:firstLine="492"/>
        <w:textAlignment w:val="auto"/>
        <w:rPr>
          <w:rFonts w:ascii="宋体" w:hAnsi="宋体"/>
          <w:bCs/>
          <w:color w:val="auto"/>
          <w:szCs w:val="21"/>
          <w:highlight w:val="none"/>
        </w:rPr>
      </w:pPr>
      <w:r>
        <w:rPr>
          <w:rFonts w:hint="eastAsia" w:ascii="宋体" w:hAnsi="宋体"/>
          <w:bCs/>
          <w:color w:val="auto"/>
          <w:szCs w:val="21"/>
          <w:highlight w:val="none"/>
        </w:rPr>
        <w:t>主要专业技术能力有：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w:t>
      </w:r>
    </w:p>
    <w:p w14:paraId="3EC898AF">
      <w:pPr>
        <w:pageBreakBefore w:val="0"/>
        <w:kinsoku/>
        <w:wordWrap/>
        <w:overflowPunct/>
        <w:topLinePunct w:val="0"/>
        <w:autoSpaceDE/>
        <w:autoSpaceDN/>
        <w:bidi w:val="0"/>
        <w:adjustRightInd/>
        <w:spacing w:line="360" w:lineRule="auto"/>
        <w:contextualSpacing/>
        <w:textAlignment w:val="auto"/>
        <w:rPr>
          <w:rFonts w:ascii="宋体" w:hAnsi="宋体"/>
          <w:b/>
          <w:color w:val="auto"/>
          <w:sz w:val="36"/>
          <w:highlight w:val="none"/>
        </w:rPr>
      </w:pPr>
    </w:p>
    <w:p w14:paraId="1C7F9238">
      <w:pPr>
        <w:pStyle w:val="214"/>
        <w:pageBreakBefore w:val="0"/>
        <w:kinsoku/>
        <w:wordWrap/>
        <w:overflowPunct/>
        <w:topLinePunct w:val="0"/>
        <w:autoSpaceDE/>
        <w:autoSpaceDN/>
        <w:bidi w:val="0"/>
        <w:adjustRightInd/>
        <w:spacing w:line="360" w:lineRule="auto"/>
        <w:ind w:firstLine="723"/>
        <w:textAlignment w:val="auto"/>
        <w:rPr>
          <w:rFonts w:ascii="宋体" w:hAnsi="宋体"/>
          <w:b/>
          <w:color w:val="auto"/>
          <w:sz w:val="36"/>
          <w:highlight w:val="none"/>
        </w:rPr>
      </w:pPr>
    </w:p>
    <w:p w14:paraId="396CB0E3">
      <w:pPr>
        <w:pageBreakBefore w:val="0"/>
        <w:kinsoku/>
        <w:wordWrap/>
        <w:overflowPunct/>
        <w:topLinePunct w:val="0"/>
        <w:autoSpaceDE/>
        <w:autoSpaceDN/>
        <w:bidi w:val="0"/>
        <w:adjustRightInd/>
        <w:spacing w:line="360" w:lineRule="auto"/>
        <w:textAlignment w:val="auto"/>
        <w:rPr>
          <w:rFonts w:ascii="宋体" w:hAnsi="宋体"/>
          <w:bCs/>
          <w:color w:val="auto"/>
          <w:highlight w:val="none"/>
        </w:rPr>
      </w:pPr>
      <w:r>
        <w:rPr>
          <w:rFonts w:hint="eastAsia" w:ascii="宋体" w:hAnsi="宋体"/>
          <w:bCs/>
          <w:color w:val="auto"/>
          <w:highlight w:val="none"/>
        </w:rPr>
        <w:t xml:space="preserve">                                           供应商名称（公章）：</w:t>
      </w:r>
    </w:p>
    <w:p w14:paraId="5C3A5E24">
      <w:pPr>
        <w:pageBreakBefore w:val="0"/>
        <w:kinsoku/>
        <w:wordWrap/>
        <w:overflowPunct/>
        <w:topLinePunct w:val="0"/>
        <w:autoSpaceDE/>
        <w:autoSpaceDN/>
        <w:bidi w:val="0"/>
        <w:adjustRightInd/>
        <w:spacing w:line="360" w:lineRule="auto"/>
        <w:textAlignment w:val="auto"/>
        <w:rPr>
          <w:rFonts w:ascii="宋体" w:hAnsi="宋体"/>
          <w:bCs/>
          <w:color w:val="auto"/>
          <w:highlight w:val="none"/>
          <w:u w:val="single"/>
        </w:rPr>
      </w:pPr>
      <w:r>
        <w:rPr>
          <w:rFonts w:hint="eastAsia" w:ascii="宋体" w:hAnsi="宋体"/>
          <w:bCs/>
          <w:color w:val="auto"/>
          <w:highlight w:val="none"/>
        </w:rPr>
        <w:t xml:space="preserve">                                           法定代表人签章： </w:t>
      </w:r>
      <w:r>
        <w:rPr>
          <w:rFonts w:hint="eastAsia" w:ascii="宋体" w:hAnsi="宋体"/>
          <w:bCs/>
          <w:color w:val="auto"/>
          <w:highlight w:val="none"/>
          <w:u w:val="single"/>
        </w:rPr>
        <w:t xml:space="preserve">                </w:t>
      </w:r>
    </w:p>
    <w:p w14:paraId="7FC654BB">
      <w:pPr>
        <w:pageBreakBefore w:val="0"/>
        <w:kinsoku/>
        <w:wordWrap/>
        <w:overflowPunct/>
        <w:topLinePunct w:val="0"/>
        <w:autoSpaceDE/>
        <w:autoSpaceDN/>
        <w:bidi w:val="0"/>
        <w:adjustRightInd/>
        <w:spacing w:line="360" w:lineRule="auto"/>
        <w:jc w:val="right"/>
        <w:textAlignment w:val="auto"/>
        <w:rPr>
          <w:rFonts w:ascii="宋体" w:hAnsi="宋体"/>
          <w:bCs/>
          <w:color w:val="auto"/>
          <w:highlight w:val="none"/>
        </w:rPr>
      </w:pPr>
      <w:r>
        <w:rPr>
          <w:rFonts w:hint="eastAsia" w:ascii="宋体" w:hAnsi="宋体"/>
          <w:bCs/>
          <w:color w:val="auto"/>
          <w:highlight w:val="none"/>
        </w:rPr>
        <w:t xml:space="preserve">                                    日期：</w:t>
      </w:r>
      <w:r>
        <w:rPr>
          <w:rFonts w:hint="eastAsia" w:ascii="宋体" w:hAnsi="宋体"/>
          <w:bCs/>
          <w:color w:val="auto"/>
          <w:highlight w:val="none"/>
          <w:u w:val="single"/>
        </w:rPr>
        <w:t xml:space="preserve">        </w:t>
      </w:r>
      <w:r>
        <w:rPr>
          <w:rFonts w:hint="eastAsia" w:ascii="宋体" w:hAnsi="宋体"/>
          <w:bCs/>
          <w:color w:val="auto"/>
          <w:highlight w:val="none"/>
        </w:rPr>
        <w:t>年</w:t>
      </w:r>
      <w:r>
        <w:rPr>
          <w:rFonts w:hint="eastAsia" w:ascii="宋体" w:hAnsi="宋体"/>
          <w:bCs/>
          <w:color w:val="auto"/>
          <w:highlight w:val="none"/>
          <w:u w:val="single"/>
        </w:rPr>
        <w:t xml:space="preserve">    </w:t>
      </w:r>
      <w:r>
        <w:rPr>
          <w:rFonts w:hint="eastAsia" w:ascii="宋体" w:hAnsi="宋体"/>
          <w:bCs/>
          <w:color w:val="auto"/>
          <w:highlight w:val="none"/>
        </w:rPr>
        <w:t>月</w:t>
      </w:r>
      <w:r>
        <w:rPr>
          <w:rFonts w:hint="eastAsia" w:ascii="宋体" w:hAnsi="宋体"/>
          <w:bCs/>
          <w:color w:val="auto"/>
          <w:highlight w:val="none"/>
          <w:u w:val="single"/>
        </w:rPr>
        <w:t xml:space="preserve">    </w:t>
      </w:r>
      <w:r>
        <w:rPr>
          <w:rFonts w:hint="eastAsia" w:ascii="宋体" w:hAnsi="宋体"/>
          <w:bCs/>
          <w:color w:val="auto"/>
          <w:highlight w:val="none"/>
        </w:rPr>
        <w:t>日</w:t>
      </w:r>
    </w:p>
    <w:p w14:paraId="4FE6180D">
      <w:pPr>
        <w:pStyle w:val="214"/>
        <w:pageBreakBefore w:val="0"/>
        <w:kinsoku/>
        <w:wordWrap/>
        <w:overflowPunct/>
        <w:topLinePunct w:val="0"/>
        <w:autoSpaceDE/>
        <w:autoSpaceDN/>
        <w:bidi w:val="0"/>
        <w:adjustRightInd/>
        <w:spacing w:line="360" w:lineRule="auto"/>
        <w:ind w:firstLine="723"/>
        <w:jc w:val="right"/>
        <w:textAlignment w:val="auto"/>
        <w:rPr>
          <w:rFonts w:ascii="宋体" w:hAnsi="宋体"/>
          <w:b/>
          <w:color w:val="auto"/>
          <w:sz w:val="36"/>
          <w:highlight w:val="none"/>
        </w:rPr>
      </w:pPr>
    </w:p>
    <w:p w14:paraId="72F11054">
      <w:pPr>
        <w:pageBreakBefore w:val="0"/>
        <w:kinsoku/>
        <w:wordWrap/>
        <w:overflowPunct/>
        <w:topLinePunct w:val="0"/>
        <w:autoSpaceDE/>
        <w:autoSpaceDN/>
        <w:bidi w:val="0"/>
        <w:adjustRightInd/>
        <w:spacing w:line="360" w:lineRule="auto"/>
        <w:contextualSpacing/>
        <w:textAlignment w:val="auto"/>
        <w:rPr>
          <w:rFonts w:ascii="宋体" w:hAnsi="宋体"/>
          <w:b/>
          <w:color w:val="auto"/>
          <w:sz w:val="36"/>
          <w:highlight w:val="none"/>
        </w:rPr>
      </w:pPr>
    </w:p>
    <w:p w14:paraId="1AA13AB2">
      <w:pPr>
        <w:pageBreakBefore w:val="0"/>
        <w:kinsoku/>
        <w:wordWrap/>
        <w:overflowPunct/>
        <w:topLinePunct w:val="0"/>
        <w:autoSpaceDE/>
        <w:autoSpaceDN/>
        <w:bidi w:val="0"/>
        <w:adjustRightInd/>
        <w:spacing w:line="360" w:lineRule="auto"/>
        <w:contextualSpacing/>
        <w:textAlignment w:val="auto"/>
        <w:rPr>
          <w:rFonts w:ascii="宋体" w:hAnsi="宋体"/>
          <w:b/>
          <w:color w:val="auto"/>
          <w:sz w:val="36"/>
          <w:highlight w:val="none"/>
        </w:rPr>
      </w:pPr>
    </w:p>
    <w:p w14:paraId="4B5F07AE">
      <w:pPr>
        <w:pageBreakBefore w:val="0"/>
        <w:kinsoku/>
        <w:wordWrap/>
        <w:overflowPunct/>
        <w:topLinePunct w:val="0"/>
        <w:autoSpaceDE/>
        <w:autoSpaceDN/>
        <w:bidi w:val="0"/>
        <w:adjustRightInd/>
        <w:spacing w:line="360" w:lineRule="auto"/>
        <w:contextualSpacing/>
        <w:textAlignment w:val="auto"/>
        <w:rPr>
          <w:rFonts w:ascii="宋体" w:hAnsi="宋体"/>
          <w:b/>
          <w:color w:val="auto"/>
          <w:sz w:val="36"/>
          <w:highlight w:val="none"/>
        </w:rPr>
      </w:pPr>
    </w:p>
    <w:p w14:paraId="5BA23BEA">
      <w:pPr>
        <w:pageBreakBefore w:val="0"/>
        <w:kinsoku/>
        <w:wordWrap/>
        <w:overflowPunct/>
        <w:topLinePunct w:val="0"/>
        <w:autoSpaceDE/>
        <w:autoSpaceDN/>
        <w:bidi w:val="0"/>
        <w:adjustRightInd/>
        <w:spacing w:line="360" w:lineRule="auto"/>
        <w:contextualSpacing/>
        <w:textAlignment w:val="auto"/>
        <w:rPr>
          <w:rFonts w:ascii="宋体" w:hAnsi="宋体"/>
          <w:b/>
          <w:color w:val="auto"/>
          <w:sz w:val="36"/>
          <w:highlight w:val="none"/>
        </w:rPr>
      </w:pPr>
    </w:p>
    <w:p w14:paraId="5D0FC2C6">
      <w:pPr>
        <w:pageBreakBefore w:val="0"/>
        <w:kinsoku/>
        <w:wordWrap/>
        <w:overflowPunct/>
        <w:topLinePunct w:val="0"/>
        <w:autoSpaceDE/>
        <w:autoSpaceDN/>
        <w:bidi w:val="0"/>
        <w:adjustRightInd/>
        <w:spacing w:line="360" w:lineRule="auto"/>
        <w:contextualSpacing/>
        <w:textAlignment w:val="auto"/>
        <w:rPr>
          <w:rFonts w:ascii="宋体" w:hAnsi="宋体"/>
          <w:b/>
          <w:color w:val="auto"/>
          <w:sz w:val="36"/>
          <w:highlight w:val="none"/>
        </w:rPr>
      </w:pPr>
    </w:p>
    <w:p w14:paraId="19FE492D">
      <w:pPr>
        <w:pageBreakBefore w:val="0"/>
        <w:kinsoku/>
        <w:wordWrap/>
        <w:overflowPunct/>
        <w:topLinePunct w:val="0"/>
        <w:autoSpaceDE/>
        <w:autoSpaceDN/>
        <w:bidi w:val="0"/>
        <w:adjustRightInd/>
        <w:spacing w:line="360" w:lineRule="auto"/>
        <w:contextualSpacing/>
        <w:textAlignment w:val="auto"/>
        <w:rPr>
          <w:rFonts w:ascii="宋体" w:hAnsi="宋体"/>
          <w:b/>
          <w:color w:val="auto"/>
          <w:sz w:val="36"/>
          <w:highlight w:val="none"/>
        </w:rPr>
      </w:pPr>
    </w:p>
    <w:p w14:paraId="33106D01">
      <w:pPr>
        <w:pageBreakBefore w:val="0"/>
        <w:kinsoku/>
        <w:wordWrap/>
        <w:overflowPunct/>
        <w:topLinePunct w:val="0"/>
        <w:autoSpaceDE/>
        <w:autoSpaceDN/>
        <w:bidi w:val="0"/>
        <w:adjustRightInd/>
        <w:spacing w:line="360" w:lineRule="auto"/>
        <w:contextualSpacing/>
        <w:textAlignment w:val="auto"/>
        <w:rPr>
          <w:rFonts w:ascii="宋体" w:hAnsi="宋体"/>
          <w:b/>
          <w:color w:val="auto"/>
          <w:sz w:val="36"/>
          <w:highlight w:val="none"/>
        </w:rPr>
      </w:pPr>
    </w:p>
    <w:p w14:paraId="559B3308">
      <w:pPr>
        <w:pageBreakBefore w:val="0"/>
        <w:kinsoku/>
        <w:wordWrap/>
        <w:overflowPunct/>
        <w:topLinePunct w:val="0"/>
        <w:autoSpaceDE/>
        <w:autoSpaceDN/>
        <w:bidi w:val="0"/>
        <w:adjustRightInd/>
        <w:spacing w:line="360" w:lineRule="auto"/>
        <w:contextualSpacing/>
        <w:textAlignment w:val="auto"/>
        <w:rPr>
          <w:rFonts w:ascii="宋体" w:hAnsi="宋体"/>
          <w:b/>
          <w:color w:val="auto"/>
          <w:sz w:val="36"/>
          <w:highlight w:val="none"/>
        </w:rPr>
      </w:pPr>
    </w:p>
    <w:p w14:paraId="0FB4AA4E">
      <w:pPr>
        <w:pageBreakBefore w:val="0"/>
        <w:kinsoku/>
        <w:wordWrap/>
        <w:overflowPunct/>
        <w:topLinePunct w:val="0"/>
        <w:autoSpaceDE/>
        <w:autoSpaceDN/>
        <w:bidi w:val="0"/>
        <w:adjustRightInd/>
        <w:spacing w:line="360" w:lineRule="auto"/>
        <w:contextualSpacing/>
        <w:textAlignment w:val="auto"/>
        <w:rPr>
          <w:rFonts w:ascii="宋体" w:hAnsi="宋体"/>
          <w:b/>
          <w:color w:val="auto"/>
          <w:sz w:val="36"/>
          <w:highlight w:val="none"/>
        </w:rPr>
      </w:pPr>
    </w:p>
    <w:p w14:paraId="3834A6F2">
      <w:pPr>
        <w:pageBreakBefore w:val="0"/>
        <w:kinsoku/>
        <w:wordWrap/>
        <w:overflowPunct/>
        <w:topLinePunct w:val="0"/>
        <w:autoSpaceDE/>
        <w:autoSpaceDN/>
        <w:bidi w:val="0"/>
        <w:adjustRightInd/>
        <w:spacing w:line="360" w:lineRule="auto"/>
        <w:contextualSpacing/>
        <w:textAlignment w:val="auto"/>
        <w:rPr>
          <w:rFonts w:ascii="宋体" w:hAnsi="宋体"/>
          <w:b/>
          <w:color w:val="auto"/>
          <w:sz w:val="36"/>
          <w:highlight w:val="none"/>
        </w:rPr>
      </w:pPr>
    </w:p>
    <w:p w14:paraId="4B83831D">
      <w:pPr>
        <w:pageBreakBefore w:val="0"/>
        <w:kinsoku/>
        <w:wordWrap/>
        <w:overflowPunct/>
        <w:topLinePunct w:val="0"/>
        <w:autoSpaceDE/>
        <w:autoSpaceDN/>
        <w:bidi w:val="0"/>
        <w:adjustRightInd/>
        <w:spacing w:line="360" w:lineRule="auto"/>
        <w:contextualSpacing/>
        <w:textAlignment w:val="auto"/>
        <w:rPr>
          <w:rFonts w:ascii="宋体" w:hAnsi="宋体"/>
          <w:b/>
          <w:color w:val="auto"/>
          <w:sz w:val="36"/>
          <w:highlight w:val="none"/>
        </w:rPr>
      </w:pPr>
    </w:p>
    <w:p w14:paraId="53973B25">
      <w:pPr>
        <w:pageBreakBefore w:val="0"/>
        <w:kinsoku/>
        <w:wordWrap/>
        <w:overflowPunct/>
        <w:topLinePunct w:val="0"/>
        <w:autoSpaceDE/>
        <w:autoSpaceDN/>
        <w:bidi w:val="0"/>
        <w:adjustRightInd/>
        <w:spacing w:line="360" w:lineRule="auto"/>
        <w:jc w:val="left"/>
        <w:textAlignment w:val="auto"/>
        <w:rPr>
          <w:rFonts w:ascii="宋体" w:hAnsi="宋体"/>
          <w:b/>
          <w:bCs/>
          <w:color w:val="auto"/>
          <w:highlight w:val="none"/>
        </w:rPr>
      </w:pPr>
      <w:r>
        <w:rPr>
          <w:rFonts w:hint="eastAsia" w:ascii="宋体" w:hAnsi="宋体"/>
          <w:b/>
          <w:bCs/>
          <w:color w:val="auto"/>
          <w:highlight w:val="none"/>
        </w:rPr>
        <w:t>参加本次政府采购活动前 3 年内在经营活动中没有重大违法记录的书面声明</w:t>
      </w:r>
    </w:p>
    <w:p w14:paraId="1BD68541">
      <w:pPr>
        <w:pageBreakBefore w:val="0"/>
        <w:kinsoku/>
        <w:wordWrap/>
        <w:overflowPunct/>
        <w:topLinePunct w:val="0"/>
        <w:autoSpaceDE/>
        <w:autoSpaceDN/>
        <w:bidi w:val="0"/>
        <w:adjustRightInd/>
        <w:spacing w:line="360" w:lineRule="auto"/>
        <w:textAlignment w:val="auto"/>
        <w:rPr>
          <w:rFonts w:ascii="宋体" w:hAnsi="宋体"/>
          <w:color w:val="auto"/>
          <w:highlight w:val="none"/>
        </w:rPr>
      </w:pPr>
    </w:p>
    <w:p w14:paraId="133B993B">
      <w:pPr>
        <w:pageBreakBefore w:val="0"/>
        <w:kinsoku/>
        <w:wordWrap/>
        <w:overflowPunct/>
        <w:topLinePunct w:val="0"/>
        <w:autoSpaceDE/>
        <w:autoSpaceDN/>
        <w:bidi w:val="0"/>
        <w:adjustRightInd/>
        <w:spacing w:after="312" w:line="360" w:lineRule="auto"/>
        <w:jc w:val="center"/>
        <w:textAlignment w:val="auto"/>
        <w:rPr>
          <w:rFonts w:ascii="宋体" w:hAnsi="宋体"/>
          <w:b/>
          <w:bCs/>
          <w:color w:val="auto"/>
          <w:sz w:val="28"/>
          <w:szCs w:val="28"/>
          <w:highlight w:val="none"/>
        </w:rPr>
      </w:pPr>
      <w:r>
        <w:rPr>
          <w:rFonts w:hint="eastAsia" w:ascii="宋体" w:hAnsi="宋体"/>
          <w:b/>
          <w:bCs/>
          <w:color w:val="auto"/>
          <w:sz w:val="28"/>
          <w:szCs w:val="28"/>
          <w:highlight w:val="none"/>
        </w:rPr>
        <w:t>声  明</w:t>
      </w:r>
    </w:p>
    <w:p w14:paraId="6AA04759">
      <w:pPr>
        <w:pageBreakBefore w:val="0"/>
        <w:kinsoku/>
        <w:wordWrap/>
        <w:overflowPunct/>
        <w:topLinePunct w:val="0"/>
        <w:autoSpaceDE/>
        <w:autoSpaceDN/>
        <w:bidi w:val="0"/>
        <w:adjustRightInd/>
        <w:spacing w:line="360" w:lineRule="auto"/>
        <w:textAlignment w:val="auto"/>
        <w:rPr>
          <w:rFonts w:ascii="宋体" w:hAnsi="宋体"/>
          <w:bCs/>
          <w:color w:val="auto"/>
          <w:highlight w:val="none"/>
        </w:rPr>
      </w:pPr>
      <w:r>
        <w:rPr>
          <w:rFonts w:hint="eastAsia" w:ascii="宋体" w:hAnsi="宋体"/>
          <w:b/>
          <w:bCs/>
          <w:color w:val="auto"/>
          <w:highlight w:val="none"/>
        </w:rPr>
        <w:t xml:space="preserve">    </w:t>
      </w:r>
      <w:r>
        <w:rPr>
          <w:rFonts w:hint="eastAsia" w:ascii="宋体" w:hAnsi="宋体"/>
          <w:bCs/>
          <w:color w:val="auto"/>
          <w:highlight w:val="none"/>
        </w:rPr>
        <w:t>我公司郑重声明：参加本次政府采购活动前 3 年内，我公司在经营活动中没有因违法经营受到刑事处罚或者责令停产停业、吊销许可证或者执照、较大数额罚款等行政处罚。</w:t>
      </w:r>
    </w:p>
    <w:p w14:paraId="28FB040D">
      <w:pPr>
        <w:pageBreakBefore w:val="0"/>
        <w:kinsoku/>
        <w:wordWrap/>
        <w:overflowPunct/>
        <w:topLinePunct w:val="0"/>
        <w:autoSpaceDE/>
        <w:autoSpaceDN/>
        <w:bidi w:val="0"/>
        <w:adjustRightInd/>
        <w:spacing w:line="360" w:lineRule="auto"/>
        <w:textAlignment w:val="auto"/>
        <w:rPr>
          <w:rFonts w:ascii="宋体" w:hAnsi="宋体"/>
          <w:bCs/>
          <w:color w:val="auto"/>
          <w:highlight w:val="none"/>
        </w:rPr>
      </w:pPr>
      <w:r>
        <w:rPr>
          <w:rFonts w:hint="eastAsia" w:ascii="宋体" w:hAnsi="宋体"/>
          <w:bCs/>
          <w:color w:val="auto"/>
          <w:highlight w:val="none"/>
        </w:rPr>
        <w:t xml:space="preserve">                                    供应商名称（公章）：</w:t>
      </w:r>
    </w:p>
    <w:p w14:paraId="0B140502">
      <w:pPr>
        <w:pageBreakBefore w:val="0"/>
        <w:kinsoku/>
        <w:wordWrap/>
        <w:overflowPunct/>
        <w:topLinePunct w:val="0"/>
        <w:autoSpaceDE/>
        <w:autoSpaceDN/>
        <w:bidi w:val="0"/>
        <w:adjustRightInd/>
        <w:spacing w:line="360" w:lineRule="auto"/>
        <w:textAlignment w:val="auto"/>
        <w:rPr>
          <w:rFonts w:ascii="宋体" w:hAnsi="宋体"/>
          <w:bCs/>
          <w:color w:val="auto"/>
          <w:highlight w:val="none"/>
          <w:u w:val="single"/>
        </w:rPr>
      </w:pPr>
      <w:r>
        <w:rPr>
          <w:rFonts w:hint="eastAsia" w:ascii="宋体" w:hAnsi="宋体"/>
          <w:bCs/>
          <w:color w:val="auto"/>
          <w:highlight w:val="none"/>
        </w:rPr>
        <w:t xml:space="preserve">                                    法定代表人签章： </w:t>
      </w:r>
      <w:r>
        <w:rPr>
          <w:rFonts w:hint="eastAsia" w:ascii="宋体" w:hAnsi="宋体"/>
          <w:bCs/>
          <w:color w:val="auto"/>
          <w:highlight w:val="none"/>
          <w:u w:val="single"/>
        </w:rPr>
        <w:t xml:space="preserve">                         </w:t>
      </w:r>
    </w:p>
    <w:p w14:paraId="0B006FCC">
      <w:pPr>
        <w:pageBreakBefore w:val="0"/>
        <w:kinsoku/>
        <w:wordWrap/>
        <w:overflowPunct/>
        <w:topLinePunct w:val="0"/>
        <w:autoSpaceDE/>
        <w:autoSpaceDN/>
        <w:bidi w:val="0"/>
        <w:adjustRightInd/>
        <w:spacing w:line="360" w:lineRule="auto"/>
        <w:jc w:val="right"/>
        <w:textAlignment w:val="auto"/>
        <w:rPr>
          <w:rFonts w:ascii="宋体" w:hAnsi="宋体"/>
          <w:bCs/>
          <w:color w:val="auto"/>
          <w:highlight w:val="none"/>
        </w:rPr>
      </w:pPr>
      <w:r>
        <w:rPr>
          <w:rFonts w:hint="eastAsia" w:ascii="宋体" w:hAnsi="宋体"/>
          <w:bCs/>
          <w:color w:val="auto"/>
          <w:highlight w:val="none"/>
        </w:rPr>
        <w:t xml:space="preserve">                                    日期：</w:t>
      </w:r>
      <w:r>
        <w:rPr>
          <w:rFonts w:hint="eastAsia" w:ascii="宋体" w:hAnsi="宋体"/>
          <w:bCs/>
          <w:color w:val="auto"/>
          <w:highlight w:val="none"/>
          <w:u w:val="single"/>
        </w:rPr>
        <w:t xml:space="preserve">        </w:t>
      </w:r>
      <w:r>
        <w:rPr>
          <w:rFonts w:hint="eastAsia" w:ascii="宋体" w:hAnsi="宋体"/>
          <w:bCs/>
          <w:color w:val="auto"/>
          <w:highlight w:val="none"/>
        </w:rPr>
        <w:t>年</w:t>
      </w:r>
      <w:r>
        <w:rPr>
          <w:rFonts w:hint="eastAsia" w:ascii="宋体" w:hAnsi="宋体"/>
          <w:bCs/>
          <w:color w:val="auto"/>
          <w:highlight w:val="none"/>
          <w:u w:val="single"/>
        </w:rPr>
        <w:t xml:space="preserve">    </w:t>
      </w:r>
      <w:r>
        <w:rPr>
          <w:rFonts w:hint="eastAsia" w:ascii="宋体" w:hAnsi="宋体"/>
          <w:bCs/>
          <w:color w:val="auto"/>
          <w:highlight w:val="none"/>
        </w:rPr>
        <w:t>月</w:t>
      </w:r>
      <w:r>
        <w:rPr>
          <w:rFonts w:hint="eastAsia" w:ascii="宋体" w:hAnsi="宋体"/>
          <w:bCs/>
          <w:color w:val="auto"/>
          <w:highlight w:val="none"/>
          <w:u w:val="single"/>
        </w:rPr>
        <w:t xml:space="preserve">    </w:t>
      </w:r>
      <w:r>
        <w:rPr>
          <w:rFonts w:hint="eastAsia" w:ascii="宋体" w:hAnsi="宋体"/>
          <w:bCs/>
          <w:color w:val="auto"/>
          <w:highlight w:val="none"/>
        </w:rPr>
        <w:t>日</w:t>
      </w:r>
    </w:p>
    <w:p w14:paraId="54607D6A">
      <w:pPr>
        <w:pageBreakBefore w:val="0"/>
        <w:kinsoku/>
        <w:wordWrap/>
        <w:overflowPunct/>
        <w:topLinePunct w:val="0"/>
        <w:autoSpaceDE/>
        <w:autoSpaceDN/>
        <w:bidi w:val="0"/>
        <w:adjustRightInd/>
        <w:spacing w:line="360" w:lineRule="auto"/>
        <w:jc w:val="center"/>
        <w:textAlignment w:val="auto"/>
        <w:rPr>
          <w:rFonts w:ascii="宋体" w:hAnsi="宋体"/>
          <w:b/>
          <w:bCs/>
          <w:color w:val="auto"/>
          <w:highlight w:val="none"/>
        </w:rPr>
      </w:pPr>
    </w:p>
    <w:p w14:paraId="45C0A20A">
      <w:pPr>
        <w:pageBreakBefore w:val="0"/>
        <w:kinsoku/>
        <w:wordWrap/>
        <w:overflowPunct/>
        <w:topLinePunct w:val="0"/>
        <w:autoSpaceDE/>
        <w:autoSpaceDN/>
        <w:bidi w:val="0"/>
        <w:adjustRightInd/>
        <w:spacing w:line="360" w:lineRule="auto"/>
        <w:jc w:val="center"/>
        <w:textAlignment w:val="auto"/>
        <w:rPr>
          <w:rFonts w:ascii="宋体" w:hAnsi="宋体"/>
          <w:b/>
          <w:bCs/>
          <w:color w:val="auto"/>
          <w:highlight w:val="none"/>
        </w:rPr>
      </w:pPr>
    </w:p>
    <w:p w14:paraId="2FDE2DAA">
      <w:pPr>
        <w:pageBreakBefore w:val="0"/>
        <w:kinsoku/>
        <w:wordWrap/>
        <w:overflowPunct/>
        <w:topLinePunct w:val="0"/>
        <w:autoSpaceDE/>
        <w:autoSpaceDN/>
        <w:bidi w:val="0"/>
        <w:adjustRightInd/>
        <w:spacing w:line="360" w:lineRule="auto"/>
        <w:jc w:val="center"/>
        <w:textAlignment w:val="auto"/>
        <w:rPr>
          <w:rFonts w:ascii="宋体" w:hAnsi="宋体"/>
          <w:b/>
          <w:bCs/>
          <w:color w:val="auto"/>
          <w:highlight w:val="none"/>
        </w:rPr>
      </w:pPr>
    </w:p>
    <w:p w14:paraId="56C02523">
      <w:pPr>
        <w:pageBreakBefore w:val="0"/>
        <w:kinsoku/>
        <w:wordWrap/>
        <w:overflowPunct/>
        <w:topLinePunct w:val="0"/>
        <w:autoSpaceDE/>
        <w:autoSpaceDN/>
        <w:bidi w:val="0"/>
        <w:adjustRightInd/>
        <w:spacing w:line="360" w:lineRule="auto"/>
        <w:jc w:val="center"/>
        <w:textAlignment w:val="auto"/>
        <w:rPr>
          <w:rFonts w:ascii="宋体" w:hAnsi="宋体"/>
          <w:b/>
          <w:bCs/>
          <w:color w:val="auto"/>
          <w:highlight w:val="none"/>
        </w:rPr>
      </w:pPr>
    </w:p>
    <w:p w14:paraId="3287FA8D">
      <w:pPr>
        <w:pageBreakBefore w:val="0"/>
        <w:kinsoku/>
        <w:wordWrap/>
        <w:overflowPunct/>
        <w:topLinePunct w:val="0"/>
        <w:autoSpaceDE/>
        <w:autoSpaceDN/>
        <w:bidi w:val="0"/>
        <w:adjustRightInd/>
        <w:spacing w:line="360" w:lineRule="auto"/>
        <w:jc w:val="center"/>
        <w:textAlignment w:val="auto"/>
        <w:rPr>
          <w:rFonts w:ascii="宋体" w:hAnsi="宋体"/>
          <w:b/>
          <w:bCs/>
          <w:color w:val="auto"/>
          <w:highlight w:val="none"/>
        </w:rPr>
      </w:pPr>
    </w:p>
    <w:p w14:paraId="34F86FFC">
      <w:pPr>
        <w:pageBreakBefore w:val="0"/>
        <w:kinsoku/>
        <w:wordWrap/>
        <w:overflowPunct/>
        <w:topLinePunct w:val="0"/>
        <w:autoSpaceDE/>
        <w:autoSpaceDN/>
        <w:bidi w:val="0"/>
        <w:adjustRightInd/>
        <w:spacing w:line="360" w:lineRule="auto"/>
        <w:jc w:val="center"/>
        <w:textAlignment w:val="auto"/>
        <w:rPr>
          <w:rFonts w:ascii="宋体" w:hAnsi="宋体"/>
          <w:b/>
          <w:bCs/>
          <w:color w:val="auto"/>
          <w:highlight w:val="none"/>
        </w:rPr>
      </w:pPr>
    </w:p>
    <w:p w14:paraId="660ECC58">
      <w:pPr>
        <w:pageBreakBefore w:val="0"/>
        <w:kinsoku/>
        <w:wordWrap/>
        <w:overflowPunct/>
        <w:topLinePunct w:val="0"/>
        <w:autoSpaceDE/>
        <w:autoSpaceDN/>
        <w:bidi w:val="0"/>
        <w:adjustRightInd/>
        <w:spacing w:line="360" w:lineRule="auto"/>
        <w:jc w:val="center"/>
        <w:textAlignment w:val="auto"/>
        <w:rPr>
          <w:rFonts w:hint="eastAsia" w:ascii="方正仿宋_GBK" w:eastAsia="宋体"/>
          <w:color w:val="auto"/>
          <w:szCs w:val="32"/>
          <w:highlight w:val="none"/>
          <w:lang w:eastAsia="zh-CN"/>
        </w:rPr>
      </w:pPr>
      <w:r>
        <w:rPr>
          <w:rFonts w:hint="eastAsia" w:ascii="宋体" w:hAnsi="宋体"/>
          <w:b/>
          <w:bCs/>
          <w:color w:val="auto"/>
          <w:highlight w:val="none"/>
        </w:rPr>
        <w:br w:type="page" w:clear="all"/>
      </w:r>
      <w:r>
        <w:rPr>
          <w:rFonts w:hint="eastAsia" w:ascii="宋体" w:hAnsi="宋体"/>
          <w:b/>
          <w:color w:val="auto"/>
          <w:szCs w:val="21"/>
          <w:highlight w:val="none"/>
        </w:rPr>
        <w:t>供应商信用承诺</w:t>
      </w:r>
      <w:r>
        <w:rPr>
          <w:rFonts w:hint="eastAsia" w:ascii="宋体" w:hAnsi="宋体"/>
          <w:b/>
          <w:color w:val="auto"/>
          <w:szCs w:val="21"/>
          <w:highlight w:val="none"/>
          <w:lang w:val="en-US" w:eastAsia="zh-CN"/>
        </w:rPr>
        <w:t>函</w:t>
      </w:r>
    </w:p>
    <w:p w14:paraId="3D452BBF">
      <w:pPr>
        <w:pageBreakBefore w:val="0"/>
        <w:kinsoku/>
        <w:wordWrap/>
        <w:overflowPunct/>
        <w:topLinePunct w:val="0"/>
        <w:autoSpaceDE/>
        <w:autoSpaceDN/>
        <w:bidi w:val="0"/>
        <w:adjustRightInd/>
        <w:spacing w:line="360" w:lineRule="auto"/>
        <w:textAlignment w:val="auto"/>
        <w:rPr>
          <w:rFonts w:ascii="宋体" w:hAnsi="宋体"/>
          <w:color w:val="auto"/>
          <w:szCs w:val="21"/>
          <w:highlight w:val="none"/>
        </w:rPr>
      </w:pPr>
      <w:r>
        <w:rPr>
          <w:rFonts w:hint="eastAsia" w:ascii="宋体" w:hAnsi="宋体"/>
          <w:color w:val="auto"/>
          <w:szCs w:val="21"/>
          <w:highlight w:val="none"/>
        </w:rPr>
        <w:t>承诺主体名称：</w:t>
      </w:r>
    </w:p>
    <w:p w14:paraId="57FE8D09">
      <w:pPr>
        <w:pageBreakBefore w:val="0"/>
        <w:kinsoku/>
        <w:wordWrap/>
        <w:overflowPunct/>
        <w:topLinePunct w:val="0"/>
        <w:autoSpaceDE/>
        <w:autoSpaceDN/>
        <w:bidi w:val="0"/>
        <w:adjustRightInd/>
        <w:spacing w:line="360" w:lineRule="auto"/>
        <w:textAlignment w:val="auto"/>
        <w:rPr>
          <w:rFonts w:ascii="宋体" w:hAnsi="宋体"/>
          <w:color w:val="auto"/>
          <w:szCs w:val="21"/>
          <w:highlight w:val="none"/>
        </w:rPr>
      </w:pPr>
      <w:r>
        <w:rPr>
          <w:rFonts w:hint="eastAsia" w:ascii="宋体" w:hAnsi="宋体"/>
          <w:color w:val="auto"/>
          <w:szCs w:val="21"/>
          <w:highlight w:val="none"/>
        </w:rPr>
        <w:t>统一社会信用代码：</w:t>
      </w:r>
    </w:p>
    <w:p w14:paraId="47ADB36E">
      <w:pPr>
        <w:pageBreakBefore w:val="0"/>
        <w:kinsoku/>
        <w:wordWrap/>
        <w:overflowPunct/>
        <w:topLinePunct w:val="0"/>
        <w:autoSpaceDE/>
        <w:autoSpaceDN/>
        <w:bidi w:val="0"/>
        <w:adjustRightInd/>
        <w:spacing w:line="360" w:lineRule="auto"/>
        <w:ind w:firstLine="420"/>
        <w:textAlignment w:val="auto"/>
        <w:rPr>
          <w:rFonts w:ascii="宋体" w:hAnsi="宋体"/>
          <w:color w:val="auto"/>
          <w:szCs w:val="21"/>
          <w:highlight w:val="none"/>
        </w:rPr>
      </w:pPr>
      <w:r>
        <w:rPr>
          <w:rFonts w:hint="eastAsia" w:ascii="宋体" w:hAnsi="宋体"/>
          <w:color w:val="auto"/>
          <w:szCs w:val="21"/>
          <w:highlight w:val="none"/>
        </w:rPr>
        <w:t>为维护公平竞争、规范有序的市场秩序，营造诚实守信的信用环境，共同推进社会信用体系建设完善，树立企业诚信守法形象，本企业对________________________项目政府采购活动郑重承诺如下:</w:t>
      </w:r>
    </w:p>
    <w:p w14:paraId="6B9D3F84">
      <w:pPr>
        <w:pageBreakBefore w:val="0"/>
        <w:kinsoku/>
        <w:wordWrap/>
        <w:overflowPunct/>
        <w:topLinePunct w:val="0"/>
        <w:autoSpaceDE/>
        <w:autoSpaceDN/>
        <w:bidi w:val="0"/>
        <w:adjustRightInd/>
        <w:spacing w:line="360" w:lineRule="auto"/>
        <w:ind w:firstLine="420"/>
        <w:textAlignment w:val="auto"/>
        <w:rPr>
          <w:rFonts w:ascii="宋体" w:hAnsi="宋体"/>
          <w:color w:val="auto"/>
          <w:szCs w:val="21"/>
          <w:highlight w:val="none"/>
        </w:rPr>
      </w:pPr>
      <w:r>
        <w:rPr>
          <w:rFonts w:hint="eastAsia" w:ascii="宋体" w:hAnsi="宋体"/>
          <w:color w:val="auto"/>
          <w:szCs w:val="21"/>
          <w:highlight w:val="none"/>
        </w:rPr>
        <w:t>一、对提供给注册登记部门、行业管理部门、司法部门、行业组织以及在政府采购活动中提交的所有资料的合法性、真实性、准确性和有效性负责；</w:t>
      </w:r>
    </w:p>
    <w:p w14:paraId="3604D5F9">
      <w:pPr>
        <w:pageBreakBefore w:val="0"/>
        <w:kinsoku/>
        <w:wordWrap/>
        <w:overflowPunct/>
        <w:topLinePunct w:val="0"/>
        <w:autoSpaceDE/>
        <w:autoSpaceDN/>
        <w:bidi w:val="0"/>
        <w:adjustRightInd/>
        <w:spacing w:line="360" w:lineRule="auto"/>
        <w:ind w:firstLine="420"/>
        <w:textAlignment w:val="auto"/>
        <w:rPr>
          <w:rFonts w:ascii="宋体" w:hAnsi="宋体"/>
          <w:color w:val="auto"/>
          <w:szCs w:val="21"/>
          <w:highlight w:val="none"/>
        </w:rPr>
      </w:pPr>
      <w:r>
        <w:rPr>
          <w:rFonts w:hint="eastAsia" w:ascii="宋体" w:hAnsi="宋体"/>
          <w:color w:val="auto"/>
          <w:szCs w:val="21"/>
          <w:highlight w:val="none"/>
        </w:rPr>
        <w:t>二、严格按照国家法律、法规和规章开展采购活动，全面履行应尽的责任和义务，全面做到履约守信，具备《中华人民共和国政府采购法》第二十二条第一款规定的条件;</w:t>
      </w:r>
    </w:p>
    <w:p w14:paraId="456A21EB">
      <w:pPr>
        <w:pageBreakBefore w:val="0"/>
        <w:kinsoku/>
        <w:wordWrap/>
        <w:overflowPunct/>
        <w:topLinePunct w:val="0"/>
        <w:autoSpaceDE/>
        <w:autoSpaceDN/>
        <w:bidi w:val="0"/>
        <w:adjustRightInd/>
        <w:spacing w:line="360" w:lineRule="auto"/>
        <w:ind w:firstLine="420"/>
        <w:textAlignment w:val="auto"/>
        <w:rPr>
          <w:rFonts w:ascii="宋体" w:hAnsi="宋体"/>
          <w:color w:val="auto"/>
          <w:szCs w:val="21"/>
          <w:highlight w:val="none"/>
        </w:rPr>
      </w:pPr>
      <w:r>
        <w:rPr>
          <w:rFonts w:hint="eastAsia" w:ascii="宋体" w:hAnsi="宋体"/>
          <w:color w:val="auto"/>
          <w:szCs w:val="21"/>
          <w:highlight w:val="none"/>
        </w:rPr>
        <w:t>三、严格依法开展生产经营活动，主动接受行业监管，自愿接受依法开展的日常检查；违法失信经营后将自愿接受约束和惩戒，并依法承担相应责任；</w:t>
      </w:r>
    </w:p>
    <w:p w14:paraId="7FE6922B">
      <w:pPr>
        <w:pageBreakBefore w:val="0"/>
        <w:kinsoku/>
        <w:wordWrap/>
        <w:overflowPunct/>
        <w:topLinePunct w:val="0"/>
        <w:autoSpaceDE/>
        <w:autoSpaceDN/>
        <w:bidi w:val="0"/>
        <w:adjustRightInd/>
        <w:spacing w:line="360" w:lineRule="auto"/>
        <w:ind w:firstLine="420"/>
        <w:textAlignment w:val="auto"/>
        <w:rPr>
          <w:rFonts w:ascii="宋体" w:hAnsi="宋体"/>
          <w:color w:val="auto"/>
          <w:szCs w:val="21"/>
          <w:highlight w:val="none"/>
        </w:rPr>
      </w:pPr>
      <w:r>
        <w:rPr>
          <w:rFonts w:hint="eastAsia" w:ascii="宋体" w:hAnsi="宋体"/>
          <w:color w:val="auto"/>
          <w:szCs w:val="21"/>
          <w:highlight w:val="none"/>
        </w:rPr>
        <w:t>四、自觉接受行政管理部门、行业组织、社会公众、新闻舆论的监督；</w:t>
      </w:r>
    </w:p>
    <w:p w14:paraId="167CB377">
      <w:pPr>
        <w:pageBreakBefore w:val="0"/>
        <w:kinsoku/>
        <w:wordWrap/>
        <w:overflowPunct/>
        <w:topLinePunct w:val="0"/>
        <w:autoSpaceDE/>
        <w:autoSpaceDN/>
        <w:bidi w:val="0"/>
        <w:adjustRightInd/>
        <w:spacing w:line="360" w:lineRule="auto"/>
        <w:ind w:firstLine="420"/>
        <w:textAlignment w:val="auto"/>
        <w:rPr>
          <w:rFonts w:ascii="宋体" w:hAnsi="宋体"/>
          <w:color w:val="auto"/>
          <w:szCs w:val="21"/>
          <w:highlight w:val="none"/>
        </w:rPr>
      </w:pPr>
      <w:r>
        <w:rPr>
          <w:rFonts w:hint="eastAsia" w:ascii="宋体" w:hAnsi="宋体"/>
          <w:color w:val="auto"/>
          <w:szCs w:val="21"/>
          <w:highlight w:val="none"/>
        </w:rPr>
        <w:t>五、自觉做到自我约束、自我管理，不制假售假、商标侵权、虚假宣传、违约毁约、恶意逃债、偷税漏税、垄断和不正当竞争，维护经营者、消费者的合法权益；</w:t>
      </w:r>
    </w:p>
    <w:p w14:paraId="2B83E916">
      <w:pPr>
        <w:pageBreakBefore w:val="0"/>
        <w:kinsoku/>
        <w:wordWrap/>
        <w:overflowPunct/>
        <w:topLinePunct w:val="0"/>
        <w:autoSpaceDE/>
        <w:autoSpaceDN/>
        <w:bidi w:val="0"/>
        <w:adjustRightInd/>
        <w:spacing w:line="360" w:lineRule="auto"/>
        <w:ind w:firstLine="420"/>
        <w:textAlignment w:val="auto"/>
        <w:rPr>
          <w:rFonts w:ascii="宋体" w:hAnsi="宋体"/>
          <w:color w:val="auto"/>
          <w:szCs w:val="21"/>
          <w:highlight w:val="none"/>
        </w:rPr>
      </w:pPr>
      <w:r>
        <w:rPr>
          <w:rFonts w:hint="eastAsia" w:ascii="宋体" w:hAnsi="宋体"/>
          <w:color w:val="auto"/>
          <w:szCs w:val="21"/>
          <w:highlight w:val="none"/>
        </w:rPr>
        <w:t>六、提出政府采购质疑和投诉坚持依法依规、诚实信用原则，在全国范围12个月内没有三次以上查无实据的政府采购投诉；</w:t>
      </w:r>
    </w:p>
    <w:p w14:paraId="4AD5D368">
      <w:pPr>
        <w:pageBreakBefore w:val="0"/>
        <w:kinsoku/>
        <w:wordWrap/>
        <w:overflowPunct/>
        <w:topLinePunct w:val="0"/>
        <w:autoSpaceDE/>
        <w:autoSpaceDN/>
        <w:bidi w:val="0"/>
        <w:adjustRightInd/>
        <w:spacing w:line="360" w:lineRule="auto"/>
        <w:ind w:firstLine="420"/>
        <w:textAlignment w:val="auto"/>
        <w:rPr>
          <w:rFonts w:ascii="宋体" w:hAnsi="宋体"/>
          <w:color w:val="auto"/>
          <w:szCs w:val="21"/>
          <w:highlight w:val="none"/>
        </w:rPr>
      </w:pPr>
      <w:r>
        <w:rPr>
          <w:rFonts w:hint="eastAsia" w:ascii="宋体" w:hAnsi="宋体"/>
          <w:color w:val="auto"/>
          <w:szCs w:val="21"/>
          <w:highlight w:val="none"/>
        </w:rPr>
        <w:t>七、严格遵守信用信息公示相关规定，向社会公示信用信息；</w:t>
      </w:r>
    </w:p>
    <w:p w14:paraId="2CF7E5D8">
      <w:pPr>
        <w:pageBreakBefore w:val="0"/>
        <w:kinsoku/>
        <w:wordWrap/>
        <w:overflowPunct/>
        <w:topLinePunct w:val="0"/>
        <w:autoSpaceDE/>
        <w:autoSpaceDN/>
        <w:bidi w:val="0"/>
        <w:adjustRightInd/>
        <w:spacing w:line="360" w:lineRule="auto"/>
        <w:ind w:firstLine="420"/>
        <w:textAlignment w:val="auto"/>
        <w:rPr>
          <w:rFonts w:ascii="宋体" w:hAnsi="宋体"/>
          <w:color w:val="auto"/>
          <w:szCs w:val="21"/>
          <w:highlight w:val="none"/>
        </w:rPr>
      </w:pPr>
      <w:r>
        <w:rPr>
          <w:rFonts w:hint="eastAsia" w:ascii="宋体" w:hAnsi="宋体"/>
          <w:color w:val="auto"/>
          <w:szCs w:val="21"/>
          <w:highlight w:val="none"/>
        </w:rPr>
        <w:t>八、在“信用中国”和“中国政府采购网”网站中无违法违规、较重或严重失信记录；</w:t>
      </w:r>
    </w:p>
    <w:p w14:paraId="519BF4FD">
      <w:pPr>
        <w:pageBreakBefore w:val="0"/>
        <w:kinsoku/>
        <w:wordWrap/>
        <w:overflowPunct/>
        <w:topLinePunct w:val="0"/>
        <w:autoSpaceDE/>
        <w:autoSpaceDN/>
        <w:bidi w:val="0"/>
        <w:adjustRightInd/>
        <w:spacing w:line="360" w:lineRule="auto"/>
        <w:ind w:firstLine="420"/>
        <w:textAlignment w:val="auto"/>
        <w:rPr>
          <w:rFonts w:ascii="宋体" w:hAnsi="宋体"/>
          <w:color w:val="auto"/>
          <w:szCs w:val="21"/>
          <w:highlight w:val="none"/>
        </w:rPr>
      </w:pPr>
      <w:r>
        <w:rPr>
          <w:rFonts w:hint="eastAsia" w:ascii="宋体" w:hAnsi="宋体"/>
          <w:color w:val="auto"/>
          <w:szCs w:val="21"/>
          <w:highlight w:val="none"/>
        </w:rPr>
        <w:t>九、如违反承诺，自愿接受管理部门依法给予的行政处罚，同意将违反承诺的行为作为不良记录记入信用档案，依法依规进行信息公示，并承担所产生的一切法律责任和经济损失。</w:t>
      </w:r>
    </w:p>
    <w:p w14:paraId="5BD92764">
      <w:pPr>
        <w:pageBreakBefore w:val="0"/>
        <w:kinsoku/>
        <w:wordWrap/>
        <w:overflowPunct/>
        <w:topLinePunct w:val="0"/>
        <w:autoSpaceDE/>
        <w:autoSpaceDN/>
        <w:bidi w:val="0"/>
        <w:adjustRightInd/>
        <w:spacing w:line="360" w:lineRule="auto"/>
        <w:ind w:firstLine="420"/>
        <w:textAlignment w:val="auto"/>
        <w:rPr>
          <w:rFonts w:ascii="宋体" w:hAnsi="宋体"/>
          <w:color w:val="auto"/>
          <w:szCs w:val="21"/>
          <w:highlight w:val="none"/>
        </w:rPr>
      </w:pPr>
      <w:r>
        <w:rPr>
          <w:rFonts w:hint="eastAsia" w:ascii="宋体" w:hAnsi="宋体"/>
          <w:color w:val="auto"/>
          <w:szCs w:val="21"/>
          <w:highlight w:val="none"/>
        </w:rPr>
        <w:t>十、本承诺书自签订之日起生效。</w:t>
      </w:r>
    </w:p>
    <w:p w14:paraId="498A8FF7">
      <w:pPr>
        <w:pageBreakBefore w:val="0"/>
        <w:kinsoku/>
        <w:wordWrap/>
        <w:overflowPunct/>
        <w:topLinePunct w:val="0"/>
        <w:autoSpaceDE/>
        <w:autoSpaceDN/>
        <w:bidi w:val="0"/>
        <w:adjustRightInd/>
        <w:spacing w:line="360" w:lineRule="auto"/>
        <w:ind w:firstLine="420"/>
        <w:textAlignment w:val="auto"/>
        <w:rPr>
          <w:rFonts w:hint="eastAsia" w:ascii="宋体" w:hAnsi="宋体"/>
          <w:color w:val="auto"/>
          <w:szCs w:val="21"/>
          <w:highlight w:val="none"/>
        </w:rPr>
      </w:pPr>
      <w:r>
        <w:rPr>
          <w:rFonts w:hint="eastAsia" w:ascii="宋体" w:hAnsi="宋体"/>
          <w:color w:val="auto"/>
          <w:szCs w:val="21"/>
          <w:highlight w:val="none"/>
        </w:rPr>
        <w:t> （注：法定代表人或负责人、主体名称发生变更的应当重新做出承诺。）</w:t>
      </w:r>
    </w:p>
    <w:p w14:paraId="4520DF75">
      <w:pPr>
        <w:pageBreakBefore w:val="0"/>
        <w:kinsoku/>
        <w:wordWrap/>
        <w:overflowPunct/>
        <w:topLinePunct w:val="0"/>
        <w:autoSpaceDE/>
        <w:autoSpaceDN/>
        <w:bidi w:val="0"/>
        <w:adjustRightInd/>
        <w:spacing w:line="360" w:lineRule="auto"/>
        <w:ind w:firstLine="420"/>
        <w:textAlignment w:val="auto"/>
        <w:rPr>
          <w:rFonts w:ascii="宋体" w:hAnsi="宋体"/>
          <w:color w:val="auto"/>
          <w:szCs w:val="21"/>
          <w:highlight w:val="none"/>
        </w:rPr>
      </w:pPr>
      <w:r>
        <w:rPr>
          <w:rFonts w:hint="eastAsia" w:ascii="宋体" w:hAnsi="宋体"/>
          <w:color w:val="auto"/>
          <w:szCs w:val="21"/>
          <w:highlight w:val="none"/>
        </w:rPr>
        <w:t>承诺单位（签章）：            法定代表人（负责人）：</w:t>
      </w:r>
    </w:p>
    <w:p w14:paraId="5F4C7034">
      <w:pPr>
        <w:pageBreakBefore w:val="0"/>
        <w:kinsoku/>
        <w:wordWrap/>
        <w:overflowPunct/>
        <w:topLinePunct w:val="0"/>
        <w:autoSpaceDE/>
        <w:autoSpaceDN/>
        <w:bidi w:val="0"/>
        <w:adjustRightInd/>
        <w:spacing w:line="360" w:lineRule="auto"/>
        <w:jc w:val="center"/>
        <w:textAlignment w:val="auto"/>
        <w:rPr>
          <w:rFonts w:ascii="宋体" w:hAnsi="宋体"/>
          <w:b/>
          <w:bCs/>
          <w:color w:val="auto"/>
          <w:highlight w:val="none"/>
        </w:rPr>
      </w:pPr>
      <w:r>
        <w:rPr>
          <w:rFonts w:hint="eastAsia" w:ascii="宋体" w:hAnsi="宋体"/>
          <w:color w:val="auto"/>
          <w:szCs w:val="21"/>
          <w:highlight w:val="none"/>
        </w:rPr>
        <w:t>　　　　　　　　　      　年    月    日</w:t>
      </w:r>
    </w:p>
    <w:p w14:paraId="4091B775">
      <w:pPr>
        <w:pageBreakBefore w:val="0"/>
        <w:kinsoku/>
        <w:wordWrap/>
        <w:overflowPunct/>
        <w:topLinePunct w:val="0"/>
        <w:autoSpaceDE/>
        <w:autoSpaceDN/>
        <w:bidi w:val="0"/>
        <w:adjustRightInd/>
        <w:spacing w:line="360" w:lineRule="auto"/>
        <w:textAlignment w:val="auto"/>
        <w:rPr>
          <w:rFonts w:hint="eastAsia" w:ascii="宋体" w:hAnsi="宋体"/>
          <w:b/>
          <w:bCs/>
          <w:color w:val="auto"/>
          <w:sz w:val="28"/>
          <w:szCs w:val="28"/>
          <w:highlight w:val="none"/>
        </w:rPr>
      </w:pPr>
      <w:r>
        <w:rPr>
          <w:rFonts w:hint="eastAsia" w:ascii="宋体" w:hAnsi="宋体"/>
          <w:b/>
          <w:bCs/>
          <w:color w:val="auto"/>
          <w:sz w:val="28"/>
          <w:szCs w:val="28"/>
          <w:highlight w:val="none"/>
        </w:rPr>
        <w:br w:type="page"/>
      </w:r>
    </w:p>
    <w:p w14:paraId="30822CF2">
      <w:pPr>
        <w:pageBreakBefore w:val="0"/>
        <w:kinsoku/>
        <w:wordWrap/>
        <w:overflowPunct/>
        <w:topLinePunct w:val="0"/>
        <w:autoSpaceDE/>
        <w:autoSpaceDN/>
        <w:bidi w:val="0"/>
        <w:adjustRightInd/>
        <w:spacing w:line="360" w:lineRule="auto"/>
        <w:jc w:val="center"/>
        <w:textAlignment w:val="auto"/>
        <w:rPr>
          <w:rFonts w:ascii="宋体" w:hAnsi="宋体"/>
          <w:b/>
          <w:bCs/>
          <w:color w:val="auto"/>
          <w:sz w:val="28"/>
          <w:szCs w:val="28"/>
          <w:highlight w:val="none"/>
        </w:rPr>
      </w:pPr>
      <w:r>
        <w:rPr>
          <w:rFonts w:hint="eastAsia" w:ascii="宋体" w:hAnsi="宋体"/>
          <w:b/>
          <w:bCs/>
          <w:color w:val="auto"/>
          <w:sz w:val="28"/>
          <w:szCs w:val="28"/>
          <w:highlight w:val="none"/>
        </w:rPr>
        <w:t>投标函格式</w:t>
      </w:r>
    </w:p>
    <w:p w14:paraId="16BC2701">
      <w:pPr>
        <w:pStyle w:val="226"/>
        <w:pageBreakBefore w:val="0"/>
        <w:kinsoku/>
        <w:wordWrap/>
        <w:overflowPunct/>
        <w:topLinePunct w:val="0"/>
        <w:autoSpaceDE/>
        <w:autoSpaceDN/>
        <w:bidi w:val="0"/>
        <w:adjustRightInd/>
        <w:spacing w:before="0" w:after="0" w:line="360" w:lineRule="auto"/>
        <w:ind w:firstLine="0"/>
        <w:textAlignment w:val="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致：</w:t>
      </w:r>
      <w:r>
        <w:rPr>
          <w:rFonts w:hint="eastAsia" w:hAnsi="宋体"/>
          <w:color w:val="auto"/>
          <w:sz w:val="21"/>
          <w:highlight w:val="none"/>
          <w:lang w:eastAsia="zh-CN"/>
        </w:rPr>
        <w:t>江苏嘉加诚工程投资咨询有限公司</w:t>
      </w:r>
    </w:p>
    <w:p w14:paraId="2C901E92">
      <w:pPr>
        <w:pStyle w:val="226"/>
        <w:pageBreakBefore w:val="0"/>
        <w:kinsoku/>
        <w:wordWrap/>
        <w:overflowPunct/>
        <w:topLinePunct w:val="0"/>
        <w:autoSpaceDE/>
        <w:autoSpaceDN/>
        <w:bidi w:val="0"/>
        <w:adjustRightInd/>
        <w:spacing w:before="0" w:after="0" w:line="360"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根据贵方的（）号招标文件，正式授权下述签字人_________________(姓名)代表我方______________（投标人的名称），全权处理本次项目投标的有关事宜。</w:t>
      </w:r>
    </w:p>
    <w:p w14:paraId="684BEDBC">
      <w:pPr>
        <w:pStyle w:val="226"/>
        <w:pageBreakBefore w:val="0"/>
        <w:kinsoku/>
        <w:wordWrap/>
        <w:overflowPunct/>
        <w:topLinePunct w:val="0"/>
        <w:autoSpaceDE/>
        <w:autoSpaceDN/>
        <w:bidi w:val="0"/>
        <w:adjustRightInd/>
        <w:spacing w:before="0" w:after="0" w:line="360"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据此函，__________签字人（姓名）兹宣布同意如下：</w:t>
      </w:r>
    </w:p>
    <w:p w14:paraId="7EA4CDBF">
      <w:pPr>
        <w:pStyle w:val="226"/>
        <w:pageBreakBefore w:val="0"/>
        <w:kinsoku/>
        <w:wordWrap/>
        <w:overflowPunct/>
        <w:topLinePunct w:val="0"/>
        <w:autoSpaceDE/>
        <w:autoSpaceDN/>
        <w:bidi w:val="0"/>
        <w:adjustRightInd/>
        <w:spacing w:before="0" w:after="0" w:line="360"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1.按招标文件规定的各项要求，向买方提供所需货物与服务。</w:t>
      </w:r>
    </w:p>
    <w:p w14:paraId="2CFA6F58">
      <w:pPr>
        <w:pStyle w:val="226"/>
        <w:pageBreakBefore w:val="0"/>
        <w:kinsoku/>
        <w:wordWrap/>
        <w:overflowPunct/>
        <w:topLinePunct w:val="0"/>
        <w:autoSpaceDE/>
        <w:autoSpaceDN/>
        <w:bidi w:val="0"/>
        <w:adjustRightInd/>
        <w:spacing w:before="0" w:after="0" w:line="360"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2.我们完全理解贵方不一定将合同授予最低报价的投标人。</w:t>
      </w:r>
    </w:p>
    <w:p w14:paraId="40E1885C">
      <w:pPr>
        <w:pStyle w:val="226"/>
        <w:pageBreakBefore w:val="0"/>
        <w:kinsoku/>
        <w:wordWrap/>
        <w:overflowPunct/>
        <w:topLinePunct w:val="0"/>
        <w:autoSpaceDE/>
        <w:autoSpaceDN/>
        <w:bidi w:val="0"/>
        <w:adjustRightInd/>
        <w:spacing w:before="0" w:after="0" w:line="360"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3.我们已详细审核全部招标文件及其有效补充文件，我们知道必须放弃提出含糊不清或误解问题的权利。</w:t>
      </w:r>
    </w:p>
    <w:p w14:paraId="55346B8B">
      <w:pPr>
        <w:pStyle w:val="226"/>
        <w:pageBreakBefore w:val="0"/>
        <w:kinsoku/>
        <w:wordWrap/>
        <w:overflowPunct/>
        <w:topLinePunct w:val="0"/>
        <w:autoSpaceDE/>
        <w:autoSpaceDN/>
        <w:bidi w:val="0"/>
        <w:adjustRightInd/>
        <w:spacing w:before="0" w:after="0" w:line="360" w:lineRule="auto"/>
        <w:textAlignment w:val="auto"/>
        <w:rPr>
          <w:rFonts w:ascii="宋体" w:hAnsi="宋体"/>
          <w:color w:val="auto"/>
          <w:sz w:val="21"/>
          <w:szCs w:val="21"/>
          <w:highlight w:val="none"/>
        </w:rPr>
      </w:pPr>
      <w:r>
        <w:rPr>
          <w:rFonts w:hint="eastAsia" w:ascii="宋体" w:hAnsi="宋体"/>
          <w:color w:val="auto"/>
          <w:sz w:val="21"/>
          <w:szCs w:val="21"/>
          <w:highlight w:val="none"/>
        </w:rPr>
        <w:t>4.我们同意从规定的开标日期起遵循本投标文件，并在规定的投标有效期期满之前均具有约束力。</w:t>
      </w:r>
    </w:p>
    <w:p w14:paraId="33722463">
      <w:pPr>
        <w:pStyle w:val="226"/>
        <w:pageBreakBefore w:val="0"/>
        <w:kinsoku/>
        <w:wordWrap/>
        <w:overflowPunct/>
        <w:topLinePunct w:val="0"/>
        <w:autoSpaceDE/>
        <w:autoSpaceDN/>
        <w:bidi w:val="0"/>
        <w:adjustRightInd/>
        <w:spacing w:before="0" w:after="0" w:line="360" w:lineRule="auto"/>
        <w:textAlignment w:val="auto"/>
        <w:rPr>
          <w:rFonts w:ascii="宋体" w:hAnsi="宋体"/>
          <w:color w:val="auto"/>
          <w:sz w:val="21"/>
          <w:szCs w:val="21"/>
          <w:highlight w:val="none"/>
        </w:rPr>
      </w:pPr>
      <w:r>
        <w:rPr>
          <w:rFonts w:hint="eastAsia" w:ascii="宋体" w:hAnsi="宋体"/>
          <w:color w:val="auto"/>
          <w:sz w:val="21"/>
          <w:szCs w:val="21"/>
          <w:highlight w:val="none"/>
        </w:rPr>
        <w:t>5.同意向贵方提供贵方可能另外要求的与投标有关的任何证据或资料，并保证我方已提供和将要提供的文件是真实的、准确的。</w:t>
      </w:r>
    </w:p>
    <w:p w14:paraId="2DA606BC">
      <w:pPr>
        <w:pStyle w:val="226"/>
        <w:pageBreakBefore w:val="0"/>
        <w:kinsoku/>
        <w:wordWrap/>
        <w:overflowPunct/>
        <w:topLinePunct w:val="0"/>
        <w:autoSpaceDE/>
        <w:autoSpaceDN/>
        <w:bidi w:val="0"/>
        <w:adjustRightInd/>
        <w:spacing w:before="0" w:after="0" w:line="360" w:lineRule="auto"/>
        <w:textAlignment w:val="auto"/>
        <w:rPr>
          <w:rFonts w:ascii="宋体" w:hAnsi="宋体"/>
          <w:color w:val="auto"/>
          <w:sz w:val="21"/>
          <w:szCs w:val="21"/>
          <w:highlight w:val="none"/>
        </w:rPr>
      </w:pPr>
      <w:r>
        <w:rPr>
          <w:rFonts w:hint="eastAsia" w:ascii="宋体" w:hAnsi="宋体"/>
          <w:color w:val="auto"/>
          <w:sz w:val="21"/>
          <w:szCs w:val="21"/>
          <w:highlight w:val="none"/>
        </w:rPr>
        <w:t>6.一旦我方中标,我方将根据招标文件的规定，严格履行合同的责任和义务,并保证在招标文件规定的时间完成项目，交付买方验收、使用。</w:t>
      </w:r>
    </w:p>
    <w:p w14:paraId="2D319F54">
      <w:pPr>
        <w:pStyle w:val="226"/>
        <w:pageBreakBefore w:val="0"/>
        <w:kinsoku/>
        <w:wordWrap/>
        <w:overflowPunct/>
        <w:topLinePunct w:val="0"/>
        <w:autoSpaceDE/>
        <w:autoSpaceDN/>
        <w:bidi w:val="0"/>
        <w:adjustRightInd/>
        <w:spacing w:before="0" w:after="0" w:line="360" w:lineRule="auto"/>
        <w:ind w:left="425" w:firstLine="105"/>
        <w:textAlignment w:val="auto"/>
        <w:rPr>
          <w:rFonts w:ascii="宋体" w:hAnsi="宋体"/>
          <w:color w:val="auto"/>
          <w:sz w:val="21"/>
          <w:szCs w:val="21"/>
          <w:highlight w:val="none"/>
        </w:rPr>
      </w:pPr>
      <w:r>
        <w:rPr>
          <w:rFonts w:hint="eastAsia" w:ascii="宋体" w:hAnsi="宋体"/>
          <w:color w:val="auto"/>
          <w:sz w:val="21"/>
          <w:szCs w:val="21"/>
          <w:highlight w:val="none"/>
        </w:rPr>
        <w:t>7.与本投标有关的正式通讯地址为：</w:t>
      </w:r>
    </w:p>
    <w:p w14:paraId="6BF33FDC">
      <w:pPr>
        <w:pStyle w:val="226"/>
        <w:pageBreakBefore w:val="0"/>
        <w:kinsoku/>
        <w:wordWrap/>
        <w:overflowPunct/>
        <w:topLinePunct w:val="0"/>
        <w:autoSpaceDE/>
        <w:autoSpaceDN/>
        <w:bidi w:val="0"/>
        <w:adjustRightInd/>
        <w:spacing w:before="0" w:after="0" w:line="360" w:lineRule="auto"/>
        <w:ind w:firstLine="478"/>
        <w:textAlignment w:val="auto"/>
        <w:rPr>
          <w:rFonts w:ascii="宋体" w:hAnsi="宋体"/>
          <w:color w:val="auto"/>
          <w:sz w:val="21"/>
          <w:szCs w:val="21"/>
          <w:highlight w:val="none"/>
        </w:rPr>
      </w:pPr>
      <w:r>
        <w:rPr>
          <w:rFonts w:hint="eastAsia" w:ascii="宋体" w:hAnsi="宋体"/>
          <w:color w:val="auto"/>
          <w:sz w:val="21"/>
          <w:szCs w:val="21"/>
          <w:highlight w:val="none"/>
        </w:rPr>
        <w:t>地 址：</w:t>
      </w:r>
    </w:p>
    <w:p w14:paraId="084CFB32">
      <w:pPr>
        <w:pStyle w:val="226"/>
        <w:pageBreakBefore w:val="0"/>
        <w:kinsoku/>
        <w:wordWrap/>
        <w:overflowPunct/>
        <w:topLinePunct w:val="0"/>
        <w:autoSpaceDE/>
        <w:autoSpaceDN/>
        <w:bidi w:val="0"/>
        <w:adjustRightInd/>
        <w:spacing w:before="0" w:after="0" w:line="360" w:lineRule="auto"/>
        <w:ind w:firstLine="478"/>
        <w:textAlignment w:val="auto"/>
        <w:rPr>
          <w:rFonts w:ascii="宋体" w:hAnsi="宋体"/>
          <w:color w:val="auto"/>
          <w:sz w:val="21"/>
          <w:szCs w:val="21"/>
          <w:highlight w:val="none"/>
        </w:rPr>
      </w:pPr>
      <w:r>
        <w:rPr>
          <w:rFonts w:hint="eastAsia" w:ascii="宋体" w:hAnsi="宋体"/>
          <w:color w:val="auto"/>
          <w:sz w:val="21"/>
          <w:szCs w:val="21"/>
          <w:highlight w:val="none"/>
        </w:rPr>
        <w:t>邮 编：</w:t>
      </w:r>
    </w:p>
    <w:p w14:paraId="6593CD52">
      <w:pPr>
        <w:pStyle w:val="226"/>
        <w:pageBreakBefore w:val="0"/>
        <w:kinsoku/>
        <w:wordWrap/>
        <w:overflowPunct/>
        <w:topLinePunct w:val="0"/>
        <w:autoSpaceDE/>
        <w:autoSpaceDN/>
        <w:bidi w:val="0"/>
        <w:adjustRightInd/>
        <w:spacing w:before="0" w:after="0" w:line="360" w:lineRule="auto"/>
        <w:ind w:firstLine="478"/>
        <w:textAlignment w:val="auto"/>
        <w:rPr>
          <w:rFonts w:ascii="宋体" w:hAnsi="宋体"/>
          <w:color w:val="auto"/>
          <w:sz w:val="21"/>
          <w:szCs w:val="21"/>
          <w:highlight w:val="none"/>
        </w:rPr>
      </w:pPr>
      <w:r>
        <w:rPr>
          <w:rFonts w:hint="eastAsia" w:ascii="宋体" w:hAnsi="宋体"/>
          <w:color w:val="auto"/>
          <w:sz w:val="21"/>
          <w:szCs w:val="21"/>
          <w:highlight w:val="none"/>
        </w:rPr>
        <w:t xml:space="preserve">电 话： </w:t>
      </w:r>
    </w:p>
    <w:p w14:paraId="3445218D">
      <w:pPr>
        <w:pStyle w:val="226"/>
        <w:pageBreakBefore w:val="0"/>
        <w:kinsoku/>
        <w:wordWrap/>
        <w:overflowPunct/>
        <w:topLinePunct w:val="0"/>
        <w:autoSpaceDE/>
        <w:autoSpaceDN/>
        <w:bidi w:val="0"/>
        <w:adjustRightInd/>
        <w:spacing w:before="0" w:after="0" w:line="360" w:lineRule="auto"/>
        <w:ind w:firstLine="478"/>
        <w:textAlignment w:val="auto"/>
        <w:rPr>
          <w:rFonts w:ascii="宋体" w:hAnsi="宋体"/>
          <w:color w:val="auto"/>
          <w:sz w:val="21"/>
          <w:szCs w:val="21"/>
          <w:highlight w:val="none"/>
        </w:rPr>
      </w:pPr>
      <w:r>
        <w:rPr>
          <w:rFonts w:hint="eastAsia" w:ascii="宋体" w:hAnsi="宋体"/>
          <w:color w:val="auto"/>
          <w:sz w:val="21"/>
          <w:szCs w:val="21"/>
          <w:highlight w:val="none"/>
        </w:rPr>
        <w:t xml:space="preserve">传 真： </w:t>
      </w:r>
    </w:p>
    <w:p w14:paraId="3B7C65A6">
      <w:pPr>
        <w:pStyle w:val="226"/>
        <w:pageBreakBefore w:val="0"/>
        <w:kinsoku/>
        <w:wordWrap/>
        <w:overflowPunct/>
        <w:topLinePunct w:val="0"/>
        <w:autoSpaceDE/>
        <w:autoSpaceDN/>
        <w:bidi w:val="0"/>
        <w:adjustRightInd/>
        <w:spacing w:before="0" w:after="0" w:line="360" w:lineRule="auto"/>
        <w:ind w:firstLine="478"/>
        <w:textAlignment w:val="auto"/>
        <w:rPr>
          <w:rFonts w:ascii="宋体" w:hAnsi="宋体"/>
          <w:color w:val="auto"/>
          <w:sz w:val="21"/>
          <w:szCs w:val="21"/>
          <w:highlight w:val="none"/>
        </w:rPr>
      </w:pPr>
      <w:r>
        <w:rPr>
          <w:rFonts w:hint="eastAsia" w:ascii="宋体" w:hAnsi="宋体"/>
          <w:color w:val="auto"/>
          <w:sz w:val="21"/>
          <w:szCs w:val="21"/>
          <w:highlight w:val="none"/>
        </w:rPr>
        <w:t>投标人开户行：</w:t>
      </w:r>
    </w:p>
    <w:p w14:paraId="02F631D3">
      <w:pPr>
        <w:pStyle w:val="226"/>
        <w:pageBreakBefore w:val="0"/>
        <w:kinsoku/>
        <w:wordWrap/>
        <w:overflowPunct/>
        <w:topLinePunct w:val="0"/>
        <w:autoSpaceDE/>
        <w:autoSpaceDN/>
        <w:bidi w:val="0"/>
        <w:adjustRightInd/>
        <w:spacing w:before="0" w:after="0" w:line="360" w:lineRule="auto"/>
        <w:ind w:firstLine="478"/>
        <w:textAlignment w:val="auto"/>
        <w:rPr>
          <w:rFonts w:ascii="宋体" w:hAnsi="宋体"/>
          <w:color w:val="auto"/>
          <w:sz w:val="21"/>
          <w:szCs w:val="21"/>
          <w:highlight w:val="none"/>
        </w:rPr>
      </w:pPr>
      <w:r>
        <w:rPr>
          <w:rFonts w:hint="eastAsia" w:ascii="宋体" w:hAnsi="宋体"/>
          <w:color w:val="auto"/>
          <w:sz w:val="21"/>
          <w:szCs w:val="21"/>
          <w:highlight w:val="none"/>
        </w:rPr>
        <w:t xml:space="preserve">账 户： </w:t>
      </w:r>
    </w:p>
    <w:p w14:paraId="3FA19879">
      <w:pPr>
        <w:pStyle w:val="226"/>
        <w:pageBreakBefore w:val="0"/>
        <w:kinsoku/>
        <w:wordWrap/>
        <w:overflowPunct/>
        <w:topLinePunct w:val="0"/>
        <w:autoSpaceDE/>
        <w:autoSpaceDN/>
        <w:bidi w:val="0"/>
        <w:adjustRightInd/>
        <w:spacing w:before="0" w:after="0" w:line="360" w:lineRule="auto"/>
        <w:ind w:firstLine="478"/>
        <w:textAlignment w:val="auto"/>
        <w:rPr>
          <w:rFonts w:ascii="宋体" w:hAnsi="宋体"/>
          <w:color w:val="auto"/>
          <w:sz w:val="21"/>
          <w:szCs w:val="21"/>
          <w:highlight w:val="none"/>
        </w:rPr>
      </w:pPr>
      <w:r>
        <w:rPr>
          <w:rFonts w:hint="eastAsia" w:ascii="宋体" w:hAnsi="宋体"/>
          <w:color w:val="auto"/>
          <w:sz w:val="21"/>
          <w:szCs w:val="21"/>
          <w:highlight w:val="none"/>
        </w:rPr>
        <w:t>行 号：</w:t>
      </w:r>
    </w:p>
    <w:p w14:paraId="2CEF426C">
      <w:pPr>
        <w:pStyle w:val="226"/>
        <w:pageBreakBefore w:val="0"/>
        <w:kinsoku/>
        <w:wordWrap/>
        <w:overflowPunct/>
        <w:topLinePunct w:val="0"/>
        <w:autoSpaceDE/>
        <w:autoSpaceDN/>
        <w:bidi w:val="0"/>
        <w:adjustRightInd/>
        <w:spacing w:before="0" w:after="0" w:line="360" w:lineRule="auto"/>
        <w:ind w:firstLine="478"/>
        <w:textAlignment w:val="auto"/>
        <w:rPr>
          <w:rFonts w:ascii="宋体" w:hAnsi="宋体"/>
          <w:color w:val="auto"/>
          <w:sz w:val="21"/>
          <w:szCs w:val="21"/>
          <w:highlight w:val="none"/>
        </w:rPr>
      </w:pPr>
      <w:r>
        <w:rPr>
          <w:rFonts w:hint="eastAsia" w:ascii="宋体" w:hAnsi="宋体"/>
          <w:color w:val="auto"/>
          <w:sz w:val="21"/>
          <w:szCs w:val="21"/>
          <w:highlight w:val="none"/>
        </w:rPr>
        <w:t>日 期：________年____月____日</w:t>
      </w:r>
    </w:p>
    <w:p w14:paraId="05E7A863">
      <w:pPr>
        <w:pageBreakBefore w:val="0"/>
        <w:kinsoku/>
        <w:wordWrap/>
        <w:overflowPunct/>
        <w:topLinePunct w:val="0"/>
        <w:autoSpaceDE/>
        <w:autoSpaceDN/>
        <w:bidi w:val="0"/>
        <w:adjustRightInd/>
        <w:spacing w:line="360" w:lineRule="auto"/>
        <w:contextualSpacing/>
        <w:textAlignment w:val="auto"/>
        <w:rPr>
          <w:rFonts w:ascii="宋体" w:hAnsi="宋体"/>
          <w:b/>
          <w:bCs/>
          <w:color w:val="auto"/>
          <w:sz w:val="32"/>
          <w:szCs w:val="32"/>
          <w:highlight w:val="none"/>
        </w:rPr>
      </w:pPr>
    </w:p>
    <w:p w14:paraId="0CBBD215">
      <w:pPr>
        <w:pageBreakBefore w:val="0"/>
        <w:kinsoku/>
        <w:wordWrap/>
        <w:overflowPunct/>
        <w:topLinePunct w:val="0"/>
        <w:autoSpaceDE/>
        <w:autoSpaceDN/>
        <w:bidi w:val="0"/>
        <w:adjustRightInd/>
        <w:spacing w:line="360" w:lineRule="auto"/>
        <w:jc w:val="center"/>
        <w:textAlignment w:val="auto"/>
        <w:rPr>
          <w:rFonts w:ascii="宋体" w:hAnsi="宋体"/>
          <w:b/>
          <w:color w:val="auto"/>
          <w:sz w:val="28"/>
          <w:szCs w:val="28"/>
          <w:highlight w:val="none"/>
        </w:rPr>
      </w:pPr>
      <w:r>
        <w:rPr>
          <w:rFonts w:hint="eastAsia" w:ascii="宋体" w:hAnsi="宋体"/>
          <w:b/>
          <w:color w:val="auto"/>
          <w:sz w:val="32"/>
          <w:szCs w:val="32"/>
          <w:highlight w:val="none"/>
        </w:rPr>
        <w:br w:type="page" w:clear="all"/>
      </w:r>
      <w:r>
        <w:rPr>
          <w:rFonts w:hint="eastAsia" w:ascii="宋体" w:hAnsi="宋体"/>
          <w:b/>
          <w:color w:val="auto"/>
          <w:sz w:val="28"/>
          <w:szCs w:val="28"/>
          <w:highlight w:val="none"/>
        </w:rPr>
        <w:t>法人授权书</w:t>
      </w:r>
    </w:p>
    <w:p w14:paraId="1EE6BAE7">
      <w:pPr>
        <w:pStyle w:val="227"/>
        <w:pageBreakBefore w:val="0"/>
        <w:kinsoku/>
        <w:wordWrap/>
        <w:overflowPunct/>
        <w:topLinePunct w:val="0"/>
        <w:autoSpaceDE/>
        <w:autoSpaceDN/>
        <w:bidi w:val="0"/>
        <w:adjustRightInd/>
        <w:spacing w:line="360"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本授权书声明：</w:t>
      </w:r>
      <w:r>
        <w:rPr>
          <w:rFonts w:ascii="宋体" w:hAnsi="宋体"/>
          <w:color w:val="auto"/>
          <w:sz w:val="21"/>
          <w:szCs w:val="21"/>
          <w:highlight w:val="none"/>
        </w:rPr>
        <w:t>________________</w:t>
      </w:r>
      <w:r>
        <w:rPr>
          <w:rFonts w:hint="eastAsia" w:ascii="宋体" w:hAnsi="宋体"/>
          <w:color w:val="auto"/>
          <w:sz w:val="21"/>
          <w:szCs w:val="21"/>
          <w:highlight w:val="none"/>
        </w:rPr>
        <w:t>（投标人名称）授权</w:t>
      </w:r>
      <w:r>
        <w:rPr>
          <w:rFonts w:ascii="宋体" w:hAnsi="宋体"/>
          <w:color w:val="auto"/>
          <w:sz w:val="21"/>
          <w:szCs w:val="21"/>
          <w:highlight w:val="none"/>
        </w:rPr>
        <w:t>________________</w:t>
      </w:r>
      <w:r>
        <w:rPr>
          <w:rFonts w:hint="eastAsia" w:ascii="宋体" w:hAnsi="宋体"/>
          <w:color w:val="auto"/>
          <w:sz w:val="21"/>
          <w:szCs w:val="21"/>
          <w:highlight w:val="none"/>
        </w:rPr>
        <w:t>（被授权人的姓名）为我方就（项目编号）号（项目名称）项目采购活动的合法代理人，以本公司名义全权处理一切与该项目采购有关的事务。</w:t>
      </w:r>
    </w:p>
    <w:p w14:paraId="6B3313C4">
      <w:pPr>
        <w:pStyle w:val="227"/>
        <w:pageBreakBefore w:val="0"/>
        <w:kinsoku/>
        <w:wordWrap/>
        <w:overflowPunct/>
        <w:topLinePunct w:val="0"/>
        <w:autoSpaceDE/>
        <w:autoSpaceDN/>
        <w:bidi w:val="0"/>
        <w:adjustRightInd/>
        <w:spacing w:line="360"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本授权书于</w:t>
      </w:r>
      <w:r>
        <w:rPr>
          <w:rFonts w:ascii="宋体" w:hAnsi="宋体"/>
          <w:color w:val="auto"/>
          <w:sz w:val="21"/>
          <w:szCs w:val="21"/>
          <w:highlight w:val="none"/>
        </w:rPr>
        <w:t>______</w:t>
      </w:r>
      <w:r>
        <w:rPr>
          <w:rFonts w:hint="eastAsia" w:ascii="宋体" w:hAnsi="宋体"/>
          <w:color w:val="auto"/>
          <w:sz w:val="21"/>
          <w:szCs w:val="21"/>
          <w:highlight w:val="none"/>
        </w:rPr>
        <w:t>年</w:t>
      </w:r>
      <w:r>
        <w:rPr>
          <w:rFonts w:ascii="宋体" w:hAnsi="宋体"/>
          <w:color w:val="auto"/>
          <w:sz w:val="21"/>
          <w:szCs w:val="21"/>
          <w:highlight w:val="none"/>
        </w:rPr>
        <w:t>____</w:t>
      </w:r>
      <w:r>
        <w:rPr>
          <w:rFonts w:hint="eastAsia" w:ascii="宋体" w:hAnsi="宋体"/>
          <w:color w:val="auto"/>
          <w:sz w:val="21"/>
          <w:szCs w:val="21"/>
          <w:highlight w:val="none"/>
        </w:rPr>
        <w:t>月</w:t>
      </w:r>
      <w:r>
        <w:rPr>
          <w:rFonts w:ascii="宋体" w:hAnsi="宋体"/>
          <w:color w:val="auto"/>
          <w:sz w:val="21"/>
          <w:szCs w:val="21"/>
          <w:highlight w:val="none"/>
        </w:rPr>
        <w:t>____</w:t>
      </w:r>
      <w:r>
        <w:rPr>
          <w:rFonts w:hint="eastAsia" w:ascii="宋体" w:hAnsi="宋体"/>
          <w:color w:val="auto"/>
          <w:sz w:val="21"/>
          <w:szCs w:val="21"/>
          <w:highlight w:val="none"/>
        </w:rPr>
        <w:t>日起生效，特此声明。</w:t>
      </w:r>
    </w:p>
    <w:p w14:paraId="7615BF17">
      <w:pPr>
        <w:pStyle w:val="227"/>
        <w:pageBreakBefore w:val="0"/>
        <w:kinsoku/>
        <w:wordWrap/>
        <w:overflowPunct/>
        <w:topLinePunct w:val="0"/>
        <w:autoSpaceDE/>
        <w:autoSpaceDN/>
        <w:bidi w:val="0"/>
        <w:adjustRightInd/>
        <w:spacing w:line="360" w:lineRule="auto"/>
        <w:ind w:firstLine="0"/>
        <w:textAlignment w:val="auto"/>
        <w:rPr>
          <w:rFonts w:ascii="宋体" w:hAnsi="宋体"/>
          <w:color w:val="auto"/>
          <w:sz w:val="21"/>
          <w:szCs w:val="21"/>
          <w:highlight w:val="none"/>
        </w:rPr>
      </w:pPr>
      <w:r>
        <w:rPr>
          <w:rFonts w:ascii="宋体" w:hAnsi="宋体"/>
          <w:color w:val="auto"/>
          <w:sz w:val="21"/>
          <w:szCs w:val="21"/>
          <w:highlight w:val="none"/>
        </w:rPr>
        <w:t xml:space="preserve">    </w:t>
      </w:r>
    </w:p>
    <w:p w14:paraId="709E456E">
      <w:pPr>
        <w:pStyle w:val="227"/>
        <w:pageBreakBefore w:val="0"/>
        <w:kinsoku/>
        <w:wordWrap/>
        <w:overflowPunct/>
        <w:topLinePunct w:val="0"/>
        <w:autoSpaceDE/>
        <w:autoSpaceDN/>
        <w:bidi w:val="0"/>
        <w:adjustRightInd/>
        <w:spacing w:line="360"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被授权人姓名：</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                 </w:t>
      </w:r>
    </w:p>
    <w:p w14:paraId="15EFDD98">
      <w:pPr>
        <w:pStyle w:val="227"/>
        <w:pageBreakBefore w:val="0"/>
        <w:kinsoku/>
        <w:wordWrap/>
        <w:overflowPunct/>
        <w:topLinePunct w:val="0"/>
        <w:autoSpaceDE/>
        <w:autoSpaceDN/>
        <w:bidi w:val="0"/>
        <w:adjustRightInd/>
        <w:spacing w:line="360" w:lineRule="auto"/>
        <w:ind w:firstLine="420"/>
        <w:textAlignment w:val="auto"/>
        <w:rPr>
          <w:rFonts w:ascii="宋体" w:hAnsi="宋体"/>
          <w:color w:val="auto"/>
          <w:sz w:val="21"/>
          <w:szCs w:val="21"/>
          <w:highlight w:val="none"/>
          <w:u w:val="single"/>
        </w:rPr>
      </w:pPr>
      <w:r>
        <w:rPr>
          <w:rFonts w:hint="eastAsia" w:ascii="宋体" w:hAnsi="宋体"/>
          <w:color w:val="auto"/>
          <w:sz w:val="21"/>
          <w:szCs w:val="21"/>
          <w:highlight w:val="none"/>
        </w:rPr>
        <w:t>联系电话（手机）：</w:t>
      </w:r>
      <w:r>
        <w:rPr>
          <w:rFonts w:hint="eastAsia" w:ascii="宋体" w:hAnsi="宋体"/>
          <w:color w:val="auto"/>
          <w:sz w:val="21"/>
          <w:szCs w:val="21"/>
          <w:highlight w:val="none"/>
          <w:u w:val="single"/>
        </w:rPr>
        <w:t xml:space="preserve">                             </w:t>
      </w:r>
    </w:p>
    <w:p w14:paraId="2480DA86">
      <w:pPr>
        <w:pStyle w:val="227"/>
        <w:pageBreakBefore w:val="0"/>
        <w:kinsoku/>
        <w:wordWrap/>
        <w:overflowPunct/>
        <w:topLinePunct w:val="0"/>
        <w:autoSpaceDE/>
        <w:autoSpaceDN/>
        <w:bidi w:val="0"/>
        <w:adjustRightInd/>
        <w:spacing w:line="360" w:lineRule="auto"/>
        <w:ind w:firstLine="0"/>
        <w:textAlignment w:val="auto"/>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单位名称：</w:t>
      </w:r>
      <w:r>
        <w:rPr>
          <w:rFonts w:ascii="宋体" w:hAnsi="宋体"/>
          <w:color w:val="auto"/>
          <w:sz w:val="21"/>
          <w:szCs w:val="21"/>
          <w:highlight w:val="none"/>
        </w:rPr>
        <w:t>____________________________________</w:t>
      </w:r>
    </w:p>
    <w:p w14:paraId="3032EFA8">
      <w:pPr>
        <w:pStyle w:val="227"/>
        <w:pageBreakBefore w:val="0"/>
        <w:kinsoku/>
        <w:wordWrap/>
        <w:overflowPunct/>
        <w:topLinePunct w:val="0"/>
        <w:autoSpaceDE/>
        <w:autoSpaceDN/>
        <w:bidi w:val="0"/>
        <w:adjustRightInd/>
        <w:spacing w:line="360" w:lineRule="auto"/>
        <w:ind w:firstLine="420"/>
        <w:textAlignment w:val="auto"/>
        <w:rPr>
          <w:color w:val="auto"/>
          <w:sz w:val="21"/>
          <w:szCs w:val="21"/>
          <w:highlight w:val="none"/>
          <w:u w:val="single"/>
        </w:rPr>
      </w:pPr>
      <w:r>
        <w:rPr>
          <w:rFonts w:hint="eastAsia"/>
          <w:color w:val="auto"/>
          <w:sz w:val="21"/>
          <w:szCs w:val="21"/>
          <w:highlight w:val="none"/>
        </w:rPr>
        <w:t>单位地址：</w:t>
      </w:r>
      <w:r>
        <w:rPr>
          <w:color w:val="auto"/>
          <w:sz w:val="21"/>
          <w:szCs w:val="21"/>
          <w:highlight w:val="none"/>
          <w:u w:val="single"/>
        </w:rPr>
        <w:t xml:space="preserve">                                     </w:t>
      </w:r>
    </w:p>
    <w:p w14:paraId="7E60FDE2">
      <w:pPr>
        <w:pStyle w:val="227"/>
        <w:pageBreakBefore w:val="0"/>
        <w:kinsoku/>
        <w:wordWrap/>
        <w:overflowPunct/>
        <w:topLinePunct w:val="0"/>
        <w:autoSpaceDE/>
        <w:autoSpaceDN/>
        <w:bidi w:val="0"/>
        <w:adjustRightInd/>
        <w:spacing w:line="360" w:lineRule="auto"/>
        <w:ind w:firstLine="420"/>
        <w:textAlignment w:val="auto"/>
        <w:rPr>
          <w:color w:val="auto"/>
          <w:sz w:val="21"/>
          <w:szCs w:val="21"/>
          <w:highlight w:val="none"/>
        </w:rPr>
      </w:pPr>
      <w:r>
        <w:rPr>
          <w:rFonts w:hint="eastAsia"/>
          <w:color w:val="auto"/>
          <w:sz w:val="21"/>
          <w:szCs w:val="21"/>
          <w:highlight w:val="none"/>
        </w:rPr>
        <w:t>日期：</w:t>
      </w:r>
      <w:r>
        <w:rPr>
          <w:color w:val="auto"/>
          <w:sz w:val="21"/>
          <w:szCs w:val="21"/>
          <w:highlight w:val="none"/>
          <w:u w:val="single"/>
        </w:rPr>
        <w:t xml:space="preserve">                                         </w:t>
      </w:r>
      <w:r>
        <w:rPr>
          <w:color w:val="auto"/>
          <w:sz w:val="21"/>
          <w:szCs w:val="21"/>
          <w:highlight w:val="none"/>
        </w:rPr>
        <w:t xml:space="preserve"> </w:t>
      </w:r>
    </w:p>
    <w:p w14:paraId="1CCD3891">
      <w:pPr>
        <w:pageBreakBefore w:val="0"/>
        <w:kinsoku/>
        <w:wordWrap/>
        <w:overflowPunct/>
        <w:topLinePunct w:val="0"/>
        <w:autoSpaceDE/>
        <w:autoSpaceDN/>
        <w:bidi w:val="0"/>
        <w:adjustRightInd/>
        <w:spacing w:line="360" w:lineRule="auto"/>
        <w:textAlignment w:val="auto"/>
        <w:rPr>
          <w:rFonts w:ascii="宋体" w:hAnsi="宋体"/>
          <w:bCs/>
          <w:color w:val="auto"/>
          <w:highlight w:val="none"/>
        </w:rPr>
      </w:pPr>
    </w:p>
    <w:p w14:paraId="58D191C0">
      <w:pPr>
        <w:pageBreakBefore w:val="0"/>
        <w:kinsoku/>
        <w:wordWrap/>
        <w:overflowPunct/>
        <w:topLinePunct w:val="0"/>
        <w:autoSpaceDE/>
        <w:autoSpaceDN/>
        <w:bidi w:val="0"/>
        <w:adjustRightInd/>
        <w:spacing w:line="360" w:lineRule="auto"/>
        <w:textAlignment w:val="auto"/>
        <w:rPr>
          <w:rFonts w:ascii="宋体" w:hAnsi="宋体"/>
          <w:bCs/>
          <w:color w:val="auto"/>
          <w:sz w:val="24"/>
          <w:highlight w:val="none"/>
        </w:rPr>
      </w:pPr>
    </w:p>
    <w:p w14:paraId="06D4BA1F">
      <w:pPr>
        <w:pageBreakBefore w:val="0"/>
        <w:kinsoku/>
        <w:wordWrap/>
        <w:overflowPunct/>
        <w:topLinePunct w:val="0"/>
        <w:autoSpaceDE/>
        <w:autoSpaceDN/>
        <w:bidi w:val="0"/>
        <w:adjustRightInd/>
        <w:spacing w:line="360" w:lineRule="auto"/>
        <w:ind w:firstLine="420"/>
        <w:textAlignment w:val="auto"/>
        <w:rPr>
          <w:rFonts w:hint="eastAsia" w:ascii="宋体" w:hAnsi="宋体"/>
          <w:bCs/>
          <w:color w:val="auto"/>
          <w:highlight w:val="none"/>
        </w:rPr>
        <w:sectPr>
          <w:pgSz w:w="11906" w:h="16838"/>
          <w:pgMar w:top="1440" w:right="1800" w:bottom="1440" w:left="1800" w:header="851" w:footer="992" w:gutter="0"/>
          <w:cols w:space="1701" w:num="1"/>
          <w:docGrid w:linePitch="360" w:charSpace="0"/>
        </w:sectPr>
      </w:pPr>
      <w:r>
        <w:rPr>
          <w:rFonts w:hint="eastAsia" w:ascii="宋体" w:hAnsi="宋体"/>
          <w:bCs/>
          <w:color w:val="auto"/>
          <w:highlight w:val="none"/>
        </w:rPr>
        <w:t>被授权人身份证复印件</w:t>
      </w:r>
    </w:p>
    <w:p w14:paraId="24E683CC">
      <w:pPr>
        <w:pStyle w:val="193"/>
        <w:pageBreakBefore w:val="0"/>
        <w:kinsoku/>
        <w:wordWrap/>
        <w:overflowPunct/>
        <w:topLinePunct w:val="0"/>
        <w:autoSpaceDE/>
        <w:autoSpaceDN/>
        <w:bidi w:val="0"/>
        <w:adjustRightInd/>
        <w:spacing w:line="360" w:lineRule="auto"/>
        <w:textAlignment w:val="auto"/>
        <w:rPr>
          <w:rFonts w:ascii="宋体" w:hAnsi="宋体" w:eastAsia="宋体"/>
          <w:color w:val="auto"/>
          <w:sz w:val="28"/>
          <w:szCs w:val="28"/>
          <w:highlight w:val="none"/>
        </w:rPr>
      </w:pPr>
      <w:r>
        <w:rPr>
          <w:rFonts w:hint="eastAsia" w:ascii="宋体" w:hAnsi="宋体" w:eastAsia="宋体"/>
          <w:color w:val="auto"/>
          <w:sz w:val="28"/>
          <w:szCs w:val="28"/>
          <w:highlight w:val="none"/>
        </w:rPr>
        <w:t>二、符合性审查响应对照表</w:t>
      </w:r>
    </w:p>
    <w:tbl>
      <w:tblPr>
        <w:tblStyle w:val="34"/>
        <w:tblW w:w="83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6"/>
        <w:gridCol w:w="4889"/>
        <w:gridCol w:w="1661"/>
        <w:gridCol w:w="1189"/>
      </w:tblGrid>
      <w:tr w14:paraId="335CC5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2" w:hRule="atLeast"/>
        </w:trPr>
        <w:tc>
          <w:tcPr>
            <w:tcW w:w="646" w:type="dxa"/>
            <w:noWrap w:val="0"/>
            <w:vAlign w:val="center"/>
          </w:tcPr>
          <w:p w14:paraId="7E3FEB48">
            <w:pPr>
              <w:pageBreakBefore w:val="0"/>
              <w:kinsoku/>
              <w:wordWrap/>
              <w:overflowPunct/>
              <w:topLinePunct w:val="0"/>
              <w:autoSpaceDE/>
              <w:autoSpaceDN/>
              <w:bidi w:val="0"/>
              <w:adjustRightInd/>
              <w:spacing w:line="360" w:lineRule="auto"/>
              <w:jc w:val="center"/>
              <w:textAlignment w:val="auto"/>
              <w:rPr>
                <w:rFonts w:ascii="幼圆" w:eastAsia="幼圆"/>
                <w:b/>
                <w:color w:val="auto"/>
                <w:szCs w:val="21"/>
                <w:highlight w:val="none"/>
              </w:rPr>
            </w:pPr>
            <w:r>
              <w:rPr>
                <w:rFonts w:hint="eastAsia" w:ascii="宋体" w:hAnsi="宋体" w:cs="宋体"/>
                <w:b/>
                <w:color w:val="auto"/>
                <w:szCs w:val="21"/>
                <w:highlight w:val="none"/>
              </w:rPr>
              <w:t>序号</w:t>
            </w:r>
          </w:p>
        </w:tc>
        <w:tc>
          <w:tcPr>
            <w:tcW w:w="4889" w:type="dxa"/>
            <w:noWrap w:val="0"/>
            <w:vAlign w:val="center"/>
          </w:tcPr>
          <w:p w14:paraId="4568FCD4">
            <w:pPr>
              <w:pageBreakBefore w:val="0"/>
              <w:kinsoku/>
              <w:wordWrap/>
              <w:overflowPunct/>
              <w:topLinePunct w:val="0"/>
              <w:autoSpaceDE/>
              <w:autoSpaceDN/>
              <w:bidi w:val="0"/>
              <w:adjustRightInd/>
              <w:spacing w:line="360" w:lineRule="auto"/>
              <w:jc w:val="center"/>
              <w:textAlignment w:val="auto"/>
              <w:rPr>
                <w:rFonts w:ascii="幼圆" w:eastAsia="幼圆"/>
                <w:b/>
                <w:color w:val="auto"/>
                <w:szCs w:val="21"/>
                <w:highlight w:val="none"/>
              </w:rPr>
            </w:pPr>
            <w:r>
              <w:rPr>
                <w:rFonts w:hint="eastAsia" w:ascii="宋体" w:hAnsi="宋体" w:cs="宋体"/>
                <w:b/>
                <w:color w:val="auto"/>
                <w:szCs w:val="21"/>
                <w:highlight w:val="none"/>
              </w:rPr>
              <w:t>符合性审查响应内容</w:t>
            </w:r>
          </w:p>
        </w:tc>
        <w:tc>
          <w:tcPr>
            <w:tcW w:w="1661" w:type="dxa"/>
            <w:noWrap w:val="0"/>
            <w:vAlign w:val="center"/>
          </w:tcPr>
          <w:p w14:paraId="66150E23">
            <w:pPr>
              <w:pageBreakBefore w:val="0"/>
              <w:kinsoku/>
              <w:wordWrap/>
              <w:overflowPunct/>
              <w:topLinePunct w:val="0"/>
              <w:autoSpaceDE/>
              <w:autoSpaceDN/>
              <w:bidi w:val="0"/>
              <w:adjustRightInd/>
              <w:spacing w:line="360" w:lineRule="auto"/>
              <w:jc w:val="center"/>
              <w:textAlignment w:val="auto"/>
              <w:rPr>
                <w:rFonts w:ascii="宋体" w:hAnsi="宋体" w:cs="宋体"/>
                <w:b/>
                <w:color w:val="auto"/>
                <w:szCs w:val="21"/>
                <w:highlight w:val="none"/>
              </w:rPr>
            </w:pPr>
            <w:r>
              <w:rPr>
                <w:rFonts w:hint="eastAsia" w:ascii="宋体" w:hAnsi="宋体" w:cs="宋体"/>
                <w:b/>
                <w:color w:val="auto"/>
                <w:szCs w:val="21"/>
                <w:highlight w:val="none"/>
              </w:rPr>
              <w:t>是否响应</w:t>
            </w:r>
          </w:p>
          <w:p w14:paraId="7E155830">
            <w:pPr>
              <w:pageBreakBefore w:val="0"/>
              <w:kinsoku/>
              <w:wordWrap/>
              <w:overflowPunct/>
              <w:topLinePunct w:val="0"/>
              <w:autoSpaceDE/>
              <w:autoSpaceDN/>
              <w:bidi w:val="0"/>
              <w:adjustRightInd/>
              <w:spacing w:line="360" w:lineRule="auto"/>
              <w:jc w:val="center"/>
              <w:textAlignment w:val="auto"/>
              <w:rPr>
                <w:rFonts w:ascii="幼圆" w:eastAsia="幼圆"/>
                <w:b/>
                <w:color w:val="auto"/>
                <w:szCs w:val="21"/>
                <w:highlight w:val="none"/>
              </w:rPr>
            </w:pPr>
            <w:r>
              <w:rPr>
                <w:rFonts w:hint="eastAsia" w:ascii="宋体" w:hAnsi="宋体" w:cs="宋体"/>
                <w:b/>
                <w:color w:val="auto"/>
                <w:szCs w:val="21"/>
                <w:highlight w:val="none"/>
              </w:rPr>
              <w:t>（填是或者否）</w:t>
            </w:r>
          </w:p>
        </w:tc>
        <w:tc>
          <w:tcPr>
            <w:tcW w:w="1189" w:type="dxa"/>
            <w:noWrap w:val="0"/>
            <w:vAlign w:val="center"/>
          </w:tcPr>
          <w:p w14:paraId="12AC775C">
            <w:pPr>
              <w:pageBreakBefore w:val="0"/>
              <w:kinsoku/>
              <w:wordWrap/>
              <w:overflowPunct/>
              <w:topLinePunct w:val="0"/>
              <w:autoSpaceDE/>
              <w:autoSpaceDN/>
              <w:bidi w:val="0"/>
              <w:adjustRightInd/>
              <w:spacing w:line="360" w:lineRule="auto"/>
              <w:jc w:val="center"/>
              <w:textAlignment w:val="auto"/>
              <w:rPr>
                <w:rFonts w:ascii="幼圆" w:eastAsia="幼圆"/>
                <w:b/>
                <w:color w:val="auto"/>
                <w:szCs w:val="21"/>
                <w:highlight w:val="none"/>
              </w:rPr>
            </w:pPr>
            <w:r>
              <w:rPr>
                <w:rFonts w:hint="eastAsia" w:ascii="宋体" w:hAnsi="宋体" w:cs="宋体"/>
                <w:b/>
                <w:color w:val="auto"/>
                <w:szCs w:val="21"/>
                <w:highlight w:val="none"/>
              </w:rPr>
              <w:t>响应情况</w:t>
            </w:r>
          </w:p>
        </w:tc>
      </w:tr>
      <w:tr w14:paraId="1ED87A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46" w:type="dxa"/>
            <w:noWrap w:val="0"/>
            <w:vAlign w:val="center"/>
          </w:tcPr>
          <w:p w14:paraId="37BBA9D8">
            <w:pPr>
              <w:pageBreakBefore w:val="0"/>
              <w:kinsoku/>
              <w:wordWrap/>
              <w:overflowPunct/>
              <w:topLinePunct w:val="0"/>
              <w:autoSpaceDE/>
              <w:autoSpaceDN/>
              <w:bidi w:val="0"/>
              <w:adjustRightInd/>
              <w:spacing w:line="360" w:lineRule="auto"/>
              <w:jc w:val="center"/>
              <w:textAlignment w:val="auto"/>
              <w:rPr>
                <w:rFonts w:ascii="宋体" w:hAnsi="宋体"/>
                <w:b/>
                <w:color w:val="auto"/>
                <w:szCs w:val="21"/>
                <w:highlight w:val="none"/>
              </w:rPr>
            </w:pPr>
            <w:r>
              <w:rPr>
                <w:rFonts w:hint="eastAsia" w:ascii="宋体" w:hAnsi="宋体"/>
                <w:b/>
                <w:color w:val="auto"/>
                <w:szCs w:val="21"/>
                <w:highlight w:val="none"/>
              </w:rPr>
              <w:t>1</w:t>
            </w:r>
          </w:p>
        </w:tc>
        <w:tc>
          <w:tcPr>
            <w:tcW w:w="4889" w:type="dxa"/>
            <w:noWrap w:val="0"/>
            <w:vAlign w:val="center"/>
          </w:tcPr>
          <w:p w14:paraId="4E952E0B">
            <w:pPr>
              <w:pageBreakBefore w:val="0"/>
              <w:kinsoku/>
              <w:wordWrap/>
              <w:overflowPunct/>
              <w:topLinePunct w:val="0"/>
              <w:autoSpaceDE/>
              <w:autoSpaceDN/>
              <w:bidi w:val="0"/>
              <w:adjustRightInd/>
              <w:spacing w:line="360" w:lineRule="auto"/>
              <w:textAlignment w:val="auto"/>
              <w:rPr>
                <w:rFonts w:ascii="宋体" w:hAnsi="宋体"/>
                <w:iCs/>
                <w:color w:val="auto"/>
                <w:szCs w:val="21"/>
                <w:highlight w:val="none"/>
              </w:rPr>
            </w:pPr>
            <w:r>
              <w:rPr>
                <w:rFonts w:hint="eastAsia" w:ascii="宋体" w:hAnsi="宋体"/>
                <w:iCs/>
                <w:color w:val="auto"/>
                <w:szCs w:val="21"/>
                <w:highlight w:val="none"/>
              </w:rPr>
              <w:t>采购需求中必须满足的实质性要求（即加斜体下划线内容，每条详细列出）</w:t>
            </w:r>
          </w:p>
        </w:tc>
        <w:tc>
          <w:tcPr>
            <w:tcW w:w="1661" w:type="dxa"/>
            <w:noWrap w:val="0"/>
            <w:vAlign w:val="center"/>
          </w:tcPr>
          <w:p w14:paraId="46C981F6">
            <w:pPr>
              <w:pageBreakBefore w:val="0"/>
              <w:kinsoku/>
              <w:wordWrap/>
              <w:overflowPunct/>
              <w:topLinePunct w:val="0"/>
              <w:autoSpaceDE/>
              <w:autoSpaceDN/>
              <w:bidi w:val="0"/>
              <w:adjustRightInd/>
              <w:spacing w:line="360" w:lineRule="auto"/>
              <w:textAlignment w:val="auto"/>
              <w:rPr>
                <w:rFonts w:ascii="宋体" w:hAnsi="宋体"/>
                <w:b/>
                <w:color w:val="auto"/>
                <w:szCs w:val="21"/>
                <w:highlight w:val="none"/>
              </w:rPr>
            </w:pPr>
          </w:p>
        </w:tc>
        <w:tc>
          <w:tcPr>
            <w:tcW w:w="1189" w:type="dxa"/>
            <w:noWrap w:val="0"/>
            <w:vAlign w:val="center"/>
          </w:tcPr>
          <w:p w14:paraId="51F9C657">
            <w:pPr>
              <w:pageBreakBefore w:val="0"/>
              <w:kinsoku/>
              <w:wordWrap/>
              <w:overflowPunct/>
              <w:topLinePunct w:val="0"/>
              <w:autoSpaceDE/>
              <w:autoSpaceDN/>
              <w:bidi w:val="0"/>
              <w:adjustRightInd/>
              <w:spacing w:line="360" w:lineRule="auto"/>
              <w:textAlignment w:val="auto"/>
              <w:rPr>
                <w:rFonts w:ascii="宋体" w:hAnsi="宋体"/>
                <w:b/>
                <w:color w:val="auto"/>
                <w:szCs w:val="21"/>
                <w:highlight w:val="none"/>
              </w:rPr>
            </w:pPr>
          </w:p>
        </w:tc>
      </w:tr>
      <w:tr w14:paraId="2468E4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46" w:type="dxa"/>
            <w:noWrap w:val="0"/>
            <w:vAlign w:val="center"/>
          </w:tcPr>
          <w:p w14:paraId="43D6A434">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r>
              <w:rPr>
                <w:rFonts w:hint="eastAsia" w:ascii="宋体" w:hAnsi="宋体"/>
                <w:color w:val="auto"/>
                <w:szCs w:val="21"/>
                <w:highlight w:val="none"/>
              </w:rPr>
              <w:t>2</w:t>
            </w:r>
          </w:p>
        </w:tc>
        <w:tc>
          <w:tcPr>
            <w:tcW w:w="4889" w:type="dxa"/>
            <w:noWrap w:val="0"/>
            <w:vAlign w:val="center"/>
          </w:tcPr>
          <w:p w14:paraId="1B18FF36">
            <w:pPr>
              <w:pageBreakBefore w:val="0"/>
              <w:kinsoku/>
              <w:wordWrap/>
              <w:overflowPunct/>
              <w:topLinePunct w:val="0"/>
              <w:autoSpaceDE/>
              <w:autoSpaceDN/>
              <w:bidi w:val="0"/>
              <w:adjustRightInd/>
              <w:spacing w:line="360" w:lineRule="auto"/>
              <w:textAlignment w:val="auto"/>
              <w:rPr>
                <w:rFonts w:ascii="宋体" w:hAnsi="宋体"/>
                <w:iCs/>
                <w:color w:val="auto"/>
                <w:szCs w:val="21"/>
                <w:highlight w:val="none"/>
              </w:rPr>
            </w:pPr>
          </w:p>
        </w:tc>
        <w:tc>
          <w:tcPr>
            <w:tcW w:w="1661" w:type="dxa"/>
            <w:noWrap w:val="0"/>
            <w:vAlign w:val="center"/>
          </w:tcPr>
          <w:p w14:paraId="40A06510">
            <w:pPr>
              <w:pageBreakBefore w:val="0"/>
              <w:kinsoku/>
              <w:wordWrap/>
              <w:overflowPunct/>
              <w:topLinePunct w:val="0"/>
              <w:autoSpaceDE/>
              <w:autoSpaceDN/>
              <w:bidi w:val="0"/>
              <w:adjustRightInd/>
              <w:spacing w:line="360" w:lineRule="auto"/>
              <w:textAlignment w:val="auto"/>
              <w:rPr>
                <w:rFonts w:ascii="宋体" w:hAnsi="宋体"/>
                <w:color w:val="auto"/>
                <w:szCs w:val="21"/>
                <w:highlight w:val="none"/>
              </w:rPr>
            </w:pPr>
          </w:p>
        </w:tc>
        <w:tc>
          <w:tcPr>
            <w:tcW w:w="1189" w:type="dxa"/>
            <w:noWrap w:val="0"/>
            <w:vAlign w:val="center"/>
          </w:tcPr>
          <w:p w14:paraId="49AD4E0D">
            <w:pPr>
              <w:pageBreakBefore w:val="0"/>
              <w:kinsoku/>
              <w:wordWrap/>
              <w:overflowPunct/>
              <w:topLinePunct w:val="0"/>
              <w:autoSpaceDE/>
              <w:autoSpaceDN/>
              <w:bidi w:val="0"/>
              <w:adjustRightInd/>
              <w:spacing w:line="360" w:lineRule="auto"/>
              <w:textAlignment w:val="auto"/>
              <w:rPr>
                <w:rFonts w:ascii="宋体" w:hAnsi="宋体"/>
                <w:color w:val="auto"/>
                <w:szCs w:val="21"/>
                <w:highlight w:val="none"/>
              </w:rPr>
            </w:pPr>
          </w:p>
        </w:tc>
      </w:tr>
      <w:tr w14:paraId="68DA32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46" w:type="dxa"/>
            <w:noWrap w:val="0"/>
            <w:vAlign w:val="center"/>
          </w:tcPr>
          <w:p w14:paraId="67D07542">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r>
              <w:rPr>
                <w:rFonts w:hint="eastAsia" w:ascii="宋体" w:hAnsi="宋体"/>
                <w:color w:val="auto"/>
                <w:szCs w:val="21"/>
                <w:highlight w:val="none"/>
              </w:rPr>
              <w:t>3</w:t>
            </w:r>
          </w:p>
        </w:tc>
        <w:tc>
          <w:tcPr>
            <w:tcW w:w="4889" w:type="dxa"/>
            <w:noWrap w:val="0"/>
            <w:vAlign w:val="center"/>
          </w:tcPr>
          <w:p w14:paraId="52FBEC79">
            <w:pPr>
              <w:pageBreakBefore w:val="0"/>
              <w:kinsoku/>
              <w:wordWrap/>
              <w:overflowPunct/>
              <w:topLinePunct w:val="0"/>
              <w:autoSpaceDE/>
              <w:autoSpaceDN/>
              <w:bidi w:val="0"/>
              <w:adjustRightInd/>
              <w:spacing w:line="360" w:lineRule="auto"/>
              <w:textAlignment w:val="auto"/>
              <w:rPr>
                <w:rFonts w:ascii="宋体" w:hAnsi="宋体"/>
                <w:iCs/>
                <w:color w:val="auto"/>
                <w:szCs w:val="21"/>
                <w:highlight w:val="none"/>
              </w:rPr>
            </w:pPr>
          </w:p>
        </w:tc>
        <w:tc>
          <w:tcPr>
            <w:tcW w:w="1661" w:type="dxa"/>
            <w:noWrap w:val="0"/>
            <w:vAlign w:val="center"/>
          </w:tcPr>
          <w:p w14:paraId="72FBC03C">
            <w:pPr>
              <w:pageBreakBefore w:val="0"/>
              <w:kinsoku/>
              <w:wordWrap/>
              <w:overflowPunct/>
              <w:topLinePunct w:val="0"/>
              <w:autoSpaceDE/>
              <w:autoSpaceDN/>
              <w:bidi w:val="0"/>
              <w:adjustRightInd/>
              <w:spacing w:line="360" w:lineRule="auto"/>
              <w:textAlignment w:val="auto"/>
              <w:rPr>
                <w:rFonts w:ascii="宋体" w:hAnsi="宋体"/>
                <w:color w:val="auto"/>
                <w:szCs w:val="21"/>
                <w:highlight w:val="none"/>
              </w:rPr>
            </w:pPr>
          </w:p>
        </w:tc>
        <w:tc>
          <w:tcPr>
            <w:tcW w:w="1189" w:type="dxa"/>
            <w:noWrap w:val="0"/>
            <w:vAlign w:val="center"/>
          </w:tcPr>
          <w:p w14:paraId="26608BAE">
            <w:pPr>
              <w:pageBreakBefore w:val="0"/>
              <w:kinsoku/>
              <w:wordWrap/>
              <w:overflowPunct/>
              <w:topLinePunct w:val="0"/>
              <w:autoSpaceDE/>
              <w:autoSpaceDN/>
              <w:bidi w:val="0"/>
              <w:adjustRightInd/>
              <w:spacing w:line="360" w:lineRule="auto"/>
              <w:textAlignment w:val="auto"/>
              <w:rPr>
                <w:rFonts w:ascii="宋体" w:hAnsi="宋体"/>
                <w:color w:val="auto"/>
                <w:szCs w:val="21"/>
                <w:highlight w:val="none"/>
              </w:rPr>
            </w:pPr>
          </w:p>
        </w:tc>
      </w:tr>
      <w:tr w14:paraId="45D84D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7" w:hRule="atLeast"/>
        </w:trPr>
        <w:tc>
          <w:tcPr>
            <w:tcW w:w="646" w:type="dxa"/>
            <w:noWrap w:val="0"/>
            <w:vAlign w:val="center"/>
          </w:tcPr>
          <w:p w14:paraId="5F1E403C">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r>
              <w:rPr>
                <w:rFonts w:hint="eastAsia" w:ascii="宋体" w:hAnsi="宋体"/>
                <w:color w:val="auto"/>
                <w:szCs w:val="21"/>
                <w:highlight w:val="none"/>
              </w:rPr>
              <w:t>4</w:t>
            </w:r>
          </w:p>
        </w:tc>
        <w:tc>
          <w:tcPr>
            <w:tcW w:w="4889" w:type="dxa"/>
            <w:noWrap w:val="0"/>
            <w:vAlign w:val="center"/>
          </w:tcPr>
          <w:p w14:paraId="059999E9">
            <w:pPr>
              <w:pageBreakBefore w:val="0"/>
              <w:kinsoku/>
              <w:wordWrap/>
              <w:overflowPunct/>
              <w:topLinePunct w:val="0"/>
              <w:autoSpaceDE/>
              <w:autoSpaceDN/>
              <w:bidi w:val="0"/>
              <w:adjustRightInd/>
              <w:spacing w:line="360" w:lineRule="auto"/>
              <w:textAlignment w:val="auto"/>
              <w:rPr>
                <w:rFonts w:ascii="宋体" w:hAnsi="宋体"/>
                <w:iCs/>
                <w:color w:val="auto"/>
                <w:szCs w:val="21"/>
                <w:highlight w:val="none"/>
              </w:rPr>
            </w:pPr>
          </w:p>
        </w:tc>
        <w:tc>
          <w:tcPr>
            <w:tcW w:w="1661" w:type="dxa"/>
            <w:noWrap w:val="0"/>
            <w:vAlign w:val="center"/>
          </w:tcPr>
          <w:p w14:paraId="416FE33A">
            <w:pPr>
              <w:pageBreakBefore w:val="0"/>
              <w:kinsoku/>
              <w:wordWrap/>
              <w:overflowPunct/>
              <w:topLinePunct w:val="0"/>
              <w:autoSpaceDE/>
              <w:autoSpaceDN/>
              <w:bidi w:val="0"/>
              <w:adjustRightInd/>
              <w:spacing w:line="360" w:lineRule="auto"/>
              <w:textAlignment w:val="auto"/>
              <w:rPr>
                <w:rFonts w:ascii="宋体" w:hAnsi="宋体"/>
                <w:color w:val="auto"/>
                <w:szCs w:val="21"/>
                <w:highlight w:val="none"/>
              </w:rPr>
            </w:pPr>
          </w:p>
        </w:tc>
        <w:tc>
          <w:tcPr>
            <w:tcW w:w="1189" w:type="dxa"/>
            <w:noWrap w:val="0"/>
            <w:vAlign w:val="center"/>
          </w:tcPr>
          <w:p w14:paraId="6D407D61">
            <w:pPr>
              <w:pageBreakBefore w:val="0"/>
              <w:kinsoku/>
              <w:wordWrap/>
              <w:overflowPunct/>
              <w:topLinePunct w:val="0"/>
              <w:autoSpaceDE/>
              <w:autoSpaceDN/>
              <w:bidi w:val="0"/>
              <w:adjustRightInd/>
              <w:spacing w:line="360" w:lineRule="auto"/>
              <w:textAlignment w:val="auto"/>
              <w:rPr>
                <w:rFonts w:ascii="宋体" w:hAnsi="宋体"/>
                <w:color w:val="auto"/>
                <w:szCs w:val="21"/>
                <w:highlight w:val="none"/>
              </w:rPr>
            </w:pPr>
          </w:p>
        </w:tc>
      </w:tr>
      <w:tr w14:paraId="066E3C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646" w:type="dxa"/>
            <w:noWrap w:val="0"/>
            <w:vAlign w:val="center"/>
          </w:tcPr>
          <w:p w14:paraId="61E4225F">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r>
              <w:rPr>
                <w:rFonts w:hint="eastAsia" w:ascii="宋体" w:hAnsi="宋体"/>
                <w:color w:val="auto"/>
                <w:szCs w:val="21"/>
                <w:highlight w:val="none"/>
              </w:rPr>
              <w:t>5</w:t>
            </w:r>
          </w:p>
        </w:tc>
        <w:tc>
          <w:tcPr>
            <w:tcW w:w="4889" w:type="dxa"/>
            <w:noWrap w:val="0"/>
            <w:vAlign w:val="center"/>
          </w:tcPr>
          <w:p w14:paraId="1571E5E7">
            <w:pPr>
              <w:pageBreakBefore w:val="0"/>
              <w:kinsoku/>
              <w:wordWrap/>
              <w:overflowPunct/>
              <w:topLinePunct w:val="0"/>
              <w:autoSpaceDE/>
              <w:autoSpaceDN/>
              <w:bidi w:val="0"/>
              <w:adjustRightInd/>
              <w:spacing w:line="360" w:lineRule="auto"/>
              <w:textAlignment w:val="auto"/>
              <w:rPr>
                <w:rFonts w:ascii="宋体" w:hAnsi="宋体"/>
                <w:iCs/>
                <w:color w:val="auto"/>
                <w:szCs w:val="21"/>
                <w:highlight w:val="none"/>
              </w:rPr>
            </w:pPr>
            <w:r>
              <w:rPr>
                <w:rFonts w:ascii="宋体" w:hAnsi="宋体"/>
                <w:iCs/>
                <w:color w:val="auto"/>
                <w:szCs w:val="21"/>
                <w:highlight w:val="none"/>
              </w:rPr>
              <w:t>……</w:t>
            </w:r>
          </w:p>
        </w:tc>
        <w:tc>
          <w:tcPr>
            <w:tcW w:w="1661" w:type="dxa"/>
            <w:noWrap w:val="0"/>
            <w:vAlign w:val="center"/>
          </w:tcPr>
          <w:p w14:paraId="3C07F639">
            <w:pPr>
              <w:pageBreakBefore w:val="0"/>
              <w:kinsoku/>
              <w:wordWrap/>
              <w:overflowPunct/>
              <w:topLinePunct w:val="0"/>
              <w:autoSpaceDE/>
              <w:autoSpaceDN/>
              <w:bidi w:val="0"/>
              <w:adjustRightInd/>
              <w:spacing w:line="360" w:lineRule="auto"/>
              <w:textAlignment w:val="auto"/>
              <w:rPr>
                <w:rFonts w:ascii="宋体" w:hAnsi="宋体"/>
                <w:color w:val="auto"/>
                <w:szCs w:val="21"/>
                <w:highlight w:val="none"/>
              </w:rPr>
            </w:pPr>
          </w:p>
        </w:tc>
        <w:tc>
          <w:tcPr>
            <w:tcW w:w="1189" w:type="dxa"/>
            <w:noWrap w:val="0"/>
            <w:vAlign w:val="center"/>
          </w:tcPr>
          <w:p w14:paraId="10CBF979">
            <w:pPr>
              <w:pageBreakBefore w:val="0"/>
              <w:kinsoku/>
              <w:wordWrap/>
              <w:overflowPunct/>
              <w:topLinePunct w:val="0"/>
              <w:autoSpaceDE/>
              <w:autoSpaceDN/>
              <w:bidi w:val="0"/>
              <w:adjustRightInd/>
              <w:spacing w:line="360" w:lineRule="auto"/>
              <w:textAlignment w:val="auto"/>
              <w:rPr>
                <w:rFonts w:ascii="宋体" w:hAnsi="宋体"/>
                <w:color w:val="auto"/>
                <w:szCs w:val="21"/>
                <w:highlight w:val="none"/>
              </w:rPr>
            </w:pPr>
          </w:p>
        </w:tc>
      </w:tr>
    </w:tbl>
    <w:p w14:paraId="3085FC8E">
      <w:pPr>
        <w:pageBreakBefore w:val="0"/>
        <w:kinsoku/>
        <w:wordWrap/>
        <w:overflowPunct/>
        <w:topLinePunct w:val="0"/>
        <w:autoSpaceDE/>
        <w:autoSpaceDN/>
        <w:bidi w:val="0"/>
        <w:adjustRightInd/>
        <w:spacing w:line="360" w:lineRule="auto"/>
        <w:contextualSpacing/>
        <w:jc w:val="center"/>
        <w:textAlignment w:val="auto"/>
        <w:rPr>
          <w:rFonts w:ascii="宋体" w:hAnsi="宋体"/>
          <w:b/>
          <w:bCs/>
          <w:color w:val="auto"/>
          <w:sz w:val="32"/>
          <w:szCs w:val="32"/>
          <w:highlight w:val="none"/>
        </w:rPr>
      </w:pPr>
    </w:p>
    <w:p w14:paraId="5920507B">
      <w:pPr>
        <w:pageBreakBefore w:val="0"/>
        <w:kinsoku/>
        <w:wordWrap/>
        <w:overflowPunct/>
        <w:topLinePunct w:val="0"/>
        <w:autoSpaceDE/>
        <w:autoSpaceDN/>
        <w:bidi w:val="0"/>
        <w:adjustRightInd/>
        <w:spacing w:line="360" w:lineRule="auto"/>
        <w:contextualSpacing/>
        <w:jc w:val="center"/>
        <w:textAlignment w:val="auto"/>
        <w:rPr>
          <w:rFonts w:ascii="宋体" w:hAnsi="宋体"/>
          <w:b/>
          <w:bCs/>
          <w:color w:val="auto"/>
          <w:sz w:val="32"/>
          <w:szCs w:val="32"/>
          <w:highlight w:val="none"/>
        </w:rPr>
      </w:pPr>
    </w:p>
    <w:p w14:paraId="2AF8E0BF">
      <w:pPr>
        <w:pageBreakBefore w:val="0"/>
        <w:kinsoku/>
        <w:wordWrap/>
        <w:overflowPunct/>
        <w:topLinePunct w:val="0"/>
        <w:autoSpaceDE/>
        <w:autoSpaceDN/>
        <w:bidi w:val="0"/>
        <w:adjustRightInd/>
        <w:spacing w:line="360" w:lineRule="auto"/>
        <w:contextualSpacing/>
        <w:jc w:val="center"/>
        <w:textAlignment w:val="auto"/>
        <w:rPr>
          <w:rFonts w:ascii="宋体" w:hAnsi="宋体"/>
          <w:b/>
          <w:bCs/>
          <w:color w:val="auto"/>
          <w:sz w:val="32"/>
          <w:szCs w:val="32"/>
          <w:highlight w:val="none"/>
        </w:rPr>
      </w:pPr>
    </w:p>
    <w:p w14:paraId="2DD657C6">
      <w:pPr>
        <w:pageBreakBefore w:val="0"/>
        <w:kinsoku/>
        <w:wordWrap/>
        <w:overflowPunct/>
        <w:topLinePunct w:val="0"/>
        <w:autoSpaceDE/>
        <w:autoSpaceDN/>
        <w:bidi w:val="0"/>
        <w:adjustRightInd/>
        <w:spacing w:line="360" w:lineRule="auto"/>
        <w:contextualSpacing/>
        <w:jc w:val="center"/>
        <w:textAlignment w:val="auto"/>
        <w:rPr>
          <w:rFonts w:ascii="宋体" w:hAnsi="宋体"/>
          <w:b/>
          <w:bCs/>
          <w:color w:val="auto"/>
          <w:sz w:val="32"/>
          <w:szCs w:val="32"/>
          <w:highlight w:val="none"/>
        </w:rPr>
      </w:pPr>
    </w:p>
    <w:p w14:paraId="1E4CC45E">
      <w:pPr>
        <w:pageBreakBefore w:val="0"/>
        <w:kinsoku/>
        <w:wordWrap/>
        <w:overflowPunct/>
        <w:topLinePunct w:val="0"/>
        <w:autoSpaceDE/>
        <w:autoSpaceDN/>
        <w:bidi w:val="0"/>
        <w:adjustRightInd/>
        <w:spacing w:line="360" w:lineRule="auto"/>
        <w:contextualSpacing/>
        <w:jc w:val="center"/>
        <w:textAlignment w:val="auto"/>
        <w:rPr>
          <w:rFonts w:ascii="宋体" w:hAnsi="宋体"/>
          <w:b/>
          <w:bCs/>
          <w:color w:val="auto"/>
          <w:sz w:val="32"/>
          <w:szCs w:val="32"/>
          <w:highlight w:val="none"/>
        </w:rPr>
      </w:pPr>
    </w:p>
    <w:p w14:paraId="5263B678">
      <w:pPr>
        <w:pageBreakBefore w:val="0"/>
        <w:kinsoku/>
        <w:wordWrap/>
        <w:overflowPunct/>
        <w:topLinePunct w:val="0"/>
        <w:autoSpaceDE/>
        <w:autoSpaceDN/>
        <w:bidi w:val="0"/>
        <w:adjustRightInd/>
        <w:spacing w:line="360" w:lineRule="auto"/>
        <w:contextualSpacing/>
        <w:jc w:val="center"/>
        <w:textAlignment w:val="auto"/>
        <w:rPr>
          <w:rFonts w:ascii="宋体" w:hAnsi="宋体"/>
          <w:b/>
          <w:bCs/>
          <w:color w:val="auto"/>
          <w:sz w:val="32"/>
          <w:szCs w:val="32"/>
          <w:highlight w:val="none"/>
        </w:rPr>
      </w:pPr>
    </w:p>
    <w:p w14:paraId="6DF66D35">
      <w:pPr>
        <w:pageBreakBefore w:val="0"/>
        <w:kinsoku/>
        <w:wordWrap/>
        <w:overflowPunct/>
        <w:topLinePunct w:val="0"/>
        <w:autoSpaceDE/>
        <w:autoSpaceDN/>
        <w:bidi w:val="0"/>
        <w:adjustRightInd/>
        <w:spacing w:line="360" w:lineRule="auto"/>
        <w:contextualSpacing/>
        <w:jc w:val="center"/>
        <w:textAlignment w:val="auto"/>
        <w:rPr>
          <w:rFonts w:ascii="宋体" w:hAnsi="宋体"/>
          <w:b/>
          <w:bCs/>
          <w:color w:val="auto"/>
          <w:sz w:val="32"/>
          <w:szCs w:val="32"/>
          <w:highlight w:val="none"/>
        </w:rPr>
      </w:pPr>
    </w:p>
    <w:p w14:paraId="094BDA05">
      <w:pPr>
        <w:pageBreakBefore w:val="0"/>
        <w:kinsoku/>
        <w:wordWrap/>
        <w:overflowPunct/>
        <w:topLinePunct w:val="0"/>
        <w:autoSpaceDE/>
        <w:autoSpaceDN/>
        <w:bidi w:val="0"/>
        <w:adjustRightInd/>
        <w:spacing w:line="360" w:lineRule="auto"/>
        <w:contextualSpacing/>
        <w:jc w:val="center"/>
        <w:textAlignment w:val="auto"/>
        <w:rPr>
          <w:rFonts w:ascii="宋体" w:hAnsi="宋体"/>
          <w:b/>
          <w:bCs/>
          <w:color w:val="auto"/>
          <w:sz w:val="32"/>
          <w:szCs w:val="32"/>
          <w:highlight w:val="none"/>
        </w:rPr>
      </w:pPr>
    </w:p>
    <w:p w14:paraId="77645E88">
      <w:pPr>
        <w:pageBreakBefore w:val="0"/>
        <w:kinsoku/>
        <w:wordWrap/>
        <w:overflowPunct/>
        <w:topLinePunct w:val="0"/>
        <w:autoSpaceDE/>
        <w:autoSpaceDN/>
        <w:bidi w:val="0"/>
        <w:adjustRightInd/>
        <w:spacing w:line="360" w:lineRule="auto"/>
        <w:contextualSpacing/>
        <w:jc w:val="center"/>
        <w:textAlignment w:val="auto"/>
        <w:rPr>
          <w:rFonts w:ascii="宋体" w:hAnsi="宋体"/>
          <w:b/>
          <w:bCs/>
          <w:color w:val="auto"/>
          <w:sz w:val="32"/>
          <w:szCs w:val="32"/>
          <w:highlight w:val="none"/>
        </w:rPr>
      </w:pPr>
    </w:p>
    <w:p w14:paraId="3E5C8AD6">
      <w:pPr>
        <w:pageBreakBefore w:val="0"/>
        <w:kinsoku/>
        <w:wordWrap/>
        <w:overflowPunct/>
        <w:topLinePunct w:val="0"/>
        <w:autoSpaceDE/>
        <w:autoSpaceDN/>
        <w:bidi w:val="0"/>
        <w:adjustRightInd/>
        <w:spacing w:line="360" w:lineRule="auto"/>
        <w:contextualSpacing/>
        <w:jc w:val="center"/>
        <w:textAlignment w:val="auto"/>
        <w:rPr>
          <w:rFonts w:ascii="宋体" w:hAnsi="宋体"/>
          <w:b/>
          <w:bCs/>
          <w:color w:val="auto"/>
          <w:sz w:val="32"/>
          <w:szCs w:val="32"/>
          <w:highlight w:val="none"/>
        </w:rPr>
      </w:pPr>
    </w:p>
    <w:p w14:paraId="13F609DA">
      <w:pPr>
        <w:pageBreakBefore w:val="0"/>
        <w:kinsoku/>
        <w:wordWrap/>
        <w:overflowPunct/>
        <w:topLinePunct w:val="0"/>
        <w:autoSpaceDE/>
        <w:autoSpaceDN/>
        <w:bidi w:val="0"/>
        <w:adjustRightInd/>
        <w:spacing w:line="360" w:lineRule="auto"/>
        <w:contextualSpacing/>
        <w:jc w:val="center"/>
        <w:textAlignment w:val="auto"/>
        <w:rPr>
          <w:rFonts w:ascii="宋体" w:hAnsi="宋体"/>
          <w:b/>
          <w:bCs/>
          <w:color w:val="auto"/>
          <w:sz w:val="32"/>
          <w:szCs w:val="32"/>
          <w:highlight w:val="none"/>
        </w:rPr>
      </w:pPr>
    </w:p>
    <w:p w14:paraId="446D1D39">
      <w:pPr>
        <w:pageBreakBefore w:val="0"/>
        <w:kinsoku/>
        <w:wordWrap/>
        <w:overflowPunct/>
        <w:topLinePunct w:val="0"/>
        <w:autoSpaceDE/>
        <w:autoSpaceDN/>
        <w:bidi w:val="0"/>
        <w:adjustRightInd/>
        <w:spacing w:line="360" w:lineRule="auto"/>
        <w:contextualSpacing/>
        <w:jc w:val="center"/>
        <w:textAlignment w:val="auto"/>
        <w:rPr>
          <w:rFonts w:ascii="宋体" w:hAnsi="宋体"/>
          <w:b/>
          <w:bCs/>
          <w:color w:val="auto"/>
          <w:sz w:val="32"/>
          <w:szCs w:val="32"/>
          <w:highlight w:val="none"/>
        </w:rPr>
      </w:pPr>
    </w:p>
    <w:p w14:paraId="4EB8D183">
      <w:pPr>
        <w:pageBreakBefore w:val="0"/>
        <w:kinsoku/>
        <w:wordWrap/>
        <w:overflowPunct/>
        <w:topLinePunct w:val="0"/>
        <w:autoSpaceDE/>
        <w:autoSpaceDN/>
        <w:bidi w:val="0"/>
        <w:adjustRightInd/>
        <w:spacing w:line="360" w:lineRule="auto"/>
        <w:contextualSpacing/>
        <w:textAlignment w:val="auto"/>
        <w:rPr>
          <w:rFonts w:ascii="宋体" w:hAnsi="宋体"/>
          <w:b/>
          <w:bCs/>
          <w:color w:val="auto"/>
          <w:sz w:val="32"/>
          <w:szCs w:val="32"/>
          <w:highlight w:val="none"/>
        </w:rPr>
      </w:pPr>
    </w:p>
    <w:p w14:paraId="2D421262">
      <w:pPr>
        <w:pStyle w:val="193"/>
        <w:pageBreakBefore w:val="0"/>
        <w:kinsoku/>
        <w:wordWrap/>
        <w:overflowPunct/>
        <w:topLinePunct w:val="0"/>
        <w:autoSpaceDE/>
        <w:autoSpaceDN/>
        <w:bidi w:val="0"/>
        <w:adjustRightInd/>
        <w:spacing w:line="360" w:lineRule="auto"/>
        <w:textAlignment w:val="auto"/>
        <w:rPr>
          <w:rFonts w:ascii="宋体" w:hAnsi="宋体" w:eastAsia="宋体"/>
          <w:color w:val="auto"/>
          <w:sz w:val="28"/>
          <w:szCs w:val="28"/>
          <w:highlight w:val="none"/>
        </w:rPr>
      </w:pPr>
      <w:r>
        <w:rPr>
          <w:rFonts w:hint="eastAsia" w:ascii="宋体" w:hAnsi="宋体" w:eastAsia="宋体"/>
          <w:color w:val="auto"/>
          <w:sz w:val="28"/>
          <w:szCs w:val="28"/>
          <w:highlight w:val="none"/>
        </w:rPr>
        <w:t>三、非实质性响应对照表</w:t>
      </w:r>
    </w:p>
    <w:p w14:paraId="6C895C01">
      <w:pPr>
        <w:pageBreakBefore w:val="0"/>
        <w:kinsoku/>
        <w:wordWrap/>
        <w:overflowPunct/>
        <w:topLinePunct w:val="0"/>
        <w:autoSpaceDE/>
        <w:autoSpaceDN/>
        <w:bidi w:val="0"/>
        <w:adjustRightInd/>
        <w:spacing w:line="360" w:lineRule="auto"/>
        <w:textAlignment w:val="auto"/>
        <w:rPr>
          <w:rFonts w:ascii="宋体" w:hAnsi="宋体"/>
          <w:b/>
          <w:color w:val="auto"/>
          <w:sz w:val="32"/>
          <w:szCs w:val="32"/>
          <w:highlight w:val="none"/>
        </w:rPr>
      </w:pPr>
    </w:p>
    <w:tbl>
      <w:tblPr>
        <w:tblStyle w:val="34"/>
        <w:tblW w:w="83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6"/>
        <w:gridCol w:w="4485"/>
        <w:gridCol w:w="1800"/>
        <w:gridCol w:w="1454"/>
      </w:tblGrid>
      <w:tr w14:paraId="25B2F2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2" w:hRule="atLeast"/>
        </w:trPr>
        <w:tc>
          <w:tcPr>
            <w:tcW w:w="646" w:type="dxa"/>
            <w:noWrap w:val="0"/>
            <w:vAlign w:val="center"/>
          </w:tcPr>
          <w:p w14:paraId="09F2F46C">
            <w:pPr>
              <w:pageBreakBefore w:val="0"/>
              <w:kinsoku/>
              <w:wordWrap/>
              <w:overflowPunct/>
              <w:topLinePunct w:val="0"/>
              <w:autoSpaceDE/>
              <w:autoSpaceDN/>
              <w:bidi w:val="0"/>
              <w:adjustRightInd/>
              <w:spacing w:line="360" w:lineRule="auto"/>
              <w:jc w:val="center"/>
              <w:textAlignment w:val="auto"/>
              <w:rPr>
                <w:rFonts w:ascii="幼圆" w:eastAsia="幼圆"/>
                <w:b/>
                <w:color w:val="auto"/>
                <w:szCs w:val="21"/>
                <w:highlight w:val="none"/>
              </w:rPr>
            </w:pPr>
            <w:r>
              <w:rPr>
                <w:rFonts w:hint="eastAsia" w:ascii="宋体" w:hAnsi="宋体" w:cs="宋体"/>
                <w:b/>
                <w:color w:val="auto"/>
                <w:szCs w:val="21"/>
                <w:highlight w:val="none"/>
              </w:rPr>
              <w:t>序号</w:t>
            </w:r>
          </w:p>
        </w:tc>
        <w:tc>
          <w:tcPr>
            <w:tcW w:w="4485" w:type="dxa"/>
            <w:noWrap w:val="0"/>
            <w:vAlign w:val="center"/>
          </w:tcPr>
          <w:p w14:paraId="32F1AC9A">
            <w:pPr>
              <w:pageBreakBefore w:val="0"/>
              <w:kinsoku/>
              <w:wordWrap/>
              <w:overflowPunct/>
              <w:topLinePunct w:val="0"/>
              <w:autoSpaceDE/>
              <w:autoSpaceDN/>
              <w:bidi w:val="0"/>
              <w:adjustRightInd/>
              <w:spacing w:line="360" w:lineRule="auto"/>
              <w:jc w:val="center"/>
              <w:textAlignment w:val="auto"/>
              <w:rPr>
                <w:rFonts w:ascii="幼圆" w:eastAsia="幼圆"/>
                <w:b/>
                <w:color w:val="auto"/>
                <w:szCs w:val="21"/>
                <w:highlight w:val="none"/>
              </w:rPr>
            </w:pPr>
            <w:r>
              <w:rPr>
                <w:rFonts w:hint="eastAsia" w:ascii="宋体" w:hAnsi="宋体" w:cs="宋体"/>
                <w:b/>
                <w:color w:val="auto"/>
                <w:szCs w:val="21"/>
                <w:highlight w:val="none"/>
              </w:rPr>
              <w:t>非实质性响应内容</w:t>
            </w:r>
          </w:p>
        </w:tc>
        <w:tc>
          <w:tcPr>
            <w:tcW w:w="1800" w:type="dxa"/>
            <w:noWrap w:val="0"/>
            <w:vAlign w:val="center"/>
          </w:tcPr>
          <w:p w14:paraId="028A9257">
            <w:pPr>
              <w:pageBreakBefore w:val="0"/>
              <w:kinsoku/>
              <w:wordWrap/>
              <w:overflowPunct/>
              <w:topLinePunct w:val="0"/>
              <w:autoSpaceDE/>
              <w:autoSpaceDN/>
              <w:bidi w:val="0"/>
              <w:adjustRightInd/>
              <w:spacing w:line="360" w:lineRule="auto"/>
              <w:jc w:val="center"/>
              <w:textAlignment w:val="auto"/>
              <w:rPr>
                <w:rFonts w:ascii="宋体" w:hAnsi="宋体" w:cs="宋体"/>
                <w:b/>
                <w:color w:val="auto"/>
                <w:szCs w:val="21"/>
                <w:highlight w:val="none"/>
              </w:rPr>
            </w:pPr>
            <w:r>
              <w:rPr>
                <w:rFonts w:hint="eastAsia" w:ascii="宋体" w:hAnsi="宋体" w:cs="宋体"/>
                <w:b/>
                <w:color w:val="auto"/>
                <w:szCs w:val="21"/>
                <w:highlight w:val="none"/>
              </w:rPr>
              <w:t>是否响应</w:t>
            </w:r>
          </w:p>
          <w:p w14:paraId="0FE20109">
            <w:pPr>
              <w:pageBreakBefore w:val="0"/>
              <w:kinsoku/>
              <w:wordWrap/>
              <w:overflowPunct/>
              <w:topLinePunct w:val="0"/>
              <w:autoSpaceDE/>
              <w:autoSpaceDN/>
              <w:bidi w:val="0"/>
              <w:adjustRightInd/>
              <w:spacing w:line="360" w:lineRule="auto"/>
              <w:jc w:val="center"/>
              <w:textAlignment w:val="auto"/>
              <w:rPr>
                <w:rFonts w:ascii="幼圆" w:eastAsia="幼圆"/>
                <w:b/>
                <w:color w:val="auto"/>
                <w:szCs w:val="21"/>
                <w:highlight w:val="none"/>
              </w:rPr>
            </w:pPr>
            <w:r>
              <w:rPr>
                <w:rFonts w:hint="eastAsia" w:ascii="宋体" w:hAnsi="宋体" w:cs="宋体"/>
                <w:b/>
                <w:color w:val="auto"/>
                <w:szCs w:val="21"/>
                <w:highlight w:val="none"/>
              </w:rPr>
              <w:t>（填是或者否）</w:t>
            </w:r>
          </w:p>
        </w:tc>
        <w:tc>
          <w:tcPr>
            <w:tcW w:w="1454" w:type="dxa"/>
            <w:noWrap w:val="0"/>
            <w:vAlign w:val="center"/>
          </w:tcPr>
          <w:p w14:paraId="784A6EC0">
            <w:pPr>
              <w:pageBreakBefore w:val="0"/>
              <w:kinsoku/>
              <w:wordWrap/>
              <w:overflowPunct/>
              <w:topLinePunct w:val="0"/>
              <w:autoSpaceDE/>
              <w:autoSpaceDN/>
              <w:bidi w:val="0"/>
              <w:adjustRightInd/>
              <w:spacing w:line="360" w:lineRule="auto"/>
              <w:jc w:val="center"/>
              <w:textAlignment w:val="auto"/>
              <w:rPr>
                <w:rFonts w:ascii="宋体" w:hAnsi="宋体" w:cs="宋体"/>
                <w:b/>
                <w:color w:val="auto"/>
                <w:szCs w:val="21"/>
                <w:highlight w:val="none"/>
              </w:rPr>
            </w:pPr>
            <w:r>
              <w:rPr>
                <w:rFonts w:hint="eastAsia" w:ascii="宋体" w:hAnsi="宋体" w:cs="宋体"/>
                <w:b/>
                <w:color w:val="auto"/>
                <w:szCs w:val="21"/>
                <w:highlight w:val="none"/>
              </w:rPr>
              <w:t>响应情况</w:t>
            </w:r>
          </w:p>
        </w:tc>
      </w:tr>
      <w:tr w14:paraId="190C3A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46" w:type="dxa"/>
            <w:noWrap w:val="0"/>
            <w:vAlign w:val="center"/>
          </w:tcPr>
          <w:p w14:paraId="28EC631B">
            <w:pPr>
              <w:pageBreakBefore w:val="0"/>
              <w:kinsoku/>
              <w:wordWrap/>
              <w:overflowPunct/>
              <w:topLinePunct w:val="0"/>
              <w:autoSpaceDE/>
              <w:autoSpaceDN/>
              <w:bidi w:val="0"/>
              <w:adjustRightInd/>
              <w:spacing w:line="360" w:lineRule="auto"/>
              <w:jc w:val="center"/>
              <w:textAlignment w:val="auto"/>
              <w:rPr>
                <w:rFonts w:ascii="宋体" w:hAnsi="宋体"/>
                <w:b/>
                <w:color w:val="auto"/>
                <w:szCs w:val="21"/>
                <w:highlight w:val="none"/>
              </w:rPr>
            </w:pPr>
            <w:r>
              <w:rPr>
                <w:rFonts w:hint="eastAsia" w:ascii="宋体" w:hAnsi="宋体"/>
                <w:color w:val="auto"/>
                <w:szCs w:val="21"/>
                <w:highlight w:val="none"/>
              </w:rPr>
              <w:t>1</w:t>
            </w:r>
          </w:p>
        </w:tc>
        <w:tc>
          <w:tcPr>
            <w:tcW w:w="4485" w:type="dxa"/>
            <w:noWrap w:val="0"/>
            <w:vAlign w:val="center"/>
          </w:tcPr>
          <w:p w14:paraId="0D3CCECA">
            <w:pPr>
              <w:pageBreakBefore w:val="0"/>
              <w:kinsoku/>
              <w:wordWrap/>
              <w:overflowPunct/>
              <w:topLinePunct w:val="0"/>
              <w:autoSpaceDE/>
              <w:autoSpaceDN/>
              <w:bidi w:val="0"/>
              <w:adjustRightInd/>
              <w:spacing w:line="360" w:lineRule="auto"/>
              <w:textAlignment w:val="auto"/>
              <w:rPr>
                <w:rFonts w:ascii="宋体" w:hAnsi="宋体"/>
                <w:iCs/>
                <w:color w:val="auto"/>
                <w:szCs w:val="21"/>
                <w:highlight w:val="none"/>
              </w:rPr>
            </w:pPr>
            <w:r>
              <w:rPr>
                <w:rFonts w:hint="eastAsia" w:ascii="宋体" w:hAnsi="宋体"/>
                <w:color w:val="auto"/>
                <w:szCs w:val="21"/>
                <w:highlight w:val="none"/>
              </w:rPr>
              <w:t>《残疾人福利性单位声明函》</w:t>
            </w:r>
          </w:p>
        </w:tc>
        <w:tc>
          <w:tcPr>
            <w:tcW w:w="1800" w:type="dxa"/>
            <w:noWrap w:val="0"/>
            <w:vAlign w:val="center"/>
          </w:tcPr>
          <w:p w14:paraId="33F1595C">
            <w:pPr>
              <w:pageBreakBefore w:val="0"/>
              <w:kinsoku/>
              <w:wordWrap/>
              <w:overflowPunct/>
              <w:topLinePunct w:val="0"/>
              <w:autoSpaceDE/>
              <w:autoSpaceDN/>
              <w:bidi w:val="0"/>
              <w:adjustRightInd/>
              <w:spacing w:line="360" w:lineRule="auto"/>
              <w:textAlignment w:val="auto"/>
              <w:rPr>
                <w:rFonts w:ascii="宋体" w:hAnsi="宋体"/>
                <w:b/>
                <w:color w:val="auto"/>
                <w:szCs w:val="21"/>
                <w:highlight w:val="none"/>
              </w:rPr>
            </w:pPr>
          </w:p>
        </w:tc>
        <w:tc>
          <w:tcPr>
            <w:tcW w:w="1454" w:type="dxa"/>
            <w:noWrap w:val="0"/>
            <w:vAlign w:val="center"/>
          </w:tcPr>
          <w:p w14:paraId="437B7CCF">
            <w:pPr>
              <w:pageBreakBefore w:val="0"/>
              <w:kinsoku/>
              <w:wordWrap/>
              <w:overflowPunct/>
              <w:topLinePunct w:val="0"/>
              <w:autoSpaceDE/>
              <w:autoSpaceDN/>
              <w:bidi w:val="0"/>
              <w:adjustRightInd/>
              <w:spacing w:line="360" w:lineRule="auto"/>
              <w:textAlignment w:val="auto"/>
              <w:rPr>
                <w:rFonts w:ascii="宋体" w:hAnsi="宋体"/>
                <w:b/>
                <w:color w:val="auto"/>
                <w:szCs w:val="21"/>
                <w:highlight w:val="none"/>
              </w:rPr>
            </w:pPr>
          </w:p>
        </w:tc>
      </w:tr>
      <w:tr w14:paraId="7F6E31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46" w:type="dxa"/>
            <w:noWrap w:val="0"/>
            <w:vAlign w:val="center"/>
          </w:tcPr>
          <w:p w14:paraId="3FA9C766">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r>
              <w:rPr>
                <w:rFonts w:hint="eastAsia" w:ascii="宋体" w:hAnsi="宋体"/>
                <w:color w:val="auto"/>
                <w:szCs w:val="21"/>
                <w:highlight w:val="none"/>
              </w:rPr>
              <w:t>2</w:t>
            </w:r>
          </w:p>
        </w:tc>
        <w:tc>
          <w:tcPr>
            <w:tcW w:w="4485" w:type="dxa"/>
            <w:noWrap w:val="0"/>
            <w:vAlign w:val="center"/>
          </w:tcPr>
          <w:p w14:paraId="449FED6F">
            <w:pPr>
              <w:pageBreakBefore w:val="0"/>
              <w:kinsoku/>
              <w:wordWrap/>
              <w:overflowPunct/>
              <w:topLinePunct w:val="0"/>
              <w:autoSpaceDE/>
              <w:autoSpaceDN/>
              <w:bidi w:val="0"/>
              <w:adjustRightInd/>
              <w:spacing w:line="360" w:lineRule="auto"/>
              <w:textAlignment w:val="auto"/>
              <w:rPr>
                <w:rFonts w:ascii="宋体" w:hAnsi="宋体"/>
                <w:iCs/>
                <w:color w:val="auto"/>
                <w:szCs w:val="21"/>
                <w:highlight w:val="none"/>
              </w:rPr>
            </w:pPr>
            <w:r>
              <w:rPr>
                <w:rFonts w:ascii="宋体" w:hAnsi="宋体"/>
                <w:iCs/>
                <w:color w:val="auto"/>
                <w:szCs w:val="21"/>
                <w:highlight w:val="none"/>
              </w:rPr>
              <w:t>……</w:t>
            </w:r>
          </w:p>
        </w:tc>
        <w:tc>
          <w:tcPr>
            <w:tcW w:w="1800" w:type="dxa"/>
            <w:noWrap w:val="0"/>
            <w:vAlign w:val="center"/>
          </w:tcPr>
          <w:p w14:paraId="0A7111D3">
            <w:pPr>
              <w:pageBreakBefore w:val="0"/>
              <w:kinsoku/>
              <w:wordWrap/>
              <w:overflowPunct/>
              <w:topLinePunct w:val="0"/>
              <w:autoSpaceDE/>
              <w:autoSpaceDN/>
              <w:bidi w:val="0"/>
              <w:adjustRightInd/>
              <w:spacing w:line="360" w:lineRule="auto"/>
              <w:textAlignment w:val="auto"/>
              <w:rPr>
                <w:rFonts w:ascii="宋体" w:hAnsi="宋体"/>
                <w:color w:val="auto"/>
                <w:szCs w:val="21"/>
                <w:highlight w:val="none"/>
              </w:rPr>
            </w:pPr>
          </w:p>
        </w:tc>
        <w:tc>
          <w:tcPr>
            <w:tcW w:w="1454" w:type="dxa"/>
            <w:noWrap w:val="0"/>
            <w:vAlign w:val="center"/>
          </w:tcPr>
          <w:p w14:paraId="3A90995C">
            <w:pPr>
              <w:pageBreakBefore w:val="0"/>
              <w:kinsoku/>
              <w:wordWrap/>
              <w:overflowPunct/>
              <w:topLinePunct w:val="0"/>
              <w:autoSpaceDE/>
              <w:autoSpaceDN/>
              <w:bidi w:val="0"/>
              <w:adjustRightInd/>
              <w:spacing w:line="360" w:lineRule="auto"/>
              <w:textAlignment w:val="auto"/>
              <w:rPr>
                <w:rFonts w:ascii="宋体" w:hAnsi="宋体"/>
                <w:color w:val="auto"/>
                <w:szCs w:val="21"/>
                <w:highlight w:val="none"/>
              </w:rPr>
            </w:pPr>
          </w:p>
        </w:tc>
      </w:tr>
      <w:tr w14:paraId="22A199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646" w:type="dxa"/>
            <w:noWrap w:val="0"/>
            <w:vAlign w:val="center"/>
          </w:tcPr>
          <w:p w14:paraId="67D57EC8">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r>
              <w:rPr>
                <w:rFonts w:hint="eastAsia" w:ascii="宋体" w:hAnsi="宋体"/>
                <w:color w:val="auto"/>
                <w:szCs w:val="21"/>
                <w:highlight w:val="none"/>
              </w:rPr>
              <w:t>3</w:t>
            </w:r>
          </w:p>
        </w:tc>
        <w:tc>
          <w:tcPr>
            <w:tcW w:w="4485" w:type="dxa"/>
            <w:noWrap w:val="0"/>
            <w:vAlign w:val="center"/>
          </w:tcPr>
          <w:p w14:paraId="7513A70F">
            <w:pPr>
              <w:pageBreakBefore w:val="0"/>
              <w:kinsoku/>
              <w:wordWrap/>
              <w:overflowPunct/>
              <w:topLinePunct w:val="0"/>
              <w:autoSpaceDE/>
              <w:autoSpaceDN/>
              <w:bidi w:val="0"/>
              <w:adjustRightInd/>
              <w:spacing w:line="360" w:lineRule="auto"/>
              <w:textAlignment w:val="auto"/>
              <w:rPr>
                <w:rFonts w:ascii="宋体" w:hAnsi="宋体"/>
                <w:iCs/>
                <w:color w:val="auto"/>
                <w:szCs w:val="21"/>
                <w:highlight w:val="none"/>
              </w:rPr>
            </w:pPr>
            <w:r>
              <w:rPr>
                <w:rFonts w:ascii="宋体" w:hAnsi="宋体"/>
                <w:iCs/>
                <w:color w:val="auto"/>
                <w:szCs w:val="21"/>
                <w:highlight w:val="none"/>
              </w:rPr>
              <w:t>……</w:t>
            </w:r>
          </w:p>
        </w:tc>
        <w:tc>
          <w:tcPr>
            <w:tcW w:w="1800" w:type="dxa"/>
            <w:noWrap w:val="0"/>
            <w:vAlign w:val="center"/>
          </w:tcPr>
          <w:p w14:paraId="68B22424">
            <w:pPr>
              <w:pageBreakBefore w:val="0"/>
              <w:kinsoku/>
              <w:wordWrap/>
              <w:overflowPunct/>
              <w:topLinePunct w:val="0"/>
              <w:autoSpaceDE/>
              <w:autoSpaceDN/>
              <w:bidi w:val="0"/>
              <w:adjustRightInd/>
              <w:spacing w:line="360" w:lineRule="auto"/>
              <w:textAlignment w:val="auto"/>
              <w:rPr>
                <w:rFonts w:ascii="宋体" w:hAnsi="宋体"/>
                <w:color w:val="auto"/>
                <w:szCs w:val="21"/>
                <w:highlight w:val="none"/>
              </w:rPr>
            </w:pPr>
          </w:p>
        </w:tc>
        <w:tc>
          <w:tcPr>
            <w:tcW w:w="1454" w:type="dxa"/>
            <w:noWrap w:val="0"/>
            <w:vAlign w:val="center"/>
          </w:tcPr>
          <w:p w14:paraId="33068AC8">
            <w:pPr>
              <w:pageBreakBefore w:val="0"/>
              <w:kinsoku/>
              <w:wordWrap/>
              <w:overflowPunct/>
              <w:topLinePunct w:val="0"/>
              <w:autoSpaceDE/>
              <w:autoSpaceDN/>
              <w:bidi w:val="0"/>
              <w:adjustRightInd/>
              <w:spacing w:line="360" w:lineRule="auto"/>
              <w:textAlignment w:val="auto"/>
              <w:rPr>
                <w:rFonts w:ascii="宋体" w:hAnsi="宋体"/>
                <w:color w:val="auto"/>
                <w:szCs w:val="21"/>
                <w:highlight w:val="none"/>
              </w:rPr>
            </w:pPr>
          </w:p>
        </w:tc>
      </w:tr>
    </w:tbl>
    <w:p w14:paraId="506776F6">
      <w:pPr>
        <w:pageBreakBefore w:val="0"/>
        <w:kinsoku/>
        <w:wordWrap/>
        <w:overflowPunct/>
        <w:topLinePunct w:val="0"/>
        <w:autoSpaceDE/>
        <w:autoSpaceDN/>
        <w:bidi w:val="0"/>
        <w:adjustRightInd/>
        <w:spacing w:line="360" w:lineRule="auto"/>
        <w:contextualSpacing/>
        <w:jc w:val="center"/>
        <w:textAlignment w:val="auto"/>
        <w:rPr>
          <w:rFonts w:ascii="宋体" w:hAnsi="宋体"/>
          <w:b/>
          <w:bCs/>
          <w:color w:val="auto"/>
          <w:sz w:val="32"/>
          <w:szCs w:val="32"/>
          <w:highlight w:val="none"/>
        </w:rPr>
      </w:pPr>
    </w:p>
    <w:p w14:paraId="20729E10">
      <w:pPr>
        <w:pageBreakBefore w:val="0"/>
        <w:kinsoku/>
        <w:wordWrap/>
        <w:overflowPunct/>
        <w:topLinePunct w:val="0"/>
        <w:autoSpaceDE/>
        <w:autoSpaceDN/>
        <w:bidi w:val="0"/>
        <w:adjustRightInd/>
        <w:spacing w:line="360" w:lineRule="auto"/>
        <w:contextualSpacing/>
        <w:jc w:val="center"/>
        <w:textAlignment w:val="auto"/>
        <w:rPr>
          <w:rFonts w:ascii="宋体" w:hAnsi="宋体"/>
          <w:b/>
          <w:bCs/>
          <w:color w:val="auto"/>
          <w:sz w:val="32"/>
          <w:szCs w:val="32"/>
          <w:highlight w:val="none"/>
        </w:rPr>
      </w:pPr>
    </w:p>
    <w:p w14:paraId="76020E0A">
      <w:pPr>
        <w:pageBreakBefore w:val="0"/>
        <w:kinsoku/>
        <w:wordWrap/>
        <w:overflowPunct/>
        <w:topLinePunct w:val="0"/>
        <w:autoSpaceDE/>
        <w:autoSpaceDN/>
        <w:bidi w:val="0"/>
        <w:adjustRightInd/>
        <w:spacing w:line="360" w:lineRule="auto"/>
        <w:textAlignment w:val="auto"/>
        <w:rPr>
          <w:color w:val="auto"/>
          <w:highlight w:val="none"/>
        </w:rPr>
      </w:pPr>
    </w:p>
    <w:p w14:paraId="6C8BD091">
      <w:pPr>
        <w:pageBreakBefore w:val="0"/>
        <w:widowControl/>
        <w:kinsoku/>
        <w:wordWrap/>
        <w:overflowPunct/>
        <w:topLinePunct w:val="0"/>
        <w:autoSpaceDE/>
        <w:autoSpaceDN/>
        <w:bidi w:val="0"/>
        <w:adjustRightInd/>
        <w:spacing w:line="360" w:lineRule="auto"/>
        <w:jc w:val="left"/>
        <w:textAlignment w:val="auto"/>
        <w:rPr>
          <w:rFonts w:ascii="宋体" w:hAnsi="宋体" w:cs="Arial"/>
          <w:b/>
          <w:bCs/>
          <w:color w:val="auto"/>
          <w:highlight w:val="none"/>
        </w:rPr>
      </w:pPr>
    </w:p>
    <w:p w14:paraId="7A41083B">
      <w:pPr>
        <w:pageBreakBefore w:val="0"/>
        <w:widowControl/>
        <w:kinsoku/>
        <w:wordWrap/>
        <w:overflowPunct/>
        <w:topLinePunct w:val="0"/>
        <w:autoSpaceDE/>
        <w:autoSpaceDN/>
        <w:bidi w:val="0"/>
        <w:adjustRightInd/>
        <w:spacing w:line="360" w:lineRule="auto"/>
        <w:jc w:val="left"/>
        <w:textAlignment w:val="auto"/>
        <w:rPr>
          <w:rFonts w:ascii="宋体" w:hAnsi="宋体" w:cs="Arial"/>
          <w:b/>
          <w:bCs/>
          <w:color w:val="auto"/>
          <w:highlight w:val="none"/>
        </w:rPr>
      </w:pPr>
    </w:p>
    <w:p w14:paraId="76996CB0">
      <w:pPr>
        <w:pageBreakBefore w:val="0"/>
        <w:widowControl/>
        <w:kinsoku/>
        <w:wordWrap/>
        <w:overflowPunct/>
        <w:topLinePunct w:val="0"/>
        <w:autoSpaceDE/>
        <w:autoSpaceDN/>
        <w:bidi w:val="0"/>
        <w:adjustRightInd/>
        <w:spacing w:line="360" w:lineRule="auto"/>
        <w:jc w:val="left"/>
        <w:textAlignment w:val="auto"/>
        <w:rPr>
          <w:rFonts w:ascii="宋体" w:hAnsi="宋体" w:cs="Arial"/>
          <w:b/>
          <w:bCs/>
          <w:color w:val="auto"/>
          <w:highlight w:val="none"/>
        </w:rPr>
      </w:pPr>
    </w:p>
    <w:p w14:paraId="060358CE">
      <w:pPr>
        <w:pageBreakBefore w:val="0"/>
        <w:widowControl/>
        <w:kinsoku/>
        <w:wordWrap/>
        <w:overflowPunct/>
        <w:topLinePunct w:val="0"/>
        <w:autoSpaceDE/>
        <w:autoSpaceDN/>
        <w:bidi w:val="0"/>
        <w:adjustRightInd/>
        <w:spacing w:line="360" w:lineRule="auto"/>
        <w:jc w:val="left"/>
        <w:textAlignment w:val="auto"/>
        <w:rPr>
          <w:rFonts w:ascii="宋体" w:hAnsi="宋体" w:cs="Arial"/>
          <w:b/>
          <w:bCs/>
          <w:color w:val="auto"/>
          <w:highlight w:val="none"/>
        </w:rPr>
      </w:pPr>
    </w:p>
    <w:p w14:paraId="1DA8F282">
      <w:pPr>
        <w:pageBreakBefore w:val="0"/>
        <w:widowControl/>
        <w:kinsoku/>
        <w:wordWrap/>
        <w:overflowPunct/>
        <w:topLinePunct w:val="0"/>
        <w:autoSpaceDE/>
        <w:autoSpaceDN/>
        <w:bidi w:val="0"/>
        <w:adjustRightInd/>
        <w:spacing w:line="360" w:lineRule="auto"/>
        <w:jc w:val="left"/>
        <w:textAlignment w:val="auto"/>
        <w:rPr>
          <w:rFonts w:ascii="宋体" w:hAnsi="宋体" w:cs="Arial"/>
          <w:b/>
          <w:bCs/>
          <w:color w:val="auto"/>
          <w:highlight w:val="none"/>
        </w:rPr>
      </w:pPr>
    </w:p>
    <w:p w14:paraId="5CD6A3FE">
      <w:pPr>
        <w:pageBreakBefore w:val="0"/>
        <w:widowControl/>
        <w:kinsoku/>
        <w:wordWrap/>
        <w:overflowPunct/>
        <w:topLinePunct w:val="0"/>
        <w:autoSpaceDE/>
        <w:autoSpaceDN/>
        <w:bidi w:val="0"/>
        <w:adjustRightInd/>
        <w:spacing w:line="360" w:lineRule="auto"/>
        <w:jc w:val="left"/>
        <w:textAlignment w:val="auto"/>
        <w:rPr>
          <w:rFonts w:ascii="宋体" w:hAnsi="宋体" w:cs="Arial"/>
          <w:b/>
          <w:bCs/>
          <w:color w:val="auto"/>
          <w:highlight w:val="none"/>
        </w:rPr>
      </w:pPr>
    </w:p>
    <w:p w14:paraId="13E5530C">
      <w:pPr>
        <w:pageBreakBefore w:val="0"/>
        <w:widowControl/>
        <w:kinsoku/>
        <w:wordWrap/>
        <w:overflowPunct/>
        <w:topLinePunct w:val="0"/>
        <w:autoSpaceDE/>
        <w:autoSpaceDN/>
        <w:bidi w:val="0"/>
        <w:adjustRightInd/>
        <w:spacing w:line="360" w:lineRule="auto"/>
        <w:jc w:val="left"/>
        <w:textAlignment w:val="auto"/>
        <w:rPr>
          <w:rFonts w:ascii="宋体" w:hAnsi="宋体" w:cs="Arial"/>
          <w:b/>
          <w:bCs/>
          <w:color w:val="auto"/>
          <w:highlight w:val="none"/>
        </w:rPr>
      </w:pPr>
    </w:p>
    <w:p w14:paraId="4454EB12">
      <w:pPr>
        <w:pageBreakBefore w:val="0"/>
        <w:widowControl/>
        <w:kinsoku/>
        <w:wordWrap/>
        <w:overflowPunct/>
        <w:topLinePunct w:val="0"/>
        <w:autoSpaceDE/>
        <w:autoSpaceDN/>
        <w:bidi w:val="0"/>
        <w:adjustRightInd/>
        <w:spacing w:line="360" w:lineRule="auto"/>
        <w:jc w:val="left"/>
        <w:textAlignment w:val="auto"/>
        <w:rPr>
          <w:rFonts w:ascii="宋体" w:hAnsi="宋体" w:cs="Arial"/>
          <w:b/>
          <w:bCs/>
          <w:color w:val="auto"/>
          <w:highlight w:val="none"/>
        </w:rPr>
      </w:pPr>
    </w:p>
    <w:p w14:paraId="31D544AE">
      <w:pPr>
        <w:pageBreakBefore w:val="0"/>
        <w:widowControl/>
        <w:kinsoku/>
        <w:wordWrap/>
        <w:overflowPunct/>
        <w:topLinePunct w:val="0"/>
        <w:autoSpaceDE/>
        <w:autoSpaceDN/>
        <w:bidi w:val="0"/>
        <w:adjustRightInd/>
        <w:spacing w:line="360" w:lineRule="auto"/>
        <w:jc w:val="left"/>
        <w:textAlignment w:val="auto"/>
        <w:rPr>
          <w:rFonts w:ascii="宋体" w:hAnsi="宋体" w:cs="Arial"/>
          <w:b/>
          <w:bCs/>
          <w:color w:val="auto"/>
          <w:highlight w:val="none"/>
        </w:rPr>
      </w:pPr>
    </w:p>
    <w:p w14:paraId="3F9EF772">
      <w:pPr>
        <w:pageBreakBefore w:val="0"/>
        <w:widowControl/>
        <w:kinsoku/>
        <w:wordWrap/>
        <w:overflowPunct/>
        <w:topLinePunct w:val="0"/>
        <w:autoSpaceDE/>
        <w:autoSpaceDN/>
        <w:bidi w:val="0"/>
        <w:adjustRightInd/>
        <w:spacing w:line="360" w:lineRule="auto"/>
        <w:jc w:val="left"/>
        <w:textAlignment w:val="auto"/>
        <w:rPr>
          <w:rFonts w:ascii="宋体" w:hAnsi="宋体" w:cs="Arial"/>
          <w:b/>
          <w:bCs/>
          <w:color w:val="auto"/>
          <w:highlight w:val="none"/>
        </w:rPr>
      </w:pPr>
    </w:p>
    <w:p w14:paraId="599F0A94">
      <w:pPr>
        <w:pageBreakBefore w:val="0"/>
        <w:widowControl/>
        <w:kinsoku/>
        <w:wordWrap/>
        <w:overflowPunct/>
        <w:topLinePunct w:val="0"/>
        <w:autoSpaceDE/>
        <w:autoSpaceDN/>
        <w:bidi w:val="0"/>
        <w:adjustRightInd/>
        <w:spacing w:line="360" w:lineRule="auto"/>
        <w:jc w:val="left"/>
        <w:textAlignment w:val="auto"/>
        <w:rPr>
          <w:rFonts w:ascii="宋体" w:hAnsi="宋体" w:cs="Arial"/>
          <w:b/>
          <w:bCs/>
          <w:color w:val="auto"/>
          <w:highlight w:val="none"/>
        </w:rPr>
      </w:pPr>
    </w:p>
    <w:p w14:paraId="3390E5EC">
      <w:pPr>
        <w:pageBreakBefore w:val="0"/>
        <w:widowControl/>
        <w:kinsoku/>
        <w:wordWrap/>
        <w:overflowPunct/>
        <w:topLinePunct w:val="0"/>
        <w:autoSpaceDE/>
        <w:autoSpaceDN/>
        <w:bidi w:val="0"/>
        <w:adjustRightInd/>
        <w:spacing w:line="360" w:lineRule="auto"/>
        <w:jc w:val="left"/>
        <w:textAlignment w:val="auto"/>
        <w:rPr>
          <w:rFonts w:ascii="宋体" w:hAnsi="宋体" w:cs="Arial"/>
          <w:b/>
          <w:bCs/>
          <w:color w:val="auto"/>
          <w:highlight w:val="none"/>
        </w:rPr>
      </w:pPr>
    </w:p>
    <w:p w14:paraId="78626E8E">
      <w:pPr>
        <w:pageBreakBefore w:val="0"/>
        <w:widowControl/>
        <w:kinsoku/>
        <w:wordWrap/>
        <w:overflowPunct/>
        <w:topLinePunct w:val="0"/>
        <w:autoSpaceDE/>
        <w:autoSpaceDN/>
        <w:bidi w:val="0"/>
        <w:adjustRightInd/>
        <w:spacing w:line="360" w:lineRule="auto"/>
        <w:jc w:val="left"/>
        <w:textAlignment w:val="auto"/>
        <w:rPr>
          <w:rFonts w:ascii="宋体" w:hAnsi="宋体" w:cs="Arial"/>
          <w:b/>
          <w:bCs/>
          <w:color w:val="auto"/>
          <w:highlight w:val="none"/>
        </w:rPr>
      </w:pPr>
    </w:p>
    <w:p w14:paraId="6861D27A">
      <w:pPr>
        <w:pageBreakBefore w:val="0"/>
        <w:widowControl/>
        <w:kinsoku/>
        <w:wordWrap/>
        <w:overflowPunct/>
        <w:topLinePunct w:val="0"/>
        <w:autoSpaceDE/>
        <w:autoSpaceDN/>
        <w:bidi w:val="0"/>
        <w:adjustRightInd/>
        <w:spacing w:line="360" w:lineRule="auto"/>
        <w:jc w:val="left"/>
        <w:textAlignment w:val="auto"/>
        <w:rPr>
          <w:rFonts w:ascii="宋体" w:hAnsi="宋体" w:cs="Arial"/>
          <w:b/>
          <w:bCs/>
          <w:color w:val="auto"/>
          <w:highlight w:val="none"/>
        </w:rPr>
      </w:pPr>
    </w:p>
    <w:p w14:paraId="4ABDD707">
      <w:pPr>
        <w:pageBreakBefore w:val="0"/>
        <w:widowControl/>
        <w:kinsoku/>
        <w:wordWrap/>
        <w:overflowPunct/>
        <w:topLinePunct w:val="0"/>
        <w:autoSpaceDE/>
        <w:autoSpaceDN/>
        <w:bidi w:val="0"/>
        <w:adjustRightInd/>
        <w:spacing w:line="360" w:lineRule="auto"/>
        <w:jc w:val="left"/>
        <w:textAlignment w:val="auto"/>
        <w:rPr>
          <w:rFonts w:ascii="宋体" w:hAnsi="宋体" w:cs="Arial"/>
          <w:b/>
          <w:bCs/>
          <w:color w:val="auto"/>
          <w:highlight w:val="none"/>
        </w:rPr>
      </w:pPr>
    </w:p>
    <w:p w14:paraId="5F0B6DBE">
      <w:pPr>
        <w:pageBreakBefore w:val="0"/>
        <w:widowControl/>
        <w:kinsoku/>
        <w:wordWrap/>
        <w:overflowPunct/>
        <w:topLinePunct w:val="0"/>
        <w:autoSpaceDE/>
        <w:autoSpaceDN/>
        <w:bidi w:val="0"/>
        <w:adjustRightInd/>
        <w:spacing w:line="360" w:lineRule="auto"/>
        <w:jc w:val="left"/>
        <w:textAlignment w:val="auto"/>
        <w:rPr>
          <w:rFonts w:ascii="宋体" w:hAnsi="宋体" w:cs="Arial"/>
          <w:b/>
          <w:bCs/>
          <w:color w:val="auto"/>
          <w:highlight w:val="none"/>
        </w:rPr>
      </w:pPr>
    </w:p>
    <w:p w14:paraId="0EDF4C88">
      <w:pPr>
        <w:pageBreakBefore w:val="0"/>
        <w:widowControl/>
        <w:kinsoku/>
        <w:wordWrap/>
        <w:overflowPunct/>
        <w:topLinePunct w:val="0"/>
        <w:autoSpaceDE/>
        <w:autoSpaceDN/>
        <w:bidi w:val="0"/>
        <w:adjustRightInd/>
        <w:spacing w:line="360" w:lineRule="auto"/>
        <w:jc w:val="left"/>
        <w:textAlignment w:val="auto"/>
        <w:rPr>
          <w:rFonts w:ascii="宋体" w:hAnsi="宋体" w:cs="Arial"/>
          <w:b/>
          <w:bCs/>
          <w:color w:val="auto"/>
          <w:highlight w:val="none"/>
        </w:rPr>
      </w:pPr>
    </w:p>
    <w:p w14:paraId="745E0DA9">
      <w:pPr>
        <w:pageBreakBefore w:val="0"/>
        <w:widowControl/>
        <w:kinsoku/>
        <w:wordWrap/>
        <w:overflowPunct/>
        <w:topLinePunct w:val="0"/>
        <w:autoSpaceDE/>
        <w:autoSpaceDN/>
        <w:bidi w:val="0"/>
        <w:adjustRightInd/>
        <w:spacing w:line="360" w:lineRule="auto"/>
        <w:jc w:val="left"/>
        <w:textAlignment w:val="auto"/>
        <w:rPr>
          <w:rFonts w:ascii="宋体" w:hAnsi="宋体" w:cs="Arial"/>
          <w:b/>
          <w:bCs/>
          <w:color w:val="auto"/>
          <w:highlight w:val="none"/>
        </w:rPr>
      </w:pPr>
    </w:p>
    <w:p w14:paraId="26362D43">
      <w:pPr>
        <w:pageBreakBefore w:val="0"/>
        <w:widowControl/>
        <w:kinsoku/>
        <w:wordWrap/>
        <w:overflowPunct/>
        <w:topLinePunct w:val="0"/>
        <w:autoSpaceDE/>
        <w:autoSpaceDN/>
        <w:bidi w:val="0"/>
        <w:adjustRightInd/>
        <w:spacing w:line="360" w:lineRule="auto"/>
        <w:jc w:val="left"/>
        <w:textAlignment w:val="auto"/>
        <w:rPr>
          <w:rFonts w:ascii="宋体" w:hAnsi="宋体" w:cs="Arial"/>
          <w:b/>
          <w:bCs/>
          <w:color w:val="auto"/>
          <w:highlight w:val="none"/>
        </w:rPr>
      </w:pPr>
    </w:p>
    <w:p w14:paraId="2807DB87">
      <w:pPr>
        <w:pageBreakBefore w:val="0"/>
        <w:kinsoku/>
        <w:wordWrap/>
        <w:overflowPunct/>
        <w:topLinePunct w:val="0"/>
        <w:autoSpaceDE/>
        <w:autoSpaceDN/>
        <w:bidi w:val="0"/>
        <w:adjustRightInd/>
        <w:spacing w:before="312" w:after="312" w:line="360" w:lineRule="auto"/>
        <w:jc w:val="center"/>
        <w:textAlignment w:val="auto"/>
        <w:rPr>
          <w:b/>
          <w:bCs/>
          <w:color w:val="auto"/>
          <w:sz w:val="28"/>
          <w:szCs w:val="28"/>
          <w:highlight w:val="none"/>
        </w:rPr>
      </w:pPr>
      <w:r>
        <w:rPr>
          <w:rFonts w:hint="eastAsia"/>
          <w:b/>
          <w:bCs/>
          <w:color w:val="auto"/>
          <w:sz w:val="28"/>
          <w:szCs w:val="28"/>
          <w:highlight w:val="none"/>
        </w:rPr>
        <w:t>中小企业声明函（工程、服务）</w:t>
      </w:r>
    </w:p>
    <w:p w14:paraId="3ADD02E3">
      <w:pPr>
        <w:pageBreakBefore w:val="0"/>
        <w:kinsoku/>
        <w:wordWrap/>
        <w:overflowPunct/>
        <w:topLinePunct w:val="0"/>
        <w:autoSpaceDE/>
        <w:autoSpaceDN/>
        <w:bidi w:val="0"/>
        <w:adjustRightInd/>
        <w:spacing w:line="360" w:lineRule="auto"/>
        <w:ind w:firstLine="420"/>
        <w:jc w:val="left"/>
        <w:textAlignment w:val="auto"/>
        <w:rPr>
          <w:color w:val="auto"/>
          <w:highlight w:val="none"/>
        </w:rPr>
      </w:pPr>
      <w:r>
        <w:rPr>
          <w:rFonts w:hint="eastAsia"/>
          <w:color w:val="auto"/>
          <w:highlight w:val="none"/>
        </w:rPr>
        <w:t>本公司（联合体）郑重声明，根据《政府采购促进中小企业发展管理办法》（财库﹝2020﹞46 号）的规定，本公司（联合体）参加</w:t>
      </w:r>
      <w:r>
        <w:rPr>
          <w:rFonts w:hint="eastAsia"/>
          <w:color w:val="auto"/>
          <w:highlight w:val="none"/>
          <w:u w:val="single"/>
        </w:rPr>
        <w:t>（单位名称）</w:t>
      </w:r>
      <w:r>
        <w:rPr>
          <w:rFonts w:hint="eastAsia"/>
          <w:color w:val="auto"/>
          <w:highlight w:val="none"/>
        </w:rPr>
        <w:t>的</w:t>
      </w:r>
      <w:r>
        <w:rPr>
          <w:rFonts w:hint="eastAsia"/>
          <w:color w:val="auto"/>
          <w:highlight w:val="none"/>
          <w:u w:val="single"/>
        </w:rPr>
        <w:t>（项目名称）</w:t>
      </w:r>
      <w:r>
        <w:rPr>
          <w:rFonts w:hint="eastAsia"/>
          <w:color w:val="auto"/>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30FBBE8E">
      <w:pPr>
        <w:pageBreakBefore w:val="0"/>
        <w:kinsoku/>
        <w:wordWrap/>
        <w:overflowPunct/>
        <w:topLinePunct w:val="0"/>
        <w:autoSpaceDE/>
        <w:autoSpaceDN/>
        <w:bidi w:val="0"/>
        <w:adjustRightInd/>
        <w:spacing w:line="360" w:lineRule="auto"/>
        <w:ind w:firstLine="420"/>
        <w:jc w:val="left"/>
        <w:textAlignment w:val="auto"/>
        <w:rPr>
          <w:color w:val="auto"/>
          <w:highlight w:val="none"/>
          <w:u w:val="single"/>
        </w:rPr>
      </w:pPr>
      <w:r>
        <w:rPr>
          <w:rFonts w:hint="eastAsia"/>
          <w:color w:val="auto"/>
          <w:highlight w:val="none"/>
        </w:rPr>
        <w:t xml:space="preserve">1. </w:t>
      </w:r>
      <w:r>
        <w:rPr>
          <w:rFonts w:hint="eastAsia"/>
          <w:color w:val="auto"/>
          <w:highlight w:val="none"/>
          <w:u w:val="single"/>
        </w:rPr>
        <w:t xml:space="preserve">（标的名称） </w:t>
      </w:r>
      <w:r>
        <w:rPr>
          <w:rFonts w:hint="eastAsia"/>
          <w:color w:val="auto"/>
          <w:highlight w:val="none"/>
        </w:rPr>
        <w:t>，属于</w:t>
      </w:r>
      <w:r>
        <w:rPr>
          <w:rFonts w:hint="eastAsia"/>
          <w:color w:val="auto"/>
          <w:highlight w:val="none"/>
          <w:u w:val="single"/>
        </w:rPr>
        <w:t>（租赁和商务服务业）</w:t>
      </w:r>
      <w:r>
        <w:rPr>
          <w:rFonts w:hint="eastAsia" w:ascii="宋体" w:hAnsi="宋体"/>
          <w:color w:val="auto"/>
          <w:highlight w:val="none"/>
          <w:u w:val="single"/>
        </w:rPr>
        <w:t>（不得对行业类别修改）</w:t>
      </w:r>
      <w:r>
        <w:rPr>
          <w:rFonts w:hint="eastAsia"/>
          <w:color w:val="auto"/>
          <w:highlight w:val="none"/>
        </w:rPr>
        <w:t>；承建（承接）企业为</w:t>
      </w:r>
      <w:r>
        <w:rPr>
          <w:rFonts w:hint="eastAsia"/>
          <w:color w:val="auto"/>
          <w:highlight w:val="none"/>
          <w:u w:val="single"/>
        </w:rPr>
        <w:t>（企业名称）</w:t>
      </w:r>
      <w:r>
        <w:rPr>
          <w:rFonts w:hint="eastAsia"/>
          <w:color w:val="auto"/>
          <w:highlight w:val="none"/>
        </w:rPr>
        <w:t>，从业人员</w:t>
      </w:r>
      <w:r>
        <w:rPr>
          <w:rFonts w:hint="eastAsia"/>
          <w:color w:val="auto"/>
          <w:highlight w:val="none"/>
          <w:u w:val="single"/>
        </w:rPr>
        <w:t xml:space="preserve">      </w:t>
      </w:r>
      <w:r>
        <w:rPr>
          <w:rFonts w:hint="eastAsia"/>
          <w:color w:val="auto"/>
          <w:highlight w:val="none"/>
        </w:rPr>
        <w:t>人，营业收入为</w:t>
      </w:r>
      <w:r>
        <w:rPr>
          <w:rFonts w:hint="eastAsia"/>
          <w:color w:val="auto"/>
          <w:highlight w:val="none"/>
          <w:u w:val="single"/>
        </w:rPr>
        <w:t xml:space="preserve">      </w:t>
      </w:r>
      <w:r>
        <w:rPr>
          <w:rFonts w:hint="eastAsia"/>
          <w:color w:val="auto"/>
          <w:highlight w:val="none"/>
        </w:rPr>
        <w:t>万元，资产总额为</w:t>
      </w:r>
      <w:r>
        <w:rPr>
          <w:rFonts w:hint="eastAsia"/>
          <w:color w:val="auto"/>
          <w:highlight w:val="none"/>
          <w:u w:val="single"/>
        </w:rPr>
        <w:t xml:space="preserve">       </w:t>
      </w:r>
      <w:r>
        <w:rPr>
          <w:rFonts w:hint="eastAsia"/>
          <w:color w:val="auto"/>
          <w:highlight w:val="none"/>
        </w:rPr>
        <w:t>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ascii="仿宋" w:eastAsia="Times New Roman"/>
          <w:color w:val="auto"/>
          <w:spacing w:val="-1"/>
          <w:highlight w:val="none"/>
          <w:vertAlign w:val="superscript"/>
        </w:rPr>
        <w:t>1</w:t>
      </w:r>
      <w:r>
        <w:rPr>
          <w:rFonts w:ascii="仿宋" w:eastAsia="Times New Roman"/>
          <w:color w:val="auto"/>
          <w:spacing w:val="-1"/>
          <w:highlight w:val="none"/>
          <w:vertAlign w:val="superscript"/>
        </w:rPr>
        <w:fldChar w:fldCharType="end"/>
      </w:r>
      <w:r>
        <w:rPr>
          <w:rFonts w:hint="eastAsia"/>
          <w:color w:val="auto"/>
          <w:highlight w:val="none"/>
        </w:rPr>
        <w:t>，属于</w:t>
      </w:r>
      <w:r>
        <w:rPr>
          <w:rFonts w:hint="eastAsia"/>
          <w:color w:val="auto"/>
          <w:highlight w:val="none"/>
          <w:u w:val="single"/>
        </w:rPr>
        <w:t>（中型企业、小型企业、微型企业）；</w:t>
      </w:r>
    </w:p>
    <w:p w14:paraId="3D202137">
      <w:pPr>
        <w:pageBreakBefore w:val="0"/>
        <w:kinsoku/>
        <w:wordWrap/>
        <w:overflowPunct/>
        <w:topLinePunct w:val="0"/>
        <w:autoSpaceDE/>
        <w:autoSpaceDN/>
        <w:bidi w:val="0"/>
        <w:adjustRightInd/>
        <w:spacing w:line="360" w:lineRule="auto"/>
        <w:ind w:firstLine="420"/>
        <w:jc w:val="left"/>
        <w:textAlignment w:val="auto"/>
        <w:rPr>
          <w:color w:val="auto"/>
          <w:highlight w:val="none"/>
          <w:u w:val="single"/>
        </w:rPr>
      </w:pPr>
      <w:r>
        <w:rPr>
          <w:rFonts w:hint="eastAsia"/>
          <w:color w:val="auto"/>
          <w:highlight w:val="none"/>
        </w:rPr>
        <w:t xml:space="preserve">2. </w:t>
      </w:r>
      <w:r>
        <w:rPr>
          <w:rFonts w:hint="eastAsia"/>
          <w:color w:val="auto"/>
          <w:highlight w:val="none"/>
          <w:u w:val="single"/>
        </w:rPr>
        <w:t>（标的名称）</w:t>
      </w:r>
      <w:r>
        <w:rPr>
          <w:rFonts w:hint="eastAsia"/>
          <w:color w:val="auto"/>
          <w:highlight w:val="none"/>
        </w:rPr>
        <w:t xml:space="preserve"> ，属于</w:t>
      </w:r>
      <w:r>
        <w:rPr>
          <w:rFonts w:hint="eastAsia"/>
          <w:color w:val="auto"/>
          <w:highlight w:val="none"/>
          <w:u w:val="single"/>
        </w:rPr>
        <w:t>（租赁和商务服务业）（不得对行业类别修改）</w:t>
      </w:r>
      <w:r>
        <w:rPr>
          <w:rFonts w:hint="eastAsia"/>
          <w:color w:val="auto"/>
          <w:highlight w:val="none"/>
        </w:rPr>
        <w:t>；承建（承接）企业为</w:t>
      </w:r>
      <w:r>
        <w:rPr>
          <w:rFonts w:hint="eastAsia"/>
          <w:color w:val="auto"/>
          <w:highlight w:val="none"/>
          <w:u w:val="single"/>
        </w:rPr>
        <w:t>（企业名称）</w:t>
      </w:r>
      <w:r>
        <w:rPr>
          <w:rFonts w:hint="eastAsia"/>
          <w:color w:val="auto"/>
          <w:highlight w:val="none"/>
        </w:rPr>
        <w:t>，从业人员</w:t>
      </w:r>
      <w:r>
        <w:rPr>
          <w:rFonts w:hint="eastAsia"/>
          <w:color w:val="auto"/>
          <w:highlight w:val="none"/>
          <w:u w:val="single"/>
        </w:rPr>
        <w:t xml:space="preserve">      </w:t>
      </w:r>
      <w:r>
        <w:rPr>
          <w:rFonts w:hint="eastAsia"/>
          <w:color w:val="auto"/>
          <w:highlight w:val="none"/>
        </w:rPr>
        <w:t>人，营业收入为</w:t>
      </w:r>
      <w:r>
        <w:rPr>
          <w:rFonts w:hint="eastAsia"/>
          <w:color w:val="auto"/>
          <w:highlight w:val="none"/>
          <w:u w:val="single"/>
        </w:rPr>
        <w:t xml:space="preserve">      </w:t>
      </w:r>
      <w:r>
        <w:rPr>
          <w:rFonts w:hint="eastAsia"/>
          <w:color w:val="auto"/>
          <w:highlight w:val="none"/>
        </w:rPr>
        <w:t>万元，资产总额为</w:t>
      </w:r>
      <w:r>
        <w:rPr>
          <w:rFonts w:hint="eastAsia"/>
          <w:color w:val="auto"/>
          <w:highlight w:val="none"/>
          <w:u w:val="single"/>
        </w:rPr>
        <w:t xml:space="preserve">       </w:t>
      </w:r>
      <w:r>
        <w:rPr>
          <w:rFonts w:hint="eastAsia"/>
          <w:color w:val="auto"/>
          <w:highlight w:val="none"/>
        </w:rPr>
        <w:t>万元，属于</w:t>
      </w:r>
      <w:r>
        <w:rPr>
          <w:rFonts w:hint="eastAsia"/>
          <w:color w:val="auto"/>
          <w:highlight w:val="none"/>
          <w:u w:val="single"/>
        </w:rPr>
        <w:t>（中型企业、小型企业、微型企业）；</w:t>
      </w:r>
    </w:p>
    <w:p w14:paraId="373556D5">
      <w:pPr>
        <w:pageBreakBefore w:val="0"/>
        <w:kinsoku/>
        <w:wordWrap/>
        <w:overflowPunct/>
        <w:topLinePunct w:val="0"/>
        <w:autoSpaceDE/>
        <w:autoSpaceDN/>
        <w:bidi w:val="0"/>
        <w:adjustRightInd/>
        <w:spacing w:line="360" w:lineRule="auto"/>
        <w:ind w:firstLine="420"/>
        <w:jc w:val="left"/>
        <w:textAlignment w:val="auto"/>
        <w:rPr>
          <w:color w:val="auto"/>
          <w:highlight w:val="none"/>
        </w:rPr>
      </w:pPr>
      <w:r>
        <w:rPr>
          <w:rFonts w:hint="eastAsia"/>
          <w:color w:val="auto"/>
          <w:highlight w:val="none"/>
        </w:rPr>
        <w:t>……</w:t>
      </w:r>
    </w:p>
    <w:p w14:paraId="144D0171">
      <w:pPr>
        <w:pageBreakBefore w:val="0"/>
        <w:kinsoku/>
        <w:wordWrap/>
        <w:overflowPunct/>
        <w:topLinePunct w:val="0"/>
        <w:autoSpaceDE/>
        <w:autoSpaceDN/>
        <w:bidi w:val="0"/>
        <w:adjustRightInd/>
        <w:spacing w:line="360" w:lineRule="auto"/>
        <w:ind w:firstLine="420"/>
        <w:jc w:val="left"/>
        <w:textAlignment w:val="auto"/>
        <w:rPr>
          <w:color w:val="auto"/>
          <w:highlight w:val="none"/>
        </w:rPr>
      </w:pPr>
      <w:r>
        <w:rPr>
          <w:rFonts w:hint="eastAsia"/>
          <w:color w:val="auto"/>
          <w:highlight w:val="none"/>
        </w:rPr>
        <w:t>以上企业，不属于大企业的分支机构，不存在控股股东为大企业的情形，也不存在与大企业的负责人为同一人的情形。</w:t>
      </w:r>
    </w:p>
    <w:p w14:paraId="2A3D297E">
      <w:pPr>
        <w:pageBreakBefore w:val="0"/>
        <w:kinsoku/>
        <w:wordWrap/>
        <w:overflowPunct/>
        <w:topLinePunct w:val="0"/>
        <w:autoSpaceDE/>
        <w:autoSpaceDN/>
        <w:bidi w:val="0"/>
        <w:adjustRightInd/>
        <w:spacing w:line="360" w:lineRule="auto"/>
        <w:ind w:firstLine="420"/>
        <w:jc w:val="left"/>
        <w:textAlignment w:val="auto"/>
        <w:rPr>
          <w:color w:val="auto"/>
          <w:highlight w:val="none"/>
        </w:rPr>
      </w:pPr>
      <w:r>
        <w:rPr>
          <w:rFonts w:hint="eastAsia"/>
          <w:color w:val="auto"/>
          <w:highlight w:val="none"/>
        </w:rPr>
        <w:t>本企业对上述声明内容的真实性负责。如有虚假，将依法承担相应责任。</w:t>
      </w:r>
    </w:p>
    <w:p w14:paraId="611779FE">
      <w:pPr>
        <w:pageBreakBefore w:val="0"/>
        <w:kinsoku/>
        <w:wordWrap/>
        <w:overflowPunct/>
        <w:topLinePunct w:val="0"/>
        <w:autoSpaceDE/>
        <w:autoSpaceDN/>
        <w:bidi w:val="0"/>
        <w:adjustRightInd/>
        <w:spacing w:line="360" w:lineRule="auto"/>
        <w:ind w:firstLine="420"/>
        <w:jc w:val="left"/>
        <w:textAlignment w:val="auto"/>
        <w:rPr>
          <w:color w:val="auto"/>
          <w:highlight w:val="none"/>
        </w:rPr>
      </w:pPr>
    </w:p>
    <w:p w14:paraId="6F85EBB5">
      <w:pPr>
        <w:pageBreakBefore w:val="0"/>
        <w:kinsoku/>
        <w:wordWrap/>
        <w:overflowPunct/>
        <w:topLinePunct w:val="0"/>
        <w:autoSpaceDE/>
        <w:autoSpaceDN/>
        <w:bidi w:val="0"/>
        <w:adjustRightInd/>
        <w:spacing w:line="360" w:lineRule="auto"/>
        <w:textAlignment w:val="auto"/>
        <w:rPr>
          <w:rFonts w:ascii="宋体" w:hAnsi="宋体"/>
          <w:color w:val="auto"/>
          <w:highlight w:val="none"/>
        </w:rPr>
      </w:pPr>
      <w:r>
        <w:rPr>
          <w:rFonts w:hint="eastAsia" w:ascii="宋体" w:hAnsi="宋体"/>
          <w:color w:val="auto"/>
          <w:highlight w:val="none"/>
        </w:rPr>
        <w:t>注：1、</w:t>
      </w:r>
      <w:r>
        <w:rPr>
          <w:rFonts w:hint="eastAsia"/>
          <w:color w:val="auto"/>
          <w:highlight w:val="none"/>
        </w:rPr>
        <w:t>从业人员（不仅指在职职工）、营业收入、资产总额填报上一年度数据，无上一年度数据的新成立企业可不填报。</w:t>
      </w:r>
    </w:p>
    <w:p w14:paraId="15A183A6">
      <w:pPr>
        <w:pageBreakBefore w:val="0"/>
        <w:kinsoku/>
        <w:wordWrap/>
        <w:overflowPunct/>
        <w:topLinePunct w:val="0"/>
        <w:autoSpaceDE/>
        <w:autoSpaceDN/>
        <w:bidi w:val="0"/>
        <w:adjustRightInd/>
        <w:spacing w:line="360" w:lineRule="auto"/>
        <w:ind w:firstLine="420"/>
        <w:textAlignment w:val="auto"/>
        <w:rPr>
          <w:rFonts w:ascii="宋体" w:hAnsi="宋体"/>
          <w:color w:val="auto"/>
          <w:highlight w:val="none"/>
        </w:rPr>
      </w:pPr>
      <w:r>
        <w:rPr>
          <w:rFonts w:hint="eastAsia" w:ascii="宋体" w:hAnsi="宋体"/>
          <w:color w:val="auto"/>
          <w:highlight w:val="none"/>
        </w:rPr>
        <w:t>2、供应商如不提供此声明函，价格将不做相应扣除。</w:t>
      </w:r>
    </w:p>
    <w:p w14:paraId="2C6DCBF7">
      <w:pPr>
        <w:pageBreakBefore w:val="0"/>
        <w:kinsoku/>
        <w:wordWrap/>
        <w:overflowPunct/>
        <w:topLinePunct w:val="0"/>
        <w:autoSpaceDE/>
        <w:autoSpaceDN/>
        <w:bidi w:val="0"/>
        <w:adjustRightInd/>
        <w:spacing w:line="360" w:lineRule="auto"/>
        <w:textAlignment w:val="auto"/>
        <w:rPr>
          <w:rFonts w:ascii="宋体" w:hAnsi="宋体"/>
          <w:color w:val="auto"/>
          <w:highlight w:val="none"/>
        </w:rPr>
      </w:pPr>
      <w:r>
        <w:rPr>
          <w:rFonts w:hint="eastAsia" w:ascii="宋体" w:hAnsi="宋体"/>
          <w:color w:val="auto"/>
          <w:highlight w:val="none"/>
        </w:rPr>
        <w:t xml:space="preserve">    3、企业声明函请完整填写，中标后将公示。</w:t>
      </w:r>
    </w:p>
    <w:p w14:paraId="436ED6D2">
      <w:pPr>
        <w:pageBreakBefore w:val="0"/>
        <w:kinsoku/>
        <w:wordWrap/>
        <w:overflowPunct/>
        <w:topLinePunct w:val="0"/>
        <w:autoSpaceDE/>
        <w:autoSpaceDN/>
        <w:bidi w:val="0"/>
        <w:adjustRightInd/>
        <w:spacing w:line="360" w:lineRule="auto"/>
        <w:ind w:firstLine="420"/>
        <w:jc w:val="left"/>
        <w:textAlignment w:val="auto"/>
        <w:rPr>
          <w:color w:val="auto"/>
          <w:highlight w:val="none"/>
        </w:rPr>
      </w:pPr>
      <w:r>
        <w:rPr>
          <w:rFonts w:hint="eastAsia"/>
          <w:color w:val="auto"/>
          <w:highlight w:val="none"/>
        </w:rPr>
        <w:t>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p>
    <w:p w14:paraId="34B8A484">
      <w:pPr>
        <w:pageBreakBefore w:val="0"/>
        <w:kinsoku/>
        <w:wordWrap/>
        <w:overflowPunct/>
        <w:topLinePunct w:val="0"/>
        <w:autoSpaceDE/>
        <w:autoSpaceDN/>
        <w:bidi w:val="0"/>
        <w:adjustRightInd/>
        <w:spacing w:line="360" w:lineRule="auto"/>
        <w:ind w:firstLine="420"/>
        <w:jc w:val="left"/>
        <w:textAlignment w:val="auto"/>
        <w:rPr>
          <w:color w:val="auto"/>
          <w:highlight w:val="none"/>
        </w:rPr>
      </w:pPr>
      <w:r>
        <w:rPr>
          <w:rFonts w:hint="eastAsia"/>
          <w:color w:val="auto"/>
          <w:highlight w:val="none"/>
        </w:rPr>
        <w:t>5、中小企业不得属于大企业的分支机构，不得存在控股股东为大企业的情形，不得存在与大企业的负责人为同一人的情形。</w:t>
      </w:r>
    </w:p>
    <w:p w14:paraId="13D7AD48">
      <w:pPr>
        <w:pageBreakBefore w:val="0"/>
        <w:kinsoku/>
        <w:wordWrap/>
        <w:overflowPunct/>
        <w:topLinePunct w:val="0"/>
        <w:autoSpaceDE/>
        <w:autoSpaceDN/>
        <w:bidi w:val="0"/>
        <w:adjustRightInd/>
        <w:spacing w:line="360" w:lineRule="auto"/>
        <w:ind w:firstLine="420"/>
        <w:jc w:val="left"/>
        <w:textAlignment w:val="auto"/>
        <w:rPr>
          <w:color w:val="auto"/>
          <w:highlight w:val="none"/>
        </w:rPr>
      </w:pPr>
      <w:r>
        <w:rPr>
          <w:rFonts w:hint="eastAsia"/>
          <w:color w:val="auto"/>
          <w:highlight w:val="none"/>
        </w:rPr>
        <w:t>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p>
    <w:p w14:paraId="22DB88E8">
      <w:pPr>
        <w:pageBreakBefore w:val="0"/>
        <w:kinsoku/>
        <w:wordWrap/>
        <w:overflowPunct/>
        <w:topLinePunct w:val="0"/>
        <w:autoSpaceDE/>
        <w:autoSpaceDN/>
        <w:bidi w:val="0"/>
        <w:adjustRightInd/>
        <w:spacing w:line="360" w:lineRule="auto"/>
        <w:ind w:firstLine="4620"/>
        <w:jc w:val="left"/>
        <w:textAlignment w:val="auto"/>
        <w:rPr>
          <w:color w:val="auto"/>
          <w:highlight w:val="none"/>
        </w:rPr>
      </w:pPr>
      <w:r>
        <w:rPr>
          <w:rFonts w:hint="eastAsia"/>
          <w:color w:val="auto"/>
          <w:highlight w:val="none"/>
        </w:rPr>
        <w:t>企业名称（盖章）：</w:t>
      </w:r>
    </w:p>
    <w:p w14:paraId="4E923885">
      <w:pPr>
        <w:pageBreakBefore w:val="0"/>
        <w:kinsoku/>
        <w:wordWrap/>
        <w:overflowPunct/>
        <w:topLinePunct w:val="0"/>
        <w:autoSpaceDE/>
        <w:autoSpaceDN/>
        <w:bidi w:val="0"/>
        <w:adjustRightInd/>
        <w:spacing w:line="360" w:lineRule="auto"/>
        <w:ind w:firstLine="4620"/>
        <w:jc w:val="left"/>
        <w:textAlignment w:val="auto"/>
        <w:rPr>
          <w:color w:val="auto"/>
          <w:highlight w:val="none"/>
        </w:rPr>
      </w:pPr>
      <w:r>
        <w:rPr>
          <w:rFonts w:hint="eastAsia"/>
          <w:color w:val="auto"/>
          <w:highlight w:val="none"/>
        </w:rPr>
        <w:t>日 期：</w:t>
      </w:r>
    </w:p>
    <w:p w14:paraId="78E5961C">
      <w:pPr>
        <w:pStyle w:val="193"/>
        <w:pageBreakBefore w:val="0"/>
        <w:widowControl/>
        <w:kinsoku/>
        <w:wordWrap/>
        <w:overflowPunct/>
        <w:topLinePunct w:val="0"/>
        <w:autoSpaceDE/>
        <w:autoSpaceDN/>
        <w:bidi w:val="0"/>
        <w:adjustRightInd/>
        <w:spacing w:before="300" w:after="300" w:line="360" w:lineRule="auto"/>
        <w:textAlignment w:val="auto"/>
        <w:rPr>
          <w:rFonts w:ascii="宋体" w:hAnsi="宋体" w:eastAsia="宋体"/>
          <w:color w:val="auto"/>
          <w:sz w:val="28"/>
          <w:szCs w:val="28"/>
          <w:highlight w:val="none"/>
        </w:rPr>
      </w:pPr>
      <w:r>
        <w:rPr>
          <w:rFonts w:hint="eastAsia" w:ascii="宋体" w:hAnsi="宋体" w:eastAsia="宋体" w:cs="微软雅黑"/>
          <w:bCs w:val="0"/>
          <w:color w:val="auto"/>
          <w:sz w:val="28"/>
          <w:szCs w:val="28"/>
          <w:highlight w:val="none"/>
        </w:rPr>
        <w:t>中小微企业划型标准 </w:t>
      </w:r>
    </w:p>
    <w:p w14:paraId="7F8A42AB">
      <w:pPr>
        <w:pStyle w:val="211"/>
        <w:pageBreakBefore w:val="0"/>
        <w:widowControl/>
        <w:kinsoku/>
        <w:wordWrap/>
        <w:overflowPunct/>
        <w:topLinePunct w:val="0"/>
        <w:autoSpaceDE/>
        <w:autoSpaceDN/>
        <w:bidi w:val="0"/>
        <w:adjustRightInd/>
        <w:spacing w:before="300" w:after="452" w:line="360" w:lineRule="auto"/>
        <w:ind w:firstLine="420"/>
        <w:textAlignment w:val="auto"/>
        <w:rPr>
          <w:rFonts w:ascii="宋体" w:hAnsi="宋体"/>
          <w:color w:val="auto"/>
          <w:sz w:val="21"/>
          <w:szCs w:val="21"/>
          <w:highlight w:val="none"/>
        </w:rPr>
      </w:pPr>
      <w:r>
        <w:rPr>
          <w:rFonts w:hint="eastAsia" w:ascii="宋体" w:hAnsi="宋体" w:cs="仿宋"/>
          <w:color w:val="auto"/>
          <w:sz w:val="21"/>
          <w:szCs w:val="21"/>
          <w:highlight w:val="none"/>
        </w:rPr>
        <w:t>    </w:t>
      </w:r>
      <w:r>
        <w:rPr>
          <w:rStyle w:val="216"/>
          <w:rFonts w:hint="eastAsia" w:ascii="宋体" w:hAnsi="宋体" w:cs="仿宋"/>
          <w:color w:val="auto"/>
          <w:sz w:val="21"/>
          <w:szCs w:val="21"/>
          <w:highlight w:val="none"/>
        </w:rPr>
        <w:t>中小微企业划型标准如下：</w:t>
      </w:r>
    </w:p>
    <w:tbl>
      <w:tblPr>
        <w:tblStyle w:val="34"/>
        <w:tblW w:w="8781" w:type="dxa"/>
        <w:tblCellSpacing w:w="15" w:type="dxa"/>
        <w:tblInd w:w="-5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top w:w="0" w:type="dxa"/>
          <w:left w:w="105" w:type="dxa"/>
          <w:bottom w:w="0" w:type="dxa"/>
          <w:right w:w="105" w:type="dxa"/>
        </w:tblCellMar>
      </w:tblPr>
      <w:tblGrid>
        <w:gridCol w:w="1811"/>
        <w:gridCol w:w="1582"/>
        <w:gridCol w:w="1165"/>
        <w:gridCol w:w="1477"/>
        <w:gridCol w:w="1512"/>
        <w:gridCol w:w="1234"/>
      </w:tblGrid>
      <w:tr w14:paraId="4CDD909A">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85" w:hRule="atLeast"/>
          <w:tblCellSpacing w:w="15" w:type="dxa"/>
        </w:trPr>
        <w:tc>
          <w:tcPr>
            <w:tcW w:w="1766" w:type="dxa"/>
            <w:noWrap w:val="0"/>
            <w:tcMar>
              <w:top w:w="0" w:type="dxa"/>
              <w:left w:w="105" w:type="dxa"/>
              <w:bottom w:w="0" w:type="dxa"/>
              <w:right w:w="105" w:type="dxa"/>
            </w:tcMar>
            <w:vAlign w:val="center"/>
          </w:tcPr>
          <w:p w14:paraId="07818566">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行业名称</w:t>
            </w:r>
          </w:p>
        </w:tc>
        <w:tc>
          <w:tcPr>
            <w:tcW w:w="1552" w:type="dxa"/>
            <w:noWrap w:val="0"/>
            <w:tcMar>
              <w:top w:w="0" w:type="dxa"/>
              <w:left w:w="105" w:type="dxa"/>
              <w:bottom w:w="0" w:type="dxa"/>
              <w:right w:w="105" w:type="dxa"/>
            </w:tcMar>
            <w:vAlign w:val="center"/>
          </w:tcPr>
          <w:p w14:paraId="19F9DF64">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指标名称</w:t>
            </w:r>
          </w:p>
        </w:tc>
        <w:tc>
          <w:tcPr>
            <w:tcW w:w="1135" w:type="dxa"/>
            <w:noWrap w:val="0"/>
            <w:tcMar>
              <w:top w:w="0" w:type="dxa"/>
              <w:left w:w="105" w:type="dxa"/>
              <w:bottom w:w="0" w:type="dxa"/>
              <w:right w:w="105" w:type="dxa"/>
            </w:tcMar>
            <w:vAlign w:val="center"/>
          </w:tcPr>
          <w:p w14:paraId="4E917DF6">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计量单位</w:t>
            </w:r>
          </w:p>
        </w:tc>
        <w:tc>
          <w:tcPr>
            <w:tcW w:w="1447" w:type="dxa"/>
            <w:noWrap w:val="0"/>
            <w:tcMar>
              <w:top w:w="0" w:type="dxa"/>
              <w:left w:w="105" w:type="dxa"/>
              <w:bottom w:w="0" w:type="dxa"/>
              <w:right w:w="105" w:type="dxa"/>
            </w:tcMar>
            <w:vAlign w:val="center"/>
          </w:tcPr>
          <w:p w14:paraId="2FD820EF">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中型</w:t>
            </w:r>
          </w:p>
        </w:tc>
        <w:tc>
          <w:tcPr>
            <w:tcW w:w="1482" w:type="dxa"/>
            <w:noWrap w:val="0"/>
            <w:tcMar>
              <w:top w:w="0" w:type="dxa"/>
              <w:left w:w="105" w:type="dxa"/>
              <w:bottom w:w="0" w:type="dxa"/>
              <w:right w:w="105" w:type="dxa"/>
            </w:tcMar>
            <w:vAlign w:val="center"/>
          </w:tcPr>
          <w:p w14:paraId="030D5EB9">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小型</w:t>
            </w:r>
          </w:p>
        </w:tc>
        <w:tc>
          <w:tcPr>
            <w:tcW w:w="1189" w:type="dxa"/>
            <w:noWrap w:val="0"/>
            <w:tcMar>
              <w:top w:w="0" w:type="dxa"/>
              <w:left w:w="105" w:type="dxa"/>
              <w:bottom w:w="0" w:type="dxa"/>
              <w:right w:w="105" w:type="dxa"/>
            </w:tcMar>
            <w:vAlign w:val="center"/>
          </w:tcPr>
          <w:p w14:paraId="1D20A413">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微型</w:t>
            </w:r>
          </w:p>
        </w:tc>
      </w:tr>
      <w:tr w14:paraId="3429C776">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766" w:type="dxa"/>
            <w:noWrap w:val="0"/>
            <w:tcMar>
              <w:top w:w="0" w:type="dxa"/>
              <w:left w:w="105" w:type="dxa"/>
              <w:bottom w:w="0" w:type="dxa"/>
              <w:right w:w="105" w:type="dxa"/>
            </w:tcMar>
            <w:vAlign w:val="center"/>
          </w:tcPr>
          <w:p w14:paraId="37BE92FF">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农、林、牧、渔</w:t>
            </w:r>
          </w:p>
        </w:tc>
        <w:tc>
          <w:tcPr>
            <w:tcW w:w="1552" w:type="dxa"/>
            <w:noWrap w:val="0"/>
            <w:tcMar>
              <w:top w:w="0" w:type="dxa"/>
              <w:left w:w="105" w:type="dxa"/>
              <w:bottom w:w="0" w:type="dxa"/>
              <w:right w:w="105" w:type="dxa"/>
            </w:tcMar>
            <w:vAlign w:val="center"/>
          </w:tcPr>
          <w:p w14:paraId="64244390">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营业收入（Y）</w:t>
            </w:r>
          </w:p>
        </w:tc>
        <w:tc>
          <w:tcPr>
            <w:tcW w:w="1135" w:type="dxa"/>
            <w:noWrap w:val="0"/>
            <w:tcMar>
              <w:top w:w="0" w:type="dxa"/>
              <w:left w:w="105" w:type="dxa"/>
              <w:bottom w:w="0" w:type="dxa"/>
              <w:right w:w="105" w:type="dxa"/>
            </w:tcMar>
            <w:vAlign w:val="center"/>
          </w:tcPr>
          <w:p w14:paraId="70E411B4">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万元</w:t>
            </w:r>
          </w:p>
        </w:tc>
        <w:tc>
          <w:tcPr>
            <w:tcW w:w="1447" w:type="dxa"/>
            <w:noWrap w:val="0"/>
            <w:tcMar>
              <w:top w:w="0" w:type="dxa"/>
              <w:left w:w="105" w:type="dxa"/>
              <w:bottom w:w="0" w:type="dxa"/>
              <w:right w:w="105" w:type="dxa"/>
            </w:tcMar>
            <w:vAlign w:val="center"/>
          </w:tcPr>
          <w:p w14:paraId="2957295B">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500≤Y＜20000</w:t>
            </w:r>
          </w:p>
        </w:tc>
        <w:tc>
          <w:tcPr>
            <w:tcW w:w="1482" w:type="dxa"/>
            <w:noWrap w:val="0"/>
            <w:tcMar>
              <w:top w:w="0" w:type="dxa"/>
              <w:left w:w="105" w:type="dxa"/>
              <w:bottom w:w="0" w:type="dxa"/>
              <w:right w:w="105" w:type="dxa"/>
            </w:tcMar>
            <w:vAlign w:val="center"/>
          </w:tcPr>
          <w:p w14:paraId="59E10D61">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50≤Y＜500</w:t>
            </w:r>
          </w:p>
        </w:tc>
        <w:tc>
          <w:tcPr>
            <w:tcW w:w="1189" w:type="dxa"/>
            <w:noWrap w:val="0"/>
            <w:tcMar>
              <w:top w:w="0" w:type="dxa"/>
              <w:left w:w="105" w:type="dxa"/>
              <w:bottom w:w="0" w:type="dxa"/>
              <w:right w:w="105" w:type="dxa"/>
            </w:tcMar>
            <w:vAlign w:val="center"/>
          </w:tcPr>
          <w:p w14:paraId="075BF658">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Y＜50</w:t>
            </w:r>
          </w:p>
        </w:tc>
      </w:tr>
      <w:tr w14:paraId="5D57F0C2">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766" w:type="dxa"/>
            <w:vMerge w:val="restart"/>
            <w:noWrap w:val="0"/>
            <w:tcMar>
              <w:top w:w="0" w:type="dxa"/>
              <w:left w:w="105" w:type="dxa"/>
              <w:bottom w:w="0" w:type="dxa"/>
              <w:right w:w="105" w:type="dxa"/>
            </w:tcMar>
            <w:vAlign w:val="center"/>
          </w:tcPr>
          <w:p w14:paraId="3FC01883">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工业</w:t>
            </w:r>
          </w:p>
        </w:tc>
        <w:tc>
          <w:tcPr>
            <w:tcW w:w="1552" w:type="dxa"/>
            <w:noWrap w:val="0"/>
            <w:tcMar>
              <w:top w:w="0" w:type="dxa"/>
              <w:left w:w="105" w:type="dxa"/>
              <w:bottom w:w="0" w:type="dxa"/>
              <w:right w:w="105" w:type="dxa"/>
            </w:tcMar>
            <w:vAlign w:val="center"/>
          </w:tcPr>
          <w:p w14:paraId="777A1C8A">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从业人员（X）</w:t>
            </w:r>
          </w:p>
        </w:tc>
        <w:tc>
          <w:tcPr>
            <w:tcW w:w="1135" w:type="dxa"/>
            <w:noWrap w:val="0"/>
            <w:tcMar>
              <w:top w:w="0" w:type="dxa"/>
              <w:left w:w="105" w:type="dxa"/>
              <w:bottom w:w="0" w:type="dxa"/>
              <w:right w:w="105" w:type="dxa"/>
            </w:tcMar>
            <w:vAlign w:val="center"/>
          </w:tcPr>
          <w:p w14:paraId="14D998C1">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人</w:t>
            </w:r>
          </w:p>
        </w:tc>
        <w:tc>
          <w:tcPr>
            <w:tcW w:w="1447" w:type="dxa"/>
            <w:noWrap w:val="0"/>
            <w:tcMar>
              <w:top w:w="0" w:type="dxa"/>
              <w:left w:w="105" w:type="dxa"/>
              <w:bottom w:w="0" w:type="dxa"/>
              <w:right w:w="105" w:type="dxa"/>
            </w:tcMar>
            <w:vAlign w:val="center"/>
          </w:tcPr>
          <w:p w14:paraId="3EEF795A">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300≤X＜1000</w:t>
            </w:r>
          </w:p>
        </w:tc>
        <w:tc>
          <w:tcPr>
            <w:tcW w:w="1482" w:type="dxa"/>
            <w:noWrap w:val="0"/>
            <w:tcMar>
              <w:top w:w="0" w:type="dxa"/>
              <w:left w:w="105" w:type="dxa"/>
              <w:bottom w:w="0" w:type="dxa"/>
              <w:right w:w="105" w:type="dxa"/>
            </w:tcMar>
            <w:vAlign w:val="center"/>
          </w:tcPr>
          <w:p w14:paraId="6F88E9F9">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20≤X＜300</w:t>
            </w:r>
          </w:p>
        </w:tc>
        <w:tc>
          <w:tcPr>
            <w:tcW w:w="1189" w:type="dxa"/>
            <w:noWrap w:val="0"/>
            <w:tcMar>
              <w:top w:w="0" w:type="dxa"/>
              <w:left w:w="105" w:type="dxa"/>
              <w:bottom w:w="0" w:type="dxa"/>
              <w:right w:w="105" w:type="dxa"/>
            </w:tcMar>
            <w:vAlign w:val="center"/>
          </w:tcPr>
          <w:p w14:paraId="67552BA7">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X＜20</w:t>
            </w:r>
          </w:p>
        </w:tc>
      </w:tr>
      <w:tr w14:paraId="6A16917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766" w:type="dxa"/>
            <w:vMerge w:val="continue"/>
            <w:noWrap w:val="0"/>
            <w:vAlign w:val="center"/>
          </w:tcPr>
          <w:p w14:paraId="08A673D1">
            <w:pPr>
              <w:pageBreakBefore w:val="0"/>
              <w:widowControl/>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1552" w:type="dxa"/>
            <w:noWrap w:val="0"/>
            <w:tcMar>
              <w:top w:w="0" w:type="dxa"/>
              <w:left w:w="105" w:type="dxa"/>
              <w:bottom w:w="0" w:type="dxa"/>
              <w:right w:w="105" w:type="dxa"/>
            </w:tcMar>
            <w:vAlign w:val="center"/>
          </w:tcPr>
          <w:p w14:paraId="5F4EE2D5">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营业收入（Y）</w:t>
            </w:r>
          </w:p>
        </w:tc>
        <w:tc>
          <w:tcPr>
            <w:tcW w:w="1135" w:type="dxa"/>
            <w:noWrap w:val="0"/>
            <w:tcMar>
              <w:top w:w="0" w:type="dxa"/>
              <w:left w:w="105" w:type="dxa"/>
              <w:bottom w:w="0" w:type="dxa"/>
              <w:right w:w="105" w:type="dxa"/>
            </w:tcMar>
            <w:vAlign w:val="center"/>
          </w:tcPr>
          <w:p w14:paraId="6E887E11">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万元</w:t>
            </w:r>
          </w:p>
        </w:tc>
        <w:tc>
          <w:tcPr>
            <w:tcW w:w="1447" w:type="dxa"/>
            <w:noWrap w:val="0"/>
            <w:tcMar>
              <w:top w:w="0" w:type="dxa"/>
              <w:left w:w="105" w:type="dxa"/>
              <w:bottom w:w="0" w:type="dxa"/>
              <w:right w:w="105" w:type="dxa"/>
            </w:tcMar>
            <w:vAlign w:val="center"/>
          </w:tcPr>
          <w:p w14:paraId="0948E2A9">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2000≤Y＜40000</w:t>
            </w:r>
          </w:p>
        </w:tc>
        <w:tc>
          <w:tcPr>
            <w:tcW w:w="1482" w:type="dxa"/>
            <w:noWrap w:val="0"/>
            <w:tcMar>
              <w:top w:w="0" w:type="dxa"/>
              <w:left w:w="105" w:type="dxa"/>
              <w:bottom w:w="0" w:type="dxa"/>
              <w:right w:w="105" w:type="dxa"/>
            </w:tcMar>
            <w:vAlign w:val="center"/>
          </w:tcPr>
          <w:p w14:paraId="3F15D103">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300≤Y＜2000</w:t>
            </w:r>
          </w:p>
        </w:tc>
        <w:tc>
          <w:tcPr>
            <w:tcW w:w="1189" w:type="dxa"/>
            <w:noWrap w:val="0"/>
            <w:tcMar>
              <w:top w:w="0" w:type="dxa"/>
              <w:left w:w="105" w:type="dxa"/>
              <w:bottom w:w="0" w:type="dxa"/>
              <w:right w:w="105" w:type="dxa"/>
            </w:tcMar>
            <w:vAlign w:val="center"/>
          </w:tcPr>
          <w:p w14:paraId="7BC6856F">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Y＜300</w:t>
            </w:r>
          </w:p>
        </w:tc>
      </w:tr>
      <w:tr w14:paraId="3AC79664">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766" w:type="dxa"/>
            <w:vMerge w:val="restart"/>
            <w:noWrap w:val="0"/>
            <w:tcMar>
              <w:top w:w="0" w:type="dxa"/>
              <w:left w:w="105" w:type="dxa"/>
              <w:bottom w:w="0" w:type="dxa"/>
              <w:right w:w="105" w:type="dxa"/>
            </w:tcMar>
            <w:vAlign w:val="center"/>
          </w:tcPr>
          <w:p w14:paraId="63CFB64A">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建筑业</w:t>
            </w:r>
          </w:p>
        </w:tc>
        <w:tc>
          <w:tcPr>
            <w:tcW w:w="1552" w:type="dxa"/>
            <w:noWrap w:val="0"/>
            <w:tcMar>
              <w:top w:w="0" w:type="dxa"/>
              <w:left w:w="105" w:type="dxa"/>
              <w:bottom w:w="0" w:type="dxa"/>
              <w:right w:w="105" w:type="dxa"/>
            </w:tcMar>
            <w:vAlign w:val="center"/>
          </w:tcPr>
          <w:p w14:paraId="6FFE3C17">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营业收入（Y）</w:t>
            </w:r>
          </w:p>
        </w:tc>
        <w:tc>
          <w:tcPr>
            <w:tcW w:w="1135" w:type="dxa"/>
            <w:noWrap w:val="0"/>
            <w:tcMar>
              <w:top w:w="0" w:type="dxa"/>
              <w:left w:w="105" w:type="dxa"/>
              <w:bottom w:w="0" w:type="dxa"/>
              <w:right w:w="105" w:type="dxa"/>
            </w:tcMar>
            <w:vAlign w:val="center"/>
          </w:tcPr>
          <w:p w14:paraId="2A797A43">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万元</w:t>
            </w:r>
          </w:p>
        </w:tc>
        <w:tc>
          <w:tcPr>
            <w:tcW w:w="1447" w:type="dxa"/>
            <w:noWrap w:val="0"/>
            <w:tcMar>
              <w:top w:w="0" w:type="dxa"/>
              <w:left w:w="105" w:type="dxa"/>
              <w:bottom w:w="0" w:type="dxa"/>
              <w:right w:w="105" w:type="dxa"/>
            </w:tcMar>
            <w:vAlign w:val="center"/>
          </w:tcPr>
          <w:p w14:paraId="58119041">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6000≤Y＜80000</w:t>
            </w:r>
          </w:p>
        </w:tc>
        <w:tc>
          <w:tcPr>
            <w:tcW w:w="1482" w:type="dxa"/>
            <w:noWrap w:val="0"/>
            <w:tcMar>
              <w:top w:w="0" w:type="dxa"/>
              <w:left w:w="105" w:type="dxa"/>
              <w:bottom w:w="0" w:type="dxa"/>
              <w:right w:w="105" w:type="dxa"/>
            </w:tcMar>
            <w:vAlign w:val="center"/>
          </w:tcPr>
          <w:p w14:paraId="0E77C1DB">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300≤Y＜6000</w:t>
            </w:r>
          </w:p>
        </w:tc>
        <w:tc>
          <w:tcPr>
            <w:tcW w:w="1189" w:type="dxa"/>
            <w:noWrap w:val="0"/>
            <w:tcMar>
              <w:top w:w="0" w:type="dxa"/>
              <w:left w:w="105" w:type="dxa"/>
              <w:bottom w:w="0" w:type="dxa"/>
              <w:right w:w="105" w:type="dxa"/>
            </w:tcMar>
            <w:vAlign w:val="center"/>
          </w:tcPr>
          <w:p w14:paraId="52012C8D">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Y＜300</w:t>
            </w:r>
          </w:p>
        </w:tc>
      </w:tr>
      <w:tr w14:paraId="4FE8DB0F">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766" w:type="dxa"/>
            <w:vMerge w:val="continue"/>
            <w:noWrap w:val="0"/>
            <w:vAlign w:val="center"/>
          </w:tcPr>
          <w:p w14:paraId="4CF82952">
            <w:pPr>
              <w:pageBreakBefore w:val="0"/>
              <w:widowControl/>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1552" w:type="dxa"/>
            <w:noWrap w:val="0"/>
            <w:tcMar>
              <w:top w:w="0" w:type="dxa"/>
              <w:left w:w="105" w:type="dxa"/>
              <w:bottom w:w="0" w:type="dxa"/>
              <w:right w:w="105" w:type="dxa"/>
            </w:tcMar>
            <w:vAlign w:val="center"/>
          </w:tcPr>
          <w:p w14:paraId="4548452E">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资产总额（Z）</w:t>
            </w:r>
          </w:p>
        </w:tc>
        <w:tc>
          <w:tcPr>
            <w:tcW w:w="1135" w:type="dxa"/>
            <w:noWrap w:val="0"/>
            <w:tcMar>
              <w:top w:w="0" w:type="dxa"/>
              <w:left w:w="105" w:type="dxa"/>
              <w:bottom w:w="0" w:type="dxa"/>
              <w:right w:w="105" w:type="dxa"/>
            </w:tcMar>
            <w:vAlign w:val="center"/>
          </w:tcPr>
          <w:p w14:paraId="58A30882">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万元</w:t>
            </w:r>
          </w:p>
        </w:tc>
        <w:tc>
          <w:tcPr>
            <w:tcW w:w="1447" w:type="dxa"/>
            <w:noWrap w:val="0"/>
            <w:tcMar>
              <w:top w:w="0" w:type="dxa"/>
              <w:left w:w="105" w:type="dxa"/>
              <w:bottom w:w="0" w:type="dxa"/>
              <w:right w:w="105" w:type="dxa"/>
            </w:tcMar>
            <w:vAlign w:val="center"/>
          </w:tcPr>
          <w:p w14:paraId="25E62564">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5000≤Z＜80000</w:t>
            </w:r>
          </w:p>
        </w:tc>
        <w:tc>
          <w:tcPr>
            <w:tcW w:w="1482" w:type="dxa"/>
            <w:noWrap w:val="0"/>
            <w:tcMar>
              <w:top w:w="0" w:type="dxa"/>
              <w:left w:w="105" w:type="dxa"/>
              <w:bottom w:w="0" w:type="dxa"/>
              <w:right w:w="105" w:type="dxa"/>
            </w:tcMar>
            <w:vAlign w:val="center"/>
          </w:tcPr>
          <w:p w14:paraId="3A4A48DC">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300≤Z＜5000</w:t>
            </w:r>
          </w:p>
        </w:tc>
        <w:tc>
          <w:tcPr>
            <w:tcW w:w="1189" w:type="dxa"/>
            <w:noWrap w:val="0"/>
            <w:tcMar>
              <w:top w:w="0" w:type="dxa"/>
              <w:left w:w="105" w:type="dxa"/>
              <w:bottom w:w="0" w:type="dxa"/>
              <w:right w:w="105" w:type="dxa"/>
            </w:tcMar>
            <w:vAlign w:val="center"/>
          </w:tcPr>
          <w:p w14:paraId="5F513C3F">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Z＜300</w:t>
            </w:r>
          </w:p>
        </w:tc>
      </w:tr>
      <w:tr w14:paraId="5CCE363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766" w:type="dxa"/>
            <w:vMerge w:val="restart"/>
            <w:noWrap w:val="0"/>
            <w:tcMar>
              <w:top w:w="0" w:type="dxa"/>
              <w:left w:w="105" w:type="dxa"/>
              <w:bottom w:w="0" w:type="dxa"/>
              <w:right w:w="105" w:type="dxa"/>
            </w:tcMar>
            <w:vAlign w:val="center"/>
          </w:tcPr>
          <w:p w14:paraId="42C64016">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批发业</w:t>
            </w:r>
          </w:p>
        </w:tc>
        <w:tc>
          <w:tcPr>
            <w:tcW w:w="1552" w:type="dxa"/>
            <w:noWrap w:val="0"/>
            <w:tcMar>
              <w:top w:w="0" w:type="dxa"/>
              <w:left w:w="105" w:type="dxa"/>
              <w:bottom w:w="0" w:type="dxa"/>
              <w:right w:w="105" w:type="dxa"/>
            </w:tcMar>
            <w:vAlign w:val="center"/>
          </w:tcPr>
          <w:p w14:paraId="15C4520A">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从业人员（X）</w:t>
            </w:r>
          </w:p>
        </w:tc>
        <w:tc>
          <w:tcPr>
            <w:tcW w:w="1135" w:type="dxa"/>
            <w:noWrap w:val="0"/>
            <w:tcMar>
              <w:top w:w="0" w:type="dxa"/>
              <w:left w:w="105" w:type="dxa"/>
              <w:bottom w:w="0" w:type="dxa"/>
              <w:right w:w="105" w:type="dxa"/>
            </w:tcMar>
            <w:vAlign w:val="center"/>
          </w:tcPr>
          <w:p w14:paraId="1912D568">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人</w:t>
            </w:r>
          </w:p>
        </w:tc>
        <w:tc>
          <w:tcPr>
            <w:tcW w:w="1447" w:type="dxa"/>
            <w:noWrap w:val="0"/>
            <w:tcMar>
              <w:top w:w="0" w:type="dxa"/>
              <w:left w:w="105" w:type="dxa"/>
              <w:bottom w:w="0" w:type="dxa"/>
              <w:right w:w="105" w:type="dxa"/>
            </w:tcMar>
            <w:vAlign w:val="center"/>
          </w:tcPr>
          <w:p w14:paraId="23FCA135">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20≤X＜200</w:t>
            </w:r>
          </w:p>
        </w:tc>
        <w:tc>
          <w:tcPr>
            <w:tcW w:w="1482" w:type="dxa"/>
            <w:noWrap w:val="0"/>
            <w:tcMar>
              <w:top w:w="0" w:type="dxa"/>
              <w:left w:w="105" w:type="dxa"/>
              <w:bottom w:w="0" w:type="dxa"/>
              <w:right w:w="105" w:type="dxa"/>
            </w:tcMar>
            <w:vAlign w:val="center"/>
          </w:tcPr>
          <w:p w14:paraId="20B3F93D">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5≤X＜20</w:t>
            </w:r>
          </w:p>
        </w:tc>
        <w:tc>
          <w:tcPr>
            <w:tcW w:w="1189" w:type="dxa"/>
            <w:noWrap w:val="0"/>
            <w:tcMar>
              <w:top w:w="0" w:type="dxa"/>
              <w:left w:w="105" w:type="dxa"/>
              <w:bottom w:w="0" w:type="dxa"/>
              <w:right w:w="105" w:type="dxa"/>
            </w:tcMar>
            <w:vAlign w:val="center"/>
          </w:tcPr>
          <w:p w14:paraId="461D2C99">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X＜5</w:t>
            </w:r>
          </w:p>
        </w:tc>
      </w:tr>
      <w:tr w14:paraId="11709E0B">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766" w:type="dxa"/>
            <w:vMerge w:val="continue"/>
            <w:noWrap w:val="0"/>
            <w:vAlign w:val="center"/>
          </w:tcPr>
          <w:p w14:paraId="4C69911F">
            <w:pPr>
              <w:pageBreakBefore w:val="0"/>
              <w:widowControl/>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1552" w:type="dxa"/>
            <w:noWrap w:val="0"/>
            <w:tcMar>
              <w:top w:w="0" w:type="dxa"/>
              <w:left w:w="105" w:type="dxa"/>
              <w:bottom w:w="0" w:type="dxa"/>
              <w:right w:w="105" w:type="dxa"/>
            </w:tcMar>
            <w:vAlign w:val="center"/>
          </w:tcPr>
          <w:p w14:paraId="5AA420BE">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营业收入（Y）</w:t>
            </w:r>
          </w:p>
        </w:tc>
        <w:tc>
          <w:tcPr>
            <w:tcW w:w="1135" w:type="dxa"/>
            <w:noWrap w:val="0"/>
            <w:tcMar>
              <w:top w:w="0" w:type="dxa"/>
              <w:left w:w="105" w:type="dxa"/>
              <w:bottom w:w="0" w:type="dxa"/>
              <w:right w:w="105" w:type="dxa"/>
            </w:tcMar>
            <w:vAlign w:val="center"/>
          </w:tcPr>
          <w:p w14:paraId="4026AAB8">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万元</w:t>
            </w:r>
          </w:p>
        </w:tc>
        <w:tc>
          <w:tcPr>
            <w:tcW w:w="1447" w:type="dxa"/>
            <w:noWrap w:val="0"/>
            <w:tcMar>
              <w:top w:w="0" w:type="dxa"/>
              <w:left w:w="105" w:type="dxa"/>
              <w:bottom w:w="0" w:type="dxa"/>
              <w:right w:w="105" w:type="dxa"/>
            </w:tcMar>
            <w:vAlign w:val="center"/>
          </w:tcPr>
          <w:p w14:paraId="3CA06BCB">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5000≤Y＜40000</w:t>
            </w:r>
          </w:p>
        </w:tc>
        <w:tc>
          <w:tcPr>
            <w:tcW w:w="1482" w:type="dxa"/>
            <w:noWrap w:val="0"/>
            <w:tcMar>
              <w:top w:w="0" w:type="dxa"/>
              <w:left w:w="105" w:type="dxa"/>
              <w:bottom w:w="0" w:type="dxa"/>
              <w:right w:w="105" w:type="dxa"/>
            </w:tcMar>
            <w:vAlign w:val="center"/>
          </w:tcPr>
          <w:p w14:paraId="73FFD86D">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1000≤Y＜5000</w:t>
            </w:r>
          </w:p>
        </w:tc>
        <w:tc>
          <w:tcPr>
            <w:tcW w:w="1189" w:type="dxa"/>
            <w:noWrap w:val="0"/>
            <w:tcMar>
              <w:top w:w="0" w:type="dxa"/>
              <w:left w:w="105" w:type="dxa"/>
              <w:bottom w:w="0" w:type="dxa"/>
              <w:right w:w="105" w:type="dxa"/>
            </w:tcMar>
            <w:vAlign w:val="center"/>
          </w:tcPr>
          <w:p w14:paraId="0C27A7CA">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Y＜1000</w:t>
            </w:r>
          </w:p>
        </w:tc>
      </w:tr>
      <w:tr w14:paraId="28F86A3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766" w:type="dxa"/>
            <w:vMerge w:val="restart"/>
            <w:noWrap w:val="0"/>
            <w:tcMar>
              <w:top w:w="0" w:type="dxa"/>
              <w:left w:w="105" w:type="dxa"/>
              <w:bottom w:w="0" w:type="dxa"/>
              <w:right w:w="105" w:type="dxa"/>
            </w:tcMar>
            <w:vAlign w:val="center"/>
          </w:tcPr>
          <w:p w14:paraId="61133821">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零售业</w:t>
            </w:r>
          </w:p>
        </w:tc>
        <w:tc>
          <w:tcPr>
            <w:tcW w:w="1552" w:type="dxa"/>
            <w:noWrap w:val="0"/>
            <w:tcMar>
              <w:top w:w="0" w:type="dxa"/>
              <w:left w:w="105" w:type="dxa"/>
              <w:bottom w:w="0" w:type="dxa"/>
              <w:right w:w="105" w:type="dxa"/>
            </w:tcMar>
            <w:vAlign w:val="center"/>
          </w:tcPr>
          <w:p w14:paraId="1CA1FF7A">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从业人员（X）</w:t>
            </w:r>
          </w:p>
        </w:tc>
        <w:tc>
          <w:tcPr>
            <w:tcW w:w="1135" w:type="dxa"/>
            <w:noWrap w:val="0"/>
            <w:tcMar>
              <w:top w:w="0" w:type="dxa"/>
              <w:left w:w="105" w:type="dxa"/>
              <w:bottom w:w="0" w:type="dxa"/>
              <w:right w:w="105" w:type="dxa"/>
            </w:tcMar>
            <w:vAlign w:val="center"/>
          </w:tcPr>
          <w:p w14:paraId="4F3884D9">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人</w:t>
            </w:r>
          </w:p>
        </w:tc>
        <w:tc>
          <w:tcPr>
            <w:tcW w:w="1447" w:type="dxa"/>
            <w:noWrap w:val="0"/>
            <w:tcMar>
              <w:top w:w="0" w:type="dxa"/>
              <w:left w:w="105" w:type="dxa"/>
              <w:bottom w:w="0" w:type="dxa"/>
              <w:right w:w="105" w:type="dxa"/>
            </w:tcMar>
            <w:vAlign w:val="center"/>
          </w:tcPr>
          <w:p w14:paraId="7CBFF0AA">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50≤X＜300</w:t>
            </w:r>
          </w:p>
        </w:tc>
        <w:tc>
          <w:tcPr>
            <w:tcW w:w="1482" w:type="dxa"/>
            <w:noWrap w:val="0"/>
            <w:tcMar>
              <w:top w:w="0" w:type="dxa"/>
              <w:left w:w="105" w:type="dxa"/>
              <w:bottom w:w="0" w:type="dxa"/>
              <w:right w:w="105" w:type="dxa"/>
            </w:tcMar>
            <w:vAlign w:val="center"/>
          </w:tcPr>
          <w:p w14:paraId="799FE839">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10≤X＜50</w:t>
            </w:r>
          </w:p>
        </w:tc>
        <w:tc>
          <w:tcPr>
            <w:tcW w:w="1189" w:type="dxa"/>
            <w:noWrap w:val="0"/>
            <w:tcMar>
              <w:top w:w="0" w:type="dxa"/>
              <w:left w:w="105" w:type="dxa"/>
              <w:bottom w:w="0" w:type="dxa"/>
              <w:right w:w="105" w:type="dxa"/>
            </w:tcMar>
            <w:vAlign w:val="center"/>
          </w:tcPr>
          <w:p w14:paraId="616540D8">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X＜10</w:t>
            </w:r>
          </w:p>
        </w:tc>
      </w:tr>
      <w:tr w14:paraId="2A3302B6">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766" w:type="dxa"/>
            <w:vMerge w:val="continue"/>
            <w:noWrap w:val="0"/>
            <w:vAlign w:val="center"/>
          </w:tcPr>
          <w:p w14:paraId="7106D002">
            <w:pPr>
              <w:pageBreakBefore w:val="0"/>
              <w:widowControl/>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1552" w:type="dxa"/>
            <w:noWrap w:val="0"/>
            <w:tcMar>
              <w:top w:w="0" w:type="dxa"/>
              <w:left w:w="105" w:type="dxa"/>
              <w:bottom w:w="0" w:type="dxa"/>
              <w:right w:w="105" w:type="dxa"/>
            </w:tcMar>
            <w:vAlign w:val="center"/>
          </w:tcPr>
          <w:p w14:paraId="34E1F123">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营业收入（Y）</w:t>
            </w:r>
          </w:p>
        </w:tc>
        <w:tc>
          <w:tcPr>
            <w:tcW w:w="1135" w:type="dxa"/>
            <w:noWrap w:val="0"/>
            <w:tcMar>
              <w:top w:w="0" w:type="dxa"/>
              <w:left w:w="105" w:type="dxa"/>
              <w:bottom w:w="0" w:type="dxa"/>
              <w:right w:w="105" w:type="dxa"/>
            </w:tcMar>
            <w:vAlign w:val="center"/>
          </w:tcPr>
          <w:p w14:paraId="3D5105E9">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万元</w:t>
            </w:r>
          </w:p>
        </w:tc>
        <w:tc>
          <w:tcPr>
            <w:tcW w:w="1447" w:type="dxa"/>
            <w:noWrap w:val="0"/>
            <w:tcMar>
              <w:top w:w="0" w:type="dxa"/>
              <w:left w:w="105" w:type="dxa"/>
              <w:bottom w:w="0" w:type="dxa"/>
              <w:right w:w="105" w:type="dxa"/>
            </w:tcMar>
            <w:vAlign w:val="center"/>
          </w:tcPr>
          <w:p w14:paraId="50478096">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500≤Y＜20000</w:t>
            </w:r>
          </w:p>
        </w:tc>
        <w:tc>
          <w:tcPr>
            <w:tcW w:w="1482" w:type="dxa"/>
            <w:noWrap w:val="0"/>
            <w:tcMar>
              <w:top w:w="0" w:type="dxa"/>
              <w:left w:w="105" w:type="dxa"/>
              <w:bottom w:w="0" w:type="dxa"/>
              <w:right w:w="105" w:type="dxa"/>
            </w:tcMar>
            <w:vAlign w:val="center"/>
          </w:tcPr>
          <w:p w14:paraId="1ED812EB">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100≤Y＜500</w:t>
            </w:r>
          </w:p>
        </w:tc>
        <w:tc>
          <w:tcPr>
            <w:tcW w:w="1189" w:type="dxa"/>
            <w:noWrap w:val="0"/>
            <w:tcMar>
              <w:top w:w="0" w:type="dxa"/>
              <w:left w:w="105" w:type="dxa"/>
              <w:bottom w:w="0" w:type="dxa"/>
              <w:right w:w="105" w:type="dxa"/>
            </w:tcMar>
            <w:vAlign w:val="center"/>
          </w:tcPr>
          <w:p w14:paraId="43E2498D">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Y＜100</w:t>
            </w:r>
          </w:p>
        </w:tc>
      </w:tr>
      <w:tr w14:paraId="7B815086">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766" w:type="dxa"/>
            <w:vMerge w:val="restart"/>
            <w:noWrap w:val="0"/>
            <w:tcMar>
              <w:top w:w="0" w:type="dxa"/>
              <w:left w:w="105" w:type="dxa"/>
              <w:bottom w:w="0" w:type="dxa"/>
              <w:right w:w="105" w:type="dxa"/>
            </w:tcMar>
            <w:vAlign w:val="center"/>
          </w:tcPr>
          <w:p w14:paraId="527FCD5C">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交通运输业</w:t>
            </w:r>
          </w:p>
        </w:tc>
        <w:tc>
          <w:tcPr>
            <w:tcW w:w="1552" w:type="dxa"/>
            <w:noWrap w:val="0"/>
            <w:tcMar>
              <w:top w:w="0" w:type="dxa"/>
              <w:left w:w="105" w:type="dxa"/>
              <w:bottom w:w="0" w:type="dxa"/>
              <w:right w:w="105" w:type="dxa"/>
            </w:tcMar>
            <w:vAlign w:val="center"/>
          </w:tcPr>
          <w:p w14:paraId="2C5FE08C">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从业人员（X）</w:t>
            </w:r>
          </w:p>
        </w:tc>
        <w:tc>
          <w:tcPr>
            <w:tcW w:w="1135" w:type="dxa"/>
            <w:noWrap w:val="0"/>
            <w:tcMar>
              <w:top w:w="0" w:type="dxa"/>
              <w:left w:w="105" w:type="dxa"/>
              <w:bottom w:w="0" w:type="dxa"/>
              <w:right w:w="105" w:type="dxa"/>
            </w:tcMar>
            <w:vAlign w:val="center"/>
          </w:tcPr>
          <w:p w14:paraId="1D4DA43A">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人</w:t>
            </w:r>
          </w:p>
        </w:tc>
        <w:tc>
          <w:tcPr>
            <w:tcW w:w="1447" w:type="dxa"/>
            <w:noWrap w:val="0"/>
            <w:tcMar>
              <w:top w:w="0" w:type="dxa"/>
              <w:left w:w="105" w:type="dxa"/>
              <w:bottom w:w="0" w:type="dxa"/>
              <w:right w:w="105" w:type="dxa"/>
            </w:tcMar>
            <w:vAlign w:val="center"/>
          </w:tcPr>
          <w:p w14:paraId="14FE4457">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300≤X＜1000</w:t>
            </w:r>
          </w:p>
        </w:tc>
        <w:tc>
          <w:tcPr>
            <w:tcW w:w="1482" w:type="dxa"/>
            <w:noWrap w:val="0"/>
            <w:tcMar>
              <w:top w:w="0" w:type="dxa"/>
              <w:left w:w="105" w:type="dxa"/>
              <w:bottom w:w="0" w:type="dxa"/>
              <w:right w:w="105" w:type="dxa"/>
            </w:tcMar>
            <w:vAlign w:val="center"/>
          </w:tcPr>
          <w:p w14:paraId="3065606C">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20≤X＜300</w:t>
            </w:r>
          </w:p>
        </w:tc>
        <w:tc>
          <w:tcPr>
            <w:tcW w:w="1189" w:type="dxa"/>
            <w:noWrap w:val="0"/>
            <w:tcMar>
              <w:top w:w="0" w:type="dxa"/>
              <w:left w:w="105" w:type="dxa"/>
              <w:bottom w:w="0" w:type="dxa"/>
              <w:right w:w="105" w:type="dxa"/>
            </w:tcMar>
            <w:vAlign w:val="center"/>
          </w:tcPr>
          <w:p w14:paraId="5FC634E9">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X＜20</w:t>
            </w:r>
          </w:p>
        </w:tc>
      </w:tr>
      <w:tr w14:paraId="1057442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766" w:type="dxa"/>
            <w:vMerge w:val="continue"/>
            <w:noWrap w:val="0"/>
            <w:vAlign w:val="center"/>
          </w:tcPr>
          <w:p w14:paraId="05CA005F">
            <w:pPr>
              <w:pageBreakBefore w:val="0"/>
              <w:widowControl/>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1552" w:type="dxa"/>
            <w:noWrap w:val="0"/>
            <w:tcMar>
              <w:top w:w="0" w:type="dxa"/>
              <w:left w:w="105" w:type="dxa"/>
              <w:bottom w:w="0" w:type="dxa"/>
              <w:right w:w="105" w:type="dxa"/>
            </w:tcMar>
            <w:vAlign w:val="center"/>
          </w:tcPr>
          <w:p w14:paraId="231BE472">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营业收入（Y）</w:t>
            </w:r>
          </w:p>
        </w:tc>
        <w:tc>
          <w:tcPr>
            <w:tcW w:w="1135" w:type="dxa"/>
            <w:noWrap w:val="0"/>
            <w:tcMar>
              <w:top w:w="0" w:type="dxa"/>
              <w:left w:w="105" w:type="dxa"/>
              <w:bottom w:w="0" w:type="dxa"/>
              <w:right w:w="105" w:type="dxa"/>
            </w:tcMar>
            <w:vAlign w:val="center"/>
          </w:tcPr>
          <w:p w14:paraId="77711C0A">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万元</w:t>
            </w:r>
          </w:p>
        </w:tc>
        <w:tc>
          <w:tcPr>
            <w:tcW w:w="1447" w:type="dxa"/>
            <w:noWrap w:val="0"/>
            <w:tcMar>
              <w:top w:w="0" w:type="dxa"/>
              <w:left w:w="105" w:type="dxa"/>
              <w:bottom w:w="0" w:type="dxa"/>
              <w:right w:w="105" w:type="dxa"/>
            </w:tcMar>
            <w:vAlign w:val="center"/>
          </w:tcPr>
          <w:p w14:paraId="42C8976E">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3000≤Y＜30000</w:t>
            </w:r>
          </w:p>
        </w:tc>
        <w:tc>
          <w:tcPr>
            <w:tcW w:w="1482" w:type="dxa"/>
            <w:noWrap w:val="0"/>
            <w:tcMar>
              <w:top w:w="0" w:type="dxa"/>
              <w:left w:w="105" w:type="dxa"/>
              <w:bottom w:w="0" w:type="dxa"/>
              <w:right w:w="105" w:type="dxa"/>
            </w:tcMar>
            <w:vAlign w:val="center"/>
          </w:tcPr>
          <w:p w14:paraId="73C27DAA">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200≤Y＜3000</w:t>
            </w:r>
          </w:p>
        </w:tc>
        <w:tc>
          <w:tcPr>
            <w:tcW w:w="1189" w:type="dxa"/>
            <w:noWrap w:val="0"/>
            <w:tcMar>
              <w:top w:w="0" w:type="dxa"/>
              <w:left w:w="105" w:type="dxa"/>
              <w:bottom w:w="0" w:type="dxa"/>
              <w:right w:w="105" w:type="dxa"/>
            </w:tcMar>
            <w:vAlign w:val="center"/>
          </w:tcPr>
          <w:p w14:paraId="771EEE38">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Y＜200</w:t>
            </w:r>
          </w:p>
        </w:tc>
      </w:tr>
      <w:tr w14:paraId="026B27A6">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766" w:type="dxa"/>
            <w:vMerge w:val="restart"/>
            <w:noWrap w:val="0"/>
            <w:tcMar>
              <w:top w:w="0" w:type="dxa"/>
              <w:left w:w="105" w:type="dxa"/>
              <w:bottom w:w="0" w:type="dxa"/>
              <w:right w:w="105" w:type="dxa"/>
            </w:tcMar>
            <w:vAlign w:val="center"/>
          </w:tcPr>
          <w:p w14:paraId="57C6D1DD">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仓储业</w:t>
            </w:r>
          </w:p>
        </w:tc>
        <w:tc>
          <w:tcPr>
            <w:tcW w:w="1552" w:type="dxa"/>
            <w:noWrap w:val="0"/>
            <w:tcMar>
              <w:top w:w="0" w:type="dxa"/>
              <w:left w:w="105" w:type="dxa"/>
              <w:bottom w:w="0" w:type="dxa"/>
              <w:right w:w="105" w:type="dxa"/>
            </w:tcMar>
            <w:vAlign w:val="center"/>
          </w:tcPr>
          <w:p w14:paraId="3A6FD072">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从业人员（X）</w:t>
            </w:r>
          </w:p>
        </w:tc>
        <w:tc>
          <w:tcPr>
            <w:tcW w:w="1135" w:type="dxa"/>
            <w:noWrap w:val="0"/>
            <w:tcMar>
              <w:top w:w="0" w:type="dxa"/>
              <w:left w:w="105" w:type="dxa"/>
              <w:bottom w:w="0" w:type="dxa"/>
              <w:right w:w="105" w:type="dxa"/>
            </w:tcMar>
            <w:vAlign w:val="center"/>
          </w:tcPr>
          <w:p w14:paraId="1EC367CC">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人</w:t>
            </w:r>
          </w:p>
        </w:tc>
        <w:tc>
          <w:tcPr>
            <w:tcW w:w="1447" w:type="dxa"/>
            <w:noWrap w:val="0"/>
            <w:tcMar>
              <w:top w:w="0" w:type="dxa"/>
              <w:left w:w="105" w:type="dxa"/>
              <w:bottom w:w="0" w:type="dxa"/>
              <w:right w:w="105" w:type="dxa"/>
            </w:tcMar>
            <w:vAlign w:val="center"/>
          </w:tcPr>
          <w:p w14:paraId="05A085BF">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100≤X＜200</w:t>
            </w:r>
          </w:p>
        </w:tc>
        <w:tc>
          <w:tcPr>
            <w:tcW w:w="1482" w:type="dxa"/>
            <w:noWrap w:val="0"/>
            <w:tcMar>
              <w:top w:w="0" w:type="dxa"/>
              <w:left w:w="105" w:type="dxa"/>
              <w:bottom w:w="0" w:type="dxa"/>
              <w:right w:w="105" w:type="dxa"/>
            </w:tcMar>
            <w:vAlign w:val="center"/>
          </w:tcPr>
          <w:p w14:paraId="2B72ECFF">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20≤X＜100</w:t>
            </w:r>
          </w:p>
        </w:tc>
        <w:tc>
          <w:tcPr>
            <w:tcW w:w="1189" w:type="dxa"/>
            <w:noWrap w:val="0"/>
            <w:tcMar>
              <w:top w:w="0" w:type="dxa"/>
              <w:left w:w="105" w:type="dxa"/>
              <w:bottom w:w="0" w:type="dxa"/>
              <w:right w:w="105" w:type="dxa"/>
            </w:tcMar>
            <w:vAlign w:val="center"/>
          </w:tcPr>
          <w:p w14:paraId="76044C61">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X＜20</w:t>
            </w:r>
          </w:p>
        </w:tc>
      </w:tr>
      <w:tr w14:paraId="61390293">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766" w:type="dxa"/>
            <w:vMerge w:val="continue"/>
            <w:noWrap w:val="0"/>
            <w:vAlign w:val="center"/>
          </w:tcPr>
          <w:p w14:paraId="54C24315">
            <w:pPr>
              <w:pageBreakBefore w:val="0"/>
              <w:widowControl/>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1552" w:type="dxa"/>
            <w:noWrap w:val="0"/>
            <w:tcMar>
              <w:top w:w="0" w:type="dxa"/>
              <w:left w:w="105" w:type="dxa"/>
              <w:bottom w:w="0" w:type="dxa"/>
              <w:right w:w="105" w:type="dxa"/>
            </w:tcMar>
            <w:vAlign w:val="center"/>
          </w:tcPr>
          <w:p w14:paraId="2A73D3B5">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营业收入（Y）</w:t>
            </w:r>
          </w:p>
        </w:tc>
        <w:tc>
          <w:tcPr>
            <w:tcW w:w="1135" w:type="dxa"/>
            <w:noWrap w:val="0"/>
            <w:tcMar>
              <w:top w:w="0" w:type="dxa"/>
              <w:left w:w="105" w:type="dxa"/>
              <w:bottom w:w="0" w:type="dxa"/>
              <w:right w:w="105" w:type="dxa"/>
            </w:tcMar>
            <w:vAlign w:val="center"/>
          </w:tcPr>
          <w:p w14:paraId="1108C66B">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万元</w:t>
            </w:r>
          </w:p>
        </w:tc>
        <w:tc>
          <w:tcPr>
            <w:tcW w:w="1447" w:type="dxa"/>
            <w:noWrap w:val="0"/>
            <w:tcMar>
              <w:top w:w="0" w:type="dxa"/>
              <w:left w:w="105" w:type="dxa"/>
              <w:bottom w:w="0" w:type="dxa"/>
              <w:right w:w="105" w:type="dxa"/>
            </w:tcMar>
            <w:vAlign w:val="center"/>
          </w:tcPr>
          <w:p w14:paraId="44B1FD67">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1000≤Y＜30000</w:t>
            </w:r>
          </w:p>
        </w:tc>
        <w:tc>
          <w:tcPr>
            <w:tcW w:w="1482" w:type="dxa"/>
            <w:noWrap w:val="0"/>
            <w:tcMar>
              <w:top w:w="0" w:type="dxa"/>
              <w:left w:w="105" w:type="dxa"/>
              <w:bottom w:w="0" w:type="dxa"/>
              <w:right w:w="105" w:type="dxa"/>
            </w:tcMar>
            <w:vAlign w:val="center"/>
          </w:tcPr>
          <w:p w14:paraId="6D470FBB">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100≤Y＜1000</w:t>
            </w:r>
          </w:p>
        </w:tc>
        <w:tc>
          <w:tcPr>
            <w:tcW w:w="1189" w:type="dxa"/>
            <w:noWrap w:val="0"/>
            <w:tcMar>
              <w:top w:w="0" w:type="dxa"/>
              <w:left w:w="105" w:type="dxa"/>
              <w:bottom w:w="0" w:type="dxa"/>
              <w:right w:w="105" w:type="dxa"/>
            </w:tcMar>
            <w:vAlign w:val="center"/>
          </w:tcPr>
          <w:p w14:paraId="0DD754FD">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Y＜100</w:t>
            </w:r>
          </w:p>
        </w:tc>
      </w:tr>
      <w:tr w14:paraId="2FDB1410">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766" w:type="dxa"/>
            <w:vMerge w:val="restart"/>
            <w:noWrap w:val="0"/>
            <w:tcMar>
              <w:top w:w="0" w:type="dxa"/>
              <w:left w:w="105" w:type="dxa"/>
              <w:bottom w:w="0" w:type="dxa"/>
              <w:right w:w="105" w:type="dxa"/>
            </w:tcMar>
            <w:vAlign w:val="center"/>
          </w:tcPr>
          <w:p w14:paraId="0FD14D78">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邮政业</w:t>
            </w:r>
          </w:p>
        </w:tc>
        <w:tc>
          <w:tcPr>
            <w:tcW w:w="1552" w:type="dxa"/>
            <w:noWrap w:val="0"/>
            <w:tcMar>
              <w:top w:w="0" w:type="dxa"/>
              <w:left w:w="105" w:type="dxa"/>
              <w:bottom w:w="0" w:type="dxa"/>
              <w:right w:w="105" w:type="dxa"/>
            </w:tcMar>
            <w:vAlign w:val="center"/>
          </w:tcPr>
          <w:p w14:paraId="1FD032FC">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从业人员（X）</w:t>
            </w:r>
          </w:p>
        </w:tc>
        <w:tc>
          <w:tcPr>
            <w:tcW w:w="1135" w:type="dxa"/>
            <w:noWrap w:val="0"/>
            <w:tcMar>
              <w:top w:w="0" w:type="dxa"/>
              <w:left w:w="105" w:type="dxa"/>
              <w:bottom w:w="0" w:type="dxa"/>
              <w:right w:w="105" w:type="dxa"/>
            </w:tcMar>
            <w:vAlign w:val="center"/>
          </w:tcPr>
          <w:p w14:paraId="59D3D380">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人</w:t>
            </w:r>
          </w:p>
        </w:tc>
        <w:tc>
          <w:tcPr>
            <w:tcW w:w="1447" w:type="dxa"/>
            <w:noWrap w:val="0"/>
            <w:tcMar>
              <w:top w:w="0" w:type="dxa"/>
              <w:left w:w="105" w:type="dxa"/>
              <w:bottom w:w="0" w:type="dxa"/>
              <w:right w:w="105" w:type="dxa"/>
            </w:tcMar>
            <w:vAlign w:val="center"/>
          </w:tcPr>
          <w:p w14:paraId="1F5CE61F">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300≤X＜1000</w:t>
            </w:r>
          </w:p>
        </w:tc>
        <w:tc>
          <w:tcPr>
            <w:tcW w:w="1482" w:type="dxa"/>
            <w:noWrap w:val="0"/>
            <w:tcMar>
              <w:top w:w="0" w:type="dxa"/>
              <w:left w:w="105" w:type="dxa"/>
              <w:bottom w:w="0" w:type="dxa"/>
              <w:right w:w="105" w:type="dxa"/>
            </w:tcMar>
            <w:vAlign w:val="center"/>
          </w:tcPr>
          <w:p w14:paraId="33140626">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20≤X＜300</w:t>
            </w:r>
          </w:p>
        </w:tc>
        <w:tc>
          <w:tcPr>
            <w:tcW w:w="1189" w:type="dxa"/>
            <w:noWrap w:val="0"/>
            <w:tcMar>
              <w:top w:w="0" w:type="dxa"/>
              <w:left w:w="105" w:type="dxa"/>
              <w:bottom w:w="0" w:type="dxa"/>
              <w:right w:w="105" w:type="dxa"/>
            </w:tcMar>
            <w:vAlign w:val="center"/>
          </w:tcPr>
          <w:p w14:paraId="7B612928">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X＜20</w:t>
            </w:r>
          </w:p>
        </w:tc>
      </w:tr>
      <w:tr w14:paraId="1308EAC3">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766" w:type="dxa"/>
            <w:vMerge w:val="continue"/>
            <w:noWrap w:val="0"/>
            <w:vAlign w:val="center"/>
          </w:tcPr>
          <w:p w14:paraId="5C1501BF">
            <w:pPr>
              <w:pageBreakBefore w:val="0"/>
              <w:widowControl/>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1552" w:type="dxa"/>
            <w:noWrap w:val="0"/>
            <w:tcMar>
              <w:top w:w="0" w:type="dxa"/>
              <w:left w:w="105" w:type="dxa"/>
              <w:bottom w:w="0" w:type="dxa"/>
              <w:right w:w="105" w:type="dxa"/>
            </w:tcMar>
            <w:vAlign w:val="center"/>
          </w:tcPr>
          <w:p w14:paraId="7FFB0405">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营业收入（Y）</w:t>
            </w:r>
          </w:p>
        </w:tc>
        <w:tc>
          <w:tcPr>
            <w:tcW w:w="1135" w:type="dxa"/>
            <w:noWrap w:val="0"/>
            <w:tcMar>
              <w:top w:w="0" w:type="dxa"/>
              <w:left w:w="105" w:type="dxa"/>
              <w:bottom w:w="0" w:type="dxa"/>
              <w:right w:w="105" w:type="dxa"/>
            </w:tcMar>
            <w:vAlign w:val="center"/>
          </w:tcPr>
          <w:p w14:paraId="6B61F104">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万元</w:t>
            </w:r>
          </w:p>
        </w:tc>
        <w:tc>
          <w:tcPr>
            <w:tcW w:w="1447" w:type="dxa"/>
            <w:noWrap w:val="0"/>
            <w:tcMar>
              <w:top w:w="0" w:type="dxa"/>
              <w:left w:w="105" w:type="dxa"/>
              <w:bottom w:w="0" w:type="dxa"/>
              <w:right w:w="105" w:type="dxa"/>
            </w:tcMar>
            <w:vAlign w:val="center"/>
          </w:tcPr>
          <w:p w14:paraId="456EA686">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2000≤Y＜30000</w:t>
            </w:r>
          </w:p>
        </w:tc>
        <w:tc>
          <w:tcPr>
            <w:tcW w:w="1482" w:type="dxa"/>
            <w:noWrap w:val="0"/>
            <w:tcMar>
              <w:top w:w="0" w:type="dxa"/>
              <w:left w:w="105" w:type="dxa"/>
              <w:bottom w:w="0" w:type="dxa"/>
              <w:right w:w="105" w:type="dxa"/>
            </w:tcMar>
            <w:vAlign w:val="center"/>
          </w:tcPr>
          <w:p w14:paraId="6B9CAAB2">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100≤Y＜2000</w:t>
            </w:r>
          </w:p>
        </w:tc>
        <w:tc>
          <w:tcPr>
            <w:tcW w:w="1189" w:type="dxa"/>
            <w:noWrap w:val="0"/>
            <w:tcMar>
              <w:top w:w="0" w:type="dxa"/>
              <w:left w:w="105" w:type="dxa"/>
              <w:bottom w:w="0" w:type="dxa"/>
              <w:right w:w="105" w:type="dxa"/>
            </w:tcMar>
            <w:vAlign w:val="center"/>
          </w:tcPr>
          <w:p w14:paraId="4A7799E9">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Y＜100</w:t>
            </w:r>
          </w:p>
        </w:tc>
      </w:tr>
      <w:tr w14:paraId="7F558E5F">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766" w:type="dxa"/>
            <w:vMerge w:val="restart"/>
            <w:noWrap w:val="0"/>
            <w:tcMar>
              <w:top w:w="0" w:type="dxa"/>
              <w:left w:w="105" w:type="dxa"/>
              <w:bottom w:w="0" w:type="dxa"/>
              <w:right w:w="105" w:type="dxa"/>
            </w:tcMar>
            <w:vAlign w:val="center"/>
          </w:tcPr>
          <w:p w14:paraId="3AE67358">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住宿业</w:t>
            </w:r>
          </w:p>
        </w:tc>
        <w:tc>
          <w:tcPr>
            <w:tcW w:w="1552" w:type="dxa"/>
            <w:noWrap w:val="0"/>
            <w:tcMar>
              <w:top w:w="0" w:type="dxa"/>
              <w:left w:w="105" w:type="dxa"/>
              <w:bottom w:w="0" w:type="dxa"/>
              <w:right w:w="105" w:type="dxa"/>
            </w:tcMar>
            <w:vAlign w:val="center"/>
          </w:tcPr>
          <w:p w14:paraId="458A1AFD">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从业人员（X）</w:t>
            </w:r>
          </w:p>
        </w:tc>
        <w:tc>
          <w:tcPr>
            <w:tcW w:w="1135" w:type="dxa"/>
            <w:noWrap w:val="0"/>
            <w:tcMar>
              <w:top w:w="0" w:type="dxa"/>
              <w:left w:w="105" w:type="dxa"/>
              <w:bottom w:w="0" w:type="dxa"/>
              <w:right w:w="105" w:type="dxa"/>
            </w:tcMar>
            <w:vAlign w:val="center"/>
          </w:tcPr>
          <w:p w14:paraId="47C00C95">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人</w:t>
            </w:r>
          </w:p>
        </w:tc>
        <w:tc>
          <w:tcPr>
            <w:tcW w:w="1447" w:type="dxa"/>
            <w:noWrap w:val="0"/>
            <w:tcMar>
              <w:top w:w="0" w:type="dxa"/>
              <w:left w:w="105" w:type="dxa"/>
              <w:bottom w:w="0" w:type="dxa"/>
              <w:right w:w="105" w:type="dxa"/>
            </w:tcMar>
            <w:vAlign w:val="center"/>
          </w:tcPr>
          <w:p w14:paraId="3741A6D1">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100≤X＜300</w:t>
            </w:r>
          </w:p>
        </w:tc>
        <w:tc>
          <w:tcPr>
            <w:tcW w:w="1482" w:type="dxa"/>
            <w:noWrap w:val="0"/>
            <w:tcMar>
              <w:top w:w="0" w:type="dxa"/>
              <w:left w:w="105" w:type="dxa"/>
              <w:bottom w:w="0" w:type="dxa"/>
              <w:right w:w="105" w:type="dxa"/>
            </w:tcMar>
            <w:vAlign w:val="center"/>
          </w:tcPr>
          <w:p w14:paraId="020414D7">
            <w:pPr>
              <w:pStyle w:val="211"/>
              <w:pageBreakBefore w:val="0"/>
              <w:widowControl/>
              <w:kinsoku/>
              <w:wordWrap/>
              <w:overflowPunct/>
              <w:topLinePunct w:val="0"/>
              <w:autoSpaceDE/>
              <w:autoSpaceDN/>
              <w:bidi w:val="0"/>
              <w:adjustRightInd/>
              <w:spacing w:after="150" w:line="360" w:lineRule="auto"/>
              <w:ind w:firstLine="420"/>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10≤X＜100</w:t>
            </w:r>
          </w:p>
        </w:tc>
        <w:tc>
          <w:tcPr>
            <w:tcW w:w="1189" w:type="dxa"/>
            <w:noWrap w:val="0"/>
            <w:tcMar>
              <w:top w:w="0" w:type="dxa"/>
              <w:left w:w="105" w:type="dxa"/>
              <w:bottom w:w="0" w:type="dxa"/>
              <w:right w:w="105" w:type="dxa"/>
            </w:tcMar>
            <w:vAlign w:val="center"/>
          </w:tcPr>
          <w:p w14:paraId="7EFE9302">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X＜10</w:t>
            </w:r>
          </w:p>
        </w:tc>
      </w:tr>
      <w:tr w14:paraId="1C7DF991">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766" w:type="dxa"/>
            <w:vMerge w:val="continue"/>
            <w:noWrap w:val="0"/>
            <w:vAlign w:val="center"/>
          </w:tcPr>
          <w:p w14:paraId="5964A1B5">
            <w:pPr>
              <w:pageBreakBefore w:val="0"/>
              <w:widowControl/>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1552" w:type="dxa"/>
            <w:noWrap w:val="0"/>
            <w:tcMar>
              <w:top w:w="0" w:type="dxa"/>
              <w:left w:w="105" w:type="dxa"/>
              <w:bottom w:w="0" w:type="dxa"/>
              <w:right w:w="105" w:type="dxa"/>
            </w:tcMar>
            <w:vAlign w:val="center"/>
          </w:tcPr>
          <w:p w14:paraId="1467EA11">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营业收入（Y）</w:t>
            </w:r>
          </w:p>
        </w:tc>
        <w:tc>
          <w:tcPr>
            <w:tcW w:w="1135" w:type="dxa"/>
            <w:noWrap w:val="0"/>
            <w:tcMar>
              <w:top w:w="0" w:type="dxa"/>
              <w:left w:w="105" w:type="dxa"/>
              <w:bottom w:w="0" w:type="dxa"/>
              <w:right w:w="105" w:type="dxa"/>
            </w:tcMar>
            <w:vAlign w:val="center"/>
          </w:tcPr>
          <w:p w14:paraId="04A35D95">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万元</w:t>
            </w:r>
          </w:p>
        </w:tc>
        <w:tc>
          <w:tcPr>
            <w:tcW w:w="1447" w:type="dxa"/>
            <w:noWrap w:val="0"/>
            <w:tcMar>
              <w:top w:w="0" w:type="dxa"/>
              <w:left w:w="105" w:type="dxa"/>
              <w:bottom w:w="0" w:type="dxa"/>
              <w:right w:w="105" w:type="dxa"/>
            </w:tcMar>
            <w:vAlign w:val="center"/>
          </w:tcPr>
          <w:p w14:paraId="53033067">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2000≤Y＜10000</w:t>
            </w:r>
          </w:p>
        </w:tc>
        <w:tc>
          <w:tcPr>
            <w:tcW w:w="1482" w:type="dxa"/>
            <w:noWrap w:val="0"/>
            <w:tcMar>
              <w:top w:w="0" w:type="dxa"/>
              <w:left w:w="105" w:type="dxa"/>
              <w:bottom w:w="0" w:type="dxa"/>
              <w:right w:w="105" w:type="dxa"/>
            </w:tcMar>
            <w:vAlign w:val="center"/>
          </w:tcPr>
          <w:p w14:paraId="290F79E9">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100≤Y＜2000</w:t>
            </w:r>
          </w:p>
        </w:tc>
        <w:tc>
          <w:tcPr>
            <w:tcW w:w="1189" w:type="dxa"/>
            <w:noWrap w:val="0"/>
            <w:tcMar>
              <w:top w:w="0" w:type="dxa"/>
              <w:left w:w="105" w:type="dxa"/>
              <w:bottom w:w="0" w:type="dxa"/>
              <w:right w:w="105" w:type="dxa"/>
            </w:tcMar>
            <w:vAlign w:val="center"/>
          </w:tcPr>
          <w:p w14:paraId="0BC231AE">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Y＜100</w:t>
            </w:r>
          </w:p>
        </w:tc>
      </w:tr>
      <w:tr w14:paraId="67D499FF">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766" w:type="dxa"/>
            <w:vMerge w:val="restart"/>
            <w:noWrap w:val="0"/>
            <w:tcMar>
              <w:top w:w="0" w:type="dxa"/>
              <w:left w:w="105" w:type="dxa"/>
              <w:bottom w:w="0" w:type="dxa"/>
              <w:right w:w="105" w:type="dxa"/>
            </w:tcMar>
            <w:vAlign w:val="center"/>
          </w:tcPr>
          <w:p w14:paraId="1DA9D33C">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餐饮业</w:t>
            </w:r>
          </w:p>
        </w:tc>
        <w:tc>
          <w:tcPr>
            <w:tcW w:w="1552" w:type="dxa"/>
            <w:noWrap w:val="0"/>
            <w:tcMar>
              <w:top w:w="0" w:type="dxa"/>
              <w:left w:w="105" w:type="dxa"/>
              <w:bottom w:w="0" w:type="dxa"/>
              <w:right w:w="105" w:type="dxa"/>
            </w:tcMar>
            <w:vAlign w:val="center"/>
          </w:tcPr>
          <w:p w14:paraId="655D17D3">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从业人员（X）</w:t>
            </w:r>
          </w:p>
        </w:tc>
        <w:tc>
          <w:tcPr>
            <w:tcW w:w="1135" w:type="dxa"/>
            <w:noWrap w:val="0"/>
            <w:tcMar>
              <w:top w:w="0" w:type="dxa"/>
              <w:left w:w="105" w:type="dxa"/>
              <w:bottom w:w="0" w:type="dxa"/>
              <w:right w:w="105" w:type="dxa"/>
            </w:tcMar>
            <w:vAlign w:val="center"/>
          </w:tcPr>
          <w:p w14:paraId="1D03FA31">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人</w:t>
            </w:r>
          </w:p>
        </w:tc>
        <w:tc>
          <w:tcPr>
            <w:tcW w:w="1447" w:type="dxa"/>
            <w:noWrap w:val="0"/>
            <w:tcMar>
              <w:top w:w="0" w:type="dxa"/>
              <w:left w:w="105" w:type="dxa"/>
              <w:bottom w:w="0" w:type="dxa"/>
              <w:right w:w="105" w:type="dxa"/>
            </w:tcMar>
            <w:vAlign w:val="center"/>
          </w:tcPr>
          <w:p w14:paraId="59FB1A5B">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100≤X＜300</w:t>
            </w:r>
          </w:p>
        </w:tc>
        <w:tc>
          <w:tcPr>
            <w:tcW w:w="1482" w:type="dxa"/>
            <w:noWrap w:val="0"/>
            <w:tcMar>
              <w:top w:w="0" w:type="dxa"/>
              <w:left w:w="105" w:type="dxa"/>
              <w:bottom w:w="0" w:type="dxa"/>
              <w:right w:w="105" w:type="dxa"/>
            </w:tcMar>
            <w:vAlign w:val="center"/>
          </w:tcPr>
          <w:p w14:paraId="201619BB">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10≤X＜100</w:t>
            </w:r>
          </w:p>
        </w:tc>
        <w:tc>
          <w:tcPr>
            <w:tcW w:w="1189" w:type="dxa"/>
            <w:noWrap w:val="0"/>
            <w:tcMar>
              <w:top w:w="0" w:type="dxa"/>
              <w:left w:w="105" w:type="dxa"/>
              <w:bottom w:w="0" w:type="dxa"/>
              <w:right w:w="105" w:type="dxa"/>
            </w:tcMar>
            <w:vAlign w:val="center"/>
          </w:tcPr>
          <w:p w14:paraId="7D5EA110">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X＜10</w:t>
            </w:r>
          </w:p>
        </w:tc>
      </w:tr>
      <w:tr w14:paraId="2EB51A37">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766" w:type="dxa"/>
            <w:vMerge w:val="continue"/>
            <w:noWrap w:val="0"/>
            <w:vAlign w:val="center"/>
          </w:tcPr>
          <w:p w14:paraId="4FC921C6">
            <w:pPr>
              <w:pageBreakBefore w:val="0"/>
              <w:widowControl/>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1552" w:type="dxa"/>
            <w:noWrap w:val="0"/>
            <w:tcMar>
              <w:top w:w="0" w:type="dxa"/>
              <w:left w:w="105" w:type="dxa"/>
              <w:bottom w:w="0" w:type="dxa"/>
              <w:right w:w="105" w:type="dxa"/>
            </w:tcMar>
            <w:vAlign w:val="center"/>
          </w:tcPr>
          <w:p w14:paraId="6396B2A6">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营业收入（Y）</w:t>
            </w:r>
          </w:p>
        </w:tc>
        <w:tc>
          <w:tcPr>
            <w:tcW w:w="1135" w:type="dxa"/>
            <w:noWrap w:val="0"/>
            <w:tcMar>
              <w:top w:w="0" w:type="dxa"/>
              <w:left w:w="105" w:type="dxa"/>
              <w:bottom w:w="0" w:type="dxa"/>
              <w:right w:w="105" w:type="dxa"/>
            </w:tcMar>
            <w:vAlign w:val="center"/>
          </w:tcPr>
          <w:p w14:paraId="5D13C77C">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万元</w:t>
            </w:r>
          </w:p>
        </w:tc>
        <w:tc>
          <w:tcPr>
            <w:tcW w:w="1447" w:type="dxa"/>
            <w:noWrap w:val="0"/>
            <w:tcMar>
              <w:top w:w="0" w:type="dxa"/>
              <w:left w:w="105" w:type="dxa"/>
              <w:bottom w:w="0" w:type="dxa"/>
              <w:right w:w="105" w:type="dxa"/>
            </w:tcMar>
            <w:vAlign w:val="center"/>
          </w:tcPr>
          <w:p w14:paraId="6B00D7B7">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2000≤Y＜10000</w:t>
            </w:r>
          </w:p>
        </w:tc>
        <w:tc>
          <w:tcPr>
            <w:tcW w:w="1482" w:type="dxa"/>
            <w:noWrap w:val="0"/>
            <w:tcMar>
              <w:top w:w="0" w:type="dxa"/>
              <w:left w:w="105" w:type="dxa"/>
              <w:bottom w:w="0" w:type="dxa"/>
              <w:right w:w="105" w:type="dxa"/>
            </w:tcMar>
            <w:vAlign w:val="center"/>
          </w:tcPr>
          <w:p w14:paraId="5FEB2B38">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100≤Y＜2000</w:t>
            </w:r>
          </w:p>
        </w:tc>
        <w:tc>
          <w:tcPr>
            <w:tcW w:w="1189" w:type="dxa"/>
            <w:noWrap w:val="0"/>
            <w:tcMar>
              <w:top w:w="0" w:type="dxa"/>
              <w:left w:w="105" w:type="dxa"/>
              <w:bottom w:w="0" w:type="dxa"/>
              <w:right w:w="105" w:type="dxa"/>
            </w:tcMar>
            <w:vAlign w:val="center"/>
          </w:tcPr>
          <w:p w14:paraId="7600EBD4">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Y＜100</w:t>
            </w:r>
          </w:p>
        </w:tc>
      </w:tr>
      <w:tr w14:paraId="3C15C860">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766" w:type="dxa"/>
            <w:vMerge w:val="restart"/>
            <w:noWrap w:val="0"/>
            <w:tcMar>
              <w:top w:w="0" w:type="dxa"/>
              <w:left w:w="105" w:type="dxa"/>
              <w:bottom w:w="0" w:type="dxa"/>
              <w:right w:w="105" w:type="dxa"/>
            </w:tcMar>
            <w:vAlign w:val="center"/>
          </w:tcPr>
          <w:p w14:paraId="0A3E4A37">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信息传输业</w:t>
            </w:r>
          </w:p>
        </w:tc>
        <w:tc>
          <w:tcPr>
            <w:tcW w:w="1552" w:type="dxa"/>
            <w:noWrap w:val="0"/>
            <w:tcMar>
              <w:top w:w="0" w:type="dxa"/>
              <w:left w:w="105" w:type="dxa"/>
              <w:bottom w:w="0" w:type="dxa"/>
              <w:right w:w="105" w:type="dxa"/>
            </w:tcMar>
            <w:vAlign w:val="center"/>
          </w:tcPr>
          <w:p w14:paraId="761B827F">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从业人员（X）</w:t>
            </w:r>
          </w:p>
        </w:tc>
        <w:tc>
          <w:tcPr>
            <w:tcW w:w="1135" w:type="dxa"/>
            <w:noWrap w:val="0"/>
            <w:tcMar>
              <w:top w:w="0" w:type="dxa"/>
              <w:left w:w="105" w:type="dxa"/>
              <w:bottom w:w="0" w:type="dxa"/>
              <w:right w:w="105" w:type="dxa"/>
            </w:tcMar>
            <w:vAlign w:val="center"/>
          </w:tcPr>
          <w:p w14:paraId="6E595298">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人</w:t>
            </w:r>
          </w:p>
        </w:tc>
        <w:tc>
          <w:tcPr>
            <w:tcW w:w="1447" w:type="dxa"/>
            <w:noWrap w:val="0"/>
            <w:tcMar>
              <w:top w:w="0" w:type="dxa"/>
              <w:left w:w="105" w:type="dxa"/>
              <w:bottom w:w="0" w:type="dxa"/>
              <w:right w:w="105" w:type="dxa"/>
            </w:tcMar>
            <w:vAlign w:val="center"/>
          </w:tcPr>
          <w:p w14:paraId="7F13ECCB">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100≤X＜2000</w:t>
            </w:r>
          </w:p>
        </w:tc>
        <w:tc>
          <w:tcPr>
            <w:tcW w:w="1482" w:type="dxa"/>
            <w:noWrap w:val="0"/>
            <w:tcMar>
              <w:top w:w="0" w:type="dxa"/>
              <w:left w:w="105" w:type="dxa"/>
              <w:bottom w:w="0" w:type="dxa"/>
              <w:right w:w="105" w:type="dxa"/>
            </w:tcMar>
            <w:vAlign w:val="center"/>
          </w:tcPr>
          <w:p w14:paraId="19BE606C">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10≤X＜100</w:t>
            </w:r>
          </w:p>
        </w:tc>
        <w:tc>
          <w:tcPr>
            <w:tcW w:w="1189" w:type="dxa"/>
            <w:noWrap w:val="0"/>
            <w:tcMar>
              <w:top w:w="0" w:type="dxa"/>
              <w:left w:w="105" w:type="dxa"/>
              <w:bottom w:w="0" w:type="dxa"/>
              <w:right w:w="105" w:type="dxa"/>
            </w:tcMar>
            <w:vAlign w:val="center"/>
          </w:tcPr>
          <w:p w14:paraId="18CAFD1B">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X＜10</w:t>
            </w:r>
          </w:p>
        </w:tc>
      </w:tr>
      <w:tr w14:paraId="43F59425">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766" w:type="dxa"/>
            <w:vMerge w:val="continue"/>
            <w:noWrap w:val="0"/>
            <w:vAlign w:val="center"/>
          </w:tcPr>
          <w:p w14:paraId="3C9BC909">
            <w:pPr>
              <w:pageBreakBefore w:val="0"/>
              <w:widowControl/>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1552" w:type="dxa"/>
            <w:noWrap w:val="0"/>
            <w:tcMar>
              <w:top w:w="0" w:type="dxa"/>
              <w:left w:w="105" w:type="dxa"/>
              <w:bottom w:w="0" w:type="dxa"/>
              <w:right w:w="105" w:type="dxa"/>
            </w:tcMar>
            <w:vAlign w:val="center"/>
          </w:tcPr>
          <w:p w14:paraId="7145BBFD">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营业收入（Y）</w:t>
            </w:r>
          </w:p>
        </w:tc>
        <w:tc>
          <w:tcPr>
            <w:tcW w:w="1135" w:type="dxa"/>
            <w:noWrap w:val="0"/>
            <w:tcMar>
              <w:top w:w="0" w:type="dxa"/>
              <w:left w:w="105" w:type="dxa"/>
              <w:bottom w:w="0" w:type="dxa"/>
              <w:right w:w="105" w:type="dxa"/>
            </w:tcMar>
            <w:vAlign w:val="center"/>
          </w:tcPr>
          <w:p w14:paraId="02F61247">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万元</w:t>
            </w:r>
          </w:p>
        </w:tc>
        <w:tc>
          <w:tcPr>
            <w:tcW w:w="1447" w:type="dxa"/>
            <w:noWrap w:val="0"/>
            <w:tcMar>
              <w:top w:w="0" w:type="dxa"/>
              <w:left w:w="105" w:type="dxa"/>
              <w:bottom w:w="0" w:type="dxa"/>
              <w:right w:w="105" w:type="dxa"/>
            </w:tcMar>
            <w:vAlign w:val="center"/>
          </w:tcPr>
          <w:p w14:paraId="4D6511F6">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1000≤Y＜100000</w:t>
            </w:r>
          </w:p>
        </w:tc>
        <w:tc>
          <w:tcPr>
            <w:tcW w:w="1482" w:type="dxa"/>
            <w:noWrap w:val="0"/>
            <w:tcMar>
              <w:top w:w="0" w:type="dxa"/>
              <w:left w:w="105" w:type="dxa"/>
              <w:bottom w:w="0" w:type="dxa"/>
              <w:right w:w="105" w:type="dxa"/>
            </w:tcMar>
            <w:vAlign w:val="center"/>
          </w:tcPr>
          <w:p w14:paraId="6FF2BAA3">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100≤Y＜1000</w:t>
            </w:r>
          </w:p>
        </w:tc>
        <w:tc>
          <w:tcPr>
            <w:tcW w:w="1189" w:type="dxa"/>
            <w:noWrap w:val="0"/>
            <w:tcMar>
              <w:top w:w="0" w:type="dxa"/>
              <w:left w:w="105" w:type="dxa"/>
              <w:bottom w:w="0" w:type="dxa"/>
              <w:right w:w="105" w:type="dxa"/>
            </w:tcMar>
            <w:vAlign w:val="center"/>
          </w:tcPr>
          <w:p w14:paraId="6131CB44">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Y＜100</w:t>
            </w:r>
          </w:p>
        </w:tc>
      </w:tr>
      <w:tr w14:paraId="02A9B17B">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766" w:type="dxa"/>
            <w:vMerge w:val="restart"/>
            <w:noWrap w:val="0"/>
            <w:tcMar>
              <w:top w:w="0" w:type="dxa"/>
              <w:left w:w="105" w:type="dxa"/>
              <w:bottom w:w="0" w:type="dxa"/>
              <w:right w:w="105" w:type="dxa"/>
            </w:tcMar>
            <w:vAlign w:val="center"/>
          </w:tcPr>
          <w:p w14:paraId="32D0716F">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软件和信息技术服务业</w:t>
            </w:r>
          </w:p>
        </w:tc>
        <w:tc>
          <w:tcPr>
            <w:tcW w:w="1552" w:type="dxa"/>
            <w:noWrap w:val="0"/>
            <w:tcMar>
              <w:top w:w="0" w:type="dxa"/>
              <w:left w:w="105" w:type="dxa"/>
              <w:bottom w:w="0" w:type="dxa"/>
              <w:right w:w="105" w:type="dxa"/>
            </w:tcMar>
            <w:vAlign w:val="center"/>
          </w:tcPr>
          <w:p w14:paraId="7D14D86E">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从业人员（X）</w:t>
            </w:r>
          </w:p>
        </w:tc>
        <w:tc>
          <w:tcPr>
            <w:tcW w:w="1135" w:type="dxa"/>
            <w:noWrap w:val="0"/>
            <w:tcMar>
              <w:top w:w="0" w:type="dxa"/>
              <w:left w:w="105" w:type="dxa"/>
              <w:bottom w:w="0" w:type="dxa"/>
              <w:right w:w="105" w:type="dxa"/>
            </w:tcMar>
            <w:vAlign w:val="center"/>
          </w:tcPr>
          <w:p w14:paraId="406791B2">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人</w:t>
            </w:r>
          </w:p>
        </w:tc>
        <w:tc>
          <w:tcPr>
            <w:tcW w:w="1447" w:type="dxa"/>
            <w:noWrap w:val="0"/>
            <w:tcMar>
              <w:top w:w="0" w:type="dxa"/>
              <w:left w:w="105" w:type="dxa"/>
              <w:bottom w:w="0" w:type="dxa"/>
              <w:right w:w="105" w:type="dxa"/>
            </w:tcMar>
            <w:vAlign w:val="center"/>
          </w:tcPr>
          <w:p w14:paraId="3B71C2B7">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100≤X＜300</w:t>
            </w:r>
          </w:p>
        </w:tc>
        <w:tc>
          <w:tcPr>
            <w:tcW w:w="1482" w:type="dxa"/>
            <w:noWrap w:val="0"/>
            <w:tcMar>
              <w:top w:w="0" w:type="dxa"/>
              <w:left w:w="105" w:type="dxa"/>
              <w:bottom w:w="0" w:type="dxa"/>
              <w:right w:w="105" w:type="dxa"/>
            </w:tcMar>
            <w:vAlign w:val="center"/>
          </w:tcPr>
          <w:p w14:paraId="1CE7FC92">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10≤X＜100</w:t>
            </w:r>
          </w:p>
        </w:tc>
        <w:tc>
          <w:tcPr>
            <w:tcW w:w="1189" w:type="dxa"/>
            <w:noWrap w:val="0"/>
            <w:tcMar>
              <w:top w:w="0" w:type="dxa"/>
              <w:left w:w="105" w:type="dxa"/>
              <w:bottom w:w="0" w:type="dxa"/>
              <w:right w:w="105" w:type="dxa"/>
            </w:tcMar>
            <w:vAlign w:val="center"/>
          </w:tcPr>
          <w:p w14:paraId="42D38C7A">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X＜10</w:t>
            </w:r>
          </w:p>
        </w:tc>
      </w:tr>
      <w:tr w14:paraId="1C6AA3AD">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766" w:type="dxa"/>
            <w:vMerge w:val="continue"/>
            <w:noWrap w:val="0"/>
            <w:vAlign w:val="center"/>
          </w:tcPr>
          <w:p w14:paraId="1FE7F899">
            <w:pPr>
              <w:pageBreakBefore w:val="0"/>
              <w:widowControl/>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1552" w:type="dxa"/>
            <w:noWrap w:val="0"/>
            <w:tcMar>
              <w:top w:w="0" w:type="dxa"/>
              <w:left w:w="105" w:type="dxa"/>
              <w:bottom w:w="0" w:type="dxa"/>
              <w:right w:w="105" w:type="dxa"/>
            </w:tcMar>
            <w:vAlign w:val="center"/>
          </w:tcPr>
          <w:p w14:paraId="4770C8F9">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营业收入（Y）</w:t>
            </w:r>
          </w:p>
        </w:tc>
        <w:tc>
          <w:tcPr>
            <w:tcW w:w="1135" w:type="dxa"/>
            <w:noWrap w:val="0"/>
            <w:tcMar>
              <w:top w:w="0" w:type="dxa"/>
              <w:left w:w="105" w:type="dxa"/>
              <w:bottom w:w="0" w:type="dxa"/>
              <w:right w:w="105" w:type="dxa"/>
            </w:tcMar>
            <w:vAlign w:val="center"/>
          </w:tcPr>
          <w:p w14:paraId="6BCE9C85">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万元</w:t>
            </w:r>
          </w:p>
        </w:tc>
        <w:tc>
          <w:tcPr>
            <w:tcW w:w="1447" w:type="dxa"/>
            <w:noWrap w:val="0"/>
            <w:tcMar>
              <w:top w:w="0" w:type="dxa"/>
              <w:left w:w="105" w:type="dxa"/>
              <w:bottom w:w="0" w:type="dxa"/>
              <w:right w:w="105" w:type="dxa"/>
            </w:tcMar>
            <w:vAlign w:val="center"/>
          </w:tcPr>
          <w:p w14:paraId="122A361A">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1000≤Y＜10000</w:t>
            </w:r>
          </w:p>
        </w:tc>
        <w:tc>
          <w:tcPr>
            <w:tcW w:w="1482" w:type="dxa"/>
            <w:noWrap w:val="0"/>
            <w:tcMar>
              <w:top w:w="0" w:type="dxa"/>
              <w:left w:w="105" w:type="dxa"/>
              <w:bottom w:w="0" w:type="dxa"/>
              <w:right w:w="105" w:type="dxa"/>
            </w:tcMar>
            <w:vAlign w:val="center"/>
          </w:tcPr>
          <w:p w14:paraId="6F0C8181">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50≤Y＜1000</w:t>
            </w:r>
          </w:p>
        </w:tc>
        <w:tc>
          <w:tcPr>
            <w:tcW w:w="1189" w:type="dxa"/>
            <w:noWrap w:val="0"/>
            <w:tcMar>
              <w:top w:w="0" w:type="dxa"/>
              <w:left w:w="105" w:type="dxa"/>
              <w:bottom w:w="0" w:type="dxa"/>
              <w:right w:w="105" w:type="dxa"/>
            </w:tcMar>
            <w:vAlign w:val="center"/>
          </w:tcPr>
          <w:p w14:paraId="723154EE">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Y＜50</w:t>
            </w:r>
          </w:p>
        </w:tc>
      </w:tr>
      <w:tr w14:paraId="178BA3B4">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766" w:type="dxa"/>
            <w:vMerge w:val="restart"/>
            <w:noWrap w:val="0"/>
            <w:tcMar>
              <w:top w:w="0" w:type="dxa"/>
              <w:left w:w="105" w:type="dxa"/>
              <w:bottom w:w="0" w:type="dxa"/>
              <w:right w:w="105" w:type="dxa"/>
            </w:tcMar>
            <w:vAlign w:val="center"/>
          </w:tcPr>
          <w:p w14:paraId="77503C40">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房地产开发经营</w:t>
            </w:r>
          </w:p>
        </w:tc>
        <w:tc>
          <w:tcPr>
            <w:tcW w:w="1552" w:type="dxa"/>
            <w:noWrap w:val="0"/>
            <w:tcMar>
              <w:top w:w="0" w:type="dxa"/>
              <w:left w:w="105" w:type="dxa"/>
              <w:bottom w:w="0" w:type="dxa"/>
              <w:right w:w="105" w:type="dxa"/>
            </w:tcMar>
            <w:vAlign w:val="center"/>
          </w:tcPr>
          <w:p w14:paraId="3B25BE0A">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营业收入（Y）</w:t>
            </w:r>
          </w:p>
        </w:tc>
        <w:tc>
          <w:tcPr>
            <w:tcW w:w="1135" w:type="dxa"/>
            <w:noWrap w:val="0"/>
            <w:tcMar>
              <w:top w:w="0" w:type="dxa"/>
              <w:left w:w="105" w:type="dxa"/>
              <w:bottom w:w="0" w:type="dxa"/>
              <w:right w:w="105" w:type="dxa"/>
            </w:tcMar>
            <w:vAlign w:val="center"/>
          </w:tcPr>
          <w:p w14:paraId="7A6CC12E">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万元</w:t>
            </w:r>
          </w:p>
        </w:tc>
        <w:tc>
          <w:tcPr>
            <w:tcW w:w="1447" w:type="dxa"/>
            <w:noWrap w:val="0"/>
            <w:tcMar>
              <w:top w:w="0" w:type="dxa"/>
              <w:left w:w="105" w:type="dxa"/>
              <w:bottom w:w="0" w:type="dxa"/>
              <w:right w:w="105" w:type="dxa"/>
            </w:tcMar>
            <w:vAlign w:val="center"/>
          </w:tcPr>
          <w:p w14:paraId="3D68975C">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1000≤Y＜200000</w:t>
            </w:r>
          </w:p>
        </w:tc>
        <w:tc>
          <w:tcPr>
            <w:tcW w:w="1482" w:type="dxa"/>
            <w:noWrap w:val="0"/>
            <w:tcMar>
              <w:top w:w="0" w:type="dxa"/>
              <w:left w:w="105" w:type="dxa"/>
              <w:bottom w:w="0" w:type="dxa"/>
              <w:right w:w="105" w:type="dxa"/>
            </w:tcMar>
            <w:vAlign w:val="center"/>
          </w:tcPr>
          <w:p w14:paraId="0D44CEE0">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100≤X＜1000</w:t>
            </w:r>
          </w:p>
        </w:tc>
        <w:tc>
          <w:tcPr>
            <w:tcW w:w="1189" w:type="dxa"/>
            <w:noWrap w:val="0"/>
            <w:tcMar>
              <w:top w:w="0" w:type="dxa"/>
              <w:left w:w="105" w:type="dxa"/>
              <w:bottom w:w="0" w:type="dxa"/>
              <w:right w:w="105" w:type="dxa"/>
            </w:tcMar>
            <w:vAlign w:val="center"/>
          </w:tcPr>
          <w:p w14:paraId="6505E128">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X＜100</w:t>
            </w:r>
          </w:p>
        </w:tc>
      </w:tr>
      <w:tr w14:paraId="27E6A6B6">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766" w:type="dxa"/>
            <w:vMerge w:val="continue"/>
            <w:noWrap w:val="0"/>
            <w:vAlign w:val="center"/>
          </w:tcPr>
          <w:p w14:paraId="13A78953">
            <w:pPr>
              <w:pageBreakBefore w:val="0"/>
              <w:widowControl/>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1552" w:type="dxa"/>
            <w:noWrap w:val="0"/>
            <w:tcMar>
              <w:top w:w="0" w:type="dxa"/>
              <w:left w:w="105" w:type="dxa"/>
              <w:bottom w:w="0" w:type="dxa"/>
              <w:right w:w="105" w:type="dxa"/>
            </w:tcMar>
            <w:vAlign w:val="center"/>
          </w:tcPr>
          <w:p w14:paraId="510DA4A4">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资产总额（Z）</w:t>
            </w:r>
          </w:p>
        </w:tc>
        <w:tc>
          <w:tcPr>
            <w:tcW w:w="1135" w:type="dxa"/>
            <w:noWrap w:val="0"/>
            <w:tcMar>
              <w:top w:w="0" w:type="dxa"/>
              <w:left w:w="105" w:type="dxa"/>
              <w:bottom w:w="0" w:type="dxa"/>
              <w:right w:w="105" w:type="dxa"/>
            </w:tcMar>
            <w:vAlign w:val="center"/>
          </w:tcPr>
          <w:p w14:paraId="2C2A7E54">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万元</w:t>
            </w:r>
          </w:p>
        </w:tc>
        <w:tc>
          <w:tcPr>
            <w:tcW w:w="1447" w:type="dxa"/>
            <w:noWrap w:val="0"/>
            <w:tcMar>
              <w:top w:w="0" w:type="dxa"/>
              <w:left w:w="105" w:type="dxa"/>
              <w:bottom w:w="0" w:type="dxa"/>
              <w:right w:w="105" w:type="dxa"/>
            </w:tcMar>
            <w:vAlign w:val="center"/>
          </w:tcPr>
          <w:p w14:paraId="601D4E24">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5000≤Z＜10000</w:t>
            </w:r>
          </w:p>
        </w:tc>
        <w:tc>
          <w:tcPr>
            <w:tcW w:w="1482" w:type="dxa"/>
            <w:noWrap w:val="0"/>
            <w:tcMar>
              <w:top w:w="0" w:type="dxa"/>
              <w:left w:w="105" w:type="dxa"/>
              <w:bottom w:w="0" w:type="dxa"/>
              <w:right w:w="105" w:type="dxa"/>
            </w:tcMar>
            <w:vAlign w:val="center"/>
          </w:tcPr>
          <w:p w14:paraId="157DA764">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2000≤Y＜5000</w:t>
            </w:r>
          </w:p>
        </w:tc>
        <w:tc>
          <w:tcPr>
            <w:tcW w:w="1189" w:type="dxa"/>
            <w:noWrap w:val="0"/>
            <w:tcMar>
              <w:top w:w="0" w:type="dxa"/>
              <w:left w:w="105" w:type="dxa"/>
              <w:bottom w:w="0" w:type="dxa"/>
              <w:right w:w="105" w:type="dxa"/>
            </w:tcMar>
            <w:vAlign w:val="center"/>
          </w:tcPr>
          <w:p w14:paraId="318B9FD8">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Y＜2000</w:t>
            </w:r>
          </w:p>
        </w:tc>
      </w:tr>
      <w:tr w14:paraId="21ED0E9F">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766" w:type="dxa"/>
            <w:vMerge w:val="restart"/>
            <w:noWrap w:val="0"/>
            <w:tcMar>
              <w:top w:w="0" w:type="dxa"/>
              <w:left w:w="105" w:type="dxa"/>
              <w:bottom w:w="0" w:type="dxa"/>
              <w:right w:w="105" w:type="dxa"/>
            </w:tcMar>
            <w:vAlign w:val="center"/>
          </w:tcPr>
          <w:p w14:paraId="13FBDD27">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物业管理</w:t>
            </w:r>
          </w:p>
        </w:tc>
        <w:tc>
          <w:tcPr>
            <w:tcW w:w="1552" w:type="dxa"/>
            <w:noWrap w:val="0"/>
            <w:tcMar>
              <w:top w:w="0" w:type="dxa"/>
              <w:left w:w="105" w:type="dxa"/>
              <w:bottom w:w="0" w:type="dxa"/>
              <w:right w:w="105" w:type="dxa"/>
            </w:tcMar>
            <w:vAlign w:val="center"/>
          </w:tcPr>
          <w:p w14:paraId="266520DA">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从业人员（X）</w:t>
            </w:r>
          </w:p>
        </w:tc>
        <w:tc>
          <w:tcPr>
            <w:tcW w:w="1135" w:type="dxa"/>
            <w:noWrap w:val="0"/>
            <w:tcMar>
              <w:top w:w="0" w:type="dxa"/>
              <w:left w:w="105" w:type="dxa"/>
              <w:bottom w:w="0" w:type="dxa"/>
              <w:right w:w="105" w:type="dxa"/>
            </w:tcMar>
            <w:vAlign w:val="center"/>
          </w:tcPr>
          <w:p w14:paraId="515653FE">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人</w:t>
            </w:r>
          </w:p>
        </w:tc>
        <w:tc>
          <w:tcPr>
            <w:tcW w:w="1447" w:type="dxa"/>
            <w:noWrap w:val="0"/>
            <w:tcMar>
              <w:top w:w="0" w:type="dxa"/>
              <w:left w:w="105" w:type="dxa"/>
              <w:bottom w:w="0" w:type="dxa"/>
              <w:right w:w="105" w:type="dxa"/>
            </w:tcMar>
            <w:vAlign w:val="center"/>
          </w:tcPr>
          <w:p w14:paraId="52DBE185">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300≤X＜1000</w:t>
            </w:r>
          </w:p>
        </w:tc>
        <w:tc>
          <w:tcPr>
            <w:tcW w:w="1482" w:type="dxa"/>
            <w:noWrap w:val="0"/>
            <w:tcMar>
              <w:top w:w="0" w:type="dxa"/>
              <w:left w:w="105" w:type="dxa"/>
              <w:bottom w:w="0" w:type="dxa"/>
              <w:right w:w="105" w:type="dxa"/>
            </w:tcMar>
            <w:vAlign w:val="center"/>
          </w:tcPr>
          <w:p w14:paraId="2BB53B06">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100≤X＜300</w:t>
            </w:r>
          </w:p>
        </w:tc>
        <w:tc>
          <w:tcPr>
            <w:tcW w:w="1189" w:type="dxa"/>
            <w:noWrap w:val="0"/>
            <w:tcMar>
              <w:top w:w="0" w:type="dxa"/>
              <w:left w:w="105" w:type="dxa"/>
              <w:bottom w:w="0" w:type="dxa"/>
              <w:right w:w="105" w:type="dxa"/>
            </w:tcMar>
            <w:vAlign w:val="center"/>
          </w:tcPr>
          <w:p w14:paraId="4F770E9B">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X＜100</w:t>
            </w:r>
          </w:p>
        </w:tc>
      </w:tr>
      <w:tr w14:paraId="03B78B5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766" w:type="dxa"/>
            <w:vMerge w:val="continue"/>
            <w:noWrap w:val="0"/>
            <w:vAlign w:val="center"/>
          </w:tcPr>
          <w:p w14:paraId="2FD79603">
            <w:pPr>
              <w:pageBreakBefore w:val="0"/>
              <w:widowControl/>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1552" w:type="dxa"/>
            <w:noWrap w:val="0"/>
            <w:tcMar>
              <w:top w:w="0" w:type="dxa"/>
              <w:left w:w="105" w:type="dxa"/>
              <w:bottom w:w="0" w:type="dxa"/>
              <w:right w:w="105" w:type="dxa"/>
            </w:tcMar>
            <w:vAlign w:val="center"/>
          </w:tcPr>
          <w:p w14:paraId="53F87A8E">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营业收入（Y）</w:t>
            </w:r>
          </w:p>
        </w:tc>
        <w:tc>
          <w:tcPr>
            <w:tcW w:w="1135" w:type="dxa"/>
            <w:noWrap w:val="0"/>
            <w:tcMar>
              <w:top w:w="0" w:type="dxa"/>
              <w:left w:w="105" w:type="dxa"/>
              <w:bottom w:w="0" w:type="dxa"/>
              <w:right w:w="105" w:type="dxa"/>
            </w:tcMar>
            <w:vAlign w:val="center"/>
          </w:tcPr>
          <w:p w14:paraId="61B6C97E">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万元</w:t>
            </w:r>
          </w:p>
        </w:tc>
        <w:tc>
          <w:tcPr>
            <w:tcW w:w="1447" w:type="dxa"/>
            <w:noWrap w:val="0"/>
            <w:tcMar>
              <w:top w:w="0" w:type="dxa"/>
              <w:left w:w="105" w:type="dxa"/>
              <w:bottom w:w="0" w:type="dxa"/>
              <w:right w:w="105" w:type="dxa"/>
            </w:tcMar>
            <w:vAlign w:val="center"/>
          </w:tcPr>
          <w:p w14:paraId="389DF7D4">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1000≤Y＜5000</w:t>
            </w:r>
          </w:p>
        </w:tc>
        <w:tc>
          <w:tcPr>
            <w:tcW w:w="1482" w:type="dxa"/>
            <w:noWrap w:val="0"/>
            <w:tcMar>
              <w:top w:w="0" w:type="dxa"/>
              <w:left w:w="105" w:type="dxa"/>
              <w:bottom w:w="0" w:type="dxa"/>
              <w:right w:w="105" w:type="dxa"/>
            </w:tcMar>
            <w:vAlign w:val="center"/>
          </w:tcPr>
          <w:p w14:paraId="7D9F8B6F">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500≤Y＜1000</w:t>
            </w:r>
          </w:p>
        </w:tc>
        <w:tc>
          <w:tcPr>
            <w:tcW w:w="1189" w:type="dxa"/>
            <w:noWrap w:val="0"/>
            <w:tcMar>
              <w:top w:w="0" w:type="dxa"/>
              <w:left w:w="105" w:type="dxa"/>
              <w:bottom w:w="0" w:type="dxa"/>
              <w:right w:w="105" w:type="dxa"/>
            </w:tcMar>
            <w:vAlign w:val="center"/>
          </w:tcPr>
          <w:p w14:paraId="6CFBCA4C">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Y＜500</w:t>
            </w:r>
          </w:p>
        </w:tc>
      </w:tr>
      <w:tr w14:paraId="0216D26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766" w:type="dxa"/>
            <w:vMerge w:val="restart"/>
            <w:noWrap w:val="0"/>
            <w:tcMar>
              <w:top w:w="0" w:type="dxa"/>
              <w:left w:w="105" w:type="dxa"/>
              <w:bottom w:w="0" w:type="dxa"/>
              <w:right w:w="105" w:type="dxa"/>
            </w:tcMar>
            <w:vAlign w:val="center"/>
          </w:tcPr>
          <w:p w14:paraId="488C6BFC">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租赁和商务服务业</w:t>
            </w:r>
          </w:p>
        </w:tc>
        <w:tc>
          <w:tcPr>
            <w:tcW w:w="1552" w:type="dxa"/>
            <w:noWrap w:val="0"/>
            <w:tcMar>
              <w:top w:w="0" w:type="dxa"/>
              <w:left w:w="105" w:type="dxa"/>
              <w:bottom w:w="0" w:type="dxa"/>
              <w:right w:w="105" w:type="dxa"/>
            </w:tcMar>
            <w:vAlign w:val="center"/>
          </w:tcPr>
          <w:p w14:paraId="30E39DF3">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从业人员（X）</w:t>
            </w:r>
          </w:p>
        </w:tc>
        <w:tc>
          <w:tcPr>
            <w:tcW w:w="1135" w:type="dxa"/>
            <w:noWrap w:val="0"/>
            <w:tcMar>
              <w:top w:w="0" w:type="dxa"/>
              <w:left w:w="105" w:type="dxa"/>
              <w:bottom w:w="0" w:type="dxa"/>
              <w:right w:w="105" w:type="dxa"/>
            </w:tcMar>
            <w:vAlign w:val="center"/>
          </w:tcPr>
          <w:p w14:paraId="74267764">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人</w:t>
            </w:r>
          </w:p>
        </w:tc>
        <w:tc>
          <w:tcPr>
            <w:tcW w:w="1447" w:type="dxa"/>
            <w:noWrap w:val="0"/>
            <w:tcMar>
              <w:top w:w="0" w:type="dxa"/>
              <w:left w:w="105" w:type="dxa"/>
              <w:bottom w:w="0" w:type="dxa"/>
              <w:right w:w="105" w:type="dxa"/>
            </w:tcMar>
            <w:vAlign w:val="center"/>
          </w:tcPr>
          <w:p w14:paraId="5D16DF89">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100≤X＜300</w:t>
            </w:r>
          </w:p>
        </w:tc>
        <w:tc>
          <w:tcPr>
            <w:tcW w:w="1482" w:type="dxa"/>
            <w:noWrap w:val="0"/>
            <w:tcMar>
              <w:top w:w="0" w:type="dxa"/>
              <w:left w:w="105" w:type="dxa"/>
              <w:bottom w:w="0" w:type="dxa"/>
              <w:right w:w="105" w:type="dxa"/>
            </w:tcMar>
            <w:vAlign w:val="center"/>
          </w:tcPr>
          <w:p w14:paraId="0BD4E4BB">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10≤X＜100</w:t>
            </w:r>
          </w:p>
        </w:tc>
        <w:tc>
          <w:tcPr>
            <w:tcW w:w="1189" w:type="dxa"/>
            <w:noWrap w:val="0"/>
            <w:tcMar>
              <w:top w:w="0" w:type="dxa"/>
              <w:left w:w="105" w:type="dxa"/>
              <w:bottom w:w="0" w:type="dxa"/>
              <w:right w:w="105" w:type="dxa"/>
            </w:tcMar>
            <w:vAlign w:val="center"/>
          </w:tcPr>
          <w:p w14:paraId="7EA7516B">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X＜10</w:t>
            </w:r>
          </w:p>
        </w:tc>
      </w:tr>
      <w:tr w14:paraId="20343914">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766" w:type="dxa"/>
            <w:vMerge w:val="continue"/>
            <w:noWrap w:val="0"/>
            <w:vAlign w:val="center"/>
          </w:tcPr>
          <w:p w14:paraId="7FFBBD78">
            <w:pPr>
              <w:pageBreakBefore w:val="0"/>
              <w:widowControl/>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1552" w:type="dxa"/>
            <w:noWrap w:val="0"/>
            <w:tcMar>
              <w:top w:w="0" w:type="dxa"/>
              <w:left w:w="105" w:type="dxa"/>
              <w:bottom w:w="0" w:type="dxa"/>
              <w:right w:w="105" w:type="dxa"/>
            </w:tcMar>
            <w:vAlign w:val="center"/>
          </w:tcPr>
          <w:p w14:paraId="7CEAD803">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资产总额（Z）</w:t>
            </w:r>
          </w:p>
        </w:tc>
        <w:tc>
          <w:tcPr>
            <w:tcW w:w="1135" w:type="dxa"/>
            <w:noWrap w:val="0"/>
            <w:tcMar>
              <w:top w:w="0" w:type="dxa"/>
              <w:left w:w="105" w:type="dxa"/>
              <w:bottom w:w="0" w:type="dxa"/>
              <w:right w:w="105" w:type="dxa"/>
            </w:tcMar>
            <w:vAlign w:val="center"/>
          </w:tcPr>
          <w:p w14:paraId="5DF4548E">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万元</w:t>
            </w:r>
          </w:p>
        </w:tc>
        <w:tc>
          <w:tcPr>
            <w:tcW w:w="1447" w:type="dxa"/>
            <w:noWrap w:val="0"/>
            <w:tcMar>
              <w:top w:w="0" w:type="dxa"/>
              <w:left w:w="105" w:type="dxa"/>
              <w:bottom w:w="0" w:type="dxa"/>
              <w:right w:w="105" w:type="dxa"/>
            </w:tcMar>
            <w:vAlign w:val="center"/>
          </w:tcPr>
          <w:p w14:paraId="27DEA452">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8000≤Z＜120000</w:t>
            </w:r>
          </w:p>
        </w:tc>
        <w:tc>
          <w:tcPr>
            <w:tcW w:w="1482" w:type="dxa"/>
            <w:noWrap w:val="0"/>
            <w:tcMar>
              <w:top w:w="0" w:type="dxa"/>
              <w:left w:w="105" w:type="dxa"/>
              <w:bottom w:w="0" w:type="dxa"/>
              <w:right w:w="105" w:type="dxa"/>
            </w:tcMar>
            <w:vAlign w:val="center"/>
          </w:tcPr>
          <w:p w14:paraId="57A061AD">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100≤Z＜8000</w:t>
            </w:r>
          </w:p>
        </w:tc>
        <w:tc>
          <w:tcPr>
            <w:tcW w:w="1189" w:type="dxa"/>
            <w:noWrap w:val="0"/>
            <w:tcMar>
              <w:top w:w="0" w:type="dxa"/>
              <w:left w:w="105" w:type="dxa"/>
              <w:bottom w:w="0" w:type="dxa"/>
              <w:right w:w="105" w:type="dxa"/>
            </w:tcMar>
            <w:vAlign w:val="center"/>
          </w:tcPr>
          <w:p w14:paraId="29474AAE">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Y＜100</w:t>
            </w:r>
          </w:p>
        </w:tc>
      </w:tr>
      <w:tr w14:paraId="2CAC8D0D">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766" w:type="dxa"/>
            <w:noWrap w:val="0"/>
            <w:tcMar>
              <w:top w:w="0" w:type="dxa"/>
              <w:left w:w="105" w:type="dxa"/>
              <w:bottom w:w="0" w:type="dxa"/>
              <w:right w:w="105" w:type="dxa"/>
            </w:tcMar>
            <w:vAlign w:val="center"/>
          </w:tcPr>
          <w:p w14:paraId="7EF2C50D">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其他未列明行业</w:t>
            </w:r>
          </w:p>
        </w:tc>
        <w:tc>
          <w:tcPr>
            <w:tcW w:w="1552" w:type="dxa"/>
            <w:noWrap w:val="0"/>
            <w:tcMar>
              <w:top w:w="0" w:type="dxa"/>
              <w:left w:w="105" w:type="dxa"/>
              <w:bottom w:w="0" w:type="dxa"/>
              <w:right w:w="105" w:type="dxa"/>
            </w:tcMar>
            <w:vAlign w:val="center"/>
          </w:tcPr>
          <w:p w14:paraId="0C4B8C5E">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从业人员（X）</w:t>
            </w:r>
          </w:p>
        </w:tc>
        <w:tc>
          <w:tcPr>
            <w:tcW w:w="1135" w:type="dxa"/>
            <w:noWrap w:val="0"/>
            <w:tcMar>
              <w:top w:w="0" w:type="dxa"/>
              <w:left w:w="105" w:type="dxa"/>
              <w:bottom w:w="0" w:type="dxa"/>
              <w:right w:w="105" w:type="dxa"/>
            </w:tcMar>
            <w:vAlign w:val="center"/>
          </w:tcPr>
          <w:p w14:paraId="25FA51F9">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人</w:t>
            </w:r>
          </w:p>
        </w:tc>
        <w:tc>
          <w:tcPr>
            <w:tcW w:w="1447" w:type="dxa"/>
            <w:noWrap w:val="0"/>
            <w:tcMar>
              <w:top w:w="0" w:type="dxa"/>
              <w:left w:w="105" w:type="dxa"/>
              <w:bottom w:w="0" w:type="dxa"/>
              <w:right w:w="105" w:type="dxa"/>
            </w:tcMar>
            <w:vAlign w:val="center"/>
          </w:tcPr>
          <w:p w14:paraId="500605DB">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100≤X＜300</w:t>
            </w:r>
          </w:p>
        </w:tc>
        <w:tc>
          <w:tcPr>
            <w:tcW w:w="1482" w:type="dxa"/>
            <w:noWrap w:val="0"/>
            <w:tcMar>
              <w:top w:w="0" w:type="dxa"/>
              <w:left w:w="105" w:type="dxa"/>
              <w:bottom w:w="0" w:type="dxa"/>
              <w:right w:w="105" w:type="dxa"/>
            </w:tcMar>
            <w:vAlign w:val="center"/>
          </w:tcPr>
          <w:p w14:paraId="7E1C7D58">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10≤X＜100</w:t>
            </w:r>
          </w:p>
        </w:tc>
        <w:tc>
          <w:tcPr>
            <w:tcW w:w="1189" w:type="dxa"/>
            <w:noWrap w:val="0"/>
            <w:tcMar>
              <w:top w:w="0" w:type="dxa"/>
              <w:left w:w="105" w:type="dxa"/>
              <w:bottom w:w="0" w:type="dxa"/>
              <w:right w:w="105" w:type="dxa"/>
            </w:tcMar>
            <w:vAlign w:val="center"/>
          </w:tcPr>
          <w:p w14:paraId="3616380F">
            <w:pPr>
              <w:pStyle w:val="211"/>
              <w:pageBreakBefore w:val="0"/>
              <w:widowControl/>
              <w:kinsoku/>
              <w:wordWrap/>
              <w:overflowPunct/>
              <w:topLinePunct w:val="0"/>
              <w:autoSpaceDE/>
              <w:autoSpaceDN/>
              <w:bidi w:val="0"/>
              <w:adjustRightInd/>
              <w:spacing w:after="150" w:line="360" w:lineRule="auto"/>
              <w:jc w:val="center"/>
              <w:textAlignment w:val="auto"/>
              <w:rPr>
                <w:rFonts w:ascii="宋体" w:hAnsi="宋体"/>
                <w:color w:val="auto"/>
                <w:sz w:val="21"/>
                <w:szCs w:val="21"/>
                <w:highlight w:val="none"/>
              </w:rPr>
            </w:pPr>
            <w:r>
              <w:rPr>
                <w:rStyle w:val="216"/>
                <w:rFonts w:hint="eastAsia" w:ascii="宋体" w:hAnsi="宋体" w:cs="仿宋"/>
                <w:color w:val="auto"/>
                <w:sz w:val="21"/>
                <w:szCs w:val="21"/>
                <w:highlight w:val="none"/>
              </w:rPr>
              <w:t>X＜10</w:t>
            </w:r>
          </w:p>
        </w:tc>
      </w:tr>
    </w:tbl>
    <w:p w14:paraId="110CE4E6">
      <w:pPr>
        <w:pStyle w:val="211"/>
        <w:pageBreakBefore w:val="0"/>
        <w:widowControl/>
        <w:kinsoku/>
        <w:wordWrap/>
        <w:overflowPunct/>
        <w:topLinePunct w:val="0"/>
        <w:autoSpaceDE/>
        <w:autoSpaceDN/>
        <w:bidi w:val="0"/>
        <w:adjustRightInd/>
        <w:spacing w:before="300" w:after="452" w:line="360" w:lineRule="auto"/>
        <w:ind w:firstLine="422"/>
        <w:textAlignment w:val="auto"/>
        <w:rPr>
          <w:rFonts w:ascii="宋体" w:hAnsi="宋体" w:cs="Arial"/>
          <w:b/>
          <w:bCs/>
          <w:color w:val="auto"/>
          <w:highlight w:val="none"/>
        </w:rPr>
      </w:pPr>
      <w:r>
        <w:rPr>
          <w:rStyle w:val="216"/>
          <w:rFonts w:hint="eastAsia" w:ascii="宋体" w:hAnsi="宋体" w:cs="仿宋"/>
          <w:color w:val="auto"/>
          <w:sz w:val="21"/>
          <w:szCs w:val="21"/>
          <w:highlight w:val="none"/>
        </w:rPr>
        <w:t>说明：上述标准参照《关于印发中小企业划型标准规定的通知》（工信部联企业[2011]300号），大型、中型和小型企业须同时满足所列指标的下限，否则下划一档；微型企业只须满足所列指标中的一项即可。</w:t>
      </w:r>
    </w:p>
    <w:p w14:paraId="223B712C">
      <w:pPr>
        <w:pStyle w:val="43"/>
        <w:pageBreakBefore w:val="0"/>
        <w:kinsoku/>
        <w:wordWrap/>
        <w:overflowPunct/>
        <w:topLinePunct w:val="0"/>
        <w:autoSpaceDE/>
        <w:autoSpaceDN/>
        <w:bidi w:val="0"/>
        <w:adjustRightInd/>
        <w:spacing w:line="360" w:lineRule="auto"/>
        <w:jc w:val="center"/>
        <w:textAlignment w:val="auto"/>
        <w:rPr>
          <w:color w:val="auto"/>
          <w:highlight w:val="none"/>
        </w:rPr>
      </w:pPr>
      <w:r>
        <w:rPr>
          <w:rStyle w:val="216"/>
          <w:rFonts w:ascii="宋体" w:hAnsi="宋体" w:cs="仿宋"/>
          <w:b w:val="0"/>
          <w:color w:val="auto"/>
          <w:sz w:val="21"/>
          <w:szCs w:val="21"/>
          <w:highlight w:val="none"/>
        </w:rPr>
        <w:br w:type="page" w:clear="all"/>
      </w:r>
      <w:r>
        <w:rPr>
          <w:rFonts w:hint="eastAsia" w:ascii="宋体" w:hAnsi="宋体"/>
          <w:color w:val="auto"/>
          <w:sz w:val="28"/>
          <w:szCs w:val="28"/>
          <w:highlight w:val="none"/>
        </w:rPr>
        <w:t>残疾人福利性单位声明函</w:t>
      </w:r>
    </w:p>
    <w:p w14:paraId="095F0B09">
      <w:pPr>
        <w:pageBreakBefore w:val="0"/>
        <w:kinsoku/>
        <w:wordWrap/>
        <w:overflowPunct/>
        <w:topLinePunct w:val="0"/>
        <w:autoSpaceDE/>
        <w:autoSpaceDN/>
        <w:bidi w:val="0"/>
        <w:adjustRightInd/>
        <w:spacing w:line="360" w:lineRule="auto"/>
        <w:ind w:firstLine="420"/>
        <w:textAlignment w:val="auto"/>
        <w:rPr>
          <w:rFonts w:ascii="宋体" w:hAnsi="宋体"/>
          <w:color w:val="auto"/>
          <w:szCs w:val="21"/>
          <w:highlight w:val="none"/>
        </w:rPr>
      </w:pPr>
      <w:r>
        <w:rPr>
          <w:rFonts w:hint="eastAsia" w:ascii="宋体" w:hAnsi="宋体"/>
          <w:color w:val="auto"/>
          <w:szCs w:val="21"/>
          <w:highlight w:val="none"/>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Cs w:val="21"/>
          <w:highlight w:val="none"/>
          <w:u w:val="single"/>
        </w:rPr>
        <w:t xml:space="preserve">       </w:t>
      </w:r>
      <w:r>
        <w:rPr>
          <w:rFonts w:hint="eastAsia" w:ascii="宋体" w:hAnsi="宋体"/>
          <w:color w:val="auto"/>
          <w:szCs w:val="21"/>
          <w:highlight w:val="none"/>
        </w:rPr>
        <w:t>项目采购活动提供本单位制造的产品或服务（由本单位承担工程/提供服务），或者提供其他残疾人福利性单位制造的产品或服务（不包括使用非残疾人福利性单位注册商标的产品或服务）。</w:t>
      </w:r>
    </w:p>
    <w:p w14:paraId="5F40EE75">
      <w:pPr>
        <w:pageBreakBefore w:val="0"/>
        <w:kinsoku/>
        <w:wordWrap/>
        <w:overflowPunct/>
        <w:topLinePunct w:val="0"/>
        <w:autoSpaceDE/>
        <w:autoSpaceDN/>
        <w:bidi w:val="0"/>
        <w:adjustRightInd/>
        <w:spacing w:line="360" w:lineRule="auto"/>
        <w:ind w:firstLine="420"/>
        <w:textAlignment w:val="auto"/>
        <w:rPr>
          <w:rFonts w:ascii="宋体" w:hAnsi="宋体"/>
          <w:color w:val="auto"/>
          <w:szCs w:val="21"/>
          <w:highlight w:val="none"/>
        </w:rPr>
      </w:pPr>
      <w:r>
        <w:rPr>
          <w:rFonts w:hint="eastAsia" w:ascii="宋体" w:hAnsi="宋体"/>
          <w:color w:val="auto"/>
          <w:szCs w:val="21"/>
          <w:highlight w:val="none"/>
        </w:rPr>
        <w:t>本单位在本次政府采购活动中提供的残疾人福利单位产品报价合计为人民币（大写）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圆整（￥：     ）。</w:t>
      </w:r>
    </w:p>
    <w:p w14:paraId="0D0A2968">
      <w:pPr>
        <w:pageBreakBefore w:val="0"/>
        <w:kinsoku/>
        <w:wordWrap/>
        <w:overflowPunct/>
        <w:topLinePunct w:val="0"/>
        <w:autoSpaceDE/>
        <w:autoSpaceDN/>
        <w:bidi w:val="0"/>
        <w:adjustRightInd/>
        <w:spacing w:line="360" w:lineRule="auto"/>
        <w:ind w:firstLine="420"/>
        <w:textAlignment w:val="auto"/>
        <w:rPr>
          <w:rFonts w:ascii="宋体" w:hAnsi="宋体"/>
          <w:color w:val="auto"/>
          <w:szCs w:val="21"/>
          <w:highlight w:val="none"/>
        </w:rPr>
      </w:pPr>
      <w:r>
        <w:rPr>
          <w:rFonts w:hint="eastAsia" w:ascii="宋体" w:hAnsi="宋体"/>
          <w:color w:val="auto"/>
          <w:szCs w:val="21"/>
          <w:highlight w:val="none"/>
        </w:rPr>
        <w:t>本单位对上述声明的真实性负责。如有虚假，将依法承担相应责任。</w:t>
      </w:r>
    </w:p>
    <w:p w14:paraId="2B902603">
      <w:pPr>
        <w:pageBreakBefore w:val="0"/>
        <w:kinsoku/>
        <w:wordWrap/>
        <w:overflowPunct/>
        <w:topLinePunct w:val="0"/>
        <w:autoSpaceDE/>
        <w:autoSpaceDN/>
        <w:bidi w:val="0"/>
        <w:adjustRightInd/>
        <w:spacing w:line="360" w:lineRule="auto"/>
        <w:ind w:firstLine="420"/>
        <w:textAlignment w:val="auto"/>
        <w:rPr>
          <w:rFonts w:ascii="宋体" w:hAnsi="宋体"/>
          <w:color w:val="auto"/>
          <w:szCs w:val="21"/>
          <w:highlight w:val="none"/>
        </w:rPr>
      </w:pPr>
    </w:p>
    <w:p w14:paraId="6C80929A">
      <w:pPr>
        <w:pageBreakBefore w:val="0"/>
        <w:kinsoku/>
        <w:wordWrap/>
        <w:overflowPunct/>
        <w:topLinePunct w:val="0"/>
        <w:autoSpaceDE/>
        <w:autoSpaceDN/>
        <w:bidi w:val="0"/>
        <w:adjustRightInd/>
        <w:spacing w:line="360" w:lineRule="auto"/>
        <w:ind w:firstLine="420"/>
        <w:textAlignment w:val="auto"/>
        <w:rPr>
          <w:rFonts w:ascii="宋体" w:hAnsi="宋体"/>
          <w:color w:val="auto"/>
          <w:szCs w:val="21"/>
          <w:highlight w:val="none"/>
        </w:rPr>
      </w:pPr>
      <w:r>
        <w:rPr>
          <w:rFonts w:hint="eastAsia" w:ascii="宋体" w:hAnsi="宋体"/>
          <w:color w:val="auto"/>
          <w:szCs w:val="21"/>
          <w:highlight w:val="none"/>
        </w:rPr>
        <w:t>（备注：1、供应商如不提供此声明函，价格将不做相应扣除。2、中标供应商为残疾人福利单位的，此声明函将随中标结果同时公告，接受社会监督）</w:t>
      </w:r>
    </w:p>
    <w:p w14:paraId="132D8449">
      <w:pPr>
        <w:pageBreakBefore w:val="0"/>
        <w:kinsoku/>
        <w:wordWrap/>
        <w:overflowPunct/>
        <w:topLinePunct w:val="0"/>
        <w:autoSpaceDE/>
        <w:autoSpaceDN/>
        <w:bidi w:val="0"/>
        <w:adjustRightInd/>
        <w:spacing w:line="360" w:lineRule="auto"/>
        <w:ind w:firstLine="444"/>
        <w:textAlignment w:val="auto"/>
        <w:rPr>
          <w:rFonts w:ascii="仿宋_GB2312" w:eastAsia="仿宋_GB2312"/>
          <w:color w:val="auto"/>
          <w:spacing w:val="6"/>
          <w:szCs w:val="21"/>
          <w:highlight w:val="none"/>
        </w:rPr>
      </w:pPr>
    </w:p>
    <w:p w14:paraId="60DD7293">
      <w:pPr>
        <w:pageBreakBefore w:val="0"/>
        <w:tabs>
          <w:tab w:val="left" w:pos="4860"/>
        </w:tabs>
        <w:kinsoku/>
        <w:wordWrap/>
        <w:overflowPunct/>
        <w:topLinePunct w:val="0"/>
        <w:autoSpaceDE/>
        <w:autoSpaceDN/>
        <w:bidi w:val="0"/>
        <w:adjustRightInd/>
        <w:spacing w:line="360" w:lineRule="auto"/>
        <w:ind w:right="1560" w:firstLine="444"/>
        <w:jc w:val="center"/>
        <w:textAlignment w:val="auto"/>
        <w:rPr>
          <w:rFonts w:ascii="宋体" w:hAnsi="宋体"/>
          <w:color w:val="auto"/>
          <w:szCs w:val="21"/>
          <w:highlight w:val="none"/>
        </w:rPr>
      </w:pPr>
      <w:r>
        <w:rPr>
          <w:rFonts w:hint="eastAsia" w:ascii="仿宋_GB2312" w:eastAsia="仿宋_GB2312"/>
          <w:color w:val="auto"/>
          <w:spacing w:val="6"/>
          <w:szCs w:val="21"/>
          <w:highlight w:val="none"/>
        </w:rPr>
        <w:t xml:space="preserve">             </w:t>
      </w:r>
      <w:r>
        <w:rPr>
          <w:rFonts w:hint="eastAsia" w:ascii="宋体" w:hAnsi="宋体"/>
          <w:color w:val="auto"/>
          <w:szCs w:val="21"/>
          <w:highlight w:val="none"/>
        </w:rPr>
        <w:t xml:space="preserve">               供应商全称（盖章）：</w:t>
      </w:r>
    </w:p>
    <w:p w14:paraId="39E023A4">
      <w:pPr>
        <w:pageBreakBefore w:val="0"/>
        <w:tabs>
          <w:tab w:val="left" w:pos="4860"/>
        </w:tabs>
        <w:kinsoku/>
        <w:wordWrap/>
        <w:overflowPunct/>
        <w:topLinePunct w:val="0"/>
        <w:autoSpaceDE/>
        <w:autoSpaceDN/>
        <w:bidi w:val="0"/>
        <w:adjustRightInd/>
        <w:spacing w:line="360" w:lineRule="auto"/>
        <w:ind w:right="1560" w:firstLine="420"/>
        <w:jc w:val="center"/>
        <w:textAlignment w:val="auto"/>
        <w:rPr>
          <w:rFonts w:ascii="宋体" w:hAnsi="宋体"/>
          <w:color w:val="auto"/>
          <w:szCs w:val="21"/>
          <w:highlight w:val="none"/>
        </w:rPr>
      </w:pPr>
      <w:r>
        <w:rPr>
          <w:rFonts w:hint="eastAsia" w:ascii="宋体" w:hAnsi="宋体"/>
          <w:color w:val="auto"/>
          <w:szCs w:val="21"/>
          <w:highlight w:val="none"/>
        </w:rPr>
        <w:t xml:space="preserve">                              日  期：</w:t>
      </w:r>
    </w:p>
    <w:p w14:paraId="45970709">
      <w:pPr>
        <w:pageBreakBefore w:val="0"/>
        <w:tabs>
          <w:tab w:val="left" w:pos="4860"/>
        </w:tabs>
        <w:kinsoku/>
        <w:wordWrap/>
        <w:overflowPunct/>
        <w:topLinePunct w:val="0"/>
        <w:autoSpaceDE/>
        <w:autoSpaceDN/>
        <w:bidi w:val="0"/>
        <w:adjustRightInd/>
        <w:spacing w:line="360" w:lineRule="auto"/>
        <w:ind w:right="1560" w:firstLine="420"/>
        <w:jc w:val="center"/>
        <w:textAlignment w:val="auto"/>
        <w:rPr>
          <w:rFonts w:ascii="宋体" w:hAnsi="宋体"/>
          <w:color w:val="auto"/>
          <w:szCs w:val="21"/>
          <w:highlight w:val="none"/>
        </w:rPr>
      </w:pPr>
      <w:r>
        <w:rPr>
          <w:rFonts w:hint="eastAsia" w:ascii="宋体" w:hAnsi="宋体"/>
          <w:color w:val="auto"/>
          <w:szCs w:val="21"/>
          <w:highlight w:val="none"/>
        </w:rPr>
        <w:t xml:space="preserve">                       </w:t>
      </w:r>
    </w:p>
    <w:p w14:paraId="3E2CAEDA">
      <w:pPr>
        <w:pageBreakBefore w:val="0"/>
        <w:widowControl/>
        <w:kinsoku/>
        <w:wordWrap/>
        <w:overflowPunct/>
        <w:topLinePunct w:val="0"/>
        <w:autoSpaceDE/>
        <w:autoSpaceDN/>
        <w:bidi w:val="0"/>
        <w:adjustRightInd/>
        <w:spacing w:line="360" w:lineRule="auto"/>
        <w:jc w:val="left"/>
        <w:textAlignment w:val="auto"/>
        <w:rPr>
          <w:rFonts w:ascii="宋体" w:hAnsi="宋体" w:cs="Arial"/>
          <w:b/>
          <w:bCs/>
          <w:color w:val="auto"/>
          <w:highlight w:val="none"/>
        </w:rPr>
      </w:pPr>
    </w:p>
    <w:p w14:paraId="38BE772B">
      <w:pPr>
        <w:pageBreakBefore w:val="0"/>
        <w:widowControl/>
        <w:kinsoku/>
        <w:wordWrap/>
        <w:overflowPunct/>
        <w:topLinePunct w:val="0"/>
        <w:autoSpaceDE/>
        <w:autoSpaceDN/>
        <w:bidi w:val="0"/>
        <w:adjustRightInd/>
        <w:spacing w:line="360" w:lineRule="auto"/>
        <w:jc w:val="left"/>
        <w:textAlignment w:val="auto"/>
        <w:rPr>
          <w:rFonts w:ascii="宋体" w:hAnsi="宋体" w:cs="Arial"/>
          <w:b/>
          <w:bCs/>
          <w:color w:val="auto"/>
          <w:highlight w:val="none"/>
        </w:rPr>
      </w:pPr>
    </w:p>
    <w:p w14:paraId="4A74FF98">
      <w:pPr>
        <w:pageBreakBefore w:val="0"/>
        <w:widowControl/>
        <w:kinsoku/>
        <w:wordWrap/>
        <w:overflowPunct/>
        <w:topLinePunct w:val="0"/>
        <w:autoSpaceDE/>
        <w:autoSpaceDN/>
        <w:bidi w:val="0"/>
        <w:adjustRightInd/>
        <w:spacing w:line="360" w:lineRule="auto"/>
        <w:jc w:val="left"/>
        <w:textAlignment w:val="auto"/>
        <w:rPr>
          <w:rFonts w:ascii="宋体" w:hAnsi="宋体" w:cs="Arial"/>
          <w:b/>
          <w:bCs/>
          <w:color w:val="auto"/>
          <w:highlight w:val="none"/>
        </w:rPr>
      </w:pPr>
    </w:p>
    <w:p w14:paraId="002E1E1D">
      <w:pPr>
        <w:pageBreakBefore w:val="0"/>
        <w:widowControl/>
        <w:kinsoku/>
        <w:wordWrap/>
        <w:overflowPunct/>
        <w:topLinePunct w:val="0"/>
        <w:autoSpaceDE/>
        <w:autoSpaceDN/>
        <w:bidi w:val="0"/>
        <w:adjustRightInd/>
        <w:spacing w:line="360" w:lineRule="auto"/>
        <w:jc w:val="left"/>
        <w:textAlignment w:val="auto"/>
        <w:rPr>
          <w:rFonts w:ascii="宋体" w:hAnsi="宋体" w:cs="Arial"/>
          <w:b/>
          <w:bCs/>
          <w:color w:val="auto"/>
          <w:highlight w:val="none"/>
        </w:rPr>
      </w:pPr>
    </w:p>
    <w:p w14:paraId="72279EB8">
      <w:pPr>
        <w:pageBreakBefore w:val="0"/>
        <w:widowControl/>
        <w:kinsoku/>
        <w:wordWrap/>
        <w:overflowPunct/>
        <w:topLinePunct w:val="0"/>
        <w:autoSpaceDE/>
        <w:autoSpaceDN/>
        <w:bidi w:val="0"/>
        <w:adjustRightInd/>
        <w:spacing w:line="360" w:lineRule="auto"/>
        <w:jc w:val="left"/>
        <w:textAlignment w:val="auto"/>
        <w:rPr>
          <w:rFonts w:ascii="宋体" w:hAnsi="宋体" w:cs="Arial"/>
          <w:b/>
          <w:bCs/>
          <w:color w:val="auto"/>
          <w:highlight w:val="none"/>
        </w:rPr>
      </w:pPr>
    </w:p>
    <w:p w14:paraId="2C32DA2A">
      <w:pPr>
        <w:pageBreakBefore w:val="0"/>
        <w:widowControl/>
        <w:kinsoku/>
        <w:wordWrap/>
        <w:overflowPunct/>
        <w:topLinePunct w:val="0"/>
        <w:autoSpaceDE/>
        <w:autoSpaceDN/>
        <w:bidi w:val="0"/>
        <w:adjustRightInd/>
        <w:spacing w:line="360" w:lineRule="auto"/>
        <w:jc w:val="left"/>
        <w:textAlignment w:val="auto"/>
        <w:rPr>
          <w:rFonts w:ascii="宋体" w:hAnsi="宋体" w:cs="Arial"/>
          <w:b/>
          <w:bCs/>
          <w:color w:val="auto"/>
          <w:highlight w:val="none"/>
        </w:rPr>
      </w:pPr>
    </w:p>
    <w:p w14:paraId="59C06B60">
      <w:pPr>
        <w:pageBreakBefore w:val="0"/>
        <w:widowControl/>
        <w:kinsoku/>
        <w:wordWrap/>
        <w:overflowPunct/>
        <w:topLinePunct w:val="0"/>
        <w:autoSpaceDE/>
        <w:autoSpaceDN/>
        <w:bidi w:val="0"/>
        <w:adjustRightInd/>
        <w:spacing w:line="360" w:lineRule="auto"/>
        <w:jc w:val="left"/>
        <w:textAlignment w:val="auto"/>
        <w:rPr>
          <w:rFonts w:ascii="宋体" w:hAnsi="宋体" w:cs="Arial"/>
          <w:b/>
          <w:bCs/>
          <w:color w:val="auto"/>
          <w:highlight w:val="none"/>
        </w:rPr>
      </w:pPr>
    </w:p>
    <w:p w14:paraId="06E8A927">
      <w:pPr>
        <w:pageBreakBefore w:val="0"/>
        <w:kinsoku/>
        <w:wordWrap/>
        <w:overflowPunct/>
        <w:topLinePunct w:val="0"/>
        <w:autoSpaceDE/>
        <w:autoSpaceDN/>
        <w:bidi w:val="0"/>
        <w:adjustRightInd/>
        <w:spacing w:line="360" w:lineRule="auto"/>
        <w:jc w:val="center"/>
        <w:textAlignment w:val="auto"/>
        <w:rPr>
          <w:rFonts w:ascii="宋体" w:hAnsi="宋体" w:cs="Arial"/>
          <w:b/>
          <w:bCs/>
          <w:color w:val="auto"/>
          <w:highlight w:val="none"/>
        </w:rPr>
      </w:pPr>
    </w:p>
    <w:p w14:paraId="4628E442">
      <w:pPr>
        <w:pageBreakBefore w:val="0"/>
        <w:widowControl/>
        <w:kinsoku/>
        <w:wordWrap/>
        <w:overflowPunct/>
        <w:topLinePunct w:val="0"/>
        <w:autoSpaceDE/>
        <w:autoSpaceDN/>
        <w:bidi w:val="0"/>
        <w:adjustRightInd/>
        <w:spacing w:line="360" w:lineRule="auto"/>
        <w:jc w:val="left"/>
        <w:textAlignment w:val="auto"/>
        <w:rPr>
          <w:rFonts w:ascii="宋体" w:hAnsi="宋体" w:cs="Arial"/>
          <w:b/>
          <w:bCs/>
          <w:color w:val="auto"/>
          <w:highlight w:val="none"/>
        </w:rPr>
      </w:pPr>
    </w:p>
    <w:p w14:paraId="6193950D">
      <w:pPr>
        <w:pageBreakBefore w:val="0"/>
        <w:widowControl/>
        <w:kinsoku/>
        <w:wordWrap/>
        <w:overflowPunct/>
        <w:topLinePunct w:val="0"/>
        <w:autoSpaceDE/>
        <w:autoSpaceDN/>
        <w:bidi w:val="0"/>
        <w:adjustRightInd/>
        <w:spacing w:line="360" w:lineRule="auto"/>
        <w:jc w:val="left"/>
        <w:textAlignment w:val="auto"/>
        <w:rPr>
          <w:rFonts w:ascii="宋体" w:hAnsi="宋体" w:cs="Arial"/>
          <w:b/>
          <w:bCs/>
          <w:color w:val="auto"/>
          <w:highlight w:val="none"/>
        </w:rPr>
      </w:pPr>
    </w:p>
    <w:p w14:paraId="743F6529">
      <w:pPr>
        <w:pageBreakBefore w:val="0"/>
        <w:kinsoku/>
        <w:wordWrap/>
        <w:overflowPunct/>
        <w:topLinePunct w:val="0"/>
        <w:autoSpaceDE/>
        <w:autoSpaceDN/>
        <w:bidi w:val="0"/>
        <w:adjustRightInd/>
        <w:spacing w:line="360" w:lineRule="auto"/>
        <w:textAlignment w:val="auto"/>
        <w:rPr>
          <w:rFonts w:ascii="宋体" w:hAnsi="宋体"/>
          <w:color w:val="auto"/>
          <w:sz w:val="32"/>
          <w:szCs w:val="32"/>
          <w:highlight w:val="none"/>
        </w:rPr>
      </w:pPr>
    </w:p>
    <w:p w14:paraId="4107C4E6">
      <w:pPr>
        <w:pageBreakBefore w:val="0"/>
        <w:kinsoku/>
        <w:wordWrap/>
        <w:overflowPunct/>
        <w:topLinePunct w:val="0"/>
        <w:autoSpaceDE/>
        <w:autoSpaceDN/>
        <w:bidi w:val="0"/>
        <w:adjustRightInd/>
        <w:spacing w:line="360" w:lineRule="auto"/>
        <w:textAlignment w:val="auto"/>
        <w:rPr>
          <w:rFonts w:hint="eastAsia" w:ascii="宋体" w:hAnsi="宋体" w:eastAsia="宋体" w:cs="宋体"/>
          <w:bCs w:val="0"/>
          <w:color w:val="auto"/>
          <w:sz w:val="32"/>
          <w:szCs w:val="32"/>
          <w:highlight w:val="none"/>
        </w:rPr>
      </w:pPr>
      <w:r>
        <w:rPr>
          <w:rFonts w:hint="eastAsia" w:ascii="宋体" w:hAnsi="宋体" w:eastAsia="宋体" w:cs="宋体"/>
          <w:bCs w:val="0"/>
          <w:color w:val="auto"/>
          <w:sz w:val="32"/>
          <w:szCs w:val="32"/>
          <w:highlight w:val="none"/>
        </w:rPr>
        <w:br w:type="page"/>
      </w:r>
    </w:p>
    <w:p w14:paraId="53359918">
      <w:pPr>
        <w:pStyle w:val="193"/>
        <w:pageBreakBefore w:val="0"/>
        <w:kinsoku/>
        <w:wordWrap/>
        <w:overflowPunct/>
        <w:topLinePunct w:val="0"/>
        <w:autoSpaceDE/>
        <w:autoSpaceDN/>
        <w:bidi w:val="0"/>
        <w:adjustRightInd/>
        <w:spacing w:line="360" w:lineRule="auto"/>
        <w:ind w:firstLine="3213"/>
        <w:jc w:val="both"/>
        <w:textAlignment w:val="auto"/>
        <w:rPr>
          <w:rFonts w:hint="eastAsia" w:ascii="宋体" w:hAnsi="宋体" w:eastAsia="宋体" w:cs="宋体"/>
          <w:color w:val="auto"/>
          <w:sz w:val="24"/>
          <w:szCs w:val="20"/>
          <w:highlight w:val="none"/>
        </w:rPr>
      </w:pPr>
      <w:r>
        <w:rPr>
          <w:rFonts w:hint="eastAsia" w:ascii="宋体" w:hAnsi="宋体" w:eastAsia="宋体" w:cs="宋体"/>
          <w:bCs w:val="0"/>
          <w:color w:val="auto"/>
          <w:sz w:val="32"/>
          <w:szCs w:val="32"/>
          <w:highlight w:val="none"/>
        </w:rPr>
        <w:t>四、</w:t>
      </w:r>
      <w:r>
        <w:rPr>
          <w:rFonts w:hint="eastAsia" w:ascii="宋体" w:hAnsi="宋体" w:eastAsia="宋体" w:cs="宋体"/>
          <w:color w:val="auto"/>
          <w:sz w:val="32"/>
          <w:szCs w:val="32"/>
          <w:highlight w:val="none"/>
        </w:rPr>
        <w:t>开标一览表</w:t>
      </w:r>
    </w:p>
    <w:p w14:paraId="12EE6B03">
      <w:pPr>
        <w:pageBreakBefore w:val="0"/>
        <w:kinsoku/>
        <w:wordWrap/>
        <w:overflowPunct/>
        <w:topLinePunct w:val="0"/>
        <w:autoSpaceDE/>
        <w:autoSpaceDN/>
        <w:bidi w:val="0"/>
        <w:adjustRightInd/>
        <w:spacing w:line="360" w:lineRule="auto"/>
        <w:ind w:firstLine="480"/>
        <w:textAlignment w:val="auto"/>
        <w:rPr>
          <w:color w:val="auto"/>
          <w:szCs w:val="21"/>
          <w:highlight w:val="none"/>
        </w:rPr>
      </w:pPr>
      <w:r>
        <w:rPr>
          <w:rFonts w:hint="eastAsia" w:ascii="宋体" w:hAnsi="宋体"/>
          <w:color w:val="auto"/>
          <w:szCs w:val="21"/>
          <w:highlight w:val="none"/>
        </w:rPr>
        <w:t>项目名称：</w:t>
      </w:r>
    </w:p>
    <w:p w14:paraId="193E9E1B">
      <w:pPr>
        <w:pageBreakBefore w:val="0"/>
        <w:kinsoku/>
        <w:wordWrap/>
        <w:overflowPunct/>
        <w:topLinePunct w:val="0"/>
        <w:autoSpaceDE/>
        <w:autoSpaceDN/>
        <w:bidi w:val="0"/>
        <w:adjustRightInd/>
        <w:spacing w:line="360" w:lineRule="auto"/>
        <w:ind w:firstLine="480"/>
        <w:textAlignment w:val="auto"/>
        <w:rPr>
          <w:rFonts w:ascii="宋体" w:hAnsi="宋体"/>
          <w:color w:val="auto"/>
          <w:szCs w:val="21"/>
          <w:highlight w:val="none"/>
        </w:rPr>
      </w:pPr>
      <w:r>
        <w:rPr>
          <w:rFonts w:hint="eastAsia" w:ascii="宋体" w:hAnsi="宋体"/>
          <w:color w:val="auto"/>
          <w:szCs w:val="21"/>
          <w:highlight w:val="none"/>
        </w:rPr>
        <w:t>项目编号：</w:t>
      </w:r>
    </w:p>
    <w:p w14:paraId="0F08DD29">
      <w:pPr>
        <w:pageBreakBefore w:val="0"/>
        <w:kinsoku/>
        <w:wordWrap/>
        <w:overflowPunct/>
        <w:topLinePunct w:val="0"/>
        <w:autoSpaceDE/>
        <w:autoSpaceDN/>
        <w:bidi w:val="0"/>
        <w:adjustRightInd/>
        <w:spacing w:after="312" w:line="360" w:lineRule="auto"/>
        <w:ind w:firstLine="482"/>
        <w:textAlignment w:val="auto"/>
        <w:rPr>
          <w:rFonts w:ascii="宋体" w:hAnsi="宋体"/>
          <w:color w:val="auto"/>
          <w:szCs w:val="21"/>
          <w:highlight w:val="none"/>
        </w:rPr>
      </w:pPr>
      <w:r>
        <w:rPr>
          <w:rFonts w:hint="eastAsia" w:ascii="宋体" w:hAnsi="宋体"/>
          <w:color w:val="auto"/>
          <w:szCs w:val="21"/>
          <w:highlight w:val="none"/>
        </w:rPr>
        <w:t xml:space="preserve">分包号(如有)： </w:t>
      </w:r>
    </w:p>
    <w:tbl>
      <w:tblPr>
        <w:tblStyle w:val="34"/>
        <w:tblW w:w="783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66"/>
        <w:gridCol w:w="6468"/>
      </w:tblGrid>
      <w:tr w14:paraId="7FA25C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98" w:hRule="atLeast"/>
        </w:trPr>
        <w:tc>
          <w:tcPr>
            <w:tcW w:w="1366" w:type="dxa"/>
            <w:noWrap w:val="0"/>
            <w:vAlign w:val="center"/>
          </w:tcPr>
          <w:p w14:paraId="31B78216">
            <w:pPr>
              <w:pStyle w:val="200"/>
              <w:pageBreakBefore w:val="0"/>
              <w:kinsoku/>
              <w:wordWrap/>
              <w:overflowPunct/>
              <w:topLinePunct w:val="0"/>
              <w:autoSpaceDE/>
              <w:autoSpaceDN/>
              <w:bidi w:val="0"/>
              <w:adjustRightInd/>
              <w:spacing w:line="360" w:lineRule="auto"/>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名称</w:t>
            </w:r>
          </w:p>
        </w:tc>
        <w:tc>
          <w:tcPr>
            <w:tcW w:w="6468" w:type="dxa"/>
            <w:noWrap w:val="0"/>
            <w:vAlign w:val="center"/>
          </w:tcPr>
          <w:p w14:paraId="37AE77C6">
            <w:pPr>
              <w:pageBreakBefore w:val="0"/>
              <w:kinsoku/>
              <w:wordWrap/>
              <w:overflowPunct/>
              <w:topLinePunct w:val="0"/>
              <w:autoSpaceDE/>
              <w:autoSpaceDN/>
              <w:bidi w:val="0"/>
              <w:adjustRightInd/>
              <w:spacing w:after="200" w:line="360" w:lineRule="auto"/>
              <w:jc w:val="center"/>
              <w:textAlignment w:val="auto"/>
              <w:rPr>
                <w:rFonts w:hint="eastAsia" w:ascii="宋体" w:hAnsi="宋体" w:eastAsia="宋体" w:cs="宋体"/>
                <w:color w:val="auto"/>
                <w:szCs w:val="21"/>
                <w:highlight w:val="none"/>
                <w:lang w:eastAsia="zh-CN"/>
              </w:rPr>
            </w:pPr>
            <w:r>
              <w:rPr>
                <w:rFonts w:hint="eastAsia" w:ascii="宋体" w:hAnsi="宋体"/>
                <w:color w:val="auto"/>
                <w:szCs w:val="21"/>
                <w:highlight w:val="none"/>
              </w:rPr>
              <w:t xml:space="preserve"> 投标报价</w:t>
            </w:r>
          </w:p>
        </w:tc>
      </w:tr>
      <w:tr w14:paraId="74DDCC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97" w:hRule="atLeast"/>
        </w:trPr>
        <w:tc>
          <w:tcPr>
            <w:tcW w:w="1366" w:type="dxa"/>
            <w:noWrap w:val="0"/>
            <w:vAlign w:val="center"/>
          </w:tcPr>
          <w:p w14:paraId="241A53B2">
            <w:pPr>
              <w:pStyle w:val="200"/>
              <w:pageBreakBefore w:val="0"/>
              <w:kinsoku/>
              <w:wordWrap/>
              <w:overflowPunct/>
              <w:topLinePunct w:val="0"/>
              <w:autoSpaceDE/>
              <w:autoSpaceDN/>
              <w:bidi w:val="0"/>
              <w:adjustRightInd/>
              <w:spacing w:line="360" w:lineRule="auto"/>
              <w:textAlignment w:val="auto"/>
              <w:rPr>
                <w:rFonts w:ascii="宋体" w:hAnsi="宋体" w:eastAsia="宋体" w:cs="宋体"/>
                <w:color w:val="auto"/>
                <w:sz w:val="21"/>
                <w:szCs w:val="21"/>
                <w:highlight w:val="none"/>
              </w:rPr>
            </w:pPr>
          </w:p>
        </w:tc>
        <w:tc>
          <w:tcPr>
            <w:tcW w:w="6468" w:type="dxa"/>
            <w:noWrap w:val="0"/>
            <w:vAlign w:val="center"/>
          </w:tcPr>
          <w:p w14:paraId="49236B5F">
            <w:pPr>
              <w:pStyle w:val="200"/>
              <w:pageBreakBefore w:val="0"/>
              <w:kinsoku/>
              <w:wordWrap/>
              <w:overflowPunct/>
              <w:topLinePunct w:val="0"/>
              <w:autoSpaceDE/>
              <w:autoSpaceDN/>
              <w:bidi w:val="0"/>
              <w:adjustRightInd/>
              <w:spacing w:line="360" w:lineRule="auto"/>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大写：</w:t>
            </w:r>
          </w:p>
          <w:p w14:paraId="684997CE">
            <w:pPr>
              <w:pStyle w:val="226"/>
              <w:pageBreakBefore w:val="0"/>
              <w:kinsoku/>
              <w:wordWrap/>
              <w:overflowPunct/>
              <w:topLinePunct w:val="0"/>
              <w:autoSpaceDE/>
              <w:autoSpaceDN/>
              <w:bidi w:val="0"/>
              <w:adjustRightInd/>
              <w:spacing w:before="0" w:after="0" w:line="360" w:lineRule="auto"/>
              <w:ind w:firstLine="0"/>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小写：                            </w:t>
            </w:r>
          </w:p>
        </w:tc>
      </w:tr>
      <w:tr w14:paraId="2AC132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61" w:hRule="atLeast"/>
        </w:trPr>
        <w:tc>
          <w:tcPr>
            <w:tcW w:w="1366" w:type="dxa"/>
            <w:noWrap w:val="0"/>
            <w:vAlign w:val="center"/>
          </w:tcPr>
          <w:p w14:paraId="29CB0873">
            <w:pPr>
              <w:pStyle w:val="200"/>
              <w:pageBreakBefore w:val="0"/>
              <w:kinsoku/>
              <w:wordWrap/>
              <w:overflowPunct/>
              <w:topLinePunct w:val="0"/>
              <w:autoSpaceDE/>
              <w:autoSpaceDN/>
              <w:bidi w:val="0"/>
              <w:adjustRightInd/>
              <w:spacing w:line="360" w:lineRule="auto"/>
              <w:jc w:val="center"/>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备注</w:t>
            </w:r>
          </w:p>
        </w:tc>
        <w:tc>
          <w:tcPr>
            <w:tcW w:w="6468" w:type="dxa"/>
            <w:noWrap w:val="0"/>
            <w:vAlign w:val="center"/>
          </w:tcPr>
          <w:p w14:paraId="6DDE7F15">
            <w:pPr>
              <w:pStyle w:val="200"/>
              <w:pageBreakBefore w:val="0"/>
              <w:kinsoku/>
              <w:wordWrap/>
              <w:overflowPunct/>
              <w:topLinePunct w:val="0"/>
              <w:autoSpaceDE/>
              <w:autoSpaceDN/>
              <w:bidi w:val="0"/>
              <w:adjustRightInd/>
              <w:spacing w:line="360" w:lineRule="auto"/>
              <w:ind w:firstLine="1365"/>
              <w:textAlignment w:val="auto"/>
              <w:rPr>
                <w:rFonts w:ascii="宋体" w:hAnsi="宋体" w:eastAsia="宋体" w:cs="宋体"/>
                <w:color w:val="auto"/>
                <w:sz w:val="21"/>
                <w:szCs w:val="21"/>
                <w:highlight w:val="none"/>
              </w:rPr>
            </w:pPr>
          </w:p>
        </w:tc>
      </w:tr>
    </w:tbl>
    <w:p w14:paraId="54DC3789">
      <w:pPr>
        <w:pageBreakBefore w:val="0"/>
        <w:kinsoku/>
        <w:wordWrap/>
        <w:overflowPunct/>
        <w:topLinePunct w:val="0"/>
        <w:autoSpaceDE/>
        <w:autoSpaceDN/>
        <w:bidi w:val="0"/>
        <w:adjustRightInd/>
        <w:spacing w:line="360" w:lineRule="auto"/>
        <w:textAlignment w:val="auto"/>
        <w:rPr>
          <w:rFonts w:ascii="宋体" w:hAnsi="宋体"/>
          <w:color w:val="auto"/>
          <w:szCs w:val="21"/>
          <w:highlight w:val="none"/>
        </w:rPr>
      </w:pPr>
    </w:p>
    <w:p w14:paraId="53F441C5">
      <w:pPr>
        <w:pageBreakBefore w:val="0"/>
        <w:kinsoku/>
        <w:wordWrap/>
        <w:overflowPunct/>
        <w:topLinePunct w:val="0"/>
        <w:autoSpaceDE/>
        <w:autoSpaceDN/>
        <w:bidi w:val="0"/>
        <w:adjustRightInd/>
        <w:spacing w:line="360" w:lineRule="auto"/>
        <w:ind w:firstLine="480"/>
        <w:textAlignment w:val="auto"/>
        <w:rPr>
          <w:rFonts w:ascii="宋体" w:hAnsi="宋体"/>
          <w:color w:val="auto"/>
          <w:szCs w:val="21"/>
          <w:highlight w:val="none"/>
        </w:rPr>
      </w:pPr>
      <w:r>
        <w:rPr>
          <w:rFonts w:hint="eastAsia" w:ascii="宋体" w:hAnsi="宋体"/>
          <w:color w:val="auto"/>
          <w:szCs w:val="21"/>
          <w:highlight w:val="none"/>
        </w:rPr>
        <w:t xml:space="preserve">                                           日期：</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14:paraId="19667EDC">
      <w:pPr>
        <w:pageBreakBefore w:val="0"/>
        <w:kinsoku/>
        <w:wordWrap/>
        <w:overflowPunct/>
        <w:topLinePunct w:val="0"/>
        <w:autoSpaceDE/>
        <w:autoSpaceDN/>
        <w:bidi w:val="0"/>
        <w:adjustRightInd/>
        <w:spacing w:line="360" w:lineRule="auto"/>
        <w:jc w:val="center"/>
        <w:textAlignment w:val="auto"/>
        <w:rPr>
          <w:rFonts w:ascii="宋体" w:hAnsi="宋体"/>
          <w:b/>
          <w:color w:val="auto"/>
          <w:szCs w:val="21"/>
          <w:highlight w:val="none"/>
        </w:rPr>
      </w:pPr>
    </w:p>
    <w:p w14:paraId="1036B6DD">
      <w:pPr>
        <w:pageBreakBefore w:val="0"/>
        <w:kinsoku/>
        <w:wordWrap/>
        <w:overflowPunct/>
        <w:topLinePunct w:val="0"/>
        <w:autoSpaceDE/>
        <w:autoSpaceDN/>
        <w:bidi w:val="0"/>
        <w:adjustRightInd/>
        <w:spacing w:line="360" w:lineRule="auto"/>
        <w:ind w:firstLine="480"/>
        <w:textAlignment w:val="auto"/>
        <w:rPr>
          <w:rFonts w:ascii="宋体" w:hAnsi="宋体"/>
          <w:color w:val="auto"/>
          <w:szCs w:val="21"/>
          <w:highlight w:val="none"/>
        </w:rPr>
      </w:pPr>
    </w:p>
    <w:p w14:paraId="1203D761">
      <w:pPr>
        <w:keepNext w:val="0"/>
        <w:keepLines w:val="0"/>
        <w:pageBreakBefore w:val="0"/>
        <w:widowControl w:val="0"/>
        <w:kinsoku/>
        <w:wordWrap/>
        <w:overflowPunct/>
        <w:topLinePunct w:val="0"/>
        <w:autoSpaceDE/>
        <w:autoSpaceDN/>
        <w:bidi w:val="0"/>
        <w:adjustRightInd/>
        <w:spacing w:line="360" w:lineRule="auto"/>
        <w:ind w:firstLine="420"/>
        <w:jc w:val="both"/>
        <w:textAlignment w:val="auto"/>
        <w:rPr>
          <w:rFonts w:hint="eastAsia" w:ascii="宋体" w:hAnsi="宋体" w:eastAsia="宋体" w:cs="宋体"/>
          <w:b w:val="0"/>
          <w:bCs w:val="0"/>
          <w:i w:val="0"/>
          <w:iCs/>
          <w:color w:val="auto"/>
          <w:sz w:val="21"/>
          <w:szCs w:val="21"/>
          <w:highlight w:val="none"/>
          <w:u w:val="none"/>
        </w:rPr>
      </w:pPr>
      <w:r>
        <w:rPr>
          <w:rFonts w:hint="default" w:ascii="宋体" w:hAnsi="宋体" w:cs="宋体"/>
          <w:b w:val="0"/>
          <w:bCs w:val="0"/>
          <w:i w:val="0"/>
          <w:iCs/>
          <w:color w:val="auto"/>
          <w:sz w:val="21"/>
          <w:szCs w:val="21"/>
          <w:highlight w:val="none"/>
          <w:u w:val="none"/>
          <w:lang w:val="en-US" w:eastAsia="zh-CN"/>
        </w:rPr>
        <w:t>1</w:t>
      </w:r>
      <w:r>
        <w:rPr>
          <w:rFonts w:hint="eastAsia" w:ascii="宋体" w:hAnsi="宋体" w:eastAsia="宋体" w:cs="宋体"/>
          <w:b w:val="0"/>
          <w:bCs w:val="0"/>
          <w:i w:val="0"/>
          <w:iCs/>
          <w:color w:val="auto"/>
          <w:sz w:val="21"/>
          <w:szCs w:val="21"/>
          <w:highlight w:val="none"/>
          <w:u w:val="none"/>
          <w:lang w:val="en-US" w:eastAsia="zh-CN"/>
        </w:rPr>
        <w:t>、</w:t>
      </w:r>
      <w:r>
        <w:rPr>
          <w:rFonts w:hint="eastAsia" w:ascii="宋体" w:hAnsi="宋体" w:eastAsia="宋体" w:cs="宋体"/>
          <w:b w:val="0"/>
          <w:bCs w:val="0"/>
          <w:i w:val="0"/>
          <w:iCs/>
          <w:color w:val="auto"/>
          <w:sz w:val="21"/>
          <w:szCs w:val="21"/>
          <w:highlight w:val="none"/>
          <w:u w:val="none"/>
        </w:rPr>
        <w:t>投标报价应包括采购文件所规定的采购范围的全部内容。</w:t>
      </w:r>
    </w:p>
    <w:p w14:paraId="1AF0A3D3">
      <w:pPr>
        <w:pStyle w:val="194"/>
        <w:pageBreakBefore w:val="0"/>
        <w:kinsoku/>
        <w:wordWrap/>
        <w:overflowPunct/>
        <w:topLinePunct w:val="0"/>
        <w:autoSpaceDE/>
        <w:autoSpaceDN/>
        <w:bidi w:val="0"/>
        <w:adjustRightInd/>
        <w:spacing w:line="360" w:lineRule="auto"/>
        <w:textAlignment w:val="auto"/>
        <w:rPr>
          <w:rFonts w:ascii="宋体" w:hAnsi="宋体"/>
          <w:b w:val="0"/>
          <w:bCs w:val="0"/>
          <w:i w:val="0"/>
          <w:iCs/>
          <w:color w:val="auto"/>
          <w:sz w:val="32"/>
          <w:szCs w:val="32"/>
          <w:highlight w:val="none"/>
          <w:u w:val="none"/>
        </w:rPr>
      </w:pPr>
      <w:r>
        <w:rPr>
          <w:rFonts w:hint="default" w:ascii="宋体" w:hAnsi="宋体" w:cs="宋体"/>
          <w:b w:val="0"/>
          <w:bCs w:val="0"/>
          <w:i w:val="0"/>
          <w:iCs/>
          <w:color w:val="auto"/>
          <w:spacing w:val="-3"/>
          <w:sz w:val="21"/>
          <w:highlight w:val="none"/>
          <w:u w:val="none"/>
          <w:lang w:val="en-US" w:eastAsia="zh-CN"/>
        </w:rPr>
        <w:t>2</w:t>
      </w:r>
      <w:r>
        <w:rPr>
          <w:rFonts w:hint="eastAsia" w:ascii="宋体" w:hAnsi="宋体" w:eastAsia="宋体" w:cs="宋体"/>
          <w:b w:val="0"/>
          <w:bCs w:val="0"/>
          <w:i w:val="0"/>
          <w:iCs/>
          <w:color w:val="auto"/>
          <w:spacing w:val="-3"/>
          <w:sz w:val="21"/>
          <w:highlight w:val="none"/>
          <w:u w:val="none"/>
          <w:lang w:val="en-US" w:eastAsia="zh-CN"/>
        </w:rPr>
        <w:t>、</w:t>
      </w:r>
      <w:r>
        <w:rPr>
          <w:rFonts w:hint="eastAsia" w:ascii="宋体" w:hAnsi="宋体" w:eastAsia="宋体" w:cs="宋体"/>
          <w:b w:val="0"/>
          <w:bCs w:val="0"/>
          <w:i w:val="0"/>
          <w:iCs/>
          <w:color w:val="auto"/>
          <w:spacing w:val="-3"/>
          <w:sz w:val="21"/>
          <w:highlight w:val="none"/>
          <w:u w:val="none"/>
        </w:rPr>
        <w:t>如有分包，投标人投任何一个包的标的，都需单独填写开标一览表。</w:t>
      </w:r>
    </w:p>
    <w:p w14:paraId="4783F605">
      <w:pPr>
        <w:pageBreakBefore w:val="0"/>
        <w:widowControl/>
        <w:kinsoku/>
        <w:wordWrap/>
        <w:overflowPunct/>
        <w:topLinePunct w:val="0"/>
        <w:autoSpaceDE/>
        <w:autoSpaceDN/>
        <w:bidi w:val="0"/>
        <w:adjustRightInd/>
        <w:spacing w:line="360" w:lineRule="auto"/>
        <w:jc w:val="center"/>
        <w:textAlignment w:val="auto"/>
        <w:rPr>
          <w:rFonts w:ascii="宋体" w:hAnsi="宋体" w:eastAsia="宋体"/>
          <w:color w:val="auto"/>
          <w:sz w:val="28"/>
          <w:szCs w:val="28"/>
          <w:highlight w:val="none"/>
        </w:rPr>
      </w:pPr>
      <w:r>
        <w:rPr>
          <w:rFonts w:hint="eastAsia" w:ascii="宋体" w:hAnsi="宋体"/>
          <w:color w:val="auto"/>
          <w:sz w:val="32"/>
          <w:szCs w:val="32"/>
          <w:highlight w:val="none"/>
        </w:rPr>
        <w:br w:type="page" w:clear="all"/>
      </w:r>
      <w:r>
        <w:rPr>
          <w:rFonts w:hint="eastAsia" w:ascii="宋体" w:hAnsi="宋体"/>
          <w:b/>
          <w:bCs/>
          <w:color w:val="auto"/>
          <w:sz w:val="28"/>
          <w:szCs w:val="28"/>
          <w:highlight w:val="none"/>
          <w:lang w:val="en-US" w:eastAsia="zh-CN"/>
        </w:rPr>
        <w:t>五</w:t>
      </w:r>
      <w:r>
        <w:rPr>
          <w:rFonts w:hint="eastAsia" w:ascii="宋体" w:hAnsi="宋体" w:eastAsia="宋体"/>
          <w:b/>
          <w:bCs/>
          <w:color w:val="auto"/>
          <w:sz w:val="28"/>
          <w:szCs w:val="28"/>
          <w:highlight w:val="none"/>
        </w:rPr>
        <w:t>、技术参数响应及偏离表</w:t>
      </w:r>
    </w:p>
    <w:tbl>
      <w:tblPr>
        <w:tblStyle w:val="34"/>
        <w:tblW w:w="84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93"/>
        <w:gridCol w:w="2147"/>
        <w:gridCol w:w="2330"/>
        <w:gridCol w:w="2031"/>
        <w:gridCol w:w="1108"/>
      </w:tblGrid>
      <w:tr w14:paraId="2BDD2D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793" w:type="dxa"/>
            <w:noWrap w:val="0"/>
            <w:vAlign w:val="center"/>
          </w:tcPr>
          <w:p w14:paraId="7D260546">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r>
              <w:rPr>
                <w:rFonts w:hint="eastAsia" w:ascii="宋体" w:hAnsi="宋体"/>
                <w:color w:val="auto"/>
                <w:szCs w:val="21"/>
                <w:highlight w:val="none"/>
              </w:rPr>
              <w:t>序号</w:t>
            </w:r>
          </w:p>
        </w:tc>
        <w:tc>
          <w:tcPr>
            <w:tcW w:w="2147" w:type="dxa"/>
            <w:noWrap w:val="0"/>
            <w:vAlign w:val="center"/>
          </w:tcPr>
          <w:p w14:paraId="761041C9">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r>
              <w:rPr>
                <w:rFonts w:hint="eastAsia" w:ascii="宋体" w:hAnsi="宋体"/>
                <w:color w:val="auto"/>
                <w:szCs w:val="21"/>
                <w:highlight w:val="none"/>
              </w:rPr>
              <w:t>招标要求</w:t>
            </w:r>
          </w:p>
        </w:tc>
        <w:tc>
          <w:tcPr>
            <w:tcW w:w="2330" w:type="dxa"/>
            <w:noWrap w:val="0"/>
            <w:vAlign w:val="center"/>
          </w:tcPr>
          <w:p w14:paraId="3182406C">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r>
              <w:rPr>
                <w:rFonts w:hint="eastAsia" w:ascii="宋体" w:hAnsi="宋体"/>
                <w:color w:val="auto"/>
                <w:szCs w:val="21"/>
                <w:highlight w:val="none"/>
              </w:rPr>
              <w:t>投标响应</w:t>
            </w:r>
          </w:p>
        </w:tc>
        <w:tc>
          <w:tcPr>
            <w:tcW w:w="2031" w:type="dxa"/>
            <w:noWrap w:val="0"/>
            <w:vAlign w:val="center"/>
          </w:tcPr>
          <w:p w14:paraId="165511F7">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r>
              <w:rPr>
                <w:rFonts w:hint="eastAsia" w:ascii="宋体" w:hAnsi="宋体"/>
                <w:color w:val="auto"/>
                <w:szCs w:val="21"/>
                <w:highlight w:val="none"/>
              </w:rPr>
              <w:t>超出、符合或偏离</w:t>
            </w:r>
          </w:p>
        </w:tc>
        <w:tc>
          <w:tcPr>
            <w:tcW w:w="1108" w:type="dxa"/>
            <w:noWrap w:val="0"/>
            <w:vAlign w:val="center"/>
          </w:tcPr>
          <w:p w14:paraId="41E34FA5">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r>
              <w:rPr>
                <w:rFonts w:hint="eastAsia" w:ascii="宋体" w:hAnsi="宋体"/>
                <w:color w:val="auto"/>
                <w:szCs w:val="21"/>
                <w:highlight w:val="none"/>
              </w:rPr>
              <w:t>证明材料</w:t>
            </w:r>
          </w:p>
        </w:tc>
      </w:tr>
      <w:tr w14:paraId="325EBF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3" w:type="dxa"/>
            <w:noWrap w:val="0"/>
            <w:vAlign w:val="top"/>
          </w:tcPr>
          <w:p w14:paraId="47FA09F7">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2147" w:type="dxa"/>
            <w:noWrap w:val="0"/>
            <w:vAlign w:val="top"/>
          </w:tcPr>
          <w:p w14:paraId="01BF83F0">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2330" w:type="dxa"/>
            <w:noWrap w:val="0"/>
            <w:vAlign w:val="top"/>
          </w:tcPr>
          <w:p w14:paraId="3DBB9499">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2031" w:type="dxa"/>
            <w:noWrap w:val="0"/>
            <w:vAlign w:val="top"/>
          </w:tcPr>
          <w:p w14:paraId="536756F6">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1108" w:type="dxa"/>
            <w:noWrap w:val="0"/>
            <w:vAlign w:val="top"/>
          </w:tcPr>
          <w:p w14:paraId="35BB4F28">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r>
      <w:tr w14:paraId="3B1AAD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3" w:type="dxa"/>
            <w:noWrap w:val="0"/>
            <w:vAlign w:val="top"/>
          </w:tcPr>
          <w:p w14:paraId="3740CDFA">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2147" w:type="dxa"/>
            <w:noWrap w:val="0"/>
            <w:vAlign w:val="top"/>
          </w:tcPr>
          <w:p w14:paraId="3FFEFDEB">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2330" w:type="dxa"/>
            <w:noWrap w:val="0"/>
            <w:vAlign w:val="top"/>
          </w:tcPr>
          <w:p w14:paraId="4F31B4E4">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2031" w:type="dxa"/>
            <w:noWrap w:val="0"/>
            <w:vAlign w:val="top"/>
          </w:tcPr>
          <w:p w14:paraId="282730B5">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1108" w:type="dxa"/>
            <w:noWrap w:val="0"/>
            <w:vAlign w:val="top"/>
          </w:tcPr>
          <w:p w14:paraId="482061C9">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r>
      <w:tr w14:paraId="6DEF4B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3" w:type="dxa"/>
            <w:noWrap w:val="0"/>
            <w:vAlign w:val="top"/>
          </w:tcPr>
          <w:p w14:paraId="217A665E">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2147" w:type="dxa"/>
            <w:noWrap w:val="0"/>
            <w:vAlign w:val="top"/>
          </w:tcPr>
          <w:p w14:paraId="15549474">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2330" w:type="dxa"/>
            <w:noWrap w:val="0"/>
            <w:vAlign w:val="top"/>
          </w:tcPr>
          <w:p w14:paraId="3EB390CB">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2031" w:type="dxa"/>
            <w:noWrap w:val="0"/>
            <w:vAlign w:val="top"/>
          </w:tcPr>
          <w:p w14:paraId="2EE7A81E">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1108" w:type="dxa"/>
            <w:noWrap w:val="0"/>
            <w:vAlign w:val="top"/>
          </w:tcPr>
          <w:p w14:paraId="2549023A">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r>
      <w:tr w14:paraId="16B097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3" w:type="dxa"/>
            <w:noWrap w:val="0"/>
            <w:vAlign w:val="top"/>
          </w:tcPr>
          <w:p w14:paraId="381FF78E">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2147" w:type="dxa"/>
            <w:noWrap w:val="0"/>
            <w:vAlign w:val="top"/>
          </w:tcPr>
          <w:p w14:paraId="04F15E9D">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2330" w:type="dxa"/>
            <w:noWrap w:val="0"/>
            <w:vAlign w:val="top"/>
          </w:tcPr>
          <w:p w14:paraId="4AD3176A">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2031" w:type="dxa"/>
            <w:noWrap w:val="0"/>
            <w:vAlign w:val="top"/>
          </w:tcPr>
          <w:p w14:paraId="59B405FF">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1108" w:type="dxa"/>
            <w:noWrap w:val="0"/>
            <w:vAlign w:val="top"/>
          </w:tcPr>
          <w:p w14:paraId="75A3B93F">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r>
      <w:tr w14:paraId="203C72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3" w:type="dxa"/>
            <w:noWrap w:val="0"/>
            <w:vAlign w:val="top"/>
          </w:tcPr>
          <w:p w14:paraId="404B55F0">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2147" w:type="dxa"/>
            <w:noWrap w:val="0"/>
            <w:vAlign w:val="top"/>
          </w:tcPr>
          <w:p w14:paraId="2BB4FA29">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2330" w:type="dxa"/>
            <w:noWrap w:val="0"/>
            <w:vAlign w:val="top"/>
          </w:tcPr>
          <w:p w14:paraId="13B8CAB6">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2031" w:type="dxa"/>
            <w:noWrap w:val="0"/>
            <w:vAlign w:val="top"/>
          </w:tcPr>
          <w:p w14:paraId="1B93CEAB">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1108" w:type="dxa"/>
            <w:noWrap w:val="0"/>
            <w:vAlign w:val="top"/>
          </w:tcPr>
          <w:p w14:paraId="0A03755F">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r>
      <w:tr w14:paraId="5F9441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3" w:type="dxa"/>
            <w:noWrap w:val="0"/>
            <w:vAlign w:val="top"/>
          </w:tcPr>
          <w:p w14:paraId="14B3ADE2">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2147" w:type="dxa"/>
            <w:noWrap w:val="0"/>
            <w:vAlign w:val="top"/>
          </w:tcPr>
          <w:p w14:paraId="7482B31A">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2330" w:type="dxa"/>
            <w:noWrap w:val="0"/>
            <w:vAlign w:val="top"/>
          </w:tcPr>
          <w:p w14:paraId="62F6C4F2">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2031" w:type="dxa"/>
            <w:noWrap w:val="0"/>
            <w:vAlign w:val="top"/>
          </w:tcPr>
          <w:p w14:paraId="1185D19E">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1108" w:type="dxa"/>
            <w:noWrap w:val="0"/>
            <w:vAlign w:val="top"/>
          </w:tcPr>
          <w:p w14:paraId="12E9A1F5">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r>
      <w:tr w14:paraId="55C7F5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3" w:type="dxa"/>
            <w:noWrap w:val="0"/>
            <w:vAlign w:val="top"/>
          </w:tcPr>
          <w:p w14:paraId="564A9FE2">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2147" w:type="dxa"/>
            <w:noWrap w:val="0"/>
            <w:vAlign w:val="top"/>
          </w:tcPr>
          <w:p w14:paraId="30C1BC43">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2330" w:type="dxa"/>
            <w:noWrap w:val="0"/>
            <w:vAlign w:val="top"/>
          </w:tcPr>
          <w:p w14:paraId="4891769E">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2031" w:type="dxa"/>
            <w:noWrap w:val="0"/>
            <w:vAlign w:val="top"/>
          </w:tcPr>
          <w:p w14:paraId="70FB70E2">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1108" w:type="dxa"/>
            <w:noWrap w:val="0"/>
            <w:vAlign w:val="top"/>
          </w:tcPr>
          <w:p w14:paraId="4F407E69">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r>
      <w:tr w14:paraId="12083A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3" w:type="dxa"/>
            <w:noWrap w:val="0"/>
            <w:vAlign w:val="top"/>
          </w:tcPr>
          <w:p w14:paraId="00D99BAE">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2147" w:type="dxa"/>
            <w:noWrap w:val="0"/>
            <w:vAlign w:val="top"/>
          </w:tcPr>
          <w:p w14:paraId="5A3D92AC">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2330" w:type="dxa"/>
            <w:noWrap w:val="0"/>
            <w:vAlign w:val="top"/>
          </w:tcPr>
          <w:p w14:paraId="6E822A35">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2031" w:type="dxa"/>
            <w:noWrap w:val="0"/>
            <w:vAlign w:val="top"/>
          </w:tcPr>
          <w:p w14:paraId="5ADB7366">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c>
          <w:tcPr>
            <w:tcW w:w="1108" w:type="dxa"/>
            <w:noWrap w:val="0"/>
            <w:vAlign w:val="top"/>
          </w:tcPr>
          <w:p w14:paraId="369F94C3">
            <w:pPr>
              <w:pageBreakBefore w:val="0"/>
              <w:kinsoku/>
              <w:wordWrap/>
              <w:overflowPunct/>
              <w:topLinePunct w:val="0"/>
              <w:autoSpaceDE/>
              <w:autoSpaceDN/>
              <w:bidi w:val="0"/>
              <w:adjustRightInd/>
              <w:spacing w:line="360" w:lineRule="auto"/>
              <w:jc w:val="center"/>
              <w:textAlignment w:val="auto"/>
              <w:rPr>
                <w:rFonts w:ascii="宋体" w:hAnsi="宋体"/>
                <w:color w:val="auto"/>
                <w:szCs w:val="21"/>
                <w:highlight w:val="none"/>
              </w:rPr>
            </w:pPr>
          </w:p>
        </w:tc>
      </w:tr>
    </w:tbl>
    <w:p w14:paraId="21CBE245">
      <w:pPr>
        <w:pageBreakBefore w:val="0"/>
        <w:kinsoku/>
        <w:wordWrap/>
        <w:overflowPunct/>
        <w:topLinePunct w:val="0"/>
        <w:autoSpaceDE/>
        <w:autoSpaceDN/>
        <w:bidi w:val="0"/>
        <w:adjustRightInd/>
        <w:spacing w:line="360" w:lineRule="auto"/>
        <w:textAlignment w:val="auto"/>
        <w:rPr>
          <w:rFonts w:ascii="宋体" w:hAnsi="宋体"/>
          <w:color w:val="auto"/>
          <w:szCs w:val="21"/>
          <w:highlight w:val="none"/>
        </w:rPr>
      </w:pPr>
    </w:p>
    <w:p w14:paraId="23E76EB4">
      <w:pPr>
        <w:pageBreakBefore w:val="0"/>
        <w:kinsoku/>
        <w:wordWrap/>
        <w:overflowPunct/>
        <w:topLinePunct w:val="0"/>
        <w:autoSpaceDE/>
        <w:autoSpaceDN/>
        <w:bidi w:val="0"/>
        <w:adjustRightInd/>
        <w:spacing w:line="360" w:lineRule="auto"/>
        <w:textAlignment w:val="auto"/>
        <w:rPr>
          <w:rFonts w:ascii="宋体" w:hAnsi="宋体"/>
          <w:color w:val="auto"/>
          <w:szCs w:val="21"/>
          <w:highlight w:val="none"/>
        </w:rPr>
      </w:pPr>
      <w:r>
        <w:rPr>
          <w:rFonts w:hint="eastAsia" w:ascii="宋体" w:hAnsi="宋体"/>
          <w:color w:val="auto"/>
          <w:szCs w:val="21"/>
          <w:highlight w:val="none"/>
        </w:rPr>
        <w:t>注：1、按照基本技术要求详细填列。</w:t>
      </w:r>
    </w:p>
    <w:p w14:paraId="29FC84C4">
      <w:pPr>
        <w:pageBreakBefore w:val="0"/>
        <w:kinsoku/>
        <w:wordWrap/>
        <w:overflowPunct/>
        <w:topLinePunct w:val="0"/>
        <w:autoSpaceDE/>
        <w:autoSpaceDN/>
        <w:bidi w:val="0"/>
        <w:adjustRightInd/>
        <w:spacing w:line="360" w:lineRule="auto"/>
        <w:ind w:firstLine="420"/>
        <w:textAlignment w:val="auto"/>
        <w:rPr>
          <w:rFonts w:ascii="宋体" w:hAnsi="宋体"/>
          <w:color w:val="auto"/>
          <w:szCs w:val="21"/>
          <w:highlight w:val="none"/>
        </w:rPr>
      </w:pPr>
      <w:r>
        <w:rPr>
          <w:rFonts w:hint="eastAsia" w:ascii="宋体" w:hAnsi="宋体"/>
          <w:color w:val="auto"/>
          <w:szCs w:val="21"/>
          <w:highlight w:val="none"/>
        </w:rPr>
        <w:t>2、行数不够，可自行添加。</w:t>
      </w:r>
    </w:p>
    <w:p w14:paraId="3438E9DE">
      <w:pPr>
        <w:pageBreakBefore w:val="0"/>
        <w:kinsoku/>
        <w:wordWrap/>
        <w:overflowPunct/>
        <w:topLinePunct w:val="0"/>
        <w:autoSpaceDE/>
        <w:autoSpaceDN/>
        <w:bidi w:val="0"/>
        <w:adjustRightInd/>
        <w:spacing w:line="360" w:lineRule="auto"/>
        <w:jc w:val="center"/>
        <w:textAlignment w:val="auto"/>
        <w:rPr>
          <w:rFonts w:ascii="黑体" w:hAnsi="Arial" w:eastAsia="黑体"/>
          <w:b/>
          <w:color w:val="auto"/>
          <w:sz w:val="36"/>
          <w:highlight w:val="none"/>
        </w:rPr>
      </w:pPr>
    </w:p>
    <w:p w14:paraId="5DD05EC1">
      <w:pPr>
        <w:pageBreakBefore w:val="0"/>
        <w:kinsoku/>
        <w:wordWrap/>
        <w:overflowPunct/>
        <w:topLinePunct w:val="0"/>
        <w:autoSpaceDE/>
        <w:autoSpaceDN/>
        <w:bidi w:val="0"/>
        <w:adjustRightInd/>
        <w:spacing w:line="360" w:lineRule="auto"/>
        <w:jc w:val="center"/>
        <w:textAlignment w:val="auto"/>
        <w:rPr>
          <w:rFonts w:ascii="黑体" w:hAnsi="Arial" w:eastAsia="黑体"/>
          <w:b/>
          <w:color w:val="auto"/>
          <w:sz w:val="36"/>
          <w:highlight w:val="none"/>
        </w:rPr>
      </w:pPr>
    </w:p>
    <w:p w14:paraId="7E9FF730">
      <w:pPr>
        <w:pageBreakBefore w:val="0"/>
        <w:kinsoku/>
        <w:wordWrap/>
        <w:overflowPunct/>
        <w:topLinePunct w:val="0"/>
        <w:autoSpaceDE/>
        <w:autoSpaceDN/>
        <w:bidi w:val="0"/>
        <w:adjustRightInd/>
        <w:spacing w:line="360" w:lineRule="auto"/>
        <w:jc w:val="center"/>
        <w:textAlignment w:val="auto"/>
        <w:rPr>
          <w:rFonts w:ascii="黑体" w:hAnsi="Arial" w:eastAsia="黑体"/>
          <w:b/>
          <w:color w:val="auto"/>
          <w:sz w:val="36"/>
          <w:highlight w:val="none"/>
        </w:rPr>
      </w:pPr>
    </w:p>
    <w:p w14:paraId="0BCA64BD">
      <w:pPr>
        <w:pageBreakBefore w:val="0"/>
        <w:kinsoku/>
        <w:wordWrap/>
        <w:overflowPunct/>
        <w:topLinePunct w:val="0"/>
        <w:autoSpaceDE/>
        <w:autoSpaceDN/>
        <w:bidi w:val="0"/>
        <w:adjustRightInd/>
        <w:spacing w:line="360" w:lineRule="auto"/>
        <w:jc w:val="center"/>
        <w:textAlignment w:val="auto"/>
        <w:rPr>
          <w:rFonts w:ascii="黑体" w:hAnsi="Arial" w:eastAsia="黑体"/>
          <w:b/>
          <w:color w:val="auto"/>
          <w:sz w:val="36"/>
          <w:highlight w:val="none"/>
        </w:rPr>
      </w:pPr>
    </w:p>
    <w:p w14:paraId="66B4A0CF">
      <w:pPr>
        <w:pageBreakBefore w:val="0"/>
        <w:kinsoku/>
        <w:wordWrap/>
        <w:overflowPunct/>
        <w:topLinePunct w:val="0"/>
        <w:autoSpaceDE/>
        <w:autoSpaceDN/>
        <w:bidi w:val="0"/>
        <w:adjustRightInd/>
        <w:spacing w:line="360" w:lineRule="auto"/>
        <w:textAlignment w:val="auto"/>
        <w:rPr>
          <w:rFonts w:ascii="黑体" w:hAnsi="Arial" w:eastAsia="黑体"/>
          <w:color w:val="auto"/>
          <w:sz w:val="32"/>
          <w:highlight w:val="none"/>
        </w:rPr>
      </w:pPr>
    </w:p>
    <w:p w14:paraId="2BD4AF8C">
      <w:pPr>
        <w:pageBreakBefore w:val="0"/>
        <w:kinsoku/>
        <w:wordWrap/>
        <w:overflowPunct/>
        <w:topLinePunct w:val="0"/>
        <w:autoSpaceDE/>
        <w:autoSpaceDN/>
        <w:bidi w:val="0"/>
        <w:adjustRightInd/>
        <w:spacing w:line="360" w:lineRule="auto"/>
        <w:textAlignment w:val="auto"/>
        <w:rPr>
          <w:rFonts w:ascii="黑体" w:hAnsi="Arial" w:eastAsia="黑体"/>
          <w:color w:val="auto"/>
          <w:sz w:val="32"/>
          <w:highlight w:val="none"/>
        </w:rPr>
      </w:pPr>
    </w:p>
    <w:p w14:paraId="6E90FF2B">
      <w:pPr>
        <w:pageBreakBefore w:val="0"/>
        <w:kinsoku/>
        <w:wordWrap/>
        <w:overflowPunct/>
        <w:topLinePunct w:val="0"/>
        <w:autoSpaceDE/>
        <w:autoSpaceDN/>
        <w:bidi w:val="0"/>
        <w:adjustRightInd/>
        <w:spacing w:line="360" w:lineRule="auto"/>
        <w:jc w:val="center"/>
        <w:textAlignment w:val="auto"/>
        <w:rPr>
          <w:rFonts w:ascii="宋体" w:hAnsi="宋体"/>
          <w:color w:val="auto"/>
          <w:sz w:val="32"/>
          <w:szCs w:val="32"/>
          <w:highlight w:val="none"/>
        </w:rPr>
      </w:pPr>
      <w:r>
        <w:rPr>
          <w:rFonts w:hint="eastAsia" w:ascii="黑体" w:hAnsi="Arial" w:eastAsia="黑体"/>
          <w:color w:val="auto"/>
          <w:sz w:val="32"/>
          <w:highlight w:val="none"/>
        </w:rPr>
        <w:br w:type="page" w:clear="all"/>
      </w:r>
      <w:bookmarkStart w:id="56" w:name="_Hlt26955054"/>
      <w:bookmarkEnd w:id="56"/>
      <w:bookmarkStart w:id="57" w:name="_Toc113352363"/>
      <w:r>
        <w:rPr>
          <w:rFonts w:hint="eastAsia" w:ascii="宋体" w:hAnsi="宋体"/>
          <w:b/>
          <w:bCs/>
          <w:color w:val="auto"/>
          <w:sz w:val="28"/>
          <w:szCs w:val="28"/>
          <w:highlight w:val="none"/>
          <w:lang w:val="en-US" w:eastAsia="zh-CN"/>
        </w:rPr>
        <w:t>六</w:t>
      </w:r>
      <w:r>
        <w:rPr>
          <w:rFonts w:hint="eastAsia" w:ascii="宋体" w:hAnsi="宋体"/>
          <w:b/>
          <w:bCs/>
          <w:color w:val="auto"/>
          <w:sz w:val="28"/>
          <w:szCs w:val="28"/>
          <w:highlight w:val="none"/>
        </w:rPr>
        <w:t>、商务条款响应及偏离表</w:t>
      </w:r>
      <w:bookmarkEnd w:id="57"/>
    </w:p>
    <w:tbl>
      <w:tblPr>
        <w:tblStyle w:val="34"/>
        <w:tblW w:w="8301"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1638"/>
        <w:gridCol w:w="2502"/>
        <w:gridCol w:w="1837"/>
        <w:gridCol w:w="2324"/>
      </w:tblGrid>
      <w:tr w14:paraId="791397C7">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642" w:hRule="atLeast"/>
        </w:trPr>
        <w:tc>
          <w:tcPr>
            <w:tcW w:w="1638" w:type="dxa"/>
            <w:noWrap w:val="0"/>
            <w:vAlign w:val="top"/>
          </w:tcPr>
          <w:p w14:paraId="384362AC">
            <w:pPr>
              <w:pageBreakBefore w:val="0"/>
              <w:kinsoku/>
              <w:wordWrap/>
              <w:overflowPunct/>
              <w:topLinePunct w:val="0"/>
              <w:autoSpaceDE/>
              <w:autoSpaceDN/>
              <w:bidi w:val="0"/>
              <w:adjustRightInd/>
              <w:spacing w:before="156" w:line="360" w:lineRule="auto"/>
              <w:jc w:val="center"/>
              <w:textAlignment w:val="auto"/>
              <w:rPr>
                <w:rFonts w:ascii="仿宋_GB2312" w:hAnsi="宋体" w:eastAsia="仿宋_GB2312"/>
                <w:color w:val="auto"/>
                <w:szCs w:val="21"/>
                <w:highlight w:val="none"/>
              </w:rPr>
            </w:pPr>
            <w:r>
              <w:rPr>
                <w:rFonts w:hint="eastAsia" w:ascii="仿宋_GB2312" w:hAnsi="宋体"/>
                <w:color w:val="auto"/>
                <w:szCs w:val="21"/>
                <w:highlight w:val="none"/>
              </w:rPr>
              <w:t>项目</w:t>
            </w:r>
          </w:p>
        </w:tc>
        <w:tc>
          <w:tcPr>
            <w:tcW w:w="2502" w:type="dxa"/>
            <w:noWrap w:val="0"/>
            <w:vAlign w:val="top"/>
          </w:tcPr>
          <w:p w14:paraId="0A3430D8">
            <w:pPr>
              <w:pageBreakBefore w:val="0"/>
              <w:kinsoku/>
              <w:wordWrap/>
              <w:overflowPunct/>
              <w:topLinePunct w:val="0"/>
              <w:autoSpaceDE/>
              <w:autoSpaceDN/>
              <w:bidi w:val="0"/>
              <w:adjustRightInd/>
              <w:spacing w:before="156" w:line="360" w:lineRule="auto"/>
              <w:jc w:val="center"/>
              <w:textAlignment w:val="auto"/>
              <w:rPr>
                <w:rFonts w:ascii="仿宋_GB2312" w:hAnsi="宋体" w:eastAsia="仿宋_GB2312"/>
                <w:color w:val="auto"/>
                <w:szCs w:val="21"/>
                <w:highlight w:val="none"/>
              </w:rPr>
            </w:pPr>
            <w:r>
              <w:rPr>
                <w:rFonts w:hint="eastAsia" w:ascii="仿宋_GB2312" w:hAnsi="宋体"/>
                <w:color w:val="auto"/>
                <w:szCs w:val="21"/>
                <w:highlight w:val="none"/>
              </w:rPr>
              <w:t>采购文件要求</w:t>
            </w:r>
          </w:p>
        </w:tc>
        <w:tc>
          <w:tcPr>
            <w:tcW w:w="1837" w:type="dxa"/>
            <w:noWrap w:val="0"/>
            <w:vAlign w:val="top"/>
          </w:tcPr>
          <w:p w14:paraId="7556F2A5">
            <w:pPr>
              <w:pageBreakBefore w:val="0"/>
              <w:kinsoku/>
              <w:wordWrap/>
              <w:overflowPunct/>
              <w:topLinePunct w:val="0"/>
              <w:autoSpaceDE/>
              <w:autoSpaceDN/>
              <w:bidi w:val="0"/>
              <w:adjustRightInd/>
              <w:spacing w:before="156" w:line="360" w:lineRule="auto"/>
              <w:jc w:val="center"/>
              <w:textAlignment w:val="auto"/>
              <w:rPr>
                <w:rFonts w:ascii="仿宋_GB2312" w:hAnsi="宋体" w:eastAsia="仿宋_GB2312"/>
                <w:color w:val="auto"/>
                <w:szCs w:val="21"/>
                <w:highlight w:val="none"/>
              </w:rPr>
            </w:pPr>
            <w:r>
              <w:rPr>
                <w:rFonts w:hint="eastAsia" w:ascii="仿宋_GB2312" w:hAnsi="宋体"/>
                <w:color w:val="auto"/>
                <w:szCs w:val="21"/>
                <w:highlight w:val="none"/>
              </w:rPr>
              <w:t>是否响应</w:t>
            </w:r>
          </w:p>
        </w:tc>
        <w:tc>
          <w:tcPr>
            <w:tcW w:w="2324" w:type="dxa"/>
            <w:noWrap w:val="0"/>
            <w:vAlign w:val="top"/>
          </w:tcPr>
          <w:p w14:paraId="65B2C5C4">
            <w:pPr>
              <w:pageBreakBefore w:val="0"/>
              <w:kinsoku/>
              <w:wordWrap/>
              <w:overflowPunct/>
              <w:topLinePunct w:val="0"/>
              <w:autoSpaceDE/>
              <w:autoSpaceDN/>
              <w:bidi w:val="0"/>
              <w:adjustRightInd/>
              <w:spacing w:before="156" w:line="360" w:lineRule="auto"/>
              <w:jc w:val="center"/>
              <w:textAlignment w:val="auto"/>
              <w:rPr>
                <w:rFonts w:ascii="仿宋_GB2312" w:hAnsi="宋体" w:eastAsia="仿宋_GB2312"/>
                <w:color w:val="auto"/>
                <w:szCs w:val="21"/>
                <w:highlight w:val="none"/>
              </w:rPr>
            </w:pPr>
            <w:r>
              <w:rPr>
                <w:rFonts w:hint="eastAsia" w:ascii="仿宋_GB2312" w:hAnsi="宋体"/>
                <w:color w:val="auto"/>
                <w:szCs w:val="21"/>
                <w:highlight w:val="none"/>
              </w:rPr>
              <w:t>供应商的承诺或说明</w:t>
            </w:r>
          </w:p>
        </w:tc>
      </w:tr>
      <w:tr w14:paraId="5D34454A">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540" w:hRule="atLeast"/>
        </w:trPr>
        <w:tc>
          <w:tcPr>
            <w:tcW w:w="1638" w:type="dxa"/>
            <w:noWrap w:val="0"/>
            <w:vAlign w:val="top"/>
          </w:tcPr>
          <w:p w14:paraId="2EB4BD92">
            <w:pPr>
              <w:pageBreakBefore w:val="0"/>
              <w:kinsoku/>
              <w:wordWrap/>
              <w:overflowPunct/>
              <w:topLinePunct w:val="0"/>
              <w:autoSpaceDE/>
              <w:autoSpaceDN/>
              <w:bidi w:val="0"/>
              <w:adjustRightInd/>
              <w:spacing w:before="156" w:line="360" w:lineRule="auto"/>
              <w:jc w:val="center"/>
              <w:textAlignment w:val="auto"/>
              <w:rPr>
                <w:rFonts w:ascii="仿宋_GB2312" w:hAnsi="宋体" w:eastAsia="仿宋_GB2312"/>
                <w:color w:val="auto"/>
                <w:szCs w:val="21"/>
                <w:highlight w:val="none"/>
              </w:rPr>
            </w:pPr>
            <w:r>
              <w:rPr>
                <w:rFonts w:hint="eastAsia" w:ascii="仿宋_GB2312"/>
                <w:color w:val="auto"/>
                <w:szCs w:val="21"/>
                <w:highlight w:val="none"/>
              </w:rPr>
              <w:t>服务时间</w:t>
            </w:r>
          </w:p>
        </w:tc>
        <w:tc>
          <w:tcPr>
            <w:tcW w:w="2502" w:type="dxa"/>
            <w:noWrap w:val="0"/>
            <w:vAlign w:val="top"/>
          </w:tcPr>
          <w:p w14:paraId="2A6C366B">
            <w:pPr>
              <w:pageBreakBefore w:val="0"/>
              <w:kinsoku/>
              <w:wordWrap/>
              <w:overflowPunct/>
              <w:topLinePunct w:val="0"/>
              <w:autoSpaceDE/>
              <w:autoSpaceDN/>
              <w:bidi w:val="0"/>
              <w:adjustRightInd/>
              <w:spacing w:before="156" w:line="360" w:lineRule="auto"/>
              <w:jc w:val="center"/>
              <w:textAlignment w:val="auto"/>
              <w:rPr>
                <w:rFonts w:ascii="仿宋_GB2312" w:hAnsi="宋体" w:eastAsia="仿宋_GB2312"/>
                <w:color w:val="auto"/>
                <w:szCs w:val="21"/>
                <w:highlight w:val="none"/>
              </w:rPr>
            </w:pPr>
          </w:p>
        </w:tc>
        <w:tc>
          <w:tcPr>
            <w:tcW w:w="1837" w:type="dxa"/>
            <w:noWrap w:val="0"/>
            <w:vAlign w:val="top"/>
          </w:tcPr>
          <w:p w14:paraId="48781E30">
            <w:pPr>
              <w:pageBreakBefore w:val="0"/>
              <w:kinsoku/>
              <w:wordWrap/>
              <w:overflowPunct/>
              <w:topLinePunct w:val="0"/>
              <w:autoSpaceDE/>
              <w:autoSpaceDN/>
              <w:bidi w:val="0"/>
              <w:adjustRightInd/>
              <w:spacing w:before="156" w:line="360" w:lineRule="auto"/>
              <w:ind w:left="43"/>
              <w:jc w:val="center"/>
              <w:textAlignment w:val="auto"/>
              <w:rPr>
                <w:rFonts w:ascii="仿宋_GB2312" w:hAnsi="宋体" w:eastAsia="仿宋_GB2312"/>
                <w:color w:val="auto"/>
                <w:szCs w:val="21"/>
                <w:highlight w:val="none"/>
              </w:rPr>
            </w:pPr>
          </w:p>
        </w:tc>
        <w:tc>
          <w:tcPr>
            <w:tcW w:w="2324" w:type="dxa"/>
            <w:noWrap w:val="0"/>
            <w:vAlign w:val="top"/>
          </w:tcPr>
          <w:p w14:paraId="1EDC011C">
            <w:pPr>
              <w:pageBreakBefore w:val="0"/>
              <w:kinsoku/>
              <w:wordWrap/>
              <w:overflowPunct/>
              <w:topLinePunct w:val="0"/>
              <w:autoSpaceDE/>
              <w:autoSpaceDN/>
              <w:bidi w:val="0"/>
              <w:adjustRightInd/>
              <w:spacing w:before="156" w:line="360" w:lineRule="auto"/>
              <w:ind w:left="43"/>
              <w:jc w:val="center"/>
              <w:textAlignment w:val="auto"/>
              <w:rPr>
                <w:rFonts w:ascii="仿宋_GB2312" w:hAnsi="宋体" w:eastAsia="仿宋_GB2312"/>
                <w:color w:val="auto"/>
                <w:szCs w:val="21"/>
                <w:highlight w:val="none"/>
              </w:rPr>
            </w:pPr>
          </w:p>
        </w:tc>
      </w:tr>
      <w:tr w14:paraId="43749B48">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40" w:hRule="atLeast"/>
        </w:trPr>
        <w:tc>
          <w:tcPr>
            <w:tcW w:w="1638" w:type="dxa"/>
            <w:noWrap w:val="0"/>
            <w:vAlign w:val="top"/>
          </w:tcPr>
          <w:p w14:paraId="24A50F5A">
            <w:pPr>
              <w:pageBreakBefore w:val="0"/>
              <w:kinsoku/>
              <w:wordWrap/>
              <w:overflowPunct/>
              <w:topLinePunct w:val="0"/>
              <w:autoSpaceDE/>
              <w:autoSpaceDN/>
              <w:bidi w:val="0"/>
              <w:adjustRightInd/>
              <w:spacing w:before="156" w:line="360" w:lineRule="auto"/>
              <w:jc w:val="center"/>
              <w:textAlignment w:val="auto"/>
              <w:rPr>
                <w:rFonts w:hint="eastAsia" w:ascii="仿宋_GB2312"/>
                <w:color w:val="auto"/>
                <w:szCs w:val="21"/>
                <w:highlight w:val="none"/>
              </w:rPr>
            </w:pPr>
            <w:r>
              <w:rPr>
                <w:rFonts w:hint="eastAsia" w:ascii="仿宋_GB2312"/>
                <w:color w:val="auto"/>
                <w:szCs w:val="21"/>
                <w:highlight w:val="none"/>
              </w:rPr>
              <w:t>服务方式</w:t>
            </w:r>
          </w:p>
        </w:tc>
        <w:tc>
          <w:tcPr>
            <w:tcW w:w="2502" w:type="dxa"/>
            <w:noWrap w:val="0"/>
            <w:vAlign w:val="top"/>
          </w:tcPr>
          <w:p w14:paraId="38998A0B">
            <w:pPr>
              <w:pageBreakBefore w:val="0"/>
              <w:kinsoku/>
              <w:wordWrap/>
              <w:overflowPunct/>
              <w:topLinePunct w:val="0"/>
              <w:autoSpaceDE/>
              <w:autoSpaceDN/>
              <w:bidi w:val="0"/>
              <w:adjustRightInd/>
              <w:spacing w:before="156" w:line="360" w:lineRule="auto"/>
              <w:textAlignment w:val="auto"/>
              <w:rPr>
                <w:rFonts w:hint="eastAsia" w:ascii="仿宋_GB2312" w:hAnsi="宋体"/>
                <w:color w:val="auto"/>
                <w:szCs w:val="21"/>
                <w:highlight w:val="none"/>
              </w:rPr>
            </w:pPr>
          </w:p>
        </w:tc>
        <w:tc>
          <w:tcPr>
            <w:tcW w:w="1837" w:type="dxa"/>
            <w:noWrap w:val="0"/>
            <w:vAlign w:val="top"/>
          </w:tcPr>
          <w:p w14:paraId="0D146EA9">
            <w:pPr>
              <w:pageBreakBefore w:val="0"/>
              <w:kinsoku/>
              <w:wordWrap/>
              <w:overflowPunct/>
              <w:topLinePunct w:val="0"/>
              <w:autoSpaceDE/>
              <w:autoSpaceDN/>
              <w:bidi w:val="0"/>
              <w:adjustRightInd/>
              <w:spacing w:before="156" w:line="360" w:lineRule="auto"/>
              <w:ind w:left="43"/>
              <w:jc w:val="center"/>
              <w:textAlignment w:val="auto"/>
              <w:rPr>
                <w:rFonts w:ascii="仿宋_GB2312" w:hAnsi="宋体" w:eastAsia="仿宋_GB2312"/>
                <w:color w:val="auto"/>
                <w:szCs w:val="21"/>
                <w:highlight w:val="none"/>
              </w:rPr>
            </w:pPr>
          </w:p>
        </w:tc>
        <w:tc>
          <w:tcPr>
            <w:tcW w:w="2324" w:type="dxa"/>
            <w:noWrap w:val="0"/>
            <w:vAlign w:val="top"/>
          </w:tcPr>
          <w:p w14:paraId="244AF2C9">
            <w:pPr>
              <w:pageBreakBefore w:val="0"/>
              <w:kinsoku/>
              <w:wordWrap/>
              <w:overflowPunct/>
              <w:topLinePunct w:val="0"/>
              <w:autoSpaceDE/>
              <w:autoSpaceDN/>
              <w:bidi w:val="0"/>
              <w:adjustRightInd/>
              <w:spacing w:before="156" w:line="360" w:lineRule="auto"/>
              <w:ind w:left="43"/>
              <w:jc w:val="center"/>
              <w:textAlignment w:val="auto"/>
              <w:rPr>
                <w:rFonts w:ascii="仿宋_GB2312" w:hAnsi="宋体" w:eastAsia="仿宋_GB2312"/>
                <w:color w:val="auto"/>
                <w:szCs w:val="21"/>
                <w:highlight w:val="none"/>
              </w:rPr>
            </w:pPr>
          </w:p>
        </w:tc>
      </w:tr>
      <w:tr w14:paraId="06928C7D">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60" w:hRule="atLeast"/>
        </w:trPr>
        <w:tc>
          <w:tcPr>
            <w:tcW w:w="1638" w:type="dxa"/>
            <w:noWrap w:val="0"/>
            <w:vAlign w:val="top"/>
          </w:tcPr>
          <w:p w14:paraId="79F43155">
            <w:pPr>
              <w:pageBreakBefore w:val="0"/>
              <w:kinsoku/>
              <w:wordWrap/>
              <w:overflowPunct/>
              <w:topLinePunct w:val="0"/>
              <w:autoSpaceDE/>
              <w:autoSpaceDN/>
              <w:bidi w:val="0"/>
              <w:adjustRightInd/>
              <w:spacing w:before="156" w:line="360" w:lineRule="auto"/>
              <w:jc w:val="center"/>
              <w:textAlignment w:val="auto"/>
              <w:rPr>
                <w:rFonts w:hint="eastAsia" w:ascii="仿宋_GB2312"/>
                <w:color w:val="auto"/>
                <w:szCs w:val="21"/>
                <w:highlight w:val="none"/>
              </w:rPr>
            </w:pPr>
            <w:r>
              <w:rPr>
                <w:rFonts w:hint="eastAsia" w:ascii="仿宋_GB2312"/>
                <w:color w:val="auto"/>
                <w:szCs w:val="21"/>
                <w:highlight w:val="none"/>
              </w:rPr>
              <w:t>服务地点</w:t>
            </w:r>
          </w:p>
        </w:tc>
        <w:tc>
          <w:tcPr>
            <w:tcW w:w="2502" w:type="dxa"/>
            <w:noWrap w:val="0"/>
            <w:vAlign w:val="top"/>
          </w:tcPr>
          <w:p w14:paraId="4CA5A5B9">
            <w:pPr>
              <w:pageBreakBefore w:val="0"/>
              <w:kinsoku/>
              <w:wordWrap/>
              <w:overflowPunct/>
              <w:topLinePunct w:val="0"/>
              <w:autoSpaceDE/>
              <w:autoSpaceDN/>
              <w:bidi w:val="0"/>
              <w:adjustRightInd/>
              <w:spacing w:before="156" w:line="360" w:lineRule="auto"/>
              <w:textAlignment w:val="auto"/>
              <w:rPr>
                <w:rFonts w:hint="eastAsia" w:ascii="仿宋_GB2312" w:hAnsi="宋体"/>
                <w:color w:val="auto"/>
                <w:szCs w:val="21"/>
                <w:highlight w:val="none"/>
              </w:rPr>
            </w:pPr>
          </w:p>
        </w:tc>
        <w:tc>
          <w:tcPr>
            <w:tcW w:w="1837" w:type="dxa"/>
            <w:noWrap w:val="0"/>
            <w:vAlign w:val="top"/>
          </w:tcPr>
          <w:p w14:paraId="2833B956">
            <w:pPr>
              <w:pageBreakBefore w:val="0"/>
              <w:kinsoku/>
              <w:wordWrap/>
              <w:overflowPunct/>
              <w:topLinePunct w:val="0"/>
              <w:autoSpaceDE/>
              <w:autoSpaceDN/>
              <w:bidi w:val="0"/>
              <w:adjustRightInd/>
              <w:spacing w:before="156" w:line="360" w:lineRule="auto"/>
              <w:ind w:left="43"/>
              <w:jc w:val="center"/>
              <w:textAlignment w:val="auto"/>
              <w:rPr>
                <w:rFonts w:ascii="仿宋_GB2312" w:hAnsi="宋体" w:eastAsia="仿宋_GB2312"/>
                <w:color w:val="auto"/>
                <w:szCs w:val="21"/>
                <w:highlight w:val="none"/>
              </w:rPr>
            </w:pPr>
          </w:p>
        </w:tc>
        <w:tc>
          <w:tcPr>
            <w:tcW w:w="2324" w:type="dxa"/>
            <w:noWrap w:val="0"/>
            <w:vAlign w:val="top"/>
          </w:tcPr>
          <w:p w14:paraId="5AC04FD2">
            <w:pPr>
              <w:pageBreakBefore w:val="0"/>
              <w:kinsoku/>
              <w:wordWrap/>
              <w:overflowPunct/>
              <w:topLinePunct w:val="0"/>
              <w:autoSpaceDE/>
              <w:autoSpaceDN/>
              <w:bidi w:val="0"/>
              <w:adjustRightInd/>
              <w:spacing w:before="156" w:line="360" w:lineRule="auto"/>
              <w:ind w:left="43"/>
              <w:jc w:val="center"/>
              <w:textAlignment w:val="auto"/>
              <w:rPr>
                <w:rFonts w:ascii="仿宋_GB2312" w:hAnsi="宋体" w:eastAsia="仿宋_GB2312"/>
                <w:color w:val="auto"/>
                <w:szCs w:val="21"/>
                <w:highlight w:val="none"/>
              </w:rPr>
            </w:pPr>
          </w:p>
        </w:tc>
      </w:tr>
      <w:tr w14:paraId="0A348913">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02" w:hRule="atLeast"/>
        </w:trPr>
        <w:tc>
          <w:tcPr>
            <w:tcW w:w="1638" w:type="dxa"/>
            <w:noWrap w:val="0"/>
            <w:vAlign w:val="top"/>
          </w:tcPr>
          <w:p w14:paraId="48BAA571">
            <w:pPr>
              <w:pageBreakBefore w:val="0"/>
              <w:kinsoku/>
              <w:wordWrap/>
              <w:overflowPunct/>
              <w:topLinePunct w:val="0"/>
              <w:autoSpaceDE/>
              <w:autoSpaceDN/>
              <w:bidi w:val="0"/>
              <w:adjustRightInd/>
              <w:spacing w:before="156" w:line="360" w:lineRule="auto"/>
              <w:jc w:val="center"/>
              <w:textAlignment w:val="auto"/>
              <w:rPr>
                <w:rFonts w:ascii="仿宋_GB2312" w:hAnsi="宋体" w:eastAsia="仿宋_GB2312"/>
                <w:color w:val="auto"/>
                <w:szCs w:val="21"/>
                <w:highlight w:val="none"/>
              </w:rPr>
            </w:pPr>
            <w:r>
              <w:rPr>
                <w:rFonts w:hint="eastAsia" w:ascii="仿宋_GB2312" w:hAnsi="宋体"/>
                <w:color w:val="auto"/>
                <w:szCs w:val="21"/>
                <w:highlight w:val="none"/>
              </w:rPr>
              <w:t>付款方式</w:t>
            </w:r>
          </w:p>
        </w:tc>
        <w:tc>
          <w:tcPr>
            <w:tcW w:w="2502" w:type="dxa"/>
            <w:noWrap w:val="0"/>
            <w:vAlign w:val="top"/>
          </w:tcPr>
          <w:p w14:paraId="189B1040">
            <w:pPr>
              <w:pageBreakBefore w:val="0"/>
              <w:kinsoku/>
              <w:wordWrap/>
              <w:overflowPunct/>
              <w:topLinePunct w:val="0"/>
              <w:autoSpaceDE/>
              <w:autoSpaceDN/>
              <w:bidi w:val="0"/>
              <w:adjustRightInd/>
              <w:spacing w:before="156" w:line="360" w:lineRule="auto"/>
              <w:textAlignment w:val="auto"/>
              <w:rPr>
                <w:rFonts w:ascii="仿宋_GB2312" w:hAnsi="宋体" w:eastAsia="仿宋_GB2312"/>
                <w:color w:val="auto"/>
                <w:szCs w:val="21"/>
                <w:highlight w:val="none"/>
              </w:rPr>
            </w:pPr>
          </w:p>
        </w:tc>
        <w:tc>
          <w:tcPr>
            <w:tcW w:w="1837" w:type="dxa"/>
            <w:noWrap w:val="0"/>
            <w:vAlign w:val="top"/>
          </w:tcPr>
          <w:p w14:paraId="7FAB2EAA">
            <w:pPr>
              <w:pageBreakBefore w:val="0"/>
              <w:kinsoku/>
              <w:wordWrap/>
              <w:overflowPunct/>
              <w:topLinePunct w:val="0"/>
              <w:autoSpaceDE/>
              <w:autoSpaceDN/>
              <w:bidi w:val="0"/>
              <w:adjustRightInd/>
              <w:spacing w:before="156" w:line="360" w:lineRule="auto"/>
              <w:jc w:val="center"/>
              <w:textAlignment w:val="auto"/>
              <w:rPr>
                <w:rFonts w:ascii="仿宋_GB2312" w:hAnsi="宋体" w:eastAsia="仿宋_GB2312"/>
                <w:color w:val="auto"/>
                <w:szCs w:val="21"/>
                <w:highlight w:val="none"/>
              </w:rPr>
            </w:pPr>
          </w:p>
        </w:tc>
        <w:tc>
          <w:tcPr>
            <w:tcW w:w="2324" w:type="dxa"/>
            <w:noWrap w:val="0"/>
            <w:vAlign w:val="top"/>
          </w:tcPr>
          <w:p w14:paraId="75543CCA">
            <w:pPr>
              <w:pageBreakBefore w:val="0"/>
              <w:kinsoku/>
              <w:wordWrap/>
              <w:overflowPunct/>
              <w:topLinePunct w:val="0"/>
              <w:autoSpaceDE/>
              <w:autoSpaceDN/>
              <w:bidi w:val="0"/>
              <w:adjustRightInd/>
              <w:spacing w:before="156" w:line="360" w:lineRule="auto"/>
              <w:jc w:val="center"/>
              <w:textAlignment w:val="auto"/>
              <w:rPr>
                <w:rFonts w:ascii="仿宋_GB2312" w:hAnsi="宋体" w:eastAsia="仿宋_GB2312"/>
                <w:color w:val="auto"/>
                <w:szCs w:val="21"/>
                <w:highlight w:val="none"/>
              </w:rPr>
            </w:pPr>
          </w:p>
        </w:tc>
      </w:tr>
      <w:tr w14:paraId="6FAEBBE4">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1638" w:type="dxa"/>
            <w:noWrap w:val="0"/>
            <w:vAlign w:val="top"/>
          </w:tcPr>
          <w:p w14:paraId="0C6DE7CD">
            <w:pPr>
              <w:pageBreakBefore w:val="0"/>
              <w:kinsoku/>
              <w:wordWrap/>
              <w:overflowPunct/>
              <w:topLinePunct w:val="0"/>
              <w:autoSpaceDE/>
              <w:autoSpaceDN/>
              <w:bidi w:val="0"/>
              <w:adjustRightInd/>
              <w:spacing w:before="156" w:line="360" w:lineRule="auto"/>
              <w:jc w:val="center"/>
              <w:textAlignment w:val="auto"/>
              <w:rPr>
                <w:rFonts w:ascii="仿宋_GB2312" w:hAnsi="宋体" w:eastAsia="仿宋_GB2312"/>
                <w:color w:val="auto"/>
                <w:szCs w:val="21"/>
                <w:highlight w:val="none"/>
              </w:rPr>
            </w:pPr>
            <w:r>
              <w:rPr>
                <w:rFonts w:hint="eastAsia" w:ascii="仿宋_GB2312" w:hAnsi="宋体"/>
                <w:color w:val="auto"/>
                <w:szCs w:val="21"/>
                <w:highlight w:val="none"/>
              </w:rPr>
              <w:t>其他</w:t>
            </w:r>
          </w:p>
        </w:tc>
        <w:tc>
          <w:tcPr>
            <w:tcW w:w="2502" w:type="dxa"/>
            <w:noWrap w:val="0"/>
            <w:vAlign w:val="top"/>
          </w:tcPr>
          <w:p w14:paraId="116EC18A">
            <w:pPr>
              <w:pageBreakBefore w:val="0"/>
              <w:kinsoku/>
              <w:wordWrap/>
              <w:overflowPunct/>
              <w:topLinePunct w:val="0"/>
              <w:autoSpaceDE/>
              <w:autoSpaceDN/>
              <w:bidi w:val="0"/>
              <w:adjustRightInd/>
              <w:spacing w:before="156" w:line="360" w:lineRule="auto"/>
              <w:jc w:val="center"/>
              <w:textAlignment w:val="auto"/>
              <w:rPr>
                <w:rFonts w:ascii="仿宋_GB2312" w:hAnsi="宋体" w:eastAsia="仿宋_GB2312"/>
                <w:color w:val="auto"/>
                <w:szCs w:val="21"/>
                <w:highlight w:val="none"/>
              </w:rPr>
            </w:pPr>
            <w:r>
              <w:rPr>
                <w:rFonts w:ascii="仿宋_GB2312" w:hAnsi="宋体" w:eastAsia="仿宋_GB2312"/>
                <w:color w:val="auto"/>
                <w:szCs w:val="21"/>
                <w:highlight w:val="none"/>
              </w:rPr>
              <w:t>……</w:t>
            </w:r>
          </w:p>
        </w:tc>
        <w:tc>
          <w:tcPr>
            <w:tcW w:w="1837" w:type="dxa"/>
            <w:noWrap w:val="0"/>
            <w:vAlign w:val="top"/>
          </w:tcPr>
          <w:p w14:paraId="782DAA00">
            <w:pPr>
              <w:pageBreakBefore w:val="0"/>
              <w:kinsoku/>
              <w:wordWrap/>
              <w:overflowPunct/>
              <w:topLinePunct w:val="0"/>
              <w:autoSpaceDE/>
              <w:autoSpaceDN/>
              <w:bidi w:val="0"/>
              <w:adjustRightInd/>
              <w:spacing w:before="156" w:line="360" w:lineRule="auto"/>
              <w:jc w:val="center"/>
              <w:textAlignment w:val="auto"/>
              <w:rPr>
                <w:rFonts w:ascii="仿宋_GB2312" w:hAnsi="宋体" w:eastAsia="仿宋_GB2312"/>
                <w:color w:val="auto"/>
                <w:szCs w:val="21"/>
                <w:highlight w:val="none"/>
              </w:rPr>
            </w:pPr>
          </w:p>
        </w:tc>
        <w:tc>
          <w:tcPr>
            <w:tcW w:w="2324" w:type="dxa"/>
            <w:noWrap w:val="0"/>
            <w:vAlign w:val="top"/>
          </w:tcPr>
          <w:p w14:paraId="4033AE4C">
            <w:pPr>
              <w:pageBreakBefore w:val="0"/>
              <w:kinsoku/>
              <w:wordWrap/>
              <w:overflowPunct/>
              <w:topLinePunct w:val="0"/>
              <w:autoSpaceDE/>
              <w:autoSpaceDN/>
              <w:bidi w:val="0"/>
              <w:adjustRightInd/>
              <w:spacing w:before="156" w:line="360" w:lineRule="auto"/>
              <w:jc w:val="center"/>
              <w:textAlignment w:val="auto"/>
              <w:rPr>
                <w:rFonts w:ascii="仿宋_GB2312" w:hAnsi="宋体" w:eastAsia="仿宋_GB2312"/>
                <w:color w:val="auto"/>
                <w:szCs w:val="21"/>
                <w:highlight w:val="none"/>
              </w:rPr>
            </w:pPr>
          </w:p>
        </w:tc>
      </w:tr>
    </w:tbl>
    <w:p w14:paraId="6D9183D7">
      <w:pPr>
        <w:pageBreakBefore w:val="0"/>
        <w:kinsoku/>
        <w:wordWrap/>
        <w:overflowPunct/>
        <w:topLinePunct w:val="0"/>
        <w:autoSpaceDE/>
        <w:autoSpaceDN/>
        <w:bidi w:val="0"/>
        <w:adjustRightInd/>
        <w:spacing w:line="360" w:lineRule="auto"/>
        <w:textAlignment w:val="auto"/>
        <w:rPr>
          <w:rFonts w:ascii="仿宋_GB2312" w:hAnsi="Arial"/>
          <w:color w:val="auto"/>
          <w:sz w:val="30"/>
          <w:highlight w:val="none"/>
        </w:rPr>
      </w:pPr>
    </w:p>
    <w:p w14:paraId="7DC86E70">
      <w:pPr>
        <w:pStyle w:val="194"/>
        <w:pageBreakBefore w:val="0"/>
        <w:kinsoku/>
        <w:wordWrap/>
        <w:overflowPunct/>
        <w:topLinePunct w:val="0"/>
        <w:autoSpaceDE/>
        <w:autoSpaceDN/>
        <w:bidi w:val="0"/>
        <w:adjustRightInd/>
        <w:spacing w:line="360" w:lineRule="auto"/>
        <w:ind w:firstLine="480"/>
        <w:textAlignment w:val="auto"/>
        <w:rPr>
          <w:rFonts w:ascii="宋体" w:hAnsi="宋体"/>
          <w:color w:val="auto"/>
          <w:sz w:val="24"/>
          <w:highlight w:val="none"/>
        </w:rPr>
      </w:pPr>
      <w:bookmarkStart w:id="58" w:name="_Hlt26955066"/>
      <w:bookmarkEnd w:id="58"/>
      <w:bookmarkStart w:id="59" w:name="_Hlt26609389"/>
      <w:bookmarkEnd w:id="59"/>
      <w:bookmarkStart w:id="60" w:name="_Hlt26671374"/>
      <w:bookmarkEnd w:id="60"/>
      <w:bookmarkStart w:id="61" w:name="_Toc462564146"/>
    </w:p>
    <w:p w14:paraId="7A71C06B">
      <w:pPr>
        <w:pStyle w:val="194"/>
        <w:pageBreakBefore w:val="0"/>
        <w:kinsoku/>
        <w:wordWrap/>
        <w:overflowPunct/>
        <w:topLinePunct w:val="0"/>
        <w:autoSpaceDE/>
        <w:autoSpaceDN/>
        <w:bidi w:val="0"/>
        <w:adjustRightInd/>
        <w:spacing w:line="360" w:lineRule="auto"/>
        <w:ind w:firstLine="480"/>
        <w:textAlignment w:val="auto"/>
        <w:rPr>
          <w:rFonts w:ascii="宋体" w:hAnsi="宋体"/>
          <w:color w:val="auto"/>
          <w:sz w:val="24"/>
          <w:highlight w:val="none"/>
        </w:rPr>
      </w:pPr>
    </w:p>
    <w:p w14:paraId="3AC612EA">
      <w:pPr>
        <w:pStyle w:val="194"/>
        <w:pageBreakBefore w:val="0"/>
        <w:kinsoku/>
        <w:wordWrap/>
        <w:overflowPunct/>
        <w:topLinePunct w:val="0"/>
        <w:autoSpaceDE/>
        <w:autoSpaceDN/>
        <w:bidi w:val="0"/>
        <w:adjustRightInd/>
        <w:spacing w:line="360" w:lineRule="auto"/>
        <w:ind w:firstLine="480"/>
        <w:textAlignment w:val="auto"/>
        <w:rPr>
          <w:rFonts w:ascii="宋体" w:hAnsi="宋体"/>
          <w:color w:val="auto"/>
          <w:sz w:val="24"/>
          <w:highlight w:val="none"/>
        </w:rPr>
      </w:pPr>
    </w:p>
    <w:p w14:paraId="075479B1">
      <w:pPr>
        <w:pStyle w:val="194"/>
        <w:pageBreakBefore w:val="0"/>
        <w:kinsoku/>
        <w:wordWrap/>
        <w:overflowPunct/>
        <w:topLinePunct w:val="0"/>
        <w:autoSpaceDE/>
        <w:autoSpaceDN/>
        <w:bidi w:val="0"/>
        <w:adjustRightInd/>
        <w:spacing w:line="360" w:lineRule="auto"/>
        <w:ind w:firstLine="480"/>
        <w:textAlignment w:val="auto"/>
        <w:rPr>
          <w:rFonts w:ascii="宋体" w:hAnsi="宋体"/>
          <w:color w:val="auto"/>
          <w:sz w:val="24"/>
          <w:highlight w:val="none"/>
        </w:rPr>
      </w:pPr>
    </w:p>
    <w:p w14:paraId="300E2889">
      <w:pPr>
        <w:pStyle w:val="194"/>
        <w:pageBreakBefore w:val="0"/>
        <w:kinsoku/>
        <w:wordWrap/>
        <w:overflowPunct/>
        <w:topLinePunct w:val="0"/>
        <w:autoSpaceDE/>
        <w:autoSpaceDN/>
        <w:bidi w:val="0"/>
        <w:adjustRightInd/>
        <w:spacing w:line="360" w:lineRule="auto"/>
        <w:ind w:firstLine="480"/>
        <w:textAlignment w:val="auto"/>
        <w:rPr>
          <w:rFonts w:ascii="宋体" w:hAnsi="宋体"/>
          <w:color w:val="auto"/>
          <w:sz w:val="24"/>
          <w:highlight w:val="none"/>
        </w:rPr>
      </w:pPr>
      <w:r>
        <w:rPr>
          <w:rFonts w:hint="eastAsia" w:ascii="宋体" w:hAnsi="宋体"/>
          <w:color w:val="auto"/>
          <w:sz w:val="24"/>
          <w:highlight w:val="none"/>
        </w:rPr>
        <w:t>.</w:t>
      </w:r>
    </w:p>
    <w:p w14:paraId="38A9D2B7">
      <w:pPr>
        <w:pStyle w:val="194"/>
        <w:pageBreakBefore w:val="0"/>
        <w:kinsoku/>
        <w:wordWrap/>
        <w:overflowPunct/>
        <w:topLinePunct w:val="0"/>
        <w:autoSpaceDE/>
        <w:autoSpaceDN/>
        <w:bidi w:val="0"/>
        <w:adjustRightInd/>
        <w:spacing w:line="360" w:lineRule="auto"/>
        <w:ind w:firstLine="480"/>
        <w:textAlignment w:val="auto"/>
        <w:rPr>
          <w:rFonts w:ascii="宋体" w:hAnsi="宋体"/>
          <w:color w:val="auto"/>
          <w:sz w:val="24"/>
          <w:highlight w:val="none"/>
        </w:rPr>
      </w:pPr>
    </w:p>
    <w:p w14:paraId="271CF1B9">
      <w:pPr>
        <w:pStyle w:val="194"/>
        <w:pageBreakBefore w:val="0"/>
        <w:kinsoku/>
        <w:wordWrap/>
        <w:overflowPunct/>
        <w:topLinePunct w:val="0"/>
        <w:autoSpaceDE/>
        <w:autoSpaceDN/>
        <w:bidi w:val="0"/>
        <w:adjustRightInd/>
        <w:spacing w:line="360" w:lineRule="auto"/>
        <w:ind w:firstLine="480"/>
        <w:textAlignment w:val="auto"/>
        <w:rPr>
          <w:rFonts w:ascii="宋体" w:hAnsi="宋体"/>
          <w:color w:val="auto"/>
          <w:sz w:val="24"/>
          <w:highlight w:val="none"/>
        </w:rPr>
      </w:pPr>
    </w:p>
    <w:p w14:paraId="14EBDFB1">
      <w:pPr>
        <w:pStyle w:val="194"/>
        <w:pageBreakBefore w:val="0"/>
        <w:kinsoku/>
        <w:wordWrap/>
        <w:overflowPunct/>
        <w:topLinePunct w:val="0"/>
        <w:autoSpaceDE/>
        <w:autoSpaceDN/>
        <w:bidi w:val="0"/>
        <w:adjustRightInd/>
        <w:spacing w:line="360" w:lineRule="auto"/>
        <w:ind w:firstLine="480"/>
        <w:textAlignment w:val="auto"/>
        <w:rPr>
          <w:rFonts w:ascii="宋体" w:hAnsi="宋体"/>
          <w:color w:val="auto"/>
          <w:sz w:val="24"/>
          <w:highlight w:val="none"/>
        </w:rPr>
      </w:pPr>
    </w:p>
    <w:p w14:paraId="7C3AEE03">
      <w:pPr>
        <w:pStyle w:val="194"/>
        <w:pageBreakBefore w:val="0"/>
        <w:kinsoku/>
        <w:wordWrap/>
        <w:overflowPunct/>
        <w:topLinePunct w:val="0"/>
        <w:autoSpaceDE/>
        <w:autoSpaceDN/>
        <w:bidi w:val="0"/>
        <w:adjustRightInd/>
        <w:spacing w:line="360" w:lineRule="auto"/>
        <w:ind w:firstLine="480"/>
        <w:textAlignment w:val="auto"/>
        <w:rPr>
          <w:rFonts w:ascii="宋体" w:hAnsi="宋体"/>
          <w:color w:val="auto"/>
          <w:sz w:val="24"/>
          <w:highlight w:val="none"/>
        </w:rPr>
      </w:pPr>
    </w:p>
    <w:p w14:paraId="645D85C7">
      <w:pPr>
        <w:pStyle w:val="194"/>
        <w:pageBreakBefore w:val="0"/>
        <w:kinsoku/>
        <w:wordWrap/>
        <w:overflowPunct/>
        <w:topLinePunct w:val="0"/>
        <w:autoSpaceDE/>
        <w:autoSpaceDN/>
        <w:bidi w:val="0"/>
        <w:adjustRightInd/>
        <w:spacing w:line="360" w:lineRule="auto"/>
        <w:ind w:firstLine="480"/>
        <w:textAlignment w:val="auto"/>
        <w:rPr>
          <w:rFonts w:ascii="宋体" w:hAnsi="宋体"/>
          <w:color w:val="auto"/>
          <w:sz w:val="24"/>
          <w:highlight w:val="none"/>
        </w:rPr>
      </w:pPr>
    </w:p>
    <w:p w14:paraId="401EF063">
      <w:pPr>
        <w:pStyle w:val="194"/>
        <w:pageBreakBefore w:val="0"/>
        <w:kinsoku/>
        <w:wordWrap/>
        <w:overflowPunct/>
        <w:topLinePunct w:val="0"/>
        <w:autoSpaceDE/>
        <w:autoSpaceDN/>
        <w:bidi w:val="0"/>
        <w:adjustRightInd/>
        <w:spacing w:line="360" w:lineRule="auto"/>
        <w:ind w:firstLine="480"/>
        <w:textAlignment w:val="auto"/>
        <w:rPr>
          <w:rFonts w:ascii="宋体" w:hAnsi="宋体"/>
          <w:color w:val="auto"/>
          <w:sz w:val="24"/>
          <w:highlight w:val="none"/>
        </w:rPr>
      </w:pPr>
    </w:p>
    <w:p w14:paraId="33C72ED6">
      <w:pPr>
        <w:pStyle w:val="194"/>
        <w:pageBreakBefore w:val="0"/>
        <w:kinsoku/>
        <w:wordWrap/>
        <w:overflowPunct/>
        <w:topLinePunct w:val="0"/>
        <w:autoSpaceDE/>
        <w:autoSpaceDN/>
        <w:bidi w:val="0"/>
        <w:adjustRightInd/>
        <w:spacing w:line="360" w:lineRule="auto"/>
        <w:ind w:firstLine="480"/>
        <w:textAlignment w:val="auto"/>
        <w:rPr>
          <w:rFonts w:ascii="宋体" w:hAnsi="宋体"/>
          <w:color w:val="auto"/>
          <w:sz w:val="24"/>
          <w:highlight w:val="none"/>
        </w:rPr>
      </w:pPr>
    </w:p>
    <w:p w14:paraId="1D6ED586">
      <w:pPr>
        <w:pStyle w:val="194"/>
        <w:pageBreakBefore w:val="0"/>
        <w:kinsoku/>
        <w:wordWrap/>
        <w:overflowPunct/>
        <w:topLinePunct w:val="0"/>
        <w:autoSpaceDE/>
        <w:autoSpaceDN/>
        <w:bidi w:val="0"/>
        <w:adjustRightInd/>
        <w:spacing w:line="360" w:lineRule="auto"/>
        <w:ind w:firstLine="480"/>
        <w:textAlignment w:val="auto"/>
        <w:rPr>
          <w:rFonts w:ascii="宋体" w:hAnsi="宋体"/>
          <w:color w:val="auto"/>
          <w:sz w:val="24"/>
          <w:highlight w:val="none"/>
        </w:rPr>
      </w:pPr>
    </w:p>
    <w:p w14:paraId="0150EC73">
      <w:pPr>
        <w:pStyle w:val="194"/>
        <w:pageBreakBefore w:val="0"/>
        <w:kinsoku/>
        <w:wordWrap/>
        <w:overflowPunct/>
        <w:topLinePunct w:val="0"/>
        <w:autoSpaceDE/>
        <w:autoSpaceDN/>
        <w:bidi w:val="0"/>
        <w:adjustRightInd/>
        <w:spacing w:line="360" w:lineRule="auto"/>
        <w:ind w:firstLine="480"/>
        <w:textAlignment w:val="auto"/>
        <w:rPr>
          <w:rFonts w:ascii="宋体" w:hAnsi="宋体"/>
          <w:color w:val="auto"/>
          <w:sz w:val="24"/>
          <w:highlight w:val="none"/>
        </w:rPr>
      </w:pPr>
    </w:p>
    <w:p w14:paraId="6F2D0253">
      <w:pPr>
        <w:pStyle w:val="194"/>
        <w:pageBreakBefore w:val="0"/>
        <w:kinsoku/>
        <w:wordWrap/>
        <w:overflowPunct/>
        <w:topLinePunct w:val="0"/>
        <w:autoSpaceDE/>
        <w:autoSpaceDN/>
        <w:bidi w:val="0"/>
        <w:adjustRightInd/>
        <w:spacing w:line="360" w:lineRule="auto"/>
        <w:ind w:firstLine="480"/>
        <w:textAlignment w:val="auto"/>
        <w:rPr>
          <w:rFonts w:ascii="宋体" w:hAnsi="宋体"/>
          <w:color w:val="auto"/>
          <w:sz w:val="24"/>
          <w:highlight w:val="none"/>
        </w:rPr>
      </w:pPr>
    </w:p>
    <w:p w14:paraId="6AA2A1B4">
      <w:pPr>
        <w:pStyle w:val="194"/>
        <w:pageBreakBefore w:val="0"/>
        <w:kinsoku/>
        <w:wordWrap/>
        <w:overflowPunct/>
        <w:topLinePunct w:val="0"/>
        <w:autoSpaceDE/>
        <w:autoSpaceDN/>
        <w:bidi w:val="0"/>
        <w:adjustRightInd/>
        <w:spacing w:line="360" w:lineRule="auto"/>
        <w:ind w:firstLine="480"/>
        <w:textAlignment w:val="auto"/>
        <w:rPr>
          <w:rFonts w:ascii="宋体" w:hAnsi="宋体"/>
          <w:color w:val="auto"/>
          <w:sz w:val="24"/>
          <w:highlight w:val="none"/>
        </w:rPr>
      </w:pPr>
    </w:p>
    <w:p w14:paraId="0A9D24A8">
      <w:pPr>
        <w:pStyle w:val="194"/>
        <w:pageBreakBefore w:val="0"/>
        <w:kinsoku/>
        <w:wordWrap/>
        <w:overflowPunct/>
        <w:topLinePunct w:val="0"/>
        <w:autoSpaceDE/>
        <w:autoSpaceDN/>
        <w:bidi w:val="0"/>
        <w:adjustRightInd/>
        <w:spacing w:line="360" w:lineRule="auto"/>
        <w:ind w:firstLine="480"/>
        <w:textAlignment w:val="auto"/>
        <w:rPr>
          <w:rFonts w:ascii="宋体" w:hAnsi="宋体"/>
          <w:color w:val="auto"/>
          <w:sz w:val="24"/>
          <w:highlight w:val="none"/>
        </w:rPr>
      </w:pPr>
    </w:p>
    <w:p w14:paraId="165C36E6">
      <w:pPr>
        <w:pStyle w:val="194"/>
        <w:pageBreakBefore w:val="0"/>
        <w:kinsoku/>
        <w:wordWrap/>
        <w:overflowPunct/>
        <w:topLinePunct w:val="0"/>
        <w:autoSpaceDE/>
        <w:autoSpaceDN/>
        <w:bidi w:val="0"/>
        <w:adjustRightInd/>
        <w:spacing w:line="360" w:lineRule="auto"/>
        <w:ind w:firstLine="480"/>
        <w:textAlignment w:val="auto"/>
        <w:rPr>
          <w:rFonts w:ascii="宋体" w:hAnsi="宋体"/>
          <w:color w:val="auto"/>
          <w:sz w:val="24"/>
          <w:highlight w:val="none"/>
        </w:rPr>
      </w:pPr>
    </w:p>
    <w:p w14:paraId="556147BE">
      <w:pPr>
        <w:pStyle w:val="194"/>
        <w:pageBreakBefore w:val="0"/>
        <w:kinsoku/>
        <w:wordWrap/>
        <w:overflowPunct/>
        <w:topLinePunct w:val="0"/>
        <w:autoSpaceDE/>
        <w:autoSpaceDN/>
        <w:bidi w:val="0"/>
        <w:adjustRightInd/>
        <w:spacing w:line="360" w:lineRule="auto"/>
        <w:ind w:firstLine="480"/>
        <w:textAlignment w:val="auto"/>
        <w:rPr>
          <w:rFonts w:ascii="宋体" w:hAnsi="宋体"/>
          <w:color w:val="auto"/>
          <w:sz w:val="24"/>
          <w:highlight w:val="none"/>
        </w:rPr>
      </w:pPr>
    </w:p>
    <w:p w14:paraId="6581FE41">
      <w:pPr>
        <w:pStyle w:val="194"/>
        <w:pageBreakBefore w:val="0"/>
        <w:kinsoku/>
        <w:wordWrap/>
        <w:overflowPunct/>
        <w:topLinePunct w:val="0"/>
        <w:autoSpaceDE/>
        <w:autoSpaceDN/>
        <w:bidi w:val="0"/>
        <w:adjustRightInd/>
        <w:spacing w:line="360" w:lineRule="auto"/>
        <w:ind w:firstLine="480"/>
        <w:textAlignment w:val="auto"/>
        <w:rPr>
          <w:rFonts w:ascii="宋体" w:hAnsi="宋体"/>
          <w:color w:val="auto"/>
          <w:sz w:val="24"/>
          <w:highlight w:val="none"/>
        </w:rPr>
      </w:pPr>
    </w:p>
    <w:bookmarkEnd w:id="61"/>
    <w:p w14:paraId="2971FFDA">
      <w:pPr>
        <w:pageBreakBefore w:val="0"/>
        <w:kinsoku/>
        <w:wordWrap/>
        <w:overflowPunct/>
        <w:topLinePunct w:val="0"/>
        <w:autoSpaceDE/>
        <w:autoSpaceDN/>
        <w:bidi w:val="0"/>
        <w:adjustRightInd/>
        <w:spacing w:line="360" w:lineRule="auto"/>
        <w:textAlignment w:val="auto"/>
        <w:rPr>
          <w:rFonts w:hint="eastAsia" w:ascii="宋体" w:hAnsi="宋体"/>
          <w:b/>
          <w:color w:val="auto"/>
          <w:sz w:val="28"/>
          <w:szCs w:val="28"/>
          <w:highlight w:val="none"/>
        </w:rPr>
      </w:pPr>
      <w:bookmarkStart w:id="62" w:name="_格式2__法定代表人授权书"/>
      <w:bookmarkEnd w:id="62"/>
      <w:r>
        <w:rPr>
          <w:rFonts w:ascii="宋体" w:hAnsi="宋体"/>
          <w:b/>
          <w:color w:val="auto"/>
          <w:highlight w:val="none"/>
        </w:rPr>
        <w:br w:type="page" w:clear="all"/>
      </w:r>
    </w:p>
    <w:p w14:paraId="49CBF08D">
      <w:pPr>
        <w:pageBreakBefore w:val="0"/>
        <w:widowControl/>
        <w:kinsoku/>
        <w:wordWrap/>
        <w:overflowPunct/>
        <w:topLinePunct w:val="0"/>
        <w:autoSpaceDE/>
        <w:autoSpaceDN/>
        <w:bidi w:val="0"/>
        <w:adjustRightInd/>
        <w:spacing w:line="360" w:lineRule="auto"/>
        <w:jc w:val="center"/>
        <w:textAlignment w:val="auto"/>
        <w:rPr>
          <w:rFonts w:ascii="宋体" w:hAnsi="宋体"/>
          <w:b/>
          <w:color w:val="auto"/>
          <w:highlight w:val="none"/>
        </w:rPr>
      </w:pPr>
      <w:r>
        <w:rPr>
          <w:rFonts w:hint="eastAsia" w:ascii="宋体" w:hAnsi="宋体"/>
          <w:b/>
          <w:color w:val="auto"/>
          <w:sz w:val="28"/>
          <w:szCs w:val="28"/>
          <w:highlight w:val="none"/>
        </w:rPr>
        <w:t>主要标的信息（中标后将公示）</w:t>
      </w:r>
    </w:p>
    <w:p w14:paraId="13A493B9">
      <w:pPr>
        <w:pageBreakBefore w:val="0"/>
        <w:kinsoku/>
        <w:wordWrap/>
        <w:overflowPunct/>
        <w:topLinePunct w:val="0"/>
        <w:autoSpaceDE/>
        <w:autoSpaceDN/>
        <w:bidi w:val="0"/>
        <w:adjustRightInd/>
        <w:spacing w:after="312" w:line="360" w:lineRule="auto"/>
        <w:textAlignment w:val="auto"/>
        <w:rPr>
          <w:rFonts w:ascii="宋体" w:hAnsi="宋体"/>
          <w:b/>
          <w:color w:val="auto"/>
          <w:highlight w:val="none"/>
        </w:rPr>
      </w:pPr>
      <w:r>
        <w:rPr>
          <w:rFonts w:hint="eastAsia" w:ascii="宋体" w:hAnsi="宋体"/>
          <w:color w:val="auto"/>
          <w:highlight w:val="none"/>
        </w:rPr>
        <w:t>投标人全称：</w:t>
      </w:r>
    </w:p>
    <w:tbl>
      <w:tblPr>
        <w:tblStyle w:val="34"/>
        <w:tblW w:w="838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255"/>
        <w:gridCol w:w="4131"/>
      </w:tblGrid>
      <w:tr w14:paraId="7415F3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4255" w:type="dxa"/>
            <w:noWrap w:val="0"/>
            <w:vAlign w:val="top"/>
          </w:tcPr>
          <w:p w14:paraId="3BF7238C">
            <w:pPr>
              <w:pageBreakBefore w:val="0"/>
              <w:kinsoku/>
              <w:wordWrap/>
              <w:overflowPunct/>
              <w:topLinePunct w:val="0"/>
              <w:autoSpaceDE/>
              <w:autoSpaceDN/>
              <w:bidi w:val="0"/>
              <w:adjustRightInd/>
              <w:spacing w:line="360" w:lineRule="auto"/>
              <w:jc w:val="center"/>
              <w:textAlignment w:val="auto"/>
              <w:rPr>
                <w:rFonts w:ascii="宋体" w:hAnsi="宋体" w:cs="宋体"/>
                <w:color w:val="auto"/>
                <w:highlight w:val="none"/>
              </w:rPr>
            </w:pPr>
            <w:r>
              <w:rPr>
                <w:rFonts w:hint="eastAsia" w:ascii="宋体" w:hAnsi="宋体" w:cs="宋体"/>
                <w:color w:val="auto"/>
                <w:highlight w:val="none"/>
              </w:rPr>
              <w:t>货物类</w:t>
            </w:r>
          </w:p>
        </w:tc>
        <w:tc>
          <w:tcPr>
            <w:tcW w:w="4131" w:type="dxa"/>
            <w:noWrap w:val="0"/>
            <w:vAlign w:val="top"/>
          </w:tcPr>
          <w:p w14:paraId="2C5BF399">
            <w:pPr>
              <w:pageBreakBefore w:val="0"/>
              <w:kinsoku/>
              <w:wordWrap/>
              <w:overflowPunct/>
              <w:topLinePunct w:val="0"/>
              <w:autoSpaceDE/>
              <w:autoSpaceDN/>
              <w:bidi w:val="0"/>
              <w:adjustRightInd/>
              <w:spacing w:line="360" w:lineRule="auto"/>
              <w:jc w:val="center"/>
              <w:textAlignment w:val="auto"/>
              <w:rPr>
                <w:rFonts w:ascii="宋体" w:hAnsi="宋体" w:cs="宋体"/>
                <w:color w:val="auto"/>
                <w:highlight w:val="none"/>
              </w:rPr>
            </w:pPr>
            <w:r>
              <w:rPr>
                <w:rFonts w:hint="eastAsia" w:ascii="宋体" w:hAnsi="宋体" w:cs="宋体"/>
                <w:color w:val="auto"/>
                <w:highlight w:val="none"/>
              </w:rPr>
              <w:t>服务类</w:t>
            </w:r>
          </w:p>
        </w:tc>
      </w:tr>
      <w:tr w14:paraId="633B0C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10" w:hRule="atLeast"/>
        </w:trPr>
        <w:tc>
          <w:tcPr>
            <w:tcW w:w="4255" w:type="dxa"/>
            <w:noWrap w:val="0"/>
            <w:vAlign w:val="top"/>
          </w:tcPr>
          <w:p w14:paraId="228D69B1">
            <w:pPr>
              <w:pageBreakBefore w:val="0"/>
              <w:kinsoku/>
              <w:wordWrap/>
              <w:overflowPunct/>
              <w:topLinePunct w:val="0"/>
              <w:autoSpaceDE/>
              <w:autoSpaceDN/>
              <w:bidi w:val="0"/>
              <w:adjustRightInd/>
              <w:spacing w:line="360" w:lineRule="auto"/>
              <w:textAlignment w:val="auto"/>
              <w:rPr>
                <w:rFonts w:ascii="宋体" w:hAnsi="宋体" w:cs="宋体"/>
                <w:color w:val="auto"/>
                <w:highlight w:val="none"/>
              </w:rPr>
            </w:pPr>
            <w:r>
              <w:rPr>
                <w:rFonts w:hint="eastAsia" w:ascii="宋体" w:hAnsi="宋体" w:cs="宋体"/>
                <w:color w:val="auto"/>
                <w:highlight w:val="none"/>
              </w:rPr>
              <w:t>名称：</w:t>
            </w:r>
          </w:p>
          <w:p w14:paraId="4A337D2D">
            <w:pPr>
              <w:pageBreakBefore w:val="0"/>
              <w:kinsoku/>
              <w:wordWrap/>
              <w:overflowPunct/>
              <w:topLinePunct w:val="0"/>
              <w:autoSpaceDE/>
              <w:autoSpaceDN/>
              <w:bidi w:val="0"/>
              <w:adjustRightInd/>
              <w:spacing w:line="360" w:lineRule="auto"/>
              <w:textAlignment w:val="auto"/>
              <w:rPr>
                <w:rFonts w:ascii="宋体" w:hAnsi="宋体" w:cs="宋体"/>
                <w:color w:val="auto"/>
                <w:highlight w:val="none"/>
              </w:rPr>
            </w:pPr>
            <w:r>
              <w:rPr>
                <w:rFonts w:hint="eastAsia" w:ascii="宋体" w:hAnsi="宋体" w:cs="宋体"/>
                <w:color w:val="auto"/>
                <w:highlight w:val="none"/>
              </w:rPr>
              <w:t>品牌（如有）：</w:t>
            </w:r>
          </w:p>
          <w:p w14:paraId="21F744A9">
            <w:pPr>
              <w:pageBreakBefore w:val="0"/>
              <w:kinsoku/>
              <w:wordWrap/>
              <w:overflowPunct/>
              <w:topLinePunct w:val="0"/>
              <w:autoSpaceDE/>
              <w:autoSpaceDN/>
              <w:bidi w:val="0"/>
              <w:adjustRightInd/>
              <w:spacing w:line="360" w:lineRule="auto"/>
              <w:textAlignment w:val="auto"/>
              <w:rPr>
                <w:rFonts w:ascii="宋体" w:hAnsi="宋体" w:cs="宋体"/>
                <w:color w:val="auto"/>
                <w:highlight w:val="none"/>
              </w:rPr>
            </w:pPr>
            <w:r>
              <w:rPr>
                <w:rFonts w:hint="eastAsia" w:ascii="宋体" w:hAnsi="宋体" w:cs="宋体"/>
                <w:color w:val="auto"/>
                <w:highlight w:val="none"/>
              </w:rPr>
              <w:t>规格型号：</w:t>
            </w:r>
          </w:p>
          <w:p w14:paraId="14BD1420">
            <w:pPr>
              <w:pageBreakBefore w:val="0"/>
              <w:kinsoku/>
              <w:wordWrap/>
              <w:overflowPunct/>
              <w:topLinePunct w:val="0"/>
              <w:autoSpaceDE/>
              <w:autoSpaceDN/>
              <w:bidi w:val="0"/>
              <w:adjustRightInd/>
              <w:spacing w:line="360" w:lineRule="auto"/>
              <w:textAlignment w:val="auto"/>
              <w:rPr>
                <w:rFonts w:ascii="宋体" w:hAnsi="宋体" w:cs="宋体"/>
                <w:color w:val="auto"/>
                <w:highlight w:val="none"/>
              </w:rPr>
            </w:pPr>
            <w:r>
              <w:rPr>
                <w:rFonts w:hint="eastAsia" w:ascii="宋体" w:hAnsi="宋体" w:cs="宋体"/>
                <w:color w:val="auto"/>
                <w:highlight w:val="none"/>
              </w:rPr>
              <w:t>数量：</w:t>
            </w:r>
          </w:p>
          <w:p w14:paraId="4060AA31">
            <w:pPr>
              <w:pageBreakBefore w:val="0"/>
              <w:kinsoku/>
              <w:wordWrap/>
              <w:overflowPunct/>
              <w:topLinePunct w:val="0"/>
              <w:autoSpaceDE/>
              <w:autoSpaceDN/>
              <w:bidi w:val="0"/>
              <w:adjustRightInd/>
              <w:spacing w:line="360" w:lineRule="auto"/>
              <w:textAlignment w:val="auto"/>
              <w:rPr>
                <w:rFonts w:ascii="宋体" w:hAnsi="宋体" w:cs="宋体"/>
                <w:color w:val="auto"/>
                <w:highlight w:val="none"/>
              </w:rPr>
            </w:pPr>
            <w:r>
              <w:rPr>
                <w:rFonts w:hint="eastAsia" w:ascii="宋体" w:hAnsi="宋体" w:cs="宋体"/>
                <w:color w:val="auto"/>
                <w:highlight w:val="none"/>
              </w:rPr>
              <w:t>单价：</w:t>
            </w:r>
          </w:p>
        </w:tc>
        <w:tc>
          <w:tcPr>
            <w:tcW w:w="4131" w:type="dxa"/>
            <w:noWrap w:val="0"/>
            <w:vAlign w:val="top"/>
          </w:tcPr>
          <w:p w14:paraId="50BD7540">
            <w:pPr>
              <w:pageBreakBefore w:val="0"/>
              <w:kinsoku/>
              <w:wordWrap/>
              <w:overflowPunct/>
              <w:topLinePunct w:val="0"/>
              <w:autoSpaceDE/>
              <w:autoSpaceDN/>
              <w:bidi w:val="0"/>
              <w:adjustRightInd/>
              <w:spacing w:line="360" w:lineRule="auto"/>
              <w:textAlignment w:val="auto"/>
              <w:rPr>
                <w:rFonts w:ascii="宋体" w:hAnsi="宋体" w:cs="宋体"/>
                <w:color w:val="auto"/>
                <w:highlight w:val="none"/>
              </w:rPr>
            </w:pPr>
            <w:r>
              <w:rPr>
                <w:rFonts w:hint="eastAsia" w:ascii="宋体" w:hAnsi="宋体" w:cs="宋体"/>
                <w:color w:val="auto"/>
                <w:highlight w:val="none"/>
              </w:rPr>
              <w:t>名称：</w:t>
            </w:r>
          </w:p>
          <w:p w14:paraId="3E78FC1F">
            <w:pPr>
              <w:pageBreakBefore w:val="0"/>
              <w:kinsoku/>
              <w:wordWrap/>
              <w:overflowPunct/>
              <w:topLinePunct w:val="0"/>
              <w:autoSpaceDE/>
              <w:autoSpaceDN/>
              <w:bidi w:val="0"/>
              <w:adjustRightInd/>
              <w:spacing w:line="360" w:lineRule="auto"/>
              <w:textAlignment w:val="auto"/>
              <w:rPr>
                <w:rFonts w:ascii="宋体" w:hAnsi="宋体" w:cs="宋体"/>
                <w:color w:val="auto"/>
                <w:highlight w:val="none"/>
              </w:rPr>
            </w:pPr>
            <w:r>
              <w:rPr>
                <w:rFonts w:hint="eastAsia" w:ascii="宋体" w:hAnsi="宋体" w:cs="宋体"/>
                <w:color w:val="auto"/>
                <w:highlight w:val="none"/>
              </w:rPr>
              <w:t>服务范围：</w:t>
            </w:r>
          </w:p>
          <w:p w14:paraId="61108BE3">
            <w:pPr>
              <w:pageBreakBefore w:val="0"/>
              <w:kinsoku/>
              <w:wordWrap/>
              <w:overflowPunct/>
              <w:topLinePunct w:val="0"/>
              <w:autoSpaceDE/>
              <w:autoSpaceDN/>
              <w:bidi w:val="0"/>
              <w:adjustRightInd/>
              <w:spacing w:line="360" w:lineRule="auto"/>
              <w:textAlignment w:val="auto"/>
              <w:rPr>
                <w:rFonts w:ascii="宋体" w:hAnsi="宋体" w:cs="宋体"/>
                <w:color w:val="auto"/>
                <w:highlight w:val="none"/>
                <w:u w:val="single"/>
              </w:rPr>
            </w:pPr>
            <w:r>
              <w:rPr>
                <w:rFonts w:hint="eastAsia" w:ascii="宋体" w:hAnsi="宋体" w:cs="宋体"/>
                <w:color w:val="auto"/>
                <w:highlight w:val="none"/>
              </w:rPr>
              <w:t>服务要求：</w:t>
            </w:r>
          </w:p>
          <w:p w14:paraId="00AC2533">
            <w:pPr>
              <w:pageBreakBefore w:val="0"/>
              <w:kinsoku/>
              <w:wordWrap/>
              <w:overflowPunct/>
              <w:topLinePunct w:val="0"/>
              <w:autoSpaceDE/>
              <w:autoSpaceDN/>
              <w:bidi w:val="0"/>
              <w:adjustRightInd/>
              <w:spacing w:line="360" w:lineRule="auto"/>
              <w:textAlignment w:val="auto"/>
              <w:rPr>
                <w:rFonts w:ascii="宋体" w:hAnsi="宋体" w:cs="宋体"/>
                <w:color w:val="auto"/>
                <w:highlight w:val="none"/>
                <w:u w:val="single"/>
              </w:rPr>
            </w:pPr>
            <w:r>
              <w:rPr>
                <w:rFonts w:hint="eastAsia" w:ascii="宋体" w:hAnsi="宋体" w:cs="宋体"/>
                <w:color w:val="auto"/>
                <w:highlight w:val="none"/>
              </w:rPr>
              <w:t>服务时间：</w:t>
            </w:r>
          </w:p>
          <w:p w14:paraId="156EE726">
            <w:pPr>
              <w:pageBreakBefore w:val="0"/>
              <w:kinsoku/>
              <w:wordWrap/>
              <w:overflowPunct/>
              <w:topLinePunct w:val="0"/>
              <w:autoSpaceDE/>
              <w:autoSpaceDN/>
              <w:bidi w:val="0"/>
              <w:adjustRightInd/>
              <w:spacing w:line="360" w:lineRule="auto"/>
              <w:textAlignment w:val="auto"/>
              <w:rPr>
                <w:rFonts w:ascii="宋体" w:hAnsi="宋体" w:cs="宋体"/>
                <w:color w:val="auto"/>
                <w:highlight w:val="none"/>
              </w:rPr>
            </w:pPr>
            <w:r>
              <w:rPr>
                <w:rFonts w:hint="eastAsia" w:ascii="宋体" w:hAnsi="宋体" w:cs="宋体"/>
                <w:color w:val="auto"/>
                <w:highlight w:val="none"/>
              </w:rPr>
              <w:t>服务标准：</w:t>
            </w:r>
          </w:p>
        </w:tc>
      </w:tr>
    </w:tbl>
    <w:p w14:paraId="440A7DA0">
      <w:pPr>
        <w:pageBreakBefore w:val="0"/>
        <w:widowControl/>
        <w:kinsoku/>
        <w:wordWrap/>
        <w:overflowPunct/>
        <w:topLinePunct w:val="0"/>
        <w:autoSpaceDE/>
        <w:autoSpaceDN/>
        <w:bidi w:val="0"/>
        <w:adjustRightInd/>
        <w:spacing w:line="360" w:lineRule="auto"/>
        <w:jc w:val="center"/>
        <w:textAlignment w:val="auto"/>
        <w:rPr>
          <w:rFonts w:ascii="宋体" w:hAnsi="宋体"/>
          <w:b/>
          <w:color w:val="auto"/>
          <w:highlight w:val="none"/>
        </w:rPr>
      </w:pPr>
      <w:r>
        <w:rPr>
          <w:rFonts w:ascii="宋体" w:hAnsi="宋体" w:cs="宋体"/>
          <w:color w:val="auto"/>
          <w:sz w:val="24"/>
          <w:szCs w:val="24"/>
          <w:highlight w:val="none"/>
        </w:rPr>
        <w:br w:type="page" w:clear="all"/>
      </w:r>
      <w:r>
        <w:rPr>
          <w:rFonts w:hint="eastAsia" w:ascii="宋体" w:hAnsi="宋体"/>
          <w:b/>
          <w:color w:val="auto"/>
          <w:sz w:val="28"/>
          <w:szCs w:val="28"/>
          <w:highlight w:val="none"/>
        </w:rPr>
        <w:t>联合体协议（如有）</w:t>
      </w:r>
    </w:p>
    <w:p w14:paraId="1B020229">
      <w:pPr>
        <w:pageBreakBefore w:val="0"/>
        <w:kinsoku/>
        <w:wordWrap/>
        <w:overflowPunct/>
        <w:topLinePunct w:val="0"/>
        <w:autoSpaceDE/>
        <w:autoSpaceDN/>
        <w:bidi w:val="0"/>
        <w:adjustRightInd/>
        <w:spacing w:line="360" w:lineRule="auto"/>
        <w:textAlignment w:val="auto"/>
        <w:rPr>
          <w:rFonts w:ascii="宋体" w:hAnsi="宋体"/>
          <w:color w:val="auto"/>
          <w:highlight w:val="none"/>
        </w:rPr>
      </w:pPr>
      <w:r>
        <w:rPr>
          <w:rFonts w:hint="eastAsia" w:ascii="宋体" w:hAnsi="宋体"/>
          <w:color w:val="auto"/>
          <w:highlight w:val="none"/>
        </w:rPr>
        <w:t>（联合体中各供应商全称）在此达成以下协议：</w:t>
      </w:r>
    </w:p>
    <w:p w14:paraId="2B65B8E1">
      <w:pPr>
        <w:pageBreakBefore w:val="0"/>
        <w:kinsoku/>
        <w:wordWrap/>
        <w:overflowPunct/>
        <w:topLinePunct w:val="0"/>
        <w:autoSpaceDE/>
        <w:autoSpaceDN/>
        <w:bidi w:val="0"/>
        <w:adjustRightInd/>
        <w:spacing w:line="360" w:lineRule="auto"/>
        <w:ind w:firstLine="645"/>
        <w:textAlignment w:val="auto"/>
        <w:rPr>
          <w:rFonts w:ascii="宋体" w:hAnsi="宋体"/>
          <w:color w:val="auto"/>
          <w:highlight w:val="none"/>
        </w:rPr>
      </w:pPr>
      <w:r>
        <w:rPr>
          <w:rFonts w:hint="eastAsia" w:ascii="宋体" w:hAnsi="宋体"/>
          <w:color w:val="auto"/>
          <w:highlight w:val="none"/>
        </w:rPr>
        <w:t>1、我们自愿组成联合体，参加（代理机构）的采购编号为（项目编号）（项目全称）的政府采购活动。</w:t>
      </w:r>
    </w:p>
    <w:p w14:paraId="0AAFA321">
      <w:pPr>
        <w:pageBreakBefore w:val="0"/>
        <w:kinsoku/>
        <w:wordWrap/>
        <w:overflowPunct/>
        <w:topLinePunct w:val="0"/>
        <w:autoSpaceDE/>
        <w:autoSpaceDN/>
        <w:bidi w:val="0"/>
        <w:adjustRightInd/>
        <w:spacing w:line="360" w:lineRule="auto"/>
        <w:ind w:firstLine="645"/>
        <w:textAlignment w:val="auto"/>
        <w:rPr>
          <w:rFonts w:ascii="宋体" w:hAnsi="宋体"/>
          <w:color w:val="auto"/>
          <w:highlight w:val="none"/>
        </w:rPr>
      </w:pPr>
      <w:r>
        <w:rPr>
          <w:rFonts w:hint="eastAsia" w:ascii="宋体" w:hAnsi="宋体"/>
          <w:color w:val="auto"/>
          <w:highlight w:val="none"/>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14:paraId="755E849A">
      <w:pPr>
        <w:pageBreakBefore w:val="0"/>
        <w:kinsoku/>
        <w:wordWrap/>
        <w:overflowPunct/>
        <w:topLinePunct w:val="0"/>
        <w:autoSpaceDE/>
        <w:autoSpaceDN/>
        <w:bidi w:val="0"/>
        <w:adjustRightInd/>
        <w:spacing w:line="360" w:lineRule="auto"/>
        <w:ind w:firstLine="645"/>
        <w:textAlignment w:val="auto"/>
        <w:rPr>
          <w:rFonts w:ascii="宋体" w:hAnsi="宋体"/>
          <w:color w:val="auto"/>
          <w:highlight w:val="none"/>
        </w:rPr>
      </w:pPr>
      <w:r>
        <w:rPr>
          <w:rFonts w:hint="eastAsia" w:ascii="宋体" w:hAnsi="宋体"/>
          <w:color w:val="auto"/>
          <w:sz w:val="24"/>
          <w:highlight w:val="none"/>
        </w:rPr>
        <w:t xml:space="preserve">                                       </w:t>
      </w:r>
      <w:r>
        <w:rPr>
          <w:rFonts w:hint="eastAsia" w:ascii="宋体" w:hAnsi="宋体"/>
          <w:color w:val="auto"/>
          <w:highlight w:val="none"/>
        </w:rPr>
        <w:t xml:space="preserve"> </w:t>
      </w:r>
    </w:p>
    <w:p w14:paraId="730E871E">
      <w:pPr>
        <w:pageBreakBefore w:val="0"/>
        <w:kinsoku/>
        <w:wordWrap/>
        <w:overflowPunct/>
        <w:topLinePunct w:val="0"/>
        <w:autoSpaceDE/>
        <w:autoSpaceDN/>
        <w:bidi w:val="0"/>
        <w:adjustRightInd/>
        <w:spacing w:line="360" w:lineRule="auto"/>
        <w:ind w:firstLine="4620"/>
        <w:textAlignment w:val="auto"/>
        <w:rPr>
          <w:rFonts w:ascii="宋体" w:hAnsi="宋体"/>
          <w:color w:val="auto"/>
          <w:highlight w:val="none"/>
        </w:rPr>
      </w:pPr>
      <w:r>
        <w:rPr>
          <w:rFonts w:hint="eastAsia" w:ascii="宋体" w:hAnsi="宋体"/>
          <w:color w:val="auto"/>
          <w:highlight w:val="none"/>
        </w:rPr>
        <w:t>所有供应商全称：</w:t>
      </w:r>
    </w:p>
    <w:p w14:paraId="02494770">
      <w:pPr>
        <w:pageBreakBefore w:val="0"/>
        <w:kinsoku/>
        <w:wordWrap/>
        <w:overflowPunct/>
        <w:topLinePunct w:val="0"/>
        <w:autoSpaceDE/>
        <w:autoSpaceDN/>
        <w:bidi w:val="0"/>
        <w:adjustRightInd/>
        <w:spacing w:line="360" w:lineRule="auto"/>
        <w:ind w:firstLine="645"/>
        <w:textAlignment w:val="auto"/>
        <w:rPr>
          <w:rFonts w:ascii="宋体" w:hAnsi="宋体"/>
          <w:color w:val="auto"/>
          <w:highlight w:val="none"/>
        </w:rPr>
      </w:pPr>
      <w:r>
        <w:rPr>
          <w:rFonts w:hint="eastAsia" w:ascii="宋体" w:hAnsi="宋体"/>
          <w:color w:val="auto"/>
          <w:highlight w:val="none"/>
        </w:rPr>
        <w:t xml:space="preserve">                                      法定代表人：  </w:t>
      </w:r>
    </w:p>
    <w:p w14:paraId="4CDF903F">
      <w:pPr>
        <w:pageBreakBefore w:val="0"/>
        <w:kinsoku/>
        <w:wordWrap/>
        <w:overflowPunct/>
        <w:topLinePunct w:val="0"/>
        <w:autoSpaceDE/>
        <w:autoSpaceDN/>
        <w:bidi w:val="0"/>
        <w:adjustRightInd/>
        <w:spacing w:line="360" w:lineRule="auto"/>
        <w:ind w:firstLine="4620"/>
        <w:textAlignment w:val="auto"/>
        <w:rPr>
          <w:rFonts w:hint="eastAsia" w:ascii="宋体" w:hAnsi="宋体"/>
          <w:color w:val="auto"/>
          <w:highlight w:val="none"/>
        </w:rPr>
      </w:pPr>
      <w:r>
        <w:rPr>
          <w:rFonts w:hint="eastAsia" w:ascii="宋体" w:hAnsi="宋体"/>
          <w:color w:val="auto"/>
          <w:highlight w:val="none"/>
        </w:rPr>
        <w:t>日期：</w:t>
      </w:r>
    </w:p>
    <w:p w14:paraId="0C04C8ED">
      <w:pPr>
        <w:pStyle w:val="239"/>
        <w:pageBreakBefore w:val="0"/>
        <w:kinsoku/>
        <w:wordWrap/>
        <w:overflowPunct/>
        <w:topLinePunct w:val="0"/>
        <w:autoSpaceDE/>
        <w:autoSpaceDN/>
        <w:bidi w:val="0"/>
        <w:adjustRightInd/>
        <w:spacing w:line="360" w:lineRule="auto"/>
        <w:textAlignment w:val="auto"/>
        <w:rPr>
          <w:rFonts w:hint="eastAsia" w:ascii="宋体" w:hAnsi="宋体"/>
          <w:color w:val="auto"/>
          <w:highlight w:val="none"/>
        </w:rPr>
      </w:pPr>
    </w:p>
    <w:p w14:paraId="19C9F020">
      <w:pPr>
        <w:pStyle w:val="233"/>
        <w:pageBreakBefore w:val="0"/>
        <w:kinsoku/>
        <w:wordWrap/>
        <w:overflowPunct/>
        <w:topLinePunct w:val="0"/>
        <w:autoSpaceDE/>
        <w:autoSpaceDN/>
        <w:bidi w:val="0"/>
        <w:adjustRightInd/>
        <w:spacing w:line="360" w:lineRule="auto"/>
        <w:textAlignment w:val="auto"/>
        <w:rPr>
          <w:rFonts w:hint="eastAsia" w:ascii="宋体" w:hAnsi="宋体"/>
          <w:color w:val="auto"/>
          <w:highlight w:val="none"/>
        </w:rPr>
      </w:pPr>
    </w:p>
    <w:p w14:paraId="2D50704E">
      <w:pPr>
        <w:pStyle w:val="233"/>
        <w:pageBreakBefore w:val="0"/>
        <w:kinsoku/>
        <w:wordWrap/>
        <w:overflowPunct/>
        <w:topLinePunct w:val="0"/>
        <w:autoSpaceDE/>
        <w:autoSpaceDN/>
        <w:bidi w:val="0"/>
        <w:adjustRightInd/>
        <w:spacing w:line="360" w:lineRule="auto"/>
        <w:textAlignment w:val="auto"/>
        <w:rPr>
          <w:rFonts w:hint="eastAsia" w:ascii="宋体" w:hAnsi="宋体"/>
          <w:color w:val="auto"/>
          <w:highlight w:val="none"/>
        </w:rPr>
      </w:pPr>
    </w:p>
    <w:p w14:paraId="3127FF63">
      <w:pPr>
        <w:pStyle w:val="233"/>
        <w:pageBreakBefore w:val="0"/>
        <w:kinsoku/>
        <w:wordWrap/>
        <w:overflowPunct/>
        <w:topLinePunct w:val="0"/>
        <w:autoSpaceDE/>
        <w:autoSpaceDN/>
        <w:bidi w:val="0"/>
        <w:adjustRightInd/>
        <w:spacing w:line="360" w:lineRule="auto"/>
        <w:textAlignment w:val="auto"/>
        <w:rPr>
          <w:rFonts w:hint="eastAsia" w:ascii="宋体" w:hAnsi="宋体"/>
          <w:color w:val="auto"/>
          <w:highlight w:val="none"/>
        </w:rPr>
      </w:pPr>
    </w:p>
    <w:p w14:paraId="1B07A984">
      <w:pPr>
        <w:pStyle w:val="233"/>
        <w:pageBreakBefore w:val="0"/>
        <w:kinsoku/>
        <w:wordWrap/>
        <w:overflowPunct/>
        <w:topLinePunct w:val="0"/>
        <w:autoSpaceDE/>
        <w:autoSpaceDN/>
        <w:bidi w:val="0"/>
        <w:adjustRightInd/>
        <w:spacing w:line="360" w:lineRule="auto"/>
        <w:textAlignment w:val="auto"/>
        <w:rPr>
          <w:rFonts w:hint="eastAsia" w:ascii="宋体" w:hAnsi="宋体"/>
          <w:color w:val="auto"/>
          <w:highlight w:val="none"/>
        </w:rPr>
      </w:pPr>
    </w:p>
    <w:sectPr>
      <w:headerReference r:id="rId6" w:type="default"/>
      <w:pgSz w:w="11906" w:h="16838"/>
      <w:pgMar w:top="1440" w:right="1800" w:bottom="1440" w:left="180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F"/>
    <w:family w:val="auto"/>
    <w:pitch w:val="default"/>
    <w:sig w:usb0="E0002EFF" w:usb1="C000785B" w:usb2="00000009" w:usb3="00000000" w:csb0="400001FF" w:csb1="FFFF0000"/>
  </w:font>
  <w:font w:name="宋体">
    <w:panose1 w:val="02010600030101010101"/>
    <w:charset w:val="7A"/>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7A996ED7-CD74-41B0-80AF-CFB1D7D82F66}"/>
  </w:font>
  <w:font w:name="黑体">
    <w:panose1 w:val="02010609060101010101"/>
    <w:charset w:val="86"/>
    <w:family w:val="auto"/>
    <w:pitch w:val="default"/>
    <w:sig w:usb0="800002BF" w:usb1="38CF7CFA" w:usb2="00000016" w:usb3="00000000" w:csb0="00040001" w:csb1="00000000"/>
    <w:embedRegular r:id="rId2" w:fontKey="{87731603-CB0A-4B8D-A7EA-97E3E1F072A1}"/>
  </w:font>
  <w:font w:name="Courier New">
    <w:panose1 w:val="02070309020205020404"/>
    <w:charset w:val="01"/>
    <w:family w:val="modern"/>
    <w:pitch w:val="default"/>
    <w:sig w:usb0="E0002EFF" w:usb1="C0007843" w:usb2="00000009" w:usb3="00000000" w:csb0="400001FF" w:csb1="FFFF0000"/>
    <w:embedRegular r:id="rId3" w:fontKey="{B6E28BD1-C2BC-4C77-B885-0B95E503021C}"/>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4" w:fontKey="{695C68A5-2AE5-4EDB-B156-841D68516439}"/>
  </w:font>
  <w:font w:name="楷体_GB2312">
    <w:altName w:val="楷体"/>
    <w:panose1 w:val="02010609030101010101"/>
    <w:charset w:val="86"/>
    <w:family w:val="auto"/>
    <w:pitch w:val="default"/>
    <w:sig w:usb0="00000000" w:usb1="00000000" w:usb2="00000000" w:usb3="00000000" w:csb0="00040000" w:csb1="00000000"/>
    <w:embedRegular r:id="rId5" w:fontKey="{0BAECCBA-163B-47C3-923B-6614C3672F41}"/>
  </w:font>
  <w:font w:name="幼圆">
    <w:panose1 w:val="02010509060101010101"/>
    <w:charset w:val="86"/>
    <w:family w:val="auto"/>
    <w:pitch w:val="default"/>
    <w:sig w:usb0="00000001" w:usb1="080E0000" w:usb2="00000000" w:usb3="00000000" w:csb0="00040000" w:csb1="00000000"/>
    <w:embedRegular r:id="rId6" w:fontKey="{D1E33330-5A87-4545-B2C7-73FE2076A8E9}"/>
  </w:font>
  <w:font w:name="Cambria">
    <w:panose1 w:val="02040503050406030204"/>
    <w:charset w:val="00"/>
    <w:family w:val="auto"/>
    <w:pitch w:val="default"/>
    <w:sig w:usb0="E00006FF" w:usb1="420024FF" w:usb2="02000000" w:usb3="00000000" w:csb0="2000019F" w:csb1="00000000"/>
  </w:font>
  <w:font w:name="方正仿宋_GBK">
    <w:panose1 w:val="02000000000000000000"/>
    <w:charset w:val="86"/>
    <w:family w:val="auto"/>
    <w:pitch w:val="default"/>
    <w:sig w:usb0="A00002BF" w:usb1="38CF7CFA" w:usb2="00082016" w:usb3="00000000" w:csb0="00040001" w:csb1="00000000"/>
    <w:embedRegular r:id="rId7" w:fontKey="{7B9BF44B-56FF-49CF-9807-309CD2651780}"/>
  </w:font>
  <w:font w:name="仿宋">
    <w:panose1 w:val="02010609060101010101"/>
    <w:charset w:val="86"/>
    <w:family w:val="auto"/>
    <w:pitch w:val="default"/>
    <w:sig w:usb0="800002BF" w:usb1="38CF7CFA" w:usb2="00000016" w:usb3="00000000" w:csb0="00040001" w:csb1="00000000"/>
    <w:embedRegular r:id="rId8" w:fontKey="{875AE805-2E3F-4275-B9F5-CD85F75C83C1}"/>
  </w:font>
  <w:font w:name="微软雅黑">
    <w:panose1 w:val="020B0503020204020204"/>
    <w:charset w:val="86"/>
    <w:family w:val="auto"/>
    <w:pitch w:val="default"/>
    <w:sig w:usb0="80000287" w:usb1="2ACF3C50" w:usb2="00000016" w:usb3="00000000" w:csb0="0004001F" w:csb1="00000000"/>
    <w:embedRegular r:id="rId9" w:fontKey="{34B464DD-922C-45C7-861B-20DA7F638116}"/>
  </w:font>
  <w:font w:name="仿宋_GB2312">
    <w:altName w:val="仿宋"/>
    <w:panose1 w:val="02010609030101010101"/>
    <w:charset w:val="86"/>
    <w:family w:val="auto"/>
    <w:pitch w:val="default"/>
    <w:sig w:usb0="00000000" w:usb1="00000000" w:usb2="00000000" w:usb3="00000000" w:csb0="00040000" w:csb1="00000000"/>
    <w:embedRegular r:id="rId10" w:fontKey="{C86187F4-0499-46B6-8080-813061971ADE}"/>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D08715">
    <w:pPr>
      <w:pStyle w:val="20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7453E86A">
                          <w:pPr>
                            <w:pStyle w:val="206"/>
                          </w:pPr>
                          <w:r>
                            <w:fldChar w:fldCharType="begin"/>
                          </w:r>
                          <w:r>
                            <w:instrText xml:space="preserve"> PAGE  \* MERGEFORMAT </w:instrText>
                          </w:r>
                          <w:r>
                            <w:fldChar w:fldCharType="separate"/>
                          </w:r>
                          <w:r>
                            <w:t>1</w:t>
                          </w:r>
                          <w:r>
                            <w:fldChar w:fldCharType="end"/>
                          </w:r>
                        </w:p>
                        <w:p w14:paraId="395564CE"/>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7453E86A">
                    <w:pPr>
                      <w:pStyle w:val="206"/>
                    </w:pPr>
                    <w:r>
                      <w:fldChar w:fldCharType="begin"/>
                    </w:r>
                    <w:r>
                      <w:instrText xml:space="preserve"> PAGE  \* MERGEFORMAT </w:instrText>
                    </w:r>
                    <w:r>
                      <w:fldChar w:fldCharType="separate"/>
                    </w:r>
                    <w:r>
                      <w:t>1</w:t>
                    </w:r>
                    <w:r>
                      <w:fldChar w:fldCharType="end"/>
                    </w:r>
                  </w:p>
                  <w:p w14:paraId="395564CE"/>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5F7610">
    <w:pPr>
      <w:pStyle w:val="206"/>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471D6243">
                          <w:pPr>
                            <w:pStyle w:val="206"/>
                            <w:tabs>
                              <w:tab w:val="clear" w:pos="4153"/>
                              <w:tab w:val="clear" w:pos="8306"/>
                            </w:tabs>
                            <w:jc w:val="center"/>
                          </w:pPr>
                          <w:r>
                            <w:fldChar w:fldCharType="begin"/>
                          </w:r>
                          <w:r>
                            <w:instrText xml:space="preserve">PAGE   \* MERGEFORMAT</w:instrText>
                          </w:r>
                          <w:r>
                            <w:fldChar w:fldCharType="separate"/>
                          </w:r>
                          <w:r>
                            <w:rPr>
                              <w:lang w:val="zh-CN"/>
                            </w:rPr>
                            <w:t>20</w:t>
                          </w:r>
                          <w:r>
                            <w:rPr>
                              <w:lang w:val="zh-CN"/>
                            </w:rPr>
                            <w:fldChar w:fldCharType="end"/>
                          </w:r>
                        </w:p>
                        <w:p w14:paraId="11BFB07B"/>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471D6243">
                    <w:pPr>
                      <w:pStyle w:val="206"/>
                      <w:tabs>
                        <w:tab w:val="clear" w:pos="4153"/>
                        <w:tab w:val="clear" w:pos="8306"/>
                      </w:tabs>
                      <w:jc w:val="center"/>
                    </w:pPr>
                    <w:r>
                      <w:fldChar w:fldCharType="begin"/>
                    </w:r>
                    <w:r>
                      <w:instrText xml:space="preserve">PAGE   \* MERGEFORMAT</w:instrText>
                    </w:r>
                    <w:r>
                      <w:fldChar w:fldCharType="separate"/>
                    </w:r>
                    <w:r>
                      <w:rPr>
                        <w:lang w:val="zh-CN"/>
                      </w:rPr>
                      <w:t>20</w:t>
                    </w:r>
                    <w:r>
                      <w:rPr>
                        <w:lang w:val="zh-CN"/>
                      </w:rPr>
                      <w:fldChar w:fldCharType="end"/>
                    </w:r>
                  </w:p>
                  <w:p w14:paraId="11BFB07B"/>
                </w:txbxContent>
              </v:textbox>
            </v:shape>
          </w:pict>
        </mc:Fallback>
      </mc:AlternateContent>
    </w:r>
  </w:p>
  <w:p w14:paraId="2BFFDAB5">
    <w:pPr>
      <w:pStyle w:val="20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09005F">
    <w:pPr>
      <w:pStyle w:val="23"/>
      <w:rPr>
        <w:rFonts w:hint="eastAsia"/>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D9DE0F">
    <w:pPr>
      <w:pStyle w:val="23"/>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5"/>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bullet"/>
      <w:pStyle w:val="238"/>
      <w:lvlText w:val=""/>
      <w:lvlJc w:val="left"/>
      <w:pPr>
        <w:tabs>
          <w:tab w:val="left" w:pos="780"/>
        </w:tabs>
        <w:ind w:left="78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bullet"/>
      <w:pStyle w:val="202"/>
      <w:lvlText w:val=""/>
      <w:lvlJc w:val="left"/>
      <w:pPr>
        <w:tabs>
          <w:tab w:val="left" w:pos="780"/>
        </w:tabs>
        <w:ind w:left="78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6B1872C9"/>
    <w:multiLevelType w:val="singleLevel"/>
    <w:tmpl w:val="6B1872C9"/>
    <w:lvl w:ilvl="0" w:tentative="0">
      <w:start w:val="1"/>
      <w:numFmt w:val="decimal"/>
      <w:suff w:val="nothing"/>
      <w:lvlText w:val="%1、"/>
      <w:lvlJc w:val="left"/>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U2Nzg2MjFlYTg4YWM4NDc3MWYxYjMwMmMxOGQ0MjYifQ=="/>
  </w:docVars>
  <w:rsids>
    <w:rsidRoot w:val="00000000"/>
    <w:rsid w:val="000C20C5"/>
    <w:rsid w:val="004360D5"/>
    <w:rsid w:val="0050144A"/>
    <w:rsid w:val="0056734D"/>
    <w:rsid w:val="00963570"/>
    <w:rsid w:val="00D9581C"/>
    <w:rsid w:val="012515C4"/>
    <w:rsid w:val="01342539"/>
    <w:rsid w:val="01674463"/>
    <w:rsid w:val="017059B0"/>
    <w:rsid w:val="0170746C"/>
    <w:rsid w:val="019F680C"/>
    <w:rsid w:val="01D20375"/>
    <w:rsid w:val="01DD3AFC"/>
    <w:rsid w:val="01FD5D56"/>
    <w:rsid w:val="02034907"/>
    <w:rsid w:val="02181B2B"/>
    <w:rsid w:val="022A6766"/>
    <w:rsid w:val="023D4FD7"/>
    <w:rsid w:val="024C388A"/>
    <w:rsid w:val="02795128"/>
    <w:rsid w:val="02A200B1"/>
    <w:rsid w:val="02DA3100"/>
    <w:rsid w:val="02E63EDB"/>
    <w:rsid w:val="0321227B"/>
    <w:rsid w:val="033A7ACE"/>
    <w:rsid w:val="03505984"/>
    <w:rsid w:val="03575B90"/>
    <w:rsid w:val="035863FE"/>
    <w:rsid w:val="037077FD"/>
    <w:rsid w:val="037B3C9E"/>
    <w:rsid w:val="03A2169C"/>
    <w:rsid w:val="03BC1AEC"/>
    <w:rsid w:val="03C85052"/>
    <w:rsid w:val="03EB59E2"/>
    <w:rsid w:val="0453289F"/>
    <w:rsid w:val="04581160"/>
    <w:rsid w:val="045A73E3"/>
    <w:rsid w:val="04644507"/>
    <w:rsid w:val="047E2027"/>
    <w:rsid w:val="04882DCE"/>
    <w:rsid w:val="050D65F7"/>
    <w:rsid w:val="05300EFE"/>
    <w:rsid w:val="0550104C"/>
    <w:rsid w:val="05946802"/>
    <w:rsid w:val="059D517B"/>
    <w:rsid w:val="05A4245A"/>
    <w:rsid w:val="05C11556"/>
    <w:rsid w:val="05CC7328"/>
    <w:rsid w:val="05CE525F"/>
    <w:rsid w:val="05E478BF"/>
    <w:rsid w:val="06372B3D"/>
    <w:rsid w:val="06380A36"/>
    <w:rsid w:val="065509CA"/>
    <w:rsid w:val="06682FF8"/>
    <w:rsid w:val="06AA0E9A"/>
    <w:rsid w:val="06B152AE"/>
    <w:rsid w:val="06E23175"/>
    <w:rsid w:val="06E24560"/>
    <w:rsid w:val="06F15E1A"/>
    <w:rsid w:val="071B481D"/>
    <w:rsid w:val="0731000E"/>
    <w:rsid w:val="073A459C"/>
    <w:rsid w:val="075C4E19"/>
    <w:rsid w:val="078A4A44"/>
    <w:rsid w:val="07BC0C1F"/>
    <w:rsid w:val="07DB69F1"/>
    <w:rsid w:val="08016599"/>
    <w:rsid w:val="0827220F"/>
    <w:rsid w:val="082F3884"/>
    <w:rsid w:val="085F01A1"/>
    <w:rsid w:val="087C320E"/>
    <w:rsid w:val="088456B0"/>
    <w:rsid w:val="08907CA9"/>
    <w:rsid w:val="08930B07"/>
    <w:rsid w:val="08932CCD"/>
    <w:rsid w:val="089D2E64"/>
    <w:rsid w:val="08DF78AE"/>
    <w:rsid w:val="08F23935"/>
    <w:rsid w:val="08FE0BC9"/>
    <w:rsid w:val="092C6980"/>
    <w:rsid w:val="09431C91"/>
    <w:rsid w:val="095B6662"/>
    <w:rsid w:val="09B67830"/>
    <w:rsid w:val="09D01FFA"/>
    <w:rsid w:val="0A191B42"/>
    <w:rsid w:val="0A354A44"/>
    <w:rsid w:val="0A6A534F"/>
    <w:rsid w:val="0ABB586E"/>
    <w:rsid w:val="0AC21C6A"/>
    <w:rsid w:val="0ACB3BF9"/>
    <w:rsid w:val="0AD167C4"/>
    <w:rsid w:val="0AD82AC7"/>
    <w:rsid w:val="0AED57FE"/>
    <w:rsid w:val="0AFB6D76"/>
    <w:rsid w:val="0B2F7F1F"/>
    <w:rsid w:val="0B632182"/>
    <w:rsid w:val="0B6B6913"/>
    <w:rsid w:val="0B7969D1"/>
    <w:rsid w:val="0B9D413D"/>
    <w:rsid w:val="0BA1129A"/>
    <w:rsid w:val="0BB51298"/>
    <w:rsid w:val="0BC0757F"/>
    <w:rsid w:val="0BEA1A3F"/>
    <w:rsid w:val="0BED2ECC"/>
    <w:rsid w:val="0BF138DD"/>
    <w:rsid w:val="0C5E0B6B"/>
    <w:rsid w:val="0C723617"/>
    <w:rsid w:val="0C8A4977"/>
    <w:rsid w:val="0C8C33B0"/>
    <w:rsid w:val="0C8E0CCC"/>
    <w:rsid w:val="0C8F50B9"/>
    <w:rsid w:val="0C94528D"/>
    <w:rsid w:val="0CC24C33"/>
    <w:rsid w:val="0D0A12E1"/>
    <w:rsid w:val="0D135465"/>
    <w:rsid w:val="0D1F7134"/>
    <w:rsid w:val="0D7375F9"/>
    <w:rsid w:val="0D791B46"/>
    <w:rsid w:val="0DD05AA4"/>
    <w:rsid w:val="0DE34B7F"/>
    <w:rsid w:val="0E336536"/>
    <w:rsid w:val="0E8B46A4"/>
    <w:rsid w:val="0E947314"/>
    <w:rsid w:val="0F4D6D6D"/>
    <w:rsid w:val="0F542B01"/>
    <w:rsid w:val="0F5E431A"/>
    <w:rsid w:val="0F6D0321"/>
    <w:rsid w:val="0F7834A3"/>
    <w:rsid w:val="0F841A54"/>
    <w:rsid w:val="10074D1F"/>
    <w:rsid w:val="103E4FB8"/>
    <w:rsid w:val="1041046F"/>
    <w:rsid w:val="10725EEA"/>
    <w:rsid w:val="107C5338"/>
    <w:rsid w:val="108D52C3"/>
    <w:rsid w:val="10A015F5"/>
    <w:rsid w:val="10E765C5"/>
    <w:rsid w:val="10FF4209"/>
    <w:rsid w:val="11042B8B"/>
    <w:rsid w:val="110833DC"/>
    <w:rsid w:val="111619B1"/>
    <w:rsid w:val="1119408B"/>
    <w:rsid w:val="1149006F"/>
    <w:rsid w:val="116270FB"/>
    <w:rsid w:val="116B00B9"/>
    <w:rsid w:val="116F6947"/>
    <w:rsid w:val="11822185"/>
    <w:rsid w:val="11A7115B"/>
    <w:rsid w:val="11CF11F0"/>
    <w:rsid w:val="11E12BD6"/>
    <w:rsid w:val="11EC7628"/>
    <w:rsid w:val="1271547F"/>
    <w:rsid w:val="12747380"/>
    <w:rsid w:val="1275491C"/>
    <w:rsid w:val="12B4055B"/>
    <w:rsid w:val="12C82A49"/>
    <w:rsid w:val="12DB1D4B"/>
    <w:rsid w:val="12DE7451"/>
    <w:rsid w:val="12EF7B12"/>
    <w:rsid w:val="12F977B8"/>
    <w:rsid w:val="133302E4"/>
    <w:rsid w:val="13355A97"/>
    <w:rsid w:val="13473557"/>
    <w:rsid w:val="134B26F0"/>
    <w:rsid w:val="1388086E"/>
    <w:rsid w:val="13936998"/>
    <w:rsid w:val="13B677F5"/>
    <w:rsid w:val="13C6785F"/>
    <w:rsid w:val="13C946BD"/>
    <w:rsid w:val="13CE3BAE"/>
    <w:rsid w:val="13ED4D26"/>
    <w:rsid w:val="140D1AA6"/>
    <w:rsid w:val="14217227"/>
    <w:rsid w:val="1434441E"/>
    <w:rsid w:val="147B2FA9"/>
    <w:rsid w:val="148313EE"/>
    <w:rsid w:val="14885BC8"/>
    <w:rsid w:val="14E050EE"/>
    <w:rsid w:val="151001D8"/>
    <w:rsid w:val="15153499"/>
    <w:rsid w:val="152259B4"/>
    <w:rsid w:val="15351AD5"/>
    <w:rsid w:val="156E2136"/>
    <w:rsid w:val="158D05A9"/>
    <w:rsid w:val="16263056"/>
    <w:rsid w:val="162E6B0C"/>
    <w:rsid w:val="16407BFB"/>
    <w:rsid w:val="1641020B"/>
    <w:rsid w:val="164E2559"/>
    <w:rsid w:val="169229B6"/>
    <w:rsid w:val="16B93E26"/>
    <w:rsid w:val="16C600AD"/>
    <w:rsid w:val="16E350EF"/>
    <w:rsid w:val="17181C03"/>
    <w:rsid w:val="172D1F19"/>
    <w:rsid w:val="17376DFE"/>
    <w:rsid w:val="173E181B"/>
    <w:rsid w:val="174F4652"/>
    <w:rsid w:val="17520F37"/>
    <w:rsid w:val="175D6633"/>
    <w:rsid w:val="176057DC"/>
    <w:rsid w:val="17717623"/>
    <w:rsid w:val="17B52539"/>
    <w:rsid w:val="17C34C64"/>
    <w:rsid w:val="17CF79F5"/>
    <w:rsid w:val="18422276"/>
    <w:rsid w:val="18797804"/>
    <w:rsid w:val="187E0BB9"/>
    <w:rsid w:val="189F5760"/>
    <w:rsid w:val="18CB12CC"/>
    <w:rsid w:val="18CE3F9E"/>
    <w:rsid w:val="18D125FE"/>
    <w:rsid w:val="18E16960"/>
    <w:rsid w:val="192278F5"/>
    <w:rsid w:val="19236A2E"/>
    <w:rsid w:val="192610C4"/>
    <w:rsid w:val="193B3BA3"/>
    <w:rsid w:val="195A6856"/>
    <w:rsid w:val="195F240C"/>
    <w:rsid w:val="1988508C"/>
    <w:rsid w:val="19B95E3F"/>
    <w:rsid w:val="1A087890"/>
    <w:rsid w:val="1A0B15DC"/>
    <w:rsid w:val="1A0E1D1D"/>
    <w:rsid w:val="1A1B3792"/>
    <w:rsid w:val="1A2B34C0"/>
    <w:rsid w:val="1A35115D"/>
    <w:rsid w:val="1A3A53D8"/>
    <w:rsid w:val="1A616756"/>
    <w:rsid w:val="1AEC6E48"/>
    <w:rsid w:val="1AFF6C5E"/>
    <w:rsid w:val="1B0803D6"/>
    <w:rsid w:val="1B306355"/>
    <w:rsid w:val="1B4A5A68"/>
    <w:rsid w:val="1B510DB1"/>
    <w:rsid w:val="1B536934"/>
    <w:rsid w:val="1B5749D6"/>
    <w:rsid w:val="1B6A6CF1"/>
    <w:rsid w:val="1B9E7564"/>
    <w:rsid w:val="1BC2732F"/>
    <w:rsid w:val="1BE96537"/>
    <w:rsid w:val="1C0D69CC"/>
    <w:rsid w:val="1C117704"/>
    <w:rsid w:val="1C19759C"/>
    <w:rsid w:val="1C213F2F"/>
    <w:rsid w:val="1C674634"/>
    <w:rsid w:val="1C6803A9"/>
    <w:rsid w:val="1C775C9E"/>
    <w:rsid w:val="1C8E21D4"/>
    <w:rsid w:val="1C9912FD"/>
    <w:rsid w:val="1CB54660"/>
    <w:rsid w:val="1CC61FFD"/>
    <w:rsid w:val="1CD652AD"/>
    <w:rsid w:val="1CE11D35"/>
    <w:rsid w:val="1CED60A0"/>
    <w:rsid w:val="1D285108"/>
    <w:rsid w:val="1D3844D2"/>
    <w:rsid w:val="1D4529E4"/>
    <w:rsid w:val="1D8E7ADB"/>
    <w:rsid w:val="1D935AD3"/>
    <w:rsid w:val="1D98611B"/>
    <w:rsid w:val="1DAC7B8B"/>
    <w:rsid w:val="1DC4265A"/>
    <w:rsid w:val="1DC55262"/>
    <w:rsid w:val="1DC94747"/>
    <w:rsid w:val="1DDC2865"/>
    <w:rsid w:val="1DE23DB2"/>
    <w:rsid w:val="1E0056B6"/>
    <w:rsid w:val="1E2D69B7"/>
    <w:rsid w:val="1E7842B2"/>
    <w:rsid w:val="1E88779C"/>
    <w:rsid w:val="1EB91384"/>
    <w:rsid w:val="1EDC5D38"/>
    <w:rsid w:val="1EE13E9A"/>
    <w:rsid w:val="1EFF50B4"/>
    <w:rsid w:val="1F1A109F"/>
    <w:rsid w:val="1F233217"/>
    <w:rsid w:val="1F265E99"/>
    <w:rsid w:val="1F4B4FF1"/>
    <w:rsid w:val="1F4C4946"/>
    <w:rsid w:val="1F5C7D5C"/>
    <w:rsid w:val="1F5F068D"/>
    <w:rsid w:val="1F72489A"/>
    <w:rsid w:val="1FA92999"/>
    <w:rsid w:val="1FCD30FB"/>
    <w:rsid w:val="1FDD1EBB"/>
    <w:rsid w:val="20023A82"/>
    <w:rsid w:val="200D61A6"/>
    <w:rsid w:val="20F64C74"/>
    <w:rsid w:val="20FE5E39"/>
    <w:rsid w:val="213E6B59"/>
    <w:rsid w:val="214A010A"/>
    <w:rsid w:val="214A5D06"/>
    <w:rsid w:val="215853E7"/>
    <w:rsid w:val="21603FBC"/>
    <w:rsid w:val="216D6944"/>
    <w:rsid w:val="217F2B7B"/>
    <w:rsid w:val="21B63B3D"/>
    <w:rsid w:val="21CE5724"/>
    <w:rsid w:val="21D3042E"/>
    <w:rsid w:val="22062A4B"/>
    <w:rsid w:val="22123BA6"/>
    <w:rsid w:val="22315705"/>
    <w:rsid w:val="22577C77"/>
    <w:rsid w:val="22702830"/>
    <w:rsid w:val="227F57AF"/>
    <w:rsid w:val="22885116"/>
    <w:rsid w:val="229870D6"/>
    <w:rsid w:val="22A460EF"/>
    <w:rsid w:val="22C53686"/>
    <w:rsid w:val="22DD091A"/>
    <w:rsid w:val="22F166AB"/>
    <w:rsid w:val="23051AC6"/>
    <w:rsid w:val="234E4567"/>
    <w:rsid w:val="235672DB"/>
    <w:rsid w:val="23615135"/>
    <w:rsid w:val="237C3940"/>
    <w:rsid w:val="238C6CFD"/>
    <w:rsid w:val="23A35C5A"/>
    <w:rsid w:val="23CF7A77"/>
    <w:rsid w:val="23DD23E7"/>
    <w:rsid w:val="23ED3E4C"/>
    <w:rsid w:val="240B1D6C"/>
    <w:rsid w:val="24106865"/>
    <w:rsid w:val="24233334"/>
    <w:rsid w:val="242B69E5"/>
    <w:rsid w:val="244B7591"/>
    <w:rsid w:val="24557685"/>
    <w:rsid w:val="24575D4A"/>
    <w:rsid w:val="247D3B21"/>
    <w:rsid w:val="24844716"/>
    <w:rsid w:val="24944BF8"/>
    <w:rsid w:val="24C77E71"/>
    <w:rsid w:val="24C860EC"/>
    <w:rsid w:val="24FE328F"/>
    <w:rsid w:val="25061F37"/>
    <w:rsid w:val="251027C2"/>
    <w:rsid w:val="25144A2E"/>
    <w:rsid w:val="25162450"/>
    <w:rsid w:val="2538663D"/>
    <w:rsid w:val="2540402D"/>
    <w:rsid w:val="255B6E52"/>
    <w:rsid w:val="2585162F"/>
    <w:rsid w:val="25C0774C"/>
    <w:rsid w:val="26522AD3"/>
    <w:rsid w:val="26546AB0"/>
    <w:rsid w:val="266443A3"/>
    <w:rsid w:val="26810CD0"/>
    <w:rsid w:val="268946AC"/>
    <w:rsid w:val="26997D82"/>
    <w:rsid w:val="26AC4F28"/>
    <w:rsid w:val="26DA56CB"/>
    <w:rsid w:val="26DF23B4"/>
    <w:rsid w:val="26E46F56"/>
    <w:rsid w:val="26F40E83"/>
    <w:rsid w:val="27003F8B"/>
    <w:rsid w:val="271A6B17"/>
    <w:rsid w:val="272046DC"/>
    <w:rsid w:val="272114C1"/>
    <w:rsid w:val="276F16BF"/>
    <w:rsid w:val="277C185C"/>
    <w:rsid w:val="278702CA"/>
    <w:rsid w:val="278719E4"/>
    <w:rsid w:val="279444D5"/>
    <w:rsid w:val="27CB57E6"/>
    <w:rsid w:val="27E310B2"/>
    <w:rsid w:val="27F73BBA"/>
    <w:rsid w:val="28825B9D"/>
    <w:rsid w:val="288278AF"/>
    <w:rsid w:val="288D02C7"/>
    <w:rsid w:val="28A35584"/>
    <w:rsid w:val="28C85EAF"/>
    <w:rsid w:val="28CD3778"/>
    <w:rsid w:val="28F32762"/>
    <w:rsid w:val="29080B06"/>
    <w:rsid w:val="293C0C5E"/>
    <w:rsid w:val="293E2F3E"/>
    <w:rsid w:val="29827FE4"/>
    <w:rsid w:val="29904211"/>
    <w:rsid w:val="29A32D2F"/>
    <w:rsid w:val="29A73022"/>
    <w:rsid w:val="29D210DF"/>
    <w:rsid w:val="29D4325E"/>
    <w:rsid w:val="29E2494F"/>
    <w:rsid w:val="29F051A4"/>
    <w:rsid w:val="2A0134D7"/>
    <w:rsid w:val="2A3514B2"/>
    <w:rsid w:val="2A563D7C"/>
    <w:rsid w:val="2A5F684B"/>
    <w:rsid w:val="2A751E2E"/>
    <w:rsid w:val="2A7D6E10"/>
    <w:rsid w:val="2A853C16"/>
    <w:rsid w:val="2AA27E5F"/>
    <w:rsid w:val="2AA63543"/>
    <w:rsid w:val="2ABB0E61"/>
    <w:rsid w:val="2B38536A"/>
    <w:rsid w:val="2B445456"/>
    <w:rsid w:val="2B831AE2"/>
    <w:rsid w:val="2B8E7E73"/>
    <w:rsid w:val="2BB256EA"/>
    <w:rsid w:val="2BB65CC7"/>
    <w:rsid w:val="2BD321EB"/>
    <w:rsid w:val="2C3B57ED"/>
    <w:rsid w:val="2C865215"/>
    <w:rsid w:val="2CA807EF"/>
    <w:rsid w:val="2CAB58E8"/>
    <w:rsid w:val="2CAB5E78"/>
    <w:rsid w:val="2CB4654C"/>
    <w:rsid w:val="2CB8093F"/>
    <w:rsid w:val="2CB87D4A"/>
    <w:rsid w:val="2CD00B56"/>
    <w:rsid w:val="2CDC6C78"/>
    <w:rsid w:val="2D0210E4"/>
    <w:rsid w:val="2D2A6123"/>
    <w:rsid w:val="2D6B3A82"/>
    <w:rsid w:val="2D8C7F1F"/>
    <w:rsid w:val="2DA2127F"/>
    <w:rsid w:val="2DA9392E"/>
    <w:rsid w:val="2DC71BCD"/>
    <w:rsid w:val="2DD8385F"/>
    <w:rsid w:val="2DFA556D"/>
    <w:rsid w:val="2E013223"/>
    <w:rsid w:val="2E153BC6"/>
    <w:rsid w:val="2E4E599A"/>
    <w:rsid w:val="2E753183"/>
    <w:rsid w:val="2E94410B"/>
    <w:rsid w:val="2EB24BDB"/>
    <w:rsid w:val="2ECE4DB1"/>
    <w:rsid w:val="2F0444CA"/>
    <w:rsid w:val="2F081EAF"/>
    <w:rsid w:val="2F1455BE"/>
    <w:rsid w:val="2F331432"/>
    <w:rsid w:val="2F410AB2"/>
    <w:rsid w:val="2F4C434F"/>
    <w:rsid w:val="2F604E80"/>
    <w:rsid w:val="2F627167"/>
    <w:rsid w:val="2F6C5F8C"/>
    <w:rsid w:val="2F8B74FB"/>
    <w:rsid w:val="2F8D1F5F"/>
    <w:rsid w:val="2FA7330D"/>
    <w:rsid w:val="2FE242A1"/>
    <w:rsid w:val="2FF42D2A"/>
    <w:rsid w:val="30000DF2"/>
    <w:rsid w:val="300B58FE"/>
    <w:rsid w:val="30100A16"/>
    <w:rsid w:val="301B629C"/>
    <w:rsid w:val="302D080B"/>
    <w:rsid w:val="30405CC7"/>
    <w:rsid w:val="304A2742"/>
    <w:rsid w:val="3052547F"/>
    <w:rsid w:val="306A0E32"/>
    <w:rsid w:val="30846843"/>
    <w:rsid w:val="30886582"/>
    <w:rsid w:val="30C30AB0"/>
    <w:rsid w:val="30C439EF"/>
    <w:rsid w:val="30F335B1"/>
    <w:rsid w:val="30F63A93"/>
    <w:rsid w:val="30F925F6"/>
    <w:rsid w:val="30FD0622"/>
    <w:rsid w:val="3112447F"/>
    <w:rsid w:val="312D79E0"/>
    <w:rsid w:val="314B0980"/>
    <w:rsid w:val="314E15E0"/>
    <w:rsid w:val="315B5DDD"/>
    <w:rsid w:val="31603E6E"/>
    <w:rsid w:val="31B77FD3"/>
    <w:rsid w:val="31B96238"/>
    <w:rsid w:val="31DA397C"/>
    <w:rsid w:val="31FB6C7F"/>
    <w:rsid w:val="32061B59"/>
    <w:rsid w:val="320B410D"/>
    <w:rsid w:val="322A5ED1"/>
    <w:rsid w:val="32521778"/>
    <w:rsid w:val="32682508"/>
    <w:rsid w:val="32846FDA"/>
    <w:rsid w:val="32CB5297"/>
    <w:rsid w:val="32CC0F7D"/>
    <w:rsid w:val="32DA5B90"/>
    <w:rsid w:val="32DF0B03"/>
    <w:rsid w:val="32F2358F"/>
    <w:rsid w:val="32F25CFC"/>
    <w:rsid w:val="33054084"/>
    <w:rsid w:val="3320169E"/>
    <w:rsid w:val="33462A7E"/>
    <w:rsid w:val="334926B2"/>
    <w:rsid w:val="334B1C61"/>
    <w:rsid w:val="33AA4027"/>
    <w:rsid w:val="33E104DA"/>
    <w:rsid w:val="34490A1E"/>
    <w:rsid w:val="34882D5C"/>
    <w:rsid w:val="34972A1F"/>
    <w:rsid w:val="34E0448E"/>
    <w:rsid w:val="35047645"/>
    <w:rsid w:val="351914D4"/>
    <w:rsid w:val="3520566B"/>
    <w:rsid w:val="3564508B"/>
    <w:rsid w:val="357177A6"/>
    <w:rsid w:val="358463FB"/>
    <w:rsid w:val="358A0B6B"/>
    <w:rsid w:val="358F7DED"/>
    <w:rsid w:val="35A011BA"/>
    <w:rsid w:val="35A21689"/>
    <w:rsid w:val="35A5775E"/>
    <w:rsid w:val="35D10FBA"/>
    <w:rsid w:val="35F05C96"/>
    <w:rsid w:val="36041DEC"/>
    <w:rsid w:val="361B1D19"/>
    <w:rsid w:val="361C41B0"/>
    <w:rsid w:val="36593368"/>
    <w:rsid w:val="366632A6"/>
    <w:rsid w:val="366D038C"/>
    <w:rsid w:val="367A4355"/>
    <w:rsid w:val="36827FD3"/>
    <w:rsid w:val="368D21A0"/>
    <w:rsid w:val="36986B14"/>
    <w:rsid w:val="36A12AA6"/>
    <w:rsid w:val="36C046D4"/>
    <w:rsid w:val="36C2775D"/>
    <w:rsid w:val="37017EFC"/>
    <w:rsid w:val="37453838"/>
    <w:rsid w:val="374D65CE"/>
    <w:rsid w:val="3762539D"/>
    <w:rsid w:val="37713733"/>
    <w:rsid w:val="377B6D4E"/>
    <w:rsid w:val="37992A94"/>
    <w:rsid w:val="37EA2DAD"/>
    <w:rsid w:val="37F9511E"/>
    <w:rsid w:val="380D0492"/>
    <w:rsid w:val="383C4059"/>
    <w:rsid w:val="386751F8"/>
    <w:rsid w:val="38912AC0"/>
    <w:rsid w:val="38EC2FCC"/>
    <w:rsid w:val="394B4859"/>
    <w:rsid w:val="39507CBC"/>
    <w:rsid w:val="395D384B"/>
    <w:rsid w:val="39702379"/>
    <w:rsid w:val="39713CEC"/>
    <w:rsid w:val="39963E6A"/>
    <w:rsid w:val="39BC1424"/>
    <w:rsid w:val="39DB0A78"/>
    <w:rsid w:val="39EF6C59"/>
    <w:rsid w:val="39F4626A"/>
    <w:rsid w:val="39FA052D"/>
    <w:rsid w:val="3A021B67"/>
    <w:rsid w:val="3A1A35B2"/>
    <w:rsid w:val="3A1A3B90"/>
    <w:rsid w:val="3A363378"/>
    <w:rsid w:val="3A4D4CA3"/>
    <w:rsid w:val="3A9C4C00"/>
    <w:rsid w:val="3ADD4B86"/>
    <w:rsid w:val="3AF3177A"/>
    <w:rsid w:val="3B041920"/>
    <w:rsid w:val="3B0E5FBB"/>
    <w:rsid w:val="3B1A6BBA"/>
    <w:rsid w:val="3B6848EB"/>
    <w:rsid w:val="3B8D6689"/>
    <w:rsid w:val="3BB8219E"/>
    <w:rsid w:val="3BBA1CBA"/>
    <w:rsid w:val="3BBC5107"/>
    <w:rsid w:val="3BC56DF0"/>
    <w:rsid w:val="3C595BC9"/>
    <w:rsid w:val="3C911105"/>
    <w:rsid w:val="3CA13AF1"/>
    <w:rsid w:val="3CB75246"/>
    <w:rsid w:val="3D0A514C"/>
    <w:rsid w:val="3D0D2EE3"/>
    <w:rsid w:val="3D411B0D"/>
    <w:rsid w:val="3D665A4B"/>
    <w:rsid w:val="3D763A46"/>
    <w:rsid w:val="3D8A3F82"/>
    <w:rsid w:val="3D946F6F"/>
    <w:rsid w:val="3D984F9D"/>
    <w:rsid w:val="3D9D2FE2"/>
    <w:rsid w:val="3D9D5A63"/>
    <w:rsid w:val="3DA239EC"/>
    <w:rsid w:val="3DD95B84"/>
    <w:rsid w:val="3E2A4B9A"/>
    <w:rsid w:val="3E4C7C83"/>
    <w:rsid w:val="3E6E1BAB"/>
    <w:rsid w:val="3E725801"/>
    <w:rsid w:val="3E784AEE"/>
    <w:rsid w:val="3E7A5DA4"/>
    <w:rsid w:val="3E843596"/>
    <w:rsid w:val="3ED0605E"/>
    <w:rsid w:val="3ED9295E"/>
    <w:rsid w:val="3ED95B6F"/>
    <w:rsid w:val="3EF81C68"/>
    <w:rsid w:val="3F216C58"/>
    <w:rsid w:val="3F32798C"/>
    <w:rsid w:val="3F467BEB"/>
    <w:rsid w:val="3F4E4C15"/>
    <w:rsid w:val="3F554092"/>
    <w:rsid w:val="3F6163BF"/>
    <w:rsid w:val="3F8A7151"/>
    <w:rsid w:val="3FA70464"/>
    <w:rsid w:val="3FB05C3F"/>
    <w:rsid w:val="3FE15303"/>
    <w:rsid w:val="3FE26460"/>
    <w:rsid w:val="3FF250F9"/>
    <w:rsid w:val="3FFF446C"/>
    <w:rsid w:val="400C2371"/>
    <w:rsid w:val="40754270"/>
    <w:rsid w:val="40777725"/>
    <w:rsid w:val="40783D12"/>
    <w:rsid w:val="4086547C"/>
    <w:rsid w:val="40925538"/>
    <w:rsid w:val="4097486A"/>
    <w:rsid w:val="40AD19DB"/>
    <w:rsid w:val="40DE5618"/>
    <w:rsid w:val="40EC0085"/>
    <w:rsid w:val="41153837"/>
    <w:rsid w:val="412809BB"/>
    <w:rsid w:val="41585F28"/>
    <w:rsid w:val="416818F8"/>
    <w:rsid w:val="418B2A43"/>
    <w:rsid w:val="41A7096B"/>
    <w:rsid w:val="41B11100"/>
    <w:rsid w:val="41EB3AAE"/>
    <w:rsid w:val="422244CB"/>
    <w:rsid w:val="422F53D1"/>
    <w:rsid w:val="424B0F52"/>
    <w:rsid w:val="4269026B"/>
    <w:rsid w:val="42A573D1"/>
    <w:rsid w:val="42AD65B5"/>
    <w:rsid w:val="42DF5A15"/>
    <w:rsid w:val="42EC1FC2"/>
    <w:rsid w:val="42F15C53"/>
    <w:rsid w:val="430C2705"/>
    <w:rsid w:val="430F3EFF"/>
    <w:rsid w:val="43935498"/>
    <w:rsid w:val="43D778BC"/>
    <w:rsid w:val="43EF45FF"/>
    <w:rsid w:val="440E7EE8"/>
    <w:rsid w:val="441949C9"/>
    <w:rsid w:val="441F7B5B"/>
    <w:rsid w:val="443763FB"/>
    <w:rsid w:val="44413B74"/>
    <w:rsid w:val="44447F4F"/>
    <w:rsid w:val="4463174B"/>
    <w:rsid w:val="44783463"/>
    <w:rsid w:val="44963E29"/>
    <w:rsid w:val="449746D5"/>
    <w:rsid w:val="44994D00"/>
    <w:rsid w:val="449C04FA"/>
    <w:rsid w:val="44B55207"/>
    <w:rsid w:val="44CD4AC6"/>
    <w:rsid w:val="44DF70EA"/>
    <w:rsid w:val="44EF436F"/>
    <w:rsid w:val="4535625A"/>
    <w:rsid w:val="45400F39"/>
    <w:rsid w:val="454D398F"/>
    <w:rsid w:val="457D2F40"/>
    <w:rsid w:val="45945AD8"/>
    <w:rsid w:val="45AD017A"/>
    <w:rsid w:val="45DF75D5"/>
    <w:rsid w:val="45F44943"/>
    <w:rsid w:val="46130367"/>
    <w:rsid w:val="462036D5"/>
    <w:rsid w:val="46345EEB"/>
    <w:rsid w:val="46600BA1"/>
    <w:rsid w:val="46757690"/>
    <w:rsid w:val="46D62F08"/>
    <w:rsid w:val="46DE4ACD"/>
    <w:rsid w:val="46E42E3D"/>
    <w:rsid w:val="46F85BC8"/>
    <w:rsid w:val="472239F3"/>
    <w:rsid w:val="4739222C"/>
    <w:rsid w:val="473B36DC"/>
    <w:rsid w:val="473E7B7A"/>
    <w:rsid w:val="47402A97"/>
    <w:rsid w:val="477A7FBF"/>
    <w:rsid w:val="47E06C11"/>
    <w:rsid w:val="4806067B"/>
    <w:rsid w:val="48125179"/>
    <w:rsid w:val="481A06A0"/>
    <w:rsid w:val="485C6BDA"/>
    <w:rsid w:val="485F1015"/>
    <w:rsid w:val="48724ACC"/>
    <w:rsid w:val="4874763D"/>
    <w:rsid w:val="487551D2"/>
    <w:rsid w:val="487E549F"/>
    <w:rsid w:val="48A36296"/>
    <w:rsid w:val="48A3631A"/>
    <w:rsid w:val="48EE0301"/>
    <w:rsid w:val="49044DB0"/>
    <w:rsid w:val="490B1803"/>
    <w:rsid w:val="49322C03"/>
    <w:rsid w:val="495B7F58"/>
    <w:rsid w:val="49633C9E"/>
    <w:rsid w:val="496E1F9F"/>
    <w:rsid w:val="49787384"/>
    <w:rsid w:val="49797303"/>
    <w:rsid w:val="497E4F6C"/>
    <w:rsid w:val="49A0080A"/>
    <w:rsid w:val="49A84C1D"/>
    <w:rsid w:val="49C135BD"/>
    <w:rsid w:val="49D50296"/>
    <w:rsid w:val="49E44CBE"/>
    <w:rsid w:val="4A795DB3"/>
    <w:rsid w:val="4A7E7B74"/>
    <w:rsid w:val="4A8F3AC6"/>
    <w:rsid w:val="4A9E448E"/>
    <w:rsid w:val="4AB90B26"/>
    <w:rsid w:val="4AE02CC4"/>
    <w:rsid w:val="4B3333D7"/>
    <w:rsid w:val="4B5E1D49"/>
    <w:rsid w:val="4B66331A"/>
    <w:rsid w:val="4BA9070C"/>
    <w:rsid w:val="4BB04FCF"/>
    <w:rsid w:val="4BEB0E03"/>
    <w:rsid w:val="4C104E86"/>
    <w:rsid w:val="4C234178"/>
    <w:rsid w:val="4C340213"/>
    <w:rsid w:val="4C5F16AD"/>
    <w:rsid w:val="4C60552D"/>
    <w:rsid w:val="4CB37907"/>
    <w:rsid w:val="4D147072"/>
    <w:rsid w:val="4D333FF8"/>
    <w:rsid w:val="4D3D00B1"/>
    <w:rsid w:val="4D3F315B"/>
    <w:rsid w:val="4D43293D"/>
    <w:rsid w:val="4D59759B"/>
    <w:rsid w:val="4D8A4F39"/>
    <w:rsid w:val="4D97749D"/>
    <w:rsid w:val="4DB7094C"/>
    <w:rsid w:val="4DE159E1"/>
    <w:rsid w:val="4E2D0DFF"/>
    <w:rsid w:val="4E4F68D0"/>
    <w:rsid w:val="4E8B7E07"/>
    <w:rsid w:val="4E972C07"/>
    <w:rsid w:val="4E9F09ED"/>
    <w:rsid w:val="4EB02D8B"/>
    <w:rsid w:val="4EC6381F"/>
    <w:rsid w:val="4EDE0A44"/>
    <w:rsid w:val="4F136B58"/>
    <w:rsid w:val="4F1B16EA"/>
    <w:rsid w:val="4F2A6C56"/>
    <w:rsid w:val="4F3B2CB0"/>
    <w:rsid w:val="4F500439"/>
    <w:rsid w:val="4F6D07FA"/>
    <w:rsid w:val="4F74065F"/>
    <w:rsid w:val="4F7A5567"/>
    <w:rsid w:val="4F936B6D"/>
    <w:rsid w:val="4F982DEF"/>
    <w:rsid w:val="4F9D0989"/>
    <w:rsid w:val="4FB85D2C"/>
    <w:rsid w:val="4FD27EF3"/>
    <w:rsid w:val="4FDF14B4"/>
    <w:rsid w:val="50140356"/>
    <w:rsid w:val="50464555"/>
    <w:rsid w:val="504A45F7"/>
    <w:rsid w:val="505A5CEC"/>
    <w:rsid w:val="5070444A"/>
    <w:rsid w:val="5078376F"/>
    <w:rsid w:val="50806E0D"/>
    <w:rsid w:val="50846B4A"/>
    <w:rsid w:val="508C43A9"/>
    <w:rsid w:val="509B1638"/>
    <w:rsid w:val="50BD212B"/>
    <w:rsid w:val="51073EC1"/>
    <w:rsid w:val="512156BD"/>
    <w:rsid w:val="51536D8C"/>
    <w:rsid w:val="519648F6"/>
    <w:rsid w:val="51A4340C"/>
    <w:rsid w:val="51C50303"/>
    <w:rsid w:val="51E41C63"/>
    <w:rsid w:val="51FC4ED9"/>
    <w:rsid w:val="52011F8F"/>
    <w:rsid w:val="52125765"/>
    <w:rsid w:val="52185B2B"/>
    <w:rsid w:val="521C4C8C"/>
    <w:rsid w:val="52537A98"/>
    <w:rsid w:val="527248F5"/>
    <w:rsid w:val="5310554C"/>
    <w:rsid w:val="531B1DAD"/>
    <w:rsid w:val="532F60FD"/>
    <w:rsid w:val="533E283C"/>
    <w:rsid w:val="53BC531A"/>
    <w:rsid w:val="53D54E5E"/>
    <w:rsid w:val="53E60EF7"/>
    <w:rsid w:val="540925A6"/>
    <w:rsid w:val="541A0E29"/>
    <w:rsid w:val="542F4840"/>
    <w:rsid w:val="543A269A"/>
    <w:rsid w:val="544F38F0"/>
    <w:rsid w:val="54A5251D"/>
    <w:rsid w:val="54DD62EF"/>
    <w:rsid w:val="54E016AD"/>
    <w:rsid w:val="54E06C36"/>
    <w:rsid w:val="55002232"/>
    <w:rsid w:val="552523CC"/>
    <w:rsid w:val="552A3CC5"/>
    <w:rsid w:val="55593B0C"/>
    <w:rsid w:val="559B6E2D"/>
    <w:rsid w:val="55A12C72"/>
    <w:rsid w:val="55A343B9"/>
    <w:rsid w:val="55C54AA1"/>
    <w:rsid w:val="55E21669"/>
    <w:rsid w:val="55F50A9B"/>
    <w:rsid w:val="5631201D"/>
    <w:rsid w:val="563D464B"/>
    <w:rsid w:val="564C3AFC"/>
    <w:rsid w:val="566459AF"/>
    <w:rsid w:val="568A7668"/>
    <w:rsid w:val="56C65EB8"/>
    <w:rsid w:val="56D23D15"/>
    <w:rsid w:val="56DA7643"/>
    <w:rsid w:val="56FB2370"/>
    <w:rsid w:val="571B2BDA"/>
    <w:rsid w:val="5730470F"/>
    <w:rsid w:val="57583705"/>
    <w:rsid w:val="575F78F9"/>
    <w:rsid w:val="576009AB"/>
    <w:rsid w:val="57A733A4"/>
    <w:rsid w:val="57CE1DED"/>
    <w:rsid w:val="57F70B4E"/>
    <w:rsid w:val="583A0437"/>
    <w:rsid w:val="583E6F3B"/>
    <w:rsid w:val="584B1422"/>
    <w:rsid w:val="58880D70"/>
    <w:rsid w:val="588906F4"/>
    <w:rsid w:val="588C16B8"/>
    <w:rsid w:val="58AC0C54"/>
    <w:rsid w:val="58F1750E"/>
    <w:rsid w:val="58FC1316"/>
    <w:rsid w:val="59555999"/>
    <w:rsid w:val="59786CDE"/>
    <w:rsid w:val="597E49E1"/>
    <w:rsid w:val="59853691"/>
    <w:rsid w:val="59AB21A9"/>
    <w:rsid w:val="59B84607"/>
    <w:rsid w:val="5A116A64"/>
    <w:rsid w:val="5A13214E"/>
    <w:rsid w:val="5A244FD9"/>
    <w:rsid w:val="5A4619C0"/>
    <w:rsid w:val="5A5137A0"/>
    <w:rsid w:val="5A5B7BCE"/>
    <w:rsid w:val="5A727CA1"/>
    <w:rsid w:val="5A7448DC"/>
    <w:rsid w:val="5A7D23A2"/>
    <w:rsid w:val="5A913981"/>
    <w:rsid w:val="5AC95C92"/>
    <w:rsid w:val="5AD34709"/>
    <w:rsid w:val="5AE87A01"/>
    <w:rsid w:val="5B416C05"/>
    <w:rsid w:val="5B7F63D6"/>
    <w:rsid w:val="5B882C10"/>
    <w:rsid w:val="5BA130B2"/>
    <w:rsid w:val="5BB35472"/>
    <w:rsid w:val="5BDE1498"/>
    <w:rsid w:val="5BF961EC"/>
    <w:rsid w:val="5BFB48D6"/>
    <w:rsid w:val="5C0357F3"/>
    <w:rsid w:val="5C4052A3"/>
    <w:rsid w:val="5C7C4E7C"/>
    <w:rsid w:val="5C8E4775"/>
    <w:rsid w:val="5CA56220"/>
    <w:rsid w:val="5CBD36CA"/>
    <w:rsid w:val="5CCE70AF"/>
    <w:rsid w:val="5CE63921"/>
    <w:rsid w:val="5CE933FB"/>
    <w:rsid w:val="5CEC072D"/>
    <w:rsid w:val="5CEC7C32"/>
    <w:rsid w:val="5D07205C"/>
    <w:rsid w:val="5D157A13"/>
    <w:rsid w:val="5D5166FB"/>
    <w:rsid w:val="5D6E069F"/>
    <w:rsid w:val="5D8D0115"/>
    <w:rsid w:val="5D9F2BA6"/>
    <w:rsid w:val="5DBF3C80"/>
    <w:rsid w:val="5DC61EF6"/>
    <w:rsid w:val="5DC954D4"/>
    <w:rsid w:val="5DCF444B"/>
    <w:rsid w:val="5DD25B85"/>
    <w:rsid w:val="5DFC4DB9"/>
    <w:rsid w:val="5E006D40"/>
    <w:rsid w:val="5E205A9E"/>
    <w:rsid w:val="5E3C3ABD"/>
    <w:rsid w:val="5E5767F7"/>
    <w:rsid w:val="5EB73E66"/>
    <w:rsid w:val="5EC55FD9"/>
    <w:rsid w:val="5ED96378"/>
    <w:rsid w:val="5EDA780E"/>
    <w:rsid w:val="5EF3482F"/>
    <w:rsid w:val="5EFE05C7"/>
    <w:rsid w:val="5F122FA3"/>
    <w:rsid w:val="5F125AE5"/>
    <w:rsid w:val="5F2E17BD"/>
    <w:rsid w:val="5F5555D6"/>
    <w:rsid w:val="5FC266E8"/>
    <w:rsid w:val="5FC603C5"/>
    <w:rsid w:val="5FE377F5"/>
    <w:rsid w:val="5FEF5D20"/>
    <w:rsid w:val="60216DC8"/>
    <w:rsid w:val="60273262"/>
    <w:rsid w:val="60613EB4"/>
    <w:rsid w:val="606D02DE"/>
    <w:rsid w:val="60B6054B"/>
    <w:rsid w:val="60DA727B"/>
    <w:rsid w:val="60E65598"/>
    <w:rsid w:val="60F62C4F"/>
    <w:rsid w:val="610D4B28"/>
    <w:rsid w:val="61213819"/>
    <w:rsid w:val="612E5960"/>
    <w:rsid w:val="614B3C91"/>
    <w:rsid w:val="615B05E6"/>
    <w:rsid w:val="61B520F3"/>
    <w:rsid w:val="61C31A95"/>
    <w:rsid w:val="61C705A5"/>
    <w:rsid w:val="61FF35D5"/>
    <w:rsid w:val="622723F2"/>
    <w:rsid w:val="6227591E"/>
    <w:rsid w:val="624420B5"/>
    <w:rsid w:val="625871FF"/>
    <w:rsid w:val="62606347"/>
    <w:rsid w:val="62BC0C22"/>
    <w:rsid w:val="62BF3713"/>
    <w:rsid w:val="62C10C91"/>
    <w:rsid w:val="62DA3FE6"/>
    <w:rsid w:val="62DE2D0A"/>
    <w:rsid w:val="6329665C"/>
    <w:rsid w:val="6336670E"/>
    <w:rsid w:val="633C4320"/>
    <w:rsid w:val="63475D88"/>
    <w:rsid w:val="63486047"/>
    <w:rsid w:val="634A400B"/>
    <w:rsid w:val="6351100F"/>
    <w:rsid w:val="63612CC9"/>
    <w:rsid w:val="636F4632"/>
    <w:rsid w:val="637075F2"/>
    <w:rsid w:val="639E16EA"/>
    <w:rsid w:val="63BD3308"/>
    <w:rsid w:val="63C92344"/>
    <w:rsid w:val="6403487C"/>
    <w:rsid w:val="641C61CD"/>
    <w:rsid w:val="642B370B"/>
    <w:rsid w:val="6432307F"/>
    <w:rsid w:val="643C67D1"/>
    <w:rsid w:val="64474A2A"/>
    <w:rsid w:val="6449670F"/>
    <w:rsid w:val="649E36FB"/>
    <w:rsid w:val="64A31301"/>
    <w:rsid w:val="64B26DE2"/>
    <w:rsid w:val="64D672B5"/>
    <w:rsid w:val="64EB03AB"/>
    <w:rsid w:val="64FB125C"/>
    <w:rsid w:val="65056763"/>
    <w:rsid w:val="65143D5F"/>
    <w:rsid w:val="65175D26"/>
    <w:rsid w:val="65664AAE"/>
    <w:rsid w:val="656A62E4"/>
    <w:rsid w:val="65953860"/>
    <w:rsid w:val="65970EA5"/>
    <w:rsid w:val="65C31A09"/>
    <w:rsid w:val="65CD61EE"/>
    <w:rsid w:val="65DE3145"/>
    <w:rsid w:val="660D79A1"/>
    <w:rsid w:val="662C1110"/>
    <w:rsid w:val="66652E1F"/>
    <w:rsid w:val="6668728F"/>
    <w:rsid w:val="66835FB2"/>
    <w:rsid w:val="66944FB2"/>
    <w:rsid w:val="66F50C5A"/>
    <w:rsid w:val="6737107E"/>
    <w:rsid w:val="673C50A0"/>
    <w:rsid w:val="674712CD"/>
    <w:rsid w:val="6755133E"/>
    <w:rsid w:val="675559A6"/>
    <w:rsid w:val="677E7670"/>
    <w:rsid w:val="679279EB"/>
    <w:rsid w:val="67FB2469"/>
    <w:rsid w:val="680533C3"/>
    <w:rsid w:val="68204A44"/>
    <w:rsid w:val="682D478F"/>
    <w:rsid w:val="684E785C"/>
    <w:rsid w:val="685F4AE5"/>
    <w:rsid w:val="68661C01"/>
    <w:rsid w:val="68747031"/>
    <w:rsid w:val="68A73872"/>
    <w:rsid w:val="68B17494"/>
    <w:rsid w:val="68F55803"/>
    <w:rsid w:val="68FD233C"/>
    <w:rsid w:val="69136396"/>
    <w:rsid w:val="69176DB4"/>
    <w:rsid w:val="693A2C1E"/>
    <w:rsid w:val="69403992"/>
    <w:rsid w:val="69426BBF"/>
    <w:rsid w:val="694C597D"/>
    <w:rsid w:val="69734F16"/>
    <w:rsid w:val="697870A9"/>
    <w:rsid w:val="699E66E4"/>
    <w:rsid w:val="69D01690"/>
    <w:rsid w:val="69E910FB"/>
    <w:rsid w:val="69EB551A"/>
    <w:rsid w:val="69FA26BC"/>
    <w:rsid w:val="69FF3FBE"/>
    <w:rsid w:val="6A51440E"/>
    <w:rsid w:val="6A5F4BAE"/>
    <w:rsid w:val="6A705206"/>
    <w:rsid w:val="6A78469F"/>
    <w:rsid w:val="6A847C30"/>
    <w:rsid w:val="6A9D4B07"/>
    <w:rsid w:val="6ACB7B1B"/>
    <w:rsid w:val="6ADB7D68"/>
    <w:rsid w:val="6AF4577C"/>
    <w:rsid w:val="6AF5482C"/>
    <w:rsid w:val="6AFD5CC8"/>
    <w:rsid w:val="6B552BB7"/>
    <w:rsid w:val="6B6B15E6"/>
    <w:rsid w:val="6B6B613D"/>
    <w:rsid w:val="6BD336E7"/>
    <w:rsid w:val="6BD4359C"/>
    <w:rsid w:val="6BE479CC"/>
    <w:rsid w:val="6BE54C01"/>
    <w:rsid w:val="6BF22733"/>
    <w:rsid w:val="6BF40D1C"/>
    <w:rsid w:val="6C001879"/>
    <w:rsid w:val="6C176EE1"/>
    <w:rsid w:val="6C360D8C"/>
    <w:rsid w:val="6C621D33"/>
    <w:rsid w:val="6C686A13"/>
    <w:rsid w:val="6C6B7BF9"/>
    <w:rsid w:val="6C7236C9"/>
    <w:rsid w:val="6CF80AF9"/>
    <w:rsid w:val="6D080B4E"/>
    <w:rsid w:val="6D081E8D"/>
    <w:rsid w:val="6D17326F"/>
    <w:rsid w:val="6D623292"/>
    <w:rsid w:val="6D6D6E2C"/>
    <w:rsid w:val="6D8C24FD"/>
    <w:rsid w:val="6D8E3EEF"/>
    <w:rsid w:val="6D937547"/>
    <w:rsid w:val="6DA04FE3"/>
    <w:rsid w:val="6DC53553"/>
    <w:rsid w:val="6DC70E0C"/>
    <w:rsid w:val="6DE47B36"/>
    <w:rsid w:val="6E1B39D2"/>
    <w:rsid w:val="6E300620"/>
    <w:rsid w:val="6E336E7C"/>
    <w:rsid w:val="6E562D59"/>
    <w:rsid w:val="6E586CC5"/>
    <w:rsid w:val="6E5F40C0"/>
    <w:rsid w:val="6E8E4DD0"/>
    <w:rsid w:val="6E920C7B"/>
    <w:rsid w:val="6F0C32CA"/>
    <w:rsid w:val="6F2B00FD"/>
    <w:rsid w:val="6F36310B"/>
    <w:rsid w:val="6F3F182E"/>
    <w:rsid w:val="6F453354"/>
    <w:rsid w:val="6F4D45DB"/>
    <w:rsid w:val="6F536DB2"/>
    <w:rsid w:val="6F584D46"/>
    <w:rsid w:val="6F5E0BC6"/>
    <w:rsid w:val="6F9133F1"/>
    <w:rsid w:val="6FA319CA"/>
    <w:rsid w:val="6FBB736F"/>
    <w:rsid w:val="6FD75D6B"/>
    <w:rsid w:val="6FE82BCA"/>
    <w:rsid w:val="6FF1674E"/>
    <w:rsid w:val="70050318"/>
    <w:rsid w:val="701009CE"/>
    <w:rsid w:val="703F45D4"/>
    <w:rsid w:val="70720F82"/>
    <w:rsid w:val="70924F4B"/>
    <w:rsid w:val="709F737B"/>
    <w:rsid w:val="70AD1387"/>
    <w:rsid w:val="70DF403A"/>
    <w:rsid w:val="70E333E4"/>
    <w:rsid w:val="71307151"/>
    <w:rsid w:val="714974EC"/>
    <w:rsid w:val="71554DE9"/>
    <w:rsid w:val="71560AF8"/>
    <w:rsid w:val="715B21D5"/>
    <w:rsid w:val="717F0432"/>
    <w:rsid w:val="718E4970"/>
    <w:rsid w:val="71E22A14"/>
    <w:rsid w:val="720A6BF4"/>
    <w:rsid w:val="72106E38"/>
    <w:rsid w:val="72183ABC"/>
    <w:rsid w:val="72602CB4"/>
    <w:rsid w:val="7266609D"/>
    <w:rsid w:val="727F7497"/>
    <w:rsid w:val="72811E00"/>
    <w:rsid w:val="728C7BB9"/>
    <w:rsid w:val="72BB12D5"/>
    <w:rsid w:val="72BE4C4E"/>
    <w:rsid w:val="72EE2A8D"/>
    <w:rsid w:val="731155A5"/>
    <w:rsid w:val="73115C5E"/>
    <w:rsid w:val="731F76A5"/>
    <w:rsid w:val="732A4D26"/>
    <w:rsid w:val="733B5149"/>
    <w:rsid w:val="7373368F"/>
    <w:rsid w:val="739D7195"/>
    <w:rsid w:val="73BD5BBB"/>
    <w:rsid w:val="73D00C87"/>
    <w:rsid w:val="73D90C93"/>
    <w:rsid w:val="73DA2C21"/>
    <w:rsid w:val="73F25C7F"/>
    <w:rsid w:val="740445BA"/>
    <w:rsid w:val="74092C99"/>
    <w:rsid w:val="740E4D96"/>
    <w:rsid w:val="741A1DDF"/>
    <w:rsid w:val="74297B55"/>
    <w:rsid w:val="745105FA"/>
    <w:rsid w:val="745B2BAE"/>
    <w:rsid w:val="74611778"/>
    <w:rsid w:val="74615719"/>
    <w:rsid w:val="746C762C"/>
    <w:rsid w:val="746E1888"/>
    <w:rsid w:val="749F1871"/>
    <w:rsid w:val="74A07199"/>
    <w:rsid w:val="74B52597"/>
    <w:rsid w:val="74CC3B54"/>
    <w:rsid w:val="74E11F9A"/>
    <w:rsid w:val="74E74059"/>
    <w:rsid w:val="74F5254F"/>
    <w:rsid w:val="74F6029D"/>
    <w:rsid w:val="74F61857"/>
    <w:rsid w:val="755C6EB0"/>
    <w:rsid w:val="755F0C93"/>
    <w:rsid w:val="75890FCE"/>
    <w:rsid w:val="758A65BC"/>
    <w:rsid w:val="75997012"/>
    <w:rsid w:val="75B14CD2"/>
    <w:rsid w:val="75C52C1C"/>
    <w:rsid w:val="75C6209C"/>
    <w:rsid w:val="75F91F5A"/>
    <w:rsid w:val="75FD5340"/>
    <w:rsid w:val="762734DB"/>
    <w:rsid w:val="762F1D2D"/>
    <w:rsid w:val="76364693"/>
    <w:rsid w:val="764E6427"/>
    <w:rsid w:val="76C73AC4"/>
    <w:rsid w:val="76F40EBC"/>
    <w:rsid w:val="7722551A"/>
    <w:rsid w:val="77516261"/>
    <w:rsid w:val="775E7B74"/>
    <w:rsid w:val="77772F06"/>
    <w:rsid w:val="778935D3"/>
    <w:rsid w:val="779F3BFA"/>
    <w:rsid w:val="77AF0F24"/>
    <w:rsid w:val="77B027AD"/>
    <w:rsid w:val="78104266"/>
    <w:rsid w:val="781D2C06"/>
    <w:rsid w:val="782A1978"/>
    <w:rsid w:val="78444F14"/>
    <w:rsid w:val="78582FF3"/>
    <w:rsid w:val="785F0A99"/>
    <w:rsid w:val="788A67EA"/>
    <w:rsid w:val="788D03E3"/>
    <w:rsid w:val="789E3EDE"/>
    <w:rsid w:val="78A27E88"/>
    <w:rsid w:val="78D71046"/>
    <w:rsid w:val="78DB685E"/>
    <w:rsid w:val="78E241D3"/>
    <w:rsid w:val="78EA0B0C"/>
    <w:rsid w:val="79263F64"/>
    <w:rsid w:val="794272E5"/>
    <w:rsid w:val="79465FB5"/>
    <w:rsid w:val="794F0071"/>
    <w:rsid w:val="7963191C"/>
    <w:rsid w:val="79856161"/>
    <w:rsid w:val="79A04240"/>
    <w:rsid w:val="79BC6128"/>
    <w:rsid w:val="79C319C2"/>
    <w:rsid w:val="79CE483E"/>
    <w:rsid w:val="79D66144"/>
    <w:rsid w:val="79E71009"/>
    <w:rsid w:val="7A323977"/>
    <w:rsid w:val="7A436D4F"/>
    <w:rsid w:val="7A566A5B"/>
    <w:rsid w:val="7A6A0B4B"/>
    <w:rsid w:val="7A6C1223"/>
    <w:rsid w:val="7A6E6942"/>
    <w:rsid w:val="7A8F59CD"/>
    <w:rsid w:val="7A9C0036"/>
    <w:rsid w:val="7ADD14A8"/>
    <w:rsid w:val="7AF63677"/>
    <w:rsid w:val="7B294462"/>
    <w:rsid w:val="7B353493"/>
    <w:rsid w:val="7B3B06B8"/>
    <w:rsid w:val="7B735BBD"/>
    <w:rsid w:val="7B751EF9"/>
    <w:rsid w:val="7B7B492E"/>
    <w:rsid w:val="7B817360"/>
    <w:rsid w:val="7B8B4776"/>
    <w:rsid w:val="7BA2780A"/>
    <w:rsid w:val="7BA33279"/>
    <w:rsid w:val="7BCF3E0B"/>
    <w:rsid w:val="7BD32329"/>
    <w:rsid w:val="7BF924F4"/>
    <w:rsid w:val="7C093CE8"/>
    <w:rsid w:val="7C2A5F45"/>
    <w:rsid w:val="7C372091"/>
    <w:rsid w:val="7C5B6725"/>
    <w:rsid w:val="7C825784"/>
    <w:rsid w:val="7C9942B1"/>
    <w:rsid w:val="7C9D1B87"/>
    <w:rsid w:val="7CAF0C6C"/>
    <w:rsid w:val="7CC400C6"/>
    <w:rsid w:val="7CC61DB8"/>
    <w:rsid w:val="7CD62FD5"/>
    <w:rsid w:val="7CE34898"/>
    <w:rsid w:val="7CE95CCC"/>
    <w:rsid w:val="7D0E7BDA"/>
    <w:rsid w:val="7D143611"/>
    <w:rsid w:val="7D19293C"/>
    <w:rsid w:val="7D1E2CF9"/>
    <w:rsid w:val="7D2C14B1"/>
    <w:rsid w:val="7D325EB2"/>
    <w:rsid w:val="7D7C68FC"/>
    <w:rsid w:val="7D92661D"/>
    <w:rsid w:val="7DB74C1B"/>
    <w:rsid w:val="7DF97CED"/>
    <w:rsid w:val="7E4A1124"/>
    <w:rsid w:val="7E677D6C"/>
    <w:rsid w:val="7E827507"/>
    <w:rsid w:val="7E890664"/>
    <w:rsid w:val="7EBF4B32"/>
    <w:rsid w:val="7ECA440B"/>
    <w:rsid w:val="7EE46247"/>
    <w:rsid w:val="7EED1620"/>
    <w:rsid w:val="7F0B294D"/>
    <w:rsid w:val="7F0D664E"/>
    <w:rsid w:val="7F41721E"/>
    <w:rsid w:val="7F425117"/>
    <w:rsid w:val="7F5E199D"/>
    <w:rsid w:val="7F634642"/>
    <w:rsid w:val="7F754F98"/>
    <w:rsid w:val="7F795F1D"/>
    <w:rsid w:val="7FBE7AEB"/>
    <w:rsid w:val="7FC13CD2"/>
    <w:rsid w:val="7FD2346A"/>
    <w:rsid w:val="7FD42101"/>
    <w:rsid w:val="7FD919FA"/>
    <w:rsid w:val="7FE9163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18"/>
    <w:qFormat/>
    <w:uiPriority w:val="0"/>
    <w:pPr>
      <w:widowControl w:val="0"/>
      <w:jc w:val="both"/>
    </w:pPr>
    <w:rPr>
      <w:rFonts w:hint="default" w:ascii="Calibri" w:hAnsi="Calibri" w:eastAsia="宋体" w:cs="Times New Roman"/>
      <w:sz w:val="21"/>
      <w:szCs w:val="22"/>
      <w:lang w:val="en-US" w:eastAsia="zh-CN" w:bidi="ar-SA"/>
    </w:rPr>
  </w:style>
  <w:style w:type="paragraph" w:styleId="3">
    <w:name w:val="heading 1"/>
    <w:basedOn w:val="1"/>
    <w:next w:val="1"/>
    <w:link w:val="44"/>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45"/>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46"/>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47"/>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48"/>
    <w:autoRedefine/>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9"/>
    <w:autoRedefine/>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50"/>
    <w:autoRedefine/>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1"/>
    <w:autoRedefine/>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2"/>
    <w:autoRedefine/>
    <w:unhideWhenUsed/>
    <w:qFormat/>
    <w:uiPriority w:val="9"/>
    <w:pPr>
      <w:keepNext/>
      <w:keepLines/>
      <w:spacing w:before="320" w:after="200"/>
      <w:outlineLvl w:val="8"/>
    </w:pPr>
    <w:rPr>
      <w:rFonts w:ascii="Arial" w:hAnsi="Arial" w:eastAsia="Arial" w:cs="Arial"/>
      <w:i/>
      <w:iCs/>
      <w:sz w:val="21"/>
      <w:szCs w:val="21"/>
    </w:rPr>
  </w:style>
  <w:style w:type="character" w:default="1" w:styleId="36">
    <w:name w:val="Default Paragraph Font"/>
    <w:autoRedefine/>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customStyle="1" w:styleId="2">
    <w:name w:val="Default"/>
    <w:next w:val="1"/>
    <w:qFormat/>
    <w:uiPriority w:val="0"/>
    <w:pPr>
      <w:widowControl w:val="0"/>
    </w:pPr>
    <w:rPr>
      <w:rFonts w:hint="default" w:ascii="宋体" w:hAnsi="Times New Roman" w:eastAsia="宋体" w:cs="宋体"/>
      <w:color w:val="000000"/>
      <w:sz w:val="24"/>
      <w:szCs w:val="24"/>
      <w:lang w:val="en-US" w:eastAsia="zh-CN" w:bidi="ar-SA"/>
    </w:rPr>
  </w:style>
  <w:style w:type="paragraph" w:styleId="12">
    <w:name w:val="toc 7"/>
    <w:basedOn w:val="1"/>
    <w:next w:val="1"/>
    <w:autoRedefine/>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autoRedefine/>
    <w:semiHidden/>
    <w:unhideWhenUsed/>
    <w:qFormat/>
    <w:uiPriority w:val="99"/>
    <w:pPr>
      <w:jc w:val="left"/>
    </w:pPr>
  </w:style>
  <w:style w:type="paragraph" w:styleId="15">
    <w:name w:val="Body Text"/>
    <w:basedOn w:val="1"/>
    <w:next w:val="1"/>
    <w:qFormat/>
    <w:uiPriority w:val="0"/>
    <w:rPr>
      <w:rFonts w:ascii="楷体_GB2312" w:hAnsi="Arial" w:eastAsia="楷体_GB2312"/>
      <w:sz w:val="28"/>
      <w:szCs w:val="28"/>
    </w:rPr>
  </w:style>
  <w:style w:type="paragraph" w:styleId="16">
    <w:name w:val="Body Text Indent"/>
    <w:basedOn w:val="1"/>
    <w:next w:val="1"/>
    <w:autoRedefine/>
    <w:qFormat/>
    <w:uiPriority w:val="0"/>
    <w:pPr>
      <w:ind w:firstLine="645"/>
    </w:pPr>
    <w:rPr>
      <w:rFonts w:ascii="楷体_GB2312" w:eastAsia="楷体_GB2312"/>
      <w:sz w:val="32"/>
      <w:szCs w:val="32"/>
    </w:rPr>
  </w:style>
  <w:style w:type="paragraph" w:styleId="17">
    <w:name w:val="toc 5"/>
    <w:basedOn w:val="1"/>
    <w:next w:val="1"/>
    <w:unhideWhenUsed/>
    <w:qFormat/>
    <w:uiPriority w:val="39"/>
    <w:pPr>
      <w:spacing w:after="57"/>
      <w:ind w:left="1134" w:right="0" w:firstLine="0"/>
    </w:pPr>
  </w:style>
  <w:style w:type="paragraph" w:styleId="18">
    <w:name w:val="toc 3"/>
    <w:basedOn w:val="1"/>
    <w:next w:val="1"/>
    <w:autoRedefine/>
    <w:unhideWhenUsed/>
    <w:qFormat/>
    <w:uiPriority w:val="39"/>
    <w:pPr>
      <w:spacing w:after="57"/>
      <w:ind w:left="567" w:right="0" w:firstLine="0"/>
    </w:pPr>
  </w:style>
  <w:style w:type="paragraph" w:styleId="19">
    <w:name w:val="Plain Text"/>
    <w:basedOn w:val="1"/>
    <w:qFormat/>
    <w:uiPriority w:val="99"/>
    <w:rPr>
      <w:rFonts w:ascii="宋体" w:hAnsi="Courier New"/>
      <w:kern w:val="0"/>
      <w:sz w:val="20"/>
      <w:szCs w:val="21"/>
    </w:rPr>
  </w:style>
  <w:style w:type="paragraph" w:styleId="20">
    <w:name w:val="toc 8"/>
    <w:basedOn w:val="1"/>
    <w:next w:val="1"/>
    <w:unhideWhenUsed/>
    <w:qFormat/>
    <w:uiPriority w:val="39"/>
    <w:pPr>
      <w:spacing w:after="57"/>
      <w:ind w:left="1984" w:right="0" w:firstLine="0"/>
    </w:pPr>
  </w:style>
  <w:style w:type="paragraph" w:styleId="21">
    <w:name w:val="endnote text"/>
    <w:basedOn w:val="1"/>
    <w:link w:val="190"/>
    <w:semiHidden/>
    <w:unhideWhenUsed/>
    <w:qFormat/>
    <w:uiPriority w:val="99"/>
    <w:pPr>
      <w:spacing w:after="0" w:line="240" w:lineRule="auto"/>
    </w:pPr>
    <w:rPr>
      <w:sz w:val="20"/>
    </w:rPr>
  </w:style>
  <w:style w:type="paragraph" w:styleId="22">
    <w:name w:val="footer"/>
    <w:basedOn w:val="1"/>
    <w:link w:val="63"/>
    <w:unhideWhenUsed/>
    <w:qFormat/>
    <w:uiPriority w:val="99"/>
    <w:pPr>
      <w:tabs>
        <w:tab w:val="center" w:pos="7143"/>
        <w:tab w:val="right" w:pos="14287"/>
      </w:tabs>
      <w:spacing w:after="0" w:line="240" w:lineRule="auto"/>
    </w:pPr>
  </w:style>
  <w:style w:type="paragraph" w:styleId="23">
    <w:name w:val="header"/>
    <w:basedOn w:val="1"/>
    <w:link w:val="61"/>
    <w:unhideWhenUsed/>
    <w:qFormat/>
    <w:uiPriority w:val="99"/>
    <w:pPr>
      <w:tabs>
        <w:tab w:val="center" w:pos="7143"/>
        <w:tab w:val="right" w:pos="14287"/>
      </w:tabs>
      <w:spacing w:after="0" w:line="240" w:lineRule="auto"/>
    </w:pPr>
  </w:style>
  <w:style w:type="paragraph" w:styleId="24">
    <w:name w:val="toc 1"/>
    <w:basedOn w:val="1"/>
    <w:next w:val="1"/>
    <w:unhideWhenUsed/>
    <w:qFormat/>
    <w:uiPriority w:val="39"/>
    <w:pPr>
      <w:spacing w:after="57"/>
      <w:ind w:left="0" w:right="0" w:firstLine="0"/>
    </w:pPr>
  </w:style>
  <w:style w:type="paragraph" w:styleId="25">
    <w:name w:val="toc 4"/>
    <w:basedOn w:val="1"/>
    <w:next w:val="1"/>
    <w:autoRedefine/>
    <w:unhideWhenUsed/>
    <w:qFormat/>
    <w:uiPriority w:val="39"/>
    <w:pPr>
      <w:spacing w:after="57"/>
      <w:ind w:left="850" w:right="0" w:firstLine="0"/>
    </w:pPr>
  </w:style>
  <w:style w:type="paragraph" w:styleId="26">
    <w:name w:val="Subtitle"/>
    <w:basedOn w:val="1"/>
    <w:next w:val="1"/>
    <w:link w:val="56"/>
    <w:qFormat/>
    <w:uiPriority w:val="11"/>
    <w:pPr>
      <w:spacing w:before="200" w:after="200"/>
    </w:pPr>
    <w:rPr>
      <w:sz w:val="24"/>
      <w:szCs w:val="24"/>
    </w:rPr>
  </w:style>
  <w:style w:type="paragraph" w:styleId="27">
    <w:name w:val="footnote text"/>
    <w:basedOn w:val="1"/>
    <w:link w:val="189"/>
    <w:semiHidden/>
    <w:unhideWhenUsed/>
    <w:qFormat/>
    <w:uiPriority w:val="99"/>
    <w:pPr>
      <w:spacing w:after="40" w:line="240" w:lineRule="auto"/>
    </w:pPr>
    <w:rPr>
      <w:sz w:val="18"/>
    </w:rPr>
  </w:style>
  <w:style w:type="paragraph" w:styleId="28">
    <w:name w:val="toc 6"/>
    <w:basedOn w:val="1"/>
    <w:next w:val="1"/>
    <w:autoRedefine/>
    <w:unhideWhenUsed/>
    <w:qFormat/>
    <w:uiPriority w:val="39"/>
    <w:pPr>
      <w:spacing w:after="57"/>
      <w:ind w:left="1417" w:right="0" w:firstLine="0"/>
    </w:pPr>
  </w:style>
  <w:style w:type="paragraph" w:styleId="29">
    <w:name w:val="table of figures"/>
    <w:basedOn w:val="1"/>
    <w:next w:val="1"/>
    <w:unhideWhenUsed/>
    <w:qFormat/>
    <w:uiPriority w:val="99"/>
    <w:pPr>
      <w:spacing w:after="0" w:afterAutospacing="0"/>
    </w:pPr>
  </w:style>
  <w:style w:type="paragraph" w:styleId="30">
    <w:name w:val="toc 2"/>
    <w:basedOn w:val="1"/>
    <w:next w:val="1"/>
    <w:autoRedefine/>
    <w:unhideWhenUsed/>
    <w:qFormat/>
    <w:uiPriority w:val="39"/>
    <w:pPr>
      <w:spacing w:after="57"/>
      <w:ind w:left="283" w:right="0" w:firstLine="0"/>
    </w:pPr>
  </w:style>
  <w:style w:type="paragraph" w:styleId="31">
    <w:name w:val="toc 9"/>
    <w:basedOn w:val="1"/>
    <w:next w:val="1"/>
    <w:autoRedefine/>
    <w:unhideWhenUsed/>
    <w:qFormat/>
    <w:uiPriority w:val="39"/>
    <w:pPr>
      <w:spacing w:after="57"/>
      <w:ind w:left="2268" w:right="0" w:firstLine="0"/>
    </w:pPr>
  </w:style>
  <w:style w:type="paragraph" w:styleId="32">
    <w:name w:val="Body Text 2"/>
    <w:basedOn w:val="1"/>
    <w:qFormat/>
    <w:uiPriority w:val="0"/>
    <w:pPr>
      <w:spacing w:after="120" w:line="480" w:lineRule="auto"/>
    </w:pPr>
  </w:style>
  <w:style w:type="paragraph" w:styleId="33">
    <w:name w:val="Title"/>
    <w:basedOn w:val="1"/>
    <w:next w:val="1"/>
    <w:link w:val="55"/>
    <w:qFormat/>
    <w:uiPriority w:val="10"/>
    <w:pPr>
      <w:spacing w:before="300" w:after="200"/>
      <w:contextualSpacing/>
    </w:pPr>
    <w:rPr>
      <w:sz w:val="48"/>
      <w:szCs w:val="48"/>
    </w:rPr>
  </w:style>
  <w:style w:type="table" w:styleId="35">
    <w:name w:val="Table Grid"/>
    <w:autoRedefine/>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7">
    <w:name w:val="endnote reference"/>
    <w:semiHidden/>
    <w:unhideWhenUsed/>
    <w:qFormat/>
    <w:uiPriority w:val="99"/>
    <w:rPr>
      <w:vertAlign w:val="superscript"/>
    </w:rPr>
  </w:style>
  <w:style w:type="character" w:styleId="38">
    <w:name w:val="Hyperlink"/>
    <w:unhideWhenUsed/>
    <w:qFormat/>
    <w:uiPriority w:val="99"/>
    <w:rPr>
      <w:color w:val="0000FF" w:themeColor="hyperlink"/>
      <w:u w:val="single"/>
      <w14:textFill>
        <w14:solidFill>
          <w14:schemeClr w14:val="hlink"/>
        </w14:solidFill>
      </w14:textFill>
    </w:rPr>
  </w:style>
  <w:style w:type="character" w:styleId="39">
    <w:name w:val="footnote reference"/>
    <w:unhideWhenUsed/>
    <w:qFormat/>
    <w:uiPriority w:val="99"/>
    <w:rPr>
      <w:vertAlign w:val="superscript"/>
    </w:rPr>
  </w:style>
  <w:style w:type="paragraph" w:customStyle="1" w:styleId="40">
    <w:name w:val="正文文本1"/>
    <w:basedOn w:val="41"/>
    <w:qFormat/>
    <w:uiPriority w:val="0"/>
    <w:pPr>
      <w:spacing w:after="120"/>
    </w:pPr>
    <w:rPr>
      <w:lang w:eastAsia="en-US"/>
    </w:rPr>
  </w:style>
  <w:style w:type="paragraph" w:customStyle="1" w:styleId="41">
    <w:name w:val="正文1"/>
    <w:basedOn w:val="1"/>
    <w:next w:val="40"/>
    <w:autoRedefine/>
    <w:qFormat/>
    <w:uiPriority w:val="0"/>
    <w:pPr>
      <w:spacing w:line="360" w:lineRule="atLeast"/>
      <w:jc w:val="left"/>
    </w:pPr>
    <w:rPr>
      <w:rFonts w:ascii="宋体" w:hAnsi="Calibri" w:eastAsia="宋体" w:cs="Times New Roman"/>
      <w:sz w:val="24"/>
      <w:szCs w:val="20"/>
    </w:rPr>
  </w:style>
  <w:style w:type="paragraph" w:customStyle="1" w:styleId="42">
    <w:name w:val="正文文本缩进11"/>
    <w:basedOn w:val="1"/>
    <w:next w:val="1"/>
    <w:unhideWhenUsed/>
    <w:qFormat/>
    <w:uiPriority w:val="99"/>
    <w:pPr>
      <w:spacing w:line="400" w:lineRule="exact"/>
      <w:ind w:firstLine="540"/>
    </w:pPr>
    <w:rPr>
      <w:sz w:val="24"/>
    </w:rPr>
  </w:style>
  <w:style w:type="paragraph" w:customStyle="1" w:styleId="43">
    <w:name w:val="标题 31"/>
    <w:basedOn w:val="1"/>
    <w:next w:val="1"/>
    <w:qFormat/>
    <w:uiPriority w:val="0"/>
    <w:pPr>
      <w:keepNext/>
      <w:keepLines/>
      <w:spacing w:before="260" w:after="260" w:line="416" w:lineRule="auto"/>
      <w:outlineLvl w:val="2"/>
    </w:pPr>
    <w:rPr>
      <w:b/>
      <w:bCs/>
      <w:sz w:val="32"/>
      <w:szCs w:val="32"/>
    </w:rPr>
  </w:style>
  <w:style w:type="character" w:customStyle="1" w:styleId="44">
    <w:name w:val="Heading 1 Char"/>
    <w:link w:val="3"/>
    <w:autoRedefine/>
    <w:qFormat/>
    <w:uiPriority w:val="9"/>
    <w:rPr>
      <w:rFonts w:ascii="Arial" w:hAnsi="Arial" w:eastAsia="Arial" w:cs="Arial"/>
      <w:sz w:val="40"/>
      <w:szCs w:val="40"/>
    </w:rPr>
  </w:style>
  <w:style w:type="character" w:customStyle="1" w:styleId="45">
    <w:name w:val="Heading 2 Char"/>
    <w:link w:val="4"/>
    <w:qFormat/>
    <w:uiPriority w:val="9"/>
    <w:rPr>
      <w:rFonts w:ascii="Arial" w:hAnsi="Arial" w:eastAsia="Arial" w:cs="Arial"/>
      <w:sz w:val="34"/>
    </w:rPr>
  </w:style>
  <w:style w:type="character" w:customStyle="1" w:styleId="46">
    <w:name w:val="Heading 3 Char"/>
    <w:link w:val="5"/>
    <w:autoRedefine/>
    <w:qFormat/>
    <w:uiPriority w:val="9"/>
    <w:rPr>
      <w:rFonts w:ascii="Arial" w:hAnsi="Arial" w:eastAsia="Arial" w:cs="Arial"/>
      <w:sz w:val="30"/>
      <w:szCs w:val="30"/>
    </w:rPr>
  </w:style>
  <w:style w:type="character" w:customStyle="1" w:styleId="47">
    <w:name w:val="Heading 4 Char"/>
    <w:link w:val="6"/>
    <w:qFormat/>
    <w:uiPriority w:val="9"/>
    <w:rPr>
      <w:rFonts w:ascii="Arial" w:hAnsi="Arial" w:eastAsia="Arial" w:cs="Arial"/>
      <w:b/>
      <w:bCs/>
      <w:sz w:val="26"/>
      <w:szCs w:val="26"/>
    </w:rPr>
  </w:style>
  <w:style w:type="character" w:customStyle="1" w:styleId="48">
    <w:name w:val="Heading 5 Char"/>
    <w:link w:val="7"/>
    <w:autoRedefine/>
    <w:qFormat/>
    <w:uiPriority w:val="9"/>
    <w:rPr>
      <w:rFonts w:ascii="Arial" w:hAnsi="Arial" w:eastAsia="Arial" w:cs="Arial"/>
      <w:b/>
      <w:bCs/>
      <w:sz w:val="24"/>
      <w:szCs w:val="24"/>
    </w:rPr>
  </w:style>
  <w:style w:type="character" w:customStyle="1" w:styleId="49">
    <w:name w:val="Heading 6 Char"/>
    <w:link w:val="8"/>
    <w:qFormat/>
    <w:uiPriority w:val="9"/>
    <w:rPr>
      <w:rFonts w:ascii="Arial" w:hAnsi="Arial" w:eastAsia="Arial" w:cs="Arial"/>
      <w:b/>
      <w:bCs/>
      <w:sz w:val="22"/>
      <w:szCs w:val="22"/>
    </w:rPr>
  </w:style>
  <w:style w:type="character" w:customStyle="1" w:styleId="50">
    <w:name w:val="Heading 7 Char"/>
    <w:link w:val="9"/>
    <w:qFormat/>
    <w:uiPriority w:val="9"/>
    <w:rPr>
      <w:rFonts w:ascii="Arial" w:hAnsi="Arial" w:eastAsia="Arial" w:cs="Arial"/>
      <w:b/>
      <w:bCs/>
      <w:i/>
      <w:iCs/>
      <w:sz w:val="22"/>
      <w:szCs w:val="22"/>
    </w:rPr>
  </w:style>
  <w:style w:type="character" w:customStyle="1" w:styleId="51">
    <w:name w:val="Heading 8 Char"/>
    <w:link w:val="10"/>
    <w:qFormat/>
    <w:uiPriority w:val="9"/>
    <w:rPr>
      <w:rFonts w:ascii="Arial" w:hAnsi="Arial" w:eastAsia="Arial" w:cs="Arial"/>
      <w:i/>
      <w:iCs/>
      <w:sz w:val="22"/>
      <w:szCs w:val="22"/>
    </w:rPr>
  </w:style>
  <w:style w:type="character" w:customStyle="1" w:styleId="52">
    <w:name w:val="Heading 9 Char"/>
    <w:link w:val="11"/>
    <w:qFormat/>
    <w:uiPriority w:val="9"/>
    <w:rPr>
      <w:rFonts w:ascii="Arial" w:hAnsi="Arial" w:eastAsia="Arial" w:cs="Arial"/>
      <w:i/>
      <w:iCs/>
      <w:sz w:val="21"/>
      <w:szCs w:val="21"/>
    </w:rPr>
  </w:style>
  <w:style w:type="paragraph" w:styleId="53">
    <w:name w:val="List Paragraph"/>
    <w:basedOn w:val="1"/>
    <w:autoRedefine/>
    <w:qFormat/>
    <w:uiPriority w:val="34"/>
    <w:pPr>
      <w:ind w:left="720"/>
      <w:contextualSpacing/>
    </w:pPr>
  </w:style>
  <w:style w:type="paragraph" w:styleId="54">
    <w:name w:val="No Spacing"/>
    <w:qFormat/>
    <w:uiPriority w:val="1"/>
    <w:pPr>
      <w:spacing w:before="0" w:after="0" w:line="240" w:lineRule="auto"/>
    </w:pPr>
    <w:rPr>
      <w:rFonts w:hint="default" w:ascii="Times New Roman" w:hAnsi="Times New Roman" w:eastAsia="宋体" w:cs="Times New Roman"/>
    </w:rPr>
  </w:style>
  <w:style w:type="character" w:customStyle="1" w:styleId="55">
    <w:name w:val="Title Char"/>
    <w:link w:val="33"/>
    <w:qFormat/>
    <w:uiPriority w:val="10"/>
    <w:rPr>
      <w:sz w:val="48"/>
      <w:szCs w:val="48"/>
    </w:rPr>
  </w:style>
  <w:style w:type="character" w:customStyle="1" w:styleId="56">
    <w:name w:val="Subtitle Char"/>
    <w:link w:val="26"/>
    <w:autoRedefine/>
    <w:qFormat/>
    <w:uiPriority w:val="11"/>
    <w:rPr>
      <w:sz w:val="24"/>
      <w:szCs w:val="24"/>
    </w:rPr>
  </w:style>
  <w:style w:type="paragraph" w:styleId="57">
    <w:name w:val="Quote"/>
    <w:basedOn w:val="1"/>
    <w:next w:val="1"/>
    <w:link w:val="58"/>
    <w:autoRedefine/>
    <w:qFormat/>
    <w:uiPriority w:val="29"/>
    <w:pPr>
      <w:ind w:left="720" w:right="720"/>
    </w:pPr>
    <w:rPr>
      <w:i/>
    </w:rPr>
  </w:style>
  <w:style w:type="character" w:customStyle="1" w:styleId="58">
    <w:name w:val="Quote Char"/>
    <w:link w:val="57"/>
    <w:qFormat/>
    <w:uiPriority w:val="29"/>
    <w:rPr>
      <w:i/>
    </w:rPr>
  </w:style>
  <w:style w:type="paragraph" w:styleId="59">
    <w:name w:val="Intense Quote"/>
    <w:basedOn w:val="1"/>
    <w:next w:val="1"/>
    <w:link w:val="60"/>
    <w:autoRedefine/>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0">
    <w:name w:val="Intense Quote Char"/>
    <w:link w:val="59"/>
    <w:qFormat/>
    <w:uiPriority w:val="30"/>
    <w:rPr>
      <w:i/>
    </w:rPr>
  </w:style>
  <w:style w:type="character" w:customStyle="1" w:styleId="61">
    <w:name w:val="Header Char"/>
    <w:link w:val="23"/>
    <w:qFormat/>
    <w:uiPriority w:val="99"/>
  </w:style>
  <w:style w:type="character" w:customStyle="1" w:styleId="62">
    <w:name w:val="Footer Char"/>
    <w:link w:val="22"/>
    <w:qFormat/>
    <w:uiPriority w:val="99"/>
  </w:style>
  <w:style w:type="character" w:customStyle="1" w:styleId="63">
    <w:name w:val="Caption Char"/>
    <w:link w:val="22"/>
    <w:autoRedefine/>
    <w:qFormat/>
    <w:uiPriority w:val="99"/>
  </w:style>
  <w:style w:type="table" w:customStyle="1" w:styleId="64">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5">
    <w:name w:val="Plain Table 1"/>
    <w:autoRedefine/>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6">
    <w:name w:val="Plain Table 2"/>
    <w:autoRedefine/>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7">
    <w:name w:val="Plain Table 3"/>
    <w:autoRedefine/>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1">
    <w:name w:val="Grid Table 1 Light - Accent 1"/>
    <w:autoRedefine/>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2">
    <w:name w:val="Grid Table 1 Light - Accent 2"/>
    <w:autoRedefine/>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3">
    <w:name w:val="Grid Table 1 Light - Accent 3"/>
    <w:autoRedefine/>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4">
    <w:name w:val="Grid Table 1 Light - Accent 4"/>
    <w:autoRedefine/>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5">
    <w:name w:val="Grid Table 1 Light - Accent 5"/>
    <w:autoRedefine/>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6">
    <w:name w:val="Grid Table 1 Light - Accent 6"/>
    <w:autoRedefine/>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7">
    <w:name w:val="Grid Table 2"/>
    <w:autoRedefine/>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9">
    <w:name w:val="Grid Table 2 - Accent 2"/>
    <w:autoRedefine/>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0">
    <w:name w:val="Grid Table 2 - Accent 3"/>
    <w:autoRedefine/>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1">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2">
    <w:name w:val="Grid Table 2 - Accent 5"/>
    <w:autoRedefine/>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3">
    <w:name w:val="Grid Table 2 - Accent 6"/>
    <w:autoRedefine/>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4">
    <w:name w:val="Grid Table 3"/>
    <w:autoRedefine/>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3 - Accent 1"/>
    <w:autoRedefine/>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6">
    <w:name w:val="Grid Table 3 - Accent 2"/>
    <w:autoRedefine/>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7">
    <w:name w:val="Grid Table 3 - Accent 3"/>
    <w:autoRedefine/>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8">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9">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0">
    <w:name w:val="Grid Table 3 - Accent 6"/>
    <w:autoRedefine/>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1">
    <w:name w:val="Grid Table 4"/>
    <w:autoRedefine/>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2">
    <w:name w:val="Grid Table 4 - Accent 1"/>
    <w:autoRedefine/>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3">
    <w:name w:val="Grid Table 4 - Accent 2"/>
    <w:autoRedefine/>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4">
    <w:name w:val="Grid Table 4 - Accent 3"/>
    <w:autoRedefine/>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5">
    <w:name w:val="Grid Table 4 - Accent 4"/>
    <w:autoRedefine/>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6">
    <w:name w:val="Grid Table 4 - Accent 5"/>
    <w:autoRedefine/>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7">
    <w:name w:val="Grid Table 4 - Accent 6"/>
    <w:autoRedefine/>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8">
    <w:name w:val="Grid Table 5 Dark"/>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9">
    <w:name w:val="Grid Table 5 Dark- Accent 1"/>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0">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1">
    <w:name w:val="Grid Table 5 Dark - Accent 3"/>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2">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3">
    <w:name w:val="Grid Table 5 Dark - Accent 5"/>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4">
    <w:name w:val="Grid Table 5 Dark - Accent 6"/>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5">
    <w:name w:val="Grid Table 6 Colorful"/>
    <w:autoRedefine/>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6">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7">
    <w:name w:val="Grid Table 6 Colorful - Accent 2"/>
    <w:autoRedefine/>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8">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9">
    <w:name w:val="Grid Table 6 Colorful - Accent 4"/>
    <w:autoRedefine/>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0">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1">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2">
    <w:name w:val="Grid Table 7 Colorful"/>
    <w:autoRedefine/>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3">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4">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5">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6">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7">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8">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9">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0">
    <w:name w:val="List Table 1 Light - Accent 1"/>
    <w:autoRedefine/>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1">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2">
    <w:name w:val="List Table 1 Light - Accent 3"/>
    <w:autoRedefine/>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3">
    <w:name w:val="List Table 1 Light - Accent 4"/>
    <w:autoRedefine/>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4">
    <w:name w:val="List Table 1 Light - Accent 5"/>
    <w:autoRedefine/>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5">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6">
    <w:name w:val="List Table 2"/>
    <w:autoRedefine/>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7">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8">
    <w:name w:val="List Table 2 - Accent 2"/>
    <w:autoRedefine/>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9">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0">
    <w:name w:val="List Table 2 - Accent 4"/>
    <w:autoRedefine/>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1">
    <w:name w:val="List Table 2 - Accent 5"/>
    <w:autoRedefine/>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2">
    <w:name w:val="List Table 2 - Accent 6"/>
    <w:autoRedefine/>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3">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4">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5">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6">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7">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8">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9">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0">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1">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2">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3">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4">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5">
    <w:name w:val="List Table 4 - Accent 5"/>
    <w:autoRedefine/>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6">
    <w:name w:val="List Table 4 - Accent 6"/>
    <w:autoRedefine/>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7">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8">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9">
    <w:name w:val="List Table 5 Dark - Accent 2"/>
    <w:autoRedefine/>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0">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1">
    <w:name w:val="List Table 5 Dark - Accent 4"/>
    <w:autoRedefine/>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2">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3">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4">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5">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6">
    <w:name w:val="List Table 6 Colorful - Accent 2"/>
    <w:autoRedefine/>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7">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8">
    <w:name w:val="List Table 6 Colorful - Accent 4"/>
    <w:autoRedefine/>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9">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0">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1">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2">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3">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4">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5">
    <w:name w:val="List Table 7 Colorful - Accent 4"/>
    <w:autoRedefine/>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6">
    <w:name w:val="List Table 7 Colorful - Accent 5"/>
    <w:autoRedefine/>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7">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8">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9">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0">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1">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2">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3">
    <w:name w:val="Lined - Accent 5"/>
    <w:autoRedefine/>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4">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5">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6">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7">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8">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9">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0">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1">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2">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3">
    <w:name w:val="Bordered - Accent 1"/>
    <w:autoRedefine/>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4">
    <w:name w:val="Bordered - Accent 2"/>
    <w:autoRedefine/>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5">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6">
    <w:name w:val="Bordered - Accent 4"/>
    <w:autoRedefine/>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7">
    <w:name w:val="Bordered - Accent 5"/>
    <w:autoRedefine/>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8">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9">
    <w:name w:val="Footnote Text Char"/>
    <w:link w:val="27"/>
    <w:autoRedefine/>
    <w:qFormat/>
    <w:uiPriority w:val="99"/>
    <w:rPr>
      <w:sz w:val="18"/>
    </w:rPr>
  </w:style>
  <w:style w:type="character" w:customStyle="1" w:styleId="190">
    <w:name w:val="Endnote Text Char"/>
    <w:link w:val="21"/>
    <w:qFormat/>
    <w:uiPriority w:val="99"/>
    <w:rPr>
      <w:sz w:val="20"/>
    </w:rPr>
  </w:style>
  <w:style w:type="paragraph" w:customStyle="1" w:styleId="191">
    <w:name w:val="TOC Heading"/>
    <w:unhideWhenUsed/>
    <w:qFormat/>
    <w:uiPriority w:val="39"/>
    <w:rPr>
      <w:rFonts w:hint="default" w:ascii="Times New Roman" w:hAnsi="Times New Roman" w:eastAsia="宋体" w:cs="Times New Roman"/>
    </w:rPr>
  </w:style>
  <w:style w:type="paragraph" w:customStyle="1" w:styleId="192">
    <w:name w:val="标题 11"/>
    <w:basedOn w:val="1"/>
    <w:next w:val="1"/>
    <w:qFormat/>
    <w:uiPriority w:val="9"/>
    <w:pPr>
      <w:keepNext/>
      <w:keepLines/>
      <w:spacing w:before="340" w:after="330" w:line="578" w:lineRule="auto"/>
      <w:outlineLvl w:val="0"/>
    </w:pPr>
    <w:rPr>
      <w:b/>
      <w:bCs/>
      <w:sz w:val="44"/>
      <w:szCs w:val="44"/>
    </w:rPr>
  </w:style>
  <w:style w:type="paragraph" w:customStyle="1" w:styleId="193">
    <w:name w:val="标题 211"/>
    <w:basedOn w:val="1"/>
    <w:next w:val="194"/>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194">
    <w:name w:val="正文缩进11"/>
    <w:basedOn w:val="1"/>
    <w:unhideWhenUsed/>
    <w:qFormat/>
    <w:uiPriority w:val="0"/>
    <w:pPr>
      <w:ind w:firstLine="420"/>
    </w:pPr>
  </w:style>
  <w:style w:type="character" w:customStyle="1" w:styleId="195">
    <w:name w:val="默认段落字体1"/>
    <w:link w:val="1"/>
    <w:unhideWhenUsed/>
    <w:qFormat/>
    <w:uiPriority w:val="1"/>
  </w:style>
  <w:style w:type="table" w:customStyle="1" w:styleId="196">
    <w:name w:val="普通表格1"/>
    <w:unhideWhenUsed/>
    <w:qFormat/>
    <w:uiPriority w:val="99"/>
  </w:style>
  <w:style w:type="paragraph" w:customStyle="1" w:styleId="197">
    <w:name w:val="引文目录1"/>
    <w:basedOn w:val="1"/>
    <w:next w:val="1"/>
    <w:qFormat/>
    <w:uiPriority w:val="0"/>
    <w:pPr>
      <w:ind w:left="420"/>
    </w:pPr>
  </w:style>
  <w:style w:type="paragraph" w:customStyle="1" w:styleId="198">
    <w:name w:val="批注文字1"/>
    <w:basedOn w:val="1"/>
    <w:link w:val="199"/>
    <w:qFormat/>
    <w:uiPriority w:val="0"/>
    <w:pPr>
      <w:jc w:val="left"/>
    </w:pPr>
  </w:style>
  <w:style w:type="character" w:customStyle="1" w:styleId="199">
    <w:name w:val="批注文字 Char"/>
    <w:link w:val="198"/>
    <w:qFormat/>
    <w:uiPriority w:val="0"/>
    <w:rPr>
      <w:rFonts w:ascii="Calibri" w:hAnsi="Calibri"/>
      <w:sz w:val="21"/>
      <w:szCs w:val="22"/>
    </w:rPr>
  </w:style>
  <w:style w:type="paragraph" w:customStyle="1" w:styleId="200">
    <w:name w:val="正文文本111"/>
    <w:basedOn w:val="1"/>
    <w:next w:val="201"/>
    <w:qFormat/>
    <w:uiPriority w:val="0"/>
    <w:rPr>
      <w:rFonts w:ascii="楷体_GB2312" w:hAnsi="Arial" w:eastAsia="楷体_GB2312"/>
      <w:sz w:val="28"/>
      <w:szCs w:val="28"/>
    </w:rPr>
  </w:style>
  <w:style w:type="paragraph" w:customStyle="1" w:styleId="201">
    <w:name w:val="正文文本 211"/>
    <w:basedOn w:val="1"/>
    <w:qFormat/>
    <w:uiPriority w:val="0"/>
    <w:pPr>
      <w:spacing w:after="120" w:line="480" w:lineRule="auto"/>
    </w:pPr>
  </w:style>
  <w:style w:type="paragraph" w:customStyle="1" w:styleId="202">
    <w:name w:val="列表项目符号 21"/>
    <w:basedOn w:val="1"/>
    <w:qFormat/>
    <w:uiPriority w:val="0"/>
    <w:pPr>
      <w:numPr>
        <w:ilvl w:val="0"/>
        <w:numId w:val="1"/>
      </w:numPr>
    </w:pPr>
  </w:style>
  <w:style w:type="paragraph" w:customStyle="1" w:styleId="203">
    <w:name w:val="纯文本11"/>
    <w:basedOn w:val="1"/>
    <w:qFormat/>
    <w:uiPriority w:val="99"/>
    <w:rPr>
      <w:rFonts w:ascii="宋体" w:hAnsi="Courier New"/>
      <w:sz w:val="20"/>
      <w:szCs w:val="21"/>
    </w:rPr>
  </w:style>
  <w:style w:type="paragraph" w:customStyle="1" w:styleId="204">
    <w:name w:val="批注框文本1"/>
    <w:basedOn w:val="1"/>
    <w:link w:val="205"/>
    <w:qFormat/>
    <w:uiPriority w:val="0"/>
    <w:rPr>
      <w:sz w:val="18"/>
      <w:szCs w:val="18"/>
    </w:rPr>
  </w:style>
  <w:style w:type="character" w:customStyle="1" w:styleId="205">
    <w:name w:val="批注框文本 Char"/>
    <w:link w:val="204"/>
    <w:qFormat/>
    <w:uiPriority w:val="0"/>
    <w:rPr>
      <w:sz w:val="18"/>
      <w:szCs w:val="18"/>
    </w:rPr>
  </w:style>
  <w:style w:type="paragraph" w:customStyle="1" w:styleId="206">
    <w:name w:val="页脚1"/>
    <w:basedOn w:val="1"/>
    <w:unhideWhenUsed/>
    <w:qFormat/>
    <w:uiPriority w:val="99"/>
    <w:pPr>
      <w:tabs>
        <w:tab w:val="center" w:pos="4153"/>
        <w:tab w:val="right" w:pos="8306"/>
      </w:tabs>
      <w:jc w:val="left"/>
    </w:pPr>
    <w:rPr>
      <w:sz w:val="18"/>
      <w:szCs w:val="18"/>
    </w:rPr>
  </w:style>
  <w:style w:type="paragraph" w:customStyle="1" w:styleId="207">
    <w:name w:val="寄信人地址1"/>
    <w:basedOn w:val="1"/>
    <w:unhideWhenUsed/>
    <w:qFormat/>
    <w:uiPriority w:val="99"/>
    <w:rPr>
      <w:rFonts w:ascii="Arial" w:hAnsi="Arial"/>
    </w:rPr>
  </w:style>
  <w:style w:type="paragraph" w:customStyle="1" w:styleId="208">
    <w:name w:val="页眉1"/>
    <w:basedOn w:val="1"/>
    <w:unhideWhenUsed/>
    <w:qFormat/>
    <w:uiPriority w:val="99"/>
    <w:pPr>
      <w:pBdr>
        <w:bottom w:val="single" w:color="000000" w:sz="6" w:space="1"/>
      </w:pBdr>
      <w:tabs>
        <w:tab w:val="center" w:pos="4153"/>
        <w:tab w:val="right" w:pos="8306"/>
      </w:tabs>
      <w:jc w:val="center"/>
    </w:pPr>
    <w:rPr>
      <w:sz w:val="18"/>
      <w:szCs w:val="18"/>
    </w:rPr>
  </w:style>
  <w:style w:type="paragraph" w:customStyle="1" w:styleId="209">
    <w:name w:val="目录 11"/>
    <w:basedOn w:val="1"/>
    <w:next w:val="1"/>
    <w:unhideWhenUsed/>
    <w:qFormat/>
    <w:uiPriority w:val="39"/>
  </w:style>
  <w:style w:type="paragraph" w:customStyle="1" w:styleId="210">
    <w:name w:val="信息标题1"/>
    <w:basedOn w:val="1"/>
    <w:qFormat/>
    <w:uiPriority w:val="0"/>
    <w:pPr>
      <w:pBdr>
        <w:top w:val="single" w:color="000000" w:sz="6" w:space="1"/>
        <w:left w:val="single" w:color="000000" w:sz="6" w:space="1"/>
        <w:bottom w:val="single" w:color="000000" w:sz="6" w:space="1"/>
        <w:right w:val="single" w:color="000000" w:sz="6" w:space="1"/>
      </w:pBdr>
      <w:shd w:val="pct20" w:color="auto" w:fill="auto"/>
      <w:ind w:left="500" w:hanging="1080"/>
    </w:pPr>
    <w:rPr>
      <w:rFonts w:ascii="Arial" w:hAnsi="Arial"/>
      <w:sz w:val="24"/>
    </w:rPr>
  </w:style>
  <w:style w:type="paragraph" w:customStyle="1" w:styleId="211">
    <w:name w:val="普通(网站)1"/>
    <w:basedOn w:val="1"/>
    <w:qFormat/>
    <w:uiPriority w:val="0"/>
    <w:rPr>
      <w:rFonts w:ascii="Times New Roman" w:hAnsi="Times New Roman"/>
      <w:sz w:val="24"/>
    </w:rPr>
  </w:style>
  <w:style w:type="paragraph" w:customStyle="1" w:styleId="212">
    <w:name w:val="批注主题1"/>
    <w:basedOn w:val="198"/>
    <w:next w:val="198"/>
    <w:link w:val="213"/>
    <w:qFormat/>
    <w:uiPriority w:val="0"/>
    <w:rPr>
      <w:b/>
      <w:bCs/>
    </w:rPr>
  </w:style>
  <w:style w:type="character" w:customStyle="1" w:styleId="213">
    <w:name w:val="批注主题 Char"/>
    <w:link w:val="212"/>
    <w:qFormat/>
    <w:uiPriority w:val="0"/>
    <w:rPr>
      <w:rFonts w:ascii="Calibri" w:hAnsi="Calibri"/>
      <w:b/>
      <w:bCs/>
      <w:sz w:val="21"/>
      <w:szCs w:val="22"/>
    </w:rPr>
  </w:style>
  <w:style w:type="paragraph" w:customStyle="1" w:styleId="214">
    <w:name w:val="正文首行缩进 211"/>
    <w:basedOn w:val="42"/>
    <w:next w:val="1"/>
    <w:qFormat/>
    <w:uiPriority w:val="0"/>
    <w:pPr>
      <w:spacing w:before="100" w:beforeAutospacing="1"/>
      <w:ind w:firstLine="420"/>
    </w:pPr>
    <w:rPr>
      <w:rFonts w:ascii="Times New Roman" w:hAnsi="Times New Roman" w:eastAsia="宋体"/>
      <w:sz w:val="20"/>
      <w:szCs w:val="21"/>
    </w:rPr>
  </w:style>
  <w:style w:type="table" w:customStyle="1" w:styleId="215">
    <w:name w:val="网格型1"/>
    <w:basedOn w:val="196"/>
    <w:qFormat/>
    <w:uiPriority w:val="59"/>
  </w:style>
  <w:style w:type="character" w:customStyle="1" w:styleId="216">
    <w:name w:val="要点1"/>
    <w:link w:val="1"/>
    <w:qFormat/>
    <w:uiPriority w:val="0"/>
    <w:rPr>
      <w:b/>
    </w:rPr>
  </w:style>
  <w:style w:type="character" w:customStyle="1" w:styleId="217">
    <w:name w:val="超链接1"/>
    <w:link w:val="1"/>
    <w:qFormat/>
    <w:uiPriority w:val="0"/>
    <w:rPr>
      <w:color w:val="0000FF"/>
      <w:u w:val="single"/>
    </w:rPr>
  </w:style>
  <w:style w:type="character" w:customStyle="1" w:styleId="218">
    <w:name w:val="批注引用1"/>
    <w:link w:val="1"/>
    <w:qFormat/>
    <w:uiPriority w:val="0"/>
    <w:rPr>
      <w:sz w:val="21"/>
      <w:szCs w:val="21"/>
    </w:rPr>
  </w:style>
  <w:style w:type="paragraph" w:customStyle="1" w:styleId="219">
    <w:name w:val="一级条标题"/>
    <w:basedOn w:val="220"/>
    <w:next w:val="224"/>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220">
    <w:name w:val="章标题"/>
    <w:next w:val="221"/>
    <w:qFormat/>
    <w:uiPriority w:val="0"/>
    <w:pPr>
      <w:tabs>
        <w:tab w:val="left" w:pos="810"/>
        <w:tab w:val="left" w:pos="1265"/>
      </w:tabs>
      <w:spacing w:before="50" w:after="50"/>
      <w:ind w:left="810" w:hanging="810"/>
      <w:jc w:val="both"/>
      <w:outlineLvl w:val="1"/>
    </w:pPr>
    <w:rPr>
      <w:rFonts w:hint="default" w:ascii="黑体" w:hAnsi="Calibri" w:eastAsia="黑体" w:cs="Times New Roman"/>
      <w:sz w:val="21"/>
      <w:szCs w:val="22"/>
      <w:lang w:val="en-US" w:eastAsia="zh-CN" w:bidi="ar-SA"/>
    </w:rPr>
  </w:style>
  <w:style w:type="paragraph" w:customStyle="1" w:styleId="221">
    <w:name w:val="正文11"/>
    <w:next w:val="222"/>
    <w:autoRedefine/>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222">
    <w:name w:val="正文首行缩进 21"/>
    <w:basedOn w:val="223"/>
    <w:next w:val="1"/>
    <w:autoRedefine/>
    <w:qFormat/>
    <w:uiPriority w:val="0"/>
    <w:pPr>
      <w:ind w:firstLine="420"/>
    </w:pPr>
  </w:style>
  <w:style w:type="paragraph" w:customStyle="1" w:styleId="223">
    <w:name w:val="正文文本缩进1"/>
    <w:basedOn w:val="221"/>
    <w:next w:val="1"/>
    <w:autoRedefine/>
    <w:qFormat/>
    <w:uiPriority w:val="0"/>
    <w:pPr>
      <w:spacing w:line="400" w:lineRule="exact"/>
      <w:ind w:firstLine="540"/>
    </w:pPr>
    <w:rPr>
      <w:sz w:val="24"/>
    </w:rPr>
  </w:style>
  <w:style w:type="paragraph" w:customStyle="1" w:styleId="224">
    <w:name w:val="段"/>
    <w:basedOn w:val="41"/>
    <w:next w:val="1"/>
    <w:qFormat/>
    <w:uiPriority w:val="0"/>
    <w:pPr>
      <w:widowControl/>
      <w:ind w:firstLine="200"/>
    </w:pPr>
    <w:rPr>
      <w:sz w:val="20"/>
    </w:rPr>
  </w:style>
  <w:style w:type="paragraph" w:customStyle="1" w:styleId="225">
    <w:name w:val="正文（缩进）"/>
    <w:basedOn w:val="1"/>
    <w:qFormat/>
    <w:uiPriority w:val="0"/>
    <w:pPr>
      <w:spacing w:before="156" w:after="156"/>
      <w:ind w:firstLine="480"/>
    </w:pPr>
  </w:style>
  <w:style w:type="paragraph" w:customStyle="1" w:styleId="226">
    <w:name w:val="普通正文"/>
    <w:basedOn w:val="1"/>
    <w:autoRedefine/>
    <w:qFormat/>
    <w:uiPriority w:val="0"/>
    <w:pPr>
      <w:spacing w:before="120" w:after="120" w:line="360" w:lineRule="auto"/>
      <w:ind w:firstLine="480"/>
      <w:jc w:val="left"/>
    </w:pPr>
    <w:rPr>
      <w:rFonts w:ascii="Arial" w:hAnsi="Arial"/>
      <w:sz w:val="24"/>
      <w:szCs w:val="24"/>
    </w:rPr>
  </w:style>
  <w:style w:type="paragraph" w:customStyle="1" w:styleId="227">
    <w:name w:val="Char"/>
    <w:basedOn w:val="1"/>
    <w:autoRedefine/>
    <w:qFormat/>
    <w:uiPriority w:val="0"/>
    <w:pPr>
      <w:tabs>
        <w:tab w:val="left" w:pos="360"/>
      </w:tabs>
      <w:ind w:firstLine="200"/>
    </w:pPr>
    <w:rPr>
      <w:rFonts w:ascii="Times New Roman" w:hAnsi="Times New Roman"/>
      <w:sz w:val="28"/>
      <w:szCs w:val="30"/>
    </w:rPr>
  </w:style>
  <w:style w:type="paragraph" w:customStyle="1" w:styleId="228">
    <w:name w:val="正文空2格  1."/>
    <w:basedOn w:val="1"/>
    <w:qFormat/>
    <w:uiPriority w:val="0"/>
    <w:pPr>
      <w:ind w:firstLine="480"/>
    </w:pPr>
    <w:rPr>
      <w:rFonts w:cs="宋体"/>
      <w:sz w:val="28"/>
      <w:szCs w:val="20"/>
    </w:rPr>
  </w:style>
  <w:style w:type="paragraph" w:customStyle="1" w:styleId="229">
    <w:name w:val="标题 21"/>
    <w:basedOn w:val="1"/>
    <w:next w:val="230"/>
    <w:qFormat/>
    <w:uiPriority w:val="9"/>
    <w:pPr>
      <w:keepNext/>
      <w:keepLines/>
      <w:spacing w:before="260" w:after="260" w:line="416" w:lineRule="auto"/>
      <w:outlineLvl w:val="1"/>
    </w:pPr>
    <w:rPr>
      <w:rFonts w:ascii="Cambria" w:hAnsi="Cambria"/>
      <w:b/>
      <w:bCs/>
      <w:sz w:val="32"/>
      <w:szCs w:val="32"/>
    </w:rPr>
  </w:style>
  <w:style w:type="paragraph" w:customStyle="1" w:styleId="230">
    <w:name w:val="正文首行缩进1"/>
    <w:basedOn w:val="231"/>
    <w:qFormat/>
    <w:uiPriority w:val="0"/>
    <w:pPr>
      <w:spacing w:before="100" w:after="100" w:line="360" w:lineRule="atLeast"/>
      <w:ind w:firstLine="425"/>
    </w:pPr>
    <w:rPr>
      <w:rFonts w:ascii="Times New Roman" w:hAnsi="Times New Roman" w:eastAsia="宋体" w:cs="Times New Roman"/>
    </w:rPr>
  </w:style>
  <w:style w:type="paragraph" w:customStyle="1" w:styleId="231">
    <w:name w:val="正文文本11"/>
    <w:basedOn w:val="1"/>
    <w:next w:val="232"/>
    <w:qFormat/>
    <w:uiPriority w:val="0"/>
    <w:rPr>
      <w:rFonts w:ascii="楷体_GB2312" w:hAnsi="Arial" w:eastAsia="楷体_GB2312"/>
      <w:sz w:val="28"/>
      <w:szCs w:val="28"/>
    </w:rPr>
  </w:style>
  <w:style w:type="paragraph" w:customStyle="1" w:styleId="232">
    <w:name w:val="正文文本 21"/>
    <w:basedOn w:val="1"/>
    <w:qFormat/>
    <w:uiPriority w:val="0"/>
    <w:pPr>
      <w:spacing w:after="120" w:line="480" w:lineRule="auto"/>
    </w:pPr>
  </w:style>
  <w:style w:type="paragraph" w:customStyle="1" w:styleId="233">
    <w:name w:val="正文缩进1"/>
    <w:basedOn w:val="1"/>
    <w:unhideWhenUsed/>
    <w:qFormat/>
    <w:uiPriority w:val="0"/>
    <w:pPr>
      <w:ind w:firstLine="420"/>
    </w:pPr>
    <w:rPr>
      <w:rFonts w:ascii="Calibri" w:hAnsi="Calibri" w:eastAsia="宋体" w:cs="Times New Roman"/>
    </w:rPr>
  </w:style>
  <w:style w:type="paragraph" w:customStyle="1" w:styleId="234">
    <w:name w:val="纯文本1"/>
    <w:basedOn w:val="221"/>
    <w:qFormat/>
    <w:uiPriority w:val="0"/>
    <w:rPr>
      <w:rFonts w:ascii="宋体" w:hAnsi="Courier New"/>
      <w:sz w:val="20"/>
      <w:szCs w:val="20"/>
    </w:rPr>
  </w:style>
  <w:style w:type="paragraph" w:customStyle="1" w:styleId="235">
    <w:name w:val="Body Text First Indent 21"/>
    <w:basedOn w:val="236"/>
    <w:qFormat/>
    <w:uiPriority w:val="0"/>
    <w:pPr>
      <w:ind w:firstLine="420"/>
    </w:pPr>
  </w:style>
  <w:style w:type="paragraph" w:customStyle="1" w:styleId="236">
    <w:name w:val="Body Text Indent1"/>
    <w:basedOn w:val="1"/>
    <w:autoRedefine/>
    <w:qFormat/>
    <w:uiPriority w:val="0"/>
    <w:pPr>
      <w:ind w:left="420"/>
    </w:pPr>
  </w:style>
  <w:style w:type="paragraph" w:customStyle="1" w:styleId="237">
    <w:name w:val="Table Paragraph"/>
    <w:basedOn w:val="1"/>
    <w:qFormat/>
    <w:uiPriority w:val="1"/>
    <w:rPr>
      <w:rFonts w:ascii="宋体" w:hAnsi="宋体" w:cs="宋体"/>
      <w:lang w:val="zh-CN" w:bidi="zh-CN"/>
    </w:rPr>
  </w:style>
  <w:style w:type="paragraph" w:customStyle="1" w:styleId="238">
    <w:name w:val="ListBullet21"/>
    <w:basedOn w:val="1"/>
    <w:qFormat/>
    <w:uiPriority w:val="0"/>
    <w:pPr>
      <w:numPr>
        <w:ilvl w:val="0"/>
        <w:numId w:val="2"/>
      </w:numPr>
      <w:tabs>
        <w:tab w:val="decimal" w:pos="780"/>
      </w:tabs>
    </w:pPr>
  </w:style>
  <w:style w:type="paragraph" w:customStyle="1" w:styleId="239">
    <w:name w:val="标题 51"/>
    <w:basedOn w:val="1"/>
    <w:next w:val="233"/>
    <w:autoRedefine/>
    <w:qFormat/>
    <w:uiPriority w:val="0"/>
    <w:pPr>
      <w:keepNext/>
      <w:outlineLvl w:val="4"/>
    </w:pPr>
    <w:rPr>
      <w:rFonts w:ascii="宋体"/>
      <w:color w:val="000000"/>
      <w:sz w:val="28"/>
      <w:szCs w:val="28"/>
    </w:rPr>
  </w:style>
  <w:style w:type="paragraph" w:customStyle="1" w:styleId="240">
    <w:name w:val="Table Text"/>
    <w:basedOn w:val="1"/>
    <w:autoRedefine/>
    <w:semiHidden/>
    <w:qFormat/>
    <w:uiPriority w:val="0"/>
    <w:rPr>
      <w:rFonts w:ascii="Arial" w:hAnsi="Arial" w:eastAsia="Arial" w:cs="Arial"/>
      <w:sz w:val="21"/>
      <w:szCs w:val="21"/>
      <w:lang w:val="en-US" w:eastAsia="en-US" w:bidi="ar-SA"/>
    </w:rPr>
  </w:style>
  <w:style w:type="table" w:customStyle="1" w:styleId="241">
    <w:name w:val="Table Normal"/>
    <w:semiHidden/>
    <w:unhideWhenUsed/>
    <w:qFormat/>
    <w:uiPriority w:val="0"/>
    <w:rPr>
      <w:rFonts w:ascii="Arial" w:hAnsi="Arial" w:cs="Arial"/>
      <w:snapToGrid w:val="0"/>
      <w:color w:val="000000"/>
      <w:kern w:val="0"/>
      <w:szCs w:val="21"/>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H</Company>
  <Pages>51</Pages>
  <Words>26701</Words>
  <Characters>28714</Characters>
  <TotalTime>205</TotalTime>
  <ScaleCrop>false</ScaleCrop>
  <LinksUpToDate>false</LinksUpToDate>
  <CharactersWithSpaces>30194</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2023-07-07T02:21:00Z</dcterms:created>
  <dc:creator>m</dc:creator>
  <cp:lastModifiedBy>啊吧吧吧吧吧</cp:lastModifiedBy>
  <cp:lastPrinted>2024-03-19T04:47:00Z</cp:lastPrinted>
  <dcterms:modified xsi:type="dcterms:W3CDTF">2024-10-22T05:35:12Z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7CCBD9E20CCD43DCA44C3B9B9E1355F2_13</vt:lpwstr>
  </property>
</Properties>
</file>