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auto"/>
          <w:sz w:val="72"/>
          <w:szCs w:val="72"/>
          <w:highlight w:val="none"/>
          <w:lang w:val="zh-CN"/>
        </w:rPr>
      </w:pPr>
      <w:r/>
      <w:bookmarkStart w:id="0" w:name="_Toc2583690"/>
      <w:r/>
      <w:r/>
    </w:p>
    <w:p>
      <w:pPr>
        <w:jc w:val="center"/>
        <w:spacing w:line="360" w:lineRule="auto"/>
        <w:rPr>
          <w:rFonts w:hint="eastAsia" w:ascii="宋体" w:hAnsi="宋体" w:cs="宋体"/>
          <w:b/>
          <w:bCs/>
          <w:color w:val="auto"/>
          <w:sz w:val="72"/>
          <w:szCs w:val="72"/>
          <w:highlight w:val="none"/>
          <w:lang w:val="zh-CN"/>
        </w:rPr>
      </w:pPr>
      <w:r>
        <w:rPr>
          <w:rFonts w:hint="eastAsia" w:ascii="宋体" w:hAnsi="宋体" w:cs="宋体"/>
          <w:b/>
          <w:bCs/>
          <w:color w:val="auto"/>
          <w:sz w:val="72"/>
          <w:szCs w:val="72"/>
          <w:highlight w:val="none"/>
          <w:lang w:val="zh-CN"/>
        </w:rPr>
        <w:t xml:space="preserve">苏州市政府采购</w:t>
      </w:r>
      <w:r/>
    </w:p>
    <w:p>
      <w:pPr>
        <w:jc w:val="center"/>
        <w:spacing w:line="360" w:lineRule="auto"/>
        <w:rPr>
          <w:rFonts w:hint="eastAsia" w:ascii="宋体" w:hAnsi="宋体" w:cs="宋体"/>
          <w:b/>
          <w:bCs/>
          <w:color w:val="auto"/>
          <w:sz w:val="84"/>
          <w:szCs w:val="84"/>
          <w:highlight w:val="none"/>
          <w:lang w:val="zh-CN"/>
        </w:rPr>
      </w:pPr>
      <w:r>
        <w:rPr>
          <w:rFonts w:hint="eastAsia" w:ascii="宋体" w:hAnsi="宋体" w:cs="宋体"/>
          <w:b/>
          <w:bCs/>
          <w:color w:val="auto"/>
          <w:sz w:val="72"/>
          <w:szCs w:val="72"/>
          <w:highlight w:val="none"/>
          <w:lang w:val="zh-CN"/>
        </w:rPr>
        <w:t xml:space="preserve">招 标 文 件</w:t>
      </w:r>
      <w:r/>
    </w:p>
    <w:p>
      <w:pPr>
        <w:pStyle w:val="819"/>
        <w:ind w:left="2766" w:hanging="1506"/>
        <w:spacing w:beforeAutospacing="0" w:afterAutospacing="0" w:line="360" w:lineRule="auto"/>
        <w:widowControl/>
        <w:rPr>
          <w:rStyle w:val="824"/>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19"/>
        <w:ind w:left="2766" w:hanging="1506"/>
        <w:spacing w:beforeAutospacing="0" w:afterAutospacing="0" w:line="360" w:lineRule="auto"/>
        <w:widowControl/>
        <w:rPr>
          <w:rStyle w:val="824"/>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19"/>
        <w:ind w:left="2766" w:hanging="1506"/>
        <w:spacing w:beforeAutospacing="0" w:afterAutospacing="0" w:line="360" w:lineRule="auto"/>
        <w:widowControl/>
        <w:rPr>
          <w:rStyle w:val="824"/>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19"/>
        <w:ind w:left="2766" w:hanging="1506"/>
        <w:spacing w:beforeAutospacing="0" w:afterAutospacing="0" w:line="360" w:lineRule="auto"/>
        <w:widowControl/>
        <w:rPr>
          <w:rStyle w:val="824"/>
          <w:rFonts w:hint="eastAsia" w:ascii="宋体" w:hAnsi="宋体" w:cs="宋体"/>
          <w:color w:val="auto"/>
          <w:sz w:val="30"/>
          <w:szCs w:val="30"/>
          <w:highlight w:val="none"/>
        </w:rPr>
      </w:pPr>
      <w:r>
        <w:rPr>
          <w:rFonts w:hint="eastAsia" w:ascii="宋体" w:hAnsi="宋体" w:cs="宋体"/>
          <w:color w:val="auto"/>
          <w:sz w:val="30"/>
          <w:szCs w:val="30"/>
          <w:highlight w:val="none"/>
        </w:rPr>
      </w:r>
      <w:r/>
    </w:p>
    <w:p>
      <w:pPr>
        <w:pStyle w:val="819"/>
        <w:ind w:left="2766" w:hanging="1506"/>
        <w:spacing w:beforeAutospacing="0" w:afterAutospacing="0" w:line="360" w:lineRule="auto"/>
        <w:widowControl/>
        <w:rPr>
          <w:rFonts w:hint="eastAsia" w:ascii="宋体" w:hAnsi="宋体" w:cs="宋体"/>
          <w:color w:val="auto"/>
          <w:sz w:val="30"/>
          <w:szCs w:val="30"/>
          <w:highlight w:val="none"/>
          <w:lang w:val="zh-CN"/>
        </w:rPr>
      </w:pPr>
      <w:r>
        <w:rPr>
          <w:rStyle w:val="824"/>
          <w:rFonts w:hint="eastAsia" w:ascii="宋体" w:hAnsi="宋体" w:cs="宋体"/>
          <w:color w:val="auto"/>
          <w:sz w:val="30"/>
          <w:szCs w:val="30"/>
          <w:highlight w:val="none"/>
        </w:rPr>
        <w:t xml:space="preserve">采购编号：</w:t>
      </w:r>
      <w:r>
        <w:rPr>
          <w:rFonts w:hint="eastAsia" w:ascii="宋体" w:hAnsi="宋体" w:cs="宋体"/>
          <w:color w:val="auto"/>
          <w:sz w:val="30"/>
          <w:szCs w:val="30"/>
          <w:highlight w:val="none"/>
          <w:lang w:val="zh-CN"/>
        </w:rPr>
        <w:t xml:space="preserve">JSZC-320507-SZBC-G2025-0006</w:t>
      </w:r>
      <w:r/>
    </w:p>
    <w:p>
      <w:pPr>
        <w:pStyle w:val="819"/>
        <w:ind w:left="2766" w:hanging="1506"/>
        <w:spacing w:beforeAutospacing="0" w:afterAutospacing="0" w:line="360" w:lineRule="auto"/>
        <w:widowControl/>
        <w:rPr>
          <w:rStyle w:val="824"/>
          <w:rFonts w:hint="eastAsia" w:ascii="宋体" w:hAnsi="宋体" w:cs="宋体"/>
          <w:color w:val="auto"/>
          <w:sz w:val="30"/>
          <w:szCs w:val="30"/>
          <w:highlight w:val="none"/>
        </w:rPr>
      </w:pPr>
      <w:r>
        <w:rPr>
          <w:rStyle w:val="824"/>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val="zh-CN"/>
        </w:rPr>
        <w:t xml:space="preserve">2025年经开区中小学（幼儿园）保安服务</w:t>
      </w:r>
      <w:r/>
    </w:p>
    <w:p>
      <w:pPr>
        <w:pStyle w:val="819"/>
        <w:ind w:left="2766" w:hanging="1506"/>
        <w:spacing w:beforeAutospacing="0" w:afterAutospacing="0" w:line="360" w:lineRule="auto"/>
        <w:widowControl/>
        <w:rPr>
          <w:rFonts w:hint="eastAsia" w:ascii="宋体" w:hAnsi="宋体" w:cs="宋体"/>
          <w:color w:val="auto"/>
          <w:highlight w:val="none"/>
        </w:rPr>
      </w:pPr>
      <w:r>
        <w:rPr>
          <w:rStyle w:val="824"/>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lang w:val="zh-CN"/>
        </w:rPr>
        <w:t xml:space="preserve">苏州相城经济技术开发区管理委员会</w:t>
      </w:r>
      <w:r/>
    </w:p>
    <w:p>
      <w:pPr>
        <w:pStyle w:val="819"/>
        <w:ind w:left="2766" w:hanging="1506"/>
        <w:spacing w:beforeAutospacing="0" w:afterAutospacing="0" w:line="360" w:lineRule="auto"/>
        <w:widowControl/>
        <w:rPr>
          <w:rFonts w:hint="eastAsia" w:ascii="宋体" w:hAnsi="宋体" w:cs="宋体"/>
          <w:color w:val="auto"/>
          <w:highlight w:val="none"/>
        </w:rPr>
      </w:pPr>
      <w:r>
        <w:rPr>
          <w:rStyle w:val="824"/>
          <w:rFonts w:hint="eastAsia" w:ascii="宋体" w:hAnsi="宋体" w:cs="宋体"/>
          <w:color w:val="auto"/>
          <w:sz w:val="30"/>
          <w:szCs w:val="30"/>
          <w:highlight w:val="none"/>
        </w:rPr>
        <w:t xml:space="preserve">采购类别：</w:t>
      </w:r>
      <w:r>
        <w:rPr>
          <w:rFonts w:hint="eastAsia" w:ascii="宋体" w:hAnsi="宋体" w:cs="宋体"/>
          <w:color w:val="auto"/>
          <w:sz w:val="30"/>
          <w:szCs w:val="30"/>
          <w:highlight w:val="none"/>
          <w:lang w:val="zh-CN"/>
        </w:rPr>
        <w:t xml:space="preserve">服务类</w:t>
      </w:r>
      <w:r/>
    </w:p>
    <w:p>
      <w:pPr>
        <w:pStyle w:val="819"/>
        <w:jc w:val="center"/>
        <w:spacing w:beforeAutospacing="0" w:afterAutospacing="0" w:line="360" w:lineRule="auto"/>
        <w:widowControl/>
        <w:rPr>
          <w:rFonts w:hint="eastAsia" w:ascii="宋体" w:hAnsi="宋体" w:cs="宋体"/>
          <w:color w:val="auto"/>
          <w:highlight w:val="none"/>
        </w:rPr>
      </w:pPr>
      <w:r>
        <w:rPr>
          <w:rFonts w:hint="eastAsia" w:ascii="宋体" w:hAnsi="宋体" w:cs="宋体"/>
          <w:color w:val="auto"/>
          <w:highlight w:val="none"/>
        </w:rPr>
        <w:t xml:space="preserve"> </w:t>
      </w:r>
      <w:r/>
    </w:p>
    <w:p>
      <w:pPr>
        <w:pStyle w:val="819"/>
        <w:jc w:val="center"/>
        <w:spacing w:beforeAutospacing="0" w:afterAutospacing="0" w:line="360" w:lineRule="auto"/>
        <w:widowControl/>
        <w:rPr>
          <w:rFonts w:hint="eastAsia" w:ascii="宋体" w:hAnsi="宋体" w:cs="宋体"/>
          <w:color w:val="auto"/>
          <w:highlight w:val="none"/>
        </w:rPr>
      </w:pPr>
      <w:r>
        <w:rPr>
          <w:rFonts w:hint="eastAsia" w:ascii="宋体" w:hAnsi="宋体" w:cs="宋体"/>
          <w:color w:val="auto"/>
          <w:highlight w:val="none"/>
        </w:rPr>
      </w:r>
      <w:r/>
    </w:p>
    <w:p>
      <w:pPr>
        <w:pStyle w:val="819"/>
        <w:jc w:val="center"/>
        <w:spacing w:beforeAutospacing="0" w:afterAutospacing="0" w:line="360" w:lineRule="auto"/>
        <w:widowControl/>
        <w:rPr>
          <w:rFonts w:hint="eastAsia" w:ascii="宋体" w:hAnsi="宋体" w:cs="宋体"/>
          <w:color w:val="auto"/>
          <w:highlight w:val="none"/>
        </w:rPr>
      </w:pPr>
      <w:r>
        <w:rPr>
          <w:rFonts w:hint="eastAsia" w:ascii="宋体" w:hAnsi="宋体" w:cs="宋体"/>
          <w:color w:val="auto"/>
          <w:highlight w:val="none"/>
        </w:rPr>
      </w:r>
      <w:r/>
    </w:p>
    <w:p>
      <w:pPr>
        <w:pStyle w:val="819"/>
        <w:jc w:val="center"/>
        <w:spacing w:beforeAutospacing="0" w:afterAutospacing="0" w:line="360" w:lineRule="auto"/>
        <w:widowControl/>
        <w:rPr>
          <w:rFonts w:hint="eastAsia" w:ascii="宋体" w:hAnsi="宋体" w:cs="宋体"/>
          <w:color w:val="auto"/>
          <w:highlight w:val="none"/>
        </w:rPr>
      </w:pPr>
      <w:r>
        <w:rPr>
          <w:rFonts w:hint="eastAsia" w:ascii="宋体" w:hAnsi="宋体" w:cs="宋体"/>
          <w:color w:val="auto"/>
          <w:highlight w:val="none"/>
        </w:rPr>
      </w:r>
      <w:r/>
    </w:p>
    <w:p>
      <w:pPr>
        <w:pStyle w:val="819"/>
        <w:jc w:val="center"/>
        <w:spacing w:beforeAutospacing="0" w:afterAutospacing="0" w:line="360" w:lineRule="auto"/>
        <w:widowControl/>
        <w:rPr>
          <w:rStyle w:val="824"/>
          <w:rFonts w:hint="eastAsia" w:ascii="宋体" w:hAnsi="宋体" w:cs="宋体"/>
          <w:color w:val="auto"/>
          <w:sz w:val="28"/>
          <w:szCs w:val="28"/>
          <w:highlight w:val="none"/>
        </w:rPr>
      </w:pPr>
      <w:r>
        <w:rPr>
          <w:rFonts w:hint="eastAsia" w:ascii="宋体" w:hAnsi="宋体" w:cs="宋体"/>
          <w:color w:val="auto"/>
          <w:sz w:val="30"/>
          <w:szCs w:val="30"/>
          <w:highlight w:val="none"/>
          <w:lang w:val="zh-CN"/>
        </w:rPr>
        <w:t xml:space="preserve">苏州秉诚工程造价咨询有限公司</w:t>
      </w:r>
      <w:r/>
    </w:p>
    <w:p>
      <w:pPr>
        <w:jc w:val="center"/>
        <w:spacing w:line="360" w:lineRule="auto"/>
        <w:rPr>
          <w:rFonts w:hint="eastAsia" w:ascii="宋体" w:hAnsi="宋体" w:cs="宋体"/>
          <w:color w:val="auto"/>
          <w:sz w:val="30"/>
          <w:szCs w:val="30"/>
          <w:highlight w:val="none"/>
        </w:rPr>
        <w:sectPr>
          <w:headerReference w:type="default" r:id="rId9"/>
          <w:footerReference w:type="default" r:id="rId11"/>
          <w:footnotePr/>
          <w:endnotePr/>
          <w:type w:val="nextPage"/>
          <w:pgSz w:w="11906" w:h="16838" w:orient="portrait"/>
          <w:pgMar w:top="1440" w:right="1417" w:bottom="1440" w:left="1417" w:header="964" w:footer="964" w:gutter="0"/>
          <w:cols w:num="1" w:sep="0" w:space="720" w:equalWidth="1"/>
          <w:docGrid w:linePitch="360"/>
        </w:sectPr>
      </w:pPr>
      <w:r/>
      <w:bookmarkStart w:id="1" w:name="XTSCRQ_1"/>
      <w:r>
        <w:rPr>
          <w:rFonts w:hint="eastAsia" w:ascii="宋体" w:hAnsi="宋体" w:cs="宋体"/>
          <w:color w:val="auto"/>
          <w:sz w:val="30"/>
          <w:szCs w:val="30"/>
          <w:highlight w:val="none"/>
        </w:rPr>
        <w:t xml:space="preserve">二○二</w:t>
      </w:r>
      <w:r>
        <w:rPr>
          <w:rFonts w:hint="eastAsia" w:ascii="宋体" w:hAnsi="宋体" w:cs="宋体"/>
          <w:color w:val="auto"/>
          <w:sz w:val="30"/>
          <w:szCs w:val="30"/>
          <w:highlight w:val="none"/>
          <w:lang w:val="en-US" w:eastAsia="zh-CN"/>
        </w:rPr>
        <w:t xml:space="preserve">五</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七</w:t>
      </w:r>
      <w:r>
        <w:rPr>
          <w:rFonts w:hint="eastAsia" w:ascii="宋体" w:hAnsi="宋体" w:cs="宋体"/>
          <w:color w:val="auto"/>
          <w:sz w:val="30"/>
          <w:szCs w:val="30"/>
          <w:highlight w:val="none"/>
        </w:rPr>
        <w:t xml:space="preserve">月</w:t>
      </w:r>
      <w:bookmarkEnd w:id="1"/>
      <w:r/>
      <w:r/>
    </w:p>
    <w:p>
      <w:pPr>
        <w:pStyle w:val="810"/>
        <w:jc w:val="center"/>
        <w:pageBreakBefore/>
        <w:spacing w:line="360" w:lineRule="auto"/>
        <w:tabs>
          <w:tab w:val="right" w:pos="8302" w:leader="dot"/>
        </w:tabs>
        <w:rPr>
          <w:rStyle w:val="824"/>
          <w:rFonts w:hint="eastAsia" w:ascii="宋体" w:hAnsi="宋体" w:cs="宋体"/>
          <w:bCs/>
          <w:color w:val="auto"/>
          <w:sz w:val="32"/>
          <w:szCs w:val="32"/>
          <w:highlight w:val="none"/>
        </w:rPr>
      </w:pPr>
      <w:r>
        <w:rPr>
          <w:rStyle w:val="824"/>
          <w:rFonts w:hint="eastAsia" w:ascii="宋体" w:hAnsi="宋体" w:cs="宋体"/>
          <w:bCs/>
          <w:color w:val="auto"/>
          <w:sz w:val="32"/>
          <w:szCs w:val="32"/>
          <w:highlight w:val="none"/>
        </w:rPr>
        <w:t xml:space="preserve">前附表</w:t>
      </w:r>
      <w:bookmarkEnd w:id="0"/>
      <w:r/>
      <w:r/>
    </w:p>
    <w:tbl>
      <w:tblPr>
        <w:tblStyle w:val="790"/>
        <w:tblW w:w="5171" w:type="pct"/>
        <w:jc w:val="center"/>
        <w:tblLayout w:type="fixed"/>
        <w:tblCellMar>
          <w:left w:w="108" w:type="dxa"/>
          <w:top w:w="0" w:type="dxa"/>
          <w:right w:w="108" w:type="dxa"/>
          <w:bottom w:w="0" w:type="dxa"/>
        </w:tblCellMar>
        <w:tblLook w:val="04A0" w:firstRow="1" w:lastRow="0" w:firstColumn="1" w:lastColumn="0" w:noHBand="0" w:noVBand="1"/>
      </w:tblPr>
      <w:tblGrid>
        <w:gridCol w:w="652"/>
        <w:gridCol w:w="1724"/>
        <w:gridCol w:w="7230"/>
      </w:tblGrid>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项号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名称</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jc w:val="center"/>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内      容</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招标编号</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JSZC-320507-SZBC-G2025-0006号</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招标内容</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hint="eastAsia" w:ascii="宋体" w:hAnsi="宋体" w:cs="宋体"/>
                <w:color w:val="auto"/>
                <w:highlight w:val="none"/>
              </w:rPr>
            </w:pPr>
            <w:r>
              <w:rPr>
                <w:rFonts w:hint="eastAsia" w:ascii="宋体" w:hAnsi="宋体" w:cs="宋体"/>
                <w:color w:val="auto"/>
                <w:szCs w:val="21"/>
                <w:highlight w:val="none"/>
                <w:lang w:val="zh-CN"/>
              </w:rPr>
              <w:t xml:space="preserve">2025年经开区中小学（幼儿园）保安服务</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投标有效期</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hint="eastAsia" w:ascii="宋体" w:hAnsi="宋体" w:cs="宋体"/>
                <w:color w:val="auto"/>
                <w:szCs w:val="21"/>
                <w:highlight w:val="none"/>
                <w:lang w:val="zh-CN"/>
              </w:rPr>
            </w:pPr>
            <w:r>
              <w:rPr>
                <w:rFonts w:hint="eastAsia" w:ascii="宋体" w:hAnsi="宋体" w:cs="宋体"/>
                <w:color w:val="auto"/>
                <w:highlight w:val="none"/>
              </w:rPr>
              <w:t xml:space="preserve">六十天（日历日）</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投标保证金</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pStyle w:val="805"/>
              <w:rPr>
                <w:rFonts w:hint="eastAsia" w:ascii="宋体" w:hAnsi="宋体" w:cs="宋体"/>
                <w:bCs w:val="0"/>
                <w:color w:val="auto"/>
                <w:spacing w:val="0"/>
                <w:sz w:val="21"/>
                <w:szCs w:val="21"/>
                <w:highlight w:val="none"/>
              </w:rPr>
            </w:pPr>
            <w:r>
              <w:rPr>
                <w:rStyle w:val="1020"/>
                <w:rFonts w:ascii="Wingdings" w:hAnsi="Wingdings" w:eastAsia="Wingdings" w:cs="Wingdings"/>
                <w:bCs w:val="0"/>
                <w:color w:val="auto"/>
                <w:spacing w:val="0"/>
                <w:sz w:val="21"/>
                <w:szCs w:val="21"/>
                <w:highlight w:val="none"/>
              </w:rPr>
              <w:t xml:space="preserve">þ</w:t>
            </w:r>
            <w:r>
              <w:rPr>
                <w:rStyle w:val="1020"/>
                <w:rFonts w:hint="eastAsia" w:ascii="宋体" w:hAnsi="宋体" w:cs="宋体"/>
                <w:bCs w:val="0"/>
                <w:color w:val="auto"/>
                <w:spacing w:val="0"/>
                <w:sz w:val="21"/>
                <w:szCs w:val="21"/>
                <w:highlight w:val="none"/>
              </w:rPr>
              <w:t xml:space="preserve">不需提交，招标文件中有关投标保证金的规定均不适用。</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pStyle w:val="797"/>
              <w:jc w:val="center"/>
              <w:spacing w:after="0"/>
              <w:rPr>
                <w:rFonts w:hint="eastAsia" w:ascii="宋体" w:hAnsi="宋体" w:cs="宋体"/>
                <w:color w:val="auto"/>
                <w:sz w:val="21"/>
                <w:highlight w:val="none"/>
              </w:rPr>
            </w:pPr>
            <w:r>
              <w:rPr>
                <w:rFonts w:hint="eastAsia" w:ascii="宋体" w:hAnsi="宋体" w:cs="宋体"/>
                <w:color w:val="auto"/>
                <w:sz w:val="21"/>
                <w:highlight w:val="none"/>
              </w:rPr>
              <w:t xml:space="preserve">招标代理机构</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val="zh-CN"/>
              </w:rPr>
              <w:t xml:space="preserve">苏州秉诚工程造价咨询有限公司</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地  址： 苏州相城区南天成路55号相融大厦</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层   邮编：2150</w:t>
            </w:r>
            <w:r>
              <w:rPr>
                <w:rFonts w:hint="eastAsia" w:ascii="宋体" w:hAnsi="宋体" w:cs="宋体"/>
                <w:color w:val="auto"/>
                <w:szCs w:val="21"/>
                <w:highlight w:val="none"/>
                <w:lang w:val="en-US" w:eastAsia="zh-CN"/>
              </w:rPr>
              <w:t xml:space="preserve">00</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电话：0512-68780552</w:t>
            </w:r>
            <w:r/>
          </w:p>
          <w:p>
            <w:pPr>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联系人：丁莎莎、梁青松</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6</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tabs>
                <w:tab w:val="left" w:pos="3600" w:leader="none"/>
              </w:tabs>
              <w:rPr>
                <w:rFonts w:hint="eastAsia" w:ascii="宋体" w:hAnsi="宋体" w:cs="宋体"/>
                <w:color w:val="auto"/>
                <w:highlight w:val="none"/>
                <w:lang w:val="zh-CN"/>
              </w:rPr>
            </w:pPr>
            <w:r>
              <w:rPr>
                <w:rFonts w:hint="eastAsia" w:ascii="宋体" w:hAnsi="宋体" w:cs="宋体"/>
                <w:color w:val="auto"/>
                <w:highlight w:val="none"/>
              </w:rPr>
              <w:t xml:space="preserve">采购单位</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名称：</w:t>
            </w:r>
            <w:r>
              <w:rPr>
                <w:rFonts w:hint="eastAsia" w:ascii="宋体" w:hAnsi="宋体" w:cs="宋体"/>
                <w:color w:val="auto"/>
                <w:szCs w:val="21"/>
                <w:highlight w:val="none"/>
                <w:lang w:eastAsia="zh-CN"/>
              </w:rPr>
              <w:t xml:space="preserve">苏州相城经济技术开发区管理委员会</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地址：</w:t>
            </w:r>
            <w:r>
              <w:rPr>
                <w:rFonts w:hint="eastAsia" w:ascii="宋体" w:hAnsi="宋体" w:cs="宋体"/>
                <w:color w:val="auto"/>
                <w:szCs w:val="21"/>
                <w:highlight w:val="none"/>
                <w:lang w:eastAsia="zh-CN"/>
              </w:rPr>
              <w:t xml:space="preserve">苏州市相城区蠡塘河路900号</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 xml:space="preserve">联系人：</w:t>
            </w:r>
            <w:r>
              <w:rPr>
                <w:rFonts w:hint="eastAsia" w:ascii="宋体" w:hAnsi="宋体" w:cs="宋体"/>
                <w:color w:val="auto"/>
                <w:szCs w:val="21"/>
                <w:highlight w:val="none"/>
                <w:lang w:eastAsia="zh-CN"/>
              </w:rPr>
              <w:t xml:space="preserve">顾琴琴</w:t>
            </w:r>
            <w:r/>
          </w:p>
          <w:p>
            <w:pPr>
              <w:spacing w:line="360" w:lineRule="auto"/>
              <w:rPr>
                <w:rFonts w:hint="eastAsia" w:ascii="宋体" w:hAnsi="宋体" w:eastAsia="宋体" w:cs="宋体"/>
                <w:color w:val="auto"/>
                <w:highlight w:val="none"/>
                <w:lang w:eastAsia="zh-CN"/>
              </w:rPr>
            </w:pPr>
            <w:r>
              <w:rPr>
                <w:rFonts w:hint="eastAsia" w:ascii="宋体" w:hAnsi="宋体" w:cs="宋体"/>
                <w:color w:val="auto"/>
                <w:szCs w:val="21"/>
                <w:highlight w:val="none"/>
              </w:rPr>
              <w:t xml:space="preserve">联系电话：</w:t>
            </w:r>
            <w:r>
              <w:rPr>
                <w:rFonts w:hint="eastAsia" w:ascii="宋体" w:hAnsi="宋体" w:cs="宋体"/>
                <w:color w:val="auto"/>
                <w:szCs w:val="21"/>
                <w:highlight w:val="none"/>
                <w:lang w:eastAsia="zh-CN"/>
              </w:rPr>
              <w:t xml:space="preserve">0512-69575067</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7</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投标文件组成</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t xml:space="preserve">详见招标文件第二章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8</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获取招标文件</w:t>
            </w:r>
            <w:r/>
          </w:p>
          <w:p>
            <w:pPr>
              <w:jc w:val="center"/>
              <w:rPr>
                <w:rFonts w:hint="eastAsia" w:ascii="宋体" w:hAnsi="宋体" w:cs="宋体"/>
                <w:color w:val="auto"/>
                <w:highlight w:val="none"/>
              </w:rPr>
            </w:pPr>
            <w:r>
              <w:rPr>
                <w:rFonts w:hint="eastAsia" w:ascii="宋体" w:hAnsi="宋体" w:cs="宋体"/>
                <w:color w:val="auto"/>
                <w:szCs w:val="21"/>
                <w:highlight w:val="none"/>
              </w:rPr>
              <w:t xml:space="preserve">时间</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hint="eastAsia" w:ascii="宋体" w:hAnsi="宋体" w:cs="宋体"/>
                <w:color w:val="auto"/>
                <w:highlight w:val="none"/>
              </w:rPr>
            </w:pPr>
            <w:r>
              <w:rPr>
                <w:rFonts w:hint="eastAsia" w:ascii="宋体" w:hAnsi="宋体" w:cs="宋体"/>
                <w:color w:val="auto"/>
                <w:szCs w:val="21"/>
                <w:highlight w:val="none"/>
              </w:rPr>
              <w:t xml:space="preserve">自公告发布之日起5个工作日</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9</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投标文件网上</w:t>
            </w:r>
            <w:r/>
          </w:p>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提交截止时间</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2025年8月20日13：30</w:t>
            </w:r>
            <w:r>
              <w:rPr>
                <w:rFonts w:hint="eastAsia" w:ascii="宋体" w:hAnsi="宋体" w:cs="宋体"/>
                <w:color w:val="auto"/>
                <w:szCs w:val="21"/>
                <w:highlight w:val="none"/>
              </w:rPr>
              <w:t xml:space="preserve">（北京时间）</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投标文件必须在截止时间前完成提交（上传），逾期提交（上传）的投标文件恕不接受。</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10</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开标时间</w:t>
            </w:r>
            <w:r/>
          </w:p>
          <w:p>
            <w:pPr>
              <w:jc w:val="center"/>
              <w:rPr>
                <w:rFonts w:hint="eastAsia" w:ascii="宋体" w:hAnsi="宋体" w:cs="宋体"/>
                <w:color w:val="auto"/>
                <w:highlight w:val="none"/>
              </w:rPr>
            </w:pPr>
            <w:r>
              <w:rPr>
                <w:rFonts w:hint="eastAsia" w:ascii="宋体" w:hAnsi="宋体" w:cs="宋体"/>
                <w:color w:val="auto"/>
                <w:szCs w:val="21"/>
                <w:highlight w:val="none"/>
              </w:rPr>
              <w:t xml:space="preserve">开标地点</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2025年8月20日13：30</w:t>
            </w:r>
            <w:r>
              <w:rPr>
                <w:rFonts w:hint="eastAsia" w:ascii="宋体" w:hAnsi="宋体" w:cs="宋体"/>
                <w:color w:val="auto"/>
                <w:szCs w:val="21"/>
                <w:highlight w:val="none"/>
              </w:rPr>
              <w:t xml:space="preserve">（北京时间）</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“苏采云”系统</w:t>
            </w:r>
            <w:r/>
          </w:p>
          <w:p>
            <w:pPr>
              <w:spacing w:line="360" w:lineRule="auto"/>
              <w:rPr>
                <w:rFonts w:hint="eastAsia" w:ascii="宋体" w:hAnsi="宋体" w:cs="宋体"/>
                <w:b/>
                <w:bCs/>
                <w:color w:val="auto"/>
                <w:highlight w:val="none"/>
              </w:rPr>
            </w:pPr>
            <w:r>
              <w:rPr>
                <w:rFonts w:hint="eastAsia" w:ascii="宋体" w:hAnsi="宋体" w:cs="宋体"/>
                <w:b/>
                <w:bCs/>
                <w:color w:val="auto"/>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1</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投标文件份数</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本项目采用电子投标文件，投标人按照招标文件要求制作上传电子投标文件，投标人无需提供纸质投标文件。</w:t>
            </w:r>
            <w:r/>
          </w:p>
          <w:p>
            <w:pPr>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中标后5个工作日内，中标单位向招标代理机构提供与电子投标文件内容一致的纸质投标文件肆份。</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履约保证金</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hint="eastAsia" w:ascii="宋体" w:hAnsi="宋体" w:cs="宋体"/>
                <w:color w:val="auto"/>
                <w:highlight w:val="none"/>
              </w:rPr>
            </w:pPr>
            <w:r>
              <w:rPr>
                <w:rFonts w:hint="eastAsia" w:ascii="宋体" w:hAnsi="宋体" w:cs="宋体"/>
                <w:color w:val="auto"/>
                <w:szCs w:val="21"/>
                <w:highlight w:val="none"/>
              </w:rPr>
              <w:t xml:space="preserve">按合同约定，未做说明的则为无。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3</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szCs w:val="21"/>
                <w:highlight w:val="none"/>
              </w:rPr>
              <w:t xml:space="preserve">中标通知书</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确定出中标人后，采购代理机构在法定时间内向中标人发出中标通知书。中标通知书将成为合同的组成部分。</w:t>
            </w:r>
            <w:r/>
          </w:p>
          <w:p>
            <w:pPr>
              <w:spacing w:line="360" w:lineRule="auto"/>
              <w:rPr>
                <w:rFonts w:hint="eastAsia" w:ascii="宋体" w:hAnsi="宋体" w:cs="宋体"/>
                <w:b/>
                <w:bCs/>
                <w:color w:val="auto"/>
                <w:highlight w:val="none"/>
              </w:rPr>
            </w:pPr>
            <w:r>
              <w:rPr>
                <w:rFonts w:hint="eastAsia" w:ascii="宋体" w:hAnsi="宋体" w:cs="宋体"/>
                <w:b/>
                <w:bCs/>
                <w:color w:val="auto"/>
                <w:szCs w:val="21"/>
                <w:highlight w:val="none"/>
              </w:rPr>
              <w:t xml:space="preserve">请中标人在中标结果公告届满之日起30日内,使用CA证书登录“苏采云”系统及时下载中标通知书。</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中标服务费</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由中标单位在领取中标通知书时付清：</w:t>
            </w:r>
            <w:r/>
          </w:p>
          <w:p>
            <w:pPr>
              <w:spacing w:line="36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rPr>
              <w:t xml:space="preserve">本项目采购代理服务费按</w:t>
            </w:r>
            <w:r>
              <w:rPr>
                <w:rFonts w:hint="eastAsia" w:ascii="宋体" w:hAnsi="宋体" w:cs="宋体"/>
                <w:color w:val="auto"/>
                <w:szCs w:val="21"/>
                <w:highlight w:val="none"/>
                <w:lang w:val="en-US" w:eastAsia="zh-CN"/>
              </w:rPr>
              <w:t xml:space="preserve">苏州政府采购网公示</w:t>
            </w:r>
            <w:r>
              <w:rPr>
                <w:rFonts w:hint="eastAsia" w:ascii="宋体" w:hAnsi="宋体" w:cs="宋体"/>
                <w:color w:val="auto"/>
                <w:szCs w:val="21"/>
                <w:highlight w:val="none"/>
              </w:rPr>
              <w:t xml:space="preserve">的收费标准收取，由中标供应商领取中标通知书时向采购代理机构一次性付清，预算金额100万元以下部分，费率为该部分预算金额的1.5%；100～500万元以内1.1%差额定率累进法计算,预算金额500万元（含）-1000万元部分，费率为该部分预算金额的0.8%；如按上述方法计算的金额低于人民币3500元整的，则代理服务费按人民币3500元整计收。</w:t>
            </w:r>
            <w:r>
              <w:rPr>
                <w:rFonts w:hint="eastAsia" w:ascii="宋体" w:hAnsi="宋体" w:cs="宋体"/>
                <w:color w:val="auto"/>
                <w:szCs w:val="21"/>
                <w:highlight w:val="none"/>
                <w:lang w:val="en-US" w:eastAsia="zh-CN"/>
              </w:rPr>
              <w:t xml:space="preserve">本项目代理服务费为：84614.95元</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账户名称： 苏州秉诚工程造价咨询有限公司</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银行账号： </w:t>
            </w:r>
            <w:r>
              <w:rPr>
                <w:rFonts w:ascii="宋体" w:hAnsi="宋体" w:cs="宋体"/>
                <w:color w:val="auto"/>
                <w:szCs w:val="21"/>
                <w:highlight w:val="none"/>
              </w:rPr>
              <w:t xml:space="preserve">75050122000316277</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开户银行： 宁波银行股份有限公司苏州高新技术产业开发区支行</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行号：313305016628</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评分标准</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按招标文件。</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评标方法</w:t>
            </w:r>
            <w:r/>
          </w:p>
        </w:tc>
        <w:tc>
          <w:tcPr>
            <w:tcBorders>
              <w:top w:val="single" w:color="auto" w:sz="6" w:space="0"/>
              <w:left w:val="single" w:color="auto" w:sz="6" w:space="0"/>
              <w:bottom w:val="single" w:color="auto" w:sz="6" w:space="0"/>
              <w:right w:val="single" w:color="auto" w:sz="6" w:space="0"/>
            </w:tcBorders>
            <w:tcW w:w="7230" w:type="dxa"/>
            <w:vAlign w:val="center"/>
            <w:textDirection w:val="lrTb"/>
            <w:noWrap w:val="false"/>
          </w:tcPr>
          <w:p>
            <w:pPr>
              <w:rPr>
                <w:rFonts w:hint="eastAsia" w:ascii="宋体" w:hAnsi="宋体" w:cs="宋体"/>
                <w:color w:val="auto"/>
                <w:highlight w:val="none"/>
              </w:rPr>
            </w:pPr>
            <w:r>
              <w:rPr>
                <w:rFonts w:hint="eastAsia" w:ascii="宋体" w:hAnsi="宋体" w:cs="宋体"/>
                <w:color w:val="auto"/>
                <w:highlight w:val="none"/>
              </w:rPr>
              <w:t xml:space="preserve">综合评分法。</w:t>
            </w:r>
            <w:r/>
          </w:p>
        </w:tc>
      </w:tr>
    </w:tbl>
    <w:p>
      <w:pPr>
        <w:pStyle w:val="819"/>
        <w:spacing w:beforeAutospacing="0" w:afterAutospacing="0" w:line="360" w:lineRule="auto"/>
        <w:widowControl/>
        <w:rPr>
          <w:rFonts w:hint="eastAsia" w:ascii="宋体" w:hAnsi="宋体" w:cs="宋体"/>
          <w:color w:val="auto"/>
          <w:highlight w:val="none"/>
        </w:rPr>
      </w:pPr>
      <w:r>
        <w:rPr>
          <w:rFonts w:hint="eastAsia" w:ascii="宋体" w:hAnsi="宋体" w:cs="宋体"/>
          <w:color w:val="auto"/>
          <w:highlight w:val="none"/>
        </w:rPr>
      </w:r>
      <w:r/>
    </w:p>
    <w:p>
      <w:pPr>
        <w:pStyle w:val="819"/>
        <w:spacing w:beforeAutospacing="0" w:afterAutospacing="0" w:line="360" w:lineRule="auto"/>
        <w:widowControl/>
        <w:rPr>
          <w:rFonts w:hint="eastAsia" w:ascii="宋体" w:hAnsi="宋体" w:cs="宋体"/>
          <w:color w:val="auto"/>
          <w:highlight w:val="none"/>
        </w:rPr>
      </w:pPr>
      <w:r>
        <w:rPr>
          <w:rFonts w:hint="eastAsia" w:ascii="宋体" w:hAnsi="宋体" w:cs="宋体"/>
          <w:color w:val="auto"/>
          <w:highlight w:val="none"/>
        </w:rPr>
      </w:r>
      <w:r/>
    </w:p>
    <w:p>
      <w:pPr>
        <w:jc w:val="center"/>
        <w:pageBreakBefore/>
        <w:spacing w:line="360" w:lineRule="auto"/>
        <w:tabs>
          <w:tab w:val="left" w:pos="315" w:leader="none"/>
          <w:tab w:val="center" w:pos="4153"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目    录</w:t>
      </w:r>
      <w:r/>
    </w:p>
    <w:p>
      <w:pPr>
        <w:jc w:val="center"/>
        <w:spacing w:line="360" w:lineRule="auto"/>
        <w:tabs>
          <w:tab w:val="left" w:pos="315" w:leader="none"/>
          <w:tab w:val="center" w:pos="4153" w:leader="none"/>
        </w:tabs>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81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第一章  投标邀请函</w:t>
      </w:r>
      <w:r/>
    </w:p>
    <w:p>
      <w:pPr>
        <w:pStyle w:val="81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第二章  投标人须知</w:t>
      </w:r>
      <w:r/>
    </w:p>
    <w:p>
      <w:pPr>
        <w:pStyle w:val="81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第三章  投标文件格式</w:t>
      </w:r>
      <w:r/>
    </w:p>
    <w:p>
      <w:pPr>
        <w:pStyle w:val="81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第四章  招标书</w:t>
      </w:r>
      <w:r/>
    </w:p>
    <w:p>
      <w:pPr>
        <w:pStyle w:val="810"/>
        <w:spacing w:line="360" w:lineRule="auto"/>
        <w:tabs>
          <w:tab w:val="right" w:pos="8302" w:leader="dot"/>
        </w:tabs>
        <w:rPr>
          <w:rFonts w:hint="eastAsia" w:ascii="宋体" w:hAnsi="宋体" w:eastAsia="宋体" w:cs="宋体"/>
          <w:color w:val="auto"/>
          <w:sz w:val="36"/>
          <w:szCs w:val="24"/>
          <w:highlight w:val="none"/>
        </w:rPr>
      </w:pPr>
      <w:r>
        <w:rPr>
          <w:rFonts w:hint="eastAsia" w:ascii="宋体" w:hAnsi="宋体" w:eastAsia="宋体" w:cs="宋体"/>
          <w:color w:val="auto"/>
          <w:sz w:val="36"/>
          <w:szCs w:val="24"/>
          <w:highlight w:val="none"/>
        </w:rPr>
        <w:t xml:space="preserve">第五章  合同文本</w:t>
      </w:r>
      <w:r/>
    </w:p>
    <w:p>
      <w:pPr>
        <w:pStyle w:val="810"/>
        <w:spacing w:line="360" w:lineRule="auto"/>
        <w:tabs>
          <w:tab w:val="right" w:pos="8302" w:leader="dot"/>
        </w:tabs>
        <w:rPr>
          <w:rFonts w:hint="eastAsia" w:ascii="宋体" w:hAnsi="宋体" w:eastAsia="宋体" w:cs="宋体"/>
          <w:color w:val="auto"/>
          <w:sz w:val="36"/>
          <w:szCs w:val="24"/>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 w:val="36"/>
          <w:szCs w:val="24"/>
          <w:highlight w:val="none"/>
        </w:rPr>
        <w:t xml:space="preserve">第六章  评标办法及评分标准</w:t>
      </w:r>
      <w:r/>
    </w:p>
    <w:p>
      <w:pPr>
        <w:pStyle w:val="810"/>
        <w:jc w:val="center"/>
        <w:pageBreakBefore/>
        <w:spacing w:line="360" w:lineRule="auto"/>
        <w:tabs>
          <w:tab w:val="right" w:pos="8302" w:leader="dot"/>
        </w:tabs>
        <w:rPr>
          <w:rStyle w:val="824"/>
          <w:rFonts w:hint="eastAsia" w:ascii="宋体" w:hAnsi="宋体" w:cs="宋体"/>
          <w:color w:val="auto"/>
          <w:sz w:val="32"/>
          <w:szCs w:val="32"/>
          <w:highlight w:val="none"/>
        </w:rPr>
        <w:outlineLvl w:val="0"/>
      </w:pPr>
      <w:r>
        <w:rPr>
          <w:rStyle w:val="824"/>
          <w:rFonts w:hint="eastAsia" w:ascii="宋体" w:hAnsi="宋体" w:cs="宋体"/>
          <w:color w:val="auto"/>
          <w:sz w:val="32"/>
          <w:szCs w:val="32"/>
          <w:highlight w:val="none"/>
        </w:rPr>
        <w:t xml:space="preserve">第一章  投标邀请函</w:t>
      </w:r>
      <w:r/>
    </w:p>
    <w:p>
      <w:pPr>
        <w:ind w:firstLine="420"/>
        <w:spacing w:line="360" w:lineRule="auto"/>
        <w:rPr>
          <w:rFonts w:hint="eastAsia"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rPr>
        <w:t xml:space="preserve">项目概况</w:t>
      </w:r>
      <w:r/>
    </w:p>
    <w:p>
      <w:pPr>
        <w:ind w:firstLine="420"/>
        <w:spacing w:line="360" w:lineRule="auto"/>
        <w:rPr>
          <w:rFonts w:hint="eastAsia" w:ascii="宋体" w:hAnsi="宋体" w:cs="宋体"/>
          <w:color w:val="auto"/>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lang w:eastAsia="zh-CN"/>
        </w:rPr>
        <w:t xml:space="preserve">2025年经开区中小学（幼儿园）保安服务</w:t>
      </w:r>
      <w:r>
        <w:rPr>
          <w:rFonts w:hint="eastAsia" w:ascii="宋体" w:hAnsi="宋体" w:cs="宋体"/>
          <w:color w:val="auto"/>
          <w:szCs w:val="21"/>
          <w:highlight w:val="none"/>
        </w:rPr>
        <w:t xml:space="preserve">招标项目的潜在投标人应在</w:t>
      </w:r>
      <w:r>
        <w:rPr>
          <w:rFonts w:hint="eastAsia" w:ascii="宋体" w:hAnsi="宋体" w:cs="宋体"/>
          <w:bCs/>
          <w:color w:val="auto"/>
          <w:szCs w:val="21"/>
          <w:highlight w:val="none"/>
          <w:u w:val="single"/>
        </w:rPr>
        <w:t xml:space="preserve">苏采云系统</w:t>
      </w:r>
      <w:r>
        <w:rPr>
          <w:rFonts w:hint="eastAsia" w:ascii="宋体" w:hAnsi="宋体" w:cs="宋体"/>
          <w:color w:val="auto"/>
          <w:szCs w:val="21"/>
          <w:highlight w:val="none"/>
        </w:rPr>
        <w:t xml:space="preserve">获取招标文件，并于</w:t>
      </w:r>
      <w:r>
        <w:rPr>
          <w:rFonts w:hint="eastAsia" w:ascii="宋体" w:hAnsi="宋体" w:cs="宋体"/>
          <w:color w:val="auto"/>
          <w:szCs w:val="21"/>
          <w:highlight w:val="none"/>
          <w:u w:val="single"/>
          <w:lang w:eastAsia="zh-CN"/>
        </w:rPr>
        <w:t xml:space="preserve">202</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lang w:eastAsia="zh-CN"/>
        </w:rPr>
        <w:t xml:space="preserve">年</w:t>
      </w:r>
      <w:r>
        <w:rPr>
          <w:rFonts w:hint="eastAsia" w:ascii="宋体" w:hAnsi="宋体" w:cs="宋体"/>
          <w:color w:val="auto"/>
          <w:szCs w:val="21"/>
          <w:highlight w:val="none"/>
          <w:u w:val="single"/>
          <w:lang w:val="en-US" w:eastAsia="zh-CN"/>
        </w:rPr>
        <w:t xml:space="preserve">8</w:t>
      </w:r>
      <w:r>
        <w:rPr>
          <w:rFonts w:hint="eastAsia" w:ascii="宋体" w:hAnsi="宋体" w:cs="宋体"/>
          <w:color w:val="auto"/>
          <w:szCs w:val="21"/>
          <w:highlight w:val="none"/>
          <w:u w:val="single"/>
          <w:lang w:eastAsia="zh-CN"/>
        </w:rPr>
        <w:t xml:space="preserve">月</w:t>
      </w:r>
      <w:r>
        <w:rPr>
          <w:rFonts w:hint="eastAsia" w:ascii="宋体" w:hAnsi="宋体" w:cs="宋体"/>
          <w:color w:val="auto"/>
          <w:szCs w:val="21"/>
          <w:highlight w:val="none"/>
          <w:u w:val="single"/>
          <w:lang w:val="en-US" w:eastAsia="zh-CN"/>
        </w:rPr>
        <w:t xml:space="preserve">20</w:t>
      </w:r>
      <w:r>
        <w:rPr>
          <w:rFonts w:hint="eastAsia" w:ascii="宋体" w:hAnsi="宋体" w:cs="宋体"/>
          <w:color w:val="auto"/>
          <w:szCs w:val="21"/>
          <w:highlight w:val="none"/>
          <w:u w:val="single"/>
          <w:lang w:eastAsia="zh-CN"/>
        </w:rPr>
        <w:t xml:space="preserve">日</w:t>
      </w:r>
      <w:r>
        <w:rPr>
          <w:rFonts w:hint="eastAsia" w:ascii="宋体" w:hAnsi="宋体" w:cs="宋体"/>
          <w:color w:val="auto"/>
          <w:szCs w:val="21"/>
          <w:highlight w:val="none"/>
          <w:u w:val="single"/>
        </w:rPr>
        <w:t xml:space="preserve">13点30分</w:t>
      </w:r>
      <w:r>
        <w:rPr>
          <w:rFonts w:hint="eastAsia" w:ascii="宋体" w:hAnsi="宋体" w:cs="宋体"/>
          <w:bCs/>
          <w:color w:val="auto"/>
          <w:szCs w:val="21"/>
          <w:highlight w:val="none"/>
          <w:u w:val="single"/>
        </w:rPr>
        <w:t xml:space="preserve">（</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pStyle w:val="781"/>
        <w:numPr>
          <w:ilvl w:val="0"/>
          <w:numId w:val="0"/>
        </w:numPr>
        <w:ind w:left="0" w:right="0" w:firstLine="0"/>
        <w:spacing w:before="0" w:after="105"/>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highlight w:val="white"/>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项目编号：JSZC-320507-SZBC-G2025-0006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项目名称：2025年经开区中小学（幼儿园）保安服务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预算金额：820.186900万元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最高限价（如有）：820.186900万元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采购需求：</w:t>
      </w:r>
      <w:r>
        <w:rPr>
          <w:rFonts w:ascii="FangSong" w:hAnsi="FangSong" w:eastAsia="FangSong" w:cs="FangSong"/>
          <w:color w:val="000000"/>
          <w:sz w:val="24"/>
          <w:highlight w:val="white"/>
        </w:rPr>
        <w:t xml:space="preserve">苏州相城经开区中小学（幼儿园）全年365天24小时安保服务</w:t>
      </w:r>
      <w:r>
        <w:rPr>
          <w:rFonts w:ascii="Calibri" w:hAnsi="Calibri" w:eastAsia="Calibri" w:cs="Calibri"/>
          <w:sz w:val="24"/>
        </w:rPr>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合同履行期限：12个月，具体开始时间以采购人要求为准。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本项目（是/否）接受联合体投标：否</w:t>
      </w:r>
      <w:r/>
    </w:p>
    <w:p>
      <w:pPr>
        <w:pStyle w:val="781"/>
        <w:numPr>
          <w:ilvl w:val="0"/>
          <w:numId w:val="0"/>
        </w:numPr>
        <w:ind w:left="0" w:right="0" w:firstLine="0"/>
        <w:spacing w:before="0" w:after="105"/>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highlight w:val="white"/>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（一）满足《中华人民共和国政府采购法》第二十二条规定：</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1.具有独立承担民事责任的能力；</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2.具有良好的商业信誉和健全的财务会计制度；</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3.具有履行合同所必需的设备和专业技术能力；</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4.有依法缴纳税收和社会保障资金的良好记录；</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5.参加政府采购活动前三年内，在经营活动中没有重大违法记录；</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6.法律、行政法规规定的其他条件。</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（二）落实政府采购政策需满足的资格要求：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1.根据《政府采购促进中小企业发展管理办法》的相关规定，本项目专门面向中小企业,所属行业为租赁和商务服务业,供应商所提供服务的所有承接商应为中小微企业、监狱企业、残疾人福利性单位。</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（三）本项目的特定资格要求：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1.未被“信用中国”网站（www.creditchina.gov.cn）列入失信被执行人、重大税收违法案件当事人名单、政府采购严重失信行为记录名单。</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2.本项目不接受联合体投标</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4.为采购项目提供整体设计、规范编制或者项目管理、监理、检测等服务的供应商，不得再参加该采购项目的其他采购活动；</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5.其他特定资格要求：投标单位具有有效期内的《保安服务许可证》；</w:t>
      </w:r>
      <w:r/>
    </w:p>
    <w:p>
      <w:pPr>
        <w:pStyle w:val="781"/>
        <w:numPr>
          <w:ilvl w:val="0"/>
          <w:numId w:val="0"/>
        </w:numPr>
        <w:ind w:left="0" w:right="0" w:firstLine="0"/>
        <w:spacing w:before="0" w:after="105"/>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highlight w:val="white"/>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地点：“苏采云”系统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方式：苏采云系统自行下载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售价：0.00元 </w:t>
      </w:r>
      <w:r/>
    </w:p>
    <w:p>
      <w:pPr>
        <w:pStyle w:val="781"/>
        <w:numPr>
          <w:ilvl w:val="0"/>
          <w:numId w:val="0"/>
        </w:numPr>
        <w:ind w:left="0" w:right="0" w:firstLine="0"/>
        <w:spacing w:before="0" w:after="105"/>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highlight w:val="white"/>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2025-08-20 13:30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地点：“苏采云”系统 </w:t>
      </w:r>
      <w:r/>
    </w:p>
    <w:p>
      <w:pPr>
        <w:pStyle w:val="781"/>
        <w:numPr>
          <w:ilvl w:val="0"/>
          <w:numId w:val="0"/>
        </w:numPr>
        <w:ind w:left="0" w:right="0" w:firstLine="0"/>
        <w:spacing w:before="0" w:after="105"/>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highlight w:val="white"/>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自本公告发布之日起5个工作日。</w:t>
      </w:r>
      <w:r/>
    </w:p>
    <w:p>
      <w:pPr>
        <w:pStyle w:val="781"/>
        <w:numPr>
          <w:ilvl w:val="0"/>
          <w:numId w:val="0"/>
        </w:numPr>
        <w:ind w:left="0" w:right="0" w:firstLine="0"/>
        <w:spacing w:before="0" w:after="105"/>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highlight w:val="white"/>
        </w:rPr>
        <w:t xml:space="preserve">六、其他补充事宜</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（1）CA证书办理</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FangSong" w:hAnsi="FangSong" w:eastAsia="FangSong" w:cs="FangSong"/>
          <w:b/>
          <w:color w:val="000000"/>
          <w:sz w:val="24"/>
          <w:highlight w:val="white"/>
        </w:rPr>
        <w:t xml:space="preserve">苏州现场办理地址：苏州市姑苏区平泷路251号政务服务中心4楼公共交易中心窗口，咨询电话：0512-69820834</w:t>
      </w:r>
      <w:r>
        <w:rPr>
          <w:rFonts w:ascii="FangSong" w:hAnsi="FangSong" w:eastAsia="FangSong" w:cs="FangSong"/>
          <w:color w:val="000000"/>
          <w:sz w:val="24"/>
          <w:highlight w:val="white"/>
        </w:rPr>
        <w:t xml:space="preserve">。</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（2）参与采购活动</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（3）电子投标准备</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供应商在“苏采云”系统中操作成功参与项目后，必须在“已参与项目”界面中下载电子招标文件（后缀名为“.kedt”）并导入政府采购客户端工具后方可进行投标文件制作和提交</w:t>
      </w:r>
      <w:r>
        <w:rPr>
          <w:rFonts w:ascii="FangSong" w:hAnsi="FangSong" w:eastAsia="FangSong" w:cs="FangSong"/>
          <w:b/>
          <w:color w:val="000000"/>
          <w:sz w:val="24"/>
          <w:highlight w:val="white"/>
        </w:rPr>
        <w:t xml:space="preserve">（具体详见《苏采云系统供应商操作手册》，网址链接https：//czju.suzhou.gov.cn/zfcg/html/content/20231220161910031.shtml）。</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在系统操作过程中如有疑问，请按以下方式联系：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注册咨询：18261002950；</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CA技术咨询电话：400-608-6099；</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签章使用问题：025-83633811、025-83633812、15380932027、15371015030；</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系统使用指导与咨询：联系电话：18261002950；QQ：3048755361、1315179389、895706745。</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请供应商确保电脑、系统及其他设备（视频输入输出设备等）无误，且开标直至项目结束始终保持系统在线状态。</w:t>
      </w:r>
      <w:r/>
    </w:p>
    <w:p>
      <w:pPr>
        <w:ind w:left="0" w:right="0" w:firstLine="0"/>
        <w:spacing w:before="0" w:after="210"/>
        <w:rPr>
          <w:rFonts w:ascii="FangSong" w:hAnsi="FangSong" w:eastAsia="FangSong" w:cs="FangSong"/>
          <w:color w:val="000000"/>
          <w:sz w:val="24"/>
          <w:szCs w:val="24"/>
          <w:highlight w:val="non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（6）本公告有关信息将同时在苏州市政府采购网、江苏省政府采购网上发布，敬请留意！</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none"/>
        </w:rPr>
      </w:r>
      <w:r>
        <w:rPr>
          <w:rFonts w:ascii="FangSong" w:hAnsi="FangSong" w:eastAsia="FangSong" w:cs="FangSong"/>
          <w:color w:val="000000"/>
          <w:sz w:val="24"/>
          <w:highlight w:val="none"/>
        </w:rPr>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（7）苏州相城区政府采购办公室监督电话：0512-67591006/67591005</w:t>
      </w:r>
      <w:r/>
    </w:p>
    <w:p>
      <w:pPr>
        <w:pStyle w:val="781"/>
        <w:numPr>
          <w:ilvl w:val="0"/>
          <w:numId w:val="0"/>
        </w:numPr>
        <w:ind w:left="0" w:right="0" w:firstLine="0"/>
        <w:spacing w:before="0" w:after="105"/>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highlight w:val="white"/>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1.采购人信息</w:t>
      </w:r>
      <w:r>
        <w:rPr>
          <w:rFonts w:ascii="Segoe UI" w:hAnsi="Segoe UI" w:eastAsia="Segoe UI" w:cs="Segoe UI"/>
          <w:color w:val="000000"/>
          <w:sz w:val="24"/>
          <w:highlight w:val="white"/>
        </w:rPr>
        <w:t xml:space="preserve">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单位名称：苏州相城经济技术开发区管理委员会</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单位地址：蠡塘河路900号</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联系人：顾琴琴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联系电话：0512-69575067</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2.采购代理机构信息（如有）</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单位名称：苏州秉诚工程造价咨询有限公司</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单位地址：苏州相城区南天成路55号相融大厦8层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联系人：丁莎莎</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联系电话：0512-68780552</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3.项目联系方式</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项目联系人：丁莎莎</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highlight w:val="white"/>
        </w:rPr>
        <w:t xml:space="preserve">电话：0512-68780552</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4"/>
          <w:highlight w:val="whit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jc w:val="righ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10"/>
        <w:jc w:val="center"/>
        <w:pageBreakBefore/>
        <w:spacing w:line="360" w:lineRule="auto"/>
        <w:tabs>
          <w:tab w:val="right" w:pos="8302" w:leader="dot"/>
        </w:tabs>
        <w:rPr>
          <w:rStyle w:val="824"/>
          <w:rFonts w:hint="eastAsia" w:ascii="宋体" w:hAnsi="宋体" w:cs="宋体"/>
          <w:color w:val="auto"/>
          <w:sz w:val="32"/>
          <w:szCs w:val="32"/>
          <w:highlight w:val="none"/>
        </w:rPr>
      </w:pPr>
      <w:r>
        <w:rPr>
          <w:rStyle w:val="824"/>
          <w:rFonts w:hint="eastAsia" w:ascii="宋体" w:hAnsi="宋体" w:cs="宋体"/>
          <w:color w:val="auto"/>
          <w:sz w:val="32"/>
          <w:szCs w:val="32"/>
          <w:highlight w:val="none"/>
        </w:rPr>
        <w:t xml:space="preserve">第二章  投标人须知</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一、说明和释义</w:t>
      </w:r>
      <w:r/>
    </w:p>
    <w:p>
      <w:pPr>
        <w:spacing w:line="360" w:lineRule="auto"/>
        <w:rPr>
          <w:rFonts w:hint="eastAsia" w:ascii="宋体" w:hAnsi="宋体" w:cs="宋体"/>
          <w:b/>
          <w:bCs/>
          <w:color w:val="auto"/>
          <w:szCs w:val="21"/>
          <w:highlight w:val="none"/>
          <w:lang w:val="zh-CN"/>
        </w:rPr>
      </w:pPr>
      <w:r/>
      <w:bookmarkStart w:id="41" w:name="_Toc9408"/>
      <w:r/>
      <w:bookmarkStart w:id="42" w:name="_Hlk183075694"/>
      <w:r>
        <w:rPr>
          <w:rFonts w:hint="eastAsia" w:ascii="宋体" w:hAnsi="宋体" w:cs="宋体"/>
          <w:b/>
          <w:bCs/>
          <w:color w:val="auto"/>
          <w:szCs w:val="21"/>
          <w:highlight w:val="none"/>
          <w:lang w:val="zh-CN"/>
        </w:rPr>
        <w:t xml:space="preserve">1. 说明</w:t>
      </w:r>
      <w:bookmarkEnd w:id="41"/>
      <w:r/>
      <w:bookmarkEnd w:id="42"/>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1.1本招标文件仅适用于苏州秉诚工程造价咨询有限公司组织的招标活动。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1.2本次招标活动及因本次招标产生的合同受中国法律制约和保护。</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1.3本招标文件的解释权属于苏州秉诚工程造价咨询有限公司。</w:t>
      </w:r>
      <w:r/>
    </w:p>
    <w:p>
      <w:pPr>
        <w:ind w:firstLine="422"/>
        <w:spacing w:line="360" w:lineRule="auto"/>
        <w:rPr>
          <w:rFonts w:hint="eastAsia" w:ascii="宋体" w:hAnsi="宋体" w:cs="宋体"/>
          <w:b/>
          <w:bCs/>
          <w:color w:val="auto"/>
          <w:szCs w:val="21"/>
          <w:highlight w:val="none"/>
          <w:lang w:val="zh-CN"/>
        </w:rPr>
      </w:pPr>
      <w:r/>
      <w:bookmarkStart w:id="43" w:name="_Toc27555"/>
      <w:r>
        <w:rPr>
          <w:rFonts w:hint="eastAsia" w:ascii="宋体" w:hAnsi="宋体" w:cs="宋体"/>
          <w:b/>
          <w:bCs/>
          <w:color w:val="auto"/>
          <w:szCs w:val="21"/>
          <w:highlight w:val="none"/>
          <w:lang w:val="zh-CN"/>
        </w:rPr>
        <w:t xml:space="preserve">1.4词语释义</w:t>
      </w:r>
      <w:bookmarkEnd w:id="43"/>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1.4.1招标代理机构：具体组织实施招标活动的法人。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1.4.2投标人（投标单位）：经认定有资格响应招标，参加投标竞争的法人或其他组织和自然人。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1.4.3响应：投标人根据招标代理机构或招标代理机构发布的招标文件，编制投标文件并按规定投标的行为。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1.4.5甲方（委托方）：合同中明确规定的实际购买货物和服务的法人或其他组织和自然人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1.4.6乙方（服务方）：合同中规定的向采购单位提供货物和服务的法人或其他组织和自然人。</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lang w:val="zh-CN"/>
        </w:rPr>
        <w:t xml:space="preserve">1.4.7</w:t>
      </w:r>
      <w:r>
        <w:rPr>
          <w:rFonts w:hint="eastAsia" w:ascii="宋体" w:hAnsi="宋体" w:cs="宋体"/>
          <w:color w:val="auto"/>
          <w:highlight w:val="none"/>
        </w:rPr>
        <w:t xml:space="preserve">货物：系指乙方按招标文件规定，应向甲方提供的一切设备、备品、备件、工具、手册及其它有关技术资料和材料。</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highlight w:val="none"/>
        </w:rPr>
        <w:t xml:space="preserve">1.4.8</w:t>
      </w:r>
      <w:r>
        <w:rPr>
          <w:rFonts w:hint="eastAsia" w:ascii="宋体" w:hAnsi="宋体" w:cs="宋体"/>
          <w:color w:val="auto"/>
          <w:szCs w:val="21"/>
          <w:highlight w:val="none"/>
          <w:lang w:val="zh-CN"/>
        </w:rPr>
        <w:t xml:space="preserve">服务：</w:t>
      </w:r>
      <w:r>
        <w:rPr>
          <w:rFonts w:hint="eastAsia" w:ascii="宋体" w:hAnsi="宋体" w:cs="宋体"/>
          <w:color w:val="auto"/>
          <w:highlight w:val="none"/>
        </w:rPr>
        <w:t xml:space="preserve">系指本次招标文件规定乙方应承担的</w:t>
      </w:r>
      <w:r>
        <w:rPr>
          <w:rFonts w:hint="eastAsia" w:ascii="宋体" w:hAnsi="宋体" w:cs="宋体"/>
          <w:color w:val="auto"/>
          <w:highlight w:val="none"/>
          <w:lang w:eastAsia="zh-CN"/>
        </w:rPr>
        <w:t xml:space="preserve">2025年经开区中小学（幼儿园）保安服务</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1.4.9知识产权：指专利权、商标权、著作权等无形财产专有权的统称。</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1.4.10天：日历日。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1.4.11交货地点：合同中明确约定的乙方提交的货物和服务最终交付地点（本项目不涉及）。</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1.4.12合同价款：根据合同规定，乙方在正确地履行合同义务后甲方应支付乙方的价款。</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1.4.13产地：货物开采、生长、生产、最终制造、加工或提供服务的来源地。</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1.4.14 不可抗力：不能预见、不能避免并且不能克服的客观情况。</w:t>
      </w:r>
      <w:r/>
    </w:p>
    <w:p>
      <w:pPr>
        <w:pStyle w:val="7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1.4.16进口产品：指通过中国海关报关验收进入中国境内且产自境外的产品。</w:t>
      </w:r>
      <w:r/>
    </w:p>
    <w:p>
      <w:pPr>
        <w:pStyle w:val="7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1.4.17书面形式：指书面文字、合同书、信件和数据电文等可以有形地表现所载内容的形式。</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二、 投标人</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 合格投标人的资格条件：</w:t>
      </w:r>
      <w:r/>
    </w:p>
    <w:p>
      <w:pPr>
        <w:ind w:firstLine="420"/>
        <w:spacing w:line="360" w:lineRule="auto"/>
        <w:rPr>
          <w:rFonts w:hint="eastAsia" w:ascii="宋体" w:hAnsi="宋体" w:cs="宋体"/>
          <w:color w:val="auto"/>
          <w:szCs w:val="21"/>
          <w:highlight w:val="none"/>
          <w:lang w:bidi="ar-SA"/>
        </w:rPr>
      </w:pPr>
      <w:r>
        <w:rPr>
          <w:rFonts w:hint="eastAsia" w:ascii="宋体" w:hAnsi="宋体" w:cs="宋体"/>
          <w:color w:val="auto"/>
          <w:szCs w:val="21"/>
          <w:highlight w:val="none"/>
          <w:lang w:bidi="ar-SA"/>
        </w:rPr>
        <w:t xml:space="preserve">2.1满足《中华人民共和国政府采购法》第二十二条规定，投标人应当具备下列条件：</w:t>
      </w:r>
      <w:r/>
    </w:p>
    <w:p>
      <w:pPr>
        <w:ind w:firstLine="420"/>
        <w:spacing w:line="360" w:lineRule="auto"/>
        <w:rPr>
          <w:rFonts w:hint="eastAsia" w:ascii="宋体" w:hAnsi="宋体" w:cs="宋体"/>
          <w:color w:val="auto"/>
          <w:szCs w:val="21"/>
          <w:highlight w:val="none"/>
          <w:lang w:bidi="ar-SA"/>
        </w:rPr>
      </w:pPr>
      <w:r>
        <w:rPr>
          <w:rFonts w:hint="eastAsia" w:ascii="宋体" w:hAnsi="宋体" w:cs="宋体"/>
          <w:color w:val="auto"/>
          <w:szCs w:val="21"/>
          <w:highlight w:val="none"/>
          <w:lang w:bidi="ar-SA"/>
        </w:rPr>
        <w:t xml:space="preserve">（1）具有独立承担民事责任的能力；</w:t>
      </w:r>
      <w:r/>
    </w:p>
    <w:p>
      <w:pPr>
        <w:ind w:firstLine="420"/>
        <w:spacing w:line="360" w:lineRule="auto"/>
        <w:rPr>
          <w:rFonts w:hint="eastAsia" w:ascii="宋体" w:hAnsi="宋体" w:cs="宋体"/>
          <w:color w:val="auto"/>
          <w:szCs w:val="21"/>
          <w:highlight w:val="none"/>
          <w:lang w:bidi="ar-SA"/>
        </w:rPr>
      </w:pPr>
      <w:r>
        <w:rPr>
          <w:rFonts w:hint="eastAsia" w:ascii="宋体" w:hAnsi="宋体" w:cs="宋体"/>
          <w:color w:val="auto"/>
          <w:szCs w:val="21"/>
          <w:highlight w:val="none"/>
          <w:lang w:bidi="ar-SA"/>
        </w:rPr>
        <w:t xml:space="preserve">（2）具有良好的商业信誉和健全的财务会计制度；</w:t>
      </w:r>
      <w:r/>
    </w:p>
    <w:p>
      <w:pPr>
        <w:ind w:firstLine="420"/>
        <w:spacing w:line="360" w:lineRule="auto"/>
        <w:rPr>
          <w:rFonts w:hint="eastAsia" w:ascii="宋体" w:hAnsi="宋体" w:cs="宋体"/>
          <w:color w:val="auto"/>
          <w:szCs w:val="21"/>
          <w:highlight w:val="none"/>
          <w:lang w:bidi="ar-SA"/>
        </w:rPr>
      </w:pPr>
      <w:r>
        <w:rPr>
          <w:rFonts w:hint="eastAsia" w:ascii="宋体" w:hAnsi="宋体" w:cs="宋体"/>
          <w:color w:val="auto"/>
          <w:szCs w:val="21"/>
          <w:highlight w:val="none"/>
          <w:lang w:bidi="ar-SA"/>
        </w:rPr>
        <w:t xml:space="preserve">（3）具有履行合同所必需的设备和专业技术能力；</w:t>
      </w:r>
      <w:r/>
    </w:p>
    <w:p>
      <w:pPr>
        <w:ind w:firstLine="420"/>
        <w:spacing w:line="360" w:lineRule="auto"/>
        <w:rPr>
          <w:rFonts w:hint="eastAsia" w:ascii="宋体" w:hAnsi="宋体" w:cs="宋体"/>
          <w:color w:val="auto"/>
          <w:szCs w:val="21"/>
          <w:highlight w:val="none"/>
          <w:lang w:bidi="ar-SA"/>
        </w:rPr>
      </w:pPr>
      <w:r>
        <w:rPr>
          <w:rFonts w:hint="eastAsia" w:ascii="宋体" w:hAnsi="宋体" w:cs="宋体"/>
          <w:color w:val="auto"/>
          <w:szCs w:val="21"/>
          <w:highlight w:val="none"/>
          <w:lang w:bidi="ar-SA"/>
        </w:rPr>
        <w:t xml:space="preserve">（4）有依法缴纳税收和社会保障资金的良好记录；</w:t>
      </w:r>
      <w:r/>
    </w:p>
    <w:p>
      <w:pPr>
        <w:ind w:firstLine="420"/>
        <w:spacing w:line="360" w:lineRule="auto"/>
        <w:rPr>
          <w:rFonts w:hint="eastAsia" w:ascii="宋体" w:hAnsi="宋体" w:cs="宋体"/>
          <w:color w:val="auto"/>
          <w:szCs w:val="21"/>
          <w:highlight w:val="none"/>
          <w:lang w:bidi="ar-SA"/>
        </w:rPr>
      </w:pPr>
      <w:r>
        <w:rPr>
          <w:rFonts w:hint="eastAsia" w:ascii="宋体" w:hAnsi="宋体" w:cs="宋体"/>
          <w:color w:val="auto"/>
          <w:szCs w:val="21"/>
          <w:highlight w:val="none"/>
          <w:lang w:bidi="ar-SA"/>
        </w:rPr>
        <w:t xml:space="preserve">（5）参加政府采购活动前三年内，在经营活动中没有重大违法记录；</w:t>
      </w:r>
      <w:r/>
    </w:p>
    <w:p>
      <w:pPr>
        <w:ind w:firstLine="420"/>
        <w:spacing w:line="360" w:lineRule="auto"/>
        <w:rPr>
          <w:rFonts w:hint="eastAsia" w:ascii="宋体" w:hAnsi="宋体" w:cs="宋体"/>
          <w:color w:val="auto"/>
          <w:szCs w:val="21"/>
          <w:highlight w:val="none"/>
          <w:lang w:bidi="ar-SA"/>
        </w:rPr>
      </w:pPr>
      <w:r>
        <w:rPr>
          <w:rFonts w:hint="eastAsia" w:ascii="宋体" w:hAnsi="宋体" w:cs="宋体"/>
          <w:color w:val="auto"/>
          <w:szCs w:val="21"/>
          <w:highlight w:val="none"/>
          <w:lang w:bidi="ar-SA"/>
        </w:rPr>
        <w:t xml:space="preserve">（6）法律、行政法规规定的其他条件。</w:t>
      </w:r>
      <w:r/>
    </w:p>
    <w:p>
      <w:pPr>
        <w:ind w:firstLine="420"/>
        <w:spacing w:line="360" w:lineRule="auto"/>
        <w:rPr>
          <w:rFonts w:hint="eastAsia" w:ascii="宋体" w:hAnsi="宋体" w:cs="宋体"/>
          <w:color w:val="auto"/>
          <w:szCs w:val="21"/>
          <w:highlight w:val="none"/>
          <w:lang w:bidi="ar-SA"/>
        </w:rPr>
      </w:pPr>
      <w:r>
        <w:rPr>
          <w:rFonts w:hint="eastAsia" w:ascii="宋体" w:hAnsi="宋体" w:cs="宋体"/>
          <w:color w:val="auto"/>
          <w:szCs w:val="21"/>
          <w:highlight w:val="none"/>
          <w:lang w:bidi="ar-SA"/>
        </w:rPr>
        <w:t xml:space="preserve">2.2合格投标人的特定资格要求：详见第一章投标邀请函</w:t>
      </w:r>
      <w:r/>
    </w:p>
    <w:p>
      <w:pPr>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3. 投标人代表：</w:t>
      </w:r>
      <w:r>
        <w:rPr>
          <w:rFonts w:hint="eastAsia" w:ascii="宋体" w:hAnsi="宋体" w:cs="宋体"/>
          <w:color w:val="auto"/>
          <w:szCs w:val="21"/>
          <w:highlight w:val="none"/>
          <w:lang w:val="zh-CN"/>
        </w:rPr>
        <w:t xml:space="preserve">指全权代表投标方参加投标活动并签署投标文件的人。如果投标方代表不是法定代表人，须持有《法人授权委托书》（详见统一格式）。</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 投标费用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4.1无论投标过程中的做法和结果如何，投标人自行承担所有与参加投标有关的全部费用。</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zh-CN"/>
        </w:rPr>
        <w:t xml:space="preserve">5.</w:t>
      </w:r>
      <w:r>
        <w:rPr>
          <w:rFonts w:hint="eastAsia" w:ascii="宋体" w:hAnsi="宋体" w:cs="宋体"/>
          <w:b/>
          <w:bCs/>
          <w:color w:val="auto"/>
          <w:szCs w:val="21"/>
          <w:highlight w:val="none"/>
        </w:rPr>
        <w:t xml:space="preserve"> 联合投标及分包转包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5.1本次招标不接受联合投标的方式；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三、 招标文件的说明</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6. 招标文件</w:t>
      </w:r>
      <w:r/>
    </w:p>
    <w:p>
      <w:pPr>
        <w:ind w:firstLine="480"/>
        <w:spacing w:line="360" w:lineRule="auto"/>
        <w:rPr>
          <w:rFonts w:hint="eastAsia" w:ascii="宋体" w:hAnsi="宋体" w:cs="宋体"/>
          <w:color w:val="auto"/>
          <w:highlight w:val="none"/>
        </w:rPr>
      </w:pPr>
      <w:r>
        <w:rPr>
          <w:rFonts w:hint="eastAsia" w:ascii="宋体" w:hAnsi="宋体" w:cs="宋体"/>
          <w:color w:val="auto"/>
          <w:highlight w:val="none"/>
        </w:rPr>
        <w:t xml:space="preserve">6.1招标文件由招标文件总目录所列内容组成。投标单位应详细阅读招标文件的全部内容。不按招标文件的要求提供的投标文件和资料，可能导致投标被拒绝。</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 招标文件及其更正公告不是直接从苏采云系统中获得的，招标采购单位对招标文件及其补遗的真实性、完整性不承担任何责任。</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7. 招标文件的澄清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8. 招标文件的修改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8.2为使投标人有足够的时间按招标文件的修改要求考虑修正投标文件，或出于其他原因，招标采购单位有权推迟投标截止日期和开标日期，并将此变更通知以更正公告的形式对外发布。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9. 投标答疑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9.1投标人在获取招标文件后，若对招标文件有疑问，可与代理机构或采购单位联系。</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9.2勘察现场：</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9.2.1投标单位根据自身投标需要，可对有关现场和周围环境进行勘察，以获取编制投标文件和签署合同所需的信息。勘察现场所发生的费用由投标人自己承担。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color w:val="auto"/>
          <w:szCs w:val="21"/>
          <w:highlight w:val="none"/>
        </w:rPr>
        <w:t xml:space="preserve">招标文件的澄清、修改、补充等内容均以苏州政府采购网上发布的内容为准。</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四、投标文件说明</w:t>
      </w:r>
      <w:r/>
    </w:p>
    <w:p>
      <w:pPr>
        <w:ind w:left="459" w:hanging="459"/>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10． 提示与要求</w:t>
      </w:r>
      <w:r/>
    </w:p>
    <w:p>
      <w:pPr>
        <w:ind w:firstLine="50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10.2无论是否递交投标文件，投标人都应将招标文件及以后的所有通知、文件等视为保密文件。</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 投标文件计量单位和使用文字</w:t>
      </w:r>
      <w:r/>
    </w:p>
    <w:p>
      <w:pPr>
        <w:ind w:firstLine="439"/>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11.1投标文件中所使用的计量单位，除招标文件中有特殊要求外，均应使用中华人民共和国法定计量单位。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 投标文件的组成</w:t>
      </w:r>
      <w:r/>
    </w:p>
    <w:p>
      <w:pPr>
        <w:ind w:firstLine="439"/>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12.1报价部分</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格式见第三章</w:t>
      </w:r>
      <w:r>
        <w:rPr>
          <w:rFonts w:hint="eastAsia" w:ascii="宋体" w:hAnsi="宋体" w:cs="宋体"/>
          <w:color w:val="auto"/>
          <w:szCs w:val="21"/>
          <w:highlight w:val="none"/>
          <w:lang w:val="zh-CN"/>
        </w:rPr>
        <w:t xml:space="preserve">）</w:t>
      </w:r>
      <w:r>
        <w:rPr>
          <w:rFonts w:hint="eastAsia" w:ascii="宋体" w:hAnsi="宋体" w:cs="宋体"/>
          <w:b/>
          <w:bCs/>
          <w:color w:val="auto"/>
          <w:szCs w:val="21"/>
          <w:highlight w:val="none"/>
          <w:lang w:val="zh-CN"/>
        </w:rPr>
        <w:t xml:space="preserve">：</w:t>
      </w:r>
      <w:r/>
    </w:p>
    <w:p>
      <w:pPr>
        <w:ind w:firstLine="439"/>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12.1.1开标一览表；</w:t>
      </w:r>
      <w:r/>
    </w:p>
    <w:p>
      <w:pPr>
        <w:ind w:firstLine="439"/>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12.1.2投标报价明细表（详见投标文件格式）；</w:t>
      </w:r>
      <w:r/>
    </w:p>
    <w:p>
      <w:pPr>
        <w:ind w:firstLine="439"/>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12.2资格性审查文件：</w:t>
      </w:r>
      <w:r/>
    </w:p>
    <w:p>
      <w:pPr>
        <w:ind w:firstLine="439"/>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12.2.1关于资格文件的声明函；</w:t>
      </w:r>
      <w:r/>
    </w:p>
    <w:p>
      <w:pPr>
        <w:ind w:firstLine="439"/>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12.2.2具有独立承担民事责任的能力。提供包括法人或者其他组织的营业执照等证明文件，自然人的身份证明；</w:t>
      </w:r>
      <w:r/>
    </w:p>
    <w:p>
      <w:pPr>
        <w:ind w:firstLine="439"/>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12.2.3具有良好的商业信誉和健全的财务会计制度。提供包括但不限于最近一期经审计的财务报告</w:t>
      </w:r>
      <w:r>
        <w:rPr>
          <w:rFonts w:hint="eastAsia" w:ascii="宋体" w:hAnsi="宋体" w:cs="宋体"/>
          <w:color w:val="auto"/>
          <w:szCs w:val="21"/>
          <w:highlight w:val="none"/>
        </w:rPr>
        <w:t xml:space="preserve">或最近一期财务报表（资产负债表、利润表）</w:t>
      </w:r>
      <w:r>
        <w:rPr>
          <w:rFonts w:hint="eastAsia" w:ascii="宋体" w:hAnsi="宋体" w:cs="宋体"/>
          <w:color w:val="auto"/>
          <w:szCs w:val="21"/>
          <w:highlight w:val="none"/>
          <w:lang w:val="zh-CN"/>
        </w:rPr>
        <w:t xml:space="preserve">，其他组织、自然人及成立未满一年的法人应提供银行出具的资信证明；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12.2.4</w:t>
      </w:r>
      <w:r>
        <w:rPr>
          <w:rFonts w:hint="eastAsia" w:ascii="宋体" w:hAnsi="宋体" w:cs="宋体"/>
          <w:color w:val="auto"/>
          <w:szCs w:val="21"/>
          <w:highlight w:val="none"/>
        </w:rPr>
        <w:t xml:space="preserve">具备履行合同所必需的设备和专业技术能力的证明材料或承诺</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12.2.5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12.2.6参加政府采购活动前三年内，在经营活动中没有重大违法记录。提供书面声明函；</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12.2.7法律、行政法规规定的其他条件，</w:t>
      </w:r>
      <w:r>
        <w:rPr>
          <w:rFonts w:hint="eastAsia" w:ascii="宋体" w:hAnsi="宋体" w:cs="宋体"/>
          <w:color w:val="auto"/>
          <w:szCs w:val="21"/>
          <w:highlight w:val="none"/>
          <w:lang w:val="en-US" w:eastAsia="zh-CN"/>
        </w:rPr>
        <w:t xml:space="preserve">提供承诺书</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12.2.8投标单位具有公安机关颁发的有效期内的保安服务许可证。提供证书扫描件；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12.2.9《中小企业声明函》</w:t>
      </w:r>
      <w:r>
        <w:rPr>
          <w:rFonts w:hint="eastAsia" w:ascii="宋体" w:hAnsi="宋体" w:cs="宋体"/>
          <w:bCs/>
          <w:color w:val="auto"/>
          <w:szCs w:val="21"/>
          <w:highlight w:val="none"/>
        </w:rPr>
        <w:t xml:space="preserve">或《残疾人福利性单位声明函》或省级以上监狱管理局、戒毒管理局（含新疆生产建设兵团）出具的属于监狱企业的证明文件；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12.2.10其它有关资格证明文件</w:t>
      </w:r>
      <w:r>
        <w:rPr>
          <w:rFonts w:hint="eastAsia" w:ascii="宋体" w:hAnsi="宋体" w:cs="宋体"/>
          <w:bCs/>
          <w:color w:val="auto"/>
          <w:szCs w:val="21"/>
          <w:highlight w:val="none"/>
        </w:rPr>
        <w:t xml:space="preserve">（包括但不限于投标邀请函中其他特定资格要求的证明文件，如有要求须提供）</w:t>
      </w:r>
      <w:r>
        <w:rPr>
          <w:rFonts w:hint="eastAsia" w:ascii="宋体" w:hAnsi="宋体" w:cs="宋体"/>
          <w:color w:val="auto"/>
          <w:szCs w:val="21"/>
          <w:highlight w:val="none"/>
          <w:lang w:val="zh-CN"/>
        </w:rPr>
        <w:t xml:space="preserve">；</w:t>
      </w:r>
      <w:r/>
    </w:p>
    <w:p>
      <w:pPr>
        <w:pStyle w:val="791"/>
        <w:ind w:firstLine="42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12.3符合性审查文件</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12.3.1</w:t>
      </w:r>
      <w:r>
        <w:rPr>
          <w:rFonts w:hint="eastAsia" w:ascii="宋体" w:hAnsi="宋体" w:eastAsia="宋体" w:cs="宋体"/>
          <w:color w:val="auto"/>
          <w:sz w:val="21"/>
          <w:szCs w:val="21"/>
          <w:highlight w:val="none"/>
          <w:lang w:val="zh-CN"/>
        </w:rPr>
        <w:t xml:space="preserve">投标函；</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12.3.2</w:t>
      </w:r>
      <w:r>
        <w:rPr>
          <w:rFonts w:hint="eastAsia" w:ascii="宋体" w:hAnsi="宋体" w:cs="宋体"/>
          <w:color w:val="auto"/>
          <w:highlight w:val="none"/>
        </w:rPr>
        <w:t xml:space="preserve">服务偏离表；</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12.3</w:t>
      </w:r>
      <w:r>
        <w:rPr>
          <w:rFonts w:hint="eastAsia" w:ascii="宋体" w:hAnsi="宋体" w:cs="宋体"/>
          <w:color w:val="auto"/>
          <w:highlight w:val="none"/>
        </w:rPr>
        <w:t xml:space="preserve">.3商务条款偏离表；</w:t>
      </w:r>
      <w:r/>
    </w:p>
    <w:p>
      <w:pPr>
        <w:ind w:firstLine="420"/>
        <w:spacing w:line="360" w:lineRule="auto"/>
        <w:rPr>
          <w:rFonts w:hint="eastAsia" w:ascii="宋体" w:hAnsi="宋体" w:cs="宋体"/>
          <w:color w:val="auto"/>
          <w:highlight w:val="none"/>
          <w:lang w:val="zh-CN"/>
        </w:rPr>
      </w:pPr>
      <w:r>
        <w:rPr>
          <w:rFonts w:hint="eastAsia" w:ascii="宋体" w:hAnsi="宋体" w:cs="宋体"/>
          <w:color w:val="auto"/>
          <w:szCs w:val="21"/>
          <w:highlight w:val="none"/>
        </w:rPr>
        <w:t xml:space="preserve">12.3</w:t>
      </w:r>
      <w:r>
        <w:rPr>
          <w:rFonts w:hint="eastAsia" w:ascii="宋体" w:hAnsi="宋体" w:cs="宋体"/>
          <w:color w:val="auto"/>
          <w:highlight w:val="none"/>
        </w:rPr>
        <w:t xml:space="preserve">.4</w:t>
      </w:r>
      <w:r>
        <w:rPr>
          <w:rFonts w:hint="eastAsia" w:ascii="宋体" w:hAnsi="宋体" w:cs="宋体"/>
          <w:color w:val="auto"/>
          <w:highlight w:val="none"/>
          <w:lang w:val="zh-CN"/>
        </w:rPr>
        <w:t xml:space="preserve">法定代表人身份证复印件，法人授权委托书（如有授权）及委托代理人身份证复印件（如有授权）；</w:t>
      </w:r>
      <w:r/>
    </w:p>
    <w:p>
      <w:pPr>
        <w:ind w:firstLine="420"/>
        <w:spacing w:line="360" w:lineRule="auto"/>
        <w:rPr>
          <w:rFonts w:hint="eastAsia" w:ascii="宋体" w:hAnsi="宋体" w:cs="宋体"/>
          <w:color w:val="auto"/>
          <w:highlight w:val="none"/>
        </w:rPr>
      </w:pPr>
      <w:r>
        <w:rPr>
          <w:rFonts w:hint="eastAsia" w:ascii="宋体" w:hAnsi="宋体" w:cs="宋体"/>
          <w:color w:val="auto"/>
          <w:szCs w:val="21"/>
          <w:highlight w:val="none"/>
        </w:rPr>
        <w:t xml:space="preserve">12.3</w:t>
      </w:r>
      <w:r>
        <w:rPr>
          <w:rFonts w:hint="eastAsia" w:ascii="宋体" w:hAnsi="宋体" w:cs="宋体"/>
          <w:color w:val="auto"/>
          <w:highlight w:val="none"/>
        </w:rPr>
        <w:t xml:space="preserve">.5</w:t>
      </w:r>
      <w:r>
        <w:rPr>
          <w:rFonts w:hint="eastAsia" w:ascii="宋体" w:hAnsi="宋体" w:cs="宋体"/>
          <w:color w:val="auto"/>
          <w:highlight w:val="none"/>
          <w:lang w:val="zh-CN"/>
        </w:rPr>
        <w:t xml:space="preserve">投标（响应）保证承诺书；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12.3.6</w:t>
      </w:r>
      <w:r>
        <w:rPr>
          <w:rFonts w:hint="eastAsia" w:ascii="宋体" w:hAnsi="宋体" w:cs="宋体"/>
          <w:color w:val="auto"/>
          <w:szCs w:val="21"/>
          <w:highlight w:val="none"/>
          <w:lang w:val="en-US" w:eastAsia="zh-CN"/>
        </w:rPr>
        <w:t xml:space="preserve">本项目管理</w:t>
      </w:r>
      <w:r>
        <w:rPr>
          <w:rFonts w:hint="eastAsia" w:ascii="宋体" w:hAnsi="宋体" w:cs="宋体"/>
          <w:color w:val="auto"/>
          <w:szCs w:val="21"/>
          <w:highlight w:val="none"/>
        </w:rPr>
        <w:t xml:space="preserve">人员情况一览表；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12.3.7其他有关符合性证明的文件；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12.3.8投标单位情况表；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12.3.9采购需求中所涉及到的或投标单位认为需加以说明或证明的其他有关符合性证明材料、证明（如有）；</w:t>
      </w:r>
      <w:r/>
    </w:p>
    <w:p>
      <w:pPr>
        <w:ind w:firstLine="422"/>
        <w:spacing w:line="360" w:lineRule="auto"/>
        <w:rPr>
          <w:rFonts w:hint="eastAsia" w:ascii="宋体" w:hAnsi="宋体" w:cs="宋体"/>
          <w:b/>
          <w:color w:val="auto"/>
          <w:highlight w:val="none"/>
        </w:rPr>
      </w:pPr>
      <w:r>
        <w:rPr>
          <w:rFonts w:hint="eastAsia" w:ascii="宋体" w:hAnsi="宋体" w:cs="宋体"/>
          <w:b/>
          <w:bCs/>
          <w:color w:val="auto"/>
          <w:szCs w:val="21"/>
          <w:highlight w:val="none"/>
          <w:lang w:val="zh-CN"/>
        </w:rPr>
        <w:t xml:space="preserve">12.</w:t>
      </w:r>
      <w:r>
        <w:rPr>
          <w:rFonts w:hint="eastAsia" w:ascii="宋体" w:hAnsi="宋体" w:cs="宋体"/>
          <w:b/>
          <w:bCs/>
          <w:color w:val="auto"/>
          <w:szCs w:val="21"/>
          <w:highlight w:val="none"/>
        </w:rPr>
        <w:t xml:space="preserve">4综合评审文件</w:t>
      </w:r>
      <w:r/>
    </w:p>
    <w:p>
      <w:pPr>
        <w:ind w:firstLine="420"/>
        <w:spacing w:line="360" w:lineRule="auto"/>
        <w:rPr>
          <w:rFonts w:hint="eastAsia" w:ascii="宋体" w:hAnsi="宋体" w:cs="宋体"/>
          <w:color w:val="auto"/>
          <w:highlight w:val="none"/>
          <w:lang w:val="zh-CN"/>
        </w:rPr>
      </w:pPr>
      <w:r>
        <w:rPr>
          <w:rFonts w:hint="eastAsia" w:ascii="宋体" w:hAnsi="宋体" w:cs="宋体"/>
          <w:color w:val="auto"/>
          <w:highlight w:val="none"/>
        </w:rPr>
        <w:t xml:space="preserve">12.4.1针对本项目的服务方案；</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12.4.2类似业绩一览表；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14.4.3采购需求及评分标准中所涉及到的其他材料等；</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14.4.4与本次招标相关的证明材料。</w:t>
      </w:r>
      <w:r/>
    </w:p>
    <w:p>
      <w:pPr>
        <w:pStyle w:val="834"/>
        <w:ind w:firstLine="43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pStyle w:val="834"/>
        <w:ind w:firstLine="43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（1）投标文件由“12.1-14.4”款规定的内容共同组成，投标人必须提交上述“12.1”、“12.2-12.3”款规定的资料，否则，投标文件将被视为未实质性响应招标要求。</w:t>
      </w:r>
      <w:r/>
    </w:p>
    <w:p>
      <w:pPr>
        <w:pStyle w:val="834"/>
        <w:ind w:firstLine="430"/>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（2）制作电子投标文件时必须与投标文件制作软件目录一一对应，将相关资料上传至相应模块。</w:t>
      </w:r>
      <w:r/>
    </w:p>
    <w:p>
      <w:pPr>
        <w:pStyle w:val="834"/>
        <w:ind w:firstLine="43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13. 投标文件编制要求</w:t>
      </w:r>
      <w:r/>
    </w:p>
    <w:p>
      <w:pPr>
        <w:ind w:firstLine="420"/>
        <w:spacing w:line="360" w:lineRule="auto"/>
        <w:tabs>
          <w:tab w:val="left" w:pos="502" w:leader="none"/>
        </w:tabs>
        <w:rPr>
          <w:rFonts w:hint="eastAsia" w:ascii="宋体" w:hAnsi="宋体" w:cs="宋体"/>
          <w:bCs/>
          <w:color w:val="auto"/>
          <w:highlight w:val="none"/>
          <w:lang w:val="zh-CN"/>
        </w:rPr>
      </w:pPr>
      <w:r>
        <w:rPr>
          <w:rFonts w:hint="eastAsia" w:ascii="宋体" w:hAnsi="宋体" w:cs="宋体"/>
          <w:bCs/>
          <w:color w:val="auto"/>
          <w:highlight w:val="none"/>
          <w:lang w:val="zh-CN"/>
        </w:rPr>
        <w:t xml:space="preserve">13.1</w:t>
      </w:r>
      <w:r>
        <w:rPr>
          <w:rFonts w:hint="eastAsia" w:ascii="宋体" w:hAnsi="宋体" w:cs="宋体"/>
          <w:b/>
          <w:color w:val="auto"/>
          <w:szCs w:val="21"/>
          <w:highlight w:val="none"/>
        </w:rPr>
        <w:t xml:space="preserve">投标文件按统一格式、顺序编写</w:t>
      </w:r>
      <w:r>
        <w:rPr>
          <w:rFonts w:hint="eastAsia" w:ascii="宋体" w:hAnsi="宋体" w:cs="宋体"/>
          <w:bCs/>
          <w:color w:val="auto"/>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13.2《开标一览表》为在开标仪式上唱标的内容，要求按格式填写，统一规范，不得自行增减内容。</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 投标报价（编制）要求的说明</w:t>
      </w:r>
      <w:r/>
    </w:p>
    <w:p>
      <w:pPr>
        <w:ind w:firstLine="420"/>
        <w:spacing w:line="360" w:lineRule="auto"/>
        <w:tabs>
          <w:tab w:val="left" w:pos="502"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14.1</w:t>
      </w:r>
      <w:r>
        <w:rPr>
          <w:rFonts w:hint="eastAsia" w:ascii="宋体" w:hAnsi="宋体" w:cs="宋体"/>
          <w:color w:val="auto"/>
          <w:szCs w:val="21"/>
          <w:highlight w:val="none"/>
        </w:rPr>
        <w:t xml:space="preserve">投标</w:t>
      </w:r>
      <w:r>
        <w:rPr>
          <w:rFonts w:hint="eastAsia" w:ascii="宋体" w:hAnsi="宋体" w:cs="宋体"/>
          <w:color w:val="auto"/>
          <w:szCs w:val="21"/>
          <w:highlight w:val="none"/>
          <w:lang w:val="zh-CN"/>
        </w:rPr>
        <w:t xml:space="preserve">报价应</w:t>
      </w:r>
      <w:r>
        <w:rPr>
          <w:rFonts w:hint="eastAsia" w:ascii="宋体" w:hAnsi="宋体" w:cs="宋体"/>
          <w:color w:val="auto"/>
          <w:szCs w:val="21"/>
          <w:highlight w:val="none"/>
        </w:rPr>
        <w:t xml:space="preserve">包括完成该标的物全部内容的一切费用。</w:t>
      </w:r>
      <w:r>
        <w:rPr>
          <w:rFonts w:hint="eastAsia" w:ascii="宋体" w:hAnsi="宋体" w:cs="宋体"/>
          <w:color w:val="auto"/>
          <w:szCs w:val="21"/>
          <w:highlight w:val="none"/>
          <w:lang w:val="zh-CN"/>
        </w:rPr>
        <w:t xml:space="preserve">投标报价为最终报价，投标人所报价格在合同实施期间不因市场变化因素而变动。</w:t>
      </w:r>
      <w:r/>
    </w:p>
    <w:p>
      <w:pPr>
        <w:ind w:firstLine="420"/>
        <w:spacing w:line="360" w:lineRule="auto"/>
        <w:tabs>
          <w:tab w:val="left" w:pos="502"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14.2 投标人应按《报价明细表》中的全部服务内容的每一单项计算并填写单价和总价，并由企业法定代表人或委托代理人签署。</w:t>
      </w:r>
      <w:r/>
    </w:p>
    <w:p>
      <w:pPr>
        <w:ind w:firstLine="420"/>
        <w:spacing w:line="360" w:lineRule="auto"/>
        <w:tabs>
          <w:tab w:val="left" w:pos="502"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14.4 投标文件报价采用人民币表示，除非合同的特殊条款另有规定。</w:t>
      </w:r>
      <w:r/>
    </w:p>
    <w:p>
      <w:pPr>
        <w:ind w:firstLine="420"/>
        <w:spacing w:line="360" w:lineRule="auto"/>
        <w:tabs>
          <w:tab w:val="left" w:pos="502" w:leader="none"/>
        </w:tabs>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14.5 最低的投标报价是中标的重要条件但不是唯一条件。</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 投标保证金（</w:t>
      </w:r>
      <w:r>
        <w:rPr>
          <w:rFonts w:hint="eastAsia" w:ascii="宋体" w:hAnsi="宋体" w:cs="宋体"/>
          <w:b/>
          <w:bCs/>
          <w:color w:val="auto"/>
          <w:szCs w:val="21"/>
          <w:highlight w:val="none"/>
        </w:rPr>
        <w:t xml:space="preserve">本项目无需缴纳</w:t>
      </w:r>
      <w:r>
        <w:rPr>
          <w:rFonts w:hint="eastAsia" w:ascii="宋体" w:hAnsi="宋体" w:cs="宋体"/>
          <w:b/>
          <w:bCs/>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15.1 投标人应向招标代理机构提交前附表中规定的投标保证金。</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15.2投标保证金退款方式：</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15.2.1未中标（成交）供应商的投标（响应）保证金，由代理机构在评审、谈判或磋商活动结束后，当场退还银行本票或汇票。</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ind w:firstLine="502"/>
        <w:spacing w:line="360" w:lineRule="auto"/>
        <w:rPr>
          <w:rFonts w:hint="eastAsia" w:ascii="宋体" w:hAnsi="宋体" w:cs="宋体"/>
          <w:color w:val="auto"/>
          <w:highlight w:val="none"/>
        </w:rPr>
      </w:pPr>
      <w:r>
        <w:rPr>
          <w:rFonts w:hint="eastAsia" w:ascii="宋体" w:hAnsi="宋体" w:cs="宋体"/>
          <w:color w:val="auto"/>
          <w:highlight w:val="none"/>
        </w:rPr>
        <w:t xml:space="preserve">15.3发生下列情况之一，投标保证金将被没收：</w:t>
      </w:r>
      <w:r/>
    </w:p>
    <w:p>
      <w:pPr>
        <w:ind w:firstLine="502"/>
        <w:spacing w:line="360" w:lineRule="auto"/>
        <w:rPr>
          <w:rFonts w:hint="eastAsia" w:ascii="宋体" w:hAnsi="宋体" w:cs="宋体"/>
          <w:color w:val="auto"/>
          <w:highlight w:val="none"/>
        </w:rPr>
      </w:pPr>
      <w:r>
        <w:rPr>
          <w:rFonts w:hint="eastAsia" w:ascii="宋体" w:hAnsi="宋体" w:cs="宋体"/>
          <w:color w:val="auto"/>
          <w:highlight w:val="none"/>
        </w:rPr>
        <w:t xml:space="preserve">15.3.1在投标有效期内，投标单位撤回其投标文件的；</w:t>
      </w:r>
      <w:r/>
    </w:p>
    <w:p>
      <w:pPr>
        <w:ind w:firstLine="502"/>
        <w:spacing w:line="360" w:lineRule="auto"/>
        <w:rPr>
          <w:rFonts w:hint="eastAsia" w:ascii="宋体" w:hAnsi="宋体" w:cs="宋体"/>
          <w:color w:val="auto"/>
          <w:highlight w:val="none"/>
        </w:rPr>
      </w:pPr>
      <w:r>
        <w:rPr>
          <w:rFonts w:hint="eastAsia" w:ascii="宋体" w:hAnsi="宋体" w:cs="宋体"/>
          <w:color w:val="auto"/>
          <w:highlight w:val="none"/>
        </w:rPr>
        <w:t xml:space="preserve">15.3.2 中标单位无正当理由不按本须知相关条款规定与采购单位签订合同的；</w:t>
      </w:r>
      <w:r/>
    </w:p>
    <w:p>
      <w:pPr>
        <w:ind w:firstLine="502"/>
        <w:spacing w:line="360" w:lineRule="auto"/>
        <w:rPr>
          <w:rFonts w:hint="eastAsia" w:ascii="宋体" w:hAnsi="宋体" w:cs="宋体"/>
          <w:color w:val="auto"/>
          <w:highlight w:val="none"/>
        </w:rPr>
      </w:pPr>
      <w:r>
        <w:rPr>
          <w:rFonts w:hint="eastAsia" w:ascii="宋体" w:hAnsi="宋体" w:cs="宋体"/>
          <w:color w:val="auto"/>
          <w:highlight w:val="none"/>
        </w:rPr>
        <w:t xml:space="preserve">15.3.3 中标方不按本须知相关条款规定缴付中标服务费的；</w:t>
      </w:r>
      <w:r/>
    </w:p>
    <w:p>
      <w:pPr>
        <w:ind w:firstLine="502"/>
        <w:spacing w:line="360" w:lineRule="auto"/>
        <w:rPr>
          <w:rFonts w:hint="eastAsia" w:ascii="宋体" w:hAnsi="宋体" w:cs="宋体"/>
          <w:color w:val="auto"/>
          <w:highlight w:val="none"/>
        </w:rPr>
      </w:pPr>
      <w:r>
        <w:rPr>
          <w:rFonts w:hint="eastAsia" w:ascii="宋体" w:hAnsi="宋体" w:cs="宋体"/>
          <w:color w:val="auto"/>
          <w:highlight w:val="none"/>
        </w:rPr>
        <w:t xml:space="preserve">15.3.4 投标单位在投标过程中有违反有关法律法规的行为。</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 投标文件的有效期</w:t>
      </w:r>
      <w:r/>
    </w:p>
    <w:p>
      <w:pPr>
        <w:ind w:firstLine="50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16.1自开标日起60天内，投标书应保持有效。有效期短于这个规定期限的投标文件，将被拒绝。</w:t>
      </w:r>
      <w:r/>
    </w:p>
    <w:p>
      <w:pPr>
        <w:ind w:firstLine="50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834"/>
        <w:ind w:firstLine="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17. </w:t>
      </w:r>
      <w:r>
        <w:rPr>
          <w:rFonts w:hint="eastAsia" w:ascii="宋体" w:hAnsi="宋体" w:cs="宋体"/>
          <w:b/>
          <w:color w:val="auto"/>
          <w:szCs w:val="21"/>
          <w:highlight w:val="none"/>
        </w:rPr>
        <w:t xml:space="preserve">投标文件的制作、签署、上传</w:t>
      </w:r>
      <w:r/>
    </w:p>
    <w:p>
      <w:pPr>
        <w:pStyle w:val="834"/>
        <w:ind w:firstLine="420"/>
        <w:spacing w:line="360" w:lineRule="auto"/>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17.1本项目采用电子招投标形式，请供应商按照</w:t>
      </w:r>
      <w:r>
        <w:rPr>
          <w:rFonts w:hint="eastAsia" w:ascii="宋体" w:hAnsi="宋体" w:cs="宋体"/>
          <w:b/>
          <w:bCs/>
          <w:color w:val="auto"/>
          <w:szCs w:val="21"/>
          <w:highlight w:val="none"/>
          <w:lang w:val="en-US"/>
        </w:rPr>
        <w:t xml:space="preserve">《苏采云系统供应商操作手册》</w:t>
      </w:r>
      <w:r>
        <w:rPr>
          <w:rFonts w:hint="eastAsia" w:ascii="宋体" w:hAnsi="宋体" w:cs="宋体"/>
          <w:color w:val="auto"/>
          <w:szCs w:val="21"/>
          <w:highlight w:val="none"/>
          <w:lang w:val="en-US"/>
        </w:rPr>
        <w:t xml:space="preserve">进行制作、上传电子投标文件。</w:t>
      </w:r>
      <w:r/>
    </w:p>
    <w:p>
      <w:pPr>
        <w:pStyle w:val="834"/>
        <w:ind w:firstLine="420"/>
        <w:spacing w:line="360" w:lineRule="auto"/>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17.2制作电子投标文件时，应按照招标文件要求加盖投标人电子公章。</w:t>
      </w:r>
      <w:r/>
    </w:p>
    <w:p>
      <w:pPr>
        <w:pStyle w:val="834"/>
        <w:ind w:firstLine="420"/>
        <w:spacing w:line="360" w:lineRule="auto"/>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17.3</w:t>
      </w:r>
      <w:r>
        <w:rPr>
          <w:rFonts w:hint="eastAsia" w:ascii="宋体" w:hAnsi="宋体" w:cs="宋体"/>
          <w:b/>
          <w:bCs/>
          <w:color w:val="auto"/>
          <w:szCs w:val="21"/>
          <w:highlight w:val="none"/>
          <w:lang w:val="en-US"/>
        </w:rPr>
        <w:t xml:space="preserve">电子投标文件制作完成后请于投标文件网上提交截止时间前成功上传至“苏采云”系统，否则视为放弃参加该采购项目。</w:t>
      </w:r>
      <w:bookmarkStart w:id="44" w:name="_Toc31150"/>
      <w:r/>
      <w:bookmarkStart w:id="45" w:name="_Toc25608"/>
      <w:r>
        <w:rPr>
          <w:rFonts w:hint="eastAsia" w:ascii="宋体" w:hAnsi="宋体" w:cs="宋体"/>
          <w:color w:val="auto"/>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4"/>
      <w:r/>
      <w:bookmarkEnd w:id="45"/>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五、投标文件的递交（上传）</w:t>
      </w:r>
      <w:r/>
    </w:p>
    <w:p>
      <w:pPr>
        <w:pStyle w:val="834"/>
        <w:ind w:firstLine="0"/>
        <w:spacing w:line="360" w:lineRule="auto"/>
        <w:rPr>
          <w:rFonts w:hint="eastAsia" w:ascii="宋体" w:hAnsi="宋体" w:cs="宋体"/>
          <w:b/>
          <w:color w:val="auto"/>
          <w:szCs w:val="21"/>
          <w:highlight w:val="none"/>
        </w:rPr>
      </w:pPr>
      <w:r>
        <w:rPr>
          <w:rFonts w:hint="eastAsia" w:ascii="宋体" w:hAnsi="宋体" w:cs="宋体"/>
          <w:b/>
          <w:bCs/>
          <w:color w:val="auto"/>
          <w:szCs w:val="21"/>
          <w:highlight w:val="none"/>
        </w:rPr>
        <w:t xml:space="preserve">18. </w:t>
      </w:r>
      <w:r>
        <w:rPr>
          <w:rFonts w:hint="eastAsia" w:ascii="宋体" w:hAnsi="宋体" w:cs="宋体"/>
          <w:b/>
          <w:color w:val="auto"/>
          <w:szCs w:val="21"/>
          <w:highlight w:val="none"/>
        </w:rPr>
        <w:t xml:space="preserve">投标文件的递交</w:t>
      </w:r>
      <w:r/>
    </w:p>
    <w:p>
      <w:pPr>
        <w:pStyle w:val="834"/>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18</w:t>
      </w:r>
      <w:r>
        <w:rPr>
          <w:rFonts w:hint="eastAsia" w:ascii="宋体" w:hAnsi="宋体" w:cs="宋体"/>
          <w:color w:val="auto"/>
          <w:szCs w:val="21"/>
          <w:highlight w:val="none"/>
        </w:rPr>
        <w:t xml:space="preserve">.1投标人应当在投标截止时间前制作并上传电子投标文件。</w:t>
      </w:r>
      <w:r/>
    </w:p>
    <w:p>
      <w:pPr>
        <w:pStyle w:val="791"/>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18.2投标人通过</w:t>
      </w:r>
      <w:r>
        <w:rPr>
          <w:rFonts w:hint="eastAsia" w:ascii="宋体" w:hAnsi="宋体" w:eastAsia="宋体" w:cs="宋体"/>
          <w:b/>
          <w:color w:val="auto"/>
          <w:sz w:val="21"/>
          <w:szCs w:val="21"/>
          <w:highlight w:val="none"/>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hint="eastAsia" w:ascii="宋体" w:hAnsi="宋体" w:cs="宋体"/>
          <w:color w:val="auto"/>
          <w:highlight w:val="none"/>
        </w:rPr>
      </w:pPr>
      <w:r>
        <w:rPr>
          <w:rFonts w:hint="eastAsia" w:ascii="宋体" w:hAnsi="宋体" w:cs="宋体"/>
          <w:b/>
          <w:color w:val="auto"/>
          <w:szCs w:val="21"/>
          <w:highlight w:val="none"/>
        </w:rPr>
        <w:t xml:space="preserve">18.3</w:t>
      </w:r>
      <w:r>
        <w:rPr>
          <w:rFonts w:hint="eastAsia" w:ascii="宋体" w:hAnsi="宋体" w:cs="宋体"/>
          <w:b/>
          <w:bCs/>
          <w:color w:val="auto"/>
          <w:szCs w:val="21"/>
          <w:highlight w:val="none"/>
          <w:lang w:val="zh-CN"/>
        </w:rPr>
        <w:t xml:space="preserve">纸质</w:t>
      </w:r>
      <w:r>
        <w:rPr>
          <w:rFonts w:hint="eastAsia" w:ascii="宋体" w:hAnsi="宋体" w:cs="宋体"/>
          <w:b/>
          <w:bCs/>
          <w:color w:val="auto"/>
          <w:szCs w:val="21"/>
          <w:highlight w:val="none"/>
        </w:rPr>
        <w:t xml:space="preserve">投标</w:t>
      </w:r>
      <w:r>
        <w:rPr>
          <w:rFonts w:hint="eastAsia" w:ascii="宋体" w:hAnsi="宋体" w:cs="宋体"/>
          <w:b/>
          <w:bCs/>
          <w:color w:val="auto"/>
          <w:szCs w:val="21"/>
          <w:highlight w:val="none"/>
          <w:lang w:val="zh-CN"/>
        </w:rPr>
        <w:t xml:space="preserve">文件：</w:t>
      </w:r>
      <w:r>
        <w:rPr>
          <w:rFonts w:hint="eastAsia" w:ascii="宋体" w:hAnsi="宋体" w:cs="宋体"/>
          <w:color w:val="auto"/>
          <w:szCs w:val="21"/>
          <w:highlight w:val="none"/>
        </w:rPr>
        <w:t xml:space="preserve">中标后5个工作日内，中标单位向招标代理机构提供与电子投标文件内容一致的</w:t>
      </w:r>
      <w:r>
        <w:rPr>
          <w:rFonts w:hint="eastAsia" w:ascii="宋体" w:hAnsi="宋体" w:cs="宋体"/>
          <w:color w:val="auto"/>
          <w:highlight w:val="none"/>
        </w:rPr>
        <w:t xml:space="preserve">纸质投标文件肆份。</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 投标截止时间</w:t>
      </w:r>
      <w:r/>
    </w:p>
    <w:p>
      <w:pPr>
        <w:pStyle w:val="834"/>
        <w:ind w:firstLine="420"/>
        <w:spacing w:line="360" w:lineRule="auto"/>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19.1投标人应当在招标文件要求投标文件网上提交截止时间前，将投标文件完成提交（上传）。逾期提交（上传）的投标文件，采购人和采购代理机构拒绝接收。</w:t>
      </w:r>
      <w:r/>
    </w:p>
    <w:p>
      <w:pPr>
        <w:pStyle w:val="834"/>
        <w:ind w:firstLine="420"/>
        <w:spacing w:line="360" w:lineRule="auto"/>
        <w:rPr>
          <w:rFonts w:hint="eastAsia" w:ascii="宋体" w:hAnsi="宋体" w:cs="宋体"/>
          <w:color w:val="auto"/>
          <w:szCs w:val="21"/>
          <w:highlight w:val="none"/>
          <w:lang w:val="en-US"/>
        </w:rPr>
      </w:pPr>
      <w:r>
        <w:rPr>
          <w:rFonts w:hint="eastAsia" w:ascii="宋体" w:hAnsi="宋体" w:cs="宋体"/>
          <w:color w:val="auto"/>
          <w:szCs w:val="21"/>
          <w:highlight w:val="none"/>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83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rPr>
        <w:t xml:space="preserve">19.3在投标截止时间止成功解密的投标文件少于三份，采购代理机构有权宣布本次招标失败</w:t>
      </w:r>
      <w:r>
        <w:rPr>
          <w:rFonts w:hint="eastAsia" w:ascii="宋体" w:hAnsi="宋体" w:cs="宋体"/>
          <w:color w:val="auto"/>
          <w:szCs w:val="21"/>
          <w:highlight w:val="none"/>
        </w:rPr>
        <w:t xml:space="preserve">。</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 </w:t>
      </w:r>
      <w:r>
        <w:rPr>
          <w:rFonts w:hint="eastAsia" w:ascii="宋体" w:hAnsi="宋体" w:cs="宋体"/>
          <w:b/>
          <w:color w:val="auto"/>
          <w:szCs w:val="21"/>
          <w:highlight w:val="none"/>
        </w:rPr>
        <w:t xml:space="preserve">投标文件的补充、修改和撤回</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20.1</w:t>
      </w:r>
      <w:r>
        <w:rPr>
          <w:rFonts w:hint="eastAsia" w:ascii="宋体" w:hAnsi="宋体" w:cs="宋体"/>
          <w:color w:val="auto"/>
          <w:szCs w:val="21"/>
          <w:highlight w:val="none"/>
        </w:rPr>
        <w:t xml:space="preserve">投标人在投标文件网上提交截止时间前，可以对其电子投标文件进行补充、修改，具体操作方法见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。在投标文件网上提交截止时间之后，投标人不得对其电子投标文件作任何修改</w:t>
      </w:r>
      <w:r>
        <w:rPr>
          <w:rFonts w:hint="eastAsia" w:ascii="宋体" w:hAnsi="宋体" w:cs="宋体"/>
          <w:color w:val="auto"/>
          <w:szCs w:val="21"/>
          <w:highlight w:val="none"/>
          <w:lang w:val="zh-CN"/>
        </w:rPr>
        <w:t xml:space="preserve">。</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20.2</w:t>
      </w:r>
      <w:r>
        <w:rPr>
          <w:rFonts w:hint="eastAsia" w:ascii="宋体" w:hAnsi="宋体" w:cs="宋体"/>
          <w:color w:val="auto"/>
          <w:szCs w:val="21"/>
          <w:highlight w:val="none"/>
        </w:rPr>
        <w:t xml:space="preserve">投标人在投标文件网上提交截止时间前，可以撤回其电子投标文件，具体操作方法见</w:t>
      </w:r>
      <w:r>
        <w:rPr>
          <w:rFonts w:hint="eastAsia" w:ascii="宋体" w:hAnsi="宋体" w:cs="宋体"/>
          <w:b/>
          <w:color w:val="auto"/>
          <w:szCs w:val="21"/>
          <w:highlight w:val="none"/>
        </w:rPr>
        <w:t xml:space="preserve">《苏采云系统供应商操作手册》</w:t>
      </w:r>
      <w:r>
        <w:rPr>
          <w:rFonts w:hint="eastAsia" w:ascii="宋体" w:hAnsi="宋体" w:cs="宋体"/>
          <w:color w:val="auto"/>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color w:val="auto"/>
          <w:szCs w:val="21"/>
          <w:highlight w:val="none"/>
          <w:lang w:val="zh-CN"/>
        </w:rPr>
        <w:t xml:space="preserve">。</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六、 开标和评标</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 开标</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21.1开标由采购代理机构</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主持，邀请投标人</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参加。投标人应当按照《苏采云系统供应商操作手册》规定，</w:t>
      </w:r>
      <w:r>
        <w:rPr>
          <w:rFonts w:hint="eastAsia" w:ascii="宋体" w:hAnsi="宋体" w:cs="宋体"/>
          <w:b/>
          <w:bCs/>
          <w:color w:val="auto"/>
          <w:szCs w:val="21"/>
          <w:highlight w:val="none"/>
          <w:lang w:val="zh-CN"/>
        </w:rPr>
        <w:t xml:space="preserve">参加开标活动和在“苏采云”系统规定的时间内对投标文件进行解密。</w:t>
      </w:r>
      <w:r>
        <w:rPr>
          <w:rFonts w:hint="eastAsia" w:ascii="宋体" w:hAnsi="宋体" w:cs="宋体"/>
          <w:color w:val="auto"/>
          <w:szCs w:val="21"/>
          <w:highlight w:val="none"/>
          <w:lang w:val="zh-CN"/>
        </w:rPr>
        <w:t xml:space="preserve">评标委员会成员不得参加开标活动。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21.2开标时，由采购代理机构</w:t>
      </w:r>
      <w:r>
        <w:rPr>
          <w:rFonts w:hint="eastAsia" w:ascii="宋体" w:hAnsi="宋体" w:cs="宋体"/>
          <w:color w:val="auto"/>
          <w:szCs w:val="21"/>
          <w:highlight w:val="none"/>
        </w:rPr>
        <w:t xml:space="preserve">通过“苏采云”系统在线</w:t>
      </w:r>
      <w:r>
        <w:rPr>
          <w:rFonts w:hint="eastAsia" w:ascii="宋体" w:hAnsi="宋体" w:cs="宋体"/>
          <w:color w:val="auto"/>
          <w:szCs w:val="21"/>
          <w:highlight w:val="none"/>
          <w:lang w:val="zh-CN"/>
        </w:rPr>
        <w:t xml:space="preserve">宣布投标人名称、投标价格和招标文件规定的需要宣布的其他内容。</w:t>
      </w:r>
      <w:r>
        <w:rPr>
          <w:rFonts w:hint="eastAsia" w:ascii="宋体" w:hAnsi="宋体" w:cs="宋体"/>
          <w:color w:val="auto"/>
          <w:szCs w:val="21"/>
          <w:highlight w:val="none"/>
        </w:rPr>
        <w:t xml:space="preserve">投标人在不见面开标系统中确认投标价格，如</w:t>
      </w:r>
      <w:r>
        <w:rPr>
          <w:rFonts w:hint="eastAsia" w:ascii="宋体" w:hAnsi="宋体" w:cs="宋体"/>
          <w:color w:val="auto"/>
          <w:szCs w:val="21"/>
          <w:highlight w:val="none"/>
          <w:lang w:val="zh-CN"/>
        </w:rPr>
        <w:t xml:space="preserve">投标人未</w:t>
      </w:r>
      <w:r>
        <w:rPr>
          <w:rFonts w:hint="eastAsia" w:ascii="宋体" w:hAnsi="宋体" w:cs="宋体"/>
          <w:color w:val="auto"/>
          <w:szCs w:val="21"/>
          <w:highlight w:val="none"/>
        </w:rPr>
        <w:t xml:space="preserve">在线</w:t>
      </w:r>
      <w:r>
        <w:rPr>
          <w:rFonts w:hint="eastAsia" w:ascii="宋体" w:hAnsi="宋体" w:cs="宋体"/>
          <w:color w:val="auto"/>
          <w:szCs w:val="21"/>
          <w:highlight w:val="none"/>
          <w:lang w:val="zh-CN"/>
        </w:rPr>
        <w:t xml:space="preserve">参加开标</w:t>
      </w:r>
      <w:r>
        <w:rPr>
          <w:rFonts w:hint="eastAsia" w:ascii="宋体" w:hAnsi="宋体" w:cs="宋体"/>
          <w:color w:val="auto"/>
          <w:szCs w:val="21"/>
          <w:highlight w:val="none"/>
        </w:rPr>
        <w:t xml:space="preserve">或未在规定时间内确认价格</w:t>
      </w:r>
      <w:r>
        <w:rPr>
          <w:rFonts w:hint="eastAsia" w:ascii="宋体" w:hAnsi="宋体" w:cs="宋体"/>
          <w:color w:val="auto"/>
          <w:szCs w:val="21"/>
          <w:highlight w:val="none"/>
          <w:lang w:val="zh-CN"/>
        </w:rPr>
        <w:t xml:space="preserve">的，视同认可开标结果。</w:t>
      </w:r>
      <w:r/>
    </w:p>
    <w:p>
      <w:pPr>
        <w:pStyle w:val="83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21.3资格审查</w:t>
      </w:r>
      <w:r/>
    </w:p>
    <w:p>
      <w:pPr>
        <w:pStyle w:val="83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1</w:t>
      </w:r>
      <w:r>
        <w:rPr>
          <w:rFonts w:hint="eastAsia" w:ascii="宋体" w:hAnsi="宋体" w:cs="宋体"/>
          <w:color w:val="auto"/>
          <w:szCs w:val="21"/>
          <w:highlight w:val="none"/>
        </w:rPr>
        <w:t xml:space="preserve">.3.1公开招标采购项目开标结束后，采购人</w:t>
      </w:r>
      <w:r>
        <w:rPr>
          <w:rFonts w:hint="eastAsia" w:ascii="宋体" w:hAnsi="宋体" w:cs="宋体"/>
          <w:color w:val="auto"/>
          <w:szCs w:val="21"/>
          <w:highlight w:val="none"/>
          <w:lang w:val="en-US"/>
        </w:rPr>
        <w:t xml:space="preserve">或采购代理机构</w:t>
      </w:r>
      <w:r>
        <w:rPr>
          <w:rFonts w:hint="eastAsia" w:ascii="宋体" w:hAnsi="宋体" w:cs="宋体"/>
          <w:color w:val="auto"/>
          <w:szCs w:val="21"/>
          <w:highlight w:val="none"/>
        </w:rPr>
        <w:t xml:space="preserve">应当依法对投标人的资格进行审查，未通过资格审查的视为无效投标。</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22. 评标委员会或评标小组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22.1评标委员会或评标小组（以下简称评标委员会）成员依法组建。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22.2评标委员会或评标小组负责具体的评标事务，并独立履行以下职责：</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22.2.1审查、评价投标文件是否符合招标文件的商务、技术等实质性要求；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22.2.2要求投标人对投标文件有关事项作出澄清或者说明；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22.2.3对投标文件进行比较和评价；</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22.2.4确定中标候选人名单，以及根据采购单位委托直接确定中标单位；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22.2.5向采购单位、采购代理机构或者有关部门报告评标中发现的违法行为。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22.3评标委员会成员应当履行下列义务：</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22.3.1遵纪守法，客观、公正、廉洁地履行职责；</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22.3.2按照招标文件规定的评标方法和评标标准进行评标，对评审意见承担个人责任；</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22.3.3对评标过程和结果，以及投标人的商业秘密保密；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22.3.4参与评标报告的起草；</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22.3.5配合财政部门的投诉处理工作；</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22.3.6配合招标采购单位答复投标供应商提出的质疑。</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23. 评标内容的保密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23.3在评标期间，招标代理机构将通过指定联络人与投标人进行联系。</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24. 对投标文件初审</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24.1</w:t>
      </w:r>
      <w:r>
        <w:rPr>
          <w:rFonts w:hint="eastAsia" w:ascii="宋体" w:hAnsi="宋体" w:cs="宋体"/>
          <w:color w:val="auto"/>
          <w:szCs w:val="21"/>
          <w:highlight w:val="none"/>
        </w:rPr>
        <w:t xml:space="preserve">评标委员会应当对符合资格的投标人的投标文件进行符合性审查，以确定其是否满足招标文件的实质性要求</w:t>
      </w:r>
      <w:r>
        <w:rPr>
          <w:rFonts w:hint="eastAsia" w:ascii="宋体" w:hAnsi="宋体" w:cs="宋体"/>
          <w:color w:val="auto"/>
          <w:szCs w:val="21"/>
          <w:highlight w:val="none"/>
          <w:lang w:val="zh-CN"/>
        </w:rPr>
        <w:t xml:space="preserve">。</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投标文件有下列情况之一者将被拒绝：</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24.1.1投标人的投标文件未按照本须知规定制作的；</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24.1.2未按本须知规定提交资格文件或资质不合格；</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24.1.3与招标文件有重大偏离；</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24.1.4投标人拒绝修正错误；</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24.1.5投标人的报价是选择性的；</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24.1.6投标人的报价只投了部分内容；</w:t>
      </w:r>
      <w:r/>
    </w:p>
    <w:p>
      <w:pPr>
        <w:ind w:firstLine="422"/>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24.1.8其他被评委会认定无效的情况。</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24.2.1查询时间：投标文件递交截止时间后。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24.2.2查询渠道：</w:t>
      </w:r>
      <w:r>
        <w:rPr>
          <w:rFonts w:hint="eastAsia" w:ascii="宋体" w:hAnsi="宋体" w:cs="宋体"/>
          <w:color w:val="auto"/>
          <w:szCs w:val="21"/>
          <w:highlight w:val="none"/>
        </w:rPr>
        <w:t xml:space="preserve">统一登录苏采云的“供应商信用查询”系统查询供应商的信用记录。苏采云“供应商信用查询”系统实时提供来自中国政府采购网、信用中国、信用江苏、诚信苏州网站的相关主体信用记录。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24.2.3查询证据留存方式：</w:t>
      </w:r>
      <w:r>
        <w:rPr>
          <w:rFonts w:hint="eastAsia" w:ascii="宋体" w:hAnsi="宋体" w:cs="宋体"/>
          <w:color w:val="auto"/>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highlight w:val="none"/>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24.2.</w:t>
      </w:r>
      <w:r>
        <w:rPr>
          <w:rFonts w:hint="eastAsia" w:ascii="宋体" w:hAnsi="宋体" w:cs="宋体"/>
          <w:color w:val="auto"/>
          <w:szCs w:val="21"/>
          <w:highlight w:val="none"/>
        </w:rPr>
        <w:t xml:space="preserve">5</w:t>
      </w:r>
      <w:r>
        <w:rPr>
          <w:rFonts w:hint="eastAsia" w:ascii="宋体" w:hAnsi="宋体" w:cs="宋体"/>
          <w:color w:val="auto"/>
          <w:szCs w:val="21"/>
          <w:highlight w:val="none"/>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（二）财政部门与法院、工商、税务等部门联合惩戒的失信信息，包括：</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（1）被列入失信被执行人名单；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（2）被列入重大税收违法案件当事人名单；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（3）企业经营异常名录中被责令停产停业、暂扣或者吊销许可证或者执照，或者对经营活动中的</w:t>
      </w:r>
      <w:r>
        <w:rPr>
          <w:rFonts w:hint="eastAsia" w:ascii="宋体" w:hAnsi="宋体" w:cs="宋体"/>
          <w:color w:val="auto"/>
          <w:szCs w:val="21"/>
          <w:highlight w:val="none"/>
        </w:rPr>
        <w:t xml:space="preserve">违法行为处以</w:t>
      </w:r>
      <w:r>
        <w:rPr>
          <w:rFonts w:hint="eastAsia" w:ascii="宋体" w:hAnsi="宋体" w:cs="宋体"/>
          <w:color w:val="auto"/>
          <w:szCs w:val="21"/>
          <w:highlight w:val="none"/>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24.5评委会将对确定为实质上响应的投标进行审核，看其是否有计算上或累加上的算术错误，修正错误的原则如下：</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24.5.1投标文件中开标一览表（报价表）内容与投标文件中相应内容不一致的，以开标一览表（报价表）为准；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24.5.2大写金额和小写金额不一致的，以大写金额为准；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24.5.3单价金额小数点或者百分比有明显错位的，以开标一览表的总价为准，并修改单价；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24.5.4总价金额与按单价汇总金额不一致的，以单价金额计算结果为准。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24.6招标代理机构对投标文件的判定，只依据投标内容本身，不依靠开标后的任何外来证明。</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24.7招标代理机构将拒绝被确定为非实质性响应的投标，投标人不能通过修正或撤销不符之处而使其投标成为实质性响应的投标。</w:t>
      </w:r>
      <w:r/>
    </w:p>
    <w:p>
      <w:pPr>
        <w:ind w:firstLine="103"/>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 投标的澄清</w:t>
      </w:r>
      <w:r/>
    </w:p>
    <w:p>
      <w:pPr>
        <w:pStyle w:val="83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834"/>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en-US"/>
        </w:rPr>
        <w:t xml:space="preserve">5</w:t>
      </w:r>
      <w:r>
        <w:rPr>
          <w:rFonts w:hint="eastAsia" w:ascii="宋体" w:hAnsi="宋体" w:cs="宋体"/>
          <w:color w:val="auto"/>
          <w:szCs w:val="21"/>
          <w:highlight w:val="none"/>
        </w:rPr>
        <w:t xml:space="preserve">.2投标人的澄清、说明或者补正应当采用书面形式，并加盖</w:t>
      </w:r>
      <w:r>
        <w:rPr>
          <w:rFonts w:hint="eastAsia" w:ascii="宋体" w:hAnsi="宋体" w:cs="宋体"/>
          <w:color w:val="auto"/>
          <w:szCs w:val="21"/>
          <w:highlight w:val="none"/>
          <w:lang w:val="en-US"/>
        </w:rPr>
        <w:t xml:space="preserve">其单位电子</w:t>
      </w:r>
      <w:r>
        <w:rPr>
          <w:rFonts w:hint="eastAsia" w:ascii="宋体" w:hAnsi="宋体" w:cs="宋体"/>
          <w:color w:val="auto"/>
          <w:szCs w:val="21"/>
          <w:highlight w:val="none"/>
        </w:rPr>
        <w:t xml:space="preserve">公章。投标人的澄清、说明或者补正不得超出投标文件的范围或者改变投标文件的实质性内容。</w:t>
      </w:r>
      <w:r/>
    </w:p>
    <w:p>
      <w:pPr>
        <w:ind w:firstLine="422"/>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auto"/>
          <w:szCs w:val="21"/>
          <w:highlight w:val="none"/>
        </w:rPr>
        <w:t xml:space="preserve">(</w:t>
      </w:r>
      <w:r>
        <w:rPr>
          <w:rFonts w:hint="eastAsia" w:ascii="宋体" w:hAnsi="宋体" w:cs="宋体"/>
          <w:b/>
          <w:color w:val="auto"/>
          <w:szCs w:val="21"/>
          <w:highlight w:val="none"/>
        </w:rPr>
        <w:t xml:space="preserve">此处规定时间的计算以系统中的倒计时间为准，</w:t>
      </w:r>
      <w:r>
        <w:rPr>
          <w:rFonts w:hint="eastAsia" w:ascii="宋体" w:hAnsi="宋体" w:cs="宋体"/>
          <w:color w:val="auto"/>
          <w:szCs w:val="21"/>
          <w:highlight w:val="none"/>
        </w:rPr>
        <w:t xml:space="preserve">供应商应随时保持系统在线，如因供应商自身原因未在规定时间内提交澄清确认资料的，导致的不利后果由供应商自行承担</w:t>
      </w:r>
      <w:r>
        <w:rPr>
          <w:rFonts w:hint="eastAsia" w:ascii="宋体" w:hAnsi="宋体" w:cs="宋体"/>
          <w:color w:val="auto"/>
          <w:szCs w:val="21"/>
          <w:highlight w:val="none"/>
          <w:lang w:val="zh-CN"/>
        </w:rPr>
        <w:t xml:space="preserve">。</w:t>
      </w:r>
      <w:r/>
    </w:p>
    <w:p>
      <w:pPr>
        <w:spacing w:line="360" w:lineRule="auto"/>
        <w:rPr>
          <w:rFonts w:hint="eastAsia" w:ascii="宋体" w:hAnsi="宋体" w:cs="宋体"/>
          <w:b/>
          <w:color w:val="auto"/>
          <w:highlight w:val="none"/>
        </w:rPr>
      </w:pPr>
      <w:r>
        <w:rPr>
          <w:rFonts w:hint="eastAsia" w:ascii="宋体" w:hAnsi="宋体" w:cs="宋体"/>
          <w:b/>
          <w:bCs/>
          <w:color w:val="auto"/>
          <w:szCs w:val="21"/>
          <w:highlight w:val="none"/>
          <w:lang w:val="zh-CN"/>
        </w:rPr>
        <w:t xml:space="preserve">26．</w:t>
      </w:r>
      <w:r>
        <w:rPr>
          <w:rFonts w:hint="eastAsia" w:ascii="宋体" w:hAnsi="宋体" w:cs="宋体"/>
          <w:b/>
          <w:color w:val="auto"/>
          <w:highlight w:val="none"/>
        </w:rPr>
        <w:t xml:space="preserve">无效投标的具体情形有：</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26.1投标文件未按招标文件要求签署、盖章的；</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26.2不具备招标文件中规定的资格要求的；</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26.3报价超过招标文件中规定的预算金额或者最高限价的；</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26.4投标文件含有采购单位不能接受的附加条件的；</w:t>
      </w:r>
      <w:r/>
    </w:p>
    <w:p>
      <w:pPr>
        <w:ind w:firstLine="422"/>
        <w:spacing w:line="360" w:lineRule="auto"/>
        <w:rPr>
          <w:rFonts w:hint="eastAsia" w:ascii="宋体" w:hAnsi="宋体" w:cs="宋体"/>
          <w:b/>
          <w:bCs/>
          <w:color w:val="auto"/>
          <w:highlight w:val="none"/>
        </w:rPr>
      </w:pPr>
      <w:r>
        <w:rPr>
          <w:rFonts w:hint="eastAsia" w:ascii="宋体" w:hAnsi="宋体" w:cs="宋体"/>
          <w:b/>
          <w:bCs/>
          <w:color w:val="auto"/>
          <w:szCs w:val="21"/>
          <w:highlight w:val="none"/>
          <w:lang w:val="zh-CN"/>
        </w:rPr>
        <w:t xml:space="preserve">26.5</w:t>
      </w:r>
      <w:r>
        <w:rPr>
          <w:rFonts w:hint="eastAsia" w:ascii="宋体" w:hAnsi="宋体" w:cs="宋体"/>
          <w:b/>
          <w:bCs/>
          <w:color w:val="auto"/>
          <w:highlight w:val="none"/>
        </w:rPr>
        <w:t xml:space="preserve">不同投标（响应）文件制作机器码一致的；</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highlight w:val="none"/>
        </w:rPr>
        <w:t xml:space="preserve">26.6</w:t>
      </w:r>
      <w:r>
        <w:rPr>
          <w:rFonts w:hint="eastAsia" w:ascii="宋体" w:hAnsi="宋体" w:cs="宋体"/>
          <w:b/>
          <w:bCs/>
          <w:color w:val="auto"/>
          <w:szCs w:val="21"/>
          <w:highlight w:val="none"/>
          <w:lang w:val="zh-CN"/>
        </w:rPr>
        <w:t xml:space="preserve">法律、法规和招标文件规定的其他无效情形。</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27.废标的具体情形有： </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27.1符合专业条件的供应商或者对招标文件作实质响应的供应商不足三家的；</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27.2出现影响采购公正的违法、违规行为的；</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27.3投标人的报价均超过了采购预算或最高限价，采购单位不能支付的； </w:t>
      </w:r>
      <w:r/>
    </w:p>
    <w:p>
      <w:pPr>
        <w:ind w:firstLine="422"/>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27.4因重大变故，采购任务取消的。</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28. 投标文件的评价和比较</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28.1评标委员会将仅对按照本须知有关规定确定为实质上响应招标文件要求的投标文件进行评价和比较。</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28.2.1针对本项目的服务方案；</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28.2.2针对本项目的人员投入；</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28.2.3投标者的质量、服务措施；</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28.2.4投标者提供的其他优惠条件；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28.2.5参与本项目政府采购工作的态度及信誉；</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28.2.6 最低的投标报价是中标的重要条件但不是唯一条件。</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28.3评标原则及方法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28.3.1公正、公平、公开、科学、择优。</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28.3.2对所有投标文件的评审，均采用相同的程序和标准。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28.3.2.2评审技术服务的承诺文件是否满足采购单位的要求。</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七、授予合同</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 中标单位的确认</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30.质疑处理</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0.2本次招标文件要求供应商在法定质疑期内一次性提出针对同一采购程序环节的质疑，否则不予受理。</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0.3供应商提出质疑应当提交质疑函和必要的证明材料，质疑函应当包括下列内容：</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（1）供应商的姓名或者名称（以提供的营业执照副本复印件为准）、地址、邮编、联系人及联系电话；</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（2）质疑项目的名称、编号；</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（3）具体、明确的质疑事项和与质疑事项相关的请求；</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（4）事实依据；</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（5）必要的法律依据；</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（6）提出质疑的日期。</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color w:val="auto"/>
          <w:sz w:val="21"/>
          <w:szCs w:val="21"/>
          <w:highlight w:val="none"/>
          <w:lang w:val="zh-CN"/>
        </w:rPr>
        <w:t xml:space="preserve">授权委托书</w:t>
      </w:r>
      <w:r>
        <w:rPr>
          <w:rFonts w:hint="eastAsia" w:ascii="宋体" w:hAnsi="宋体" w:eastAsia="宋体" w:cs="宋体"/>
          <w:color w:val="auto"/>
          <w:sz w:val="21"/>
          <w:szCs w:val="21"/>
          <w:highlight w:val="none"/>
          <w:lang w:val="zh-CN"/>
        </w:rPr>
        <w:t xml:space="preserve">上应当载明代理人的姓名或者名称、代理事项、具体权限、期限和相关事项。</w:t>
      </w:r>
      <w:r/>
    </w:p>
    <w:p>
      <w:pPr>
        <w:pStyle w:val="791"/>
        <w:ind w:firstLine="422"/>
        <w:jc w:val="left"/>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b/>
          <w:bCs/>
          <w:color w:val="auto"/>
          <w:sz w:val="21"/>
          <w:szCs w:val="21"/>
          <w:highlight w:val="none"/>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lang w:val="zh-CN"/>
        </w:rPr>
        <w:t xml:space="preserve">。</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color w:val="auto"/>
          <w:sz w:val="21"/>
          <w:szCs w:val="21"/>
          <w:highlight w:val="none"/>
          <w:lang w:val="zh-CN"/>
        </w:rPr>
        <w:t xml:space="preserve">《投标供应商确认函》</w:t>
      </w:r>
      <w:r>
        <w:rPr>
          <w:rFonts w:hint="eastAsia" w:ascii="宋体" w:hAnsi="宋体" w:eastAsia="宋体" w:cs="宋体"/>
          <w:color w:val="auto"/>
          <w:sz w:val="21"/>
          <w:szCs w:val="21"/>
          <w:highlight w:val="none"/>
          <w:lang w:val="zh-CN"/>
        </w:rPr>
        <w:t xml:space="preserve">）与质疑函一起递交，否则不予受理。</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0.5接收质疑函的方式：书面形式（当场送达或邮寄方式）。</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采购代理机构：苏州秉诚工程造价咨询有限公司</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质疑联系人：丁莎莎、梁青松</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联系电话：0512-68780552</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现场递交地址：苏州相城区南天成路55号相融大厦</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层</w:t>
      </w:r>
      <w:r/>
    </w:p>
    <w:p>
      <w:pPr>
        <w:pStyle w:val="791"/>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邮寄收取地址：苏州相城区南天成路55号相融大厦</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层</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31. 合同授予标准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31.1招标代理机构将把合同授予其投标文件在实质上响应招标文件要求和按本须知规定评选出的投标单位。确定为中标的投标单位必须具有实施本合同的能力和资源。</w:t>
      </w:r>
      <w:r/>
    </w:p>
    <w:p>
      <w:pP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32. 中标通知书</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32.1</w:t>
      </w:r>
      <w:r>
        <w:rPr>
          <w:rFonts w:hint="eastAsia" w:ascii="宋体" w:hAnsi="宋体" w:cs="宋体"/>
          <w:color w:val="auto"/>
          <w:szCs w:val="21"/>
          <w:highlight w:val="none"/>
        </w:rPr>
        <w:t xml:space="preserve">确定出中标人后，采购代理机构在法定时间内向中标人发出中标通知书。</w:t>
      </w:r>
      <w:r>
        <w:rPr>
          <w:rFonts w:hint="eastAsia" w:ascii="宋体" w:hAnsi="宋体" w:cs="宋体"/>
          <w:b/>
          <w:color w:val="auto"/>
          <w:szCs w:val="21"/>
          <w:highlight w:val="none"/>
        </w:rPr>
        <w:t xml:space="preserve">请中标人在中标结果公告届满之日起30日内,使用CA证书登录“苏采云”系统及时下载中标通知书。</w:t>
      </w:r>
      <w:r>
        <w:rPr>
          <w:rFonts w:hint="eastAsia" w:ascii="宋体" w:hAnsi="宋体" w:cs="宋体"/>
          <w:color w:val="auto"/>
          <w:szCs w:val="21"/>
          <w:highlight w:val="none"/>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auto"/>
          <w:highlight w:val="none"/>
        </w:rPr>
        <w:t xml:space="preserve">。</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32.2中标通知书将成为合同的组成部分，</w:t>
      </w:r>
      <w:r>
        <w:rPr>
          <w:rFonts w:hint="eastAsia" w:ascii="宋体" w:hAnsi="宋体" w:cs="宋体"/>
          <w:color w:val="auto"/>
          <w:szCs w:val="21"/>
          <w:highlight w:val="none"/>
        </w:rPr>
        <w:t xml:space="preserve">对采购人和中标人具有同等法律效力</w:t>
      </w:r>
      <w:r>
        <w:rPr>
          <w:rFonts w:hint="eastAsia" w:ascii="宋体" w:hAnsi="宋体" w:cs="宋体"/>
          <w:color w:val="auto"/>
          <w:highlight w:val="none"/>
        </w:rPr>
        <w:t xml:space="preserve">。</w:t>
      </w:r>
      <w:r/>
    </w:p>
    <w:p>
      <w:pPr>
        <w:ind w:firstLine="420"/>
        <w:spacing w:line="360" w:lineRule="auto"/>
        <w:tabs>
          <w:tab w:val="left" w:pos="142" w:leader="none"/>
          <w:tab w:val="left" w:pos="600" w:leader="none"/>
        </w:tabs>
        <w:rPr>
          <w:rFonts w:hint="eastAsia" w:ascii="宋体" w:hAnsi="宋体" w:cs="宋体"/>
          <w:color w:val="auto"/>
          <w:highlight w:val="none"/>
        </w:rPr>
      </w:pPr>
      <w:r>
        <w:rPr>
          <w:rFonts w:hint="eastAsia" w:ascii="宋体" w:hAnsi="宋体" w:cs="宋体"/>
          <w:color w:val="auto"/>
          <w:highlight w:val="none"/>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32.4</w:t>
      </w:r>
      <w:r>
        <w:rPr>
          <w:rFonts w:hint="eastAsia" w:ascii="宋体" w:hAnsi="宋体" w:cs="宋体"/>
          <w:color w:val="auto"/>
          <w:szCs w:val="21"/>
          <w:highlight w:val="none"/>
        </w:rPr>
        <w:t xml:space="preserve">中标通知书发出后，采购人不得违法改变中标结果，中标人无正当理由不得放弃中标</w:t>
      </w:r>
      <w:r>
        <w:rPr>
          <w:rFonts w:hint="eastAsia" w:ascii="宋体" w:hAnsi="宋体" w:cs="宋体"/>
          <w:color w:val="auto"/>
          <w:highlight w:val="none"/>
        </w:rPr>
        <w:t xml:space="preserve">。</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33. 合同的签订</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33.1中标单位应按中标通知书中规定的时间和地点，由法定代表人或委托代理人与甲方代表签订合同,否则按放弃中标权处理。</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33.2签订合同及合同条款应以招标文件和中标单位的投标文件及其澄清文件为依据。</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33.3中标单位无正当理由拒签合同的，或在签订合同时向采购单位提出附加条件或者更改合同实质性内容的，报请政府采购监管部门对该投标单位进行相应的行政处罚。</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八、其他事项</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34. 中标服务费</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34.1中标单位须按前附表规定支付中标服务费，该费用应在领取中标通知书时付清。</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34.2中标单位如果未按规定缴纳中标服务费，招标代理机构保留诉讼的权利。</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35. 监督和公证</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35.1政府有关监督部门将对招投标全过程进行监督。</w:t>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36. 未尽事宜</w:t>
      </w:r>
      <w:r/>
    </w:p>
    <w:p>
      <w:pPr>
        <w:pStyle w:val="791"/>
        <w:ind w:left="420" w:firstLine="82"/>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按《中华人民共和国政府采购法》及其他有关政府采购的法律法规的规定执行。</w:t>
      </w:r>
      <w:r/>
    </w:p>
    <w:p>
      <w:pPr>
        <w:pStyle w:val="810"/>
        <w:jc w:val="center"/>
        <w:pageBreakBefore/>
        <w:spacing w:line="360" w:lineRule="auto"/>
        <w:tabs>
          <w:tab w:val="right" w:pos="8302" w:leader="dot"/>
        </w:tabs>
        <w:rPr>
          <w:rStyle w:val="824"/>
          <w:rFonts w:hint="eastAsia" w:ascii="宋体" w:hAnsi="宋体" w:cs="宋体"/>
          <w:color w:val="auto"/>
          <w:sz w:val="32"/>
          <w:szCs w:val="32"/>
          <w:highlight w:val="none"/>
        </w:rPr>
      </w:pPr>
      <w:r>
        <w:rPr>
          <w:rStyle w:val="824"/>
          <w:rFonts w:hint="eastAsia" w:ascii="宋体" w:hAnsi="宋体" w:cs="宋体"/>
          <w:color w:val="auto"/>
          <w:sz w:val="32"/>
          <w:szCs w:val="32"/>
          <w:highlight w:val="none"/>
        </w:rPr>
        <w:t xml:space="preserve">第三章 投标文件格式</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说明：对本章所有的投标书格式 ，投标方可根据自身情况进行补充和修改，但补充和修改不得造成与本格式内容有实质性的违背。</w:t>
      </w:r>
      <w:r/>
    </w:p>
    <w:p>
      <w:pPr>
        <w:pStyle w:val="781"/>
        <w:spacing w:before="0" w:after="0"/>
        <w:rPr>
          <w:rFonts w:hint="eastAsia" w:ascii="宋体" w:hAnsi="宋体" w:cs="宋体"/>
          <w:color w:val="auto"/>
          <w:highlight w:val="none"/>
          <w:lang w:val="zh-CN"/>
        </w:rPr>
      </w:pPr>
      <w:r>
        <w:rPr>
          <w:rFonts w:hint="eastAsia" w:ascii="宋体" w:hAnsi="宋体" w:cs="宋体"/>
          <w:color w:val="auto"/>
          <w:highlight w:val="none"/>
          <w:lang w:val="zh-CN"/>
        </w:rPr>
      </w:r>
      <w:r/>
    </w:p>
    <w:p>
      <w:pPr>
        <w:ind w:left="-2" w:hanging="74"/>
        <w:jc w:val="left"/>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附件1、（投标方）法人授权委托书</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法人授权委托书</w:t>
      </w:r>
      <w:r/>
    </w:p>
    <w:p>
      <w:pPr>
        <w:pStyle w:val="1039"/>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本授权委托书声明：我</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（姓名）系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（投标人名称）的法定代表人，现授权委托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（单位名称）的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（姓名）为我公司代理人，以本公司的名义参加苏州秉诚工程造价咨询有限公司组织实施的编号为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号的招标活动。代理人在开标、评标、合同谈判过程中所签署的一切文件和处理与这有关的一切事务，我均予以承认。</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代理人无转委托权。特此委托。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被授权人身份证号码：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被授权人联系电话：</w:t>
      </w:r>
      <w:r>
        <w:rPr>
          <w:rFonts w:hint="eastAsia" w:ascii="宋体" w:hAnsi="宋体" w:cs="宋体"/>
          <w:color w:val="auto"/>
          <w:szCs w:val="21"/>
          <w:highlight w:val="none"/>
          <w:u w:val="single"/>
        </w:rPr>
        <w:t xml:space="preserve">（手机）            </w:t>
      </w:r>
      <w:r>
        <w:rPr>
          <w:rFonts w:hint="eastAsia" w:ascii="宋体" w:hAnsi="宋体" w:cs="宋体"/>
          <w:color w:val="auto"/>
          <w:szCs w:val="21"/>
          <w:highlight w:val="none"/>
        </w:rPr>
        <w:t xml:space="preserve">。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olor w:val="auto"/>
          <w:szCs w:val="20"/>
          <w:highlight w:val="none"/>
          <w:lang w:bidi="ar-SA"/>
        </w:rPr>
      </w:pPr>
      <w:r>
        <w:rPr>
          <w:rFonts w:hint="eastAsia" w:ascii="宋体" w:hAnsi="宋体"/>
          <w:color w:val="auto"/>
          <w:szCs w:val="20"/>
          <w:highlight w:val="none"/>
          <w:lang w:bidi="ar-SA"/>
        </w:rPr>
        <w:t xml:space="preserve">响应单位：（盖章）</w:t>
      </w:r>
      <w:r/>
    </w:p>
    <w:p>
      <w:pPr>
        <w:ind w:firstLine="420"/>
        <w:spacing w:line="360" w:lineRule="auto"/>
        <w:rPr>
          <w:rFonts w:hint="eastAsia" w:ascii="宋体" w:hAnsi="宋体"/>
          <w:color w:val="auto"/>
          <w:szCs w:val="20"/>
          <w:highlight w:val="none"/>
          <w:lang w:bidi="ar-SA"/>
        </w:rPr>
      </w:pPr>
      <w:r>
        <w:rPr>
          <w:rFonts w:hint="eastAsia" w:ascii="宋体" w:hAnsi="宋体"/>
          <w:color w:val="auto"/>
          <w:szCs w:val="20"/>
          <w:highlight w:val="none"/>
          <w:lang w:bidi="ar-SA"/>
        </w:rPr>
        <w:t xml:space="preserve">法定代表人：（签字或盖章）</w:t>
      </w:r>
      <w:r/>
    </w:p>
    <w:p>
      <w:pPr>
        <w:ind w:firstLine="420"/>
        <w:spacing w:line="360" w:lineRule="auto"/>
        <w:rPr>
          <w:rFonts w:hint="eastAsia" w:ascii="宋体" w:hAnsi="宋体"/>
          <w:color w:val="auto"/>
          <w:szCs w:val="20"/>
          <w:highlight w:val="none"/>
          <w:lang w:bidi="ar-SA"/>
        </w:rPr>
      </w:pPr>
      <w:r>
        <w:rPr>
          <w:rFonts w:hint="eastAsia" w:ascii="宋体" w:hAnsi="宋体"/>
          <w:color w:val="auto"/>
          <w:szCs w:val="20"/>
          <w:highlight w:val="none"/>
          <w:lang w:bidi="ar-SA"/>
        </w:rPr>
        <w:t xml:space="preserve">代理人：（签字或盖章）</w:t>
      </w:r>
      <w:r/>
    </w:p>
    <w:p>
      <w:pPr>
        <w:ind w:firstLine="420"/>
        <w:spacing w:line="360" w:lineRule="auto"/>
        <w:rPr>
          <w:rFonts w:hint="eastAsia" w:ascii="宋体" w:hAnsi="宋体"/>
          <w:color w:val="auto"/>
          <w:szCs w:val="21"/>
          <w:highlight w:val="none"/>
          <w:lang w:bidi="ar-SA"/>
        </w:rPr>
      </w:pPr>
      <w:r>
        <w:rPr>
          <w:rFonts w:hint="eastAsia" w:ascii="宋体" w:hAnsi="宋体"/>
          <w:color w:val="auto"/>
          <w:szCs w:val="21"/>
          <w:highlight w:val="none"/>
          <w:lang w:bidi="ar-SA"/>
        </w:rPr>
        <w:t xml:space="preserve">日期：    年     月    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备注：供应商如有授权委托，必须提供法定代表人身份证、法人授权委托书及代理人身份证，否则投标无效；供应商无授权委托的情况下，必须提供法定代表人身份证，否则投标无效。</w:t>
      </w:r>
      <w:r/>
    </w:p>
    <w:p>
      <w:pPr>
        <w:pStyle w:val="791"/>
        <w:spacing w:line="360" w:lineRule="auto"/>
        <w:rPr>
          <w:rFonts w:hint="eastAsia" w:ascii="宋体" w:hAnsi="宋体" w:eastAsia="宋体" w:cs="宋体"/>
          <w:color w:val="auto"/>
          <w:sz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 w:val="21"/>
          <w:highlight w:val="none"/>
        </w:rPr>
      </w:r>
      <w:r/>
    </w:p>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附件2、投标函</w:t>
      </w:r>
      <w:r/>
    </w:p>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spacing w:line="360" w:lineRule="auto"/>
        <w:rPr>
          <w:rFonts w:hint="eastAsia" w:ascii="宋体" w:hAnsi="宋体" w:cs="宋体"/>
          <w:b/>
          <w:bCs/>
          <w:color w:val="auto"/>
          <w:sz w:val="28"/>
          <w:szCs w:val="28"/>
          <w:highlight w:val="none"/>
          <w:lang w:val="zh-CN"/>
        </w:rPr>
      </w:pPr>
      <w:r>
        <w:rPr>
          <w:rFonts w:hint="eastAsia" w:ascii="宋体" w:hAnsi="宋体" w:cs="宋体"/>
          <w:b/>
          <w:bCs/>
          <w:color w:val="auto"/>
          <w:szCs w:val="21"/>
          <w:highlight w:val="none"/>
          <w:lang w:val="zh-CN"/>
        </w:rPr>
        <w:t xml:space="preserve">投标函</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u w:val="single"/>
          <w:lang w:val="zh-CN"/>
        </w:rPr>
        <w:t xml:space="preserve">苏州秉诚工程造价咨询有限公司</w:t>
      </w:r>
      <w:r>
        <w:rPr>
          <w:rFonts w:hint="eastAsia" w:ascii="宋体" w:hAnsi="宋体" w:cs="宋体"/>
          <w:color w:val="auto"/>
          <w:szCs w:val="21"/>
          <w:highlight w:val="none"/>
          <w:lang w:val="zh-CN"/>
        </w:rPr>
        <w:t xml:space="preserve">：</w:t>
      </w:r>
      <w:r/>
    </w:p>
    <w:p>
      <w:pPr>
        <w:pStyle w:val="1030"/>
        <w:ind w:firstLine="420"/>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我们收到贵公司</w:t>
      </w:r>
      <w:r>
        <w:rPr>
          <w:rFonts w:hint="eastAsia" w:hAnsi="宋体" w:eastAsia="宋体" w:cs="宋体"/>
          <w:color w:val="auto"/>
          <w:sz w:val="21"/>
          <w:szCs w:val="21"/>
          <w:highlight w:val="none"/>
          <w:u w:val="single"/>
          <w:lang w:val="zh-CN"/>
        </w:rPr>
        <w:t xml:space="preserve">           </w:t>
      </w:r>
      <w:r>
        <w:rPr>
          <w:rFonts w:hint="eastAsia" w:hAnsi="宋体" w:eastAsia="宋体" w:cs="宋体"/>
          <w:color w:val="auto"/>
          <w:sz w:val="21"/>
          <w:szCs w:val="21"/>
          <w:highlight w:val="none"/>
          <w:lang w:val="zh-CN"/>
        </w:rPr>
        <w:t xml:space="preserve">号招标文件，经仔细阅读和研究，我们决定参加投标。</w:t>
      </w:r>
      <w:r/>
    </w:p>
    <w:p>
      <w:pPr>
        <w:ind w:firstLine="420"/>
        <w:spacing w:line="360" w:lineRule="auto"/>
        <w:rPr>
          <w:rFonts w:ascii="宋体" w:hAnsi="宋体" w:cs="宋体"/>
          <w:color w:val="auto"/>
          <w:sz w:val="21"/>
          <w:szCs w:val="21"/>
          <w:highlight w:val="none"/>
          <w:lang w:val="zh-CN"/>
        </w:rPr>
      </w:pPr>
      <w:r>
        <w:rPr>
          <w:rFonts w:hint="eastAsia" w:hAnsi="宋体" w:eastAsia="宋体" w:cs="宋体"/>
          <w:color w:val="auto"/>
          <w:sz w:val="21"/>
          <w:szCs w:val="21"/>
          <w:highlight w:val="none"/>
          <w:lang w:val="zh-CN"/>
        </w:rPr>
        <w:t xml:space="preserve">1</w:t>
      </w:r>
      <w:r>
        <w:rPr>
          <w:rFonts w:hint="eastAsia" w:hAnsi="宋体" w:eastAsia="宋体" w:cs="宋体"/>
          <w:color w:val="auto"/>
          <w:sz w:val="21"/>
          <w:szCs w:val="21"/>
          <w:highlight w:val="none"/>
        </w:rPr>
        <w:t xml:space="preserve">.我方愿意按照招标文件的一切要求，提供本项目的所有内容，投标报价包括所需的</w:t>
      </w:r>
      <w:r>
        <w:rPr>
          <w:rFonts w:hint="eastAsia" w:ascii="宋体" w:hAnsi="宋体" w:cs="宋体"/>
          <w:color w:val="auto"/>
          <w:sz w:val="21"/>
          <w:szCs w:val="21"/>
          <w:highlight w:val="none"/>
          <w:lang w:val="zh-CN"/>
        </w:rPr>
        <w:t xml:space="preserve">服务管理内容、耗材、通讯、装备费、胸卡、办公设备、各种税费、补贴、人工、保险、劳保、维护、利润、税金、中标服务费、政策性文件规定及合同包含的所有风险、责任等各项应有费用。除非因特殊原因并经甲乙双方协商同意，乙方不得再要求追加任何费用。同时，除非合同条款中另有规定，否则，乙方所报价格在合同实施期间不因市场变化因素而变动，但因甲方原因除外。</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2.如果我们的投标书被接受，我们将严格履行招标文件中规定的每一项要求，按期、按质、按量履行合同的义务</w:t>
      </w:r>
      <w:r>
        <w:rPr>
          <w:rFonts w:hint="eastAsia" w:hAnsi="宋体" w:eastAsia="宋体" w:cs="宋体"/>
          <w:color w:val="auto"/>
          <w:sz w:val="21"/>
          <w:szCs w:val="21"/>
          <w:highlight w:val="none"/>
        </w:rPr>
        <w:t xml:space="preserve">。</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3.我们同意按招标文件中的规定，本投标书的有效期限为开标后</w:t>
      </w:r>
      <w:r>
        <w:rPr>
          <w:rFonts w:hint="eastAsia" w:hAnsi="宋体" w:eastAsia="宋体" w:cs="宋体"/>
          <w:color w:val="auto"/>
          <w:sz w:val="21"/>
          <w:highlight w:val="none"/>
          <w:u w:val="single"/>
        </w:rPr>
        <w:t xml:space="preserve"> 60</w:t>
      </w:r>
      <w:r>
        <w:rPr>
          <w:rFonts w:hint="eastAsia" w:hAnsi="宋体" w:eastAsia="宋体" w:cs="宋体"/>
          <w:color w:val="auto"/>
          <w:sz w:val="21"/>
          <w:highlight w:val="none"/>
        </w:rPr>
        <w:t xml:space="preserve">天。</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4.我们愿意提供招标代理机构在招标文件中要求的所有资料。</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5.我们愿意遵守招标文件中所列的收费标准。</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6.我们承诺该项投标在开标后的全过程中保持有效，不作任何更改和变动。</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7.我们愿意按招标文件的规定交纳</w:t>
      </w:r>
      <w:r>
        <w:rPr>
          <w:rFonts w:hint="eastAsia" w:hAnsi="宋体" w:eastAsia="宋体" w:cs="宋体"/>
          <w:color w:val="auto"/>
          <w:sz w:val="21"/>
          <w:highlight w:val="none"/>
          <w:u w:val="single"/>
        </w:rPr>
        <w:t xml:space="preserve">     /     </w:t>
      </w:r>
      <w:r>
        <w:rPr>
          <w:rFonts w:hint="eastAsia" w:hAnsi="宋体" w:eastAsia="宋体" w:cs="宋体"/>
          <w:color w:val="auto"/>
          <w:sz w:val="21"/>
          <w:highlight w:val="none"/>
        </w:rPr>
        <w:t xml:space="preserve">元的投标保证金；</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8.如果我们中标，我们愿意按前附表的规定支付中标服务费；</w:t>
      </w:r>
      <w:r/>
    </w:p>
    <w:p>
      <w:pPr>
        <w:pStyle w:val="1030"/>
        <w:ind w:firstLine="422"/>
        <w:spacing w:line="360" w:lineRule="auto"/>
        <w:rPr>
          <w:rFonts w:hint="eastAsia" w:hAnsi="宋体" w:eastAsia="宋体" w:cs="宋体"/>
          <w:color w:val="auto"/>
          <w:sz w:val="21"/>
          <w:szCs w:val="21"/>
          <w:highlight w:val="none"/>
        </w:rPr>
      </w:pPr>
      <w:r>
        <w:rPr>
          <w:rFonts w:hint="eastAsia" w:hAnsi="宋体" w:eastAsia="宋体" w:cs="宋体"/>
          <w:b/>
          <w:bCs/>
          <w:color w:val="auto"/>
          <w:sz w:val="21"/>
          <w:szCs w:val="21"/>
          <w:highlight w:val="none"/>
        </w:rPr>
        <w:t xml:space="preserve">9.我们愿意按照贵公司招标文件的要求提供电子投标文件（中标后提供纸质投标文件），并保证全部投标文件内容真实有效，若有虚假，我公司愿意承担与此相关的一切责任；</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szCs w:val="21"/>
          <w:highlight w:val="none"/>
        </w:rPr>
        <w:t xml:space="preserve">10.我们愿意按照《中华人民共和国民法典》履行自己应该承担的全部责任。</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11.综合说明：</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（1）伴随服务及配合措施；</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（2）要求甲方提供的配合；</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（3）对招标文件有不同意见的偏离说明；</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（4）其它说明。</w:t>
      </w:r>
      <w:r/>
    </w:p>
    <w:p>
      <w:pPr>
        <w:pStyle w:val="1030"/>
        <w:ind w:firstLine="422"/>
        <w:spacing w:line="360" w:lineRule="auto"/>
        <w:rPr>
          <w:rFonts w:hint="eastAsia" w:hAnsi="宋体" w:eastAsia="宋体" w:cs="宋体"/>
          <w:b/>
          <w:color w:val="auto"/>
          <w:sz w:val="21"/>
          <w:highlight w:val="none"/>
        </w:rPr>
      </w:pPr>
      <w:r>
        <w:rPr>
          <w:rFonts w:hint="eastAsia" w:hAnsi="宋体" w:eastAsia="宋体" w:cs="宋体"/>
          <w:b/>
          <w:color w:val="auto"/>
          <w:sz w:val="21"/>
          <w:highlight w:val="none"/>
        </w:rPr>
        <w:t xml:space="preserve">所有有关标书的函电，请按下列地址联系：</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单位：              联系人：</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地址：              邮政编码：</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联系电话：          传真：</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邮箱地址：</w:t>
      </w:r>
      <w:r/>
    </w:p>
    <w:p>
      <w:pPr>
        <w:pStyle w:val="1030"/>
        <w:ind w:firstLine="420"/>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数字人民币账户信息：</w:t>
      </w:r>
      <w:r/>
    </w:p>
    <w:p>
      <w:pPr>
        <w:pStyle w:val="1030"/>
        <w:ind w:left="3825" w:hanging="45"/>
        <w:spacing w:line="360" w:lineRule="auto"/>
        <w:rPr>
          <w:rFonts w:hint="eastAsia" w:hAnsi="宋体" w:eastAsia="宋体" w:cs="宋体"/>
          <w:color w:val="auto"/>
          <w:sz w:val="21"/>
          <w:highlight w:val="none"/>
        </w:rPr>
      </w:pPr>
      <w:r>
        <w:rPr>
          <w:rFonts w:hint="eastAsia" w:hAnsi="宋体" w:eastAsia="宋体" w:cs="宋体"/>
          <w:color w:val="auto"/>
          <w:sz w:val="21"/>
          <w:highlight w:val="none"/>
        </w:rPr>
        <w:t xml:space="preserve">投标单位：（签章）</w:t>
      </w:r>
      <w:r/>
    </w:p>
    <w:p>
      <w:pPr>
        <w:pStyle w:val="1030"/>
        <w:ind w:firstLine="3780"/>
        <w:spacing w:line="360" w:lineRule="auto"/>
        <w:rPr>
          <w:rFonts w:hint="eastAsia" w:hAnsi="宋体" w:eastAsia="宋体" w:cs="宋体"/>
          <w:color w:val="auto"/>
          <w:sz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color w:val="auto"/>
          <w:sz w:val="21"/>
          <w:highlight w:val="none"/>
        </w:rPr>
        <w:t xml:space="preserve">日期：      年     月     日</w:t>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附件3、开标一览表</w:t>
      </w:r>
      <w:r/>
    </w:p>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开标一览表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tbl>
      <w:tblPr>
        <w:tblStyle w:val="790"/>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72"/>
        <w:gridCol w:w="2621"/>
        <w:gridCol w:w="2868"/>
        <w:gridCol w:w="1523"/>
      </w:tblGrid>
      <w:tr>
        <w:trPr>
          <w:jc w:val="center"/>
          <w:trHeight w:val="823"/>
        </w:trPr>
        <w:tc>
          <w:tcPr>
            <w:tcW w:w="1223" w:type="pct"/>
            <w:vAlign w:val="center"/>
            <w:textDirection w:val="lrTb"/>
            <w:noWrap w:val="false"/>
          </w:tcPr>
          <w:p>
            <w:pPr>
              <w:pStyle w:val="1018"/>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项目名称</w:t>
            </w:r>
            <w:r/>
          </w:p>
        </w:tc>
        <w:tc>
          <w:tcPr>
            <w:tcW w:w="1411" w:type="pct"/>
            <w:vAlign w:val="center"/>
            <w:textDirection w:val="lrTb"/>
            <w:noWrap w:val="false"/>
          </w:tcPr>
          <w:p>
            <w:pPr>
              <w:pStyle w:val="1018"/>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投标总报价</w:t>
            </w:r>
            <w:r/>
          </w:p>
        </w:tc>
        <w:tc>
          <w:tcPr>
            <w:tcW w:w="1544" w:type="pct"/>
            <w:vAlign w:val="center"/>
            <w:textDirection w:val="lrTb"/>
            <w:noWrap w:val="false"/>
          </w:tcPr>
          <w:p>
            <w:pPr>
              <w:pStyle w:val="1018"/>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服务期限</w:t>
            </w:r>
            <w:r/>
          </w:p>
        </w:tc>
        <w:tc>
          <w:tcPr>
            <w:tcW w:w="820" w:type="pct"/>
            <w:vAlign w:val="center"/>
            <w:textDirection w:val="lrTb"/>
            <w:noWrap w:val="false"/>
          </w:tcPr>
          <w:p>
            <w:pPr>
              <w:pStyle w:val="103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备注</w:t>
            </w:r>
            <w:r/>
          </w:p>
        </w:tc>
      </w:tr>
      <w:tr>
        <w:trPr>
          <w:jc w:val="center"/>
          <w:trHeight w:val="692"/>
        </w:trPr>
        <w:tc>
          <w:tcPr>
            <w:tcW w:w="1223" w:type="pct"/>
            <w:vAlign w:val="center"/>
            <w:textDirection w:val="lrTb"/>
            <w:noWrap w:val="false"/>
          </w:tcPr>
          <w:p>
            <w:pPr>
              <w:pStyle w:val="1018"/>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411" w:type="pct"/>
            <w:vAlign w:val="center"/>
            <w:textDirection w:val="lrTb"/>
            <w:noWrap w:val="false"/>
          </w:tcPr>
          <w:p>
            <w:pPr>
              <w:pStyle w:val="1018"/>
              <w:jc w:val="left"/>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1544" w:type="pct"/>
            <w:vAlign w:val="center"/>
            <w:textDirection w:val="lrTb"/>
            <w:noWrap w:val="false"/>
          </w:tcPr>
          <w:p>
            <w:pPr>
              <w:pStyle w:val="1018"/>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c>
          <w:tcPr>
            <w:tcW w:w="820" w:type="pct"/>
            <w:vAlign w:val="center"/>
            <w:textDirection w:val="lrTb"/>
            <w:noWrap w:val="false"/>
          </w:tcPr>
          <w:p>
            <w:pPr>
              <w:pStyle w:val="1030"/>
              <w:jc w:val="center"/>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说明：本表中的报价为综合报价，应包括完成该项目所有服务管理内容所需的各类人员的工资、加班费、</w:t>
      </w:r>
      <w:r>
        <w:rPr>
          <w:rFonts w:hint="eastAsia" w:ascii="宋体" w:hAnsi="宋体" w:cs="宋体"/>
          <w:b/>
          <w:bCs/>
          <w:color w:val="auto"/>
          <w:szCs w:val="21"/>
          <w:highlight w:val="none"/>
          <w:lang w:val="zh-CN" w:eastAsia="zh-CN"/>
        </w:rPr>
        <w:t xml:space="preserve">装备费、</w:t>
      </w:r>
      <w:r>
        <w:rPr>
          <w:rFonts w:hint="eastAsia" w:ascii="宋体" w:hAnsi="宋体" w:cs="宋体"/>
          <w:b/>
          <w:bCs/>
          <w:color w:val="auto"/>
          <w:szCs w:val="21"/>
          <w:highlight w:val="none"/>
          <w:lang w:val="zh-CN"/>
        </w:rPr>
        <w:t xml:space="preserve">福利、安全装备、意外险、高温费、节假日补贴以及国家规定的社会保险、管理费、人员培训费、通讯、胸卡、各种税费、保险、劳保、利润、税金、政策性文件规定及合同包含的所有风险、责任等各项应有费用。遇到法律法规规定的最低工资调整，其中人工费用相应浮动，由供应商自行承担。</w:t>
      </w:r>
      <w:r/>
    </w:p>
    <w:p>
      <w:pPr>
        <w:rPr>
          <w:rFonts w:hint="eastAsia" w:ascii="Times New Roman" w:hAnsi="Times New Roman" w:eastAsia="宋体" w:cs="Times New Roman"/>
          <w:sz w:val="21"/>
          <w:szCs w:val="24"/>
          <w:highlight w:val="none"/>
          <w:lang w:val="en-US" w:eastAsia="zh-CN" w:bidi="ne-NP"/>
        </w:rPr>
      </w:pPr>
      <w:r>
        <w:rPr>
          <w:rFonts w:hint="eastAsia" w:ascii="Times New Roman" w:hAnsi="Times New Roman" w:eastAsia="宋体" w:cs="Times New Roman"/>
          <w:sz w:val="21"/>
          <w:szCs w:val="24"/>
          <w:highlight w:val="none"/>
          <w:lang w:val="en-US" w:eastAsia="zh-CN" w:bidi="ne-NP"/>
        </w:rPr>
      </w:r>
      <w:r/>
    </w:p>
    <w:p>
      <w:pPr>
        <w:rPr>
          <w:rFonts w:hint="eastAsia" w:ascii="宋体" w:hAnsi="宋体" w:cs="宋体"/>
          <w:b/>
          <w:bCs/>
          <w:color w:val="auto"/>
          <w:szCs w:val="21"/>
          <w:highlight w:val="none"/>
          <w:lang w:val="zh-CN"/>
        </w:rPr>
      </w:pPr>
      <w:r/>
      <w:bookmarkStart w:id="46" w:name="_Toc2583141"/>
      <w:r>
        <w:rPr>
          <w:rFonts w:hint="eastAsia" w:ascii="宋体" w:hAnsi="宋体" w:cs="宋体"/>
          <w:b/>
          <w:bCs/>
          <w:color w:val="auto"/>
          <w:szCs w:val="21"/>
          <w:highlight w:val="none"/>
          <w:lang w:val="zh-CN"/>
        </w:rPr>
        <w:br w:type="page" w:clear="all"/>
      </w:r>
      <w:r/>
    </w:p>
    <w:p>
      <w:pPr>
        <w:pageBreakBefore/>
        <w:spacing w:line="360" w:lineRule="auto"/>
        <w:rPr>
          <w:rFonts w:hint="eastAsia" w:ascii="宋体" w:hAnsi="宋体" w:cs="宋体"/>
          <w:color w:val="auto"/>
          <w:highlight w:val="none"/>
        </w:rPr>
      </w:pPr>
      <w:r>
        <w:rPr>
          <w:rFonts w:hint="eastAsia" w:ascii="宋体" w:hAnsi="宋体" w:cs="宋体"/>
          <w:b/>
          <w:bCs/>
          <w:color w:val="auto"/>
          <w:highlight w:val="none"/>
        </w:rPr>
        <w:t xml:space="preserve">附件4、</w:t>
      </w:r>
      <w:r>
        <w:rPr>
          <w:rFonts w:hint="eastAsia" w:ascii="宋体" w:hAnsi="宋体" w:cs="宋体"/>
          <w:b/>
          <w:bCs/>
          <w:color w:val="auto"/>
          <w:highlight w:val="none"/>
          <w:lang w:val="zh-CN"/>
        </w:rPr>
        <w:t xml:space="preserve">报价明细表</w:t>
      </w:r>
      <w:r/>
    </w:p>
    <w:p>
      <w:pPr>
        <w:jc w:val="center"/>
        <w:spacing w:line="360" w:lineRule="auto"/>
        <w:rPr>
          <w:rFonts w:hint="eastAsia" w:ascii="宋体" w:hAnsi="宋体" w:cs="宋体"/>
          <w:b/>
          <w:bCs/>
          <w:color w:val="auto"/>
          <w:highlight w:val="none"/>
          <w:lang w:val="zh-CN"/>
        </w:rPr>
      </w:pPr>
      <w:r>
        <w:rPr>
          <w:rFonts w:hint="eastAsia" w:ascii="宋体" w:hAnsi="宋体" w:cs="宋体"/>
          <w:b/>
          <w:bCs/>
          <w:color w:val="auto"/>
          <w:highlight w:val="none"/>
          <w:lang w:val="zh-CN"/>
        </w:rPr>
      </w:r>
      <w:r/>
    </w:p>
    <w:p>
      <w:pPr>
        <w:jc w:val="cente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报价明细表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                                                                    单位：元</w:t>
      </w:r>
      <w:r/>
    </w:p>
    <w:tbl>
      <w:tblPr>
        <w:tblStyle w:val="790"/>
        <w:tblW w:w="987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04"/>
        <w:gridCol w:w="1200"/>
        <w:gridCol w:w="560"/>
        <w:gridCol w:w="803"/>
        <w:gridCol w:w="525"/>
        <w:gridCol w:w="367"/>
        <w:gridCol w:w="337"/>
        <w:gridCol w:w="552"/>
        <w:gridCol w:w="549"/>
        <w:gridCol w:w="12"/>
        <w:gridCol w:w="545"/>
        <w:gridCol w:w="421"/>
        <w:gridCol w:w="426"/>
        <w:gridCol w:w="684"/>
        <w:gridCol w:w="12"/>
        <w:gridCol w:w="694"/>
        <w:gridCol w:w="538"/>
        <w:gridCol w:w="344"/>
        <w:gridCol w:w="321"/>
        <w:gridCol w:w="567"/>
        <w:gridCol w:w="12"/>
      </w:tblGrid>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学校</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14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日常工作（9个月）</w:t>
            </w:r>
            <w:r/>
          </w:p>
        </w:tc>
        <w:tc>
          <w:tcPr>
            <w:gridSpan w:val="7"/>
            <w:shd w:val="clear" w:color="auto" w:fill="auto"/>
            <w:tcBorders>
              <w:top w:val="single" w:color="000000" w:sz="4" w:space="0"/>
              <w:left w:val="single" w:color="000000" w:sz="4" w:space="0"/>
              <w:bottom w:val="none" w:color="000000" w:sz="4" w:space="0"/>
              <w:right w:val="none" w:color="000000" w:sz="4" w:space="0"/>
            </w:tcBorders>
            <w:tcW w:w="264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寒暑假（3个月）</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47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消控岗</w:t>
            </w:r>
            <w:r/>
          </w:p>
        </w:tc>
      </w:tr>
      <w:tr>
        <w:trPr>
          <w:trHeight w:val="455"/>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vMerge w:val="continue"/>
            <w:textDirection w:val="lrTb"/>
            <w:noWrap/>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gridSpan w:val="6"/>
            <w:shd w:val="clear" w:color="auto" w:fill="auto"/>
            <w:tcBorders>
              <w:top w:val="single" w:color="000000" w:sz="4" w:space="0"/>
              <w:left w:val="single" w:color="000000" w:sz="4" w:space="0"/>
              <w:bottom w:val="single" w:color="000000" w:sz="4" w:space="0"/>
              <w:right w:val="single" w:color="000000" w:sz="4" w:space="0"/>
            </w:tcBorders>
            <w:tcW w:w="314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保安岗</w:t>
            </w:r>
            <w:r/>
          </w:p>
        </w:tc>
        <w:tc>
          <w:tcPr>
            <w:gridSpan w:val="7"/>
            <w:shd w:val="clear" w:color="auto" w:fill="auto"/>
            <w:tcBorders>
              <w:top w:val="single" w:color="000000" w:sz="4" w:space="0"/>
              <w:left w:val="single" w:color="000000" w:sz="4" w:space="0"/>
              <w:bottom w:val="none" w:color="000000" w:sz="4" w:space="0"/>
              <w:right w:val="none" w:color="000000" w:sz="4" w:space="0"/>
            </w:tcBorders>
            <w:tcW w:w="264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保安岗</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2476" w:type="dxa"/>
            <w:vAlign w:val="center"/>
            <w:vMerge w:val="continue"/>
            <w:textDirection w:val="lrTb"/>
            <w:noWrap/>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r>
      <w:tr>
        <w:trPr>
          <w:trHeight w:val="1372"/>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vMerge w:val="continue"/>
            <w:textDirection w:val="lrTb"/>
            <w:noWrap w:val="false"/>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1200" w:type="dxa"/>
            <w:vAlign w:val="center"/>
            <w:vMerge w:val="continue"/>
            <w:textDirection w:val="lrTb"/>
            <w:noWrap/>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none" w:color="000000" w:sz="4" w:space="0"/>
              <w:left w:val="single" w:color="000000" w:sz="4" w:space="0"/>
              <w:bottom w:val="none" w:color="000000" w:sz="4" w:space="0"/>
              <w:right w:val="none" w:color="000000" w:sz="4" w:space="0"/>
            </w:tcBorders>
            <w:tcW w:w="56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工作日</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岗位数</w:t>
            </w:r>
            <w:r/>
          </w:p>
        </w:tc>
        <w:tc>
          <w:tcPr>
            <w:shd w:val="clear" w:color="auto" w:fill="auto"/>
            <w:tcBorders>
              <w:top w:val="none" w:color="000000" w:sz="4" w:space="0"/>
              <w:left w:val="single" w:color="000000" w:sz="4" w:space="0"/>
              <w:bottom w:val="none" w:color="000000" w:sz="4" w:space="0"/>
              <w:right w:val="none" w:color="000000" w:sz="4" w:space="0"/>
            </w:tcBorders>
            <w:tcW w:w="80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非工作日</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岗位数</w:t>
            </w:r>
            <w:r/>
          </w:p>
        </w:tc>
        <w:tc>
          <w:tcPr>
            <w:shd w:val="clear" w:color="auto" w:fill="auto"/>
            <w:tcBorders>
              <w:top w:val="none" w:color="000000" w:sz="4" w:space="0"/>
              <w:left w:val="single" w:color="000000" w:sz="4" w:space="0"/>
              <w:bottom w:val="none" w:color="000000" w:sz="4" w:space="0"/>
              <w:right w:val="non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人数</w:t>
            </w:r>
            <w:r/>
          </w:p>
        </w:tc>
        <w:tc>
          <w:tcPr>
            <w:shd w:val="clear" w:color="auto" w:fill="auto"/>
            <w:tcBorders>
              <w:top w:val="none" w:color="000000" w:sz="4" w:space="0"/>
              <w:left w:val="single" w:color="000000" w:sz="4" w:space="0"/>
              <w:bottom w:val="none" w:color="000000" w:sz="4" w:space="0"/>
              <w:right w:val="single" w:color="auto" w:sz="4" w:space="0"/>
            </w:tcBorders>
            <w:tcW w:w="367" w:type="dxa"/>
            <w:vAlign w:val="center"/>
            <w:textDirection w:val="lrTb"/>
            <w:noWrap/>
          </w:tcPr>
          <w:p>
            <w:pPr>
              <w:jc w:val="both"/>
              <w:keepLines w:val="0"/>
              <w:keepNext w:val="0"/>
              <w:widowControl/>
              <w:rPr>
                <w:rFonts w:hint="default"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服务期</w:t>
            </w:r>
            <w:r/>
          </w:p>
        </w:tc>
        <w:tc>
          <w:tcPr>
            <w:shd w:val="clear" w:color="auto" w:fill="auto"/>
            <w:tcBorders>
              <w:top w:val="none" w:color="000000" w:sz="4" w:space="0"/>
              <w:left w:val="single" w:color="auto" w:sz="4" w:space="0"/>
              <w:bottom w:val="none" w:color="000000" w:sz="4" w:space="0"/>
              <w:right w:val="non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单价</w:t>
            </w:r>
            <w:r/>
          </w:p>
        </w:tc>
        <w:tc>
          <w:tcPr>
            <w:shd w:val="clear" w:color="auto" w:fill="auto"/>
            <w:tcBorders>
              <w:top w:val="none" w:color="000000" w:sz="4" w:space="0"/>
              <w:left w:val="single" w:color="000000" w:sz="4" w:space="0"/>
              <w:bottom w:val="none" w:color="000000" w:sz="4" w:space="0"/>
              <w:right w:val="non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合价</w:t>
            </w:r>
            <w:r/>
          </w:p>
        </w:tc>
        <w:tc>
          <w:tcPr>
            <w:gridSpan w:val="2"/>
            <w:shd w:val="clear" w:color="auto" w:fill="auto"/>
            <w:tcBorders>
              <w:top w:val="single" w:color="000000" w:sz="4" w:space="0"/>
              <w:left w:val="single" w:color="000000" w:sz="4" w:space="0"/>
              <w:bottom w:val="none" w:color="000000" w:sz="4" w:space="0"/>
              <w:right w:val="non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岗位数</w:t>
            </w:r>
            <w:r/>
          </w:p>
        </w:tc>
        <w:tc>
          <w:tcPr>
            <w:shd w:val="clear" w:color="auto" w:fill="auto"/>
            <w:tcBorders>
              <w:top w:val="single" w:color="000000" w:sz="4" w:space="0"/>
              <w:left w:val="single" w:color="000000" w:sz="4" w:space="0"/>
              <w:bottom w:val="none" w:color="000000" w:sz="4" w:space="0"/>
              <w:right w:val="non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r>
            <w:r>
              <w:rPr>
                <w:rFonts w:hint="eastAsia" w:ascii="微软雅黑" w:hAnsi="微软雅黑" w:eastAsia="微软雅黑" w:cs="微软雅黑"/>
                <w:i w:val="0"/>
                <w:iCs w:val="0"/>
                <w:color w:val="000000"/>
                <w:sz w:val="16"/>
                <w:szCs w:val="16"/>
                <w:highlight w:val="none"/>
                <w:u w:val="none"/>
                <w:lang w:val="en-US" w:eastAsia="zh-CN" w:bidi="ar"/>
              </w:rPr>
              <w:t xml:space="preserve">人数</w:t>
            </w:r>
            <w:r>
              <w:rPr>
                <w:rFonts w:hint="eastAsia" w:ascii="微软雅黑" w:hAnsi="微软雅黑" w:eastAsia="微软雅黑" w:cs="微软雅黑"/>
                <w:i w:val="0"/>
                <w:iCs w:val="0"/>
                <w:color w:val="000000"/>
                <w:sz w:val="16"/>
                <w:szCs w:val="16"/>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auto" w:sz="4" w:space="0"/>
            </w:tcBorders>
            <w:tcW w:w="4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服务期</w:t>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单价</w:t>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合价</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岗位数</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人数</w:t>
            </w:r>
            <w:r/>
          </w:p>
        </w:tc>
        <w:tc>
          <w:tcPr>
            <w:shd w:val="clear" w:color="auto" w:fill="auto"/>
            <w:tcBorders>
              <w:top w:val="single" w:color="000000" w:sz="4" w:space="0"/>
              <w:left w:val="single" w:color="000000" w:sz="4" w:space="0"/>
              <w:bottom w:val="single" w:color="000000" w:sz="4" w:space="0"/>
              <w:right w:val="single" w:color="auto" w:sz="4" w:space="0"/>
            </w:tcBorders>
            <w:tcW w:w="344" w:type="dxa"/>
            <w:vAlign w:val="center"/>
            <w:textDirection w:val="lrTb"/>
            <w:noWrap/>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服务期</w:t>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ar"/>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单价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合价</w:t>
            </w:r>
            <w:r/>
          </w:p>
        </w:tc>
      </w:tr>
      <w:tr>
        <w:trPr>
          <w:trHeight w:val="888"/>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non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项目经理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 </w:t>
            </w:r>
            <w:r/>
          </w:p>
        </w:tc>
        <w:tc>
          <w:tcPr>
            <w:shd w:val="clear" w:color="auto" w:fill="auto"/>
            <w:tcBorders>
              <w:top w:val="single" w:color="000000" w:sz="4" w:space="0"/>
              <w:left w:val="single" w:color="000000" w:sz="4" w:space="0"/>
              <w:right w:val="single" w:color="auto" w:sz="4" w:space="0"/>
            </w:tcBorders>
            <w:tcW w:w="367" w:type="dxa"/>
            <w:vAlign w:val="center"/>
            <w:vMerge w:val="restart"/>
            <w:textDirection w:val="lrTb"/>
            <w:noWrap/>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9个月</w:t>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3"/>
            <w:shd w:val="clear" w:color="auto" w:fill="auto"/>
            <w:tcBorders>
              <w:top w:val="single" w:color="000000" w:sz="4" w:space="0"/>
              <w:left w:val="single" w:color="000000" w:sz="4" w:space="0"/>
              <w:bottom w:val="none" w:color="000000" w:sz="4" w:space="0"/>
              <w:right w:val="none" w:color="000000" w:sz="4" w:space="0"/>
            </w:tcBorders>
            <w:tcW w:w="110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 </w:t>
            </w:r>
            <w:r/>
          </w:p>
        </w:tc>
        <w:tc>
          <w:tcPr>
            <w:shd w:val="clear" w:color="auto" w:fill="auto"/>
            <w:tcBorders>
              <w:top w:val="single" w:color="000000" w:sz="4" w:space="0"/>
              <w:left w:val="single" w:color="000000" w:sz="4" w:space="0"/>
              <w:right w:val="single" w:color="auto" w:sz="4" w:space="0"/>
            </w:tcBorders>
            <w:tcW w:w="421" w:type="dxa"/>
            <w:vAlign w:val="center"/>
            <w:vMerge w:val="restart"/>
            <w:textDirection w:val="lrTb"/>
            <w:noWrap/>
          </w:tcPr>
          <w:p>
            <w:pPr>
              <w:jc w:val="center"/>
              <w:keepLines w:val="0"/>
              <w:keepNext w:val="0"/>
              <w:widowControl/>
              <w:rPr>
                <w:rFonts w:hint="default" w:ascii="微软雅黑" w:hAnsi="微软雅黑" w:eastAsia="微软雅黑" w:cs="微软雅黑"/>
                <w:i w:val="0"/>
                <w:iCs w:val="0"/>
                <w:color w:val="000000"/>
                <w:sz w:val="16"/>
                <w:szCs w:val="16"/>
                <w:highlight w:val="none"/>
                <w:u w:val="none"/>
                <w:lang w:val="en-US" w:eastAsia="zh-CN"/>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3个月</w:t>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right w:val="single" w:color="auto" w:sz="4" w:space="0"/>
            </w:tcBorders>
            <w:tcW w:w="344"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rPr>
              <w:t xml:space="preserve">12个月</w:t>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北桥中学</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北桥中心小学</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北桥小学石桥分校</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 </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 </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北桥实验幼儿园          </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 </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r>
      <w:tr>
        <w:trPr>
          <w:trHeight w:val="1154"/>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苏大第二实验</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（中学）</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11 </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1154"/>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苏大第二实验</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澄阳小学</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澄阳幼儿园</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采莲幼儿园</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澄阳幼儿园分园</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康元分园</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r>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40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none" w:color="000000" w:sz="4" w:space="0"/>
              <w:bottom w:val="single" w:color="000000" w:sz="4" w:space="0"/>
              <w:right w:val="none" w:color="000000" w:sz="4" w:space="0"/>
            </w:tcBorders>
            <w:tcW w:w="120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澄星幼儿园</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（待交付）</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left w:val="single" w:color="000000" w:sz="4" w:space="0"/>
              <w:right w:val="single" w:color="auto" w:sz="4" w:space="0"/>
            </w:tcBorders>
            <w:tcW w:w="367"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auto" w:sz="4" w:space="0"/>
              <w:right w:val="single" w:color="000000" w:sz="4" w:space="0"/>
            </w:tcBorders>
            <w:tcW w:w="33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421"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left w:val="single" w:color="000000" w:sz="4" w:space="0"/>
              <w:right w:val="single" w:color="auto" w:sz="4" w:space="0"/>
            </w:tcBorders>
            <w:tcW w:w="344" w:type="dxa"/>
            <w:vAlign w:val="center"/>
            <w:vMerge w:val="continue"/>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321"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lang w:val="en-US" w:eastAsia="zh-CN" w:bidi="ne-NP"/>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gridAfter w:val="1"/>
          <w:trHeight w:val="721"/>
        </w:trPr>
        <w:tc>
          <w:tcPr>
            <w:gridSpan w:val="2"/>
            <w:shd w:val="clear" w:color="auto" w:fill="auto"/>
            <w:tcBorders>
              <w:top w:val="single" w:color="000000" w:sz="4" w:space="0"/>
              <w:left w:val="single" w:color="000000" w:sz="4" w:space="0"/>
              <w:bottom w:val="single" w:color="000000" w:sz="4" w:space="0"/>
              <w:right w:val="none" w:color="000000" w:sz="4" w:space="0"/>
            </w:tcBorders>
            <w:tcW w:w="1604"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16"/>
                <w:szCs w:val="16"/>
                <w:highlight w:val="none"/>
                <w:u w:val="none"/>
              </w:rPr>
              <w:suppressLineNumbers w:val="0"/>
            </w:pPr>
            <w:r>
              <w:rPr>
                <w:rFonts w:hint="eastAsia" w:ascii="微软雅黑" w:hAnsi="微软雅黑" w:eastAsia="微软雅黑" w:cs="微软雅黑"/>
                <w:b/>
                <w:bCs/>
                <w:i w:val="0"/>
                <w:iCs w:val="0"/>
                <w:color w:val="000000"/>
                <w:sz w:val="16"/>
                <w:szCs w:val="16"/>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98 </w:t>
            </w:r>
            <w:r/>
          </w:p>
        </w:tc>
        <w:tc>
          <w:tcPr>
            <w:shd w:val="clear" w:color="auto" w:fill="auto"/>
            <w:tcBorders>
              <w:left w:val="single" w:color="000000" w:sz="4" w:space="0"/>
              <w:bottom w:val="single" w:color="000000" w:sz="4" w:space="0"/>
              <w:right w:val="single" w:color="auto" w:sz="4" w:space="0"/>
            </w:tcBorders>
            <w:tcW w:w="367" w:type="dxa"/>
            <w:vAlign w:val="center"/>
            <w:vMerge w:val="continue"/>
            <w:textDirection w:val="lrTb"/>
            <w:noWrap/>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auto" w:sz="4" w:space="0"/>
              <w:left w:val="single" w:color="auto" w:sz="4" w:space="0"/>
              <w:bottom w:val="single" w:color="000000" w:sz="4" w:space="0"/>
              <w:right w:val="single" w:color="000000" w:sz="4" w:space="0"/>
            </w:tcBorders>
            <w:tcW w:w="337" w:type="dxa"/>
            <w:vAlign w:val="center"/>
            <w:textDirection w:val="lrTb"/>
            <w:noWrap/>
          </w:tcPr>
          <w:p>
            <w:pPr>
              <w:jc w:val="center"/>
              <w:rPr>
                <w:rFonts w:hint="eastAsia" w:ascii="微软雅黑" w:hAnsi="微软雅黑" w:eastAsia="微软雅黑" w:cs="微软雅黑"/>
                <w:i w:val="0"/>
                <w:iCs w:val="0"/>
                <w:color w:val="000000"/>
                <w:sz w:val="16"/>
                <w:szCs w:val="16"/>
                <w:highlight w:val="none"/>
                <w:u w:val="none"/>
              </w:rPr>
            </w:pPr>
            <w:r/>
            <w:bookmarkStart w:id="61" w:name="_GoBack"/>
            <w:r/>
            <w:bookmarkEnd w:id="61"/>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39</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5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56</w:t>
            </w:r>
            <w:r/>
          </w:p>
        </w:tc>
        <w:tc>
          <w:tcPr>
            <w:shd w:val="clear" w:color="auto" w:fill="auto"/>
            <w:tcBorders>
              <w:left w:val="single" w:color="000000" w:sz="4" w:space="0"/>
              <w:bottom w:val="single" w:color="000000" w:sz="4" w:space="0"/>
              <w:right w:val="single" w:color="auto" w:sz="4" w:space="0"/>
            </w:tcBorders>
            <w:tcW w:w="421" w:type="dxa"/>
            <w:vAlign w:val="center"/>
            <w:vMerge w:val="continue"/>
            <w:textDirection w:val="lrTb"/>
            <w:noWrap/>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auto" w:sz="4" w:space="0"/>
              <w:bottom w:val="single" w:color="000000" w:sz="4" w:space="0"/>
              <w:right w:val="single" w:color="000000" w:sz="4" w:space="0"/>
            </w:tcBorders>
            <w:tcW w:w="426" w:type="dxa"/>
            <w:vAlign w:val="center"/>
            <w:textDirection w:val="lrTb"/>
            <w:noWrap/>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none" w:color="000000" w:sz="4" w:space="0"/>
            </w:tcBorders>
            <w:tcW w:w="684"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06"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24</w:t>
            </w:r>
            <w:r/>
          </w:p>
        </w:tc>
        <w:tc>
          <w:tcPr>
            <w:shd w:val="clear" w:color="auto" w:fill="auto"/>
            <w:tcBorders>
              <w:left w:val="single" w:color="000000" w:sz="4" w:space="0"/>
              <w:bottom w:val="single" w:color="000000" w:sz="4" w:space="0"/>
              <w:right w:val="single" w:color="auto" w:sz="4" w:space="0"/>
            </w:tcBorders>
            <w:tcW w:w="344" w:type="dxa"/>
            <w:vAlign w:val="center"/>
            <w:vMerge w:val="continue"/>
            <w:textDirection w:val="lrTb"/>
            <w:noWrap/>
          </w:tcPr>
          <w:p>
            <w:pP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auto" w:sz="4" w:space="0"/>
              <w:left w:val="single" w:color="auto" w:sz="4" w:space="0"/>
              <w:bottom w:val="single" w:color="000000" w:sz="4" w:space="0"/>
              <w:right w:val="single" w:color="000000" w:sz="4" w:space="0"/>
            </w:tcBorders>
            <w:tcW w:w="321" w:type="dxa"/>
            <w:vAlign w:val="center"/>
            <w:textDirection w:val="lrTb"/>
            <w:noWrap/>
          </w:tcPr>
          <w:p>
            <w:pP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r>
      <w:tr>
        <w:trPr>
          <w:trHeight w:val="465"/>
        </w:trPr>
        <w:tc>
          <w:tcPr>
            <w:gridSpan w:val="2"/>
            <w:shd w:val="clear" w:color="auto" w:fill="auto"/>
            <w:tcBorders>
              <w:top w:val="single" w:color="000000" w:sz="4" w:space="0"/>
              <w:left w:val="single" w:color="000000" w:sz="4" w:space="0"/>
              <w:bottom w:val="single" w:color="000000" w:sz="4" w:space="0"/>
              <w:right w:val="none" w:color="000000" w:sz="4" w:space="0"/>
            </w:tcBorders>
            <w:tcW w:w="1604" w:type="dxa"/>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16"/>
                <w:szCs w:val="16"/>
                <w:highlight w:val="none"/>
                <w:u w:val="none"/>
              </w:rPr>
              <w:suppressLineNumbers w:val="0"/>
            </w:pPr>
            <w:r>
              <w:rPr>
                <w:rFonts w:hint="eastAsia" w:ascii="微软雅黑" w:hAnsi="微软雅黑" w:eastAsia="微软雅黑" w:cs="微软雅黑"/>
                <w:b/>
                <w:bCs/>
                <w:i w:val="0"/>
                <w:iCs w:val="0"/>
                <w:color w:val="000000"/>
                <w:sz w:val="16"/>
                <w:szCs w:val="16"/>
                <w:highlight w:val="none"/>
                <w:u w:val="none"/>
              </w:rPr>
              <w:t xml:space="preserve">投标总报价</w:t>
            </w:r>
            <w:r/>
          </w:p>
        </w:tc>
        <w:tc>
          <w:tcPr>
            <w:gridSpan w:val="19"/>
            <w:shd w:val="clear" w:color="auto" w:fill="auto"/>
            <w:tcBorders>
              <w:top w:val="single" w:color="000000" w:sz="4" w:space="0"/>
              <w:left w:val="single" w:color="000000" w:sz="4" w:space="0"/>
              <w:bottom w:val="single" w:color="000000" w:sz="4" w:space="0"/>
              <w:right w:val="single" w:color="000000" w:sz="4" w:space="0"/>
            </w:tcBorders>
            <w:tcW w:w="8269" w:type="dxa"/>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rPr>
            </w:r>
            <w:r/>
          </w:p>
        </w:tc>
      </w:tr>
    </w:tbl>
    <w:p>
      <w:pPr>
        <w:pStyle w:val="1027"/>
        <w:ind w:right="-290"/>
        <w:spacing w:line="400" w:lineRule="exact"/>
        <w:tabs>
          <w:tab w:val="left" w:pos="9000" w:leader="none"/>
        </w:tabs>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r>
      <w:r/>
    </w:p>
    <w:p>
      <w:pPr>
        <w:pStyle w:val="1027"/>
        <w:ind w:right="-290"/>
        <w:spacing w:line="400" w:lineRule="exact"/>
        <w:tabs>
          <w:tab w:val="left" w:pos="9000" w:leader="none"/>
        </w:tabs>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r>
      <w:r/>
    </w:p>
    <w:p>
      <w:pPr>
        <w:pStyle w:val="1027"/>
        <w:ind w:right="-290"/>
        <w:spacing w:line="400" w:lineRule="exact"/>
        <w:tabs>
          <w:tab w:val="left" w:pos="9000" w:leader="none"/>
        </w:tabs>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投标人：（签章）</w:t>
      </w:r>
      <w:r/>
    </w:p>
    <w:p>
      <w:pPr>
        <w:pStyle w:val="1027"/>
        <w:ind w:right="-290"/>
        <w:spacing w:line="400" w:lineRule="exact"/>
        <w:tabs>
          <w:tab w:val="left" w:pos="9000" w:leader="none"/>
        </w:tabs>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日期：        年     月     日</w:t>
      </w:r>
      <w:r/>
    </w:p>
    <w:p>
      <w:pPr>
        <w:pStyle w:val="1027"/>
        <w:ind w:right="-290"/>
        <w:spacing w:line="400" w:lineRule="exact"/>
        <w:tabs>
          <w:tab w:val="left" w:pos="9000" w:leader="none"/>
        </w:tabs>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r>
      <w:r/>
    </w:p>
    <w:p>
      <w:pPr>
        <w:pStyle w:val="1027"/>
        <w:ind w:right="-290"/>
        <w:spacing w:line="400" w:lineRule="exact"/>
        <w:tabs>
          <w:tab w:val="left" w:pos="9000" w:leader="none"/>
        </w:tabs>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备注：</w:t>
      </w:r>
      <w:r>
        <w:rPr>
          <w:rFonts w:hint="eastAsia" w:hAnsi="宋体" w:eastAsia="宋体" w:cs="宋体"/>
          <w:color w:val="auto"/>
          <w:sz w:val="21"/>
          <w:szCs w:val="21"/>
          <w:highlight w:val="none"/>
          <w:lang w:val="en-US" w:eastAsia="zh-CN"/>
        </w:rPr>
        <w:t xml:space="preserve">  1、</w:t>
      </w:r>
      <w:r>
        <w:rPr>
          <w:rFonts w:hint="eastAsia" w:hAnsi="宋体" w:eastAsia="宋体" w:cs="宋体"/>
          <w:color w:val="auto"/>
          <w:sz w:val="21"/>
          <w:szCs w:val="21"/>
          <w:highlight w:val="none"/>
        </w:rPr>
        <w:t xml:space="preserve">本表中的“投标总报价”金额应与开标一览表中“投标总报价”金额一致。</w:t>
      </w:r>
      <w:bookmarkEnd w:id="46"/>
      <w:r/>
      <w:r/>
    </w:p>
    <w:p>
      <w:pPr>
        <w:pStyle w:val="1027"/>
        <w:ind w:right="-290"/>
        <w:spacing w:line="400" w:lineRule="exact"/>
        <w:tabs>
          <w:tab w:val="left" w:pos="9000" w:leader="none"/>
        </w:tabs>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        2</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rPr>
        <w:t xml:space="preserve">合价=</w:t>
      </w:r>
      <w:r>
        <w:rPr>
          <w:rFonts w:hint="eastAsia" w:hAnsi="宋体" w:eastAsia="宋体" w:cs="宋体"/>
          <w:color w:val="auto"/>
          <w:sz w:val="21"/>
          <w:szCs w:val="21"/>
          <w:highlight w:val="none"/>
        </w:rPr>
        <w:t xml:space="preserve">人数</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rPr>
        <w:t xml:space="preserve">服务期</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rPr>
        <w:t xml:space="preserve">单价</w:t>
      </w:r>
      <w:r>
        <w:rPr>
          <w:rFonts w:hint="eastAsia" w:hAnsi="宋体" w:eastAsia="宋体" w:cs="宋体"/>
          <w:color w:val="auto"/>
          <w:sz w:val="21"/>
          <w:szCs w:val="21"/>
          <w:highlight w:val="none"/>
        </w:rPr>
      </w:r>
      <w:r/>
    </w:p>
    <w:p>
      <w:pPr>
        <w:pageBreakBefore/>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附件5、</w:t>
      </w:r>
      <w:bookmarkStart w:id="47" w:name="_Toc532444506"/>
      <w:r/>
      <w:bookmarkStart w:id="48" w:name="_Toc532444344"/>
      <w:r/>
      <w:bookmarkStart w:id="49" w:name="_Toc532452113"/>
      <w:r/>
      <w:bookmarkStart w:id="50" w:name="_Toc7888"/>
      <w:r/>
      <w:bookmarkStart w:id="51" w:name="_Toc518926909"/>
      <w:r/>
      <w:bookmarkStart w:id="52" w:name="_Toc2583142"/>
      <w:r>
        <w:rPr>
          <w:rFonts w:hint="eastAsia" w:ascii="宋体" w:hAnsi="宋体" w:cs="宋体"/>
          <w:b/>
          <w:bCs/>
          <w:color w:val="auto"/>
          <w:highlight w:val="none"/>
        </w:rPr>
        <w:t xml:space="preserve">服务偏离表</w:t>
      </w:r>
      <w:r/>
    </w:p>
    <w:p>
      <w:pPr>
        <w:jc w:val="center"/>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服务偏离表</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tbl>
      <w:tblPr>
        <w:tblStyle w:val="79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463"/>
        <w:gridCol w:w="1726"/>
        <w:gridCol w:w="1784"/>
      </w:tblGrid>
      <w:tr>
        <w:trPr>
          <w:jc w:val="center"/>
        </w:trPr>
        <w:tc>
          <w:tcPr>
            <w:tcW w:w="841"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82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服务内容</w:t>
            </w:r>
            <w:r/>
          </w:p>
        </w:tc>
        <w:tc>
          <w:tcPr>
            <w:tcW w:w="164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146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投标要求</w:t>
            </w:r>
            <w:r/>
          </w:p>
        </w:tc>
        <w:tc>
          <w:tcPr>
            <w:tcW w:w="1726"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偏离/响应</w:t>
            </w:r>
            <w:r/>
          </w:p>
        </w:tc>
        <w:tc>
          <w:tcPr>
            <w:tcW w:w="178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841"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82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64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46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26"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84"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注：1.投标人应对照招标文件技术要求等要求，所投标的物与招标文件的规定有偏离的，应在此表中申明与技术要求条文的偏差和例外。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2.未在上表中说明的，如在投标文件其他内容中已有文字说明的，则以已有文字说明为准，否则，将被认为完全响应招标文件的规定。但该表不作为投标人对所投标的物关于技术要求等详细描述和说明的替代。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hint="eastAsia" w:ascii="宋体" w:hAnsi="宋体" w:cs="宋体"/>
          <w:color w:val="auto"/>
          <w:szCs w:val="21"/>
          <w:highlight w:val="none"/>
        </w:rPr>
        <w:sectPr>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Cs w:val="21"/>
          <w:highlight w:val="none"/>
        </w:rPr>
        <w:t xml:space="preserve">日期：         年         月       日</w:t>
      </w:r>
      <w:bookmarkEnd w:id="47"/>
      <w:r/>
      <w:bookmarkEnd w:id="48"/>
      <w:r/>
      <w:bookmarkEnd w:id="49"/>
      <w:r/>
      <w:bookmarkEnd w:id="50"/>
      <w:r/>
      <w:bookmarkEnd w:id="51"/>
      <w:r/>
      <w:bookmarkEnd w:id="52"/>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附件6、商务条款偏离表</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color w:val="auto"/>
          <w:szCs w:val="21"/>
          <w:highlight w:val="none"/>
          <w:lang w:val="zh-CN"/>
        </w:rPr>
      </w:pPr>
      <w:r>
        <w:rPr>
          <w:rFonts w:hint="eastAsia" w:ascii="宋体" w:hAnsi="宋体" w:cs="宋体"/>
          <w:b/>
          <w:color w:val="auto"/>
          <w:szCs w:val="21"/>
          <w:highlight w:val="none"/>
        </w:rPr>
        <w:t xml:space="preserve">商务条款偏离表</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招标编号：             号</w:t>
      </w:r>
      <w:r/>
    </w:p>
    <w:tbl>
      <w:tblPr>
        <w:tblStyle w:val="790"/>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1950"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招标文件条目号</w:t>
            </w:r>
            <w:r/>
          </w:p>
        </w:tc>
        <w:tc>
          <w:tcPr>
            <w:tcW w:w="24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招标文件的商务条款</w:t>
            </w:r>
            <w:r/>
          </w:p>
        </w:tc>
        <w:tc>
          <w:tcPr>
            <w:tcW w:w="2438"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投标文件的商务条款</w:t>
            </w:r>
            <w:r/>
          </w:p>
        </w:tc>
        <w:tc>
          <w:tcPr>
            <w:tcW w:w="1743"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说明</w:t>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Pr>
        <w:tc>
          <w:tcPr>
            <w:tcW w:w="7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950"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2438"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743"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投标人的投标文件（除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hint="eastAsia" w:ascii="宋体" w:hAnsi="宋体" w:cs="宋体"/>
          <w:color w:val="auto"/>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附件7、针对</w:t>
      </w:r>
      <w:r>
        <w:rPr>
          <w:rFonts w:hint="eastAsia" w:ascii="宋体" w:hAnsi="宋体" w:cs="宋体"/>
          <w:b/>
          <w:bCs/>
          <w:color w:val="auto"/>
          <w:highlight w:val="none"/>
          <w:lang w:eastAsia="zh-CN"/>
        </w:rPr>
        <w:t xml:space="preserve">本项目的管理人员</w:t>
      </w:r>
      <w:r>
        <w:rPr>
          <w:rFonts w:hint="eastAsia" w:ascii="宋体" w:hAnsi="宋体" w:cs="宋体"/>
          <w:b/>
          <w:bCs/>
          <w:color w:val="auto"/>
          <w:highlight w:val="none"/>
        </w:rPr>
        <w:t xml:space="preserve">配置表</w:t>
      </w:r>
      <w:r/>
    </w:p>
    <w:p>
      <w:pPr>
        <w:jc w:val="center"/>
        <w:spacing w:line="360" w:lineRule="auto"/>
        <w:rPr>
          <w:rFonts w:hint="eastAsia" w:ascii="宋体" w:hAnsi="宋体" w:cs="宋体"/>
          <w:b/>
          <w:bCs/>
          <w:color w:val="auto"/>
          <w:spacing w:val="20"/>
          <w:szCs w:val="21"/>
          <w:highlight w:val="none"/>
        </w:rPr>
      </w:pPr>
      <w:r>
        <w:rPr>
          <w:rFonts w:hint="eastAsia" w:ascii="宋体" w:hAnsi="宋体" w:cs="宋体"/>
          <w:b/>
          <w:bCs/>
          <w:color w:val="auto"/>
          <w:spacing w:val="20"/>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bCs/>
          <w:color w:val="auto"/>
          <w:spacing w:val="20"/>
          <w:szCs w:val="21"/>
          <w:highlight w:val="none"/>
        </w:rPr>
        <w:t xml:space="preserve">针对</w:t>
      </w:r>
      <w:r>
        <w:rPr>
          <w:rFonts w:hint="eastAsia" w:ascii="宋体" w:hAnsi="宋体" w:cs="宋体"/>
          <w:b/>
          <w:bCs/>
          <w:color w:val="auto"/>
          <w:spacing w:val="20"/>
          <w:szCs w:val="21"/>
          <w:highlight w:val="none"/>
          <w:lang w:eastAsia="zh-CN"/>
        </w:rPr>
        <w:t xml:space="preserve">本项目的管理人员</w:t>
      </w:r>
      <w:r>
        <w:rPr>
          <w:rFonts w:hint="eastAsia" w:ascii="宋体" w:hAnsi="宋体" w:cs="宋体"/>
          <w:b/>
          <w:bCs/>
          <w:color w:val="auto"/>
          <w:spacing w:val="20"/>
          <w:szCs w:val="21"/>
          <w:highlight w:val="none"/>
        </w:rPr>
        <w:t xml:space="preserve">配置表</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         号                         项目名称：</w:t>
      </w:r>
      <w:r/>
    </w:p>
    <w:tbl>
      <w:tblPr>
        <w:tblStyle w:val="790"/>
        <w:tblpPr w:horzAnchor="margin" w:tblpXSpec="center" w:vertAnchor="text" w:tblpY="48" w:leftFromText="180" w:topFromText="0" w:rightFromText="180" w:bottomFromText="0"/>
        <w:tblW w:w="875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77"/>
        <w:gridCol w:w="1941"/>
        <w:gridCol w:w="1052"/>
        <w:gridCol w:w="817"/>
        <w:gridCol w:w="709"/>
        <w:gridCol w:w="1242"/>
        <w:gridCol w:w="1414"/>
      </w:tblGrid>
      <w:tr>
        <w:trPr>
          <w:jc w:val="center"/>
          <w:trHeight w:val="85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证书情况</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57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94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pStyle w:val="834"/>
        <w:ind w:left="0" w:firstLine="0"/>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注：投标人自行根据项目需要配备相应的人员，</w:t>
      </w:r>
      <w:r/>
    </w:p>
    <w:p>
      <w:pPr>
        <w:pStyle w:val="834"/>
        <w:ind w:left="0" w:firstLine="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（1）拟派</w:t>
      </w:r>
      <w:r>
        <w:rPr>
          <w:rFonts w:hint="eastAsia" w:ascii="宋体" w:hAnsi="宋体" w:cs="宋体"/>
          <w:b/>
          <w:bCs/>
          <w:color w:val="auto"/>
          <w:szCs w:val="21"/>
          <w:highlight w:val="none"/>
          <w:lang w:val="en-US" w:eastAsia="zh-CN"/>
        </w:rPr>
        <w:t xml:space="preserve">项目经理</w:t>
      </w:r>
      <w:r>
        <w:rPr>
          <w:rFonts w:hint="eastAsia" w:ascii="宋体" w:hAnsi="宋体" w:cs="宋体"/>
          <w:b/>
          <w:bCs/>
          <w:color w:val="auto"/>
          <w:szCs w:val="21"/>
          <w:highlight w:val="none"/>
          <w:lang w:val="zh-CN"/>
        </w:rPr>
        <w:t xml:space="preserve">需提供投标人为其缴纳社保的证明材料复印件。</w:t>
      </w:r>
      <w:r/>
    </w:p>
    <w:p>
      <w:pPr>
        <w:pStyle w:val="834"/>
        <w:ind w:left="0" w:firstLine="0"/>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（2）如项目组成员（不含</w:t>
      </w:r>
      <w:r>
        <w:rPr>
          <w:rFonts w:hint="eastAsia" w:ascii="宋体" w:hAnsi="宋体" w:cs="宋体"/>
          <w:b/>
          <w:bCs/>
          <w:color w:val="auto"/>
          <w:szCs w:val="21"/>
          <w:highlight w:val="none"/>
          <w:lang w:val="en-US" w:eastAsia="zh-CN"/>
        </w:rPr>
        <w:t xml:space="preserve">项目经理</w:t>
      </w:r>
      <w:r>
        <w:rPr>
          <w:rFonts w:hint="eastAsia" w:ascii="宋体" w:hAnsi="宋体" w:cs="宋体"/>
          <w:b/>
          <w:bCs/>
          <w:color w:val="auto"/>
          <w:szCs w:val="21"/>
          <w:highlight w:val="none"/>
          <w:lang w:val="zh-CN"/>
        </w:rPr>
        <w:t xml:space="preserve">）非自有人员，需中标后配置，则需提供承诺书（格式自拟），承诺书内容包含，中标后在合同签订之前人员按招标文件要求配备齐全。不满足为无效投标。</w:t>
      </w:r>
      <w:r/>
    </w:p>
    <w:p>
      <w:pPr>
        <w:pStyle w:val="834"/>
        <w:ind w:left="0" w:firstLine="0"/>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日期：         年         月       日</w:t>
      </w:r>
      <w:r/>
    </w:p>
    <w:p>
      <w:pPr>
        <w:pStyle w:val="798"/>
        <w:rPr>
          <w:rFonts w:hint="eastAsia" w:ascii="宋体" w:hAnsi="宋体" w:cs="宋体"/>
          <w:color w:val="auto"/>
          <w:szCs w:val="21"/>
          <w:highlight w:val="none"/>
        </w:rPr>
      </w:pPr>
      <w:r>
        <w:rPr>
          <w:rFonts w:hint="eastAsia" w:ascii="宋体" w:hAnsi="宋体" w:cs="宋体"/>
          <w:color w:val="auto"/>
          <w:szCs w:val="21"/>
          <w:highlight w:val="none"/>
        </w:rPr>
      </w:r>
      <w:r/>
    </w:p>
    <w:p>
      <w:pPr>
        <w:pStyle w:val="799"/>
        <w:spacing w:line="360" w:lineRule="auto"/>
        <w:rPr>
          <w:rFonts w:hint="eastAsia" w:ascii="宋体" w:hAnsi="宋体" w:eastAsia="宋体" w:cs="宋体"/>
          <w:color w:val="auto"/>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highlight w:val="none"/>
        </w:rPr>
      </w:r>
      <w:r/>
    </w:p>
    <w:p>
      <w:pPr>
        <w:pageBreakBefore/>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附件8、类似业绩一览表</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center"/>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类似业绩一览表</w:t>
      </w:r>
      <w:r/>
    </w:p>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项目编号：         号                         项目名称：</w:t>
      </w:r>
      <w:r/>
    </w:p>
    <w:tbl>
      <w:tblPr>
        <w:tblStyle w:val="790"/>
        <w:tblW w:w="87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2532"/>
        <w:gridCol w:w="1476"/>
        <w:gridCol w:w="1056"/>
        <w:gridCol w:w="2253"/>
        <w:gridCol w:w="773"/>
      </w:tblGrid>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合同名称</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合同签订日期</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项目范围</w:t>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合同金额（万元）</w:t>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32"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25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73"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hint="eastAsia" w:ascii="宋体" w:hAnsi="宋体" w:cs="宋体"/>
          <w:color w:val="auto"/>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附件9、关于资格文件的声明函</w:t>
      </w:r>
      <w:r/>
    </w:p>
    <w:p>
      <w:pPr>
        <w:pStyle w:val="791"/>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791"/>
        <w:ind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关于资格文件的声明函</w:t>
      </w:r>
      <w:r/>
    </w:p>
    <w:p>
      <w:pPr>
        <w:pStyle w:val="791"/>
        <w:jc w:val="center"/>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1"/>
        <w:ind w:firstLine="0"/>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p>
    <w:p>
      <w:pPr>
        <w:pStyle w:val="791"/>
        <w:ind w:firstLine="6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本公司愿就由贵公司组织实施的编号为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pStyle w:val="791"/>
        <w:spacing w:line="36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投标人：（签章）</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法定代表人或委托代理人：（签字或盖章）</w:t>
      </w:r>
      <w:r/>
    </w:p>
    <w:p>
      <w:pPr>
        <w:spacing w:line="360" w:lineRule="auto"/>
        <w:rPr>
          <w:rFonts w:hint="eastAsia" w:ascii="宋体" w:hAnsi="宋体" w:cs="宋体"/>
          <w:color w:val="auto"/>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Cs w:val="21"/>
          <w:highlight w:val="none"/>
        </w:rPr>
        <w:t xml:space="preserve">日期：         年         月       日</w:t>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附件10、投标单位情况表</w:t>
      </w:r>
      <w:r/>
    </w:p>
    <w:p>
      <w:pPr>
        <w:pStyle w:val="791"/>
        <w:ind w:firstLine="0"/>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投标单位情况表</w:t>
      </w:r>
      <w:r/>
    </w:p>
    <w:p>
      <w:pPr>
        <w:pStyle w:val="791"/>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单位名称：（</w:t>
      </w:r>
      <w:r>
        <w:rPr>
          <w:rFonts w:hint="eastAsia" w:ascii="宋体" w:hAnsi="宋体" w:eastAsia="宋体" w:cs="宋体"/>
          <w:color w:val="auto"/>
          <w:sz w:val="21"/>
          <w:highlight w:val="none"/>
        </w:rPr>
        <w:t xml:space="preserve">签章</w:t>
      </w:r>
      <w:r>
        <w:rPr>
          <w:rFonts w:hint="eastAsia" w:ascii="宋体" w:hAnsi="宋体" w:eastAsia="宋体" w:cs="宋体"/>
          <w:color w:val="auto"/>
          <w:sz w:val="21"/>
          <w:szCs w:val="21"/>
          <w:highlight w:val="none"/>
        </w:rPr>
        <w:t xml:space="preserve">）</w:t>
      </w:r>
      <w:r/>
    </w:p>
    <w:tbl>
      <w:tblPr>
        <w:tblStyle w:val="79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p>
        </w:tc>
        <w:tc>
          <w:tcPr>
            <w:tcW w:w="1737"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9"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成立日期</w:t>
            </w:r>
            <w:r/>
          </w:p>
        </w:tc>
        <w:tc>
          <w:tcPr>
            <w:gridSpan w:val="2"/>
            <w:tcW w:w="2967"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企业地址</w:t>
            </w:r>
            <w:r/>
          </w:p>
        </w:tc>
        <w:tc>
          <w:tcPr>
            <w:tcW w:w="1737"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9"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注册资本</w:t>
            </w:r>
            <w:r/>
          </w:p>
        </w:tc>
        <w:tc>
          <w:tcPr>
            <w:gridSpan w:val="2"/>
            <w:tcW w:w="2967" w:type="dxa"/>
            <w:vAlign w:val="center"/>
            <w:textDirection w:val="lrTb"/>
            <w:noWrap w:val="false"/>
          </w:tcPr>
          <w:p>
            <w:pPr>
              <w:pStyle w:val="791"/>
              <w:ind w:firstLine="216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经营范围</w:t>
            </w:r>
            <w:r/>
          </w:p>
        </w:tc>
        <w:tc>
          <w:tcPr>
            <w:gridSpan w:val="4"/>
            <w:tcW w:w="6023"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职工人数</w:t>
            </w:r>
            <w:r/>
          </w:p>
        </w:tc>
        <w:tc>
          <w:tcPr>
            <w:tcW w:w="1737"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3170"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其中：有中高级以上职称的人数</w:t>
            </w:r>
            <w:r/>
          </w:p>
        </w:tc>
        <w:tc>
          <w:tcPr>
            <w:tcW w:w="111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资产总计</w:t>
            </w:r>
            <w:r/>
          </w:p>
        </w:tc>
        <w:tc>
          <w:tcPr>
            <w:tcW w:w="1737"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净资产</w:t>
            </w:r>
            <w:r/>
          </w:p>
        </w:tc>
        <w:tc>
          <w:tcPr>
            <w:gridSpan w:val="2"/>
            <w:tcW w:w="2967"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万元</w:t>
            </w:r>
            <w:r/>
          </w:p>
        </w:tc>
      </w:tr>
      <w:tr>
        <w:trPr>
          <w:cantSplit/>
          <w:jc w:val="center"/>
          <w:trHeight w:val="267"/>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股东权益</w:t>
            </w:r>
            <w:r/>
          </w:p>
        </w:tc>
        <w:tc>
          <w:tcPr>
            <w:tcW w:w="1737"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万元</w:t>
            </w:r>
            <w:r/>
          </w:p>
        </w:tc>
        <w:tc>
          <w:tcPr>
            <w:tcW w:w="1319"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销售收入</w:t>
            </w:r>
            <w:r/>
          </w:p>
        </w:tc>
        <w:tc>
          <w:tcPr>
            <w:gridSpan w:val="2"/>
            <w:tcW w:w="2967" w:type="dxa"/>
            <w:vAlign w:val="center"/>
            <w:textDirection w:val="lrTb"/>
            <w:noWrap w:val="false"/>
          </w:tcPr>
          <w:p>
            <w:pPr>
              <w:pStyle w:val="791"/>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实现利润</w:t>
            </w:r>
            <w:r/>
          </w:p>
        </w:tc>
        <w:tc>
          <w:tcPr>
            <w:tcW w:w="1737"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年  万元</w:t>
            </w:r>
            <w:r/>
          </w:p>
        </w:tc>
        <w:tc>
          <w:tcPr>
            <w:tcW w:w="1319"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2967"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营业面积（含厂房面积）</w:t>
            </w:r>
            <w:r/>
          </w:p>
        </w:tc>
        <w:tc>
          <w:tcPr>
            <w:tcW w:w="1737"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平方米</w:t>
            </w:r>
            <w:r/>
          </w:p>
        </w:tc>
        <w:tc>
          <w:tcPr>
            <w:tcW w:w="1319"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tc>
        <w:tc>
          <w:tcPr>
            <w:gridSpan w:val="2"/>
            <w:tcW w:w="2967"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自有面积         平方米</w:t>
            </w:r>
            <w:r/>
          </w:p>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承租面积         平方米</w:t>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单位简历及内设机构情况</w:t>
            </w:r>
            <w:r/>
          </w:p>
        </w:tc>
        <w:tc>
          <w:tcPr>
            <w:gridSpan w:val="4"/>
            <w:tcW w:w="6023"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单位优势及特长</w:t>
            </w:r>
            <w:r/>
          </w:p>
        </w:tc>
        <w:tc>
          <w:tcPr>
            <w:gridSpan w:val="4"/>
            <w:tcW w:w="6023"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近三年来完成或正在履行的重大合同情况</w:t>
            </w:r>
            <w:r/>
          </w:p>
        </w:tc>
        <w:tc>
          <w:tcPr>
            <w:gridSpan w:val="4"/>
            <w:tcW w:w="6023"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最近2年内在经营过程中受到何种奖励或处分</w:t>
            </w:r>
            <w:r/>
          </w:p>
        </w:tc>
        <w:tc>
          <w:tcPr>
            <w:gridSpan w:val="4"/>
            <w:tcW w:w="6023"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（包括财政、工商、税务、物价、技监部门稽查情况和结果）</w:t>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最近3年内有无因售假、售劣或是其他原因被消费者投诉或起诉的情况及说明</w:t>
            </w:r>
            <w:r/>
          </w:p>
        </w:tc>
        <w:tc>
          <w:tcPr>
            <w:gridSpan w:val="4"/>
            <w:tcW w:w="6023"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（包括解决方式和结果）</w:t>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参加政府采购活动前三年内，在经营活动中有无重大违法记录情况及说明</w:t>
            </w:r>
            <w:r/>
          </w:p>
        </w:tc>
        <w:tc>
          <w:tcPr>
            <w:gridSpan w:val="4"/>
            <w:tcW w:w="6023"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获得技术认证的工程师及简介</w:t>
            </w:r>
            <w:r/>
          </w:p>
        </w:tc>
        <w:tc>
          <w:tcPr>
            <w:gridSpan w:val="4"/>
            <w:tcW w:w="6023"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0"/>
        </w:trPr>
        <w:tc>
          <w:tcPr>
            <w:tcW w:w="2336"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其他需要说明的情况</w:t>
            </w:r>
            <w:r/>
          </w:p>
        </w:tc>
        <w:tc>
          <w:tcPr>
            <w:gridSpan w:val="4"/>
            <w:tcW w:w="6023" w:type="dxa"/>
            <w:vAlign w:val="center"/>
            <w:textDirection w:val="lrTb"/>
            <w:noWrap w:val="false"/>
          </w:tcPr>
          <w:p>
            <w:pPr>
              <w:pStyle w:val="791"/>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jc w:val="center"/>
        <w:spacing w:line="360" w:lineRule="auto"/>
        <w:widowControl/>
        <w:rPr>
          <w:rFonts w:hint="eastAsia" w:ascii="宋体" w:hAnsi="宋体" w:cs="宋体"/>
          <w:color w:val="auto"/>
          <w:szCs w:val="21"/>
          <w:highlight w:val="non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Cs w:val="21"/>
          <w:highlight w:val="none"/>
        </w:rPr>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附件11、投标（响应）保证承诺书</w:t>
      </w:r>
      <w:r/>
    </w:p>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投标（响应）保证承诺书</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6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w:t>
      </w:r>
      <w:r>
        <w:rPr>
          <w:rFonts w:hint="eastAsia" w:ascii="宋体" w:hAnsi="宋体" w:cs="宋体"/>
          <w:color w:val="auto"/>
          <w:szCs w:val="21"/>
          <w:highlight w:val="none"/>
          <w:u w:val="single"/>
        </w:rPr>
        <w:t xml:space="preserve">              （项目名称和采购编号）</w:t>
      </w:r>
      <w:r>
        <w:rPr>
          <w:rFonts w:hint="eastAsia" w:ascii="宋体" w:hAnsi="宋体" w:cs="宋体"/>
          <w:color w:val="auto"/>
          <w:szCs w:val="21"/>
          <w:highlight w:val="none"/>
        </w:rPr>
        <w:t xml:space="preserve">的投标（响应）,并做出如下承诺：</w:t>
      </w:r>
      <w:r/>
    </w:p>
    <w:p>
      <w:pPr>
        <w:ind w:firstLine="6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一、  除不可抗力外，我单位如果发生以下行为，将在行为发生的10个工作日内，向贵方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支付本招标文件公布的预算金额（或最高限价）的2%作为违约赔偿金（数量不确定的单价采购须约定具体金额）。</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1.自投标（响应）截止时间至本项目发布中标（成交）公告为止，撤销投标（响应）；</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2.中标（成交）后不依法与采购单位签订合同；</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3.中标（成交）后不按本招标文件规定向采购单位提交履约保证金（如有）；</w:t>
      </w:r>
      <w:r/>
    </w:p>
    <w:p>
      <w:pPr>
        <w:ind w:firstLine="555"/>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4.中标（成交）后不按本招标文件规定向贵方缴纳采购代理费。</w:t>
      </w:r>
      <w:r/>
    </w:p>
    <w:p>
      <w:pPr>
        <w:ind w:firstLine="60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二、  我单位知晓上述行为的法律后果，承认本承诺书作为贵方</w:t>
      </w:r>
      <w:r>
        <w:rPr>
          <w:rFonts w:hint="eastAsia" w:ascii="宋体" w:hAnsi="宋体" w:cs="宋体"/>
          <w:color w:val="auto"/>
          <w:szCs w:val="21"/>
          <w:highlight w:val="none"/>
          <w:u w:val="single"/>
        </w:rPr>
        <w:t xml:space="preserve">（或采购单位）</w:t>
      </w:r>
      <w:r>
        <w:rPr>
          <w:rFonts w:hint="eastAsia" w:ascii="宋体" w:hAnsi="宋体" w:cs="宋体"/>
          <w:color w:val="auto"/>
          <w:szCs w:val="21"/>
          <w:highlight w:val="none"/>
        </w:rPr>
        <w:t xml:space="preserve">要求我单位履行违约赔偿义务的依据作用。</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投标（响应）人（</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传真：</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邮编：</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法定代表人或委托代理人(签字或</w:t>
      </w:r>
      <w:r>
        <w:rPr>
          <w:rFonts w:hint="eastAsia" w:ascii="宋体" w:hAnsi="宋体" w:cs="宋体"/>
          <w:color w:val="auto"/>
          <w:szCs w:val="20"/>
          <w:highlight w:val="none"/>
        </w:rPr>
        <w:t xml:space="preserve">签章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p>
    <w:p>
      <w:pPr>
        <w:jc w:val="left"/>
        <w:spacing w:line="360" w:lineRule="auto"/>
        <w:widowControl/>
        <w:rPr>
          <w:rFonts w:hint="eastAsia" w:ascii="宋体" w:hAnsi="宋体" w:cs="宋体"/>
          <w:color w:val="auto"/>
          <w:szCs w:val="21"/>
          <w:highlight w:val="none"/>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附件12、声明函</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中小企业声明函（服务）</w:t>
      </w:r>
      <w:r/>
    </w:p>
    <w:p>
      <w:pPr>
        <w:ind w:firstLine="63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本公司郑重声明，根据《政府采购促进中小企业发展管理办法》（财库﹝2020﹞46 号）的规定，本公司参加</w:t>
      </w:r>
      <w:r>
        <w:rPr>
          <w:rFonts w:hint="eastAsia" w:ascii="宋体" w:hAnsi="宋体" w:cs="宋体"/>
          <w:color w:val="auto"/>
          <w:szCs w:val="21"/>
          <w:highlight w:val="none"/>
          <w:u w:val="single"/>
          <w:lang w:val="zh-CN"/>
        </w:rPr>
        <w:t xml:space="preserve">（单位名称）</w:t>
      </w:r>
      <w:r>
        <w:rPr>
          <w:rFonts w:hint="eastAsia" w:ascii="宋体" w:hAnsi="宋体" w:cs="宋体"/>
          <w:color w:val="auto"/>
          <w:szCs w:val="21"/>
          <w:highlight w:val="none"/>
          <w:lang w:val="zh-CN"/>
        </w:rPr>
        <w:t xml:space="preserve">的</w:t>
      </w:r>
      <w:r>
        <w:rPr>
          <w:rFonts w:hint="eastAsia" w:ascii="宋体" w:hAnsi="宋体" w:cs="宋体"/>
          <w:color w:val="auto"/>
          <w:szCs w:val="21"/>
          <w:highlight w:val="none"/>
          <w:u w:val="single"/>
          <w:lang w:val="zh-CN"/>
        </w:rPr>
        <w:t xml:space="preserve">（项目名称）</w:t>
      </w:r>
      <w:r>
        <w:rPr>
          <w:rFonts w:hint="eastAsia" w:ascii="宋体" w:hAnsi="宋体" w:cs="宋体"/>
          <w:color w:val="auto"/>
          <w:szCs w:val="21"/>
          <w:highlight w:val="none"/>
          <w:lang w:val="zh-CN"/>
        </w:rPr>
        <w:t xml:space="preserve">采购活动，服务全部由符合政策要求的中小企业承接。相关企业的具体情况如下：</w:t>
      </w:r>
      <w:r/>
    </w:p>
    <w:p>
      <w:pPr>
        <w:ind w:firstLine="63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lang w:eastAsia="zh-CN"/>
        </w:rPr>
        <w:t xml:space="preserve">租赁和商务服务业</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；承建（承接）企业为</w:t>
      </w:r>
      <w:r>
        <w:rPr>
          <w:rFonts w:hint="eastAsia" w:ascii="宋体" w:hAnsi="宋体" w:cs="宋体"/>
          <w:color w:val="auto"/>
          <w:szCs w:val="21"/>
          <w:highlight w:val="none"/>
          <w:u w:val="single"/>
          <w:lang w:val="zh-CN"/>
        </w:rPr>
        <w:t xml:space="preserve">（企业名称）</w:t>
      </w:r>
      <w:r>
        <w:rPr>
          <w:rFonts w:hint="eastAsia" w:ascii="宋体" w:hAnsi="宋体" w:cs="宋体"/>
          <w:color w:val="auto"/>
          <w:szCs w:val="21"/>
          <w:highlight w:val="none"/>
          <w:lang w:val="zh-CN"/>
        </w:rPr>
        <w:t xml:space="preserve">，从业人员人，营业收入为万元，资产总额为万元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 </w:t>
      </w:r>
      <w:r>
        <w:rPr>
          <w:rFonts w:hint="eastAsia" w:ascii="宋体" w:hAnsi="宋体" w:cs="宋体"/>
          <w:color w:val="auto"/>
          <w:szCs w:val="21"/>
          <w:highlight w:val="none"/>
          <w:u w:val="single"/>
          <w:lang w:val="zh-CN"/>
        </w:rPr>
        <w:t xml:space="preserve">（标的名称）</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lang w:eastAsia="zh-CN"/>
        </w:rPr>
        <w:t xml:space="preserve">租赁和商务服务业</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；承建（承接）企业为（企业名称），从业人员人，营业收入为万元，资产总额为万元</w:t>
      </w:r>
      <w:r>
        <w:rPr>
          <w:rFonts w:hint="eastAsia" w:ascii="宋体" w:hAnsi="宋体" w:cs="宋体"/>
          <w:color w:val="auto"/>
          <w:szCs w:val="21"/>
          <w:highlight w:val="none"/>
          <w:vertAlign w:val="superscript"/>
          <w:lang w:val="zh-CN"/>
        </w:rPr>
        <w:t xml:space="preserve">1</w:t>
      </w:r>
      <w:r>
        <w:rPr>
          <w:rFonts w:hint="eastAsia" w:ascii="宋体" w:hAnsi="宋体" w:cs="宋体"/>
          <w:color w:val="auto"/>
          <w:szCs w:val="21"/>
          <w:highlight w:val="none"/>
          <w:lang w:val="zh-CN"/>
        </w:rPr>
        <w:t xml:space="preserve">，属于</w:t>
      </w:r>
      <w:r>
        <w:rPr>
          <w:rFonts w:hint="eastAsia" w:ascii="宋体" w:hAnsi="宋体" w:cs="宋体"/>
          <w:color w:val="auto"/>
          <w:szCs w:val="21"/>
          <w:highlight w:val="none"/>
          <w:u w:val="single"/>
          <w:lang w:val="zh-CN"/>
        </w:rPr>
        <w:t xml:space="preserve">  （中型企业、小型企业、微型企业）</w:t>
      </w:r>
      <w:r>
        <w:rPr>
          <w:rFonts w:hint="eastAsia" w:ascii="宋体" w:hAnsi="宋体" w:cs="宋体"/>
          <w:color w:val="auto"/>
          <w:szCs w:val="21"/>
          <w:highlight w:val="none"/>
          <w:lang w:val="zh-CN"/>
        </w:rPr>
        <w:t xml:space="preserve">；</w:t>
      </w:r>
      <w:r/>
    </w:p>
    <w:p>
      <w:pPr>
        <w:ind w:firstLine="63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p>
    <w:p>
      <w:pPr>
        <w:ind w:firstLine="63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本企业对上述声明内容的真实性负责。如有虚假，将依法承担相应责任。</w:t>
      </w:r>
      <w:r/>
    </w:p>
    <w:p>
      <w:pPr>
        <w:ind w:firstLine="63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企业名称（</w:t>
      </w:r>
      <w:r>
        <w:rPr>
          <w:rFonts w:hint="eastAsia" w:ascii="宋体" w:hAnsi="宋体" w:cs="宋体"/>
          <w:color w:val="auto"/>
          <w:szCs w:val="20"/>
          <w:highlight w:val="none"/>
        </w:rPr>
        <w:t xml:space="preserve">签章</w:t>
      </w:r>
      <w:r>
        <w:rPr>
          <w:rFonts w:hint="eastAsia" w:ascii="宋体" w:hAnsi="宋体" w:cs="宋体"/>
          <w:color w:val="auto"/>
          <w:szCs w:val="21"/>
          <w:highlight w:val="none"/>
          <w:lang w:val="zh-CN"/>
        </w:rPr>
        <w:t xml:space="preserve">）：</w:t>
      </w:r>
      <w:r/>
    </w:p>
    <w:p>
      <w:pPr>
        <w:ind w:firstLine="63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p>
    <w:p>
      <w:pPr>
        <w:pStyle w:val="813"/>
        <w:ind w:firstLine="0"/>
        <w:rPr>
          <w:rFonts w:hint="eastAsia" w:ascii="宋体" w:hAnsi="宋体" w:cs="宋体"/>
          <w:b w:val="0"/>
          <w:bCs w:val="0"/>
          <w:color w:val="auto"/>
          <w:sz w:val="21"/>
          <w:szCs w:val="24"/>
          <w:highlight w:val="none"/>
        </w:rPr>
      </w:pPr>
      <w:r/>
      <w:bookmarkStart w:id="53" w:name="_Toc532444514"/>
      <w:r/>
      <w:bookmarkStart w:id="54" w:name="_Toc2583149"/>
      <w:r/>
      <w:bookmarkStart w:id="55" w:name="_Toc532444352"/>
      <w:r/>
      <w:bookmarkStart w:id="56" w:name="_Toc532452121"/>
      <w:r/>
      <w:r/>
    </w:p>
    <w:p>
      <w:pPr>
        <w:pStyle w:val="813"/>
        <w:ind w:firstLine="0"/>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r>
      <w:r/>
    </w:p>
    <w:p>
      <w:pPr>
        <w:pStyle w:val="813"/>
        <w:ind w:firstLine="0"/>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r>
      <w:r/>
    </w:p>
    <w:p>
      <w:pPr>
        <w:pStyle w:val="813"/>
        <w:ind w:firstLine="0"/>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备注：1.从业人员、营业收入、资产总额填报上一年度数据，无上一年度数据的新成立企业可不填报。</w:t>
      </w:r>
      <w:r/>
    </w:p>
    <w:p>
      <w:pPr>
        <w:pStyle w:val="813"/>
        <w:ind w:firstLine="630"/>
        <w:rPr>
          <w:rFonts w:hint="eastAsia" w:ascii="宋体" w:hAnsi="宋体" w:cs="宋体"/>
          <w:b w:val="0"/>
          <w:bCs w:val="0"/>
          <w:color w:val="auto"/>
          <w:sz w:val="21"/>
          <w:szCs w:val="24"/>
          <w:highlight w:val="none"/>
        </w:rPr>
      </w:pPr>
      <w:r>
        <w:rPr>
          <w:rFonts w:hint="eastAsia" w:ascii="宋体" w:hAnsi="宋体" w:cs="宋体"/>
          <w:b w:val="0"/>
          <w:bCs w:val="0"/>
          <w:color w:val="auto"/>
          <w:sz w:val="21"/>
          <w:szCs w:val="24"/>
          <w:highlight w:val="none"/>
        </w:rPr>
        <w:t xml:space="preserve">2.在服务采购项目中，服务由中小企业承接，即提供服务的人员为中小企业依照《中华人民共和国劳动合同法》订立劳动合同的从业人员。</w:t>
      </w:r>
      <w:r>
        <w:rPr>
          <w:rFonts w:hint="eastAsia" w:ascii="宋体" w:hAnsi="宋体" w:cs="宋体"/>
          <w:color w:val="auto"/>
          <w:sz w:val="21"/>
          <w:szCs w:val="24"/>
          <w:highlight w:val="none"/>
        </w:rPr>
        <w:t xml:space="preserve">服务类项目中供应商若使用退休人员，将不享受相应扶持政策。</w:t>
      </w:r>
      <w:r/>
    </w:p>
    <w:p>
      <w:pPr>
        <w:pStyle w:val="813"/>
        <w:ind w:firstLine="630"/>
        <w:rPr>
          <w:rFonts w:hint="eastAsia" w:ascii="宋体" w:hAnsi="宋体" w:cs="宋体"/>
          <w:color w:val="auto"/>
          <w:sz w:val="21"/>
          <w:szCs w:val="24"/>
          <w:highlight w:val="none"/>
        </w:rPr>
      </w:pPr>
      <w:r>
        <w:rPr>
          <w:rFonts w:hint="eastAsia" w:ascii="宋体" w:hAnsi="宋体" w:cs="宋体"/>
          <w:b w:val="0"/>
          <w:bCs w:val="0"/>
          <w:color w:val="auto"/>
          <w:sz w:val="21"/>
          <w:szCs w:val="24"/>
          <w:highlight w:val="none"/>
        </w:rPr>
        <w:t xml:space="preserve">3.《中小企业声明函》中所填的行业应与本采购标的对应的中小企业划分标准所属行业一致，不一致的不可享受相应政策优惠。</w:t>
      </w:r>
      <w:r>
        <w:rPr>
          <w:rFonts w:hint="eastAsia" w:ascii="宋体" w:hAnsi="宋体" w:cs="宋体"/>
          <w:color w:val="auto"/>
          <w:sz w:val="21"/>
          <w:szCs w:val="24"/>
          <w:highlight w:val="none"/>
        </w:rPr>
        <w:t xml:space="preserve">本采购标的对应的中小企业划分标准所属行业，以采购文件中具体规定为准。</w:t>
      </w:r>
      <w:r/>
    </w:p>
    <w:p>
      <w:pPr>
        <w:pStyle w:val="813"/>
        <w:ind w:firstLine="632"/>
        <w:rPr>
          <w:rFonts w:hint="eastAsia" w:ascii="宋体" w:hAnsi="宋体" w:cs="宋体"/>
          <w:color w:val="auto"/>
          <w:sz w:val="21"/>
          <w:szCs w:val="24"/>
          <w:highlight w:val="none"/>
        </w:rPr>
      </w:pPr>
      <w:r>
        <w:rPr>
          <w:rFonts w:hint="eastAsia" w:ascii="宋体" w:hAnsi="宋体" w:cs="宋体"/>
          <w:color w:val="auto"/>
          <w:sz w:val="21"/>
          <w:szCs w:val="24"/>
          <w:highlight w:val="none"/>
        </w:rPr>
        <w:t xml:space="preserve">4.如未对（中型企业、小型企业、微型企业）进行勾选，视同非中小微企业，不可享受相应扶持政策。</w:t>
      </w:r>
      <w:r/>
    </w:p>
    <w:p>
      <w:pPr>
        <w:pStyle w:val="1027"/>
        <w:ind w:left="840" w:hanging="210"/>
        <w:spacing w:line="360" w:lineRule="auto"/>
        <w:rPr>
          <w:rFonts w:hint="eastAsia" w:hAnsi="宋体" w:eastAsia="宋体" w:cs="宋体"/>
          <w:color w:val="auto"/>
          <w:sz w:val="21"/>
          <w:szCs w:val="24"/>
          <w:highlight w:val="none"/>
          <w:lang w:val="zh-CN"/>
        </w:rPr>
      </w:pPr>
      <w:r>
        <w:rPr>
          <w:rFonts w:hint="eastAsia" w:hAnsi="宋体" w:eastAsia="宋体" w:cs="宋体"/>
          <w:color w:val="auto"/>
          <w:sz w:val="21"/>
          <w:szCs w:val="24"/>
          <w:highlight w:val="none"/>
        </w:rPr>
        <w:t xml:space="preserve">5.中标单位为小微企业的，《中小企业声明函》将随中标结果同时公告</w:t>
      </w:r>
      <w:r>
        <w:rPr>
          <w:rFonts w:hint="eastAsia" w:hAnsi="宋体" w:eastAsia="宋体" w:cs="宋体"/>
          <w:color w:val="auto"/>
          <w:sz w:val="21"/>
          <w:szCs w:val="24"/>
          <w:highlight w:val="none"/>
          <w:lang w:val="zh-CN"/>
        </w:rPr>
        <w:t xml:space="preserve">。</w:t>
      </w:r>
      <w:r/>
    </w:p>
    <w:p>
      <w:pPr>
        <w:pStyle w:val="1027"/>
        <w:ind w:left="840" w:hanging="210"/>
        <w:spacing w:line="360" w:lineRule="auto"/>
        <w:rPr>
          <w:rFonts w:hint="eastAsia" w:hAnsi="宋体" w:eastAsia="宋体" w:cs="宋体"/>
          <w:color w:val="auto"/>
          <w:sz w:val="21"/>
          <w:szCs w:val="24"/>
          <w:highlight w:val="none"/>
          <w:lang w:val="zh-CN"/>
        </w:rPr>
      </w:pPr>
      <w:r>
        <w:rPr>
          <w:rFonts w:hint="eastAsia" w:hAnsi="宋体" w:eastAsia="宋体" w:cs="宋体"/>
          <w:color w:val="auto"/>
          <w:sz w:val="21"/>
          <w:szCs w:val="24"/>
          <w:highlight w:val="none"/>
          <w:lang w:val="zh-CN"/>
        </w:rPr>
      </w:r>
      <w:r/>
    </w:p>
    <w:p>
      <w:pPr>
        <w:rPr>
          <w:rFonts w:hint="eastAsia" w:ascii="宋体" w:hAnsi="宋体" w:cs="宋体"/>
          <w:b/>
          <w:color w:val="auto"/>
          <w:highlight w:val="none"/>
        </w:rPr>
      </w:pPr>
      <w:r>
        <w:rPr>
          <w:rFonts w:hint="eastAsia" w:ascii="宋体" w:hAnsi="宋体" w:cs="宋体"/>
          <w:b/>
          <w:color w:val="auto"/>
          <w:highlight w:val="none"/>
        </w:rPr>
        <w:br w:type="page" w:clear="all"/>
      </w:r>
      <w:r/>
    </w:p>
    <w:p>
      <w:pPr>
        <w:spacing w:line="360" w:lineRule="auto"/>
        <w:rPr>
          <w:rFonts w:hint="eastAsia" w:ascii="宋体" w:hAnsi="宋体" w:cs="宋体"/>
          <w:b/>
          <w:color w:val="auto"/>
          <w:highlight w:val="none"/>
        </w:rPr>
      </w:pPr>
      <w:r>
        <w:rPr>
          <w:rFonts w:hint="eastAsia" w:ascii="宋体" w:hAnsi="宋体" w:cs="宋体"/>
          <w:b/>
          <w:color w:val="auto"/>
          <w:highlight w:val="none"/>
        </w:rPr>
        <w:t xml:space="preserve">附：中小企业划型标准规定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（一）农、林、牧、渔业。</w:t>
      </w:r>
      <w:r>
        <w:rPr>
          <w:rFonts w:hint="eastAsia" w:ascii="宋体" w:hAnsi="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（二）工业。</w:t>
      </w:r>
      <w:r>
        <w:rPr>
          <w:rFonts w:hint="eastAsia" w:ascii="宋体" w:hAnsi="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（三）建筑业。</w:t>
      </w:r>
      <w:r>
        <w:rPr>
          <w:rFonts w:hint="eastAsia" w:ascii="宋体" w:hAnsi="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（四）批发业。</w:t>
      </w:r>
      <w:r>
        <w:rPr>
          <w:rFonts w:hint="eastAsia" w:ascii="宋体" w:hAnsi="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（五）零售业。</w:t>
      </w:r>
      <w:r>
        <w:rPr>
          <w:rFonts w:hint="eastAsia" w:ascii="宋体" w:hAnsi="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（六）交通运输业。</w:t>
      </w:r>
      <w:r>
        <w:rPr>
          <w:rFonts w:hint="eastAsia" w:ascii="宋体" w:hAnsi="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（七）仓储业。</w:t>
      </w:r>
      <w:r>
        <w:rPr>
          <w:rFonts w:hint="eastAsia" w:ascii="宋体" w:hAnsi="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（八）邮政业。</w:t>
      </w:r>
      <w:r>
        <w:rPr>
          <w:rFonts w:hint="eastAsia" w:ascii="宋体" w:hAnsi="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（九）住宿业。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（十）餐饮业。</w:t>
      </w:r>
      <w:r>
        <w:rPr>
          <w:rFonts w:hint="eastAsia" w:ascii="宋体" w:hAnsi="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（十一）信息传输业。</w:t>
      </w:r>
      <w:r>
        <w:rPr>
          <w:rFonts w:hint="eastAsia" w:ascii="宋体" w:hAnsi="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（十二）软件和信息技术服务业。</w:t>
      </w:r>
      <w:r>
        <w:rPr>
          <w:rFonts w:hint="eastAsia" w:ascii="宋体" w:hAnsi="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（十三）房地产开发经营。</w:t>
      </w:r>
      <w:r>
        <w:rPr>
          <w:rFonts w:hint="eastAsia" w:ascii="宋体" w:hAnsi="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（十四）物业管理。</w:t>
      </w:r>
      <w:r>
        <w:rPr>
          <w:rFonts w:hint="eastAsia" w:ascii="宋体" w:hAnsi="宋体" w:cs="宋体"/>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cs="宋体"/>
          <w:color w:val="auto"/>
          <w:highlight w:val="none"/>
        </w:rPr>
      </w:pPr>
      <w:r>
        <w:rPr>
          <w:rFonts w:hint="eastAsia" w:ascii="宋体" w:hAnsi="宋体" w:cs="宋体"/>
          <w:b/>
          <w:color w:val="auto"/>
          <w:highlight w:val="none"/>
        </w:rPr>
        <w:t xml:space="preserve">（十五）租赁和商务服务业。</w:t>
      </w:r>
      <w:r>
        <w:rPr>
          <w:rFonts w:hint="eastAsia" w:ascii="宋体" w:hAnsi="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27"/>
        <w:ind w:firstLine="422"/>
        <w:spacing w:line="360" w:lineRule="auto"/>
        <w:rPr>
          <w:rFonts w:hint="eastAsia" w:hAnsi="宋体" w:eastAsia="宋体" w:cs="宋体"/>
          <w:color w:val="auto"/>
          <w:sz w:val="21"/>
          <w:szCs w:val="21"/>
          <w:highlight w:val="none"/>
          <w:lang w:val="zh-CN"/>
        </w:rPr>
      </w:pPr>
      <w:r>
        <w:rPr>
          <w:rFonts w:hint="eastAsia" w:hAnsi="宋体" w:eastAsia="宋体" w:cs="宋体"/>
          <w:b/>
          <w:color w:val="auto"/>
          <w:sz w:val="21"/>
          <w:szCs w:val="24"/>
          <w:highlight w:val="none"/>
        </w:rPr>
        <w:t xml:space="preserve">（十六）</w:t>
      </w:r>
      <w:r>
        <w:rPr>
          <w:rFonts w:hint="eastAsia" w:hAnsi="宋体" w:eastAsia="宋体" w:cs="宋体"/>
          <w:b/>
          <w:color w:val="auto"/>
          <w:sz w:val="21"/>
          <w:szCs w:val="24"/>
          <w:highlight w:val="none"/>
          <w:lang w:eastAsia="zh-CN"/>
        </w:rPr>
        <w:t xml:space="preserve">租赁和商务服务业</w:t>
      </w:r>
      <w:r>
        <w:rPr>
          <w:rFonts w:hint="eastAsia" w:hAnsi="宋体" w:eastAsia="宋体" w:cs="宋体"/>
          <w:b/>
          <w:color w:val="auto"/>
          <w:sz w:val="21"/>
          <w:szCs w:val="24"/>
          <w:highlight w:val="none"/>
        </w:rPr>
        <w:t xml:space="preserve">。</w:t>
      </w:r>
      <w:r>
        <w:rPr>
          <w:rFonts w:hint="eastAsia" w:hAnsi="宋体" w:eastAsia="宋体" w:cs="宋体"/>
          <w:color w:val="auto"/>
          <w:sz w:val="21"/>
          <w:szCs w:val="24"/>
          <w:highlight w:val="none"/>
        </w:rPr>
        <w:t xml:space="preserve">从业人员300人以下的为中小微型企业。其中，从业人员100人及以上的为中型企业；从业人员10人及以上的为小型企业；从业人员10人以下的为微型企业。</w:t>
      </w:r>
      <w:r/>
    </w:p>
    <w:p>
      <w:pPr>
        <w:pageBreakBefore/>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附件12、残疾人福利性单位声明函</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残疾人福利性单位声明函</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Cs w:val="21"/>
          <w:highlight w:val="none"/>
        </w:rPr>
        <w:t xml:space="preserve">〔2017〕141</w:t>
      </w:r>
      <w:r>
        <w:rPr>
          <w:rFonts w:hint="eastAsia" w:ascii="宋体" w:hAnsi="宋体" w:cs="宋体"/>
          <w:color w:val="auto"/>
          <w:spacing w:val="6"/>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本单位对上述声明的真实性负责。如有虚假，将依法承担相应责任。</w:t>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单位名称（盖章）：</w:t>
      </w:r>
      <w:r/>
    </w:p>
    <w:p>
      <w:pPr>
        <w:ind w:firstLine="444"/>
        <w:jc w:val="center"/>
        <w:spacing w:line="360" w:lineRule="auto"/>
        <w:tabs>
          <w:tab w:val="left" w:pos="4860" w:leader="none"/>
        </w:tabs>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                          日  期：</w:t>
      </w:r>
      <w:r/>
    </w:p>
    <w:p>
      <w:pPr>
        <w:ind w:firstLine="412"/>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备注：</w:t>
      </w:r>
      <w:r>
        <w:rPr>
          <w:rFonts w:hint="eastAsia" w:ascii="宋体" w:hAnsi="宋体" w:cs="宋体"/>
          <w:color w:val="auto"/>
          <w:szCs w:val="21"/>
          <w:highlight w:val="none"/>
          <w:lang w:val="zh-CN"/>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bookmarkEnd w:id="53"/>
      <w:r/>
      <w:bookmarkEnd w:id="54"/>
      <w:r/>
      <w:bookmarkEnd w:id="55"/>
      <w:r/>
      <w:bookmarkEnd w:id="56"/>
      <w:r/>
      <w:r/>
    </w:p>
    <w:p>
      <w:pPr>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p>
    <w:p>
      <w:pPr>
        <w:pageBreakBefore/>
        <w:spacing w:line="360" w:lineRule="auto"/>
        <w:rPr>
          <w:rFonts w:ascii="宋体" w:hAnsi="宋体" w:cs="宋体"/>
          <w:b/>
          <w:highlight w:val="none"/>
        </w:rPr>
        <w:outlineLvl w:val="1"/>
      </w:pPr>
      <w:r>
        <w:rPr>
          <w:rFonts w:hint="eastAsia" w:ascii="宋体" w:hAnsi="宋体" w:cs="宋体"/>
          <w:b/>
          <w:szCs w:val="21"/>
          <w:highlight w:val="none"/>
          <w:lang w:val="en-US" w:eastAsia="zh-CN"/>
        </w:rPr>
        <w:t xml:space="preserve">附件13</w:t>
      </w:r>
      <w:r>
        <w:rPr>
          <w:rFonts w:hint="eastAsia" w:ascii="宋体" w:hAnsi="宋体" w:cs="宋体"/>
          <w:b/>
          <w:szCs w:val="21"/>
          <w:highlight w:val="none"/>
        </w:rPr>
        <w:t xml:space="preserve">政府采购合同信用融资政策告知函（该项为通知内容，不需要作为响应文件组成）</w:t>
      </w:r>
      <w:r/>
    </w:p>
    <w:p>
      <w:pPr>
        <w:jc w:val="center"/>
        <w:spacing w:line="360" w:lineRule="auto"/>
        <w:rPr>
          <w:rFonts w:ascii="宋体" w:hAnsi="宋体" w:cs="宋体"/>
          <w:b/>
          <w:sz w:val="28"/>
          <w:szCs w:val="28"/>
          <w:highlight w:val="none"/>
        </w:rPr>
      </w:pPr>
      <w:r>
        <w:rPr>
          <w:rFonts w:ascii="宋体" w:hAnsi="宋体" w:cs="宋体"/>
          <w:b/>
          <w:sz w:val="28"/>
          <w:szCs w:val="28"/>
          <w:highlight w:val="none"/>
        </w:rPr>
      </w:r>
      <w:r/>
    </w:p>
    <w:p>
      <w:pPr>
        <w:jc w:val="center"/>
        <w:spacing w:line="360" w:lineRule="auto"/>
        <w:rPr>
          <w:rFonts w:ascii="宋体" w:hAnsi="宋体" w:cs="宋体"/>
          <w:b/>
          <w:sz w:val="28"/>
          <w:szCs w:val="28"/>
          <w:highlight w:val="none"/>
        </w:rPr>
      </w:pPr>
      <w:r>
        <w:rPr>
          <w:rFonts w:hint="eastAsia" w:ascii="宋体" w:hAnsi="宋体" w:cs="宋体"/>
          <w:b/>
          <w:sz w:val="28"/>
          <w:szCs w:val="28"/>
          <w:highlight w:val="none"/>
        </w:rPr>
        <w:t xml:space="preserve">政府采购合同信用融资政策告知函</w:t>
      </w:r>
      <w:r/>
    </w:p>
    <w:p>
      <w:pPr>
        <w:spacing w:line="360" w:lineRule="auto"/>
        <w:rPr>
          <w:rFonts w:ascii="宋体" w:hAnsi="宋体" w:cs="宋体"/>
          <w:b/>
          <w:szCs w:val="21"/>
          <w:highlight w:val="none"/>
        </w:rPr>
      </w:pPr>
      <w:r>
        <w:rPr>
          <w:rFonts w:hint="eastAsia" w:ascii="宋体" w:hAnsi="宋体" w:cs="宋体"/>
          <w:b/>
          <w:szCs w:val="21"/>
          <w:highlight w:val="none"/>
        </w:rPr>
        <w:t xml:space="preserve">各政府采购供应商：</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欢迎贵公司参加苏州市政府采购活动！</w:t>
      </w:r>
      <w:r/>
    </w:p>
    <w:p>
      <w:pPr>
        <w:pStyle w:val="791"/>
        <w:spacing w:line="360" w:lineRule="auto"/>
        <w:rPr>
          <w:rFonts w:ascii="宋体" w:hAnsi="宋体" w:eastAsia="宋体" w:cs="宋体"/>
          <w:b/>
          <w:bCs/>
          <w:sz w:val="21"/>
          <w:szCs w:val="21"/>
          <w:highlight w:val="none"/>
        </w:rPr>
      </w:pPr>
      <w:r>
        <w:rPr>
          <w:rFonts w:hint="eastAsia" w:ascii="宋体" w:hAnsi="宋体" w:eastAsia="宋体" w:cs="宋体"/>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ind w:firstLine="412"/>
        <w:spacing w:line="360" w:lineRule="auto"/>
        <w:rPr>
          <w:rFonts w:hint="eastAsia" w:ascii="宋体" w:hAnsi="宋体" w:cs="宋体"/>
          <w:color w:val="auto"/>
          <w:szCs w:val="21"/>
          <w:highlight w:val="none"/>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color w:val="auto"/>
          <w:szCs w:val="21"/>
          <w:highlight w:val="none"/>
          <w:lang w:val="zh-CN"/>
        </w:rPr>
      </w:r>
      <w:r/>
    </w:p>
    <w:p>
      <w:pPr>
        <w:pStyle w:val="810"/>
        <w:jc w:val="center"/>
        <w:pageBreakBefore/>
        <w:spacing w:line="360" w:lineRule="auto"/>
        <w:tabs>
          <w:tab w:val="right" w:pos="8302" w:leader="dot"/>
        </w:tabs>
        <w:rPr>
          <w:rStyle w:val="824"/>
          <w:rFonts w:hint="eastAsia" w:ascii="宋体" w:hAnsi="宋体" w:cs="宋体"/>
          <w:color w:val="auto"/>
          <w:sz w:val="32"/>
          <w:szCs w:val="32"/>
          <w:highlight w:val="none"/>
        </w:rPr>
      </w:pPr>
      <w:r>
        <w:rPr>
          <w:rStyle w:val="824"/>
          <w:rFonts w:hint="eastAsia" w:ascii="宋体" w:hAnsi="宋体" w:cs="宋体"/>
          <w:color w:val="auto"/>
          <w:sz w:val="32"/>
          <w:szCs w:val="32"/>
          <w:highlight w:val="none"/>
        </w:rPr>
        <w:t xml:space="preserve">第四章 招标书</w:t>
      </w:r>
      <w:r/>
    </w:p>
    <w:p>
      <w:pPr>
        <w:ind w:firstLine="412"/>
        <w:spacing w:line="360" w:lineRule="auto"/>
        <w:rPr>
          <w:rFonts w:hint="eastAsia" w:ascii="宋体" w:hAnsi="宋体" w:cs="宋体"/>
          <w:color w:val="auto"/>
          <w:highlight w:val="none"/>
          <w:lang w:val="zh-CN"/>
        </w:rPr>
      </w:pPr>
      <w:r/>
      <w:bookmarkStart w:id="57" w:name="XTDLJG_1"/>
      <w:r>
        <w:rPr>
          <w:rFonts w:hint="eastAsia" w:ascii="宋体" w:hAnsi="宋体" w:cs="宋体"/>
          <w:color w:val="auto"/>
          <w:szCs w:val="21"/>
          <w:highlight w:val="none"/>
          <w:lang w:val="zh-CN"/>
        </w:rPr>
        <w:t xml:space="preserve">受</w:t>
      </w:r>
      <w:r>
        <w:rPr>
          <w:rFonts w:hint="eastAsia" w:ascii="宋体" w:hAnsi="宋体" w:cs="宋体"/>
          <w:bCs/>
          <w:color w:val="auto"/>
          <w:szCs w:val="21"/>
          <w:highlight w:val="none"/>
          <w:lang w:eastAsia="zh-CN"/>
        </w:rPr>
        <w:t xml:space="preserve">苏州相城经济技术开发区管理委员会</w:t>
      </w:r>
      <w:r>
        <w:rPr>
          <w:rFonts w:hint="eastAsia" w:ascii="宋体" w:hAnsi="宋体" w:cs="宋体"/>
          <w:color w:val="auto"/>
          <w:szCs w:val="21"/>
          <w:highlight w:val="none"/>
          <w:lang w:val="zh-CN"/>
        </w:rPr>
        <w:t xml:space="preserve">的委托，苏州秉诚工程造价咨询有限公司作为招标代理机构，就其委托的</w:t>
      </w:r>
      <w:r>
        <w:rPr>
          <w:rFonts w:hint="eastAsia" w:ascii="宋体" w:hAnsi="宋体" w:cs="宋体"/>
          <w:color w:val="auto"/>
          <w:highlight w:val="none"/>
          <w:lang w:eastAsia="zh-CN"/>
        </w:rPr>
        <w:t xml:space="preserve">2025年经开区中小学（幼儿园）保安服务</w:t>
      </w:r>
      <w:r>
        <w:rPr>
          <w:rFonts w:hint="eastAsia" w:ascii="宋体" w:hAnsi="宋体" w:cs="宋体"/>
          <w:color w:val="auto"/>
          <w:szCs w:val="21"/>
          <w:highlight w:val="none"/>
          <w:lang w:val="zh-CN"/>
        </w:rPr>
        <w:t xml:space="preserve">的政府采购进行国内公开招标。</w:t>
      </w:r>
      <w:r/>
    </w:p>
    <w:p>
      <w:pPr>
        <w:pStyle w:val="781"/>
        <w:ind w:left="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一、招标编号：</w:t>
      </w:r>
      <w:r>
        <w:rPr>
          <w:rFonts w:hint="eastAsia" w:ascii="宋体" w:hAnsi="宋体" w:cs="宋体"/>
          <w:b w:val="0"/>
          <w:bCs w:val="0"/>
          <w:color w:val="auto"/>
          <w:sz w:val="21"/>
          <w:szCs w:val="21"/>
          <w:highlight w:val="none"/>
          <w:lang w:eastAsia="zh-CN"/>
        </w:rPr>
        <w:t xml:space="preserve">JSZC-320507-SZBC-G2025-0006</w:t>
      </w:r>
      <w:r>
        <w:rPr>
          <w:rFonts w:hint="eastAsia" w:ascii="宋体" w:hAnsi="宋体" w:cs="宋体"/>
          <w:b w:val="0"/>
          <w:bCs w:val="0"/>
          <w:color w:val="auto"/>
          <w:sz w:val="21"/>
          <w:szCs w:val="21"/>
          <w:highlight w:val="none"/>
        </w:rPr>
        <w:t xml:space="preserve">号</w:t>
      </w:r>
      <w:r/>
    </w:p>
    <w:p>
      <w:pPr>
        <w:numPr>
          <w:ilvl w:val="0"/>
          <w:numId w:val="3"/>
        </w:numPr>
        <w:spacing w:line="360" w:lineRule="auto"/>
        <w:rPr>
          <w:rFonts w:hint="eastAsia" w:ascii="宋体" w:hAnsi="宋体" w:cs="宋体"/>
          <w:b/>
          <w:bCs/>
          <w:color w:val="auto"/>
          <w:szCs w:val="21"/>
          <w:highlight w:val="none"/>
        </w:rPr>
      </w:pPr>
      <w:r>
        <w:rPr>
          <w:rFonts w:hint="eastAsia" w:ascii="宋体" w:hAnsi="宋体" w:cs="宋体"/>
          <w:b/>
          <w:color w:val="auto"/>
          <w:highlight w:val="none"/>
        </w:rPr>
        <w:t xml:space="preserve">项目名称及</w:t>
      </w:r>
      <w:r>
        <w:rPr>
          <w:rFonts w:hint="eastAsia" w:ascii="宋体" w:hAnsi="宋体" w:cs="宋体"/>
          <w:b/>
          <w:color w:val="auto"/>
          <w:highlight w:val="none"/>
          <w:lang w:val="zh-CN"/>
        </w:rPr>
        <w:t xml:space="preserve">招标内容</w:t>
      </w:r>
      <w:r>
        <w:rPr>
          <w:rFonts w:hint="eastAsia" w:ascii="宋体" w:hAnsi="宋体" w:cs="宋体"/>
          <w:color w:val="auto"/>
          <w:highlight w:val="none"/>
          <w:lang w:val="zh-CN"/>
        </w:rPr>
        <w:t xml:space="preserve">：</w:t>
      </w:r>
      <w:r>
        <w:rPr>
          <w:rFonts w:hint="eastAsia" w:ascii="宋体" w:hAnsi="宋体" w:cs="宋体"/>
          <w:color w:val="auto"/>
          <w:szCs w:val="21"/>
          <w:highlight w:val="none"/>
          <w:lang w:eastAsia="zh-CN"/>
        </w:rPr>
        <w:t xml:space="preserve">2025年经开区中小学（幼儿园）保安服务</w:t>
      </w:r>
      <w:r/>
    </w:p>
    <w:p>
      <w:pPr>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b/>
          <w:bCs/>
          <w:color w:val="auto"/>
          <w:highlight w:val="none"/>
          <w:lang w:val="zh-CN"/>
        </w:rPr>
        <w:t xml:space="preserve">三、</w:t>
      </w:r>
      <w:r>
        <w:rPr>
          <w:rFonts w:hint="eastAsia" w:ascii="宋体" w:hAnsi="宋体" w:cs="宋体"/>
          <w:b/>
          <w:color w:val="auto"/>
          <w:highlight w:val="none"/>
          <w:lang w:val="zh-CN"/>
        </w:rPr>
        <w:t xml:space="preserve">采购预算（</w:t>
      </w:r>
      <w:r>
        <w:rPr>
          <w:rFonts w:hint="eastAsia" w:ascii="宋体" w:hAnsi="宋体" w:cs="宋体"/>
          <w:b/>
          <w:color w:val="auto"/>
          <w:highlight w:val="none"/>
        </w:rPr>
        <w:t xml:space="preserve">最高限价</w:t>
      </w:r>
      <w:r>
        <w:rPr>
          <w:rFonts w:hint="eastAsia" w:ascii="宋体" w:hAnsi="宋体" w:cs="宋体"/>
          <w:b/>
          <w:color w:val="auto"/>
          <w:highlight w:val="none"/>
          <w:lang w:val="zh-CN"/>
        </w:rPr>
        <w:t xml:space="preserve">）：8201869</w:t>
      </w:r>
      <w:r>
        <w:rPr>
          <w:rFonts w:hint="eastAsia" w:ascii="宋体" w:hAnsi="宋体" w:cs="宋体"/>
          <w:b/>
          <w:color w:val="auto"/>
          <w:highlight w:val="none"/>
          <w:lang w:val="en-US" w:eastAsia="zh-CN"/>
        </w:rPr>
        <w:t xml:space="preserve">元</w:t>
      </w:r>
      <w:r/>
    </w:p>
    <w:p>
      <w:pPr>
        <w:spacing w:line="360" w:lineRule="auto"/>
        <w:rPr>
          <w:rFonts w:hint="eastAsia" w:ascii="宋体" w:hAnsi="宋体" w:cs="宋体"/>
          <w:color w:val="auto"/>
          <w:szCs w:val="21"/>
          <w:highlight w:val="none"/>
          <w:lang w:val="zh-CN"/>
        </w:rPr>
      </w:pPr>
      <w:r>
        <w:rPr>
          <w:rFonts w:hint="eastAsia" w:ascii="宋体" w:hAnsi="宋体" w:cs="宋体"/>
          <w:b/>
          <w:bCs/>
          <w:color w:val="auto"/>
          <w:szCs w:val="21"/>
          <w:highlight w:val="none"/>
          <w:lang w:val="zh-CN"/>
        </w:rPr>
        <w:t xml:space="preserve">四、服务期限：</w:t>
      </w:r>
      <w:r>
        <w:rPr>
          <w:rFonts w:hint="eastAsia" w:ascii="宋体" w:hAnsi="宋体" w:cs="宋体"/>
          <w:color w:val="000000" w:themeColor="text1"/>
          <w:sz w:val="21"/>
          <w:szCs w:val="21"/>
          <w:highlight w:val="none"/>
          <w:lang w:val="en-US" w:eastAsia="zh-CN"/>
          <w14:textFill>
            <w14:solidFill>
              <w14:schemeClr w14:val="tx1"/>
            </w14:solidFill>
          </w14:textFill>
        </w:rPr>
        <w:t xml:space="preserve">12个月</w:t>
      </w:r>
      <w:r>
        <w:rPr>
          <w:rFonts w:hint="eastAsia" w:ascii="宋体" w:hAnsi="宋体" w:cs="宋体"/>
          <w:color w:val="000000" w:themeColor="text1"/>
          <w:sz w:val="21"/>
          <w:szCs w:val="21"/>
          <w:highlight w:val="none"/>
          <w14:textFill>
            <w14:solidFill>
              <w14:schemeClr w14:val="tx1"/>
            </w14:solidFill>
          </w14:textFill>
        </w:rPr>
        <w:t xml:space="preserve">，具体开始时间以采购人要求为准。</w:t>
      </w:r>
      <w:r/>
    </w:p>
    <w:p>
      <w:pPr>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五、采购内容及要求：</w:t>
      </w:r>
      <w:r/>
    </w:p>
    <w:p>
      <w:pPr>
        <w:ind w:firstLine="422"/>
        <w:spacing w:line="360" w:lineRule="auto"/>
        <w:tabs>
          <w:tab w:val="left" w:pos="420" w:leader="none"/>
          <w:tab w:val="left" w:pos="540" w:leader="none"/>
        </w:tabs>
        <w:rPr>
          <w:rFonts w:hint="eastAsia" w:ascii="宋体" w:hAnsi="宋体" w:eastAsia="宋体"/>
          <w:b/>
          <w:sz w:val="21"/>
          <w:szCs w:val="21"/>
          <w:highlight w:val="none"/>
        </w:rPr>
      </w:pPr>
      <w:r/>
      <w:bookmarkStart w:id="58" w:name="OLE_LINK54"/>
      <w:r>
        <w:rPr>
          <w:rFonts w:ascii="宋体" w:hAnsi="宋体" w:eastAsia="宋体"/>
          <w:b/>
          <w:sz w:val="21"/>
          <w:szCs w:val="21"/>
          <w:highlight w:val="none"/>
        </w:rPr>
        <w:t xml:space="preserve">（一）项目概况</w:t>
      </w:r>
      <w:r/>
    </w:p>
    <w:p>
      <w:pPr>
        <w:ind w:firstLine="420"/>
        <w:spacing w:line="360" w:lineRule="auto"/>
        <w:tabs>
          <w:tab w:val="left" w:pos="420" w:leader="none"/>
          <w:tab w:val="left" w:pos="54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本项目旨在为相城经开区中小学（幼儿园）提供专业的安保服务，确保校园的正常运作和安全稳定。学校作为孩子成长教育的重要场所，其安全状况直接影响到学校工作的连续性和社会的和谐稳定。专业的安保服务不仅可以预防和应对各类安全事件，保障工作人员和访客的人身安全，还能有效保护政府资产不受损失。</w:t>
      </w:r>
      <w:r/>
    </w:p>
    <w:p>
      <w:pPr>
        <w:ind w:firstLine="422"/>
        <w:spacing w:line="360" w:lineRule="auto"/>
        <w:tabs>
          <w:tab w:val="left" w:pos="420" w:leader="none"/>
          <w:tab w:val="left" w:pos="54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（二）服务要求</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门卫室全天时刻有保安人员；保安时间：24小时不间断，每2小时按巡更路线进行巡视一次。专人做好监控和周界巡查。礼貌接待来访人员并作好联系和来访人员登记；应急处理；书信、材料收发；执勤、巡视记录；传达室卫生；门前卫生三包。</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全面负责治安，维持秩序，维护稳定，及时发现和消除安全隐患，保证人身和财产的绝对安全，全面负责学生上下学秩序维护管理。来访者入内，保安人员必须先与受访者电话联系，经允许后，填写来访登记单方可入内，严禁外来无关人员进入。其他具体要求按保安工作职责实施。收发各类信件，不遗失。</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3.上岗后及时对各个部位、角落进行彻底、仔细地清场检查，清除各类可疑物品、易燃易爆品和无关人员。周界红外报警系统和视频监控系统应24小时不间断工作。</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4.夜间保安巡更：防盗报警设备布防后，保安人员进入夜间布防区域外的部位巡更，按照规定的时间段和巡更路线、巡更点进行巡更。当接到无线红外报警系统报警指令后，立即赶赴报警点进行查看并处置。遵守规定的巡更时间、巡更线路、巡更点进行巡更。每天检查巡更考勤记录，能处理报警器误报和非误报等情况。确保夜间安全无事故。</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5.夜间保安：保持良好精神状态，不得打瞌睡、玩手机游戏等影响工作的行为。</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6.消防工作要求：熟悉了解各学校内所有消防设施器材，懂得防火、灭火知识，能熟练使用灭火器材扑救火灾，每日检查灭火器材是否完好无损，并做好检查记录，发现情况及时向学校汇报。与学校消防组一起建义务消防队。</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7.消控室管理：监控设施应当24小时正常运行，保证对安全出入口、学校内部重点区域的安全监控，保持完整记录。符合从业资格条件人员负责消防控制室管理与值班，严格执行消防控制室管理有关规定，负责消防安全设施、监控系统、与公安机关联网的紧急报警装置以及道路交通安全设施日常巡查，发现问题及时报修，保证学校消防安全设施包括门卫室配备灭火器等设施设备和交通安全设施运转正常、发挥作用，确保紧急情况下 能够在第一时间向公安机关报送警情。</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8.其它安全保安工作：根据实际情况需要，</w:t>
      </w:r>
      <w:r>
        <w:rPr>
          <w:rFonts w:hint="eastAsia" w:ascii="宋体" w:hAnsi="宋体"/>
          <w:sz w:val="21"/>
          <w:szCs w:val="21"/>
          <w:highlight w:val="none"/>
          <w:lang w:val="en-US" w:eastAsia="zh-CN"/>
        </w:rPr>
        <w:t xml:space="preserve">对校园内反恐防暴等突发应急事件进行处理。</w:t>
      </w:r>
      <w:r>
        <w:rPr>
          <w:rFonts w:hint="eastAsia" w:ascii="宋体" w:hAnsi="宋体" w:eastAsia="宋体"/>
          <w:sz w:val="21"/>
          <w:szCs w:val="21"/>
          <w:highlight w:val="none"/>
        </w:rPr>
        <w:t xml:space="preserve">必要时承担举办临时性活动、接待重要人物等安全保安工作。</w:t>
      </w:r>
      <w:r/>
    </w:p>
    <w:p>
      <w:pPr>
        <w:ind w:firstLine="422"/>
        <w:spacing w:line="360" w:lineRule="auto"/>
        <w:tabs>
          <w:tab w:val="left" w:pos="420" w:leader="none"/>
          <w:tab w:val="left" w:pos="54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（三）人员配置</w:t>
      </w:r>
      <w:r>
        <w:rPr>
          <w:rFonts w:hint="eastAsia" w:ascii="宋体" w:hAnsi="宋体"/>
          <w:b/>
          <w:sz w:val="21"/>
          <w:szCs w:val="21"/>
          <w:highlight w:val="none"/>
          <w:lang w:val="en-US" w:eastAsia="zh-CN"/>
        </w:rPr>
        <w:t xml:space="preserve">数量</w:t>
      </w:r>
      <w:r>
        <w:rPr>
          <w:rFonts w:hint="eastAsia" w:ascii="宋体" w:hAnsi="宋体" w:eastAsia="宋体"/>
          <w:b/>
          <w:sz w:val="21"/>
          <w:szCs w:val="21"/>
          <w:highlight w:val="none"/>
        </w:rPr>
        <w:t xml:space="preserve">要求</w:t>
      </w:r>
      <w:r/>
    </w:p>
    <w:tbl>
      <w:tblPr>
        <w:tblStyle w:val="790"/>
        <w:tblW w:w="9349"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04"/>
        <w:gridCol w:w="1496"/>
        <w:gridCol w:w="1066"/>
        <w:gridCol w:w="1066"/>
        <w:gridCol w:w="1068"/>
        <w:gridCol w:w="1066"/>
        <w:gridCol w:w="1066"/>
        <w:gridCol w:w="1066"/>
        <w:gridCol w:w="1054"/>
      </w:tblGrid>
      <w:tr>
        <w:trPr>
          <w:trHeight w:val="580"/>
        </w:trPr>
        <w:tc>
          <w:tcPr>
            <w:gridSpan w:val="9"/>
            <w:shd w:val="clear" w:color="auto" w:fill="auto"/>
            <w:tcBorders>
              <w:top w:val="none" w:color="000000" w:sz="4" w:space="0"/>
              <w:left w:val="none" w:color="000000" w:sz="4" w:space="0"/>
              <w:bottom w:val="none" w:color="000000" w:sz="4" w:space="0"/>
              <w:right w:val="none" w:color="000000" w:sz="4" w:space="0"/>
            </w:tcBorders>
            <w:tcW w:w="9351" w:type="dxa"/>
            <w:vAlign w:val="center"/>
            <w:textDirection w:val="lrTb"/>
            <w:noWrap/>
          </w:tcPr>
          <w:p>
            <w:pPr>
              <w:jc w:val="center"/>
              <w:keepLines w:val="0"/>
              <w:keepNext w:val="0"/>
              <w:widowControl/>
              <w:rPr>
                <w:rFonts w:ascii="微软雅黑" w:hAnsi="微软雅黑" w:eastAsia="微软雅黑" w:cs="微软雅黑"/>
                <w:i w:val="0"/>
                <w:iCs w:val="0"/>
                <w:color w:val="000000"/>
                <w:sz w:val="24"/>
                <w:szCs w:val="24"/>
                <w:highlight w:val="none"/>
                <w:u w:val="none"/>
              </w:rPr>
              <w:suppressLineNumbers w:val="0"/>
            </w:pPr>
            <w:r>
              <w:rPr>
                <w:rFonts w:hint="eastAsia" w:ascii="微软雅黑" w:hAnsi="微软雅黑" w:eastAsia="微软雅黑" w:cs="微软雅黑"/>
                <w:i w:val="0"/>
                <w:iCs w:val="0"/>
                <w:color w:val="000000"/>
                <w:sz w:val="24"/>
                <w:szCs w:val="24"/>
                <w:highlight w:val="none"/>
                <w:u w:val="none"/>
                <w:lang w:val="en-US" w:eastAsia="zh-CN" w:bidi="ar"/>
              </w:rPr>
              <w:t xml:space="preserve">2025年经开区中小学（幼儿园）保安服务项目</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restart"/>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采购内容</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3204"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日常工作（9个月）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寒暑假（3个月）</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消控岗</w:t>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gridSpan w:val="3"/>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保安岗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保安岗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vMerge w:val="continue"/>
            <w:textDirection w:val="lrTb"/>
            <w:noWrap w:val="false"/>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微软雅黑" w:hAnsi="微软雅黑" w:eastAsia="微软雅黑" w:cs="微软雅黑"/>
                <w:i w:val="0"/>
                <w:iCs w:val="0"/>
                <w:color w:val="000000"/>
                <w:sz w:val="16"/>
                <w:szCs w:val="16"/>
                <w:highlight w:val="none"/>
                <w:u w:val="none"/>
              </w:rPr>
            </w:pPr>
            <w:r>
              <w:rPr>
                <w:rFonts w:hint="eastAsia" w:ascii="微软雅黑" w:hAnsi="微软雅黑" w:eastAsia="微软雅黑" w:cs="微软雅黑"/>
                <w:i w:val="0"/>
                <w:iCs w:val="0"/>
                <w:color w:val="000000"/>
                <w:sz w:val="16"/>
                <w:szCs w:val="16"/>
                <w:highlight w:val="none"/>
                <w:u w:val="none"/>
              </w:rPr>
            </w:r>
            <w:r/>
          </w:p>
        </w:tc>
        <w:tc>
          <w:tcPr>
            <w:shd w:val="clear" w:color="auto" w:fill="auto"/>
            <w:tcBorders>
              <w:top w:val="none" w:color="000000" w:sz="4" w:space="0"/>
              <w:left w:val="single" w:color="000000" w:sz="4" w:space="0"/>
              <w:bottom w:val="none" w:color="000000" w:sz="4" w:space="0"/>
              <w:right w:val="none" w:color="000000" w:sz="4" w:space="0"/>
            </w:tcBorders>
            <w:tcW w:w="106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工作日</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岗位数</w:t>
            </w:r>
            <w:r/>
          </w:p>
        </w:tc>
        <w:tc>
          <w:tcPr>
            <w:shd w:val="clear" w:color="auto" w:fill="auto"/>
            <w:tcBorders>
              <w:top w:val="none" w:color="000000" w:sz="4" w:space="0"/>
              <w:left w:val="single" w:color="000000" w:sz="4" w:space="0"/>
              <w:bottom w:val="none" w:color="000000" w:sz="4" w:space="0"/>
              <w:right w:val="none" w:color="000000" w:sz="4" w:space="0"/>
            </w:tcBorders>
            <w:tcW w:w="106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非工作日</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岗位数</w:t>
            </w:r>
            <w:r/>
          </w:p>
        </w:tc>
        <w:tc>
          <w:tcPr>
            <w:shd w:val="clear" w:color="auto" w:fill="auto"/>
            <w:tcBorders>
              <w:top w:val="none" w:color="000000" w:sz="4" w:space="0"/>
              <w:left w:val="singl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人数</w:t>
            </w:r>
            <w:r/>
          </w:p>
        </w:tc>
        <w:tc>
          <w:tcPr>
            <w:shd w:val="clear" w:color="auto" w:fill="auto"/>
            <w:tcBorders>
              <w:top w:val="none" w:color="000000" w:sz="4" w:space="0"/>
              <w:left w:val="single" w:color="000000" w:sz="4" w:space="0"/>
              <w:bottom w:val="none" w:color="000000" w:sz="4" w:space="0"/>
              <w:right w:val="none" w:color="000000" w:sz="4" w:space="0"/>
            </w:tcBorders>
            <w:tcW w:w="106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岗位数</w:t>
            </w:r>
            <w:r/>
          </w:p>
        </w:tc>
        <w:tc>
          <w:tcPr>
            <w:shd w:val="clear" w:color="auto" w:fill="auto"/>
            <w:tcBorders>
              <w:top w:val="none" w:color="000000" w:sz="4" w:space="0"/>
              <w:left w:val="single" w:color="000000" w:sz="4" w:space="0"/>
              <w:bottom w:val="none" w:color="000000" w:sz="4" w:space="0"/>
              <w:right w:val="none" w:color="000000" w:sz="4" w:space="0"/>
            </w:tcBorders>
            <w:tcW w:w="106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配置人员</w:t>
            </w:r>
            <w:r/>
          </w:p>
        </w:tc>
        <w:tc>
          <w:tcPr>
            <w:shd w:val="clear" w:color="auto" w:fill="auto"/>
            <w:tcBorders>
              <w:top w:val="non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岗位数</w:t>
            </w:r>
            <w:r/>
          </w:p>
        </w:tc>
        <w:tc>
          <w:tcPr>
            <w:shd w:val="clear" w:color="auto" w:fill="auto"/>
            <w:tcBorders>
              <w:top w:val="non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人数</w:t>
            </w:r>
            <w:r/>
          </w:p>
        </w:tc>
      </w:tr>
      <w:tr>
        <w:trPr>
          <w:trHeight w:val="475"/>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w:t>
            </w:r>
            <w:r/>
          </w:p>
        </w:tc>
        <w:tc>
          <w:tcPr>
            <w:shd w:val="clear" w:color="auto" w:fill="auto"/>
            <w:tcBorders>
              <w:top w:val="non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项目经理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136"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 </w:t>
            </w:r>
            <w:r/>
          </w:p>
        </w:tc>
        <w:tc>
          <w:tcPr>
            <w:gridSpan w:val="2"/>
            <w:shd w:val="clear" w:color="auto" w:fill="auto"/>
            <w:tcBorders>
              <w:top w:val="single" w:color="000000" w:sz="4" w:space="0"/>
              <w:left w:val="single" w:color="000000" w:sz="4" w:space="0"/>
              <w:bottom w:val="non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北桥中学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北桥中心小学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北桥小学石桥分校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北桥中心幼儿园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北桥实验幼儿园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苏大第二实验</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（中学）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94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苏大第二实验</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澄阳小学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澄阳幼儿园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采莲幼儿园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澄阳幼儿园分园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390"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康元分园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6</w:t>
            </w:r>
            <w:r/>
          </w:p>
        </w:tc>
      </w:tr>
      <w:tr>
        <w:trPr>
          <w:trHeight w:val="58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14</w:t>
            </w:r>
            <w:r/>
          </w:p>
        </w:tc>
        <w:tc>
          <w:tcPr>
            <w:shd w:val="clear" w:color="auto" w:fill="auto"/>
            <w:tcBorders>
              <w:top w:val="single" w:color="000000" w:sz="4" w:space="0"/>
              <w:left w:val="none" w:color="000000" w:sz="4" w:space="0"/>
              <w:bottom w:val="single" w:color="000000" w:sz="4" w:space="0"/>
              <w:right w:val="none" w:color="000000" w:sz="4" w:space="0"/>
            </w:tcBorders>
            <w:tcW w:w="1485" w:type="dxa"/>
            <w:vAlign w:val="center"/>
            <w:textDirection w:val="lrTb"/>
            <w:noWrap w:val="false"/>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澄星幼儿园</w:t>
            </w:r>
            <w:r>
              <w:rPr>
                <w:rFonts w:hint="eastAsia" w:ascii="微软雅黑" w:hAnsi="微软雅黑" w:eastAsia="微软雅黑" w:cs="微软雅黑"/>
                <w:i w:val="0"/>
                <w:iCs w:val="0"/>
                <w:color w:val="000000"/>
                <w:sz w:val="16"/>
                <w:szCs w:val="16"/>
                <w:highlight w:val="none"/>
                <w:u w:val="none"/>
                <w:lang w:val="en-US" w:eastAsia="zh-CN" w:bidi="ar"/>
              </w:rPr>
              <w:br/>
            </w:r>
            <w:r>
              <w:rPr>
                <w:rFonts w:hint="eastAsia" w:ascii="微软雅黑" w:hAnsi="微软雅黑" w:eastAsia="微软雅黑" w:cs="微软雅黑"/>
                <w:i w:val="0"/>
                <w:iCs w:val="0"/>
                <w:color w:val="000000"/>
                <w:sz w:val="16"/>
                <w:szCs w:val="16"/>
                <w:highlight w:val="none"/>
                <w:u w:val="none"/>
                <w:lang w:val="en-US" w:eastAsia="zh-CN" w:bidi="ar"/>
              </w:rPr>
              <w:t xml:space="preserve">（待交付）</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w:t>
            </w:r>
            <w:r/>
          </w:p>
        </w:tc>
      </w:tr>
      <w:tr>
        <w:trPr>
          <w:trHeight w:val="582"/>
        </w:trPr>
        <w:tc>
          <w:tcPr>
            <w:gridSpan w:val="2"/>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b/>
                <w:bCs/>
                <w:i w:val="0"/>
                <w:iCs w:val="0"/>
                <w:color w:val="000000"/>
                <w:sz w:val="16"/>
                <w:szCs w:val="16"/>
                <w:highlight w:val="none"/>
                <w:u w:val="none"/>
              </w:rPr>
              <w:suppressLineNumbers w:val="0"/>
            </w:pPr>
            <w:r>
              <w:rPr>
                <w:rFonts w:hint="eastAsia" w:ascii="微软雅黑" w:hAnsi="微软雅黑" w:eastAsia="微软雅黑" w:cs="微软雅黑"/>
                <w:b/>
                <w:bCs/>
                <w:i w:val="0"/>
                <w:iCs w:val="0"/>
                <w:color w:val="000000"/>
                <w:sz w:val="16"/>
                <w:szCs w:val="16"/>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98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微软雅黑" w:hAnsi="微软雅黑" w:eastAsia="微软雅黑" w:cs="微软雅黑"/>
                <w:i w:val="0"/>
                <w:iCs w:val="0"/>
                <w:color w:val="000000"/>
                <w:sz w:val="16"/>
                <w:szCs w:val="16"/>
                <w:highlight w:val="none"/>
                <w:u w:val="none"/>
              </w:rPr>
              <w:suppressLineNumbers w:val="0"/>
            </w:pPr>
            <w:r>
              <w:rPr>
                <w:rFonts w:hint="eastAsia" w:ascii="微软雅黑" w:hAnsi="微软雅黑" w:eastAsia="微软雅黑" w:cs="微软雅黑"/>
                <w:i w:val="0"/>
                <w:iCs w:val="0"/>
                <w:color w:val="000000"/>
                <w:sz w:val="16"/>
                <w:szCs w:val="16"/>
                <w:highlight w:val="none"/>
                <w:u w:val="none"/>
                <w:lang w:val="en-US" w:eastAsia="zh-CN" w:bidi="ar"/>
              </w:rPr>
              <w:t xml:space="preserve">24</w:t>
            </w:r>
            <w:r/>
          </w:p>
        </w:tc>
      </w:tr>
    </w:tbl>
    <w:p>
      <w:pPr>
        <w:pStyle w:val="10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注：</w:t>
      </w:r>
      <w:r/>
    </w:p>
    <w:p>
      <w:pPr>
        <w:pStyle w:val="1050"/>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服务人员中</w:t>
      </w:r>
      <w:r>
        <w:rPr>
          <w:rFonts w:hint="eastAsia" w:ascii="宋体" w:hAnsi="宋体" w:eastAsia="宋体" w:cs="宋体"/>
          <w:sz w:val="21"/>
          <w:szCs w:val="21"/>
          <w:highlight w:val="none"/>
          <w:lang w:val="en-US" w:eastAsia="zh-CN"/>
        </w:rPr>
        <w:t xml:space="preserve">每个学校需要配备一名</w:t>
      </w:r>
      <w:r>
        <w:rPr>
          <w:rFonts w:hint="eastAsia" w:ascii="宋体" w:hAnsi="宋体" w:eastAsia="宋体" w:cs="宋体"/>
          <w:sz w:val="21"/>
          <w:szCs w:val="21"/>
          <w:highlight w:val="none"/>
        </w:rPr>
        <w:t xml:space="preserve">保安队长。服务人员需全部持有保安员证书</w:t>
      </w:r>
      <w:r>
        <w:rPr>
          <w:rFonts w:hint="eastAsia" w:ascii="宋体" w:hAnsi="宋体" w:eastAsia="宋体" w:cs="宋体"/>
          <w:sz w:val="21"/>
          <w:szCs w:val="21"/>
          <w:highlight w:val="none"/>
          <w:lang w:eastAsia="zh-CN"/>
        </w:rPr>
        <w:t xml:space="preserve">；</w:t>
      </w:r>
      <w:r/>
    </w:p>
    <w:p>
      <w:pPr>
        <w:pStyle w:val="10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（2）消控管理员需持有保安员证和</w:t>
      </w:r>
      <w:r>
        <w:rPr>
          <w:rFonts w:hint="eastAsia" w:ascii="宋体" w:hAnsi="宋体" w:eastAsia="宋体"/>
          <w:color w:val="auto"/>
          <w:sz w:val="21"/>
          <w:szCs w:val="21"/>
          <w:highlight w:val="none"/>
        </w:rPr>
        <w:t xml:space="preserve">建（构）筑物消防员证书或消防设施操作员证</w:t>
      </w:r>
      <w:r>
        <w:rPr>
          <w:rFonts w:hint="eastAsia" w:ascii="宋体" w:hAnsi="宋体" w:eastAsia="宋体" w:cs="宋体"/>
          <w:sz w:val="21"/>
          <w:szCs w:val="21"/>
          <w:highlight w:val="none"/>
          <w:lang w:val="en-US" w:eastAsia="zh-CN"/>
        </w:rPr>
        <w:t xml:space="preserve">。</w:t>
      </w:r>
      <w:r/>
    </w:p>
    <w:p>
      <w:pPr>
        <w:pStyle w:val="1050"/>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（3）具体上岗人员根据甲方通知按实上岗。</w:t>
      </w:r>
      <w:r/>
    </w:p>
    <w:p>
      <w:pPr>
        <w:pStyle w:val="1050"/>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（4）以上连续上班时间不得超过12小时。</w:t>
      </w:r>
      <w:r/>
    </w:p>
    <w:p>
      <w:pPr>
        <w:pStyle w:val="1050"/>
        <w:ind w:firstLine="562"/>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四</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岗位人员素质要求：</w:t>
      </w:r>
      <w:r/>
    </w:p>
    <w:p>
      <w:pPr>
        <w:pStyle w:val="105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项目经理</w:t>
      </w:r>
      <w:r>
        <w:rPr>
          <w:rFonts w:hint="eastAsia" w:ascii="宋体" w:hAnsi="宋体" w:eastAsia="宋体" w:cs="宋体"/>
          <w:sz w:val="21"/>
          <w:szCs w:val="21"/>
          <w:highlight w:val="none"/>
        </w:rPr>
        <w:t xml:space="preserve">：具有高中及以上学历，年龄45周岁（含）以下（投标文件中须提供身份证复印件，不提供为无效投标），</w:t>
      </w:r>
      <w:r>
        <w:rPr>
          <w:rFonts w:hint="eastAsia" w:ascii="宋体" w:hAnsi="宋体" w:eastAsia="宋体" w:cs="宋体"/>
          <w:sz w:val="21"/>
          <w:szCs w:val="21"/>
          <w:highlight w:val="none"/>
          <w:lang w:val="en-US" w:eastAsia="zh-CN"/>
        </w:rPr>
        <w:t xml:space="preserve">需持有保安员证，</w:t>
      </w:r>
      <w:r>
        <w:rPr>
          <w:rFonts w:hint="eastAsia" w:ascii="宋体" w:hAnsi="宋体" w:eastAsia="宋体" w:cs="宋体"/>
          <w:sz w:val="21"/>
          <w:szCs w:val="21"/>
          <w:highlight w:val="none"/>
        </w:rPr>
        <w:t xml:space="preserve">有较高的政治思想素养和业务水平，有较强的组织协调能力，接受过专门的保安业务培训，至少有</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年及以上队长经验，具备一定的管理经验和处理突发事件能力。需熟悉和掌握相关急救知识，遇到紧急情况能开展救护活动。</w:t>
      </w:r>
      <w:r/>
    </w:p>
    <w:p>
      <w:pPr>
        <w:pStyle w:val="1050"/>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保安人员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含保安队长</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：具有初中及以上学历，年龄50周岁（含）以下，无不良记录（包括不良嗜好及性格上的明显缺陷）；具有保卫、保安工作经验，</w:t>
      </w:r>
      <w:r>
        <w:rPr>
          <w:rFonts w:hint="eastAsia" w:ascii="宋体" w:hAnsi="宋体" w:eastAsia="宋体" w:cs="宋体"/>
          <w:sz w:val="21"/>
          <w:szCs w:val="21"/>
          <w:highlight w:val="none"/>
          <w:lang w:val="en-US" w:eastAsia="zh-CN"/>
        </w:rPr>
        <w:t xml:space="preserve">需持有保安员证，</w:t>
      </w:r>
      <w:r>
        <w:rPr>
          <w:rFonts w:hint="eastAsia" w:ascii="宋体" w:hAnsi="宋体" w:eastAsia="宋体" w:cs="宋体"/>
          <w:sz w:val="21"/>
          <w:szCs w:val="21"/>
          <w:highlight w:val="none"/>
        </w:rPr>
        <w:t xml:space="preserve">普通话标准，有沟通能力；能吃苦耐劳，责任心强。熟知学校的管理规定，严格履行岗位职责，具备处理突发事件能力。至少有一年及以上保安经验。需熟悉和掌握相关急救知识，遇到紧急情况能开展救护活动。</w:t>
      </w:r>
      <w:r/>
    </w:p>
    <w:p>
      <w:pPr>
        <w:pStyle w:val="105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消控</w:t>
      </w:r>
      <w:r>
        <w:rPr>
          <w:rFonts w:hint="eastAsia" w:ascii="宋体" w:hAnsi="宋体" w:eastAsia="宋体" w:cs="宋体"/>
          <w:sz w:val="21"/>
          <w:szCs w:val="21"/>
          <w:highlight w:val="none"/>
        </w:rPr>
        <w:t xml:space="preserve">管理员：</w:t>
      </w:r>
      <w:r>
        <w:rPr>
          <w:rFonts w:hint="eastAsia" w:ascii="宋体" w:hAnsi="宋体" w:eastAsia="宋体" w:cs="宋体"/>
          <w:sz w:val="21"/>
          <w:szCs w:val="21"/>
          <w:highlight w:val="none"/>
          <w:lang w:val="en-US" w:eastAsia="zh-CN"/>
        </w:rPr>
        <w:t xml:space="preserve">50</w:t>
      </w:r>
      <w:r>
        <w:rPr>
          <w:rFonts w:hint="eastAsia" w:ascii="宋体" w:hAnsi="宋体" w:eastAsia="宋体" w:cs="宋体"/>
          <w:sz w:val="21"/>
          <w:szCs w:val="21"/>
          <w:highlight w:val="none"/>
        </w:rPr>
        <w:t xml:space="preserve">周岁以下，</w:t>
      </w:r>
      <w:r>
        <w:rPr>
          <w:rFonts w:hint="eastAsia" w:ascii="宋体" w:hAnsi="宋体" w:eastAsia="宋体" w:cs="宋体"/>
          <w:sz w:val="21"/>
          <w:szCs w:val="21"/>
          <w:highlight w:val="none"/>
          <w:lang w:val="en-US" w:eastAsia="zh-CN"/>
        </w:rPr>
        <w:t xml:space="preserve">高中及以上</w:t>
      </w:r>
      <w:r>
        <w:rPr>
          <w:rFonts w:hint="eastAsia" w:ascii="宋体" w:hAnsi="宋体" w:eastAsia="宋体" w:cs="宋体"/>
          <w:sz w:val="21"/>
          <w:szCs w:val="21"/>
          <w:highlight w:val="none"/>
        </w:rPr>
        <w:t xml:space="preserve">，持有保安员证和</w:t>
      </w:r>
      <w:r>
        <w:rPr>
          <w:rFonts w:hint="eastAsia" w:ascii="宋体" w:hAnsi="宋体" w:eastAsia="宋体"/>
          <w:color w:val="auto"/>
          <w:sz w:val="21"/>
          <w:szCs w:val="21"/>
          <w:highlight w:val="none"/>
        </w:rPr>
        <w:t xml:space="preserve">建（构）筑物消防员证书或消防设施操作员证</w:t>
      </w:r>
      <w:r>
        <w:rPr>
          <w:rFonts w:hint="eastAsia" w:ascii="宋体" w:hAnsi="宋体" w:eastAsia="宋体" w:cs="宋体"/>
          <w:sz w:val="21"/>
          <w:szCs w:val="21"/>
          <w:highlight w:val="none"/>
        </w:rPr>
        <w:t xml:space="preserve">。形象佳，思想觉悟、政治素质高，责任心强，能熟练操作电脑及办公自动化软件，从事相关工作经验不少于</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年。中共党员、退伍军人优先。</w:t>
      </w:r>
      <w:r/>
    </w:p>
    <w:p>
      <w:pPr>
        <w:pStyle w:val="1050"/>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五</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人员工作要求：</w:t>
      </w:r>
      <w:r/>
    </w:p>
    <w:p>
      <w:pPr>
        <w:pStyle w:val="105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秩序维护从业人员应知法，懂法，守法，依法办事，必须严格遵守保安从业规范，模范遵守校园安全管理规定。</w:t>
      </w:r>
      <w:r/>
    </w:p>
    <w:p>
      <w:pPr>
        <w:pStyle w:val="105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上岗前后须经过专业培训，必须持保安证上岗，了解学校整体布局以及保安要求。</w:t>
      </w:r>
      <w:r/>
    </w:p>
    <w:p>
      <w:pPr>
        <w:pStyle w:val="105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坚持工作岗位，礼貌接待，依法办事，文明执勤。</w:t>
      </w:r>
      <w:r/>
    </w:p>
    <w:p>
      <w:pPr>
        <w:pStyle w:val="105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衣冠整洁，统一服装，胸佩工作卡，必须配备通信联络工具（对讲机）。</w:t>
      </w:r>
      <w:r/>
    </w:p>
    <w:p>
      <w:pPr>
        <w:pStyle w:val="105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中标人和委派人员应遵守国家法律法规及采购人的规章制度，违者依法必究。</w:t>
      </w:r>
      <w:r/>
    </w:p>
    <w:p>
      <w:pPr>
        <w:pStyle w:val="105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派驻人员应接受学校指导和管理，若不服从，中标人应在三天工作时间内调换人员。</w:t>
      </w:r>
      <w:r/>
    </w:p>
    <w:p>
      <w:pPr>
        <w:pStyle w:val="105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7</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坚持工作岗位，提高警惕，严防犯罪分子从事破坏活动，保证管辖区内财产、人身安全。</w:t>
      </w:r>
      <w:r/>
    </w:p>
    <w:p>
      <w:pPr>
        <w:pStyle w:val="105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认真做好防火防盗工作，发现不安全因素立即查明原因，尽快排除险情并及时向上级汇报。</w:t>
      </w:r>
      <w:r/>
    </w:p>
    <w:p>
      <w:pPr>
        <w:pStyle w:val="105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lang w:val="en-US" w:eastAsia="zh-CN"/>
        </w:rPr>
        <w:t xml:space="preserve">9</w:t>
      </w:r>
      <w:r>
        <w:rPr>
          <w:rFonts w:hint="eastAsia" w:ascii="宋体" w:hAnsi="宋体" w:eastAsia="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认真做好各类台账记录，严格履行交接班制度。</w:t>
      </w:r>
      <w:r/>
    </w:p>
    <w:p>
      <w:pPr>
        <w:pStyle w:val="1050"/>
        <w:rPr>
          <w:rFonts w:hint="eastAsia" w:ascii="宋体" w:hAnsi="宋体" w:eastAsia="宋体" w:cs="宋体"/>
          <w:sz w:val="21"/>
          <w:szCs w:val="21"/>
          <w:highlight w:val="none"/>
        </w:rPr>
      </w:pP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10</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rPr>
        <w:t xml:space="preserve">中标人要加强对保安业务的管理和个人素质的培训，确保保安在校内无违规事件发生。如有违反，中标人应及时提出处理意见直至人员调换，并接受采购方对中标人的考核。</w:t>
      </w:r>
      <w:r/>
    </w:p>
    <w:p>
      <w:pPr>
        <w:ind w:firstLine="422"/>
        <w:spacing w:line="360" w:lineRule="auto"/>
        <w:tabs>
          <w:tab w:val="left" w:pos="420" w:leader="none"/>
          <w:tab w:val="left" w:pos="540" w:leader="none"/>
        </w:tabs>
        <w:rPr>
          <w:rFonts w:hint="eastAsia" w:ascii="宋体" w:hAnsi="宋体" w:eastAsia="宋体"/>
          <w:b/>
          <w:sz w:val="21"/>
          <w:szCs w:val="21"/>
          <w:highlight w:val="none"/>
        </w:rPr>
      </w:pPr>
      <w:r>
        <w:rPr>
          <w:rFonts w:hint="eastAsia" w:ascii="宋体" w:hAnsi="宋体" w:eastAsia="宋体"/>
          <w:b/>
          <w:sz w:val="21"/>
          <w:szCs w:val="21"/>
          <w:highlight w:val="none"/>
        </w:rPr>
        <w:t xml:space="preserve">（</w:t>
      </w:r>
      <w:r>
        <w:rPr>
          <w:rFonts w:hint="eastAsia" w:ascii="宋体" w:hAnsi="宋体"/>
          <w:b/>
          <w:sz w:val="21"/>
          <w:szCs w:val="21"/>
          <w:highlight w:val="none"/>
          <w:lang w:val="en-US" w:eastAsia="zh-CN"/>
        </w:rPr>
        <w:t xml:space="preserve">六</w:t>
      </w:r>
      <w:r>
        <w:rPr>
          <w:rFonts w:hint="eastAsia" w:ascii="宋体" w:hAnsi="宋体" w:eastAsia="宋体"/>
          <w:b/>
          <w:sz w:val="21"/>
          <w:szCs w:val="21"/>
          <w:highlight w:val="none"/>
        </w:rPr>
        <w:t xml:space="preserve">）人员工作要求：</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1.秩序维护从业人员应知法，懂法，守法，依法办事，必须严格遵守保安从业规范，模范遵守校园安全管理规定。</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2.上岗前后须经过专业培训，必须持保安证上岗，了解学校整体布局以及保安要求。</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3.坚持工作岗位，礼貌接待，依法办事，文明执勤。</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4.衣冠整洁，统一服装，胸佩工作卡，必须配备通信联络工具（对讲机）。</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5.中标人和委派人员应遵守国家法律法规及采购人的规章制度，违者依法必究。</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6.派驻人员应接受学校指导和管理，若不服从，中标人应在三天工作时间内调换人员。</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7.坚持工作岗位，提高警惕，严防犯罪分子从事破坏活动，保证管辖区内财产、人身安全。</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8.认真做好防火防盗工作，发现不安全因素立即查明原因，尽快排除险情并及时向上级汇报。</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9.认真做好各类台账记录，严格履行交接班制度。</w:t>
      </w:r>
      <w:r/>
    </w:p>
    <w:p>
      <w:pPr>
        <w:ind w:firstLine="420"/>
        <w:spacing w:line="360" w:lineRule="auto"/>
        <w:tabs>
          <w:tab w:val="left" w:pos="420" w:leader="none"/>
          <w:tab w:val="left" w:pos="540" w:leader="none"/>
        </w:tabs>
        <w:rPr>
          <w:rFonts w:hint="eastAsia" w:ascii="宋体" w:hAnsi="宋体" w:eastAsia="宋体"/>
          <w:sz w:val="21"/>
          <w:szCs w:val="21"/>
          <w:highlight w:val="none"/>
        </w:rPr>
      </w:pPr>
      <w:r>
        <w:rPr>
          <w:rFonts w:hint="eastAsia" w:ascii="宋体" w:hAnsi="宋体" w:eastAsia="宋体"/>
          <w:sz w:val="21"/>
          <w:szCs w:val="21"/>
          <w:highlight w:val="none"/>
        </w:rPr>
        <w:t xml:space="preserve">10.中标人要加强对保安业务的管理和个人素质的培训，确保保安在校内无违规事件发生。如有违反，中标人应及时提出处理意见直至人员调换，并接受采购方对中标人的考核。</w:t>
      </w:r>
      <w:r/>
    </w:p>
    <w:p>
      <w:pPr>
        <w:contextualSpacing/>
        <w:ind w:firstLine="422"/>
        <w:spacing w:line="360" w:lineRule="auto"/>
        <w:rPr>
          <w:rFonts w:hint="eastAsia" w:ascii="宋体" w:hAnsi="宋体" w:eastAsia="宋体"/>
          <w:b/>
          <w:bCs/>
          <w:sz w:val="21"/>
          <w:szCs w:val="21"/>
          <w:highlight w:val="none"/>
        </w:rPr>
      </w:pPr>
      <w:r>
        <w:rPr>
          <w:rFonts w:hint="eastAsia" w:ascii="宋体" w:hAnsi="宋体" w:eastAsia="宋体"/>
          <w:b/>
          <w:bCs/>
          <w:sz w:val="21"/>
          <w:szCs w:val="21"/>
          <w:highlight w:val="none"/>
        </w:rPr>
        <w:t xml:space="preserve">四、综合说明及要求</w:t>
      </w:r>
      <w:r/>
    </w:p>
    <w:p>
      <w:pPr>
        <w:ind w:firstLine="42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cs="宋体"/>
          <w:sz w:val="21"/>
          <w:szCs w:val="21"/>
          <w:highlight w:val="none"/>
        </w:rPr>
        <w:t xml:space="preserve">投标单位提供的服务能够至少达到以上要求，同时明确详细的服务方案。</w:t>
      </w:r>
      <w:r/>
    </w:p>
    <w:p>
      <w:pPr>
        <w:ind w:firstLine="42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2、投标单位必须承诺文件中提出的全部要求，如果其中某些条款不响应时，应在文件中逐条列出，未列出的视同响应。</w:t>
      </w:r>
      <w:r/>
    </w:p>
    <w:p>
      <w:pPr>
        <w:ind w:firstLine="420"/>
        <w:spacing w:line="360" w:lineRule="auto"/>
        <w:rPr>
          <w:rFonts w:hint="eastAsia" w:ascii="宋体" w:hAnsi="宋体" w:eastAsia="宋体" w:cs="宋体"/>
          <w:sz w:val="21"/>
          <w:szCs w:val="21"/>
          <w:highlight w:val="none"/>
        </w:rPr>
      </w:pPr>
      <w:r>
        <w:rPr>
          <w:rFonts w:ascii="宋体" w:hAnsi="宋体" w:eastAsia="宋体"/>
          <w:sz w:val="21"/>
          <w:szCs w:val="21"/>
          <w:highlight w:val="none"/>
        </w:rPr>
        <w:t xml:space="preserve">3</w:t>
      </w:r>
      <w:r>
        <w:rPr>
          <w:rFonts w:hint="eastAsia" w:ascii="宋体" w:hAnsi="宋体" w:eastAsia="宋体"/>
          <w:sz w:val="21"/>
          <w:szCs w:val="21"/>
          <w:highlight w:val="none"/>
        </w:rPr>
        <w:t xml:space="preserve">、投标单位应对所投项目的全部内容进行报价，只投其中部分内容者，其投标文件将被拒绝。中标单位对服务缺陷不予更正，采购方有权另请其他单位更正，所发生的费用由中标单位承担。</w:t>
      </w:r>
      <w:r/>
    </w:p>
    <w:p>
      <w:pPr>
        <w:ind w:firstLine="420"/>
        <w:spacing w:line="360" w:lineRule="auto"/>
        <w:rPr>
          <w:rFonts w:hint="eastAsia" w:ascii="宋体" w:hAnsi="宋体" w:eastAsia="宋体"/>
          <w:b/>
          <w:bCs/>
          <w:sz w:val="21"/>
          <w:szCs w:val="21"/>
          <w:highlight w:val="none"/>
        </w:rPr>
      </w:pPr>
      <w:r>
        <w:rPr>
          <w:rFonts w:ascii="宋体" w:hAnsi="宋体" w:eastAsia="宋体"/>
          <w:sz w:val="21"/>
          <w:szCs w:val="21"/>
          <w:highlight w:val="none"/>
        </w:rPr>
        <w:t xml:space="preserve">4</w:t>
      </w:r>
      <w:r>
        <w:rPr>
          <w:rFonts w:hint="eastAsia" w:ascii="宋体" w:hAnsi="宋体" w:eastAsia="宋体"/>
          <w:sz w:val="21"/>
          <w:szCs w:val="21"/>
          <w:highlight w:val="none"/>
        </w:rPr>
        <w:t xml:space="preserve">、此次投标报价应综合考量完成本项目服务内容所需的各类人员的工资、加班费、</w:t>
      </w:r>
      <w:r>
        <w:rPr>
          <w:rFonts w:hint="eastAsia" w:ascii="宋体" w:hAnsi="宋体"/>
          <w:sz w:val="21"/>
          <w:szCs w:val="21"/>
          <w:highlight w:val="none"/>
          <w:lang w:eastAsia="zh-CN"/>
        </w:rPr>
        <w:t xml:space="preserve">装备费、福利、安全装备、</w:t>
      </w:r>
      <w:r>
        <w:rPr>
          <w:rFonts w:hint="eastAsia" w:ascii="宋体" w:hAnsi="宋体" w:eastAsia="宋体"/>
          <w:sz w:val="21"/>
          <w:szCs w:val="21"/>
          <w:highlight w:val="none"/>
        </w:rPr>
        <w:t xml:space="preserve">意外险、高温费、节假日补贴以及国家规定的社会保险、管理费、人员培训费、通讯、胸卡、各种税费、保险、劳保、利润、税金、政策性文件规定及合同包含的所有风险、责任等各项应有费用。</w:t>
      </w:r>
      <w:r>
        <w:rPr>
          <w:rFonts w:hint="eastAsia" w:ascii="宋体" w:hAnsi="宋体" w:eastAsia="宋体"/>
          <w:b/>
          <w:bCs/>
          <w:sz w:val="21"/>
          <w:szCs w:val="21"/>
          <w:highlight w:val="none"/>
        </w:rPr>
        <w:t xml:space="preserve">遇到法律法规规定的最低工资调整，其中人工费用相应浮动，由供应商自行承担。</w:t>
      </w:r>
      <w:r/>
    </w:p>
    <w:p>
      <w:pPr>
        <w:ind w:firstLine="420"/>
        <w:spacing w:line="360" w:lineRule="auto"/>
        <w:rPr>
          <w:rFonts w:hint="eastAsia" w:ascii="宋体" w:hAnsi="宋体" w:eastAsia="宋体" w:cs="宋体"/>
          <w:sz w:val="21"/>
          <w:szCs w:val="21"/>
          <w:highlight w:val="none"/>
          <w:lang w:eastAsia="zh-CN"/>
        </w:rPr>
      </w:pPr>
      <w:r>
        <w:rPr>
          <w:rFonts w:ascii="宋体" w:hAnsi="宋体" w:eastAsia="宋体" w:cs="宋体"/>
          <w:sz w:val="21"/>
          <w:szCs w:val="21"/>
          <w:highlight w:val="none"/>
        </w:rPr>
        <w:t xml:space="preserve">5</w:t>
      </w:r>
      <w:r>
        <w:rPr>
          <w:rFonts w:hint="eastAsia" w:ascii="宋体" w:hAnsi="宋体" w:eastAsia="宋体" w:cs="宋体"/>
          <w:sz w:val="21"/>
          <w:szCs w:val="21"/>
          <w:highlight w:val="none"/>
        </w:rPr>
        <w:t xml:space="preserve">、服务期限：</w:t>
      </w:r>
      <w:r>
        <w:rPr>
          <w:rFonts w:hint="eastAsia" w:ascii="宋体" w:hAnsi="宋体" w:cs="宋体"/>
          <w:sz w:val="21"/>
          <w:szCs w:val="21"/>
          <w:highlight w:val="none"/>
          <w:lang w:val="en-US" w:eastAsia="zh-CN"/>
        </w:rPr>
        <w:t xml:space="preserve">12个月，</w:t>
      </w:r>
      <w:r>
        <w:rPr>
          <w:rFonts w:hint="eastAsia" w:ascii="宋体" w:hAnsi="宋体" w:cs="宋体"/>
          <w:color w:val="000000" w:themeColor="text1"/>
          <w:sz w:val="21"/>
          <w:szCs w:val="21"/>
          <w:highlight w:val="none"/>
          <w14:textFill>
            <w14:solidFill>
              <w14:schemeClr w14:val="tx1"/>
            </w14:solidFill>
          </w14:textFill>
        </w:rPr>
        <w:t xml:space="preserve">具体</w:t>
      </w:r>
      <w:r>
        <w:rPr>
          <w:rFonts w:hint="eastAsia" w:ascii="宋体" w:hAnsi="宋体" w:cs="宋体"/>
          <w:color w:val="000000" w:themeColor="text1"/>
          <w:sz w:val="21"/>
          <w:szCs w:val="21"/>
          <w:highlight w:val="none"/>
          <w:lang w:val="en-US" w:eastAsia="zh-CN"/>
          <w14:textFill>
            <w14:solidFill>
              <w14:schemeClr w14:val="tx1"/>
            </w14:solidFill>
          </w14:textFill>
        </w:rPr>
        <w:t xml:space="preserve">开始时间以采购人要求为准</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sz w:val="21"/>
          <w:szCs w:val="21"/>
          <w:highlight w:val="none"/>
        </w:rPr>
      </w:pPr>
      <w:r>
        <w:rPr>
          <w:rFonts w:ascii="宋体" w:hAnsi="宋体" w:eastAsia="宋体" w:cs="宋体"/>
          <w:sz w:val="21"/>
          <w:szCs w:val="21"/>
          <w:highlight w:val="none"/>
        </w:rPr>
        <w:t xml:space="preserve">6</w:t>
      </w:r>
      <w:r>
        <w:rPr>
          <w:rFonts w:hint="eastAsia" w:ascii="宋体" w:hAnsi="宋体" w:eastAsia="宋体" w:cs="宋体"/>
          <w:sz w:val="21"/>
          <w:szCs w:val="21"/>
          <w:highlight w:val="none"/>
        </w:rPr>
        <w:t xml:space="preserve">、服务地点：采购单位指定地点。</w:t>
      </w:r>
      <w:r/>
    </w:p>
    <w:p>
      <w:pPr>
        <w:ind w:firstLine="420"/>
        <w:jc w:val="left"/>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7</w:t>
      </w:r>
      <w:r>
        <w:rPr>
          <w:rFonts w:hint="eastAsia" w:ascii="宋体" w:hAnsi="宋体" w:eastAsia="宋体"/>
          <w:sz w:val="21"/>
          <w:szCs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bookmarkEnd w:id="58"/>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lang w:val="en-US" w:eastAsia="zh-CN"/>
        </w:rPr>
        <w:t xml:space="preserve">六</w:t>
      </w:r>
      <w:r>
        <w:rPr>
          <w:rFonts w:hint="eastAsia" w:ascii="宋体" w:hAnsi="宋体" w:cs="宋体"/>
          <w:b/>
          <w:color w:val="auto"/>
          <w:szCs w:val="21"/>
          <w:highlight w:val="none"/>
        </w:rPr>
        <w:t xml:space="preserve">、政府采购政策（如涉及）</w:t>
      </w:r>
      <w:r/>
    </w:p>
    <w:p>
      <w:pPr>
        <w:ind w:firstLine="416"/>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 xml:space="preserve">1、</w:t>
      </w:r>
      <w:r>
        <w:rPr>
          <w:rFonts w:hint="eastAsia" w:ascii="宋体" w:hAnsi="宋体" w:cs="宋体"/>
          <w:color w:val="auto"/>
          <w:szCs w:val="21"/>
          <w:highlight w:val="none"/>
          <w:shd w:val="clear" w:color="auto" w:fill="ffffff"/>
        </w:rPr>
        <w:t xml:space="preserve">小、微企业</w:t>
      </w:r>
      <w:r/>
    </w:p>
    <w:p>
      <w:pPr>
        <w:ind w:firstLine="412"/>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color w:val="auto"/>
          <w:szCs w:val="21"/>
          <w:highlight w:val="none"/>
        </w:rPr>
        <w:t xml:space="preserve">。</w:t>
      </w:r>
      <w:r>
        <w:rPr>
          <w:rFonts w:hint="eastAsia" w:ascii="宋体" w:hAnsi="宋体" w:cs="宋体"/>
          <w:b/>
          <w:color w:val="auto"/>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12"/>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color w:val="auto"/>
          <w:szCs w:val="21"/>
          <w:highlight w:val="none"/>
        </w:rPr>
        <w:t xml:space="preserve">服务类项目中供应商若使用退休人员，将不享受相关扶持政策。</w:t>
      </w:r>
      <w:r/>
    </w:p>
    <w:p>
      <w:pPr>
        <w:ind w:firstLine="413"/>
        <w:spacing w:line="360" w:lineRule="auto"/>
        <w:tabs>
          <w:tab w:val="left" w:pos="567"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color w:val="auto"/>
          <w:szCs w:val="21"/>
          <w:highlight w:val="none"/>
        </w:rPr>
        <w:t xml:space="preserve">租赁和</w:t>
      </w:r>
      <w:r>
        <w:rPr>
          <w:rFonts w:hint="eastAsia" w:ascii="宋体" w:hAnsi="宋体" w:cs="宋体"/>
          <w:b/>
          <w:bCs/>
          <w:color w:val="auto"/>
          <w:szCs w:val="21"/>
          <w:highlight w:val="none"/>
        </w:rPr>
        <w:t xml:space="preserve">商务服务业。</w:t>
      </w:r>
      <w:r/>
    </w:p>
    <w:p>
      <w:pPr>
        <w:ind w:firstLine="412"/>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2、残疾人福利性单位</w:t>
      </w:r>
      <w:r/>
    </w:p>
    <w:p>
      <w:pPr>
        <w:ind w:firstLine="412"/>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12"/>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3、监狱企业</w:t>
      </w:r>
      <w:r/>
    </w:p>
    <w:p>
      <w:pPr>
        <w:ind w:firstLine="412"/>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12"/>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4、绿色采购</w:t>
      </w:r>
      <w:r/>
    </w:p>
    <w:p>
      <w:pPr>
        <w:ind w:firstLine="412"/>
        <w:spacing w:line="360" w:lineRule="auto"/>
        <w:tabs>
          <w:tab w:val="left" w:pos="567" w:leader="none"/>
        </w:tabs>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1）根据《关于调整优化节能产品、环境标志产品政府采购执行机制的通知》（财库〔2019〕9号）等相关文件的规定，</w:t>
      </w:r>
      <w:r>
        <w:rPr>
          <w:rFonts w:hint="eastAsia" w:ascii="宋体" w:hAnsi="宋体" w:cs="宋体"/>
          <w:b/>
          <w:color w:val="auto"/>
          <w:szCs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cs="宋体"/>
          <w:b/>
          <w:color w:val="auto"/>
          <w:szCs w:val="21"/>
          <w:highlight w:val="none"/>
          <w:lang w:val="en-US" w:eastAsia="zh-CN"/>
        </w:rPr>
        <w:t xml:space="preserve">本项目不涉及强制节能产品。</w:t>
      </w:r>
      <w:r/>
    </w:p>
    <w:p>
      <w:pPr>
        <w:ind w:firstLine="412"/>
        <w:spacing w:line="360" w:lineRule="auto"/>
        <w:tabs>
          <w:tab w:val="left" w:pos="567" w:leader="none"/>
        </w:tabs>
        <w:rPr>
          <w:rFonts w:hint="eastAsia" w:ascii="宋体" w:hAnsi="宋体" w:cs="宋体"/>
          <w:color w:val="auto"/>
          <w:highlight w:val="none"/>
        </w:rPr>
      </w:pPr>
      <w:r>
        <w:rPr>
          <w:rFonts w:hint="eastAsia" w:ascii="宋体" w:hAnsi="宋体" w:cs="宋体"/>
          <w:color w:val="auto"/>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798"/>
        <w:ind w:firstLine="412"/>
        <w:rPr>
          <w:rFonts w:hint="eastAsia" w:ascii="宋体" w:hAnsi="宋体" w:cs="宋体"/>
          <w:color w:val="auto"/>
          <w:sz w:val="21"/>
          <w:highlight w:val="none"/>
        </w:rPr>
      </w:pPr>
      <w:r>
        <w:rPr>
          <w:rFonts w:hint="eastAsia" w:ascii="宋体" w:hAnsi="宋体" w:cs="宋体"/>
          <w:color w:val="auto"/>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bookmarkEnd w:id="57"/>
      <w:r/>
      <w:r/>
    </w:p>
    <w:p>
      <w:pPr>
        <w:ind w:firstLine="412"/>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七</w:t>
      </w:r>
      <w:r>
        <w:rPr>
          <w:rFonts w:hint="eastAsia" w:ascii="宋体" w:hAnsi="宋体" w:cs="宋体"/>
          <w:color w:val="auto"/>
          <w:szCs w:val="21"/>
          <w:highlight w:val="none"/>
        </w:rPr>
        <w:t xml:space="preserve">、凡涉及招标文件的补充说明和修改，均以苏州市政府采购网上发布的通知为准。</w:t>
      </w:r>
      <w:r/>
    </w:p>
    <w:p>
      <w:pPr>
        <w:pStyle w:val="838"/>
        <w:rPr>
          <w:color w:val="auto"/>
          <w:highlight w:val="none"/>
        </w:rPr>
      </w:pPr>
      <w:r>
        <w:rPr>
          <w:color w:val="auto"/>
          <w:highlight w:val="none"/>
        </w:rPr>
      </w:r>
      <w:r/>
    </w:p>
    <w:p>
      <w:pPr>
        <w:rPr>
          <w:color w:val="auto"/>
          <w:highlight w:val="none"/>
        </w:rPr>
      </w:pPr>
      <w:r>
        <w:rPr>
          <w:color w:val="auto"/>
          <w:highlight w:val="none"/>
        </w:rPr>
      </w:r>
      <w:r/>
    </w:p>
    <w:p>
      <w:pPr>
        <w:pStyle w:val="810"/>
        <w:jc w:val="center"/>
        <w:pageBreakBefore/>
        <w:spacing w:line="360" w:lineRule="auto"/>
        <w:tabs>
          <w:tab w:val="right" w:pos="8302" w:leader="dot"/>
        </w:tabs>
        <w:rPr>
          <w:rStyle w:val="824"/>
          <w:rFonts w:hint="eastAsia" w:ascii="宋体" w:hAnsi="宋体" w:cs="宋体"/>
          <w:color w:val="auto"/>
          <w:sz w:val="32"/>
          <w:szCs w:val="32"/>
          <w:highlight w:val="none"/>
        </w:rPr>
      </w:pPr>
      <w:r>
        <w:rPr>
          <w:rStyle w:val="824"/>
          <w:rFonts w:hint="eastAsia" w:ascii="宋体" w:hAnsi="宋体" w:cs="宋体"/>
          <w:color w:val="auto"/>
          <w:sz w:val="32"/>
          <w:szCs w:val="32"/>
          <w:highlight w:val="none"/>
        </w:rPr>
        <w:t xml:space="preserve">第五章  合同文本</w:t>
      </w:r>
      <w:r/>
    </w:p>
    <w:p>
      <w:pPr>
        <w:ind w:firstLine="412"/>
        <w:spacing w:line="360" w:lineRule="auto"/>
        <w:tabs>
          <w:tab w:val="left" w:pos="567" w:leader="none"/>
        </w:tabs>
        <w:rPr>
          <w:rFonts w:hint="eastAsia" w:ascii="宋体" w:hAnsi="宋体" w:cs="宋体"/>
          <w:color w:val="auto"/>
          <w:szCs w:val="21"/>
          <w:highlight w:val="none"/>
        </w:rPr>
      </w:pPr>
      <w:r/>
      <w:bookmarkStart w:id="59" w:name="_Hlk121240775"/>
      <w:r/>
      <w:r/>
    </w:p>
    <w:p>
      <w:pPr>
        <w:ind w:firstLine="412"/>
        <w:spacing w:line="360" w:lineRule="auto"/>
        <w:tabs>
          <w:tab w:val="left" w:pos="567" w:leader="none"/>
        </w:tabs>
        <w:rPr>
          <w:rFonts w:hint="eastAsia" w:ascii="宋体" w:hAnsi="宋体" w:cs="宋体"/>
          <w:color w:val="auto"/>
          <w:szCs w:val="21"/>
          <w:highlight w:val="none"/>
        </w:rPr>
      </w:pPr>
      <w:r>
        <w:rPr>
          <w:rFonts w:hint="eastAsia" w:ascii="宋体" w:hAnsi="宋体" w:cs="宋体"/>
          <w:color w:val="auto"/>
          <w:szCs w:val="21"/>
          <w:highlight w:val="none"/>
        </w:rPr>
      </w:r>
      <w:bookmarkEnd w:id="59"/>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jc w:val="center"/>
        <w:spacing w:line="360" w:lineRule="auto"/>
        <w:rPr>
          <w:rFonts w:ascii="宋体" w:hAnsi="宋体"/>
          <w:b/>
          <w:color w:val="000000" w:themeColor="text1"/>
          <w:highlight w:val="none"/>
          <w14:textFill>
            <w14:solidFill>
              <w14:schemeClr w14:val="tx1"/>
            </w14:solidFill>
          </w14:textFill>
        </w:rPr>
      </w:pPr>
      <w:r>
        <w:rPr>
          <w:rFonts w:ascii="宋体" w:hAnsi="宋体"/>
          <w:b/>
          <w:color w:val="000000" w:themeColor="text1"/>
          <w:highlight w:val="none"/>
          <w14:textFill>
            <w14:solidFill>
              <w14:schemeClr w14:val="tx1"/>
            </w14:solidFill>
          </w14:textFill>
        </w:rPr>
      </w:r>
      <w:r/>
    </w:p>
    <w:p>
      <w:pPr>
        <w:ind w:firstLine="420"/>
        <w:spacing w:line="360" w:lineRule="auto"/>
        <w:rPr>
          <w:rFonts w:hint="eastAsia" w:ascii="宋体" w:hAnsi="宋体" w:eastAsia="宋体"/>
          <w:sz w:val="21"/>
          <w:szCs w:val="21"/>
          <w:highlight w:val="none"/>
          <w:lang w:eastAsia="zh-Hans"/>
        </w:rPr>
      </w:pPr>
      <w:r>
        <w:rPr>
          <w:rFonts w:hint="eastAsia" w:ascii="宋体" w:hAnsi="宋体" w:eastAsia="宋体"/>
          <w:sz w:val="21"/>
          <w:szCs w:val="21"/>
          <w:highlight w:val="none"/>
          <w:lang w:eastAsia="zh-Hans"/>
        </w:rPr>
        <w:t xml:space="preserve">甲方：</w:t>
      </w:r>
      <w:r/>
    </w:p>
    <w:p>
      <w:pPr>
        <w:ind w:firstLine="420"/>
        <w:spacing w:line="360" w:lineRule="auto"/>
        <w:rPr>
          <w:rFonts w:hint="eastAsia" w:ascii="宋体" w:hAnsi="宋体" w:eastAsia="宋体"/>
          <w:sz w:val="21"/>
          <w:szCs w:val="21"/>
          <w:highlight w:val="none"/>
          <w:lang w:eastAsia="zh-Hans"/>
        </w:rPr>
      </w:pPr>
      <w:r>
        <w:rPr>
          <w:rFonts w:hint="eastAsia" w:ascii="宋体" w:hAnsi="宋体" w:eastAsia="宋体"/>
          <w:sz w:val="21"/>
          <w:szCs w:val="21"/>
          <w:highlight w:val="none"/>
          <w:lang w:eastAsia="zh-Hans"/>
        </w:rPr>
        <w:t xml:space="preserve">地址：</w:t>
      </w:r>
      <w:r/>
    </w:p>
    <w:p>
      <w:pPr>
        <w:ind w:firstLine="420"/>
        <w:spacing w:line="360" w:lineRule="auto"/>
        <w:rPr>
          <w:rFonts w:hint="eastAsia" w:ascii="宋体" w:hAnsi="宋体" w:eastAsia="宋体"/>
          <w:sz w:val="21"/>
          <w:szCs w:val="21"/>
          <w:highlight w:val="none"/>
          <w:lang w:eastAsia="zh-Hans"/>
        </w:rPr>
      </w:pPr>
      <w:r>
        <w:rPr>
          <w:rFonts w:hint="eastAsia" w:ascii="宋体" w:hAnsi="宋体" w:eastAsia="宋体"/>
          <w:sz w:val="21"/>
          <w:szCs w:val="21"/>
          <w:highlight w:val="none"/>
          <w:lang w:eastAsia="zh-Hans"/>
        </w:rPr>
        <w:t xml:space="preserve">联系人：</w:t>
      </w:r>
      <w:r/>
    </w:p>
    <w:p>
      <w:pPr>
        <w:ind w:firstLine="420"/>
        <w:spacing w:line="360" w:lineRule="auto"/>
        <w:rPr>
          <w:rFonts w:hint="eastAsia" w:ascii="宋体" w:hAnsi="宋体" w:eastAsia="宋体"/>
          <w:sz w:val="21"/>
          <w:szCs w:val="21"/>
          <w:highlight w:val="none"/>
          <w:lang w:eastAsia="zh-Hans"/>
        </w:rPr>
      </w:pPr>
      <w:r>
        <w:rPr>
          <w:rFonts w:hint="eastAsia" w:ascii="宋体" w:hAnsi="宋体" w:eastAsia="宋体"/>
          <w:sz w:val="21"/>
          <w:szCs w:val="21"/>
          <w:highlight w:val="none"/>
          <w:lang w:eastAsia="zh-Hans"/>
        </w:rPr>
        <w:t xml:space="preserve">电话：</w:t>
      </w:r>
      <w:r/>
    </w:p>
    <w:p>
      <w:pPr>
        <w:ind w:firstLine="420"/>
        <w:spacing w:line="360" w:lineRule="auto"/>
        <w:rPr>
          <w:rFonts w:hint="eastAsia" w:ascii="宋体" w:hAnsi="宋体" w:eastAsia="宋体"/>
          <w:sz w:val="21"/>
          <w:szCs w:val="21"/>
          <w:highlight w:val="none"/>
          <w:lang w:eastAsia="zh-Hans"/>
        </w:rPr>
      </w:pPr>
      <w:r>
        <w:rPr>
          <w:rFonts w:hint="eastAsia" w:ascii="宋体" w:hAnsi="宋体" w:eastAsia="宋体"/>
          <w:sz w:val="21"/>
          <w:szCs w:val="21"/>
          <w:highlight w:val="none"/>
          <w:lang w:eastAsia="zh-Hans"/>
        </w:rPr>
      </w:r>
      <w:r/>
    </w:p>
    <w:p>
      <w:pPr>
        <w:ind w:firstLine="420"/>
        <w:spacing w:line="360" w:lineRule="auto"/>
        <w:rPr>
          <w:rFonts w:hint="eastAsia" w:ascii="宋体" w:hAnsi="宋体" w:eastAsia="宋体"/>
          <w:sz w:val="21"/>
          <w:szCs w:val="21"/>
          <w:highlight w:val="none"/>
          <w:lang w:eastAsia="zh-Hans"/>
        </w:rPr>
      </w:pPr>
      <w:r>
        <w:rPr>
          <w:rFonts w:hint="eastAsia" w:ascii="宋体" w:hAnsi="宋体" w:eastAsia="宋体"/>
          <w:sz w:val="21"/>
          <w:szCs w:val="21"/>
          <w:highlight w:val="none"/>
          <w:lang w:eastAsia="zh-Hans"/>
        </w:rPr>
        <w:t xml:space="preserve">乙方：</w:t>
      </w:r>
      <w:r/>
    </w:p>
    <w:p>
      <w:pPr>
        <w:ind w:firstLine="420"/>
        <w:spacing w:line="360" w:lineRule="auto"/>
        <w:rPr>
          <w:rFonts w:hint="eastAsia" w:ascii="宋体" w:hAnsi="宋体" w:eastAsia="宋体"/>
          <w:sz w:val="21"/>
          <w:szCs w:val="21"/>
          <w:highlight w:val="none"/>
          <w:lang w:eastAsia="zh-Hans"/>
        </w:rPr>
      </w:pPr>
      <w:r>
        <w:rPr>
          <w:rFonts w:hint="eastAsia" w:ascii="宋体" w:hAnsi="宋体" w:eastAsia="宋体"/>
          <w:sz w:val="21"/>
          <w:szCs w:val="21"/>
          <w:highlight w:val="none"/>
          <w:lang w:eastAsia="zh-Hans"/>
        </w:rPr>
        <w:t xml:space="preserve">地址：</w:t>
      </w:r>
      <w:r/>
    </w:p>
    <w:p>
      <w:pPr>
        <w:ind w:firstLine="420"/>
        <w:spacing w:line="360" w:lineRule="auto"/>
        <w:rPr>
          <w:rFonts w:hint="eastAsia" w:ascii="宋体" w:hAnsi="宋体" w:eastAsia="宋体"/>
          <w:sz w:val="21"/>
          <w:szCs w:val="21"/>
          <w:highlight w:val="none"/>
          <w:lang w:eastAsia="zh-Hans"/>
        </w:rPr>
      </w:pPr>
      <w:r>
        <w:rPr>
          <w:rFonts w:hint="eastAsia" w:ascii="宋体" w:hAnsi="宋体" w:eastAsia="宋体"/>
          <w:sz w:val="21"/>
          <w:szCs w:val="21"/>
          <w:highlight w:val="none"/>
          <w:lang w:eastAsia="zh-Hans"/>
        </w:rPr>
        <w:t xml:space="preserve">联系人：</w:t>
      </w:r>
      <w:r/>
    </w:p>
    <w:p>
      <w:pPr>
        <w:ind w:firstLine="420"/>
        <w:spacing w:line="360" w:lineRule="auto"/>
        <w:rPr>
          <w:rFonts w:hint="eastAsia" w:ascii="宋体" w:hAnsi="宋体" w:eastAsia="宋体"/>
          <w:sz w:val="21"/>
          <w:szCs w:val="21"/>
          <w:highlight w:val="none"/>
          <w:lang w:eastAsia="zh-Hans"/>
        </w:rPr>
      </w:pPr>
      <w:r>
        <w:rPr>
          <w:rFonts w:hint="eastAsia" w:ascii="宋体" w:hAnsi="宋体" w:eastAsia="宋体"/>
          <w:sz w:val="21"/>
          <w:szCs w:val="21"/>
          <w:highlight w:val="none"/>
          <w:lang w:eastAsia="zh-Hans"/>
        </w:rPr>
        <w:t xml:space="preserve">电话：</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根据《中华人民共和国民法典》和《</w:t>
      </w:r>
      <w:r>
        <w:rPr>
          <w:rFonts w:ascii="宋体" w:hAnsi="宋体" w:eastAsia="宋体"/>
          <w:sz w:val="21"/>
          <w:szCs w:val="21"/>
          <w:highlight w:val="none"/>
        </w:rPr>
        <w:t xml:space="preserve">中华人民共和国</w:t>
      </w:r>
      <w:r>
        <w:rPr>
          <w:rFonts w:hint="eastAsia" w:ascii="宋体" w:hAnsi="宋体" w:eastAsia="宋体"/>
          <w:sz w:val="21"/>
          <w:szCs w:val="21"/>
          <w:highlight w:val="none"/>
        </w:rPr>
        <w:t xml:space="preserve">政府采购</w:t>
      </w:r>
      <w:r>
        <w:rPr>
          <w:rFonts w:ascii="宋体" w:hAnsi="宋体" w:eastAsia="宋体"/>
          <w:sz w:val="21"/>
          <w:szCs w:val="21"/>
          <w:highlight w:val="none"/>
        </w:rPr>
        <w:t xml:space="preserve">法</w:t>
      </w:r>
      <w:r>
        <w:rPr>
          <w:rFonts w:hint="eastAsia" w:ascii="宋体" w:hAnsi="宋体" w:eastAsia="宋体"/>
          <w:sz w:val="21"/>
          <w:szCs w:val="21"/>
          <w:highlight w:val="none"/>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一、定义</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以下术语有特定的含义：</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服务是指根据合同规定乙方应承担</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rPr>
        <w:t xml:space="preserve">等工作和合同中规定乙方应承担的其它义务。</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合同价款是指根据中标单位的投标文件和合同规定，乙方在正确地履行合同义务后甲方应支付给乙方的价款。</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甲方是指合同中明确规定的实际购买和接受服务的单位。</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乙方是指合同中规定的提供服务的单位。</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二、合同项目及期限</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2.1乙方负责</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rPr>
        <w:t xml:space="preserve">的服务工作。</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2.2服务期限：</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.3</w:t>
      </w:r>
      <w:r>
        <w:rPr>
          <w:rFonts w:hint="eastAsia" w:ascii="宋体" w:hAnsi="宋体" w:eastAsia="宋体"/>
          <w:sz w:val="21"/>
          <w:szCs w:val="21"/>
          <w:highlight w:val="none"/>
        </w:rPr>
        <w:t xml:space="preserve">服务地点：根据甲方指定地点。</w:t>
      </w:r>
      <w:r/>
    </w:p>
    <w:p>
      <w:pPr>
        <w:ind w:firstLine="422"/>
        <w:spacing w:line="360" w:lineRule="auto"/>
        <w:rPr>
          <w:rFonts w:hint="eastAsia" w:ascii="宋体" w:hAnsi="宋体" w:eastAsia="宋体"/>
          <w:sz w:val="21"/>
          <w:szCs w:val="21"/>
          <w:highlight w:val="none"/>
        </w:rPr>
      </w:pPr>
      <w:r>
        <w:rPr>
          <w:rFonts w:hint="eastAsia" w:ascii="宋体" w:hAnsi="宋体" w:eastAsia="宋体"/>
          <w:b/>
          <w:sz w:val="21"/>
          <w:szCs w:val="21"/>
          <w:highlight w:val="none"/>
        </w:rPr>
        <w:t xml:space="preserve">三、合同总价款：</w:t>
      </w:r>
      <w:r>
        <w:rPr>
          <w:rFonts w:hint="eastAsia" w:ascii="宋体" w:hAnsi="宋体" w:eastAsia="宋体"/>
          <w:sz w:val="21"/>
          <w:szCs w:val="21"/>
          <w:highlight w:val="none"/>
        </w:rPr>
        <w:t xml:space="preserve">大写人民币</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rPr>
        <w:t xml:space="preserve">元整，小写￥</w:t>
      </w:r>
      <w:r>
        <w:rPr>
          <w:rFonts w:hint="eastAsia" w:ascii="宋体" w:hAnsi="宋体" w:eastAsia="宋体"/>
          <w:sz w:val="21"/>
          <w:szCs w:val="21"/>
          <w:highlight w:val="none"/>
          <w:u w:val="single"/>
        </w:rPr>
        <w:t xml:space="preserve"> </w:t>
      </w:r>
      <w:r>
        <w:rPr>
          <w:rFonts w:ascii="宋体" w:hAnsi="宋体" w:eastAsia="宋体"/>
          <w:sz w:val="21"/>
          <w:szCs w:val="21"/>
          <w:highlight w:val="none"/>
          <w:u w:val="single"/>
        </w:rPr>
        <w:t xml:space="preserve">                 </w:t>
      </w:r>
      <w:r>
        <w:rPr>
          <w:rFonts w:hint="eastAsia" w:ascii="宋体" w:hAnsi="宋体" w:eastAsia="宋体"/>
          <w:sz w:val="21"/>
          <w:szCs w:val="21"/>
          <w:highlight w:val="none"/>
        </w:rPr>
        <w:t xml:space="preserve">。合同总价款包括在承包期内综合服务的需要的服务管理内容、各类人员的工资、加班费、</w:t>
      </w:r>
      <w:r>
        <w:rPr>
          <w:rFonts w:hint="eastAsia" w:ascii="宋体" w:hAnsi="宋体"/>
          <w:sz w:val="21"/>
          <w:szCs w:val="21"/>
          <w:highlight w:val="none"/>
          <w:lang w:eastAsia="zh-CN"/>
        </w:rPr>
        <w:t xml:space="preserve">装备费、福利、安全装备、</w:t>
      </w:r>
      <w:r>
        <w:rPr>
          <w:rFonts w:hint="eastAsia" w:ascii="宋体" w:hAnsi="宋体" w:eastAsia="宋体"/>
          <w:sz w:val="21"/>
          <w:szCs w:val="21"/>
          <w:highlight w:val="none"/>
        </w:rPr>
        <w:t xml:space="preserve">意外险、高温费、节假日补贴以及国家规定的社会保险、管理费、人员培训费、通讯、胸卡、各种税费、保险、劳保、利润、税金、政策性文件规定及合同包含的所有风险、责任等各项应有费用。</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四、付款方式</w:t>
      </w:r>
      <w:r/>
    </w:p>
    <w:p>
      <w:pPr>
        <w:ind w:firstLine="42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付款步骤：</w:t>
      </w:r>
      <w:r/>
    </w:p>
    <w:p>
      <w:pPr>
        <w:pStyle w:val="798"/>
        <w:ind w:left="0" w:firstLine="420"/>
        <w:jc w:val="left"/>
        <w:spacing w:line="360" w:lineRule="auto"/>
        <w:rPr>
          <w:rFonts w:hint="eastAsia" w:ascii="宋体" w:hAnsi="宋体" w:eastAsia="宋体"/>
          <w:sz w:val="21"/>
          <w:szCs w:val="21"/>
          <w:highlight w:val="none"/>
          <w:lang w:eastAsia="zh-CN"/>
        </w:rPr>
      </w:pPr>
      <w:r>
        <w:rPr>
          <w:rFonts w:hint="eastAsia" w:ascii="宋体" w:hAnsi="宋体" w:eastAsia="宋体" w:cs="宋体"/>
          <w:sz w:val="21"/>
          <w:szCs w:val="21"/>
          <w:highlight w:val="none"/>
        </w:rPr>
        <w:t xml:space="preserve">（1）合同签订后，在签订合同</w:t>
      </w:r>
      <w:r>
        <w:rPr>
          <w:rFonts w:hint="eastAsia" w:ascii="宋体" w:hAnsi="宋体" w:eastAsia="宋体" w:cs="宋体"/>
          <w:sz w:val="21"/>
          <w:szCs w:val="21"/>
          <w:highlight w:val="none"/>
          <w:lang w:val="en-US" w:eastAsia="zh-CN"/>
        </w:rPr>
        <w:t xml:space="preserve">之后，支付</w:t>
      </w:r>
      <w:r>
        <w:rPr>
          <w:rFonts w:hint="eastAsia" w:ascii="宋体" w:hAnsi="宋体" w:cs="宋体"/>
          <w:sz w:val="21"/>
          <w:szCs w:val="21"/>
          <w:highlight w:val="none"/>
          <w:lang w:val="en-US" w:eastAsia="zh-CN"/>
        </w:rPr>
        <w:t xml:space="preserve">合同金额</w:t>
      </w:r>
      <w:r>
        <w:rPr>
          <w:rFonts w:hint="eastAsia" w:ascii="宋体" w:hAnsi="宋体" w:eastAsia="宋体" w:cs="宋体"/>
          <w:sz w:val="21"/>
          <w:szCs w:val="21"/>
          <w:highlight w:val="none"/>
        </w:rPr>
        <w:t xml:space="preserve">10%为预付款</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rPr>
        <w:t xml:space="preserve">剩余部分每月支付。</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支付费用按照当月实际配置人数结合考核情况进行结算</w:t>
      </w:r>
      <w:r>
        <w:rPr>
          <w:rFonts w:hint="eastAsia" w:ascii="宋体" w:hAnsi="宋体" w:cs="宋体"/>
          <w:sz w:val="21"/>
          <w:szCs w:val="21"/>
          <w:highlight w:val="none"/>
          <w:lang w:eastAsia="zh-CN"/>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2</w:t>
      </w:r>
      <w:r>
        <w:rPr>
          <w:rFonts w:hint="eastAsia" w:ascii="宋体" w:hAnsi="宋体" w:eastAsia="宋体"/>
          <w:sz w:val="21"/>
          <w:szCs w:val="21"/>
          <w:highlight w:val="none"/>
        </w:rPr>
        <w:t xml:space="preserve">）合同生效后，在服务期内按月考核，按月根据考核情况支付款项。考核标准详见附件。具体如下：当月得分不满90分，但</w:t>
      </w:r>
      <w:r>
        <w:rPr>
          <w:rFonts w:hint="eastAsia" w:ascii="宋体" w:hAnsi="宋体"/>
          <w:sz w:val="21"/>
          <w:szCs w:val="21"/>
          <w:highlight w:val="none"/>
          <w:lang w:val="en-US" w:eastAsia="zh-CN"/>
        </w:rPr>
        <w:t xml:space="preserve">大于</w:t>
      </w:r>
      <w:r>
        <w:rPr>
          <w:rFonts w:hint="eastAsia" w:ascii="宋体" w:hAnsi="宋体" w:eastAsia="宋体"/>
          <w:sz w:val="21"/>
          <w:szCs w:val="21"/>
          <w:highlight w:val="none"/>
        </w:rPr>
        <w:t xml:space="preserve">80分（含80分）的，除了责令其改正错误，并写出书面整改报告之外，应扣除当月服务费用的2%；当月得分不满80分，但大于70分（含70分）的，除了责令其改正错误，并写出书面整改报告之外，应扣除当月服务费用的5%；当月得分不满70分，但大于60分（含60分）的，除了责令其改正错误，并写出书面整改报告之外，应扣除当月服务费用的8%；连续两个月得分不满80分的，甲方可解除服务合同。</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）在签订合同时，乙方明确表示无需预付款或者主动要求降低预付款比例的，甲方可不适用上述关于预付款的规定。</w:t>
      </w:r>
      <w:r/>
    </w:p>
    <w:p>
      <w:pPr>
        <w:ind w:firstLine="42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w:t>
      </w:r>
      <w:r>
        <w:rPr>
          <w:rFonts w:ascii="宋体" w:hAnsi="宋体" w:eastAsia="宋体"/>
          <w:sz w:val="21"/>
          <w:szCs w:val="21"/>
          <w:highlight w:val="none"/>
        </w:rPr>
        <w:t xml:space="preserve">.</w:t>
      </w:r>
      <w:r>
        <w:rPr>
          <w:rFonts w:hint="eastAsia" w:ascii="宋体" w:hAnsi="宋体" w:eastAsia="宋体"/>
          <w:sz w:val="21"/>
          <w:szCs w:val="21"/>
          <w:highlight w:val="none"/>
        </w:rPr>
        <w:t xml:space="preserve">账户信息</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乙方开户名称：</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开户银行：</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银行账号：</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五、甲、乙双方的责任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1.甲方责任：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w:t>
      </w:r>
      <w:r>
        <w:rPr>
          <w:rFonts w:ascii="宋体" w:hAnsi="宋体" w:eastAsia="宋体"/>
          <w:sz w:val="21"/>
          <w:szCs w:val="21"/>
          <w:highlight w:val="none"/>
        </w:rPr>
        <w:t xml:space="preserve">1</w:t>
      </w:r>
      <w:r>
        <w:rPr>
          <w:rFonts w:hint="eastAsia" w:ascii="宋体" w:hAnsi="宋体" w:eastAsia="宋体"/>
          <w:sz w:val="21"/>
          <w:szCs w:val="21"/>
          <w:highlight w:val="none"/>
        </w:rPr>
        <w:t xml:space="preserve">依本合同约定按期支付合同款项；</w:t>
      </w:r>
      <w:r/>
    </w:p>
    <w:p>
      <w:pPr>
        <w:ind w:firstLine="42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2依本合同约定及时组织验收；</w:t>
      </w:r>
      <w:r/>
    </w:p>
    <w:p>
      <w:pPr>
        <w:ind w:firstLine="42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3协助乙方进行项目的相关协调工作及约定期限内提供相关资料以利于开展项目。</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2.乙方责任：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.1</w:t>
      </w:r>
      <w:r>
        <w:rPr>
          <w:rFonts w:hint="eastAsia" w:ascii="宋体" w:hAnsi="宋体" w:eastAsia="宋体"/>
          <w:sz w:val="21"/>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firstLine="422"/>
        <w:spacing w:line="360" w:lineRule="auto"/>
        <w:rPr>
          <w:rFonts w:hint="eastAsia" w:ascii="宋体" w:hAnsi="宋体" w:eastAsia="宋体"/>
          <w:sz w:val="21"/>
          <w:szCs w:val="21"/>
          <w:highlight w:val="none"/>
        </w:rPr>
      </w:pPr>
      <w:r>
        <w:rPr>
          <w:rFonts w:ascii="宋体" w:hAnsi="宋体" w:eastAsia="宋体"/>
          <w:b/>
          <w:sz w:val="21"/>
          <w:szCs w:val="21"/>
          <w:highlight w:val="none"/>
        </w:rPr>
        <w:t xml:space="preserve">2.2 </w:t>
      </w:r>
      <w:r>
        <w:rPr>
          <w:rFonts w:hint="eastAsia" w:ascii="宋体" w:hAnsi="宋体" w:eastAsia="宋体"/>
          <w:b/>
          <w:sz w:val="21"/>
          <w:szCs w:val="21"/>
          <w:highlight w:val="none"/>
        </w:rPr>
        <w:t xml:space="preserve">乙方在合同签订后一周内提供全部服务人员配置清单及投标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六、违约责任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1.甲方违约责任：</w:t>
      </w:r>
      <w:r/>
    </w:p>
    <w:p>
      <w:pPr>
        <w:ind w:firstLine="42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1.1在合同生效后，甲方</w:t>
      </w:r>
      <w:r>
        <w:rPr>
          <w:rFonts w:hint="eastAsia" w:ascii="宋体" w:hAnsi="宋体" w:eastAsia="宋体"/>
          <w:sz w:val="21"/>
          <w:szCs w:val="21"/>
          <w:highlight w:val="none"/>
        </w:rPr>
        <w:t xml:space="preserve">无故</w:t>
      </w:r>
      <w:r>
        <w:rPr>
          <w:rFonts w:ascii="宋体" w:hAnsi="宋体" w:eastAsia="宋体"/>
          <w:sz w:val="21"/>
          <w:szCs w:val="21"/>
          <w:highlight w:val="none"/>
        </w:rPr>
        <w:t xml:space="preserve">要求解除合同的，应向乙方偿付合同总价款5%的违约金，违约金不足以补偿损失的，乙方有权要求甲方补足。</w:t>
      </w:r>
      <w:r/>
    </w:p>
    <w:p>
      <w:pPr>
        <w:ind w:firstLine="420"/>
        <w:spacing w:line="360" w:lineRule="auto"/>
        <w:rPr>
          <w:rFonts w:hint="eastAsia" w:ascii="宋体" w:hAnsi="宋体" w:eastAsia="宋体"/>
          <w:sz w:val="21"/>
          <w:szCs w:val="21"/>
          <w:highlight w:val="none"/>
        </w:rPr>
      </w:pPr>
      <w:r>
        <w:rPr>
          <w:rFonts w:ascii="宋体" w:hAnsi="宋体" w:eastAsia="宋体"/>
          <w:sz w:val="21"/>
          <w:szCs w:val="21"/>
          <w:highlight w:val="none"/>
        </w:rPr>
        <w:t xml:space="preserve">1.2甲方逾期付款的应按照逾期付款金额的每天万分之四支付逾期付款违约金</w:t>
      </w:r>
      <w:r>
        <w:rPr>
          <w:rFonts w:hint="eastAsia" w:ascii="宋体" w:hAnsi="宋体" w:eastAsia="宋体"/>
          <w:sz w:val="21"/>
          <w:szCs w:val="21"/>
          <w:highlight w:val="none"/>
        </w:rPr>
        <w:t xml:space="preserve">，总额不超总价款的5%</w:t>
      </w:r>
      <w:r>
        <w:rPr>
          <w:rFonts w:ascii="宋体" w:hAnsi="宋体" w:eastAsia="宋体"/>
          <w:sz w:val="21"/>
          <w:szCs w:val="21"/>
          <w:highlight w:val="none"/>
        </w:rPr>
        <w:t xml:space="preserve">。</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2.乙方的违约责任：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.1 </w:t>
      </w:r>
      <w:r>
        <w:rPr>
          <w:rFonts w:hint="eastAsia" w:ascii="宋体" w:hAnsi="宋体" w:eastAsia="宋体"/>
          <w:sz w:val="21"/>
          <w:szCs w:val="21"/>
          <w:highlight w:val="none"/>
        </w:rPr>
        <w:t xml:space="preserve">在合同生效后，乙方无故要求解除合同的，应向甲方偿付合同总价款</w:t>
      </w:r>
      <w:r>
        <w:rPr>
          <w:rFonts w:hint="eastAsia" w:ascii="宋体" w:hAnsi="宋体"/>
          <w:sz w:val="21"/>
          <w:szCs w:val="21"/>
          <w:highlight w:val="none"/>
          <w:lang w:val="en-US" w:eastAsia="zh-CN"/>
        </w:rPr>
        <w:t xml:space="preserve">1</w:t>
      </w:r>
      <w:r>
        <w:rPr>
          <w:rFonts w:hint="eastAsia" w:ascii="宋体" w:hAnsi="宋体" w:eastAsia="宋体"/>
          <w:sz w:val="21"/>
          <w:szCs w:val="21"/>
          <w:highlight w:val="none"/>
        </w:rPr>
        <w:t xml:space="preserve">5%的违约金，违约金不足以补偿损失的，甲方有权要求乙方补足。</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2</w:t>
      </w:r>
      <w:r>
        <w:rPr>
          <w:rFonts w:hint="eastAsia" w:ascii="宋体" w:hAnsi="宋体" w:eastAsia="宋体"/>
          <w:sz w:val="21"/>
          <w:szCs w:val="21"/>
          <w:highlight w:val="none"/>
        </w:rPr>
        <w:t xml:space="preserve">乙方未按合同规定的质量要求提供服务，不能完成合同时，甲方有权解除合同，乙方向甲方偿付合同总价款</w:t>
      </w:r>
      <w:r>
        <w:rPr>
          <w:rFonts w:hint="eastAsia" w:ascii="宋体" w:hAnsi="宋体"/>
          <w:sz w:val="21"/>
          <w:szCs w:val="21"/>
          <w:highlight w:val="none"/>
          <w:lang w:val="en-US" w:eastAsia="zh-CN"/>
        </w:rPr>
        <w:t xml:space="preserve">1</w:t>
      </w:r>
      <w:r>
        <w:rPr>
          <w:rFonts w:hint="eastAsia" w:ascii="宋体" w:hAnsi="宋体" w:eastAsia="宋体"/>
          <w:sz w:val="21"/>
          <w:szCs w:val="21"/>
          <w:highlight w:val="none"/>
        </w:rPr>
        <w:t xml:space="preserve">5%的违约金，违约金不足以补偿损失的甲方有权要求乙方补足。</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3</w:t>
      </w:r>
      <w:r>
        <w:rPr>
          <w:rFonts w:hint="eastAsia" w:ascii="宋体" w:hAnsi="宋体" w:eastAsia="宋体"/>
          <w:sz w:val="21"/>
          <w:szCs w:val="21"/>
          <w:highlight w:val="none"/>
        </w:rPr>
        <w:t xml:space="preserve">乙方必须自己完成合同内容，不得自行分包，否则，甲方有权按乙方不能完成合同处理。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4</w:t>
      </w:r>
      <w:r>
        <w:rPr>
          <w:rFonts w:hint="eastAsia" w:ascii="宋体" w:hAnsi="宋体" w:eastAsia="宋体"/>
          <w:sz w:val="21"/>
          <w:szCs w:val="21"/>
          <w:highlight w:val="none"/>
        </w:rPr>
        <w:t xml:space="preserve">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w:t>
      </w:r>
      <w:r>
        <w:rPr>
          <w:rFonts w:ascii="宋体" w:hAnsi="宋体" w:eastAsia="宋体"/>
          <w:sz w:val="21"/>
          <w:szCs w:val="21"/>
          <w:highlight w:val="none"/>
        </w:rPr>
        <w:t xml:space="preserve">5</w:t>
      </w:r>
      <w:r>
        <w:rPr>
          <w:rFonts w:hint="eastAsia" w:ascii="宋体" w:hAnsi="宋体" w:eastAsia="宋体"/>
          <w:sz w:val="21"/>
          <w:szCs w:val="21"/>
          <w:highlight w:val="none"/>
        </w:rPr>
        <w:t xml:space="preserve">乙方负有对自己员工的安全责任，甲方不承担任何相关责任。</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七、不可抗力</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八、争端的解决 </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2.如果调解不成，双方中的任何一方可向人民法院提起诉讼。诉讼由合同签订地人民法院管辖。 </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3.诉讼费由败诉方负担。</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4.因合同部分履行引发诉讼的，在诉讼期间，除正在进行诉讼的部分外，本合同的其它部分应继续执行。</w:t>
      </w:r>
      <w:r/>
    </w:p>
    <w:p>
      <w:pPr>
        <w:ind w:firstLine="422"/>
        <w:spacing w:line="360" w:lineRule="auto"/>
        <w:rPr>
          <w:rFonts w:hint="eastAsia" w:ascii="宋体" w:hAnsi="宋体" w:eastAsia="宋体"/>
          <w:b/>
          <w:sz w:val="21"/>
          <w:szCs w:val="21"/>
          <w:highlight w:val="none"/>
        </w:rPr>
      </w:pPr>
      <w:r>
        <w:rPr>
          <w:rFonts w:hint="eastAsia" w:ascii="宋体" w:hAnsi="宋体" w:eastAsia="宋体"/>
          <w:b/>
          <w:sz w:val="21"/>
          <w:szCs w:val="21"/>
          <w:highlight w:val="none"/>
        </w:rPr>
        <w:t xml:space="preserve">九、违约终止合同</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1.1 如果乙方未能在合同规定的限期或甲方同意延长的限期内提供部分或全部服务。</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1.2 如果乙方未能履行合同规定的其它任何义务。</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3.如果甲方违约，应承担相应的违约责任。 </w:t>
      </w:r>
      <w:r/>
    </w:p>
    <w:p>
      <w:pPr>
        <w:ind w:firstLine="422"/>
        <w:spacing w:line="360" w:lineRule="auto"/>
        <w:rPr>
          <w:rFonts w:hint="eastAsia" w:ascii="宋体" w:hAnsi="宋体" w:eastAsia="宋体"/>
          <w:sz w:val="21"/>
          <w:szCs w:val="21"/>
          <w:highlight w:val="none"/>
        </w:rPr>
      </w:pPr>
      <w:r>
        <w:rPr>
          <w:rFonts w:hint="eastAsia" w:ascii="宋体" w:hAnsi="宋体" w:eastAsia="宋体"/>
          <w:b/>
          <w:sz w:val="21"/>
          <w:szCs w:val="21"/>
          <w:highlight w:val="none"/>
        </w:rPr>
        <w:t xml:space="preserve">十、破产终止合同：</w:t>
      </w:r>
      <w:r>
        <w:rPr>
          <w:rFonts w:hint="eastAsia" w:ascii="宋体" w:hAnsi="宋体" w:eastAsia="宋体"/>
          <w:sz w:val="21"/>
          <w:szCs w:val="21"/>
          <w:highlight w:val="none"/>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2"/>
        <w:spacing w:line="360" w:lineRule="auto"/>
        <w:rPr>
          <w:rFonts w:hint="eastAsia" w:ascii="宋体" w:hAnsi="宋体" w:eastAsia="宋体"/>
          <w:sz w:val="21"/>
          <w:szCs w:val="21"/>
          <w:highlight w:val="none"/>
        </w:rPr>
      </w:pPr>
      <w:r>
        <w:rPr>
          <w:rFonts w:hint="eastAsia" w:ascii="宋体" w:hAnsi="宋体" w:eastAsia="宋体"/>
          <w:b/>
          <w:sz w:val="21"/>
          <w:szCs w:val="21"/>
          <w:highlight w:val="none"/>
        </w:rPr>
        <w:t xml:space="preserve">十一、政府采购法对政府采购合同变更终止的规定：</w:t>
      </w:r>
      <w:r>
        <w:rPr>
          <w:rFonts w:hint="eastAsia" w:ascii="宋体" w:hAnsi="宋体" w:eastAsia="宋体"/>
          <w:sz w:val="21"/>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spacing w:line="360" w:lineRule="auto"/>
        <w:rPr>
          <w:rFonts w:hint="eastAsia" w:ascii="宋体" w:hAnsi="宋体" w:eastAsia="宋体"/>
          <w:sz w:val="21"/>
          <w:szCs w:val="21"/>
          <w:highlight w:val="none"/>
        </w:rPr>
      </w:pPr>
      <w:r>
        <w:rPr>
          <w:rFonts w:hint="eastAsia" w:ascii="宋体" w:hAnsi="宋体" w:eastAsia="宋体"/>
          <w:b/>
          <w:sz w:val="21"/>
          <w:szCs w:val="21"/>
          <w:highlight w:val="none"/>
        </w:rPr>
        <w:t xml:space="preserve">十二、合同转让和分包：</w:t>
      </w:r>
      <w:r>
        <w:rPr>
          <w:rFonts w:hint="eastAsia" w:ascii="宋体" w:hAnsi="宋体" w:eastAsia="宋体"/>
          <w:sz w:val="21"/>
          <w:szCs w:val="21"/>
          <w:highlight w:val="none"/>
        </w:rPr>
        <w:t xml:space="preserve">本项目不得转让和分包。</w:t>
      </w:r>
      <w:r/>
    </w:p>
    <w:p>
      <w:pPr>
        <w:ind w:firstLine="422"/>
        <w:spacing w:line="360" w:lineRule="auto"/>
        <w:rPr>
          <w:rFonts w:hint="eastAsia" w:ascii="宋体" w:hAnsi="宋体" w:eastAsia="宋体"/>
          <w:sz w:val="21"/>
          <w:szCs w:val="21"/>
          <w:highlight w:val="none"/>
        </w:rPr>
      </w:pPr>
      <w:r>
        <w:rPr>
          <w:rFonts w:hint="eastAsia" w:ascii="宋体" w:hAnsi="宋体" w:eastAsia="宋体"/>
          <w:b/>
          <w:sz w:val="21"/>
          <w:szCs w:val="21"/>
          <w:highlight w:val="none"/>
        </w:rPr>
        <w:t xml:space="preserve">十三、需要补充的合同条款：</w:t>
      </w:r>
      <w:r>
        <w:rPr>
          <w:rFonts w:hint="eastAsia" w:ascii="宋体" w:hAnsi="宋体" w:eastAsia="宋体"/>
          <w:sz w:val="21"/>
          <w:szCs w:val="21"/>
          <w:highlight w:val="none"/>
        </w:rPr>
        <w:t xml:space="preserve">（根据评审过程中或者商务谈判时商定的条款和条件在订立合同时标明）。</w:t>
      </w:r>
      <w:r/>
    </w:p>
    <w:p>
      <w:pPr>
        <w:spacing w:line="360"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 </w:t>
      </w:r>
      <w:r>
        <w:rPr>
          <w:rFonts w:ascii="宋体" w:hAnsi="宋体" w:eastAsia="宋体"/>
          <w:sz w:val="21"/>
          <w:szCs w:val="21"/>
          <w:highlight w:val="none"/>
        </w:rPr>
        <w:t xml:space="preserve">   </w:t>
      </w:r>
      <w:r>
        <w:rPr>
          <w:rFonts w:hint="eastAsia" w:ascii="宋体" w:hAnsi="宋体" w:eastAsia="宋体"/>
          <w:b/>
          <w:sz w:val="21"/>
          <w:szCs w:val="21"/>
          <w:highlight w:val="none"/>
        </w:rPr>
        <w:t xml:space="preserve">十四、合同生效</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1.双方签约人为各自法定代表人或被授权代表。</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2.本合同系指本文件及其附件中的所有部分，招标文件、中标单位的投标文件、中标通知书、中标单位在采购过程中的澄清和承诺等为本合同不可缺少的组成部分。</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3.本合同自甲乙双方签字盖章之日起生效。</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4.本合同壹式</w:t>
      </w:r>
      <w:r>
        <w:rPr>
          <w:rFonts w:hint="eastAsia" w:ascii="宋体" w:hAnsi="宋体" w:eastAsia="宋体"/>
          <w:b/>
          <w:sz w:val="21"/>
          <w:szCs w:val="21"/>
          <w:highlight w:val="none"/>
        </w:rPr>
        <w:t xml:space="preserve">伍</w:t>
      </w:r>
      <w:r>
        <w:rPr>
          <w:rFonts w:hint="eastAsia" w:ascii="宋体" w:hAnsi="宋体" w:eastAsia="宋体"/>
          <w:sz w:val="21"/>
          <w:szCs w:val="21"/>
          <w:highlight w:val="none"/>
        </w:rPr>
        <w:t xml:space="preserve">份，甲乙双方各执</w:t>
      </w:r>
      <w:r>
        <w:rPr>
          <w:rFonts w:hint="eastAsia" w:ascii="宋体" w:hAnsi="宋体" w:eastAsia="宋体"/>
          <w:b/>
          <w:sz w:val="21"/>
          <w:szCs w:val="21"/>
          <w:highlight w:val="none"/>
        </w:rPr>
        <w:t xml:space="preserve">贰</w:t>
      </w:r>
      <w:r>
        <w:rPr>
          <w:rFonts w:hint="eastAsia" w:ascii="宋体" w:hAnsi="宋体" w:eastAsia="宋体"/>
          <w:sz w:val="21"/>
          <w:szCs w:val="21"/>
          <w:highlight w:val="none"/>
        </w:rPr>
        <w:t xml:space="preserve">份，采购代理机构执</w:t>
      </w:r>
      <w:r>
        <w:rPr>
          <w:rFonts w:hint="eastAsia" w:ascii="宋体" w:hAnsi="宋体" w:eastAsia="宋体"/>
          <w:b/>
          <w:sz w:val="21"/>
          <w:szCs w:val="21"/>
          <w:highlight w:val="none"/>
        </w:rPr>
        <w:t xml:space="preserve">壹</w:t>
      </w:r>
      <w:r>
        <w:rPr>
          <w:rFonts w:hint="eastAsia" w:ascii="宋体" w:hAnsi="宋体" w:eastAsia="宋体"/>
          <w:sz w:val="21"/>
          <w:szCs w:val="21"/>
          <w:highlight w:val="none"/>
        </w:rPr>
        <w:t xml:space="preserve">份，各份具有同等法律效力。</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5.本合同应按照中华人民共和国的现行法律进行解释。</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6.合同修改：除甲乙双方签署书面修改、补充协议，并成为本合同不可分割的一部分之外，本合同条件不得有任何变化或修改。 </w:t>
      </w:r>
      <w:r/>
    </w:p>
    <w:p>
      <w:pPr>
        <w:pStyle w:val="822"/>
        <w:ind w:left="520" w:firstLine="0"/>
        <w:spacing w:line="360" w:lineRule="auto"/>
        <w:rPr>
          <w:rFonts w:hint="eastAsia" w:ascii="宋体" w:hAnsi="宋体" w:eastAsia="宋体"/>
          <w:sz w:val="21"/>
          <w:szCs w:val="21"/>
          <w:highlight w:val="none"/>
        </w:rPr>
      </w:pPr>
      <w:r>
        <w:rPr>
          <w:rFonts w:hint="eastAsia" w:ascii="宋体" w:hAnsi="宋体" w:eastAsia="宋体"/>
          <w:sz w:val="21"/>
          <w:szCs w:val="21"/>
          <w:highlight w:val="none"/>
        </w:rPr>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甲方（公章）：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乙方（公章）：</w:t>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法定代表人或授权代表（签字或盖章）：              法定代表人或授权代表（签字或盖章）： </w:t>
      </w:r>
      <w:r/>
    </w:p>
    <w:p>
      <w:pPr>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签约日期：                                  </w:t>
      </w:r>
      <w:r>
        <w:rPr>
          <w:rFonts w:ascii="宋体" w:hAnsi="宋体" w:eastAsia="宋体"/>
          <w:sz w:val="21"/>
          <w:szCs w:val="21"/>
          <w:highlight w:val="none"/>
        </w:rPr>
        <w:t xml:space="preserve">      </w:t>
      </w:r>
      <w:r>
        <w:rPr>
          <w:rFonts w:hint="eastAsia" w:ascii="宋体" w:hAnsi="宋体" w:eastAsia="宋体"/>
          <w:sz w:val="21"/>
          <w:szCs w:val="21"/>
          <w:highlight w:val="none"/>
        </w:rPr>
        <w:t xml:space="preserve">签约日期： </w:t>
      </w:r>
      <w:r>
        <w:rPr>
          <w:rFonts w:hint="eastAsia" w:ascii="宋体" w:hAnsi="宋体" w:eastAsia="宋体"/>
          <w:sz w:val="21"/>
          <w:szCs w:val="21"/>
          <w:highlight w:val="none"/>
        </w:rPr>
      </w:r>
      <w:r/>
    </w:p>
    <w:p>
      <w:pPr>
        <w:spacing w:line="360" w:lineRule="auto"/>
        <w:rPr>
          <w:rFonts w:hint="eastAsia" w:ascii="宋体" w:hAnsi="宋体" w:eastAsia="宋体"/>
          <w:b/>
          <w:bCs/>
          <w:sz w:val="21"/>
          <w:szCs w:val="21"/>
          <w:highlight w:val="none"/>
        </w:rPr>
      </w:pPr>
      <w:r>
        <w:rPr>
          <w:rFonts w:ascii="宋体" w:hAnsi="宋体" w:eastAsia="宋体"/>
          <w:sz w:val="21"/>
          <w:szCs w:val="21"/>
          <w:highlight w:val="none"/>
        </w:rPr>
        <w:br w:type="page" w:clear="all"/>
      </w:r>
      <w:r>
        <w:rPr>
          <w:rFonts w:hint="eastAsia" w:ascii="宋体" w:hAnsi="宋体" w:eastAsia="宋体"/>
          <w:b/>
          <w:bCs/>
          <w:sz w:val="21"/>
          <w:szCs w:val="21"/>
          <w:highlight w:val="none"/>
        </w:rPr>
        <w:t xml:space="preserve">附件：考核标准</w:t>
      </w:r>
      <w:r/>
    </w:p>
    <w:p>
      <w:pPr>
        <w:pStyle w:val="797"/>
        <w:jc w:val="center"/>
        <w:rPr>
          <w:rFonts w:hint="eastAsia"/>
          <w:highlight w:val="none"/>
        </w:rPr>
      </w:pPr>
      <w:r/>
      <w:bookmarkStart w:id="60" w:name="_Toc135313855"/>
      <w:r>
        <w:rPr>
          <w:rFonts w:hint="eastAsia"/>
          <w:highlight w:val="none"/>
        </w:rPr>
        <w:t xml:space="preserve">保安服务管理考核细则</w:t>
      </w:r>
      <w:bookmarkEnd w:id="60"/>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一、考核目的：</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为创建安全优美的工作环境，防止各类事故发生，有效公平地对服务人员进行考核，特制订本规定。</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二、适用范围：</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由服务公司委派在我方执行服务任务的服务人员。</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三、考核方法：</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以抽查和发现相结合的方法进行。学校将指定总务和校办进行每月不少于每周一次的抽查。依据考核细则进行扣分，下达书面扣分通知书，并可附带提供证言、照片、监控记录、刷卡记录等。扣分记录计入考核细则表中。每月总分为100分，直至扣减为零分为止。</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四、考核细则：</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在岗人员未按合同要求配齐，并且未向学校有关部门提出请假同意的，扣除5分/人。</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在岗人员未按要求全套着装，着装不整齐的，扣除2分/起。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报刊分发不及时，已签收的邮件、包裹发生丢失的。扣除2分/起。l</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在岗值班期间不得抽烟，不得睡觉、躺着、玩手机、听耳机、电话聊天等。违者扣除5分/起。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未按照合同要求配足配齐物防设备的，扣除5分/次。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损坏装备、破坏公物者，除照价赔偿外，视情节轻重给予扣除5-10分/次。节严重者，当事人解除聘用。并扣除10-20分/次。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监守自盗者，解除当事人聘用，并按照合同规定追究相关责任。并扣除20-30分/起。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不按时交接班，迟到、早退扣5分/次。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因事因病不能到岗，应事先办理请假手续，安排其他人员顶替，否则以脱岗处理，扣10分/次。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管理好工作环境，保持校门口、传达室及周边整洁卫生；劝止车辆停放校门口，保证校门口交通顺畅。不履行的扣5分/次。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学校上课期间及夜间，应该保证一人按时巡视校园。不按时按线路巡视的扣5-10分/次。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未使用礼貌用语，与师生、访客发生争执、肢体冲突，给学校声誉造成影响的，扣除10-30分/起。后果严重的当事人解除聘用，并承担相关经济与法律责任，扣除20-30分/起。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认真热情接待来访人员，严格履行登记手续，执行通报制度，不通报或不登记致使校外人员进入校内，扣5分/次，造成严重后果的扣20-40分/次。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严格登记进出车辆，审查带物品出门的车辆和人员，违者扣5分/次，造成严重后果的扣20-50分/次。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保安人员应登记迟到、晚归学生姓名、学号，若遇学生强行进出校门，应及时向学校报告，未报告的扣10分/起。因失职造成学生出走，情节严重的30-50分/起。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学校大门开放期间，不得坐在传达室内，必须到室外值勤，发现可疑人员要进行盘问，并阻止无关人员进入校园。未能做到者，扣10分/起。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服从学校在其职责范围内的工作安排，按时保质保量完成任务，如不执行扣10分/次。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保安人员了解必要的110报警常识，抽查发现不懂得使用周界、紧急报警的使用方法的。扣除5分/人次。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不了解学校消防设施器材的，不懂得防火灭火常识的。扣除5分/人次。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值班台帐不全混乱的，字迹潦草的。如不执行扣5分/次。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消防器材每月检查记录台帐缺失的。如不执行扣5分/次。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泄露进驻学校内部事务或其他秘密情况、资料的，视情况扣除20-40分/起。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不执行工作制度，造成经济损失的，扣除5-10分/起。造成严重后果者，当事人解除聘用，并按照合同规定追究相关责任，扣除10-30分/起。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履行工作职责范围以内工作时不听从学校工作安排的，不服从分配、不听从指挥的。扣10分/次。</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值勤时遇到紧急情况 ( 如发生案件、事故等 ) 处置不力、甚至临阵退缩的。并按照合同规定追究相关责任，公司扣除10-40分/起，当值保安人员立即辞退更换，造成不良后果的并依法追究其法律责任。</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没有提前通知校方而更换人员的，扣10分/每起。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工作时间没有督促学校人员进出校门进行刷卡而放行的，检查学生胸卡。扣5分/每起。</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五、处罚办法</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1．当月得分不满90分，但大于80分（含80分）的，除了责令其改正错误，并写出书面整改报告之外。应扣除当月服务费用的2%。</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2．当月得分不满80分，但大于70分（含70分）的，除了责令其改正错误，并写出书面整改报告之外。应扣除当月服务费用的5%。</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3．当月得分不满70分，但大于60分（含60分）的，除了责令其改正错误，并写出书面整改报告之外。应扣除当月服务费用的8%。</w:t>
      </w:r>
      <w:r/>
    </w:p>
    <w:p>
      <w:pPr>
        <w:ind w:firstLine="420"/>
        <w:spacing w:line="360" w:lineRule="auto"/>
        <w:rPr>
          <w:rFonts w:hint="eastAsia" w:ascii="宋体" w:hAnsi="宋体" w:eastAsia="宋体"/>
          <w:sz w:val="21"/>
          <w:highlight w:val="none"/>
        </w:rPr>
      </w:pPr>
      <w:r>
        <w:rPr>
          <w:rFonts w:hint="eastAsia" w:ascii="宋体" w:hAnsi="宋体" w:eastAsia="宋体"/>
          <w:sz w:val="21"/>
          <w:highlight w:val="none"/>
        </w:rPr>
        <w:t xml:space="preserve">4．连续两个月得分不满80分的，采购人可解除服务合同。</w:t>
      </w:r>
      <w:r/>
    </w:p>
    <w:p>
      <w:pPr>
        <w:pStyle w:val="810"/>
        <w:jc w:val="center"/>
        <w:pageBreakBefore/>
        <w:spacing w:line="360" w:lineRule="auto"/>
        <w:tabs>
          <w:tab w:val="right" w:pos="8302" w:leader="dot"/>
        </w:tabs>
        <w:rPr>
          <w:rFonts w:hint="eastAsia" w:ascii="宋体" w:hAnsi="宋体" w:eastAsia="宋体" w:cs="宋体"/>
          <w:b/>
          <w:color w:val="auto"/>
          <w:sz w:val="32"/>
          <w:szCs w:val="32"/>
          <w:highlight w:val="none"/>
        </w:rPr>
      </w:pPr>
      <w:r>
        <w:rPr>
          <w:rStyle w:val="824"/>
          <w:rFonts w:hint="eastAsia" w:ascii="宋体" w:hAnsi="宋体" w:cs="宋体"/>
          <w:color w:val="auto"/>
          <w:sz w:val="32"/>
          <w:szCs w:val="32"/>
          <w:highlight w:val="none"/>
        </w:rPr>
        <w:t xml:space="preserve">第六章  评标办法及评分标准</w:t>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一、评标办法：</w:t>
      </w:r>
      <w:r/>
    </w:p>
    <w:p>
      <w:pPr>
        <w:ind w:firstLine="420"/>
        <w:spacing w:line="360" w:lineRule="auto"/>
        <w:rPr>
          <w:rFonts w:hint="eastAsia" w:hAnsi="宋体" w:eastAsia="宋体"/>
          <w:szCs w:val="24"/>
          <w:highlight w:val="none"/>
        </w:rPr>
      </w:pPr>
      <w:r>
        <w:rPr>
          <w:rFonts w:hint="eastAsia" w:hAnsi="宋体" w:eastAsia="宋体"/>
          <w:szCs w:val="24"/>
          <w:highlight w:val="none"/>
        </w:rPr>
        <w:t xml:space="preserve">（一）成交原则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1．本次招标评标采用综合评分法，即在响应招标文件实质性要求前提下，按照招标文件中规定的评分标准和各项因素进行综合评审后，以评标总得分最高的投标单位作为中标单位。</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2．评标委员会各成员独立对每个进入打分程序的有效投标单位的标书技术和资质部分以打分的形式进行评审和评价。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4．如出现评标总得分最高的投标单位有两个或两个以上的，以实际投标报价较低者优先作为中标单位，如果实际投标报价也相同的，则由评标委员会以抽签方式确定中标单位。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5、评审委员会启动异常低价投标 （响应）审查的情形和具体要求，包括：（一）评审过程中出现下列情形之一的，评审委员会应当启动异常低价投标（响应）审查程序： 1．投标（响应）报价低于采购项目预算 50% 的，即投标（响 应）报价&lt;采购项目预算×50% ； 2．投标（响应）报价低于采购项目最高限价 45% 的，即投 标（响应）报价&lt;采购项目最高限价×45% ； 3．评审委员会认定的供应商报价过低、有可能影响产品质 量或者不能诚</w:t>
      </w:r>
      <w:r>
        <w:rPr>
          <w:rFonts w:hint="eastAsia" w:ascii="宋体" w:hAnsi="宋体" w:eastAsia="宋体" w:cs="宋体"/>
          <w:color w:val="auto"/>
          <w:szCs w:val="21"/>
          <w:highlight w:val="none"/>
          <w:lang w:val="en-US" w:eastAsia="zh-CN"/>
        </w:rPr>
        <w:t xml:space="preserve">信履约的其他情形。（二）启动异常低价投标（响应）审查后，评审委员会应当要求相关供应商在评标现场合理的时间内，提供项目具体成本测算等与报价合理性相关的书面说明及相关证明材料在苏采云系统内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 评审委员会应当将其作为无效投标（响应）处理。审查相关情况应当在评审报告中进行记录。 </w:t>
      </w:r>
      <w:r/>
    </w:p>
    <w:p>
      <w:pPr>
        <w:spacing w:line="360" w:lineRule="auto"/>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 xml:space="preserve">二、评分标准：</w:t>
      </w:r>
      <w:r/>
    </w:p>
    <w:p>
      <w:pPr>
        <w:spacing w:line="360" w:lineRule="auto"/>
        <w:rPr>
          <w:rFonts w:hint="eastAsia" w:ascii="宋体" w:hAnsi="宋体" w:eastAsia="宋体"/>
          <w:b/>
          <w:sz w:val="21"/>
          <w:szCs w:val="21"/>
          <w:highlight w:val="none"/>
        </w:rPr>
      </w:pPr>
      <w:r>
        <w:rPr>
          <w:rFonts w:hint="eastAsia" w:ascii="宋体" w:hAnsi="宋体" w:eastAsia="宋体"/>
          <w:b/>
          <w:bCs/>
          <w:sz w:val="21"/>
          <w:szCs w:val="21"/>
          <w:highlight w:val="none"/>
        </w:rPr>
        <w:t xml:space="preserve">（一）价格分：</w:t>
      </w:r>
      <w:r>
        <w:rPr>
          <w:rFonts w:ascii="宋体" w:hAnsi="宋体" w:eastAsia="宋体"/>
          <w:b/>
          <w:bCs/>
          <w:sz w:val="21"/>
          <w:szCs w:val="21"/>
          <w:highlight w:val="none"/>
        </w:rPr>
        <w:t xml:space="preserve">15</w:t>
      </w:r>
      <w:r>
        <w:rPr>
          <w:rFonts w:hint="eastAsia" w:ascii="宋体" w:hAnsi="宋体" w:eastAsia="宋体"/>
          <w:b/>
          <w:bCs/>
          <w:sz w:val="21"/>
          <w:szCs w:val="21"/>
          <w:highlight w:val="none"/>
        </w:rPr>
        <w:t xml:space="preserve">分</w:t>
      </w:r>
      <w:r/>
    </w:p>
    <w:p>
      <w:pPr>
        <w:ind w:firstLine="420"/>
        <w:spacing w:line="360"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第一步：投标报价低于或等于财政预算价格的，为有效投标报价。超财政预算的投标报价为无效投标报价。</w:t>
      </w:r>
      <w:r/>
    </w:p>
    <w:p>
      <w:pPr>
        <w:ind w:firstLine="420"/>
        <w:spacing w:line="360" w:lineRule="auto"/>
        <w:rPr>
          <w:rFonts w:hint="eastAsia" w:ascii="宋体" w:hAnsi="宋体" w:eastAsia="宋体"/>
          <w:b/>
          <w:sz w:val="21"/>
          <w:szCs w:val="21"/>
          <w:highlight w:val="none"/>
        </w:rPr>
      </w:pPr>
      <w:r>
        <w:rPr>
          <w:rFonts w:hint="eastAsia" w:ascii="宋体" w:hAnsi="宋体" w:eastAsia="宋体"/>
          <w:sz w:val="21"/>
          <w:szCs w:val="21"/>
          <w:highlight w:val="none"/>
        </w:rPr>
        <w:t xml:space="preserve">第二步：在所有有效投标报价中满足招标文件要求，且投标价格最低的投标报价为评标基准价，其他投标人的价格分按照下列公式计算（计算结果四舍五入保留两位小数）。</w:t>
      </w:r>
      <w:r/>
    </w:p>
    <w:p>
      <w:pPr>
        <w:ind w:firstLine="420"/>
        <w:spacing w:line="360" w:lineRule="auto"/>
        <w:rPr>
          <w:rFonts w:hint="eastAsia" w:ascii="宋体" w:hAnsi="宋体" w:eastAsia="宋体"/>
          <w:sz w:val="21"/>
          <w:szCs w:val="21"/>
          <w:highlight w:val="none"/>
        </w:rPr>
      </w:pPr>
      <w:r>
        <w:rPr>
          <w:rFonts w:hint="eastAsia" w:ascii="宋体" w:hAnsi="宋体" w:eastAsia="宋体"/>
          <w:sz w:val="21"/>
          <w:szCs w:val="21"/>
          <w:highlight w:val="none"/>
        </w:rPr>
        <w:t xml:space="preserve">投标报价得分＝（评标基准价/投标报价）×</w:t>
      </w:r>
      <w:r>
        <w:rPr>
          <w:rFonts w:ascii="宋体" w:hAnsi="宋体" w:eastAsia="宋体"/>
          <w:sz w:val="21"/>
          <w:szCs w:val="21"/>
          <w:highlight w:val="none"/>
        </w:rPr>
        <w:t xml:space="preserve">15</w:t>
      </w:r>
      <w:r>
        <w:rPr>
          <w:rFonts w:hint="eastAsia" w:ascii="宋体" w:hAnsi="宋体" w:eastAsia="宋体"/>
          <w:sz w:val="21"/>
          <w:szCs w:val="21"/>
          <w:highlight w:val="none"/>
        </w:rPr>
        <w:t xml:space="preserve">％×100</w:t>
      </w:r>
      <w:r/>
    </w:p>
    <w:p>
      <w:pPr>
        <w:pStyle w:val="791"/>
        <w:ind w:firstLine="0"/>
        <w:jc w:val="righ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spacing w:line="360" w:lineRule="auto"/>
        <w:rPr>
          <w:rFonts w:hint="eastAsia" w:ascii="宋体" w:hAnsi="宋体" w:eastAsia="宋体"/>
          <w:b/>
          <w:color w:val="auto"/>
          <w:sz w:val="21"/>
          <w:szCs w:val="21"/>
          <w:highlight w:val="none"/>
        </w:rPr>
      </w:pPr>
      <w:r>
        <w:rPr>
          <w:rFonts w:hint="eastAsia" w:ascii="宋体" w:hAnsi="宋体" w:eastAsia="宋体"/>
          <w:b/>
          <w:bCs/>
          <w:color w:val="auto"/>
          <w:sz w:val="21"/>
          <w:szCs w:val="21"/>
          <w:highlight w:val="none"/>
        </w:rPr>
        <w:t xml:space="preserve">（</w:t>
      </w:r>
      <w:r>
        <w:rPr>
          <w:rFonts w:hint="eastAsia" w:ascii="宋体" w:hAnsi="宋体" w:eastAsia="宋体"/>
          <w:b/>
          <w:color w:val="auto"/>
          <w:sz w:val="21"/>
          <w:szCs w:val="21"/>
          <w:highlight w:val="none"/>
        </w:rPr>
        <w:t xml:space="preserve">二）技术与商务分（</w:t>
      </w:r>
      <w:r>
        <w:rPr>
          <w:rFonts w:hint="eastAsia" w:ascii="宋体" w:hAnsi="宋体"/>
          <w:b/>
          <w:color w:val="auto"/>
          <w:sz w:val="21"/>
          <w:szCs w:val="21"/>
          <w:highlight w:val="none"/>
          <w:lang w:val="en-US" w:eastAsia="zh-CN"/>
        </w:rPr>
        <w:t xml:space="preserve">85</w:t>
      </w:r>
      <w:r>
        <w:rPr>
          <w:rFonts w:hint="eastAsia" w:ascii="宋体" w:hAnsi="宋体" w:eastAsia="宋体"/>
          <w:b/>
          <w:color w:val="auto"/>
          <w:sz w:val="21"/>
          <w:szCs w:val="21"/>
          <w:highlight w:val="none"/>
        </w:rPr>
        <w:t xml:space="preserve">分）</w:t>
      </w:r>
      <w:r/>
    </w:p>
    <w:p>
      <w:pPr>
        <w:ind w:firstLine="420"/>
        <w:spacing w:line="360" w:lineRule="auto"/>
        <w:rPr>
          <w:rFonts w:hint="eastAsia" w:ascii="宋体" w:hAnsi="宋体" w:eastAsia="宋体"/>
          <w:b/>
          <w:bCs/>
          <w:color w:val="auto"/>
          <w:sz w:val="21"/>
          <w:szCs w:val="21"/>
          <w:highlight w:val="none"/>
        </w:rPr>
      </w:pPr>
      <w:r>
        <w:rPr>
          <w:rFonts w:hint="eastAsia" w:ascii="宋体" w:hAnsi="宋体" w:eastAsia="宋体"/>
          <w:b/>
          <w:bCs/>
          <w:color w:val="auto"/>
          <w:sz w:val="21"/>
          <w:szCs w:val="21"/>
          <w:highlight w:val="none"/>
        </w:rPr>
        <w:t xml:space="preserve">1.服务技术方案（</w:t>
      </w:r>
      <w:r>
        <w:rPr>
          <w:rFonts w:hint="eastAsia" w:ascii="宋体" w:hAnsi="宋体" w:eastAsia="宋体"/>
          <w:b/>
          <w:bCs/>
          <w:color w:val="auto"/>
          <w:sz w:val="21"/>
          <w:szCs w:val="21"/>
          <w:highlight w:val="none"/>
          <w:lang w:val="en-US" w:eastAsia="zh-CN"/>
        </w:rPr>
        <w:t xml:space="preserve">5</w:t>
      </w:r>
      <w:r>
        <w:rPr>
          <w:rFonts w:hint="eastAsia" w:ascii="宋体" w:hAnsi="宋体"/>
          <w:b/>
          <w:bCs/>
          <w:color w:val="auto"/>
          <w:sz w:val="21"/>
          <w:szCs w:val="21"/>
          <w:highlight w:val="none"/>
          <w:lang w:val="en-US" w:eastAsia="zh-CN"/>
        </w:rPr>
        <w:t xml:space="preserve">6</w:t>
      </w:r>
      <w:r>
        <w:rPr>
          <w:rFonts w:hint="eastAsia" w:ascii="宋体" w:hAnsi="宋体" w:eastAsia="宋体"/>
          <w:b/>
          <w:bCs/>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（1）针对本项目的整体服务方案：（</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ind w:left="0" w:firstLine="420"/>
        <w:spacing w:line="360" w:lineRule="auto"/>
        <w:rPr>
          <w:rFonts w:ascii="宋体" w:hAnsi="宋体" w:cs="Times New Roman"/>
          <w:bCs/>
          <w:sz w:val="21"/>
          <w:szCs w:val="21"/>
          <w:highlight w:val="none"/>
        </w:rPr>
      </w:pPr>
      <w:r>
        <w:rPr>
          <w:rFonts w:hint="eastAsia" w:ascii="宋体" w:hAnsi="宋体" w:cs="Times New Roman"/>
          <w:bCs/>
          <w:sz w:val="21"/>
          <w:szCs w:val="21"/>
          <w:highlight w:val="none"/>
        </w:rPr>
        <w:t xml:space="preserve">由评标委员会对投标人提供的安保服务总体方案的总体模式、配套措施、运作设计进行评审。</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整体服务方案完整，措施有效扎实，管理责任清晰得</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整体服务方案完整性、措施有效性、管理责任清晰度一般得</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整体服务方案完整性、措施有效性、管理责任清晰度差得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未提供不得分。</w:t>
      </w:r>
      <w:r/>
    </w:p>
    <w:p>
      <w:pPr>
        <w:numPr>
          <w:ilvl w:val="0"/>
          <w:numId w:val="4"/>
        </w:numPr>
        <w:ind w:firstLine="42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服务重难点分析及解决措施方案：（8</w:t>
      </w:r>
      <w:r>
        <w:rPr>
          <w:rFonts w:hint="eastAsia" w:ascii="宋体" w:hAnsi="宋体" w:eastAsia="宋体"/>
          <w:color w:val="auto"/>
          <w:sz w:val="21"/>
          <w:szCs w:val="21"/>
          <w:highlight w:val="none"/>
        </w:rPr>
        <w:t xml:space="preserve">分</w:t>
      </w:r>
      <w:r>
        <w:rPr>
          <w:rFonts w:hint="eastAsia" w:ascii="宋体" w:hAnsi="宋体"/>
          <w:color w:val="auto"/>
          <w:sz w:val="21"/>
          <w:szCs w:val="21"/>
          <w:highlight w:val="none"/>
          <w:lang w:val="en-US" w:eastAsia="zh-CN"/>
        </w:rPr>
        <w:t xml:space="preserve">）</w:t>
      </w:r>
      <w:r/>
    </w:p>
    <w:p>
      <w:pPr>
        <w:pStyle w:val="834"/>
        <w:ind w:left="0" w:firstLine="420"/>
        <w:spacing w:line="360" w:lineRule="auto"/>
        <w:rPr>
          <w:rFonts w:ascii="宋体" w:hAnsi="宋体"/>
          <w:bCs/>
          <w:sz w:val="21"/>
          <w:szCs w:val="21"/>
          <w:highlight w:val="none"/>
          <w:lang w:val="en-US"/>
        </w:rPr>
      </w:pPr>
      <w:r>
        <w:rPr>
          <w:rFonts w:hint="eastAsia" w:ascii="宋体" w:hAnsi="宋体"/>
          <w:bCs/>
          <w:sz w:val="21"/>
          <w:szCs w:val="21"/>
          <w:highlight w:val="none"/>
          <w:lang w:val="en-US" w:eastAsia="zh-Hans"/>
        </w:rPr>
        <w:t xml:space="preserve">针对校园的</w:t>
      </w:r>
      <w:r>
        <w:rPr>
          <w:rFonts w:hint="eastAsia" w:ascii="宋体" w:hAnsi="宋体"/>
          <w:bCs/>
          <w:sz w:val="21"/>
          <w:szCs w:val="21"/>
          <w:highlight w:val="none"/>
          <w:lang w:val="en-US"/>
        </w:rPr>
        <w:t xml:space="preserve">服</w:t>
      </w:r>
      <w:r>
        <w:rPr>
          <w:rFonts w:hint="eastAsia" w:ascii="宋体" w:hAnsi="宋体"/>
          <w:bCs/>
          <w:sz w:val="21"/>
          <w:szCs w:val="21"/>
          <w:highlight w:val="none"/>
        </w:rPr>
        <w:t xml:space="preserve">务重点难点分析及解决措施比较：由评标委员会根据服务方案的合理性、完善性、规范性、清晰性、可操作性进行评审。</w:t>
      </w:r>
      <w:r/>
    </w:p>
    <w:p>
      <w:pPr>
        <w:ind w:firstLine="42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服务重、难点分析及解决措施</w:t>
      </w:r>
      <w:r>
        <w:rPr>
          <w:rFonts w:hint="eastAsia" w:ascii="宋体" w:hAnsi="宋体" w:eastAsia="宋体"/>
          <w:color w:val="auto"/>
          <w:sz w:val="21"/>
          <w:szCs w:val="21"/>
          <w:highlight w:val="none"/>
        </w:rPr>
        <w:t xml:space="preserve">方案完整，措施有效扎实，管理责任清晰得</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lang w:val="en-US" w:eastAsia="zh-CN"/>
        </w:rPr>
        <w:t xml:space="preserve">服务重、难点分析及解决措施</w:t>
      </w:r>
      <w:r>
        <w:rPr>
          <w:rFonts w:hint="eastAsia" w:ascii="宋体" w:hAnsi="宋体" w:eastAsia="宋体"/>
          <w:color w:val="auto"/>
          <w:sz w:val="21"/>
          <w:szCs w:val="21"/>
          <w:highlight w:val="none"/>
        </w:rPr>
        <w:t xml:space="preserve">方案完整性、措施有效性、管理责任清晰度一般得</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服务重、难点分析及解决措施</w:t>
      </w:r>
      <w:r>
        <w:rPr>
          <w:rFonts w:hint="eastAsia" w:ascii="宋体" w:hAnsi="宋体" w:eastAsia="宋体"/>
          <w:color w:val="auto"/>
          <w:sz w:val="21"/>
          <w:szCs w:val="21"/>
          <w:highlight w:val="none"/>
        </w:rPr>
        <w:t xml:space="preserve">方案完整性、措施有效性、管理责任清晰度差得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p>
    <w:p>
      <w:pPr>
        <w:ind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未提供不得分。</w:t>
      </w:r>
      <w:r/>
    </w:p>
    <w:p>
      <w:pPr>
        <w:numPr>
          <w:ilvl w:val="0"/>
          <w:numId w:val="0"/>
        </w:numPr>
        <w:ind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w:t>
      </w:r>
      <w:r>
        <w:rPr>
          <w:rFonts w:hint="eastAsia" w:ascii="宋体" w:hAnsi="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）日常服务标准及措施方案：</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pStyle w:val="834"/>
        <w:ind w:left="0" w:firstLine="420"/>
        <w:spacing w:line="360" w:lineRule="auto"/>
        <w:rPr>
          <w:rFonts w:ascii="宋体" w:hAnsi="宋体"/>
          <w:bCs/>
          <w:sz w:val="21"/>
          <w:szCs w:val="21"/>
          <w:highlight w:val="none"/>
        </w:rPr>
      </w:pPr>
      <w:r>
        <w:rPr>
          <w:rFonts w:hint="eastAsia" w:ascii="宋体" w:hAnsi="宋体"/>
          <w:bCs/>
          <w:sz w:val="21"/>
          <w:szCs w:val="21"/>
          <w:highlight w:val="none"/>
        </w:rPr>
        <w:t xml:space="preserve">日常服务标准及措施比较：由评标委员会根据服务方案的合理性、完善性、规范性、清晰性、可操作性进行评审。</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日常服务标准及措施方案</w:t>
      </w:r>
      <w:r>
        <w:rPr>
          <w:rFonts w:hint="eastAsia" w:ascii="宋体" w:hAnsi="宋体" w:eastAsia="宋体"/>
          <w:color w:val="auto"/>
          <w:sz w:val="21"/>
          <w:szCs w:val="21"/>
          <w:highlight w:val="none"/>
        </w:rPr>
        <w:t xml:space="preserve">完整，措施有效扎实，管理责任清晰得</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日常服务标准及措施方案</w:t>
      </w:r>
      <w:r>
        <w:rPr>
          <w:rFonts w:hint="eastAsia" w:ascii="宋体" w:hAnsi="宋体" w:eastAsia="宋体"/>
          <w:color w:val="auto"/>
          <w:sz w:val="21"/>
          <w:szCs w:val="21"/>
          <w:highlight w:val="none"/>
        </w:rPr>
        <w:t xml:space="preserve">完整性、措施有效性、管理责任清晰度一般得</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s="Times New Roman"/>
          <w:color w:val="auto"/>
          <w:sz w:val="21"/>
          <w:szCs w:val="21"/>
          <w:highlight w:val="none"/>
        </w:rPr>
        <w:t xml:space="preserve">日常服务标准及措施方案</w:t>
      </w:r>
      <w:r>
        <w:rPr>
          <w:rFonts w:hint="eastAsia" w:ascii="宋体" w:hAnsi="宋体" w:eastAsia="宋体"/>
          <w:color w:val="auto"/>
          <w:sz w:val="21"/>
          <w:szCs w:val="21"/>
          <w:highlight w:val="none"/>
        </w:rPr>
        <w:t xml:space="preserve">完整性、措施有效性、管理责任清晰度差得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未提供不得分。</w:t>
      </w:r>
      <w:r/>
    </w:p>
    <w:p>
      <w:pPr>
        <w:numPr>
          <w:ilvl w:val="0"/>
          <w:numId w:val="0"/>
        </w:numPr>
        <w:ind w:firstLine="42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eastAsia="宋体"/>
          <w:color w:val="auto"/>
          <w:sz w:val="21"/>
          <w:szCs w:val="21"/>
          <w:highlight w:val="none"/>
        </w:rPr>
        <w:t xml:space="preserve">内部管理规章制度及考核管理办法比较</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8分</w:t>
      </w:r>
      <w:r>
        <w:rPr>
          <w:rFonts w:hint="eastAsia" w:ascii="宋体" w:hAnsi="宋体" w:eastAsia="宋体"/>
          <w:color w:val="auto"/>
          <w:sz w:val="21"/>
          <w:szCs w:val="21"/>
          <w:highlight w:val="none"/>
          <w:lang w:eastAsia="zh-CN"/>
        </w:rPr>
        <w:t xml:space="preserve">）</w:t>
      </w:r>
      <w:r/>
    </w:p>
    <w:p>
      <w:pPr>
        <w:pStyle w:val="834"/>
        <w:ind w:firstLine="420"/>
        <w:rPr>
          <w:rFonts w:hint="eastAsia" w:ascii="宋体" w:hAnsi="宋体" w:eastAsia="宋体"/>
          <w:color w:val="auto"/>
          <w:sz w:val="21"/>
          <w:szCs w:val="21"/>
          <w:highlight w:val="none"/>
          <w:lang w:eastAsia="zh-CN"/>
        </w:rPr>
      </w:pPr>
      <w:r>
        <w:rPr>
          <w:rFonts w:hint="eastAsia" w:ascii="宋体" w:hAnsi="宋体"/>
          <w:bCs/>
          <w:sz w:val="21"/>
          <w:szCs w:val="21"/>
          <w:highlight w:val="none"/>
        </w:rPr>
        <w:t xml:space="preserve">由评标委员会根据管理规章制度、服务人员安全文明规范、服务档案管理制度、服务人员考核制度等进行评审。</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内部管理规章制度及考核管理办法完整，措施有效扎实，管理责任清晰得</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内部管理规章制度及考核管理办法</w:t>
      </w:r>
      <w:r>
        <w:rPr>
          <w:rFonts w:hint="eastAsia" w:ascii="宋体" w:hAnsi="宋体" w:eastAsia="宋体"/>
          <w:color w:val="auto"/>
          <w:sz w:val="21"/>
          <w:szCs w:val="21"/>
          <w:highlight w:val="none"/>
        </w:rPr>
        <w:t xml:space="preserve">完整性、措施有效性、管理责任清晰度一般得</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s="Times New Roman"/>
          <w:color w:val="auto"/>
          <w:sz w:val="21"/>
          <w:szCs w:val="21"/>
          <w:highlight w:val="none"/>
        </w:rPr>
        <w:t xml:space="preserve">内部管理规章制度及考核管理办法案</w:t>
      </w:r>
      <w:r>
        <w:rPr>
          <w:rFonts w:hint="eastAsia" w:ascii="宋体" w:hAnsi="宋体" w:eastAsia="宋体"/>
          <w:color w:val="auto"/>
          <w:sz w:val="21"/>
          <w:szCs w:val="21"/>
          <w:highlight w:val="none"/>
        </w:rPr>
        <w:t xml:space="preserve">完整性、措施有效性、管理责任清晰度差得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未提供不得分。</w:t>
      </w:r>
      <w:r/>
    </w:p>
    <w:p>
      <w:pPr>
        <w:numPr>
          <w:ilvl w:val="0"/>
          <w:numId w:val="0"/>
        </w:numPr>
        <w:ind w:firstLine="420"/>
        <w:spacing w:line="360" w:lineRule="auto"/>
        <w:rPr>
          <w:rFonts w:hint="eastAsia" w:ascii="宋体" w:hAnsi="宋体" w:eastAsia="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eastAsia="宋体"/>
          <w:color w:val="auto"/>
          <w:sz w:val="21"/>
          <w:szCs w:val="21"/>
          <w:highlight w:val="none"/>
        </w:rPr>
        <w:t xml:space="preserve">针对本项目的消防安全管理方案：（</w:t>
      </w: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pStyle w:val="834"/>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bCs/>
          <w:sz w:val="21"/>
          <w:szCs w:val="21"/>
          <w:highlight w:val="none"/>
        </w:rPr>
        <w:t xml:space="preserve">由评标委员会根据</w:t>
      </w:r>
      <w:r>
        <w:rPr>
          <w:rFonts w:hint="eastAsia" w:ascii="宋体" w:hAnsi="宋体"/>
          <w:bCs/>
          <w:sz w:val="21"/>
          <w:szCs w:val="21"/>
          <w:highlight w:val="none"/>
          <w:lang w:val="en-US" w:eastAsia="zh-CN"/>
        </w:rPr>
        <w:t xml:space="preserve">消防安全管理制度、消防安全管理方案</w:t>
      </w:r>
      <w:r>
        <w:rPr>
          <w:rFonts w:hint="eastAsia" w:ascii="宋体" w:hAnsi="宋体"/>
          <w:bCs/>
          <w:sz w:val="21"/>
          <w:szCs w:val="21"/>
          <w:highlight w:val="none"/>
        </w:rPr>
        <w:t xml:space="preserve">等进行评审。</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消防安全管理方案完整，措施有效扎实，管理责任清晰得</w:t>
      </w:r>
      <w:r>
        <w:rPr>
          <w:rFonts w:hint="eastAsia" w:ascii="宋体" w:hAnsi="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消防安全管理方案完整性、措施有效性、管理责任清晰度一般得</w:t>
      </w: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keepLines w:val="0"/>
        <w:keepNext w:val="0"/>
        <w:pageBreakBefore w:val="0"/>
        <w:spacing w:line="360" w:lineRule="auto"/>
        <w:widowControl w:val="off"/>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消防安全管理方案完整性、措施有效性、管理责任清晰度差得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未提供不得分。</w:t>
      </w:r>
      <w:r/>
    </w:p>
    <w:p>
      <w:pPr>
        <w:numPr>
          <w:ilvl w:val="0"/>
          <w:numId w:val="5"/>
        </w:num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人员培训措施方案：（</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分）</w:t>
      </w:r>
      <w:r/>
    </w:p>
    <w:p>
      <w:pPr>
        <w:numPr>
          <w:ilvl w:val="-1"/>
          <w:numId w:val="0"/>
        </w:numPr>
        <w:ind w:firstLine="420"/>
        <w:spacing w:line="360" w:lineRule="auto"/>
        <w:rPr>
          <w:rFonts w:hint="eastAsia" w:ascii="宋体" w:hAnsi="宋体" w:eastAsia="宋体"/>
          <w:color w:val="auto"/>
          <w:sz w:val="21"/>
          <w:szCs w:val="21"/>
          <w:highlight w:val="none"/>
        </w:rPr>
      </w:pPr>
      <w:r>
        <w:rPr>
          <w:rFonts w:hint="eastAsia" w:ascii="宋体" w:hAnsi="宋体"/>
          <w:bCs/>
          <w:sz w:val="21"/>
          <w:szCs w:val="21"/>
          <w:highlight w:val="none"/>
        </w:rPr>
        <w:t xml:space="preserve">由评标委员会根据</w:t>
      </w:r>
      <w:r>
        <w:rPr>
          <w:rFonts w:hint="eastAsia" w:ascii="宋体" w:hAnsi="宋体"/>
          <w:bCs/>
          <w:sz w:val="21"/>
          <w:szCs w:val="21"/>
          <w:highlight w:val="none"/>
          <w:lang w:val="en-US" w:eastAsia="zh-CN"/>
        </w:rPr>
        <w:t xml:space="preserve">人员</w:t>
      </w:r>
      <w:r>
        <w:rPr>
          <w:rFonts w:hint="eastAsia" w:ascii="宋体" w:hAnsi="宋体"/>
          <w:bCs/>
          <w:sz w:val="21"/>
          <w:szCs w:val="21"/>
          <w:highlight w:val="none"/>
        </w:rPr>
        <w:t xml:space="preserve">培训</w:t>
      </w:r>
      <w:r>
        <w:rPr>
          <w:rFonts w:hint="eastAsia" w:ascii="宋体" w:hAnsi="宋体"/>
          <w:bCs/>
          <w:sz w:val="21"/>
          <w:szCs w:val="21"/>
          <w:highlight w:val="none"/>
          <w:lang w:val="en-US" w:eastAsia="zh-CN"/>
        </w:rPr>
        <w:t xml:space="preserve">方案</w:t>
      </w:r>
      <w:r>
        <w:rPr>
          <w:rFonts w:hint="eastAsia" w:ascii="宋体" w:hAnsi="宋体"/>
          <w:bCs/>
          <w:sz w:val="21"/>
          <w:szCs w:val="21"/>
          <w:highlight w:val="none"/>
          <w:lang w:eastAsia="zh-CN"/>
        </w:rPr>
        <w:t xml:space="preserve">、</w:t>
      </w:r>
      <w:r>
        <w:rPr>
          <w:rFonts w:hint="eastAsia" w:ascii="宋体" w:hAnsi="宋体"/>
          <w:bCs/>
          <w:sz w:val="21"/>
          <w:szCs w:val="21"/>
          <w:highlight w:val="none"/>
          <w:lang w:val="en-US" w:eastAsia="zh-CN"/>
        </w:rPr>
        <w:t xml:space="preserve">配套措施</w:t>
      </w:r>
      <w:r>
        <w:rPr>
          <w:rFonts w:hint="eastAsia" w:ascii="宋体" w:hAnsi="宋体"/>
          <w:bCs/>
          <w:sz w:val="21"/>
          <w:szCs w:val="21"/>
          <w:highlight w:val="none"/>
        </w:rPr>
        <w:t xml:space="preserve">的合理性、可操作性、规范性、清晰性进行评审。</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人员培训措施方案完整，措施有效扎实，管理责任清晰得</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人员培训措施方案完整性、措施有效性、管理责任清晰度一般得</w:t>
      </w:r>
      <w:r>
        <w:rPr>
          <w:rFonts w:hint="eastAsia" w:ascii="宋体" w:hAnsi="宋体" w:eastAsia="宋体"/>
          <w:color w:val="auto"/>
          <w:sz w:val="21"/>
          <w:szCs w:val="21"/>
          <w:highlight w:val="none"/>
          <w:lang w:val="en-US" w:eastAsia="zh-CN"/>
        </w:rPr>
        <w:t xml:space="preserve">4</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人员培训措施方案完整性、措施有效性、管理责任清晰度差得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未提供不得分。</w:t>
      </w:r>
      <w:r/>
    </w:p>
    <w:p>
      <w:pPr>
        <w:numPr>
          <w:ilvl w:val="0"/>
          <w:numId w:val="6"/>
        </w:num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突发事件的应急处理</w:t>
      </w:r>
      <w:r>
        <w:rPr>
          <w:rFonts w:hint="eastAsia" w:ascii="宋体" w:hAnsi="宋体" w:eastAsia="宋体"/>
          <w:color w:val="auto"/>
          <w:sz w:val="21"/>
          <w:szCs w:val="21"/>
          <w:highlight w:val="none"/>
          <w:lang w:val="en-US" w:eastAsia="zh-CN"/>
        </w:rPr>
        <w:t xml:space="preserve">方案</w:t>
      </w:r>
      <w:r>
        <w:rPr>
          <w:rFonts w:hint="eastAsia" w:ascii="宋体" w:hAnsi="宋体" w:eastAsia="宋体"/>
          <w:color w:val="auto"/>
          <w:sz w:val="21"/>
          <w:szCs w:val="21"/>
          <w:highlight w:val="none"/>
        </w:rPr>
        <w:t xml:space="preserve">：（</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lang w:val="en-US" w:eastAsia="zh-CN"/>
        </w:rPr>
      </w:pPr>
      <w:r>
        <w:rPr>
          <w:rFonts w:hint="eastAsia" w:ascii="宋体" w:hAnsi="宋体"/>
          <w:bCs w:val="0"/>
          <w:color w:val="auto"/>
          <w:sz w:val="21"/>
          <w:szCs w:val="21"/>
          <w:highlight w:val="none"/>
        </w:rPr>
        <w:t xml:space="preserve">突发事件应急</w:t>
      </w:r>
      <w:r>
        <w:rPr>
          <w:rFonts w:hint="eastAsia" w:ascii="宋体" w:hAnsi="宋体"/>
          <w:bCs w:val="0"/>
          <w:color w:val="auto"/>
          <w:sz w:val="21"/>
          <w:szCs w:val="21"/>
          <w:highlight w:val="none"/>
          <w:lang w:val="en-US" w:eastAsia="zh-CN"/>
        </w:rPr>
        <w:t xml:space="preserve">处理</w:t>
      </w:r>
      <w:r>
        <w:rPr>
          <w:rFonts w:hint="eastAsia" w:ascii="宋体" w:hAnsi="宋体"/>
          <w:bCs w:val="0"/>
          <w:color w:val="auto"/>
          <w:sz w:val="21"/>
          <w:szCs w:val="21"/>
          <w:highlight w:val="none"/>
        </w:rPr>
        <w:t xml:space="preserve">，包括但不限于：特殊事故（情况）</w:t>
      </w:r>
      <w:r>
        <w:rPr>
          <w:rFonts w:hint="eastAsia" w:ascii="宋体" w:hAnsi="宋体"/>
          <w:bCs w:val="0"/>
          <w:color w:val="auto"/>
          <w:sz w:val="21"/>
          <w:szCs w:val="21"/>
          <w:highlight w:val="none"/>
          <w:lang w:val="en-US"/>
        </w:rPr>
        <w:t xml:space="preserve">应急</w:t>
      </w:r>
      <w:r>
        <w:rPr>
          <w:rFonts w:hint="eastAsia" w:ascii="宋体" w:hAnsi="宋体"/>
          <w:bCs w:val="0"/>
          <w:color w:val="auto"/>
          <w:sz w:val="21"/>
          <w:szCs w:val="21"/>
          <w:highlight w:val="none"/>
        </w:rPr>
        <w:t xml:space="preserve">措施、治安应急措施、消防应急措施等。由评标委员会根据方案的合理性、完善性、规范性、清晰性、可操作性进行评审。</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突发事件的应急处理</w:t>
      </w:r>
      <w:r>
        <w:rPr>
          <w:rFonts w:hint="eastAsia" w:ascii="宋体" w:hAnsi="宋体" w:eastAsia="宋体"/>
          <w:color w:val="auto"/>
          <w:sz w:val="21"/>
          <w:szCs w:val="21"/>
          <w:highlight w:val="none"/>
          <w:lang w:val="en-US" w:eastAsia="zh-CN"/>
        </w:rPr>
        <w:t xml:space="preserve">方案</w:t>
      </w:r>
      <w:r>
        <w:rPr>
          <w:rFonts w:hint="eastAsia" w:ascii="宋体" w:hAnsi="宋体" w:eastAsia="宋体"/>
          <w:color w:val="auto"/>
          <w:sz w:val="21"/>
          <w:szCs w:val="21"/>
          <w:highlight w:val="none"/>
        </w:rPr>
        <w:t xml:space="preserve">完整，措施有效扎实，管理责任清晰得</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突发事件的应急处理</w:t>
      </w:r>
      <w:r>
        <w:rPr>
          <w:rFonts w:hint="eastAsia" w:ascii="宋体" w:hAnsi="宋体" w:eastAsia="宋体"/>
          <w:color w:val="auto"/>
          <w:sz w:val="21"/>
          <w:szCs w:val="21"/>
          <w:highlight w:val="none"/>
          <w:lang w:val="en-US" w:eastAsia="zh-CN"/>
        </w:rPr>
        <w:t xml:space="preserve">方案</w:t>
      </w:r>
      <w:r>
        <w:rPr>
          <w:rFonts w:hint="eastAsia" w:ascii="宋体" w:hAnsi="宋体" w:eastAsia="宋体"/>
          <w:color w:val="auto"/>
          <w:sz w:val="21"/>
          <w:szCs w:val="21"/>
          <w:highlight w:val="none"/>
        </w:rPr>
        <w:t xml:space="preserve">完整性、措施有效性、管理责任清晰度一般得</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突发事件的应急处理</w:t>
      </w:r>
      <w:r>
        <w:rPr>
          <w:rFonts w:hint="eastAsia" w:ascii="宋体" w:hAnsi="宋体" w:eastAsia="宋体"/>
          <w:color w:val="auto"/>
          <w:sz w:val="21"/>
          <w:szCs w:val="21"/>
          <w:highlight w:val="none"/>
          <w:lang w:val="en-US" w:eastAsia="zh-CN"/>
        </w:rPr>
        <w:t xml:space="preserve">方案</w:t>
      </w:r>
      <w:r>
        <w:rPr>
          <w:rFonts w:hint="eastAsia" w:ascii="宋体" w:hAnsi="宋体" w:eastAsia="宋体"/>
          <w:color w:val="auto"/>
          <w:sz w:val="21"/>
          <w:szCs w:val="21"/>
          <w:highlight w:val="none"/>
        </w:rPr>
        <w:t xml:space="preserve">完整性、措施有效性、管理责任清晰度差得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未提供不得分。</w:t>
      </w:r>
      <w:r/>
    </w:p>
    <w:p>
      <w:pPr>
        <w:numPr>
          <w:ilvl w:val="0"/>
          <w:numId w:val="6"/>
        </w:num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进退场交接措施及方案比较：（</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bCs w:val="0"/>
          <w:color w:val="auto"/>
          <w:sz w:val="21"/>
          <w:szCs w:val="21"/>
          <w:highlight w:val="none"/>
        </w:rPr>
        <w:t xml:space="preserve">由评标委员会根据</w:t>
      </w:r>
      <w:r>
        <w:rPr>
          <w:rFonts w:hint="eastAsia" w:ascii="宋体" w:hAnsi="宋体"/>
          <w:bCs w:val="0"/>
          <w:color w:val="auto"/>
          <w:sz w:val="21"/>
          <w:szCs w:val="21"/>
          <w:highlight w:val="none"/>
          <w:lang w:val="en-US" w:eastAsia="zh-CN"/>
        </w:rPr>
        <w:t xml:space="preserve">进退场方案</w:t>
      </w:r>
      <w:r>
        <w:rPr>
          <w:rFonts w:hint="eastAsia" w:ascii="宋体" w:hAnsi="宋体"/>
          <w:bCs w:val="0"/>
          <w:color w:val="auto"/>
          <w:sz w:val="21"/>
          <w:szCs w:val="21"/>
          <w:highlight w:val="none"/>
        </w:rPr>
        <w:t xml:space="preserve">的合理性、完善性、规范性、清晰性、可操作性进行评审。</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进退场交接措施及方案完整，措施有效扎实，管理责任清晰得</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进退场交接措施及方案完整性、措施有效性、管理责任清晰度一般得</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 xml:space="preserve">进退场交接措施及方案完整性、措施有效性、管理责任清晰度差得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w:t>
      </w:r>
      <w:r>
        <w:rPr>
          <w:rFonts w:hint="eastAsia" w:ascii="宋体" w:hAnsi="宋体" w:eastAsia="宋体"/>
          <w:color w:val="auto"/>
          <w:sz w:val="21"/>
          <w:szCs w:val="21"/>
          <w:highlight w:val="none"/>
          <w:lang w:eastAsia="zh-CN"/>
        </w:rPr>
        <w:t xml:space="preserve">；</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未提供不得分。</w:t>
      </w:r>
      <w:r/>
    </w:p>
    <w:p>
      <w:pPr>
        <w:ind w:firstLine="420"/>
        <w:spacing w:line="360" w:lineRule="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2.人员配置（</w:t>
      </w:r>
      <w:r>
        <w:rPr>
          <w:rFonts w:hint="eastAsia" w:ascii="宋体" w:hAnsi="宋体" w:eastAsia="宋体" w:cs="Times New Roman"/>
          <w:b/>
          <w:bCs/>
          <w:color w:val="auto"/>
          <w:sz w:val="21"/>
          <w:szCs w:val="21"/>
          <w:highlight w:val="none"/>
          <w:lang w:val="en-US" w:eastAsia="zh-CN"/>
        </w:rPr>
        <w:t xml:space="preserve">14</w:t>
      </w:r>
      <w:r>
        <w:rPr>
          <w:rFonts w:hint="eastAsia" w:ascii="宋体" w:hAnsi="宋体" w:eastAsia="宋体" w:cs="Times New Roman"/>
          <w:b/>
          <w:bCs/>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hint="eastAsia" w:ascii="宋体" w:hAnsi="宋体" w:eastAsia="宋体"/>
          <w:color w:val="auto"/>
          <w:sz w:val="21"/>
          <w:szCs w:val="21"/>
          <w:highlight w:val="none"/>
          <w:lang w:val="en-US" w:eastAsia="zh-CN"/>
        </w:rPr>
        <w:t xml:space="preserve">项目经理</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6</w:t>
      </w:r>
      <w:r>
        <w:rPr>
          <w:rFonts w:hint="eastAsia" w:ascii="宋体" w:hAnsi="宋体" w:eastAsia="宋体"/>
          <w:color w:val="auto"/>
          <w:sz w:val="21"/>
          <w:szCs w:val="21"/>
          <w:highlight w:val="none"/>
        </w:rPr>
        <w:t xml:space="preserve">分）</w:t>
      </w:r>
      <w:r/>
    </w:p>
    <w:p>
      <w:pPr>
        <w:numPr>
          <w:ilvl w:val="0"/>
          <w:numId w:val="0"/>
        </w:numPr>
        <w:ind w:left="0"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①</w:t>
      </w:r>
      <w:r>
        <w:rPr>
          <w:rFonts w:hint="eastAsia" w:ascii="宋体" w:hAnsi="宋体" w:eastAsia="宋体"/>
          <w:color w:val="auto"/>
          <w:sz w:val="21"/>
          <w:szCs w:val="21"/>
          <w:highlight w:val="none"/>
        </w:rPr>
        <w:t xml:space="preserve">具有二级</w:t>
      </w:r>
      <w:r>
        <w:rPr>
          <w:rFonts w:hint="eastAsia" w:ascii="宋体" w:hAnsi="宋体" w:eastAsia="宋体"/>
          <w:color w:val="auto"/>
          <w:sz w:val="21"/>
          <w:szCs w:val="21"/>
          <w:highlight w:val="none"/>
          <w:lang w:val="en-US" w:eastAsia="zh-CN"/>
        </w:rPr>
        <w:t xml:space="preserve">及以上</w:t>
      </w:r>
      <w:r>
        <w:rPr>
          <w:rFonts w:hint="eastAsia" w:ascii="宋体" w:hAnsi="宋体" w:eastAsia="宋体"/>
          <w:color w:val="auto"/>
          <w:sz w:val="21"/>
          <w:szCs w:val="21"/>
          <w:highlight w:val="none"/>
        </w:rPr>
        <w:t xml:space="preserve">保安员职业资格证书的得2分；</w:t>
      </w:r>
      <w:r/>
    </w:p>
    <w:p>
      <w:pPr>
        <w:numPr>
          <w:ilvl w:val="0"/>
          <w:numId w:val="0"/>
        </w:numPr>
        <w:ind w:left="0" w:firstLine="420"/>
        <w:spacing w:line="360" w:lineRule="auto"/>
        <w:rPr>
          <w:rFonts w:hint="default" w:ascii="宋体" w:hAnsi="宋体" w:eastAsia="宋体"/>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②</w:t>
      </w:r>
      <w:r>
        <w:rPr>
          <w:rFonts w:hint="eastAsia" w:ascii="宋体" w:hAnsi="宋体" w:eastAsia="宋体"/>
          <w:color w:val="auto"/>
          <w:sz w:val="21"/>
          <w:szCs w:val="21"/>
          <w:highlight w:val="none"/>
          <w:lang w:val="en-US" w:eastAsia="zh-CN"/>
        </w:rPr>
        <w:t xml:space="preserve">具有本科及以上学历得1分；</w:t>
      </w:r>
      <w:r/>
    </w:p>
    <w:p>
      <w:pPr>
        <w:numPr>
          <w:ilvl w:val="0"/>
          <w:numId w:val="0"/>
        </w:numPr>
        <w:ind w:left="0"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③</w:t>
      </w:r>
      <w:r>
        <w:rPr>
          <w:rFonts w:hint="eastAsia" w:ascii="宋体" w:hAnsi="宋体" w:eastAsia="宋体"/>
          <w:color w:val="auto"/>
          <w:sz w:val="21"/>
          <w:szCs w:val="21"/>
          <w:highlight w:val="none"/>
        </w:rPr>
        <w:t xml:space="preserve">具有中级及以上建（构）筑物消防员证书或消防设施操作员证</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分；</w:t>
      </w:r>
      <w:r/>
    </w:p>
    <w:p>
      <w:pPr>
        <w:numPr>
          <w:ilvl w:val="0"/>
          <w:numId w:val="0"/>
        </w:numPr>
        <w:ind w:left="0"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④</w:t>
      </w:r>
      <w:r>
        <w:rPr>
          <w:rFonts w:hint="eastAsia" w:ascii="宋体" w:hAnsi="宋体" w:eastAsia="宋体"/>
          <w:color w:val="auto"/>
          <w:sz w:val="21"/>
          <w:szCs w:val="21"/>
          <w:highlight w:val="none"/>
        </w:rPr>
        <w:t xml:space="preserve">具有应急管理部门颁发的应急救援员证书得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w:t>
      </w:r>
      <w:r/>
    </w:p>
    <w:p>
      <w:pPr>
        <w:numPr>
          <w:ilvl w:val="0"/>
          <w:numId w:val="0"/>
        </w:numPr>
        <w:ind w:left="0"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⑤</w:t>
      </w:r>
      <w:r>
        <w:rPr>
          <w:rFonts w:hint="eastAsia" w:ascii="宋体" w:hAnsi="宋体" w:eastAsia="宋体"/>
          <w:color w:val="auto"/>
          <w:sz w:val="21"/>
          <w:szCs w:val="21"/>
          <w:highlight w:val="none"/>
        </w:rPr>
        <w:t xml:space="preserve">自202</w:t>
      </w: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年1月1日至今具有政府部门颁发的个人荣誉的得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（2）保安人员：（</w:t>
      </w:r>
      <w:r>
        <w:rPr>
          <w:rFonts w:hint="eastAsia" w:ascii="宋体" w:hAnsi="宋体" w:eastAsia="宋体"/>
          <w:color w:val="auto"/>
          <w:sz w:val="21"/>
          <w:szCs w:val="21"/>
          <w:highlight w:val="none"/>
          <w:lang w:val="en-US" w:eastAsia="zh-CN"/>
        </w:rPr>
        <w:t xml:space="preserve">8</w:t>
      </w:r>
      <w:r>
        <w:rPr>
          <w:rFonts w:hint="eastAsia" w:ascii="宋体" w:hAnsi="宋体" w:eastAsia="宋体"/>
          <w:color w:val="auto"/>
          <w:sz w:val="21"/>
          <w:szCs w:val="21"/>
          <w:highlight w:val="none"/>
        </w:rPr>
        <w:t xml:space="preserve">分）</w:t>
      </w:r>
      <w:r/>
    </w:p>
    <w:p>
      <w:pPr>
        <w:numPr>
          <w:ilvl w:val="0"/>
          <w:numId w:val="0"/>
        </w:numPr>
        <w:ind w:left="0"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①</w:t>
      </w:r>
      <w:r>
        <w:rPr>
          <w:rFonts w:hint="eastAsia" w:ascii="宋体" w:hAnsi="宋体" w:eastAsia="宋体"/>
          <w:color w:val="auto"/>
          <w:sz w:val="21"/>
          <w:szCs w:val="21"/>
          <w:highlight w:val="none"/>
        </w:rPr>
        <w:t xml:space="preserve">具有四级（中级）及以上保安员职业资格证书的每提供一张得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分，最高得</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分。</w:t>
      </w:r>
      <w:r/>
    </w:p>
    <w:p>
      <w:pPr>
        <w:numPr>
          <w:ilvl w:val="0"/>
          <w:numId w:val="0"/>
        </w:numPr>
        <w:ind w:left="0"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②</w:t>
      </w:r>
      <w:r>
        <w:rPr>
          <w:rFonts w:hint="eastAsia" w:ascii="宋体" w:hAnsi="宋体" w:eastAsia="宋体"/>
          <w:color w:val="auto"/>
          <w:sz w:val="21"/>
          <w:szCs w:val="21"/>
          <w:highlight w:val="none"/>
        </w:rPr>
        <w:t xml:space="preserve">具有中级及以上建（构）筑物消防员证书或消防设施操作员证，每提供一张得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分，最高得</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rPr>
        <w:t xml:space="preserve">分。</w:t>
      </w:r>
      <w:r/>
    </w:p>
    <w:p>
      <w:pPr>
        <w:numPr>
          <w:ilvl w:val="0"/>
          <w:numId w:val="0"/>
        </w:numPr>
        <w:ind w:left="0" w:firstLine="420"/>
        <w:spacing w:line="360" w:lineRule="auto"/>
        <w:rPr>
          <w:rFonts w:hint="eastAsia" w:ascii="宋体" w:hAnsi="宋体" w:eastAsia="宋体"/>
          <w:color w:val="auto"/>
          <w:sz w:val="21"/>
          <w:szCs w:val="21"/>
          <w:highlight w:val="none"/>
        </w:rPr>
      </w:pPr>
      <w:r>
        <w:rPr>
          <w:rFonts w:hint="eastAsia" w:ascii="宋体" w:hAnsi="宋体" w:eastAsia="宋体" w:cs="Times New Roman"/>
          <w:color w:val="auto"/>
          <w:sz w:val="21"/>
          <w:szCs w:val="21"/>
          <w:highlight w:val="none"/>
        </w:rPr>
        <w:t xml:space="preserve">③</w:t>
      </w:r>
      <w:r>
        <w:rPr>
          <w:rFonts w:hint="eastAsia" w:ascii="宋体" w:hAnsi="宋体" w:eastAsia="宋体"/>
          <w:color w:val="auto"/>
          <w:sz w:val="21"/>
          <w:szCs w:val="21"/>
          <w:highlight w:val="none"/>
        </w:rPr>
        <w:t xml:space="preserve">具有</w:t>
      </w:r>
      <w:r>
        <w:rPr>
          <w:rFonts w:hint="eastAsia" w:ascii="宋体" w:hAnsi="宋体" w:eastAsia="宋体"/>
          <w:color w:val="auto"/>
          <w:sz w:val="21"/>
          <w:szCs w:val="21"/>
          <w:highlight w:val="none"/>
          <w:lang w:val="en-US" w:eastAsia="zh-CN"/>
        </w:rPr>
        <w:t xml:space="preserve">退伍证</w:t>
      </w:r>
      <w:r>
        <w:rPr>
          <w:rFonts w:hint="eastAsia" w:ascii="宋体" w:hAnsi="宋体" w:eastAsia="宋体"/>
          <w:color w:val="auto"/>
          <w:sz w:val="21"/>
          <w:szCs w:val="21"/>
          <w:highlight w:val="none"/>
        </w:rPr>
        <w:t xml:space="preserve">，每提供一张得</w:t>
      </w:r>
      <w:r>
        <w:rPr>
          <w:rFonts w:hint="eastAsia" w:ascii="宋体" w:hAnsi="宋体" w:eastAsia="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分，最高得</w:t>
      </w:r>
      <w:r>
        <w:rPr>
          <w:rFonts w:hint="eastAsia" w:ascii="宋体" w:hAnsi="宋体" w:eastAsia="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s="Times New Roman"/>
          <w:b/>
          <w:bCs/>
          <w:color w:val="auto"/>
          <w:sz w:val="21"/>
          <w:szCs w:val="21"/>
          <w:highlight w:val="none"/>
        </w:rPr>
      </w:pPr>
      <w:r>
        <w:rPr>
          <w:rFonts w:hint="eastAsia" w:ascii="宋体" w:hAnsi="宋体" w:eastAsia="宋体"/>
          <w:b/>
          <w:color w:val="auto"/>
          <w:sz w:val="21"/>
          <w:szCs w:val="21"/>
          <w:highlight w:val="none"/>
        </w:rPr>
        <w:t xml:space="preserve">（注：投标文件中需提供以上（1）-（2）证书</w:t>
      </w:r>
      <w:r>
        <w:rPr>
          <w:rFonts w:hint="eastAsia" w:ascii="宋体" w:hAnsi="宋体" w:eastAsia="宋体"/>
          <w:b/>
          <w:color w:val="auto"/>
          <w:sz w:val="21"/>
          <w:szCs w:val="21"/>
          <w:highlight w:val="none"/>
          <w:lang w:val="en-US" w:eastAsia="zh-CN"/>
        </w:rPr>
        <w:t xml:space="preserve">扫描件</w:t>
      </w:r>
      <w:r>
        <w:rPr>
          <w:rFonts w:hint="eastAsia" w:ascii="宋体" w:hAnsi="宋体" w:eastAsia="宋体"/>
          <w:b/>
          <w:color w:val="auto"/>
          <w:sz w:val="21"/>
          <w:szCs w:val="21"/>
          <w:highlight w:val="none"/>
        </w:rPr>
        <w:t xml:space="preserve">或相关证明材料及本企业为该员工缴纳至少最近一期的社保证明</w:t>
      </w:r>
      <w:r>
        <w:rPr>
          <w:rFonts w:hint="eastAsia" w:ascii="宋体" w:hAnsi="宋体" w:eastAsia="宋体"/>
          <w:b/>
          <w:color w:val="auto"/>
          <w:sz w:val="21"/>
          <w:szCs w:val="21"/>
          <w:highlight w:val="none"/>
          <w:lang w:val="en-US" w:eastAsia="zh-CN"/>
        </w:rPr>
        <w:t xml:space="preserve">扫描件</w:t>
      </w:r>
      <w:r>
        <w:rPr>
          <w:rFonts w:hint="eastAsia" w:ascii="宋体" w:hAnsi="宋体" w:eastAsia="宋体"/>
          <w:b/>
          <w:color w:val="auto"/>
          <w:sz w:val="21"/>
          <w:szCs w:val="21"/>
          <w:highlight w:val="none"/>
        </w:rPr>
        <w:t xml:space="preserve">并加盖投标单位公章，不</w:t>
      </w:r>
      <w:r>
        <w:rPr>
          <w:rFonts w:hint="eastAsia" w:ascii="宋体" w:hAnsi="宋体" w:eastAsia="宋体" w:cs="Times New Roman"/>
          <w:b/>
          <w:bCs/>
          <w:color w:val="auto"/>
          <w:sz w:val="21"/>
          <w:szCs w:val="21"/>
          <w:highlight w:val="none"/>
        </w:rPr>
        <w:t xml:space="preserve">提供相关证明不得分。）</w:t>
      </w:r>
      <w:r/>
    </w:p>
    <w:p>
      <w:pPr>
        <w:ind w:firstLine="420"/>
        <w:spacing w:line="360" w:lineRule="auto"/>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3.综合实力比较（</w:t>
      </w:r>
      <w:r>
        <w:rPr>
          <w:rFonts w:hint="eastAsia" w:ascii="宋体" w:hAnsi="宋体" w:eastAsia="宋体" w:cs="Times New Roman"/>
          <w:b/>
          <w:bCs/>
          <w:color w:val="auto"/>
          <w:sz w:val="21"/>
          <w:szCs w:val="21"/>
          <w:highlight w:val="none"/>
          <w:lang w:val="en-US" w:eastAsia="zh-CN"/>
        </w:rPr>
        <w:t xml:space="preserve">1</w:t>
      </w:r>
      <w:r>
        <w:rPr>
          <w:rFonts w:hint="eastAsia" w:ascii="宋体" w:hAnsi="宋体" w:cs="Times New Roman"/>
          <w:b/>
          <w:bCs/>
          <w:color w:val="auto"/>
          <w:sz w:val="21"/>
          <w:szCs w:val="21"/>
          <w:highlight w:val="none"/>
          <w:lang w:val="en-US" w:eastAsia="zh-CN"/>
        </w:rPr>
        <w:t xml:space="preserve">5</w:t>
      </w:r>
      <w:r>
        <w:rPr>
          <w:rFonts w:hint="eastAsia" w:ascii="宋体" w:hAnsi="宋体" w:eastAsia="宋体" w:cs="Times New Roman"/>
          <w:b/>
          <w:bCs/>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（1）投标单位</w:t>
      </w:r>
      <w:r>
        <w:rPr>
          <w:rFonts w:hint="eastAsia" w:ascii="宋体" w:hAnsi="宋体" w:eastAsia="宋体"/>
          <w:color w:val="auto"/>
          <w:sz w:val="21"/>
          <w:szCs w:val="21"/>
          <w:highlight w:val="none"/>
          <w:lang w:val="en-US" w:eastAsia="zh-CN"/>
        </w:rPr>
        <w:t xml:space="preserve">体系</w:t>
      </w:r>
      <w:r>
        <w:rPr>
          <w:rFonts w:hint="eastAsia" w:ascii="宋体" w:hAnsi="宋体" w:eastAsia="宋体"/>
          <w:color w:val="auto"/>
          <w:sz w:val="21"/>
          <w:szCs w:val="21"/>
          <w:highlight w:val="none"/>
        </w:rPr>
        <w:t xml:space="preserve">证书：（6分）</w:t>
      </w:r>
      <w:r/>
    </w:p>
    <w:p>
      <w:pPr>
        <w:ind w:firstLine="548"/>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投标单位具有有效期内的质量管理体系认证证书、环境管理体系认证证书、职业健康安全管理体系认证证书的、社会责任管理体系认证证书</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反恐管理体系认证证书、防暴力管理体系认证证书</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每提供一个得1分，本项最高</w:t>
      </w:r>
      <w:r>
        <w:rPr>
          <w:rFonts w:hint="eastAsia" w:ascii="宋体" w:hAnsi="宋体" w:eastAsia="宋体"/>
          <w:color w:val="auto"/>
          <w:sz w:val="21"/>
          <w:szCs w:val="21"/>
          <w:highlight w:val="none"/>
          <w:lang w:val="en-US" w:eastAsia="zh-CN"/>
        </w:rPr>
        <w:t xml:space="preserve">6</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注：以上需在投标文件中提供以上证书</w:t>
      </w:r>
      <w:r>
        <w:rPr>
          <w:rFonts w:hint="eastAsia" w:ascii="宋体" w:hAnsi="宋体" w:eastAsia="宋体"/>
          <w:color w:val="auto"/>
          <w:sz w:val="21"/>
          <w:szCs w:val="21"/>
          <w:highlight w:val="none"/>
          <w:lang w:val="en-US" w:eastAsia="zh-CN"/>
        </w:rPr>
        <w:t xml:space="preserve">扫描件</w:t>
      </w:r>
      <w:r>
        <w:rPr>
          <w:rFonts w:hint="eastAsia" w:ascii="宋体" w:hAnsi="宋体" w:eastAsia="宋体"/>
          <w:color w:val="auto"/>
          <w:sz w:val="21"/>
          <w:szCs w:val="21"/>
          <w:highlight w:val="none"/>
        </w:rPr>
        <w:t xml:space="preserve">及网络查询完整截图并加盖投标单位公章，未提供不得分。</w:t>
      </w:r>
      <w:r/>
    </w:p>
    <w:p>
      <w:pPr>
        <w:ind w:firstLine="420"/>
        <w:spacing w:line="360" w:lineRule="auto"/>
        <w:rPr>
          <w:rFonts w:hint="default"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lang w:val="en-US" w:eastAsia="zh-CN"/>
        </w:rPr>
        <w:t xml:space="preserve">企业荣誉：（</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w:t>
      </w:r>
      <w:r/>
    </w:p>
    <w:p>
      <w:pPr>
        <w:ind w:firstLine="548"/>
        <w:spacing w:line="360" w:lineRule="auto"/>
        <w:rPr>
          <w:rFonts w:hint="eastAsia" w:ascii="宋体" w:hAnsi="宋体" w:eastAsia="宋体" w:cs="Times New Roman"/>
          <w:color w:val="auto"/>
          <w:sz w:val="21"/>
          <w:szCs w:val="21"/>
          <w:highlight w:val="none"/>
          <w:lang w:val="en-US" w:eastAsia="zh-CN"/>
        </w:rPr>
      </w:pPr>
      <w:r>
        <w:rPr>
          <w:rFonts w:hint="eastAsia" w:ascii="宋体" w:hAnsi="宋体" w:eastAsia="宋体" w:cs="Times New Roman"/>
          <w:color w:val="auto"/>
          <w:sz w:val="21"/>
          <w:szCs w:val="21"/>
          <w:highlight w:val="none"/>
          <w:lang w:val="en-US" w:eastAsia="zh-CN"/>
        </w:rPr>
        <w:t xml:space="preserve">投标人</w:t>
      </w:r>
      <w:r>
        <w:rPr>
          <w:rFonts w:hint="eastAsia" w:ascii="宋体" w:hAnsi="宋体" w:eastAsia="宋体" w:cs="Times New Roman"/>
          <w:color w:val="auto"/>
          <w:sz w:val="21"/>
          <w:szCs w:val="21"/>
          <w:highlight w:val="none"/>
        </w:rPr>
        <w:t xml:space="preserve">自 20</w:t>
      </w:r>
      <w:r>
        <w:rPr>
          <w:rFonts w:hint="eastAsia" w:ascii="宋体" w:hAnsi="宋体" w:eastAsia="宋体" w:cs="Times New Roman"/>
          <w:color w:val="auto"/>
          <w:sz w:val="21"/>
          <w:szCs w:val="21"/>
          <w:highlight w:val="none"/>
          <w:lang w:val="en-US" w:eastAsia="zh-CN"/>
        </w:rPr>
        <w:t xml:space="preserve">22</w:t>
      </w:r>
      <w:r>
        <w:rPr>
          <w:rFonts w:hint="eastAsia" w:ascii="宋体" w:hAnsi="宋体" w:eastAsia="宋体" w:cs="Times New Roman"/>
          <w:color w:val="auto"/>
          <w:sz w:val="21"/>
          <w:szCs w:val="21"/>
          <w:highlight w:val="none"/>
        </w:rPr>
        <w:t xml:space="preserve">年 1 月 1 日至今（以发证日期为准）获得</w:t>
      </w:r>
      <w:r>
        <w:rPr>
          <w:rFonts w:hint="eastAsia" w:ascii="宋体" w:hAnsi="宋体" w:cs="Times New Roman"/>
          <w:color w:val="auto"/>
          <w:sz w:val="21"/>
          <w:szCs w:val="21"/>
          <w:highlight w:val="none"/>
          <w:lang w:val="en-US" w:eastAsia="zh-CN"/>
        </w:rPr>
        <w:t xml:space="preserve">相关政府部门颁发的省</w:t>
      </w:r>
      <w:r>
        <w:rPr>
          <w:rFonts w:hint="eastAsia" w:ascii="宋体" w:hAnsi="宋体" w:eastAsia="宋体" w:cs="Times New Roman"/>
          <w:color w:val="auto"/>
          <w:sz w:val="21"/>
          <w:szCs w:val="21"/>
          <w:highlight w:val="none"/>
        </w:rPr>
        <w:t xml:space="preserve">级</w:t>
      </w:r>
      <w:r>
        <w:rPr>
          <w:rFonts w:hint="eastAsia" w:ascii="宋体" w:hAnsi="宋体" w:eastAsia="宋体" w:cs="Times New Roman"/>
          <w:color w:val="auto"/>
          <w:sz w:val="21"/>
          <w:szCs w:val="21"/>
          <w:highlight w:val="none"/>
          <w:lang w:val="en-US" w:eastAsia="zh-CN"/>
        </w:rPr>
        <w:t xml:space="preserve">及以上</w:t>
      </w:r>
      <w:r>
        <w:rPr>
          <w:rFonts w:hint="eastAsia" w:ascii="宋体" w:hAnsi="宋体" w:eastAsia="宋体" w:cs="Times New Roman"/>
          <w:color w:val="auto"/>
          <w:sz w:val="21"/>
          <w:szCs w:val="21"/>
          <w:highlight w:val="none"/>
        </w:rPr>
        <w:t xml:space="preserve">荣誉的有1个得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 分</w:t>
      </w:r>
      <w:r>
        <w:rPr>
          <w:rFonts w:hint="eastAsia" w:ascii="宋体" w:hAnsi="宋体" w:eastAsia="宋体" w:cs="Times New Roman"/>
          <w:color w:val="auto"/>
          <w:sz w:val="21"/>
          <w:szCs w:val="21"/>
          <w:highlight w:val="none"/>
          <w:lang w:eastAsia="zh-CN"/>
        </w:rPr>
        <w:t xml:space="preserve">，</w:t>
      </w:r>
      <w:r>
        <w:rPr>
          <w:rFonts w:hint="eastAsia" w:ascii="宋体" w:hAnsi="宋体" w:cs="Times New Roman"/>
          <w:color w:val="auto"/>
          <w:sz w:val="21"/>
          <w:szCs w:val="21"/>
          <w:highlight w:val="none"/>
          <w:lang w:val="en-US" w:eastAsia="zh-CN"/>
        </w:rPr>
        <w:t xml:space="preserve">获得相关政府部门颁发的市级</w:t>
      </w:r>
      <w:r>
        <w:rPr>
          <w:rFonts w:hint="eastAsia" w:ascii="宋体" w:hAnsi="宋体" w:eastAsia="宋体" w:cs="Times New Roman"/>
          <w:color w:val="auto"/>
          <w:sz w:val="21"/>
          <w:szCs w:val="21"/>
          <w:highlight w:val="none"/>
        </w:rPr>
        <w:t xml:space="preserve">荣誉</w:t>
      </w:r>
      <w:r>
        <w:rPr>
          <w:rFonts w:hint="eastAsia" w:ascii="宋体" w:hAnsi="宋体" w:cs="Times New Roman"/>
          <w:color w:val="auto"/>
          <w:sz w:val="21"/>
          <w:szCs w:val="21"/>
          <w:highlight w:val="none"/>
          <w:lang w:val="en-US" w:eastAsia="zh-CN"/>
        </w:rPr>
        <w:t xml:space="preserve">的有1个得1分，</w:t>
      </w:r>
      <w:r>
        <w:rPr>
          <w:rFonts w:hint="eastAsia" w:ascii="宋体" w:hAnsi="宋体" w:eastAsia="宋体" w:cs="Times New Roman"/>
          <w:color w:val="auto"/>
          <w:sz w:val="21"/>
          <w:szCs w:val="21"/>
          <w:highlight w:val="none"/>
          <w:lang w:val="en-US" w:eastAsia="zh-CN"/>
        </w:rPr>
        <w:t xml:space="preserve">本项最高</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lang w:val="en-US" w:eastAsia="zh-CN"/>
        </w:rPr>
        <w:t xml:space="preserve">分。</w:t>
      </w:r>
      <w:r/>
    </w:p>
    <w:p>
      <w:pPr>
        <w:ind w:firstLine="422"/>
        <w:spacing w:line="360" w:lineRule="auto"/>
        <w:rPr>
          <w:rFonts w:hint="eastAsia" w:ascii="宋体" w:hAnsi="宋体" w:eastAsia="宋体" w:cs="Times New Roman"/>
          <w:b/>
          <w:bCs w:val="0"/>
          <w:color w:val="auto"/>
          <w:sz w:val="21"/>
          <w:szCs w:val="21"/>
          <w:highlight w:val="none"/>
        </w:rPr>
      </w:pPr>
      <w:r>
        <w:rPr>
          <w:rFonts w:hint="eastAsia" w:ascii="宋体" w:hAnsi="宋体" w:eastAsia="宋体"/>
          <w:b/>
          <w:bCs w:val="0"/>
          <w:color w:val="auto"/>
          <w:sz w:val="21"/>
          <w:szCs w:val="21"/>
          <w:highlight w:val="none"/>
        </w:rPr>
        <w:t xml:space="preserve">（注：</w:t>
      </w:r>
      <w:r>
        <w:rPr>
          <w:rFonts w:hint="eastAsia" w:ascii="宋体" w:hAnsi="宋体" w:eastAsia="宋体" w:cs="Times New Roman"/>
          <w:b/>
          <w:bCs w:val="0"/>
          <w:color w:val="auto"/>
          <w:sz w:val="21"/>
          <w:szCs w:val="21"/>
          <w:highlight w:val="none"/>
          <w:lang w:val="en-US" w:eastAsia="zh-CN"/>
        </w:rPr>
        <w:t xml:space="preserve">投标文件中需提供以上获奖证明的扫描件或网络查询截图并加盖投标单位公章，</w:t>
      </w:r>
      <w:r>
        <w:rPr>
          <w:rFonts w:hint="eastAsia" w:ascii="宋体" w:hAnsi="宋体" w:eastAsia="宋体" w:cs="Times New Roman"/>
          <w:b/>
          <w:bCs w:val="0"/>
          <w:color w:val="auto"/>
          <w:sz w:val="21"/>
          <w:szCs w:val="21"/>
          <w:highlight w:val="none"/>
        </w:rPr>
        <w:t xml:space="preserve">否则本项不得分</w:t>
      </w:r>
      <w:r>
        <w:rPr>
          <w:rFonts w:hint="eastAsia" w:ascii="宋体" w:hAnsi="宋体" w:eastAsia="宋体" w:cs="Times New Roman"/>
          <w:b/>
          <w:bCs w:val="0"/>
          <w:color w:val="auto"/>
          <w:sz w:val="21"/>
          <w:szCs w:val="21"/>
          <w:highlight w:val="none"/>
          <w:lang w:eastAsia="zh-CN"/>
        </w:rPr>
        <w:t xml:space="preserve">。</w:t>
      </w:r>
      <w:r>
        <w:rPr>
          <w:rFonts w:hint="eastAsia" w:ascii="宋体" w:hAnsi="宋体" w:eastAsia="宋体"/>
          <w:b/>
          <w:bCs w:val="0"/>
          <w:color w:val="auto"/>
          <w:sz w:val="21"/>
          <w:szCs w:val="21"/>
          <w:highlight w:val="none"/>
        </w:rPr>
        <w:t xml:space="preserve">）</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lang w:val="en-US" w:eastAsia="zh-CN"/>
        </w:rPr>
        <w:t xml:space="preserve">3</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类似项目业绩（</w:t>
      </w: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投标人自202</w:t>
      </w:r>
      <w:r>
        <w:rPr>
          <w:rFonts w:hint="eastAsia" w:ascii="宋体" w:hAnsi="宋体"/>
          <w:color w:val="auto"/>
          <w:sz w:val="21"/>
          <w:szCs w:val="21"/>
          <w:highlight w:val="none"/>
          <w:lang w:val="en-US" w:eastAsia="zh-CN"/>
        </w:rPr>
        <w:t xml:space="preserve">2</w:t>
      </w:r>
      <w:r>
        <w:rPr>
          <w:rFonts w:hint="eastAsia" w:ascii="宋体" w:hAnsi="宋体" w:eastAsia="宋体"/>
          <w:color w:val="auto"/>
          <w:sz w:val="21"/>
          <w:szCs w:val="21"/>
          <w:highlight w:val="none"/>
        </w:rPr>
        <w:t xml:space="preserve">年1月1日（以合同签订时间为准）以来承担类似项目业绩，每提供一份得</w:t>
      </w:r>
      <w:r>
        <w:rPr>
          <w:rFonts w:hint="eastAsia" w:ascii="宋体" w:hAnsi="宋体"/>
          <w:color w:val="auto"/>
          <w:sz w:val="21"/>
          <w:szCs w:val="21"/>
          <w:highlight w:val="none"/>
          <w:lang w:val="en-US" w:eastAsia="zh-CN"/>
        </w:rPr>
        <w:t xml:space="preserve">1</w:t>
      </w:r>
      <w:r>
        <w:rPr>
          <w:rFonts w:hint="eastAsia" w:ascii="宋体" w:hAnsi="宋体" w:eastAsia="宋体"/>
          <w:color w:val="auto"/>
          <w:sz w:val="21"/>
          <w:szCs w:val="21"/>
          <w:highlight w:val="none"/>
        </w:rPr>
        <w:t xml:space="preserve">分；最高得</w:t>
      </w:r>
      <w:r>
        <w:rPr>
          <w:rFonts w:hint="eastAsia" w:ascii="宋体" w:hAnsi="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分。</w:t>
      </w:r>
      <w:r/>
    </w:p>
    <w:p>
      <w:pPr>
        <w:ind w:firstLine="422"/>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（注：投标文件中需提供合同</w:t>
      </w:r>
      <w:r>
        <w:rPr>
          <w:rFonts w:hint="eastAsia" w:ascii="宋体" w:hAnsi="宋体" w:eastAsia="宋体"/>
          <w:b/>
          <w:color w:val="auto"/>
          <w:sz w:val="21"/>
          <w:szCs w:val="21"/>
          <w:highlight w:val="none"/>
          <w:lang w:val="en-US" w:eastAsia="zh-CN"/>
        </w:rPr>
        <w:t xml:space="preserve">扫描件</w:t>
      </w:r>
      <w:r>
        <w:rPr>
          <w:rFonts w:hint="eastAsia" w:ascii="宋体" w:hAnsi="宋体" w:eastAsia="宋体"/>
          <w:b/>
          <w:color w:val="auto"/>
          <w:sz w:val="21"/>
          <w:szCs w:val="21"/>
          <w:highlight w:val="none"/>
        </w:rPr>
        <w:t xml:space="preserve">并加盖投标单位公章，不提供不得分）</w:t>
      </w:r>
      <w:r/>
    </w:p>
    <w:p>
      <w:pPr>
        <w:ind w:firstLine="42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1.针对评分标准中评分的每一条，投标人均应提供相关资料并作出相应说明供评委评判，不提供相关资料的视为不具备该项得分的条件。</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2.投标文件中如出现前后不一致时，评委有权请投标人澄清说明，澄清说明事项涉及评分时，评委有权酌情扣分。</w:t>
      </w:r>
      <w:r/>
    </w:p>
    <w:p>
      <w:pPr>
        <w:ind w:firstLine="420"/>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p>
    <w:p>
      <w:pPr>
        <w:rPr>
          <w:rFonts w:hint="eastAsia"/>
          <w:highlight w:val="none"/>
        </w:rPr>
      </w:pPr>
      <w:r>
        <w:rPr>
          <w:rFonts w:hint="eastAsia"/>
          <w:highlight w:val="none"/>
        </w:rPr>
      </w:r>
      <w:r/>
    </w:p>
    <w:p>
      <w:pPr>
        <w:pStyle w:val="791"/>
        <w:ind w:firstLine="0"/>
        <w:jc w:val="right"/>
        <w:spacing w:line="360" w:lineRule="auto"/>
        <w:rPr>
          <w:rFonts w:hint="eastAsia" w:ascii="宋体" w:hAnsi="宋体" w:eastAsia="宋体" w:cs="宋体"/>
          <w:color w:val="auto"/>
          <w:highlight w:val="none"/>
        </w:rPr>
      </w:pPr>
      <w:r>
        <w:rPr>
          <w:rFonts w:hint="eastAsia" w:ascii="宋体" w:hAnsi="宋体" w:eastAsia="宋体" w:cs="宋体"/>
          <w:b/>
          <w:bCs/>
          <w:color w:val="auto"/>
          <w:sz w:val="21"/>
          <w:szCs w:val="21"/>
          <w:highlight w:val="none"/>
        </w:rPr>
        <w:t xml:space="preserve">（全文完）</w:t>
      </w:r>
      <w:r/>
    </w:p>
    <w:sectPr>
      <w:headerReference w:type="default" r:id="rId10"/>
      <w:footerReference w:type="default" r:id="rId13"/>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Hei">
    <w:panose1 w:val="02010609060101010101"/>
  </w:font>
  <w:font w:name="FangSong">
    <w:panose1 w:val="02010609060101010101"/>
  </w:font>
  <w:font w:name="楷体">
    <w:panose1 w:val="02010609060101010101"/>
  </w:font>
  <w:font w:name="Symbol">
    <w:panose1 w:val="05050102010706020507"/>
  </w:font>
  <w:font w:name="Wingdings">
    <w:panose1 w:val="05000000000000000000"/>
  </w:font>
  <w:font w:name="仿宋">
    <w:panose1 w:val="02010609060101010101"/>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Consolas">
    <w:panose1 w:val="020B0609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808"/>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08"/>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19"/>
      <w:spacing w:line="224" w:lineRule="auto"/>
      <w:rPr>
        <w:rFonts w:hint="eastAsia" w:ascii="楷体" w:hAnsi="楷体" w:eastAsia="楷体" w:cs="楷体"/>
        <w:sz w:val="18"/>
        <w:szCs w:val="1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08"/>
                          </w:pPr>
                          <w:r>
                            <w:fldChar w:fldCharType="begin"/>
                          </w:r>
                          <w:r>
                            <w:instrText xml:space="preserve"> PAGE  \* MERGEFORMAT </w:instrText>
                          </w:r>
                          <w:r>
                            <w:fldChar w:fldCharType="separate"/>
                          </w:r>
                          <w:r>
                            <w:t xml:space="preserve">39</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8"/>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a:effectLst/>
                    </wps:spPr>
                    <wps:txbx>
                      <w:txbxContent>
                        <w:p>
                          <w:pPr>
                            <w:pStyle w:val="808"/>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808"/>
                    </w:pPr>
                    <w:r>
                      <w:rPr>
                        <w:rFonts w:hint="eastAsia"/>
                      </w:rPr>
                      <w:fldChar w:fldCharType="begin"/>
                    </w:r>
                    <w:r>
                      <w:rPr>
                        <w:rFonts w:hint="eastAsia"/>
                      </w:rPr>
                      <w:instrText xml:space="preserve"> PAGE  \* MERGEFORMAT </w:instrText>
                    </w:r>
                    <w:r>
                      <w:rPr>
                        <w:rFonts w:hint="eastAsia"/>
                      </w:rPr>
                      <w:fldChar w:fldCharType="separate"/>
                    </w:r>
                    <w:r>
                      <w:t xml:space="preserve">71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rPr>
        <w:rFonts w:hint="eastAsia" w:ascii="宋体" w:hAnsi="宋体" w:eastAsia="宋体" w:cs="宋体"/>
        <w:lang w:eastAsia="zh-CN"/>
      </w:rPr>
    </w:pPr>
    <w:r>
      <w:rPr>
        <w:rFonts w:hint="eastAsia" w:ascii="宋体" w:hAnsi="宋体" w:cs="宋体"/>
      </w:rPr>
      <w:t xml:space="preserve">苏州秉诚工程造价咨询有限公司                          招标编号：</w:t>
    </w:r>
    <w:r>
      <w:rPr>
        <w:rFonts w:hint="eastAsia" w:ascii="宋体" w:hAnsi="宋体" w:cs="宋体"/>
        <w:lang w:eastAsia="zh-CN"/>
      </w:rPr>
      <w:t xml:space="preserve">JSZC-320507-SZBC-G2025-0006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both"/>
      <w:rPr>
        <w:rFonts w:hint="eastAsia" w:ascii="宋体" w:hAnsi="宋体" w:eastAsia="宋体" w:cs="宋体"/>
        <w:lang w:eastAsia="zh-CN"/>
      </w:rPr>
    </w:pPr>
    <w:r>
      <w:rPr>
        <w:rFonts w:hint="eastAsia" w:ascii="宋体" w:hAnsi="宋体" w:cs="宋体"/>
      </w:rPr>
      <w:t xml:space="preserve">苏州秉诚工程造价咨询有限公司                          招标编号：</w:t>
    </w:r>
    <w:r>
      <w:rPr>
        <w:rFonts w:hint="eastAsia" w:ascii="宋体" w:hAnsi="宋体" w:cs="宋体"/>
        <w:lang w:eastAsia="zh-CN"/>
      </w:rPr>
      <w:t xml:space="preserve">JSZC-320507-SZBC-G2025-0006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81"/>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85"/>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0">
    <w:name w:val="Heading 4 Char"/>
    <w:basedOn w:val="789"/>
    <w:link w:val="783"/>
    <w:uiPriority w:val="9"/>
    <w:rPr>
      <w:rFonts w:ascii="Arial" w:hAnsi="Arial" w:eastAsia="Arial" w:cs="Arial"/>
      <w:b/>
      <w:bCs/>
      <w:sz w:val="26"/>
      <w:szCs w:val="26"/>
    </w:rPr>
  </w:style>
  <w:style w:type="character" w:styleId="771">
    <w:name w:val="Heading 7 Char"/>
    <w:basedOn w:val="789"/>
    <w:link w:val="786"/>
    <w:uiPriority w:val="9"/>
    <w:rPr>
      <w:rFonts w:ascii="Arial" w:hAnsi="Arial" w:eastAsia="Arial" w:cs="Arial"/>
      <w:b/>
      <w:bCs/>
      <w:i/>
      <w:iCs/>
      <w:sz w:val="22"/>
      <w:szCs w:val="22"/>
    </w:rPr>
  </w:style>
  <w:style w:type="character" w:styleId="772">
    <w:name w:val="Heading 8 Char"/>
    <w:basedOn w:val="789"/>
    <w:link w:val="787"/>
    <w:uiPriority w:val="9"/>
    <w:rPr>
      <w:rFonts w:ascii="Arial" w:hAnsi="Arial" w:eastAsia="Arial" w:cs="Arial"/>
      <w:i/>
      <w:iCs/>
      <w:sz w:val="22"/>
      <w:szCs w:val="22"/>
    </w:rPr>
  </w:style>
  <w:style w:type="character" w:styleId="773">
    <w:name w:val="Heading 9 Char"/>
    <w:basedOn w:val="789"/>
    <w:link w:val="788"/>
    <w:uiPriority w:val="9"/>
    <w:rPr>
      <w:rFonts w:ascii="Arial" w:hAnsi="Arial" w:eastAsia="Arial" w:cs="Arial"/>
      <w:i/>
      <w:iCs/>
      <w:sz w:val="21"/>
      <w:szCs w:val="21"/>
    </w:rPr>
  </w:style>
  <w:style w:type="character" w:styleId="774">
    <w:name w:val="Title Char"/>
    <w:basedOn w:val="789"/>
    <w:link w:val="820"/>
    <w:uiPriority w:val="10"/>
    <w:rPr>
      <w:sz w:val="48"/>
      <w:szCs w:val="48"/>
    </w:rPr>
  </w:style>
  <w:style w:type="character" w:styleId="775">
    <w:name w:val="Quote Char"/>
    <w:link w:val="851"/>
    <w:uiPriority w:val="29"/>
    <w:rPr>
      <w:i/>
    </w:rPr>
  </w:style>
  <w:style w:type="character" w:styleId="776">
    <w:name w:val="Intense Quote Char"/>
    <w:link w:val="853"/>
    <w:uiPriority w:val="30"/>
    <w:rPr>
      <w:i/>
    </w:rPr>
  </w:style>
  <w:style w:type="character" w:styleId="777">
    <w:name w:val="Footnote Text Char"/>
    <w:link w:val="813"/>
    <w:uiPriority w:val="99"/>
    <w:rPr>
      <w:sz w:val="18"/>
    </w:rPr>
  </w:style>
  <w:style w:type="character" w:styleId="778">
    <w:name w:val="Endnote Text Char"/>
    <w:link w:val="806"/>
    <w:uiPriority w:val="99"/>
    <w:rPr>
      <w:sz w:val="20"/>
    </w:rPr>
  </w:style>
  <w:style w:type="paragraph" w:styleId="779" w:default="1">
    <w:name w:val="Normal"/>
    <w:uiPriority w:val="0"/>
    <w:qFormat/>
    <w:pPr>
      <w:jc w:val="both"/>
      <w:widowControl w:val="off"/>
    </w:pPr>
    <w:rPr>
      <w:rFonts w:ascii="Times New Roman" w:hAnsi="Times New Roman" w:eastAsia="宋体" w:cs="Times New Roman"/>
      <w:sz w:val="21"/>
      <w:szCs w:val="24"/>
      <w:lang w:val="en-US" w:eastAsia="zh-CN" w:bidi="ne-NP"/>
    </w:rPr>
  </w:style>
  <w:style w:type="paragraph" w:styleId="780">
    <w:name w:val="Heading 1"/>
    <w:basedOn w:val="779"/>
    <w:next w:val="779"/>
    <w:link w:val="988"/>
    <w:uiPriority w:val="0"/>
    <w:qFormat/>
    <w:pPr>
      <w:keepLines/>
      <w:keepNext/>
      <w:spacing w:before="340" w:after="330" w:line="578" w:lineRule="auto"/>
      <w:outlineLvl w:val="0"/>
    </w:pPr>
    <w:rPr>
      <w:b/>
      <w:bCs/>
      <w:sz w:val="44"/>
      <w:szCs w:val="44"/>
    </w:rPr>
  </w:style>
  <w:style w:type="paragraph" w:styleId="781">
    <w:name w:val="Heading 2"/>
    <w:basedOn w:val="779"/>
    <w:next w:val="779"/>
    <w:link w:val="989"/>
    <w:uiPriority w:val="0"/>
    <w:qFormat/>
    <w:pPr>
      <w:numPr>
        <w:ilvl w:val="1"/>
        <w:numId w:val="1"/>
      </w:numPr>
      <w:spacing w:before="156" w:after="156" w:line="360" w:lineRule="auto"/>
      <w:outlineLvl w:val="1"/>
    </w:pPr>
    <w:rPr>
      <w:rFonts w:ascii="Cambria" w:hAnsi="Cambria"/>
      <w:b/>
      <w:bCs/>
      <w:sz w:val="32"/>
      <w:szCs w:val="32"/>
    </w:rPr>
  </w:style>
  <w:style w:type="paragraph" w:styleId="782">
    <w:name w:val="Heading 3"/>
    <w:basedOn w:val="779"/>
    <w:next w:val="791"/>
    <w:link w:val="991"/>
    <w:uiPriority w:val="0"/>
    <w:qFormat/>
    <w:pPr>
      <w:keepLines/>
      <w:keepNext/>
      <w:spacing w:before="260" w:after="260" w:line="416" w:lineRule="auto"/>
      <w:outlineLvl w:val="2"/>
    </w:pPr>
    <w:rPr>
      <w:b/>
      <w:sz w:val="32"/>
      <w:szCs w:val="20"/>
    </w:rPr>
  </w:style>
  <w:style w:type="paragraph" w:styleId="783">
    <w:name w:val="Heading 4"/>
    <w:basedOn w:val="779"/>
    <w:next w:val="779"/>
    <w:link w:val="842"/>
    <w:uiPriority w:val="9"/>
    <w:unhideWhenUsed/>
    <w:qFormat/>
    <w:pPr>
      <w:keepLines/>
      <w:keepNext/>
      <w:spacing w:before="320" w:after="200"/>
      <w:outlineLvl w:val="3"/>
    </w:pPr>
    <w:rPr>
      <w:rFonts w:ascii="Arial" w:hAnsi="Arial" w:eastAsia="Arial" w:cs="Arial"/>
      <w:b/>
      <w:bCs/>
      <w:sz w:val="26"/>
      <w:szCs w:val="26"/>
    </w:rPr>
  </w:style>
  <w:style w:type="paragraph" w:styleId="784">
    <w:name w:val="Heading 5"/>
    <w:basedOn w:val="779"/>
    <w:next w:val="779"/>
    <w:link w:val="992"/>
    <w:uiPriority w:val="0"/>
    <w:qFormat/>
    <w:pPr>
      <w:jc w:val="left"/>
      <w:keepLines/>
      <w:keepNext/>
      <w:spacing w:before="280" w:after="290" w:line="376" w:lineRule="auto"/>
      <w:widowControl/>
      <w:outlineLvl w:val="4"/>
    </w:pPr>
    <w:rPr>
      <w:b/>
      <w:bCs/>
      <w:sz w:val="28"/>
      <w:szCs w:val="28"/>
    </w:rPr>
  </w:style>
  <w:style w:type="paragraph" w:styleId="785">
    <w:name w:val="Heading 6"/>
    <w:basedOn w:val="779"/>
    <w:next w:val="779"/>
    <w:link w:val="993"/>
    <w:uiPriority w:val="9"/>
    <w:qFormat/>
    <w:pPr>
      <w:numPr>
        <w:ilvl w:val="5"/>
        <w:numId w:val="1"/>
      </w:numPr>
      <w:keepLines/>
      <w:keepNext/>
      <w:spacing w:before="120" w:after="64" w:line="300" w:lineRule="auto"/>
      <w:outlineLvl w:val="5"/>
    </w:pPr>
    <w:rPr>
      <w:rFonts w:ascii="Arial" w:hAnsi="Arial"/>
      <w:bCs/>
      <w:sz w:val="24"/>
    </w:rPr>
  </w:style>
  <w:style w:type="paragraph" w:styleId="786">
    <w:name w:val="Heading 7"/>
    <w:basedOn w:val="779"/>
    <w:next w:val="779"/>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787">
    <w:name w:val="Heading 8"/>
    <w:basedOn w:val="779"/>
    <w:next w:val="779"/>
    <w:link w:val="846"/>
    <w:uiPriority w:val="9"/>
    <w:unhideWhenUsed/>
    <w:qFormat/>
    <w:pPr>
      <w:keepLines/>
      <w:keepNext/>
      <w:spacing w:before="320" w:after="200"/>
      <w:outlineLvl w:val="7"/>
    </w:pPr>
    <w:rPr>
      <w:rFonts w:ascii="Arial" w:hAnsi="Arial" w:eastAsia="Arial" w:cs="Arial"/>
      <w:i/>
      <w:iCs/>
      <w:sz w:val="22"/>
      <w:szCs w:val="22"/>
    </w:rPr>
  </w:style>
  <w:style w:type="paragraph" w:styleId="788">
    <w:name w:val="Heading 9"/>
    <w:basedOn w:val="779"/>
    <w:next w:val="779"/>
    <w:link w:val="847"/>
    <w:uiPriority w:val="9"/>
    <w:unhideWhenUsed/>
    <w:qFormat/>
    <w:pPr>
      <w:keepLines/>
      <w:keepNext/>
      <w:spacing w:before="320" w:after="200"/>
      <w:outlineLvl w:val="8"/>
    </w:pPr>
    <w:rPr>
      <w:rFonts w:ascii="Arial" w:hAnsi="Arial" w:eastAsia="Arial" w:cs="Arial"/>
      <w:i/>
      <w:iCs/>
      <w:szCs w:val="21"/>
    </w:rPr>
  </w:style>
  <w:style w:type="character" w:styleId="789" w:default="1">
    <w:name w:val="Default Paragraph Font"/>
    <w:uiPriority w:val="1"/>
    <w:semiHidden/>
    <w:unhideWhenUsed/>
    <w:qFormat/>
  </w:style>
  <w:style w:type="table" w:styleId="790" w:default="1">
    <w:name w:val="Normal Table"/>
    <w:uiPriority w:val="99"/>
    <w:semiHidden/>
    <w:unhideWhenUsed/>
    <w:qFormat/>
    <w:tblPr>
      <w:tblCellMar>
        <w:left w:w="108" w:type="dxa"/>
        <w:top w:w="0" w:type="dxa"/>
        <w:right w:w="108" w:type="dxa"/>
        <w:bottom w:w="0" w:type="dxa"/>
      </w:tblCellMar>
    </w:tblPr>
  </w:style>
  <w:style w:type="paragraph" w:styleId="791">
    <w:name w:val="Normal Indent"/>
    <w:basedOn w:val="779"/>
    <w:next w:val="779"/>
    <w:link w:val="990"/>
    <w:uiPriority w:val="0"/>
    <w:qFormat/>
    <w:pPr>
      <w:ind w:firstLine="420"/>
    </w:pPr>
    <w:rPr>
      <w:rFonts w:eastAsia="楷体_GB2312"/>
      <w:sz w:val="24"/>
      <w:szCs w:val="20"/>
    </w:rPr>
  </w:style>
  <w:style w:type="paragraph" w:styleId="792">
    <w:name w:val="toc 7"/>
    <w:basedOn w:val="779"/>
    <w:next w:val="779"/>
    <w:uiPriority w:val="39"/>
    <w:unhideWhenUsed/>
    <w:qFormat/>
    <w:pPr>
      <w:ind w:left="1701"/>
      <w:spacing w:after="57"/>
    </w:pPr>
  </w:style>
  <w:style w:type="paragraph" w:styleId="793">
    <w:name w:val="Caption"/>
    <w:basedOn w:val="779"/>
    <w:next w:val="77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94">
    <w:name w:val="Document Map"/>
    <w:basedOn w:val="779"/>
    <w:next w:val="795"/>
    <w:uiPriority w:val="0"/>
    <w:qFormat/>
    <w:rPr>
      <w:rFonts w:ascii="宋体"/>
      <w:sz w:val="18"/>
      <w:szCs w:val="18"/>
    </w:rPr>
  </w:style>
  <w:style w:type="paragraph" w:styleId="795">
    <w:name w:val="annotation subject"/>
    <w:basedOn w:val="796"/>
    <w:next w:val="779"/>
    <w:link w:val="1003"/>
    <w:uiPriority w:val="0"/>
    <w:qFormat/>
    <w:rPr>
      <w:b/>
      <w:bCs/>
    </w:rPr>
  </w:style>
  <w:style w:type="paragraph" w:styleId="796">
    <w:name w:val="annotation text"/>
    <w:basedOn w:val="779"/>
    <w:link w:val="994"/>
    <w:uiPriority w:val="0"/>
    <w:qFormat/>
    <w:pPr>
      <w:jc w:val="left"/>
    </w:pPr>
  </w:style>
  <w:style w:type="paragraph" w:styleId="797">
    <w:name w:val="Body Text"/>
    <w:basedOn w:val="779"/>
    <w:link w:val="995"/>
    <w:uiPriority w:val="99"/>
    <w:unhideWhenUsed/>
    <w:qFormat/>
    <w:pPr>
      <w:spacing w:after="120"/>
    </w:pPr>
    <w:rPr>
      <w:sz w:val="20"/>
    </w:rPr>
  </w:style>
  <w:style w:type="paragraph" w:styleId="798">
    <w:name w:val="Body Text Indent"/>
    <w:basedOn w:val="779"/>
    <w:next w:val="799"/>
    <w:link w:val="987"/>
    <w:uiPriority w:val="0"/>
    <w:qFormat/>
    <w:pPr>
      <w:ind w:firstLine="425"/>
      <w:spacing w:line="360" w:lineRule="auto"/>
    </w:pPr>
    <w:rPr>
      <w:sz w:val="24"/>
    </w:rPr>
  </w:style>
  <w:style w:type="paragraph" w:styleId="799">
    <w:name w:val="envelope return"/>
    <w:basedOn w:val="779"/>
    <w:uiPriority w:val="0"/>
    <w:qFormat/>
    <w:rPr>
      <w:rFonts w:ascii="Arial" w:hAnsi="Arial" w:eastAsia="楷体_GB2312"/>
      <w:sz w:val="26"/>
    </w:rPr>
  </w:style>
  <w:style w:type="paragraph" w:styleId="800">
    <w:name w:val="Block Text"/>
    <w:basedOn w:val="780"/>
    <w:next w:val="779"/>
    <w:uiPriority w:val="0"/>
    <w:qFormat/>
    <w:pPr>
      <w:ind w:left="630" w:right="-609" w:firstLine="420"/>
      <w:spacing w:line="360" w:lineRule="auto"/>
    </w:pPr>
    <w:rPr>
      <w:rFonts w:hint="eastAsia" w:ascii="仿宋_GB2312" w:eastAsia="仿宋_GB2312"/>
      <w:szCs w:val="20"/>
    </w:rPr>
  </w:style>
  <w:style w:type="paragraph" w:styleId="801">
    <w:name w:val="toc 5"/>
    <w:basedOn w:val="779"/>
    <w:next w:val="779"/>
    <w:uiPriority w:val="39"/>
    <w:unhideWhenUsed/>
    <w:qFormat/>
    <w:pPr>
      <w:ind w:left="1134"/>
      <w:spacing w:after="57"/>
    </w:pPr>
  </w:style>
  <w:style w:type="paragraph" w:styleId="802">
    <w:name w:val="toc 3"/>
    <w:basedOn w:val="779"/>
    <w:next w:val="779"/>
    <w:uiPriority w:val="39"/>
    <w:unhideWhenUsed/>
    <w:qFormat/>
    <w:pPr>
      <w:ind w:left="567"/>
      <w:spacing w:after="57"/>
    </w:pPr>
  </w:style>
  <w:style w:type="paragraph" w:styleId="803">
    <w:name w:val="Plain Text"/>
    <w:basedOn w:val="779"/>
    <w:link w:val="996"/>
    <w:uiPriority w:val="0"/>
    <w:qFormat/>
    <w:rPr>
      <w:rFonts w:ascii="宋体" w:hAnsi="Courier New" w:eastAsia="楷体_GB2312"/>
      <w:sz w:val="26"/>
    </w:rPr>
  </w:style>
  <w:style w:type="paragraph" w:styleId="804">
    <w:name w:val="toc 8"/>
    <w:basedOn w:val="779"/>
    <w:next w:val="779"/>
    <w:uiPriority w:val="39"/>
    <w:unhideWhenUsed/>
    <w:qFormat/>
    <w:pPr>
      <w:ind w:left="1984"/>
      <w:spacing w:after="57"/>
    </w:pPr>
  </w:style>
  <w:style w:type="paragraph" w:styleId="805">
    <w:name w:val="Date"/>
    <w:basedOn w:val="779"/>
    <w:next w:val="779"/>
    <w:link w:val="997"/>
    <w:uiPriority w:val="0"/>
    <w:qFormat/>
    <w:rPr>
      <w:b/>
      <w:bCs/>
      <w:spacing w:val="20"/>
      <w:sz w:val="20"/>
    </w:rPr>
  </w:style>
  <w:style w:type="paragraph" w:styleId="806">
    <w:name w:val="endnote text"/>
    <w:basedOn w:val="779"/>
    <w:link w:val="984"/>
    <w:uiPriority w:val="99"/>
    <w:semiHidden/>
    <w:unhideWhenUsed/>
    <w:qFormat/>
    <w:rPr>
      <w:sz w:val="20"/>
    </w:rPr>
  </w:style>
  <w:style w:type="paragraph" w:styleId="807">
    <w:name w:val="Balloon Text"/>
    <w:basedOn w:val="779"/>
    <w:link w:val="998"/>
    <w:uiPriority w:val="0"/>
    <w:qFormat/>
    <w:rPr>
      <w:sz w:val="18"/>
      <w:szCs w:val="18"/>
    </w:rPr>
  </w:style>
  <w:style w:type="paragraph" w:styleId="808">
    <w:name w:val="Footer"/>
    <w:basedOn w:val="779"/>
    <w:link w:val="999"/>
    <w:uiPriority w:val="99"/>
    <w:qFormat/>
    <w:pPr>
      <w:jc w:val="left"/>
      <w:tabs>
        <w:tab w:val="center" w:pos="4153" w:leader="none"/>
        <w:tab w:val="right" w:pos="8306" w:leader="none"/>
      </w:tabs>
    </w:pPr>
    <w:rPr>
      <w:sz w:val="18"/>
      <w:szCs w:val="18"/>
    </w:rPr>
  </w:style>
  <w:style w:type="paragraph" w:styleId="809">
    <w:name w:val="Header"/>
    <w:basedOn w:val="779"/>
    <w:link w:val="1000"/>
    <w:uiPriority w:val="0"/>
    <w:qFormat/>
    <w:pPr>
      <w:jc w:val="center"/>
      <w:tabs>
        <w:tab w:val="center" w:pos="4153" w:leader="none"/>
        <w:tab w:val="right" w:pos="8306" w:leader="none"/>
      </w:tabs>
      <w:pBdr>
        <w:bottom w:val="single" w:color="auto" w:sz="6" w:space="1"/>
      </w:pBdr>
    </w:pPr>
    <w:rPr>
      <w:sz w:val="18"/>
      <w:szCs w:val="18"/>
    </w:rPr>
  </w:style>
  <w:style w:type="paragraph" w:styleId="810">
    <w:name w:val="toc 1"/>
    <w:basedOn w:val="779"/>
    <w:next w:val="779"/>
    <w:uiPriority w:val="0"/>
    <w:qFormat/>
    <w:pPr>
      <w:jc w:val="left"/>
    </w:pPr>
    <w:rPr>
      <w:rFonts w:eastAsia="楷体_GB2312"/>
      <w:sz w:val="24"/>
      <w:szCs w:val="20"/>
    </w:rPr>
  </w:style>
  <w:style w:type="paragraph" w:styleId="811">
    <w:name w:val="toc 4"/>
    <w:basedOn w:val="779"/>
    <w:next w:val="779"/>
    <w:uiPriority w:val="0"/>
    <w:qFormat/>
    <w:pPr>
      <w:ind w:left="1260"/>
    </w:pPr>
  </w:style>
  <w:style w:type="paragraph" w:styleId="812">
    <w:name w:val="Subtitle"/>
    <w:basedOn w:val="779"/>
    <w:next w:val="779"/>
    <w:link w:val="1001"/>
    <w:uiPriority w:val="0"/>
    <w:qFormat/>
    <w:pPr>
      <w:jc w:val="center"/>
      <w:spacing w:before="240" w:after="60" w:line="312" w:lineRule="auto"/>
      <w:outlineLvl w:val="1"/>
    </w:pPr>
    <w:rPr>
      <w:rFonts w:ascii="宋体" w:hAnsi="Courier New" w:eastAsia="楷体_GB2312"/>
      <w:sz w:val="26"/>
      <w:szCs w:val="20"/>
    </w:rPr>
  </w:style>
  <w:style w:type="paragraph" w:styleId="813">
    <w:name w:val="footnote text"/>
    <w:basedOn w:val="780"/>
    <w:next w:val="800"/>
    <w:link w:val="983"/>
    <w:uiPriority w:val="0"/>
    <w:qFormat/>
    <w:pPr>
      <w:ind w:firstLine="3584"/>
      <w:spacing w:before="0" w:after="0" w:line="360" w:lineRule="auto"/>
    </w:pPr>
  </w:style>
  <w:style w:type="paragraph" w:styleId="814">
    <w:name w:val="toc 6"/>
    <w:basedOn w:val="779"/>
    <w:next w:val="779"/>
    <w:uiPriority w:val="39"/>
    <w:unhideWhenUsed/>
    <w:qFormat/>
    <w:pPr>
      <w:ind w:left="1417"/>
      <w:spacing w:after="57"/>
    </w:pPr>
  </w:style>
  <w:style w:type="paragraph" w:styleId="815">
    <w:name w:val="Body Text Indent 3"/>
    <w:basedOn w:val="779"/>
    <w:link w:val="1002"/>
    <w:uiPriority w:val="0"/>
    <w:qFormat/>
    <w:pPr>
      <w:ind w:firstLine="480"/>
      <w:jc w:val="left"/>
      <w:spacing w:line="440" w:lineRule="atLeast"/>
    </w:pPr>
    <w:rPr>
      <w:sz w:val="24"/>
    </w:rPr>
  </w:style>
  <w:style w:type="paragraph" w:styleId="816">
    <w:name w:val="table of figures"/>
    <w:basedOn w:val="779"/>
    <w:next w:val="779"/>
    <w:uiPriority w:val="99"/>
    <w:unhideWhenUsed/>
    <w:qFormat/>
  </w:style>
  <w:style w:type="paragraph" w:styleId="817">
    <w:name w:val="toc 2"/>
    <w:basedOn w:val="779"/>
    <w:next w:val="779"/>
    <w:uiPriority w:val="39"/>
    <w:unhideWhenUsed/>
    <w:qFormat/>
    <w:pPr>
      <w:ind w:left="283"/>
      <w:spacing w:after="57"/>
    </w:pPr>
  </w:style>
  <w:style w:type="paragraph" w:styleId="818">
    <w:name w:val="toc 9"/>
    <w:basedOn w:val="779"/>
    <w:next w:val="779"/>
    <w:uiPriority w:val="39"/>
    <w:unhideWhenUsed/>
    <w:qFormat/>
    <w:pPr>
      <w:ind w:left="2268"/>
      <w:spacing w:after="57"/>
    </w:pPr>
  </w:style>
  <w:style w:type="paragraph" w:styleId="819">
    <w:name w:val="Normal (Web)"/>
    <w:basedOn w:val="779"/>
    <w:uiPriority w:val="99"/>
    <w:qFormat/>
    <w:pPr>
      <w:jc w:val="left"/>
      <w:spacing w:beforeAutospacing="1" w:afterAutospacing="1"/>
    </w:pPr>
    <w:rPr>
      <w:sz w:val="24"/>
    </w:rPr>
  </w:style>
  <w:style w:type="paragraph" w:styleId="820">
    <w:name w:val="Title"/>
    <w:basedOn w:val="779"/>
    <w:next w:val="779"/>
    <w:link w:val="849"/>
    <w:uiPriority w:val="10"/>
    <w:qFormat/>
    <w:pPr>
      <w:contextualSpacing/>
      <w:spacing w:before="300" w:after="200"/>
    </w:pPr>
    <w:rPr>
      <w:sz w:val="48"/>
      <w:szCs w:val="48"/>
    </w:rPr>
  </w:style>
  <w:style w:type="paragraph" w:styleId="821">
    <w:name w:val="Body Text First Indent"/>
    <w:basedOn w:val="797"/>
    <w:uiPriority w:val="99"/>
    <w:qFormat/>
    <w:pPr>
      <w:ind w:firstLine="420"/>
    </w:pPr>
  </w:style>
  <w:style w:type="paragraph" w:styleId="822">
    <w:name w:val="Body Text First Indent 2"/>
    <w:basedOn w:val="798"/>
    <w:uiPriority w:val="0"/>
    <w:qFormat/>
    <w:pPr>
      <w:ind w:left="420" w:firstLine="210"/>
      <w:spacing w:after="120" w:line="240" w:lineRule="auto"/>
    </w:pPr>
    <w:rPr>
      <w:rFonts w:eastAsia="仿宋_GB2312"/>
      <w:sz w:val="30"/>
    </w:rPr>
  </w:style>
  <w:style w:type="table" w:styleId="823">
    <w:name w:val="Table Grid"/>
    <w:basedOn w:val="79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4">
    <w:name w:val="Strong"/>
    <w:uiPriority w:val="0"/>
    <w:qFormat/>
    <w:rPr>
      <w:rFonts w:ascii="Calibri" w:hAnsi="Calibri" w:eastAsia="宋体" w:cs="Times New Roman"/>
      <w:b/>
    </w:rPr>
  </w:style>
  <w:style w:type="character" w:styleId="825">
    <w:name w:val="endnote reference"/>
    <w:basedOn w:val="789"/>
    <w:uiPriority w:val="99"/>
    <w:semiHidden/>
    <w:unhideWhenUsed/>
    <w:qFormat/>
    <w:rPr>
      <w:vertAlign w:val="superscript"/>
    </w:rPr>
  </w:style>
  <w:style w:type="character" w:styleId="826">
    <w:name w:val="FollowedHyperlink"/>
    <w:uiPriority w:val="0"/>
    <w:qFormat/>
    <w:rPr>
      <w:color w:val="337ab7"/>
      <w:u w:val="none"/>
    </w:rPr>
  </w:style>
  <w:style w:type="character" w:styleId="827">
    <w:name w:val="HTML Definition"/>
    <w:uiPriority w:val="0"/>
    <w:qFormat/>
    <w:rPr>
      <w:i/>
    </w:rPr>
  </w:style>
  <w:style w:type="character" w:styleId="828">
    <w:name w:val="Hyperlink"/>
    <w:uiPriority w:val="0"/>
    <w:qFormat/>
    <w:rPr>
      <w:color w:val="337ab7"/>
      <w:u w:val="none"/>
    </w:rPr>
  </w:style>
  <w:style w:type="character" w:styleId="829">
    <w:name w:val="HTML Code"/>
    <w:uiPriority w:val="0"/>
    <w:qFormat/>
    <w:rPr>
      <w:rFonts w:hint="default" w:ascii="Consolas" w:hAnsi="Consolas" w:eastAsia="Consolas" w:cs="Consolas"/>
      <w:color w:val="c7254e"/>
      <w:sz w:val="21"/>
      <w:szCs w:val="21"/>
      <w:shd w:val="clear" w:color="auto" w:fill="f9f2f4"/>
    </w:rPr>
  </w:style>
  <w:style w:type="character" w:styleId="830">
    <w:name w:val="annotation reference"/>
    <w:uiPriority w:val="0"/>
    <w:qFormat/>
    <w:rPr>
      <w:rFonts w:ascii="Calibri" w:hAnsi="Calibri" w:eastAsia="宋体" w:cs="Times New Roman"/>
      <w:sz w:val="21"/>
      <w:szCs w:val="21"/>
    </w:rPr>
  </w:style>
  <w:style w:type="character" w:styleId="831">
    <w:name w:val="footnote reference"/>
    <w:basedOn w:val="789"/>
    <w:uiPriority w:val="99"/>
    <w:unhideWhenUsed/>
    <w:qFormat/>
    <w:rPr>
      <w:vertAlign w:val="superscript"/>
    </w:rPr>
  </w:style>
  <w:style w:type="character" w:styleId="832">
    <w:name w:val="HTML Keyboard"/>
    <w:uiPriority w:val="0"/>
    <w:qFormat/>
    <w:rPr>
      <w:rFonts w:ascii="Consolas" w:hAnsi="Consolas" w:eastAsia="Consolas" w:cs="Consolas"/>
      <w:color w:val="ffffff"/>
      <w:sz w:val="21"/>
      <w:szCs w:val="21"/>
      <w:shd w:val="clear" w:color="auto" w:fill="333333"/>
    </w:rPr>
  </w:style>
  <w:style w:type="character" w:styleId="833">
    <w:name w:val="HTML Sample"/>
    <w:uiPriority w:val="0"/>
    <w:qFormat/>
    <w:rPr>
      <w:rFonts w:hint="default" w:ascii="Consolas" w:hAnsi="Consolas" w:eastAsia="Consolas" w:cs="Consolas"/>
      <w:sz w:val="21"/>
      <w:szCs w:val="21"/>
    </w:rPr>
  </w:style>
  <w:style w:type="paragraph" w:styleId="834" w:customStyle="1">
    <w:name w:val="首行缩进"/>
    <w:basedOn w:val="779"/>
    <w:uiPriority w:val="0"/>
    <w:qFormat/>
    <w:pPr>
      <w:ind w:firstLine="480"/>
    </w:pPr>
    <w:rPr>
      <w:szCs w:val="20"/>
      <w:lang w:val="zh-CN"/>
    </w:rPr>
  </w:style>
  <w:style w:type="paragraph" w:styleId="835" w:customStyle="1">
    <w:name w:val="正文文本缩进11"/>
    <w:basedOn w:val="779"/>
    <w:next w:val="779"/>
    <w:uiPriority w:val="0"/>
    <w:qFormat/>
    <w:pPr>
      <w:ind w:left="420"/>
      <w:spacing w:after="120"/>
    </w:pPr>
  </w:style>
  <w:style w:type="paragraph" w:styleId="836" w:customStyle="1">
    <w:name w:val="一级条标题"/>
    <w:basedOn w:val="837"/>
    <w:next w:val="779"/>
    <w:uiPriority w:val="0"/>
    <w:qFormat/>
    <w:pPr>
      <w:ind w:left="420"/>
      <w:spacing w:line="240" w:lineRule="auto"/>
      <w:outlineLvl w:val="2"/>
    </w:pPr>
  </w:style>
  <w:style w:type="paragraph" w:styleId="837" w:customStyle="1">
    <w:name w:val="章标题"/>
    <w:next w:val="779"/>
    <w:uiPriority w:val="0"/>
    <w:qFormat/>
    <w:pPr>
      <w:jc w:val="both"/>
      <w:spacing w:line="360" w:lineRule="auto"/>
      <w:outlineLvl w:val="1"/>
    </w:pPr>
    <w:rPr>
      <w:rFonts w:ascii="黑体" w:hAnsi="Times New Roman" w:eastAsia="黑体" w:cs="黑体"/>
      <w:sz w:val="21"/>
      <w:szCs w:val="21"/>
      <w:lang w:val="en-US" w:eastAsia="zh-CN" w:bidi="ar-SA"/>
    </w:rPr>
  </w:style>
  <w:style w:type="paragraph" w:styleId="838" w:customStyle="1">
    <w:name w:val="目录 51"/>
    <w:next w:val="779"/>
    <w:uiPriority w:val="0"/>
    <w:qFormat/>
    <w:pPr>
      <w:ind w:left="1275"/>
      <w:jc w:val="both"/>
    </w:pPr>
    <w:rPr>
      <w:rFonts w:ascii="Times New Roman" w:hAnsi="Times New Roman" w:eastAsia="宋体" w:cs="Times New Roman"/>
      <w:sz w:val="21"/>
      <w:lang w:val="en-US" w:eastAsia="zh-CN" w:bidi="ne-NP"/>
    </w:rPr>
  </w:style>
  <w:style w:type="character" w:styleId="839" w:customStyle="1">
    <w:name w:val="Heading 1 Char"/>
    <w:basedOn w:val="789"/>
    <w:uiPriority w:val="9"/>
    <w:qFormat/>
    <w:rPr>
      <w:rFonts w:ascii="Arial" w:hAnsi="Arial" w:eastAsia="Arial" w:cs="Arial"/>
      <w:sz w:val="40"/>
      <w:szCs w:val="40"/>
    </w:rPr>
  </w:style>
  <w:style w:type="character" w:styleId="840" w:customStyle="1">
    <w:name w:val="Heading 2 Char"/>
    <w:basedOn w:val="789"/>
    <w:uiPriority w:val="9"/>
    <w:qFormat/>
    <w:rPr>
      <w:rFonts w:ascii="Arial" w:hAnsi="Arial" w:eastAsia="Arial" w:cs="Arial"/>
      <w:sz w:val="34"/>
    </w:rPr>
  </w:style>
  <w:style w:type="character" w:styleId="841" w:customStyle="1">
    <w:name w:val="Heading 3 Char"/>
    <w:basedOn w:val="789"/>
    <w:uiPriority w:val="9"/>
    <w:qFormat/>
    <w:rPr>
      <w:rFonts w:ascii="Arial" w:hAnsi="Arial" w:eastAsia="Arial" w:cs="Arial"/>
      <w:sz w:val="30"/>
      <w:szCs w:val="30"/>
    </w:rPr>
  </w:style>
  <w:style w:type="character" w:styleId="842" w:customStyle="1">
    <w:name w:val="标题 4 字符"/>
    <w:basedOn w:val="789"/>
    <w:link w:val="783"/>
    <w:uiPriority w:val="9"/>
    <w:qFormat/>
    <w:rPr>
      <w:rFonts w:ascii="Arial" w:hAnsi="Arial" w:eastAsia="Arial" w:cs="Arial"/>
      <w:b/>
      <w:bCs/>
      <w:sz w:val="26"/>
      <w:szCs w:val="26"/>
    </w:rPr>
  </w:style>
  <w:style w:type="character" w:styleId="843" w:customStyle="1">
    <w:name w:val="Heading 5 Char"/>
    <w:basedOn w:val="789"/>
    <w:uiPriority w:val="9"/>
    <w:qFormat/>
    <w:rPr>
      <w:rFonts w:ascii="Arial" w:hAnsi="Arial" w:eastAsia="Arial" w:cs="Arial"/>
      <w:b/>
      <w:bCs/>
      <w:sz w:val="24"/>
      <w:szCs w:val="24"/>
    </w:rPr>
  </w:style>
  <w:style w:type="character" w:styleId="844" w:customStyle="1">
    <w:name w:val="Heading 6 Char"/>
    <w:basedOn w:val="789"/>
    <w:uiPriority w:val="9"/>
    <w:qFormat/>
    <w:rPr>
      <w:rFonts w:ascii="Arial" w:hAnsi="Arial" w:eastAsia="Arial" w:cs="Arial"/>
      <w:b/>
      <w:bCs/>
      <w:sz w:val="22"/>
      <w:szCs w:val="22"/>
    </w:rPr>
  </w:style>
  <w:style w:type="character" w:styleId="845" w:customStyle="1">
    <w:name w:val="标题 7 字符"/>
    <w:basedOn w:val="789"/>
    <w:link w:val="786"/>
    <w:uiPriority w:val="9"/>
    <w:qFormat/>
    <w:rPr>
      <w:rFonts w:ascii="Arial" w:hAnsi="Arial" w:eastAsia="Arial" w:cs="Arial"/>
      <w:b/>
      <w:bCs/>
      <w:i/>
      <w:iCs/>
      <w:sz w:val="22"/>
      <w:szCs w:val="22"/>
    </w:rPr>
  </w:style>
  <w:style w:type="character" w:styleId="846" w:customStyle="1">
    <w:name w:val="标题 8 字符"/>
    <w:basedOn w:val="789"/>
    <w:link w:val="787"/>
    <w:uiPriority w:val="9"/>
    <w:qFormat/>
    <w:rPr>
      <w:rFonts w:ascii="Arial" w:hAnsi="Arial" w:eastAsia="Arial" w:cs="Arial"/>
      <w:i/>
      <w:iCs/>
      <w:sz w:val="22"/>
      <w:szCs w:val="22"/>
    </w:rPr>
  </w:style>
  <w:style w:type="character" w:styleId="847" w:customStyle="1">
    <w:name w:val="标题 9 字符"/>
    <w:basedOn w:val="789"/>
    <w:link w:val="788"/>
    <w:uiPriority w:val="9"/>
    <w:qFormat/>
    <w:rPr>
      <w:rFonts w:ascii="Arial" w:hAnsi="Arial" w:eastAsia="Arial" w:cs="Arial"/>
      <w:i/>
      <w:iCs/>
      <w:sz w:val="21"/>
      <w:szCs w:val="21"/>
    </w:rPr>
  </w:style>
  <w:style w:type="paragraph" w:styleId="848">
    <w:name w:val="No Spacing"/>
    <w:uiPriority w:val="1"/>
    <w:qFormat/>
    <w:rPr>
      <w:rFonts w:ascii="Times New Roman" w:hAnsi="Times New Roman" w:eastAsia="宋体" w:cs="Times New Roman"/>
      <w:lang w:val="en-US" w:eastAsia="zh-CN" w:bidi="ne-NP"/>
    </w:rPr>
  </w:style>
  <w:style w:type="character" w:styleId="849" w:customStyle="1">
    <w:name w:val="标题 字符"/>
    <w:basedOn w:val="789"/>
    <w:link w:val="820"/>
    <w:uiPriority w:val="10"/>
    <w:qFormat/>
    <w:rPr>
      <w:sz w:val="48"/>
      <w:szCs w:val="48"/>
    </w:rPr>
  </w:style>
  <w:style w:type="character" w:styleId="850" w:customStyle="1">
    <w:name w:val="Subtitle Char"/>
    <w:basedOn w:val="789"/>
    <w:uiPriority w:val="11"/>
    <w:qFormat/>
    <w:rPr>
      <w:sz w:val="24"/>
      <w:szCs w:val="24"/>
    </w:rPr>
  </w:style>
  <w:style w:type="paragraph" w:styleId="851">
    <w:name w:val="Quote"/>
    <w:basedOn w:val="779"/>
    <w:next w:val="779"/>
    <w:link w:val="852"/>
    <w:uiPriority w:val="29"/>
    <w:qFormat/>
    <w:pPr>
      <w:ind w:left="720" w:right="720"/>
    </w:pPr>
    <w:rPr>
      <w:i/>
    </w:rPr>
  </w:style>
  <w:style w:type="character" w:styleId="852" w:customStyle="1">
    <w:name w:val="引用 字符"/>
    <w:link w:val="851"/>
    <w:uiPriority w:val="29"/>
    <w:qFormat/>
    <w:rPr>
      <w:i/>
    </w:rPr>
  </w:style>
  <w:style w:type="paragraph" w:styleId="853">
    <w:name w:val="Intense Quote"/>
    <w:basedOn w:val="779"/>
    <w:next w:val="779"/>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qFormat/>
    <w:rPr>
      <w:i/>
    </w:rPr>
  </w:style>
  <w:style w:type="character" w:styleId="855" w:customStyle="1">
    <w:name w:val="Header Char"/>
    <w:basedOn w:val="789"/>
    <w:uiPriority w:val="99"/>
    <w:qFormat/>
  </w:style>
  <w:style w:type="character" w:styleId="856" w:customStyle="1">
    <w:name w:val="Footer Char"/>
    <w:basedOn w:val="789"/>
    <w:uiPriority w:val="99"/>
    <w:qFormat/>
  </w:style>
  <w:style w:type="character" w:styleId="857" w:customStyle="1">
    <w:name w:val="Caption Char"/>
    <w:uiPriority w:val="99"/>
    <w:qFormat/>
  </w:style>
  <w:style w:type="table" w:styleId="858" w:customStyle="1">
    <w:name w:val="Table Grid Light"/>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9" w:customStyle="1">
    <w:name w:val="Plain Table 1"/>
    <w:basedOn w:val="79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basedOn w:val="79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basedOn w:val="79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basedOn w:val="79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2" w:customStyle="1">
    <w:name w:val="Grid Table 2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3" w:customStyle="1">
    <w:name w:val="Grid Table 2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4" w:customStyle="1">
    <w:name w:val="Grid Table 2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2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6" w:customStyle="1">
    <w:name w:val="Grid Table 2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7" w:customStyle="1">
    <w:name w:val="Grid Table 2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8" w:customStyle="1">
    <w:name w:val="Grid Table 3"/>
    <w:basedOn w:val="79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1"/>
    <w:basedOn w:val="79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2"/>
    <w:basedOn w:val="79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3"/>
    <w:basedOn w:val="79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4"/>
    <w:basedOn w:val="79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5"/>
    <w:basedOn w:val="79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6"/>
    <w:basedOn w:val="79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4"/>
    <w:basedOn w:val="79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6" w:customStyle="1">
    <w:name w:val="Grid Table 4 - Accent 1"/>
    <w:basedOn w:val="79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7" w:customStyle="1">
    <w:name w:val="Grid Table 4 - Accent 2"/>
    <w:basedOn w:val="79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8" w:customStyle="1">
    <w:name w:val="Grid Table 4 - Accent 3"/>
    <w:basedOn w:val="79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9" w:customStyle="1">
    <w:name w:val="Grid Table 4 - Accent 4"/>
    <w:basedOn w:val="79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90" w:customStyle="1">
    <w:name w:val="Grid Table 4 - Accent 5"/>
    <w:basedOn w:val="79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91" w:customStyle="1">
    <w:name w:val="Grid Table 4 - Accent 6"/>
    <w:basedOn w:val="79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2" w:customStyle="1">
    <w:name w:val="Grid Table 5 Dark"/>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3" w:customStyle="1">
    <w:name w:val="Grid Table 5 Dark- Accent 1"/>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4" w:customStyle="1">
    <w:name w:val="Grid Table 5 Dark - Accent 2"/>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5" w:customStyle="1">
    <w:name w:val="Grid Table 5 Dark - Accent 3"/>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6" w:customStyle="1">
    <w:name w:val="Grid Table 5 Dark- Accent 4"/>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7" w:customStyle="1">
    <w:name w:val="Grid Table 5 Dark - Accent 5"/>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8" w:customStyle="1">
    <w:name w:val="Grid Table 5 Dark - Accent 6"/>
    <w:basedOn w:val="79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9" w:customStyle="1">
    <w:name w:val="Grid Table 6 Colorful"/>
    <w:basedOn w:val="79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0" w:customStyle="1">
    <w:name w:val="Grid Table 6 Colorful - Accent 1"/>
    <w:basedOn w:val="79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01" w:customStyle="1">
    <w:name w:val="Grid Table 6 Colorful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2" w:customStyle="1">
    <w:name w:val="Grid Table 6 Colorful - Accent 3"/>
    <w:basedOn w:val="79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3" w:customStyle="1">
    <w:name w:val="Grid Table 6 Colorful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4" w:customStyle="1">
    <w:name w:val="Grid Table 6 Colorful - Accent 5"/>
    <w:basedOn w:val="79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5" w:customStyle="1">
    <w:name w:val="Grid Table 6 Colorful - Accent 6"/>
    <w:basedOn w:val="79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6" w:customStyle="1">
    <w:name w:val="Grid Table 7 Colorful"/>
    <w:basedOn w:val="79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Grid Table 7 Colorful - Accent 1"/>
    <w:basedOn w:val="79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8" w:customStyle="1">
    <w:name w:val="Grid Table 7 Colorful - Accent 2"/>
    <w:basedOn w:val="79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9" w:customStyle="1">
    <w:name w:val="Grid Table 7 Colorful - Accent 3"/>
    <w:basedOn w:val="79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10" w:customStyle="1">
    <w:name w:val="Grid Table 7 Colorful - Accent 4"/>
    <w:basedOn w:val="79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11" w:customStyle="1">
    <w:name w:val="Grid Table 7 Colorful - Accent 5"/>
    <w:basedOn w:val="79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12" w:customStyle="1">
    <w:name w:val="Grid Table 7 Colorful - Accent 6"/>
    <w:basedOn w:val="79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3" w:customStyle="1">
    <w:name w:val="List Table 1 Light"/>
    <w:basedOn w:val="79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4" w:customStyle="1">
    <w:name w:val="List Table 1 Light - Accent 1"/>
    <w:basedOn w:val="79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15" w:customStyle="1">
    <w:name w:val="List Table 1 Light - Accent 2"/>
    <w:basedOn w:val="79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6" w:customStyle="1">
    <w:name w:val="List Table 1 Light - Accent 3"/>
    <w:basedOn w:val="79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7" w:customStyle="1">
    <w:name w:val="List Table 1 Light - Accent 4"/>
    <w:basedOn w:val="79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8" w:customStyle="1">
    <w:name w:val="List Table 1 Light - Accent 5"/>
    <w:basedOn w:val="79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9" w:customStyle="1">
    <w:name w:val="List Table 1 Light - Accent 6"/>
    <w:basedOn w:val="79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0" w:customStyle="1">
    <w:name w:val="List Table 2"/>
    <w:basedOn w:val="79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List Table 2 - Accent 1"/>
    <w:basedOn w:val="79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22" w:customStyle="1">
    <w:name w:val="List Table 2 - Accent 2"/>
    <w:basedOn w:val="79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3" w:customStyle="1">
    <w:name w:val="List Table 2 - Accent 3"/>
    <w:basedOn w:val="79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4" w:customStyle="1">
    <w:name w:val="List Table 2 - Accent 4"/>
    <w:basedOn w:val="79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5" w:customStyle="1">
    <w:name w:val="List Table 2 - Accent 5"/>
    <w:basedOn w:val="79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26" w:customStyle="1">
    <w:name w:val="List Table 2 - Accent 6"/>
    <w:basedOn w:val="79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7" w:customStyle="1">
    <w:name w:val="List Table 3"/>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3 - Accent 1"/>
    <w:basedOn w:val="79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9" w:customStyle="1">
    <w:name w:val="List Table 3 - Accent 2"/>
    <w:basedOn w:val="79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30" w:customStyle="1">
    <w:name w:val="List Table 3 - Accent 3"/>
    <w:basedOn w:val="79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1" w:customStyle="1">
    <w:name w:val="List Table 3 - Accent 4"/>
    <w:basedOn w:val="79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2" w:customStyle="1">
    <w:name w:val="List Table 3 - Accent 5"/>
    <w:basedOn w:val="79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33" w:customStyle="1">
    <w:name w:val="List Table 3 - Accent 6"/>
    <w:basedOn w:val="79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4" w:customStyle="1">
    <w:name w:val="List Table 4"/>
    <w:basedOn w:val="79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4 - Accent 1"/>
    <w:basedOn w:val="79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6" w:customStyle="1">
    <w:name w:val="List Table 4 - Accent 2"/>
    <w:basedOn w:val="79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7" w:customStyle="1">
    <w:name w:val="List Table 4 - Accent 3"/>
    <w:basedOn w:val="79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8" w:customStyle="1">
    <w:name w:val="List Table 4 - Accent 4"/>
    <w:basedOn w:val="79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9" w:customStyle="1">
    <w:name w:val="List Table 4 - Accent 5"/>
    <w:basedOn w:val="79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0" w:customStyle="1">
    <w:name w:val="List Table 4 - Accent 6"/>
    <w:basedOn w:val="79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1" w:customStyle="1">
    <w:name w:val="List Table 5 Dark"/>
    <w:basedOn w:val="79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1"/>
    <w:basedOn w:val="79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2"/>
    <w:basedOn w:val="79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3"/>
    <w:basedOn w:val="79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4"/>
    <w:basedOn w:val="79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5"/>
    <w:basedOn w:val="79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6"/>
    <w:basedOn w:val="79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6 Colorful"/>
    <w:basedOn w:val="79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9" w:customStyle="1">
    <w:name w:val="List Table 6 Colorful - Accent 1"/>
    <w:basedOn w:val="79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50" w:customStyle="1">
    <w:name w:val="List Table 6 Colorful - Accent 2"/>
    <w:basedOn w:val="79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51" w:customStyle="1">
    <w:name w:val="List Table 6 Colorful - Accent 3"/>
    <w:basedOn w:val="79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2" w:customStyle="1">
    <w:name w:val="List Table 6 Colorful - Accent 4"/>
    <w:basedOn w:val="79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3" w:customStyle="1">
    <w:name w:val="List Table 6 Colorful - Accent 5"/>
    <w:basedOn w:val="79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54" w:customStyle="1">
    <w:name w:val="List Table 6 Colorful - Accent 6"/>
    <w:basedOn w:val="79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5" w:customStyle="1">
    <w:name w:val="List Table 7 Colorful"/>
    <w:basedOn w:val="79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6" w:customStyle="1">
    <w:name w:val="List Table 7 Colorful - Accent 1"/>
    <w:basedOn w:val="79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57" w:customStyle="1">
    <w:name w:val="List Table 7 Colorful - Accent 2"/>
    <w:basedOn w:val="79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8" w:customStyle="1">
    <w:name w:val="List Table 7 Colorful - Accent 3"/>
    <w:basedOn w:val="79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9" w:customStyle="1">
    <w:name w:val="List Table 7 Colorful - Accent 4"/>
    <w:basedOn w:val="79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0" w:customStyle="1">
    <w:name w:val="List Table 7 Colorful - Accent 5"/>
    <w:basedOn w:val="79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61" w:customStyle="1">
    <w:name w:val="List Table 7 Colorful - Accent 6"/>
    <w:basedOn w:val="79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2" w:customStyle="1">
    <w:name w:val="Lined - Accent"/>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Lined - Accent 1"/>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64" w:customStyle="1">
    <w:name w:val="Lined - Accent 2"/>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5" w:customStyle="1">
    <w:name w:val="Lined - Accent 3"/>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6" w:customStyle="1">
    <w:name w:val="Lined - Accent 4"/>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7" w:customStyle="1">
    <w:name w:val="Lined - Accent 5"/>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8" w:customStyle="1">
    <w:name w:val="Lined - Accent 6"/>
    <w:basedOn w:val="79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9" w:customStyle="1">
    <w:name w:val="Bordered &amp; Lined - Accent"/>
    <w:basedOn w:val="79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Bordered &amp; Lined - Accent 1"/>
    <w:basedOn w:val="79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1" w:customStyle="1">
    <w:name w:val="Bordered &amp; Lined - Accent 2"/>
    <w:basedOn w:val="79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2" w:customStyle="1">
    <w:name w:val="Bordered &amp; Lined - Accent 3"/>
    <w:basedOn w:val="79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3" w:customStyle="1">
    <w:name w:val="Bordered &amp; Lined - Accent 4"/>
    <w:basedOn w:val="79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4" w:customStyle="1">
    <w:name w:val="Bordered &amp; Lined - Accent 5"/>
    <w:basedOn w:val="79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5" w:customStyle="1">
    <w:name w:val="Bordered &amp; Lined - Accent 6"/>
    <w:basedOn w:val="79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6" w:customStyle="1">
    <w:name w:val="Bordered"/>
    <w:basedOn w:val="79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7" w:customStyle="1">
    <w:name w:val="Bordered - Accent 1"/>
    <w:basedOn w:val="79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78" w:customStyle="1">
    <w:name w:val="Bordered - Accent 2"/>
    <w:basedOn w:val="79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9" w:customStyle="1">
    <w:name w:val="Bordered - Accent 3"/>
    <w:basedOn w:val="79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0" w:customStyle="1">
    <w:name w:val="Bordered - Accent 4"/>
    <w:basedOn w:val="79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1" w:customStyle="1">
    <w:name w:val="Bordered - Accent 5"/>
    <w:basedOn w:val="79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82" w:customStyle="1">
    <w:name w:val="Bordered - Accent 6"/>
    <w:basedOn w:val="79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3" w:customStyle="1">
    <w:name w:val="脚注文本 字符"/>
    <w:link w:val="813"/>
    <w:uiPriority w:val="99"/>
    <w:qFormat/>
    <w:rPr>
      <w:sz w:val="18"/>
    </w:rPr>
  </w:style>
  <w:style w:type="character" w:styleId="984" w:customStyle="1">
    <w:name w:val="尾注文本 字符"/>
    <w:link w:val="806"/>
    <w:uiPriority w:val="99"/>
    <w:qFormat/>
    <w:rPr>
      <w:sz w:val="20"/>
    </w:rPr>
  </w:style>
  <w:style w:type="paragraph" w:styleId="985" w:customStyle="1">
    <w:name w:val="TOC Heading"/>
    <w:uiPriority w:val="39"/>
    <w:unhideWhenUsed/>
    <w:qFormat/>
    <w:rPr>
      <w:rFonts w:ascii="Times New Roman" w:hAnsi="Times New Roman" w:eastAsia="宋体" w:cs="Times New Roman"/>
      <w:lang w:val="en-US" w:eastAsia="zh-CN" w:bidi="ne-NP"/>
    </w:rPr>
  </w:style>
  <w:style w:type="paragraph" w:styleId="986" w:customStyle="1">
    <w:name w:val="段"/>
    <w:next w:val="779"/>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ne-NP"/>
    </w:rPr>
  </w:style>
  <w:style w:type="character" w:styleId="987" w:customStyle="1">
    <w:name w:val="正文文本缩进 字符"/>
    <w:basedOn w:val="789"/>
    <w:link w:val="798"/>
    <w:uiPriority w:val="0"/>
    <w:qFormat/>
    <w:rPr>
      <w:rFonts w:ascii="Times New Roman" w:hAnsi="Times New Roman" w:eastAsia="宋体" w:cs="Times New Roman"/>
      <w:sz w:val="24"/>
      <w:szCs w:val="24"/>
    </w:rPr>
  </w:style>
  <w:style w:type="character" w:styleId="988" w:customStyle="1">
    <w:name w:val="标题 1 字符"/>
    <w:basedOn w:val="789"/>
    <w:link w:val="780"/>
    <w:uiPriority w:val="0"/>
    <w:qFormat/>
    <w:rPr>
      <w:rFonts w:ascii="Times New Roman" w:hAnsi="Times New Roman" w:eastAsia="宋体" w:cs="Times New Roman"/>
      <w:b/>
      <w:bCs/>
      <w:sz w:val="44"/>
      <w:szCs w:val="44"/>
    </w:rPr>
  </w:style>
  <w:style w:type="character" w:styleId="989" w:customStyle="1">
    <w:name w:val="标题 2 字符"/>
    <w:basedOn w:val="789"/>
    <w:link w:val="781"/>
    <w:uiPriority w:val="0"/>
    <w:qFormat/>
    <w:rPr>
      <w:rFonts w:ascii="Cambria" w:hAnsi="Cambria" w:eastAsia="宋体" w:cs="Times New Roman"/>
      <w:b/>
      <w:bCs/>
      <w:sz w:val="32"/>
      <w:szCs w:val="32"/>
    </w:rPr>
  </w:style>
  <w:style w:type="character" w:styleId="990" w:customStyle="1">
    <w:name w:val="正文缩进 字符"/>
    <w:link w:val="791"/>
    <w:uiPriority w:val="0"/>
    <w:qFormat/>
    <w:rPr>
      <w:rFonts w:ascii="Times New Roman" w:hAnsi="Times New Roman" w:eastAsia="楷体_GB2312" w:cs="Times New Roman"/>
      <w:sz w:val="24"/>
      <w:szCs w:val="20"/>
    </w:rPr>
  </w:style>
  <w:style w:type="character" w:styleId="991" w:customStyle="1">
    <w:name w:val="标题 3 字符"/>
    <w:basedOn w:val="789"/>
    <w:link w:val="782"/>
    <w:uiPriority w:val="0"/>
    <w:qFormat/>
    <w:rPr>
      <w:rFonts w:ascii="Times New Roman" w:hAnsi="Times New Roman" w:eastAsia="宋体" w:cs="Times New Roman"/>
      <w:b/>
      <w:sz w:val="32"/>
      <w:szCs w:val="20"/>
    </w:rPr>
  </w:style>
  <w:style w:type="character" w:styleId="992" w:customStyle="1">
    <w:name w:val="标题 5 字符"/>
    <w:basedOn w:val="789"/>
    <w:link w:val="784"/>
    <w:uiPriority w:val="0"/>
    <w:qFormat/>
    <w:rPr>
      <w:rFonts w:ascii="Times New Roman" w:hAnsi="Times New Roman" w:eastAsia="宋体" w:cs="Times New Roman"/>
      <w:b/>
      <w:bCs/>
      <w:sz w:val="28"/>
      <w:szCs w:val="28"/>
    </w:rPr>
  </w:style>
  <w:style w:type="character" w:styleId="993" w:customStyle="1">
    <w:name w:val="标题 6 字符"/>
    <w:basedOn w:val="789"/>
    <w:link w:val="785"/>
    <w:uiPriority w:val="9"/>
    <w:qFormat/>
    <w:rPr>
      <w:rFonts w:ascii="Arial" w:hAnsi="Arial" w:eastAsia="宋体" w:cs="Times New Roman"/>
      <w:bCs/>
      <w:sz w:val="24"/>
      <w:szCs w:val="24"/>
    </w:rPr>
  </w:style>
  <w:style w:type="character" w:styleId="994" w:customStyle="1">
    <w:name w:val="批注文字 字符"/>
    <w:basedOn w:val="789"/>
    <w:link w:val="796"/>
    <w:uiPriority w:val="0"/>
    <w:qFormat/>
    <w:rPr>
      <w:rFonts w:ascii="Times New Roman" w:hAnsi="Times New Roman" w:eastAsia="宋体" w:cs="Times New Roman"/>
      <w:szCs w:val="24"/>
    </w:rPr>
  </w:style>
  <w:style w:type="character" w:styleId="995" w:customStyle="1">
    <w:name w:val="正文文本 字符"/>
    <w:basedOn w:val="789"/>
    <w:link w:val="797"/>
    <w:uiPriority w:val="99"/>
    <w:qFormat/>
    <w:rPr>
      <w:rFonts w:ascii="Times New Roman" w:hAnsi="Times New Roman" w:eastAsia="宋体" w:cs="Times New Roman"/>
      <w:sz w:val="20"/>
      <w:szCs w:val="24"/>
    </w:rPr>
  </w:style>
  <w:style w:type="character" w:styleId="996" w:customStyle="1">
    <w:name w:val="纯文本 字符"/>
    <w:basedOn w:val="789"/>
    <w:link w:val="803"/>
    <w:uiPriority w:val="0"/>
    <w:qFormat/>
    <w:rPr>
      <w:rFonts w:ascii="宋体" w:hAnsi="Courier New" w:eastAsia="楷体_GB2312" w:cs="Times New Roman"/>
      <w:sz w:val="26"/>
      <w:szCs w:val="24"/>
    </w:rPr>
  </w:style>
  <w:style w:type="character" w:styleId="997" w:customStyle="1">
    <w:name w:val="日期 字符"/>
    <w:basedOn w:val="789"/>
    <w:link w:val="805"/>
    <w:uiPriority w:val="0"/>
    <w:qFormat/>
    <w:rPr>
      <w:rFonts w:ascii="Times New Roman" w:hAnsi="Times New Roman" w:eastAsia="宋体" w:cs="Times New Roman"/>
      <w:b/>
      <w:bCs/>
      <w:spacing w:val="20"/>
      <w:sz w:val="20"/>
      <w:szCs w:val="24"/>
    </w:rPr>
  </w:style>
  <w:style w:type="character" w:styleId="998" w:customStyle="1">
    <w:name w:val="批注框文本 字符"/>
    <w:basedOn w:val="789"/>
    <w:link w:val="807"/>
    <w:uiPriority w:val="0"/>
    <w:qFormat/>
    <w:rPr>
      <w:rFonts w:ascii="Times New Roman" w:hAnsi="Times New Roman" w:eastAsia="宋体" w:cs="Times New Roman"/>
      <w:sz w:val="18"/>
      <w:szCs w:val="18"/>
    </w:rPr>
  </w:style>
  <w:style w:type="character" w:styleId="999" w:customStyle="1">
    <w:name w:val="页脚 字符"/>
    <w:basedOn w:val="789"/>
    <w:link w:val="808"/>
    <w:uiPriority w:val="99"/>
    <w:qFormat/>
    <w:rPr>
      <w:rFonts w:ascii="Times New Roman" w:hAnsi="Times New Roman" w:eastAsia="宋体" w:cs="Times New Roman"/>
      <w:sz w:val="18"/>
      <w:szCs w:val="18"/>
    </w:rPr>
  </w:style>
  <w:style w:type="character" w:styleId="1000" w:customStyle="1">
    <w:name w:val="页眉 字符"/>
    <w:basedOn w:val="789"/>
    <w:link w:val="809"/>
    <w:uiPriority w:val="0"/>
    <w:qFormat/>
    <w:rPr>
      <w:rFonts w:ascii="Times New Roman" w:hAnsi="Times New Roman" w:eastAsia="宋体" w:cs="Times New Roman"/>
      <w:sz w:val="18"/>
      <w:szCs w:val="18"/>
    </w:rPr>
  </w:style>
  <w:style w:type="character" w:styleId="1001" w:customStyle="1">
    <w:name w:val="副标题 字符"/>
    <w:basedOn w:val="789"/>
    <w:link w:val="812"/>
    <w:uiPriority w:val="0"/>
    <w:qFormat/>
    <w:rPr>
      <w:rFonts w:ascii="宋体" w:hAnsi="Courier New" w:eastAsia="楷体_GB2312" w:cs="Times New Roman"/>
      <w:sz w:val="26"/>
      <w:szCs w:val="20"/>
    </w:rPr>
  </w:style>
  <w:style w:type="character" w:styleId="1002" w:customStyle="1">
    <w:name w:val="正文文本缩进 3 字符"/>
    <w:basedOn w:val="789"/>
    <w:link w:val="815"/>
    <w:uiPriority w:val="0"/>
    <w:qFormat/>
    <w:rPr>
      <w:rFonts w:ascii="Times New Roman" w:hAnsi="Times New Roman" w:eastAsia="宋体" w:cs="Times New Roman"/>
      <w:sz w:val="24"/>
      <w:szCs w:val="24"/>
    </w:rPr>
  </w:style>
  <w:style w:type="character" w:styleId="1003" w:customStyle="1">
    <w:name w:val="批注主题 字符"/>
    <w:basedOn w:val="994"/>
    <w:link w:val="795"/>
    <w:uiPriority w:val="0"/>
    <w:qFormat/>
    <w:rPr>
      <w:rFonts w:ascii="Times New Roman" w:hAnsi="Times New Roman" w:eastAsia="宋体" w:cs="Times New Roman"/>
      <w:b/>
      <w:bCs/>
      <w:szCs w:val="24"/>
    </w:rPr>
  </w:style>
  <w:style w:type="character" w:styleId="1004" w:customStyle="1">
    <w:name w:val="hover14"/>
    <w:uiPriority w:val="0"/>
    <w:qFormat/>
    <w:rPr>
      <w:shd w:val="clear" w:color="auto" w:fill="eeeeee"/>
    </w:rPr>
  </w:style>
  <w:style w:type="character" w:styleId="1005" w:customStyle="1">
    <w:name w:val="hour_pm"/>
    <w:uiPriority w:val="0"/>
    <w:qFormat/>
  </w:style>
  <w:style w:type="character" w:styleId="1006" w:customStyle="1">
    <w:name w:val="first-child"/>
    <w:uiPriority w:val="0"/>
    <w:qFormat/>
  </w:style>
  <w:style w:type="character" w:styleId="1007" w:customStyle="1">
    <w:name w:val="正文文本 Char"/>
    <w:uiPriority w:val="99"/>
    <w:qFormat/>
    <w:rPr>
      <w:rFonts w:ascii="Calibri" w:hAnsi="Calibri" w:eastAsia="宋体" w:cs="Times New Roman"/>
      <w:szCs w:val="24"/>
    </w:rPr>
  </w:style>
  <w:style w:type="character" w:styleId="1008" w:customStyle="1">
    <w:name w:val="font81"/>
    <w:uiPriority w:val="0"/>
    <w:qFormat/>
    <w:rPr>
      <w:rFonts w:hint="eastAsia" w:ascii="宋体" w:hAnsi="宋体" w:eastAsia="宋体" w:cs="宋体"/>
      <w:b/>
      <w:color w:val="000000"/>
      <w:sz w:val="22"/>
      <w:szCs w:val="22"/>
      <w:u w:val="none"/>
    </w:rPr>
  </w:style>
  <w:style w:type="character" w:styleId="1009" w:customStyle="1">
    <w:name w:val="日期 Char1"/>
    <w:uiPriority w:val="0"/>
    <w:qFormat/>
    <w:rPr>
      <w:rFonts w:ascii="Calibri" w:hAnsi="Calibri" w:eastAsia="宋体" w:cs="Times New Roman"/>
      <w:szCs w:val="24"/>
    </w:rPr>
  </w:style>
  <w:style w:type="character" w:styleId="1010" w:customStyle="1">
    <w:name w:val="hover13"/>
    <w:uiPriority w:val="0"/>
    <w:qFormat/>
    <w:rPr>
      <w:shd w:val="clear" w:color="auto" w:fill="eeeeee"/>
    </w:rPr>
  </w:style>
  <w:style w:type="character" w:styleId="1011" w:customStyle="1">
    <w:name w:val="font71"/>
    <w:uiPriority w:val="0"/>
    <w:qFormat/>
    <w:rPr>
      <w:rFonts w:hint="eastAsia" w:ascii="宋体" w:hAnsi="宋体" w:eastAsia="宋体" w:cs="宋体"/>
      <w:b/>
      <w:color w:val="000000"/>
      <w:sz w:val="22"/>
      <w:szCs w:val="22"/>
      <w:u w:val="none"/>
      <w:vertAlign w:val="superscript"/>
    </w:rPr>
  </w:style>
  <w:style w:type="character" w:styleId="1012" w:customStyle="1">
    <w:name w:val="纯文本 Char"/>
    <w:uiPriority w:val="0"/>
    <w:qFormat/>
    <w:rPr>
      <w:rFonts w:ascii="宋体" w:hAnsi="Courier New" w:eastAsia="宋体" w:cs="Courier New"/>
      <w:szCs w:val="21"/>
    </w:rPr>
  </w:style>
  <w:style w:type="character" w:styleId="1013" w:customStyle="1">
    <w:name w:val="select2-selection__rendered"/>
    <w:uiPriority w:val="0"/>
    <w:qFormat/>
    <w:rPr>
      <w:sz w:val="18"/>
      <w:szCs w:val="18"/>
    </w:rPr>
  </w:style>
  <w:style w:type="character" w:styleId="1014" w:customStyle="1">
    <w:name w:val="first-child1"/>
    <w:uiPriority w:val="0"/>
    <w:qFormat/>
  </w:style>
  <w:style w:type="character" w:styleId="1015" w:customStyle="1">
    <w:name w:val="old"/>
    <w:uiPriority w:val="0"/>
    <w:qFormat/>
    <w:rPr>
      <w:color w:val="999999"/>
    </w:rPr>
  </w:style>
  <w:style w:type="character" w:styleId="1016" w:customStyle="1">
    <w:name w:val="time"/>
    <w:uiPriority w:val="0"/>
    <w:qFormat/>
    <w:rPr>
      <w:rFonts w:ascii="Arial" w:hAnsi="Arial" w:cs="Arial"/>
    </w:rPr>
  </w:style>
  <w:style w:type="character" w:styleId="1017" w:customStyle="1">
    <w:name w:val="Plain Text Char"/>
    <w:link w:val="1018"/>
    <w:uiPriority w:val="0"/>
    <w:qFormat/>
    <w:rPr>
      <w:rFonts w:ascii="宋体" w:hAnsi="Courier New" w:eastAsia="楷体_GB2312" w:cs="Times New Roman"/>
      <w:sz w:val="26"/>
    </w:rPr>
  </w:style>
  <w:style w:type="paragraph" w:styleId="1018" w:customStyle="1">
    <w:name w:val="纯文本3"/>
    <w:basedOn w:val="779"/>
    <w:link w:val="1017"/>
    <w:uiPriority w:val="0"/>
    <w:qFormat/>
    <w:rPr>
      <w:rFonts w:ascii="宋体" w:hAnsi="Courier New" w:eastAsia="楷体_GB2312"/>
      <w:sz w:val="26"/>
      <w:szCs w:val="22"/>
    </w:rPr>
  </w:style>
  <w:style w:type="character" w:styleId="1019" w:customStyle="1">
    <w:name w:val="hour_am"/>
    <w:uiPriority w:val="0"/>
    <w:qFormat/>
  </w:style>
  <w:style w:type="character" w:styleId="1020" w:customStyle="1">
    <w:name w:val="NormalCharacter"/>
    <w:uiPriority w:val="0"/>
    <w:semiHidden/>
    <w:qFormat/>
    <w:rPr>
      <w:rFonts w:ascii="Times New Roman" w:hAnsi="Times New Roman" w:eastAsia="宋体" w:cs="Times New Roman"/>
    </w:rPr>
  </w:style>
  <w:style w:type="paragraph" w:styleId="1021" w:customStyle="1">
    <w:name w:val="纯文本2"/>
    <w:basedOn w:val="779"/>
    <w:uiPriority w:val="0"/>
    <w:qFormat/>
    <w:rPr>
      <w:rFonts w:ascii="宋体" w:hAnsi="Courier New"/>
    </w:rPr>
  </w:style>
  <w:style w:type="paragraph" w:styleId="1022" w:customStyle="1">
    <w:name w:val="文本正文"/>
    <w:basedOn w:val="779"/>
    <w:uiPriority w:val="0"/>
    <w:qFormat/>
    <w:pPr>
      <w:ind w:firstLine="560"/>
      <w:jc w:val="left"/>
      <w:spacing w:line="360" w:lineRule="auto"/>
    </w:pPr>
    <w:rPr>
      <w:sz w:val="28"/>
      <w:szCs w:val="28"/>
    </w:rPr>
  </w:style>
  <w:style w:type="paragraph" w:styleId="1023" w:customStyle="1">
    <w:name w:val="Plain Text1"/>
    <w:basedOn w:val="779"/>
    <w:uiPriority w:val="0"/>
    <w:qFormat/>
    <w:pPr>
      <w:jc w:val="left"/>
      <w:widowControl/>
    </w:pPr>
    <w:rPr>
      <w:rFonts w:ascii="宋体" w:hAnsi="Courier New" w:eastAsia="楷体_GB2312"/>
      <w:sz w:val="26"/>
      <w:szCs w:val="20"/>
    </w:rPr>
  </w:style>
  <w:style w:type="paragraph" w:styleId="1024" w:customStyle="1">
    <w:name w:val="纯文本4"/>
    <w:basedOn w:val="779"/>
    <w:uiPriority w:val="0"/>
    <w:qFormat/>
    <w:rPr>
      <w:rFonts w:ascii="宋体" w:hAnsi="Courier New" w:eastAsia="楷体_GB2312"/>
      <w:sz w:val="26"/>
      <w:szCs w:val="20"/>
    </w:rPr>
  </w:style>
  <w:style w:type="paragraph" w:styleId="1025" w:customStyle="1">
    <w:name w:val="Default"/>
    <w:uiPriority w:val="0"/>
    <w:qFormat/>
    <w:pPr>
      <w:widowControl w:val="off"/>
    </w:pPr>
    <w:rPr>
      <w:rFonts w:ascii="宋体" w:hAnsi="Times New Roman" w:eastAsia="宋体" w:cs="Times New Roman"/>
      <w:color w:val="000000"/>
      <w:sz w:val="24"/>
      <w:szCs w:val="24"/>
      <w:lang w:val="en-US" w:eastAsia="zh-CN" w:bidi="ne-NP"/>
    </w:rPr>
  </w:style>
  <w:style w:type="paragraph" w:styleId="1026">
    <w:name w:val="List Paragraph"/>
    <w:basedOn w:val="779"/>
    <w:uiPriority w:val="99"/>
    <w:qFormat/>
    <w:pPr>
      <w:ind w:firstLine="420"/>
    </w:pPr>
  </w:style>
  <w:style w:type="paragraph" w:styleId="1027" w:customStyle="1">
    <w:name w:val="纯文本1"/>
    <w:basedOn w:val="779"/>
    <w:uiPriority w:val="0"/>
    <w:qFormat/>
    <w:rPr>
      <w:rFonts w:ascii="宋体" w:hAnsi="Courier New" w:eastAsia="楷体_GB2312"/>
      <w:sz w:val="28"/>
      <w:szCs w:val="20"/>
    </w:rPr>
  </w:style>
  <w:style w:type="paragraph" w:styleId="1028" w:customStyle="1">
    <w:name w:val="修订1"/>
    <w:uiPriority w:val="99"/>
    <w:unhideWhenUsed/>
    <w:qFormat/>
    <w:rPr>
      <w:rFonts w:ascii="Times New Roman" w:hAnsi="Times New Roman" w:eastAsia="宋体" w:cs="Times New Roman"/>
      <w:sz w:val="21"/>
      <w:szCs w:val="24"/>
      <w:lang w:val="en-US" w:eastAsia="zh-CN" w:bidi="ne-NP"/>
    </w:rPr>
  </w:style>
  <w:style w:type="paragraph" w:styleId="1029" w:customStyle="1">
    <w:name w:val="纯文本5"/>
    <w:basedOn w:val="779"/>
    <w:uiPriority w:val="0"/>
    <w:qFormat/>
    <w:rPr>
      <w:rFonts w:ascii="宋体" w:hAnsi="Courier New" w:eastAsia="楷体_GB2312"/>
      <w:sz w:val="26"/>
      <w:szCs w:val="20"/>
    </w:rPr>
  </w:style>
  <w:style w:type="paragraph" w:styleId="1030" w:customStyle="1">
    <w:name w:val="纯文本6"/>
    <w:basedOn w:val="779"/>
    <w:uiPriority w:val="0"/>
    <w:qFormat/>
    <w:rPr>
      <w:rFonts w:ascii="宋体" w:hAnsi="Courier New" w:eastAsia="楷体_GB2312"/>
      <w:sz w:val="26"/>
      <w:szCs w:val="20"/>
    </w:rPr>
  </w:style>
  <w:style w:type="character" w:styleId="1031" w:customStyle="1">
    <w:name w:val="font21"/>
    <w:basedOn w:val="789"/>
    <w:uiPriority w:val="0"/>
    <w:qFormat/>
    <w:rPr>
      <w:rFonts w:hint="eastAsia" w:ascii="宋体" w:hAnsi="宋体" w:eastAsia="宋体" w:cs="宋体"/>
      <w:color w:val="000000"/>
      <w:sz w:val="22"/>
      <w:szCs w:val="22"/>
      <w:u w:val="none"/>
    </w:rPr>
  </w:style>
  <w:style w:type="paragraph" w:styleId="1032" w:customStyle="1">
    <w:name w:val="正文1"/>
    <w:basedOn w:val="779"/>
    <w:uiPriority w:val="0"/>
    <w:qFormat/>
    <w:rPr>
      <w:rFonts w:ascii="宋体" w:hAnsi="宋体" w:cs="宋体"/>
      <w:sz w:val="24"/>
      <w:szCs w:val="20"/>
      <w:lang w:eastAsia="en-US"/>
    </w:rPr>
  </w:style>
  <w:style w:type="paragraph" w:styleId="1033" w:customStyle="1">
    <w:name w:val="纯文本7"/>
    <w:basedOn w:val="779"/>
    <w:uiPriority w:val="0"/>
    <w:qFormat/>
    <w:rPr>
      <w:rFonts w:ascii="宋体" w:hAnsi="Courier New" w:eastAsia="楷体_GB2312"/>
      <w:sz w:val="26"/>
      <w:szCs w:val="20"/>
    </w:rPr>
  </w:style>
  <w:style w:type="character" w:styleId="1034" w:customStyle="1">
    <w:name w:val="font31"/>
    <w:basedOn w:val="789"/>
    <w:uiPriority w:val="0"/>
    <w:qFormat/>
    <w:rPr>
      <w:rFonts w:ascii="Calibri" w:hAnsi="Calibri" w:cs="Calibri"/>
      <w:color w:val="000000"/>
      <w:sz w:val="21"/>
      <w:szCs w:val="21"/>
      <w:u w:val="none"/>
    </w:rPr>
  </w:style>
  <w:style w:type="character" w:styleId="1035" w:customStyle="1">
    <w:name w:val="font41"/>
    <w:basedOn w:val="789"/>
    <w:uiPriority w:val="0"/>
    <w:qFormat/>
    <w:rPr>
      <w:rFonts w:hint="eastAsia" w:ascii="宋体" w:hAnsi="宋体" w:eastAsia="宋体" w:cs="宋体"/>
      <w:color w:val="000000"/>
      <w:sz w:val="22"/>
      <w:szCs w:val="22"/>
      <w:u w:val="none"/>
    </w:rPr>
  </w:style>
  <w:style w:type="character" w:styleId="1036" w:customStyle="1">
    <w:name w:val="font51"/>
    <w:basedOn w:val="789"/>
    <w:uiPriority w:val="0"/>
    <w:qFormat/>
    <w:rPr>
      <w:rFonts w:hint="eastAsia" w:ascii="宋体" w:hAnsi="宋体" w:eastAsia="宋体" w:cs="宋体"/>
      <w:color w:val="000000"/>
      <w:sz w:val="24"/>
      <w:szCs w:val="24"/>
      <w:u w:val="none"/>
    </w:rPr>
  </w:style>
  <w:style w:type="paragraph" w:styleId="1037" w:customStyle="1">
    <w:name w:val="Body text|1"/>
    <w:basedOn w:val="779"/>
    <w:uiPriority w:val="0"/>
    <w:qFormat/>
    <w:pPr>
      <w:ind w:firstLine="400"/>
      <w:jc w:val="left"/>
    </w:pPr>
    <w:rPr>
      <w:rFonts w:ascii="宋体" w:hAnsi="宋体" w:cs="宋体"/>
      <w:color w:val="000000"/>
      <w:sz w:val="20"/>
      <w:szCs w:val="20"/>
      <w:lang w:val="zh-TW" w:eastAsia="zh-TW" w:bidi="zh-TW"/>
    </w:rPr>
  </w:style>
  <w:style w:type="paragraph" w:styleId="1038" w:customStyle="1">
    <w:name w:val="正文文本缩进1"/>
    <w:basedOn w:val="779"/>
    <w:uiPriority w:val="99"/>
    <w:unhideWhenUsed/>
    <w:qFormat/>
    <w:pPr>
      <w:ind w:left="420"/>
      <w:spacing w:after="120"/>
    </w:pPr>
  </w:style>
  <w:style w:type="paragraph" w:styleId="1039" w:customStyle="1">
    <w:name w:val="正文缩进1"/>
    <w:basedOn w:val="779"/>
    <w:uiPriority w:val="0"/>
    <w:qFormat/>
    <w:pPr>
      <w:ind w:firstLine="420"/>
      <w:jc w:val="left"/>
    </w:pPr>
    <w:rPr>
      <w:rFonts w:eastAsia="楷体_GB2312"/>
      <w:sz w:val="24"/>
      <w:szCs w:val="20"/>
    </w:rPr>
  </w:style>
  <w:style w:type="paragraph" w:styleId="1040" w:customStyle="1">
    <w:name w:val="纯文本11"/>
    <w:basedOn w:val="779"/>
    <w:uiPriority w:val="0"/>
    <w:qFormat/>
    <w:pPr>
      <w:jc w:val="left"/>
      <w:widowControl/>
    </w:pPr>
    <w:rPr>
      <w:rFonts w:ascii="宋体" w:hAnsi="Courier New" w:eastAsia="楷体_GB2312"/>
      <w:sz w:val="26"/>
      <w:szCs w:val="20"/>
    </w:rPr>
  </w:style>
  <w:style w:type="character" w:styleId="1041" w:customStyle="1">
    <w:name w:val="font01"/>
    <w:uiPriority w:val="0"/>
    <w:qFormat/>
    <w:rPr>
      <w:rFonts w:hint="eastAsia" w:ascii="宋体" w:hAnsi="宋体" w:eastAsia="宋体" w:cs="宋体"/>
      <w:color w:val="000000"/>
      <w:sz w:val="24"/>
      <w:szCs w:val="24"/>
      <w:u w:val="none"/>
    </w:rPr>
  </w:style>
  <w:style w:type="character" w:styleId="1042" w:customStyle="1">
    <w:name w:val="font11"/>
    <w:uiPriority w:val="0"/>
    <w:qFormat/>
    <w:rPr>
      <w:rFonts w:hint="eastAsia" w:ascii="宋体" w:hAnsi="宋体" w:eastAsia="宋体" w:cs="宋体"/>
      <w:color w:val="000000"/>
      <w:sz w:val="21"/>
      <w:szCs w:val="21"/>
      <w:u w:val="none"/>
    </w:rPr>
  </w:style>
  <w:style w:type="paragraph" w:styleId="1043" w:customStyle="1">
    <w:name w:val="Table Text"/>
    <w:basedOn w:val="779"/>
    <w:uiPriority w:val="0"/>
    <w:semiHidden/>
    <w:qFormat/>
    <w:rPr>
      <w:rFonts w:ascii="仿宋" w:hAnsi="仿宋" w:eastAsia="仿宋" w:cs="仿宋"/>
      <w:sz w:val="19"/>
      <w:szCs w:val="19"/>
      <w:lang w:val="en-US" w:eastAsia="en-US" w:bidi="ar-SA"/>
    </w:rPr>
  </w:style>
  <w:style w:type="paragraph" w:styleId="1044" w:customStyle="1">
    <w:name w:val="正文文本11"/>
    <w:basedOn w:val="779"/>
    <w:uiPriority w:val="0"/>
    <w:semiHidden/>
    <w:qFormat/>
    <w:rPr>
      <w:rFonts w:ascii="仿宋" w:hAnsi="仿宋" w:eastAsia="仿宋" w:cs="仿宋"/>
      <w:sz w:val="24"/>
      <w:szCs w:val="24"/>
      <w:lang w:val="en-US" w:eastAsia="en-US" w:bidi="ar-SA"/>
    </w:rPr>
  </w:style>
  <w:style w:type="paragraph" w:styleId="1045" w:customStyle="1">
    <w:name w:val="标题 41"/>
    <w:basedOn w:val="779"/>
    <w:next w:val="779"/>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1046" w:customStyle="1">
    <w:name w:val="标题 31"/>
    <w:basedOn w:val="779"/>
    <w:next w:val="779"/>
    <w:uiPriority w:val="0"/>
    <w:qFormat/>
    <w:pPr>
      <w:keepLines/>
      <w:keepNext/>
      <w:widowControl w:val="off"/>
      <w:outlineLvl w:val="2"/>
    </w:pPr>
    <w:rPr>
      <w:rFonts w:eastAsia="楷体_GB2312"/>
      <w:b/>
      <w:sz w:val="32"/>
      <w:szCs w:val="20"/>
    </w:rPr>
  </w:style>
  <w:style w:type="paragraph" w:styleId="1047" w:customStyle="1">
    <w:name w:val="正文文本1"/>
    <w:basedOn w:val="779"/>
    <w:uiPriority w:val="0"/>
    <w:qFormat/>
    <w:pPr>
      <w:spacing w:line="360" w:lineRule="auto"/>
    </w:pPr>
    <w:rPr>
      <w:szCs w:val="20"/>
    </w:rPr>
  </w:style>
  <w:style w:type="paragraph" w:styleId="1048" w:customStyle="1">
    <w:name w:val="页脚1"/>
    <w:basedOn w:val="779"/>
    <w:uiPriority w:val="99"/>
    <w:qFormat/>
    <w:pPr>
      <w:widowControl w:val="off"/>
      <w:tabs>
        <w:tab w:val="center" w:pos="4153" w:leader="none"/>
        <w:tab w:val="right" w:pos="8306" w:leader="none"/>
      </w:tabs>
    </w:pPr>
    <w:rPr>
      <w:sz w:val="18"/>
      <w:szCs w:val="18"/>
    </w:rPr>
  </w:style>
  <w:style w:type="table" w:styleId="1049" w:customStyle="1">
    <w:name w:val="Table Normal"/>
    <w:uiPriority w:val="0"/>
    <w:semiHidden/>
    <w:unhideWhenUsed/>
    <w:qFormat/>
    <w:tblPr>
      <w:tblCellMar>
        <w:left w:w="0" w:type="dxa"/>
        <w:top w:w="0" w:type="dxa"/>
        <w:right w:w="0" w:type="dxa"/>
        <w:bottom w:w="0" w:type="dxa"/>
      </w:tblCellMar>
    </w:tblPr>
  </w:style>
  <w:style w:type="paragraph" w:styleId="1050" w:customStyle="1">
    <w:name w:val="04"/>
    <w:basedOn w:val="798"/>
    <w:uiPriority w:val="0"/>
    <w:qFormat/>
    <w:pPr>
      <w:ind w:firstLine="560"/>
      <w:jc w:val="left"/>
      <w:widowControl/>
      <w:outlineLvl w:val="9"/>
    </w:pPr>
    <w:rPr>
      <w:rFonts w:ascii="仿宋" w:hAnsi="仿宋" w:eastAsia="仿宋"/>
      <w:sz w:val="28"/>
      <w:szCs w:val="21"/>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丁莎莎</cp:lastModifiedBy>
  <cp:revision>34</cp:revision>
  <dcterms:created xsi:type="dcterms:W3CDTF">2023-03-06T07:30:00Z</dcterms:created>
  <dcterms:modified xsi:type="dcterms:W3CDTF">2025-07-30T08:48:31Z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DCECF400C5BE4E0BAF3B0DD201E26A71_13</vt:lpwstr>
  </property>
  <property fmtid="{D5CDD505-2E9C-101B-9397-08002B2CF9AE}" pid="4" name="KSOTemplateDocerSaveRecord">
    <vt:lpwstr>eyJoZGlkIjoiZDBmYzQ3NGIyMWVhZDZhMjY4NDg0NzczYzRiZmJlOGYiLCJ1c2VySWQiOiI0Mjc0Njg4NjQifQ==</vt:lpwstr>
  </property>
</Properties>
</file>