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bookmarkStart w:id="190" w:name="_GoBack"/>
      <w:r/>
      <w:bookmarkEnd w:id="190"/>
      <w:r/>
      <w:r/>
    </w:p>
    <w:p>
      <w:pPr>
        <w:jc w:val="center"/>
        <w:spacing w:before="120" w:after="120" w:line="360" w:lineRule="auto"/>
        <w:rPr>
          <w:rFonts w:ascii="Arial" w:hAnsi="Arial" w:eastAsia="黑体"/>
          <w:b/>
          <w:bCs/>
          <w:sz w:val="84"/>
          <w:szCs w:val="24"/>
        </w:rPr>
      </w:pPr>
      <w:r/>
      <w:bookmarkStart w:id="0" w:name="_Toc20823272"/>
      <w:r/>
      <w:bookmarkStart w:id="1" w:name="_Toc479757206"/>
      <w:r/>
      <w:bookmarkStart w:id="2" w:name="_Toc513029200"/>
      <w:r/>
      <w:bookmarkStart w:id="3" w:name="_Toc16938516"/>
      <w:r/>
      <w:bookmarkStart w:id="4" w:name="_Toc523127445"/>
      <w:r>
        <w:rPr>
          <w:rFonts w:hint="eastAsia" w:ascii="Arial" w:hAnsi="Arial" w:eastAsia="黑体"/>
          <w:b/>
          <w:bCs/>
          <w:sz w:val="84"/>
          <w:szCs w:val="24"/>
        </w:rPr>
        <w:t xml:space="preserve">招　标　文　件</w:t>
      </w:r>
      <w:r/>
    </w:p>
    <w:p>
      <w:pPr>
        <w:ind w:left="529" w:firstLine="475"/>
        <w:spacing w:before="120" w:after="120" w:line="360" w:lineRule="auto"/>
        <w:rPr>
          <w:b/>
          <w:bCs/>
          <w:sz w:val="32"/>
        </w:rPr>
      </w:pPr>
      <w:r/>
      <w:bookmarkStart w:id="5" w:name="OLE_LINK1"/>
      <w:r/>
      <w:bookmarkStart w:id="6" w:name="OLE_LINK4"/>
      <w:r>
        <w:rPr>
          <w:rFonts w:hint="eastAsia" w:ascii="Arial" w:hAnsi="Arial"/>
          <w:b/>
          <w:bCs/>
          <w:sz w:val="32"/>
          <w:szCs w:val="24"/>
        </w:rPr>
        <w:t xml:space="preserve">项目名称：</w:t>
      </w:r>
      <w:r>
        <w:rPr>
          <w:rFonts w:hint="eastAsia"/>
          <w:b/>
          <w:bCs/>
          <w:sz w:val="32"/>
        </w:rPr>
        <w:t xml:space="preserve">“一人一档”</w:t>
      </w:r>
      <w:r>
        <w:rPr>
          <w:b/>
          <w:bCs/>
          <w:sz w:val="32"/>
        </w:rPr>
        <w:t xml:space="preserve">全民参保数据库升级项目</w:t>
      </w:r>
      <w:r/>
    </w:p>
    <w:p>
      <w:pPr>
        <w:ind w:left="320" w:hanging="320"/>
        <w:jc w:val="center"/>
        <w:spacing w:before="120" w:after="120" w:line="360" w:lineRule="auto"/>
        <w:rPr>
          <w:rFonts w:ascii="Arial" w:hAnsi="Arial"/>
          <w:b/>
          <w:bCs/>
          <w:sz w:val="32"/>
          <w:szCs w:val="24"/>
        </w:rPr>
      </w:pPr>
      <w:r>
        <w:rPr>
          <w:rFonts w:hint="eastAsia" w:ascii="Arial" w:hAnsi="Arial"/>
          <w:b/>
          <w:bCs/>
          <w:sz w:val="32"/>
          <w:szCs w:val="24"/>
        </w:rPr>
        <w:t xml:space="preserve">项目编号：</w:t>
      </w:r>
      <w:bookmarkEnd w:id="5"/>
      <w:r/>
      <w:bookmarkEnd w:id="6"/>
      <w:r>
        <w:rPr>
          <w:rFonts w:ascii="Arial" w:hAnsi="Arial"/>
          <w:b/>
          <w:bCs/>
          <w:sz w:val="32"/>
          <w:szCs w:val="24"/>
        </w:rPr>
        <w:t xml:space="preserve">JSZC-320000-SCZX-G2025-0417</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bookmarkStart w:id="7" w:name="OLE_LINK5"/>
      <w:r/>
      <w:bookmarkStart w:id="8" w:name="OLE_LINK6"/>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8</w:t>
      </w:r>
      <w:r>
        <w:rPr>
          <w:rFonts w:hint="eastAsia" w:ascii="Arial" w:hAnsi="Arial"/>
          <w:b/>
          <w:bCs/>
          <w:sz w:val="32"/>
          <w:szCs w:val="24"/>
        </w:rPr>
        <w:t xml:space="preserve">月</w:t>
      </w:r>
      <w:bookmarkEnd w:id="7"/>
      <w:r/>
      <w:bookmarkEnd w:id="8"/>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9" w:name="_Toc12061421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5"/>
        </w:numPr>
        <w:spacing w:line="480" w:lineRule="auto"/>
        <w:rPr>
          <w:rFonts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w:t>
      </w:r>
      <w:r>
        <w:rPr>
          <w:rFonts w:hint="eastAsia" w:ascii="黑体" w:hAnsi="Showcard Gothic" w:eastAsia="黑体"/>
          <w:sz w:val="32"/>
          <w:szCs w:val="21"/>
        </w:rPr>
        <w:t xml:space="preserve">3</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ascii="黑体" w:hAnsi="Showcard Gothic" w:eastAsia="黑体"/>
          <w:sz w:val="36"/>
          <w:szCs w:val="21"/>
        </w:rPr>
        <w:t xml:space="preserve">42</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rPr>
          <w:rFonts w:ascii="黑体" w:hAnsi="Showcard Gothic" w:eastAsia="黑体"/>
          <w:sz w:val="36"/>
          <w:szCs w:val="21"/>
        </w:rPr>
        <w:t xml:space="preserve">60</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………………………6</w:t>
      </w:r>
      <w:r>
        <w:rPr>
          <w:rFonts w:ascii="黑体" w:hAnsi="Showcard Gothic" w:eastAsia="黑体"/>
          <w:sz w:val="36"/>
          <w:szCs w:val="21"/>
        </w:rPr>
        <w:t xml:space="preserve">6</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bookmarkEnd w:id="9"/>
      <w:r/>
      <w:r/>
    </w:p>
    <w:p>
      <w:pPr>
        <w:rPr>
          <w:szCs w:val="21"/>
        </w:rPr>
      </w:pPr>
      <w:r>
        <w:rPr>
          <w:szCs w:val="21"/>
        </w:rPr>
      </w:r>
      <w:r/>
    </w:p>
    <w:p>
      <w:pPr>
        <w:rPr>
          <w:szCs w:val="21"/>
        </w:rPr>
      </w:pPr>
      <w:r>
        <w:rPr>
          <w:szCs w:val="21"/>
        </w:rPr>
      </w:r>
      <w:r/>
    </w:p>
    <w:p>
      <w:pPr>
        <w:pStyle w:val="917"/>
        <w:rPr>
          <w:rFonts w:ascii="黑体" w:eastAsia="黑体"/>
          <w:bCs/>
          <w:sz w:val="44"/>
          <w:szCs w:val="44"/>
          <w:lang w:eastAsia="zh-CN"/>
        </w:rPr>
      </w:pPr>
      <w:r>
        <w:rPr>
          <w:rFonts w:hint="eastAsia" w:ascii="黑体" w:eastAsia="黑体"/>
          <w:sz w:val="44"/>
          <w:szCs w:val="44"/>
          <w:lang w:eastAsia="zh-CN"/>
        </w:rPr>
        <w:t xml:space="preserve">第一章  投标邀请</w:t>
      </w:r>
      <w:r/>
    </w:p>
    <w:p>
      <w:pPr>
        <w:ind w:firstLine="480"/>
        <w:spacing w:line="400" w:lineRule="exact"/>
        <w:rPr>
          <w:rFonts w:ascii="宋体" w:hAnsi="宋体"/>
          <w:sz w:val="24"/>
          <w:szCs w:val="24"/>
        </w:rPr>
      </w:pPr>
      <w:r/>
      <w:bookmarkStart w:id="10" w:name="OLE_LINK8"/>
      <w:r/>
      <w:bookmarkStart w:id="11" w:name="OLE_LINK7"/>
      <w:r>
        <w:rPr>
          <w:rFonts w:hint="eastAsia" w:ascii="宋体" w:hAnsi="宋体"/>
          <w:sz w:val="24"/>
          <w:szCs w:val="24"/>
        </w:rPr>
        <w:t xml:space="preserve">受江苏省医疗保障局的委托，江苏省政府采购中心就</w:t>
      </w:r>
      <w:r>
        <w:rPr>
          <w:rFonts w:hint="eastAsia" w:ascii="宋体" w:hAnsi="宋体" w:cs="宋体"/>
          <w:sz w:val="24"/>
          <w:szCs w:val="24"/>
        </w:rPr>
        <w:t xml:space="preserve">“</w:t>
      </w:r>
      <w:r>
        <w:rPr>
          <w:rFonts w:ascii="宋体" w:hAnsi="宋体" w:cs="宋体"/>
          <w:sz w:val="24"/>
          <w:szCs w:val="24"/>
        </w:rPr>
        <w:t xml:space="preserve">一人一档</w:t>
      </w:r>
      <w:r>
        <w:rPr>
          <w:rFonts w:hint="eastAsia" w:ascii="宋体" w:hAnsi="宋体" w:cs="宋体"/>
          <w:sz w:val="24"/>
          <w:szCs w:val="24"/>
        </w:rPr>
        <w:t xml:space="preserve">”</w:t>
      </w:r>
      <w:r>
        <w:rPr>
          <w:rFonts w:ascii="宋体" w:hAnsi="宋体" w:cs="宋体"/>
          <w:sz w:val="24"/>
          <w:szCs w:val="24"/>
        </w:rPr>
        <w:t xml:space="preserve">全民参保数据库升级项目</w:t>
      </w:r>
      <w:r>
        <w:rPr>
          <w:rFonts w:hint="eastAsia" w:ascii="宋体" w:hAnsi="宋体" w:cs="宋体"/>
          <w:sz w:val="24"/>
          <w:szCs w:val="24"/>
        </w:rPr>
        <w:t xml:space="preserve">（</w:t>
      </w:r>
      <w:r>
        <w:rPr>
          <w:rFonts w:ascii="宋体" w:hAnsi="宋体" w:cs="宋体"/>
          <w:sz w:val="24"/>
          <w:szCs w:val="24"/>
        </w:rPr>
        <w:t xml:space="preserve">JSZC-320000-SCZX-G2025-0417</w:t>
      </w:r>
      <w:r>
        <w:rPr>
          <w:rFonts w:hint="eastAsia" w:ascii="宋体" w:hAnsi="宋体" w:cs="宋体"/>
          <w:sz w:val="24"/>
          <w:szCs w:val="24"/>
        </w:rPr>
        <w:t xml:space="preserve">）</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cs="宋体"/>
          <w:sz w:val="24"/>
          <w:szCs w:val="24"/>
          <w:u w:val="single"/>
        </w:rPr>
        <w:t xml:space="preserve">“一人一档”全民参保数据库升级项目</w:t>
      </w:r>
      <w:r>
        <w:rPr>
          <w:rFonts w:hint="eastAsia" w:ascii="宋体" w:hAnsi="宋体"/>
          <w:sz w:val="24"/>
          <w:szCs w:val="24"/>
          <w:u w:val="single"/>
        </w:rPr>
        <w:t xml:space="preserve">采购</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年9月16日14点30分（</w:t>
      </w:r>
      <w:r>
        <w:rPr>
          <w:rFonts w:hint="eastAsia" w:ascii="宋体" w:hAnsi="宋体"/>
          <w:bCs/>
          <w:sz w:val="24"/>
          <w:szCs w:val="24"/>
        </w:rPr>
        <w:t xml:space="preserve">北京时间）前递交投标文件</w:t>
      </w:r>
      <w:r>
        <w:rPr>
          <w:rFonts w:hint="eastAsia" w:ascii="宋体" w:hAnsi="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r>
      <w:r/>
    </w:p>
    <w:p>
      <w:pPr>
        <w:ind w:firstLine="641"/>
        <w:keepLines/>
        <w:keepNext/>
        <w:spacing w:before="145" w:after="145" w:line="400" w:lineRule="exact"/>
        <w:rPr>
          <w:b/>
          <w:bCs/>
          <w:sz w:val="32"/>
          <w:szCs w:val="32"/>
        </w:rPr>
        <w:outlineLvl w:val="2"/>
      </w:pPr>
      <w:r/>
      <w:bookmarkStart w:id="12" w:name="_Toc28359002"/>
      <w:r/>
      <w:bookmarkStart w:id="13" w:name="_Toc35393790"/>
      <w:r/>
      <w:bookmarkStart w:id="14" w:name="_Toc28359079"/>
      <w:r/>
      <w:bookmarkStart w:id="15" w:name="_Toc38985263"/>
      <w:r/>
      <w:bookmarkStart w:id="16" w:name="_Hlk24379207"/>
      <w:r/>
      <w:bookmarkStart w:id="17" w:name="_Toc35393621"/>
      <w:r>
        <w:rPr>
          <w:rFonts w:hint="eastAsia"/>
          <w:b/>
          <w:bCs/>
          <w:sz w:val="32"/>
          <w:szCs w:val="32"/>
        </w:rPr>
        <w:t xml:space="preserve">一、项目基本情况</w:t>
      </w:r>
      <w:bookmarkEnd w:id="12"/>
      <w:r/>
      <w:bookmarkEnd w:id="13"/>
      <w:r/>
      <w:bookmarkEnd w:id="14"/>
      <w:r/>
      <w:bookmarkEnd w:id="15"/>
      <w:r/>
      <w:bookmarkEnd w:id="16"/>
      <w:r/>
      <w:bookmarkEnd w:id="17"/>
      <w:r/>
      <w:r/>
    </w:p>
    <w:p>
      <w:pPr>
        <w:ind w:firstLine="480"/>
        <w:spacing w:line="400" w:lineRule="exact"/>
        <w:rPr>
          <w:rFonts w:ascii="宋体" w:hAnsi="宋体" w:cs="宋体"/>
          <w:sz w:val="24"/>
          <w:szCs w:val="24"/>
        </w:rPr>
      </w:pPr>
      <w:r>
        <w:rPr>
          <w:rFonts w:hint="eastAsia" w:ascii="宋体" w:hAnsi="宋体"/>
          <w:sz w:val="24"/>
          <w:szCs w:val="24"/>
        </w:rPr>
        <w:t xml:space="preserve">1.项目编号：</w:t>
      </w:r>
      <w:r>
        <w:rPr>
          <w:rFonts w:ascii="宋体" w:hAnsi="宋体" w:cs="宋体"/>
          <w:sz w:val="24"/>
          <w:szCs w:val="24"/>
        </w:rPr>
        <w:t xml:space="preserve">JSZC-320000-SCZX-G2025-0417</w:t>
      </w:r>
      <w:r/>
    </w:p>
    <w:p>
      <w:pPr>
        <w:ind w:firstLine="480"/>
        <w:spacing w:line="400" w:lineRule="exact"/>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w:t>
      </w:r>
      <w:r>
        <w:rPr>
          <w:rFonts w:ascii="宋体" w:hAnsi="宋体" w:cs="宋体"/>
          <w:sz w:val="24"/>
          <w:szCs w:val="24"/>
        </w:rPr>
        <w:t xml:space="preserve">一人一档</w:t>
      </w:r>
      <w:r>
        <w:rPr>
          <w:rFonts w:hint="eastAsia" w:ascii="宋体" w:hAnsi="宋体" w:cs="宋体"/>
          <w:sz w:val="24"/>
          <w:szCs w:val="24"/>
        </w:rPr>
        <w:t xml:space="preserve">”</w:t>
      </w:r>
      <w:r>
        <w:rPr>
          <w:rFonts w:ascii="宋体" w:hAnsi="宋体" w:cs="宋体"/>
          <w:sz w:val="24"/>
          <w:szCs w:val="24"/>
        </w:rPr>
        <w:t xml:space="preserve">全民参保数据库升级项目</w:t>
      </w:r>
      <w:r/>
    </w:p>
    <w:p>
      <w:pPr>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200</w:t>
      </w:r>
      <w:r>
        <w:rPr>
          <w:rFonts w:hint="eastAsia" w:ascii="宋体" w:hAnsi="宋体"/>
          <w:sz w:val="24"/>
          <w:szCs w:val="24"/>
        </w:rPr>
        <w:t xml:space="preserve">万元</w:t>
      </w:r>
      <w:r>
        <w:rPr>
          <w:rFonts w:hint="eastAsia" w:ascii="宋体" w:hAnsi="宋体"/>
          <w:sz w:val="24"/>
          <w:szCs w:val="24"/>
        </w:rPr>
        <w:tab/>
      </w:r>
      <w:r/>
    </w:p>
    <w:p>
      <w:pPr>
        <w:ind w:firstLine="480"/>
        <w:spacing w:line="400" w:lineRule="exact"/>
        <w:rPr>
          <w:rFonts w:ascii="宋体" w:hAnsi="宋体"/>
          <w:sz w:val="24"/>
          <w:szCs w:val="24"/>
        </w:rPr>
      </w:pPr>
      <w:r>
        <w:rPr>
          <w:rFonts w:hint="eastAsia" w:ascii="宋体" w:hAnsi="宋体"/>
          <w:sz w:val="24"/>
          <w:szCs w:val="24"/>
        </w:rPr>
        <w:t xml:space="preserve">4.本项目设定最高限价，最高限价为：2</w:t>
      </w:r>
      <w:r>
        <w:rPr>
          <w:rFonts w:ascii="宋体" w:hAnsi="宋体"/>
          <w:sz w:val="24"/>
          <w:szCs w:val="24"/>
        </w:rPr>
        <w:t xml:space="preserve">0</w:t>
      </w:r>
      <w:r>
        <w:rPr>
          <w:rFonts w:hint="eastAsia" w:ascii="宋体" w:hAnsi="宋体"/>
          <w:sz w:val="24"/>
          <w:szCs w:val="24"/>
        </w:rPr>
        <w:t xml:space="preserve">0万元</w:t>
      </w:r>
      <w:r/>
    </w:p>
    <w:p>
      <w:pPr>
        <w:ind w:firstLine="480"/>
        <w:spacing w:line="400" w:lineRule="exact"/>
        <w:rPr>
          <w:rFonts w:ascii="宋体" w:hAnsi="宋体"/>
          <w:sz w:val="24"/>
          <w:szCs w:val="24"/>
          <w:u w:val="single"/>
        </w:rPr>
      </w:pPr>
      <w:r>
        <w:rPr>
          <w:rFonts w:hint="eastAsia" w:ascii="宋体" w:hAnsi="宋体"/>
          <w:sz w:val="24"/>
          <w:szCs w:val="24"/>
        </w:rPr>
        <w:t xml:space="preserve">5.采购需求（简介）：“一人一档”全民参保数据库升级项目旨在打通医保信息平台内外数据共享渠道，汇集参保缴费、医疗费用、健康状况、诊疗记录、就医习惯、身份特征、亲情关系、工作生活等各项数据，构建医保“一人一画像”，多维度分析参保人情况，提供就诊购药引导等个性化服务，为医保防贫减贫、基金监管、改革决策、高校课题研究提供精准数据支撑。要求供应商符合政府采购法规，提供</w:t>
      </w:r>
      <w:r>
        <w:rPr>
          <w:rFonts w:ascii="宋体" w:hAnsi="宋体"/>
          <w:sz w:val="24"/>
          <w:szCs w:val="24"/>
        </w:rPr>
        <w:t xml:space="preserve">2</w:t>
      </w:r>
      <w:r>
        <w:rPr>
          <w:rFonts w:hint="eastAsia" w:ascii="宋体" w:hAnsi="宋体"/>
          <w:sz w:val="24"/>
          <w:szCs w:val="24"/>
        </w:rPr>
        <w:t xml:space="preserve">年免费运维服务，要求系统对接、微服务架构及国产化兼容性。</w:t>
      </w:r>
      <w:r>
        <w:rPr>
          <w:rFonts w:hint="eastAsia" w:ascii="宋体" w:hAnsi="宋体" w:cs="宋体"/>
          <w:sz w:val="24"/>
          <w:szCs w:val="24"/>
        </w:rPr>
        <w:t xml:space="preserve">（详细内容见本招标文件第四章） </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6.合同履行期限：中标人须在合同签订后180天内，保证质量完成投标所提供设备或软件的安装、调试、数据迁移及投入运行。</w:t>
      </w:r>
      <w:r/>
    </w:p>
    <w:p>
      <w:pPr>
        <w:ind w:firstLine="643"/>
        <w:spacing w:line="400" w:lineRule="exact"/>
        <w:rPr>
          <w:b/>
          <w:bCs/>
          <w:sz w:val="32"/>
          <w:szCs w:val="32"/>
        </w:rPr>
      </w:pPr>
      <w:r>
        <w:rPr>
          <w:rFonts w:hint="eastAsia"/>
          <w:b/>
          <w:bCs/>
          <w:sz w:val="32"/>
          <w:szCs w:val="32"/>
        </w:rPr>
        <w:t xml:space="preserve">二、申请人的资格要求</w:t>
      </w:r>
      <w:r/>
    </w:p>
    <w:p>
      <w:pPr>
        <w:ind w:firstLine="560"/>
        <w:spacing w:line="400" w:lineRule="exact"/>
        <w:rPr>
          <w:rFonts w:ascii="宋体" w:hAnsi="宋体"/>
          <w:sz w:val="28"/>
          <w:szCs w:val="28"/>
        </w:rPr>
      </w:pPr>
      <w:r/>
      <w:bookmarkStart w:id="18" w:name="_Toc28359004"/>
      <w:r/>
      <w:bookmarkStart w:id="19" w:name="_Toc28359081"/>
      <w:r/>
      <w:bookmarkStart w:id="20" w:name="_Toc35393623"/>
      <w:r/>
      <w:bookmarkStart w:id="21" w:name="_Toc35393792"/>
      <w:r/>
      <w:bookmarkStart w:id="22" w:name="_Toc38985265"/>
      <w:r>
        <w:rPr>
          <w:rFonts w:hint="eastAsia" w:ascii="宋体" w:hAnsi="宋体"/>
          <w:sz w:val="28"/>
          <w:szCs w:val="28"/>
        </w:rPr>
        <w:t xml:space="preserve">（一）通用资格要求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提供上一年度的财务状况报告（成立不满一年无需提供）；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4.联合体投标：本项目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560"/>
        <w:spacing w:line="400" w:lineRule="exact"/>
        <w:rPr>
          <w:rFonts w:ascii="宋体" w:hAnsi="宋体"/>
          <w:sz w:val="28"/>
          <w:szCs w:val="28"/>
        </w:rPr>
      </w:pPr>
      <w:r>
        <w:rPr>
          <w:rFonts w:hint="eastAsia" w:ascii="宋体" w:hAnsi="宋体"/>
          <w:sz w:val="28"/>
          <w:szCs w:val="28"/>
        </w:rPr>
        <w:t xml:space="preserve">（二）本项目的特定资格要求</w:t>
      </w:r>
      <w:r/>
    </w:p>
    <w:p>
      <w:pPr>
        <w:ind w:firstLine="480"/>
        <w:spacing w:line="400" w:lineRule="exact"/>
        <w:rPr>
          <w:rFonts w:ascii="宋体" w:hAnsi="宋体" w:cs="宋体"/>
          <w:sz w:val="24"/>
          <w:szCs w:val="24"/>
        </w:rPr>
      </w:pPr>
      <w:r>
        <w:rPr>
          <w:rFonts w:hint="eastAsia" w:ascii="宋体" w:hAnsi="宋体"/>
          <w:sz w:val="24"/>
          <w:szCs w:val="24"/>
        </w:rPr>
        <w:t xml:space="preserve">无</w:t>
      </w:r>
      <w:r/>
    </w:p>
    <w:p>
      <w:pPr>
        <w:ind w:firstLine="498"/>
        <w:keepLines/>
        <w:keepNext/>
        <w:spacing w:before="145" w:after="145" w:line="400" w:lineRule="exact"/>
        <w:rPr>
          <w:b/>
          <w:bCs/>
          <w:sz w:val="32"/>
          <w:szCs w:val="32"/>
        </w:rPr>
        <w:outlineLvl w:val="2"/>
      </w:pPr>
      <w:r>
        <w:rPr>
          <w:rFonts w:hint="eastAsia"/>
          <w:b/>
          <w:bCs/>
          <w:sz w:val="32"/>
          <w:szCs w:val="32"/>
        </w:rPr>
        <w:t xml:space="preserve">三、获取招标文件</w:t>
      </w:r>
      <w:bookmarkEnd w:id="18"/>
      <w:r/>
      <w:bookmarkEnd w:id="19"/>
      <w:r/>
      <w:bookmarkEnd w:id="20"/>
      <w:r/>
      <w:bookmarkEnd w:id="21"/>
      <w:r/>
      <w:bookmarkEnd w:id="22"/>
      <w:r/>
      <w:r/>
    </w:p>
    <w:p>
      <w:pPr>
        <w:ind w:firstLine="540"/>
        <w:spacing w:line="400" w:lineRule="exact"/>
        <w:rPr>
          <w:rFonts w:ascii="宋体" w:hAnsi="宋体" w:cs="宋体"/>
          <w:sz w:val="24"/>
          <w:szCs w:val="24"/>
        </w:rPr>
      </w:pPr>
      <w:r/>
      <w:bookmarkStart w:id="23" w:name="_Toc28359005"/>
      <w:r/>
      <w:bookmarkStart w:id="24" w:name="_Toc28359082"/>
      <w:r/>
      <w:bookmarkStart w:id="25" w:name="_Toc35393793"/>
      <w:r/>
      <w:bookmarkStart w:id="26" w:name="_Toc38985266"/>
      <w:r/>
      <w:bookmarkStart w:id="27" w:name="_Toc35393624"/>
      <w:r>
        <w:rPr>
          <w:rFonts w:hint="eastAsia" w:ascii="宋体" w:hAnsi="宋体" w:cs="宋体"/>
          <w:sz w:val="24"/>
          <w:szCs w:val="24"/>
        </w:rPr>
        <w:t xml:space="preserve">1.时间：自招标文件公告发布之日起5个工作日。</w:t>
      </w:r>
      <w:r/>
    </w:p>
    <w:p>
      <w:pPr>
        <w:ind w:firstLine="540"/>
        <w:spacing w:line="400" w:lineRule="exact"/>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ind w:firstLine="498"/>
        <w:keepLines/>
        <w:keepNext/>
        <w:spacing w:before="145" w:after="145" w:line="400" w:lineRule="exact"/>
        <w:rPr>
          <w:b/>
          <w:bCs/>
          <w:sz w:val="32"/>
          <w:szCs w:val="32"/>
        </w:rPr>
        <w:outlineLvl w:val="2"/>
      </w:pPr>
      <w:r>
        <w:rPr>
          <w:rFonts w:hint="eastAsia"/>
          <w:b/>
          <w:bCs/>
          <w:sz w:val="32"/>
          <w:szCs w:val="32"/>
        </w:rPr>
        <w:t xml:space="preserve">四、提交投标文件</w:t>
      </w:r>
      <w:bookmarkEnd w:id="23"/>
      <w:r/>
      <w:bookmarkEnd w:id="24"/>
      <w:r>
        <w:rPr>
          <w:rFonts w:hint="eastAsia"/>
          <w:b/>
          <w:bCs/>
          <w:sz w:val="32"/>
          <w:szCs w:val="32"/>
        </w:rPr>
        <w:t xml:space="preserve">截止时间、开标时间和地点</w:t>
      </w:r>
      <w:bookmarkEnd w:id="25"/>
      <w:r/>
      <w:bookmarkEnd w:id="26"/>
      <w:r/>
      <w:bookmarkEnd w:id="27"/>
      <w:r/>
      <w:r/>
    </w:p>
    <w:p>
      <w:pPr>
        <w:ind w:firstLine="480"/>
        <w:spacing w:line="400" w:lineRule="exact"/>
        <w:rPr>
          <w:rFonts w:ascii="宋体" w:hAnsi="宋体" w:cs="宋体"/>
          <w:sz w:val="24"/>
          <w:szCs w:val="24"/>
        </w:rPr>
      </w:pPr>
      <w:r>
        <w:rPr>
          <w:rFonts w:hint="eastAsia" w:ascii="宋体" w:hAnsi="宋体"/>
          <w:bCs/>
          <w:sz w:val="24"/>
          <w:szCs w:val="24"/>
        </w:rPr>
        <w:t xml:space="preserve">1.2025年9月16日14点30分（北京时间）。</w:t>
      </w:r>
      <w:r/>
    </w:p>
    <w:p>
      <w:pPr>
        <w:ind w:firstLine="480"/>
        <w:spacing w:line="400" w:lineRule="exact"/>
        <w:rPr>
          <w:rFonts w:ascii="宋体" w:hAnsi="宋体"/>
          <w:bCs/>
          <w:sz w:val="24"/>
          <w:szCs w:val="24"/>
          <w:u w:val="single"/>
        </w:rPr>
      </w:pPr>
      <w:r>
        <w:rPr>
          <w:rFonts w:hint="eastAsia" w:ascii="宋体" w:hAnsi="宋体"/>
          <w:sz w:val="24"/>
          <w:szCs w:val="24"/>
        </w:rPr>
        <w:t xml:space="preserve">2.地点：“苏采云”政府采购交易系统网上开标大厅。</w:t>
      </w:r>
      <w:r/>
    </w:p>
    <w:p>
      <w:pPr>
        <w:ind w:firstLine="498"/>
        <w:keepLines/>
        <w:keepNext/>
        <w:spacing w:before="145" w:after="145" w:line="400" w:lineRule="exact"/>
        <w:rPr>
          <w:b/>
          <w:bCs/>
          <w:sz w:val="32"/>
          <w:szCs w:val="32"/>
        </w:rPr>
        <w:outlineLvl w:val="2"/>
      </w:pPr>
      <w:r/>
      <w:bookmarkStart w:id="28" w:name="_Toc35393625"/>
      <w:r/>
      <w:bookmarkStart w:id="29" w:name="_Toc35393794"/>
      <w:r/>
      <w:bookmarkStart w:id="30" w:name="_Toc38985267"/>
      <w:r/>
      <w:bookmarkStart w:id="31" w:name="_Toc28359007"/>
      <w:r/>
      <w:bookmarkStart w:id="32" w:name="_Toc28359084"/>
      <w:r>
        <w:rPr>
          <w:rFonts w:hint="eastAsia"/>
          <w:b/>
          <w:bCs/>
          <w:sz w:val="32"/>
          <w:szCs w:val="32"/>
        </w:rPr>
        <w:t xml:space="preserve">五、公告期限</w:t>
      </w:r>
      <w:bookmarkEnd w:id="28"/>
      <w:r/>
      <w:bookmarkEnd w:id="29"/>
      <w:r/>
      <w:bookmarkEnd w:id="30"/>
      <w:r/>
      <w:bookmarkEnd w:id="31"/>
      <w:r/>
      <w:bookmarkEnd w:id="32"/>
      <w:r/>
      <w:r/>
    </w:p>
    <w:p>
      <w:pPr>
        <w:ind w:firstLine="480"/>
        <w:spacing w:line="400" w:lineRule="exact"/>
        <w:rPr>
          <w:rFonts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招标公告及招标文件公告期限为自本公告发布之日起5个工作日。</w:t>
      </w:r>
      <w:r/>
    </w:p>
    <w:p>
      <w:pPr>
        <w:ind w:firstLine="498"/>
        <w:keepLines/>
        <w:keepNext/>
        <w:spacing w:before="145" w:after="145" w:line="400" w:lineRule="exact"/>
        <w:rPr>
          <w:b/>
          <w:bCs/>
          <w:sz w:val="32"/>
          <w:szCs w:val="32"/>
        </w:rPr>
        <w:outlineLvl w:val="2"/>
      </w:pPr>
      <w:r>
        <w:rPr>
          <w:rFonts w:hint="eastAsia"/>
          <w:b/>
          <w:bCs/>
          <w:sz w:val="32"/>
          <w:szCs w:val="32"/>
        </w:rPr>
        <w:t xml:space="preserve">六、其他补充事宜</w:t>
      </w:r>
      <w:bookmarkEnd w:id="33"/>
      <w:r/>
      <w:bookmarkEnd w:id="34"/>
      <w:r/>
      <w:bookmarkEnd w:id="35"/>
      <w:r/>
      <w:r/>
    </w:p>
    <w:p>
      <w:pPr>
        <w:ind w:firstLine="480"/>
        <w:spacing w:line="400" w:lineRule="exact"/>
        <w:rPr>
          <w:rFonts w:ascii="宋体" w:hAnsi="宋体" w:cs="宋体"/>
          <w:sz w:val="24"/>
          <w:szCs w:val="24"/>
        </w:rPr>
      </w:pPr>
      <w:r>
        <w:rPr>
          <w:rFonts w:hint="eastAsia" w:ascii="宋体" w:hAnsi="宋体" w:cs="宋体"/>
          <w:sz w:val="24"/>
          <w:szCs w:val="24"/>
        </w:rPr>
        <w:t xml:space="preserve">无 </w:t>
      </w:r>
      <w:r/>
    </w:p>
    <w:p>
      <w:pPr>
        <w:ind w:firstLine="498"/>
        <w:keepLines/>
        <w:keepNext/>
        <w:spacing w:before="145" w:after="145" w:line="400" w:lineRule="exact"/>
        <w:rPr>
          <w:b/>
          <w:bCs/>
          <w:sz w:val="32"/>
          <w:szCs w:val="32"/>
        </w:rPr>
        <w:outlineLvl w:val="2"/>
      </w:pPr>
      <w:r/>
      <w:bookmarkStart w:id="36" w:name="_Toc35393796"/>
      <w:r/>
      <w:bookmarkStart w:id="37" w:name="_Toc35393627"/>
      <w:r/>
      <w:bookmarkStart w:id="38" w:name="_Toc28359008"/>
      <w:r/>
      <w:bookmarkStart w:id="39" w:name="_Toc28359085"/>
      <w:r/>
      <w:bookmarkStart w:id="40" w:name="_Toc38985269"/>
      <w:r>
        <w:rPr>
          <w:rFonts w:hint="eastAsia"/>
          <w:b/>
          <w:bCs/>
          <w:sz w:val="32"/>
          <w:szCs w:val="32"/>
        </w:rPr>
        <w:t xml:space="preserve">七、本次招标联系方式</w:t>
      </w:r>
      <w:bookmarkEnd w:id="36"/>
      <w:r/>
      <w:bookmarkEnd w:id="37"/>
      <w:r/>
      <w:bookmarkEnd w:id="38"/>
      <w:r/>
      <w:bookmarkEnd w:id="39"/>
      <w:r/>
      <w:bookmarkEnd w:id="40"/>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bookmarkStart w:id="41" w:name="_Toc28359086"/>
      <w:r/>
      <w:bookmarkStart w:id="42" w:name="_Toc28359009"/>
      <w:r>
        <w:rPr>
          <w:rFonts w:hint="eastAsia" w:ascii="宋体" w:hAnsi="宋体"/>
          <w:sz w:val="24"/>
          <w:szCs w:val="24"/>
        </w:rPr>
        <w:t xml:space="preserve">1.采购人信息</w:t>
      </w:r>
      <w:r/>
    </w:p>
    <w:p>
      <w:pPr>
        <w:ind w:firstLine="480"/>
        <w:jc w:val="left"/>
        <w:spacing w:line="400" w:lineRule="exact"/>
        <w:rPr>
          <w:rFonts w:ascii="宋体" w:hAnsi="宋体"/>
          <w:sz w:val="24"/>
          <w:szCs w:val="24"/>
          <w:u w:val="single"/>
        </w:rPr>
      </w:pPr>
      <w:r>
        <w:rPr>
          <w:rFonts w:hint="eastAsia" w:ascii="宋体" w:hAnsi="宋体"/>
          <w:sz w:val="24"/>
          <w:szCs w:val="24"/>
        </w:rPr>
        <w:t xml:space="preserve">名 称：</w:t>
      </w:r>
      <w:r>
        <w:rPr>
          <w:rFonts w:hint="eastAsia" w:ascii="宋体" w:hAnsi="宋体" w:cs="宋体"/>
          <w:sz w:val="24"/>
          <w:szCs w:val="24"/>
          <w:u w:val="single"/>
        </w:rPr>
        <w:t xml:space="preserve">江苏省医疗保障局</w:t>
      </w:r>
      <w:r/>
    </w:p>
    <w:p>
      <w:pPr>
        <w:ind w:firstLine="480"/>
        <w:jc w:val="left"/>
        <w:spacing w:line="400" w:lineRule="exact"/>
        <w:rPr>
          <w:rFonts w:ascii="宋体" w:hAnsi="宋体"/>
          <w:sz w:val="24"/>
          <w:szCs w:val="24"/>
          <w:u w:val="single"/>
        </w:rPr>
      </w:pPr>
      <w:r>
        <w:rPr>
          <w:rFonts w:hint="eastAsia" w:ascii="宋体" w:hAnsi="宋体"/>
          <w:sz w:val="24"/>
          <w:szCs w:val="24"/>
        </w:rPr>
        <w:t xml:space="preserve">地 址：</w:t>
      </w:r>
      <w:r>
        <w:rPr>
          <w:rFonts w:hint="eastAsia" w:ascii="宋体" w:hAnsi="宋体" w:cs="宋体"/>
          <w:sz w:val="24"/>
          <w:szCs w:val="24"/>
          <w:u w:val="single"/>
        </w:rPr>
        <w:t xml:space="preserve">南京市秦淮区建邺路168号</w:t>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cs="宋体"/>
          <w:sz w:val="24"/>
          <w:szCs w:val="24"/>
          <w:u w:val="single"/>
        </w:rPr>
        <w:t xml:space="preserve">江峰</w:t>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联系方式：</w:t>
      </w:r>
      <w:r>
        <w:rPr>
          <w:rFonts w:ascii="宋体" w:hAnsi="宋体" w:cs="宋体"/>
          <w:sz w:val="24"/>
          <w:szCs w:val="24"/>
          <w:u w:val="single"/>
        </w:rPr>
        <w:t xml:space="preserve">025-83290285</w:t>
      </w:r>
      <w:r/>
    </w:p>
    <w:p>
      <w:pPr>
        <w:jc w:val="left"/>
        <w:spacing w:line="400" w:lineRule="exact"/>
        <w:widowControl/>
        <w:rPr>
          <w:rFonts w:ascii="宋体" w:hAnsi="宋体"/>
          <w:sz w:val="24"/>
          <w:szCs w:val="24"/>
        </w:rPr>
      </w:pPr>
      <w:r>
        <w:rPr>
          <w:rFonts w:hint="eastAsia" w:ascii="宋体" w:hAnsi="宋体" w:cs="宋体"/>
          <w:sz w:val="24"/>
          <w:szCs w:val="24"/>
        </w:rPr>
        <w:t xml:space="preserve">    2.</w:t>
      </w:r>
      <w:bookmarkEnd w:id="41"/>
      <w:r/>
      <w:bookmarkEnd w:id="42"/>
      <w:r>
        <w:rPr>
          <w:rFonts w:hint="eastAsia" w:ascii="宋体" w:hAnsi="宋体"/>
          <w:sz w:val="24"/>
          <w:szCs w:val="24"/>
        </w:rPr>
        <w:t xml:space="preserve"> 江苏省政府采购中心信息</w:t>
      </w:r>
      <w:r/>
    </w:p>
    <w:p>
      <w:pPr>
        <w:ind w:firstLine="480"/>
        <w:jc w:val="left"/>
        <w:spacing w:line="500" w:lineRule="exact"/>
        <w:rPr>
          <w:rFonts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江苏省政府采购中心</w:t>
      </w:r>
      <w:r/>
    </w:p>
    <w:p>
      <w:pPr>
        <w:ind w:firstLine="480"/>
        <w:jc w:val="left"/>
        <w:spacing w:line="5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王建浩、许滢</w:t>
      </w:r>
      <w:r/>
    </w:p>
    <w:p>
      <w:pPr>
        <w:ind w:firstLine="480"/>
        <w:spacing w:line="5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025-83668513、83668515</w:t>
      </w:r>
      <w:r/>
    </w:p>
    <w:p>
      <w:pPr>
        <w:ind w:firstLine="643"/>
        <w:jc w:val="left"/>
        <w:spacing w:line="400" w:lineRule="exact"/>
        <w:rPr>
          <w:b/>
          <w:bCs/>
          <w:sz w:val="32"/>
          <w:szCs w:val="32"/>
        </w:rPr>
      </w:pPr>
      <w:r>
        <w:rPr>
          <w:b/>
          <w:bCs/>
          <w:sz w:val="32"/>
          <w:szCs w:val="32"/>
        </w:rPr>
      </w:r>
      <w:r/>
    </w:p>
    <w:p>
      <w:pPr>
        <w:ind w:firstLine="643"/>
        <w:jc w:val="left"/>
        <w:spacing w:line="400" w:lineRule="exact"/>
        <w:rPr>
          <w:b/>
          <w:bCs/>
          <w:sz w:val="32"/>
          <w:szCs w:val="32"/>
        </w:rPr>
      </w:pPr>
      <w:r>
        <w:rPr>
          <w:rFonts w:hint="eastAsia"/>
          <w:b/>
          <w:bCs/>
          <w:sz w:val="32"/>
          <w:szCs w:val="32"/>
        </w:rPr>
        <w:t xml:space="preserve">八、其他</w:t>
      </w:r>
      <w:r/>
    </w:p>
    <w:p>
      <w:pPr>
        <w:ind w:firstLine="482"/>
        <w:spacing w:line="400" w:lineRule="exact"/>
        <w:tabs>
          <w:tab w:val="left" w:pos="900" w:leader="none"/>
        </w:tabs>
        <w:rPr>
          <w:rFonts w:ascii="宋体" w:hAnsi="宋体"/>
          <w:bCs/>
          <w:sz w:val="24"/>
          <w:szCs w:val="24"/>
        </w:rPr>
      </w:pPr>
      <w:r>
        <w:rPr>
          <w:rFonts w:hint="eastAsia" w:ascii="宋体" w:hAnsi="宋体"/>
          <w:sz w:val="24"/>
          <w:szCs w:val="24"/>
        </w:rPr>
        <w:t xml:space="preserve">1.</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400" w:lineRule="exact"/>
        <w:tabs>
          <w:tab w:val="left" w:pos="900" w:leader="none"/>
        </w:tabs>
        <w:rPr>
          <w:rFonts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3.本次招标不收取投标保证金。</w:t>
      </w:r>
      <w:bookmarkEnd w:id="10"/>
      <w:r/>
      <w:bookmarkEnd w:id="11"/>
      <w:r/>
      <w:r/>
    </w:p>
    <w:p>
      <w:pPr>
        <w:ind w:right="840"/>
        <w:rPr>
          <w:rFonts w:ascii="宋体" w:hAnsi="宋体"/>
          <w:sz w:val="24"/>
          <w:szCs w:val="24"/>
        </w:rPr>
      </w:pPr>
      <w:r>
        <w:rPr>
          <w:rFonts w:ascii="宋体" w:hAnsi="宋体"/>
          <w:sz w:val="24"/>
          <w:szCs w:val="24"/>
        </w:rPr>
        <w:br w:type="page" w:clear="all"/>
      </w:r>
      <w:r/>
    </w:p>
    <w:p>
      <w:pPr>
        <w:ind w:firstLine="2640"/>
        <w:jc w:val="left"/>
        <w:keepNext/>
        <w:rPr>
          <w:rFonts w:ascii="黑体" w:eastAsia="黑体"/>
          <w:bCs/>
          <w:sz w:val="44"/>
          <w:szCs w:val="28"/>
        </w:rPr>
        <w:outlineLvl w:val="0"/>
      </w:pPr>
      <w:r/>
      <w:bookmarkStart w:id="43" w:name="_Toc120614211"/>
      <w:r>
        <w:rPr>
          <w:rFonts w:hint="eastAsia" w:ascii="黑体" w:eastAsia="黑体"/>
          <w:bCs/>
          <w:sz w:val="44"/>
          <w:szCs w:val="28"/>
        </w:rPr>
        <w:t xml:space="preserve">第二章  </w:t>
      </w:r>
      <w:bookmarkEnd w:id="0"/>
      <w:r/>
      <w:bookmarkEnd w:id="1"/>
      <w:r/>
      <w:bookmarkEnd w:id="2"/>
      <w:r/>
      <w:bookmarkEnd w:id="3"/>
      <w:r/>
      <w:bookmarkEnd w:id="4"/>
      <w:r/>
      <w:bookmarkEnd w:id="43"/>
      <w:r/>
      <w:bookmarkStart w:id="44" w:name="_Toc20823274"/>
      <w:r/>
      <w:bookmarkStart w:id="45" w:name="_Toc120614213"/>
      <w:r/>
      <w:bookmarkStart w:id="46" w:name="_Toc513029202"/>
      <w:r/>
      <w:bookmarkStart w:id="47" w:name="_Toc16938518"/>
      <w:r>
        <w:rPr>
          <w:rFonts w:hint="eastAsia" w:ascii="黑体" w:eastAsia="黑体"/>
          <w:bCs/>
          <w:sz w:val="44"/>
          <w:szCs w:val="28"/>
        </w:rPr>
        <w:t xml:space="preserve">投标人须知</w:t>
      </w:r>
      <w:bookmarkEnd w:id="44"/>
      <w:r/>
      <w:bookmarkEnd w:id="45"/>
      <w:r/>
      <w:bookmarkEnd w:id="46"/>
      <w:r/>
      <w:bookmarkEnd w:id="47"/>
      <w:r/>
      <w:r/>
    </w:p>
    <w:p>
      <w:pPr>
        <w:ind w:firstLine="496"/>
        <w:keepLines/>
        <w:keepNext/>
        <w:spacing w:before="156" w:after="156" w:line="400" w:lineRule="exact"/>
        <w:rPr>
          <w:b/>
          <w:bCs/>
          <w:sz w:val="32"/>
          <w:szCs w:val="32"/>
        </w:rPr>
        <w:outlineLvl w:val="2"/>
      </w:pPr>
      <w:r/>
      <w:bookmarkStart w:id="48" w:name="_Toc20823275"/>
      <w:r/>
      <w:bookmarkStart w:id="49" w:name="_Toc513029203"/>
      <w:r/>
      <w:bookmarkStart w:id="50" w:name="_Toc120614214"/>
      <w:r/>
      <w:bookmarkStart w:id="51" w:name="_Toc16938519"/>
      <w:r>
        <w:rPr>
          <w:rFonts w:hint="eastAsia"/>
          <w:b/>
          <w:bCs/>
          <w:sz w:val="32"/>
          <w:szCs w:val="32"/>
        </w:rPr>
        <w:t xml:space="preserve">一、总则</w:t>
      </w:r>
      <w:bookmarkEnd w:id="48"/>
      <w:r/>
      <w:bookmarkEnd w:id="49"/>
      <w:r/>
      <w:bookmarkEnd w:id="50"/>
      <w:r/>
      <w:bookmarkEnd w:id="51"/>
      <w:r/>
      <w:r/>
    </w:p>
    <w:p>
      <w:pPr>
        <w:ind w:firstLine="420"/>
        <w:keepLines/>
        <w:keepNext/>
        <w:spacing w:line="400" w:lineRule="exact"/>
        <w:rPr>
          <w:rFonts w:ascii="Arial" w:hAnsi="Arial" w:eastAsia="黑体" w:cs="Arial"/>
          <w:sz w:val="28"/>
          <w:szCs w:val="28"/>
        </w:rPr>
        <w:outlineLvl w:val="3"/>
      </w:pPr>
      <w:r/>
      <w:bookmarkStart w:id="52" w:name="_Hlt16619475"/>
      <w:r/>
      <w:bookmarkEnd w:id="52"/>
      <w:r/>
      <w:bookmarkStart w:id="53" w:name="_Toc458694821"/>
      <w:r/>
      <w:bookmarkStart w:id="54" w:name="_Toc16938520"/>
      <w:r/>
      <w:bookmarkStart w:id="55" w:name="_Toc513029204"/>
      <w:r/>
      <w:bookmarkStart w:id="56" w:name="_Toc20823276"/>
      <w:r>
        <w:rPr>
          <w:rFonts w:hint="eastAsia" w:ascii="Arial" w:hAnsi="Arial" w:eastAsia="黑体" w:cs="Arial"/>
          <w:sz w:val="28"/>
          <w:szCs w:val="28"/>
        </w:rPr>
        <w:t xml:space="preserve">1</w:t>
      </w:r>
      <w:bookmarkEnd w:id="53"/>
      <w:r>
        <w:rPr>
          <w:rFonts w:hint="eastAsia" w:ascii="Arial" w:hAnsi="Arial" w:eastAsia="黑体" w:cs="Arial"/>
          <w:sz w:val="28"/>
          <w:szCs w:val="28"/>
        </w:rPr>
        <w:t xml:space="preserve">、招标方式</w:t>
      </w:r>
      <w:bookmarkEnd w:id="54"/>
      <w:r/>
      <w:bookmarkEnd w:id="55"/>
      <w:r/>
      <w:bookmarkEnd w:id="56"/>
      <w:r/>
      <w:r/>
    </w:p>
    <w:p>
      <w:pPr>
        <w:ind w:firstLine="480"/>
        <w:spacing w:line="4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7" w:name="_Toc20823277"/>
      <w:r/>
      <w:bookmarkStart w:id="58" w:name="_Toc16938521"/>
      <w:r/>
      <w:bookmarkStart w:id="59" w:name="_Toc513029205"/>
      <w:r>
        <w:rPr>
          <w:rFonts w:hint="eastAsia" w:ascii="Arial" w:hAnsi="Arial" w:eastAsia="黑体" w:cs="Arial"/>
          <w:sz w:val="28"/>
          <w:szCs w:val="28"/>
        </w:rPr>
        <w:t xml:space="preserve">2、合格的投标人</w:t>
      </w:r>
      <w:bookmarkEnd w:id="57"/>
      <w:r/>
      <w:bookmarkEnd w:id="58"/>
      <w:r/>
      <w:bookmarkEnd w:id="59"/>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60" w:name="_Toc513029206"/>
      <w:r/>
      <w:bookmarkStart w:id="61" w:name="_Toc16938522"/>
      <w:r/>
      <w:bookmarkStart w:id="62" w:name="_Toc20823278"/>
      <w:r>
        <w:rPr>
          <w:rFonts w:hint="eastAsia" w:ascii="Arial" w:hAnsi="Arial" w:eastAsia="黑体" w:cs="Arial"/>
          <w:sz w:val="28"/>
          <w:szCs w:val="28"/>
        </w:rPr>
        <w:t xml:space="preserve">3、适用法律</w:t>
      </w:r>
      <w:bookmarkEnd w:id="60"/>
      <w:r/>
      <w:bookmarkEnd w:id="61"/>
      <w:r/>
      <w:bookmarkEnd w:id="62"/>
      <w:r/>
      <w:r/>
    </w:p>
    <w:p>
      <w:pPr>
        <w:ind w:firstLine="420"/>
        <w:spacing w:line="4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400" w:lineRule="exact"/>
        <w:rPr>
          <w:rFonts w:ascii="Arial" w:hAnsi="Arial" w:eastAsia="黑体" w:cs="Arial"/>
          <w:sz w:val="28"/>
          <w:szCs w:val="28"/>
        </w:rPr>
        <w:outlineLvl w:val="3"/>
      </w:pPr>
      <w:r/>
      <w:bookmarkStart w:id="63" w:name="_Toc513029207"/>
      <w:r/>
      <w:bookmarkStart w:id="64" w:name="_Toc16938523"/>
      <w:r/>
      <w:bookmarkStart w:id="65" w:name="_Toc20823279"/>
      <w:r/>
      <w:bookmarkStart w:id="66" w:name="_Toc462564067"/>
      <w:r>
        <w:rPr>
          <w:rFonts w:hint="eastAsia" w:ascii="Arial" w:hAnsi="Arial" w:eastAsia="黑体" w:cs="Arial"/>
          <w:sz w:val="28"/>
          <w:szCs w:val="28"/>
        </w:rPr>
        <w:t xml:space="preserve">4、投标费用</w:t>
      </w:r>
      <w:bookmarkEnd w:id="63"/>
      <w:r/>
      <w:bookmarkEnd w:id="64"/>
      <w:r/>
      <w:bookmarkEnd w:id="65"/>
      <w:r/>
      <w:bookmarkEnd w:id="66"/>
      <w:r/>
      <w:r/>
    </w:p>
    <w:p>
      <w:pPr>
        <w:ind w:firstLine="480"/>
        <w:spacing w:line="4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szCs w:val="21"/>
        </w:rPr>
      </w:pPr>
      <w:r>
        <w:rPr>
          <w:rFonts w:hint="eastAsia" w:ascii="宋体" w:hAnsi="宋体"/>
          <w:sz w:val="24"/>
          <w:szCs w:val="21"/>
        </w:rPr>
        <w:t xml:space="preserve">4.2本次招标采购中心和采购人不收取标书工本费与中标服务费。</w:t>
      </w:r>
      <w:r/>
    </w:p>
    <w:p>
      <w:pPr>
        <w:ind w:firstLine="450"/>
        <w:keepLines/>
        <w:keepNext/>
        <w:spacing w:line="4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0"/>
        <w:keepLines/>
        <w:keepNext/>
        <w:spacing w:before="156" w:after="156" w:line="400" w:lineRule="exact"/>
        <w:rPr>
          <w:b/>
          <w:bCs/>
          <w:sz w:val="32"/>
          <w:szCs w:val="32"/>
        </w:rPr>
        <w:outlineLvl w:val="2"/>
      </w:pPr>
      <w:r/>
      <w:bookmarkStart w:id="67" w:name="_Toc16938525"/>
      <w:r/>
      <w:bookmarkStart w:id="68" w:name="_Toc513029209"/>
      <w:r/>
      <w:bookmarkStart w:id="69" w:name="_Toc20823281"/>
      <w:r/>
      <w:bookmarkStart w:id="70" w:name="_Toc120614215"/>
      <w:r>
        <w:rPr>
          <w:rFonts w:hint="eastAsia"/>
          <w:b/>
          <w:bCs/>
          <w:sz w:val="32"/>
          <w:szCs w:val="32"/>
        </w:rPr>
        <w:t xml:space="preserve">二、招标文件</w:t>
      </w:r>
      <w:bookmarkEnd w:id="67"/>
      <w:r/>
      <w:bookmarkEnd w:id="68"/>
      <w:r/>
      <w:bookmarkEnd w:id="69"/>
      <w:r/>
      <w:bookmarkEnd w:id="70"/>
      <w:r/>
      <w:r/>
    </w:p>
    <w:p>
      <w:pPr>
        <w:ind w:firstLine="420"/>
        <w:keepLines/>
        <w:keepNext/>
        <w:spacing w:line="400" w:lineRule="exact"/>
        <w:rPr>
          <w:rFonts w:ascii="Arial" w:hAnsi="Arial" w:eastAsia="黑体" w:cs="Arial"/>
          <w:sz w:val="28"/>
          <w:szCs w:val="28"/>
        </w:rPr>
        <w:outlineLvl w:val="3"/>
      </w:pPr>
      <w:r/>
      <w:bookmarkStart w:id="71" w:name="_Toc20823282"/>
      <w:r/>
      <w:bookmarkStart w:id="72" w:name="_Toc513029210"/>
      <w:r/>
      <w:bookmarkStart w:id="73" w:name="_Toc16938526"/>
      <w:r>
        <w:rPr>
          <w:rFonts w:hint="eastAsia" w:ascii="Arial" w:hAnsi="Arial" w:eastAsia="黑体" w:cs="Arial"/>
          <w:sz w:val="28"/>
          <w:szCs w:val="28"/>
        </w:rPr>
        <w:t xml:space="preserve">6、招标文件构成</w:t>
      </w:r>
      <w:bookmarkEnd w:id="71"/>
      <w:r/>
      <w:bookmarkEnd w:id="72"/>
      <w:r/>
      <w:bookmarkEnd w:id="73"/>
      <w:r/>
      <w:r/>
    </w:p>
    <w:p>
      <w:pPr>
        <w:ind w:firstLine="480"/>
        <w:spacing w:line="4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szCs w:val="21"/>
        </w:rPr>
      </w:pPr>
      <w:r>
        <w:rPr>
          <w:rFonts w:hint="eastAsia" w:ascii="宋体" w:hAnsi="宋体"/>
          <w:sz w:val="24"/>
          <w:szCs w:val="21"/>
        </w:rPr>
        <w:t xml:space="preserve">请仔细检查招标文件是否齐全，如有缺漏请立即与采购中心联系解决。</w:t>
      </w:r>
      <w:r/>
    </w:p>
    <w:p>
      <w:pPr>
        <w:ind w:firstLine="480"/>
        <w:spacing w:line="4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4" w:name="_Toc16938528"/>
      <w:r/>
      <w:bookmarkStart w:id="75" w:name="_Toc462564071"/>
      <w:r/>
      <w:bookmarkStart w:id="76" w:name="_Toc513029212"/>
      <w:r/>
      <w:bookmarkStart w:id="77" w:name="_Toc20823284"/>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4"/>
      <w:r/>
      <w:bookmarkEnd w:id="75"/>
      <w:r/>
      <w:bookmarkEnd w:id="76"/>
      <w:r/>
      <w:bookmarkEnd w:id="77"/>
      <w:r/>
      <w:r/>
    </w:p>
    <w:p>
      <w:pPr>
        <w:ind w:firstLine="480"/>
        <w:spacing w:line="400" w:lineRule="exact"/>
        <w:rPr>
          <w:rFonts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0"/>
        <w:keepLines/>
        <w:keepNext/>
        <w:spacing w:before="156" w:after="156" w:line="400" w:lineRule="exact"/>
        <w:rPr>
          <w:b/>
          <w:bCs/>
          <w:sz w:val="32"/>
          <w:szCs w:val="32"/>
        </w:rPr>
        <w:outlineLvl w:val="2"/>
      </w:pPr>
      <w:r/>
      <w:bookmarkStart w:id="78" w:name="_Toc462564072"/>
      <w:r/>
      <w:bookmarkStart w:id="79" w:name="_Toc20823285"/>
      <w:r/>
      <w:bookmarkStart w:id="80" w:name="_Toc120614216"/>
      <w:r/>
      <w:bookmarkStart w:id="81" w:name="_Toc16938529"/>
      <w:r/>
      <w:bookmarkStart w:id="82" w:name="_Toc513029213"/>
      <w:r>
        <w:rPr>
          <w:rFonts w:hint="eastAsia"/>
          <w:b/>
          <w:bCs/>
          <w:sz w:val="32"/>
          <w:szCs w:val="32"/>
        </w:rPr>
        <w:t xml:space="preserve">三、投标文件的编制</w:t>
      </w:r>
      <w:bookmarkEnd w:id="78"/>
      <w:r/>
      <w:bookmarkEnd w:id="79"/>
      <w:r/>
      <w:bookmarkEnd w:id="80"/>
      <w:r/>
      <w:bookmarkEnd w:id="81"/>
      <w:r/>
      <w:bookmarkEnd w:id="82"/>
      <w:r/>
      <w:r/>
    </w:p>
    <w:p>
      <w:pPr>
        <w:ind w:firstLine="560"/>
        <w:keepLines/>
        <w:keepNext/>
        <w:spacing w:line="400" w:lineRule="exact"/>
        <w:rPr>
          <w:rFonts w:ascii="Arial" w:hAnsi="Arial" w:eastAsia="黑体" w:cs="Arial"/>
          <w:b/>
          <w:sz w:val="28"/>
          <w:szCs w:val="28"/>
        </w:rPr>
        <w:outlineLvl w:val="3"/>
      </w:pPr>
      <w:r/>
      <w:bookmarkStart w:id="83" w:name="_Toc20823286"/>
      <w:r/>
      <w:bookmarkStart w:id="84" w:name="_Toc462564073"/>
      <w:r/>
      <w:bookmarkStart w:id="85" w:name="_Toc16938530"/>
      <w:r/>
      <w:bookmarkStart w:id="86" w:name="_Toc513029214"/>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3"/>
      <w:r/>
      <w:bookmarkEnd w:id="84"/>
      <w:r/>
      <w:bookmarkEnd w:id="85"/>
      <w:r/>
      <w:bookmarkEnd w:id="86"/>
      <w:r/>
      <w:r/>
    </w:p>
    <w:p>
      <w:pPr>
        <w:ind w:firstLine="480"/>
        <w:spacing w:line="400" w:lineRule="exact"/>
        <w:rPr>
          <w:rFonts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87" w:name="_Toc513029215"/>
      <w:r/>
      <w:bookmarkStart w:id="88" w:name="_Toc462564074"/>
      <w:r/>
      <w:bookmarkStart w:id="89" w:name="_Toc16938531"/>
      <w:r/>
      <w:bookmarkStart w:id="90" w:name="_Toc20823287"/>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87"/>
      <w:r/>
      <w:bookmarkEnd w:id="88"/>
      <w:r/>
      <w:bookmarkEnd w:id="89"/>
      <w:r/>
      <w:bookmarkEnd w:id="90"/>
      <w:r/>
      <w:r/>
    </w:p>
    <w:p>
      <w:pPr>
        <w:ind w:firstLine="480"/>
        <w:spacing w:line="400" w:lineRule="exact"/>
        <w:rPr>
          <w:rFonts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91" w:name="_Hlt26954838"/>
      <w:r/>
      <w:bookmarkEnd w:id="91"/>
      <w:r/>
      <w:bookmarkStart w:id="92" w:name="_Hlt26670360"/>
      <w:r/>
      <w:bookmarkEnd w:id="92"/>
      <w:r/>
      <w:bookmarkStart w:id="93" w:name="_Hlt26668975"/>
      <w:r/>
      <w:bookmarkEnd w:id="93"/>
      <w:r/>
      <w:bookmarkStart w:id="94" w:name="_Toc49090507"/>
      <w:r/>
      <w:bookmarkStart w:id="95" w:name="_Toc14577354"/>
      <w:r/>
      <w:bookmarkStart w:id="96" w:name="_Toc14577357"/>
      <w:r/>
      <w:bookmarkStart w:id="97" w:name="_Toc513029216"/>
      <w:r/>
      <w:bookmarkStart w:id="98" w:name="_Toc49090509"/>
      <w:r/>
      <w:bookmarkStart w:id="99" w:name="_Toc513029219"/>
      <w:r/>
      <w:bookmarkStart w:id="100" w:name="_Toc14577355"/>
      <w:r/>
      <w:bookmarkStart w:id="101" w:name="_Toc49090508"/>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4"/>
      <w:r/>
      <w:bookmarkEnd w:id="95"/>
      <w:r/>
      <w:bookmarkEnd w:id="96"/>
      <w:r/>
      <w:bookmarkEnd w:id="97"/>
      <w:r/>
      <w:bookmarkEnd w:id="98"/>
      <w:r/>
      <w:bookmarkEnd w:id="99"/>
      <w:r/>
      <w:r/>
    </w:p>
    <w:p>
      <w:pPr>
        <w:spacing w:line="400" w:lineRule="exact"/>
        <w:rPr>
          <w:rFonts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0"/>
      <w:r/>
      <w:bookmarkEnd w:id="101"/>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2" w:name="_Hlt26954840"/>
      <w:r/>
      <w:bookmarkEnd w:id="102"/>
      <w:r>
        <w:rPr>
          <w:rFonts w:hint="eastAsia" w:ascii="宋体" w:hAnsi="宋体"/>
          <w:sz w:val="24"/>
          <w:szCs w:val="21"/>
        </w:rPr>
        <w:t xml:space="preserve">标人按照招标文件规定格式填报投标分项报价表</w:t>
      </w:r>
      <w:bookmarkStart w:id="103" w:name="_Hlt26670399"/>
      <w:r/>
      <w:bookmarkEnd w:id="103"/>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4" w:name="_Hlt26954731"/>
      <w:r/>
      <w:bookmarkEnd w:id="104"/>
      <w:r/>
      <w:bookmarkStart w:id="105" w:name="_Hlt26954848"/>
      <w:r/>
      <w:bookmarkEnd w:id="105"/>
      <w:r/>
      <w:bookmarkStart w:id="106" w:name="_Hlt26670482"/>
      <w:r/>
      <w:bookmarkEnd w:id="106"/>
      <w:r/>
      <w:bookmarkStart w:id="107" w:name="_Hlt26670486"/>
      <w:r/>
      <w:bookmarkEnd w:id="107"/>
      <w:r/>
      <w:bookmarkStart w:id="108" w:name="_Hlt26954846"/>
      <w:r/>
      <w:bookmarkEnd w:id="10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09" w:name="_Toc49090510"/>
      <w:r/>
      <w:bookmarkStart w:id="110"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09"/>
      <w:r/>
      <w:bookmarkEnd w:id="110"/>
      <w:r/>
      <w:r/>
    </w:p>
    <w:p>
      <w:pPr>
        <w:ind w:firstLine="420"/>
        <w:keepLines/>
        <w:keepNext/>
        <w:spacing w:line="400" w:lineRule="exact"/>
        <w:rPr>
          <w:rFonts w:ascii="Arial" w:hAnsi="Arial" w:eastAsia="黑体" w:cs="Arial"/>
          <w:sz w:val="28"/>
          <w:szCs w:val="28"/>
        </w:rPr>
        <w:outlineLvl w:val="3"/>
      </w:pPr>
      <w:r/>
      <w:bookmarkStart w:id="111" w:name="_Toc49090511"/>
      <w:r/>
      <w:bookmarkStart w:id="112"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1"/>
      <w:r/>
      <w:bookmarkEnd w:id="112"/>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keepLines/>
        <w:keepNext/>
        <w:spacing w:before="156" w:after="156" w:line="400" w:lineRule="exact"/>
        <w:rPr>
          <w:b/>
          <w:bCs/>
          <w:sz w:val="32"/>
          <w:szCs w:val="32"/>
        </w:rPr>
        <w:outlineLvl w:val="2"/>
      </w:pPr>
      <w:r/>
      <w:bookmarkStart w:id="113" w:name="_Hlt26954739"/>
      <w:r/>
      <w:bookmarkEnd w:id="113"/>
      <w:r/>
      <w:bookmarkStart w:id="114" w:name="_Hlt26954852"/>
      <w:r/>
      <w:bookmarkEnd w:id="114"/>
      <w:r/>
      <w:bookmarkStart w:id="115" w:name="_Toc513029224"/>
      <w:r/>
      <w:bookmarkStart w:id="116" w:name="_Toc120614217"/>
      <w:r/>
      <w:bookmarkStart w:id="117" w:name="_Toc20823296"/>
      <w:r/>
      <w:bookmarkStart w:id="118" w:name="_Toc16938540"/>
      <w:r>
        <w:rPr>
          <w:rFonts w:hint="eastAsia"/>
          <w:b/>
          <w:bCs/>
          <w:sz w:val="32"/>
          <w:szCs w:val="32"/>
        </w:rPr>
        <w:t xml:space="preserve">四、投标文件的递交</w:t>
      </w:r>
      <w:bookmarkEnd w:id="115"/>
      <w:r/>
      <w:bookmarkEnd w:id="116"/>
      <w:r/>
      <w:bookmarkEnd w:id="117"/>
      <w:r/>
      <w:bookmarkEnd w:id="118"/>
      <w:r/>
      <w:r/>
    </w:p>
    <w:p>
      <w:pPr>
        <w:ind w:firstLine="420"/>
        <w:keepLines/>
        <w:keepNext/>
        <w:spacing w:line="400" w:lineRule="exact"/>
        <w:rPr>
          <w:rFonts w:ascii="黑体" w:hAnsi="Arial" w:eastAsia="黑体" w:cs="Arial"/>
          <w:sz w:val="28"/>
          <w:szCs w:val="28"/>
        </w:rPr>
        <w:outlineLvl w:val="3"/>
      </w:pPr>
      <w:r/>
      <w:bookmarkStart w:id="119" w:name="_Toc513029225"/>
      <w:r/>
      <w:bookmarkStart w:id="120" w:name="_Toc20823297"/>
      <w:r/>
      <w:bookmarkStart w:id="121" w:name="_Toc462564084"/>
      <w:r/>
      <w:bookmarkStart w:id="122"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19"/>
      <w:r/>
      <w:bookmarkEnd w:id="120"/>
      <w:r/>
      <w:bookmarkEnd w:id="121"/>
      <w:r/>
      <w:bookmarkEnd w:id="122"/>
      <w:r>
        <w:rPr>
          <w:rFonts w:hint="eastAsia" w:ascii="黑体" w:hAnsi="Arial" w:eastAsia="黑体" w:cs="Arial"/>
          <w:sz w:val="28"/>
          <w:szCs w:val="28"/>
        </w:rPr>
        <w:t xml:space="preserve">的递交</w:t>
      </w:r>
      <w:r/>
    </w:p>
    <w:p>
      <w:pPr>
        <w:ind w:left="525"/>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p>
    <w:p>
      <w:pPr>
        <w:spacing w:line="400" w:lineRule="exact"/>
        <w:rPr>
          <w:rFonts w:ascii="宋体" w:hAnsi="宋体"/>
          <w:bCs/>
          <w:sz w:val="24"/>
          <w:szCs w:val="21"/>
        </w:rPr>
      </w:pPr>
      <w:r>
        <w:rPr>
          <w:rFonts w:hint="eastAsia" w:ascii="宋体" w:hAnsi="宋体"/>
          <w:bCs/>
          <w:sz w:val="24"/>
          <w:szCs w:val="21"/>
        </w:rPr>
        <w:t xml:space="preserve">子投标文件。</w:t>
      </w:r>
      <w:bookmarkStart w:id="123" w:name="_Toc20823298"/>
      <w:r/>
      <w:bookmarkStart w:id="124" w:name="_Toc513029226"/>
      <w:r/>
      <w:bookmarkStart w:id="125" w:name="_Toc16938542"/>
      <w:r/>
      <w:r/>
    </w:p>
    <w:p>
      <w:pPr>
        <w:ind w:firstLine="420"/>
        <w:keepLines/>
        <w:keepNext/>
        <w:spacing w:before="280" w:after="290" w:line="400" w:lineRule="exact"/>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3"/>
      <w:r/>
      <w:bookmarkEnd w:id="124"/>
      <w:r/>
      <w:bookmarkEnd w:id="125"/>
      <w:r/>
      <w:r/>
    </w:p>
    <w:p>
      <w:pPr>
        <w:ind w:firstLine="480"/>
        <w:spacing w:line="40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ind w:firstLine="480"/>
        <w:spacing w:line="400" w:lineRule="exact"/>
        <w:rPr>
          <w:rFonts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ind w:firstLine="480"/>
        <w:spacing w:line="40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26" w:name="_Toc513029227"/>
      <w:r/>
      <w:bookmarkStart w:id="127" w:name="_Toc16938543"/>
      <w:r/>
      <w:bookmarkStart w:id="128" w:name="_Toc20823299"/>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26"/>
      <w:r/>
      <w:bookmarkEnd w:id="127"/>
      <w:r/>
      <w:bookmarkEnd w:id="128"/>
      <w:r>
        <w:rPr>
          <w:rFonts w:hint="eastAsia" w:ascii="Arial" w:hAnsi="Arial" w:eastAsia="黑体" w:cs="Arial"/>
          <w:sz w:val="28"/>
          <w:szCs w:val="28"/>
        </w:rPr>
        <w:t xml:space="preserve">的拒收</w:t>
      </w:r>
      <w:r/>
    </w:p>
    <w:p>
      <w:pPr>
        <w:ind w:firstLine="480"/>
        <w:spacing w:line="400" w:lineRule="exact"/>
        <w:rPr>
          <w:rFonts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29" w:name="_Toc513029228"/>
      <w:r/>
      <w:bookmarkStart w:id="130" w:name="_Toc16938544"/>
      <w:r/>
      <w:bookmarkStart w:id="131"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29"/>
      <w:r/>
      <w:bookmarkEnd w:id="130"/>
      <w:r/>
      <w:bookmarkEnd w:id="131"/>
      <w:r/>
      <w:r/>
    </w:p>
    <w:p>
      <w:pPr>
        <w:ind w:firstLine="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ind w:firstLine="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ind w:firstLine="480"/>
        <w:spacing w:line="4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b/>
          <w:bCs/>
          <w:sz w:val="32"/>
          <w:szCs w:val="32"/>
        </w:rPr>
        <w:outlineLvl w:val="2"/>
      </w:pPr>
      <w:r/>
      <w:bookmarkStart w:id="132" w:name="_Toc16938545"/>
      <w:r/>
      <w:bookmarkStart w:id="133" w:name="_Toc513029229"/>
      <w:r/>
      <w:bookmarkStart w:id="134" w:name="_Toc20823301"/>
      <w:r/>
      <w:bookmarkStart w:id="135" w:name="_Toc120614218"/>
      <w:r>
        <w:rPr>
          <w:rFonts w:hint="eastAsia"/>
          <w:b/>
          <w:bCs/>
          <w:sz w:val="32"/>
          <w:szCs w:val="32"/>
        </w:rPr>
        <w:t xml:space="preserve">五、开标与评标</w:t>
      </w:r>
      <w:bookmarkEnd w:id="132"/>
      <w:r/>
      <w:bookmarkEnd w:id="133"/>
      <w:r/>
      <w:bookmarkEnd w:id="134"/>
      <w:r/>
      <w:bookmarkEnd w:id="135"/>
      <w:r/>
      <w:r/>
    </w:p>
    <w:p>
      <w:pPr>
        <w:ind w:firstLine="420"/>
        <w:keepLines/>
        <w:keepNext/>
        <w:spacing w:line="400" w:lineRule="exact"/>
        <w:rPr>
          <w:rFonts w:ascii="Arial" w:hAnsi="Arial" w:eastAsia="黑体" w:cs="Arial"/>
          <w:sz w:val="28"/>
          <w:szCs w:val="28"/>
        </w:rPr>
        <w:outlineLvl w:val="3"/>
      </w:pPr>
      <w:r/>
      <w:bookmarkStart w:id="136" w:name="_Toc513029230"/>
      <w:r/>
      <w:bookmarkStart w:id="137" w:name="_Toc16938546"/>
      <w:r/>
      <w:bookmarkStart w:id="138"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36"/>
      <w:r/>
      <w:bookmarkEnd w:id="137"/>
      <w:r/>
      <w:bookmarkEnd w:id="138"/>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9" w:name="_Toc20823303"/>
      <w:r/>
      <w:bookmarkStart w:id="140" w:name="_Toc16938547"/>
      <w:r/>
      <w:bookmarkStart w:id="141"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39"/>
      <w:r/>
      <w:bookmarkEnd w:id="140"/>
      <w:r/>
      <w:bookmarkEnd w:id="141"/>
      <w:r/>
      <w:r/>
    </w:p>
    <w:p>
      <w:pPr>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42" w:name="_Toc20823304"/>
      <w:r/>
      <w:bookmarkStart w:id="143" w:name="_Toc16938548"/>
      <w:r/>
      <w:bookmarkStart w:id="144" w:name="_Toc513029232"/>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2"/>
      <w:r/>
      <w:bookmarkEnd w:id="143"/>
      <w:r/>
      <w:bookmarkEnd w:id="144"/>
      <w:r/>
      <w:r/>
    </w:p>
    <w:p>
      <w:pPr>
        <w:ind w:firstLine="480"/>
        <w:spacing w:line="400" w:lineRule="exact"/>
        <w:rPr>
          <w:rFonts w:ascii="宋体" w:hAnsi="宋体"/>
          <w:sz w:val="24"/>
          <w:szCs w:val="24"/>
        </w:rPr>
      </w:pPr>
      <w:r/>
      <w:bookmarkStart w:id="145" w:name="_Toc16938549"/>
      <w:r/>
      <w:bookmarkStart w:id="146" w:name="_Toc513029233"/>
      <w:r/>
      <w:bookmarkStart w:id="147" w:name="_Toc20823305"/>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45"/>
      <w:r/>
      <w:bookmarkEnd w:id="146"/>
      <w:r/>
      <w:bookmarkEnd w:id="147"/>
      <w:r/>
      <w:r/>
    </w:p>
    <w:p>
      <w:pPr>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（www.creditchina.gov.cn）</w:t>
      </w:r>
      <w:r>
        <w:rPr>
          <w:rFonts w:hint="eastAsia" w:ascii="宋体" w:hAnsi="宋体"/>
          <w:bCs/>
          <w:sz w:val="24"/>
          <w:szCs w:val="21"/>
        </w:rPr>
        <w:t xml:space="preserve">查询投标人的信用记录，以确定投标人是否具备投标资格,查询结果留存并归档。</w:t>
      </w:r>
      <w:r/>
    </w:p>
    <w:p>
      <w:pPr>
        <w:ind w:firstLine="480"/>
        <w:spacing w:line="4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0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sz w:val="24"/>
          <w:szCs w:val="21"/>
        </w:rPr>
      </w:pPr>
      <w:r/>
      <w:bookmarkStart w:id="148" w:name="_Toc513029234"/>
      <w:r/>
      <w:bookmarkStart w:id="149" w:name="_Toc16938550"/>
      <w:r/>
      <w:bookmarkStart w:id="150" w:name="_Toc20823306"/>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ascii="宋体" w:hAnsi="宋体"/>
          <w:sz w:val="24"/>
          <w:szCs w:val="21"/>
        </w:rPr>
      </w:pPr>
      <w:r>
        <w:rPr>
          <w:rFonts w:hint="eastAsia" w:ascii="宋体" w:hAnsi="宋体"/>
          <w:sz w:val="24"/>
          <w:szCs w:val="21"/>
        </w:rPr>
        <w:t xml:space="preserve">25.8 异常</w:t>
      </w:r>
      <w:r>
        <w:rPr>
          <w:rFonts w:ascii="宋体" w:hAnsi="宋体"/>
          <w:sz w:val="24"/>
          <w:szCs w:val="21"/>
        </w:rPr>
        <w:t xml:space="preserve">低价</w:t>
      </w:r>
      <w:r>
        <w:rPr>
          <w:rFonts w:hint="eastAsia" w:ascii="宋体" w:hAnsi="宋体"/>
          <w:sz w:val="24"/>
          <w:szCs w:val="21"/>
        </w:rPr>
        <w:t xml:space="preserve">投标</w:t>
      </w:r>
      <w:r>
        <w:rPr>
          <w:rFonts w:ascii="宋体" w:hAnsi="宋体"/>
          <w:sz w:val="24"/>
          <w:szCs w:val="21"/>
        </w:rPr>
        <w:t xml:space="preserve">审查</w:t>
      </w:r>
      <w:r/>
    </w:p>
    <w:p>
      <w:pPr>
        <w:ind w:firstLine="420"/>
        <w:spacing w:line="400" w:lineRule="exact"/>
        <w:rPr>
          <w:rFonts w:ascii="宋体" w:hAnsi="宋体"/>
          <w:sz w:val="24"/>
          <w:szCs w:val="21"/>
        </w:rPr>
      </w:pPr>
      <w:r>
        <w:rPr>
          <w:rFonts w:hint="eastAsia" w:ascii="宋体" w:hAnsi="宋体"/>
          <w:sz w:val="24"/>
          <w:szCs w:val="21"/>
        </w:rPr>
        <w:t xml:space="preserve">25.8.1 评标</w:t>
      </w:r>
      <w:r>
        <w:rPr>
          <w:rFonts w:ascii="宋体" w:hAnsi="宋体"/>
          <w:sz w:val="24"/>
          <w:szCs w:val="21"/>
        </w:rPr>
        <w:t xml:space="preserve">过程中出现下列情形</w:t>
      </w:r>
      <w:r>
        <w:rPr>
          <w:rFonts w:hint="eastAsia" w:ascii="宋体" w:hAnsi="宋体"/>
          <w:sz w:val="24"/>
          <w:szCs w:val="21"/>
        </w:rPr>
        <w:t xml:space="preserve">之一</w:t>
      </w:r>
      <w:r>
        <w:rPr>
          <w:rFonts w:ascii="宋体" w:hAnsi="宋体"/>
          <w:sz w:val="24"/>
          <w:szCs w:val="21"/>
        </w:rPr>
        <w:t xml:space="preserve">的，评标委员会应当启动异常低价投标审查程序</w:t>
      </w:r>
      <w:r>
        <w:rPr>
          <w:rFonts w:hint="eastAsia" w:ascii="宋体" w:hAnsi="宋体"/>
          <w:sz w:val="24"/>
          <w:szCs w:val="21"/>
        </w:rPr>
        <w:t xml:space="preserve">：</w:t>
      </w:r>
      <w:r/>
    </w:p>
    <w:p>
      <w:pPr>
        <w:ind w:firstLine="420"/>
        <w:spacing w:line="400" w:lineRule="exact"/>
        <w:rPr>
          <w:rFonts w:ascii="宋体" w:hAnsi="宋体"/>
          <w:sz w:val="24"/>
          <w:szCs w:val="21"/>
        </w:rPr>
      </w:pPr>
      <w:r>
        <w:rPr>
          <w:rFonts w:hint="eastAsia" w:ascii="宋体" w:hAnsi="宋体"/>
          <w:sz w:val="24"/>
          <w:szCs w:val="21"/>
        </w:rPr>
        <w:t xml:space="preserve">（1）投标</w:t>
      </w:r>
      <w:r>
        <w:rPr>
          <w:rFonts w:ascii="宋体" w:hAnsi="宋体"/>
          <w:sz w:val="24"/>
          <w:szCs w:val="21"/>
        </w:rPr>
        <w:t xml:space="preserve">报价低于采购项目预算</w:t>
      </w:r>
      <w:r>
        <w:rPr>
          <w:rFonts w:hint="eastAsia" w:ascii="宋体" w:hAnsi="宋体"/>
          <w:sz w:val="24"/>
          <w:szCs w:val="21"/>
        </w:rPr>
        <w:t xml:space="preserve">50%的</w:t>
      </w:r>
      <w:r>
        <w:rPr>
          <w:rFonts w:ascii="宋体" w:hAnsi="宋体"/>
          <w:sz w:val="24"/>
          <w:szCs w:val="21"/>
        </w:rPr>
        <w:t xml:space="preserve">，即</w:t>
      </w:r>
      <w:r>
        <w:rPr>
          <w:rFonts w:hint="eastAsia" w:ascii="宋体" w:hAnsi="宋体"/>
          <w:sz w:val="24"/>
          <w:szCs w:val="21"/>
        </w:rPr>
        <w:t xml:space="preserve">投标</w:t>
      </w:r>
      <w:r>
        <w:rPr>
          <w:rFonts w:ascii="宋体" w:hAnsi="宋体"/>
          <w:sz w:val="24"/>
          <w:szCs w:val="21"/>
        </w:rPr>
        <w:t xml:space="preserve">报价</w:t>
      </w:r>
      <w:r>
        <w:rPr>
          <w:rFonts w:hint="eastAsia" w:ascii="宋体" w:hAnsi="宋体"/>
          <w:sz w:val="24"/>
          <w:szCs w:val="21"/>
        </w:rPr>
        <w:t xml:space="preserve">＜采购</w:t>
      </w:r>
      <w:r>
        <w:rPr>
          <w:rFonts w:ascii="宋体" w:hAnsi="宋体"/>
          <w:sz w:val="24"/>
          <w:szCs w:val="21"/>
        </w:rPr>
        <w:t xml:space="preserve">项目预算</w:t>
      </w:r>
      <w:r>
        <w:rPr>
          <w:rFonts w:hint="eastAsia" w:ascii="宋体" w:hAnsi="宋体"/>
          <w:sz w:val="24"/>
          <w:szCs w:val="21"/>
        </w:rPr>
        <w:t xml:space="preserve">×50%；</w:t>
      </w:r>
      <w:r/>
    </w:p>
    <w:p>
      <w:pPr>
        <w:ind w:firstLine="420"/>
        <w:spacing w:line="400" w:lineRule="exact"/>
        <w:rPr>
          <w:rFonts w:ascii="宋体" w:hAnsi="宋体"/>
          <w:sz w:val="24"/>
          <w:szCs w:val="21"/>
        </w:rPr>
      </w:pPr>
      <w:r>
        <w:rPr>
          <w:rFonts w:hint="eastAsia" w:ascii="宋体" w:hAnsi="宋体"/>
          <w:sz w:val="24"/>
          <w:szCs w:val="21"/>
        </w:rPr>
        <w:t xml:space="preserve">（2）投标</w:t>
      </w:r>
      <w:r>
        <w:rPr>
          <w:rFonts w:ascii="宋体" w:hAnsi="宋体"/>
          <w:sz w:val="24"/>
          <w:szCs w:val="21"/>
        </w:rPr>
        <w:t xml:space="preserve">报价</w:t>
      </w:r>
      <w:r>
        <w:rPr>
          <w:rFonts w:hint="eastAsia" w:ascii="宋体" w:hAnsi="宋体"/>
          <w:sz w:val="24"/>
          <w:szCs w:val="21"/>
        </w:rPr>
        <w:t xml:space="preserve">低于</w:t>
      </w:r>
      <w:r>
        <w:rPr>
          <w:rFonts w:ascii="宋体" w:hAnsi="宋体"/>
          <w:sz w:val="24"/>
          <w:szCs w:val="21"/>
        </w:rPr>
        <w:t xml:space="preserve">采购项目最高</w:t>
      </w:r>
      <w:r>
        <w:rPr>
          <w:rFonts w:hint="eastAsia" w:ascii="宋体" w:hAnsi="宋体"/>
          <w:sz w:val="24"/>
          <w:szCs w:val="21"/>
        </w:rPr>
        <w:t xml:space="preserve">限价</w:t>
      </w:r>
      <w:r>
        <w:rPr>
          <w:rFonts w:ascii="宋体" w:hAnsi="宋体"/>
          <w:sz w:val="24"/>
          <w:szCs w:val="21"/>
        </w:rPr>
        <w:t xml:space="preserve">45%</w:t>
      </w:r>
      <w:r>
        <w:rPr>
          <w:rFonts w:hint="eastAsia" w:ascii="宋体" w:hAnsi="宋体"/>
          <w:sz w:val="24"/>
          <w:szCs w:val="21"/>
        </w:rPr>
        <w:t xml:space="preserve">的</w:t>
      </w:r>
      <w:r>
        <w:rPr>
          <w:rFonts w:ascii="宋体" w:hAnsi="宋体"/>
          <w:sz w:val="24"/>
          <w:szCs w:val="21"/>
        </w:rPr>
        <w:t xml:space="preserve">，即投标报价</w:t>
      </w:r>
      <w:r>
        <w:rPr>
          <w:rFonts w:hint="eastAsia" w:ascii="宋体" w:hAnsi="宋体"/>
          <w:sz w:val="24"/>
          <w:szCs w:val="21"/>
        </w:rPr>
        <w:t xml:space="preserve">＜采购</w:t>
      </w:r>
      <w:r>
        <w:rPr>
          <w:rFonts w:ascii="宋体" w:hAnsi="宋体"/>
          <w:sz w:val="24"/>
          <w:szCs w:val="21"/>
        </w:rPr>
        <w:t xml:space="preserve">项目最高</w:t>
      </w:r>
      <w:r>
        <w:rPr>
          <w:rFonts w:hint="eastAsia" w:ascii="宋体" w:hAnsi="宋体"/>
          <w:sz w:val="24"/>
          <w:szCs w:val="21"/>
        </w:rPr>
        <w:t xml:space="preserve">限价×45%；</w:t>
      </w:r>
      <w:r/>
    </w:p>
    <w:p>
      <w:pPr>
        <w:ind w:firstLine="420"/>
        <w:spacing w:line="400" w:lineRule="exact"/>
        <w:rPr>
          <w:rFonts w:ascii="宋体" w:hAnsi="宋体"/>
          <w:sz w:val="24"/>
          <w:szCs w:val="21"/>
        </w:rPr>
      </w:pPr>
      <w:r>
        <w:rPr>
          <w:rFonts w:hint="eastAsia" w:ascii="宋体" w:hAnsi="宋体"/>
          <w:sz w:val="24"/>
          <w:szCs w:val="21"/>
        </w:rPr>
        <w:t xml:space="preserve">（3）评标</w:t>
      </w:r>
      <w:r>
        <w:rPr>
          <w:rFonts w:ascii="宋体" w:hAnsi="宋体"/>
          <w:sz w:val="24"/>
          <w:szCs w:val="21"/>
        </w:rPr>
        <w:t xml:space="preserve">委员会认定的供应商</w:t>
      </w:r>
      <w:r>
        <w:rPr>
          <w:rFonts w:hint="eastAsia" w:ascii="宋体" w:hAnsi="宋体"/>
          <w:sz w:val="24"/>
          <w:szCs w:val="21"/>
        </w:rPr>
        <w:t xml:space="preserve">报价</w:t>
      </w:r>
      <w:r>
        <w:rPr>
          <w:rFonts w:ascii="宋体" w:hAnsi="宋体"/>
          <w:sz w:val="24"/>
          <w:szCs w:val="21"/>
        </w:rPr>
        <w:t xml:space="preserve">过低</w:t>
      </w:r>
      <w:r>
        <w:rPr>
          <w:rFonts w:hint="eastAsia" w:ascii="宋体" w:hAnsi="宋体"/>
          <w:sz w:val="24"/>
          <w:szCs w:val="21"/>
        </w:rPr>
        <w:t xml:space="preserve">、</w:t>
      </w:r>
      <w:r>
        <w:rPr>
          <w:rFonts w:ascii="宋体" w:hAnsi="宋体"/>
          <w:sz w:val="24"/>
          <w:szCs w:val="21"/>
        </w:rPr>
        <w:t xml:space="preserve">有可能影响</w:t>
      </w:r>
      <w:r>
        <w:rPr>
          <w:rFonts w:hint="eastAsia" w:ascii="宋体" w:hAnsi="宋体"/>
          <w:sz w:val="24"/>
          <w:szCs w:val="21"/>
        </w:rPr>
        <w:t xml:space="preserve">产品</w:t>
      </w:r>
      <w:r>
        <w:rPr>
          <w:rFonts w:ascii="宋体" w:hAnsi="宋体"/>
          <w:sz w:val="24"/>
          <w:szCs w:val="21"/>
        </w:rPr>
        <w:t xml:space="preserve">质量或者不能诚信履约的其他情形。</w:t>
      </w:r>
      <w:r/>
    </w:p>
    <w:p>
      <w:pPr>
        <w:ind w:firstLine="420"/>
        <w:spacing w:line="400" w:lineRule="exact"/>
        <w:rPr>
          <w:rFonts w:ascii="宋体" w:hAnsi="宋体"/>
          <w:sz w:val="24"/>
          <w:szCs w:val="21"/>
        </w:rPr>
      </w:pPr>
      <w:r>
        <w:rPr>
          <w:rFonts w:ascii="宋体" w:hAnsi="宋体"/>
          <w:sz w:val="24"/>
          <w:szCs w:val="21"/>
        </w:rPr>
        <w:t xml:space="preserve">25.8.2 </w:t>
      </w:r>
      <w:r>
        <w:rPr>
          <w:rFonts w:hint="eastAsia" w:ascii="宋体" w:hAnsi="宋体"/>
          <w:sz w:val="24"/>
          <w:szCs w:val="21"/>
        </w:rPr>
        <w:t xml:space="preserve">启动</w:t>
      </w:r>
      <w:r>
        <w:rPr>
          <w:rFonts w:ascii="宋体" w:hAnsi="宋体"/>
          <w:sz w:val="24"/>
          <w:szCs w:val="21"/>
        </w:rPr>
        <w:t xml:space="preserve">异常低价投标审查后，评标</w:t>
      </w:r>
      <w:r>
        <w:rPr>
          <w:rFonts w:hint="eastAsia" w:ascii="宋体" w:hAnsi="宋体"/>
          <w:sz w:val="24"/>
          <w:szCs w:val="21"/>
        </w:rPr>
        <w:t xml:space="preserve">委员会</w:t>
      </w:r>
      <w:r>
        <w:rPr>
          <w:rFonts w:ascii="宋体" w:hAnsi="宋体"/>
          <w:sz w:val="24"/>
          <w:szCs w:val="21"/>
        </w:rPr>
        <w:t xml:space="preserve">应当</w:t>
      </w:r>
      <w:r>
        <w:rPr>
          <w:rFonts w:hint="eastAsia" w:ascii="宋体" w:hAnsi="宋体"/>
          <w:sz w:val="24"/>
          <w:szCs w:val="21"/>
        </w:rPr>
        <w:t xml:space="preserve">要求</w:t>
      </w:r>
      <w:r>
        <w:rPr>
          <w:rFonts w:ascii="宋体" w:hAnsi="宋体"/>
          <w:sz w:val="24"/>
          <w:szCs w:val="21"/>
        </w:rPr>
        <w:t xml:space="preserve">相关供应商在评标现场合理的时间内，提供项目</w:t>
      </w:r>
      <w:r>
        <w:rPr>
          <w:rFonts w:hint="eastAsia" w:ascii="宋体" w:hAnsi="宋体"/>
          <w:sz w:val="24"/>
          <w:szCs w:val="21"/>
        </w:rPr>
        <w:t xml:space="preserve">具体</w:t>
      </w:r>
      <w:r>
        <w:rPr>
          <w:rFonts w:ascii="宋体" w:hAnsi="宋体"/>
          <w:sz w:val="24"/>
          <w:szCs w:val="21"/>
        </w:rPr>
        <w:t xml:space="preserve">成本测算等与报价合理性相关的书面说明材料</w:t>
      </w:r>
      <w:r>
        <w:rPr>
          <w:rFonts w:hint="eastAsia" w:ascii="宋体" w:hAnsi="宋体"/>
          <w:sz w:val="24"/>
          <w:szCs w:val="21"/>
        </w:rPr>
        <w:t xml:space="preserve">及</w:t>
      </w:r>
      <w:r>
        <w:rPr>
          <w:rFonts w:ascii="宋体" w:hAnsi="宋体"/>
          <w:sz w:val="24"/>
          <w:szCs w:val="21"/>
        </w:rPr>
        <w:t xml:space="preserve">相关证明材料，对</w:t>
      </w:r>
      <w:r>
        <w:rPr>
          <w:rFonts w:hint="eastAsia" w:ascii="宋体" w:hAnsi="宋体"/>
          <w:sz w:val="24"/>
          <w:szCs w:val="21"/>
        </w:rPr>
        <w:t xml:space="preserve">投标</w:t>
      </w:r>
      <w:r>
        <w:rPr>
          <w:rFonts w:ascii="宋体" w:hAnsi="宋体"/>
          <w:sz w:val="24"/>
          <w:szCs w:val="21"/>
        </w:rPr>
        <w:t xml:space="preserve">价格作出解释，</w:t>
      </w:r>
      <w:r>
        <w:rPr>
          <w:rFonts w:hint="eastAsia" w:ascii="宋体" w:hAnsi="宋体"/>
          <w:sz w:val="24"/>
          <w:szCs w:val="21"/>
        </w:rPr>
        <w:t xml:space="preserve">由</w:t>
      </w:r>
      <w:r>
        <w:rPr>
          <w:rFonts w:ascii="宋体" w:hAnsi="宋体"/>
          <w:sz w:val="24"/>
          <w:szCs w:val="21"/>
        </w:rPr>
        <w:t xml:space="preserve">评标委员会结合同类</w:t>
      </w:r>
      <w:r>
        <w:rPr>
          <w:rFonts w:hint="eastAsia" w:ascii="宋体" w:hAnsi="宋体"/>
          <w:sz w:val="24"/>
          <w:szCs w:val="21"/>
        </w:rPr>
        <w:t xml:space="preserve">产品</w:t>
      </w:r>
      <w:r>
        <w:rPr>
          <w:rFonts w:ascii="宋体" w:hAnsi="宋体"/>
          <w:sz w:val="24"/>
          <w:szCs w:val="21"/>
        </w:rPr>
        <w:t xml:space="preserve">在主要电商平台的价格</w:t>
      </w:r>
      <w:r>
        <w:rPr>
          <w:rFonts w:hint="eastAsia" w:ascii="宋体" w:hAnsi="宋体"/>
          <w:sz w:val="24"/>
          <w:szCs w:val="21"/>
        </w:rPr>
        <w:t xml:space="preserve">、</w:t>
      </w:r>
      <w:r>
        <w:rPr>
          <w:rFonts w:ascii="宋体" w:hAnsi="宋体"/>
          <w:sz w:val="24"/>
          <w:szCs w:val="21"/>
        </w:rPr>
        <w:t xml:space="preserve">该行业当地薪资水平等情况，</w:t>
      </w:r>
      <w:r>
        <w:rPr>
          <w:rFonts w:hint="eastAsia" w:ascii="宋体" w:hAnsi="宋体"/>
          <w:sz w:val="24"/>
          <w:szCs w:val="21"/>
        </w:rPr>
        <w:t xml:space="preserve">依据</w:t>
      </w:r>
      <w:r>
        <w:rPr>
          <w:rFonts w:ascii="宋体" w:hAnsi="宋体"/>
          <w:sz w:val="24"/>
          <w:szCs w:val="21"/>
        </w:rPr>
        <w:t xml:space="preserve">专业经验对供应商报价合理性进行判断。投标</w:t>
      </w:r>
      <w:r>
        <w:rPr>
          <w:rFonts w:hint="eastAsia" w:ascii="宋体" w:hAnsi="宋体"/>
          <w:sz w:val="24"/>
          <w:szCs w:val="21"/>
        </w:rPr>
        <w:t xml:space="preserve">供应商</w:t>
      </w:r>
      <w:r>
        <w:rPr>
          <w:rFonts w:ascii="宋体" w:hAnsi="宋体"/>
          <w:sz w:val="24"/>
          <w:szCs w:val="21"/>
        </w:rPr>
        <w:t xml:space="preserve">不提供</w:t>
      </w:r>
      <w:r>
        <w:rPr>
          <w:rFonts w:hint="eastAsia" w:ascii="宋体" w:hAnsi="宋体"/>
          <w:sz w:val="24"/>
          <w:szCs w:val="21"/>
        </w:rPr>
        <w:t xml:space="preserve">书面</w:t>
      </w:r>
      <w:r>
        <w:rPr>
          <w:rFonts w:ascii="宋体" w:hAnsi="宋体"/>
          <w:sz w:val="24"/>
          <w:szCs w:val="21"/>
        </w:rPr>
        <w:t xml:space="preserve">说明</w:t>
      </w:r>
      <w:r>
        <w:rPr>
          <w:rFonts w:hint="eastAsia" w:ascii="宋体" w:hAnsi="宋体"/>
          <w:sz w:val="24"/>
          <w:szCs w:val="21"/>
        </w:rPr>
        <w:t xml:space="preserve">、</w:t>
      </w:r>
      <w:r>
        <w:rPr>
          <w:rFonts w:ascii="宋体" w:hAnsi="宋体"/>
          <w:sz w:val="24"/>
          <w:szCs w:val="21"/>
        </w:rPr>
        <w:t xml:space="preserve">证明材料，</w:t>
      </w:r>
      <w:r>
        <w:rPr>
          <w:rFonts w:hint="eastAsia" w:ascii="宋体" w:hAnsi="宋体"/>
          <w:sz w:val="24"/>
          <w:szCs w:val="21"/>
        </w:rPr>
        <w:t xml:space="preserve">或者</w:t>
      </w:r>
      <w:r>
        <w:rPr>
          <w:rFonts w:ascii="宋体" w:hAnsi="宋体"/>
          <w:sz w:val="24"/>
          <w:szCs w:val="21"/>
        </w:rPr>
        <w:t xml:space="preserve">提供的书面</w:t>
      </w:r>
      <w:r>
        <w:rPr>
          <w:rFonts w:hint="eastAsia" w:ascii="宋体" w:hAnsi="宋体"/>
          <w:sz w:val="24"/>
          <w:szCs w:val="21"/>
        </w:rPr>
        <w:t xml:space="preserve">说明</w:t>
      </w:r>
      <w:r>
        <w:rPr>
          <w:rFonts w:ascii="宋体" w:hAnsi="宋体"/>
          <w:sz w:val="24"/>
          <w:szCs w:val="21"/>
        </w:rPr>
        <w:t xml:space="preserve">、</w:t>
      </w:r>
      <w:r>
        <w:rPr>
          <w:rFonts w:hint="eastAsia" w:ascii="宋体" w:hAnsi="宋体"/>
          <w:sz w:val="24"/>
          <w:szCs w:val="21"/>
        </w:rPr>
        <w:t xml:space="preserve">证明</w:t>
      </w:r>
      <w:r>
        <w:rPr>
          <w:rFonts w:ascii="宋体" w:hAnsi="宋体"/>
          <w:sz w:val="24"/>
          <w:szCs w:val="21"/>
        </w:rPr>
        <w:t xml:space="preserve">材料不能证明其报价合理性的，评标委员会应当将其作为无效投标处理。审查</w:t>
      </w:r>
      <w:r>
        <w:rPr>
          <w:rFonts w:hint="eastAsia" w:ascii="宋体" w:hAnsi="宋体"/>
          <w:sz w:val="24"/>
          <w:szCs w:val="21"/>
        </w:rPr>
        <w:t xml:space="preserve">相关</w:t>
      </w:r>
      <w:r>
        <w:rPr>
          <w:rFonts w:ascii="宋体" w:hAnsi="宋体"/>
          <w:sz w:val="24"/>
          <w:szCs w:val="21"/>
        </w:rPr>
        <w:t xml:space="preserve">情况应当在评标</w:t>
      </w:r>
      <w:r>
        <w:rPr>
          <w:rFonts w:hint="eastAsia" w:ascii="宋体" w:hAnsi="宋体"/>
          <w:sz w:val="24"/>
          <w:szCs w:val="21"/>
        </w:rPr>
        <w:t xml:space="preserve">报告</w:t>
      </w:r>
      <w:r>
        <w:rPr>
          <w:rFonts w:ascii="宋体" w:hAnsi="宋体"/>
          <w:sz w:val="24"/>
          <w:szCs w:val="21"/>
        </w:rPr>
        <w:t xml:space="preserve">中进行记录。</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szCs w:val="21"/>
        </w:rPr>
      </w:pPr>
      <w:r/>
      <w:bookmarkStart w:id="151" w:name="_Toc20823307"/>
      <w:r/>
      <w:bookmarkStart w:id="152" w:name="_Toc513029235"/>
      <w:r/>
      <w:bookmarkStart w:id="153"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10 </w:t>
      </w:r>
      <w:r>
        <w:rPr>
          <w:rFonts w:hint="eastAsia" w:ascii="宋体" w:hAnsi="宋体"/>
          <w:bCs/>
          <w:sz w:val="24"/>
          <w:szCs w:val="21"/>
        </w:rPr>
        <w:t xml:space="preserve">评标委员会按照本招标文件第二章第</w:t>
      </w:r>
      <w:r>
        <w:rPr>
          <w:rFonts w:ascii="宋体" w:hAnsi="宋体"/>
          <w:bCs/>
          <w:sz w:val="24"/>
          <w:szCs w:val="21"/>
        </w:rPr>
        <w:t xml:space="preserve">25.8.2</w:t>
      </w:r>
      <w:r>
        <w:rPr>
          <w:rFonts w:hint="eastAsia" w:ascii="宋体" w:hAnsi="宋体"/>
          <w:bCs/>
          <w:sz w:val="24"/>
          <w:szCs w:val="21"/>
        </w:rPr>
        <w:t xml:space="preserve">条规定对投标人进行异常</w:t>
      </w:r>
      <w:r>
        <w:rPr>
          <w:rFonts w:ascii="宋体" w:hAnsi="宋体"/>
          <w:bCs/>
          <w:sz w:val="24"/>
          <w:szCs w:val="21"/>
        </w:rPr>
        <w:t xml:space="preserve">低价</w:t>
      </w:r>
      <w:r>
        <w:rPr>
          <w:rFonts w:hint="eastAsia" w:ascii="宋体" w:hAnsi="宋体"/>
          <w:bCs/>
          <w:sz w:val="24"/>
          <w:szCs w:val="21"/>
        </w:rPr>
        <w:t xml:space="preserve">投标审查后，认为投标人不能证明其报价合理性的。</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w:t>
      </w:r>
      <w:r/>
    </w:p>
    <w:p>
      <w:pPr>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p>
    <w:p>
      <w:pPr>
        <w:spacing w:line="400" w:lineRule="exact"/>
        <w:rPr>
          <w:rFonts w:ascii="宋体" w:hAnsi="宋体"/>
          <w:bCs/>
          <w:sz w:val="24"/>
          <w:szCs w:val="21"/>
        </w:rPr>
      </w:pPr>
      <w:r>
        <w:rPr>
          <w:rFonts w:hint="eastAsia" w:ascii="宋体" w:hAnsi="宋体"/>
          <w:bCs/>
          <w:sz w:val="24"/>
          <w:szCs w:val="21"/>
        </w:rPr>
        <w:t xml:space="preserve">家的。</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p>
    <w:p>
      <w:pPr>
        <w:spacing w:line="400" w:lineRule="exact"/>
        <w:rPr>
          <w:rFonts w:ascii="宋体" w:hAnsi="宋体"/>
          <w:bCs/>
          <w:sz w:val="24"/>
          <w:szCs w:val="21"/>
        </w:rPr>
      </w:pPr>
      <w:r>
        <w:rPr>
          <w:rFonts w:hint="eastAsia" w:ascii="宋体" w:hAnsi="宋体"/>
          <w:bCs/>
          <w:sz w:val="24"/>
          <w:szCs w:val="21"/>
        </w:rPr>
        <w:t xml:space="preserve">行。</w:t>
      </w:r>
      <w:r/>
    </w:p>
    <w:p>
      <w:pPr>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b/>
          <w:bCs/>
          <w:sz w:val="32"/>
          <w:szCs w:val="32"/>
        </w:rPr>
        <w:outlineLvl w:val="2"/>
      </w:pPr>
      <w:r/>
      <w:bookmarkStart w:id="154" w:name="_Toc120614219"/>
      <w:r>
        <w:rPr>
          <w:rFonts w:hint="eastAsia"/>
          <w:b/>
          <w:bCs/>
          <w:sz w:val="32"/>
          <w:szCs w:val="32"/>
        </w:rPr>
        <w:t xml:space="preserve">六、</w:t>
      </w:r>
      <w:bookmarkEnd w:id="151"/>
      <w:r/>
      <w:bookmarkEnd w:id="152"/>
      <w:r/>
      <w:bookmarkEnd w:id="153"/>
      <w:r>
        <w:rPr>
          <w:rFonts w:hint="eastAsia"/>
          <w:b/>
          <w:bCs/>
          <w:sz w:val="32"/>
          <w:szCs w:val="32"/>
        </w:rPr>
        <w:t xml:space="preserve">定标</w:t>
      </w:r>
      <w:bookmarkEnd w:id="154"/>
      <w:r/>
      <w:r/>
    </w:p>
    <w:p>
      <w:pPr>
        <w:ind w:firstLine="600"/>
        <w:keepLines/>
        <w:keepNext/>
        <w:spacing w:line="400" w:lineRule="exact"/>
        <w:rPr>
          <w:rFonts w:ascii="黑体" w:hAnsi="宋体" w:eastAsia="黑体"/>
          <w:bCs/>
          <w:sz w:val="30"/>
          <w:szCs w:val="30"/>
        </w:rPr>
        <w:outlineLvl w:val="3"/>
      </w:pPr>
      <w:r/>
      <w:bookmarkStart w:id="155" w:name="_Toc513029238"/>
      <w:r/>
      <w:bookmarkStart w:id="156" w:name="_Toc20823310"/>
      <w:r/>
      <w:bookmarkStart w:id="157"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5"/>
      <w:r>
        <w:rPr>
          <w:rFonts w:hint="eastAsia" w:ascii="黑体" w:hAnsi="宋体" w:eastAsia="黑体"/>
          <w:bCs/>
          <w:sz w:val="30"/>
          <w:szCs w:val="30"/>
        </w:rPr>
        <w:t xml:space="preserve">确定</w:t>
      </w:r>
      <w:bookmarkEnd w:id="156"/>
      <w:r/>
      <w:bookmarkEnd w:id="157"/>
      <w:r>
        <w:rPr>
          <w:rFonts w:hint="eastAsia" w:ascii="黑体" w:hAnsi="宋体" w:eastAsia="黑体"/>
          <w:bCs/>
          <w:sz w:val="30"/>
          <w:szCs w:val="30"/>
        </w:rPr>
        <w:t xml:space="preserve">中标单位</w:t>
      </w:r>
      <w:r/>
    </w:p>
    <w:p>
      <w:pPr>
        <w:ind w:firstLine="480"/>
        <w:spacing w:line="400" w:lineRule="exact"/>
        <w:rPr>
          <w:rFonts w:ascii="宋体" w:hAnsi="宋体"/>
          <w:bCs/>
          <w:sz w:val="24"/>
          <w:szCs w:val="21"/>
        </w:rPr>
      </w:pPr>
      <w:r>
        <w:rPr>
          <w:rFonts w:hint="eastAsia" w:ascii="宋体" w:hAnsi="宋体"/>
          <w:bCs/>
          <w:sz w:val="24"/>
          <w:szCs w:val="21"/>
        </w:rPr>
        <w:t xml:space="preserve">27.1中标候选人的选取原则和数量见招标文件第五章规定。 </w:t>
      </w:r>
      <w:r/>
    </w:p>
    <w:p>
      <w:pPr>
        <w:ind w:firstLine="480"/>
        <w:spacing w:line="400" w:lineRule="exact"/>
        <w:rPr>
          <w:rFonts w:ascii="宋体" w:hAnsi="宋体"/>
          <w:bCs/>
          <w:sz w:val="24"/>
          <w:szCs w:val="21"/>
        </w:rPr>
      </w:pPr>
      <w:r>
        <w:rPr>
          <w:rFonts w:hint="eastAsia" w:ascii="宋体" w:hAnsi="宋体"/>
          <w:bCs/>
          <w:sz w:val="24"/>
          <w:szCs w:val="21"/>
        </w:rPr>
        <w:t xml:space="preserve">27.2 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ascii="宋体" w:hAnsi="宋体"/>
          <w:sz w:val="24"/>
          <w:szCs w:val="24"/>
        </w:rPr>
      </w:pPr>
      <w:r/>
      <w:bookmarkStart w:id="15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8"/>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b/>
          <w:sz w:val="24"/>
          <w:szCs w:val="24"/>
        </w:rPr>
      </w:pPr>
      <w:r>
        <w:rPr>
          <w:rFonts w:ascii="宋体" w:hAnsi="宋体"/>
          <w:b/>
          <w:sz w:val="24"/>
          <w:szCs w:val="24"/>
        </w:rPr>
      </w:r>
      <w:r/>
    </w:p>
    <w:p>
      <w:pPr>
        <w:ind w:firstLine="480"/>
        <w:spacing w:line="400" w:lineRule="exact"/>
        <w:rPr>
          <w:rFonts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sz w:val="32"/>
          <w:szCs w:val="32"/>
        </w:rPr>
        <w:outlineLvl w:val="2"/>
      </w:pPr>
      <w:r/>
      <w:bookmarkStart w:id="159" w:name="_Toc20823308"/>
      <w:r/>
      <w:bookmarkStart w:id="160" w:name="_Toc120614220"/>
      <w:r/>
      <w:bookmarkStart w:id="161" w:name="_Toc16938552"/>
      <w:r/>
      <w:bookmarkStart w:id="162" w:name="_Toc513029236"/>
      <w:r>
        <w:rPr>
          <w:rFonts w:hint="eastAsia"/>
          <w:b/>
          <w:bCs/>
          <w:sz w:val="32"/>
          <w:szCs w:val="32"/>
        </w:rPr>
        <w:t xml:space="preserve">七、授予合同</w:t>
      </w:r>
      <w:bookmarkEnd w:id="159"/>
      <w:r/>
      <w:bookmarkEnd w:id="160"/>
      <w:r/>
      <w:bookmarkEnd w:id="161"/>
      <w:r/>
      <w:bookmarkEnd w:id="162"/>
      <w:r/>
      <w:r/>
    </w:p>
    <w:p>
      <w:pPr>
        <w:ind w:firstLine="600"/>
        <w:keepLines/>
        <w:keepNext/>
        <w:spacing w:line="400" w:lineRule="exact"/>
        <w:rPr>
          <w:rFonts w:ascii="黑体" w:hAnsi="宋体" w:eastAsia="黑体"/>
          <w:bCs/>
          <w:sz w:val="30"/>
          <w:szCs w:val="30"/>
        </w:rPr>
        <w:outlineLvl w:val="3"/>
      </w:pPr>
      <w:r/>
      <w:bookmarkStart w:id="163" w:name="_Toc20823309"/>
      <w:r/>
      <w:bookmarkStart w:id="164" w:name="_Toc16938553"/>
      <w:r/>
      <w:bookmarkStart w:id="165"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3"/>
      <w:r/>
      <w:bookmarkEnd w:id="164"/>
      <w:r/>
      <w:bookmarkEnd w:id="165"/>
      <w:r/>
      <w:r/>
    </w:p>
    <w:p>
      <w:pPr>
        <w:ind w:firstLine="600"/>
        <w:keepLines/>
        <w:keepNext/>
        <w:spacing w:line="400" w:lineRule="exact"/>
        <w:rPr>
          <w:rFonts w:ascii="黑体" w:hAnsi="宋体" w:eastAsia="黑体"/>
          <w:bCs/>
          <w:sz w:val="30"/>
          <w:szCs w:val="30"/>
        </w:rPr>
        <w:outlineLvl w:val="3"/>
      </w:pPr>
      <w:r/>
      <w:bookmarkStart w:id="166" w:name="_Toc513029242"/>
      <w:r/>
      <w:bookmarkStart w:id="167" w:name="_Toc16938558"/>
      <w:r/>
      <w:bookmarkStart w:id="168" w:name="_Toc120614221"/>
      <w:r/>
      <w:bookmarkStart w:id="169" w:name="_Toc479757207"/>
      <w:r/>
      <w:bookmarkStart w:id="170" w:name="_Toc20823314"/>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420"/>
        <w:spacing w:line="400" w:lineRule="exact"/>
        <w:rPr>
          <w:szCs w:val="21"/>
        </w:rPr>
      </w:pPr>
      <w:r>
        <w:rPr>
          <w:szCs w:val="21"/>
        </w:rPr>
      </w:r>
      <w:r/>
    </w:p>
    <w:p>
      <w:pPr>
        <w:spacing w:line="500" w:lineRule="exact"/>
        <w:rPr>
          <w:rFonts w:ascii="宋体" w:hAnsi="宋体"/>
          <w:bCs/>
          <w:sz w:val="24"/>
          <w:szCs w:val="24"/>
        </w:rPr>
      </w:pPr>
      <w:r>
        <w:rPr>
          <w:rFonts w:ascii="宋体" w:hAnsi="宋体"/>
          <w:bCs/>
          <w:sz w:val="24"/>
          <w:szCs w:val="24"/>
        </w:rPr>
      </w:r>
      <w:r/>
    </w:p>
    <w:p>
      <w:pPr>
        <w:pStyle w:val="829"/>
      </w:pPr>
      <w:r/>
      <w:r/>
    </w:p>
    <w:p>
      <w:pPr>
        <w:pStyle w:val="829"/>
      </w:p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bookmarkEnd w:id="166"/>
      <w:r/>
      <w:bookmarkEnd w:id="167"/>
      <w:r/>
      <w:bookmarkEnd w:id="168"/>
      <w:r/>
      <w:bookmarkEnd w:id="169"/>
      <w:r/>
      <w:bookmarkEnd w:id="170"/>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pStyle w:val="829"/>
        <w:rPr>
          <w:rFonts w:ascii="黑体" w:hAnsi="Times New Roman" w:eastAsia="黑体"/>
          <w:sz w:val="44"/>
          <w:szCs w:val="28"/>
        </w:rPr>
      </w:pPr>
      <w:r>
        <w:rPr>
          <w:rFonts w:ascii="黑体" w:hAnsi="Times New Roman" w:eastAsia="黑体"/>
          <w:sz w:val="44"/>
          <w:szCs w:val="28"/>
        </w:rPr>
      </w:r>
      <w:r/>
    </w:p>
    <w:p>
      <w:pPr>
        <w:ind w:firstLine="2640"/>
        <w:jc w:val="left"/>
        <w:keepNext/>
        <w:rPr>
          <w:rFonts w:ascii="黑体" w:eastAsia="黑体"/>
          <w:bCs/>
          <w:sz w:val="44"/>
          <w:szCs w:val="28"/>
        </w:rPr>
        <w:outlineLvl w:val="0"/>
      </w:pPr>
      <w:r/>
      <w:bookmarkStart w:id="171" w:name="_Hlt16619350"/>
      <w:r/>
      <w:bookmarkStart w:id="172" w:name="_Toc120614244"/>
      <w:r/>
      <w:bookmarkStart w:id="173" w:name="_Toc20823346"/>
      <w:r/>
      <w:bookmarkStart w:id="174" w:name="_Toc16938590"/>
      <w:r/>
      <w:bookmarkStart w:id="175" w:name="_Toc479757211"/>
      <w:r/>
      <w:bookmarkStart w:id="176" w:name="_Toc462564139"/>
      <w:r>
        <w:rPr>
          <w:rFonts w:hint="eastAsia" w:ascii="黑体" w:eastAsia="黑体"/>
          <w:bCs/>
          <w:sz w:val="44"/>
          <w:szCs w:val="28"/>
        </w:rPr>
        <w:t xml:space="preserve">第三章  合同文本</w:t>
      </w:r>
      <w:r/>
    </w:p>
    <w:p>
      <w:pPr>
        <w:pStyle w:val="820"/>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before="145" w:after="145"/>
        <w:rPr>
          <w:b/>
          <w:bCs/>
          <w:sz w:val="30"/>
          <w:szCs w:val="20"/>
        </w:rPr>
        <w:outlineLvl w:val="0"/>
      </w:pPr>
      <w:r>
        <w:rPr>
          <w:rFonts w:hint="eastAsia"/>
          <w:b/>
          <w:sz w:val="30"/>
        </w:rPr>
        <w:t xml:space="preserve">江苏省政府采购合同（服务）（</w:t>
      </w:r>
      <w:r>
        <w:rPr>
          <w:rFonts w:hint="eastAsia"/>
          <w:b/>
          <w:sz w:val="30"/>
          <w:highlight w:val="yellow"/>
        </w:rPr>
        <w:t xml:space="preserve">合同编号</w:t>
      </w:r>
      <w:r>
        <w:rPr>
          <w:rFonts w:hint="eastAsia"/>
          <w:b/>
          <w:sz w:val="30"/>
        </w:rPr>
        <w:t xml:space="preserve">）</w:t>
      </w:r>
      <w:r/>
    </w:p>
    <w:p>
      <w:pPr>
        <w:pStyle w:val="820"/>
        <w:jc w:val="center"/>
        <w:rPr>
          <w:rFonts w:ascii="宋体" w:hAnsi="宋体" w:eastAsia="宋体" w:cs="宋体"/>
          <w:b/>
          <w:bCs/>
          <w:spacing w:val="-20"/>
          <w:sz w:val="32"/>
          <w:szCs w:val="32"/>
        </w:rPr>
      </w:pPr>
      <w:r>
        <w:rPr>
          <w:rFonts w:ascii="宋体" w:hAnsi="宋体" w:eastAsia="宋体" w:cs="宋体"/>
          <w:b/>
          <w:bCs/>
          <w:spacing w:val="-20"/>
          <w:sz w:val="32"/>
          <w:szCs w:val="32"/>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江苏省“一人一档”全民参保数据库升级项目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u w:val="single"/>
        </w:rPr>
        <w:t xml:space="preserve">        </w:t>
      </w:r>
      <w:r>
        <w:rPr>
          <w:rFonts w:hint="eastAsia"/>
          <w:sz w:val="28"/>
          <w:szCs w:val="28"/>
          <w:u w:val="single"/>
        </w:rPr>
        <w:t xml:space="preserve">   江苏省医疗保障局  </w:t>
      </w:r>
      <w:r>
        <w:rPr>
          <w:sz w:val="28"/>
          <w:szCs w:val="28"/>
          <w:u w:val="single"/>
        </w:rPr>
        <w:t xml:space="preserve">          </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pStyle w:val="790"/>
        <w:spacing w:line="400" w:lineRule="exact"/>
        <w:rPr>
          <w:rStyle w:val="880"/>
          <w:rFonts w:ascii="黑体" w:hAnsi="华文中宋" w:eastAsia="黑体"/>
          <w:b w:val="0"/>
          <w:bCs w:val="0"/>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2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pStyle w:val="822"/>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22"/>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2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采购标的说明：</w:t>
      </w:r>
      <w:r>
        <w:rPr>
          <w:rFonts w:hint="eastAsia" w:ascii="宋体" w:hAnsi="宋体"/>
          <w:szCs w:val="21"/>
          <w:u w:val="single"/>
        </w:rPr>
        <w:t xml:space="preserve">                     </w:t>
      </w:r>
      <w:r>
        <w:rPr>
          <w:rFonts w:hint="eastAsia" w:ascii="宋体" w:hAnsi="宋体"/>
          <w:szCs w:val="21"/>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采购标的的技术要求、商务条款及其他要求具体见“第四章 采购需求”。</w:t>
      </w:r>
      <w:r/>
    </w:p>
    <w:p>
      <w:pPr>
        <w:pStyle w:val="91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1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16"/>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1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16"/>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1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16"/>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1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1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884"/>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16"/>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1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1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16"/>
        <w:ind w:firstLine="420"/>
        <w:rPr>
          <w:rFonts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t xml:space="preserve">   </w:t>
      </w:r>
      <w:r/>
    </w:p>
    <w:p>
      <w:pPr>
        <w:pStyle w:val="884"/>
        <w:rPr>
          <w:lang w:eastAsia="zh-CN"/>
        </w:rPr>
      </w:pPr>
      <w:r>
        <w:rPr>
          <w:lang w:eastAsia="zh-CN"/>
        </w:rPr>
      </w:r>
      <w:r/>
    </w:p>
    <w:tbl>
      <w:tblPr>
        <w:tblStyle w:val="73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82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90"/>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服务，包括但不限于：管理和质量保证、运输、保险、检验、现场准备、安装、集成、调试、培训、维修、废弃处置、技术支持、免费运维等以及合同中规定乙方应承担的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9"/>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10"/>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本合同若</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乙方负责办理将与本项目服务相关的货物运抵本合同规定的交货地点，并装卸、交付至甲方的一切运输事项，相关费用应包含在合同价款中。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16"/>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82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（1）本合同下提供的服务（包含与服务相关的货物）应符合合同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（3）乙方所提供的服务（包含与服务相关的货物）应符合国家有关网络安全、数据安全等的相关规定。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（4）乙方应向甲方提交所提供服务（包含与服务相关的货物）的技术文件，包括相应的中文技术文件，如：产品目录、图纸、操作手册、使用说明、维护手册或服务指南等。</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w:t>
      </w:r>
      <w:r>
        <w:rPr>
          <w:rFonts w:hint="eastAsia" w:ascii="宋体" w:hAnsi="宋体"/>
          <w:b/>
          <w:bCs/>
          <w:szCs w:val="21"/>
        </w:rPr>
        <w:t xml:space="preserve">免费运维期</w:t>
      </w:r>
      <w:r>
        <w:rPr>
          <w:rFonts w:hint="eastAsia" w:ascii="宋体" w:hAnsi="宋体"/>
          <w:b/>
          <w:bCs/>
          <w:szCs w:val="21"/>
          <w:u w:val="single"/>
        </w:rPr>
        <w:t xml:space="preserve"> 2 </w:t>
      </w:r>
      <w:r>
        <w:rPr>
          <w:rFonts w:hint="eastAsia" w:ascii="宋体" w:hAnsi="宋体"/>
          <w:b/>
          <w:bCs/>
          <w:szCs w:val="21"/>
        </w:rPr>
        <w:t xml:space="preserve">年</w:t>
      </w:r>
      <w:r>
        <w:rPr>
          <w:rFonts w:hint="eastAsia" w:ascii="宋体" w:hAnsi="宋体"/>
          <w:szCs w:val="21"/>
        </w:rPr>
        <w:t xml:space="preserve">，投标人应在进入免费运维期前安排至少2人专门负责本项目的运维工作，提供7*24小时技术支持和服务。（自验收合格之日起计）乙方应保证提供的服务（包含与服务相关的货物）完全符合合同规定的项目需求规定。投标人必须保证运维人员原则上为建设期间团队成员，且不得随意更换，如需更换至少提前1个月向采购人申请，采购人同意后方可更换。存在质量保证期的，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u w:val="single"/>
        </w:rPr>
      </w:pPr>
      <w:r>
        <w:rPr>
          <w:rFonts w:hint="eastAsia" w:ascii="宋体" w:hAnsi="宋体"/>
          <w:szCs w:val="21"/>
        </w:rPr>
        <w:t xml:space="preserve">12.1 </w:t>
      </w:r>
      <w:r>
        <w:rPr>
          <w:rFonts w:hint="eastAsia" w:ascii="宋体" w:hAnsi="宋体"/>
          <w:szCs w:val="21"/>
          <w:u w:val="single"/>
        </w:rPr>
        <w:t xml:space="preserve">分期付款</w:t>
      </w:r>
      <w:r/>
    </w:p>
    <w:p>
      <w:pPr>
        <w:ind w:firstLine="420"/>
        <w:jc w:val="left"/>
        <w:spacing w:line="4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签订合同后支付合同总价</w:t>
      </w:r>
      <w:r>
        <w:rPr>
          <w:rFonts w:ascii="宋体" w:hAnsi="宋体" w:cs="宋体"/>
          <w:szCs w:val="21"/>
        </w:rPr>
        <w:t xml:space="preserve">50%</w:t>
      </w: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项目验收合格并交付使用后，支付至合同价款的</w:t>
      </w:r>
      <w:r>
        <w:rPr>
          <w:rFonts w:ascii="宋体" w:hAnsi="宋体" w:cs="宋体"/>
          <w:szCs w:val="21"/>
        </w:rPr>
        <w:t xml:space="preserve">90%</w:t>
      </w:r>
      <w:r>
        <w:rPr>
          <w:rFonts w:hint="eastAsia" w:ascii="宋体" w:hAnsi="宋体" w:cs="宋体"/>
          <w:szCs w:val="21"/>
        </w:rPr>
        <w:t xml:space="preserve">；</w:t>
      </w:r>
      <w:r/>
    </w:p>
    <w:p>
      <w:pPr>
        <w:ind w:firstLine="420"/>
        <w:jc w:val="left"/>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项目验收合格满</w:t>
      </w:r>
      <w:r>
        <w:rPr>
          <w:rFonts w:ascii="宋体" w:hAnsi="宋体" w:cs="宋体"/>
          <w:szCs w:val="21"/>
        </w:rPr>
        <w:t xml:space="preserve">1年，支付至合同价款的100%。</w:t>
      </w:r>
      <w:r/>
    </w:p>
    <w:p>
      <w:pPr>
        <w:ind w:firstLine="420"/>
        <w:jc w:val="left"/>
        <w:spacing w:line="400" w:lineRule="exact"/>
        <w:rPr>
          <w:rFonts w:ascii="宋体" w:hAnsi="宋体"/>
          <w:szCs w:val="21"/>
        </w:rPr>
      </w:pPr>
      <w:r>
        <w:rPr>
          <w:rFonts w:hint="eastAsia" w:ascii="宋体" w:hAnsi="宋体"/>
          <w:szCs w:val="21"/>
        </w:rPr>
        <w:t xml:space="preserve">12.2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12.3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（1）开发软件的现场测试、联调、使用手册培训以及与系统相关技术支持；</w:t>
      </w:r>
      <w:r/>
    </w:p>
    <w:p>
      <w:pPr>
        <w:ind w:firstLine="420"/>
        <w:jc w:val="left"/>
        <w:spacing w:line="400" w:lineRule="exact"/>
        <w:rPr>
          <w:rFonts w:ascii="宋体" w:hAnsi="宋体"/>
          <w:szCs w:val="21"/>
        </w:rPr>
      </w:pPr>
      <w:r>
        <w:rPr>
          <w:rFonts w:hint="eastAsia" w:ascii="宋体" w:hAnsi="宋体"/>
          <w:szCs w:val="21"/>
        </w:rPr>
        <w:t xml:space="preserve">（2）提供软件使用和运维所需的专用人员和培训手册；</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约定的期限内对所有的服务（包含与服务相关的货物）实施运行监督、运维，但前提条件是该服务并不能免除乙方在质量保证期内所承担的义务；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1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（2）如果乙方没有按照合同规定的时间交付和提供相关服务，甲方有权从货款中扣除误期赔偿费而不影响合同项下的其他补救方法，赔偿费按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初验、终验违约金条款：如因乙方原因违约，乙方应按项目总额的每日万分之五向甲方支付违约金，此费用可由甲方从应付合同款中直接扣除。</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1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1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1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1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1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1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1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1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90"/>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73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16"/>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820"/>
        <w:jc w:val="center"/>
        <w:rPr>
          <w:rFonts w:ascii="黑体" w:hAnsi="Courier New" w:eastAsia="黑体" w:cs="Courier New"/>
          <w:bCs/>
          <w:sz w:val="44"/>
          <w:szCs w:val="21"/>
        </w:rPr>
      </w:pPr>
      <w:r>
        <w:rPr>
          <w:rFonts w:ascii="黑体" w:hAnsi="Courier New" w:eastAsia="黑体" w:cs="Courier New"/>
          <w:bCs/>
          <w:sz w:val="44"/>
          <w:szCs w:val="21"/>
        </w:rPr>
      </w:r>
      <w:r/>
    </w:p>
    <w:p>
      <w:pPr>
        <w:pStyle w:val="820"/>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outlineLvl w:val="1"/>
      </w:pPr>
      <w:r>
        <w:rPr>
          <w:rFonts w:ascii="黑体" w:hAnsi="黑体" w:eastAsia="黑体" w:cs="Arial"/>
          <w:sz w:val="28"/>
          <w:szCs w:val="28"/>
        </w:rPr>
        <w:t xml:space="preserve">第四节 项目合同协议书</w:t>
      </w:r>
      <w:r/>
    </w:p>
    <w:tbl>
      <w:tblPr>
        <w:tblStyle w:val="739"/>
        <w:tblW w:w="8414" w:type="dxa"/>
        <w:tblInd w:w="0" w:type="dxa"/>
        <w:tblLayout w:type="autofit"/>
        <w:tblCellMar>
          <w:left w:w="108" w:type="dxa"/>
          <w:top w:w="0" w:type="dxa"/>
          <w:right w:w="108" w:type="dxa"/>
          <w:bottom w:w="0" w:type="dxa"/>
        </w:tblCellMar>
        <w:tblLook w:val="04A0" w:firstRow="1" w:lastRow="0" w:firstColumn="1" w:lastColumn="0" w:noHBand="0" w:noVBand="1"/>
      </w:tblPr>
      <w:tblGrid>
        <w:gridCol w:w="8414"/>
      </w:tblGrid>
      <w:tr>
        <w:trPr/>
        <w:tc>
          <w:tcPr>
            <w:tcMar>
              <w:left w:w="108" w:type="dxa"/>
              <w:top w:w="0" w:type="dxa"/>
              <w:right w:w="108" w:type="dxa"/>
              <w:bottom w:w="0" w:type="dxa"/>
            </w:tcMar>
            <w:tcW w:w="8414" w:type="dxa"/>
            <w:textDirection w:val="lrTb"/>
            <w:noWrap w:val="false"/>
          </w:tcPr>
          <w:p>
            <w:pPr>
              <w:jc w:val="left"/>
              <w:spacing w:line="360" w:lineRule="auto"/>
              <w:tabs>
                <w:tab w:val="left" w:pos="6020" w:leader="none"/>
              </w:tabs>
            </w:pPr>
            <w:r>
              <w:rPr>
                <w:rFonts w:ascii="宋体" w:hAnsi="宋体" w:cs="宋体"/>
                <w:szCs w:val="21"/>
              </w:rPr>
              <w:t xml:space="preserve">项目名称：</w:t>
            </w:r>
            <w:r>
              <w:rPr>
                <w:rFonts w:ascii="宋体" w:hAnsi="宋体" w:cs="宋体"/>
                <w:szCs w:val="21"/>
                <w:u w:val="single"/>
              </w:rPr>
              <w:t xml:space="preserve">            </w:t>
            </w:r>
            <w:r>
              <w:rPr>
                <w:rFonts w:hint="eastAsia" w:ascii="宋体" w:hAnsi="宋体" w:cs="宋体"/>
                <w:szCs w:val="21"/>
                <w:u w:val="single"/>
              </w:rPr>
              <w:t xml:space="preserve">“</w:t>
            </w:r>
            <w:r>
              <w:rPr>
                <w:rFonts w:ascii="宋体" w:hAnsi="宋体" w:cs="宋体"/>
                <w:szCs w:val="21"/>
                <w:u w:val="single"/>
              </w:rPr>
              <w:t xml:space="preserve">一人一档</w:t>
            </w:r>
            <w:r>
              <w:rPr>
                <w:rFonts w:hint="eastAsia" w:ascii="宋体" w:hAnsi="宋体" w:cs="宋体"/>
                <w:szCs w:val="21"/>
                <w:u w:val="single"/>
              </w:rPr>
              <w:t xml:space="preserve">”</w:t>
            </w:r>
            <w:r>
              <w:rPr>
                <w:rFonts w:ascii="宋体" w:hAnsi="宋体" w:cs="宋体"/>
                <w:szCs w:val="21"/>
                <w:u w:val="single"/>
              </w:rPr>
              <w:t xml:space="preserve">全民参保数据库升级项目                  </w:t>
            </w:r>
            <w:r/>
          </w:p>
        </w:tc>
      </w:tr>
      <w:tr>
        <w:trPr/>
        <w:tc>
          <w:tcPr>
            <w:tcMar>
              <w:left w:w="108" w:type="dxa"/>
              <w:top w:w="0" w:type="dxa"/>
              <w:right w:w="108" w:type="dxa"/>
              <w:bottom w:w="0" w:type="dxa"/>
            </w:tcMar>
            <w:tcW w:w="8414" w:type="dxa"/>
            <w:textDirection w:val="lrTb"/>
            <w:noWrap w:val="false"/>
          </w:tcPr>
          <w:p>
            <w:pPr>
              <w:jc w:val="left"/>
              <w:spacing w:line="360" w:lineRule="auto"/>
              <w:tabs>
                <w:tab w:val="left" w:pos="6020" w:leader="underscore"/>
              </w:tabs>
            </w:pPr>
            <w:r>
              <w:rPr>
                <w:rFonts w:ascii="宋体" w:hAnsi="宋体" w:cs="宋体"/>
                <w:szCs w:val="21"/>
              </w:rPr>
              <w:t xml:space="preserve">项目编号：</w:t>
            </w:r>
            <w:r>
              <w:rPr>
                <w:rFonts w:ascii="宋体" w:hAnsi="宋体" w:cs="宋体"/>
                <w:szCs w:val="21"/>
                <w:u w:val="single"/>
              </w:rPr>
              <w:t xml:space="preserve">              </w:t>
            </w:r>
            <w:r>
              <w:rPr>
                <w:rFonts w:ascii="宋体" w:hAnsi="宋体" w:cs="宋体"/>
                <w:sz w:val="24"/>
                <w:szCs w:val="24"/>
                <w:u w:val="single"/>
              </w:rPr>
              <w:t xml:space="preserve">JSZC-320000-SCZX-G2025-0417</w:t>
            </w:r>
            <w:r>
              <w:rPr>
                <w:rFonts w:ascii="宋体" w:hAnsi="宋体" w:cs="宋体"/>
                <w:szCs w:val="21"/>
                <w:u w:val="single"/>
              </w:rPr>
              <w:t xml:space="preserve">                   </w:t>
            </w:r>
            <w:r/>
          </w:p>
        </w:tc>
      </w:tr>
      <w:tr>
        <w:trPr/>
        <w:tc>
          <w:tcPr>
            <w:tcMar>
              <w:left w:w="108" w:type="dxa"/>
              <w:top w:w="0" w:type="dxa"/>
              <w:right w:w="108" w:type="dxa"/>
              <w:bottom w:w="0" w:type="dxa"/>
            </w:tcMar>
            <w:tcW w:w="8414" w:type="dxa"/>
            <w:textDirection w:val="lrTb"/>
            <w:noWrap w:val="false"/>
          </w:tcPr>
          <w:p>
            <w:pPr>
              <w:jc w:val="left"/>
              <w:spacing w:line="360" w:lineRule="auto"/>
              <w:tabs>
                <w:tab w:val="left" w:pos="6020" w:leader="underscore"/>
              </w:tabs>
            </w:pPr>
            <w:r>
              <w:rPr>
                <w:rFonts w:ascii="宋体" w:hAnsi="宋体" w:cs="宋体"/>
                <w:szCs w:val="21"/>
              </w:rPr>
              <w:t xml:space="preserve">合同编号：</w:t>
            </w:r>
            <w:r>
              <w:rPr>
                <w:rFonts w:ascii="宋体" w:hAnsi="宋体" w:cs="宋体"/>
                <w:szCs w:val="21"/>
                <w:u w:val="single"/>
                <w:shd w:val="clear" w:color="ffffff" w:fill="auto"/>
              </w:rPr>
              <w:t xml:space="preserve">                                                                </w:t>
            </w:r>
            <w:r/>
          </w:p>
        </w:tc>
      </w:tr>
      <w:tr>
        <w:trPr/>
        <w:tc>
          <w:tcPr>
            <w:tcMar>
              <w:left w:w="108" w:type="dxa"/>
              <w:top w:w="0" w:type="dxa"/>
              <w:right w:w="108" w:type="dxa"/>
              <w:bottom w:w="0" w:type="dxa"/>
            </w:tcMar>
            <w:tcW w:w="8414" w:type="dxa"/>
            <w:textDirection w:val="lrTb"/>
            <w:noWrap w:val="false"/>
          </w:tcPr>
          <w:p>
            <w:pPr>
              <w:jc w:val="left"/>
              <w:spacing w:line="360" w:lineRule="auto"/>
              <w:tabs>
                <w:tab w:val="left" w:pos="6020" w:leader="underscore"/>
              </w:tabs>
            </w:pPr>
            <w:r>
              <w:rPr>
                <w:rFonts w:ascii="宋体" w:hAnsi="宋体" w:cs="宋体"/>
                <w:szCs w:val="21"/>
              </w:rPr>
              <w:t xml:space="preserve">甲方：（采购人/买方）</w:t>
            </w:r>
            <w:r>
              <w:rPr>
                <w:rFonts w:hint="eastAsia" w:ascii="宋体" w:hAnsi="宋体" w:cs="宋体"/>
                <w:szCs w:val="21"/>
                <w:u w:val="single"/>
              </w:rPr>
              <w:t xml:space="preserve"> </w:t>
            </w:r>
            <w:r>
              <w:rPr>
                <w:rFonts w:ascii="宋体" w:hAnsi="宋体" w:cs="宋体"/>
                <w:szCs w:val="21"/>
                <w:u w:val="single"/>
              </w:rPr>
              <w:t xml:space="preserve">      江苏省医疗保障局                              </w:t>
            </w:r>
            <w:r/>
          </w:p>
        </w:tc>
      </w:tr>
      <w:tr>
        <w:trPr/>
        <w:tc>
          <w:tcPr>
            <w:tcMar>
              <w:left w:w="108" w:type="dxa"/>
              <w:top w:w="0" w:type="dxa"/>
              <w:right w:w="108" w:type="dxa"/>
              <w:bottom w:w="0" w:type="dxa"/>
            </w:tcMar>
            <w:tcW w:w="8414" w:type="dxa"/>
            <w:textDirection w:val="lrTb"/>
            <w:noWrap w:val="false"/>
          </w:tcPr>
          <w:p>
            <w:pPr>
              <w:jc w:val="left"/>
              <w:spacing w:line="360" w:lineRule="auto"/>
              <w:tabs>
                <w:tab w:val="left" w:pos="6020" w:leader="underscore"/>
              </w:tabs>
            </w:pPr>
            <w:r>
              <w:rPr>
                <w:rFonts w:ascii="宋体" w:hAnsi="宋体" w:cs="宋体"/>
                <w:szCs w:val="21"/>
              </w:rPr>
              <w:t xml:space="preserve">乙方：（供应商/卖方）</w:t>
            </w:r>
            <w:r>
              <w:rPr>
                <w:rFonts w:ascii="宋体" w:hAnsi="宋体" w:cs="宋体"/>
                <w:szCs w:val="21"/>
                <w:u w:val="single"/>
              </w:rPr>
              <w:t xml:space="preserve">                                                     </w:t>
            </w:r>
            <w:r/>
          </w:p>
        </w:tc>
      </w:tr>
    </w:tbl>
    <w:p>
      <w:pPr>
        <w:ind w:firstLine="420"/>
        <w:spacing w:line="360" w:lineRule="auto"/>
      </w:pPr>
      <w:r/>
      <w:r/>
    </w:p>
    <w:p>
      <w:pPr>
        <w:ind w:firstLine="420"/>
        <w:spacing w:line="360" w:lineRule="auto"/>
      </w:pPr>
      <w:r>
        <w:rPr>
          <w:rFonts w:ascii="宋体" w:hAnsi="宋体" w:cs="宋体"/>
          <w:szCs w:val="21"/>
        </w:rPr>
        <w:t xml:space="preserve">根据《中华人民共和国政府采购法》、《中华人民共和国合同法》等法律法规的规定，甲乙双方按照江苏省政府采购中心关于本项目招标结果签订本合同。</w:t>
      </w:r>
      <w:r/>
    </w:p>
    <w:p>
      <w:pPr>
        <w:ind w:firstLine="420"/>
        <w:keepLines/>
        <w:keepNext/>
        <w:spacing w:before="157" w:after="157" w:line="360" w:lineRule="auto"/>
      </w:pPr>
      <w:r>
        <w:rPr>
          <w:rFonts w:ascii="宋体" w:hAnsi="宋体" w:cs="宋体"/>
          <w:b/>
          <w:bCs/>
          <w:szCs w:val="21"/>
        </w:rPr>
        <w:t xml:space="preserve">一、合同标的</w:t>
      </w:r>
      <w:r/>
    </w:p>
    <w:p>
      <w:pPr>
        <w:ind w:firstLine="420"/>
        <w:spacing w:line="360" w:lineRule="auto"/>
      </w:pPr>
      <w:r>
        <w:rPr>
          <w:rFonts w:ascii="宋体" w:hAnsi="宋体" w:cs="宋体"/>
          <w:szCs w:val="21"/>
        </w:rPr>
        <w:t xml:space="preserve">乙方根据甲方需求，提供服务内容如下：</w:t>
      </w:r>
      <w:r/>
    </w:p>
    <w:p>
      <w:pPr>
        <w:ind w:firstLine="420"/>
        <w:spacing w:line="360" w:lineRule="auto"/>
        <w:rPr>
          <w:rFonts w:ascii="宋体" w:hAnsi="宋体" w:cs="宋体"/>
          <w:szCs w:val="21"/>
        </w:rPr>
      </w:pPr>
      <w:r>
        <w:rPr>
          <w:rFonts w:hint="eastAsia" w:ascii="宋体" w:hAnsi="宋体" w:cs="宋体"/>
          <w:szCs w:val="21"/>
        </w:rPr>
        <w:t xml:space="preserve">1.1 标的名称：江苏省“一人一档”全民参保数据库升级项目</w:t>
      </w:r>
      <w:r/>
    </w:p>
    <w:p>
      <w:pPr>
        <w:ind w:firstLine="420"/>
        <w:spacing w:line="360" w:lineRule="auto"/>
        <w:rPr>
          <w:rFonts w:ascii="宋体" w:hAnsi="宋体" w:cs="宋体"/>
          <w:szCs w:val="21"/>
        </w:rPr>
      </w:pPr>
      <w:r>
        <w:rPr>
          <w:rFonts w:hint="eastAsia" w:ascii="宋体" w:hAnsi="宋体" w:cs="宋体"/>
          <w:szCs w:val="21"/>
        </w:rPr>
        <w:t xml:space="preserve">1.2 标的质量：按招标文件要求</w:t>
      </w:r>
      <w:r/>
    </w:p>
    <w:p>
      <w:pPr>
        <w:ind w:firstLine="420"/>
        <w:spacing w:line="360" w:lineRule="auto"/>
        <w:rPr>
          <w:rFonts w:ascii="宋体" w:hAnsi="宋体" w:cs="宋体"/>
          <w:szCs w:val="21"/>
        </w:rPr>
      </w:pPr>
      <w:r>
        <w:rPr>
          <w:rFonts w:hint="eastAsia" w:ascii="宋体" w:hAnsi="宋体" w:cs="宋体"/>
          <w:szCs w:val="21"/>
        </w:rPr>
        <w:t xml:space="preserve">1.3 标的数量（规模）：1套</w:t>
      </w:r>
      <w:r/>
    </w:p>
    <w:p>
      <w:pPr>
        <w:ind w:firstLine="420"/>
        <w:spacing w:line="360" w:lineRule="auto"/>
        <w:rPr>
          <w:rFonts w:ascii="宋体" w:hAnsi="宋体" w:cs="宋体"/>
          <w:szCs w:val="21"/>
        </w:rPr>
      </w:pPr>
      <w:r>
        <w:rPr>
          <w:rFonts w:hint="eastAsia" w:ascii="宋体" w:hAnsi="宋体" w:cs="宋体"/>
          <w:szCs w:val="21"/>
        </w:rPr>
        <w:t xml:space="preserve">1.4 服务期限：乙方应自合同签订之日起6个月内完成江苏省“一人一档”全民参保数据库升级项目开发上线，乙方完成的项目建设内容经甲方验收合格且交付使用后，乙方应自项目验收合格之日起提供2年免费运维服务。</w:t>
      </w:r>
      <w:r/>
    </w:p>
    <w:p>
      <w:pPr>
        <w:ind w:firstLine="420"/>
        <w:spacing w:line="360" w:lineRule="auto"/>
        <w:rPr>
          <w:rFonts w:ascii="宋体" w:hAnsi="宋体" w:cs="宋体"/>
          <w:szCs w:val="21"/>
        </w:rPr>
      </w:pPr>
      <w:r>
        <w:rPr>
          <w:rFonts w:hint="eastAsia" w:ascii="宋体" w:hAnsi="宋体" w:cs="宋体"/>
          <w:szCs w:val="21"/>
        </w:rPr>
        <w:t xml:space="preserve">1.5 履行地点：甲方指定</w:t>
      </w:r>
      <w:r/>
    </w:p>
    <w:p>
      <w:pPr>
        <w:ind w:firstLine="420"/>
        <w:spacing w:line="360" w:lineRule="auto"/>
        <w:rPr>
          <w:rFonts w:ascii="宋体" w:hAnsi="宋体" w:cs="宋体"/>
          <w:szCs w:val="21"/>
        </w:rPr>
      </w:pPr>
      <w:r>
        <w:rPr>
          <w:rFonts w:hint="eastAsia" w:ascii="宋体" w:hAnsi="宋体" w:cs="宋体"/>
          <w:szCs w:val="21"/>
        </w:rPr>
        <w:t xml:space="preserve">1.6 服务内容及履行方式：甲方指定，并且乙方应按照招投标文件的要求提供服务，包括但不限于招标文件第四章采购需求中第三条关于建设内容的要求，第五条关于技术方面的要求，以及第六条约定的其他要求等。</w:t>
      </w:r>
      <w:r/>
    </w:p>
    <w:p>
      <w:pPr>
        <w:ind w:firstLine="420"/>
        <w:keepLines/>
        <w:keepNext/>
        <w:spacing w:before="157" w:after="157" w:line="360" w:lineRule="auto"/>
      </w:pPr>
      <w:r>
        <w:rPr>
          <w:rFonts w:ascii="宋体" w:hAnsi="宋体" w:cs="宋体"/>
          <w:b/>
          <w:bCs/>
          <w:szCs w:val="21"/>
        </w:rPr>
        <w:t xml:space="preserve">二、合同总金额</w:t>
      </w:r>
      <w:r/>
    </w:p>
    <w:p>
      <w:pPr>
        <w:ind w:firstLine="420"/>
        <w:spacing w:line="360" w:lineRule="auto"/>
        <w:rPr>
          <w:rFonts w:ascii="宋体" w:hAnsi="宋体" w:cs="宋体"/>
          <w:szCs w:val="21"/>
        </w:rPr>
      </w:pPr>
      <w:r>
        <w:rPr>
          <w:rFonts w:hint="eastAsia" w:ascii="宋体" w:hAnsi="宋体" w:cs="宋体"/>
          <w:szCs w:val="21"/>
        </w:rPr>
        <w:t xml:space="preserve">2.1 本合同金额为人民币</w:t>
      </w:r>
      <w:r>
        <w:rPr>
          <w:rFonts w:hint="eastAsia" w:ascii="宋体" w:hAnsi="宋体" w:cs="宋体"/>
          <w:szCs w:val="21"/>
          <w:u w:val="single"/>
        </w:rPr>
        <w:t xml:space="preserve">      元（含税）</w:t>
      </w:r>
      <w:r>
        <w:rPr>
          <w:rFonts w:hint="eastAsia" w:ascii="宋体" w:hAnsi="宋体" w:cs="宋体"/>
          <w:szCs w:val="21"/>
        </w:rPr>
        <w:t xml:space="preserve">，大写</w:t>
      </w:r>
      <w:r>
        <w:rPr>
          <w:rFonts w:hint="eastAsia" w:ascii="宋体" w:hAnsi="宋体" w:cs="宋体"/>
          <w:szCs w:val="21"/>
          <w:u w:val="single"/>
        </w:rPr>
        <w:t xml:space="preserve">           圆（含税）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 本合同金额包含乙方开展本项目所需的一切费用，乙方无权要求甲方支付任何其他费用。</w:t>
      </w:r>
      <w:r/>
    </w:p>
    <w:p>
      <w:pPr>
        <w:ind w:firstLine="420"/>
        <w:spacing w:line="360" w:lineRule="auto"/>
      </w:pPr>
      <w:r>
        <w:rPr>
          <w:rFonts w:hint="eastAsia" w:ascii="宋体" w:hAnsi="宋体" w:cs="宋体"/>
          <w:szCs w:val="21"/>
        </w:rPr>
        <w:t xml:space="preserve">2.3 本合同执行期间总价款不变</w:t>
      </w:r>
      <w:r>
        <w:rPr>
          <w:rFonts w:ascii="宋体" w:hAnsi="宋体" w:cs="宋体"/>
          <w:szCs w:val="21"/>
        </w:rPr>
        <w:t xml:space="preserve">。</w:t>
      </w:r>
      <w:r/>
    </w:p>
    <w:p>
      <w:pPr>
        <w:ind w:firstLine="420"/>
        <w:keepLines/>
        <w:keepNext/>
        <w:spacing w:before="157" w:after="157" w:line="360" w:lineRule="auto"/>
      </w:pPr>
      <w:r>
        <w:rPr>
          <w:rFonts w:ascii="宋体" w:hAnsi="宋体" w:cs="宋体"/>
          <w:b/>
          <w:bCs/>
          <w:szCs w:val="21"/>
        </w:rPr>
        <w:t xml:space="preserve">三、组成本合同的有关文件</w:t>
      </w:r>
      <w:r/>
    </w:p>
    <w:p>
      <w:pPr>
        <w:ind w:firstLine="420"/>
        <w:spacing w:line="360" w:lineRule="auto"/>
      </w:pPr>
      <w:r>
        <w:rPr>
          <w:rFonts w:ascii="宋体" w:hAnsi="宋体" w:cs="宋体"/>
          <w:szCs w:val="21"/>
        </w:rPr>
        <w:t xml:space="preserve">3.1 乙方应按招标文件规定的时间向甲方提供服务的有关技术资料。</w:t>
      </w:r>
      <w:r/>
    </w:p>
    <w:p>
      <w:pPr>
        <w:ind w:firstLine="420"/>
        <w:spacing w:line="360" w:lineRule="auto"/>
      </w:pPr>
      <w:r>
        <w:rPr>
          <w:rFonts w:ascii="宋体" w:hAnsi="宋体" w:cs="宋体"/>
          <w:szCs w:val="21"/>
        </w:rPr>
        <w:t xml:space="preserve">3.2 关于本项目政府采购的招投标文件或与本次采购活动方式相适应的文件及有关附件是本合同不可分割的组成部分，这些文件包括但不限于：</w:t>
      </w:r>
      <w:r/>
    </w:p>
    <w:tbl>
      <w:tblPr>
        <w:tblStyle w:val="739"/>
        <w:tblW w:w="8306" w:type="dxa"/>
        <w:tblInd w:w="0" w:type="dxa"/>
        <w:tblLayout w:type="autofit"/>
        <w:tblCellMar>
          <w:left w:w="108" w:type="dxa"/>
          <w:top w:w="28" w:type="dxa"/>
          <w:right w:w="108" w:type="dxa"/>
          <w:bottom w:w="28" w:type="dxa"/>
        </w:tblCellMar>
        <w:tblLook w:val="04A0" w:firstRow="1" w:lastRow="0" w:firstColumn="1" w:lastColumn="0" w:noHBand="0" w:noVBand="1"/>
      </w:tblPr>
      <w:tblGrid>
        <w:gridCol w:w="3075"/>
        <w:gridCol w:w="5231"/>
      </w:tblGrid>
      <w:tr>
        <w:trPr/>
        <w:tc>
          <w:tcPr>
            <w:tcMar>
              <w:left w:w="108" w:type="dxa"/>
              <w:top w:w="28" w:type="dxa"/>
              <w:right w:w="108" w:type="dxa"/>
              <w:bottom w:w="28" w:type="dxa"/>
            </w:tcMar>
            <w:tcW w:w="3075" w:type="dxa"/>
            <w:vAlign w:val="center"/>
            <w:textDirection w:val="lrTb"/>
            <w:noWrap w:val="false"/>
          </w:tcPr>
          <w:p>
            <w:pPr>
              <w:jc w:val="left"/>
              <w:spacing w:line="360" w:lineRule="auto"/>
            </w:pPr>
            <w:r>
              <w:rPr>
                <w:rFonts w:ascii="宋体" w:hAnsi="宋体" w:cs="宋体"/>
                <w:szCs w:val="21"/>
              </w:rPr>
              <w:t xml:space="preserve">（1）投标响应文件</w:t>
            </w:r>
            <w:r/>
          </w:p>
        </w:tc>
        <w:tc>
          <w:tcPr>
            <w:tcMar>
              <w:left w:w="108" w:type="dxa"/>
              <w:top w:w="28" w:type="dxa"/>
              <w:right w:w="108" w:type="dxa"/>
              <w:bottom w:w="28" w:type="dxa"/>
            </w:tcMar>
            <w:tcW w:w="5231" w:type="dxa"/>
            <w:vAlign w:val="center"/>
            <w:textDirection w:val="lrTb"/>
            <w:noWrap w:val="false"/>
          </w:tcPr>
          <w:p>
            <w:pPr>
              <w:jc w:val="left"/>
              <w:spacing w:line="360" w:lineRule="auto"/>
            </w:pPr>
            <w:r>
              <w:rPr>
                <w:rFonts w:ascii="宋体" w:hAnsi="宋体" w:cs="宋体"/>
                <w:szCs w:val="21"/>
              </w:rPr>
              <w:t xml:space="preserve">（2）投标报价文件</w:t>
            </w:r>
            <w:r/>
          </w:p>
        </w:tc>
      </w:tr>
      <w:tr>
        <w:trPr/>
        <w:tc>
          <w:tcPr>
            <w:tcMar>
              <w:left w:w="108" w:type="dxa"/>
              <w:top w:w="28" w:type="dxa"/>
              <w:right w:w="108" w:type="dxa"/>
              <w:bottom w:w="28" w:type="dxa"/>
            </w:tcMar>
            <w:tcW w:w="3075" w:type="dxa"/>
            <w:vAlign w:val="center"/>
            <w:textDirection w:val="lrTb"/>
            <w:noWrap w:val="false"/>
          </w:tcPr>
          <w:p>
            <w:pPr>
              <w:jc w:val="left"/>
              <w:spacing w:line="360" w:lineRule="auto"/>
            </w:pPr>
            <w:r>
              <w:rPr>
                <w:rFonts w:ascii="宋体" w:hAnsi="宋体" w:cs="宋体"/>
                <w:szCs w:val="21"/>
              </w:rPr>
              <w:t xml:space="preserve">（3）项目组人员表</w:t>
            </w:r>
            <w:r/>
          </w:p>
        </w:tc>
        <w:tc>
          <w:tcPr>
            <w:tcMar>
              <w:left w:w="108" w:type="dxa"/>
              <w:top w:w="28" w:type="dxa"/>
              <w:right w:w="108" w:type="dxa"/>
              <w:bottom w:w="28" w:type="dxa"/>
            </w:tcMar>
            <w:tcW w:w="5231" w:type="dxa"/>
            <w:vAlign w:val="center"/>
            <w:textDirection w:val="lrTb"/>
            <w:noWrap w:val="false"/>
          </w:tcPr>
          <w:p>
            <w:pPr>
              <w:jc w:val="left"/>
              <w:spacing w:line="360" w:lineRule="auto"/>
            </w:pPr>
            <w:r>
              <w:rPr>
                <w:rFonts w:ascii="宋体" w:hAnsi="宋体" w:cs="宋体"/>
                <w:szCs w:val="21"/>
              </w:rPr>
              <w:t xml:space="preserve">（4）技术参数、商务条款响应及偏离表</w:t>
            </w:r>
            <w:r/>
          </w:p>
        </w:tc>
      </w:tr>
      <w:tr>
        <w:trPr/>
        <w:tc>
          <w:tcPr>
            <w:tcMar>
              <w:left w:w="108" w:type="dxa"/>
              <w:top w:w="28" w:type="dxa"/>
              <w:right w:w="108" w:type="dxa"/>
              <w:bottom w:w="28" w:type="dxa"/>
            </w:tcMar>
            <w:tcW w:w="3075" w:type="dxa"/>
            <w:vAlign w:val="center"/>
            <w:textDirection w:val="lrTb"/>
            <w:noWrap w:val="false"/>
          </w:tcPr>
          <w:p>
            <w:pPr>
              <w:jc w:val="left"/>
              <w:spacing w:line="360" w:lineRule="auto"/>
            </w:pPr>
            <w:r>
              <w:rPr>
                <w:rFonts w:ascii="宋体" w:hAnsi="宋体" w:cs="宋体"/>
                <w:szCs w:val="21"/>
              </w:rPr>
              <w:t xml:space="preserve">（5）服务承诺</w:t>
            </w:r>
            <w:r/>
          </w:p>
        </w:tc>
        <w:tc>
          <w:tcPr>
            <w:tcMar>
              <w:left w:w="108" w:type="dxa"/>
              <w:top w:w="28" w:type="dxa"/>
              <w:right w:w="108" w:type="dxa"/>
              <w:bottom w:w="28" w:type="dxa"/>
            </w:tcMar>
            <w:tcW w:w="5231" w:type="dxa"/>
            <w:vAlign w:val="center"/>
            <w:textDirection w:val="lrTb"/>
            <w:noWrap w:val="false"/>
          </w:tcPr>
          <w:p>
            <w:pPr>
              <w:jc w:val="left"/>
              <w:spacing w:line="360" w:lineRule="auto"/>
            </w:pPr>
            <w:r>
              <w:rPr>
                <w:rFonts w:ascii="宋体" w:hAnsi="宋体" w:cs="宋体"/>
                <w:szCs w:val="21"/>
              </w:rPr>
              <w:t xml:space="preserve">（6）中标通知书</w:t>
            </w:r>
            <w:r/>
          </w:p>
        </w:tc>
      </w:tr>
      <w:tr>
        <w:trPr/>
        <w:tc>
          <w:tcPr>
            <w:tcMar>
              <w:left w:w="108" w:type="dxa"/>
              <w:top w:w="28" w:type="dxa"/>
              <w:right w:w="108" w:type="dxa"/>
              <w:bottom w:w="28" w:type="dxa"/>
            </w:tcMar>
            <w:tcW w:w="3075" w:type="dxa"/>
            <w:vAlign w:val="center"/>
            <w:textDirection w:val="lrTb"/>
            <w:noWrap w:val="false"/>
          </w:tcPr>
          <w:p>
            <w:pPr>
              <w:jc w:val="left"/>
              <w:spacing w:line="360" w:lineRule="auto"/>
            </w:pPr>
            <w:r>
              <w:rPr>
                <w:rFonts w:ascii="宋体" w:hAnsi="宋体" w:cs="宋体"/>
                <w:szCs w:val="21"/>
              </w:rPr>
              <w:t xml:space="preserve">（7）甲乙双方补充协议</w:t>
            </w:r>
            <w:r/>
          </w:p>
        </w:tc>
        <w:tc>
          <w:tcPr>
            <w:tcMar>
              <w:left w:w="108" w:type="dxa"/>
              <w:top w:w="28" w:type="dxa"/>
              <w:right w:w="108" w:type="dxa"/>
              <w:bottom w:w="28" w:type="dxa"/>
            </w:tcMar>
            <w:tcW w:w="5231" w:type="dxa"/>
            <w:vAlign w:val="center"/>
            <w:textDirection w:val="lrTb"/>
            <w:noWrap w:val="false"/>
          </w:tcPr>
          <w:p>
            <w:pPr>
              <w:jc w:val="left"/>
              <w:spacing w:line="360" w:lineRule="auto"/>
            </w:pPr>
            <w:r>
              <w:rPr>
                <w:rFonts w:ascii="宋体" w:hAnsi="宋体" w:cs="宋体"/>
                <w:szCs w:val="21"/>
              </w:rPr>
              <w:t xml:space="preserve">（8）乙方投标时提供的其他优惠条款</w:t>
            </w:r>
            <w:r/>
          </w:p>
        </w:tc>
      </w:tr>
    </w:tbl>
    <w:p>
      <w:pPr>
        <w:ind w:firstLine="420"/>
        <w:spacing w:line="360" w:lineRule="auto"/>
        <w:rPr>
          <w:rFonts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keepLines/>
        <w:keepNext/>
        <w:spacing w:before="157" w:after="157" w:line="360" w:lineRule="auto"/>
      </w:pPr>
      <w:r>
        <w:rPr>
          <w:rFonts w:ascii="宋体" w:hAnsi="宋体" w:cs="宋体"/>
          <w:b/>
          <w:bCs/>
          <w:szCs w:val="21"/>
        </w:rPr>
        <w:t xml:space="preserve">四、知识产权保证</w:t>
      </w:r>
      <w:r/>
    </w:p>
    <w:p>
      <w:pPr>
        <w:ind w:firstLine="420"/>
        <w:spacing w:line="360" w:lineRule="auto"/>
      </w:pPr>
      <w:r>
        <w:rPr>
          <w:rFonts w:hint="eastAsia"/>
        </w:rPr>
        <w:t xml:space="preserve">4.1 乙方应保证甲方在使用、接受本合同服务（包含与服务相关的货物）或其任何一部分时不受第三方提出侵犯其专利权、版权、商标权和工业设计权等知识产权的起诉。一旦出现侵权，乙方应承担全部责任，同时乙方应按合同总价款的30%向甲方支付违约金，如果因此造成甲方损失的，乙方应另行赔偿损失。</w:t>
      </w:r>
      <w:r/>
    </w:p>
    <w:p>
      <w:pPr>
        <w:ind w:firstLine="420"/>
        <w:spacing w:line="360" w:lineRule="auto"/>
      </w:pPr>
      <w:r>
        <w:rPr>
          <w:rFonts w:hint="eastAsia"/>
        </w:rPr>
        <w:t xml:space="preserve">4.2 若涉及项目功能开发，建设完成后，乙方应保证将该项目功能所有权完整、无瑕疵转让给甲方，否则乙方应按合同总价款的30%向甲方支付违约金，如果因此造成甲方损失的，乙方应另行赔偿损失。乙方应保证甲方在使用、接受本合同服务（包含与服务相关的货物）或其任何一部分时不受第三方提出侵犯其专利权、版权、商标权和工业设计权等知识产权的起诉。</w:t>
      </w:r>
      <w:r/>
    </w:p>
    <w:p>
      <w:pPr>
        <w:ind w:firstLine="420"/>
        <w:spacing w:line="360" w:lineRule="auto"/>
      </w:pPr>
      <w:r>
        <w:rPr>
          <w:rFonts w:hint="eastAsia"/>
        </w:rPr>
        <w:t xml:space="preserve">4.3 乙方交付给甲方项目所涉及的知识产权内容均归属甲方所有，乙方不得自行使用、出卖给第三人或未经甲方同意允许第三人使用，否则乙方应承担全部责任，同时乙方应按合同总价款的30%向甲方支付违约金，如果因此造成甲方损失的，乙方应另行赔偿损失。</w:t>
      </w:r>
      <w:r/>
    </w:p>
    <w:p>
      <w:pPr>
        <w:ind w:firstLine="420"/>
        <w:spacing w:line="360" w:lineRule="auto"/>
      </w:pPr>
      <w:r>
        <w:rPr>
          <w:rFonts w:hint="eastAsia"/>
        </w:rPr>
        <w:t xml:space="preserve">4.4 本项目除第三方产品外所有工作文件、交付品文档、定制软件、应用系统软件、数据资源及其他附属产品的知识产权、本项目实施过程中所收集、产生的所有与本项目相关文档、源代码、资料，包括文字、图片、表格、数字等各种形式所属权均属于甲方所有，未经甲方许可，乙方不得将其提供给第三方或用于第三方项目，否则乙方应按合同总价款的30%向甲方支付违约金，如果因此造成甲方损失的，乙方应另行赔偿损失。</w:t>
      </w:r>
      <w:r/>
    </w:p>
    <w:p>
      <w:pPr>
        <w:ind w:firstLine="420"/>
        <w:keepLines/>
        <w:keepNext/>
        <w:spacing w:before="157" w:after="157" w:line="360" w:lineRule="auto"/>
      </w:pPr>
      <w:r>
        <w:rPr>
          <w:rFonts w:ascii="宋体" w:hAnsi="宋体" w:cs="宋体"/>
          <w:b/>
          <w:bCs/>
          <w:szCs w:val="21"/>
        </w:rPr>
        <w:t xml:space="preserve">五、产权保证</w:t>
      </w:r>
      <w:r/>
    </w:p>
    <w:p>
      <w:pPr>
        <w:ind w:firstLine="420"/>
        <w:spacing w:line="360" w:lineRule="auto"/>
      </w:pPr>
      <w:r>
        <w:rPr>
          <w:rFonts w:hint="eastAsia"/>
        </w:rPr>
        <w:t xml:space="preserve">5.1 乙方保证所交付的服务（包含与服务相关的货物）的所有权完全属于乙方且无任何抵押、查封等产权瑕疵。</w:t>
      </w:r>
      <w:r/>
    </w:p>
    <w:p>
      <w:pPr>
        <w:ind w:firstLine="420"/>
        <w:spacing w:line="360" w:lineRule="auto"/>
      </w:pPr>
      <w:r>
        <w:rPr>
          <w:rFonts w:hint="eastAsia"/>
        </w:rPr>
        <w:t xml:space="preserve">5.2 如果因乙方交付的服务权属有瑕疵导致合同中止履行或造成甲方损失的，乙方应支付相当于合同总价款30%的违约金，如果因此造成甲方损失的，乙方应另行赔偿实际损失。</w:t>
      </w:r>
      <w:r/>
    </w:p>
    <w:p>
      <w:pPr>
        <w:ind w:firstLine="420"/>
        <w:spacing w:line="360" w:lineRule="auto"/>
      </w:pPr>
      <w:r>
        <w:rPr>
          <w:rFonts w:hint="eastAsia"/>
        </w:rPr>
        <w:t xml:space="preserve">5.3 如果因乙方交付的服务权属有瑕疵导致合同无法继续履行的，甲方有权解除合同并扣除履约保证金，同时乙方应按合同总价款30%向甲方支付违约金，如果因此造成甲方损失的，乙方应另行赔偿损失。</w:t>
      </w:r>
      <w:r/>
    </w:p>
    <w:p>
      <w:pPr>
        <w:ind w:firstLine="420"/>
        <w:keepLines/>
        <w:keepNext/>
        <w:spacing w:before="157" w:after="157" w:line="360" w:lineRule="auto"/>
      </w:pPr>
      <w:r>
        <w:rPr>
          <w:rFonts w:ascii="宋体" w:hAnsi="宋体" w:cs="宋体"/>
          <w:b/>
          <w:bCs/>
          <w:szCs w:val="21"/>
        </w:rPr>
        <w:t xml:space="preserve">六、转包或分包</w:t>
      </w:r>
      <w:r/>
    </w:p>
    <w:p>
      <w:pPr>
        <w:ind w:firstLine="420"/>
        <w:spacing w:line="360" w:lineRule="auto"/>
      </w:pPr>
      <w:r>
        <w:t xml:space="preserve">6.1</w:t>
      </w:r>
      <w:r>
        <w:rPr>
          <w:rFonts w:hint="eastAsia"/>
        </w:rPr>
        <w:t xml:space="preserve"> 乙方不得将合同标的转包给他人履行。</w:t>
      </w:r>
      <w:r/>
    </w:p>
    <w:p>
      <w:pPr>
        <w:ind w:firstLine="420"/>
        <w:spacing w:line="360" w:lineRule="auto"/>
      </w:pPr>
      <w:r>
        <w:t xml:space="preserve">6.2</w:t>
      </w:r>
      <w:r>
        <w:rPr>
          <w:rFonts w:hint="eastAsia"/>
        </w:rPr>
        <w:t xml:space="preserve"> 乙方不得将合同标的分包给他人履行。</w:t>
      </w:r>
      <w:r/>
    </w:p>
    <w:p>
      <w:pPr>
        <w:ind w:firstLine="420"/>
        <w:spacing w:line="360" w:lineRule="auto"/>
      </w:pPr>
      <w:r>
        <w:t xml:space="preserve">6.3</w:t>
      </w:r>
      <w:r>
        <w:rPr>
          <w:rFonts w:hint="eastAsia"/>
        </w:rPr>
        <w:t xml:space="preserve"> 如果乙方未经甲方书面同意，将合同项下的权利义务全部或部分转让给第三方的，甲方有权解除合同并扣除履约保证金，乙方应向甲方支付合同总价款30%的解除合同违约金，如果因此造成甲方损失的，乙方应另行赔偿损失。</w:t>
      </w:r>
      <w:r/>
    </w:p>
    <w:p>
      <w:pPr>
        <w:ind w:firstLine="420"/>
        <w:keepLines/>
        <w:keepNext/>
        <w:spacing w:before="157" w:after="157" w:line="360" w:lineRule="auto"/>
      </w:pPr>
      <w:r>
        <w:rPr>
          <w:rFonts w:ascii="宋体" w:hAnsi="宋体" w:cs="宋体"/>
          <w:b/>
          <w:bCs/>
          <w:szCs w:val="21"/>
        </w:rPr>
        <w:t xml:space="preserve">七、免费维保期</w:t>
      </w:r>
      <w:r/>
    </w:p>
    <w:p>
      <w:pPr>
        <w:ind w:firstLine="420"/>
        <w:spacing w:line="360" w:lineRule="auto"/>
      </w:pPr>
      <w:r>
        <w:rPr>
          <w:rFonts w:hint="eastAsia" w:ascii="宋体" w:hAnsi="宋体"/>
          <w:b/>
          <w:bCs/>
          <w:szCs w:val="21"/>
        </w:rPr>
        <w:t xml:space="preserve">免费运维期</w:t>
      </w:r>
      <w:r>
        <w:rPr>
          <w:rFonts w:hint="eastAsia" w:ascii="宋体" w:hAnsi="宋体"/>
          <w:b/>
          <w:bCs/>
          <w:szCs w:val="21"/>
          <w:u w:val="single"/>
        </w:rPr>
        <w:t xml:space="preserve"> 2 </w:t>
      </w:r>
      <w:r>
        <w:rPr>
          <w:rFonts w:hint="eastAsia" w:ascii="宋体" w:hAnsi="宋体"/>
          <w:b/>
          <w:bCs/>
          <w:szCs w:val="21"/>
        </w:rPr>
        <w:t xml:space="preserve">年</w:t>
      </w:r>
      <w:r>
        <w:rPr>
          <w:rFonts w:hint="eastAsia" w:ascii="宋体" w:hAnsi="宋体"/>
          <w:szCs w:val="21"/>
        </w:rPr>
        <w:t xml:space="preserve">，投标人应在进入免费运维期前安排至少2人专门负责本项目的运维工作，提供7*24小时技术支持和服务（自验收合格之日起计）。乙方应保证提供的服务完全符合合同规定的项目需求。投标人必须保证运维人员原则上为建设期间团队成员，且不得随意更换，如需更换至少提前1个月向采购人申请，采购人同意后方可更换。</w:t>
      </w:r>
      <w:r/>
    </w:p>
    <w:p>
      <w:pPr>
        <w:ind w:firstLine="420"/>
        <w:keepLines/>
        <w:keepNext/>
        <w:spacing w:before="157" w:after="157" w:line="360" w:lineRule="auto"/>
      </w:pPr>
      <w:r>
        <w:rPr>
          <w:rFonts w:ascii="宋体" w:hAnsi="宋体" w:cs="宋体"/>
          <w:b/>
          <w:bCs/>
          <w:szCs w:val="21"/>
        </w:rPr>
        <w:t xml:space="preserve">八、交付期、交付方式及交付地点</w:t>
      </w:r>
      <w:r/>
    </w:p>
    <w:p>
      <w:pPr>
        <w:ind w:firstLine="420"/>
        <w:spacing w:line="360" w:lineRule="auto"/>
        <w:rPr>
          <w:rFonts w:ascii="宋体" w:hAnsi="宋体" w:cs="宋体"/>
          <w:szCs w:val="21"/>
        </w:rPr>
      </w:pPr>
      <w:r>
        <w:rPr>
          <w:rFonts w:ascii="宋体" w:hAnsi="宋体" w:cs="宋体"/>
          <w:szCs w:val="21"/>
        </w:rPr>
        <w:t xml:space="preserve">8.1</w:t>
      </w:r>
      <w:bookmarkStart w:id="177" w:name="_Hlk145185314"/>
      <w:r>
        <w:rPr>
          <w:rFonts w:ascii="宋体" w:hAnsi="宋体" w:cs="宋体"/>
          <w:szCs w:val="21"/>
        </w:rPr>
        <w:t xml:space="preserve"> 交付期</w:t>
      </w:r>
      <w:bookmarkEnd w:id="177"/>
      <w:r>
        <w:rPr>
          <w:rFonts w:hint="eastAsia" w:ascii="宋体" w:hAnsi="宋体" w:cs="宋体"/>
          <w:szCs w:val="21"/>
        </w:rPr>
        <w:t xml:space="preserve">：</w:t>
      </w:r>
      <w:r/>
    </w:p>
    <w:p>
      <w:pPr>
        <w:ind w:firstLine="420"/>
        <w:spacing w:line="360" w:lineRule="auto"/>
      </w:pPr>
      <w:r>
        <w:rPr>
          <w:rFonts w:hint="eastAsia"/>
        </w:rPr>
        <w:t xml:space="preserve">乙方应自合同签订之日起</w:t>
      </w:r>
      <w:r>
        <w:rPr>
          <w:rFonts w:hint="eastAsia"/>
          <w:u w:val="single"/>
        </w:rPr>
        <w:t xml:space="preserve"> </w:t>
      </w:r>
      <w:r>
        <w:rPr>
          <w:u w:val="single"/>
        </w:rPr>
        <w:t xml:space="preserve"> </w:t>
      </w:r>
      <w:r>
        <w:rPr>
          <w:rFonts w:hint="eastAsia"/>
          <w:u w:val="single"/>
        </w:rPr>
        <w:t xml:space="preserve">6个月内 </w:t>
      </w:r>
      <w:r>
        <w:rPr>
          <w:u w:val="single"/>
        </w:rPr>
        <w:t xml:space="preserve"> </w:t>
      </w:r>
      <w:r>
        <w:rPr>
          <w:rFonts w:hint="eastAsia"/>
        </w:rPr>
        <w:t xml:space="preserve">完成江苏省“一人一档”全民参保数据库升级项目开发上线，乙方完成的项目建设内容经甲方验收合格且交付使用后，乙方应自项目验收合格之日起提供</w:t>
      </w:r>
      <w:r>
        <w:rPr>
          <w:rFonts w:hint="eastAsia"/>
          <w:u w:val="single"/>
        </w:rPr>
        <w:t xml:space="preserve"> </w:t>
      </w:r>
      <w:r>
        <w:rPr>
          <w:u w:val="single"/>
        </w:rPr>
        <w:t xml:space="preserve"> </w:t>
      </w:r>
      <w:r>
        <w:rPr>
          <w:rFonts w:hint="eastAsia"/>
          <w:u w:val="single"/>
        </w:rPr>
        <w:t xml:space="preserve">2年 </w:t>
      </w:r>
      <w:r>
        <w:rPr>
          <w:u w:val="single"/>
        </w:rPr>
        <w:t xml:space="preserve"> </w:t>
      </w:r>
      <w:r>
        <w:rPr>
          <w:rFonts w:hint="eastAsia"/>
        </w:rPr>
        <w:t xml:space="preserve">免费运维服务。</w:t>
      </w:r>
      <w:r/>
    </w:p>
    <w:p>
      <w:pPr>
        <w:ind w:firstLine="420"/>
        <w:spacing w:line="360" w:lineRule="auto"/>
      </w:pPr>
      <w:r>
        <w:rPr>
          <w:rFonts w:ascii="宋体" w:hAnsi="宋体" w:cs="宋体"/>
          <w:szCs w:val="21"/>
        </w:rPr>
        <w:t xml:space="preserve">8.2 交付方式：</w:t>
      </w:r>
      <w:r>
        <w:rPr>
          <w:rFonts w:ascii="宋体" w:hAnsi="宋体" w:cs="宋体"/>
          <w:szCs w:val="21"/>
          <w:u w:val="single"/>
        </w:rPr>
        <w:t xml:space="preserve">现场交付。</w:t>
      </w:r>
      <w:r/>
    </w:p>
    <w:p>
      <w:pPr>
        <w:ind w:firstLine="420"/>
        <w:spacing w:line="360" w:lineRule="auto"/>
      </w:pPr>
      <w:r>
        <w:rPr>
          <w:rFonts w:ascii="宋体" w:hAnsi="宋体" w:cs="宋体"/>
          <w:szCs w:val="21"/>
        </w:rPr>
        <w:t xml:space="preserve">8.3 交付地点：</w:t>
      </w:r>
      <w:r>
        <w:rPr>
          <w:rFonts w:hint="eastAsia" w:ascii="宋体" w:hAnsi="宋体" w:cs="宋体"/>
          <w:szCs w:val="21"/>
          <w:u w:val="single"/>
        </w:rPr>
        <w:t xml:space="preserve">甲方指定</w:t>
      </w:r>
      <w:r>
        <w:rPr>
          <w:rFonts w:ascii="宋体" w:hAnsi="宋体" w:cs="宋体"/>
          <w:szCs w:val="21"/>
          <w:u w:val="single"/>
        </w:rPr>
        <w:t xml:space="preserve">。 </w:t>
      </w:r>
      <w:r/>
    </w:p>
    <w:p>
      <w:pPr>
        <w:ind w:firstLine="420"/>
        <w:keepLines/>
        <w:keepNext/>
        <w:spacing w:before="157" w:after="157" w:line="360" w:lineRule="auto"/>
      </w:pPr>
      <w:r>
        <w:rPr>
          <w:rFonts w:ascii="宋体" w:hAnsi="宋体" w:cs="宋体"/>
          <w:b/>
          <w:bCs/>
          <w:szCs w:val="21"/>
        </w:rPr>
        <w:t xml:space="preserve">九、货款支付</w:t>
      </w:r>
      <w:r/>
    </w:p>
    <w:p>
      <w:pPr>
        <w:ind w:firstLine="560"/>
        <w:jc w:val="left"/>
        <w:spacing w:line="360" w:lineRule="auto"/>
        <w:widowControl/>
      </w:pPr>
      <w:r>
        <w:rPr>
          <w:rFonts w:ascii="宋体" w:hAnsi="宋体" w:cs="宋体"/>
          <w:szCs w:val="21"/>
        </w:rPr>
        <w:t xml:space="preserve">9.1 本合同项下所有款项均以人民币支付。 </w:t>
      </w:r>
      <w:r/>
    </w:p>
    <w:p>
      <w:pPr>
        <w:ind w:firstLine="560"/>
        <w:jc w:val="left"/>
        <w:spacing w:line="360" w:lineRule="auto"/>
        <w:widowControl/>
      </w:pPr>
      <w:r>
        <w:rPr>
          <w:rFonts w:ascii="宋体" w:hAnsi="宋体" w:cs="宋体"/>
          <w:szCs w:val="21"/>
        </w:rPr>
        <w:t xml:space="preserve">9.2 本合同项下的采购资金由甲方支付，</w:t>
      </w:r>
      <w:r>
        <w:rPr>
          <w:rFonts w:hint="eastAsia" w:ascii="宋体" w:hAnsi="宋体" w:cs="宋体"/>
          <w:szCs w:val="21"/>
        </w:rPr>
        <w:t xml:space="preserve">每次付款前，乙方应提前向甲方开具等额增值税专用发票，甲方在收到乙方发票后1个月内支付相应款项，甲方未收到开票或乙方开具发票不合格的，甲方有权拒绝付款，并不承担任何逾期付款违约责任。</w:t>
      </w:r>
      <w:r/>
    </w:p>
    <w:p>
      <w:pPr>
        <w:ind w:firstLine="560"/>
        <w:jc w:val="left"/>
        <w:spacing w:line="360" w:lineRule="auto"/>
        <w:widowControl/>
      </w:pPr>
      <w:r>
        <w:rPr>
          <w:rFonts w:ascii="宋体" w:hAnsi="宋体" w:cs="宋体"/>
          <w:szCs w:val="21"/>
        </w:rPr>
        <w:t xml:space="preserve">9.3 甲方付款方式：</w:t>
      </w:r>
      <w:r/>
    </w:p>
    <w:p>
      <w:pPr>
        <w:ind w:firstLine="560"/>
        <w:jc w:val="left"/>
        <w:spacing w:line="360" w:lineRule="auto"/>
        <w:widowControl/>
      </w:pPr>
      <w:r>
        <w:rPr>
          <w:rFonts w:hint="eastAsia"/>
        </w:rPr>
        <w:t xml:space="preserve">签订合同后支付合同总价50%；项目验收合格并交付使用后，支付至合同价款的90%；项目验收合格满1年，支付至合同价款的100%。</w:t>
      </w:r>
      <w:r/>
    </w:p>
    <w:p>
      <w:pPr>
        <w:ind w:firstLine="420"/>
        <w:keepLines/>
        <w:keepNext/>
        <w:spacing w:before="157" w:after="157" w:line="360" w:lineRule="auto"/>
      </w:pPr>
      <w:r>
        <w:rPr>
          <w:rFonts w:ascii="宋体" w:hAnsi="宋体" w:cs="宋体"/>
          <w:b/>
          <w:bCs/>
          <w:szCs w:val="21"/>
        </w:rPr>
        <w:t xml:space="preserve">十、税费</w:t>
      </w:r>
      <w:r/>
    </w:p>
    <w:p>
      <w:pPr>
        <w:ind w:firstLine="560"/>
        <w:jc w:val="left"/>
        <w:spacing w:line="360" w:lineRule="auto"/>
        <w:widowControl/>
      </w:pPr>
      <w:r>
        <w:rPr>
          <w:rFonts w:ascii="宋体" w:hAnsi="宋体" w:cs="宋体"/>
          <w:szCs w:val="21"/>
        </w:rPr>
        <w:t xml:space="preserve">本合同执行中相关的一切税费均由乙方负担。</w:t>
      </w:r>
      <w:r/>
    </w:p>
    <w:p>
      <w:pPr>
        <w:ind w:firstLine="420"/>
        <w:keepLines/>
        <w:keepNext/>
        <w:spacing w:before="157" w:after="157" w:line="360" w:lineRule="auto"/>
      </w:pPr>
      <w:r>
        <w:rPr>
          <w:rFonts w:ascii="宋体" w:hAnsi="宋体" w:cs="宋体"/>
          <w:b/>
          <w:bCs/>
          <w:szCs w:val="21"/>
        </w:rPr>
        <w:t xml:space="preserve">十一、质量保证及售后服务</w:t>
      </w:r>
      <w:r/>
    </w:p>
    <w:p>
      <w:pPr>
        <w:ind w:firstLine="560"/>
        <w:jc w:val="left"/>
        <w:spacing w:line="360" w:lineRule="auto"/>
        <w:widowControl/>
      </w:pPr>
      <w:r>
        <w:rPr>
          <w:rFonts w:ascii="宋体" w:hAnsi="宋体" w:cs="宋体"/>
          <w:szCs w:val="21"/>
        </w:rPr>
        <w:t xml:space="preserve">11.1 乙方应按招标文件规定及响应文件承诺的技术性能、技术要求、质量标准向甲方提供服务；若无特殊说明，则按国家有关部门最新颁布的标准及规范为准。</w:t>
      </w:r>
      <w:r/>
    </w:p>
    <w:p>
      <w:pPr>
        <w:ind w:firstLine="560"/>
        <w:jc w:val="left"/>
        <w:spacing w:line="360" w:lineRule="auto"/>
        <w:widowControl/>
      </w:pPr>
      <w:r>
        <w:rPr>
          <w:rFonts w:ascii="宋体" w:hAnsi="宋体" w:cs="宋体"/>
          <w:szCs w:val="21"/>
        </w:rPr>
        <w:t xml:space="preserve">11.2 乙方应保证其提供的服务是全面和规范的，并完全符合招投标文件。如因乙方提供的服务有瑕疵造成甲方损失的，所需费用由乙方承担。</w:t>
      </w:r>
      <w:r/>
    </w:p>
    <w:p>
      <w:pPr>
        <w:ind w:firstLine="560"/>
        <w:jc w:val="left"/>
        <w:spacing w:line="360" w:lineRule="auto"/>
        <w:widowControl/>
        <w:rPr>
          <w:rFonts w:ascii="宋体" w:hAnsi="宋体" w:cs="宋体"/>
          <w:szCs w:val="21"/>
        </w:rPr>
      </w:pPr>
      <w:r>
        <w:rPr>
          <w:rFonts w:ascii="宋体" w:hAnsi="宋体" w:cs="宋体"/>
          <w:szCs w:val="21"/>
        </w:rPr>
        <w:t xml:space="preserve">免费维保期内，乙方应对所提供服务出现的质量及安全问题负责处理解决并承担一切费用。</w:t>
      </w:r>
      <w:r/>
    </w:p>
    <w:p>
      <w:pPr>
        <w:ind w:firstLine="560"/>
        <w:jc w:val="left"/>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1.3</w:t>
      </w:r>
      <w:r>
        <w:rPr>
          <w:rFonts w:hint="eastAsia" w:ascii="宋体" w:hAnsi="宋体" w:cs="宋体"/>
          <w:szCs w:val="21"/>
        </w:rPr>
        <w:t xml:space="preserve"> 乙方应自甲方验收项目合格之日起提供免费运维服务，免费运维期为自验收合格之日起2年。</w:t>
      </w:r>
      <w:r/>
    </w:p>
    <w:p>
      <w:pPr>
        <w:ind w:firstLine="560"/>
        <w:jc w:val="left"/>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1.4</w:t>
      </w:r>
      <w:r>
        <w:rPr>
          <w:rFonts w:hint="eastAsia" w:ascii="宋体" w:hAnsi="宋体" w:cs="宋体"/>
          <w:szCs w:val="21"/>
        </w:rPr>
        <w:t xml:space="preserve"> 乙方应配备至少2人的运维服务团队负责本项目的运维工作，提供7*24小时技术支持和服务，且运维团队成员原则上均为建设期间团队成员，不得随意更换，如需更换至少提前1个月向甲方申请，甲方同意后方可更换。</w:t>
      </w:r>
      <w:r/>
    </w:p>
    <w:p>
      <w:pPr>
        <w:ind w:firstLine="560"/>
        <w:jc w:val="left"/>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1.5</w:t>
      </w:r>
      <w:r>
        <w:rPr>
          <w:rFonts w:hint="eastAsia" w:ascii="宋体" w:hAnsi="宋体" w:cs="宋体"/>
          <w:szCs w:val="21"/>
        </w:rPr>
        <w:t xml:space="preserve"> 即使本项目免费运维期届满，乙方仍应提供相关有偿维护服务，运维服务内容和标准均与免费维保期内相同，且年维护费用不得超过本合同价款的10%。</w:t>
      </w:r>
      <w:r/>
    </w:p>
    <w:p>
      <w:pPr>
        <w:ind w:firstLine="420"/>
        <w:keepLines/>
        <w:keepNext/>
        <w:spacing w:before="157" w:after="157" w:line="360" w:lineRule="auto"/>
      </w:pPr>
      <w:r>
        <w:rPr>
          <w:rFonts w:ascii="宋体" w:hAnsi="宋体" w:cs="宋体"/>
          <w:b/>
          <w:bCs/>
          <w:szCs w:val="21"/>
        </w:rPr>
        <w:t xml:space="preserve">十二、交付和验收</w:t>
      </w:r>
      <w:r/>
    </w:p>
    <w:p>
      <w:pPr>
        <w:ind w:firstLine="560"/>
        <w:jc w:val="left"/>
        <w:spacing w:line="360" w:lineRule="auto"/>
        <w:widowControl/>
      </w:pPr>
      <w:r>
        <w:rPr>
          <w:rFonts w:ascii="宋体" w:hAnsi="宋体" w:cs="宋体"/>
          <w:szCs w:val="21"/>
        </w:rPr>
        <w:t xml:space="preserve">12.1 乙方应当在合同签订后</w:t>
      </w:r>
      <w:r>
        <w:rPr>
          <w:rFonts w:ascii="宋体" w:hAnsi="宋体" w:cs="宋体"/>
          <w:szCs w:val="21"/>
          <w:u w:val="single"/>
        </w:rPr>
        <w:t xml:space="preserve"> 6</w:t>
      </w:r>
      <w:r>
        <w:rPr>
          <w:rFonts w:hint="eastAsia" w:ascii="宋体" w:hAnsi="宋体" w:cs="宋体"/>
          <w:szCs w:val="21"/>
          <w:u w:val="single"/>
        </w:rPr>
        <w:t xml:space="preserve">个月</w:t>
      </w:r>
      <w:r>
        <w:rPr>
          <w:rFonts w:ascii="宋体" w:hAnsi="宋体" w:cs="宋体"/>
          <w:szCs w:val="21"/>
          <w:u w:val="single"/>
        </w:rPr>
        <w:t xml:space="preserve"> </w:t>
      </w:r>
      <w:r>
        <w:rPr>
          <w:rFonts w:ascii="宋体" w:hAnsi="宋体" w:cs="宋体"/>
          <w:szCs w:val="21"/>
        </w:rPr>
        <w:t xml:space="preserve">内完成服务事项，招标文件有约定的，从其约定。</w:t>
      </w:r>
      <w:r/>
    </w:p>
    <w:p>
      <w:pPr>
        <w:ind w:firstLine="560"/>
        <w:jc w:val="left"/>
        <w:spacing w:line="360" w:lineRule="auto"/>
        <w:widowControl/>
      </w:pPr>
      <w:r>
        <w:rPr>
          <w:rFonts w:ascii="宋体" w:hAnsi="宋体" w:cs="宋体"/>
          <w:szCs w:val="21"/>
        </w:rPr>
        <w:t xml:space="preserve">在交付前，乙方应作出全面检查和对验收文件进行整理，并列出清单，作为甲方初验收和使用的技术条件依据，检验的结果交甲方。</w:t>
      </w:r>
      <w:r>
        <w:rPr>
          <w:rFonts w:hint="eastAsia"/>
        </w:rPr>
        <w:t xml:space="preserve">乙方在项目验收前应完成的准备工作：</w:t>
      </w:r>
      <w:r/>
    </w:p>
    <w:p>
      <w:pPr>
        <w:ind w:firstLine="560"/>
        <w:jc w:val="left"/>
        <w:spacing w:line="360" w:lineRule="auto"/>
        <w:widowControl/>
      </w:pPr>
      <w:r>
        <w:rPr>
          <w:rFonts w:hint="eastAsia"/>
        </w:rPr>
        <w:t xml:space="preserve">（1）乙方应确保本项目在验收前通过软件测评，未能提供软件测评报告的，甲方有权不予验收。</w:t>
      </w:r>
      <w:r/>
    </w:p>
    <w:p>
      <w:pPr>
        <w:ind w:firstLine="560"/>
        <w:jc w:val="left"/>
        <w:spacing w:line="360" w:lineRule="auto"/>
        <w:widowControl/>
      </w:pPr>
      <w:r>
        <w:rPr>
          <w:rFonts w:hint="eastAsia"/>
        </w:rPr>
        <w:t xml:space="preserve">（2）项目上线前，甲方将指定第三方软件测评机构进行软件测评，乙方应予以配合，并及时对测评中发现的问题进行整改。</w:t>
      </w:r>
      <w:r/>
    </w:p>
    <w:p>
      <w:pPr>
        <w:ind w:firstLine="560"/>
        <w:jc w:val="left"/>
        <w:spacing w:line="360" w:lineRule="auto"/>
        <w:widowControl/>
      </w:pPr>
      <w:r>
        <w:rPr>
          <w:rFonts w:hint="eastAsia"/>
        </w:rPr>
        <w:t xml:space="preserve">（3）如第一次软件测评未通过，需开展二次及以上次数软件测评，所需费用由乙方自行承担，因此导致项目延期验收的，乙方应按约承担延期责任。</w:t>
      </w:r>
      <w:r/>
    </w:p>
    <w:p>
      <w:pPr>
        <w:ind w:firstLine="560"/>
        <w:jc w:val="left"/>
        <w:spacing w:line="360" w:lineRule="auto"/>
        <w:widowControl/>
      </w:pPr>
      <w:r>
        <w:rPr>
          <w:rFonts w:hint="eastAsia"/>
        </w:rPr>
        <w:t xml:space="preserve">（4）项目上线前，乙方需按照甲方要求，由甲方指定的安全运营团队进行源代码安全扫描，并及时对发现的漏洞进行修复。</w:t>
      </w:r>
      <w:r/>
    </w:p>
    <w:p>
      <w:pPr>
        <w:ind w:firstLine="560"/>
        <w:jc w:val="left"/>
        <w:spacing w:line="360" w:lineRule="auto"/>
        <w:widowControl/>
      </w:pPr>
      <w:r>
        <w:rPr>
          <w:rFonts w:hint="eastAsia"/>
        </w:rPr>
        <w:t xml:space="preserve">（5）项目上线后，乙方应按照甲方及其指定的总集服务团队统一安排，定期开展应急演练，应急演练需避免影响生产业务；应急演练前应制定详细、可操作的演练计划，应急演练中须详细记录演练过程信息，应急演练结束后应分析总结，完善应急预案。</w:t>
      </w:r>
      <w:r/>
    </w:p>
    <w:p>
      <w:pPr>
        <w:ind w:firstLine="560"/>
        <w:jc w:val="left"/>
        <w:spacing w:line="360" w:lineRule="auto"/>
        <w:widowControl/>
      </w:pPr>
      <w:r>
        <w:rPr>
          <w:rFonts w:hint="eastAsia"/>
        </w:rPr>
        <w:t xml:space="preserve">1</w:t>
      </w:r>
      <w:r>
        <w:t xml:space="preserve">2</w:t>
      </w:r>
      <w:r>
        <w:rPr>
          <w:rFonts w:hint="eastAsia"/>
        </w:rPr>
        <w:t xml:space="preserve">.2 乙方完成江苏省“一人一档”全民参保数据库升级项目开发上线且平稳运行1个月后向甲方提交验收申请，并向甲方提供完整的本项目验收材料（详见采购需求中的项目验收要求）。甲方在收到材料确认齐全后依法组织履约验收工作。</w:t>
      </w:r>
      <w:r/>
    </w:p>
    <w:p>
      <w:pPr>
        <w:ind w:firstLine="560"/>
        <w:jc w:val="left"/>
        <w:spacing w:line="360" w:lineRule="auto"/>
        <w:widowControl/>
      </w:pPr>
      <w:r>
        <w:rPr>
          <w:rFonts w:hint="eastAsia"/>
        </w:rPr>
        <w:t xml:space="preserve">1</w:t>
      </w:r>
      <w:r>
        <w:t xml:space="preserve">2</w:t>
      </w:r>
      <w:r>
        <w:rPr>
          <w:rFonts w:hint="eastAsia"/>
        </w:rPr>
        <w:t xml:space="preserve">.3 乙方应按照甲方指定的验收时间、方式、程序等要求，配合完成验收工作。</w:t>
      </w:r>
      <w:r/>
    </w:p>
    <w:p>
      <w:pPr>
        <w:ind w:firstLine="560"/>
        <w:jc w:val="left"/>
        <w:spacing w:line="360" w:lineRule="auto"/>
        <w:widowControl/>
      </w:pPr>
      <w:r>
        <w:rPr>
          <w:rFonts w:hint="eastAsia"/>
        </w:rPr>
        <w:t xml:space="preserve">1</w:t>
      </w:r>
      <w:r>
        <w:t xml:space="preserve">2</w:t>
      </w:r>
      <w:r>
        <w:rPr>
          <w:rFonts w:hint="eastAsia"/>
        </w:rPr>
        <w:t xml:space="preserve">.4 对于实际使用人和甲方分离的项目，甲方有权邀请实际使用人参与验收。</w:t>
      </w:r>
      <w:r/>
    </w:p>
    <w:p>
      <w:pPr>
        <w:ind w:firstLine="560"/>
        <w:jc w:val="left"/>
        <w:spacing w:line="360" w:lineRule="auto"/>
        <w:widowControl/>
      </w:pPr>
      <w:r>
        <w:rPr>
          <w:rFonts w:hint="eastAsia"/>
        </w:rPr>
        <w:t xml:space="preserve">1</w:t>
      </w:r>
      <w:r>
        <w:t xml:space="preserve">2</w:t>
      </w:r>
      <w:r>
        <w:rPr>
          <w:rFonts w:hint="eastAsia"/>
        </w:rPr>
        <w:t xml:space="preserve">.5 如有必要，甲方有权邀请参加本项目的其他供应商或第三方专业机构及专家参与验收，相关意见将作为验收报告的参考资料。</w:t>
      </w:r>
      <w:r/>
    </w:p>
    <w:p>
      <w:pPr>
        <w:ind w:firstLine="560"/>
        <w:jc w:val="left"/>
        <w:spacing w:line="360" w:lineRule="auto"/>
        <w:widowControl/>
      </w:pPr>
      <w:r>
        <w:rPr>
          <w:rFonts w:hint="eastAsia"/>
        </w:rPr>
        <w:t xml:space="preserve">1</w:t>
      </w:r>
      <w:r>
        <w:t xml:space="preserve">2</w:t>
      </w:r>
      <w:r>
        <w:rPr>
          <w:rFonts w:hint="eastAsia"/>
        </w:rPr>
        <w:t xml:space="preserve">.6 甲方成立验收小组，按照招投标文件、采购合同的约定对乙方的履约情况进行验收。验收时,甲方按照招投标文件、采购合同的约定对每一项技术、服务、安全标准的履约情况进行书面确认。</w:t>
      </w:r>
      <w:r/>
    </w:p>
    <w:p>
      <w:pPr>
        <w:ind w:firstLine="560"/>
        <w:jc w:val="left"/>
        <w:spacing w:line="360" w:lineRule="auto"/>
        <w:widowControl/>
      </w:pPr>
      <w:r>
        <w:rPr>
          <w:rFonts w:hint="eastAsia"/>
        </w:rPr>
        <w:t xml:space="preserve">1</w:t>
      </w:r>
      <w:r>
        <w:t xml:space="preserve">2</w:t>
      </w:r>
      <w:r>
        <w:rPr>
          <w:rFonts w:hint="eastAsia"/>
        </w:rPr>
        <w:t xml:space="preserve">.7 甲方验收小组应于验收结束后3个工作日内出具书面验收报告，列明各项标准的验收情况及项目总体评价，由验收双方共同签署。甲方出具的书面验收报告未载明确认验收合格的，不视为验收合格，甲方要求整改的地方，乙方应及时整改。履约验收的各项资料存档备查。</w:t>
      </w:r>
      <w:r/>
    </w:p>
    <w:p>
      <w:pPr>
        <w:ind w:firstLine="560"/>
        <w:jc w:val="left"/>
        <w:spacing w:line="360" w:lineRule="auto"/>
        <w:widowControl/>
      </w:pPr>
      <w:r>
        <w:rPr>
          <w:rFonts w:hint="eastAsia"/>
        </w:rPr>
        <w:t xml:space="preserve">1</w:t>
      </w:r>
      <w:r>
        <w:t xml:space="preserve">2</w:t>
      </w:r>
      <w:r>
        <w:rPr>
          <w:rFonts w:hint="eastAsia"/>
        </w:rPr>
        <w:t xml:space="preserve">.8 项目整体验收合格的，甲方根据招投标文件、采购合同的约定及时向乙方支付合同款项、退还履约保证金。</w:t>
      </w:r>
      <w:r/>
    </w:p>
    <w:p>
      <w:pPr>
        <w:ind w:firstLine="560"/>
        <w:jc w:val="left"/>
        <w:spacing w:line="360" w:lineRule="auto"/>
        <w:widowControl/>
      </w:pPr>
      <w:r>
        <w:rPr>
          <w:rFonts w:hint="eastAsia"/>
        </w:rPr>
        <w:t xml:space="preserve">1</w:t>
      </w:r>
      <w:r>
        <w:t xml:space="preserve">2</w:t>
      </w:r>
      <w:r>
        <w:rPr>
          <w:rFonts w:hint="eastAsia"/>
        </w:rPr>
        <w:t xml:space="preserve">.9 乙方在履约过程中有政府采购法律法规规定的违法违规情形的，甲方将及时报告本级财政部门。</w:t>
      </w:r>
      <w:r/>
    </w:p>
    <w:p>
      <w:pPr>
        <w:ind w:firstLine="560"/>
        <w:jc w:val="left"/>
        <w:spacing w:line="360" w:lineRule="auto"/>
        <w:widowControl/>
      </w:pPr>
      <w:r>
        <w:rPr>
          <w:rFonts w:hint="eastAsia"/>
        </w:rPr>
        <w:t xml:space="preserve">1</w:t>
      </w:r>
      <w:r>
        <w:t xml:space="preserve">2</w:t>
      </w:r>
      <w:r>
        <w:rPr>
          <w:rFonts w:hint="eastAsia"/>
        </w:rPr>
        <w:t xml:space="preserve">.10 除本合同约定外，招投标文件对项目的交付或验收有其他要求的，乙方应按照有关要求完成。</w:t>
      </w:r>
      <w:r/>
    </w:p>
    <w:p>
      <w:pPr>
        <w:ind w:firstLine="420"/>
        <w:keepLines/>
        <w:keepNext/>
        <w:spacing w:before="157" w:after="157" w:line="360" w:lineRule="auto"/>
        <w:rPr>
          <w:rFonts w:ascii="宋体" w:hAnsi="宋体" w:cs="宋体"/>
          <w:b/>
          <w:bCs/>
          <w:szCs w:val="21"/>
        </w:rPr>
      </w:pPr>
      <w:r>
        <w:rPr>
          <w:rFonts w:hint="eastAsia" w:ascii="宋体" w:hAnsi="宋体" w:cs="宋体"/>
          <w:b/>
          <w:bCs/>
          <w:szCs w:val="21"/>
        </w:rPr>
        <w:t xml:space="preserve">十三、项目培训</w:t>
      </w:r>
      <w:r/>
    </w:p>
    <w:p>
      <w:pPr>
        <w:ind w:firstLine="560"/>
        <w:jc w:val="left"/>
        <w:spacing w:line="360" w:lineRule="auto"/>
        <w:widowControl/>
      </w:pPr>
      <w:r>
        <w:rPr>
          <w:rFonts w:hint="eastAsia"/>
        </w:rPr>
        <w:t xml:space="preserve">1</w:t>
      </w:r>
      <w:r>
        <w:t xml:space="preserve">3</w:t>
      </w:r>
      <w:r>
        <w:rPr>
          <w:rFonts w:hint="eastAsia"/>
        </w:rPr>
        <w:t xml:space="preserve">.1 乙方应于项目验收合格后1个月内向甲方交付本项目相关内容的培训方案，包括但不限于培训计划、培训方式、培训对象、培训内容等。</w:t>
      </w:r>
      <w:r/>
    </w:p>
    <w:p>
      <w:pPr>
        <w:ind w:firstLine="560"/>
        <w:jc w:val="left"/>
        <w:spacing w:line="360" w:lineRule="auto"/>
        <w:widowControl/>
      </w:pPr>
      <w:r>
        <w:rPr>
          <w:rFonts w:hint="eastAsia"/>
        </w:rPr>
        <w:t xml:space="preserve">1</w:t>
      </w:r>
      <w:r>
        <w:t xml:space="preserve">3</w:t>
      </w:r>
      <w:r>
        <w:rPr>
          <w:rFonts w:hint="eastAsia"/>
        </w:rPr>
        <w:t xml:space="preserve">.2 乙方应按照甲方要求提供免费的现场培训和线上培训，提供培训使用的教材讲义、操作指南等相关材料，确保被培训人员全面了解和掌握本项目所涉及的基本原理、技术特性、操作使用、管理维护等内容。</w:t>
      </w:r>
      <w:r/>
    </w:p>
    <w:p>
      <w:pPr>
        <w:ind w:firstLine="560"/>
        <w:jc w:val="left"/>
        <w:spacing w:line="360" w:lineRule="auto"/>
        <w:widowControl/>
      </w:pPr>
      <w:r>
        <w:rPr>
          <w:rFonts w:hint="eastAsia"/>
        </w:rPr>
        <w:t xml:space="preserve">1</w:t>
      </w:r>
      <w:r>
        <w:t xml:space="preserve">3</w:t>
      </w:r>
      <w:r>
        <w:rPr>
          <w:rFonts w:hint="eastAsia"/>
        </w:rPr>
        <w:t xml:space="preserve">.3 乙方对甲方人员进行培训产生的费用由乙方自行承担，包括但不限于材料费、食宿费、交通费、场地费等一切费用。</w:t>
      </w:r>
      <w:r/>
    </w:p>
    <w:p>
      <w:pPr>
        <w:ind w:firstLine="560"/>
        <w:jc w:val="left"/>
        <w:spacing w:line="360" w:lineRule="auto"/>
        <w:widowControl/>
      </w:pPr>
      <w:r>
        <w:rPr>
          <w:rFonts w:hint="eastAsia"/>
        </w:rPr>
        <w:t xml:space="preserve">1</w:t>
      </w:r>
      <w:r>
        <w:t xml:space="preserve">3</w:t>
      </w:r>
      <w:r>
        <w:rPr>
          <w:rFonts w:hint="eastAsia"/>
        </w:rPr>
        <w:t xml:space="preserve">.4 如乙方未按本条约定向甲方人员提供培训服务的，甲方有权扣除履约保证金，并聘请第三方机构开展培训，由此产生的费用由乙方承担，同时乙方应按合同总价款30%向甲方支付违约金，如果因此造成甲方损失的，乙方应另行赔偿损失。</w:t>
      </w:r>
      <w:r/>
    </w:p>
    <w:p>
      <w:pPr>
        <w:ind w:firstLine="420"/>
        <w:keepLines/>
        <w:keepNext/>
        <w:spacing w:before="157" w:after="157" w:line="360" w:lineRule="auto"/>
      </w:pPr>
      <w:r>
        <w:rPr>
          <w:rFonts w:ascii="宋体" w:hAnsi="宋体" w:cs="宋体"/>
          <w:b/>
          <w:bCs/>
          <w:szCs w:val="21"/>
        </w:rPr>
        <w:t xml:space="preserve">十四、违约责任</w:t>
      </w:r>
      <w:r/>
    </w:p>
    <w:p>
      <w:pPr>
        <w:ind w:firstLine="560"/>
        <w:spacing w:line="360" w:lineRule="auto"/>
      </w:pPr>
      <w:r>
        <w:rPr>
          <w:rFonts w:ascii="宋体" w:hAnsi="宋体" w:cs="宋体"/>
          <w:szCs w:val="21"/>
        </w:rPr>
        <w:t xml:space="preserve">14.1 甲方无正当理由拒绝初验收和终验收服务项目的，甲方应按未付服务项目款金额每日</w:t>
      </w:r>
      <w:r>
        <w:rPr>
          <w:rFonts w:ascii="宋体" w:hAnsi="宋体" w:cs="宋体"/>
          <w:szCs w:val="21"/>
          <w:u w:val="single"/>
        </w:rPr>
        <w:t xml:space="preserve">万分之五</w:t>
      </w:r>
      <w:r>
        <w:rPr>
          <w:rFonts w:ascii="宋体" w:hAnsi="宋体" w:cs="宋体"/>
          <w:szCs w:val="21"/>
        </w:rPr>
        <w:t xml:space="preserve">向乙方支付违约金。</w:t>
      </w:r>
      <w:r/>
    </w:p>
    <w:p>
      <w:pPr>
        <w:ind w:firstLine="560"/>
        <w:spacing w:line="360" w:lineRule="auto"/>
      </w:pPr>
      <w:r>
        <w:rPr>
          <w:rFonts w:ascii="宋体" w:hAnsi="宋体" w:cs="宋体"/>
          <w:szCs w:val="21"/>
        </w:rPr>
        <w:t xml:space="preserve">14.2 甲方无故逾期验收和无故逾期办理款项支付手续的,甲方应按逾期付款金额每日</w:t>
      </w:r>
      <w:r>
        <w:rPr>
          <w:rFonts w:ascii="宋体" w:hAnsi="宋体" w:cs="宋体"/>
          <w:szCs w:val="21"/>
          <w:u w:val="single"/>
        </w:rPr>
        <w:t xml:space="preserve">万分之五</w:t>
      </w:r>
      <w:r>
        <w:rPr>
          <w:rFonts w:ascii="宋体" w:hAnsi="宋体" w:cs="宋体"/>
          <w:szCs w:val="21"/>
        </w:rPr>
        <w:t xml:space="preserve">向乙方支付违约金。</w:t>
      </w:r>
      <w:r/>
    </w:p>
    <w:p>
      <w:pPr>
        <w:ind w:firstLine="560"/>
        <w:spacing w:line="360" w:lineRule="auto"/>
        <w:rPr>
          <w:rFonts w:ascii="宋体" w:hAnsi="宋体" w:cs="宋体"/>
          <w:szCs w:val="21"/>
        </w:rPr>
      </w:pPr>
      <w:r>
        <w:rPr>
          <w:rFonts w:ascii="宋体" w:hAnsi="宋体" w:cs="宋体"/>
          <w:szCs w:val="21"/>
        </w:rPr>
        <w:t xml:space="preserve">14.3 </w:t>
      </w:r>
      <w:r>
        <w:rPr>
          <w:rFonts w:hint="eastAsia" w:ascii="宋体" w:hAnsi="宋体" w:cs="宋体"/>
          <w:szCs w:val="21"/>
        </w:rPr>
        <w:t xml:space="preserve">如果乙方未能自合同签订之日起6个月内完成江苏省“一人一档”全民参保数据库升级项目开发上线并且经甲方验收合格可以正常使用的，每迟延一日，乙方应支付合同总价款</w:t>
      </w:r>
      <w:r>
        <w:rPr>
          <w:rFonts w:hint="eastAsia" w:ascii="宋体" w:hAnsi="宋体" w:cs="宋体"/>
          <w:szCs w:val="21"/>
          <w:u w:val="single"/>
        </w:rPr>
        <w:t xml:space="preserve">千分之五</w:t>
      </w:r>
      <w:r>
        <w:rPr>
          <w:rFonts w:hint="eastAsia" w:ascii="宋体" w:hAnsi="宋体" w:cs="宋体"/>
          <w:szCs w:val="21"/>
        </w:rPr>
        <w:t xml:space="preserve">的违约金，迟延超过10日的，甲方有权解除合同并扣除履约保证金，乙方应向甲方另行支付合同总价款30%的解除合同违约金，如果因此造成甲方损失的，乙方应另行赔偿损失。如果乙方未能完成验收前的准备工作或完成的服务经甲方验收不合格，乙方重新整改且提交甲方重新验收的时间也视为延期完成服务的时间，乙方应按照本条内容承担违约责任。</w:t>
      </w:r>
      <w:r/>
    </w:p>
    <w:p>
      <w:pPr>
        <w:ind w:firstLine="56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4.4 </w:t>
      </w:r>
      <w:r>
        <w:rPr>
          <w:rFonts w:hint="eastAsia" w:ascii="宋体" w:hAnsi="宋体" w:cs="宋体"/>
          <w:szCs w:val="21"/>
        </w:rPr>
        <w:t xml:space="preserve">如果因乙方原因，导致江苏省 “一人一档”全民参保相关业务系统发生一级故障（详见招标文件“售后服务要求”中“服务响应时间”），或系统运行故障暂停服务30分钟及以上时间，或引发重大社会舆情的严重网络安全事件，甲方有权解除合同并扣除履约保证金，同时乙方应向甲方支付合同总价款30%的解除合同违约金，如果因此造成甲方损失的，乙方应另行赔偿损失。</w:t>
      </w:r>
      <w:r/>
    </w:p>
    <w:p>
      <w:pPr>
        <w:ind w:firstLine="56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4.5 </w:t>
      </w:r>
      <w:r>
        <w:rPr>
          <w:rFonts w:hint="eastAsia" w:ascii="宋体" w:hAnsi="宋体" w:cs="宋体"/>
          <w:szCs w:val="21"/>
        </w:rPr>
        <w:t xml:space="preserve">合同履行期内，因乙方原因造成江苏省 “一人一档”全民参保相关业务系统发生二级故障（详见招标文件“售后服务要求”中“服务响应时间”），每发生一次乙方应向甲方赔偿5万元；发生三级故障（详见招标文件“售后服务要求”中“服务响应时间”），每发生一次乙方应向甲方赔偿3万元。</w:t>
      </w:r>
      <w:r/>
    </w:p>
    <w:p>
      <w:pPr>
        <w:ind w:firstLine="560"/>
        <w:spacing w:line="360" w:lineRule="auto"/>
        <w:rPr>
          <w:rFonts w:ascii="宋体" w:hAnsi="宋体" w:cs="宋体"/>
          <w:szCs w:val="21"/>
        </w:rPr>
      </w:pPr>
      <w:r>
        <w:rPr>
          <w:rFonts w:hint="eastAsia" w:ascii="宋体" w:hAnsi="宋体" w:cs="宋体"/>
          <w:szCs w:val="21"/>
        </w:rPr>
        <w:t xml:space="preserve">如果乙方未按照招标文件要求及时解除故障的或超出故障解决时间的，每超过解决时间的20%，乙方应向甲方增加支付上述对应赔偿金的10%，最高不超过合同总价款的20%。如果乙方延期解决问题累计发生超过5次的，甲方有权解除合同并扣除履约保证金，同时，乙方应向甲方支付合同总价款30%的解除合同违约金，如果因此造成甲方损失的，乙方应另行赔偿损失。</w:t>
      </w:r>
      <w:r/>
    </w:p>
    <w:p>
      <w:pPr>
        <w:ind w:firstLine="56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4.6 </w:t>
      </w:r>
      <w:r>
        <w:rPr>
          <w:rFonts w:hint="eastAsia" w:ascii="宋体" w:hAnsi="宋体" w:cs="宋体"/>
          <w:szCs w:val="21"/>
        </w:rPr>
        <w:t xml:space="preserve">如果乙方未足额提供项目组人员或未经甲方许可更换项目组人员，且在甲方发出书面整改通知之后10个工作日未完成整改的，甲方有权解除合同并扣除履约保证金，乙方应向甲方支付合同总价款30%的解除合同违约金，如果因此造成甲方损失的，乙方应另行赔偿损失。</w:t>
      </w:r>
      <w:r/>
    </w:p>
    <w:p>
      <w:pPr>
        <w:ind w:firstLine="560"/>
        <w:spacing w:line="360" w:lineRule="auto"/>
        <w:rPr>
          <w:rFonts w:ascii="宋体" w:hAnsi="宋体" w:cs="宋体"/>
          <w:szCs w:val="21"/>
        </w:rPr>
      </w:pPr>
      <w:r>
        <w:rPr>
          <w:rFonts w:ascii="宋体" w:hAnsi="宋体" w:cs="宋体"/>
          <w:szCs w:val="21"/>
        </w:rPr>
        <w:t xml:space="preserve">14.7 </w:t>
      </w:r>
      <w:r>
        <w:rPr>
          <w:rFonts w:hint="eastAsia" w:ascii="宋体" w:hAnsi="宋体" w:cs="宋体"/>
          <w:szCs w:val="21"/>
        </w:rPr>
        <w:t xml:space="preserve">合同履行期限内，任何一方不得随意终止或解除合同。一方需要终止或解除合同的，应提前30天通知对方，并获得对方书面同意。如果一方未经另一方允许擅自终止或解除合同，违约方应向守约方支付合同总价款30%的解除合同违约金。如果乙方为违约方，甲方有权扣除履约保证金，因此造成甲方损失的，乙方应另行赔偿损失。</w:t>
      </w:r>
      <w:r/>
    </w:p>
    <w:p>
      <w:pPr>
        <w:ind w:firstLine="56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4.8 </w:t>
      </w:r>
      <w:r>
        <w:rPr>
          <w:rFonts w:hint="eastAsia" w:ascii="宋体" w:hAnsi="宋体" w:cs="宋体"/>
          <w:szCs w:val="21"/>
        </w:rPr>
        <w:t xml:space="preserve">乙方在免费运维期内未及时提供运维服务的，每发生一次，乙方应支付合同总价款5%的违约金，并且甲方有权聘请第三方提供运维服务，所需费用应由乙方承担，如果因乙方未及时提供运维服务造成甲方损失，乙方还应另行赔偿甲方损失；乙方累计发生超过三次的，甲方有权解除合同，乙方应向甲方支付合同总价款30%的解除合同违约金，如果因此造成甲方损失的，乙方应另行实际损失。</w:t>
      </w:r>
      <w:r/>
    </w:p>
    <w:p>
      <w:pPr>
        <w:ind w:firstLine="56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4.9 </w:t>
      </w:r>
      <w:r>
        <w:rPr>
          <w:rFonts w:hint="eastAsia" w:ascii="宋体" w:hAnsi="宋体" w:cs="宋体"/>
          <w:szCs w:val="21"/>
        </w:rPr>
        <w:t xml:space="preserve">如甲方逾期付款的，每迟延一日，甲方应支付合同总价款万分之五的逾期付款违约金，但总额不得超过合同价款的5%。</w:t>
      </w:r>
      <w:r/>
    </w:p>
    <w:p>
      <w:pPr>
        <w:ind w:firstLine="56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4.10</w:t>
      </w:r>
      <w:r>
        <w:rPr>
          <w:rFonts w:hint="eastAsia" w:ascii="宋体" w:hAnsi="宋体" w:cs="宋体"/>
          <w:szCs w:val="21"/>
        </w:rPr>
        <w:t xml:space="preserve">合同履行期内，除本合同约定外，乙方发生其他违反招投标文件、合同约定的情形的，每发生一次，乙方应支付合同总价款5%的违约金，如果因此造成甲方损失的，乙方应另行赔偿损失；乙方累计发生超过三次的，甲方有权解除合同并扣除履约保证金，乙方应向甲方支付合同总价款30%的解除合同违约金，如果因此造成甲方损失的，乙方应另行赔偿损失。</w:t>
      </w:r>
      <w:r/>
    </w:p>
    <w:p>
      <w:pPr>
        <w:ind w:firstLine="56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4.11 </w:t>
      </w:r>
      <w:r>
        <w:rPr>
          <w:rFonts w:hint="eastAsia" w:ascii="宋体" w:hAnsi="宋体" w:cs="宋体"/>
          <w:szCs w:val="21"/>
        </w:rPr>
        <w:t xml:space="preserve">乙方在提供服务时，如果造成甲方财产、甲方人员人身财产损失的，由乙方负责赔偿。</w:t>
      </w:r>
      <w:r/>
    </w:p>
    <w:p>
      <w:pPr>
        <w:ind w:firstLine="56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4.12 </w:t>
      </w:r>
      <w:r>
        <w:rPr>
          <w:rFonts w:hint="eastAsia" w:ascii="宋体" w:hAnsi="宋体" w:cs="宋体"/>
          <w:szCs w:val="21"/>
        </w:rPr>
        <w:t xml:space="preserve">乙方在提供服务时，应对自身人员的安全负责，乙方人员发生的人身财产损失与甲方无关。</w:t>
      </w:r>
      <w:r/>
    </w:p>
    <w:p>
      <w:pPr>
        <w:ind w:firstLine="560"/>
        <w:spacing w:line="360" w:lineRule="auto"/>
        <w:rPr>
          <w:rFonts w:ascii="宋体" w:hAnsi="宋体" w:cs="宋体"/>
          <w:szCs w:val="21"/>
        </w:rPr>
      </w:pPr>
      <w:r>
        <w:rPr>
          <w:rFonts w:ascii="宋体" w:hAnsi="宋体" w:cs="宋体"/>
          <w:szCs w:val="21"/>
        </w:rPr>
        <w:t xml:space="preserve">14.13</w:t>
      </w:r>
      <w:r>
        <w:rPr>
          <w:rFonts w:hint="eastAsia" w:ascii="宋体" w:hAnsi="宋体" w:cs="宋体"/>
          <w:szCs w:val="21"/>
        </w:rPr>
        <w:t xml:space="preserve"> 如果因乙方原因（包括但不限于乙方提供的服务不当、乙方违约等）造成第三人人身财产损失的，乙方除按本合同约定向甲方支付违约赔偿金外，还应赔偿第三人因此造成的损失。</w:t>
      </w:r>
      <w:r/>
    </w:p>
    <w:p>
      <w:pPr>
        <w:ind w:firstLine="56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4.14</w:t>
      </w:r>
      <w:r>
        <w:rPr>
          <w:rFonts w:hint="eastAsia" w:ascii="宋体" w:hAnsi="宋体" w:cs="宋体"/>
          <w:szCs w:val="21"/>
        </w:rPr>
        <w:t xml:space="preserve"> 因一方违约产生的费用，包括但不限于律师费、差旅费、诉讼费、保全费、执行费、诉讼财产保全责任险费、执行费等，由败诉方全额承担。</w:t>
      </w:r>
      <w:r/>
    </w:p>
    <w:p>
      <w:pPr>
        <w:ind w:firstLine="560"/>
        <w:spacing w:line="360" w:lineRule="auto"/>
        <w:rPr>
          <w:rFonts w:ascii="宋体" w:hAnsi="宋体" w:cs="宋体"/>
          <w:szCs w:val="21"/>
        </w:rPr>
      </w:pPr>
      <w:r>
        <w:rPr>
          <w:rFonts w:ascii="宋体" w:hAnsi="宋体" w:cs="宋体"/>
          <w:szCs w:val="21"/>
        </w:rPr>
        <w:t xml:space="preserve">14.15 合同生效后，发现乙方投标属虚假承诺，或经权威部门监测提供的服务不能满足招标文件要求，造成合同无法继续履行的，乙方履约保证金不予退还外，还应向甲方支付不少于合同总价</w:t>
      </w:r>
      <w:r>
        <w:rPr>
          <w:rFonts w:ascii="宋体" w:hAnsi="宋体" w:cs="宋体"/>
          <w:szCs w:val="21"/>
          <w:u w:val="single"/>
        </w:rPr>
        <w:t xml:space="preserve">  5  </w:t>
      </w:r>
      <w:r>
        <w:rPr>
          <w:rFonts w:ascii="宋体" w:hAnsi="宋体" w:cs="宋体"/>
          <w:szCs w:val="21"/>
        </w:rPr>
        <w:t xml:space="preserve">%赔偿金。</w:t>
      </w:r>
      <w:r/>
    </w:p>
    <w:p>
      <w:pPr>
        <w:ind w:firstLine="420"/>
        <w:keepLines/>
        <w:keepNext/>
        <w:spacing w:before="157" w:after="157" w:line="360" w:lineRule="auto"/>
      </w:pPr>
      <w:r>
        <w:rPr>
          <w:rFonts w:ascii="宋体" w:hAnsi="宋体" w:cs="宋体"/>
          <w:b/>
          <w:bCs/>
          <w:szCs w:val="21"/>
        </w:rPr>
        <w:t xml:space="preserve">十五、</w:t>
      </w:r>
      <w:r>
        <w:rPr>
          <w:rFonts w:hint="eastAsia" w:ascii="宋体" w:hAnsi="宋体" w:cs="宋体"/>
          <w:b/>
          <w:bCs/>
          <w:szCs w:val="21"/>
        </w:rPr>
        <w:t xml:space="preserve">保密责任</w:t>
      </w:r>
      <w:r/>
    </w:p>
    <w:p>
      <w:pPr>
        <w:ind w:firstLine="560"/>
        <w:spacing w:line="360" w:lineRule="auto"/>
      </w:pPr>
      <w:r>
        <w:rPr>
          <w:rFonts w:hint="eastAsia"/>
        </w:rPr>
        <w:t xml:space="preserve">1</w:t>
      </w:r>
      <w:r>
        <w:t xml:space="preserve">5</w:t>
      </w:r>
      <w:r>
        <w:rPr>
          <w:rFonts w:hint="eastAsia"/>
        </w:rPr>
        <w:t xml:space="preserve">.1 双方确认本项目中所有内部资料、技术文档、开发源代码、系统部署资料、系统数据（包含原始数据和衍生数据）全部为甲方所有，全部列入保密范围，乙方不得未经甲方许可的情况下复制、加工、共享、应用和提供给第三方。</w:t>
      </w:r>
      <w:r/>
    </w:p>
    <w:p>
      <w:pPr>
        <w:ind w:firstLine="560"/>
        <w:spacing w:line="360" w:lineRule="auto"/>
      </w:pPr>
      <w:r>
        <w:rPr>
          <w:rFonts w:hint="eastAsia"/>
        </w:rPr>
        <w:t xml:space="preserve">1</w:t>
      </w:r>
      <w:r>
        <w:t xml:space="preserve">5</w:t>
      </w:r>
      <w:r>
        <w:rPr>
          <w:rFonts w:hint="eastAsia"/>
        </w:rPr>
        <w:t xml:space="preserve">.2 乙方必须与甲方签订保密协议并严格遵守。乙方提供的全部项目实施和运维人员必须通过安全背景审查并签订保密承诺书，承诺内容需得到甲方认可，并与保密协议一并提交给甲方。</w:t>
      </w:r>
      <w:r/>
    </w:p>
    <w:p>
      <w:pPr>
        <w:ind w:firstLine="560"/>
        <w:spacing w:line="360" w:lineRule="auto"/>
      </w:pPr>
      <w:r>
        <w:t xml:space="preserve">15</w:t>
      </w:r>
      <w:r>
        <w:rPr>
          <w:rFonts w:hint="eastAsia"/>
        </w:rPr>
        <w:t xml:space="preserve">.3 如果乙方或乙方聘用、委派的人员违反双方约定的保密责任的，乙方应按合同总价款的30%支付违约金，如果因此造成甲方损失的，乙方应另行赔偿损失，包括但不限于甲方因此支付的律师费、差旅费、诉讼费、保全费、诉讼财产保全责任险费、执行费等。</w:t>
      </w:r>
      <w:r/>
    </w:p>
    <w:p>
      <w:pPr>
        <w:ind w:firstLine="560"/>
        <w:spacing w:line="360" w:lineRule="auto"/>
      </w:pPr>
      <w:r>
        <w:rPr>
          <w:rFonts w:hint="eastAsia"/>
        </w:rPr>
        <w:t xml:space="preserve">1</w:t>
      </w:r>
      <w:r>
        <w:t xml:space="preserve">5</w:t>
      </w:r>
      <w:r>
        <w:rPr>
          <w:rFonts w:hint="eastAsia"/>
        </w:rPr>
        <w:t xml:space="preserve">.4 本条约定的乙方保密责任，不因合同终止或解除而予以免除，在未经甲方书面免除乙方保密责任的情况下，乙方应当一直遵守本条款的保密责任。</w:t>
      </w:r>
      <w:r/>
    </w:p>
    <w:p>
      <w:pPr>
        <w:ind w:firstLine="420"/>
        <w:keepLines/>
        <w:keepNext/>
        <w:spacing w:before="157" w:after="157" w:line="360" w:lineRule="auto"/>
      </w:pPr>
      <w:r>
        <w:rPr>
          <w:rFonts w:ascii="宋体" w:hAnsi="宋体" w:cs="宋体"/>
          <w:b/>
          <w:bCs/>
          <w:szCs w:val="21"/>
        </w:rPr>
        <w:t xml:space="preserve">十</w:t>
      </w:r>
      <w:r>
        <w:rPr>
          <w:rFonts w:hint="eastAsia" w:ascii="宋体" w:hAnsi="宋体" w:cs="宋体"/>
          <w:b/>
          <w:bCs/>
          <w:szCs w:val="21"/>
        </w:rPr>
        <w:t xml:space="preserve">六</w:t>
      </w:r>
      <w:r>
        <w:rPr>
          <w:rFonts w:ascii="宋体" w:hAnsi="宋体" w:cs="宋体"/>
          <w:b/>
          <w:bCs/>
          <w:szCs w:val="21"/>
        </w:rPr>
        <w:t xml:space="preserve">、不可抗力事件处理</w:t>
      </w:r>
      <w:r/>
    </w:p>
    <w:p>
      <w:pPr>
        <w:ind w:firstLine="560"/>
        <w:spacing w:line="360" w:lineRule="auto"/>
      </w:pPr>
      <w:r>
        <w:rPr>
          <w:rFonts w:ascii="宋体" w:hAnsi="宋体" w:cs="宋体"/>
          <w:szCs w:val="21"/>
        </w:rPr>
        <w:t xml:space="preserve">16.1 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560"/>
        <w:spacing w:line="360" w:lineRule="auto"/>
      </w:pPr>
      <w:r>
        <w:rPr>
          <w:rFonts w:ascii="宋体" w:hAnsi="宋体" w:cs="宋体"/>
          <w:szCs w:val="21"/>
        </w:rPr>
        <w:t xml:space="preserve">16.2 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0"/>
        <w:keepLines/>
        <w:keepNext/>
        <w:spacing w:before="157" w:after="157" w:line="360" w:lineRule="auto"/>
      </w:pPr>
      <w:r>
        <w:rPr>
          <w:rFonts w:ascii="宋体" w:hAnsi="宋体" w:cs="宋体"/>
          <w:b/>
          <w:bCs/>
          <w:szCs w:val="21"/>
        </w:rPr>
        <w:t xml:space="preserve">十</w:t>
      </w:r>
      <w:r>
        <w:rPr>
          <w:rFonts w:hint="eastAsia" w:ascii="宋体" w:hAnsi="宋体" w:cs="宋体"/>
          <w:b/>
          <w:bCs/>
          <w:szCs w:val="21"/>
        </w:rPr>
        <w:t xml:space="preserve">七</w:t>
      </w:r>
      <w:r>
        <w:rPr>
          <w:rFonts w:ascii="宋体" w:hAnsi="宋体" w:cs="宋体"/>
          <w:b/>
          <w:bCs/>
          <w:szCs w:val="21"/>
        </w:rPr>
        <w:t xml:space="preserve">、争议解决</w:t>
      </w:r>
      <w:r/>
    </w:p>
    <w:p>
      <w:pPr>
        <w:ind w:firstLine="560"/>
        <w:spacing w:line="360" w:lineRule="auto"/>
      </w:pPr>
      <w:r>
        <w:rPr>
          <w:rFonts w:ascii="宋体" w:hAnsi="宋体" w:cs="宋体"/>
          <w:szCs w:val="21"/>
        </w:rPr>
        <w:t xml:space="preserve">17.1 因服务的品质质量问题发生争议的，可在国家认可的质量检测机构对服务内容质量进行鉴定。服务符合标准的，鉴定费由甲方承担；服务项目不符合质量标准的，鉴定费由乙方承担。</w:t>
      </w:r>
      <w:r/>
    </w:p>
    <w:p>
      <w:pPr>
        <w:ind w:firstLine="560"/>
        <w:spacing w:line="360" w:lineRule="auto"/>
      </w:pPr>
      <w:r>
        <w:rPr>
          <w:rFonts w:ascii="宋体" w:hAnsi="宋体" w:cs="宋体"/>
          <w:szCs w:val="21"/>
        </w:rPr>
        <w:t xml:space="preserve">17.2 因履行本合同引起的或与本合同有关的争议，甲、乙双方应首先通过友好协商解决；如果协商不能解决争议，甲乙双方同意采取下列两种方式的第</w:t>
      </w:r>
      <w:r>
        <w:rPr>
          <w:rFonts w:ascii="宋体" w:hAnsi="宋体" w:cs="宋体"/>
          <w:szCs w:val="21"/>
          <w:u w:val="single"/>
        </w:rPr>
        <w:t xml:space="preserve">（ 1 ）</w:t>
      </w:r>
      <w:r>
        <w:rPr>
          <w:rFonts w:ascii="宋体" w:hAnsi="宋体" w:cs="宋体"/>
          <w:szCs w:val="21"/>
        </w:rPr>
        <w:t xml:space="preserve">种方式解决争议：</w:t>
      </w:r>
      <w:r/>
    </w:p>
    <w:p>
      <w:pPr>
        <w:ind w:firstLine="560"/>
        <w:spacing w:line="360" w:lineRule="auto"/>
      </w:pPr>
      <w:r>
        <w:rPr>
          <w:rFonts w:ascii="宋体" w:hAnsi="宋体" w:cs="宋体"/>
          <w:szCs w:val="21"/>
        </w:rPr>
        <w:t xml:space="preserve">（1）向甲方所在地有管辖权的人民法院提起诉讼，适用中华人民共和国法律；</w:t>
      </w:r>
      <w:r/>
    </w:p>
    <w:p>
      <w:pPr>
        <w:ind w:firstLine="560"/>
        <w:spacing w:line="360" w:lineRule="auto"/>
      </w:pPr>
      <w:r>
        <w:rPr>
          <w:rFonts w:ascii="宋体" w:hAnsi="宋体" w:cs="宋体"/>
          <w:szCs w:val="21"/>
        </w:rPr>
        <w:t xml:space="preserve">（2）向江苏省仲裁委员会按其仲裁规则申请仲裁。</w:t>
      </w:r>
      <w:r/>
    </w:p>
    <w:p>
      <w:pPr>
        <w:ind w:firstLine="420"/>
        <w:spacing w:line="360" w:lineRule="auto"/>
      </w:pPr>
      <w:r>
        <w:rPr>
          <w:rFonts w:ascii="宋体" w:hAnsi="宋体" w:cs="宋体"/>
          <w:szCs w:val="21"/>
        </w:rPr>
        <w:t xml:space="preserve">败诉方应承担胜诉方为实现债权而发生的全部费用，包括但不限于诉讼费、保全费、差旅费、律师费等。</w:t>
      </w:r>
      <w:r/>
    </w:p>
    <w:p>
      <w:pPr>
        <w:ind w:firstLine="560"/>
        <w:spacing w:line="360" w:lineRule="auto"/>
      </w:pPr>
      <w:r>
        <w:rPr>
          <w:rFonts w:ascii="宋体" w:hAnsi="宋体" w:cs="宋体"/>
          <w:szCs w:val="21"/>
        </w:rPr>
        <w:t xml:space="preserve">17.3 若甲乙双方任何一方都没有选择解除合同的，为避免扩大损失，在诉讼或仲裁期间，双方应继续履行。</w:t>
      </w:r>
      <w:r/>
    </w:p>
    <w:p>
      <w:pPr>
        <w:ind w:firstLine="420"/>
        <w:keepLines/>
        <w:keepNext/>
        <w:spacing w:before="157" w:after="157" w:line="360" w:lineRule="auto"/>
      </w:pPr>
      <w:r>
        <w:rPr>
          <w:rFonts w:ascii="宋体" w:hAnsi="宋体" w:cs="宋体"/>
          <w:b/>
          <w:bCs/>
          <w:szCs w:val="21"/>
        </w:rPr>
        <w:t xml:space="preserve">十</w:t>
      </w:r>
      <w:r>
        <w:rPr>
          <w:rFonts w:hint="eastAsia" w:ascii="宋体" w:hAnsi="宋体" w:cs="宋体"/>
          <w:b/>
          <w:bCs/>
          <w:szCs w:val="21"/>
        </w:rPr>
        <w:t xml:space="preserve">八</w:t>
      </w:r>
      <w:r>
        <w:rPr>
          <w:rFonts w:ascii="宋体" w:hAnsi="宋体" w:cs="宋体"/>
          <w:b/>
          <w:bCs/>
          <w:szCs w:val="21"/>
        </w:rPr>
        <w:t xml:space="preserve">、合同其它</w:t>
      </w:r>
      <w:r/>
    </w:p>
    <w:p>
      <w:pPr>
        <w:ind w:firstLine="560"/>
        <w:spacing w:line="360" w:lineRule="auto"/>
      </w:pPr>
      <w:r>
        <w:rPr>
          <w:rFonts w:ascii="宋体" w:hAnsi="宋体" w:cs="宋体"/>
          <w:szCs w:val="21"/>
        </w:rPr>
        <w:t xml:space="preserve">18.1乙方应诚实信用，严格按照招标文件要求和投标承诺履行合同，不向甲方进行商业贿赂或者提供不正当利益。</w:t>
      </w:r>
      <w:r/>
    </w:p>
    <w:p>
      <w:pPr>
        <w:ind w:firstLine="560"/>
        <w:spacing w:line="360" w:lineRule="auto"/>
      </w:pPr>
      <w:r>
        <w:rPr>
          <w:rFonts w:ascii="宋体" w:hAnsi="宋体" w:cs="宋体"/>
          <w:szCs w:val="21"/>
        </w:rPr>
        <w:t xml:space="preserve">18.2 合同经双方法定代表人或授权代表签字并加盖单位公章，并经江苏省公共资源交易中心见证盖章后生效。</w:t>
      </w:r>
      <w:r/>
    </w:p>
    <w:p>
      <w:pPr>
        <w:ind w:firstLine="560"/>
        <w:spacing w:line="360" w:lineRule="auto"/>
      </w:pPr>
      <w:r>
        <w:rPr>
          <w:rFonts w:ascii="宋体" w:hAnsi="宋体" w:cs="宋体"/>
          <w:szCs w:val="21"/>
        </w:rPr>
        <w:t xml:space="preserve">18.3 本合同未尽事宜，遵照《合同法》有关条文执行。</w:t>
      </w:r>
      <w:r/>
    </w:p>
    <w:p>
      <w:pPr>
        <w:ind w:firstLine="560"/>
        <w:spacing w:line="360" w:lineRule="auto"/>
      </w:pPr>
      <w:r>
        <w:rPr>
          <w:rFonts w:ascii="宋体" w:hAnsi="宋体" w:cs="宋体"/>
          <w:szCs w:val="21"/>
        </w:rPr>
        <w:t xml:space="preserve">18.4 本合同正本一式捌份，具有同等法律效力，甲方、乙方各执两份，见证方或财政监管部门（江苏省政府采购中心）执一份。</w:t>
      </w:r>
      <w:r/>
    </w:p>
    <w:p>
      <w:pPr>
        <w:ind w:firstLine="560"/>
        <w:spacing w:line="360" w:lineRule="auto"/>
      </w:pPr>
      <w:r/>
      <w:r/>
    </w:p>
    <w:tbl>
      <w:tblPr>
        <w:tblStyle w:val="739"/>
        <w:tblW w:w="8306" w:type="dxa"/>
        <w:jc w:val="center"/>
        <w:tblLayout w:type="autofit"/>
        <w:tblCellMar>
          <w:left w:w="108" w:type="dxa"/>
          <w:top w:w="0" w:type="dxa"/>
          <w:right w:w="108" w:type="dxa"/>
          <w:bottom w:w="0" w:type="dxa"/>
        </w:tblCellMar>
        <w:tblLook w:val="04A0" w:firstRow="1" w:lastRow="0" w:firstColumn="1" w:lastColumn="0" w:noHBand="0" w:noVBand="1"/>
      </w:tblPr>
      <w:tblGrid>
        <w:gridCol w:w="8306"/>
      </w:tblGrid>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甲方（公章）：江苏省医疗保障局</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地  址：</w:t>
            </w:r>
            <w:r>
              <w:rPr>
                <w:rFonts w:hint="eastAsia" w:ascii="宋体" w:hAnsi="宋体" w:cs="宋体"/>
                <w:szCs w:val="21"/>
              </w:rPr>
              <w:t xml:space="preserve">南京市秦淮区建邺路1</w:t>
            </w:r>
            <w:r>
              <w:rPr>
                <w:rFonts w:ascii="宋体" w:hAnsi="宋体" w:cs="宋体"/>
                <w:szCs w:val="21"/>
              </w:rPr>
              <w:t xml:space="preserve">68</w:t>
            </w:r>
            <w:r>
              <w:rPr>
                <w:rFonts w:hint="eastAsia" w:ascii="宋体" w:hAnsi="宋体" w:cs="宋体"/>
                <w:szCs w:val="21"/>
              </w:rPr>
              <w:t xml:space="preserve">号</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开户行：</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账  号：</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法定代表人或授权代表：                   </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联系电话：                               </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乙方（公章）：</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地  址：</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开户行：</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账  号：</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法定代表人或授权代表：</w:t>
            </w:r>
            <w:r/>
          </w:p>
        </w:tc>
      </w:tr>
      <w:tr>
        <w:trPr>
          <w:jc w:val="center"/>
        </w:trPr>
        <w:tc>
          <w:tcPr>
            <w:tcMar>
              <w:left w:w="108" w:type="dxa"/>
              <w:top w:w="0" w:type="dxa"/>
              <w:right w:w="108" w:type="dxa"/>
              <w:bottom w:w="0" w:type="dxa"/>
            </w:tcMar>
            <w:tcW w:w="8528" w:type="dxa"/>
            <w:textDirection w:val="lrTb"/>
            <w:noWrap w:val="false"/>
          </w:tcPr>
          <w:p>
            <w:pPr>
              <w:jc w:val="left"/>
              <w:spacing w:line="360" w:lineRule="auto"/>
            </w:pPr>
            <w:r>
              <w:rPr>
                <w:rFonts w:ascii="宋体" w:hAnsi="宋体" w:cs="宋体"/>
                <w:szCs w:val="21"/>
              </w:rPr>
              <w:t xml:space="preserve">联系电话：</w:t>
            </w:r>
            <w:r/>
          </w:p>
        </w:tc>
      </w:tr>
    </w:tbl>
    <w:p>
      <w:r/>
      <w:r/>
    </w:p>
    <w:p>
      <w:pPr>
        <w:ind w:firstLine="2642"/>
        <w:jc w:val="left"/>
        <w:keepNext/>
        <w:pageBreakBefore/>
        <w:outlineLvl w:val="0"/>
      </w:pPr>
      <w:r>
        <w:rPr>
          <w:rFonts w:hint="eastAsia" w:ascii="黑体" w:eastAsia="黑体"/>
          <w:bCs/>
          <w:sz w:val="44"/>
          <w:szCs w:val="28"/>
        </w:rPr>
        <w:t xml:space="preserve">第</w:t>
      </w:r>
      <w:bookmarkEnd w:id="171"/>
      <w:r>
        <w:rPr>
          <w:rFonts w:hint="eastAsia" w:ascii="黑体" w:eastAsia="黑体"/>
          <w:bCs/>
          <w:sz w:val="44"/>
          <w:szCs w:val="28"/>
        </w:rPr>
        <w:t xml:space="preserve">四章 采购需求</w:t>
      </w:r>
      <w:bookmarkEnd w:id="172"/>
      <w:r/>
      <w:bookmarkEnd w:id="173"/>
      <w:r/>
      <w:bookmarkEnd w:id="174"/>
      <w:r/>
      <w:r/>
    </w:p>
    <w:p>
      <w:pPr>
        <w:spacing w:line="0" w:lineRule="atLeast"/>
        <w:rPr>
          <w:rFonts w:ascii="宋体" w:hAnsi="宋体"/>
          <w:sz w:val="24"/>
          <w:szCs w:val="24"/>
        </w:rPr>
      </w:pPr>
      <w:r/>
      <w:bookmarkStart w:id="178" w:name="_Toc26554093"/>
      <w:r/>
      <w:bookmarkStart w:id="179" w:name="_Toc49090575"/>
      <w:r/>
      <w:r/>
    </w:p>
    <w:p>
      <w:pPr>
        <w:spacing w:line="0" w:lineRule="atLeast"/>
        <w:rPr>
          <w:rFonts w:ascii="宋体" w:hAnsi="宋体"/>
          <w:sz w:val="24"/>
          <w:szCs w:val="24"/>
        </w:rPr>
      </w:pPr>
      <w:r/>
      <w:bookmarkStart w:id="180" w:name="_Toc120614281"/>
      <w:r>
        <w:rPr>
          <w:rFonts w:hint="eastAsia" w:ascii="宋体" w:hAnsi="宋体"/>
          <w:sz w:val="24"/>
          <w:szCs w:val="24"/>
        </w:rPr>
        <w:t xml:space="preserve">项目属性:服务类项目。</w:t>
      </w:r>
      <w:r/>
    </w:p>
    <w:p>
      <w:pPr>
        <w:spacing w:line="440" w:lineRule="exact"/>
        <w:rPr>
          <w:rFonts w:ascii="宋体" w:hAnsi="宋体"/>
          <w:sz w:val="22"/>
          <w:szCs w:val="24"/>
        </w:rPr>
      </w:pPr>
      <w:r>
        <w:rPr>
          <w:rFonts w:hint="eastAsia" w:ascii="宋体" w:hAnsi="宋体"/>
          <w:sz w:val="22"/>
          <w:szCs w:val="24"/>
        </w:rPr>
        <w:t xml:space="preserve">进口</w:t>
      </w:r>
      <w:r>
        <w:rPr>
          <w:rFonts w:ascii="宋体" w:hAnsi="宋体"/>
          <w:sz w:val="22"/>
          <w:szCs w:val="24"/>
        </w:rPr>
        <w:t xml:space="preserve">产品</w:t>
      </w:r>
      <w:r>
        <w:rPr>
          <w:rFonts w:hint="eastAsia" w:ascii="宋体" w:hAnsi="宋体"/>
          <w:sz w:val="22"/>
          <w:szCs w:val="24"/>
        </w:rPr>
        <w:t xml:space="preserve">投标</w:t>
      </w:r>
      <w:r/>
    </w:p>
    <w:tbl>
      <w:tblPr>
        <w:tblStyle w:val="73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599"/>
      </w:tblGrid>
      <w:tr>
        <w:trPr/>
        <w:tc>
          <w:tcPr>
            <w:tcW w:w="1148" w:type="dxa"/>
            <w:textDirection w:val="lrTb"/>
            <w:noWrap w:val="false"/>
          </w:tcPr>
          <w:p>
            <w:pPr>
              <w:jc w:val="center"/>
              <w:spacing w:line="440" w:lineRule="exact"/>
              <w:rPr>
                <w:rFonts w:ascii="宋体" w:hAnsi="宋体"/>
                <w:sz w:val="20"/>
              </w:rPr>
            </w:pPr>
            <w:r>
              <w:rPr>
                <w:rFonts w:hint="eastAsia" w:ascii="宋体" w:hAnsi="宋体"/>
                <w:sz w:val="20"/>
              </w:rPr>
              <w:t xml:space="preserve">采购包号</w:t>
            </w:r>
            <w:r/>
          </w:p>
        </w:tc>
        <w:tc>
          <w:tcPr>
            <w:tcW w:w="3599" w:type="dxa"/>
            <w:textDirection w:val="lrTb"/>
            <w:noWrap w:val="false"/>
          </w:tcPr>
          <w:p>
            <w:pPr>
              <w:jc w:val="center"/>
              <w:spacing w:line="440" w:lineRule="exact"/>
              <w:rPr>
                <w:rFonts w:ascii="宋体" w:hAnsi="宋体"/>
                <w:sz w:val="20"/>
              </w:rPr>
            </w:pPr>
            <w:r>
              <w:rPr>
                <w:rFonts w:hint="eastAsia" w:ascii="宋体" w:hAnsi="宋体"/>
                <w:sz w:val="20"/>
              </w:rPr>
              <w:t xml:space="preserve">是否接受</w:t>
            </w:r>
            <w:r>
              <w:rPr>
                <w:rFonts w:ascii="宋体" w:hAnsi="宋体"/>
                <w:sz w:val="20"/>
              </w:rPr>
              <w:t xml:space="preserve">进口产品投标</w:t>
            </w:r>
            <w:r>
              <w:rPr>
                <w:rFonts w:hint="eastAsia" w:ascii="宋体" w:hAnsi="宋体"/>
                <w:sz w:val="20"/>
              </w:rPr>
              <w:t xml:space="preserve">（是/否）</w:t>
            </w:r>
            <w:r/>
          </w:p>
        </w:tc>
      </w:tr>
      <w:tr>
        <w:trPr/>
        <w:tc>
          <w:tcPr>
            <w:tcW w:w="1148" w:type="dxa"/>
            <w:textDirection w:val="lrTb"/>
            <w:noWrap w:val="false"/>
          </w:tcPr>
          <w:p>
            <w:pPr>
              <w:jc w:val="center"/>
              <w:spacing w:line="440" w:lineRule="exact"/>
              <w:rPr>
                <w:rFonts w:ascii="宋体" w:hAnsi="宋体"/>
                <w:sz w:val="20"/>
              </w:rPr>
            </w:pPr>
            <w:r>
              <w:rPr>
                <w:rFonts w:hint="eastAsia" w:ascii="宋体" w:hAnsi="宋体"/>
                <w:sz w:val="20"/>
              </w:rPr>
              <w:t xml:space="preserve">1</w:t>
            </w:r>
            <w:r/>
          </w:p>
        </w:tc>
        <w:tc>
          <w:tcPr>
            <w:tcW w:w="3599" w:type="dxa"/>
            <w:textDirection w:val="lrTb"/>
            <w:noWrap w:val="false"/>
          </w:tcPr>
          <w:p>
            <w:pPr>
              <w:jc w:val="center"/>
              <w:spacing w:line="440" w:lineRule="exact"/>
              <w:rPr>
                <w:rFonts w:ascii="宋体" w:hAnsi="宋体"/>
                <w:sz w:val="20"/>
              </w:rPr>
            </w:pPr>
            <w:r>
              <w:rPr>
                <w:rFonts w:hint="eastAsia" w:ascii="宋体" w:hAnsi="宋体"/>
                <w:sz w:val="20"/>
              </w:rPr>
              <w:t xml:space="preserve">否</w:t>
            </w:r>
            <w:r/>
          </w:p>
        </w:tc>
      </w:tr>
    </w:tbl>
    <w:p>
      <w:pPr>
        <w:numPr>
          <w:ilvl w:val="0"/>
          <w:numId w:val="13"/>
        </w:numPr>
        <w:keepLines/>
        <w:keepNext/>
        <w:spacing w:line="576" w:lineRule="auto"/>
        <w:tabs>
          <w:tab w:val="left" w:pos="0" w:leader="none"/>
        </w:tabs>
        <w:rPr>
          <w:rFonts w:ascii="幼圆" w:hAnsi="幼圆" w:eastAsia="幼圆" w:cs="幼圆"/>
          <w:b/>
          <w:sz w:val="28"/>
          <w:szCs w:val="28"/>
        </w:rPr>
        <w:outlineLvl w:val="0"/>
      </w:pPr>
      <w:r>
        <w:rPr>
          <w:rFonts w:hint="eastAsia" w:ascii="幼圆" w:hAnsi="幼圆" w:eastAsia="幼圆" w:cs="幼圆"/>
          <w:b/>
          <w:sz w:val="28"/>
          <w:szCs w:val="28"/>
        </w:rPr>
        <w:t xml:space="preserve">采购标的清单</w:t>
      </w:r>
      <w:r/>
    </w:p>
    <w:tbl>
      <w:tblPr>
        <w:tblStyle w:val="739"/>
        <w:tblW w:w="857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4253"/>
        <w:gridCol w:w="3402"/>
      </w:tblGrid>
      <w:tr>
        <w:trPr>
          <w:cantSplit/>
        </w:trPr>
        <w:tc>
          <w:tcPr>
            <w:tcW w:w="920" w:type="dxa"/>
            <w:vAlign w:val="center"/>
            <w:textDirection w:val="lrTb"/>
            <w:noWrap w:val="false"/>
          </w:tcPr>
          <w:p>
            <w:pPr>
              <w:jc w:val="center"/>
              <w:spacing w:line="440" w:lineRule="exact"/>
              <w:rPr>
                <w:rFonts w:ascii="宋体" w:hAnsi="宋体"/>
                <w:sz w:val="22"/>
                <w:szCs w:val="24"/>
              </w:rPr>
            </w:pPr>
            <w:r>
              <w:rPr>
                <w:rFonts w:hint="eastAsia" w:ascii="宋体" w:hAnsi="宋体"/>
                <w:sz w:val="22"/>
                <w:szCs w:val="24"/>
              </w:rPr>
              <w:t xml:space="preserve">采购包</w:t>
            </w:r>
            <w:r/>
          </w:p>
        </w:tc>
        <w:tc>
          <w:tcPr>
            <w:tcW w:w="4253" w:type="dxa"/>
            <w:vAlign w:val="center"/>
            <w:textDirection w:val="lrTb"/>
            <w:noWrap w:val="false"/>
          </w:tcPr>
          <w:p>
            <w:pPr>
              <w:jc w:val="center"/>
              <w:spacing w:line="440" w:lineRule="exact"/>
              <w:rPr>
                <w:rFonts w:ascii="宋体" w:hAnsi="宋体"/>
                <w:sz w:val="22"/>
                <w:szCs w:val="24"/>
              </w:rPr>
            </w:pPr>
            <w:r>
              <w:rPr>
                <w:rFonts w:hint="eastAsia" w:ascii="宋体" w:hAnsi="宋体"/>
                <w:sz w:val="22"/>
                <w:szCs w:val="24"/>
              </w:rPr>
              <w:t xml:space="preserve">采购</w:t>
            </w:r>
            <w:r>
              <w:rPr>
                <w:rFonts w:ascii="宋体" w:hAnsi="宋体"/>
                <w:sz w:val="22"/>
                <w:szCs w:val="24"/>
              </w:rPr>
              <w:t xml:space="preserve">标的</w:t>
            </w:r>
            <w:r/>
          </w:p>
        </w:tc>
        <w:tc>
          <w:tcPr>
            <w:tcW w:w="3402" w:type="dxa"/>
            <w:vAlign w:val="center"/>
            <w:textDirection w:val="lrTb"/>
            <w:noWrap w:val="false"/>
          </w:tcPr>
          <w:p>
            <w:pPr>
              <w:jc w:val="center"/>
              <w:spacing w:line="440" w:lineRule="exact"/>
              <w:rPr>
                <w:rFonts w:ascii="宋体" w:hAnsi="宋体"/>
                <w:sz w:val="22"/>
                <w:szCs w:val="24"/>
              </w:rPr>
            </w:pPr>
            <w:r>
              <w:rPr>
                <w:rFonts w:hint="eastAsia" w:ascii="宋体" w:hAnsi="宋体"/>
                <w:sz w:val="22"/>
                <w:szCs w:val="24"/>
              </w:rPr>
              <w:t xml:space="preserve">对应中</w:t>
            </w:r>
            <w:r>
              <w:rPr>
                <w:rFonts w:ascii="宋体" w:hAnsi="宋体"/>
                <w:sz w:val="22"/>
                <w:szCs w:val="24"/>
              </w:rPr>
              <w:t xml:space="preserve">小企业划分标准所属行业</w:t>
            </w:r>
            <w:r/>
          </w:p>
        </w:tc>
      </w:tr>
      <w:tr>
        <w:trPr>
          <w:cantSplit/>
          <w:trHeight w:val="291"/>
        </w:trPr>
        <w:tc>
          <w:tcPr>
            <w:tcW w:w="920" w:type="dxa"/>
            <w:vAlign w:val="center"/>
            <w:textDirection w:val="lrTb"/>
            <w:noWrap w:val="false"/>
          </w:tcPr>
          <w:p>
            <w:pPr>
              <w:jc w:val="center"/>
              <w:spacing w:line="440" w:lineRule="exact"/>
              <w:rPr>
                <w:rFonts w:ascii="宋体" w:hAnsi="宋体"/>
                <w:sz w:val="22"/>
                <w:szCs w:val="24"/>
              </w:rPr>
            </w:pPr>
            <w:r>
              <w:rPr>
                <w:rFonts w:hint="eastAsia" w:ascii="宋体" w:hAnsi="宋体"/>
                <w:sz w:val="22"/>
                <w:szCs w:val="24"/>
              </w:rPr>
              <w:t xml:space="preserve">1</w:t>
            </w:r>
            <w:r/>
          </w:p>
        </w:tc>
        <w:tc>
          <w:tcPr>
            <w:tcW w:w="4253" w:type="dxa"/>
            <w:vAlign w:val="center"/>
            <w:textDirection w:val="lrTb"/>
            <w:noWrap w:val="false"/>
          </w:tcPr>
          <w:p>
            <w:pPr>
              <w:jc w:val="center"/>
              <w:spacing w:line="440" w:lineRule="exact"/>
              <w:tabs>
                <w:tab w:val="left" w:pos="2020" w:leader="none"/>
              </w:tabs>
              <w:rPr>
                <w:rFonts w:ascii="宋体" w:hAnsi="宋体"/>
                <w:sz w:val="22"/>
                <w:szCs w:val="24"/>
              </w:rPr>
            </w:pPr>
            <w:r>
              <w:rPr>
                <w:rFonts w:ascii="宋体" w:hAnsi="宋体"/>
                <w:sz w:val="22"/>
                <w:szCs w:val="24"/>
              </w:rPr>
              <w:t xml:space="preserve">“</w:t>
            </w:r>
            <w:r>
              <w:rPr>
                <w:rFonts w:hint="eastAsia" w:ascii="宋体" w:hAnsi="宋体"/>
                <w:sz w:val="22"/>
                <w:szCs w:val="24"/>
              </w:rPr>
              <w:t xml:space="preserve">一人一档</w:t>
            </w:r>
            <w:r>
              <w:rPr>
                <w:rFonts w:ascii="宋体" w:hAnsi="宋体"/>
                <w:sz w:val="22"/>
                <w:szCs w:val="24"/>
              </w:rPr>
              <w:t xml:space="preserve">”</w:t>
            </w:r>
            <w:r>
              <w:rPr>
                <w:rFonts w:hint="eastAsia" w:ascii="宋体" w:hAnsi="宋体"/>
                <w:sz w:val="22"/>
                <w:szCs w:val="24"/>
              </w:rPr>
              <w:t xml:space="preserve">全民参保数据库升级项目</w:t>
            </w:r>
            <w:r/>
          </w:p>
        </w:tc>
        <w:tc>
          <w:tcPr>
            <w:tcW w:w="3402" w:type="dxa"/>
            <w:vAlign w:val="center"/>
            <w:textDirection w:val="lrTb"/>
            <w:noWrap w:val="false"/>
          </w:tcPr>
          <w:p>
            <w:pPr>
              <w:pStyle w:val="816"/>
              <w:jc w:val="center"/>
              <w:rPr>
                <w:rFonts w:ascii="宋体" w:hAnsi="宋体"/>
                <w:sz w:val="22"/>
                <w:szCs w:val="24"/>
              </w:rPr>
            </w:pPr>
            <w:r>
              <w:rPr>
                <w:rFonts w:hint="eastAsia"/>
              </w:rPr>
              <w:t xml:space="preserve">软件和信息技术服务</w:t>
            </w:r>
            <w:r/>
          </w:p>
        </w:tc>
      </w:tr>
    </w:tbl>
    <w:p>
      <w:pPr>
        <w:numPr>
          <w:ilvl w:val="0"/>
          <w:numId w:val="13"/>
        </w:numPr>
        <w:keepLines/>
        <w:keepNext/>
        <w:spacing w:line="576" w:lineRule="auto"/>
        <w:tabs>
          <w:tab w:val="left" w:pos="0" w:leader="none"/>
        </w:tabs>
        <w:rPr>
          <w:rFonts w:ascii="幼圆" w:hAnsi="幼圆" w:eastAsia="幼圆" w:cs="幼圆"/>
          <w:b/>
          <w:sz w:val="28"/>
          <w:szCs w:val="28"/>
        </w:rPr>
        <w:outlineLvl w:val="0"/>
      </w:pPr>
      <w:r>
        <w:rPr>
          <w:rFonts w:hint="eastAsia" w:ascii="幼圆" w:hAnsi="幼圆" w:eastAsia="幼圆" w:cs="幼圆"/>
          <w:b/>
          <w:sz w:val="28"/>
          <w:szCs w:val="28"/>
        </w:rPr>
        <w:t xml:space="preserve">项目概述</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江苏省“一人一档”建设项目（以下简称“一期项目”）已成功建成并投入使用，形成了全省参保人员的基础信息数据库，为全省医保管理和服务提供了重要支撑。一期项目形成全省统一基础信息库，为各设区市数据赋能，实现“一库同享”。一期项目推进全民参保精准扩面，充分运用数据优势，加强数据赋能，精准锁定未参保人员，实现“数据找人”，为高效开展参保扩面工作提供信息化支撑。</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在一期项目取得显著成效的基础上，江苏省医疗保障局提出“一人一档”全民参保数据库升级项目建设，将“一人一档”着眼点从“全民参保”提升为“全生命周期个人健康”，归集并优化个人全量就医结算数据，以“一人一档”高质量数据集为驱动，加快江苏医保数字化转型，促进江苏医保高质量发展。</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一人一档”全民参保数据库升级项目旨在打通医保信息平台内外数据共享渠道，汇集参保缴费、医疗费用、健康状况、诊疗记录、就医习惯、身份特征、亲情关系、工作生活等各项数据，构建医保“一人一画像”，多维度分析参保人情况，提供就诊购药引导等个性化服务，为医保防贫减贫、基金监管、改革决策、高校课题研究提供精准数据支撑。</w:t>
      </w:r>
      <w:r/>
    </w:p>
    <w:p>
      <w:pPr>
        <w:numPr>
          <w:ilvl w:val="0"/>
          <w:numId w:val="13"/>
        </w:numPr>
        <w:keepLines/>
        <w:keepNext/>
        <w:spacing w:line="576" w:lineRule="auto"/>
        <w:tabs>
          <w:tab w:val="left" w:pos="0" w:leader="none"/>
        </w:tabs>
        <w:rPr>
          <w:rFonts w:ascii="幼圆" w:hAnsi="幼圆" w:eastAsia="幼圆" w:cs="幼圆"/>
          <w:b/>
          <w:sz w:val="28"/>
          <w:szCs w:val="28"/>
        </w:rPr>
        <w:outlineLvl w:val="0"/>
      </w:pPr>
      <w:r>
        <w:rPr>
          <w:rFonts w:hint="eastAsia" w:ascii="幼圆" w:hAnsi="幼圆" w:eastAsia="幼圆" w:cs="幼圆"/>
          <w:b/>
          <w:sz w:val="28"/>
          <w:szCs w:val="28"/>
        </w:rPr>
        <w:t xml:space="preserve">建设内容</w:t>
      </w:r>
      <w:r/>
    </w:p>
    <w:p>
      <w:pPr>
        <w:numPr>
          <w:ilvl w:val="1"/>
          <w:numId w:val="13"/>
        </w:numPr>
        <w:ind w:firstLine="200"/>
        <w:keepLines/>
        <w:keepNext/>
        <w:spacing w:line="413" w:lineRule="auto"/>
        <w:tabs>
          <w:tab w:val="left" w:pos="0" w:leader="none"/>
        </w:tabs>
        <w:rPr>
          <w:rFonts w:ascii="宋体" w:hAnsi="宋体" w:cs="宋体"/>
          <w:b/>
          <w:bCs/>
          <w:sz w:val="22"/>
        </w:rPr>
        <w:outlineLvl w:val="1"/>
      </w:pPr>
      <w:r>
        <w:rPr>
          <w:rFonts w:hint="eastAsia" w:ascii="宋体" w:hAnsi="宋体" w:cs="宋体"/>
          <w:b/>
          <w:bCs/>
          <w:sz w:val="22"/>
        </w:rPr>
        <w:t xml:space="preserve">建档画像</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数据整合与高质量数据集构建</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从医保系统全方位提取参保人的各类就医结算数据，涵盖基本信息、参保缴费、待遇结算等层面。借助全省医保可信数据空间，归集个人健康数据、公安户籍数据、新生儿数据、医院检验检查数据、高校学籍数据、民政救助人员、百岁老人数据等。同时结合就医、购药以及医疗费用结算等动态记录，经过数据清洗、校验与整合流程，形成内容详实、准确可靠的“一人一档”高质量数据集。</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多维画像开发</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深度开发个人、家庭、区域、企业、学校等维度画像的基础功能模块，确保能直观呈现各维度主体的基本医保特征，如个人的参保轨迹、家庭的整体医疗支出趋势、区域的疾病分布概况等，为医保政策制定、精准服务推送提供高价值参考依据，实现医保服务从粗放式向精细化的转变。支持省医保数据赋能实验室大屏展示，纳入江苏医保云APP统一入口管理，实现与相关数据平台信息互联互通。</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个人画像</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构建参保人的个人画像，包括但不限于个人信息、家庭关系、参保情况、就医地分布、就医机构等级、费用情况、当年待遇信息（含大病、困难救助、慈善捐赠、医惠保）、家庭签约医生服务等标签。</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家庭画像</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构建家庭画像，包括但不限于个人信息、家庭信息、个人就业情况、个人缴费情况、医疗费用趋势、慢特病情况等标签。</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村社区画像</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构建村社区画像，包括但不限于村社区医保公共服务点办件情况、参保险种分析、“一老一小”参保占比、户籍参保率趋势、综合指标、地图、疾病谱、困难人群、参保人员年龄分布、就业机构分析等标签。</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企业画像</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构建企业画像，包括但不限于企业信息、年龄性别结构、参保人数变化趋势、缴费情况、人均缴费基数、在职年数分析、费用趋势、费用结构、就医情况等标签。</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学校画像</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构建学校画像，包括但不限于学校基本信息、医保参保信息、医疗费用信息、家庭经济困难学生健康保障信息等标签。</w:t>
      </w:r>
      <w:r/>
    </w:p>
    <w:p>
      <w:pPr>
        <w:numPr>
          <w:ilvl w:val="1"/>
          <w:numId w:val="13"/>
        </w:numPr>
        <w:ind w:firstLine="200"/>
        <w:keepLines/>
        <w:keepNext/>
        <w:spacing w:line="413" w:lineRule="auto"/>
        <w:tabs>
          <w:tab w:val="left" w:pos="0" w:leader="none"/>
        </w:tabs>
        <w:rPr>
          <w:rFonts w:ascii="宋体" w:hAnsi="宋体" w:cs="宋体"/>
          <w:b/>
          <w:bCs/>
          <w:sz w:val="22"/>
        </w:rPr>
        <w:outlineLvl w:val="1"/>
      </w:pPr>
      <w:r>
        <w:rPr>
          <w:rFonts w:hint="eastAsia" w:ascii="宋体" w:hAnsi="宋体" w:cs="宋体"/>
          <w:b/>
          <w:bCs/>
          <w:sz w:val="22"/>
        </w:rPr>
        <w:t xml:space="preserve">个人健康</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在个人健康板块，为参保人提供全生命周期健康管理和健康赋能，包括“我要查”、“我要问”、“我的家庭健康”。</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我要查</w:t>
      </w:r>
      <w:r/>
    </w:p>
    <w:p>
      <w:pPr>
        <w:ind w:firstLine="440"/>
        <w:spacing w:line="360" w:lineRule="auto"/>
        <w:tabs>
          <w:tab w:val="left" w:pos="0" w:leader="none"/>
        </w:tabs>
        <w:rPr>
          <w:rFonts w:ascii="宋体" w:hAnsi="宋体" w:cs="宋体"/>
          <w:b/>
          <w:bCs/>
          <w:sz w:val="22"/>
        </w:rPr>
      </w:pPr>
      <w:r>
        <w:rPr>
          <w:rFonts w:hint="eastAsia" w:ascii="宋体" w:hAnsi="宋体" w:cs="宋体"/>
          <w:sz w:val="22"/>
        </w:rPr>
        <w:t xml:space="preserve">在“我要查”板块，参保人能直观洞悉自身健康数据与病情走向，轻松查阅过往数年就医轨迹，把握单次就医总体收支的同时深入剖析费用构成，提供个人账户共济查询，随时联络、回溯家庭签约医生服务，切实助力参保人畅享便捷、高效、精准的医保服务体验。</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病情理解</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借助个人画像可视化方式呈现患者的健康数据和疾病信息，患者可以更直观地了解自己的身体状况和病情发展。在与医生沟通时，患者能够更好地理解医生的诊断和治疗建议，提高患者对治疗方案的依从性。</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患者就医历程</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可按照时间轴，回溯往年就医历程，就医记录详细罗列就诊时间、地点、科室、主治医生信息，点击任一次就医记录，可进一步查看完整的诊断报告、检查检验结果、治疗方案详情以及用药清单，清晰还原当时的就医场景。</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费用明细查询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可查询单次就医的医疗总费用、现金支付总额、基金支付总额、个人自付总额等基础数据，还可按药品、检查检验项目、治疗服务等大类细分费用构成，呈现每一项费用的医保报销比例、自付金额。便于参保人了解医保报销政策在实际就医过程中的具体应用，对自己的医疗费用支出有精准掌控。</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个人账户共济查询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能够便捷地查询个人账户共济的相关信息。在账户共济关系方面，可清晰查看已绑定的家庭成员信息，包括与自己的关系、绑定时间等，确保共济关系准确无误。在共济使用记录上，详细呈现每一次共济账户的使用情况，如使用时间、用于支付的医疗机构名称、具体的消费项目（如药品费用、检查费用等）、使用金额等。系统还会提供个人账户共济的余额信息，让参保人实时了解可用于共济的资金情况。</w:t>
      </w:r>
      <w:r/>
    </w:p>
    <w:p>
      <w:pPr>
        <w:numPr>
          <w:ilvl w:val="3"/>
          <w:numId w:val="13"/>
        </w:numPr>
        <w:ind w:firstLine="0"/>
        <w:keepLines/>
        <w:keepNext/>
        <w:spacing w:line="360" w:lineRule="auto"/>
        <w:rPr>
          <w:rFonts w:ascii="宋体" w:hAnsi="宋体" w:cs="宋体"/>
          <w:b/>
          <w:bCs/>
          <w:sz w:val="22"/>
        </w:rPr>
        <w:outlineLvl w:val="3"/>
      </w:pPr>
      <w:r>
        <w:rPr>
          <w:rFonts w:hint="eastAsia" w:ascii="宋体" w:hAnsi="宋体" w:cs="宋体"/>
          <w:b/>
          <w:bCs/>
          <w:sz w:val="22"/>
        </w:rPr>
        <w:t xml:space="preserve">居民大病待遇激励查询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依据《国务院办公厅关于健全基本医疗保险参保长效机制的指导意见》，参保人可便捷查询大病保险最高支付限额提高情况、未在居民医保集中参保期内参保或未连续参保待遇等待期情况等激励性待遇数据，直观感受持续参保带来的医疗保障实惠，进一步激发参保积极性，强化全民参保意识，切实筑牢医疗保障防线。</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我要问</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在“我要问”板块，借助“一人一档”建档画像与AI能力，快速剖析病因，助力参保人从容应对健康危机。参保人可以详细了解医保公共服务点周边详情与高频业务办理指南，用通俗语言结合个人画像精准解读医保政策，为参保人畅享优质医保服务保驾护航。</w:t>
      </w:r>
      <w:r/>
    </w:p>
    <w:p>
      <w:pPr>
        <w:keepLines/>
        <w:keepNext/>
        <w:spacing w:line="360" w:lineRule="auto"/>
        <w:rPr>
          <w:rFonts w:ascii="宋体" w:hAnsi="宋体" w:cs="宋体"/>
          <w:b/>
          <w:bCs/>
          <w:sz w:val="22"/>
        </w:rPr>
        <w:outlineLvl w:val="3"/>
      </w:pPr>
      <w:r>
        <w:rPr>
          <w:rFonts w:hint="eastAsia" w:ascii="宋体" w:hAnsi="宋体" w:cs="宋体"/>
          <w:b/>
          <w:bCs/>
          <w:sz w:val="22"/>
        </w:rPr>
        <w:t xml:space="preserve">（1）我的疾病咨询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随时在“我要问”板块发起慢特病咨询。结合参保人“一人一档”中的健康数据，结合AI能力，快速给出初步病因分析，分析结果可作为家庭医生提供健康服务的参考。筛选出与参保人情况相似的病例，以匿名形式呈现详细诊疗过程，从检查项目的选择、诊断的依据，到治疗药物的使用、康复周期的追踪，使其直观了解病情走向。依据咨询的疾病或症状，智能推送相关疾病知识科普内容，全方位提升参保人对疾病的认知水平，为守护健康筑牢根基。</w:t>
      </w:r>
      <w:r/>
    </w:p>
    <w:p>
      <w:pPr>
        <w:keepLines/>
        <w:keepNext/>
        <w:spacing w:line="360" w:lineRule="auto"/>
        <w:rPr>
          <w:rFonts w:ascii="宋体" w:hAnsi="宋体" w:cs="宋体"/>
          <w:b/>
          <w:bCs/>
          <w:sz w:val="22"/>
        </w:rPr>
        <w:outlineLvl w:val="3"/>
      </w:pPr>
      <w:r>
        <w:rPr>
          <w:rFonts w:hint="eastAsia" w:ascii="宋体" w:hAnsi="宋体" w:cs="宋体"/>
          <w:b/>
          <w:bCs/>
          <w:sz w:val="22"/>
        </w:rPr>
        <w:t xml:space="preserve">（2）医保公共服务点咨询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在“我要问”中，输入所在区域或期望前往的地点，定位出周边医保公共服务点，并详细列出各服务点的具体地址、联系电话、工作日及节假日的办公时间，确保参保人能便捷知晓服务点详情。针对不同服务点可办理的高频业务，如医保报销材料代收、异地就医备案初审等，提供详细的业务介绍与办理指南，让参保人提前了解办理流程，赋能医保公共服务更加便捷可及。</w:t>
      </w:r>
      <w:r/>
    </w:p>
    <w:p>
      <w:pPr>
        <w:keepLines/>
        <w:keepNext/>
        <w:spacing w:line="360" w:lineRule="auto"/>
        <w:rPr>
          <w:rFonts w:ascii="宋体" w:hAnsi="宋体" w:cs="宋体"/>
          <w:b/>
          <w:bCs/>
          <w:sz w:val="22"/>
        </w:rPr>
        <w:outlineLvl w:val="3"/>
      </w:pPr>
      <w:r>
        <w:rPr>
          <w:rFonts w:hint="eastAsia" w:ascii="宋体" w:hAnsi="宋体" w:cs="宋体"/>
          <w:b/>
          <w:bCs/>
          <w:sz w:val="22"/>
        </w:rPr>
        <w:t xml:space="preserve">（3）医保政策咨询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面对纷繁复杂的医保政策，参保人在诸如医保报销比例调整、门诊慢性病政策变化、大病救助申请条件等诸多问题上，都能在“我要问”得到清晰解答。系统依托大数据赋能实验室AI实时更新的医保政策库，以通俗易懂的语言解读政策要点，结合参保人个人画像中的参保类型、年龄、地域等信息，给出贴合自身情况的政策适用说明。</w:t>
      </w:r>
      <w:r/>
    </w:p>
    <w:p>
      <w:pPr>
        <w:keepLines/>
        <w:keepNext/>
        <w:spacing w:line="360" w:lineRule="auto"/>
        <w:rPr>
          <w:rFonts w:ascii="宋体" w:hAnsi="宋体" w:cs="宋体"/>
          <w:b/>
          <w:bCs/>
          <w:sz w:val="22"/>
        </w:rPr>
        <w:outlineLvl w:val="3"/>
      </w:pPr>
      <w:r>
        <w:rPr>
          <w:rFonts w:hint="eastAsia" w:ascii="宋体" w:hAnsi="宋体" w:cs="宋体"/>
          <w:b/>
          <w:bCs/>
          <w:sz w:val="22"/>
        </w:rPr>
        <w:t xml:space="preserve">（4）医保业务办理咨询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计划办理医保业务，如医保关系转移接续、新生儿医保参保登记、医保账户挂失补办等，在动手操作前，可先在“我要问”寻求帮助。通过调用大数据赋能实验室AI能力，详细介绍各项业务的办理流程，包括线上线下办理渠道、所需材料清单、办理步骤顺序；依据参保人过往办理记录（若有）及实时状态，提醒可能遇到的问题与解决方法。</w:t>
      </w:r>
      <w:r/>
    </w:p>
    <w:p>
      <w:pPr>
        <w:keepLines/>
        <w:keepNext/>
        <w:spacing w:line="360" w:lineRule="auto"/>
        <w:rPr>
          <w:rFonts w:ascii="宋体" w:hAnsi="宋体" w:cs="宋体"/>
          <w:b/>
          <w:bCs/>
          <w:sz w:val="22"/>
        </w:rPr>
        <w:outlineLvl w:val="3"/>
      </w:pPr>
      <w:r>
        <w:rPr>
          <w:rFonts w:hint="eastAsia" w:ascii="宋体" w:hAnsi="宋体" w:cs="宋体"/>
          <w:b/>
          <w:bCs/>
          <w:sz w:val="22"/>
        </w:rPr>
        <w:t xml:space="preserve">（5）我的健康咨询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赋能健康管理，自动监测参保人就医数据，依托影像云监测云信息共享，通过算法生成健康分析方案。支持图片、文字等多模态交互方式，快速响应患者症状表现、过往病史等多类关键问诊需求，通过AI智能算法分析，辅助生成病历基础信息，方便与问诊医生进行交互。</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我的家庭健康</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为参保人打造全方位守护家庭健康的便捷功能，可呈现综合信息概览，深入了解家庭成员健康详情，实时查询家庭共济情况。</w:t>
      </w:r>
      <w:r/>
    </w:p>
    <w:p>
      <w:pPr>
        <w:keepLines/>
        <w:keepNext/>
        <w:spacing w:line="360" w:lineRule="auto"/>
        <w:rPr>
          <w:rFonts w:ascii="宋体" w:hAnsi="宋体" w:cs="宋体"/>
          <w:b/>
          <w:bCs/>
          <w:sz w:val="22"/>
        </w:rPr>
        <w:outlineLvl w:val="3"/>
      </w:pPr>
      <w:r>
        <w:rPr>
          <w:rFonts w:hint="eastAsia" w:ascii="宋体" w:hAnsi="宋体" w:cs="宋体"/>
          <w:b/>
          <w:bCs/>
          <w:sz w:val="22"/>
        </w:rPr>
        <w:t xml:space="preserve">（1）综合信息概览</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一键获取家庭整体健康档案的精简概览，呈现家庭人口基本健康数据汇总，突出显示家庭中患有慢性疾病、重大疾病成员的关键健康指标趋势图，让参保人对家庭健康状况一目了然，快速把握重点关注对象。</w:t>
      </w:r>
      <w:r/>
    </w:p>
    <w:p>
      <w:pPr>
        <w:keepLines/>
        <w:keepNext/>
        <w:spacing w:line="360" w:lineRule="auto"/>
        <w:rPr>
          <w:rFonts w:ascii="宋体" w:hAnsi="宋体" w:cs="宋体"/>
          <w:b/>
          <w:bCs/>
          <w:sz w:val="22"/>
        </w:rPr>
        <w:outlineLvl w:val="3"/>
      </w:pPr>
      <w:r>
        <w:rPr>
          <w:rFonts w:hint="eastAsia" w:ascii="宋体" w:hAnsi="宋体" w:cs="宋体"/>
          <w:b/>
          <w:bCs/>
          <w:sz w:val="22"/>
        </w:rPr>
        <w:t xml:space="preserve">（2）成员详情</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从家庭画像中提取个人详细疾病信息，如病症名称、患病时长、治疗阶段，进一步关联“一人一档”就医记录，展示历次诊疗的详细情况。</w:t>
      </w:r>
      <w:r/>
    </w:p>
    <w:p>
      <w:pPr>
        <w:keepLines/>
        <w:keepNext/>
        <w:spacing w:line="360" w:lineRule="auto"/>
        <w:rPr>
          <w:rFonts w:ascii="宋体" w:hAnsi="宋体" w:cs="宋体"/>
          <w:b/>
          <w:bCs/>
          <w:sz w:val="22"/>
        </w:rPr>
        <w:outlineLvl w:val="3"/>
      </w:pPr>
      <w:r>
        <w:rPr>
          <w:rFonts w:hint="eastAsia" w:ascii="宋体" w:hAnsi="宋体" w:cs="宋体"/>
          <w:b/>
          <w:bCs/>
          <w:sz w:val="22"/>
        </w:rPr>
        <w:t xml:space="preserve">（3）家庭共济情况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可实时查询医保个人账户家庭共济账户余额、当月使用明细，包括每笔消费对应的家庭成员、就医机构、消费项目名称及金额。以可视化图表（如柱状图、折线图）方式呈现近三个月家庭共济账户资金流向，按消费类别（药品、诊疗服务、康复护理等）细分占比，使参保人清晰了解医保资金在家庭内部的分配与使用效率。</w:t>
      </w:r>
      <w:r/>
    </w:p>
    <w:p>
      <w:pPr>
        <w:numPr>
          <w:ilvl w:val="1"/>
          <w:numId w:val="13"/>
        </w:numPr>
        <w:ind w:firstLine="200"/>
        <w:keepLines/>
        <w:keepNext/>
        <w:spacing w:line="413" w:lineRule="auto"/>
        <w:tabs>
          <w:tab w:val="left" w:pos="0" w:leader="none"/>
        </w:tabs>
        <w:rPr>
          <w:rFonts w:ascii="宋体" w:hAnsi="宋体" w:cs="宋体"/>
          <w:b/>
          <w:bCs/>
          <w:sz w:val="22"/>
        </w:rPr>
        <w:outlineLvl w:val="1"/>
      </w:pPr>
      <w:r>
        <w:rPr>
          <w:rFonts w:hint="eastAsia" w:ascii="宋体" w:hAnsi="宋体" w:cs="宋体"/>
          <w:b/>
          <w:bCs/>
          <w:sz w:val="22"/>
        </w:rPr>
        <w:t xml:space="preserve">医保管理</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在医保管理板块，深度剖析参保人群的就医行为、费用支出模式、疾病分布等特征，为医保政策的精准制定与动态调整筑牢根基，确保政策贴合实际需求，具体包括门诊慢特病分析、异地就医分析、医疗机构优势资源分析和特定人群服务管理。</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门诊慢特病分析</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通过全面归集个人就医结算全量数据，精准筛选出门诊慢特病患者群体，深入分析疾病种类分布、病情发展趋势、治疗费用走势、双通道待遇等关键信息。一方面，为医保部门制定科学合理的慢特病报销政策提供详实的数据依托，精准调整报销范围与额度，确保医保基金使用效益最大化；另一方面，主动介入患者的慢病管理流程，通过定期提醒患者复诊、规范用药等方式，提升患者依从性，协助医疗机构优化慢特病诊疗服务流程，提高慢特病综合防治水平，改善慢特病患者生活质量。</w:t>
      </w:r>
      <w:r/>
    </w:p>
    <w:p>
      <w:pPr>
        <w:keepLines/>
        <w:keepNext/>
        <w:spacing w:line="360" w:lineRule="auto"/>
        <w:rPr>
          <w:rFonts w:ascii="宋体" w:hAnsi="宋体" w:cs="宋体"/>
          <w:b/>
          <w:bCs/>
          <w:sz w:val="22"/>
        </w:rPr>
        <w:outlineLvl w:val="3"/>
      </w:pPr>
      <w:r>
        <w:rPr>
          <w:rFonts w:hint="eastAsia" w:ascii="宋体" w:hAnsi="宋体" w:cs="宋体"/>
          <w:b/>
          <w:bCs/>
          <w:sz w:val="22"/>
        </w:rPr>
        <w:t xml:space="preserve">（1）疾病发展分析</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持续追踪个人画像中的历次就医诊断、检查检验结果，绘制出患者疾病发展轨迹图，直观呈现病情的演变过程，预测可能出现的并发症风险，提前为患者和医保部门预警。</w:t>
      </w:r>
      <w:r/>
    </w:p>
    <w:p>
      <w:pPr>
        <w:keepLines/>
        <w:keepNext/>
        <w:spacing w:line="360" w:lineRule="auto"/>
        <w:rPr>
          <w:rFonts w:ascii="宋体" w:hAnsi="宋体" w:cs="宋体"/>
          <w:b/>
          <w:bCs/>
          <w:sz w:val="22"/>
        </w:rPr>
        <w:outlineLvl w:val="3"/>
      </w:pPr>
      <w:r>
        <w:rPr>
          <w:rFonts w:hint="eastAsia" w:ascii="宋体" w:hAnsi="宋体" w:cs="宋体"/>
          <w:b/>
          <w:bCs/>
          <w:sz w:val="22"/>
        </w:rPr>
        <w:t xml:space="preserve">（2）费用趋势分析</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深度分析个人画像里慢特病患者的治疗费用构成，包括药品费、检查费、治疗费等各项明细，按时间序列展现费用走势，找出费用增长节点及主要驱动因素，为医保部门合理控制费用增长、优化报销政策提供关键依据。</w:t>
      </w:r>
      <w:r/>
    </w:p>
    <w:p>
      <w:pPr>
        <w:keepLines/>
        <w:keepNext/>
        <w:spacing w:line="360" w:lineRule="auto"/>
        <w:rPr>
          <w:rFonts w:ascii="宋体" w:hAnsi="宋体" w:cs="宋体"/>
          <w:b/>
          <w:bCs/>
          <w:sz w:val="22"/>
        </w:rPr>
        <w:outlineLvl w:val="3"/>
      </w:pPr>
      <w:r>
        <w:rPr>
          <w:rFonts w:hint="eastAsia" w:ascii="宋体" w:hAnsi="宋体" w:cs="宋体"/>
          <w:b/>
          <w:bCs/>
          <w:sz w:val="22"/>
        </w:rPr>
        <w:t xml:space="preserve">（3）双通道用药监管</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对双通道药品的使用进行严格监管，利用个人画像比对患者诊断、处方信息与药品适用范围，防止药品滥用、骗取医保基金等行为，保障医保资金安全。</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基层公卫医疗机构绩效评价</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辅助医保管理部门对家庭医生签约覆盖率、服务提供情况、服务质量与满意度、医保基金管理等进行绩效评价，激励基层公卫医疗机构提升服务质量和医保基金使用效能。</w:t>
      </w:r>
      <w:r/>
    </w:p>
    <w:p>
      <w:pPr>
        <w:keepLines/>
        <w:keepNext/>
        <w:spacing w:line="360" w:lineRule="auto"/>
        <w:rPr>
          <w:rFonts w:ascii="宋体" w:hAnsi="宋体" w:cs="宋体"/>
          <w:b/>
          <w:bCs/>
          <w:sz w:val="22"/>
        </w:rPr>
        <w:outlineLvl w:val="3"/>
      </w:pPr>
      <w:r>
        <w:rPr>
          <w:rFonts w:hint="eastAsia" w:ascii="宋体" w:hAnsi="宋体" w:cs="宋体"/>
          <w:b/>
          <w:bCs/>
          <w:sz w:val="22"/>
        </w:rPr>
        <w:t xml:space="preserve">（1）签约覆盖情况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考核家庭医生团队所在机构辖区内参保居民签约率，对比全省平均水平及上年度数据，评估签约广度。重点关注老年人、慢性病患者、孕产妇等重点人群签约率。</w:t>
      </w:r>
      <w:r/>
    </w:p>
    <w:p>
      <w:pPr>
        <w:keepLines/>
        <w:keepNext/>
        <w:spacing w:line="360" w:lineRule="auto"/>
        <w:rPr>
          <w:rFonts w:ascii="宋体" w:hAnsi="宋体" w:cs="宋体"/>
          <w:b/>
          <w:bCs/>
          <w:sz w:val="22"/>
        </w:rPr>
        <w:outlineLvl w:val="3"/>
      </w:pPr>
      <w:r>
        <w:rPr>
          <w:rFonts w:hint="eastAsia" w:ascii="宋体" w:hAnsi="宋体" w:cs="宋体"/>
          <w:b/>
          <w:bCs/>
          <w:sz w:val="22"/>
        </w:rPr>
        <w:t xml:space="preserve">（2）服务提供情况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一是诊疗服务，统计家庭医生团队为参保人提供日常诊疗、慢病管理、肿瘤随访等服务的数量及规范性，分析电子健康档案中诊疗记录、随访计划完成情况。二是健康管理服务，检查家庭医生团队对签约居民健康体检、健康教育、预防接种等服务开展情况，核查服务记录与 “一人一档” 数据的一致性。评估个性化健康管理方案制定及执行效果。三是分级诊疗服务，考核家庭医生团队在双向转诊中的执行力度，统计向上转诊患者的必要性、及时性及向下转诊患者的跟踪管理情况。分析转诊后患者的复诊率、满意度，评估分级诊疗服务成效。</w:t>
      </w:r>
      <w:r/>
    </w:p>
    <w:p>
      <w:pPr>
        <w:keepLines/>
        <w:keepNext/>
        <w:spacing w:line="360" w:lineRule="auto"/>
        <w:rPr>
          <w:rFonts w:ascii="宋体" w:hAnsi="宋体" w:cs="宋体"/>
          <w:b/>
          <w:bCs/>
          <w:sz w:val="22"/>
        </w:rPr>
        <w:outlineLvl w:val="3"/>
      </w:pPr>
      <w:r>
        <w:rPr>
          <w:rFonts w:hint="eastAsia" w:ascii="宋体" w:hAnsi="宋体" w:cs="宋体"/>
          <w:b/>
          <w:bCs/>
          <w:sz w:val="22"/>
        </w:rPr>
        <w:t xml:space="preserve">（3）服务质量与满意度情况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评估家庭医生团队对慢病管理服务的效果。根据参保人对家庭医生团队的评价数据，从服务态度、专业水平、解决问题效率等维度计算满意度情况，对投诉事件进行分类统计。</w:t>
      </w:r>
      <w:r/>
    </w:p>
    <w:p>
      <w:pPr>
        <w:keepLines/>
        <w:keepNext/>
        <w:spacing w:line="360" w:lineRule="auto"/>
        <w:rPr>
          <w:rFonts w:ascii="宋体" w:hAnsi="宋体" w:cs="宋体"/>
          <w:b/>
          <w:bCs/>
          <w:sz w:val="22"/>
        </w:rPr>
        <w:outlineLvl w:val="3"/>
      </w:pPr>
      <w:r>
        <w:rPr>
          <w:rFonts w:hint="eastAsia" w:ascii="宋体" w:hAnsi="宋体" w:cs="宋体"/>
          <w:b/>
          <w:bCs/>
          <w:sz w:val="22"/>
        </w:rPr>
        <w:t xml:space="preserve">（4）医保基金管理情况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对比同类基层公卫医疗机构人均医保基金支出，评估机构在保障服务质量前提下的成本控制能力。对于成本过高且无合理原因的机构做重点监控。</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特定人群服务管理</w:t>
      </w:r>
      <w:r/>
    </w:p>
    <w:p>
      <w:pPr>
        <w:ind w:firstLine="440"/>
        <w:spacing w:line="360" w:lineRule="auto"/>
        <w:tabs>
          <w:tab w:val="left" w:pos="0" w:leader="none"/>
        </w:tabs>
        <w:rPr>
          <w:rFonts w:ascii="宋体" w:hAnsi="宋体" w:cs="宋体"/>
          <w:b/>
          <w:bCs/>
          <w:sz w:val="22"/>
        </w:rPr>
      </w:pPr>
      <w:r>
        <w:rPr>
          <w:rFonts w:hint="eastAsia" w:ascii="宋体" w:hAnsi="宋体" w:cs="宋体"/>
          <w:sz w:val="22"/>
        </w:rPr>
        <w:t xml:space="preserve">聚焦医疗救助人员、流动留守儿童、百岁老人、残疾人等重点保障对象，强化参保覆盖监测与政策落实跟踪，确保医保待遇精准直达、健康管理无缝衔接，有效提升特定人群的医疗保障获得感与健康管理效能。</w:t>
      </w:r>
      <w:r/>
    </w:p>
    <w:p>
      <w:pPr>
        <w:keepLines/>
        <w:keepNext/>
        <w:spacing w:line="360" w:lineRule="auto"/>
        <w:rPr>
          <w:rFonts w:ascii="宋体" w:hAnsi="宋体" w:cs="宋体"/>
          <w:b/>
          <w:bCs/>
          <w:sz w:val="22"/>
        </w:rPr>
        <w:outlineLvl w:val="3"/>
      </w:pPr>
      <w:r>
        <w:rPr>
          <w:rFonts w:hint="eastAsia" w:ascii="宋体" w:hAnsi="宋体" w:cs="宋体"/>
          <w:b/>
          <w:bCs/>
          <w:sz w:val="22"/>
        </w:rPr>
        <w:t xml:space="preserve">（1）医疗救助人群核实</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整合民政、残联等多部门数据与医保就医结算数据，打造精准、高效的医疗救助核实机制。实时跟踪救助对象就医费用支出情况，一旦发现超出个人承受范围，迅速联合慈善组织等社会力量启动救助机制，确保救助资金及时到位。在整个救助过程中，注重信息公开透明，让救助对象清楚知晓自身权益，优化救助流程，提高救助效率，为困难群体筑牢医疗保障最后一道防线，充分体现江苏医保兜底保障功能。</w:t>
      </w:r>
      <w:r/>
    </w:p>
    <w:p>
      <w:pPr>
        <w:keepLines/>
        <w:keepNext/>
        <w:spacing w:line="360" w:lineRule="auto"/>
        <w:rPr>
          <w:rFonts w:ascii="宋体" w:hAnsi="宋体" w:cs="宋体"/>
          <w:b/>
          <w:bCs/>
          <w:sz w:val="22"/>
        </w:rPr>
        <w:outlineLvl w:val="3"/>
      </w:pPr>
      <w:r>
        <w:rPr>
          <w:rFonts w:hint="eastAsia" w:ascii="宋体" w:hAnsi="宋体" w:cs="宋体"/>
          <w:b/>
          <w:bCs/>
          <w:sz w:val="22"/>
        </w:rPr>
        <w:t xml:space="preserve">（2）流动留守儿童核实</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通过动态分析参保人家庭地址、缴费信息以及就医地点的动态变化，精准识别流动留守儿童群体，并与教育、妇联等相关部门实现信息共享。医保部门制定并实施特殊的保障措施，如简化异地就医手续、开通绿色报销通道等，确保流动留守儿童在迁徙过程中医保不中断，随时都能享受到优质、便捷的医疗服务，为他们的健康成长保驾护航，助力解决社会民生痛点问题。</w:t>
      </w:r>
      <w:r/>
    </w:p>
    <w:p>
      <w:pPr>
        <w:keepLines/>
        <w:keepNext/>
        <w:spacing w:line="360" w:lineRule="auto"/>
        <w:rPr>
          <w:rFonts w:ascii="宋体" w:hAnsi="宋体" w:cs="宋体"/>
          <w:b/>
          <w:bCs/>
          <w:sz w:val="22"/>
        </w:rPr>
        <w:outlineLvl w:val="3"/>
      </w:pPr>
      <w:r>
        <w:rPr>
          <w:rFonts w:hint="eastAsia" w:ascii="宋体" w:hAnsi="宋体" w:cs="宋体"/>
          <w:b/>
          <w:bCs/>
          <w:sz w:val="22"/>
        </w:rPr>
        <w:t xml:space="preserve">（3）百岁老人核实</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以多源数据融合为抓手，精准定位百岁老人群体及其就医需求，为他们建立专属的健康档案，详细记录健康状况、医疗服务利用情况等关键信息。协同卫健、民政等多部门力量，为百岁老人提供上门医疗服务、康复护理指导等个性化关怀措施，确保百岁老人在晚年生活中能够得到妥善的医疗照顾，提升他们的生活质量，彰显江苏医保人文关怀精神，打造具有温度的医保服务品牌。</w:t>
      </w:r>
      <w:r/>
    </w:p>
    <w:p>
      <w:pPr>
        <w:keepLines/>
        <w:keepNext/>
        <w:spacing w:line="360" w:lineRule="auto"/>
        <w:rPr>
          <w:rFonts w:ascii="宋体" w:hAnsi="宋体" w:cs="宋体"/>
          <w:b/>
          <w:bCs/>
          <w:sz w:val="22"/>
        </w:rPr>
        <w:outlineLvl w:val="3"/>
      </w:pPr>
      <w:r>
        <w:rPr>
          <w:rFonts w:hint="eastAsia" w:ascii="宋体" w:hAnsi="宋体" w:cs="宋体"/>
          <w:b/>
          <w:bCs/>
          <w:sz w:val="22"/>
        </w:rPr>
        <w:t xml:space="preserve">（4）残疾人核实</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精准锁定残疾人参保状态、残疾类型、残疾等级等关键信息。通过大数据分析，动态监测残疾人就医行为与医疗费用支出情况，针对重度残疾、多重残疾等特殊困难残疾人，一旦发现医疗费用负担过重，立即联动慈善组织、社会公益机构，提供医疗救助与帮扶。</w:t>
      </w:r>
      <w:r/>
    </w:p>
    <w:p>
      <w:pPr>
        <w:numPr>
          <w:ilvl w:val="1"/>
          <w:numId w:val="13"/>
        </w:numPr>
        <w:ind w:firstLine="200"/>
        <w:keepLines/>
        <w:keepNext/>
        <w:spacing w:line="413" w:lineRule="auto"/>
        <w:tabs>
          <w:tab w:val="left" w:pos="0" w:leader="none"/>
        </w:tabs>
        <w:rPr>
          <w:rFonts w:ascii="宋体" w:hAnsi="宋体" w:cs="宋体"/>
          <w:b/>
          <w:bCs/>
          <w:sz w:val="22"/>
        </w:rPr>
        <w:outlineLvl w:val="1"/>
      </w:pPr>
      <w:r>
        <w:rPr>
          <w:rFonts w:hint="eastAsia" w:ascii="宋体" w:hAnsi="宋体" w:cs="宋体"/>
          <w:b/>
          <w:bCs/>
          <w:sz w:val="22"/>
        </w:rPr>
        <w:t xml:space="preserve">公共卫生联动</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在公共卫生联动板块，进一步强化医保与公共卫生服务的协同合作，包括家庭医生签约、影像云检验云信息共享，通过整合多方资源，实现数据互通共享，推动医疗服务提质增效。</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家庭医生签约</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可通过系统便捷查询家庭签约服务协议详细内容，获取家庭医生团队的相关信息，及时跟踪个人电子健康档案的建立情况，清晰知晓家庭医生团队提供的基本卫生健康服务，从多维度进行评价，评价结果直接关联家庭医生绩效考核，推动家庭医疗服务质量持续优化升级。</w:t>
      </w:r>
      <w:r/>
    </w:p>
    <w:p>
      <w:pPr>
        <w:keepLines/>
        <w:keepNext/>
        <w:spacing w:line="360" w:lineRule="auto"/>
        <w:rPr>
          <w:rFonts w:ascii="宋体" w:hAnsi="宋体" w:cs="宋体"/>
          <w:b/>
          <w:bCs/>
          <w:sz w:val="22"/>
        </w:rPr>
        <w:outlineLvl w:val="3"/>
      </w:pPr>
      <w:r>
        <w:rPr>
          <w:rFonts w:hint="eastAsia" w:ascii="宋体" w:hAnsi="宋体" w:cs="宋体"/>
          <w:b/>
          <w:bCs/>
          <w:sz w:val="22"/>
        </w:rPr>
        <w:t xml:space="preserve">（1）服务协议签订情况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提供查询家庭签约服务协议签订情况的功能，参保人可以详细了解家庭医生团队的资质、服务内容、服务周期、双方权利义务等关键信息，确保服务协议签订的真实性、有效性和可追溯性，为后续服务的有序开展奠定坚实基础。</w:t>
      </w:r>
      <w:r/>
    </w:p>
    <w:p>
      <w:pPr>
        <w:keepLines/>
        <w:keepNext/>
        <w:spacing w:line="360" w:lineRule="auto"/>
        <w:rPr>
          <w:rFonts w:ascii="宋体" w:hAnsi="宋体" w:cs="宋体"/>
          <w:b/>
          <w:bCs/>
          <w:sz w:val="22"/>
        </w:rPr>
        <w:outlineLvl w:val="3"/>
      </w:pPr>
      <w:r>
        <w:rPr>
          <w:rFonts w:hint="eastAsia" w:ascii="宋体" w:hAnsi="宋体" w:cs="宋体"/>
          <w:b/>
          <w:bCs/>
          <w:sz w:val="22"/>
        </w:rPr>
        <w:t xml:space="preserve">（2）电子健康档案建立情况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居民签约后，家庭医生为其建立电子健康档案，以居民身份证为唯一校验索引，及时、准确归集和整理签约居民的基本信息、健康体检、检查检验、诊疗记录和随访服务等信息，实行家庭医生归口管理。参保人可以随时了解个人健康档案的动态更新和维护情况，确保健康档案的客观真实、完整连续。</w:t>
      </w:r>
      <w:r/>
    </w:p>
    <w:p>
      <w:pPr>
        <w:keepLines/>
        <w:keepNext/>
        <w:spacing w:line="360" w:lineRule="auto"/>
        <w:rPr>
          <w:rFonts w:ascii="宋体" w:hAnsi="宋体" w:cs="宋体"/>
          <w:b/>
          <w:bCs/>
          <w:sz w:val="22"/>
        </w:rPr>
        <w:outlineLvl w:val="3"/>
      </w:pPr>
      <w:r>
        <w:rPr>
          <w:rFonts w:hint="eastAsia" w:ascii="宋体" w:hAnsi="宋体" w:cs="宋体"/>
          <w:b/>
          <w:bCs/>
          <w:sz w:val="22"/>
        </w:rPr>
        <w:t xml:space="preserve">（3）家庭医生健康服务情况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可以及时了解家庭医生团队为参保人提供的全方位、全周期基本卫生健康服务情况，包括优先预约转诊、保障长期处方用药、居家医疗服务、个性化签约服务等。家庭医生能根据参保人的就医需求，提供精准的转诊服务，协助联系上级医疗机构，实现分级诊疗的高效衔接。</w:t>
      </w:r>
      <w:r/>
    </w:p>
    <w:p>
      <w:pPr>
        <w:keepLines/>
        <w:keepNext/>
        <w:spacing w:line="360" w:lineRule="auto"/>
        <w:rPr>
          <w:rFonts w:ascii="宋体" w:hAnsi="宋体" w:cs="宋体"/>
          <w:b/>
          <w:bCs/>
          <w:sz w:val="22"/>
        </w:rPr>
        <w:outlineLvl w:val="3"/>
      </w:pPr>
      <w:r>
        <w:rPr>
          <w:rFonts w:hint="eastAsia" w:ascii="宋体" w:hAnsi="宋体" w:cs="宋体"/>
          <w:b/>
          <w:bCs/>
          <w:sz w:val="22"/>
        </w:rPr>
        <w:t xml:space="preserve">（4）家庭医生评价</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可向家庭医生发起咨询，能实时获取家庭医生专业且针对性的解答，如针对慢性病患者的用药调整、康复训练指导。参保人在每次接受家庭医生服务后，可在此板块对服务质量进行评价，从沟通态度、专业水平、解决问题效率等多维度打分并留言，评价结果将作为家庭医生绩效考核、服务优化的关键依据，推动家庭医疗服务持续提升。</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影像云检验云信息共享</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建立统一的数据标准和接口规范，对接影像云、检验云，及时获取参保人在各级医疗机构产生的影像检查的检验检测结果，使这些数据成为个人健康档案的重要组成部分。</w:t>
      </w:r>
      <w:r/>
    </w:p>
    <w:p>
      <w:pPr>
        <w:keepLines/>
        <w:keepNext/>
        <w:spacing w:line="360" w:lineRule="auto"/>
        <w:rPr>
          <w:rFonts w:ascii="宋体" w:hAnsi="宋体" w:cs="宋体"/>
          <w:b/>
          <w:bCs/>
          <w:sz w:val="22"/>
        </w:rPr>
        <w:outlineLvl w:val="3"/>
      </w:pPr>
      <w:r>
        <w:rPr>
          <w:rFonts w:hint="eastAsia" w:ascii="宋体" w:hAnsi="宋体" w:cs="宋体"/>
          <w:b/>
          <w:bCs/>
          <w:sz w:val="22"/>
        </w:rPr>
        <w:t xml:space="preserve">（1）影像云信息共享</w:t>
      </w:r>
      <w:r/>
    </w:p>
    <w:p>
      <w:pPr>
        <w:ind w:firstLine="440"/>
        <w:spacing w:line="360" w:lineRule="auto"/>
        <w:tabs>
          <w:tab w:val="left" w:pos="0" w:leader="none"/>
        </w:tabs>
        <w:rPr>
          <w:rFonts w:ascii="宋体" w:hAnsi="宋体" w:cs="宋体"/>
          <w:b/>
          <w:bCs/>
          <w:sz w:val="22"/>
        </w:rPr>
      </w:pPr>
      <w:r>
        <w:rPr>
          <w:rFonts w:hint="eastAsia" w:ascii="宋体" w:hAnsi="宋体" w:cs="宋体"/>
          <w:sz w:val="22"/>
        </w:rPr>
        <w:t xml:space="preserve">参保人可以随时了解个人过往的影像检查记录和电子版X光、CT胶片等详细内容，精准对比病情变化，对自身健康状况有更清晰的了解，避免就医时重复做检查，节省时间的同时减轻经济负担。</w:t>
      </w:r>
      <w:r/>
    </w:p>
    <w:p>
      <w:pPr>
        <w:keepLines/>
        <w:keepNext/>
        <w:spacing w:line="360" w:lineRule="auto"/>
        <w:rPr>
          <w:rFonts w:ascii="宋体" w:hAnsi="宋体" w:cs="宋体"/>
          <w:b/>
          <w:bCs/>
          <w:sz w:val="22"/>
        </w:rPr>
        <w:outlineLvl w:val="3"/>
      </w:pPr>
      <w:r>
        <w:rPr>
          <w:rFonts w:hint="eastAsia" w:ascii="宋体" w:hAnsi="宋体" w:cs="宋体"/>
          <w:b/>
          <w:bCs/>
          <w:sz w:val="22"/>
        </w:rPr>
        <w:t xml:space="preserve">（2）检验云信息共享</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参保人可以随时了解个人过往的血常规、生化检查等历史检验记录和详细内容，跟踪各项指标的变化趋势。医院就医时，有助于医生快速了解病情，避免重复检验。</w:t>
      </w:r>
      <w:r/>
    </w:p>
    <w:p>
      <w:pPr>
        <w:numPr>
          <w:ilvl w:val="1"/>
          <w:numId w:val="13"/>
        </w:numPr>
        <w:ind w:firstLine="200"/>
        <w:keepLines/>
        <w:keepNext/>
        <w:spacing w:line="413" w:lineRule="auto"/>
        <w:tabs>
          <w:tab w:val="left" w:pos="0" w:leader="none"/>
        </w:tabs>
        <w:rPr>
          <w:rFonts w:ascii="宋体" w:hAnsi="宋体" w:cs="宋体"/>
          <w:b/>
          <w:bCs/>
          <w:sz w:val="22"/>
        </w:rPr>
        <w:outlineLvl w:val="1"/>
      </w:pPr>
      <w:r>
        <w:rPr>
          <w:rFonts w:hint="eastAsia" w:ascii="宋体" w:hAnsi="宋体" w:cs="宋体"/>
          <w:b/>
          <w:bCs/>
          <w:sz w:val="22"/>
        </w:rPr>
        <w:t xml:space="preserve">全民参保功能拓展</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2025年4月，国家医疗保障局网络安全和信息化领导小组办公室关于印发《“一人一档”全民参保数据库建设一期技术方案》的通知，江苏省局根据技术方案要求进一步完善本地“一人一档”全民参保数据库功能。</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延伸管理服务</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在中心端系统中，延伸管理服务，通过一村（社区）一档、一企一档、一户一档和一校一档的档案数据对村居、企业、家庭和学校的参保情况进行监测，健全参保长效机制。</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虚拟拨号</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在基层服务平台中，基层经办人员可以通过凭条对未参保人员进行虚拟拨号，号码显示为设区市医保局。</w:t>
      </w:r>
      <w:r/>
    </w:p>
    <w:p>
      <w:pPr>
        <w:numPr>
          <w:ilvl w:val="2"/>
          <w:numId w:val="13"/>
        </w:numPr>
        <w:ind w:firstLine="0"/>
        <w:keepLines/>
        <w:keepNext/>
        <w:spacing w:line="360" w:lineRule="auto"/>
        <w:rPr>
          <w:rFonts w:ascii="宋体" w:hAnsi="宋体" w:cs="宋体"/>
          <w:b/>
          <w:bCs/>
          <w:sz w:val="22"/>
        </w:rPr>
        <w:outlineLvl w:val="2"/>
      </w:pPr>
      <w:r>
        <w:rPr>
          <w:rFonts w:hint="eastAsia" w:ascii="宋体" w:hAnsi="宋体" w:cs="宋体"/>
          <w:b/>
          <w:bCs/>
          <w:sz w:val="22"/>
        </w:rPr>
        <w:t xml:space="preserve">数据上传及查询</w:t>
      </w:r>
      <w:r/>
    </w:p>
    <w:p>
      <w:pPr>
        <w:keepLines/>
        <w:keepNext/>
        <w:spacing w:line="360" w:lineRule="auto"/>
        <w:rPr>
          <w:rFonts w:ascii="宋体" w:hAnsi="宋体" w:cs="宋体"/>
          <w:b/>
          <w:bCs/>
          <w:sz w:val="22"/>
        </w:rPr>
        <w:outlineLvl w:val="3"/>
      </w:pPr>
      <w:r>
        <w:rPr>
          <w:rFonts w:hint="eastAsia" w:ascii="宋体" w:hAnsi="宋体" w:cs="宋体"/>
          <w:b/>
          <w:bCs/>
          <w:sz w:val="22"/>
        </w:rPr>
        <w:t xml:space="preserve">（1）调查数据上传</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根据国家局相关的工作要求，省级部门通过系统接口方式上传调查数据，具体接口技术规范标准由国家局统一制定下发。</w:t>
      </w:r>
      <w:r/>
    </w:p>
    <w:p>
      <w:pPr>
        <w:keepLines/>
        <w:keepNext/>
        <w:spacing w:line="360" w:lineRule="auto"/>
        <w:rPr>
          <w:rFonts w:ascii="宋体" w:hAnsi="宋体" w:cs="宋体"/>
          <w:b/>
          <w:bCs/>
          <w:sz w:val="22"/>
        </w:rPr>
        <w:outlineLvl w:val="3"/>
      </w:pPr>
      <w:r>
        <w:rPr>
          <w:rFonts w:hint="eastAsia" w:ascii="宋体" w:hAnsi="宋体" w:cs="宋体"/>
          <w:b/>
          <w:bCs/>
          <w:sz w:val="22"/>
        </w:rPr>
        <w:t xml:space="preserve">（2）数据批量查询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设区市经办机构在实际操作中出现数据存疑的情况，通过批量查询接口定向查询国家局“一人一档”库中相关数据进行确认。</w:t>
      </w:r>
      <w:r/>
    </w:p>
    <w:p>
      <w:pPr>
        <w:keepLines/>
        <w:keepNext/>
        <w:spacing w:line="576" w:lineRule="auto"/>
        <w:tabs>
          <w:tab w:val="left" w:pos="0" w:leader="none"/>
        </w:tabs>
        <w:rPr>
          <w:rFonts w:ascii="幼圆" w:hAnsi="幼圆" w:eastAsia="幼圆" w:cs="幼圆"/>
          <w:b/>
          <w:sz w:val="28"/>
          <w:szCs w:val="28"/>
        </w:rPr>
        <w:outlineLvl w:val="0"/>
      </w:pPr>
      <w:r>
        <w:rPr>
          <w:rFonts w:hint="eastAsia" w:ascii="幼圆" w:hAnsi="幼圆" w:eastAsia="幼圆" w:cs="幼圆"/>
          <w:b/>
          <w:sz w:val="28"/>
          <w:szCs w:val="28"/>
        </w:rPr>
        <w:t xml:space="preserve">四、商务条款</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（一）服务期</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1.项目实施工期：合同签订之日起6个月内完成全部功能开发上线。</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2.项目服务期：2年（项目通过验收后起算）。</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（二）预算说明</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项目预算包含投标人开展本项目工作所需一切费用（投标人与其他系统对接费用包含在本次项目预算中，采购人协调解决其他系统承建单位免费配合提供对接技术支持）。</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（三）货款支付</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签订合同后支付合同总价50%；项目验收合格并交付使用后，支付至合同价款的90%；项目验收合格满1年，支付至合同价款的100%。</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（四）履约保证金</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本项目履约保证金为合同总价的5%，中标人应在合同签订前以电子履约保函（保险）的形式提交给采购人，中标人未缴纳履约保证金的，采购人有权拒绝签订书面合同。</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履约保证金在项目验收合格并交付使用，且中标人无任何违约责任的情况下退还（不计息）。如中标人违反合同规定，采购人有权根据合同条款从履约保证金中扣除相应的违约金额。中标人因自身原因未能完全履行合同的，履约保证金不予退回。</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（五）投标货币</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人民币。</w:t>
      </w:r>
      <w:r/>
    </w:p>
    <w:p>
      <w:pPr>
        <w:keepLines/>
        <w:keepNext/>
        <w:spacing w:line="576" w:lineRule="auto"/>
        <w:tabs>
          <w:tab w:val="left" w:pos="0" w:leader="none"/>
        </w:tabs>
        <w:rPr>
          <w:rFonts w:ascii="幼圆" w:hAnsi="幼圆" w:eastAsia="幼圆" w:cs="幼圆"/>
          <w:b/>
          <w:sz w:val="28"/>
          <w:szCs w:val="28"/>
        </w:rPr>
        <w:outlineLvl w:val="0"/>
      </w:pPr>
      <w:r>
        <w:rPr>
          <w:rFonts w:hint="eastAsia" w:ascii="幼圆" w:hAnsi="幼圆" w:eastAsia="幼圆" w:cs="幼圆"/>
          <w:b/>
          <w:sz w:val="28"/>
          <w:szCs w:val="28"/>
        </w:rPr>
        <w:t xml:space="preserve">五、技术要求</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（一）需求分析要求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投标人需根据本项目开展需求调研，全面深入了解“一人一档”全民参保数据库升级项目现状和发展趋势，提供需求分析报告，包括但不限于对项目总体目标、实现途径的理解和认识，项目建设总体思路，分析建设重难点问题并提出相应的解决方案。</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（二）总体设计要求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本项目建设内容在江苏省医保信息平台统一应用系统基础上进行升级改造，江苏省医保信息平台统一应用系统基于国家局HSAF技术架构建设，代码、接口等都无条件进行开放。</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投标人需根据招标需求提供本项目总体设计方案，总体设计需要遵循国家医保信息平台整体建设要求及各项标准，结合江苏省医保信息平台建设现状，满足招标需求要求，符合国家相关设计标准。总体设计方案包括但不限于总体架构、技术架构、数据架构等内容。</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（三）功能设计要求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投标人需根据招标文件采购需求第三章建设内容，围绕实际医保业务场景，聚焦提升系统性能和用户体验，提供以下功能设计方案，包括但不限于功能说明、业务流程、界面设计等内容：</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1.提供建档画像功能设计方案。</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2.提供个人健康功能设计方案。</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3.提供医保管理功能设计方案。</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4.提供公共卫生联动功能设计方案。</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5.提供全民参保拓展功能设计方案。</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（四）性能指标要求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1.本项目应严格遵循国家医疗保障信息平台标准体系。</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本项目支持访问的总用户数大于3000万人，并发数不低于200次/秒；交互类业务平均响应时间不大于1秒，查询类业务平均响应时间不大于2秒，交易接口类单条记录平均响应时间不大于1秒，多条记录（100条）平均响应时间不大于3秒。</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3.本项目要求全年稳定连续运行，系统稳定性不小于99.999%。</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4.本项目建设的软件系统或平台须全面适配国产化环境，包括但不限于国产主流操作系统（如统信UOS、麒麟等）、国产CPU（如鲲鹏、飞腾、龙芯、海光、兆芯、申威等）及国产数据库（如达梦、人大金仓、神通等），确保在指定国产软硬件平台上安全稳定运行、功能完全兼容。</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（五）安全设计要求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投标人须严格按照国家医疗保障局《医保信息系统安全开发规范》等医保信息平台建设标准规范要求，制定详细的项目安全方案，包括但不限于安全需求分析、在应用安全和数据安全方面采取的安全措施、应急处置等方面内容，保证项目能够安全、平稳、高效运行。</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投标人须无条件承诺，在项目建设及运维全生命周期内，严格配合采购人（或其委托机构）依据国家密码管理规范及《数据安全法》等法律法规开展密码应用安全性评估与数据安全风险评估。投标人应提供全面技术支持和必要配合（含文档、权限开放、测试配合、整改落实等）。因投标人未履行配合义务导致评估延误或未达目标的，由其承担全部责任。</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本项目建设需满足《信息安全技术网络安全等级保护基本要求》（GB/T22239-2019）文件（等保2.0）第三级安全要求。采购人对本项目组织实施三级等保测评时，投标人需按照采购人要求提供等保测评所需资料，并根据渗透测试的结果进行应用系统的修复及完善。</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4.项目上线前，需按照采购人要求，由采购人指定的安全运营团队进行源代码安全扫描，并及时对发现的漏洞进行修复。</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5.项目上线后，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（六）应急响应要求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投标人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（七）软件测评要求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1.投标人应确保本项目通过软件测评，未能提供软件测评报告的，采购人有权不予验收。</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2.项目上线前，采购人将指定第三方软件测评机构进行软件测评，投标人应予以配合，并及时对测评中发现的问题进行整改。</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3.如第一次软件测评未通过，需开展二次及以上次数软件测评，所需费用由投标人自行承担。</w:t>
      </w:r>
      <w:r/>
    </w:p>
    <w:p>
      <w:pPr>
        <w:keepLines/>
        <w:keepNext/>
        <w:spacing w:line="576" w:lineRule="auto"/>
        <w:tabs>
          <w:tab w:val="left" w:pos="0" w:leader="none"/>
        </w:tabs>
        <w:rPr>
          <w:rFonts w:ascii="幼圆" w:hAnsi="幼圆" w:eastAsia="幼圆" w:cs="幼圆"/>
          <w:b/>
          <w:sz w:val="28"/>
          <w:szCs w:val="28"/>
        </w:rPr>
        <w:outlineLvl w:val="0"/>
      </w:pPr>
      <w:r>
        <w:rPr>
          <w:rFonts w:hint="eastAsia" w:ascii="幼圆" w:hAnsi="幼圆" w:eastAsia="幼圆" w:cs="幼圆"/>
          <w:b/>
          <w:sz w:val="28"/>
          <w:szCs w:val="28"/>
        </w:rPr>
        <w:t xml:space="preserve">六、其他要求</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（一）项目管理要求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投标人需提供项目管理方案，包括但不限于项目人员名单（投标人安排的项目人员必须固定，若有替换，必须与采购人协商，否则由投标人承担相关责任）及角色分工、项目管理标准、质量保证、实施计划、变更管理、风险管理等内容，以对整个项目实施过程及各环节起到科学有效的控制、监督和保障作用，确保项目实施的质量和效率。</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投标人需服从采购人及其指定的总集服务团队对项目团队的管理和考核，包括但不限于人员考勤、项目全生命周期管理（含项目工单、需求、造价评估、计划、任务、测试用例、缺陷、版本、代码上传、代码扫描、持续集成、持续部署、第三方测试、验收、过程文档等活动）、开发终端安全接入管理等内容。</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（二）履约能力要求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投标人应当投入充足的技术力量保证本项目顺利实施，项目实施团队成员人数不少于10人，其中项目经理（限1名）需具有软件开发项目管理专业能力和类似信息系统开发项目管理经验，具有信息系统项目管理师证书或类似项目管理证书，实施团队人员（不包括项目经理）整体需具备类似信息系统软件项目开发能力证书和开发经验。</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投标人需提供项目实施团队人员名单（包括签订的正式劳动合同和近半年内任一自然月的社保缴费证明）及其资质证明材料扫描件或复印件并加盖公章。</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项目实施期间人员名单原则上不得调整，如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3.如项目实施团队成员不能有效完成采购人工作要求，自采购人提出更换要求之日起，中标人需在5个工作日内更换为符合要求的人员。</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4.投标人需提供以下服务能力证明材料：</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（1）企业资信：包括软件著作权证书、体系认证证书、服务资质证书等；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（2）人员配备：包括项目人员组成、项目经理从业情况、人员证书等；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（3）类似业绩：包括与本项目类似的信息系统开发项目案例等。</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（三）项目培训要求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1.投标人需提供项目相关交付内容的培训方案，包括但不限于培训计划、培训方式、培训对象（江苏省医保局、各设区市医保局）、培训内容等。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2.投标人需按照采购人要求提供免费的现场培训和线上培训，确保被培训人员全面了解和掌握本项目所涉及的基本原理、技术特性、操作使用、管理维护等内容。</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3.投标人为所有被培训人员提供培训使用的教材讲义、操作指南等相关材料。</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（四）项目文档要求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投标人应按要求向采购人提供完备的项目文档资料（纸质文件和电子资料各1套），以满足系统应用、管理及运行维护等需要。包括但不限于：</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1.项目管理类文档：《项目管理方案》《进度实施和任务分类》《质量管理计划》《项目进度报告》《需求变更文件》等。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2.系统应用设计类文档：《需求规格说明书》《概要设计说明书》《详细设计说明书》等。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3.测试类文档：《测试方案》《测试用例》《测试报告》等。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4.验收类文档：《验收方案》《验收报告》等。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5.培训类文档：《培训方案》《培训手册》《培训纪录》等。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6.安全性类文档：《安全设计方案》《应急响应方案》等。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7.运维类文档：《运维周报》《故障处置报告》等。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采购人将指定总集服务团队或第三方监理团队进行文档资料的检查和审核，投标人应予以配合，并在要求期限内对文档资料中发现的问题进行整改。</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（五）项目验收要求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1.投标人需在投标文件中承诺，如果本项目未完成验收前，由于相关政策调整导致业务需求或技术标准发生变化，应按照最新政策完成本项目建设。（投标人需提供承诺函并加盖公章）</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2.投标人在项目上线平稳运行1个月后，向采购人提交验收申请，并提供以下验收材料，包括但不限于：项目实施方案、项目合同、项目招投标文件、项目建设相关文档、软件测评报告、安全测试报告等。</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3.采购人同意验收后，投标人需按照采购人指定的验收时间、方式、程序等要求，配合完成验收工作。</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4.采购人出具的验收报告未明确认定验收合格的，不视为验收合格。采购人要求整改的地方，投标人应在采购人要求的期限内完成整改。</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5.在项目开发过程中出现性能指标或功能上不符合标书和合同要求时，由投标人负责解决，采购人有权拒绝验收并保留依法依规追究投标人责任的权利。</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（六）售后服务要求</w:t>
      </w:r>
      <w:r/>
    </w:p>
    <w:p>
      <w:pPr>
        <w:keepLines/>
        <w:keepNext/>
        <w:spacing w:line="360" w:lineRule="auto"/>
        <w:rPr>
          <w:rFonts w:ascii="宋体" w:hAnsi="宋体" w:cs="宋体"/>
          <w:b/>
          <w:bCs/>
          <w:sz w:val="22"/>
        </w:rPr>
        <w:outlineLvl w:val="2"/>
      </w:pPr>
      <w:r>
        <w:rPr>
          <w:rFonts w:hint="eastAsia" w:ascii="宋体" w:hAnsi="宋体" w:cs="宋体"/>
          <w:b/>
          <w:bCs/>
          <w:sz w:val="22"/>
        </w:rPr>
        <w:t xml:space="preserve">1.总体要求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（1）项目通过验收后进入免费运维期，免费运维期为期2年。</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（2）投标人在投标文件中应提供运维服务方案，包括但不限于运维内容、运维流程、运维方式、服务质量保障等内容。</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投标人应在进入免费运维期前安排至少2人专门负责本项目的运维工作，提供7*24小时技术支持和服务。投标人必须保证运维人员原则上为建设期间团队成员，且不得随意更换，如需更换至少提前1个月向采购人申请，采购人同意后方可更换。</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（4）投标人需在投标文件中承诺在免费运维期结束后提供相关有偿维护服务，运维服务内容和标准均与免费维保期内相同，且年维护费用不得超过本项目中标金额的10%。（投标人需提供承诺函并加盖公章）。</w:t>
      </w:r>
      <w:r/>
    </w:p>
    <w:p>
      <w:pPr>
        <w:keepLines/>
        <w:keepNext/>
        <w:spacing w:line="360" w:lineRule="auto"/>
        <w:rPr>
          <w:rFonts w:ascii="宋体" w:hAnsi="宋体" w:cs="宋体"/>
          <w:b/>
          <w:bCs/>
          <w:sz w:val="22"/>
        </w:rPr>
        <w:outlineLvl w:val="2"/>
      </w:pPr>
      <w:r>
        <w:rPr>
          <w:rFonts w:hint="eastAsia" w:ascii="宋体" w:hAnsi="宋体" w:cs="宋体"/>
          <w:b/>
          <w:bCs/>
          <w:sz w:val="22"/>
        </w:rPr>
        <w:t xml:space="preserve">2.运维内容</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包括但不限于以下内容：</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（1）及时协调解决用户投诉及故障问题，每日开展运行情况分析，持续优化系统性能。</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（2）确保本项目应用系统现有功能、接口和服务能满足采购人实际工作需要，及时改正系统使用过程中发现的缺陷问题。</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（3）根据采购人的实际业务开展需求，在规定时间节点内对本项目进行应用拓展，并纳入统一运维管理。</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（4）根据采购人的实际需求，在采购人的统筹安排和组织下开展技术培训和应用培训。</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5）在采购人及其指定的总集服务团队的统筹安排下，协助开展网络故障排查、性能评估与调优等相关基础设施环境的维保工作，提出系统资源分配与效率改进、软件配置规划和性能优化、系统容量预测等方面优化建议。</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（6）在采购人及其指定的总集服务团队的统筹安排下，配合做好等保测评、渗透测试、安全演练等相关工作。</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（7）根据采购人要求，提供7*24小时无间断现场重保服务。</w:t>
      </w:r>
      <w:r/>
    </w:p>
    <w:p>
      <w:pPr>
        <w:keepLines/>
        <w:keepNext/>
        <w:spacing w:line="360" w:lineRule="auto"/>
        <w:rPr>
          <w:rFonts w:ascii="宋体" w:hAnsi="宋体" w:cs="宋体"/>
          <w:b/>
          <w:bCs/>
          <w:sz w:val="22"/>
        </w:rPr>
        <w:outlineLvl w:val="2"/>
      </w:pPr>
      <w:r>
        <w:rPr>
          <w:rFonts w:hint="eastAsia" w:ascii="宋体" w:hAnsi="宋体" w:cs="宋体"/>
          <w:b/>
          <w:bCs/>
          <w:sz w:val="22"/>
        </w:rPr>
        <w:t xml:space="preserve">3.服务响应时间</w:t>
      </w:r>
      <w:r/>
    </w:p>
    <w:tbl>
      <w:tblPr>
        <w:tblStyle w:val="739"/>
        <w:tblW w:w="4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3504"/>
        <w:gridCol w:w="1828"/>
        <w:gridCol w:w="846"/>
        <w:gridCol w:w="1136"/>
      </w:tblGrid>
      <w:tr>
        <w:trPr>
          <w:jc w:val="center"/>
        </w:trPr>
        <w:tc>
          <w:tcPr>
            <w:tcW w:w="686" w:type="pct"/>
            <w:vAlign w:val="center"/>
            <w:textDirection w:val="lrTb"/>
            <w:noWrap w:val="false"/>
          </w:tcPr>
          <w:p>
            <w:pPr>
              <w:jc w:val="center"/>
              <w:rPr>
                <w:rFonts w:eastAsia="方正黑体_GBK"/>
                <w:sz w:val="24"/>
                <w:szCs w:val="28"/>
              </w:rPr>
            </w:pPr>
            <w:r>
              <w:rPr>
                <w:rFonts w:hint="eastAsia" w:eastAsia="方正黑体_GBK"/>
                <w:sz w:val="24"/>
                <w:szCs w:val="28"/>
              </w:rPr>
              <w:t xml:space="preserve">故障等级</w:t>
            </w:r>
            <w:r/>
          </w:p>
        </w:tc>
        <w:tc>
          <w:tcPr>
            <w:tcW w:w="2067" w:type="pct"/>
            <w:vAlign w:val="center"/>
            <w:textDirection w:val="lrTb"/>
            <w:noWrap w:val="false"/>
          </w:tcPr>
          <w:p>
            <w:pPr>
              <w:jc w:val="center"/>
              <w:rPr>
                <w:rFonts w:eastAsia="方正黑体_GBK"/>
                <w:sz w:val="24"/>
                <w:szCs w:val="28"/>
              </w:rPr>
            </w:pPr>
            <w:r>
              <w:rPr>
                <w:rFonts w:hint="eastAsia" w:eastAsia="方正黑体_GBK"/>
                <w:sz w:val="24"/>
                <w:szCs w:val="28"/>
              </w:rPr>
              <w:t xml:space="preserve">现象描述</w:t>
            </w:r>
            <w:r/>
          </w:p>
        </w:tc>
        <w:tc>
          <w:tcPr>
            <w:tcW w:w="1078" w:type="pct"/>
            <w:vAlign w:val="center"/>
            <w:textDirection w:val="lrTb"/>
            <w:noWrap w:val="false"/>
          </w:tcPr>
          <w:p>
            <w:pPr>
              <w:jc w:val="center"/>
              <w:rPr>
                <w:rFonts w:eastAsia="方正黑体_GBK"/>
                <w:sz w:val="24"/>
                <w:szCs w:val="28"/>
              </w:rPr>
            </w:pPr>
            <w:r>
              <w:rPr>
                <w:rFonts w:hint="eastAsia" w:eastAsia="方正黑体_GBK"/>
                <w:sz w:val="24"/>
                <w:szCs w:val="28"/>
              </w:rPr>
              <w:t xml:space="preserve">时段</w:t>
            </w:r>
            <w:r/>
          </w:p>
        </w:tc>
        <w:tc>
          <w:tcPr>
            <w:tcW w:w="499" w:type="pct"/>
            <w:vAlign w:val="center"/>
            <w:textDirection w:val="lrTb"/>
            <w:noWrap w:val="false"/>
          </w:tcPr>
          <w:p>
            <w:pPr>
              <w:jc w:val="center"/>
              <w:rPr>
                <w:rFonts w:eastAsia="方正黑体_GBK"/>
                <w:sz w:val="24"/>
                <w:szCs w:val="28"/>
              </w:rPr>
            </w:pPr>
            <w:r>
              <w:rPr>
                <w:rFonts w:hint="eastAsia" w:eastAsia="方正黑体_GBK"/>
                <w:sz w:val="24"/>
                <w:szCs w:val="28"/>
              </w:rPr>
              <w:t xml:space="preserve">响应时间</w:t>
            </w:r>
            <w:r/>
          </w:p>
        </w:tc>
        <w:tc>
          <w:tcPr>
            <w:tcW w:w="670" w:type="pct"/>
            <w:vAlign w:val="center"/>
            <w:textDirection w:val="lrTb"/>
            <w:noWrap w:val="false"/>
          </w:tcPr>
          <w:p>
            <w:pPr>
              <w:jc w:val="center"/>
              <w:rPr>
                <w:rFonts w:eastAsia="方正黑体_GBK"/>
                <w:sz w:val="24"/>
                <w:szCs w:val="28"/>
              </w:rPr>
            </w:pPr>
            <w:r>
              <w:rPr>
                <w:rFonts w:hint="eastAsia" w:eastAsia="方正黑体_GBK"/>
                <w:sz w:val="24"/>
                <w:szCs w:val="28"/>
              </w:rPr>
              <w:t xml:space="preserve">故障解决时间</w:t>
            </w:r>
            <w:r/>
          </w:p>
        </w:tc>
      </w:tr>
      <w:tr>
        <w:trPr>
          <w:jc w:val="center"/>
          <w:trHeight w:val="429"/>
        </w:trPr>
        <w:tc>
          <w:tcPr>
            <w:tcW w:w="686" w:type="pct"/>
            <w:vAlign w:val="center"/>
            <w:vMerge w:val="restart"/>
            <w:textDirection w:val="lrTb"/>
            <w:noWrap w:val="false"/>
          </w:tcPr>
          <w:p>
            <w:pPr>
              <w:tabs>
                <w:tab w:val="left" w:pos="0" w:leader="none"/>
              </w:tabs>
              <w:rPr>
                <w:rFonts w:ascii="宋体" w:hAnsi="宋体" w:cs="宋体"/>
                <w:sz w:val="22"/>
              </w:rPr>
            </w:pPr>
            <w:r>
              <w:rPr>
                <w:rFonts w:hint="eastAsia" w:ascii="宋体" w:hAnsi="宋体" w:cs="宋体"/>
                <w:sz w:val="22"/>
              </w:rPr>
              <w:t xml:space="preserve">一级故障</w:t>
            </w:r>
            <w:r/>
          </w:p>
        </w:tc>
        <w:tc>
          <w:tcPr>
            <w:tcW w:w="2067" w:type="pct"/>
            <w:vAlign w:val="center"/>
            <w:vMerge w:val="restart"/>
            <w:textDirection w:val="lrTb"/>
            <w:noWrap w:val="false"/>
          </w:tcPr>
          <w:p>
            <w:pPr>
              <w:tabs>
                <w:tab w:val="left" w:pos="0" w:leader="none"/>
              </w:tabs>
              <w:rPr>
                <w:rFonts w:ascii="宋体" w:hAnsi="宋体" w:cs="宋体"/>
                <w:sz w:val="22"/>
              </w:rPr>
            </w:pPr>
            <w:r>
              <w:rPr>
                <w:rFonts w:hint="eastAsia" w:ascii="宋体" w:hAnsi="宋体" w:cs="宋体"/>
                <w:sz w:val="22"/>
              </w:rPr>
              <w:t xml:space="preserve">投标人所运维的项目，出现全省系统瘫痪，或数据丢失故障。</w:t>
            </w:r>
            <w:r/>
          </w:p>
        </w:tc>
        <w:tc>
          <w:tcPr>
            <w:tcW w:w="1078"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7:00-20:00</w:t>
            </w:r>
            <w:r/>
          </w:p>
        </w:tc>
        <w:tc>
          <w:tcPr>
            <w:tcW w:w="499"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3分钟</w:t>
            </w:r>
            <w:r/>
          </w:p>
        </w:tc>
        <w:tc>
          <w:tcPr>
            <w:tcW w:w="670"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15分钟</w:t>
            </w:r>
            <w:r/>
          </w:p>
        </w:tc>
      </w:tr>
      <w:tr>
        <w:trPr>
          <w:jc w:val="center"/>
        </w:trPr>
        <w:tc>
          <w:tcPr>
            <w:tcW w:w="686" w:type="pct"/>
            <w:vAlign w:val="center"/>
            <w:vMerge w:val="continue"/>
            <w:textDirection w:val="lrTb"/>
            <w:noWrap w:val="false"/>
          </w:tcPr>
          <w:p>
            <w:pPr>
              <w:tabs>
                <w:tab w:val="left" w:pos="0" w:leader="none"/>
              </w:tabs>
              <w:rPr>
                <w:rFonts w:ascii="宋体" w:hAnsi="宋体" w:cs="宋体"/>
                <w:sz w:val="22"/>
              </w:rPr>
            </w:pPr>
            <w:r>
              <w:rPr>
                <w:rFonts w:ascii="宋体" w:hAnsi="宋体" w:cs="宋体"/>
                <w:sz w:val="22"/>
              </w:rPr>
            </w:r>
            <w:r/>
          </w:p>
        </w:tc>
        <w:tc>
          <w:tcPr>
            <w:tcW w:w="2067" w:type="pct"/>
            <w:vAlign w:val="center"/>
            <w:vMerge w:val="continue"/>
            <w:textDirection w:val="lrTb"/>
            <w:noWrap w:val="false"/>
          </w:tcPr>
          <w:p>
            <w:pPr>
              <w:tabs>
                <w:tab w:val="left" w:pos="0" w:leader="none"/>
              </w:tabs>
              <w:rPr>
                <w:rFonts w:ascii="宋体" w:hAnsi="宋体" w:cs="宋体"/>
                <w:sz w:val="22"/>
              </w:rPr>
            </w:pPr>
            <w:r>
              <w:rPr>
                <w:rFonts w:ascii="宋体" w:hAnsi="宋体" w:cs="宋体"/>
                <w:sz w:val="22"/>
              </w:rPr>
            </w:r>
            <w:r/>
          </w:p>
        </w:tc>
        <w:tc>
          <w:tcPr>
            <w:tcW w:w="1078"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20:00-次日7:00</w:t>
            </w:r>
            <w:r/>
          </w:p>
        </w:tc>
        <w:tc>
          <w:tcPr>
            <w:tcW w:w="499"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5分钟</w:t>
            </w:r>
            <w:r/>
          </w:p>
        </w:tc>
        <w:tc>
          <w:tcPr>
            <w:tcW w:w="670"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20分钟</w:t>
            </w:r>
            <w:r/>
          </w:p>
        </w:tc>
      </w:tr>
      <w:tr>
        <w:trPr>
          <w:jc w:val="center"/>
          <w:trHeight w:val="599"/>
        </w:trPr>
        <w:tc>
          <w:tcPr>
            <w:tcW w:w="686" w:type="pct"/>
            <w:vAlign w:val="center"/>
            <w:vMerge w:val="restart"/>
            <w:textDirection w:val="lrTb"/>
            <w:noWrap w:val="false"/>
          </w:tcPr>
          <w:p>
            <w:pPr>
              <w:tabs>
                <w:tab w:val="left" w:pos="0" w:leader="none"/>
              </w:tabs>
              <w:rPr>
                <w:rFonts w:ascii="宋体" w:hAnsi="宋体" w:cs="宋体"/>
                <w:sz w:val="22"/>
              </w:rPr>
            </w:pPr>
            <w:r>
              <w:rPr>
                <w:rFonts w:hint="eastAsia" w:ascii="宋体" w:hAnsi="宋体" w:cs="宋体"/>
                <w:sz w:val="22"/>
              </w:rPr>
              <w:t xml:space="preserve">二级故障</w:t>
            </w:r>
            <w:r/>
          </w:p>
        </w:tc>
        <w:tc>
          <w:tcPr>
            <w:tcW w:w="2067" w:type="pct"/>
            <w:vAlign w:val="center"/>
            <w:vMerge w:val="restart"/>
            <w:textDirection w:val="lrTb"/>
            <w:noWrap w:val="false"/>
          </w:tcPr>
          <w:p>
            <w:pPr>
              <w:tabs>
                <w:tab w:val="left" w:pos="0" w:leader="none"/>
              </w:tabs>
              <w:rPr>
                <w:rFonts w:ascii="宋体" w:hAnsi="宋体" w:cs="宋体"/>
                <w:sz w:val="22"/>
              </w:rPr>
            </w:pPr>
            <w:r>
              <w:rPr>
                <w:rFonts w:hint="eastAsia" w:ascii="宋体" w:hAnsi="宋体" w:cs="宋体"/>
                <w:sz w:val="22"/>
              </w:rPr>
              <w:t xml:space="preserve">投标人所运维的项目，在一个及以上设区市出现系统瘫痪故障。</w:t>
            </w:r>
            <w:r/>
          </w:p>
        </w:tc>
        <w:tc>
          <w:tcPr>
            <w:tcW w:w="1078"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7:00-20:00</w:t>
            </w:r>
            <w:r/>
          </w:p>
        </w:tc>
        <w:tc>
          <w:tcPr>
            <w:tcW w:w="499"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3分钟</w:t>
            </w:r>
            <w:r/>
          </w:p>
        </w:tc>
        <w:tc>
          <w:tcPr>
            <w:tcW w:w="670"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20分钟</w:t>
            </w:r>
            <w:r/>
          </w:p>
        </w:tc>
      </w:tr>
      <w:tr>
        <w:trPr>
          <w:jc w:val="center"/>
        </w:trPr>
        <w:tc>
          <w:tcPr>
            <w:tcW w:w="686" w:type="pct"/>
            <w:vAlign w:val="center"/>
            <w:vMerge w:val="continue"/>
            <w:textDirection w:val="lrTb"/>
            <w:noWrap w:val="false"/>
          </w:tcPr>
          <w:p>
            <w:pPr>
              <w:tabs>
                <w:tab w:val="left" w:pos="0" w:leader="none"/>
              </w:tabs>
              <w:rPr>
                <w:rFonts w:ascii="宋体" w:hAnsi="宋体" w:cs="宋体"/>
                <w:sz w:val="22"/>
              </w:rPr>
            </w:pPr>
            <w:r>
              <w:rPr>
                <w:rFonts w:ascii="宋体" w:hAnsi="宋体" w:cs="宋体"/>
                <w:sz w:val="22"/>
              </w:rPr>
            </w:r>
            <w:r/>
          </w:p>
        </w:tc>
        <w:tc>
          <w:tcPr>
            <w:tcW w:w="2067" w:type="pct"/>
            <w:vAlign w:val="center"/>
            <w:vMerge w:val="continue"/>
            <w:textDirection w:val="lrTb"/>
            <w:noWrap w:val="false"/>
          </w:tcPr>
          <w:p>
            <w:pPr>
              <w:tabs>
                <w:tab w:val="left" w:pos="0" w:leader="none"/>
              </w:tabs>
              <w:rPr>
                <w:rFonts w:ascii="宋体" w:hAnsi="宋体" w:cs="宋体"/>
                <w:sz w:val="22"/>
              </w:rPr>
            </w:pPr>
            <w:r>
              <w:rPr>
                <w:rFonts w:ascii="宋体" w:hAnsi="宋体" w:cs="宋体"/>
                <w:sz w:val="22"/>
              </w:rPr>
            </w:r>
            <w:r/>
          </w:p>
        </w:tc>
        <w:tc>
          <w:tcPr>
            <w:tcW w:w="1078"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20:00-次日7:00</w:t>
            </w:r>
            <w:r/>
          </w:p>
        </w:tc>
        <w:tc>
          <w:tcPr>
            <w:tcW w:w="499"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5分钟</w:t>
            </w:r>
            <w:r/>
          </w:p>
        </w:tc>
        <w:tc>
          <w:tcPr>
            <w:tcW w:w="670"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30分钟</w:t>
            </w:r>
            <w:r/>
          </w:p>
        </w:tc>
      </w:tr>
      <w:tr>
        <w:trPr>
          <w:jc w:val="center"/>
          <w:trHeight w:val="449"/>
        </w:trPr>
        <w:tc>
          <w:tcPr>
            <w:tcW w:w="686" w:type="pct"/>
            <w:vAlign w:val="center"/>
            <w:vMerge w:val="restart"/>
            <w:textDirection w:val="lrTb"/>
            <w:noWrap w:val="false"/>
          </w:tcPr>
          <w:p>
            <w:pPr>
              <w:tabs>
                <w:tab w:val="left" w:pos="0" w:leader="none"/>
              </w:tabs>
              <w:rPr>
                <w:rFonts w:ascii="宋体" w:hAnsi="宋体" w:cs="宋体"/>
                <w:sz w:val="22"/>
              </w:rPr>
            </w:pPr>
            <w:r>
              <w:rPr>
                <w:rFonts w:hint="eastAsia" w:ascii="宋体" w:hAnsi="宋体" w:cs="宋体"/>
                <w:sz w:val="22"/>
              </w:rPr>
              <w:t xml:space="preserve">三级故障</w:t>
            </w:r>
            <w:r/>
          </w:p>
        </w:tc>
        <w:tc>
          <w:tcPr>
            <w:tcW w:w="2067" w:type="pct"/>
            <w:vAlign w:val="center"/>
            <w:vMerge w:val="restart"/>
            <w:textDirection w:val="lrTb"/>
            <w:noWrap w:val="false"/>
          </w:tcPr>
          <w:p>
            <w:pPr>
              <w:tabs>
                <w:tab w:val="left" w:pos="0" w:leader="none"/>
              </w:tabs>
              <w:rPr>
                <w:rFonts w:ascii="宋体" w:hAnsi="宋体" w:cs="宋体"/>
                <w:sz w:val="22"/>
              </w:rPr>
            </w:pPr>
            <w:r>
              <w:rPr>
                <w:rFonts w:hint="eastAsia" w:ascii="宋体" w:hAnsi="宋体" w:cs="宋体"/>
                <w:sz w:val="22"/>
              </w:rPr>
              <w:t xml:space="preserve">投标人所运维的项目，在全省出现卡顿、延迟等运行效率下降故障。</w:t>
            </w:r>
            <w:r/>
          </w:p>
        </w:tc>
        <w:tc>
          <w:tcPr>
            <w:tcW w:w="1078"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7:00-20:00</w:t>
            </w:r>
            <w:r/>
          </w:p>
        </w:tc>
        <w:tc>
          <w:tcPr>
            <w:tcW w:w="499"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3分钟</w:t>
            </w:r>
            <w:r/>
          </w:p>
        </w:tc>
        <w:tc>
          <w:tcPr>
            <w:tcW w:w="670"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30分钟</w:t>
            </w:r>
            <w:r/>
          </w:p>
        </w:tc>
      </w:tr>
      <w:tr>
        <w:trPr>
          <w:jc w:val="center"/>
        </w:trPr>
        <w:tc>
          <w:tcPr>
            <w:tcW w:w="686" w:type="pct"/>
            <w:vAlign w:val="center"/>
            <w:vMerge w:val="continue"/>
            <w:textDirection w:val="lrTb"/>
            <w:noWrap w:val="false"/>
          </w:tcPr>
          <w:p>
            <w:pPr>
              <w:tabs>
                <w:tab w:val="left" w:pos="0" w:leader="none"/>
              </w:tabs>
              <w:rPr>
                <w:rFonts w:ascii="宋体" w:hAnsi="宋体" w:cs="宋体"/>
                <w:sz w:val="22"/>
              </w:rPr>
            </w:pPr>
            <w:r>
              <w:rPr>
                <w:rFonts w:ascii="宋体" w:hAnsi="宋体" w:cs="宋体"/>
                <w:sz w:val="22"/>
              </w:rPr>
            </w:r>
            <w:r/>
          </w:p>
        </w:tc>
        <w:tc>
          <w:tcPr>
            <w:tcW w:w="2067" w:type="pct"/>
            <w:vAlign w:val="center"/>
            <w:vMerge w:val="continue"/>
            <w:textDirection w:val="lrTb"/>
            <w:noWrap w:val="false"/>
          </w:tcPr>
          <w:p>
            <w:pPr>
              <w:tabs>
                <w:tab w:val="left" w:pos="0" w:leader="none"/>
              </w:tabs>
              <w:rPr>
                <w:rFonts w:ascii="宋体" w:hAnsi="宋体" w:cs="宋体"/>
                <w:sz w:val="22"/>
              </w:rPr>
            </w:pPr>
            <w:r>
              <w:rPr>
                <w:rFonts w:ascii="宋体" w:hAnsi="宋体" w:cs="宋体"/>
                <w:sz w:val="22"/>
              </w:rPr>
            </w:r>
            <w:r/>
          </w:p>
        </w:tc>
        <w:tc>
          <w:tcPr>
            <w:tcW w:w="1078"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20:00-次日7:00</w:t>
            </w:r>
            <w:r/>
          </w:p>
        </w:tc>
        <w:tc>
          <w:tcPr>
            <w:tcW w:w="499"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5分钟</w:t>
            </w:r>
            <w:r/>
          </w:p>
        </w:tc>
        <w:tc>
          <w:tcPr>
            <w:tcW w:w="670"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1小时</w:t>
            </w:r>
            <w:r/>
          </w:p>
        </w:tc>
      </w:tr>
      <w:tr>
        <w:trPr>
          <w:jc w:val="center"/>
          <w:trHeight w:val="467"/>
        </w:trPr>
        <w:tc>
          <w:tcPr>
            <w:tcW w:w="686" w:type="pct"/>
            <w:vAlign w:val="center"/>
            <w:vMerge w:val="restart"/>
            <w:textDirection w:val="lrTb"/>
            <w:noWrap w:val="false"/>
          </w:tcPr>
          <w:p>
            <w:pPr>
              <w:tabs>
                <w:tab w:val="left" w:pos="0" w:leader="none"/>
              </w:tabs>
              <w:rPr>
                <w:rFonts w:ascii="宋体" w:hAnsi="宋体" w:cs="宋体"/>
                <w:sz w:val="22"/>
              </w:rPr>
            </w:pPr>
            <w:r>
              <w:rPr>
                <w:rFonts w:hint="eastAsia" w:ascii="宋体" w:hAnsi="宋体" w:cs="宋体"/>
                <w:sz w:val="22"/>
              </w:rPr>
              <w:t xml:space="preserve">四级故障</w:t>
            </w:r>
            <w:r/>
          </w:p>
        </w:tc>
        <w:tc>
          <w:tcPr>
            <w:tcW w:w="2067" w:type="pct"/>
            <w:vAlign w:val="center"/>
            <w:vMerge w:val="restart"/>
            <w:textDirection w:val="lrTb"/>
            <w:noWrap w:val="false"/>
          </w:tcPr>
          <w:p>
            <w:pPr>
              <w:tabs>
                <w:tab w:val="left" w:pos="0" w:leader="none"/>
              </w:tabs>
              <w:rPr>
                <w:rFonts w:ascii="宋体" w:hAnsi="宋体" w:cs="宋体"/>
                <w:sz w:val="22"/>
              </w:rPr>
            </w:pPr>
            <w:r>
              <w:rPr>
                <w:rFonts w:hint="eastAsia" w:ascii="宋体" w:hAnsi="宋体" w:cs="宋体"/>
                <w:sz w:val="22"/>
              </w:rPr>
              <w:t xml:space="preserve">投标人所运维的项目，在一个及以上设区市出现卡顿、延迟等运行效率下降故障。</w:t>
            </w:r>
            <w:r/>
          </w:p>
        </w:tc>
        <w:tc>
          <w:tcPr>
            <w:tcW w:w="1078"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7:00-20:00</w:t>
            </w:r>
            <w:r/>
          </w:p>
        </w:tc>
        <w:tc>
          <w:tcPr>
            <w:tcW w:w="499"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3分钟</w:t>
            </w:r>
            <w:r/>
          </w:p>
        </w:tc>
        <w:tc>
          <w:tcPr>
            <w:tcW w:w="670"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30分钟</w:t>
            </w:r>
            <w:r/>
          </w:p>
        </w:tc>
      </w:tr>
      <w:tr>
        <w:trPr>
          <w:jc w:val="center"/>
        </w:trPr>
        <w:tc>
          <w:tcPr>
            <w:tcW w:w="686" w:type="pct"/>
            <w:vAlign w:val="center"/>
            <w:vMerge w:val="continue"/>
            <w:textDirection w:val="lrTb"/>
            <w:noWrap w:val="false"/>
          </w:tcPr>
          <w:p>
            <w:pPr>
              <w:tabs>
                <w:tab w:val="left" w:pos="0" w:leader="none"/>
              </w:tabs>
              <w:rPr>
                <w:rFonts w:ascii="宋体" w:hAnsi="宋体" w:cs="宋体"/>
                <w:sz w:val="22"/>
              </w:rPr>
            </w:pPr>
            <w:r>
              <w:rPr>
                <w:rFonts w:ascii="宋体" w:hAnsi="宋体" w:cs="宋体"/>
                <w:sz w:val="22"/>
              </w:rPr>
            </w:r>
            <w:r/>
          </w:p>
        </w:tc>
        <w:tc>
          <w:tcPr>
            <w:tcW w:w="2067" w:type="pct"/>
            <w:vAlign w:val="center"/>
            <w:vMerge w:val="continue"/>
            <w:textDirection w:val="lrTb"/>
            <w:noWrap w:val="false"/>
          </w:tcPr>
          <w:p>
            <w:pPr>
              <w:tabs>
                <w:tab w:val="left" w:pos="0" w:leader="none"/>
              </w:tabs>
              <w:rPr>
                <w:rFonts w:ascii="宋体" w:hAnsi="宋体" w:cs="宋体"/>
                <w:sz w:val="22"/>
              </w:rPr>
            </w:pPr>
            <w:r>
              <w:rPr>
                <w:rFonts w:ascii="宋体" w:hAnsi="宋体" w:cs="宋体"/>
                <w:sz w:val="22"/>
              </w:rPr>
            </w:r>
            <w:r/>
          </w:p>
        </w:tc>
        <w:tc>
          <w:tcPr>
            <w:tcW w:w="1078"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20:00-次日7:00</w:t>
            </w:r>
            <w:r/>
          </w:p>
        </w:tc>
        <w:tc>
          <w:tcPr>
            <w:tcW w:w="499"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5分钟</w:t>
            </w:r>
            <w:r/>
          </w:p>
        </w:tc>
        <w:tc>
          <w:tcPr>
            <w:tcW w:w="670" w:type="pct"/>
            <w:vAlign w:val="center"/>
            <w:textDirection w:val="lrTb"/>
            <w:noWrap w:val="false"/>
          </w:tcPr>
          <w:p>
            <w:pPr>
              <w:jc w:val="center"/>
              <w:tabs>
                <w:tab w:val="left" w:pos="0" w:leader="none"/>
              </w:tabs>
              <w:rPr>
                <w:rFonts w:ascii="宋体" w:hAnsi="宋体" w:cs="宋体"/>
                <w:sz w:val="22"/>
              </w:rPr>
            </w:pPr>
            <w:r>
              <w:rPr>
                <w:rFonts w:hint="eastAsia" w:ascii="宋体" w:hAnsi="宋体" w:cs="宋体"/>
                <w:sz w:val="22"/>
              </w:rPr>
              <w:t xml:space="preserve">1.5小时</w:t>
            </w:r>
            <w:r/>
          </w:p>
        </w:tc>
      </w:tr>
    </w:tbl>
    <w:p>
      <w:pPr>
        <w:ind w:firstLine="440"/>
        <w:spacing w:line="360" w:lineRule="auto"/>
        <w:tabs>
          <w:tab w:val="left" w:pos="0" w:leader="none"/>
        </w:tabs>
        <w:rPr>
          <w:rFonts w:ascii="宋体" w:hAnsi="宋体" w:cs="宋体"/>
          <w:sz w:val="22"/>
        </w:rPr>
      </w:pPr>
      <w:r>
        <w:rPr>
          <w:rFonts w:hint="eastAsia" w:ascii="宋体" w:hAnsi="宋体" w:cs="宋体"/>
          <w:sz w:val="22"/>
        </w:rPr>
        <w:t xml:space="preserve">运维人员在解决故障时，要最大限度保护数据，将系统恢复到故障点前的业务状态，同时做好故障恢复文档记录。如果不能在30分钟内解决故障，要启动应急预案，并在故障解决后24小时内，提交故障处置报告，说明故障种类、故障原因、故障解决中使用的方法及故障损失等，并梳理形成详细运维服务文档，方便分析问题，保证工作交接延续性。</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因系统漏洞、运行监控和风险排查不到位、运维人员操作不当等供应商原因，引发系统故障或数据丢失、泄露，未在故障解决时限内完成处理或引发重大社会舆情的，将按照医保信息平台相关管理规定在考核评价中扣分，并承担相应违约责任。（详见合同文本第十一条违约责任条款）。</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（七）知识产权要求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投标人需在投标文件中承诺在本项目建设和运维期间的任何时候，只要采购人提出提交本项目的各种项目文档、源代码，投标人都要在5个工作日之内按采购人要求完整提交，提交的源代码应当可编译运行并与项目建设内容一致。采购人有权委托第三方使用本项目中涉及的资料（包括程序源代码、数据库、项目文档等）进行二次开发。（投标人需提供承诺函并加盖公章）</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投标人需在投标文件中承诺提供给采购人使用的产品及服务或其中的任何一部分，免受第三方提出的侵犯其知识产权的索赔或诉讼。如有任何上述指控，投标人应独自承担可能发生的一切法律责任和费用。（投标人需提供承诺函并加盖公章）</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（八）保密要求</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1.投标人须对本项目技术文件、采购人提供的所有内部资料、技术文档、系统数据（包含原始数据和衍生数据）和信息予以保密。投标人必须与采购人签订保密协议和外包网络安全协议，并严格遵守。</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2.投标人提供的项目实施团队和运维团队成员须签订保密承诺书，承诺内容需得到采购人认可，并与保密协议和外包网络安全协议一并提交给采购人。</w:t>
      </w:r>
      <w:r/>
    </w:p>
    <w:p>
      <w:pPr>
        <w:ind w:left="200"/>
        <w:keepLines/>
        <w:keepNext/>
        <w:spacing w:line="413" w:lineRule="auto"/>
        <w:tabs>
          <w:tab w:val="left" w:pos="0" w:leader="none"/>
        </w:tabs>
        <w:rPr>
          <w:rFonts w:ascii="宋体" w:hAnsi="宋体" w:cs="宋体"/>
          <w:b/>
          <w:sz w:val="22"/>
        </w:rPr>
        <w:outlineLvl w:val="1"/>
      </w:pPr>
      <w:r>
        <w:rPr>
          <w:rFonts w:hint="eastAsia" w:ascii="宋体" w:hAnsi="宋体" w:cs="宋体"/>
          <w:b/>
          <w:sz w:val="22"/>
        </w:rPr>
        <w:t xml:space="preserve">（九）功能演示要求</w:t>
      </w:r>
      <w:r/>
    </w:p>
    <w:p>
      <w:pPr>
        <w:keepLines/>
        <w:keepNext/>
        <w:spacing w:line="360" w:lineRule="auto"/>
        <w:rPr>
          <w:rFonts w:ascii="宋体" w:hAnsi="宋体" w:cs="宋体"/>
          <w:b/>
          <w:bCs/>
          <w:sz w:val="22"/>
        </w:rPr>
        <w:outlineLvl w:val="2"/>
      </w:pPr>
      <w:r>
        <w:rPr>
          <w:rFonts w:hint="eastAsia" w:ascii="宋体" w:hAnsi="宋体" w:cs="宋体"/>
          <w:b/>
          <w:bCs/>
          <w:sz w:val="22"/>
        </w:rPr>
        <w:t xml:space="preserve">1.演示方式：上传视频演示。</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投标人需按招标文件要求制作演示视频文件，视频文件的格式为*.mp4或*.avi，须将视频文件分段压缩为*.zip文件上传（单个文件不得大于50M，所有文件总共不得大于300M）。文件上传方式见《操作手册》规定，上传的演示视频将作为投标文件的组成部分，视频时长总计不超过5分钟。</w:t>
      </w:r>
      <w:r/>
    </w:p>
    <w:p>
      <w:pPr>
        <w:keepLines/>
        <w:keepNext/>
        <w:spacing w:line="360" w:lineRule="auto"/>
        <w:rPr>
          <w:rFonts w:ascii="宋体" w:hAnsi="宋体" w:cs="宋体"/>
          <w:b/>
          <w:bCs/>
          <w:sz w:val="22"/>
        </w:rPr>
        <w:outlineLvl w:val="2"/>
      </w:pPr>
      <w:r>
        <w:rPr>
          <w:rFonts w:hint="eastAsia" w:ascii="宋体" w:hAnsi="宋体" w:cs="宋体"/>
          <w:b/>
          <w:bCs/>
          <w:sz w:val="22"/>
        </w:rPr>
        <w:t xml:space="preserve">2.投标人需提供真实系统或demo，演示内容如下：</w:t>
      </w:r>
      <w:r/>
    </w:p>
    <w:p>
      <w:pPr>
        <w:keepLines/>
        <w:keepNext/>
        <w:spacing w:line="360" w:lineRule="auto"/>
        <w:rPr>
          <w:rFonts w:ascii="宋体" w:hAnsi="宋体" w:cs="宋体"/>
          <w:b/>
          <w:bCs/>
          <w:sz w:val="22"/>
        </w:rPr>
        <w:outlineLvl w:val="3"/>
      </w:pPr>
      <w:r>
        <w:rPr>
          <w:rFonts w:hint="eastAsia" w:ascii="宋体" w:hAnsi="宋体" w:cs="宋体"/>
          <w:b/>
          <w:bCs/>
          <w:sz w:val="22"/>
        </w:rPr>
        <w:t xml:space="preserve">2.1建档画像</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（1）个人画像演示：演示个人信息、家庭关系、参保情况、就医地分布标签。在个人信息标签中，以虚拟人体图呈现基本信息、个账余额、近一年最多10条就医记录构成的疾病情况、特殊身份标</w:t>
      </w:r>
      <w:r>
        <w:rPr>
          <w:rFonts w:hint="eastAsia" w:ascii="宋体" w:hAnsi="宋体" w:cs="宋体"/>
          <w:sz w:val="22"/>
        </w:rPr>
        <w:t xml:space="preserve">签等信息。点击疾病情况，展示疾病的详细信息及该疾病基础治疗路径；在家庭关系标签中，查询展示人员对应的家庭成员关系图谱以及医保个账共济记录。点击图谱成员，可以显示家庭关系成员的基础信息、缴费信息、消费信息及个账消费信息等；在参保情况标签中，呈现个人参保轨迹，包含当前参保状态、参保险种，按时间轴展示历年参保记录，依参保地分析就业流动区域，参保轨迹按时间倒序。点击参保记录展示该地区的缴费资金情况、缴费基数信息等；就医地分布标签中，展现参保人历次就医结算记录对应的医疗机构所属地。点击对应机构，展现该机构的基础信息。</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家庭画像演示：演示个人信息、家庭信息、个人就业情况、个人缴费情况标签。在个人信息标签中，可呈现家庭成员列表，点击选定的任一成员，便能展示其详细疾病信息，精准聚焦个体健康状况；在家庭信息标签中，涵盖户主详情、人口数量统计，以及困难家庭、困难人员的精准识别与数量统计，勾勒家庭整体概貌；在个人就业情况标签中，聚焦于展示被选中成员参保地状况，关联就业与医保参保地域联系；在个人缴费情况标签中，通过呈现选中成员近5年医保缴费详情，反映其医保投入轨迹。</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企业画像演示：演示企业信息、年龄性别结构、参保人数变化趋势、缴费情况标签。在企业信息标签中，涵盖当前企业名称、编号、规模、性质等基础要点，为企业画像奠定基石；在人员结构标签中，通过年龄性别结构板块，分18-30岁、31-40岁等多年龄段展示参保人数，以及区分男女呈现参保情况与占比；在参保人数变化趋势标签中，动态呈现企业当年各月在职、新参保、退保人数走向，有助于把握人员流动态势；在缴费情况标签中，实时展示当年各月缴费状态，按年统计近几年欠缴月数，精准反映企业缴费履约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（4）村社区画像演示：演示村社区医保公共服务点办件情况、参保险种分析、“一老一小”参保占比、户籍参保率趋势标签。在村社区医保公共服务点标</w:t>
      </w:r>
      <w:r>
        <w:rPr>
          <w:rFonts w:hint="eastAsia" w:ascii="宋体" w:hAnsi="宋体" w:cs="宋体"/>
          <w:sz w:val="22"/>
        </w:rPr>
        <w:t xml:space="preserve">签，展示办理情况类数据（办件量、办件人次、高频办件事项倒序排列），点击高频办事项，展示能够展示该事项的具体详细统计情况。为村社区医保政策优化、资源分配提供详实的数据支撑；在参保险种分析标签中，精确呈现职工参保人数、居民参保人数及其对应的增长率，清晰展现参保动态；在“一老一小”参保占比标签中，计算3周岁及以下与70周岁及以上人群在村社区全部参保人数中的占比，凸显特殊年龄段参保情况；在户籍参保率趋势标签中，直观展示户籍人数及户籍参保率，细化到本地户籍参保、外地参保等多种情形的统计，精准反映本地户籍人群参保全貌。</w:t>
      </w:r>
      <w:r/>
    </w:p>
    <w:p>
      <w:pPr>
        <w:keepLines/>
        <w:keepNext/>
        <w:spacing w:line="360" w:lineRule="auto"/>
        <w:rPr>
          <w:rFonts w:ascii="宋体" w:hAnsi="宋体" w:cs="宋体"/>
          <w:b/>
          <w:bCs/>
          <w:sz w:val="22"/>
        </w:rPr>
        <w:outlineLvl w:val="3"/>
      </w:pPr>
      <w:r>
        <w:rPr>
          <w:rFonts w:hint="eastAsia" w:ascii="宋体" w:hAnsi="宋体" w:cs="宋体"/>
          <w:b/>
          <w:bCs/>
          <w:sz w:val="22"/>
        </w:rPr>
        <w:t xml:space="preserve">2.2个人健康</w:t>
      </w:r>
      <w:r/>
    </w:p>
    <w:p>
      <w:pPr>
        <w:ind w:firstLine="440"/>
        <w:spacing w:line="360" w:lineRule="auto"/>
        <w:tabs>
          <w:tab w:val="left" w:pos="0" w:leader="none"/>
        </w:tabs>
        <w:rPr>
          <w:rFonts w:ascii="宋体" w:hAnsi="宋体" w:cs="宋体"/>
          <w:b/>
          <w:bCs/>
          <w:sz w:val="22"/>
        </w:rPr>
      </w:pPr>
      <w:r>
        <w:rPr>
          <w:rFonts w:hint="eastAsia" w:ascii="宋体" w:hAnsi="宋体" w:cs="宋体"/>
          <w:b/>
          <w:bCs/>
          <w:sz w:val="22"/>
        </w:rPr>
        <w:t xml:space="preserve">2.2.1我要查</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患者就医历程演示：参保人可按照时间轴，回溯往年就医历程，就医记录详细罗列就诊时间、地点、科室、主治医生信息，点击任一次就医记录，可进一步查看完整的诊断报告、检查检验结果、治疗方案详情以及用药清单，清晰还原当时的就医场景。</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费用明细查询演示：参保人可查询单次就医的医疗总费用、现金支付总额、基金支付总额、个人自付总额等基础数据，还可按药品、检查检验项目、治疗服务等大类细分费用构成，点击呈现每一项费用的医保报销比例、自付金额。便于参保人了解医保报销政策在实际就医过程中的具体应用，对自己的医疗费用支出有精准掌控。</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居民大病待遇激励查询：参保人可便捷查询大病保险最高支付限额提高情况、未在居民医保集中参保期内参保或未连续参保待遇等待期情况等激励性待遇数据，直观感受持续参保带来的医疗保障实惠，进一步激发参保积极性，强化全民参保意识，切实筑牢医疗保障防线。</w:t>
      </w:r>
      <w:r/>
    </w:p>
    <w:p>
      <w:pPr>
        <w:ind w:firstLine="440"/>
        <w:spacing w:line="360" w:lineRule="auto"/>
        <w:tabs>
          <w:tab w:val="left" w:pos="0" w:leader="none"/>
        </w:tabs>
        <w:rPr>
          <w:rFonts w:ascii="宋体" w:hAnsi="宋体" w:cs="宋体"/>
          <w:b/>
          <w:bCs/>
          <w:sz w:val="22"/>
        </w:rPr>
      </w:pPr>
      <w:r>
        <w:rPr>
          <w:rFonts w:hint="eastAsia" w:ascii="宋体" w:hAnsi="宋体" w:cs="宋体"/>
          <w:b/>
          <w:bCs/>
          <w:sz w:val="22"/>
        </w:rPr>
        <w:t xml:space="preserve">2.2.2我的家庭健康</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1）综合信息概览演示：一键获取家庭整体健康档案的精简概览，呈现家庭人口基本健康数据汇总，突出显示家庭中患有慢性疾病、重大疾病成员的关键健康指标趋势图，点击相关疾病，可以展现相关疾病的医保政策信息，让参保人对家庭健康状况一目了然，快速把握重点关注对象。</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（2）成员详情演示：从家庭画像中提取个人详细疾病信息，如病症名称、患病时长、治疗阶段，进一步关联“一人一档”就医记录，点击展示历次诊疗的详细情况。</w:t>
      </w:r>
      <w:r/>
    </w:p>
    <w:p>
      <w:pPr>
        <w:ind w:firstLine="440"/>
        <w:spacing w:line="360" w:lineRule="auto"/>
        <w:tabs>
          <w:tab w:val="left" w:pos="0" w:leader="none"/>
        </w:tabs>
        <w:rPr>
          <w:rFonts w:ascii="宋体" w:hAnsi="宋体" w:cs="宋体"/>
          <w:sz w:val="22"/>
        </w:rPr>
      </w:pPr>
      <w:r>
        <w:rPr>
          <w:rFonts w:hint="eastAsia" w:ascii="宋体" w:hAnsi="宋体" w:cs="宋体"/>
          <w:sz w:val="22"/>
        </w:rPr>
        <w:t xml:space="preserve">（3）家庭共济情况演示：参保人可实时查询医保个人账户家庭共济账户余额、当月使用明细，包括每笔消费对应的家庭成员、就医机构、消费项目名称及金额。以可视化图表（如柱状图、折线图）方式呈现近三个月家庭共济账户资金流向，按消费类别（药品、诊疗服务、康复护理等）细分占比，使参保人清晰了解医保资金在家庭内部的分配与使用效率。</w:t>
      </w:r>
      <w:r/>
    </w:p>
    <w:p>
      <w:pPr>
        <w:ind w:firstLine="440"/>
        <w:spacing w:line="360" w:lineRule="auto"/>
        <w:tabs>
          <w:tab w:val="left" w:pos="0" w:leader="none"/>
        </w:tabs>
        <w:rPr>
          <w:rFonts w:ascii="宋体" w:hAnsi="宋体" w:cs="宋体"/>
          <w:sz w:val="22"/>
        </w:rPr>
      </w:pPr>
      <w:r>
        <w:rPr>
          <w:rFonts w:ascii="宋体" w:hAnsi="宋体" w:cs="宋体"/>
          <w:sz w:val="22"/>
        </w:rPr>
      </w:r>
      <w:r/>
    </w:p>
    <w:p>
      <w:pPr>
        <w:jc w:val="center"/>
        <w:keepNext/>
        <w:pageBreakBefore/>
        <w:rPr>
          <w:rFonts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p>
    <w:p>
      <w:pPr>
        <w:rPr>
          <w:szCs w:val="21"/>
        </w:rPr>
      </w:pPr>
      <w:r>
        <w:rPr>
          <w:szCs w:val="21"/>
        </w:rPr>
      </w:r>
      <w:r/>
    </w:p>
    <w:p>
      <w:pPr>
        <w:ind w:firstLine="480"/>
        <w:spacing w:line="0" w:lineRule="atLeast"/>
        <w:rPr>
          <w:rFonts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szCs w:val="21"/>
              </w:rPr>
            </w:pPr>
            <w:r>
              <w:rPr>
                <w:rFonts w:hint="eastAsia" w:ascii="宋体" w:hAnsi="宋体"/>
                <w:szCs w:val="21"/>
              </w:rPr>
              <w:t xml:space="preserve">采购包号</w:t>
            </w:r>
            <w:r/>
          </w:p>
        </w:tc>
        <w:tc>
          <w:tcPr>
            <w:tcW w:w="1610" w:type="dxa"/>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textDirection w:val="lrTb"/>
            <w:noWrap w:val="false"/>
          </w:tcPr>
          <w:p>
            <w:pPr>
              <w:jc w:val="center"/>
              <w:rPr>
                <w:rFonts w:ascii="宋体" w:hAnsi="宋体"/>
                <w:szCs w:val="21"/>
              </w:rPr>
            </w:pPr>
            <w:r>
              <w:rPr>
                <w:rFonts w:hint="eastAsia" w:ascii="宋体" w:hAnsi="宋体"/>
                <w:szCs w:val="21"/>
              </w:rPr>
              <w:t xml:space="preserve">1</w:t>
            </w:r>
            <w:r/>
          </w:p>
        </w:tc>
        <w:tc>
          <w:tcPr>
            <w:tcW w:w="1610" w:type="dxa"/>
            <w:textDirection w:val="lrTb"/>
            <w:noWrap w:val="false"/>
          </w:tcPr>
          <w:p>
            <w:pPr>
              <w:jc w:val="center"/>
              <w:rPr>
                <w:rFonts w:ascii="宋体" w:hAnsi="宋体"/>
                <w:szCs w:val="21"/>
              </w:rPr>
            </w:pPr>
            <w:r>
              <w:rPr>
                <w:rFonts w:hint="eastAsia" w:ascii="宋体" w:hAnsi="宋体"/>
                <w:szCs w:val="21"/>
              </w:rPr>
              <w:t xml:space="preserve">1</w:t>
            </w:r>
            <w:r/>
          </w:p>
        </w:tc>
        <w:tc>
          <w:tcPr>
            <w:tcW w:w="4325" w:type="dxa"/>
            <w:textDirection w:val="lrTb"/>
            <w:noWrap w:val="false"/>
          </w:tcPr>
          <w:p>
            <w:pPr>
              <w:jc w:val="left"/>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的扣除价格，用扣除后的价格参与评审。（2）供应商需按照采购文件的要求提供相应的《中小微企业声明函》。</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19"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19"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numPr>
          <w:ilvl w:val="0"/>
          <w:numId w:val="14"/>
        </w:numPr>
        <w:keepLines/>
        <w:keepNext/>
        <w:spacing w:line="576" w:lineRule="auto"/>
        <w:rPr>
          <w:rFonts w:ascii="宋体" w:hAnsi="宋体" w:cs="宋体"/>
          <w:b/>
          <w:sz w:val="24"/>
          <w:szCs w:val="24"/>
        </w:rPr>
        <w:outlineLvl w:val="0"/>
      </w:pPr>
      <w:r>
        <w:rPr>
          <w:rFonts w:ascii="宋体" w:hAnsi="宋体" w:cs="宋体"/>
          <w:b/>
          <w:sz w:val="24"/>
          <w:szCs w:val="24"/>
        </w:rPr>
        <w:t xml:space="preserve">评标方法与评标标准</w:t>
      </w:r>
      <w:r/>
    </w:p>
    <w:p>
      <w:pPr>
        <w:ind w:firstLine="480"/>
        <w:spacing w:line="360" w:lineRule="auto"/>
        <w:rPr>
          <w:rFonts w:ascii="宋体" w:hAnsi="宋体" w:cs="宋体"/>
          <w:sz w:val="24"/>
          <w:szCs w:val="24"/>
        </w:rPr>
      </w:pPr>
      <w:r>
        <w:rPr>
          <w:rFonts w:hint="eastAsia" w:ascii="宋体" w:hAnsi="宋体" w:cs="宋体"/>
          <w:sz w:val="24"/>
          <w:szCs w:val="24"/>
        </w:rPr>
        <w:t xml:space="preserve">本项目采用综合评分法确定中标候选人。评标委员会将按下列评分办法和标准进行评分，总分值为100分。</w:t>
      </w:r>
      <w:r/>
    </w:p>
    <w:p>
      <w:pPr>
        <w:ind w:firstLine="480"/>
        <w:spacing w:line="360" w:lineRule="auto"/>
        <w:tabs>
          <w:tab w:val="left" w:pos="3248" w:leader="none"/>
        </w:tabs>
        <w:rPr>
          <w:rFonts w:ascii="宋体" w:hAnsi="宋体" w:cs="宋体"/>
          <w:sz w:val="24"/>
          <w:szCs w:val="24"/>
        </w:rPr>
        <w:outlineLvl w:val="1"/>
      </w:pPr>
      <w:r>
        <w:rPr>
          <w:rFonts w:hint="eastAsia" w:ascii="宋体" w:hAnsi="宋体" w:cs="宋体"/>
          <w:sz w:val="24"/>
          <w:szCs w:val="24"/>
        </w:rPr>
        <w:t xml:space="preserve">1、价格分（10分）</w:t>
      </w:r>
      <w:r>
        <w:rPr>
          <w:rFonts w:hint="eastAsia" w:ascii="宋体" w:hAnsi="宋体" w:cs="宋体"/>
          <w:sz w:val="24"/>
          <w:szCs w:val="24"/>
        </w:rPr>
        <w:tab/>
      </w:r>
      <w:r/>
    </w:p>
    <w:p>
      <w:pPr>
        <w:ind w:firstLine="480"/>
        <w:spacing w:line="360" w:lineRule="auto"/>
        <w:rPr>
          <w:rFonts w:ascii="宋体" w:hAnsi="宋体" w:cs="宋体"/>
          <w:sz w:val="24"/>
          <w:szCs w:val="24"/>
        </w:rPr>
      </w:pPr>
      <w:r>
        <w:rPr>
          <w:rFonts w:hint="eastAsia" w:ascii="宋体" w:hAnsi="宋体" w:cs="宋体"/>
          <w:sz w:val="24"/>
          <w:szCs w:val="24"/>
        </w:rPr>
        <w:t xml:space="preserve">1.1价格分采用低价优先法，即满足招标文件要求且投标价格最低的投标报价为评标基准价，其价格分为满分。其他投标人的价格分统一按照下列公式计算：投标报价得分=（评标基准价／投标报价）×价格分。</w:t>
      </w:r>
      <w:r/>
    </w:p>
    <w:p>
      <w:pPr>
        <w:ind w:firstLine="480"/>
        <w:spacing w:line="360" w:lineRule="auto"/>
        <w:rPr>
          <w:rFonts w:ascii="宋体" w:hAnsi="宋体" w:cs="宋体"/>
          <w:sz w:val="24"/>
          <w:szCs w:val="24"/>
        </w:rPr>
        <w:outlineLvl w:val="1"/>
      </w:pPr>
      <w:r>
        <w:rPr>
          <w:rFonts w:hint="eastAsia" w:ascii="宋体" w:hAnsi="宋体" w:cs="宋体"/>
          <w:sz w:val="24"/>
          <w:szCs w:val="24"/>
        </w:rPr>
        <w:t xml:space="preserve">2、服务能力（</w:t>
      </w:r>
      <w:r>
        <w:rPr>
          <w:rFonts w:ascii="宋体" w:hAnsi="宋体" w:cs="宋体"/>
          <w:sz w:val="24"/>
          <w:szCs w:val="24"/>
        </w:rPr>
        <w:t xml:space="preserve">32</w:t>
      </w:r>
      <w:r>
        <w:rPr>
          <w:rFonts w:hint="eastAsia" w:ascii="宋体" w:hAnsi="宋体" w:cs="宋体"/>
          <w:sz w:val="24"/>
          <w:szCs w:val="24"/>
        </w:rPr>
        <w:t xml:space="preserve">分）</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2.1企业资信（</w:t>
      </w:r>
      <w:r>
        <w:rPr>
          <w:rFonts w:ascii="宋体" w:hAnsi="宋体" w:cs="宋体"/>
          <w:sz w:val="24"/>
          <w:szCs w:val="24"/>
        </w:rPr>
        <w:t xml:space="preserve">8</w:t>
      </w:r>
      <w:r>
        <w:rPr>
          <w:rFonts w:hint="eastAsia" w:ascii="宋体" w:hAnsi="宋体" w:cs="宋体"/>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.1.1 </w:t>
      </w:r>
      <w:r>
        <w:rPr>
          <w:rFonts w:hint="eastAsia" w:ascii="宋体" w:hAnsi="宋体" w:cs="宋体"/>
          <w:sz w:val="24"/>
          <w:szCs w:val="24"/>
        </w:rPr>
        <w:t xml:space="preserve">投标人通过ISO9001质量管理体系认证、ISO27001信息安全管理体系认证、ISO20000信息技术服务管理体系认证、ISO27701隐私信息管理体系认证证书、ISO45001职业健康安全管理体系认证证书，每提供1个得1分，最高得5分。（必须提供有效期内的相应认证资质证明复印件加盖公章，否则不计分。） </w:t>
      </w:r>
      <w:r/>
    </w:p>
    <w:p>
      <w:pPr>
        <w:ind w:firstLine="480"/>
        <w:spacing w:line="360"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2 </w:t>
      </w:r>
      <w:r>
        <w:rPr>
          <w:rFonts w:hint="eastAsia" w:ascii="宋体" w:hAnsi="宋体" w:cs="宋体"/>
          <w:sz w:val="24"/>
          <w:szCs w:val="24"/>
        </w:rPr>
        <w:t xml:space="preserve">投标人具备与本项目系统相关的软件著作权证书，证书软件名称包含“业务中台”、“业务基础管理系统”、“基础信息管理系统”、“参保登记”、“数据智能分析”等关键字，每具备一个证书得1分，最高得3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需提供软件著作权证书（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2.</w:t>
      </w:r>
      <w:r>
        <w:rPr>
          <w:rFonts w:ascii="宋体" w:hAnsi="宋体" w:cs="宋体"/>
          <w:sz w:val="24"/>
          <w:szCs w:val="24"/>
        </w:rPr>
        <w:t xml:space="preserve">2</w:t>
      </w:r>
      <w:r>
        <w:rPr>
          <w:rFonts w:hint="eastAsia" w:ascii="宋体" w:hAnsi="宋体" w:cs="宋体"/>
          <w:sz w:val="24"/>
          <w:szCs w:val="24"/>
        </w:rPr>
        <w:t xml:space="preserve">人员配备（</w:t>
      </w:r>
      <w:r>
        <w:rPr>
          <w:rFonts w:ascii="宋体" w:hAnsi="宋体" w:cs="宋体"/>
          <w:sz w:val="24"/>
          <w:szCs w:val="24"/>
        </w:rPr>
        <w:t xml:space="preserve">21</w:t>
      </w:r>
      <w:r>
        <w:rPr>
          <w:rFonts w:hint="eastAsia" w:ascii="宋体" w:hAnsi="宋体" w:cs="宋体"/>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2.2.1投标人拟投入的项目经理（限 1 名）：</w:t>
      </w:r>
      <w:r/>
    </w:p>
    <w:p>
      <w:pPr>
        <w:ind w:firstLine="480"/>
        <w:spacing w:line="360" w:lineRule="auto"/>
        <w:rPr>
          <w:rFonts w:ascii="宋体" w:hAnsi="宋体" w:cs="宋体"/>
          <w:sz w:val="24"/>
          <w:szCs w:val="24"/>
        </w:rPr>
      </w:pPr>
      <w:r>
        <w:rPr>
          <w:rFonts w:hint="eastAsia" w:ascii="宋体" w:hAnsi="宋体" w:cs="宋体"/>
          <w:sz w:val="24"/>
          <w:szCs w:val="24"/>
        </w:rPr>
        <w:t xml:space="preserve">1.具备不少于3年类似信息化项目管理经历的，得2分；</w:t>
      </w:r>
      <w:r/>
    </w:p>
    <w:p>
      <w:pPr>
        <w:ind w:firstLine="480"/>
        <w:spacing w:line="360" w:lineRule="auto"/>
        <w:rPr>
          <w:rFonts w:ascii="宋体" w:hAnsi="宋体" w:cs="宋体"/>
          <w:sz w:val="24"/>
          <w:szCs w:val="24"/>
        </w:rPr>
      </w:pPr>
      <w:r>
        <w:rPr>
          <w:rFonts w:hint="eastAsia" w:ascii="宋体" w:hAnsi="宋体" w:cs="宋体"/>
          <w:sz w:val="24"/>
          <w:szCs w:val="24"/>
        </w:rPr>
        <w:t xml:space="preserve">2.本项目拟配备的项目经理具有人社部门认证的以下计算机技术与软件专业技术资格证书的，每提供1个证书，得3分，此项最多得3分：</w:t>
      </w:r>
      <w:r/>
    </w:p>
    <w:p>
      <w:pPr>
        <w:ind w:firstLine="480"/>
        <w:spacing w:line="360" w:lineRule="auto"/>
        <w:rPr>
          <w:rFonts w:ascii="宋体" w:hAnsi="宋体" w:cs="宋体"/>
          <w:sz w:val="24"/>
          <w:szCs w:val="24"/>
        </w:rPr>
      </w:pPr>
      <w:r>
        <w:rPr>
          <w:rFonts w:hint="eastAsia" w:ascii="宋体" w:hAnsi="宋体" w:cs="宋体"/>
          <w:sz w:val="24"/>
          <w:szCs w:val="24"/>
        </w:rPr>
        <w:t xml:space="preserve">（1）信息系统项目管理师（高级）证书；</w:t>
      </w:r>
      <w:r/>
    </w:p>
    <w:p>
      <w:pPr>
        <w:ind w:firstLine="480"/>
        <w:spacing w:line="360" w:lineRule="auto"/>
        <w:rPr>
          <w:rFonts w:ascii="宋体" w:hAnsi="宋体" w:cs="宋体"/>
          <w:sz w:val="24"/>
          <w:szCs w:val="24"/>
        </w:rPr>
      </w:pPr>
      <w:r>
        <w:rPr>
          <w:rFonts w:hint="eastAsia" w:ascii="宋体" w:hAnsi="宋体" w:cs="宋体"/>
          <w:sz w:val="24"/>
          <w:szCs w:val="24"/>
        </w:rPr>
        <w:t xml:space="preserve">（2）系统分析师（高级）证书；</w:t>
      </w:r>
      <w:r/>
    </w:p>
    <w:p>
      <w:pPr>
        <w:ind w:firstLine="480"/>
        <w:spacing w:line="360" w:lineRule="auto"/>
        <w:rPr>
          <w:rFonts w:ascii="宋体" w:hAnsi="宋体" w:cs="宋体"/>
          <w:sz w:val="24"/>
          <w:szCs w:val="24"/>
        </w:rPr>
      </w:pPr>
      <w:r>
        <w:rPr>
          <w:rFonts w:hint="eastAsia" w:ascii="宋体" w:hAnsi="宋体" w:cs="宋体"/>
          <w:sz w:val="24"/>
          <w:szCs w:val="24"/>
        </w:rPr>
        <w:t xml:space="preserve">（3）系统架构设计师（高级）证书；</w:t>
      </w:r>
      <w:r/>
    </w:p>
    <w:p>
      <w:pPr>
        <w:ind w:firstLine="480"/>
        <w:spacing w:line="360" w:lineRule="auto"/>
        <w:rPr>
          <w:rFonts w:ascii="宋体" w:hAnsi="宋体" w:cs="宋体"/>
          <w:sz w:val="24"/>
          <w:szCs w:val="24"/>
        </w:rPr>
      </w:pPr>
      <w:r>
        <w:rPr>
          <w:rFonts w:hint="eastAsia" w:ascii="宋体" w:hAnsi="宋体" w:cs="宋体"/>
          <w:sz w:val="24"/>
          <w:szCs w:val="24"/>
        </w:rPr>
        <w:t xml:space="preserve">（4）系统规划与管理师（高级）证书。</w:t>
      </w:r>
      <w:r/>
    </w:p>
    <w:p>
      <w:pPr>
        <w:ind w:firstLine="480"/>
        <w:spacing w:line="360" w:lineRule="auto"/>
        <w:rPr>
          <w:rFonts w:ascii="宋体" w:hAnsi="宋体" w:cs="宋体"/>
          <w:sz w:val="24"/>
          <w:szCs w:val="24"/>
        </w:rPr>
      </w:pPr>
      <w:r>
        <w:rPr>
          <w:rFonts w:hint="eastAsia" w:ascii="宋体" w:hAnsi="宋体" w:cs="宋体"/>
          <w:sz w:val="24"/>
          <w:szCs w:val="24"/>
        </w:rPr>
        <w:t xml:space="preserve">（投标人必须提供与项目经理签订的正式劳动合同和近半年内任意一个月的社保缴费证明，以及相关证书或证明材料扫描件或复印件并加盖公章，否则不得分；需提供项目经理参与信息化项目的相关证明材料扫描件或复印件并加盖公章，证明材料需包括项目合同和项目委托单位提供的证明材料，否则不得分。）</w:t>
      </w:r>
      <w:r/>
    </w:p>
    <w:p>
      <w:pPr>
        <w:ind w:firstLine="480"/>
        <w:spacing w:line="360" w:lineRule="auto"/>
        <w:rPr>
          <w:rFonts w:ascii="宋体" w:hAnsi="宋体" w:cs="宋体"/>
          <w:sz w:val="24"/>
          <w:szCs w:val="24"/>
        </w:rPr>
      </w:pPr>
      <w:r>
        <w:rPr>
          <w:rFonts w:hint="eastAsia" w:ascii="宋体" w:hAnsi="宋体" w:cs="宋体"/>
          <w:sz w:val="24"/>
          <w:szCs w:val="24"/>
        </w:rPr>
        <w:t xml:space="preserve">2.2.2投标人拟投入的实施团队人员（不包括项目经理）：</w:t>
      </w:r>
      <w:r/>
    </w:p>
    <w:p>
      <w:pPr>
        <w:ind w:firstLine="480"/>
        <w:spacing w:line="360" w:lineRule="auto"/>
        <w:rPr>
          <w:rFonts w:ascii="宋体" w:hAnsi="宋体" w:cs="宋体"/>
          <w:sz w:val="24"/>
          <w:szCs w:val="24"/>
        </w:rPr>
      </w:pPr>
      <w:r>
        <w:rPr>
          <w:rFonts w:hint="eastAsia" w:ascii="宋体" w:hAnsi="宋体" w:cs="宋体"/>
          <w:sz w:val="24"/>
          <w:szCs w:val="24"/>
        </w:rPr>
        <w:t xml:space="preserve">（1）具有有效期内的中国网络安全审查技术与认证中心认证的信息安全保障人员认证（CISAW）证书；</w:t>
      </w:r>
      <w:r/>
    </w:p>
    <w:p>
      <w:pPr>
        <w:ind w:firstLine="480"/>
        <w:spacing w:line="360" w:lineRule="auto"/>
        <w:rPr>
          <w:rFonts w:ascii="宋体" w:hAnsi="宋体" w:cs="宋体"/>
          <w:sz w:val="24"/>
          <w:szCs w:val="24"/>
        </w:rPr>
      </w:pPr>
      <w:r>
        <w:rPr>
          <w:rFonts w:hint="eastAsia" w:ascii="宋体" w:hAnsi="宋体" w:cs="宋体"/>
          <w:sz w:val="24"/>
          <w:szCs w:val="24"/>
        </w:rPr>
        <w:t xml:space="preserve">（2）具有有效期内的中国信息安全测评中心认证的注册信息安全专业人员（CISP）证书；</w:t>
      </w:r>
      <w:r/>
    </w:p>
    <w:p>
      <w:pPr>
        <w:ind w:firstLine="480"/>
        <w:spacing w:line="360" w:lineRule="auto"/>
        <w:rPr>
          <w:rFonts w:ascii="宋体" w:hAnsi="宋体" w:cs="宋体"/>
          <w:sz w:val="24"/>
          <w:szCs w:val="24"/>
        </w:rPr>
      </w:pPr>
      <w:r>
        <w:rPr>
          <w:rFonts w:hint="eastAsia" w:ascii="宋体" w:hAnsi="宋体" w:cs="宋体"/>
          <w:sz w:val="24"/>
          <w:szCs w:val="24"/>
        </w:rPr>
        <w:t xml:space="preserve">（3）具有工业和信息化部教育与考试中心认证的高级数据库管理工程师。</w:t>
      </w:r>
      <w:r/>
    </w:p>
    <w:p>
      <w:pPr>
        <w:ind w:firstLine="480"/>
        <w:spacing w:line="360" w:lineRule="auto"/>
        <w:rPr>
          <w:rFonts w:ascii="宋体" w:hAnsi="宋体" w:cs="宋体"/>
          <w:sz w:val="24"/>
          <w:szCs w:val="24"/>
        </w:rPr>
      </w:pPr>
      <w:r>
        <w:rPr>
          <w:rFonts w:hint="eastAsia" w:ascii="宋体" w:hAnsi="宋体" w:cs="宋体"/>
          <w:sz w:val="24"/>
          <w:szCs w:val="24"/>
        </w:rPr>
        <w:t xml:space="preserve">（4）具有系统架构设计师（高级）证书；</w:t>
      </w:r>
      <w:r/>
    </w:p>
    <w:p>
      <w:pPr>
        <w:ind w:firstLine="480"/>
        <w:spacing w:line="360" w:lineRule="auto"/>
        <w:rPr>
          <w:rFonts w:ascii="宋体" w:hAnsi="宋体" w:cs="宋体"/>
          <w:sz w:val="24"/>
          <w:szCs w:val="24"/>
        </w:rPr>
      </w:pPr>
      <w:r>
        <w:rPr>
          <w:rFonts w:hint="eastAsia" w:ascii="宋体" w:hAnsi="宋体" w:cs="宋体"/>
          <w:sz w:val="24"/>
          <w:szCs w:val="24"/>
        </w:rPr>
        <w:t xml:space="preserve">（5）具有软件设计师（中级）证书；</w:t>
      </w:r>
      <w:r/>
    </w:p>
    <w:p>
      <w:pPr>
        <w:ind w:firstLine="480"/>
        <w:spacing w:line="360" w:lineRule="auto"/>
        <w:rPr>
          <w:rFonts w:ascii="宋体" w:hAnsi="宋体" w:cs="宋体"/>
          <w:sz w:val="24"/>
          <w:szCs w:val="24"/>
        </w:rPr>
      </w:pPr>
      <w:r>
        <w:rPr>
          <w:rFonts w:hint="eastAsia" w:ascii="宋体" w:hAnsi="宋体" w:cs="宋体"/>
          <w:sz w:val="24"/>
          <w:szCs w:val="24"/>
        </w:rPr>
        <w:t xml:space="preserve">（6）具有软件评测师（中级）证书；</w:t>
      </w:r>
      <w:r/>
    </w:p>
    <w:p>
      <w:pPr>
        <w:ind w:firstLine="480"/>
        <w:spacing w:line="360" w:lineRule="auto"/>
        <w:rPr>
          <w:rFonts w:ascii="宋体" w:hAnsi="宋体" w:cs="宋体"/>
          <w:sz w:val="24"/>
          <w:szCs w:val="24"/>
        </w:rPr>
      </w:pPr>
      <w:r>
        <w:rPr>
          <w:rFonts w:hint="eastAsia" w:ascii="宋体" w:hAnsi="宋体" w:cs="宋体"/>
          <w:sz w:val="24"/>
          <w:szCs w:val="24"/>
        </w:rPr>
        <w:t xml:space="preserve">（7）具有数据库系统工程师（中级）证书；</w:t>
      </w:r>
      <w:r/>
    </w:p>
    <w:p>
      <w:pPr>
        <w:ind w:firstLine="480"/>
        <w:spacing w:line="360" w:lineRule="auto"/>
        <w:rPr>
          <w:rFonts w:ascii="宋体" w:hAnsi="宋体" w:cs="宋体"/>
          <w:sz w:val="24"/>
          <w:szCs w:val="24"/>
        </w:rPr>
      </w:pPr>
      <w:r>
        <w:rPr>
          <w:rFonts w:hint="eastAsia" w:ascii="宋体" w:hAnsi="宋体" w:cs="宋体"/>
          <w:sz w:val="24"/>
          <w:szCs w:val="24"/>
        </w:rPr>
        <w:t xml:space="preserve">（8）具有网络工程师（中级）证书；</w:t>
      </w:r>
      <w:r/>
    </w:p>
    <w:p>
      <w:pPr>
        <w:ind w:firstLine="480"/>
        <w:spacing w:line="360" w:lineRule="auto"/>
        <w:rPr>
          <w:rFonts w:ascii="宋体" w:hAnsi="宋体" w:cs="宋体"/>
          <w:sz w:val="24"/>
          <w:szCs w:val="24"/>
        </w:rPr>
      </w:pPr>
      <w:r>
        <w:rPr>
          <w:rFonts w:hint="eastAsia" w:ascii="宋体" w:hAnsi="宋体" w:cs="宋体"/>
          <w:sz w:val="24"/>
          <w:szCs w:val="24"/>
        </w:rPr>
        <w:t xml:space="preserve">（9）具有信息系统监理师（中级）证书；</w:t>
      </w:r>
      <w:r/>
    </w:p>
    <w:p>
      <w:pPr>
        <w:ind w:firstLine="480"/>
        <w:spacing w:line="360" w:lineRule="auto"/>
        <w:rPr>
          <w:rFonts w:ascii="宋体" w:hAnsi="宋体" w:cs="宋体"/>
          <w:sz w:val="24"/>
          <w:szCs w:val="24"/>
        </w:rPr>
      </w:pPr>
      <w:r>
        <w:rPr>
          <w:rFonts w:hint="eastAsia" w:ascii="宋体" w:hAnsi="宋体" w:cs="宋体"/>
          <w:sz w:val="24"/>
          <w:szCs w:val="24"/>
        </w:rPr>
        <w:t xml:space="preserve">以上4-9项均需为人社部门认证的计算机技术与软件专业技术资格证书</w:t>
      </w:r>
      <w:r/>
    </w:p>
    <w:p>
      <w:pPr>
        <w:ind w:firstLine="480"/>
        <w:spacing w:line="360" w:lineRule="auto"/>
        <w:rPr>
          <w:rFonts w:ascii="宋体" w:hAnsi="宋体" w:cs="宋体"/>
          <w:sz w:val="24"/>
          <w:szCs w:val="24"/>
        </w:rPr>
      </w:pPr>
      <w:r>
        <w:rPr>
          <w:rFonts w:hint="eastAsia" w:ascii="宋体" w:hAnsi="宋体" w:cs="宋体"/>
          <w:sz w:val="24"/>
          <w:szCs w:val="24"/>
        </w:rPr>
        <w:t xml:space="preserve">以上证书每提供1人得2分，同1人有多个证书不可重复得分，不同人有相同证书可重复得分，同一证书最多可得8分，此项最多得16分。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（投标人必须提供与上述人员签订的正式劳动合同和近半年内任一自然月的社保缴费证明，否则不计分；以上持有证书人员必须提供相关证书或证明材料扫描件或复印件并加盖公章，否则不计分。）</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2.</w:t>
      </w:r>
      <w:r>
        <w:rPr>
          <w:rFonts w:ascii="宋体" w:hAnsi="宋体" w:cs="宋体"/>
          <w:sz w:val="24"/>
          <w:szCs w:val="24"/>
        </w:rPr>
        <w:t xml:space="preserve">3</w:t>
      </w:r>
      <w:r>
        <w:rPr>
          <w:rFonts w:hint="eastAsia" w:ascii="宋体" w:hAnsi="宋体" w:cs="宋体"/>
          <w:sz w:val="24"/>
          <w:szCs w:val="24"/>
        </w:rPr>
        <w:t xml:space="preserve">类似业绩（</w:t>
      </w:r>
      <w:r>
        <w:rPr>
          <w:rFonts w:ascii="宋体" w:hAnsi="宋体" w:cs="宋体"/>
          <w:sz w:val="24"/>
          <w:szCs w:val="24"/>
        </w:rPr>
        <w:t xml:space="preserve">3</w:t>
      </w:r>
      <w:r>
        <w:rPr>
          <w:rFonts w:hint="eastAsia" w:ascii="宋体" w:hAnsi="宋体" w:cs="宋体"/>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投标人2020年1月1日起（以合同签约时间为准），投标人具有与本项目类似的信息系统开发项目案例：</w:t>
      </w:r>
      <w:r/>
    </w:p>
    <w:p>
      <w:pPr>
        <w:ind w:firstLine="480"/>
        <w:spacing w:line="360" w:lineRule="auto"/>
        <w:rPr>
          <w:rFonts w:ascii="宋体" w:hAnsi="宋体" w:cs="宋体"/>
          <w:sz w:val="24"/>
          <w:szCs w:val="24"/>
        </w:rPr>
      </w:pPr>
      <w:r>
        <w:rPr>
          <w:rFonts w:hint="eastAsia" w:ascii="宋体" w:hAnsi="宋体" w:cs="宋体"/>
          <w:sz w:val="24"/>
          <w:szCs w:val="24"/>
        </w:rPr>
        <w:t xml:space="preserve">每提供1个与本项目类似项目成功案例得1分，此项最高得3分。</w:t>
      </w:r>
      <w:r/>
    </w:p>
    <w:p>
      <w:pPr>
        <w:ind w:firstLine="480"/>
        <w:spacing w:line="360" w:lineRule="auto"/>
        <w:rPr>
          <w:rFonts w:ascii="宋体" w:hAnsi="宋体" w:cs="宋体"/>
          <w:sz w:val="24"/>
          <w:szCs w:val="24"/>
        </w:rPr>
      </w:pPr>
      <w:r>
        <w:rPr>
          <w:rFonts w:hint="eastAsia" w:ascii="宋体" w:hAnsi="宋体" w:cs="宋体"/>
          <w:sz w:val="24"/>
          <w:szCs w:val="24"/>
        </w:rPr>
        <w:t xml:space="preserve">（必须提供合同及业主验收报告等有效证明材料扫描件或复印件并加盖公章，否则不得分。）</w:t>
      </w:r>
      <w:r/>
    </w:p>
    <w:p>
      <w:pPr>
        <w:ind w:firstLine="480"/>
        <w:spacing w:line="360" w:lineRule="auto"/>
        <w:rPr>
          <w:rFonts w:ascii="宋体" w:hAnsi="宋体" w:cs="宋体"/>
          <w:sz w:val="24"/>
          <w:szCs w:val="24"/>
        </w:rPr>
        <w:outlineLvl w:val="1"/>
      </w:pPr>
      <w:r>
        <w:rPr>
          <w:rFonts w:ascii="宋体" w:hAnsi="宋体" w:cs="宋体"/>
          <w:sz w:val="24"/>
          <w:szCs w:val="24"/>
        </w:rPr>
        <w:t xml:space="preserve">3</w:t>
      </w:r>
      <w:r>
        <w:rPr>
          <w:rFonts w:hint="eastAsia" w:ascii="宋体" w:hAnsi="宋体" w:cs="宋体"/>
          <w:sz w:val="24"/>
          <w:szCs w:val="24"/>
        </w:rPr>
        <w:t xml:space="preserve">、技术要求（</w:t>
      </w:r>
      <w:r>
        <w:rPr>
          <w:rFonts w:ascii="宋体" w:hAnsi="宋体" w:cs="宋体"/>
          <w:sz w:val="24"/>
          <w:szCs w:val="24"/>
        </w:rPr>
        <w:t xml:space="preserve">48</w:t>
      </w:r>
      <w:r>
        <w:rPr>
          <w:rFonts w:hint="eastAsia" w:ascii="宋体" w:hAnsi="宋体" w:cs="宋体"/>
          <w:sz w:val="24"/>
          <w:szCs w:val="24"/>
        </w:rPr>
        <w:t xml:space="preserve">分）</w:t>
      </w:r>
      <w:r/>
    </w:p>
    <w:p>
      <w:pPr>
        <w:ind w:firstLine="480"/>
        <w:spacing w:line="360" w:lineRule="auto"/>
        <w:rPr>
          <w:rFonts w:ascii="宋体" w:hAnsi="宋体" w:cs="宋体"/>
          <w:sz w:val="24"/>
          <w:szCs w:val="24"/>
        </w:rPr>
        <w:outlineLvl w:val="2"/>
      </w:pPr>
      <w:r>
        <w:rPr>
          <w:rFonts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sz w:val="24"/>
          <w:szCs w:val="24"/>
        </w:rPr>
        <w:t xml:space="preserve">项目</w:t>
      </w:r>
      <w:r>
        <w:rPr>
          <w:rFonts w:hint="eastAsia" w:ascii="宋体" w:hAnsi="宋体" w:cs="宋体"/>
          <w:sz w:val="24"/>
          <w:szCs w:val="24"/>
        </w:rPr>
        <w:t xml:space="preserve">需求</w:t>
      </w:r>
      <w:r>
        <w:rPr>
          <w:rFonts w:hint="eastAsia" w:ascii="宋体" w:hAnsi="宋体" w:cs="宋体"/>
          <w:sz w:val="24"/>
          <w:szCs w:val="24"/>
        </w:rPr>
        <w:t xml:space="preserve">分析</w:t>
      </w: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根据投标人提供的项目需求分析报告（包括但不限于对项目总体目标、实现途径的理解和认识，阐述项目建设总体思路，对建设重难点进行分析并提出相应的解决方案等内容）进行综合评分：方案优于招标文件要求的得4分；符合招标文件要求的得2分；不符合招标文件要求或未提供的不得分。</w:t>
      </w:r>
      <w:r/>
    </w:p>
    <w:p>
      <w:pPr>
        <w:ind w:firstLine="480"/>
        <w:spacing w:line="360" w:lineRule="auto"/>
        <w:rPr>
          <w:rFonts w:ascii="宋体" w:hAnsi="宋体" w:cs="宋体"/>
          <w:sz w:val="24"/>
          <w:szCs w:val="24"/>
        </w:rPr>
        <w:outlineLvl w:val="2"/>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总体设计（</w:t>
      </w:r>
      <w:r>
        <w:rPr>
          <w:rFonts w:ascii="宋体" w:hAnsi="宋体" w:cs="宋体"/>
          <w:sz w:val="24"/>
          <w:szCs w:val="24"/>
        </w:rPr>
        <w:t xml:space="preserve">4</w:t>
      </w:r>
      <w:r>
        <w:rPr>
          <w:rFonts w:hint="eastAsia" w:ascii="宋体" w:hAnsi="宋体" w:cs="宋体"/>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根据投标人提供的项目总体设计方案（包括但不限于系统应用架构、系统逻辑架构、系统数据架构等内容）进行综合评分：方案优于招标文件要求的得4分；符合招标文件要求的得2分；不符合招标文件要求或未提供的不得分。</w:t>
      </w:r>
      <w:r/>
    </w:p>
    <w:p>
      <w:pPr>
        <w:ind w:firstLine="480"/>
        <w:spacing w:line="360" w:lineRule="auto"/>
        <w:rPr>
          <w:rFonts w:ascii="宋体" w:hAnsi="宋体" w:cs="宋体"/>
          <w:sz w:val="24"/>
          <w:szCs w:val="24"/>
        </w:rPr>
        <w:outlineLvl w:val="2"/>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功能设计（</w:t>
      </w:r>
      <w:r>
        <w:rPr>
          <w:rFonts w:ascii="宋体" w:hAnsi="宋体" w:cs="宋体"/>
          <w:sz w:val="24"/>
          <w:szCs w:val="24"/>
        </w:rPr>
        <w:t xml:space="preserve">20</w:t>
      </w:r>
      <w:r>
        <w:rPr>
          <w:rFonts w:hint="eastAsia" w:ascii="宋体" w:hAnsi="宋体" w:cs="宋体"/>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3.3.1根据投标人提供的“建档画像”功能设计方案（包括但不限于功能说明、业务流程、界面设计等内容）综合评分：方案优于招标文件要求的得4分；符合招标文件要求的得2分；不符合招标文件要求或未提供的不得分。</w:t>
      </w:r>
      <w:r/>
    </w:p>
    <w:p>
      <w:pPr>
        <w:ind w:firstLine="480"/>
        <w:spacing w:line="360" w:lineRule="auto"/>
        <w:rPr>
          <w:rFonts w:ascii="宋体" w:hAnsi="宋体" w:cs="宋体"/>
          <w:sz w:val="24"/>
          <w:szCs w:val="24"/>
        </w:rPr>
      </w:pPr>
      <w:r>
        <w:rPr>
          <w:rFonts w:hint="eastAsia" w:ascii="宋体" w:hAnsi="宋体" w:cs="宋体"/>
          <w:sz w:val="24"/>
          <w:szCs w:val="24"/>
        </w:rPr>
        <w:t xml:space="preserve">3.3.2根据投标人提供的“个人健康”功能设计方案（包括但不限于功能说明、业务流程、功能细分等内容）综合评分：方案优于招标文件要求的得4分；符合招标文件要求的得2分；不符合招标文件要求或未提供的不得分。</w:t>
      </w:r>
      <w:r/>
    </w:p>
    <w:p>
      <w:pPr>
        <w:ind w:firstLine="480"/>
        <w:spacing w:line="360" w:lineRule="auto"/>
        <w:rPr>
          <w:rFonts w:ascii="宋体" w:hAnsi="宋体" w:cs="宋体"/>
          <w:sz w:val="24"/>
          <w:szCs w:val="24"/>
        </w:rPr>
      </w:pPr>
      <w:r>
        <w:rPr>
          <w:rFonts w:hint="eastAsia" w:ascii="宋体" w:hAnsi="宋体" w:cs="宋体"/>
          <w:sz w:val="24"/>
          <w:szCs w:val="24"/>
        </w:rPr>
        <w:t xml:space="preserve">3.3.3根据投标人提供的“医保管理”功能设计方案（包括但不限于功能说明、业务流程、界面设计等内容）综合评分：方案优于招标文件要求的得4分；符合招标文件要求的得2分；不符合招标文件要求或未提供的不得分。</w:t>
      </w:r>
      <w:r/>
    </w:p>
    <w:p>
      <w:pPr>
        <w:ind w:firstLine="480"/>
        <w:spacing w:line="360" w:lineRule="auto"/>
        <w:rPr>
          <w:rFonts w:ascii="宋体" w:hAnsi="宋体" w:cs="宋体"/>
          <w:sz w:val="24"/>
          <w:szCs w:val="24"/>
        </w:rPr>
      </w:pPr>
      <w:r>
        <w:rPr>
          <w:rFonts w:hint="eastAsia" w:ascii="宋体" w:hAnsi="宋体" w:cs="宋体"/>
          <w:sz w:val="24"/>
          <w:szCs w:val="24"/>
        </w:rPr>
        <w:t xml:space="preserve">3.3.4根据投标人提供的“公共卫生联动”功能设计方案（包括但不限于功能说明、业务流程、界面设计等内容）综合评分：方案优于招标文件要求的得4分；符合招标文件要求的得2分；不符合招标文件要求或未提供的不得分。</w:t>
      </w:r>
      <w:r/>
    </w:p>
    <w:p>
      <w:pPr>
        <w:ind w:firstLine="480"/>
        <w:spacing w:line="360" w:lineRule="auto"/>
        <w:rPr>
          <w:rFonts w:ascii="宋体" w:hAnsi="宋体" w:cs="宋体"/>
          <w:sz w:val="24"/>
          <w:szCs w:val="24"/>
        </w:rPr>
      </w:pPr>
      <w:r>
        <w:rPr>
          <w:rFonts w:hint="eastAsia" w:ascii="宋体" w:hAnsi="宋体" w:cs="宋体"/>
          <w:sz w:val="24"/>
          <w:szCs w:val="24"/>
        </w:rPr>
        <w:t xml:space="preserve">3.3.5根据投标人提供的“全民参保功能拓展”功能设计方案（包括但不限于功能说明、业务流程、界面设计等内容）综合评分：方案优于招标文件要求的得4分；符合招标文件要求的得2分；不符合招标文件要求或未提供的不得分。</w:t>
      </w:r>
      <w:r/>
    </w:p>
    <w:p>
      <w:pPr>
        <w:ind w:firstLine="480"/>
        <w:spacing w:line="360" w:lineRule="auto"/>
        <w:rPr>
          <w:rFonts w:ascii="宋体" w:hAnsi="宋体" w:cs="宋体"/>
          <w:sz w:val="24"/>
          <w:szCs w:val="24"/>
        </w:rPr>
        <w:outlineLvl w:val="2"/>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项目管理（</w:t>
      </w:r>
      <w:r>
        <w:rPr>
          <w:rFonts w:ascii="宋体" w:hAnsi="宋体" w:cs="宋体"/>
          <w:sz w:val="24"/>
          <w:szCs w:val="24"/>
        </w:rPr>
        <w:t xml:space="preserve">4</w:t>
      </w:r>
      <w:r>
        <w:rPr>
          <w:rFonts w:hint="eastAsia" w:ascii="宋体" w:hAnsi="宋体" w:cs="宋体"/>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根据投标人提供的本项目管理方案（包括但不限于项目人员名单及角色分工、项目管理标准、质量保证、实施计划、变更管理、风险管理等内容）综合评分：</w:t>
      </w:r>
      <w:r/>
    </w:p>
    <w:p>
      <w:pPr>
        <w:ind w:firstLine="480"/>
        <w:spacing w:line="360" w:lineRule="auto"/>
        <w:rPr>
          <w:rFonts w:ascii="宋体" w:hAnsi="宋体" w:cs="宋体"/>
          <w:sz w:val="24"/>
          <w:szCs w:val="24"/>
        </w:rPr>
      </w:pPr>
      <w:r>
        <w:rPr>
          <w:rFonts w:hint="eastAsia" w:ascii="宋体" w:hAnsi="宋体" w:cs="宋体"/>
          <w:sz w:val="24"/>
          <w:szCs w:val="24"/>
        </w:rPr>
        <w:t xml:space="preserve">方案优于招标文件要求的得4分；符合招标文件要求的得2分；不符合招标文件要求或未提供的不得分。</w:t>
      </w:r>
      <w:r/>
    </w:p>
    <w:p>
      <w:pPr>
        <w:ind w:firstLine="480"/>
        <w:spacing w:line="360" w:lineRule="auto"/>
        <w:rPr>
          <w:rFonts w:ascii="宋体" w:hAnsi="宋体" w:cs="宋体"/>
          <w:sz w:val="24"/>
          <w:szCs w:val="24"/>
        </w:rPr>
        <w:outlineLvl w:val="2"/>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安全设计（</w:t>
      </w:r>
      <w:r>
        <w:rPr>
          <w:rFonts w:ascii="宋体" w:hAnsi="宋体" w:cs="宋体"/>
          <w:sz w:val="24"/>
          <w:szCs w:val="24"/>
        </w:rPr>
        <w:t xml:space="preserve">4</w:t>
      </w:r>
      <w:r>
        <w:rPr>
          <w:rFonts w:hint="eastAsia" w:ascii="宋体" w:hAnsi="宋体" w:cs="宋体"/>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根据投标人提供的安全设计方案（包括但不限于安全需求分析、应用安全、数据安全、应急处置等内容）综合评分：方案优于招标文件要求的得4分；符合招标文件要求的得2分；不符合招标文件要求或未提供的不得分。</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3</w:t>
      </w:r>
      <w:r>
        <w:rPr>
          <w:rFonts w:ascii="宋体" w:hAnsi="宋体" w:cs="宋体"/>
          <w:sz w:val="24"/>
          <w:szCs w:val="24"/>
        </w:rPr>
        <w:t xml:space="preserve">.6</w:t>
      </w:r>
      <w:r>
        <w:rPr>
          <w:rFonts w:hint="eastAsia" w:ascii="宋体" w:hAnsi="宋体" w:cs="宋体"/>
          <w:sz w:val="24"/>
          <w:szCs w:val="24"/>
        </w:rPr>
        <w:t xml:space="preserve">应急响应（4分）</w:t>
      </w:r>
      <w:r/>
    </w:p>
    <w:p>
      <w:pPr>
        <w:ind w:firstLine="480"/>
        <w:spacing w:line="360" w:lineRule="auto"/>
        <w:rPr>
          <w:rFonts w:ascii="宋体" w:hAnsi="宋体" w:cs="宋体"/>
          <w:sz w:val="24"/>
          <w:szCs w:val="24"/>
        </w:rPr>
      </w:pPr>
      <w:r>
        <w:rPr>
          <w:rFonts w:hint="eastAsia" w:ascii="宋体" w:hAnsi="宋体" w:cs="宋体"/>
          <w:sz w:val="24"/>
          <w:szCs w:val="24"/>
        </w:rPr>
        <w:t xml:space="preserve">根据投标人提供的应急响应方案（包括但不限于响应流程、响应措施、人员安排等内容）综合评分：</w:t>
      </w:r>
      <w:r/>
    </w:p>
    <w:p>
      <w:pPr>
        <w:ind w:firstLine="480"/>
        <w:spacing w:line="360" w:lineRule="auto"/>
        <w:rPr>
          <w:rFonts w:ascii="宋体" w:hAnsi="宋体" w:cs="宋体"/>
          <w:sz w:val="24"/>
          <w:szCs w:val="24"/>
        </w:rPr>
      </w:pPr>
      <w:r>
        <w:rPr>
          <w:rFonts w:hint="eastAsia" w:ascii="宋体" w:hAnsi="宋体" w:cs="宋体"/>
          <w:sz w:val="24"/>
          <w:szCs w:val="24"/>
        </w:rPr>
        <w:t xml:space="preserve">方案优于招标文件要求的得4分；符合招标文件要求的得2分；不符合招标文件要求或未提供的不得分。</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3</w:t>
      </w:r>
      <w:r>
        <w:rPr>
          <w:rFonts w:ascii="宋体" w:hAnsi="宋体" w:cs="宋体"/>
          <w:sz w:val="24"/>
          <w:szCs w:val="24"/>
        </w:rPr>
        <w:t xml:space="preserve">.7</w:t>
      </w:r>
      <w:r>
        <w:rPr>
          <w:rFonts w:hint="eastAsia" w:ascii="宋体" w:hAnsi="宋体" w:cs="宋体"/>
          <w:sz w:val="24"/>
          <w:szCs w:val="24"/>
        </w:rPr>
        <w:t xml:space="preserve">项目培训（4分）</w:t>
      </w:r>
      <w:r/>
    </w:p>
    <w:p>
      <w:pPr>
        <w:ind w:firstLine="480"/>
        <w:spacing w:line="360" w:lineRule="auto"/>
        <w:rPr>
          <w:rFonts w:ascii="宋体" w:hAnsi="宋体" w:cs="宋体"/>
          <w:sz w:val="24"/>
          <w:szCs w:val="24"/>
        </w:rPr>
      </w:pPr>
      <w:r>
        <w:rPr>
          <w:rFonts w:hint="eastAsia" w:ascii="宋体" w:hAnsi="宋体" w:cs="宋体"/>
          <w:sz w:val="24"/>
          <w:szCs w:val="24"/>
        </w:rPr>
        <w:t xml:space="preserve">根据投标人提供的本项目培训方案（包括但不限于培训计划、培训方式、培训对象、培训内容等内容）综合评分：方案优于招标文件要求的得4分；符合招标文件要求的得2分；不符合招标文件要求或未提供的不得分。</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3</w:t>
      </w:r>
      <w:r>
        <w:rPr>
          <w:rFonts w:ascii="宋体" w:hAnsi="宋体" w:cs="宋体"/>
          <w:sz w:val="24"/>
          <w:szCs w:val="24"/>
        </w:rPr>
        <w:t xml:space="preserve">.8</w:t>
      </w:r>
      <w:r>
        <w:rPr>
          <w:rFonts w:hint="eastAsia" w:ascii="宋体" w:hAnsi="宋体" w:cs="宋体"/>
          <w:sz w:val="24"/>
          <w:szCs w:val="24"/>
        </w:rPr>
        <w:t xml:space="preserve">售后服务（4分）</w:t>
      </w:r>
      <w:r/>
    </w:p>
    <w:p>
      <w:pPr>
        <w:ind w:firstLine="480"/>
        <w:spacing w:line="360" w:lineRule="auto"/>
        <w:rPr>
          <w:rFonts w:ascii="宋体" w:hAnsi="宋体" w:cs="宋体"/>
          <w:sz w:val="24"/>
          <w:szCs w:val="24"/>
        </w:rPr>
      </w:pPr>
      <w:r>
        <w:rPr>
          <w:rFonts w:hint="eastAsia" w:ascii="宋体" w:hAnsi="宋体" w:cs="宋体"/>
          <w:sz w:val="24"/>
          <w:szCs w:val="24"/>
        </w:rPr>
        <w:t xml:space="preserve">根据投标人提供的本项目售后服务方案（包括但不限于运维内容、运维流程、运维方式、服务质量保障等内容）综合评分：方案优于招标文件要求的得4分；</w:t>
      </w:r>
      <w:r/>
    </w:p>
    <w:p>
      <w:pPr>
        <w:ind w:firstLine="480"/>
        <w:spacing w:line="360" w:lineRule="auto"/>
        <w:rPr>
          <w:rFonts w:ascii="宋体" w:hAnsi="宋体" w:cs="宋体"/>
          <w:sz w:val="24"/>
          <w:szCs w:val="24"/>
        </w:rPr>
      </w:pPr>
      <w:r>
        <w:rPr>
          <w:rFonts w:hint="eastAsia" w:ascii="宋体" w:hAnsi="宋体" w:cs="宋体"/>
          <w:sz w:val="24"/>
          <w:szCs w:val="24"/>
        </w:rPr>
        <w:t xml:space="preserve">符合招标文件要求的得2分；不符合招标文件要求或未提供的不得分。</w:t>
      </w:r>
      <w:r/>
    </w:p>
    <w:p>
      <w:pPr>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4、功能演示要求（10分）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需按招标文件要求制作演示视频文件，视频文件的格式为*.mp4或*.avi，须将视频文件分段压缩为*.zip文件上传（单个文件不得大于50M，所有文件总共不得大于300M）。文件上传方式见《操作手册》规定，上传的演示视频将作为投标文件的组成部分，视频时长总计不超过5分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投标人需按照招标文件规定的功能演示要求，提供真实系统或demo演示视频文件：（视频时长总计超过5分钟的，不得分：不符合要求或未演示的，不得分）</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1建档画像功能演示，按照招标文件第四章采购需求中第六条的功能演示要求，视频演示能证明具有个人画像功能、家庭画像功能、企业画像功能、村社区画像功能。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每具备一个功能演示得1分，最高得4分。不满足，不得分。</w:t>
      </w:r>
      <w:r/>
    </w:p>
    <w:p>
      <w:pPr>
        <w:ind w:firstLine="480"/>
        <w:spacing w:line="360" w:lineRule="auto"/>
        <w:rPr>
          <w:rFonts w:hint="eastAsia" w:ascii="宋体" w:hAnsi="宋体" w:cs="宋体"/>
          <w:sz w:val="24"/>
          <w:szCs w:val="24"/>
        </w:rPr>
      </w:pPr>
      <w:r>
        <w:rPr>
          <w:rFonts w:ascii="宋体" w:hAnsi="宋体" w:cs="宋体"/>
          <w:sz w:val="24"/>
          <w:szCs w:val="24"/>
        </w:rPr>
        <w:t xml:space="preserve">4.2</w:t>
      </w:r>
      <w:r>
        <w:rPr>
          <w:rFonts w:hint="eastAsia" w:ascii="宋体" w:hAnsi="宋体" w:cs="宋体"/>
          <w:sz w:val="24"/>
          <w:szCs w:val="24"/>
        </w:rPr>
        <w:t xml:space="preserve">个人健康功能演示，按照招标文件第四章采购需求中第六条的功能演示要求，视频演示能证明具有“我要查”模块中的患者就医历程功能、费用明细查询功能、居民大病待遇激励查询功能。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每具备一个功能演示得1分，最高得3分。不满足，不得分。</w:t>
      </w:r>
      <w:r/>
    </w:p>
    <w:p>
      <w:pPr>
        <w:ind w:firstLine="480"/>
        <w:spacing w:line="360" w:lineRule="auto"/>
        <w:rPr>
          <w:rFonts w:hint="eastAsia" w:ascii="宋体" w:hAnsi="宋体" w:cs="宋体"/>
          <w:sz w:val="24"/>
          <w:szCs w:val="24"/>
        </w:rPr>
      </w:pPr>
      <w:r>
        <w:rPr>
          <w:rFonts w:ascii="宋体" w:hAnsi="宋体" w:cs="宋体"/>
          <w:sz w:val="24"/>
          <w:szCs w:val="24"/>
        </w:rPr>
        <w:t xml:space="preserve">4.3</w:t>
      </w:r>
      <w:r>
        <w:rPr>
          <w:rFonts w:hint="eastAsia" w:ascii="宋体" w:hAnsi="宋体" w:cs="宋体"/>
          <w:sz w:val="24"/>
          <w:szCs w:val="24"/>
        </w:rPr>
        <w:t xml:space="preserve">个人健康功能演示，按照招标文件第四章采购需求中第六条的功能演示要求，视频演示能证明具有“我的家庭健康”模块中的综合信息概览功能、成员详情功能、家庭共济情况功能。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每具备一个功能演示得1分，最高得3分。不满足，不得分。</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以上功能演示，采用原型系统演示，满分10分；采用PPT、Word等方式进行模拟演示的，最多得5分（分项得分按比例减半）。不满足要求或未提供的不得分。</w:t>
      </w:r>
      <w:r/>
    </w:p>
    <w:p>
      <w:pPr>
        <w:pStyle w:val="852"/>
        <w:rPr>
          <w:color w:val="auto"/>
          <w:sz w:val="24"/>
          <w:szCs w:val="24"/>
        </w:rPr>
      </w:pPr>
      <w:r>
        <w:rPr>
          <w:color w:val="auto"/>
          <w:sz w:val="24"/>
          <w:szCs w:val="24"/>
        </w:rPr>
      </w:r>
      <w:r/>
    </w:p>
    <w:p>
      <w:pPr>
        <w:pStyle w:val="852"/>
        <w:rPr>
          <w:color w:val="auto"/>
        </w:rPr>
      </w:pPr>
      <w:r>
        <w:rPr>
          <w:color w:val="auto"/>
        </w:rPr>
      </w:r>
      <w:r/>
    </w:p>
    <w:p>
      <w:pPr>
        <w:pStyle w:val="852"/>
        <w:rPr>
          <w:color w:val="auto"/>
        </w:rPr>
      </w:pPr>
      <w:r>
        <w:rPr>
          <w:color w:val="auto"/>
        </w:rPr>
      </w:r>
      <w:r/>
    </w:p>
    <w:p>
      <w:pPr>
        <w:pStyle w:val="852"/>
        <w:rPr>
          <w:color w:val="auto"/>
        </w:rPr>
      </w:pPr>
      <w:r>
        <w:rPr>
          <w:color w:val="auto"/>
        </w:rPr>
      </w:r>
      <w:r/>
    </w:p>
    <w:p>
      <w:pPr>
        <w:jc w:val="center"/>
        <w:keepNext/>
        <w:rPr>
          <w:rFonts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第六章  投标</w:t>
      </w:r>
      <w:bookmarkEnd w:id="178"/>
      <w:r/>
      <w:bookmarkEnd w:id="179"/>
      <w:r/>
      <w:bookmarkEnd w:id="180"/>
      <w:r>
        <w:rPr>
          <w:rFonts w:hint="eastAsia" w:ascii="黑体" w:eastAsia="黑体"/>
          <w:bCs/>
          <w:sz w:val="44"/>
          <w:szCs w:val="28"/>
        </w:rPr>
        <w:t xml:space="preserve">文件格式 </w:t>
      </w:r>
      <w:r/>
    </w:p>
    <w:p>
      <w:pPr>
        <w:jc w:val="center"/>
        <w:rPr>
          <w:rFonts w:ascii="宋体" w:hAnsi="宋体"/>
          <w:b/>
          <w:sz w:val="72"/>
          <w:szCs w:val="21"/>
        </w:rPr>
      </w:pPr>
      <w:r/>
      <w:bookmarkStart w:id="181" w:name="_Hlt26955039"/>
      <w:r/>
      <w:bookmarkEnd w:id="181"/>
      <w:r/>
      <w:bookmarkStart w:id="182" w:name="_Hlt26671244"/>
      <w:r/>
      <w:bookmarkEnd w:id="182"/>
      <w:r/>
      <w:bookmarkStart w:id="183" w:name="_Toc49090576"/>
      <w:r/>
      <w:bookmarkStart w:id="184" w:name="_Toc120614282"/>
      <w:r/>
      <w:bookmarkStart w:id="185" w:name="_Toc26554094"/>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0"/>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0"/>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hint="eastAsia" w:ascii="宋体" w:hAnsi="宋体"/>
          <w:b/>
          <w:sz w:val="24"/>
          <w:szCs w:val="21"/>
        </w:rPr>
        <w:t xml:space="preserve">.</w:t>
      </w:r>
      <w:r/>
    </w:p>
    <w:p>
      <w:pPr>
        <w:ind w:left="480"/>
        <w:rPr>
          <w:rFonts w:ascii="宋体" w:hAnsi="宋体"/>
          <w:b/>
          <w:sz w:val="24"/>
          <w:szCs w:val="21"/>
        </w:rPr>
      </w:pPr>
      <w:r>
        <w:rPr>
          <w:rFonts w:ascii="宋体" w:hAnsi="宋体"/>
          <w:b/>
          <w:sz w:val="24"/>
          <w:szCs w:val="21"/>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ind w:left="480"/>
        <w:rPr>
          <w:rFonts w:ascii="宋体" w:hAnsi="宋体"/>
          <w:b/>
          <w:sz w:val="24"/>
          <w:szCs w:val="21"/>
        </w:rPr>
      </w:pPr>
      <w:r>
        <w:rPr>
          <w:rFonts w:ascii="宋体" w:hAnsi="宋体"/>
          <w:b/>
          <w:sz w:val="24"/>
          <w:szCs w:val="2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u w:val="single"/>
        </w:rPr>
        <w:t xml:space="preserve">附件2 投标分项报价表（采购包号：**）</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3"/>
        <w:gridCol w:w="1378"/>
        <w:gridCol w:w="1554"/>
        <w:gridCol w:w="672"/>
        <w:gridCol w:w="872"/>
        <w:gridCol w:w="872"/>
        <w:gridCol w:w="85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交付期/服务期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合同签订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后   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投标总报价（人民币：         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2.“投标分项报价表”中“投标总报价”数额应当与“开标一览表”中“投标总报价”数额一致。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3. 项目经办人可以根据项目实际需要对表格结构进行调整。</w:t>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招标文件</w:t>
      </w:r>
      <w:r>
        <w:rPr>
          <w:rFonts w:ascii="宋体" w:hAnsi="宋体"/>
          <w:sz w:val="24"/>
          <w:szCs w:val="24"/>
        </w:rPr>
        <w:t xml:space="preserve">技术</w:t>
      </w:r>
      <w:r>
        <w:rPr>
          <w:rFonts w:hint="eastAsia" w:ascii="宋体" w:hAnsi="宋体"/>
          <w:sz w:val="24"/>
          <w:szCs w:val="24"/>
        </w:rPr>
        <w:t xml:space="preserve">要求中非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b/>
          <w:sz w:val="24"/>
          <w:szCs w:val="24"/>
        </w:rPr>
        <w:t xml:space="preserve">未加</w:t>
      </w:r>
      <w:r>
        <w:rPr>
          <w:rFonts w:hint="eastAsia" w:ascii="宋体" w:hAnsi="宋体"/>
          <w:b/>
          <w:i/>
          <w:sz w:val="24"/>
          <w:szCs w:val="24"/>
          <w:u w:val="single"/>
        </w:rPr>
        <w:t xml:space="preserve">斜体</w:t>
      </w:r>
      <w:r>
        <w:rPr>
          <w:rFonts w:ascii="宋体" w:hAnsi="宋体"/>
          <w:b/>
          <w:i/>
          <w:sz w:val="24"/>
          <w:szCs w:val="24"/>
          <w:u w:val="single"/>
        </w:rPr>
        <w:t xml:space="preserve">下划线</w:t>
      </w:r>
      <w:r>
        <w:rPr>
          <w:rFonts w:hint="eastAsia" w:ascii="宋体" w:hAnsi="宋体"/>
          <w:b/>
          <w:iCs/>
          <w:sz w:val="24"/>
          <w:szCs w:val="24"/>
        </w:rPr>
        <w:t xml:space="preserve">部分</w:t>
      </w:r>
      <w:r>
        <w:rPr>
          <w:rFonts w:hint="eastAsia" w:ascii="宋体" w:hAnsi="宋体"/>
          <w:b/>
          <w:sz w:val="24"/>
          <w:szCs w:val="24"/>
        </w:rPr>
        <w:t xml:space="preserve">或未加*号条款</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招标文件商务要求中非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b/>
          <w:sz w:val="24"/>
          <w:szCs w:val="24"/>
        </w:rPr>
        <w:t xml:space="preserve">未加</w:t>
      </w:r>
      <w:r>
        <w:rPr>
          <w:rFonts w:hint="eastAsia" w:ascii="宋体" w:hAnsi="宋体"/>
          <w:b/>
          <w:i/>
          <w:sz w:val="24"/>
          <w:szCs w:val="24"/>
          <w:u w:val="single"/>
        </w:rPr>
        <w:t xml:space="preserve">斜体</w:t>
      </w:r>
      <w:r>
        <w:rPr>
          <w:rFonts w:ascii="宋体" w:hAnsi="宋体"/>
          <w:b/>
          <w:i/>
          <w:sz w:val="24"/>
          <w:szCs w:val="24"/>
          <w:u w:val="single"/>
        </w:rPr>
        <w:t xml:space="preserve">下划线</w:t>
      </w:r>
      <w:r>
        <w:rPr>
          <w:rFonts w:hint="eastAsia" w:ascii="宋体" w:hAnsi="宋体"/>
          <w:b/>
          <w:iCs/>
          <w:sz w:val="24"/>
          <w:szCs w:val="24"/>
        </w:rPr>
        <w:t xml:space="preserve">部分</w:t>
      </w:r>
      <w:r>
        <w:rPr>
          <w:rFonts w:hint="eastAsia" w:ascii="宋体" w:hAnsi="宋体"/>
          <w:b/>
          <w:sz w:val="24"/>
          <w:szCs w:val="24"/>
        </w:rPr>
        <w:t xml:space="preserve">或未加*号条款</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ind w:firstLine="492"/>
        <w:spacing w:line="460" w:lineRule="exact"/>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spacing w:line="460" w:lineRule="exact"/>
        <w:rPr>
          <w:rFonts w:ascii="宋体" w:hAnsi="宋体"/>
          <w:bCs/>
          <w:sz w:val="24"/>
          <w:szCs w:val="21"/>
        </w:rPr>
      </w:pPr>
      <w:r>
        <w:rPr>
          <w:rFonts w:hint="eastAsia" w:ascii="宋体" w:hAnsi="宋体"/>
          <w:bCs/>
          <w:sz w:val="24"/>
          <w:szCs w:val="21"/>
        </w:rPr>
        <w:t xml:space="preserve">                                     </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w:t>
      </w:r>
      <w:r/>
    </w:p>
    <w:p>
      <w:pPr>
        <w:rPr>
          <w:rFonts w:ascii="宋体" w:hAnsi="宋体"/>
          <w:b/>
          <w:sz w:val="24"/>
          <w:szCs w:val="21"/>
        </w:rPr>
      </w:pPr>
      <w:r>
        <w:rPr>
          <w:rFonts w:hint="eastAsia" w:ascii="宋体" w:hAnsi="宋体"/>
          <w:b/>
          <w:sz w:val="24"/>
          <w:szCs w:val="21"/>
        </w:rPr>
        <w:t xml:space="preserve">面声明</w:t>
      </w:r>
      <w:r/>
    </w:p>
    <w:p>
      <w:pPr>
        <w:ind w:firstLine="480"/>
        <w:spacing w:line="460" w:lineRule="exact"/>
        <w:rPr>
          <w:rFonts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3"/>
      <w:r/>
      <w:bookmarkEnd w:id="184"/>
      <w:r/>
      <w:bookmarkEnd w:id="185"/>
      <w:r/>
      <w:bookmarkStart w:id="186" w:name="_Toc120614284"/>
      <w:r/>
      <w:r/>
    </w:p>
    <w:p>
      <w:pPr>
        <w:spacing w:line="460" w:lineRule="exact"/>
        <w:rPr>
          <w:rFonts w:ascii="宋体" w:hAnsi="宋体"/>
          <w:b/>
          <w:sz w:val="24"/>
          <w:szCs w:val="21"/>
        </w:rPr>
      </w:pPr>
      <w:r>
        <w:rPr>
          <w:rFonts w:ascii="宋体" w:hAnsi="宋体"/>
          <w:b/>
          <w:sz w:val="24"/>
          <w:szCs w:val="21"/>
        </w:rPr>
      </w:r>
      <w:r/>
    </w:p>
    <w:p>
      <w:pPr>
        <w:ind w:firstLine="480"/>
        <w:spacing w:line="460" w:lineRule="exact"/>
        <w:rPr>
          <w:rFonts w:ascii="宋体" w:hAnsi="宋体"/>
          <w:b/>
          <w:sz w:val="24"/>
          <w:szCs w:val="21"/>
        </w:rPr>
      </w:pPr>
      <w:r>
        <w:rPr>
          <w:rFonts w:ascii="宋体" w:hAnsi="宋体"/>
          <w:b/>
          <w:sz w:val="24"/>
          <w:szCs w:val="21"/>
        </w:rPr>
      </w:r>
      <w:r/>
    </w:p>
    <w:p>
      <w:pPr>
        <w:ind w:firstLine="480"/>
        <w:spacing w:line="460" w:lineRule="exact"/>
        <w:rPr>
          <w:rFonts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本授权书于______年____月____日起生效，特此声明。</w:t>
      </w:r>
      <w:r/>
    </w:p>
    <w:p>
      <w:pPr>
        <w:spacing w:line="400" w:lineRule="exact"/>
        <w:tabs>
          <w:tab w:val="left" w:pos="360" w:leader="none"/>
        </w:tabs>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日期：</w:t>
      </w:r>
      <w:bookmarkStart w:id="187" w:name="_Hlt26955070"/>
      <w:r/>
      <w:bookmarkEnd w:id="187"/>
      <w:r/>
      <w:bookmarkStart w:id="188" w:name="_格式3__银行出具的资信证明"/>
      <w:r/>
      <w:bookmarkEnd w:id="188"/>
      <w:r/>
      <w:bookmarkStart w:id="189" w:name="_Hlt26671380"/>
      <w:r/>
      <w:bookmarkEnd w:id="189"/>
      <w:r>
        <w:rPr>
          <w:rFonts w:hint="eastAsia"/>
          <w:sz w:val="24"/>
          <w:szCs w:val="24"/>
          <w:u w:val="single"/>
        </w:rPr>
        <w:t xml:space="preserve">                                         </w:t>
      </w:r>
      <w:r/>
    </w:p>
    <w:p>
      <w:pPr>
        <w:ind w:firstLine="360"/>
        <w:spacing w:line="400" w:lineRule="exact"/>
        <w:rPr>
          <w:sz w:val="24"/>
          <w:szCs w:val="24"/>
        </w:rPr>
      </w:pPr>
      <w:r>
        <w:rPr>
          <w:sz w:val="24"/>
          <w:szCs w:val="24"/>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spacing w:line="560" w:lineRule="exact"/>
        <w:rPr>
          <w:rFonts w:ascii="宋体" w:hAnsi="宋体"/>
          <w:b/>
          <w:sz w:val="24"/>
          <w:szCs w:val="21"/>
        </w:rPr>
      </w:pPr>
      <w:r>
        <w:rPr>
          <w:rFonts w:ascii="宋体" w:hAnsi="宋体"/>
          <w:b/>
          <w:sz w:val="24"/>
          <w:szCs w:val="21"/>
        </w:rPr>
      </w:r>
      <w:r/>
    </w:p>
    <w:p>
      <w:pPr>
        <w:ind w:firstLine="240"/>
        <w:jc w:val="center"/>
        <w:spacing w:line="560" w:lineRule="exact"/>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175"/>
      <w:r/>
      <w:bookmarkEnd w:id="176"/>
      <w:r/>
      <w:bookmarkEnd w:id="186"/>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72"/>
        <w:rFonts w:ascii="宋体" w:hAnsi="宋体"/>
      </w:rPr>
      <w:framePr w:wrap="around" w:vAnchor="text" w:hAnchor="margin" w:xAlign="center" w:y="1"/>
    </w:pPr>
    <w:r>
      <w:rPr>
        <w:rFonts w:ascii="宋体" w:hAnsi="宋体"/>
      </w:rPr>
      <w:fldChar w:fldCharType="begin"/>
    </w:r>
    <w:r>
      <w:rPr>
        <w:rStyle w:val="872"/>
        <w:rFonts w:ascii="宋体" w:hAnsi="宋体"/>
      </w:rPr>
      <w:instrText xml:space="preserve">PAGE  </w:instrText>
    </w:r>
    <w:r>
      <w:rPr>
        <w:rFonts w:ascii="宋体" w:hAnsi="宋体"/>
      </w:rPr>
      <w:fldChar w:fldCharType="separate"/>
    </w:r>
    <w:r>
      <w:rPr>
        <w:rStyle w:val="872"/>
        <w:rFonts w:ascii="宋体" w:hAnsi="宋体"/>
      </w:rPr>
      <w:t xml:space="preserve">59</w:t>
    </w:r>
    <w:r>
      <w:rPr>
        <w:rFonts w:ascii="宋体" w:hAnsi="宋体"/>
      </w:rPr>
      <w:fldChar w:fldCharType="end"/>
    </w:r>
    <w:r/>
  </w:p>
  <w:p>
    <w:pPr>
      <w:pStyle w:val="84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1</w:t>
    </w:r>
    <w:r>
      <w:fldChar w:fldCharType="end"/>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5"/>
      <w:isLgl w:val="false"/>
      <w:suff w:val="nothing"/>
      <w:lvlText w:val=""/>
      <w:lvlJc w:val="left"/>
      <w:pPr>
        <w:ind w:left="0" w:firstLine="0"/>
      </w:pPr>
      <w:rPr>
        <w:rFonts w:hint="eastAsia"/>
      </w:rPr>
    </w:lvl>
    <w:lvl w:ilvl="6">
      <w:start w:val="1"/>
      <w:numFmt w:val="decimal"/>
      <w:pStyle w:val="796"/>
      <w:isLgl w:val="false"/>
      <w:suff w:val="nothing"/>
      <w:lvlText w:val=""/>
      <w:lvlJc w:val="left"/>
      <w:pPr>
        <w:ind w:left="0" w:firstLine="0"/>
      </w:pPr>
      <w:rPr>
        <w:rFonts w:hint="eastAsia"/>
      </w:rPr>
    </w:lvl>
    <w:lvl w:ilvl="7">
      <w:start w:val="1"/>
      <w:numFmt w:val="decimal"/>
      <w:pStyle w:val="797"/>
      <w:isLgl w:val="false"/>
      <w:suff w:val="nothing"/>
      <w:lvlText w:val=""/>
      <w:lvlJc w:val="left"/>
      <w:pPr>
        <w:ind w:left="0" w:firstLine="0"/>
      </w:pPr>
      <w:rPr>
        <w:rFonts w:hint="eastAsia"/>
      </w:rPr>
    </w:lvl>
    <w:lvl w:ilvl="8">
      <w:start w:val="1"/>
      <w:numFmt w:val="decimal"/>
      <w:pStyle w:val="798"/>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2.%3．"/>
      <w:lvlJc w:val="left"/>
      <w:pPr>
        <w:ind w:left="0" w:firstLine="400"/>
        <w:tabs>
          <w:tab w:val="left" w:pos="0" w:leader="none"/>
        </w:tabs>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957"/>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59"/>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abstractNum w:abstractNumId="1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6"/>
  </w:num>
  <w:num w:numId="2">
    <w:abstractNumId w:val="4"/>
  </w:num>
  <w:num w:numId="3">
    <w:abstractNumId w:val="2"/>
  </w:num>
  <w:num w:numId="4">
    <w:abstractNumId w:val="11"/>
  </w:num>
  <w:num w:numId="5">
    <w:abstractNumId w:val="7"/>
    <w:lvlOverride w:ilvl="0">
      <w:startOverride w:val="1"/>
    </w:lvlOverride>
  </w:num>
  <w:num w:numId="6">
    <w:abstractNumId w:val="1"/>
  </w:num>
  <w:num w:numId="7">
    <w:abstractNumId w:val="3"/>
  </w:num>
  <w:num w:numId="8">
    <w:abstractNumId w:val="5"/>
  </w:num>
  <w:num w:numId="9">
    <w:abstractNumId w:val="13"/>
  </w:num>
  <w:num w:numId="10">
    <w:abstractNumId w:val="9"/>
  </w:num>
  <w:num w:numId="11">
    <w:abstractNumId w:val="12"/>
  </w:num>
  <w:num w:numId="12">
    <w:abstractNumId w:val="10"/>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29">
    <w:name w:val="Heading 1"/>
    <w:basedOn w:val="728"/>
    <w:next w:val="72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qFormat/>
    <w:pPr>
      <w:keepLines/>
      <w:keepNext/>
      <w:spacing w:before="360" w:after="200"/>
      <w:outlineLvl w:val="1"/>
    </w:pPr>
    <w:rPr>
      <w:rFonts w:ascii="Arial" w:hAnsi="Arial" w:eastAsia="Arial" w:cs="Arial"/>
      <w:sz w:val="34"/>
    </w:rPr>
  </w:style>
  <w:style w:type="paragraph" w:styleId="731">
    <w:name w:val="Heading 3"/>
    <w:basedOn w:val="728"/>
    <w:next w:val="728"/>
    <w:uiPriority w:val="9"/>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qFormat/>
    <w:pPr>
      <w:keepLines/>
      <w:keepNext/>
      <w:spacing w:before="320" w:after="200"/>
      <w:outlineLvl w:val="5"/>
    </w:pPr>
    <w:rPr>
      <w:rFonts w:ascii="Arial" w:hAnsi="Arial" w:eastAsia="Arial" w:cs="Arial"/>
      <w:b/>
      <w:bCs/>
      <w:sz w:val="22"/>
    </w:rPr>
  </w:style>
  <w:style w:type="paragraph" w:styleId="735">
    <w:name w:val="Heading 7"/>
    <w:basedOn w:val="728"/>
    <w:next w:val="728"/>
    <w:uiPriority w:val="9"/>
    <w:qFormat/>
    <w:pPr>
      <w:keepLines/>
      <w:keepNext/>
      <w:spacing w:before="320" w:after="200"/>
      <w:outlineLvl w:val="6"/>
    </w:pPr>
    <w:rPr>
      <w:rFonts w:ascii="Arial" w:hAnsi="Arial" w:eastAsia="Arial" w:cs="Arial"/>
      <w:b/>
      <w:bCs/>
      <w:i/>
      <w:iCs/>
      <w:sz w:val="22"/>
    </w:rPr>
  </w:style>
  <w:style w:type="paragraph" w:styleId="736">
    <w:name w:val="Heading 8"/>
    <w:basedOn w:val="728"/>
    <w:next w:val="728"/>
    <w:uiPriority w:val="9"/>
    <w:qFormat/>
    <w:pPr>
      <w:keepLines/>
      <w:keepNext/>
      <w:spacing w:before="320" w:after="200"/>
      <w:outlineLvl w:val="7"/>
    </w:pPr>
    <w:rPr>
      <w:rFonts w:ascii="Arial" w:hAnsi="Arial" w:eastAsia="Arial" w:cs="Arial"/>
      <w:i/>
      <w:iCs/>
      <w:sz w:val="22"/>
    </w:rPr>
  </w:style>
  <w:style w:type="paragraph" w:styleId="737">
    <w:name w:val="Heading 9"/>
    <w:basedOn w:val="728"/>
    <w:next w:val="728"/>
    <w:uiPriority w:val="9"/>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style>
  <w:style w:type="table" w:styleId="739" w:default="1">
    <w:name w:val="Normal Table"/>
    <w:uiPriority w:val="99"/>
    <w:semiHidden/>
    <w:unhideWhenUsed/>
    <w:tblPr>
      <w:tblCellMar>
        <w:left w:w="108" w:type="dxa"/>
        <w:top w:w="0" w:type="dxa"/>
        <w:right w:w="108" w:type="dxa"/>
        <w:bottom w:w="0" w:type="dxa"/>
      </w:tblCellMar>
    </w:tblPr>
  </w:style>
  <w:style w:type="paragraph" w:styleId="740">
    <w:name w:val="toc 7"/>
    <w:basedOn w:val="728"/>
    <w:next w:val="728"/>
    <w:uiPriority w:val="39"/>
    <w:qFormat/>
    <w:pPr>
      <w:ind w:left="1701"/>
      <w:spacing w:after="57"/>
    </w:pPr>
  </w:style>
  <w:style w:type="paragraph" w:styleId="741">
    <w:name w:val="Caption"/>
    <w:basedOn w:val="728"/>
    <w:next w:val="728"/>
    <w:uiPriority w:val="35"/>
    <w:qFormat/>
    <w:pPr>
      <w:spacing w:line="276" w:lineRule="auto"/>
    </w:pPr>
    <w:rPr>
      <w:b/>
      <w:bCs/>
      <w:color w:val="4f81bd"/>
      <w:sz w:val="18"/>
      <w:szCs w:val="18"/>
    </w:rPr>
  </w:style>
  <w:style w:type="paragraph" w:styleId="742">
    <w:name w:val="annotation text"/>
    <w:basedOn w:val="728"/>
    <w:link w:val="1119"/>
    <w:uiPriority w:val="0"/>
    <w:qFormat/>
    <w:pPr>
      <w:jc w:val="left"/>
    </w:pPr>
  </w:style>
  <w:style w:type="paragraph" w:styleId="743">
    <w:name w:val="Body Text"/>
    <w:basedOn w:val="728"/>
    <w:uiPriority w:val="0"/>
    <w:qFormat/>
    <w:rPr>
      <w:rFonts w:ascii="楷体_GB2312" w:hAnsi="Arial" w:eastAsia="楷体_GB2312"/>
      <w:sz w:val="28"/>
      <w:szCs w:val="28"/>
    </w:rPr>
  </w:style>
  <w:style w:type="paragraph" w:styleId="744">
    <w:name w:val="Body Text Indent"/>
    <w:basedOn w:val="728"/>
    <w:uiPriority w:val="0"/>
    <w:qFormat/>
    <w:pPr>
      <w:ind w:left="420"/>
      <w:spacing w:after="120"/>
    </w:pPr>
  </w:style>
  <w:style w:type="paragraph" w:styleId="745">
    <w:name w:val="toc 5"/>
    <w:basedOn w:val="728"/>
    <w:next w:val="728"/>
    <w:uiPriority w:val="39"/>
    <w:qFormat/>
    <w:pPr>
      <w:ind w:left="1134"/>
      <w:spacing w:after="57"/>
    </w:pPr>
  </w:style>
  <w:style w:type="paragraph" w:styleId="746">
    <w:name w:val="toc 3"/>
    <w:basedOn w:val="728"/>
    <w:next w:val="728"/>
    <w:uiPriority w:val="39"/>
    <w:qFormat/>
    <w:pPr>
      <w:ind w:left="567"/>
      <w:spacing w:after="57"/>
    </w:pPr>
  </w:style>
  <w:style w:type="paragraph" w:styleId="747">
    <w:name w:val="Plain Text"/>
    <w:basedOn w:val="728"/>
    <w:link w:val="1118"/>
    <w:uiPriority w:val="0"/>
    <w:qFormat/>
    <w:rPr>
      <w:rFonts w:ascii="宋体" w:hAnsi="Courier New" w:cs="Courier New"/>
      <w:szCs w:val="21"/>
    </w:rPr>
  </w:style>
  <w:style w:type="paragraph" w:styleId="748">
    <w:name w:val="toc 8"/>
    <w:basedOn w:val="728"/>
    <w:next w:val="728"/>
    <w:uiPriority w:val="39"/>
    <w:qFormat/>
    <w:pPr>
      <w:ind w:left="1984"/>
      <w:spacing w:after="57"/>
    </w:pPr>
  </w:style>
  <w:style w:type="paragraph" w:styleId="749">
    <w:name w:val="endnote text"/>
    <w:basedOn w:val="728"/>
    <w:uiPriority w:val="99"/>
    <w:qFormat/>
    <w:rPr>
      <w:sz w:val="20"/>
    </w:rPr>
  </w:style>
  <w:style w:type="paragraph" w:styleId="750">
    <w:name w:val="Footer"/>
    <w:basedOn w:val="728"/>
    <w:uiPriority w:val="99"/>
    <w:qFormat/>
    <w:pPr>
      <w:tabs>
        <w:tab w:val="center" w:pos="7143" w:leader="none"/>
        <w:tab w:val="right" w:pos="14287" w:leader="none"/>
      </w:tabs>
    </w:pPr>
  </w:style>
  <w:style w:type="paragraph" w:styleId="751">
    <w:name w:val="Header"/>
    <w:basedOn w:val="728"/>
    <w:uiPriority w:val="99"/>
    <w:qFormat/>
    <w:pPr>
      <w:tabs>
        <w:tab w:val="center" w:pos="7143" w:leader="none"/>
        <w:tab w:val="right" w:pos="14287" w:leader="none"/>
      </w:tabs>
    </w:pPr>
  </w:style>
  <w:style w:type="paragraph" w:styleId="752">
    <w:name w:val="toc 1"/>
    <w:basedOn w:val="728"/>
    <w:next w:val="728"/>
    <w:uiPriority w:val="39"/>
    <w:qFormat/>
    <w:pPr>
      <w:spacing w:after="57"/>
    </w:pPr>
  </w:style>
  <w:style w:type="paragraph" w:styleId="753">
    <w:name w:val="toc 4"/>
    <w:basedOn w:val="728"/>
    <w:next w:val="728"/>
    <w:uiPriority w:val="39"/>
    <w:qFormat/>
    <w:pPr>
      <w:ind w:left="850"/>
      <w:spacing w:after="57"/>
    </w:pPr>
  </w:style>
  <w:style w:type="paragraph" w:styleId="754">
    <w:name w:val="Subtitle"/>
    <w:basedOn w:val="728"/>
    <w:next w:val="728"/>
    <w:uiPriority w:val="11"/>
    <w:qFormat/>
    <w:pPr>
      <w:spacing w:before="200" w:after="200"/>
    </w:pPr>
    <w:rPr>
      <w:sz w:val="24"/>
      <w:szCs w:val="24"/>
    </w:rPr>
  </w:style>
  <w:style w:type="paragraph" w:styleId="755">
    <w:name w:val="footnote text"/>
    <w:basedOn w:val="728"/>
    <w:uiPriority w:val="99"/>
    <w:qFormat/>
    <w:pPr>
      <w:spacing w:after="40"/>
    </w:pPr>
    <w:rPr>
      <w:sz w:val="18"/>
    </w:rPr>
  </w:style>
  <w:style w:type="paragraph" w:styleId="756">
    <w:name w:val="toc 6"/>
    <w:basedOn w:val="728"/>
    <w:next w:val="728"/>
    <w:uiPriority w:val="39"/>
    <w:qFormat/>
    <w:pPr>
      <w:ind w:left="1417"/>
      <w:spacing w:after="57"/>
    </w:pPr>
  </w:style>
  <w:style w:type="paragraph" w:styleId="757">
    <w:name w:val="Body Text Indent 3"/>
    <w:basedOn w:val="728"/>
    <w:uiPriority w:val="0"/>
    <w:qFormat/>
    <w:pPr>
      <w:ind w:left="645" w:firstLine="640"/>
    </w:pPr>
    <w:rPr>
      <w:rFonts w:ascii="Arial" w:hAnsi="Arial" w:eastAsia="仿宋_GB2312" w:cs="Arial"/>
      <w:color w:val="ffff00"/>
      <w:sz w:val="32"/>
      <w:szCs w:val="32"/>
    </w:rPr>
  </w:style>
  <w:style w:type="paragraph" w:styleId="758">
    <w:name w:val="table of figures"/>
    <w:basedOn w:val="728"/>
    <w:next w:val="728"/>
    <w:uiPriority w:val="99"/>
    <w:qFormat/>
  </w:style>
  <w:style w:type="paragraph" w:styleId="759">
    <w:name w:val="toc 2"/>
    <w:basedOn w:val="728"/>
    <w:next w:val="728"/>
    <w:uiPriority w:val="39"/>
    <w:qFormat/>
    <w:pPr>
      <w:ind w:left="283"/>
      <w:spacing w:after="57"/>
    </w:pPr>
  </w:style>
  <w:style w:type="paragraph" w:styleId="760">
    <w:name w:val="toc 9"/>
    <w:basedOn w:val="728"/>
    <w:next w:val="728"/>
    <w:uiPriority w:val="39"/>
    <w:qFormat/>
    <w:pPr>
      <w:ind w:left="2268"/>
      <w:spacing w:after="57"/>
    </w:pPr>
  </w:style>
  <w:style w:type="paragraph" w:styleId="761">
    <w:name w:val="Title"/>
    <w:basedOn w:val="728"/>
    <w:next w:val="728"/>
    <w:uiPriority w:val="10"/>
    <w:qFormat/>
    <w:pPr>
      <w:contextualSpacing/>
      <w:spacing w:before="300" w:after="200"/>
    </w:pPr>
    <w:rPr>
      <w:sz w:val="48"/>
      <w:szCs w:val="48"/>
    </w:rPr>
  </w:style>
  <w:style w:type="paragraph" w:styleId="762">
    <w:name w:val="annotation subject"/>
    <w:basedOn w:val="742"/>
    <w:next w:val="742"/>
    <w:link w:val="1120"/>
    <w:uiPriority w:val="99"/>
    <w:semiHidden/>
    <w:unhideWhenUsed/>
    <w:rPr>
      <w:b/>
      <w:bCs/>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qFormat/>
    <w:rPr>
      <w:vertAlign w:val="superscript"/>
    </w:rPr>
  </w:style>
  <w:style w:type="character" w:styleId="765">
    <w:name w:val="page number"/>
    <w:uiPriority w:val="0"/>
    <w:qFormat/>
  </w:style>
  <w:style w:type="character" w:styleId="766">
    <w:name w:val="Hyperlink"/>
    <w:uiPriority w:val="99"/>
    <w:qFormat/>
    <w:rPr>
      <w:color w:val="0000ff"/>
      <w:u w:val="single"/>
    </w:rPr>
  </w:style>
  <w:style w:type="character" w:styleId="767">
    <w:name w:val="annotation reference"/>
    <w:basedOn w:val="738"/>
    <w:uiPriority w:val="99"/>
    <w:semiHidden/>
    <w:unhideWhenUsed/>
    <w:rPr>
      <w:sz w:val="21"/>
      <w:szCs w:val="21"/>
    </w:rPr>
  </w:style>
  <w:style w:type="character" w:styleId="768">
    <w:name w:val="footnote reference"/>
    <w:uiPriority w:val="99"/>
    <w:qFormat/>
    <w:rPr>
      <w:vertAlign w:val="superscript"/>
    </w:rPr>
  </w:style>
  <w:style w:type="character" w:styleId="769" w:customStyle="1">
    <w:name w:val="Heading 1 Char"/>
    <w:basedOn w:val="738"/>
    <w:uiPriority w:val="9"/>
    <w:qFormat/>
    <w:rPr>
      <w:rFonts w:ascii="Arial" w:hAnsi="Arial" w:eastAsia="Arial" w:cs="Arial"/>
      <w:sz w:val="40"/>
      <w:szCs w:val="40"/>
    </w:rPr>
  </w:style>
  <w:style w:type="character" w:styleId="770" w:customStyle="1">
    <w:name w:val="Heading 2 Char"/>
    <w:basedOn w:val="738"/>
    <w:uiPriority w:val="9"/>
    <w:qFormat/>
    <w:rPr>
      <w:rFonts w:ascii="Arial" w:hAnsi="Arial" w:eastAsia="Arial" w:cs="Arial"/>
      <w:sz w:val="34"/>
    </w:rPr>
  </w:style>
  <w:style w:type="character" w:styleId="771" w:customStyle="1">
    <w:name w:val="Heading 3 Char"/>
    <w:basedOn w:val="738"/>
    <w:uiPriority w:val="9"/>
    <w:qFormat/>
    <w:rPr>
      <w:rFonts w:ascii="Arial" w:hAnsi="Arial" w:eastAsia="Arial" w:cs="Arial"/>
      <w:sz w:val="30"/>
      <w:szCs w:val="30"/>
    </w:rPr>
  </w:style>
  <w:style w:type="character" w:styleId="772" w:customStyle="1">
    <w:name w:val="Heading 4 Char"/>
    <w:basedOn w:val="738"/>
    <w:uiPriority w:val="9"/>
    <w:qFormat/>
    <w:rPr>
      <w:rFonts w:ascii="Arial" w:hAnsi="Arial" w:eastAsia="Arial" w:cs="Arial"/>
      <w:b/>
      <w:bCs/>
      <w:sz w:val="26"/>
      <w:szCs w:val="26"/>
    </w:rPr>
  </w:style>
  <w:style w:type="character" w:styleId="773" w:customStyle="1">
    <w:name w:val="Heading 5 Char"/>
    <w:basedOn w:val="738"/>
    <w:uiPriority w:val="9"/>
    <w:qFormat/>
    <w:rPr>
      <w:rFonts w:ascii="Arial" w:hAnsi="Arial" w:eastAsia="Arial" w:cs="Arial"/>
      <w:b/>
      <w:bCs/>
      <w:sz w:val="24"/>
      <w:szCs w:val="24"/>
    </w:rPr>
  </w:style>
  <w:style w:type="character" w:styleId="774" w:customStyle="1">
    <w:name w:val="Heading 6 Char"/>
    <w:basedOn w:val="738"/>
    <w:uiPriority w:val="9"/>
    <w:qFormat/>
    <w:rPr>
      <w:rFonts w:ascii="Arial" w:hAnsi="Arial" w:eastAsia="Arial" w:cs="Arial"/>
      <w:b/>
      <w:bCs/>
      <w:sz w:val="22"/>
      <w:szCs w:val="22"/>
    </w:rPr>
  </w:style>
  <w:style w:type="character" w:styleId="775" w:customStyle="1">
    <w:name w:val="Heading 7 Char"/>
    <w:basedOn w:val="738"/>
    <w:uiPriority w:val="9"/>
    <w:qFormat/>
    <w:rPr>
      <w:rFonts w:ascii="Arial" w:hAnsi="Arial" w:eastAsia="Arial" w:cs="Arial"/>
      <w:b/>
      <w:bCs/>
      <w:i/>
      <w:iCs/>
      <w:sz w:val="22"/>
      <w:szCs w:val="22"/>
    </w:rPr>
  </w:style>
  <w:style w:type="character" w:styleId="776" w:customStyle="1">
    <w:name w:val="Heading 8 Char"/>
    <w:basedOn w:val="738"/>
    <w:uiPriority w:val="9"/>
    <w:qFormat/>
    <w:rPr>
      <w:rFonts w:ascii="Arial" w:hAnsi="Arial" w:eastAsia="Arial" w:cs="Arial"/>
      <w:i/>
      <w:iCs/>
      <w:sz w:val="22"/>
      <w:szCs w:val="22"/>
    </w:rPr>
  </w:style>
  <w:style w:type="character" w:styleId="777" w:customStyle="1">
    <w:name w:val="Heading 9 Char"/>
    <w:basedOn w:val="738"/>
    <w:uiPriority w:val="9"/>
    <w:qFormat/>
    <w:rPr>
      <w:rFonts w:ascii="Arial" w:hAnsi="Arial" w:eastAsia="Arial" w:cs="Arial"/>
      <w:i/>
      <w:iCs/>
      <w:sz w:val="21"/>
      <w:szCs w:val="21"/>
    </w:rPr>
  </w:style>
  <w:style w:type="character" w:styleId="778" w:customStyle="1">
    <w:name w:val="Title Char"/>
    <w:basedOn w:val="738"/>
    <w:uiPriority w:val="10"/>
    <w:qFormat/>
    <w:rPr>
      <w:sz w:val="48"/>
      <w:szCs w:val="48"/>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38"/>
    <w:uiPriority w:val="99"/>
    <w:qFormat/>
  </w:style>
  <w:style w:type="character" w:styleId="782" w:customStyle="1">
    <w:name w:val="Footer Char"/>
    <w:basedOn w:val="738"/>
    <w:uiPriority w:val="99"/>
    <w:qFormat/>
  </w:style>
  <w:style w:type="paragraph" w:styleId="783" w:customStyle="1">
    <w:name w:val="TOC 标题1"/>
    <w:uiPriority w:val="39"/>
    <w:unhideWhenUsed/>
    <w:qFormat/>
    <w:rPr>
      <w:rFonts w:ascii="Times New Roman" w:hAnsi="Times New Roman" w:eastAsia="宋体" w:cs="Times New Roman"/>
      <w:lang w:val="en-US" w:eastAsia="zh-CN" w:bidi="ar-SA"/>
    </w:rPr>
  </w:style>
  <w:style w:type="paragraph" w:styleId="784">
    <w:name w:val="List Paragraph"/>
    <w:basedOn w:val="728"/>
    <w:uiPriority w:val="34"/>
    <w:qFormat/>
    <w:pPr>
      <w:contextualSpacing/>
      <w:ind w:left="720"/>
    </w:pPr>
  </w:style>
  <w:style w:type="paragraph" w:styleId="785">
    <w:name w:val="No Spacing"/>
    <w:uiPriority w:val="1"/>
    <w:qFormat/>
    <w:rPr>
      <w:rFonts w:ascii="Times New Roman" w:hAnsi="Times New Roman" w:eastAsia="宋体" w:cs="Times New Roman"/>
      <w:lang w:val="en-US" w:eastAsia="zh-CN" w:bidi="ar-SA"/>
    </w:rPr>
  </w:style>
  <w:style w:type="paragraph" w:styleId="786">
    <w:name w:val="Quote"/>
    <w:basedOn w:val="728"/>
    <w:next w:val="728"/>
    <w:uiPriority w:val="29"/>
    <w:qFormat/>
    <w:pPr>
      <w:ind w:left="720" w:right="720"/>
    </w:pPr>
    <w:rPr>
      <w:i/>
    </w:rPr>
  </w:style>
  <w:style w:type="paragraph" w:styleId="787">
    <w:name w:val="Intense Quote"/>
    <w:basedOn w:val="728"/>
    <w:next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8" w:customStyle="1">
    <w:name w:val="TOC Heading_262f1130-b73b-4c18-a908-f6c6b216b812"/>
    <w:uiPriority w:val="39"/>
    <w:qFormat/>
    <w:rPr>
      <w:rFonts w:ascii="Times New Roman" w:hAnsi="Times New Roman" w:eastAsia="宋体" w:cs="Times New Roman"/>
      <w:lang w:val="en-US" w:eastAsia="zh-CN" w:bidi="ar-SA"/>
    </w:rPr>
  </w:style>
  <w:style w:type="paragraph" w:styleId="789" w:customStyle="1">
    <w:name w:val="标题 1111"/>
    <w:basedOn w:val="728"/>
    <w:next w:val="728"/>
    <w:link w:val="801"/>
    <w:uiPriority w:val="9"/>
    <w:qFormat/>
    <w:pPr>
      <w:jc w:val="center"/>
      <w:keepNext/>
      <w:outlineLvl w:val="0"/>
    </w:pPr>
    <w:rPr>
      <w:rFonts w:ascii="楷体_GB2312" w:eastAsia="楷体_GB2312"/>
      <w:sz w:val="28"/>
      <w:szCs w:val="28"/>
    </w:rPr>
  </w:style>
  <w:style w:type="paragraph" w:styleId="790" w:customStyle="1">
    <w:name w:val="标题 2111"/>
    <w:basedOn w:val="728"/>
    <w:next w:val="791"/>
    <w:link w:val="8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1" w:customStyle="1">
    <w:name w:val="正文缩进11"/>
    <w:basedOn w:val="728"/>
    <w:link w:val="803"/>
    <w:uiPriority w:val="0"/>
    <w:qFormat/>
    <w:pPr>
      <w:ind w:firstLine="420"/>
    </w:pPr>
    <w:rPr>
      <w:szCs w:val="21"/>
    </w:rPr>
  </w:style>
  <w:style w:type="paragraph" w:styleId="792" w:customStyle="1">
    <w:name w:val="标题 3111"/>
    <w:basedOn w:val="728"/>
    <w:next w:val="728"/>
    <w:link w:val="804"/>
    <w:uiPriority w:val="9"/>
    <w:qFormat/>
    <w:pPr>
      <w:keepLines/>
      <w:keepNext/>
      <w:spacing w:before="260" w:after="260" w:line="416" w:lineRule="auto"/>
      <w:outlineLvl w:val="2"/>
    </w:pPr>
    <w:rPr>
      <w:b/>
      <w:bCs/>
      <w:sz w:val="32"/>
      <w:szCs w:val="32"/>
    </w:rPr>
  </w:style>
  <w:style w:type="paragraph" w:styleId="793" w:customStyle="1">
    <w:name w:val="标题 411"/>
    <w:basedOn w:val="728"/>
    <w:next w:val="728"/>
    <w:link w:val="805"/>
    <w:uiPriority w:val="9"/>
    <w:qFormat/>
    <w:pPr>
      <w:keepLines/>
      <w:keepNext/>
      <w:spacing w:before="280" w:after="290" w:line="376" w:lineRule="auto"/>
      <w:outlineLvl w:val="3"/>
    </w:pPr>
    <w:rPr>
      <w:rFonts w:ascii="Arial" w:hAnsi="Arial" w:eastAsia="黑体" w:cs="Arial"/>
      <w:b/>
      <w:bCs/>
      <w:sz w:val="28"/>
      <w:szCs w:val="28"/>
    </w:rPr>
  </w:style>
  <w:style w:type="paragraph" w:styleId="794" w:customStyle="1">
    <w:name w:val="标题 5111"/>
    <w:basedOn w:val="728"/>
    <w:next w:val="728"/>
    <w:link w:val="806"/>
    <w:uiPriority w:val="9"/>
    <w:qFormat/>
    <w:pPr>
      <w:keepNext/>
      <w:outlineLvl w:val="4"/>
    </w:pPr>
    <w:rPr>
      <w:rFonts w:ascii="宋体"/>
      <w:color w:val="000000"/>
      <w:sz w:val="28"/>
      <w:szCs w:val="28"/>
    </w:rPr>
  </w:style>
  <w:style w:type="paragraph" w:styleId="795" w:customStyle="1">
    <w:name w:val="标题 6111"/>
    <w:basedOn w:val="728"/>
    <w:next w:val="728"/>
    <w:link w:val="80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96" w:customStyle="1">
    <w:name w:val="标题 7111"/>
    <w:basedOn w:val="728"/>
    <w:next w:val="728"/>
    <w:link w:val="808"/>
    <w:uiPriority w:val="9"/>
    <w:qFormat/>
    <w:pPr>
      <w:numPr>
        <w:ilvl w:val="6"/>
        <w:numId w:val="1"/>
      </w:numPr>
      <w:keepLines/>
      <w:keepNext/>
      <w:spacing w:before="240" w:after="64" w:line="320" w:lineRule="auto"/>
      <w:outlineLvl w:val="6"/>
    </w:pPr>
    <w:rPr>
      <w:b/>
      <w:bCs/>
      <w:sz w:val="24"/>
      <w:szCs w:val="24"/>
    </w:rPr>
  </w:style>
  <w:style w:type="paragraph" w:styleId="797" w:customStyle="1">
    <w:name w:val="标题 8111"/>
    <w:basedOn w:val="728"/>
    <w:next w:val="728"/>
    <w:link w:val="809"/>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98" w:customStyle="1">
    <w:name w:val="标题 9111"/>
    <w:basedOn w:val="728"/>
    <w:next w:val="728"/>
    <w:link w:val="810"/>
    <w:uiPriority w:val="9"/>
    <w:qFormat/>
    <w:pPr>
      <w:numPr>
        <w:ilvl w:val="8"/>
        <w:numId w:val="1"/>
      </w:numPr>
      <w:keepLines/>
      <w:keepNext/>
      <w:spacing w:before="240" w:after="64" w:line="320" w:lineRule="auto"/>
      <w:outlineLvl w:val="8"/>
    </w:pPr>
    <w:rPr>
      <w:rFonts w:ascii="Arial" w:hAnsi="Arial" w:eastAsia="黑体"/>
      <w:szCs w:val="21"/>
    </w:rPr>
  </w:style>
  <w:style w:type="character" w:styleId="799" w:customStyle="1">
    <w:name w:val="默认段落字体1"/>
    <w:uiPriority w:val="1"/>
    <w:qFormat/>
  </w:style>
  <w:style w:type="table" w:styleId="800" w:customStyle="1">
    <w:name w:val="普通表格1"/>
    <w:uiPriority w:val="99"/>
    <w:qFormat/>
    <w:tblPr>
      <w:tblCellMar>
        <w:left w:w="0" w:type="dxa"/>
        <w:top w:w="0" w:type="dxa"/>
        <w:right w:w="0" w:type="dxa"/>
        <w:bottom w:w="0" w:type="dxa"/>
      </w:tblCellMar>
    </w:tblPr>
  </w:style>
  <w:style w:type="character" w:styleId="801" w:customStyle="1">
    <w:name w:val="标题 1 Char"/>
    <w:link w:val="789"/>
    <w:uiPriority w:val="9"/>
    <w:qFormat/>
    <w:rPr>
      <w:rFonts w:ascii="楷体_GB2312" w:hAnsi="Times New Roman" w:eastAsia="楷体_GB2312" w:cs="Times New Roman"/>
      <w:sz w:val="28"/>
      <w:szCs w:val="28"/>
    </w:rPr>
  </w:style>
  <w:style w:type="character" w:styleId="802" w:customStyle="1">
    <w:name w:val="标题 2 Char"/>
    <w:link w:val="790"/>
    <w:uiPriority w:val="0"/>
    <w:qFormat/>
    <w:rPr>
      <w:rFonts w:ascii="Arial" w:hAnsi="Arial" w:eastAsia="幼圆" w:cs="Arial"/>
      <w:b/>
      <w:bCs/>
      <w:sz w:val="44"/>
      <w:szCs w:val="44"/>
    </w:rPr>
  </w:style>
  <w:style w:type="character" w:styleId="803" w:customStyle="1">
    <w:name w:val="正文缩进 Char"/>
    <w:link w:val="791"/>
    <w:uiPriority w:val="0"/>
    <w:qFormat/>
    <w:rPr>
      <w:szCs w:val="21"/>
    </w:rPr>
  </w:style>
  <w:style w:type="character" w:styleId="804" w:customStyle="1">
    <w:name w:val="标题 3 Char"/>
    <w:link w:val="792"/>
    <w:uiPriority w:val="9"/>
    <w:qFormat/>
    <w:rPr>
      <w:rFonts w:ascii="Times New Roman" w:hAnsi="Times New Roman" w:eastAsia="宋体" w:cs="Times New Roman"/>
      <w:b/>
      <w:bCs/>
      <w:sz w:val="32"/>
      <w:szCs w:val="32"/>
    </w:rPr>
  </w:style>
  <w:style w:type="character" w:styleId="805" w:customStyle="1">
    <w:name w:val="标题 4 Char"/>
    <w:link w:val="793"/>
    <w:uiPriority w:val="9"/>
    <w:qFormat/>
    <w:rPr>
      <w:rFonts w:ascii="Arial" w:hAnsi="Arial" w:eastAsia="黑体" w:cs="Arial"/>
      <w:b/>
      <w:bCs/>
      <w:sz w:val="28"/>
      <w:szCs w:val="28"/>
    </w:rPr>
  </w:style>
  <w:style w:type="character" w:styleId="806" w:customStyle="1">
    <w:name w:val="标题 5 Char"/>
    <w:link w:val="794"/>
    <w:uiPriority w:val="9"/>
    <w:qFormat/>
    <w:rPr>
      <w:rFonts w:ascii="宋体" w:hAnsi="Times New Roman" w:eastAsia="宋体" w:cs="Times New Roman"/>
      <w:color w:val="000000"/>
      <w:sz w:val="28"/>
      <w:szCs w:val="28"/>
    </w:rPr>
  </w:style>
  <w:style w:type="character" w:styleId="807" w:customStyle="1">
    <w:name w:val="标题 6 Char"/>
    <w:link w:val="795"/>
    <w:uiPriority w:val="9"/>
    <w:qFormat/>
    <w:rPr>
      <w:rFonts w:ascii="Arial" w:hAnsi="Arial" w:eastAsia="黑体" w:cs="Times New Roman"/>
      <w:b/>
      <w:bCs/>
      <w:sz w:val="24"/>
      <w:szCs w:val="24"/>
    </w:rPr>
  </w:style>
  <w:style w:type="character" w:styleId="808" w:customStyle="1">
    <w:name w:val="标题 7 Char"/>
    <w:link w:val="796"/>
    <w:uiPriority w:val="9"/>
    <w:qFormat/>
    <w:rPr>
      <w:rFonts w:ascii="Times New Roman" w:hAnsi="Times New Roman" w:eastAsia="宋体" w:cs="Times New Roman"/>
      <w:b/>
      <w:bCs/>
      <w:sz w:val="24"/>
      <w:szCs w:val="24"/>
    </w:rPr>
  </w:style>
  <w:style w:type="character" w:styleId="809" w:customStyle="1">
    <w:name w:val="标题 8 Char"/>
    <w:link w:val="797"/>
    <w:uiPriority w:val="9"/>
    <w:qFormat/>
    <w:rPr>
      <w:rFonts w:ascii="Arial" w:hAnsi="Arial" w:eastAsia="黑体" w:cs="Times New Roman"/>
      <w:sz w:val="24"/>
      <w:szCs w:val="24"/>
    </w:rPr>
  </w:style>
  <w:style w:type="character" w:styleId="810" w:customStyle="1">
    <w:name w:val="标题 9 Char"/>
    <w:link w:val="798"/>
    <w:uiPriority w:val="9"/>
    <w:qFormat/>
    <w:rPr>
      <w:rFonts w:ascii="Arial" w:hAnsi="Arial" w:eastAsia="黑体" w:cs="Times New Roman"/>
      <w:szCs w:val="21"/>
    </w:rPr>
  </w:style>
  <w:style w:type="paragraph" w:styleId="811" w:customStyle="1">
    <w:name w:val="列表 31"/>
    <w:basedOn w:val="728"/>
    <w:uiPriority w:val="0"/>
    <w:qFormat/>
    <w:pPr>
      <w:ind w:left="100" w:hanging="200"/>
    </w:pPr>
    <w:rPr>
      <w:szCs w:val="21"/>
    </w:rPr>
  </w:style>
  <w:style w:type="paragraph" w:styleId="812" w:customStyle="1">
    <w:name w:val="目录 71"/>
    <w:basedOn w:val="728"/>
    <w:next w:val="728"/>
    <w:uiPriority w:val="0"/>
    <w:qFormat/>
    <w:pPr>
      <w:ind w:left="1260"/>
      <w:jc w:val="left"/>
    </w:pPr>
    <w:rPr>
      <w:szCs w:val="21"/>
    </w:rPr>
  </w:style>
  <w:style w:type="paragraph" w:styleId="813" w:customStyle="1">
    <w:name w:val="题注111"/>
    <w:basedOn w:val="728"/>
    <w:next w:val="728"/>
    <w:uiPriority w:val="35"/>
    <w:qFormat/>
    <w:pPr>
      <w:spacing w:line="276" w:lineRule="auto"/>
    </w:pPr>
    <w:rPr>
      <w:b/>
      <w:bCs/>
      <w:color w:val="4f81bd"/>
      <w:sz w:val="18"/>
      <w:szCs w:val="18"/>
    </w:rPr>
  </w:style>
  <w:style w:type="paragraph" w:styleId="814" w:customStyle="1">
    <w:name w:val="文档结构图1"/>
    <w:basedOn w:val="728"/>
    <w:link w:val="815"/>
    <w:uiPriority w:val="0"/>
    <w:qFormat/>
    <w:pPr>
      <w:shd w:val="clear" w:color="auto" w:fill="000080"/>
    </w:pPr>
    <w:rPr>
      <w:szCs w:val="21"/>
    </w:rPr>
  </w:style>
  <w:style w:type="character" w:styleId="815" w:customStyle="1">
    <w:name w:val="文档结构图 Char"/>
    <w:link w:val="814"/>
    <w:uiPriority w:val="0"/>
    <w:qFormat/>
    <w:rPr>
      <w:rFonts w:ascii="Times New Roman" w:hAnsi="Times New Roman" w:eastAsia="宋体" w:cs="Times New Roman"/>
      <w:szCs w:val="21"/>
      <w:shd w:val="clear" w:color="auto" w:fill="000080"/>
    </w:rPr>
  </w:style>
  <w:style w:type="paragraph" w:styleId="816" w:customStyle="1">
    <w:name w:val="批注文字1"/>
    <w:basedOn w:val="728"/>
    <w:link w:val="817"/>
    <w:uiPriority w:val="99"/>
    <w:qFormat/>
    <w:pPr>
      <w:jc w:val="left"/>
    </w:pPr>
  </w:style>
  <w:style w:type="character" w:styleId="817" w:customStyle="1">
    <w:name w:val="批注文字 Char"/>
    <w:link w:val="816"/>
    <w:uiPriority w:val="99"/>
    <w:qFormat/>
  </w:style>
  <w:style w:type="paragraph" w:styleId="818" w:customStyle="1">
    <w:name w:val="正文文本 31"/>
    <w:basedOn w:val="728"/>
    <w:link w:val="819"/>
    <w:uiPriority w:val="0"/>
    <w:qFormat/>
    <w:rPr>
      <w:rFonts w:ascii="仿宋_GB2312" w:hAnsi="Arial" w:eastAsia="仿宋_GB2312"/>
      <w:sz w:val="32"/>
      <w:szCs w:val="32"/>
    </w:rPr>
  </w:style>
  <w:style w:type="character" w:styleId="819" w:customStyle="1">
    <w:name w:val="正文文本 3 Char"/>
    <w:link w:val="818"/>
    <w:uiPriority w:val="0"/>
    <w:qFormat/>
    <w:rPr>
      <w:rFonts w:ascii="仿宋_GB2312" w:hAnsi="Arial" w:eastAsia="仿宋_GB2312" w:cs="Times New Roman"/>
      <w:sz w:val="32"/>
      <w:szCs w:val="32"/>
    </w:rPr>
  </w:style>
  <w:style w:type="paragraph" w:styleId="820" w:customStyle="1">
    <w:name w:val="正文文本11"/>
    <w:basedOn w:val="728"/>
    <w:link w:val="821"/>
    <w:uiPriority w:val="0"/>
    <w:qFormat/>
    <w:rPr>
      <w:rFonts w:ascii="楷体_GB2312" w:hAnsi="Arial" w:eastAsia="楷体_GB2312"/>
      <w:sz w:val="28"/>
      <w:szCs w:val="28"/>
    </w:rPr>
  </w:style>
  <w:style w:type="character" w:styleId="821" w:customStyle="1">
    <w:name w:val="正文文本 Char"/>
    <w:link w:val="820"/>
    <w:uiPriority w:val="0"/>
    <w:qFormat/>
    <w:rPr>
      <w:rFonts w:ascii="楷体_GB2312" w:hAnsi="Arial" w:eastAsia="楷体_GB2312" w:cs="Times New Roman"/>
      <w:sz w:val="28"/>
      <w:szCs w:val="28"/>
    </w:rPr>
  </w:style>
  <w:style w:type="paragraph" w:styleId="822" w:customStyle="1">
    <w:name w:val="正文文本缩进11"/>
    <w:basedOn w:val="728"/>
    <w:link w:val="823"/>
    <w:uiPriority w:val="99"/>
    <w:qFormat/>
    <w:pPr>
      <w:ind w:left="420"/>
      <w:spacing w:after="120"/>
    </w:pPr>
  </w:style>
  <w:style w:type="character" w:styleId="823" w:customStyle="1">
    <w:name w:val="正文文本缩进 Char"/>
    <w:link w:val="822"/>
    <w:uiPriority w:val="99"/>
    <w:qFormat/>
  </w:style>
  <w:style w:type="paragraph" w:styleId="824" w:customStyle="1">
    <w:name w:val="列表 21"/>
    <w:basedOn w:val="728"/>
    <w:uiPriority w:val="0"/>
    <w:qFormat/>
    <w:pPr>
      <w:ind w:left="100" w:hanging="200"/>
    </w:pPr>
    <w:rPr>
      <w:szCs w:val="21"/>
    </w:rPr>
  </w:style>
  <w:style w:type="paragraph" w:styleId="825" w:customStyle="1">
    <w:name w:val="文本块1"/>
    <w:basedOn w:val="728"/>
    <w:uiPriority w:val="99"/>
    <w:qFormat/>
    <w:pPr>
      <w:spacing w:line="360" w:lineRule="auto"/>
    </w:pPr>
    <w:rPr>
      <w:rFonts w:ascii="宋体" w:hAnsi="宋体"/>
      <w:b/>
      <w:bCs/>
      <w:sz w:val="24"/>
      <w:szCs w:val="24"/>
    </w:rPr>
  </w:style>
  <w:style w:type="paragraph" w:styleId="826" w:customStyle="1">
    <w:name w:val="索引 41"/>
    <w:basedOn w:val="728"/>
    <w:next w:val="728"/>
    <w:uiPriority w:val="99"/>
    <w:qFormat/>
    <w:pPr>
      <w:ind w:left="600"/>
    </w:pPr>
  </w:style>
  <w:style w:type="paragraph" w:styleId="827" w:customStyle="1">
    <w:name w:val="目录 51"/>
    <w:basedOn w:val="728"/>
    <w:next w:val="728"/>
    <w:uiPriority w:val="0"/>
    <w:qFormat/>
    <w:pPr>
      <w:ind w:left="840"/>
      <w:jc w:val="left"/>
    </w:pPr>
    <w:rPr>
      <w:szCs w:val="21"/>
    </w:rPr>
  </w:style>
  <w:style w:type="paragraph" w:styleId="828" w:customStyle="1">
    <w:name w:val="目录 31"/>
    <w:basedOn w:val="728"/>
    <w:next w:val="728"/>
    <w:uiPriority w:val="0"/>
    <w:qFormat/>
    <w:pPr>
      <w:ind w:left="420"/>
      <w:jc w:val="left"/>
    </w:pPr>
    <w:rPr>
      <w:i/>
      <w:iCs/>
      <w:szCs w:val="24"/>
    </w:rPr>
  </w:style>
  <w:style w:type="paragraph" w:styleId="829" w:customStyle="1">
    <w:name w:val="纯文本11"/>
    <w:basedOn w:val="728"/>
    <w:link w:val="830"/>
    <w:uiPriority w:val="0"/>
    <w:qFormat/>
    <w:rPr>
      <w:rFonts w:ascii="宋体" w:hAnsi="Courier New" w:cs="Courier New"/>
      <w:szCs w:val="21"/>
    </w:rPr>
  </w:style>
  <w:style w:type="character" w:styleId="830" w:customStyle="1">
    <w:name w:val="纯文本 Char"/>
    <w:link w:val="829"/>
    <w:uiPriority w:val="0"/>
    <w:qFormat/>
    <w:rPr>
      <w:rFonts w:ascii="宋体" w:hAnsi="Courier New" w:eastAsia="宋体" w:cs="Courier New"/>
      <w:szCs w:val="21"/>
    </w:rPr>
  </w:style>
  <w:style w:type="paragraph" w:styleId="831" w:customStyle="1">
    <w:name w:val="目录 81"/>
    <w:basedOn w:val="728"/>
    <w:next w:val="728"/>
    <w:uiPriority w:val="0"/>
    <w:qFormat/>
    <w:pPr>
      <w:ind w:left="1470"/>
      <w:jc w:val="left"/>
    </w:pPr>
    <w:rPr>
      <w:szCs w:val="21"/>
    </w:rPr>
  </w:style>
  <w:style w:type="paragraph" w:styleId="832" w:customStyle="1">
    <w:name w:val="日期1"/>
    <w:basedOn w:val="728"/>
    <w:next w:val="728"/>
    <w:link w:val="833"/>
    <w:uiPriority w:val="0"/>
    <w:qFormat/>
    <w:rPr>
      <w:sz w:val="24"/>
      <w:szCs w:val="24"/>
    </w:rPr>
  </w:style>
  <w:style w:type="character" w:styleId="833" w:customStyle="1">
    <w:name w:val="日期 Char"/>
    <w:link w:val="832"/>
    <w:uiPriority w:val="0"/>
    <w:qFormat/>
    <w:rPr>
      <w:rFonts w:ascii="Times New Roman" w:hAnsi="Times New Roman" w:eastAsia="宋体" w:cs="Times New Roman"/>
      <w:sz w:val="24"/>
      <w:szCs w:val="24"/>
    </w:rPr>
  </w:style>
  <w:style w:type="paragraph" w:styleId="834" w:customStyle="1">
    <w:name w:val="正文文本缩进 21"/>
    <w:basedOn w:val="728"/>
    <w:link w:val="835"/>
    <w:uiPriority w:val="0"/>
    <w:qFormat/>
    <w:pPr>
      <w:ind w:left="630" w:firstLine="645"/>
    </w:pPr>
    <w:rPr>
      <w:rFonts w:ascii="Arial" w:hAnsi="Arial" w:eastAsia="仿宋_GB2312" w:cs="Arial"/>
      <w:sz w:val="32"/>
      <w:szCs w:val="32"/>
    </w:rPr>
  </w:style>
  <w:style w:type="character" w:styleId="835" w:customStyle="1">
    <w:name w:val="正文文本缩进 2 Char"/>
    <w:link w:val="834"/>
    <w:uiPriority w:val="0"/>
    <w:qFormat/>
    <w:rPr>
      <w:rFonts w:ascii="Arial" w:hAnsi="Arial" w:eastAsia="仿宋_GB2312" w:cs="Arial"/>
      <w:sz w:val="32"/>
      <w:szCs w:val="32"/>
    </w:rPr>
  </w:style>
  <w:style w:type="paragraph" w:styleId="836" w:customStyle="1">
    <w:name w:val="尾注文本1"/>
    <w:basedOn w:val="728"/>
    <w:link w:val="837"/>
    <w:uiPriority w:val="99"/>
    <w:qFormat/>
    <w:rPr>
      <w:sz w:val="20"/>
    </w:rPr>
  </w:style>
  <w:style w:type="character" w:styleId="837" w:customStyle="1">
    <w:name w:val="尾注文本 Char"/>
    <w:link w:val="836"/>
    <w:uiPriority w:val="99"/>
    <w:qFormat/>
    <w:rPr>
      <w:szCs w:val="22"/>
    </w:rPr>
  </w:style>
  <w:style w:type="paragraph" w:styleId="838" w:customStyle="1">
    <w:name w:val="批注框文本1"/>
    <w:basedOn w:val="728"/>
    <w:link w:val="839"/>
    <w:uiPriority w:val="0"/>
    <w:qFormat/>
    <w:rPr>
      <w:sz w:val="18"/>
      <w:szCs w:val="18"/>
    </w:rPr>
  </w:style>
  <w:style w:type="character" w:styleId="839" w:customStyle="1">
    <w:name w:val="批注框文本 Char"/>
    <w:link w:val="838"/>
    <w:uiPriority w:val="0"/>
    <w:qFormat/>
    <w:rPr>
      <w:rFonts w:ascii="Times New Roman" w:hAnsi="Times New Roman" w:eastAsia="宋体" w:cs="Times New Roman"/>
      <w:sz w:val="18"/>
      <w:szCs w:val="18"/>
    </w:rPr>
  </w:style>
  <w:style w:type="paragraph" w:styleId="840" w:customStyle="1">
    <w:name w:val="页脚111"/>
    <w:basedOn w:val="728"/>
    <w:link w:val="841"/>
    <w:uiPriority w:val="99"/>
    <w:qFormat/>
    <w:pPr>
      <w:jc w:val="left"/>
      <w:tabs>
        <w:tab w:val="center" w:pos="4153" w:leader="none"/>
        <w:tab w:val="right" w:pos="8306" w:leader="none"/>
      </w:tabs>
    </w:pPr>
    <w:rPr>
      <w:sz w:val="18"/>
      <w:szCs w:val="18"/>
    </w:rPr>
  </w:style>
  <w:style w:type="character" w:styleId="841" w:customStyle="1">
    <w:name w:val="页脚 Char"/>
    <w:link w:val="840"/>
    <w:uiPriority w:val="99"/>
    <w:qFormat/>
    <w:rPr>
      <w:rFonts w:ascii="Times New Roman" w:hAnsi="Times New Roman" w:eastAsia="宋体" w:cs="Times New Roman"/>
      <w:sz w:val="18"/>
      <w:szCs w:val="18"/>
    </w:rPr>
  </w:style>
  <w:style w:type="paragraph" w:styleId="842" w:customStyle="1">
    <w:name w:val="页眉11"/>
    <w:basedOn w:val="728"/>
    <w:link w:val="843"/>
    <w:uiPriority w:val="99"/>
    <w:qFormat/>
    <w:pPr>
      <w:jc w:val="center"/>
      <w:tabs>
        <w:tab w:val="center" w:pos="4153" w:leader="none"/>
        <w:tab w:val="right" w:pos="8306" w:leader="none"/>
      </w:tabs>
      <w:pBdr>
        <w:bottom w:val="single" w:color="000000" w:sz="6" w:space="1"/>
      </w:pBdr>
    </w:pPr>
    <w:rPr>
      <w:sz w:val="18"/>
      <w:szCs w:val="18"/>
    </w:rPr>
  </w:style>
  <w:style w:type="character" w:styleId="843" w:customStyle="1">
    <w:name w:val="页眉 Char"/>
    <w:link w:val="842"/>
    <w:uiPriority w:val="99"/>
    <w:qFormat/>
    <w:rPr>
      <w:rFonts w:ascii="Times New Roman" w:hAnsi="Times New Roman" w:eastAsia="宋体" w:cs="Times New Roman"/>
      <w:sz w:val="18"/>
      <w:szCs w:val="18"/>
    </w:rPr>
  </w:style>
  <w:style w:type="paragraph" w:styleId="844" w:customStyle="1">
    <w:name w:val="目录 11"/>
    <w:basedOn w:val="728"/>
    <w:next w:val="728"/>
    <w:uiPriority w:val="0"/>
    <w:qFormat/>
    <w:pPr>
      <w:jc w:val="left"/>
      <w:spacing w:before="120" w:after="120" w:line="400" w:lineRule="exact"/>
      <w:tabs>
        <w:tab w:val="right" w:pos="8720" w:leader="dot"/>
      </w:tabs>
    </w:pPr>
    <w:rPr>
      <w:rFonts w:ascii="宋体" w:hAnsi="宋体"/>
      <w:caps/>
      <w:sz w:val="24"/>
      <w:szCs w:val="24"/>
    </w:rPr>
  </w:style>
  <w:style w:type="paragraph" w:styleId="845" w:customStyle="1">
    <w:name w:val="目录 41"/>
    <w:basedOn w:val="728"/>
    <w:next w:val="728"/>
    <w:uiPriority w:val="0"/>
    <w:qFormat/>
    <w:pPr>
      <w:ind w:left="630"/>
      <w:jc w:val="left"/>
    </w:pPr>
    <w:rPr>
      <w:szCs w:val="21"/>
    </w:rPr>
  </w:style>
  <w:style w:type="paragraph" w:styleId="846" w:customStyle="1">
    <w:name w:val="副标题1"/>
    <w:basedOn w:val="728"/>
    <w:next w:val="728"/>
    <w:link w:val="847"/>
    <w:uiPriority w:val="11"/>
    <w:qFormat/>
    <w:pPr>
      <w:spacing w:before="200" w:after="200"/>
    </w:pPr>
    <w:rPr>
      <w:sz w:val="24"/>
      <w:szCs w:val="24"/>
    </w:rPr>
  </w:style>
  <w:style w:type="character" w:styleId="847" w:customStyle="1">
    <w:name w:val="副标题 Char"/>
    <w:link w:val="846"/>
    <w:uiPriority w:val="11"/>
    <w:qFormat/>
    <w:rPr>
      <w:sz w:val="24"/>
      <w:szCs w:val="24"/>
    </w:rPr>
  </w:style>
  <w:style w:type="paragraph" w:styleId="848" w:customStyle="1">
    <w:name w:val="列表1"/>
    <w:basedOn w:val="728"/>
    <w:uiPriority w:val="0"/>
    <w:qFormat/>
    <w:pPr>
      <w:ind w:left="200" w:hanging="200"/>
    </w:pPr>
    <w:rPr>
      <w:szCs w:val="21"/>
    </w:rPr>
  </w:style>
  <w:style w:type="paragraph" w:styleId="849" w:customStyle="1">
    <w:name w:val="脚注文本1"/>
    <w:basedOn w:val="728"/>
    <w:link w:val="850"/>
    <w:uiPriority w:val="99"/>
    <w:qFormat/>
    <w:pPr>
      <w:spacing w:after="40"/>
    </w:pPr>
    <w:rPr>
      <w:sz w:val="18"/>
    </w:rPr>
  </w:style>
  <w:style w:type="character" w:styleId="850" w:customStyle="1">
    <w:name w:val="脚注文本 Char"/>
    <w:link w:val="849"/>
    <w:uiPriority w:val="99"/>
    <w:qFormat/>
    <w:rPr>
      <w:sz w:val="18"/>
      <w:szCs w:val="22"/>
    </w:rPr>
  </w:style>
  <w:style w:type="paragraph" w:styleId="851" w:customStyle="1">
    <w:name w:val="目录 61"/>
    <w:basedOn w:val="728"/>
    <w:next w:val="728"/>
    <w:uiPriority w:val="0"/>
    <w:qFormat/>
    <w:pPr>
      <w:ind w:left="1050"/>
      <w:jc w:val="left"/>
    </w:pPr>
    <w:rPr>
      <w:szCs w:val="21"/>
    </w:rPr>
  </w:style>
  <w:style w:type="paragraph" w:styleId="852" w:customStyle="1">
    <w:name w:val="正文文本缩进 31"/>
    <w:basedOn w:val="728"/>
    <w:link w:val="853"/>
    <w:uiPriority w:val="0"/>
    <w:qFormat/>
    <w:pPr>
      <w:ind w:left="645" w:firstLine="645"/>
    </w:pPr>
    <w:rPr>
      <w:rFonts w:ascii="Arial" w:hAnsi="Arial" w:eastAsia="仿宋_GB2312" w:cs="Arial"/>
      <w:color w:val="ffff00"/>
      <w:sz w:val="32"/>
      <w:szCs w:val="32"/>
    </w:rPr>
  </w:style>
  <w:style w:type="character" w:styleId="853" w:customStyle="1">
    <w:name w:val="正文文本缩进 3 Char"/>
    <w:link w:val="852"/>
    <w:uiPriority w:val="0"/>
    <w:qFormat/>
    <w:rPr>
      <w:rFonts w:ascii="Arial" w:hAnsi="Arial" w:eastAsia="仿宋_GB2312" w:cs="Arial"/>
      <w:color w:val="ffff00"/>
      <w:sz w:val="32"/>
      <w:szCs w:val="32"/>
    </w:rPr>
  </w:style>
  <w:style w:type="paragraph" w:styleId="854" w:customStyle="1">
    <w:name w:val="图表目录1"/>
    <w:basedOn w:val="728"/>
    <w:next w:val="728"/>
    <w:uiPriority w:val="0"/>
    <w:qFormat/>
    <w:pPr>
      <w:ind w:left="840" w:hanging="420"/>
    </w:pPr>
    <w:rPr>
      <w:szCs w:val="21"/>
    </w:rPr>
  </w:style>
  <w:style w:type="paragraph" w:styleId="855" w:customStyle="1">
    <w:name w:val="目录 21"/>
    <w:basedOn w:val="728"/>
    <w:next w:val="728"/>
    <w:uiPriority w:val="0"/>
    <w:qFormat/>
    <w:pPr>
      <w:ind w:left="210"/>
      <w:jc w:val="left"/>
    </w:pPr>
    <w:rPr>
      <w:smallCaps/>
      <w:szCs w:val="24"/>
    </w:rPr>
  </w:style>
  <w:style w:type="paragraph" w:styleId="856" w:customStyle="1">
    <w:name w:val="目录 91"/>
    <w:basedOn w:val="728"/>
    <w:next w:val="728"/>
    <w:uiPriority w:val="0"/>
    <w:qFormat/>
    <w:pPr>
      <w:ind w:left="1680"/>
      <w:jc w:val="left"/>
    </w:pPr>
    <w:rPr>
      <w:szCs w:val="21"/>
    </w:rPr>
  </w:style>
  <w:style w:type="paragraph" w:styleId="857" w:customStyle="1">
    <w:name w:val="正文文本 21"/>
    <w:basedOn w:val="728"/>
    <w:link w:val="858"/>
    <w:uiPriority w:val="0"/>
    <w:qFormat/>
    <w:pPr>
      <w:jc w:val="center"/>
      <w:widowControl/>
    </w:pPr>
    <w:rPr>
      <w:rFonts w:ascii="楷体_GB2312" w:eastAsia="楷体_GB2312"/>
      <w:sz w:val="28"/>
      <w:szCs w:val="28"/>
    </w:rPr>
  </w:style>
  <w:style w:type="character" w:styleId="858" w:customStyle="1">
    <w:name w:val="正文文本 2 Char"/>
    <w:link w:val="857"/>
    <w:uiPriority w:val="0"/>
    <w:qFormat/>
    <w:rPr>
      <w:rFonts w:ascii="楷体_GB2312" w:hAnsi="Times New Roman" w:eastAsia="楷体_GB2312" w:cs="Times New Roman"/>
      <w:sz w:val="28"/>
      <w:szCs w:val="28"/>
    </w:rPr>
  </w:style>
  <w:style w:type="paragraph" w:styleId="859" w:customStyle="1">
    <w:name w:val="普通(网站)1"/>
    <w:basedOn w:val="728"/>
    <w:uiPriority w:val="99"/>
    <w:qFormat/>
    <w:pPr>
      <w:jc w:val="left"/>
      <w:spacing w:before="100" w:beforeAutospacing="1" w:after="100" w:afterAutospacing="1"/>
      <w:widowControl/>
    </w:pPr>
    <w:rPr>
      <w:rFonts w:ascii="宋体" w:hAnsi="宋体" w:cs="宋体"/>
      <w:sz w:val="24"/>
      <w:szCs w:val="24"/>
    </w:rPr>
  </w:style>
  <w:style w:type="paragraph" w:styleId="860" w:customStyle="1">
    <w:name w:val="索引 11"/>
    <w:basedOn w:val="728"/>
    <w:next w:val="728"/>
    <w:uiPriority w:val="0"/>
    <w:qFormat/>
    <w:pPr>
      <w:spacing w:line="240" w:lineRule="atLeast"/>
    </w:pPr>
    <w:rPr>
      <w:b/>
      <w:bCs/>
      <w:szCs w:val="21"/>
    </w:rPr>
  </w:style>
  <w:style w:type="paragraph" w:styleId="861" w:customStyle="1">
    <w:name w:val="标题11"/>
    <w:basedOn w:val="728"/>
    <w:next w:val="728"/>
    <w:link w:val="862"/>
    <w:uiPriority w:val="10"/>
    <w:qFormat/>
    <w:pPr>
      <w:contextualSpacing/>
      <w:spacing w:before="300" w:after="200"/>
    </w:pPr>
    <w:rPr>
      <w:sz w:val="48"/>
      <w:szCs w:val="48"/>
    </w:rPr>
  </w:style>
  <w:style w:type="character" w:styleId="862" w:customStyle="1">
    <w:name w:val="标题 Char"/>
    <w:link w:val="861"/>
    <w:uiPriority w:val="10"/>
    <w:qFormat/>
    <w:rPr>
      <w:sz w:val="48"/>
      <w:szCs w:val="48"/>
    </w:rPr>
  </w:style>
  <w:style w:type="paragraph" w:styleId="863" w:customStyle="1">
    <w:name w:val="批注主题1"/>
    <w:basedOn w:val="816"/>
    <w:next w:val="816"/>
    <w:link w:val="864"/>
    <w:uiPriority w:val="0"/>
    <w:qFormat/>
    <w:rPr>
      <w:b/>
      <w:bCs/>
      <w:szCs w:val="21"/>
    </w:rPr>
  </w:style>
  <w:style w:type="character" w:styleId="864" w:customStyle="1">
    <w:name w:val="批注主题 Char"/>
    <w:link w:val="863"/>
    <w:uiPriority w:val="0"/>
    <w:qFormat/>
    <w:rPr>
      <w:rFonts w:ascii="Times New Roman" w:hAnsi="Times New Roman" w:eastAsia="宋体" w:cs="Times New Roman"/>
      <w:b/>
      <w:bCs/>
      <w:szCs w:val="21"/>
    </w:rPr>
  </w:style>
  <w:style w:type="paragraph" w:styleId="865" w:customStyle="1">
    <w:name w:val="正文首行缩进1"/>
    <w:basedOn w:val="728"/>
    <w:link w:val="866"/>
    <w:uiPriority w:val="0"/>
    <w:qFormat/>
    <w:pPr>
      <w:ind w:firstLine="200"/>
      <w:spacing w:line="360" w:lineRule="auto"/>
    </w:pPr>
    <w:rPr>
      <w:rFonts w:ascii="仿宋_GB2312" w:eastAsia="仿宋_GB2312"/>
      <w:sz w:val="30"/>
      <w:szCs w:val="30"/>
    </w:rPr>
  </w:style>
  <w:style w:type="character" w:styleId="866" w:customStyle="1">
    <w:name w:val="正文首行缩进 Char"/>
    <w:link w:val="865"/>
    <w:uiPriority w:val="0"/>
    <w:qFormat/>
    <w:rPr>
      <w:rFonts w:ascii="仿宋_GB2312" w:hAnsi="Times New Roman" w:eastAsia="仿宋_GB2312" w:cs="Times New Roman"/>
      <w:sz w:val="30"/>
      <w:szCs w:val="30"/>
    </w:rPr>
  </w:style>
  <w:style w:type="paragraph" w:styleId="867" w:customStyle="1">
    <w:name w:val="正文首行缩进 21"/>
    <w:basedOn w:val="822"/>
    <w:link w:val="868"/>
    <w:uiPriority w:val="0"/>
    <w:qFormat/>
    <w:pPr>
      <w:ind w:left="0" w:firstLine="420"/>
      <w:spacing w:after="0" w:line="360" w:lineRule="auto"/>
    </w:pPr>
    <w:rPr>
      <w:rFonts w:ascii="宋体" w:hAnsi="宋体"/>
      <w:szCs w:val="20"/>
    </w:rPr>
  </w:style>
  <w:style w:type="character" w:styleId="868" w:customStyle="1">
    <w:name w:val="正文首行缩进 2 Char"/>
    <w:link w:val="867"/>
    <w:uiPriority w:val="0"/>
    <w:qFormat/>
    <w:rPr>
      <w:rFonts w:ascii="宋体" w:hAnsi="宋体" w:eastAsia="宋体" w:cs="Times New Roman"/>
      <w:szCs w:val="20"/>
    </w:rPr>
  </w:style>
  <w:style w:type="table" w:styleId="869" w:customStyle="1">
    <w:name w:val="网格型1"/>
    <w:basedOn w:val="800"/>
    <w:uiPriority w:val="0"/>
    <w:qFormat/>
    <w:pPr>
      <w:jc w:val="both"/>
      <w:widowControl w:val="off"/>
    </w:pPr>
    <w:tblPr/>
  </w:style>
  <w:style w:type="character" w:styleId="870" w:customStyle="1">
    <w:name w:val="要点1"/>
    <w:uiPriority w:val="0"/>
    <w:qFormat/>
    <w:rPr>
      <w:b/>
      <w:bCs/>
    </w:rPr>
  </w:style>
  <w:style w:type="character" w:styleId="871" w:customStyle="1">
    <w:name w:val="尾注引用1"/>
    <w:uiPriority w:val="99"/>
    <w:qFormat/>
    <w:rPr>
      <w:vertAlign w:val="superscript"/>
    </w:rPr>
  </w:style>
  <w:style w:type="character" w:styleId="872" w:customStyle="1">
    <w:name w:val="页码1"/>
    <w:uiPriority w:val="0"/>
    <w:qFormat/>
  </w:style>
  <w:style w:type="character" w:styleId="873" w:customStyle="1">
    <w:name w:val="已访问的超链接1"/>
    <w:uiPriority w:val="99"/>
    <w:qFormat/>
    <w:rPr>
      <w:color w:val="800080"/>
      <w:u w:val="single"/>
    </w:rPr>
  </w:style>
  <w:style w:type="character" w:styleId="874" w:customStyle="1">
    <w:name w:val="超链接1"/>
    <w:uiPriority w:val="0"/>
    <w:qFormat/>
    <w:rPr>
      <w:color w:val="0000ff"/>
      <w:u w:val="single"/>
    </w:rPr>
  </w:style>
  <w:style w:type="character" w:styleId="875" w:customStyle="1">
    <w:name w:val="批注引用1"/>
    <w:uiPriority w:val="0"/>
    <w:qFormat/>
    <w:rPr>
      <w:sz w:val="21"/>
      <w:szCs w:val="21"/>
    </w:rPr>
  </w:style>
  <w:style w:type="character" w:styleId="876" w:customStyle="1">
    <w:name w:val="脚注引用1"/>
    <w:uiPriority w:val="99"/>
    <w:qFormat/>
    <w:rPr>
      <w:vertAlign w:val="superscript"/>
    </w:rPr>
  </w:style>
  <w:style w:type="paragraph" w:styleId="877" w:customStyle="1">
    <w:name w:val="一级条标题"/>
    <w:basedOn w:val="878"/>
    <w:next w:val="87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customStyle="1">
    <w:name w:val="章标题"/>
    <w:next w:val="72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79" w:customStyle="1">
    <w:name w:val="段"/>
    <w:next w:val="728"/>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880" w:customStyle="1">
    <w:name w:val="font5 Char"/>
    <w:uiPriority w:val="0"/>
    <w:qFormat/>
    <w:rPr>
      <w:rFonts w:ascii="宋体" w:hAnsi="宋体" w:eastAsia="宋体"/>
      <w:sz w:val="28"/>
      <w:szCs w:val="28"/>
      <w:lang w:val="en-US" w:eastAsia="zh-CN" w:bidi="ar-SA"/>
    </w:rPr>
  </w:style>
  <w:style w:type="character" w:styleId="881" w:customStyle="1">
    <w:name w:val="二级目录 Char"/>
    <w:link w:val="882"/>
    <w:uiPriority w:val="0"/>
    <w:qFormat/>
    <w:rPr>
      <w:b/>
      <w:sz w:val="30"/>
      <w:szCs w:val="28"/>
    </w:rPr>
  </w:style>
  <w:style w:type="paragraph" w:styleId="882" w:customStyle="1">
    <w:name w:val="二级目录"/>
    <w:next w:val="728"/>
    <w:link w:val="88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883" w:customStyle="1">
    <w:name w:val="列出段落 Char"/>
    <w:link w:val="884"/>
    <w:uiPriority w:val="0"/>
    <w:qFormat/>
    <w:rPr>
      <w:rFonts w:ascii="Calibri" w:hAnsi="Calibri"/>
      <w:sz w:val="24"/>
      <w:szCs w:val="24"/>
      <w:lang w:eastAsia="en-US" w:bidi="en-US"/>
    </w:rPr>
  </w:style>
  <w:style w:type="paragraph" w:styleId="884" w:customStyle="1">
    <w:name w:val="列出段落1"/>
    <w:basedOn w:val="728"/>
    <w:link w:val="883"/>
    <w:uiPriority w:val="0"/>
    <w:qFormat/>
    <w:pPr>
      <w:contextualSpacing/>
      <w:ind w:left="720"/>
      <w:jc w:val="left"/>
      <w:widowControl/>
    </w:pPr>
    <w:rPr>
      <w:rFonts w:ascii="Calibri" w:hAnsi="Calibri"/>
      <w:sz w:val="24"/>
      <w:szCs w:val="24"/>
      <w:lang w:eastAsia="en-US" w:bidi="en-US"/>
    </w:rPr>
  </w:style>
  <w:style w:type="paragraph" w:styleId="885" w:customStyle="1">
    <w:name w:val="Body Text(ch)"/>
    <w:basedOn w:val="728"/>
    <w:next w:val="820"/>
    <w:uiPriority w:val="0"/>
    <w:qFormat/>
    <w:pPr>
      <w:spacing w:after="120"/>
    </w:pPr>
    <w:rPr>
      <w:rFonts w:ascii="宋体" w:hAnsi="Arial"/>
      <w:bCs/>
      <w:iCs/>
      <w:szCs w:val="24"/>
    </w:rPr>
  </w:style>
  <w:style w:type="paragraph" w:styleId="886"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7"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8" w:customStyle="1">
    <w:name w:val="Char"/>
    <w:basedOn w:val="728"/>
    <w:uiPriority w:val="0"/>
    <w:qFormat/>
    <w:pPr>
      <w:ind w:firstLine="200"/>
      <w:tabs>
        <w:tab w:val="left" w:pos="360" w:leader="none"/>
      </w:tabs>
    </w:pPr>
    <w:rPr>
      <w:sz w:val="28"/>
      <w:szCs w:val="30"/>
    </w:rPr>
  </w:style>
  <w:style w:type="paragraph" w:styleId="889" w:customStyle="1">
    <w:name w:val="Char11"/>
    <w:basedOn w:val="814"/>
    <w:uiPriority w:val="0"/>
    <w:qFormat/>
    <w:rPr>
      <w:rFonts w:ascii="Tahoma" w:hAnsi="Tahoma"/>
      <w:sz w:val="24"/>
      <w:szCs w:val="24"/>
    </w:rPr>
  </w:style>
  <w:style w:type="paragraph" w:styleId="890" w:customStyle="1">
    <w:name w:val="普通正文"/>
    <w:basedOn w:val="728"/>
    <w:uiPriority w:val="0"/>
    <w:qFormat/>
    <w:pPr>
      <w:ind w:firstLine="480"/>
      <w:jc w:val="left"/>
      <w:spacing w:before="120" w:after="120" w:line="360" w:lineRule="auto"/>
    </w:pPr>
    <w:rPr>
      <w:rFonts w:ascii="Arial" w:hAnsi="Arial"/>
      <w:sz w:val="24"/>
      <w:szCs w:val="24"/>
    </w:rPr>
  </w:style>
  <w:style w:type="paragraph" w:styleId="891" w:customStyle="1">
    <w:name w:val="table_lines"/>
    <w:basedOn w:val="728"/>
    <w:uiPriority w:val="0"/>
    <w:qFormat/>
    <w:pPr>
      <w:jc w:val="left"/>
      <w:widowControl/>
    </w:pPr>
    <w:rPr>
      <w:sz w:val="20"/>
      <w:szCs w:val="20"/>
      <w:lang w:val="de-DE" w:eastAsia="de-DE"/>
    </w:rPr>
  </w:style>
  <w:style w:type="paragraph" w:styleId="89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93" w:customStyle="1">
    <w:name w:val="font7"/>
    <w:basedOn w:val="728"/>
    <w:uiPriority w:val="0"/>
    <w:qFormat/>
    <w:pPr>
      <w:jc w:val="left"/>
      <w:spacing w:before="100" w:beforeAutospacing="1" w:after="100" w:afterAutospacing="1"/>
      <w:widowControl/>
    </w:pPr>
    <w:rPr>
      <w:rFonts w:hint="eastAsia" w:ascii="宋体" w:hAnsi="宋体"/>
      <w:sz w:val="18"/>
      <w:szCs w:val="18"/>
    </w:rPr>
  </w:style>
  <w:style w:type="paragraph" w:styleId="894" w:customStyle="1">
    <w:name w:val="Char Char Char Char"/>
    <w:basedOn w:val="814"/>
    <w:uiPriority w:val="0"/>
    <w:qFormat/>
    <w:pPr>
      <w:spacing w:line="360" w:lineRule="auto"/>
    </w:pPr>
    <w:rPr>
      <w:rFonts w:ascii="Tahoma" w:hAnsi="Tahoma"/>
      <w:sz w:val="24"/>
      <w:szCs w:val="24"/>
    </w:rPr>
  </w:style>
  <w:style w:type="paragraph" w:styleId="895" w:customStyle="1">
    <w:name w:val="列出段落2"/>
    <w:basedOn w:val="728"/>
    <w:uiPriority w:val="0"/>
    <w:qFormat/>
    <w:pPr>
      <w:contextualSpacing/>
      <w:ind w:left="720"/>
      <w:jc w:val="left"/>
      <w:widowControl/>
    </w:pPr>
    <w:rPr>
      <w:rFonts w:ascii="Calibri" w:hAnsi="Calibri"/>
      <w:sz w:val="24"/>
      <w:szCs w:val="24"/>
      <w:lang w:eastAsia="en-US" w:bidi="en-US"/>
    </w:rPr>
  </w:style>
  <w:style w:type="paragraph" w:styleId="896" w:customStyle="1">
    <w:name w:val="4"/>
    <w:basedOn w:val="728"/>
    <w:next w:val="852"/>
    <w:uiPriority w:val="0"/>
    <w:qFormat/>
    <w:pPr>
      <w:ind w:firstLine="420"/>
      <w:spacing w:line="360" w:lineRule="auto"/>
    </w:pPr>
    <w:rPr>
      <w:color w:val="ff0000"/>
      <w:sz w:val="24"/>
      <w:szCs w:val="24"/>
    </w:rPr>
  </w:style>
  <w:style w:type="paragraph" w:styleId="897" w:customStyle="1">
    <w:name w:val="普通 (Web)"/>
    <w:basedOn w:val="728"/>
    <w:uiPriority w:val="0"/>
    <w:qFormat/>
    <w:pPr>
      <w:jc w:val="left"/>
      <w:spacing w:before="100" w:beforeAutospacing="1" w:after="100" w:afterAutospacing="1"/>
      <w:widowControl/>
    </w:pPr>
    <w:rPr>
      <w:rFonts w:ascii="宋体" w:hAnsi="宋体"/>
      <w:sz w:val="24"/>
      <w:szCs w:val="24"/>
    </w:rPr>
  </w:style>
  <w:style w:type="paragraph" w:styleId="898" w:customStyle="1">
    <w:name w:val="Char Char Char Char Char Char Char Char Char Char"/>
    <w:basedOn w:val="728"/>
    <w:uiPriority w:val="0"/>
    <w:qFormat/>
    <w:pPr>
      <w:spacing w:line="360" w:lineRule="auto"/>
    </w:pPr>
    <w:rPr>
      <w:sz w:val="24"/>
      <w:szCs w:val="20"/>
    </w:rPr>
  </w:style>
  <w:style w:type="paragraph" w:styleId="899" w:customStyle="1">
    <w:name w:val="样式1"/>
    <w:basedOn w:val="728"/>
    <w:uiPriority w:val="0"/>
    <w:qFormat/>
    <w:pPr>
      <w:numPr>
        <w:ilvl w:val="0"/>
        <w:numId w:val="3"/>
      </w:numPr>
    </w:pPr>
    <w:rPr>
      <w:rFonts w:ascii="宋体" w:hAnsi="宋体"/>
      <w:szCs w:val="21"/>
    </w:rPr>
  </w:style>
  <w:style w:type="paragraph" w:styleId="900" w:customStyle="1">
    <w:name w:val="font6"/>
    <w:basedOn w:val="728"/>
    <w:uiPriority w:val="0"/>
    <w:qFormat/>
    <w:pPr>
      <w:jc w:val="left"/>
      <w:spacing w:before="100" w:beforeAutospacing="1" w:after="100" w:afterAutospacing="1"/>
      <w:widowControl/>
    </w:pPr>
    <w:rPr>
      <w:rFonts w:hint="eastAsia" w:ascii="宋体" w:hAnsi="宋体"/>
      <w:sz w:val="28"/>
      <w:szCs w:val="28"/>
      <w:u w:val="single"/>
    </w:rPr>
  </w:style>
  <w:style w:type="paragraph" w:styleId="901" w:customStyle="1">
    <w:name w:val="xl25"/>
    <w:basedOn w:val="7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2"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03" w:customStyle="1">
    <w:name w:val="标题3"/>
    <w:basedOn w:val="728"/>
    <w:next w:val="728"/>
    <w:uiPriority w:val="0"/>
    <w:qFormat/>
    <w:pPr>
      <w:ind w:firstLine="624"/>
      <w:spacing w:line="590" w:lineRule="atLeast"/>
    </w:pPr>
    <w:rPr>
      <w:rFonts w:ascii="方正黑体_GBK" w:eastAsia="方正黑体_GBK"/>
      <w:sz w:val="32"/>
      <w:szCs w:val="32"/>
    </w:rPr>
  </w:style>
  <w:style w:type="paragraph" w:styleId="904"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5"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06" w:customStyle="1">
    <w:name w:val="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907"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8" w:customStyle="1">
    <w:name w:val="Char Char Char Char Char Char Char Char11"/>
    <w:basedOn w:val="728"/>
    <w:uiPriority w:val="0"/>
    <w:qFormat/>
    <w:pPr>
      <w:jc w:val="left"/>
      <w:spacing w:after="160" w:line="240" w:lineRule="exact"/>
      <w:widowControl/>
    </w:pPr>
    <w:rPr>
      <w:rFonts w:ascii="Verdana" w:hAnsi="Verdana"/>
      <w:sz w:val="20"/>
      <w:szCs w:val="20"/>
      <w:lang w:eastAsia="en-US"/>
    </w:rPr>
  </w:style>
  <w:style w:type="paragraph" w:styleId="909" w:customStyle="1">
    <w:name w:val="xl30"/>
    <w:basedOn w:val="728"/>
    <w:uiPriority w:val="0"/>
    <w:qFormat/>
    <w:pPr>
      <w:jc w:val="center"/>
      <w:spacing w:before="100" w:beforeAutospacing="1" w:after="100" w:afterAutospacing="1"/>
      <w:widowControl/>
    </w:pPr>
    <w:rPr>
      <w:rFonts w:ascii="宋体" w:hAnsi="宋体"/>
      <w:b/>
      <w:bCs/>
      <w:sz w:val="36"/>
      <w:szCs w:val="36"/>
    </w:rPr>
  </w:style>
  <w:style w:type="paragraph" w:styleId="910" w:customStyle="1">
    <w:name w:val="Char Char Char Char11"/>
    <w:basedOn w:val="814"/>
    <w:uiPriority w:val="0"/>
    <w:qFormat/>
    <w:pPr>
      <w:spacing w:line="360" w:lineRule="auto"/>
    </w:pPr>
    <w:rPr>
      <w:rFonts w:ascii="Tahoma" w:hAnsi="Tahoma"/>
      <w:sz w:val="24"/>
      <w:szCs w:val="24"/>
    </w:rPr>
  </w:style>
  <w:style w:type="paragraph" w:styleId="911" w:customStyle="1">
    <w:name w:val="table_1stline"/>
    <w:basedOn w:val="728"/>
    <w:uiPriority w:val="0"/>
    <w:qFormat/>
    <w:pPr>
      <w:jc w:val="left"/>
      <w:spacing w:before="120"/>
      <w:widowControl/>
    </w:pPr>
    <w:rPr>
      <w:bCs/>
      <w:sz w:val="20"/>
      <w:szCs w:val="20"/>
      <w:lang w:val="de-DE" w:eastAsia="de-DE"/>
    </w:rPr>
  </w:style>
  <w:style w:type="paragraph" w:styleId="912" w:customStyle="1">
    <w:name w:val="font5"/>
    <w:basedOn w:val="728"/>
    <w:uiPriority w:val="0"/>
    <w:qFormat/>
    <w:pPr>
      <w:jc w:val="left"/>
      <w:spacing w:before="100" w:beforeAutospacing="1" w:after="100" w:afterAutospacing="1"/>
      <w:widowControl/>
    </w:pPr>
    <w:rPr>
      <w:rFonts w:hint="eastAsia" w:ascii="宋体" w:hAnsi="宋体"/>
      <w:sz w:val="28"/>
      <w:szCs w:val="28"/>
    </w:rPr>
  </w:style>
  <w:style w:type="paragraph" w:styleId="913" w:customStyle="1">
    <w:name w:val="标题1"/>
    <w:basedOn w:val="728"/>
    <w:next w:val="7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4" w:customStyle="1">
    <w:name w:val="修订1"/>
    <w:uiPriority w:val="99"/>
    <w:qFormat/>
    <w:rPr>
      <w:rFonts w:ascii="Times New Roman" w:hAnsi="Times New Roman" w:eastAsia="宋体" w:cs="Times New Roman"/>
      <w:sz w:val="21"/>
      <w:szCs w:val="21"/>
      <w:lang w:val="en-US" w:eastAsia="zh-CN" w:bidi="ar-SA"/>
    </w:rPr>
  </w:style>
  <w:style w:type="paragraph" w:styleId="91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1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7" w:customStyle="1">
    <w:name w:val="标题 11"/>
    <w:basedOn w:val="728"/>
    <w:next w:val="728"/>
    <w:uiPriority w:val="0"/>
    <w:qFormat/>
    <w:pPr>
      <w:jc w:val="center"/>
      <w:keepNext/>
      <w:outlineLvl w:val="0"/>
    </w:pPr>
    <w:rPr>
      <w:rFonts w:ascii="楷体_GB2312" w:eastAsia="楷体_GB2312"/>
      <w:sz w:val="28"/>
      <w:szCs w:val="28"/>
      <w:lang w:eastAsia="en-US"/>
    </w:rPr>
  </w:style>
  <w:style w:type="table" w:styleId="918" w:customStyle="1">
    <w:name w:val="Table Normal"/>
    <w:uiPriority w:val="99"/>
    <w:qFormat/>
    <w:tblPr>
      <w:tblCellMar>
        <w:left w:w="0" w:type="dxa"/>
        <w:top w:w="0" w:type="dxa"/>
        <w:right w:w="0" w:type="dxa"/>
        <w:bottom w:w="0" w:type="dxa"/>
      </w:tblCellMar>
    </w:tblPr>
  </w:style>
  <w:style w:type="table" w:styleId="919" w:customStyle="1">
    <w:name w:val="无格式表格 11"/>
    <w:basedOn w:val="918"/>
    <w:uiPriority w:val="59"/>
    <w:qFormat/>
    <w:tblPr/>
  </w:style>
  <w:style w:type="table" w:styleId="920" w:customStyle="1">
    <w:name w:val="无格式表格 21"/>
    <w:basedOn w:val="918"/>
    <w:uiPriority w:val="59"/>
    <w:qFormat/>
    <w:tblPr/>
  </w:style>
  <w:style w:type="table" w:styleId="921" w:customStyle="1">
    <w:name w:val="无格式表格 31"/>
    <w:basedOn w:val="918"/>
    <w:uiPriority w:val="99"/>
    <w:qFormat/>
    <w:tblPr/>
  </w:style>
  <w:style w:type="table" w:styleId="922" w:customStyle="1">
    <w:name w:val="无格式表格 41"/>
    <w:basedOn w:val="918"/>
    <w:uiPriority w:val="99"/>
    <w:qFormat/>
    <w:tblPr/>
  </w:style>
  <w:style w:type="table" w:styleId="923" w:customStyle="1">
    <w:name w:val="无格式表格 51"/>
    <w:basedOn w:val="918"/>
    <w:uiPriority w:val="99"/>
    <w:qFormat/>
    <w:tblPr/>
  </w:style>
  <w:style w:type="table" w:styleId="924" w:customStyle="1">
    <w:name w:val="网格表 1 浅色1"/>
    <w:basedOn w:val="918"/>
    <w:uiPriority w:val="99"/>
    <w:qFormat/>
    <w:tblPr/>
  </w:style>
  <w:style w:type="table" w:styleId="925" w:customStyle="1">
    <w:name w:val="网格表 21"/>
    <w:basedOn w:val="918"/>
    <w:uiPriority w:val="99"/>
    <w:qFormat/>
    <w:tblPr/>
  </w:style>
  <w:style w:type="table" w:styleId="926" w:customStyle="1">
    <w:name w:val="网格表 31"/>
    <w:basedOn w:val="918"/>
    <w:uiPriority w:val="99"/>
    <w:qFormat/>
    <w:tblPr/>
  </w:style>
  <w:style w:type="table" w:styleId="927" w:customStyle="1">
    <w:name w:val="网格表 41"/>
    <w:basedOn w:val="918"/>
    <w:uiPriority w:val="59"/>
    <w:qFormat/>
    <w:tblPr/>
  </w:style>
  <w:style w:type="table" w:styleId="928" w:customStyle="1">
    <w:name w:val="网格表 5 深色1"/>
    <w:basedOn w:val="918"/>
    <w:uiPriority w:val="99"/>
    <w:qFormat/>
    <w:tblPr/>
  </w:style>
  <w:style w:type="table" w:styleId="929" w:customStyle="1">
    <w:name w:val="网格表 6 彩色1"/>
    <w:basedOn w:val="918"/>
    <w:uiPriority w:val="99"/>
    <w:qFormat/>
    <w:tblPr/>
  </w:style>
  <w:style w:type="table" w:styleId="930" w:customStyle="1">
    <w:name w:val="网格表 7 彩色1"/>
    <w:basedOn w:val="918"/>
    <w:uiPriority w:val="99"/>
    <w:qFormat/>
    <w:tblPr/>
  </w:style>
  <w:style w:type="table" w:styleId="931" w:customStyle="1">
    <w:name w:val="清单表 1 浅色1"/>
    <w:basedOn w:val="918"/>
    <w:uiPriority w:val="99"/>
    <w:qFormat/>
    <w:tblPr/>
  </w:style>
  <w:style w:type="table" w:styleId="932" w:customStyle="1">
    <w:name w:val="清单表 21"/>
    <w:basedOn w:val="918"/>
    <w:uiPriority w:val="99"/>
    <w:qFormat/>
    <w:tblPr/>
  </w:style>
  <w:style w:type="table" w:styleId="933" w:customStyle="1">
    <w:name w:val="清单表 31"/>
    <w:basedOn w:val="918"/>
    <w:uiPriority w:val="99"/>
    <w:qFormat/>
    <w:tblPr/>
  </w:style>
  <w:style w:type="table" w:styleId="934" w:customStyle="1">
    <w:name w:val="清单表 41"/>
    <w:basedOn w:val="918"/>
    <w:uiPriority w:val="99"/>
    <w:qFormat/>
    <w:tblPr/>
  </w:style>
  <w:style w:type="table" w:styleId="935" w:customStyle="1">
    <w:name w:val="清单表 5 深色1"/>
    <w:basedOn w:val="918"/>
    <w:uiPriority w:val="99"/>
    <w:qFormat/>
    <w:tblPr/>
  </w:style>
  <w:style w:type="table" w:styleId="936" w:customStyle="1">
    <w:name w:val="清单表 6 彩色1"/>
    <w:basedOn w:val="918"/>
    <w:uiPriority w:val="99"/>
    <w:qFormat/>
    <w:tblPr/>
  </w:style>
  <w:style w:type="table" w:styleId="937" w:customStyle="1">
    <w:name w:val="清单表 7 彩色1"/>
    <w:basedOn w:val="918"/>
    <w:uiPriority w:val="99"/>
    <w:qFormat/>
    <w:tblPr/>
  </w:style>
  <w:style w:type="paragraph" w:styleId="938" w:customStyle="1">
    <w:name w:val="TOC 标题112"/>
    <w:uiPriority w:val="39"/>
    <w:qFormat/>
    <w:rPr>
      <w:rFonts w:ascii="Times New Roman" w:hAnsi="Times New Roman" w:eastAsia="宋体" w:cs="Times New Roman"/>
      <w:lang w:val="en-US" w:eastAsia="zh-CN" w:bidi="ar-SA"/>
    </w:rPr>
  </w:style>
  <w:style w:type="paragraph" w:styleId="939" w:customStyle="1">
    <w:name w:val="Caption1"/>
    <w:basedOn w:val="728"/>
    <w:next w:val="728"/>
    <w:uiPriority w:val="35"/>
    <w:qFormat/>
    <w:pPr>
      <w:spacing w:line="276" w:lineRule="auto"/>
    </w:pPr>
    <w:rPr>
      <w:b/>
      <w:bCs/>
      <w:color w:val="4f81bd"/>
      <w:sz w:val="18"/>
      <w:szCs w:val="18"/>
    </w:rPr>
  </w:style>
  <w:style w:type="paragraph" w:styleId="940" w:customStyle="1">
    <w:name w:val="Comment Text"/>
    <w:basedOn w:val="728"/>
    <w:link w:val="941"/>
    <w:uiPriority w:val="99"/>
    <w:qFormat/>
    <w:pPr>
      <w:jc w:val="left"/>
    </w:pPr>
  </w:style>
  <w:style w:type="character" w:styleId="941" w:customStyle="1">
    <w:name w:val="批注文字 字符"/>
    <w:link w:val="940"/>
    <w:uiPriority w:val="99"/>
    <w:qFormat/>
    <w:rPr>
      <w:sz w:val="21"/>
      <w:szCs w:val="22"/>
    </w:rPr>
  </w:style>
  <w:style w:type="paragraph" w:styleId="942" w:customStyle="1">
    <w:name w:val="Footer1"/>
    <w:basedOn w:val="728"/>
    <w:link w:val="943"/>
    <w:uiPriority w:val="99"/>
    <w:qFormat/>
    <w:pPr>
      <w:jc w:val="left"/>
      <w:tabs>
        <w:tab w:val="center" w:pos="4153" w:leader="none"/>
        <w:tab w:val="right" w:pos="8306" w:leader="none"/>
      </w:tabs>
    </w:pPr>
    <w:rPr>
      <w:sz w:val="18"/>
      <w:szCs w:val="18"/>
    </w:rPr>
  </w:style>
  <w:style w:type="character" w:styleId="943" w:customStyle="1">
    <w:name w:val="页脚 字符"/>
    <w:link w:val="942"/>
    <w:uiPriority w:val="99"/>
    <w:qFormat/>
    <w:rPr>
      <w:sz w:val="18"/>
      <w:szCs w:val="18"/>
    </w:rPr>
  </w:style>
  <w:style w:type="paragraph" w:styleId="944" w:customStyle="1">
    <w:name w:val="Header1"/>
    <w:basedOn w:val="728"/>
    <w:link w:val="945"/>
    <w:uiPriority w:val="99"/>
    <w:qFormat/>
    <w:pPr>
      <w:jc w:val="center"/>
      <w:tabs>
        <w:tab w:val="center" w:pos="4153" w:leader="none"/>
        <w:tab w:val="right" w:pos="8306" w:leader="none"/>
      </w:tabs>
      <w:pBdr>
        <w:bottom w:val="single" w:color="000000" w:sz="6" w:space="1"/>
      </w:pBdr>
    </w:pPr>
    <w:rPr>
      <w:sz w:val="18"/>
      <w:szCs w:val="18"/>
    </w:rPr>
  </w:style>
  <w:style w:type="character" w:styleId="945" w:customStyle="1">
    <w:name w:val="页眉 字符"/>
    <w:link w:val="944"/>
    <w:uiPriority w:val="99"/>
    <w:qFormat/>
    <w:rPr>
      <w:sz w:val="18"/>
      <w:szCs w:val="18"/>
    </w:rPr>
  </w:style>
  <w:style w:type="paragraph" w:styleId="946" w:customStyle="1">
    <w:name w:val="Comment Subject"/>
    <w:basedOn w:val="940"/>
    <w:next w:val="940"/>
    <w:link w:val="947"/>
    <w:uiPriority w:val="0"/>
    <w:qFormat/>
    <w:rPr>
      <w:b/>
      <w:bCs/>
      <w:sz w:val="20"/>
      <w:szCs w:val="21"/>
      <w:lang w:eastAsia="en-US"/>
    </w:rPr>
  </w:style>
  <w:style w:type="character" w:styleId="947" w:customStyle="1">
    <w:name w:val="批注主题 字符"/>
    <w:link w:val="946"/>
    <w:uiPriority w:val="0"/>
    <w:qFormat/>
    <w:rPr>
      <w:rFonts w:ascii="Times New Roman" w:hAnsi="Times New Roman"/>
      <w:b/>
      <w:bCs/>
      <w:szCs w:val="21"/>
      <w:lang w:eastAsia="en-US"/>
    </w:rPr>
  </w:style>
  <w:style w:type="character" w:styleId="948" w:customStyle="1">
    <w:name w:val="Comment Reference"/>
    <w:uiPriority w:val="0"/>
    <w:qFormat/>
    <w:rPr>
      <w:sz w:val="21"/>
      <w:szCs w:val="21"/>
    </w:rPr>
  </w:style>
  <w:style w:type="paragraph" w:styleId="949" w:customStyle="1">
    <w:name w:val="TOC 标题111"/>
    <w:uiPriority w:val="39"/>
    <w:qFormat/>
    <w:rPr>
      <w:rFonts w:ascii="Times New Roman" w:hAnsi="Times New Roman" w:eastAsia="宋体" w:cs="Times New Roman"/>
      <w:lang w:val="en-US" w:eastAsia="zh-CN" w:bidi="ar-SA"/>
    </w:rPr>
  </w:style>
  <w:style w:type="paragraph" w:styleId="950" w:customStyle="1">
    <w:name w:val="标题 41"/>
    <w:basedOn w:val="728"/>
    <w:next w:val="728"/>
    <w:link w:val="951"/>
    <w:uiPriority w:val="9"/>
    <w:qFormat/>
    <w:pPr>
      <w:keepLines/>
      <w:keepNext/>
      <w:spacing w:before="320" w:after="200"/>
      <w:outlineLvl w:val="3"/>
    </w:pPr>
    <w:rPr>
      <w:rFonts w:ascii="Arial" w:hAnsi="Arial" w:eastAsia="Arial" w:cs="Arial"/>
      <w:b/>
      <w:bCs/>
      <w:sz w:val="26"/>
      <w:szCs w:val="26"/>
    </w:rPr>
  </w:style>
  <w:style w:type="character" w:styleId="951" w:customStyle="1">
    <w:name w:val="Heading 4 Char_b54927f1-348d-4c3f-a9c4-f823b2e616f5"/>
    <w:link w:val="950"/>
    <w:uiPriority w:val="9"/>
    <w:qFormat/>
    <w:rPr>
      <w:rFonts w:ascii="Arial" w:hAnsi="Arial" w:eastAsia="Arial" w:cs="Arial"/>
      <w:b/>
      <w:bCs/>
      <w:sz w:val="26"/>
      <w:szCs w:val="26"/>
    </w:rPr>
  </w:style>
  <w:style w:type="paragraph" w:styleId="952" w:customStyle="1">
    <w:name w:val="题注1"/>
    <w:basedOn w:val="728"/>
    <w:next w:val="728"/>
    <w:uiPriority w:val="35"/>
    <w:qFormat/>
    <w:pPr>
      <w:spacing w:line="276" w:lineRule="auto"/>
    </w:pPr>
    <w:rPr>
      <w:b/>
      <w:bCs/>
      <w:color w:val="4f81bd"/>
      <w:sz w:val="18"/>
      <w:szCs w:val="18"/>
    </w:rPr>
  </w:style>
  <w:style w:type="paragraph" w:styleId="953" w:customStyle="1">
    <w:name w:val="标题 21"/>
    <w:basedOn w:val="728"/>
    <w:next w:val="79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4" w:customStyle="1">
    <w:name w:val="标题 31"/>
    <w:basedOn w:val="728"/>
    <w:next w:val="791"/>
    <w:uiPriority w:val="0"/>
    <w:qFormat/>
    <w:pPr>
      <w:keepLines/>
      <w:keepNext/>
      <w:spacing w:before="260" w:after="260" w:line="416" w:lineRule="auto"/>
      <w:outlineLvl w:val="2"/>
    </w:pPr>
    <w:rPr>
      <w:b/>
      <w:bCs/>
      <w:sz w:val="32"/>
      <w:szCs w:val="32"/>
      <w:lang w:eastAsia="en-US"/>
    </w:rPr>
  </w:style>
  <w:style w:type="paragraph" w:styleId="955" w:customStyle="1">
    <w:name w:val="标题 42"/>
    <w:basedOn w:val="728"/>
    <w:next w:val="791"/>
    <w:uiPriority w:val="0"/>
    <w:qFormat/>
    <w:pPr>
      <w:keepLines/>
      <w:keepNext/>
      <w:spacing w:before="280" w:after="290" w:line="376" w:lineRule="auto"/>
      <w:outlineLvl w:val="3"/>
    </w:pPr>
    <w:rPr>
      <w:rFonts w:ascii="Arial" w:hAnsi="Arial" w:eastAsia="黑体"/>
      <w:b/>
      <w:bCs/>
      <w:sz w:val="28"/>
      <w:szCs w:val="28"/>
      <w:lang w:eastAsia="en-US"/>
    </w:rPr>
  </w:style>
  <w:style w:type="paragraph" w:styleId="956" w:customStyle="1">
    <w:name w:val="标题 51"/>
    <w:basedOn w:val="728"/>
    <w:next w:val="791"/>
    <w:uiPriority w:val="0"/>
    <w:qFormat/>
    <w:pPr>
      <w:keepNext/>
      <w:outlineLvl w:val="4"/>
    </w:pPr>
    <w:rPr>
      <w:rFonts w:ascii="宋体"/>
      <w:color w:val="000000"/>
      <w:sz w:val="28"/>
      <w:szCs w:val="28"/>
      <w:lang w:eastAsia="en-US"/>
    </w:rPr>
  </w:style>
  <w:style w:type="paragraph" w:styleId="957" w:customStyle="1">
    <w:name w:val="标题 61"/>
    <w:basedOn w:val="728"/>
    <w:next w:val="728"/>
    <w:uiPriority w:val="0"/>
    <w:qFormat/>
    <w:pPr>
      <w:numPr>
        <w:ilvl w:val="5"/>
        <w:numId w:val="4"/>
      </w:numPr>
      <w:keepLines/>
      <w:keepNext/>
      <w:spacing w:before="240" w:after="64" w:line="320" w:lineRule="auto"/>
      <w:outlineLvl w:val="5"/>
    </w:pPr>
    <w:rPr>
      <w:rFonts w:ascii="Arial" w:hAnsi="Arial" w:eastAsia="黑体"/>
      <w:b/>
      <w:bCs/>
      <w:sz w:val="24"/>
      <w:szCs w:val="24"/>
      <w:lang w:eastAsia="en-US"/>
    </w:rPr>
  </w:style>
  <w:style w:type="paragraph" w:styleId="958" w:customStyle="1">
    <w:name w:val="标题 71"/>
    <w:basedOn w:val="728"/>
    <w:next w:val="728"/>
    <w:uiPriority w:val="0"/>
    <w:qFormat/>
    <w:pPr>
      <w:numPr>
        <w:ilvl w:val="6"/>
        <w:numId w:val="4"/>
      </w:numPr>
      <w:keepLines/>
      <w:keepNext/>
      <w:spacing w:before="240" w:after="64" w:line="320" w:lineRule="auto"/>
      <w:outlineLvl w:val="6"/>
    </w:pPr>
    <w:rPr>
      <w:b/>
      <w:bCs/>
      <w:sz w:val="24"/>
      <w:szCs w:val="24"/>
      <w:lang w:eastAsia="en-US"/>
    </w:rPr>
  </w:style>
  <w:style w:type="paragraph" w:styleId="959" w:customStyle="1">
    <w:name w:val="标题 81"/>
    <w:basedOn w:val="728"/>
    <w:next w:val="728"/>
    <w:uiPriority w:val="0"/>
    <w:qFormat/>
    <w:pPr>
      <w:numPr>
        <w:ilvl w:val="7"/>
        <w:numId w:val="4"/>
      </w:numPr>
      <w:keepLines/>
      <w:keepNext/>
      <w:spacing w:before="240" w:after="64" w:line="320" w:lineRule="auto"/>
      <w:outlineLvl w:val="7"/>
    </w:pPr>
    <w:rPr>
      <w:rFonts w:ascii="Arial" w:hAnsi="Arial" w:eastAsia="黑体"/>
      <w:sz w:val="24"/>
      <w:szCs w:val="24"/>
      <w:lang w:eastAsia="en-US"/>
    </w:rPr>
  </w:style>
  <w:style w:type="paragraph" w:styleId="960" w:customStyle="1">
    <w:name w:val="标题 91"/>
    <w:basedOn w:val="728"/>
    <w:next w:val="728"/>
    <w:uiPriority w:val="0"/>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961" w:customStyle="1">
    <w:name w:val="Title Char_46d8bd0a-03d0-4d2c-8d4f-8df618470fc3"/>
    <w:uiPriority w:val="10"/>
    <w:qFormat/>
    <w:rPr>
      <w:sz w:val="48"/>
      <w:szCs w:val="48"/>
    </w:rPr>
  </w:style>
  <w:style w:type="character" w:styleId="962" w:customStyle="1">
    <w:name w:val="Subtitle Char"/>
    <w:uiPriority w:val="11"/>
    <w:qFormat/>
    <w:rPr>
      <w:sz w:val="24"/>
      <w:szCs w:val="24"/>
    </w:rPr>
  </w:style>
  <w:style w:type="character" w:styleId="963" w:customStyle="1">
    <w:name w:val="Quote Char_d941316e-4515-40ca-b6ac-6b379fcabe2c"/>
    <w:uiPriority w:val="29"/>
    <w:qFormat/>
    <w:rPr>
      <w:i/>
    </w:rPr>
  </w:style>
  <w:style w:type="character" w:styleId="964" w:customStyle="1">
    <w:name w:val="Intense Quote Char_a5e5bb00-7569-489c-b952-ea9336b9f123"/>
    <w:uiPriority w:val="30"/>
    <w:qFormat/>
    <w:rPr>
      <w:i/>
    </w:rPr>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标题 111"/>
    <w:basedOn w:val="728"/>
    <w:next w:val="728"/>
    <w:link w:val="968"/>
    <w:uiPriority w:val="9"/>
    <w:qFormat/>
    <w:pPr>
      <w:keepLines/>
      <w:keepNext/>
      <w:spacing w:before="480" w:after="200"/>
      <w:outlineLvl w:val="0"/>
    </w:pPr>
    <w:rPr>
      <w:rFonts w:ascii="Arial" w:hAnsi="Arial" w:eastAsia="Arial" w:cs="Arial"/>
      <w:sz w:val="40"/>
      <w:szCs w:val="40"/>
    </w:rPr>
  </w:style>
  <w:style w:type="character" w:styleId="968" w:customStyle="1">
    <w:name w:val="Heading 1 Char_322cb6f3-93a6-47d5-a68f-deb510d21a5d"/>
    <w:link w:val="967"/>
    <w:uiPriority w:val="9"/>
    <w:qFormat/>
    <w:rPr>
      <w:rFonts w:ascii="Arial" w:hAnsi="Arial" w:eastAsia="Arial" w:cs="Arial"/>
      <w:sz w:val="40"/>
      <w:szCs w:val="40"/>
    </w:rPr>
  </w:style>
  <w:style w:type="paragraph" w:styleId="969" w:customStyle="1">
    <w:name w:val="标题 211"/>
    <w:basedOn w:val="728"/>
    <w:next w:val="970"/>
    <w:link w:val="971"/>
    <w:uiPriority w:val="9"/>
    <w:qFormat/>
    <w:pPr>
      <w:keepLines/>
      <w:keepNext/>
      <w:spacing w:before="360" w:after="200"/>
      <w:outlineLvl w:val="1"/>
    </w:pPr>
    <w:rPr>
      <w:rFonts w:ascii="Arial" w:hAnsi="Arial" w:eastAsia="Arial" w:cs="Arial"/>
      <w:sz w:val="34"/>
    </w:rPr>
  </w:style>
  <w:style w:type="paragraph" w:styleId="970" w:customStyle="1">
    <w:name w:val="正文缩进1"/>
    <w:basedOn w:val="728"/>
    <w:uiPriority w:val="0"/>
    <w:qFormat/>
    <w:pPr>
      <w:ind w:firstLine="420"/>
    </w:pPr>
    <w:rPr>
      <w:szCs w:val="21"/>
    </w:rPr>
  </w:style>
  <w:style w:type="character" w:styleId="971" w:customStyle="1">
    <w:name w:val="Heading 2 Char_e5dd74bc-ee69-4f45-bf88-5384284c3429"/>
    <w:link w:val="969"/>
    <w:uiPriority w:val="9"/>
    <w:qFormat/>
    <w:rPr>
      <w:rFonts w:ascii="Arial" w:hAnsi="Arial" w:eastAsia="Arial" w:cs="Arial"/>
      <w:sz w:val="34"/>
      <w:szCs w:val="22"/>
    </w:rPr>
  </w:style>
  <w:style w:type="paragraph" w:styleId="972" w:customStyle="1">
    <w:name w:val="标题 311"/>
    <w:basedOn w:val="728"/>
    <w:next w:val="728"/>
    <w:link w:val="973"/>
    <w:uiPriority w:val="9"/>
    <w:qFormat/>
    <w:pPr>
      <w:keepLines/>
      <w:keepNext/>
      <w:spacing w:before="320" w:after="200"/>
      <w:outlineLvl w:val="2"/>
    </w:pPr>
    <w:rPr>
      <w:rFonts w:ascii="Arial" w:hAnsi="Arial" w:eastAsia="Arial" w:cs="Arial"/>
      <w:sz w:val="30"/>
      <w:szCs w:val="30"/>
    </w:rPr>
  </w:style>
  <w:style w:type="character" w:styleId="973" w:customStyle="1">
    <w:name w:val="Heading 3 Char_9cb362d1-f011-49fb-9e2d-ed0825d12373"/>
    <w:link w:val="972"/>
    <w:uiPriority w:val="9"/>
    <w:qFormat/>
    <w:rPr>
      <w:rFonts w:ascii="Arial" w:hAnsi="Arial" w:eastAsia="Arial" w:cs="Arial"/>
      <w:sz w:val="30"/>
      <w:szCs w:val="30"/>
    </w:rPr>
  </w:style>
  <w:style w:type="paragraph" w:styleId="974" w:customStyle="1">
    <w:name w:val="标题 511"/>
    <w:basedOn w:val="728"/>
    <w:next w:val="728"/>
    <w:link w:val="975"/>
    <w:uiPriority w:val="9"/>
    <w:qFormat/>
    <w:pPr>
      <w:keepLines/>
      <w:keepNext/>
      <w:spacing w:before="320" w:after="200"/>
      <w:outlineLvl w:val="4"/>
    </w:pPr>
    <w:rPr>
      <w:rFonts w:ascii="Arial" w:hAnsi="Arial" w:eastAsia="Arial" w:cs="Arial"/>
      <w:b/>
      <w:bCs/>
      <w:sz w:val="24"/>
      <w:szCs w:val="24"/>
    </w:rPr>
  </w:style>
  <w:style w:type="character" w:styleId="975" w:customStyle="1">
    <w:name w:val="Heading 5 Char_683e6ece-cfed-41c7-94ae-87f1ac6a413c"/>
    <w:link w:val="974"/>
    <w:uiPriority w:val="9"/>
    <w:qFormat/>
    <w:rPr>
      <w:rFonts w:ascii="Arial" w:hAnsi="Arial" w:eastAsia="Arial" w:cs="Arial"/>
      <w:b/>
      <w:bCs/>
      <w:sz w:val="24"/>
      <w:szCs w:val="24"/>
    </w:rPr>
  </w:style>
  <w:style w:type="paragraph" w:styleId="976" w:customStyle="1">
    <w:name w:val="标题 611"/>
    <w:basedOn w:val="728"/>
    <w:next w:val="728"/>
    <w:link w:val="977"/>
    <w:uiPriority w:val="9"/>
    <w:qFormat/>
    <w:pPr>
      <w:keepLines/>
      <w:keepNext/>
      <w:spacing w:before="320" w:after="200"/>
      <w:outlineLvl w:val="5"/>
    </w:pPr>
    <w:rPr>
      <w:rFonts w:ascii="Arial" w:hAnsi="Arial" w:eastAsia="Arial" w:cs="Arial"/>
      <w:b/>
      <w:bCs/>
      <w:sz w:val="22"/>
    </w:rPr>
  </w:style>
  <w:style w:type="character" w:styleId="977" w:customStyle="1">
    <w:name w:val="Heading 6 Char_c1964b01-2722-451f-a1e1-7e272ebd9ef2"/>
    <w:link w:val="976"/>
    <w:uiPriority w:val="9"/>
    <w:qFormat/>
    <w:rPr>
      <w:rFonts w:ascii="Arial" w:hAnsi="Arial" w:eastAsia="Arial" w:cs="Arial"/>
      <w:b/>
      <w:bCs/>
      <w:sz w:val="22"/>
      <w:szCs w:val="22"/>
    </w:rPr>
  </w:style>
  <w:style w:type="paragraph" w:styleId="978" w:customStyle="1">
    <w:name w:val="标题 711"/>
    <w:basedOn w:val="728"/>
    <w:next w:val="728"/>
    <w:link w:val="979"/>
    <w:uiPriority w:val="9"/>
    <w:qFormat/>
    <w:pPr>
      <w:keepLines/>
      <w:keepNext/>
      <w:spacing w:before="320" w:after="200"/>
      <w:outlineLvl w:val="6"/>
    </w:pPr>
    <w:rPr>
      <w:rFonts w:ascii="Arial" w:hAnsi="Arial" w:eastAsia="Arial" w:cs="Arial"/>
      <w:b/>
      <w:bCs/>
      <w:i/>
      <w:iCs/>
      <w:sz w:val="22"/>
    </w:rPr>
  </w:style>
  <w:style w:type="character" w:styleId="979" w:customStyle="1">
    <w:name w:val="Heading 7 Char_4ebc4849-31cf-41ca-a39b-78499d90c7ff"/>
    <w:link w:val="978"/>
    <w:uiPriority w:val="9"/>
    <w:qFormat/>
    <w:rPr>
      <w:rFonts w:ascii="Arial" w:hAnsi="Arial" w:eastAsia="Arial" w:cs="Arial"/>
      <w:b/>
      <w:bCs/>
      <w:i/>
      <w:iCs/>
      <w:sz w:val="22"/>
      <w:szCs w:val="22"/>
    </w:rPr>
  </w:style>
  <w:style w:type="paragraph" w:styleId="980" w:customStyle="1">
    <w:name w:val="标题 811"/>
    <w:basedOn w:val="728"/>
    <w:next w:val="728"/>
    <w:link w:val="981"/>
    <w:uiPriority w:val="9"/>
    <w:qFormat/>
    <w:pPr>
      <w:keepLines/>
      <w:keepNext/>
      <w:spacing w:before="320" w:after="200"/>
      <w:outlineLvl w:val="7"/>
    </w:pPr>
    <w:rPr>
      <w:rFonts w:ascii="Arial" w:hAnsi="Arial" w:eastAsia="Arial" w:cs="Arial"/>
      <w:i/>
      <w:iCs/>
      <w:sz w:val="22"/>
    </w:rPr>
  </w:style>
  <w:style w:type="character" w:styleId="981" w:customStyle="1">
    <w:name w:val="Heading 8 Char_d45491c4-f379-4709-a6c3-70f557eb98e5"/>
    <w:link w:val="980"/>
    <w:uiPriority w:val="9"/>
    <w:qFormat/>
    <w:rPr>
      <w:rFonts w:ascii="Arial" w:hAnsi="Arial" w:eastAsia="Arial" w:cs="Arial"/>
      <w:i/>
      <w:iCs/>
      <w:sz w:val="22"/>
      <w:szCs w:val="22"/>
    </w:rPr>
  </w:style>
  <w:style w:type="paragraph" w:styleId="982" w:customStyle="1">
    <w:name w:val="标题 911"/>
    <w:basedOn w:val="728"/>
    <w:next w:val="728"/>
    <w:link w:val="983"/>
    <w:uiPriority w:val="9"/>
    <w:qFormat/>
    <w:pPr>
      <w:keepLines/>
      <w:keepNext/>
      <w:spacing w:before="320" w:after="200"/>
      <w:outlineLvl w:val="8"/>
    </w:pPr>
    <w:rPr>
      <w:rFonts w:ascii="Arial" w:hAnsi="Arial" w:eastAsia="Arial" w:cs="Arial"/>
      <w:i/>
      <w:iCs/>
      <w:szCs w:val="21"/>
    </w:rPr>
  </w:style>
  <w:style w:type="character" w:styleId="983" w:customStyle="1">
    <w:name w:val="Heading 9 Char_8002ad88-1603-4418-b3f8-aa681203fcc2"/>
    <w:link w:val="982"/>
    <w:uiPriority w:val="9"/>
    <w:qFormat/>
    <w:rPr>
      <w:rFonts w:ascii="Arial" w:hAnsi="Arial" w:eastAsia="Arial" w:cs="Arial"/>
      <w:i/>
      <w:iCs/>
      <w:sz w:val="21"/>
      <w:szCs w:val="21"/>
    </w:rPr>
  </w:style>
  <w:style w:type="paragraph" w:styleId="984" w:customStyle="1">
    <w:name w:val="引用1"/>
    <w:basedOn w:val="728"/>
    <w:next w:val="728"/>
    <w:link w:val="985"/>
    <w:uiPriority w:val="29"/>
    <w:qFormat/>
    <w:pPr>
      <w:ind w:left="720" w:right="720"/>
    </w:pPr>
    <w:rPr>
      <w:i/>
    </w:rPr>
  </w:style>
  <w:style w:type="character" w:styleId="985" w:customStyle="1">
    <w:name w:val="引用 Char"/>
    <w:link w:val="984"/>
    <w:uiPriority w:val="29"/>
    <w:qFormat/>
    <w:rPr>
      <w:i/>
      <w:sz w:val="21"/>
      <w:szCs w:val="22"/>
    </w:rPr>
  </w:style>
  <w:style w:type="paragraph" w:styleId="986" w:customStyle="1">
    <w:name w:val="明显引用1"/>
    <w:basedOn w:val="728"/>
    <w:next w:val="728"/>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明显引用 Char"/>
    <w:link w:val="986"/>
    <w:uiPriority w:val="30"/>
    <w:qFormat/>
    <w:rPr>
      <w:i/>
      <w:sz w:val="21"/>
      <w:szCs w:val="22"/>
      <w:shd w:val="clear" w:color="auto" w:fill="f2f2f2"/>
    </w:rPr>
  </w:style>
  <w:style w:type="paragraph" w:styleId="988" w:customStyle="1">
    <w:name w:val="页眉1"/>
    <w:basedOn w:val="728"/>
    <w:link w:val="989"/>
    <w:uiPriority w:val="99"/>
    <w:qFormat/>
    <w:pPr>
      <w:tabs>
        <w:tab w:val="center" w:pos="7143" w:leader="none"/>
        <w:tab w:val="right" w:pos="14287" w:leader="none"/>
      </w:tabs>
    </w:pPr>
  </w:style>
  <w:style w:type="character" w:styleId="989" w:customStyle="1">
    <w:name w:val="Header Char_dee31cfc-25ef-45b7-a27b-fb492d056c35"/>
    <w:link w:val="988"/>
    <w:uiPriority w:val="99"/>
    <w:qFormat/>
    <w:rPr>
      <w:sz w:val="21"/>
      <w:szCs w:val="22"/>
    </w:rPr>
  </w:style>
  <w:style w:type="paragraph" w:styleId="990" w:customStyle="1">
    <w:name w:val="页脚1"/>
    <w:basedOn w:val="728"/>
    <w:link w:val="991"/>
    <w:uiPriority w:val="99"/>
    <w:qFormat/>
    <w:pPr>
      <w:tabs>
        <w:tab w:val="center" w:pos="7143" w:leader="none"/>
        <w:tab w:val="right" w:pos="14287" w:leader="none"/>
      </w:tabs>
    </w:pPr>
  </w:style>
  <w:style w:type="character" w:styleId="991" w:customStyle="1">
    <w:name w:val="Caption Char"/>
    <w:link w:val="990"/>
    <w:uiPriority w:val="99"/>
    <w:qFormat/>
    <w:rPr>
      <w:sz w:val="21"/>
      <w:szCs w:val="22"/>
    </w:rPr>
  </w:style>
  <w:style w:type="character" w:styleId="992" w:customStyle="1">
    <w:name w:val="Footer Char_8fb8e816-208b-4dcd-b444-332fde1b5961"/>
    <w:uiPriority w:val="99"/>
    <w:qFormat/>
  </w:style>
  <w:style w:type="paragraph" w:styleId="993" w:customStyle="1">
    <w:name w:val="题注11"/>
    <w:basedOn w:val="728"/>
    <w:next w:val="728"/>
    <w:uiPriority w:val="35"/>
    <w:qFormat/>
    <w:pPr>
      <w:spacing w:line="276" w:lineRule="auto"/>
    </w:pPr>
    <w:rPr>
      <w:b/>
      <w:bCs/>
      <w:color w:val="4f81bd"/>
      <w:sz w:val="18"/>
      <w:szCs w:val="18"/>
    </w:rPr>
  </w:style>
  <w:style w:type="table" w:styleId="994" w:customStyle="1">
    <w:name w:val="Table Grid Light"/>
    <w:uiPriority w:val="59"/>
    <w:qFormat/>
    <w:tblPr>
      <w:tblCellMar>
        <w:left w:w="0" w:type="dxa"/>
        <w:top w:w="0" w:type="dxa"/>
        <w:right w:w="0" w:type="dxa"/>
        <w:bottom w:w="0" w:type="dxa"/>
      </w:tblCellMar>
    </w:tblPr>
  </w:style>
  <w:style w:type="table" w:styleId="995" w:customStyle="1">
    <w:name w:val="Grid Table 1 Light - Accent 1"/>
    <w:uiPriority w:val="99"/>
    <w:qFormat/>
    <w:tblPr>
      <w:tblCellMar>
        <w:left w:w="0" w:type="dxa"/>
        <w:top w:w="0" w:type="dxa"/>
        <w:right w:w="0" w:type="dxa"/>
        <w:bottom w:w="0" w:type="dxa"/>
      </w:tblCellMar>
    </w:tblPr>
  </w:style>
  <w:style w:type="table" w:styleId="996" w:customStyle="1">
    <w:name w:val="Grid Table 1 Light - Accent 2"/>
    <w:uiPriority w:val="99"/>
    <w:qFormat/>
    <w:tblPr>
      <w:tblCellMar>
        <w:left w:w="0" w:type="dxa"/>
        <w:top w:w="0" w:type="dxa"/>
        <w:right w:w="0" w:type="dxa"/>
        <w:bottom w:w="0" w:type="dxa"/>
      </w:tblCellMar>
    </w:tblPr>
  </w:style>
  <w:style w:type="table" w:styleId="997" w:customStyle="1">
    <w:name w:val="Grid Table 1 Light - Accent 3"/>
    <w:uiPriority w:val="99"/>
    <w:qFormat/>
    <w:tblPr>
      <w:tblCellMar>
        <w:left w:w="0" w:type="dxa"/>
        <w:top w:w="0" w:type="dxa"/>
        <w:right w:w="0" w:type="dxa"/>
        <w:bottom w:w="0" w:type="dxa"/>
      </w:tblCellMar>
    </w:tblPr>
  </w:style>
  <w:style w:type="table" w:styleId="998" w:customStyle="1">
    <w:name w:val="Grid Table 1 Light - Accent 4"/>
    <w:uiPriority w:val="99"/>
    <w:qFormat/>
    <w:tblPr>
      <w:tblCellMar>
        <w:left w:w="0" w:type="dxa"/>
        <w:top w:w="0" w:type="dxa"/>
        <w:right w:w="0" w:type="dxa"/>
        <w:bottom w:w="0" w:type="dxa"/>
      </w:tblCellMar>
    </w:tblPr>
  </w:style>
  <w:style w:type="table" w:styleId="999" w:customStyle="1">
    <w:name w:val="Grid Table 1 Light - Accent 5"/>
    <w:uiPriority w:val="99"/>
    <w:qFormat/>
    <w:tblPr>
      <w:tblCellMar>
        <w:left w:w="0" w:type="dxa"/>
        <w:top w:w="0" w:type="dxa"/>
        <w:right w:w="0" w:type="dxa"/>
        <w:bottom w:w="0" w:type="dxa"/>
      </w:tblCellMar>
    </w:tblPr>
  </w:style>
  <w:style w:type="table" w:styleId="1000" w:customStyle="1">
    <w:name w:val="Grid Table 1 Light - Accent 6"/>
    <w:uiPriority w:val="99"/>
    <w:qFormat/>
    <w:tblPr>
      <w:tblCellMar>
        <w:left w:w="0" w:type="dxa"/>
        <w:top w:w="0" w:type="dxa"/>
        <w:right w:w="0" w:type="dxa"/>
        <w:bottom w:w="0" w:type="dxa"/>
      </w:tblCellMar>
    </w:tblPr>
  </w:style>
  <w:style w:type="table" w:styleId="1001" w:customStyle="1">
    <w:name w:val="Grid Table 2 - Accent 1"/>
    <w:uiPriority w:val="99"/>
    <w:qFormat/>
    <w:tblPr>
      <w:tblCellMar>
        <w:left w:w="0" w:type="dxa"/>
        <w:top w:w="0" w:type="dxa"/>
        <w:right w:w="0" w:type="dxa"/>
        <w:bottom w:w="0" w:type="dxa"/>
      </w:tblCellMar>
    </w:tblPr>
  </w:style>
  <w:style w:type="table" w:styleId="1002" w:customStyle="1">
    <w:name w:val="Grid Table 2 - Accent 2"/>
    <w:uiPriority w:val="99"/>
    <w:qFormat/>
    <w:tblPr>
      <w:tblCellMar>
        <w:left w:w="0" w:type="dxa"/>
        <w:top w:w="0" w:type="dxa"/>
        <w:right w:w="0" w:type="dxa"/>
        <w:bottom w:w="0" w:type="dxa"/>
      </w:tblCellMar>
    </w:tblPr>
  </w:style>
  <w:style w:type="table" w:styleId="1003" w:customStyle="1">
    <w:name w:val="Grid Table 2 - Accent 3"/>
    <w:uiPriority w:val="99"/>
    <w:qFormat/>
    <w:tblPr>
      <w:tblCellMar>
        <w:left w:w="0" w:type="dxa"/>
        <w:top w:w="0" w:type="dxa"/>
        <w:right w:w="0" w:type="dxa"/>
        <w:bottom w:w="0" w:type="dxa"/>
      </w:tblCellMar>
    </w:tblPr>
  </w:style>
  <w:style w:type="table" w:styleId="1004" w:customStyle="1">
    <w:name w:val="Grid Table 2 - Accent 4"/>
    <w:uiPriority w:val="99"/>
    <w:qFormat/>
    <w:tblPr>
      <w:tblCellMar>
        <w:left w:w="0" w:type="dxa"/>
        <w:top w:w="0" w:type="dxa"/>
        <w:right w:w="0" w:type="dxa"/>
        <w:bottom w:w="0" w:type="dxa"/>
      </w:tblCellMar>
    </w:tblPr>
  </w:style>
  <w:style w:type="table" w:styleId="1005" w:customStyle="1">
    <w:name w:val="Grid Table 2 - Accent 5"/>
    <w:uiPriority w:val="99"/>
    <w:qFormat/>
    <w:tblPr>
      <w:tblCellMar>
        <w:left w:w="0" w:type="dxa"/>
        <w:top w:w="0" w:type="dxa"/>
        <w:right w:w="0" w:type="dxa"/>
        <w:bottom w:w="0" w:type="dxa"/>
      </w:tblCellMar>
    </w:tblPr>
  </w:style>
  <w:style w:type="table" w:styleId="1006" w:customStyle="1">
    <w:name w:val="Grid Table 2 - Accent 6"/>
    <w:uiPriority w:val="99"/>
    <w:qFormat/>
    <w:tblPr>
      <w:tblCellMar>
        <w:left w:w="0" w:type="dxa"/>
        <w:top w:w="0" w:type="dxa"/>
        <w:right w:w="0" w:type="dxa"/>
        <w:bottom w:w="0" w:type="dxa"/>
      </w:tblCellMar>
    </w:tblPr>
  </w:style>
  <w:style w:type="table" w:styleId="1007" w:customStyle="1">
    <w:name w:val="Grid Table 3 - Accent 1"/>
    <w:uiPriority w:val="99"/>
    <w:qFormat/>
    <w:tblPr>
      <w:tblCellMar>
        <w:left w:w="0" w:type="dxa"/>
        <w:top w:w="0" w:type="dxa"/>
        <w:right w:w="0" w:type="dxa"/>
        <w:bottom w:w="0" w:type="dxa"/>
      </w:tblCellMar>
    </w:tblPr>
  </w:style>
  <w:style w:type="table" w:styleId="1008" w:customStyle="1">
    <w:name w:val="Grid Table 3 - Accent 2"/>
    <w:uiPriority w:val="99"/>
    <w:qFormat/>
    <w:tblPr>
      <w:tblCellMar>
        <w:left w:w="0" w:type="dxa"/>
        <w:top w:w="0" w:type="dxa"/>
        <w:right w:w="0" w:type="dxa"/>
        <w:bottom w:w="0" w:type="dxa"/>
      </w:tblCellMar>
    </w:tblPr>
  </w:style>
  <w:style w:type="table" w:styleId="1009" w:customStyle="1">
    <w:name w:val="Grid Table 3 - Accent 3"/>
    <w:uiPriority w:val="99"/>
    <w:qFormat/>
    <w:tblPr>
      <w:tblCellMar>
        <w:left w:w="0" w:type="dxa"/>
        <w:top w:w="0" w:type="dxa"/>
        <w:right w:w="0" w:type="dxa"/>
        <w:bottom w:w="0" w:type="dxa"/>
      </w:tblCellMar>
    </w:tblPr>
  </w:style>
  <w:style w:type="table" w:styleId="1010" w:customStyle="1">
    <w:name w:val="Grid Table 3 - Accent 4"/>
    <w:uiPriority w:val="99"/>
    <w:qFormat/>
    <w:tblPr>
      <w:tblCellMar>
        <w:left w:w="0" w:type="dxa"/>
        <w:top w:w="0" w:type="dxa"/>
        <w:right w:w="0" w:type="dxa"/>
        <w:bottom w:w="0" w:type="dxa"/>
      </w:tblCellMar>
    </w:tblPr>
  </w:style>
  <w:style w:type="table" w:styleId="1011" w:customStyle="1">
    <w:name w:val="Grid Table 3 - Accent 5"/>
    <w:uiPriority w:val="99"/>
    <w:qFormat/>
    <w:tblPr>
      <w:tblCellMar>
        <w:left w:w="0" w:type="dxa"/>
        <w:top w:w="0" w:type="dxa"/>
        <w:right w:w="0" w:type="dxa"/>
        <w:bottom w:w="0" w:type="dxa"/>
      </w:tblCellMar>
    </w:tblPr>
  </w:style>
  <w:style w:type="table" w:styleId="1012" w:customStyle="1">
    <w:name w:val="Grid Table 3 - Accent 6"/>
    <w:uiPriority w:val="99"/>
    <w:qFormat/>
    <w:tblPr>
      <w:tblCellMar>
        <w:left w:w="0" w:type="dxa"/>
        <w:top w:w="0" w:type="dxa"/>
        <w:right w:w="0" w:type="dxa"/>
        <w:bottom w:w="0" w:type="dxa"/>
      </w:tblCellMar>
    </w:tblPr>
  </w:style>
  <w:style w:type="table" w:styleId="1013" w:customStyle="1">
    <w:name w:val="Grid Table 4 - Accent 1"/>
    <w:uiPriority w:val="59"/>
    <w:qFormat/>
    <w:tblPr>
      <w:tblCellMar>
        <w:left w:w="0" w:type="dxa"/>
        <w:top w:w="0" w:type="dxa"/>
        <w:right w:w="0" w:type="dxa"/>
        <w:bottom w:w="0" w:type="dxa"/>
      </w:tblCellMar>
    </w:tblPr>
  </w:style>
  <w:style w:type="table" w:styleId="1014" w:customStyle="1">
    <w:name w:val="Grid Table 4 - Accent 2"/>
    <w:uiPriority w:val="59"/>
    <w:qFormat/>
    <w:tblPr>
      <w:tblCellMar>
        <w:left w:w="0" w:type="dxa"/>
        <w:top w:w="0" w:type="dxa"/>
        <w:right w:w="0" w:type="dxa"/>
        <w:bottom w:w="0" w:type="dxa"/>
      </w:tblCellMar>
    </w:tblPr>
  </w:style>
  <w:style w:type="table" w:styleId="1015" w:customStyle="1">
    <w:name w:val="Grid Table 4 - Accent 3"/>
    <w:uiPriority w:val="59"/>
    <w:qFormat/>
    <w:tblPr>
      <w:tblCellMar>
        <w:left w:w="0" w:type="dxa"/>
        <w:top w:w="0" w:type="dxa"/>
        <w:right w:w="0" w:type="dxa"/>
        <w:bottom w:w="0" w:type="dxa"/>
      </w:tblCellMar>
    </w:tblPr>
  </w:style>
  <w:style w:type="table" w:styleId="1016" w:customStyle="1">
    <w:name w:val="Grid Table 4 - Accent 4"/>
    <w:uiPriority w:val="59"/>
    <w:qFormat/>
    <w:tblPr>
      <w:tblCellMar>
        <w:left w:w="0" w:type="dxa"/>
        <w:top w:w="0" w:type="dxa"/>
        <w:right w:w="0" w:type="dxa"/>
        <w:bottom w:w="0" w:type="dxa"/>
      </w:tblCellMar>
    </w:tblPr>
  </w:style>
  <w:style w:type="table" w:styleId="1017" w:customStyle="1">
    <w:name w:val="Grid Table 4 - Accent 5"/>
    <w:uiPriority w:val="59"/>
    <w:qFormat/>
    <w:tblPr>
      <w:tblCellMar>
        <w:left w:w="0" w:type="dxa"/>
        <w:top w:w="0" w:type="dxa"/>
        <w:right w:w="0" w:type="dxa"/>
        <w:bottom w:w="0" w:type="dxa"/>
      </w:tblCellMar>
    </w:tblPr>
  </w:style>
  <w:style w:type="table" w:styleId="1018" w:customStyle="1">
    <w:name w:val="Grid Table 4 - Accent 6"/>
    <w:uiPriority w:val="59"/>
    <w:qFormat/>
    <w:tblPr>
      <w:tblCellMar>
        <w:left w:w="0" w:type="dxa"/>
        <w:top w:w="0" w:type="dxa"/>
        <w:right w:w="0" w:type="dxa"/>
        <w:bottom w:w="0" w:type="dxa"/>
      </w:tblCellMar>
    </w:tblPr>
  </w:style>
  <w:style w:type="table" w:styleId="1019" w:customStyle="1">
    <w:name w:val="Grid Table 5 Dark- Accent 1"/>
    <w:uiPriority w:val="99"/>
    <w:qFormat/>
    <w:tblPr>
      <w:tblCellMar>
        <w:left w:w="0" w:type="dxa"/>
        <w:top w:w="0" w:type="dxa"/>
        <w:right w:w="0" w:type="dxa"/>
        <w:bottom w:w="0" w:type="dxa"/>
      </w:tblCellMar>
    </w:tblPr>
  </w:style>
  <w:style w:type="table" w:styleId="1020" w:customStyle="1">
    <w:name w:val="Grid Table 5 Dark - Accent 2"/>
    <w:uiPriority w:val="99"/>
    <w:qFormat/>
    <w:tblPr>
      <w:tblCellMar>
        <w:left w:w="0" w:type="dxa"/>
        <w:top w:w="0" w:type="dxa"/>
        <w:right w:w="0" w:type="dxa"/>
        <w:bottom w:w="0" w:type="dxa"/>
      </w:tblCellMar>
    </w:tblPr>
  </w:style>
  <w:style w:type="table" w:styleId="1021" w:customStyle="1">
    <w:name w:val="Grid Table 5 Dark - Accent 3"/>
    <w:uiPriority w:val="99"/>
    <w:qFormat/>
    <w:tblPr>
      <w:tblCellMar>
        <w:left w:w="0" w:type="dxa"/>
        <w:top w:w="0" w:type="dxa"/>
        <w:right w:w="0" w:type="dxa"/>
        <w:bottom w:w="0" w:type="dxa"/>
      </w:tblCellMar>
    </w:tblPr>
  </w:style>
  <w:style w:type="table" w:styleId="1022" w:customStyle="1">
    <w:name w:val="Grid Table 5 Dark- Accent 4"/>
    <w:uiPriority w:val="99"/>
    <w:qFormat/>
    <w:tblPr>
      <w:tblCellMar>
        <w:left w:w="0" w:type="dxa"/>
        <w:top w:w="0" w:type="dxa"/>
        <w:right w:w="0" w:type="dxa"/>
        <w:bottom w:w="0" w:type="dxa"/>
      </w:tblCellMar>
    </w:tblPr>
  </w:style>
  <w:style w:type="table" w:styleId="1023" w:customStyle="1">
    <w:name w:val="Grid Table 5 Dark - Accent 5"/>
    <w:uiPriority w:val="99"/>
    <w:qFormat/>
    <w:tblPr>
      <w:tblCellMar>
        <w:left w:w="0" w:type="dxa"/>
        <w:top w:w="0" w:type="dxa"/>
        <w:right w:w="0" w:type="dxa"/>
        <w:bottom w:w="0" w:type="dxa"/>
      </w:tblCellMar>
    </w:tblPr>
  </w:style>
  <w:style w:type="table" w:styleId="1024" w:customStyle="1">
    <w:name w:val="Grid Table 5 Dark - Accent 6"/>
    <w:uiPriority w:val="99"/>
    <w:qFormat/>
    <w:tblPr>
      <w:tblCellMar>
        <w:left w:w="0" w:type="dxa"/>
        <w:top w:w="0" w:type="dxa"/>
        <w:right w:w="0" w:type="dxa"/>
        <w:bottom w:w="0" w:type="dxa"/>
      </w:tblCellMar>
    </w:tblPr>
  </w:style>
  <w:style w:type="table" w:styleId="1025" w:customStyle="1">
    <w:name w:val="Grid Table 6 Colorful - Accent 1"/>
    <w:uiPriority w:val="99"/>
    <w:qFormat/>
    <w:tblPr>
      <w:tblCellMar>
        <w:left w:w="0" w:type="dxa"/>
        <w:top w:w="0" w:type="dxa"/>
        <w:right w:w="0" w:type="dxa"/>
        <w:bottom w:w="0" w:type="dxa"/>
      </w:tblCellMar>
    </w:tblPr>
  </w:style>
  <w:style w:type="table" w:styleId="1026" w:customStyle="1">
    <w:name w:val="Grid Table 6 Colorful - Accent 2"/>
    <w:uiPriority w:val="99"/>
    <w:qFormat/>
    <w:tblPr>
      <w:tblCellMar>
        <w:left w:w="0" w:type="dxa"/>
        <w:top w:w="0" w:type="dxa"/>
        <w:right w:w="0" w:type="dxa"/>
        <w:bottom w:w="0" w:type="dxa"/>
      </w:tblCellMar>
    </w:tblPr>
  </w:style>
  <w:style w:type="table" w:styleId="1027" w:customStyle="1">
    <w:name w:val="Grid Table 6 Colorful - Accent 3"/>
    <w:uiPriority w:val="99"/>
    <w:qFormat/>
    <w:tblPr>
      <w:tblCellMar>
        <w:left w:w="0" w:type="dxa"/>
        <w:top w:w="0" w:type="dxa"/>
        <w:right w:w="0" w:type="dxa"/>
        <w:bottom w:w="0" w:type="dxa"/>
      </w:tblCellMar>
    </w:tblPr>
  </w:style>
  <w:style w:type="table" w:styleId="1028" w:customStyle="1">
    <w:name w:val="Grid Table 6 Colorful - Accent 4"/>
    <w:uiPriority w:val="99"/>
    <w:qFormat/>
    <w:tblPr>
      <w:tblCellMar>
        <w:left w:w="0" w:type="dxa"/>
        <w:top w:w="0" w:type="dxa"/>
        <w:right w:w="0" w:type="dxa"/>
        <w:bottom w:w="0" w:type="dxa"/>
      </w:tblCellMar>
    </w:tblPr>
  </w:style>
  <w:style w:type="table" w:styleId="1029" w:customStyle="1">
    <w:name w:val="Grid Table 6 Colorful - Accent 5"/>
    <w:uiPriority w:val="99"/>
    <w:qFormat/>
    <w:tblPr>
      <w:tblCellMar>
        <w:left w:w="0" w:type="dxa"/>
        <w:top w:w="0" w:type="dxa"/>
        <w:right w:w="0" w:type="dxa"/>
        <w:bottom w:w="0" w:type="dxa"/>
      </w:tblCellMar>
    </w:tblPr>
  </w:style>
  <w:style w:type="table" w:styleId="1030" w:customStyle="1">
    <w:name w:val="Grid Table 6 Colorful - Accent 6"/>
    <w:uiPriority w:val="99"/>
    <w:qFormat/>
    <w:tblPr>
      <w:tblCellMar>
        <w:left w:w="0" w:type="dxa"/>
        <w:top w:w="0" w:type="dxa"/>
        <w:right w:w="0" w:type="dxa"/>
        <w:bottom w:w="0" w:type="dxa"/>
      </w:tblCellMar>
    </w:tblPr>
  </w:style>
  <w:style w:type="table" w:styleId="1031" w:customStyle="1">
    <w:name w:val="Grid Table 7 Colorful - Accent 1"/>
    <w:uiPriority w:val="99"/>
    <w:qFormat/>
    <w:tblPr>
      <w:tblCellMar>
        <w:left w:w="0" w:type="dxa"/>
        <w:top w:w="0" w:type="dxa"/>
        <w:right w:w="0" w:type="dxa"/>
        <w:bottom w:w="0" w:type="dxa"/>
      </w:tblCellMar>
    </w:tblPr>
  </w:style>
  <w:style w:type="table" w:styleId="1032" w:customStyle="1">
    <w:name w:val="Grid Table 7 Colorful - Accent 2"/>
    <w:uiPriority w:val="99"/>
    <w:qFormat/>
    <w:tblPr>
      <w:tblCellMar>
        <w:left w:w="0" w:type="dxa"/>
        <w:top w:w="0" w:type="dxa"/>
        <w:right w:w="0" w:type="dxa"/>
        <w:bottom w:w="0" w:type="dxa"/>
      </w:tblCellMar>
    </w:tblPr>
  </w:style>
  <w:style w:type="table" w:styleId="1033" w:customStyle="1">
    <w:name w:val="Grid Table 7 Colorful - Accent 3"/>
    <w:uiPriority w:val="99"/>
    <w:qFormat/>
    <w:tblPr>
      <w:tblCellMar>
        <w:left w:w="0" w:type="dxa"/>
        <w:top w:w="0" w:type="dxa"/>
        <w:right w:w="0" w:type="dxa"/>
        <w:bottom w:w="0" w:type="dxa"/>
      </w:tblCellMar>
    </w:tblPr>
  </w:style>
  <w:style w:type="table" w:styleId="1034" w:customStyle="1">
    <w:name w:val="Grid Table 7 Colorful - Accent 4"/>
    <w:uiPriority w:val="99"/>
    <w:qFormat/>
    <w:tblPr>
      <w:tblCellMar>
        <w:left w:w="0" w:type="dxa"/>
        <w:top w:w="0" w:type="dxa"/>
        <w:right w:w="0" w:type="dxa"/>
        <w:bottom w:w="0" w:type="dxa"/>
      </w:tblCellMar>
    </w:tblPr>
  </w:style>
  <w:style w:type="table" w:styleId="1035" w:customStyle="1">
    <w:name w:val="Grid Table 7 Colorful - Accent 5"/>
    <w:uiPriority w:val="99"/>
    <w:qFormat/>
    <w:tblPr>
      <w:tblCellMar>
        <w:left w:w="0" w:type="dxa"/>
        <w:top w:w="0" w:type="dxa"/>
        <w:right w:w="0" w:type="dxa"/>
        <w:bottom w:w="0" w:type="dxa"/>
      </w:tblCellMar>
    </w:tblPr>
  </w:style>
  <w:style w:type="table" w:styleId="1036" w:customStyle="1">
    <w:name w:val="Grid Table 7 Colorful - Accent 6"/>
    <w:uiPriority w:val="99"/>
    <w:qFormat/>
    <w:tblPr>
      <w:tblCellMar>
        <w:left w:w="0" w:type="dxa"/>
        <w:top w:w="0" w:type="dxa"/>
        <w:right w:w="0" w:type="dxa"/>
        <w:bottom w:w="0" w:type="dxa"/>
      </w:tblCellMar>
    </w:tblPr>
  </w:style>
  <w:style w:type="table" w:styleId="1037" w:customStyle="1">
    <w:name w:val="List Table 1 Light - Accent 1"/>
    <w:uiPriority w:val="99"/>
    <w:qFormat/>
    <w:tblPr>
      <w:tblCellMar>
        <w:left w:w="0" w:type="dxa"/>
        <w:top w:w="0" w:type="dxa"/>
        <w:right w:w="0" w:type="dxa"/>
        <w:bottom w:w="0" w:type="dxa"/>
      </w:tblCellMar>
    </w:tblPr>
  </w:style>
  <w:style w:type="table" w:styleId="1038" w:customStyle="1">
    <w:name w:val="List Table 1 Light - Accent 2"/>
    <w:uiPriority w:val="99"/>
    <w:qFormat/>
    <w:tblPr>
      <w:tblCellMar>
        <w:left w:w="0" w:type="dxa"/>
        <w:top w:w="0" w:type="dxa"/>
        <w:right w:w="0" w:type="dxa"/>
        <w:bottom w:w="0" w:type="dxa"/>
      </w:tblCellMar>
    </w:tblPr>
  </w:style>
  <w:style w:type="table" w:styleId="1039" w:customStyle="1">
    <w:name w:val="List Table 1 Light - Accent 3"/>
    <w:uiPriority w:val="99"/>
    <w:qFormat/>
    <w:tblPr>
      <w:tblCellMar>
        <w:left w:w="0" w:type="dxa"/>
        <w:top w:w="0" w:type="dxa"/>
        <w:right w:w="0" w:type="dxa"/>
        <w:bottom w:w="0" w:type="dxa"/>
      </w:tblCellMar>
    </w:tblPr>
  </w:style>
  <w:style w:type="table" w:styleId="1040" w:customStyle="1">
    <w:name w:val="List Table 1 Light - Accent 4"/>
    <w:uiPriority w:val="99"/>
    <w:qFormat/>
    <w:tblPr>
      <w:tblCellMar>
        <w:left w:w="0" w:type="dxa"/>
        <w:top w:w="0" w:type="dxa"/>
        <w:right w:w="0" w:type="dxa"/>
        <w:bottom w:w="0" w:type="dxa"/>
      </w:tblCellMar>
    </w:tblPr>
  </w:style>
  <w:style w:type="table" w:styleId="1041" w:customStyle="1">
    <w:name w:val="List Table 1 Light - Accent 5"/>
    <w:uiPriority w:val="99"/>
    <w:qFormat/>
    <w:tblPr>
      <w:tblCellMar>
        <w:left w:w="0" w:type="dxa"/>
        <w:top w:w="0" w:type="dxa"/>
        <w:right w:w="0" w:type="dxa"/>
        <w:bottom w:w="0" w:type="dxa"/>
      </w:tblCellMar>
    </w:tblPr>
  </w:style>
  <w:style w:type="table" w:styleId="1042" w:customStyle="1">
    <w:name w:val="List Table 1 Light - Accent 6"/>
    <w:uiPriority w:val="99"/>
    <w:qFormat/>
    <w:tblPr>
      <w:tblCellMar>
        <w:left w:w="0" w:type="dxa"/>
        <w:top w:w="0" w:type="dxa"/>
        <w:right w:w="0" w:type="dxa"/>
        <w:bottom w:w="0" w:type="dxa"/>
      </w:tblCellMar>
    </w:tblPr>
  </w:style>
  <w:style w:type="table" w:styleId="1043" w:customStyle="1">
    <w:name w:val="List Table 2 - Accent 1"/>
    <w:uiPriority w:val="99"/>
    <w:qFormat/>
    <w:tblPr>
      <w:tblCellMar>
        <w:left w:w="0" w:type="dxa"/>
        <w:top w:w="0" w:type="dxa"/>
        <w:right w:w="0" w:type="dxa"/>
        <w:bottom w:w="0" w:type="dxa"/>
      </w:tblCellMar>
    </w:tblPr>
  </w:style>
  <w:style w:type="table" w:styleId="1044" w:customStyle="1">
    <w:name w:val="List Table 2 - Accent 2"/>
    <w:uiPriority w:val="99"/>
    <w:qFormat/>
    <w:tblPr>
      <w:tblCellMar>
        <w:left w:w="0" w:type="dxa"/>
        <w:top w:w="0" w:type="dxa"/>
        <w:right w:w="0" w:type="dxa"/>
        <w:bottom w:w="0" w:type="dxa"/>
      </w:tblCellMar>
    </w:tblPr>
  </w:style>
  <w:style w:type="table" w:styleId="1045" w:customStyle="1">
    <w:name w:val="List Table 2 - Accent 3"/>
    <w:uiPriority w:val="99"/>
    <w:qFormat/>
    <w:tblPr>
      <w:tblCellMar>
        <w:left w:w="0" w:type="dxa"/>
        <w:top w:w="0" w:type="dxa"/>
        <w:right w:w="0" w:type="dxa"/>
        <w:bottom w:w="0" w:type="dxa"/>
      </w:tblCellMar>
    </w:tblPr>
  </w:style>
  <w:style w:type="table" w:styleId="1046" w:customStyle="1">
    <w:name w:val="List Table 2 - Accent 4"/>
    <w:uiPriority w:val="99"/>
    <w:qFormat/>
    <w:tblPr>
      <w:tblCellMar>
        <w:left w:w="0" w:type="dxa"/>
        <w:top w:w="0" w:type="dxa"/>
        <w:right w:w="0" w:type="dxa"/>
        <w:bottom w:w="0" w:type="dxa"/>
      </w:tblCellMar>
    </w:tblPr>
  </w:style>
  <w:style w:type="table" w:styleId="1047" w:customStyle="1">
    <w:name w:val="List Table 2 - Accent 5"/>
    <w:uiPriority w:val="99"/>
    <w:qFormat/>
    <w:tblPr>
      <w:tblCellMar>
        <w:left w:w="0" w:type="dxa"/>
        <w:top w:w="0" w:type="dxa"/>
        <w:right w:w="0" w:type="dxa"/>
        <w:bottom w:w="0" w:type="dxa"/>
      </w:tblCellMar>
    </w:tblPr>
  </w:style>
  <w:style w:type="table" w:styleId="1048" w:customStyle="1">
    <w:name w:val="List Table 2 - Accent 6"/>
    <w:uiPriority w:val="99"/>
    <w:qFormat/>
    <w:tblPr>
      <w:tblCellMar>
        <w:left w:w="0" w:type="dxa"/>
        <w:top w:w="0" w:type="dxa"/>
        <w:right w:w="0" w:type="dxa"/>
        <w:bottom w:w="0" w:type="dxa"/>
      </w:tblCellMar>
    </w:tblPr>
  </w:style>
  <w:style w:type="table" w:styleId="1049" w:customStyle="1">
    <w:name w:val="List Table 3 - Accent 1"/>
    <w:uiPriority w:val="99"/>
    <w:qFormat/>
    <w:tblPr>
      <w:tblCellMar>
        <w:left w:w="0" w:type="dxa"/>
        <w:top w:w="0" w:type="dxa"/>
        <w:right w:w="0" w:type="dxa"/>
        <w:bottom w:w="0" w:type="dxa"/>
      </w:tblCellMar>
    </w:tblPr>
  </w:style>
  <w:style w:type="table" w:styleId="1050" w:customStyle="1">
    <w:name w:val="List Table 3 - Accent 2"/>
    <w:uiPriority w:val="99"/>
    <w:qFormat/>
    <w:tblPr>
      <w:tblCellMar>
        <w:left w:w="0" w:type="dxa"/>
        <w:top w:w="0" w:type="dxa"/>
        <w:right w:w="0" w:type="dxa"/>
        <w:bottom w:w="0" w:type="dxa"/>
      </w:tblCellMar>
    </w:tblPr>
  </w:style>
  <w:style w:type="table" w:styleId="1051" w:customStyle="1">
    <w:name w:val="List Table 3 - Accent 3"/>
    <w:uiPriority w:val="99"/>
    <w:qFormat/>
    <w:tblPr>
      <w:tblCellMar>
        <w:left w:w="0" w:type="dxa"/>
        <w:top w:w="0" w:type="dxa"/>
        <w:right w:w="0" w:type="dxa"/>
        <w:bottom w:w="0" w:type="dxa"/>
      </w:tblCellMar>
    </w:tblPr>
  </w:style>
  <w:style w:type="table" w:styleId="1052" w:customStyle="1">
    <w:name w:val="List Table 3 - Accent 4"/>
    <w:uiPriority w:val="99"/>
    <w:qFormat/>
    <w:tblPr>
      <w:tblCellMar>
        <w:left w:w="0" w:type="dxa"/>
        <w:top w:w="0" w:type="dxa"/>
        <w:right w:w="0" w:type="dxa"/>
        <w:bottom w:w="0" w:type="dxa"/>
      </w:tblCellMar>
    </w:tblPr>
  </w:style>
  <w:style w:type="table" w:styleId="1053" w:customStyle="1">
    <w:name w:val="List Table 3 - Accent 5"/>
    <w:uiPriority w:val="99"/>
    <w:qFormat/>
    <w:tblPr>
      <w:tblCellMar>
        <w:left w:w="0" w:type="dxa"/>
        <w:top w:w="0" w:type="dxa"/>
        <w:right w:w="0" w:type="dxa"/>
        <w:bottom w:w="0" w:type="dxa"/>
      </w:tblCellMar>
    </w:tblPr>
  </w:style>
  <w:style w:type="table" w:styleId="1054" w:customStyle="1">
    <w:name w:val="List Table 3 - Accent 6"/>
    <w:uiPriority w:val="99"/>
    <w:qFormat/>
    <w:tblPr>
      <w:tblCellMar>
        <w:left w:w="0" w:type="dxa"/>
        <w:top w:w="0" w:type="dxa"/>
        <w:right w:w="0" w:type="dxa"/>
        <w:bottom w:w="0" w:type="dxa"/>
      </w:tblCellMar>
    </w:tblPr>
  </w:style>
  <w:style w:type="table" w:styleId="1055" w:customStyle="1">
    <w:name w:val="List Table 4 - Accent 1"/>
    <w:uiPriority w:val="99"/>
    <w:qFormat/>
    <w:tblPr>
      <w:tblCellMar>
        <w:left w:w="0" w:type="dxa"/>
        <w:top w:w="0" w:type="dxa"/>
        <w:right w:w="0" w:type="dxa"/>
        <w:bottom w:w="0" w:type="dxa"/>
      </w:tblCellMar>
    </w:tblPr>
  </w:style>
  <w:style w:type="table" w:styleId="1056" w:customStyle="1">
    <w:name w:val="List Table 4 - Accent 2"/>
    <w:uiPriority w:val="99"/>
    <w:qFormat/>
    <w:tblPr>
      <w:tblCellMar>
        <w:left w:w="0" w:type="dxa"/>
        <w:top w:w="0" w:type="dxa"/>
        <w:right w:w="0" w:type="dxa"/>
        <w:bottom w:w="0" w:type="dxa"/>
      </w:tblCellMar>
    </w:tblPr>
  </w:style>
  <w:style w:type="table" w:styleId="1057" w:customStyle="1">
    <w:name w:val="List Table 4 - Accent 3"/>
    <w:uiPriority w:val="99"/>
    <w:qFormat/>
    <w:tblPr>
      <w:tblCellMar>
        <w:left w:w="0" w:type="dxa"/>
        <w:top w:w="0" w:type="dxa"/>
        <w:right w:w="0" w:type="dxa"/>
        <w:bottom w:w="0" w:type="dxa"/>
      </w:tblCellMar>
    </w:tblPr>
  </w:style>
  <w:style w:type="table" w:styleId="1058" w:customStyle="1">
    <w:name w:val="List Table 4 - Accent 4"/>
    <w:uiPriority w:val="99"/>
    <w:qFormat/>
    <w:tblPr>
      <w:tblCellMar>
        <w:left w:w="0" w:type="dxa"/>
        <w:top w:w="0" w:type="dxa"/>
        <w:right w:w="0" w:type="dxa"/>
        <w:bottom w:w="0" w:type="dxa"/>
      </w:tblCellMar>
    </w:tblPr>
  </w:style>
  <w:style w:type="table" w:styleId="1059" w:customStyle="1">
    <w:name w:val="List Table 4 - Accent 5"/>
    <w:uiPriority w:val="99"/>
    <w:qFormat/>
    <w:tblPr>
      <w:tblCellMar>
        <w:left w:w="0" w:type="dxa"/>
        <w:top w:w="0" w:type="dxa"/>
        <w:right w:w="0" w:type="dxa"/>
        <w:bottom w:w="0" w:type="dxa"/>
      </w:tblCellMar>
    </w:tblPr>
  </w:style>
  <w:style w:type="table" w:styleId="1060" w:customStyle="1">
    <w:name w:val="List Table 4 - Accent 6"/>
    <w:uiPriority w:val="99"/>
    <w:qFormat/>
    <w:tblPr>
      <w:tblCellMar>
        <w:left w:w="0" w:type="dxa"/>
        <w:top w:w="0" w:type="dxa"/>
        <w:right w:w="0" w:type="dxa"/>
        <w:bottom w:w="0" w:type="dxa"/>
      </w:tblCellMar>
    </w:tblPr>
  </w:style>
  <w:style w:type="table" w:styleId="1061" w:customStyle="1">
    <w:name w:val="List Table 5 Dark - Accent 1"/>
    <w:uiPriority w:val="99"/>
    <w:qFormat/>
    <w:tblPr>
      <w:tblCellMar>
        <w:left w:w="0" w:type="dxa"/>
        <w:top w:w="0" w:type="dxa"/>
        <w:right w:w="0" w:type="dxa"/>
        <w:bottom w:w="0" w:type="dxa"/>
      </w:tblCellMar>
    </w:tblPr>
  </w:style>
  <w:style w:type="table" w:styleId="1062" w:customStyle="1">
    <w:name w:val="List Table 5 Dark - Accent 2"/>
    <w:uiPriority w:val="99"/>
    <w:qFormat/>
    <w:tblPr>
      <w:tblCellMar>
        <w:left w:w="0" w:type="dxa"/>
        <w:top w:w="0" w:type="dxa"/>
        <w:right w:w="0" w:type="dxa"/>
        <w:bottom w:w="0" w:type="dxa"/>
      </w:tblCellMar>
    </w:tblPr>
  </w:style>
  <w:style w:type="table" w:styleId="1063" w:customStyle="1">
    <w:name w:val="List Table 5 Dark - Accent 3"/>
    <w:uiPriority w:val="99"/>
    <w:qFormat/>
    <w:tblPr>
      <w:tblCellMar>
        <w:left w:w="0" w:type="dxa"/>
        <w:top w:w="0" w:type="dxa"/>
        <w:right w:w="0" w:type="dxa"/>
        <w:bottom w:w="0" w:type="dxa"/>
      </w:tblCellMar>
    </w:tblPr>
  </w:style>
  <w:style w:type="table" w:styleId="1064" w:customStyle="1">
    <w:name w:val="List Table 5 Dark - Accent 4"/>
    <w:uiPriority w:val="99"/>
    <w:qFormat/>
    <w:tblPr>
      <w:tblCellMar>
        <w:left w:w="0" w:type="dxa"/>
        <w:top w:w="0" w:type="dxa"/>
        <w:right w:w="0" w:type="dxa"/>
        <w:bottom w:w="0" w:type="dxa"/>
      </w:tblCellMar>
    </w:tblPr>
  </w:style>
  <w:style w:type="table" w:styleId="1065" w:customStyle="1">
    <w:name w:val="List Table 5 Dark - Accent 5"/>
    <w:uiPriority w:val="99"/>
    <w:qFormat/>
    <w:tblPr>
      <w:tblCellMar>
        <w:left w:w="0" w:type="dxa"/>
        <w:top w:w="0" w:type="dxa"/>
        <w:right w:w="0" w:type="dxa"/>
        <w:bottom w:w="0" w:type="dxa"/>
      </w:tblCellMar>
    </w:tblPr>
  </w:style>
  <w:style w:type="table" w:styleId="1066" w:customStyle="1">
    <w:name w:val="List Table 5 Dark - Accent 6"/>
    <w:uiPriority w:val="99"/>
    <w:qFormat/>
    <w:tblPr>
      <w:tblCellMar>
        <w:left w:w="0" w:type="dxa"/>
        <w:top w:w="0" w:type="dxa"/>
        <w:right w:w="0" w:type="dxa"/>
        <w:bottom w:w="0" w:type="dxa"/>
      </w:tblCellMar>
    </w:tblPr>
  </w:style>
  <w:style w:type="table" w:styleId="1067" w:customStyle="1">
    <w:name w:val="List Table 6 Colorful - Accent 1"/>
    <w:uiPriority w:val="99"/>
    <w:qFormat/>
    <w:tblPr>
      <w:tblCellMar>
        <w:left w:w="0" w:type="dxa"/>
        <w:top w:w="0" w:type="dxa"/>
        <w:right w:w="0" w:type="dxa"/>
        <w:bottom w:w="0" w:type="dxa"/>
      </w:tblCellMar>
    </w:tblPr>
  </w:style>
  <w:style w:type="table" w:styleId="1068" w:customStyle="1">
    <w:name w:val="List Table 6 Colorful - Accent 2"/>
    <w:uiPriority w:val="99"/>
    <w:qFormat/>
    <w:tblPr>
      <w:tblCellMar>
        <w:left w:w="0" w:type="dxa"/>
        <w:top w:w="0" w:type="dxa"/>
        <w:right w:w="0" w:type="dxa"/>
        <w:bottom w:w="0" w:type="dxa"/>
      </w:tblCellMar>
    </w:tblPr>
  </w:style>
  <w:style w:type="table" w:styleId="1069" w:customStyle="1">
    <w:name w:val="List Table 6 Colorful - Accent 3"/>
    <w:uiPriority w:val="99"/>
    <w:qFormat/>
    <w:tblPr>
      <w:tblCellMar>
        <w:left w:w="0" w:type="dxa"/>
        <w:top w:w="0" w:type="dxa"/>
        <w:right w:w="0" w:type="dxa"/>
        <w:bottom w:w="0" w:type="dxa"/>
      </w:tblCellMar>
    </w:tblPr>
  </w:style>
  <w:style w:type="table" w:styleId="1070" w:customStyle="1">
    <w:name w:val="List Table 6 Colorful - Accent 4"/>
    <w:uiPriority w:val="99"/>
    <w:qFormat/>
    <w:tblPr>
      <w:tblCellMar>
        <w:left w:w="0" w:type="dxa"/>
        <w:top w:w="0" w:type="dxa"/>
        <w:right w:w="0" w:type="dxa"/>
        <w:bottom w:w="0" w:type="dxa"/>
      </w:tblCellMar>
    </w:tblPr>
  </w:style>
  <w:style w:type="table" w:styleId="1071" w:customStyle="1">
    <w:name w:val="List Table 6 Colorful - Accent 5"/>
    <w:uiPriority w:val="99"/>
    <w:qFormat/>
    <w:tblPr>
      <w:tblCellMar>
        <w:left w:w="0" w:type="dxa"/>
        <w:top w:w="0" w:type="dxa"/>
        <w:right w:w="0" w:type="dxa"/>
        <w:bottom w:w="0" w:type="dxa"/>
      </w:tblCellMar>
    </w:tblPr>
  </w:style>
  <w:style w:type="table" w:styleId="1072" w:customStyle="1">
    <w:name w:val="List Table 6 Colorful - Accent 6"/>
    <w:uiPriority w:val="99"/>
    <w:qFormat/>
    <w:tblPr>
      <w:tblCellMar>
        <w:left w:w="0" w:type="dxa"/>
        <w:top w:w="0" w:type="dxa"/>
        <w:right w:w="0" w:type="dxa"/>
        <w:bottom w:w="0" w:type="dxa"/>
      </w:tblCellMar>
    </w:tblPr>
  </w:style>
  <w:style w:type="table" w:styleId="1073" w:customStyle="1">
    <w:name w:val="List Table 7 Colorful - Accent 1"/>
    <w:uiPriority w:val="99"/>
    <w:qFormat/>
    <w:tblPr>
      <w:tblCellMar>
        <w:left w:w="0" w:type="dxa"/>
        <w:top w:w="0" w:type="dxa"/>
        <w:right w:w="0" w:type="dxa"/>
        <w:bottom w:w="0" w:type="dxa"/>
      </w:tblCellMar>
    </w:tblPr>
  </w:style>
  <w:style w:type="table" w:styleId="1074" w:customStyle="1">
    <w:name w:val="List Table 7 Colorful - Accent 2"/>
    <w:uiPriority w:val="99"/>
    <w:qFormat/>
    <w:tblPr>
      <w:tblCellMar>
        <w:left w:w="0" w:type="dxa"/>
        <w:top w:w="0" w:type="dxa"/>
        <w:right w:w="0" w:type="dxa"/>
        <w:bottom w:w="0" w:type="dxa"/>
      </w:tblCellMar>
    </w:tblPr>
  </w:style>
  <w:style w:type="table" w:styleId="1075" w:customStyle="1">
    <w:name w:val="List Table 7 Colorful - Accent 3"/>
    <w:uiPriority w:val="99"/>
    <w:qFormat/>
    <w:tblPr>
      <w:tblCellMar>
        <w:left w:w="0" w:type="dxa"/>
        <w:top w:w="0" w:type="dxa"/>
        <w:right w:w="0" w:type="dxa"/>
        <w:bottom w:w="0" w:type="dxa"/>
      </w:tblCellMar>
    </w:tblPr>
  </w:style>
  <w:style w:type="table" w:styleId="1076" w:customStyle="1">
    <w:name w:val="List Table 7 Colorful - Accent 4"/>
    <w:uiPriority w:val="99"/>
    <w:qFormat/>
    <w:tblPr>
      <w:tblCellMar>
        <w:left w:w="0" w:type="dxa"/>
        <w:top w:w="0" w:type="dxa"/>
        <w:right w:w="0" w:type="dxa"/>
        <w:bottom w:w="0" w:type="dxa"/>
      </w:tblCellMar>
    </w:tblPr>
  </w:style>
  <w:style w:type="table" w:styleId="1077" w:customStyle="1">
    <w:name w:val="List Table 7 Colorful - Accent 5"/>
    <w:uiPriority w:val="99"/>
    <w:qFormat/>
    <w:tblPr>
      <w:tblCellMar>
        <w:left w:w="0" w:type="dxa"/>
        <w:top w:w="0" w:type="dxa"/>
        <w:right w:w="0" w:type="dxa"/>
        <w:bottom w:w="0" w:type="dxa"/>
      </w:tblCellMar>
    </w:tblPr>
  </w:style>
  <w:style w:type="table" w:styleId="1078" w:customStyle="1">
    <w:name w:val="List Table 7 Colorful - Accent 6"/>
    <w:uiPriority w:val="99"/>
    <w:qFormat/>
    <w:tblPr>
      <w:tblCellMar>
        <w:left w:w="0" w:type="dxa"/>
        <w:top w:w="0" w:type="dxa"/>
        <w:right w:w="0" w:type="dxa"/>
        <w:bottom w:w="0" w:type="dxa"/>
      </w:tblCellMar>
    </w:tblPr>
  </w:style>
  <w:style w:type="table" w:styleId="1079" w:customStyle="1">
    <w:name w:val="Lined - Accent"/>
    <w:uiPriority w:val="99"/>
    <w:qFormat/>
    <w:rPr>
      <w:color w:val="404040"/>
    </w:rPr>
    <w:tblPr>
      <w:tblCellMar>
        <w:left w:w="0" w:type="dxa"/>
        <w:top w:w="0" w:type="dxa"/>
        <w:right w:w="0" w:type="dxa"/>
        <w:bottom w:w="0" w:type="dxa"/>
      </w:tblCellMar>
    </w:tblPr>
  </w:style>
  <w:style w:type="table" w:styleId="1080" w:customStyle="1">
    <w:name w:val="Lined - Accent 1"/>
    <w:uiPriority w:val="99"/>
    <w:qFormat/>
    <w:rPr>
      <w:color w:val="404040"/>
    </w:rPr>
    <w:tblPr>
      <w:tblCellMar>
        <w:left w:w="0" w:type="dxa"/>
        <w:top w:w="0" w:type="dxa"/>
        <w:right w:w="0" w:type="dxa"/>
        <w:bottom w:w="0" w:type="dxa"/>
      </w:tblCellMar>
    </w:tblPr>
  </w:style>
  <w:style w:type="table" w:styleId="1081" w:customStyle="1">
    <w:name w:val="Lined - Accent 2"/>
    <w:uiPriority w:val="99"/>
    <w:qFormat/>
    <w:rPr>
      <w:color w:val="404040"/>
    </w:rPr>
    <w:tblPr>
      <w:tblCellMar>
        <w:left w:w="0" w:type="dxa"/>
        <w:top w:w="0" w:type="dxa"/>
        <w:right w:w="0" w:type="dxa"/>
        <w:bottom w:w="0" w:type="dxa"/>
      </w:tblCellMar>
    </w:tblPr>
  </w:style>
  <w:style w:type="table" w:styleId="1082" w:customStyle="1">
    <w:name w:val="Lined - Accent 3"/>
    <w:uiPriority w:val="99"/>
    <w:qFormat/>
    <w:rPr>
      <w:color w:val="404040"/>
    </w:rPr>
    <w:tblPr>
      <w:tblCellMar>
        <w:left w:w="0" w:type="dxa"/>
        <w:top w:w="0" w:type="dxa"/>
        <w:right w:w="0" w:type="dxa"/>
        <w:bottom w:w="0" w:type="dxa"/>
      </w:tblCellMar>
    </w:tblPr>
  </w:style>
  <w:style w:type="table" w:styleId="1083" w:customStyle="1">
    <w:name w:val="Lined - Accent 4"/>
    <w:uiPriority w:val="99"/>
    <w:qFormat/>
    <w:rPr>
      <w:color w:val="404040"/>
    </w:rPr>
    <w:tblPr>
      <w:tblCellMar>
        <w:left w:w="0" w:type="dxa"/>
        <w:top w:w="0" w:type="dxa"/>
        <w:right w:w="0" w:type="dxa"/>
        <w:bottom w:w="0" w:type="dxa"/>
      </w:tblCellMar>
    </w:tblPr>
  </w:style>
  <w:style w:type="table" w:styleId="1084" w:customStyle="1">
    <w:name w:val="Lined - Accent 5"/>
    <w:uiPriority w:val="99"/>
    <w:qFormat/>
    <w:rPr>
      <w:color w:val="404040"/>
    </w:rPr>
    <w:tblPr>
      <w:tblCellMar>
        <w:left w:w="0" w:type="dxa"/>
        <w:top w:w="0" w:type="dxa"/>
        <w:right w:w="0" w:type="dxa"/>
        <w:bottom w:w="0" w:type="dxa"/>
      </w:tblCellMar>
    </w:tblPr>
  </w:style>
  <w:style w:type="table" w:styleId="1085" w:customStyle="1">
    <w:name w:val="Lined - Accent 6"/>
    <w:uiPriority w:val="99"/>
    <w:qFormat/>
    <w:rPr>
      <w:color w:val="404040"/>
    </w:rPr>
    <w:tblPr>
      <w:tblCellMar>
        <w:left w:w="0" w:type="dxa"/>
        <w:top w:w="0" w:type="dxa"/>
        <w:right w:w="0" w:type="dxa"/>
        <w:bottom w:w="0" w:type="dxa"/>
      </w:tblCellMar>
    </w:tblPr>
  </w:style>
  <w:style w:type="table" w:styleId="1086" w:customStyle="1">
    <w:name w:val="Bordered &amp; Lined - Accent"/>
    <w:uiPriority w:val="99"/>
    <w:qFormat/>
    <w:rPr>
      <w:color w:val="404040"/>
    </w:rPr>
    <w:tblPr>
      <w:tblCellMar>
        <w:left w:w="0" w:type="dxa"/>
        <w:top w:w="0" w:type="dxa"/>
        <w:right w:w="0" w:type="dxa"/>
        <w:bottom w:w="0" w:type="dxa"/>
      </w:tblCellMar>
    </w:tblPr>
  </w:style>
  <w:style w:type="table" w:styleId="1087" w:customStyle="1">
    <w:name w:val="Bordered &amp; Lined - Accent 1"/>
    <w:uiPriority w:val="99"/>
    <w:qFormat/>
    <w:rPr>
      <w:color w:val="404040"/>
    </w:rPr>
    <w:tblPr>
      <w:tblCellMar>
        <w:left w:w="0" w:type="dxa"/>
        <w:top w:w="0" w:type="dxa"/>
        <w:right w:w="0" w:type="dxa"/>
        <w:bottom w:w="0" w:type="dxa"/>
      </w:tblCellMar>
    </w:tblPr>
  </w:style>
  <w:style w:type="table" w:styleId="1088" w:customStyle="1">
    <w:name w:val="Bordered &amp; Lined - Accent 2"/>
    <w:uiPriority w:val="99"/>
    <w:qFormat/>
    <w:rPr>
      <w:color w:val="404040"/>
    </w:rPr>
    <w:tblPr>
      <w:tblCellMar>
        <w:left w:w="0" w:type="dxa"/>
        <w:top w:w="0" w:type="dxa"/>
        <w:right w:w="0" w:type="dxa"/>
        <w:bottom w:w="0" w:type="dxa"/>
      </w:tblCellMar>
    </w:tblPr>
  </w:style>
  <w:style w:type="table" w:styleId="1089" w:customStyle="1">
    <w:name w:val="Bordered &amp; Lined - Accent 3"/>
    <w:uiPriority w:val="99"/>
    <w:qFormat/>
    <w:rPr>
      <w:color w:val="404040"/>
    </w:rPr>
    <w:tblPr>
      <w:tblCellMar>
        <w:left w:w="0" w:type="dxa"/>
        <w:top w:w="0" w:type="dxa"/>
        <w:right w:w="0" w:type="dxa"/>
        <w:bottom w:w="0" w:type="dxa"/>
      </w:tblCellMar>
    </w:tblPr>
  </w:style>
  <w:style w:type="table" w:styleId="1090" w:customStyle="1">
    <w:name w:val="Bordered &amp; Lined - Accent 4"/>
    <w:uiPriority w:val="99"/>
    <w:qFormat/>
    <w:rPr>
      <w:color w:val="404040"/>
    </w:rPr>
    <w:tblPr>
      <w:tblCellMar>
        <w:left w:w="0" w:type="dxa"/>
        <w:top w:w="0" w:type="dxa"/>
        <w:right w:w="0" w:type="dxa"/>
        <w:bottom w:w="0" w:type="dxa"/>
      </w:tblCellMar>
    </w:tblPr>
  </w:style>
  <w:style w:type="table" w:styleId="1091" w:customStyle="1">
    <w:name w:val="Bordered &amp; Lined - Accent 5"/>
    <w:uiPriority w:val="99"/>
    <w:qFormat/>
    <w:rPr>
      <w:color w:val="404040"/>
    </w:rPr>
    <w:tblPr>
      <w:tblCellMar>
        <w:left w:w="0" w:type="dxa"/>
        <w:top w:w="0" w:type="dxa"/>
        <w:right w:w="0" w:type="dxa"/>
        <w:bottom w:w="0" w:type="dxa"/>
      </w:tblCellMar>
    </w:tblPr>
  </w:style>
  <w:style w:type="table" w:styleId="1092" w:customStyle="1">
    <w:name w:val="Bordered &amp; Lined - Accent 6"/>
    <w:uiPriority w:val="99"/>
    <w:qFormat/>
    <w:rPr>
      <w:color w:val="404040"/>
    </w:rPr>
    <w:tblPr>
      <w:tblCellMar>
        <w:left w:w="0" w:type="dxa"/>
        <w:top w:w="0" w:type="dxa"/>
        <w:right w:w="0" w:type="dxa"/>
        <w:bottom w:w="0" w:type="dxa"/>
      </w:tblCellMar>
    </w:tblPr>
  </w:style>
  <w:style w:type="table" w:styleId="1093" w:customStyle="1">
    <w:name w:val="Bordered"/>
    <w:uiPriority w:val="99"/>
    <w:qFormat/>
    <w:tblPr>
      <w:tblCellMar>
        <w:left w:w="0" w:type="dxa"/>
        <w:top w:w="0" w:type="dxa"/>
        <w:right w:w="0" w:type="dxa"/>
        <w:bottom w:w="0" w:type="dxa"/>
      </w:tblCellMar>
    </w:tblPr>
  </w:style>
  <w:style w:type="table" w:styleId="1094" w:customStyle="1">
    <w:name w:val="Bordered - Accent 1"/>
    <w:uiPriority w:val="99"/>
    <w:qFormat/>
    <w:tblPr>
      <w:tblCellMar>
        <w:left w:w="0" w:type="dxa"/>
        <w:top w:w="0" w:type="dxa"/>
        <w:right w:w="0" w:type="dxa"/>
        <w:bottom w:w="0" w:type="dxa"/>
      </w:tblCellMar>
    </w:tblPr>
  </w:style>
  <w:style w:type="table" w:styleId="1095" w:customStyle="1">
    <w:name w:val="Bordered - Accent 2"/>
    <w:uiPriority w:val="99"/>
    <w:qFormat/>
    <w:tblPr>
      <w:tblCellMar>
        <w:left w:w="0" w:type="dxa"/>
        <w:top w:w="0" w:type="dxa"/>
        <w:right w:w="0" w:type="dxa"/>
        <w:bottom w:w="0" w:type="dxa"/>
      </w:tblCellMar>
    </w:tblPr>
  </w:style>
  <w:style w:type="table" w:styleId="1096" w:customStyle="1">
    <w:name w:val="Bordered - Accent 3"/>
    <w:uiPriority w:val="99"/>
    <w:qFormat/>
    <w:tblPr>
      <w:tblCellMar>
        <w:left w:w="0" w:type="dxa"/>
        <w:top w:w="0" w:type="dxa"/>
        <w:right w:w="0" w:type="dxa"/>
        <w:bottom w:w="0" w:type="dxa"/>
      </w:tblCellMar>
    </w:tblPr>
  </w:style>
  <w:style w:type="table" w:styleId="1097" w:customStyle="1">
    <w:name w:val="Bordered - Accent 4"/>
    <w:uiPriority w:val="99"/>
    <w:qFormat/>
    <w:tblPr>
      <w:tblCellMar>
        <w:left w:w="0" w:type="dxa"/>
        <w:top w:w="0" w:type="dxa"/>
        <w:right w:w="0" w:type="dxa"/>
        <w:bottom w:w="0" w:type="dxa"/>
      </w:tblCellMar>
    </w:tblPr>
  </w:style>
  <w:style w:type="table" w:styleId="1098" w:customStyle="1">
    <w:name w:val="Bordered - Accent 5"/>
    <w:uiPriority w:val="99"/>
    <w:qFormat/>
    <w:tblPr>
      <w:tblCellMar>
        <w:left w:w="0" w:type="dxa"/>
        <w:top w:w="0" w:type="dxa"/>
        <w:right w:w="0" w:type="dxa"/>
        <w:bottom w:w="0" w:type="dxa"/>
      </w:tblCellMar>
    </w:tblPr>
  </w:style>
  <w:style w:type="table" w:styleId="1099" w:customStyle="1">
    <w:name w:val="Bordered - Accent 6"/>
    <w:uiPriority w:val="99"/>
    <w:qFormat/>
    <w:tblPr>
      <w:tblCellMar>
        <w:left w:w="0" w:type="dxa"/>
        <w:top w:w="0" w:type="dxa"/>
        <w:right w:w="0" w:type="dxa"/>
        <w:bottom w:w="0" w:type="dxa"/>
      </w:tblCellMar>
    </w:tblPr>
  </w:style>
  <w:style w:type="paragraph" w:styleId="1100" w:customStyle="1">
    <w:name w:val="TOC 标题11"/>
    <w:uiPriority w:val="39"/>
    <w:qFormat/>
    <w:rPr>
      <w:rFonts w:ascii="Times New Roman" w:hAnsi="Times New Roman" w:eastAsia="宋体" w:cs="Times New Roman"/>
      <w:lang w:val="en-US" w:eastAsia="zh-CN" w:bidi="ar-SA"/>
    </w:rPr>
  </w:style>
  <w:style w:type="paragraph" w:styleId="1101" w:customStyle="1">
    <w:name w:val="页脚2"/>
    <w:basedOn w:val="728"/>
    <w:uiPriority w:val="0"/>
    <w:qFormat/>
    <w:pPr>
      <w:jc w:val="left"/>
      <w:tabs>
        <w:tab w:val="center" w:pos="4153" w:leader="none"/>
        <w:tab w:val="right" w:pos="8306" w:leader="none"/>
      </w:tabs>
    </w:pPr>
    <w:rPr>
      <w:sz w:val="18"/>
      <w:szCs w:val="18"/>
      <w:lang w:eastAsia="en-US"/>
    </w:rPr>
  </w:style>
  <w:style w:type="paragraph" w:styleId="1102" w:customStyle="1">
    <w:name w:val="页眉2"/>
    <w:basedOn w:val="72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103" w:customStyle="1">
    <w:name w:val="访问过的超链接1"/>
    <w:uiPriority w:val="0"/>
    <w:qFormat/>
    <w:rPr>
      <w:color w:val="800080"/>
      <w:u w:val="single"/>
    </w:rPr>
  </w:style>
  <w:style w:type="paragraph" w:styleId="1104" w:customStyle="1">
    <w:name w:val="Char1"/>
    <w:basedOn w:val="814"/>
    <w:uiPriority w:val="0"/>
    <w:qFormat/>
    <w:rPr>
      <w:rFonts w:ascii="Tahoma" w:hAnsi="Tahoma"/>
      <w:sz w:val="24"/>
      <w:szCs w:val="24"/>
      <w:lang w:eastAsia="en-US"/>
    </w:rPr>
  </w:style>
  <w:style w:type="paragraph" w:styleId="1105" w:customStyle="1">
    <w:name w:val="Char Char Char Char Char Char Char Char Char Char1"/>
    <w:basedOn w:val="728"/>
    <w:uiPriority w:val="0"/>
    <w:qFormat/>
    <w:pPr>
      <w:spacing w:line="360" w:lineRule="auto"/>
    </w:pPr>
    <w:rPr>
      <w:sz w:val="24"/>
      <w:szCs w:val="20"/>
    </w:rPr>
  </w:style>
  <w:style w:type="paragraph" w:styleId="1106" w:customStyle="1">
    <w:name w:val="Char Char Char Char Char Char Char Char1"/>
    <w:basedOn w:val="728"/>
    <w:uiPriority w:val="0"/>
    <w:qFormat/>
    <w:pPr>
      <w:jc w:val="left"/>
      <w:spacing w:after="160" w:line="240" w:lineRule="exact"/>
      <w:widowControl/>
    </w:pPr>
    <w:rPr>
      <w:rFonts w:ascii="Verdana" w:hAnsi="Verdana"/>
      <w:sz w:val="20"/>
      <w:szCs w:val="20"/>
      <w:lang w:eastAsia="en-US"/>
    </w:rPr>
  </w:style>
  <w:style w:type="paragraph" w:styleId="1107" w:customStyle="1">
    <w:name w:val="Char Char Char Char1"/>
    <w:basedOn w:val="814"/>
    <w:uiPriority w:val="0"/>
    <w:qFormat/>
    <w:pPr>
      <w:spacing w:line="360" w:lineRule="auto"/>
    </w:pPr>
    <w:rPr>
      <w:rFonts w:ascii="Tahoma" w:hAnsi="Tahoma"/>
      <w:sz w:val="24"/>
      <w:szCs w:val="24"/>
      <w:lang w:eastAsia="en-US"/>
    </w:rPr>
  </w:style>
  <w:style w:type="paragraph" w:styleId="1108" w:customStyle="1">
    <w:name w:val="修订11"/>
    <w:uiPriority w:val="99"/>
    <w:qFormat/>
    <w:rPr>
      <w:rFonts w:ascii="Times New Roman" w:hAnsi="Times New Roman" w:eastAsia="宋体" w:cs="Times New Roman"/>
      <w:sz w:val="21"/>
      <w:szCs w:val="21"/>
      <w:lang w:val="en-US" w:eastAsia="zh-CN" w:bidi="ar-SA"/>
    </w:rPr>
  </w:style>
  <w:style w:type="character" w:styleId="1109" w:customStyle="1">
    <w:name w:val="font21"/>
    <w:uiPriority w:val="0"/>
    <w:qFormat/>
    <w:rPr>
      <w:rFonts w:hint="eastAsia" w:ascii="宋体" w:hAnsi="宋体" w:eastAsia="宋体" w:cs="宋体"/>
      <w:color w:val="000000"/>
      <w:sz w:val="24"/>
      <w:szCs w:val="24"/>
      <w:u w:val="none"/>
    </w:rPr>
  </w:style>
  <w:style w:type="paragraph" w:styleId="1110" w:customStyle="1">
    <w:name w:val="招标"/>
    <w:basedOn w:val="728"/>
    <w:uiPriority w:val="0"/>
    <w:qFormat/>
    <w:pPr>
      <w:ind w:firstLine="420"/>
      <w:jc w:val="left"/>
      <w:spacing w:line="400" w:lineRule="exact"/>
    </w:pPr>
    <w:rPr>
      <w:rFonts w:ascii="宋体" w:hAnsi="宋体"/>
      <w:szCs w:val="24"/>
    </w:rPr>
  </w:style>
  <w:style w:type="character" w:styleId="1111" w:customStyle="1">
    <w:name w:val="font31"/>
    <w:uiPriority w:val="0"/>
    <w:qFormat/>
    <w:rPr>
      <w:rFonts w:ascii="Arial" w:hAnsi="Arial" w:cs="Arial"/>
      <w:color w:val="000000"/>
      <w:sz w:val="24"/>
      <w:szCs w:val="24"/>
      <w:u w:val="none"/>
    </w:rPr>
  </w:style>
  <w:style w:type="paragraph" w:styleId="1112" w:customStyle="1">
    <w:name w:val="Table Paragraph"/>
    <w:basedOn w:val="728"/>
    <w:uiPriority w:val="1"/>
    <w:qFormat/>
    <w:pPr>
      <w:jc w:val="left"/>
    </w:pPr>
    <w:rPr>
      <w:rFonts w:ascii="宋体" w:hAnsi="宋体" w:cs="宋体"/>
      <w:sz w:val="22"/>
      <w:lang w:val="zh-CN" w:bidi="zh-CN"/>
    </w:rPr>
  </w:style>
  <w:style w:type="paragraph" w:styleId="1113" w:customStyle="1">
    <w:name w:val="正文文本1"/>
    <w:basedOn w:val="728"/>
    <w:uiPriority w:val="0"/>
    <w:qFormat/>
    <w:rPr>
      <w:rFonts w:ascii="楷体_GB2312" w:hAnsi="Arial" w:eastAsia="楷体_GB2312"/>
      <w:sz w:val="28"/>
      <w:szCs w:val="28"/>
    </w:rPr>
  </w:style>
  <w:style w:type="paragraph" w:styleId="1114" w:customStyle="1">
    <w:name w:val="正文文本缩进1"/>
    <w:basedOn w:val="728"/>
    <w:uiPriority w:val="0"/>
    <w:qFormat/>
    <w:pPr>
      <w:ind w:left="420"/>
      <w:spacing w:after="120"/>
    </w:pPr>
  </w:style>
  <w:style w:type="paragraph" w:styleId="1115" w:customStyle="1">
    <w:name w:val="纯文本1"/>
    <w:basedOn w:val="728"/>
    <w:uiPriority w:val="0"/>
    <w:qFormat/>
    <w:rPr>
      <w:rFonts w:ascii="宋体" w:hAnsi="Courier New" w:cs="Courier New"/>
      <w:szCs w:val="21"/>
    </w:rPr>
  </w:style>
  <w:style w:type="paragraph" w:styleId="1116" w:customStyle="1">
    <w:name w:val="页脚11"/>
    <w:basedOn w:val="728"/>
    <w:uiPriority w:val="99"/>
    <w:qFormat/>
    <w:pPr>
      <w:jc w:val="left"/>
      <w:tabs>
        <w:tab w:val="center" w:pos="4153" w:leader="none"/>
        <w:tab w:val="right" w:pos="8306" w:leader="none"/>
      </w:tabs>
    </w:pPr>
    <w:rPr>
      <w:sz w:val="18"/>
      <w:szCs w:val="18"/>
    </w:rPr>
  </w:style>
  <w:style w:type="character" w:styleId="1117" w:customStyle="1">
    <w:name w:val="批注文字 字符1"/>
    <w:uiPriority w:val="99"/>
    <w:qFormat/>
    <w:rPr>
      <w:sz w:val="21"/>
      <w:szCs w:val="22"/>
    </w:rPr>
  </w:style>
  <w:style w:type="character" w:styleId="1118" w:customStyle="1">
    <w:name w:val="纯文本 字符"/>
    <w:basedOn w:val="738"/>
    <w:link w:val="747"/>
    <w:uiPriority w:val="0"/>
    <w:qFormat/>
    <w:rPr>
      <w:rFonts w:ascii="宋体" w:hAnsi="Courier New" w:cs="Courier New"/>
      <w:sz w:val="21"/>
      <w:szCs w:val="21"/>
    </w:rPr>
  </w:style>
  <w:style w:type="character" w:styleId="1119" w:customStyle="1">
    <w:name w:val="批注文字 字符2"/>
    <w:basedOn w:val="738"/>
    <w:link w:val="742"/>
    <w:uiPriority w:val="0"/>
    <w:rPr>
      <w:sz w:val="21"/>
      <w:szCs w:val="22"/>
    </w:rPr>
  </w:style>
  <w:style w:type="character" w:styleId="1120" w:customStyle="1">
    <w:name w:val="批注主题 字符1"/>
    <w:basedOn w:val="1119"/>
    <w:link w:val="762"/>
    <w:uiPriority w:val="99"/>
    <w:semiHidden/>
    <w:rPr>
      <w:b/>
      <w:bCs/>
      <w:sz w:val="21"/>
      <w:szCs w:val="22"/>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8ED1A-DAC0-48EE-9729-FE0D2D48FF5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王建浩</cp:lastModifiedBy>
  <cp:revision>40</cp:revision>
  <dcterms:created xsi:type="dcterms:W3CDTF">2025-08-20T08:18:00Z</dcterms:created>
  <dcterms:modified xsi:type="dcterms:W3CDTF">2025-08-28T07:34:58Z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7F42E935EDB04218B10F6E03076E6370_13</vt:lpwstr>
  </property>
  <property fmtid="{D5CDD505-2E9C-101B-9397-08002B2CF9AE}" pid="4" name="KSOTemplateDocerSaveRecord">
    <vt:lpwstr>eyJoZGlkIjoiYTA4MzY3NDRmNjA2NTRiMWE4MjkyYzRiNTBmYjlkYTIiLCJ1c2VySWQiOiIxNjEzODkyOTQ0In0=</vt:lpwstr>
  </property>
</Properties>
</file>