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项目名称：江苏省公安厅安全保障平台通用硬件设备</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项目编号：JSZC-320000-SCZX-G2025-0802</w:t>
      </w:r>
      <w:r/>
    </w:p>
    <w:p>
      <w:pPr>
        <w:ind w:left="2800" w:hanging="2800"/>
        <w:rPr>
          <w:b/>
          <w:sz w:val="28"/>
          <w:szCs w:val="28"/>
        </w:rPr>
      </w:pPr>
      <w:r>
        <w:rPr>
          <w:b/>
          <w:sz w:val="28"/>
          <w:szCs w:val="28"/>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w:t>
      </w:r>
      <w:r>
        <w:rPr>
          <w:rFonts w:ascii="Arial" w:hAnsi="Arial"/>
          <w:b/>
          <w:bCs/>
          <w:color w:val="000000"/>
          <w:sz w:val="32"/>
          <w:szCs w:val="24"/>
        </w:rPr>
        <w:t xml:space="preserve">5</w:t>
      </w:r>
      <w:r>
        <w:rPr>
          <w:rFonts w:hint="eastAsia" w:ascii="Arial" w:hAnsi="Arial"/>
          <w:b/>
          <w:bCs/>
          <w:color w:val="000000"/>
          <w:sz w:val="32"/>
          <w:szCs w:val="24"/>
        </w:rPr>
        <w:t xml:space="preserve">年1</w:t>
      </w:r>
      <w:r>
        <w:rPr>
          <w:rFonts w:hint="eastAsia" w:ascii="Arial" w:hAnsi="Arial"/>
          <w:b/>
          <w:bCs/>
          <w:color w:val="000000"/>
          <w:sz w:val="32"/>
          <w:szCs w:val="24"/>
          <w:lang w:val="en-US" w:eastAsia="zh-CN"/>
        </w:rPr>
        <w:t xml:space="preserve">2</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1"/>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…………………………………16</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22</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34</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37</w:t>
      </w:r>
      <w:bookmarkStart w:id="191" w:name="_GoBack"/>
      <w:r/>
      <w:bookmarkEnd w:id="191"/>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受江苏省公安厅的委托，江苏省政府采购中心就江苏省公安厅安全保障平台通用硬件设备(JSZC-320000-SCZX-G2025-0802)项目进行公开招标采购，欢迎符合条件的供应商投标。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江苏省公安厅安全保障平台通用硬件设备</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年2</w:t>
      </w:r>
      <w:r>
        <w:rPr>
          <w:rFonts w:hint="eastAsia" w:ascii="宋体" w:hAnsi="宋体"/>
          <w:bCs/>
          <w:color w:val="000000"/>
          <w:sz w:val="24"/>
          <w:szCs w:val="24"/>
          <w:u w:val="single"/>
        </w:rPr>
        <w:t xml:space="preserve">月6</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45" w:after="145" w:line="400" w:lineRule="exact"/>
        <w:rPr>
          <w:b/>
          <w:bCs/>
          <w:color w:val="000000"/>
          <w:sz w:val="32"/>
          <w:szCs w:val="32"/>
        </w:rPr>
        <w:outlineLvl w:val="2"/>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1.项目编号：JSZC-320000-SCZX-G2025-0802</w:t>
      </w:r>
      <w:r/>
    </w:p>
    <w:p>
      <w:pPr>
        <w:ind w:firstLine="480"/>
        <w:spacing w:line="400" w:lineRule="exact"/>
        <w:rPr>
          <w:rFonts w:ascii="宋体" w:hAnsi="宋体"/>
          <w:sz w:val="24"/>
          <w:szCs w:val="24"/>
        </w:rPr>
      </w:pPr>
      <w:r>
        <w:rPr>
          <w:rFonts w:hint="eastAsia" w:ascii="宋体" w:hAnsi="宋体"/>
          <w:color w:val="000000"/>
          <w:sz w:val="24"/>
          <w:szCs w:val="24"/>
        </w:rPr>
        <w:t xml:space="preserve">2.</w:t>
      </w:r>
      <w:r>
        <w:rPr>
          <w:rFonts w:hint="eastAsia" w:ascii="宋体" w:hAnsi="宋体"/>
          <w:sz w:val="24"/>
          <w:szCs w:val="24"/>
        </w:rPr>
        <w:t xml:space="preserve">项目名称：江苏省公安厅安全保障平台通用硬件设备</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91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29"/>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分包号</w:t>
            </w:r>
            <w:r/>
          </w:p>
        </w:tc>
        <w:tc>
          <w:tcPr>
            <w:tcW w:w="322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预算金额（人民币：万元）</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229" w:type="dxa"/>
            <w:textDirection w:val="lrTb"/>
            <w:noWrap w:val="false"/>
          </w:tcPr>
          <w:p>
            <w:pPr>
              <w:jc w:val="center"/>
              <w:spacing w:line="400" w:lineRule="exact"/>
              <w:rPr>
                <w:rFonts w:ascii="宋体" w:hAnsi="宋体"/>
                <w:sz w:val="24"/>
                <w:szCs w:val="24"/>
              </w:rPr>
            </w:pPr>
            <w:r>
              <w:rPr>
                <w:rFonts w:hint="eastAsia"/>
                <w:sz w:val="24"/>
                <w:szCs w:val="28"/>
              </w:rPr>
              <w:t xml:space="preserve">600 </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91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分包号</w:t>
            </w:r>
            <w:r/>
          </w:p>
        </w:tc>
        <w:tc>
          <w:tcPr>
            <w:tcW w:w="280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是否设定最高限价</w:t>
            </w:r>
            <w:r/>
          </w:p>
          <w:p>
            <w:pPr>
              <w:jc w:val="center"/>
              <w:spacing w:line="400" w:lineRule="exact"/>
              <w:rPr>
                <w:rFonts w:ascii="宋体" w:hAnsi="宋体"/>
                <w:sz w:val="24"/>
                <w:szCs w:val="24"/>
              </w:rPr>
            </w:pPr>
            <w:r>
              <w:rPr>
                <w:rFonts w:hint="eastAsia" w:ascii="宋体" w:hAnsi="宋体"/>
                <w:sz w:val="24"/>
                <w:szCs w:val="24"/>
              </w:rPr>
              <w:t xml:space="preserve">（是/否）</w:t>
            </w:r>
            <w:r/>
          </w:p>
        </w:tc>
        <w:tc>
          <w:tcPr>
            <w:tcW w:w="313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最高限价（人民币：万元）</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600</w:t>
            </w:r>
            <w:r/>
          </w:p>
        </w:tc>
      </w:tr>
    </w:tbl>
    <w:p>
      <w:pPr>
        <w:pStyle w:val="923"/>
        <w:ind w:firstLine="480"/>
        <w:rPr>
          <w:rFonts w:ascii="宋体" w:hAnsi="宋体"/>
          <w:color w:val="000000"/>
          <w:sz w:val="24"/>
          <w:szCs w:val="24"/>
          <w:u w:val="single"/>
        </w:rPr>
      </w:pPr>
      <w:r>
        <w:rPr>
          <w:rFonts w:hint="eastAsia" w:ascii="宋体" w:hAnsi="宋体"/>
          <w:color w:val="000000"/>
          <w:sz w:val="24"/>
          <w:szCs w:val="24"/>
        </w:rPr>
        <w:t xml:space="preserve">5.采购需求(</w:t>
      </w:r>
      <w:r>
        <w:rPr>
          <w:rFonts w:hint="eastAsia" w:ascii="宋体" w:hAnsi="宋体"/>
          <w:sz w:val="24"/>
          <w:szCs w:val="24"/>
        </w:rPr>
        <w:t xml:space="preserve">简介)：采购防火墙、终端数据防泄漏、WEB应用防护、数据库审计、安全漏洞防护、入侵防御等网络安全设备，实施安装</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6.合同履行期限：合同签订之日起至质保期结束。</w:t>
      </w:r>
      <w:r/>
    </w:p>
    <w:p>
      <w:pPr>
        <w:ind w:firstLine="496"/>
        <w:keepLines/>
        <w:keepNext/>
        <w:spacing w:before="145" w:after="145" w:line="400" w:lineRule="exact"/>
        <w:rPr>
          <w:b/>
          <w:bCs/>
          <w:color w:val="000000"/>
          <w:sz w:val="32"/>
          <w:szCs w:val="32"/>
        </w:rPr>
        <w:outlineLvl w:val="2"/>
      </w:pPr>
      <w:r/>
      <w:bookmarkStart w:id="12" w:name="_Toc35393622"/>
      <w:r/>
      <w:bookmarkStart w:id="13" w:name="_Toc38985264"/>
      <w:r/>
      <w:bookmarkStart w:id="14" w:name="_Toc35393791"/>
      <w:r/>
      <w:bookmarkStart w:id="15" w:name="_Toc28359003"/>
      <w:r/>
      <w:bookmarkStart w:id="16" w:name="_Toc28359080"/>
      <w:r>
        <w:rPr>
          <w:rFonts w:hint="eastAsia"/>
          <w:b/>
          <w:bCs/>
          <w:color w:val="000000"/>
          <w:sz w:val="32"/>
          <w:szCs w:val="32"/>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2"/>
          <w:szCs w:val="24"/>
        </w:rPr>
      </w:pPr>
      <w:r/>
      <w:bookmarkStart w:id="17" w:name="_Toc35393792"/>
      <w:r/>
      <w:bookmarkStart w:id="18" w:name="_Toc28359081"/>
      <w:r/>
      <w:bookmarkStart w:id="19" w:name="_Toc28359004"/>
      <w:r/>
      <w:bookmarkStart w:id="20" w:name="_Toc38985265"/>
      <w:r/>
      <w:bookmarkStart w:id="21" w:name="_Toc35393623"/>
      <w:r>
        <w:rPr>
          <w:rFonts w:hint="eastAsia" w:ascii="宋体" w:hAnsi="宋体"/>
          <w:color w:val="000000"/>
          <w:sz w:val="24"/>
          <w:szCs w:val="28"/>
        </w:rPr>
        <w:t xml:space="preserve">（一</w:t>
      </w:r>
      <w:r>
        <w:rPr>
          <w:rFonts w:ascii="宋体" w:hAnsi="宋体"/>
          <w:color w:val="000000"/>
          <w:sz w:val="24"/>
          <w:szCs w:val="28"/>
        </w:rPr>
        <w:t xml:space="preserve">）</w:t>
      </w:r>
      <w:r>
        <w:rPr>
          <w:rFonts w:hint="eastAsia" w:ascii="宋体" w:hAnsi="宋体"/>
          <w:color w:val="000000"/>
          <w:sz w:val="24"/>
          <w:szCs w:val="28"/>
        </w:rPr>
        <w:t xml:space="preserve">通用</w:t>
      </w:r>
      <w:r>
        <w:rPr>
          <w:rFonts w:ascii="宋体" w:hAnsi="宋体"/>
          <w:color w:val="000000"/>
          <w:sz w:val="24"/>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color w:val="000000"/>
          <w:sz w:val="24"/>
          <w:szCs w:val="24"/>
        </w:rPr>
        <w:t xml:space="preserve">4.联</w:t>
      </w:r>
      <w:r>
        <w:rPr>
          <w:rFonts w:hint="eastAsia" w:ascii="宋体" w:hAnsi="宋体"/>
          <w:sz w:val="24"/>
          <w:szCs w:val="24"/>
        </w:rPr>
        <w:t xml:space="preserve">合</w:t>
      </w:r>
      <w:r>
        <w:rPr>
          <w:rFonts w:ascii="宋体" w:hAnsi="宋体"/>
          <w:sz w:val="24"/>
          <w:szCs w:val="24"/>
        </w:rPr>
        <w:t xml:space="preserve">体投标</w:t>
      </w:r>
      <w:r/>
    </w:p>
    <w:tbl>
      <w:tblPr>
        <w:tblStyle w:val="91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分包号</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是否接受联合体投标</w:t>
            </w:r>
            <w:r/>
          </w:p>
          <w:p>
            <w:pPr>
              <w:jc w:val="center"/>
              <w:spacing w:line="400" w:lineRule="exact"/>
              <w:rPr>
                <w:rFonts w:ascii="宋体" w:hAnsi="宋体"/>
                <w:sz w:val="24"/>
                <w:szCs w:val="24"/>
              </w:rPr>
            </w:pPr>
            <w:r>
              <w:rPr>
                <w:rFonts w:hint="eastAsia" w:ascii="宋体" w:hAnsi="宋体"/>
                <w:sz w:val="24"/>
                <w:szCs w:val="24"/>
              </w:rPr>
              <w:t xml:space="preserve">（是/否）</w:t>
            </w:r>
            <w:r/>
          </w:p>
        </w:tc>
        <w:tc>
          <w:tcPr>
            <w:tcW w:w="296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该分包中联合体成员数量上限（含牵头单位）</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91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276" w:lineRule="auto"/>
              <w:rPr>
                <w:rFonts w:ascii="宋体" w:hAnsi="宋体"/>
                <w:color w:val="000000"/>
                <w:sz w:val="24"/>
                <w:szCs w:val="24"/>
              </w:rPr>
            </w:pPr>
            <w:r>
              <w:rPr>
                <w:rFonts w:hint="eastAsia" w:ascii="宋体" w:hAnsi="宋体"/>
                <w:color w:val="000000"/>
                <w:sz w:val="24"/>
                <w:szCs w:val="24"/>
              </w:rPr>
              <w:t xml:space="preserve">分包号</w:t>
            </w:r>
            <w:r/>
          </w:p>
        </w:tc>
        <w:tc>
          <w:tcPr>
            <w:tcW w:w="5921" w:type="dxa"/>
            <w:textDirection w:val="lrTb"/>
            <w:noWrap w:val="false"/>
          </w:tcPr>
          <w:p>
            <w:pPr>
              <w:jc w:val="center"/>
              <w:spacing w:line="276" w:lineRule="auto"/>
              <w:rPr>
                <w:rFonts w:ascii="宋体" w:hAnsi="宋体"/>
                <w:color w:val="000000"/>
                <w:sz w:val="24"/>
                <w:szCs w:val="24"/>
              </w:rPr>
            </w:pPr>
            <w:r>
              <w:rPr>
                <w:rFonts w:hint="eastAsia" w:ascii="宋体" w:hAnsi="宋体"/>
                <w:color w:val="000000"/>
                <w:sz w:val="24"/>
                <w:szCs w:val="24"/>
              </w:rPr>
              <w:t xml:space="preserve">特定资格要求</w:t>
            </w:r>
            <w:r/>
          </w:p>
        </w:tc>
      </w:tr>
      <w:tr>
        <w:trPr/>
        <w:tc>
          <w:tcPr>
            <w:tcW w:w="1148" w:type="dxa"/>
            <w:textDirection w:val="lrTb"/>
            <w:noWrap w:val="false"/>
          </w:tcPr>
          <w:p>
            <w:pPr>
              <w:jc w:val="center"/>
              <w:spacing w:line="276" w:lineRule="auto"/>
              <w:rPr>
                <w:rFonts w:ascii="宋体" w:hAnsi="宋体"/>
                <w:color w:val="000000"/>
                <w:sz w:val="24"/>
                <w:szCs w:val="24"/>
              </w:rPr>
            </w:pPr>
            <w:r>
              <w:rPr>
                <w:rFonts w:hint="eastAsia" w:ascii="宋体" w:hAnsi="宋体"/>
                <w:color w:val="000000"/>
                <w:sz w:val="24"/>
                <w:szCs w:val="24"/>
              </w:rPr>
              <w:t xml:space="preserve">1</w:t>
            </w:r>
            <w:r/>
          </w:p>
        </w:tc>
        <w:tc>
          <w:tcPr>
            <w:tcW w:w="5921" w:type="dxa"/>
            <w:textDirection w:val="lrTb"/>
            <w:noWrap w:val="false"/>
          </w:tcPr>
          <w:p>
            <w:pPr>
              <w:jc w:val="center"/>
              <w:spacing w:line="276" w:lineRule="auto"/>
              <w:rPr>
                <w:rFonts w:ascii="宋体" w:hAnsi="宋体"/>
                <w:color w:val="000000"/>
                <w:sz w:val="24"/>
                <w:szCs w:val="24"/>
              </w:rPr>
            </w:pPr>
            <w:r>
              <w:rPr>
                <w:rFonts w:hint="eastAsia" w:ascii="宋体" w:hAnsi="宋体"/>
                <w:color w:val="000000"/>
                <w:sz w:val="24"/>
                <w:szCs w:val="24"/>
              </w:rPr>
              <w:t xml:space="preserve">无</w:t>
            </w:r>
            <w:r/>
          </w:p>
        </w:tc>
      </w:tr>
    </w:tbl>
    <w:p>
      <w:pPr>
        <w:ind w:firstLine="496"/>
        <w:keepLines/>
        <w:keepNext/>
        <w:spacing w:before="145" w:after="145" w:line="400" w:lineRule="exact"/>
        <w:rPr>
          <w:b/>
          <w:bCs/>
          <w:color w:val="000000"/>
          <w:sz w:val="32"/>
          <w:szCs w:val="32"/>
        </w:rPr>
        <w:outlineLvl w:val="2"/>
      </w:pPr>
      <w:r>
        <w:rPr>
          <w:rFonts w:hint="eastAsia"/>
          <w:b/>
          <w:bCs/>
          <w:color w:val="000000"/>
          <w:sz w:val="32"/>
          <w:szCs w:val="32"/>
        </w:rPr>
        <w:t xml:space="preserve">三、获取招标文件</w:t>
      </w:r>
      <w:bookmarkEnd w:id="17"/>
      <w:r/>
      <w:bookmarkEnd w:id="18"/>
      <w:r/>
      <w:bookmarkEnd w:id="19"/>
      <w:r/>
      <w:bookmarkEnd w:id="20"/>
      <w:r/>
      <w:bookmarkEnd w:id="21"/>
      <w:r/>
      <w:r/>
    </w:p>
    <w:p>
      <w:pPr>
        <w:ind w:firstLine="540"/>
        <w:spacing w:line="400" w:lineRule="exact"/>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1.时间：自招标文件公告发布之日起5个工作日。</w:t>
      </w:r>
      <w:r/>
    </w:p>
    <w:p>
      <w:pPr>
        <w:ind w:firstLine="540"/>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96"/>
        <w:keepLines/>
        <w:keepNext/>
        <w:spacing w:before="145" w:after="145" w:line="400" w:lineRule="exact"/>
        <w:rPr>
          <w:b/>
          <w:bCs/>
          <w:color w:val="000000"/>
          <w:sz w:val="32"/>
          <w:szCs w:val="32"/>
        </w:rPr>
        <w:outlineLvl w:val="2"/>
      </w:pPr>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ascii="宋体" w:hAnsi="宋体"/>
          <w:color w:val="000000"/>
          <w:sz w:val="24"/>
          <w:szCs w:val="24"/>
          <w:u w:val="single"/>
        </w:rPr>
        <w:t xml:space="preserve">202</w:t>
      </w:r>
      <w:r>
        <w:rPr>
          <w:rFonts w:hint="eastAsia" w:ascii="宋体" w:hAnsi="宋体"/>
          <w:color w:val="000000"/>
          <w:sz w:val="24"/>
          <w:szCs w:val="24"/>
          <w:u w:val="single"/>
        </w:rPr>
        <w:t xml:space="preserve">6</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2</w:t>
      </w:r>
      <w:r>
        <w:rPr>
          <w:rFonts w:hint="eastAsia" w:ascii="宋体" w:hAnsi="宋体"/>
          <w:bCs/>
          <w:color w:val="000000"/>
          <w:sz w:val="24"/>
          <w:szCs w:val="24"/>
          <w:u w:val="single"/>
        </w:rPr>
        <w:t xml:space="preserve">月6</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bCs/>
          <w:sz w:val="24"/>
          <w:szCs w:val="24"/>
          <w:u w:val="single"/>
        </w:rPr>
      </w:pPr>
      <w:r>
        <w:rPr>
          <w:rFonts w:hint="eastAsia" w:ascii="宋体" w:hAnsi="宋体"/>
          <w:sz w:val="24"/>
          <w:szCs w:val="24"/>
        </w:rPr>
        <w:t xml:space="preserve">2.地点：“苏采云”政府采购交易系统网上开标大厅。</w:t>
      </w:r>
      <w:r/>
    </w:p>
    <w:p>
      <w:pPr>
        <w:ind w:firstLine="496"/>
        <w:keepLines/>
        <w:keepNext/>
        <w:spacing w:before="145" w:after="145" w:line="400" w:lineRule="exact"/>
        <w:rPr>
          <w:b/>
          <w:bCs/>
          <w:color w:val="000000"/>
          <w:sz w:val="32"/>
          <w:szCs w:val="32"/>
        </w:rPr>
        <w:outlineLvl w:val="2"/>
      </w:pPr>
      <w:r/>
      <w:bookmarkStart w:id="27" w:name="_Toc28359007"/>
      <w:r/>
      <w:bookmarkStart w:id="28" w:name="_Toc3898526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spacing w:line="400" w:lineRule="exact"/>
        <w:rPr>
          <w:rFonts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45" w:after="145" w:line="400" w:lineRule="exact"/>
        <w:rPr>
          <w:b/>
          <w:bCs/>
          <w:color w:val="000000"/>
          <w:sz w:val="32"/>
          <w:szCs w:val="32"/>
        </w:rPr>
        <w:outlineLvl w:val="2"/>
      </w:pPr>
      <w:r>
        <w:rPr>
          <w:rFonts w:hint="eastAsia"/>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45" w:after="145" w:line="400" w:lineRule="exact"/>
        <w:rPr>
          <w:b/>
          <w:bCs/>
          <w:color w:val="000000"/>
          <w:sz w:val="32"/>
          <w:szCs w:val="32"/>
        </w:rPr>
        <w:outlineLvl w:val="2"/>
      </w:pPr>
      <w:r/>
      <w:bookmarkStart w:id="35" w:name="_Toc38985269"/>
      <w:r/>
      <w:bookmarkStart w:id="36" w:name="_Toc28359008"/>
      <w:r/>
      <w:bookmarkStart w:id="37" w:name="_Toc35393627"/>
      <w:r/>
      <w:bookmarkStart w:id="38" w:name="_Toc28359085"/>
      <w:r/>
      <w:bookmarkStart w:id="39" w:name="_Toc35393796"/>
      <w:r>
        <w:rPr>
          <w:rFonts w:hint="eastAsia"/>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江苏省公安厅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南京市鼓楼区扬州路1号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蒋帅 张文</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09"/>
      <w:r/>
      <w:bookmarkStart w:id="41" w:name="_Toc28359086"/>
      <w:r>
        <w:rPr>
          <w:rFonts w:ascii="宋体" w:hAnsi="宋体"/>
          <w:color w:val="000000"/>
          <w:sz w:val="24"/>
          <w:szCs w:val="24"/>
          <w:u w:val="single"/>
        </w:rPr>
        <w:t xml:space="preserve">025-835248</w:t>
      </w:r>
      <w:r>
        <w:rPr>
          <w:rFonts w:hint="eastAsia" w:ascii="宋体" w:hAnsi="宋体"/>
          <w:color w:val="000000"/>
          <w:sz w:val="24"/>
          <w:szCs w:val="24"/>
          <w:u w:val="single"/>
        </w:rPr>
        <w:t xml:space="preserve">66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南京市建邺区汉中门大街145号</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时富荣、许滢</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025-8366</w:t>
      </w:r>
      <w:bookmarkEnd w:id="42"/>
      <w:r/>
      <w:bookmarkEnd w:id="43"/>
      <w:r>
        <w:rPr>
          <w:rFonts w:hint="eastAsia" w:ascii="宋体" w:hAnsi="宋体"/>
          <w:color w:val="000000"/>
          <w:sz w:val="24"/>
          <w:szCs w:val="24"/>
          <w:u w:val="single"/>
          <w:lang w:val="en-US" w:eastAsia="zh-CN"/>
        </w:rPr>
        <w:t xml:space="preserve">8559</w:t>
      </w:r>
      <w:r/>
    </w:p>
    <w:p>
      <w:pPr>
        <w:ind w:firstLine="496"/>
        <w:keepLines/>
        <w:keepNext/>
        <w:spacing w:before="145" w:after="145" w:line="360" w:lineRule="auto"/>
        <w:rPr>
          <w:b/>
          <w:bCs/>
          <w:color w:val="000000"/>
          <w:sz w:val="32"/>
          <w:szCs w:val="32"/>
        </w:rPr>
        <w:outlineLvl w:val="2"/>
      </w:pPr>
      <w:r>
        <w:rPr>
          <w:rFonts w:hint="eastAsia"/>
          <w:b/>
          <w:bCs/>
          <w:color w:val="000000"/>
          <w:sz w:val="32"/>
          <w:szCs w:val="32"/>
        </w:rPr>
        <w:t xml:space="preserve">八、其他</w:t>
      </w:r>
      <w:r/>
    </w:p>
    <w:p>
      <w:pPr>
        <w:ind w:firstLine="480"/>
        <w:spacing w:line="400" w:lineRule="exact"/>
        <w:tabs>
          <w:tab w:val="left" w:pos="900" w:leader="none"/>
        </w:tabs>
        <w:rPr>
          <w:rFonts w:ascii="宋体" w:hAnsi="宋体"/>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fldChar w:fldCharType="begin"/>
      </w:r>
      <w:r>
        <w:instrText xml:space="preserve"> HYPERLINK "http://www.ccgp-jiangsu.gov.cn/jiangsu/zlxz/ee/ee3a4bc5a3454aa2b0d9312230633ce9.html" </w:instrText>
      </w:r>
      <w:r>
        <w:fldChar w:fldCharType="separate"/>
      </w:r>
      <w:r>
        <w:rPr>
          <w:rStyle w:val="924"/>
          <w:bCs/>
          <w:color w:val="000000"/>
          <w:szCs w:val="21"/>
        </w:rPr>
        <w:t xml:space="preserve">http://www.ccgp-jiangsu.gov.cn/jiangsu/zlxz/ee/ee3a4bc5a3454aa2b0d9312230633ce9.html</w:t>
      </w:r>
      <w:r>
        <w:rPr>
          <w:rStyle w:val="924"/>
          <w:bCs/>
          <w:color w:val="000000"/>
          <w:szCs w:val="21"/>
        </w:rPr>
        <w:fldChar w:fldCharType="end"/>
      </w:r>
      <w:r>
        <w:rPr>
          <w:bCs/>
          <w:color w:val="000000"/>
          <w:szCs w:val="21"/>
        </w:rPr>
        <w:t xml:space="preserve">。</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color w:val="000000"/>
          <w:sz w:val="24"/>
          <w:szCs w:val="21"/>
        </w:rPr>
      </w:pPr>
      <w:r>
        <w:rPr>
          <w:rFonts w:ascii="宋体" w:hAnsi="宋体"/>
          <w:bCs/>
          <w:color w:val="000000"/>
          <w:sz w:val="24"/>
          <w:szCs w:val="24"/>
        </w:rPr>
        <w:t xml:space="preserve">3</w:t>
      </w:r>
      <w:r>
        <w:rPr>
          <w:rFonts w:hint="eastAsia" w:ascii="宋体" w:hAnsi="宋体"/>
          <w:bCs/>
          <w:color w:val="000000"/>
          <w:sz w:val="24"/>
          <w:szCs w:val="24"/>
        </w:rPr>
        <w:t xml:space="preserve">.本次招标不收取投标保证金。</w:t>
      </w:r>
      <w:r/>
    </w:p>
    <w:p>
      <w:pPr>
        <w:ind w:right="840"/>
        <w:rPr>
          <w:rFonts w:ascii="宋体" w:hAnsi="宋体"/>
          <w:color w:val="000000"/>
          <w:sz w:val="24"/>
          <w:szCs w:val="24"/>
        </w:rPr>
      </w:pPr>
      <w:r>
        <w:rPr>
          <w:rFonts w:ascii="宋体" w:hAnsi="宋体"/>
          <w:color w:val="000000"/>
          <w:sz w:val="24"/>
          <w:szCs w:val="24"/>
        </w:rPr>
        <w:br w:type="page" w:clear="all"/>
      </w:r>
      <w:bookmarkEnd w:id="1"/>
      <w:r/>
      <w:bookmarkEnd w:id="2"/>
      <w:r/>
      <w:bookmarkEnd w:id="3"/>
      <w:r/>
      <w:bookmarkEnd w:id="4"/>
      <w:r/>
      <w:bookmarkEnd w:id="5"/>
      <w:r/>
      <w:r/>
    </w:p>
    <w:p>
      <w:pPr>
        <w:ind w:firstLine="2420"/>
        <w:keepLines/>
        <w:keepNext/>
        <w:spacing w:before="260" w:after="260" w:line="416" w:lineRule="auto"/>
        <w:rPr>
          <w:rFonts w:ascii="黑体" w:hAnsi="Arial" w:eastAsia="黑体" w:cs="Arial"/>
          <w:color w:val="000000"/>
          <w:sz w:val="44"/>
          <w:szCs w:val="44"/>
        </w:rPr>
        <w:outlineLvl w:val="1"/>
      </w:pPr>
      <w:r/>
      <w:bookmarkStart w:id="44" w:name="_Toc120614211"/>
      <w:r/>
      <w:bookmarkStart w:id="45" w:name="_Toc479757207"/>
      <w:r/>
      <w:bookmarkStart w:id="46" w:name="_Toc20823314"/>
      <w:r/>
      <w:bookmarkStart w:id="47" w:name="_Toc513029242"/>
      <w:r/>
      <w:bookmarkStart w:id="48" w:name="_Toc120614221"/>
      <w:r/>
      <w:bookmarkStart w:id="49" w:name="_Toc16938558"/>
      <w:r>
        <w:rPr>
          <w:rFonts w:hint="eastAsia" w:ascii="黑体" w:hAnsi="Arial" w:eastAsia="黑体" w:cs="Arial"/>
          <w:b/>
          <w:bCs/>
          <w:color w:val="000000"/>
          <w:sz w:val="44"/>
          <w:szCs w:val="44"/>
        </w:rPr>
        <w:t xml:space="preserve">第二章  </w:t>
      </w:r>
      <w:bookmarkEnd w:id="44"/>
      <w:r/>
      <w:bookmarkStart w:id="50" w:name="_Toc20823274"/>
      <w:r/>
      <w:bookmarkStart w:id="51" w:name="_Toc513029202"/>
      <w:r/>
      <w:bookmarkStart w:id="52" w:name="_Toc16938518"/>
      <w:r/>
      <w:bookmarkStart w:id="53" w:name="_Toc120614213"/>
      <w:r>
        <w:rPr>
          <w:rFonts w:hint="eastAsia" w:ascii="黑体" w:hAnsi="Arial" w:eastAsia="黑体" w:cs="Arial"/>
          <w:b/>
          <w:bCs/>
          <w:color w:val="000000"/>
          <w:sz w:val="44"/>
          <w:szCs w:val="44"/>
        </w:rPr>
        <w:t xml:space="preserve">投标人须知</w:t>
      </w:r>
      <w:bookmarkEnd w:id="50"/>
      <w:r/>
      <w:bookmarkEnd w:id="51"/>
      <w:r/>
      <w:bookmarkEnd w:id="52"/>
      <w:r/>
      <w:bookmarkEnd w:id="53"/>
      <w:r/>
      <w:r/>
    </w:p>
    <w:p>
      <w:pPr>
        <w:ind w:firstLine="498"/>
        <w:keepLines/>
        <w:keepNext/>
        <w:spacing w:before="156" w:after="156" w:line="400" w:lineRule="exact"/>
        <w:rPr>
          <w:rFonts w:hint="eastAsia" w:ascii="Times New Roman" w:hAnsi="Times New Roman"/>
          <w:b/>
          <w:bCs/>
          <w:color w:val="000000"/>
          <w:sz w:val="32"/>
          <w:szCs w:val="32"/>
        </w:rPr>
        <w:outlineLvl w:val="2"/>
      </w:pPr>
      <w:r/>
      <w:bookmarkStart w:id="54" w:name="_Toc20823275"/>
      <w:r/>
      <w:bookmarkStart w:id="55" w:name="_Toc16938519"/>
      <w:r/>
      <w:bookmarkStart w:id="56" w:name="_Toc120614214"/>
      <w:r/>
      <w:bookmarkStart w:id="57" w:name="_Toc513029203"/>
      <w:r>
        <w:rPr>
          <w:rFonts w:hint="eastAsia" w:ascii="Times New Roman" w:hAnsi="Times New Roman"/>
          <w:b/>
          <w:bCs/>
          <w:color w:val="000000"/>
          <w:sz w:val="32"/>
          <w:szCs w:val="32"/>
        </w:rPr>
        <w:t xml:space="preserve">一、总则</w:t>
      </w:r>
      <w:bookmarkEnd w:id="54"/>
      <w:r/>
      <w:bookmarkEnd w:id="55"/>
      <w:r/>
      <w:bookmarkEnd w:id="56"/>
      <w:r/>
      <w:bookmarkEnd w:id="57"/>
      <w:r/>
      <w:r/>
    </w:p>
    <w:p>
      <w:pPr>
        <w:ind w:firstLine="420"/>
        <w:keepLines/>
        <w:keepNext/>
        <w:spacing w:line="400" w:lineRule="exact"/>
        <w:rPr>
          <w:rFonts w:hint="eastAsia" w:ascii="Arial" w:hAnsi="Arial" w:eastAsia="黑体" w:cs="Arial"/>
          <w:color w:val="000000"/>
          <w:sz w:val="28"/>
          <w:szCs w:val="28"/>
        </w:rPr>
        <w:outlineLvl w:val="3"/>
      </w:pPr>
      <w:r/>
      <w:bookmarkStart w:id="58" w:name="_Hlt16619475"/>
      <w:r/>
      <w:bookmarkEnd w:id="58"/>
      <w:r/>
      <w:bookmarkStart w:id="59" w:name="_Toc458694821"/>
      <w:r/>
      <w:bookmarkStart w:id="60" w:name="_Toc20823276"/>
      <w:r/>
      <w:bookmarkStart w:id="61" w:name="_Toc513029204"/>
      <w:r/>
      <w:bookmarkStart w:id="62" w:name="_Toc16938520"/>
      <w:r>
        <w:rPr>
          <w:rFonts w:hint="eastAsia" w:ascii="Arial" w:hAnsi="Arial" w:eastAsia="黑体" w:cs="Arial"/>
          <w:color w:val="000000"/>
          <w:sz w:val="28"/>
          <w:szCs w:val="28"/>
        </w:rPr>
        <w:t xml:space="preserve">1</w:t>
      </w:r>
      <w:bookmarkEnd w:id="59"/>
      <w:r>
        <w:rPr>
          <w:rFonts w:hint="eastAsia" w:ascii="Arial" w:hAnsi="Arial" w:eastAsia="黑体" w:cs="Arial"/>
          <w:color w:val="000000"/>
          <w:sz w:val="28"/>
          <w:szCs w:val="28"/>
        </w:rPr>
        <w:t xml:space="preserve">、招标方式</w:t>
      </w:r>
      <w:bookmarkEnd w:id="60"/>
      <w:r/>
      <w:bookmarkEnd w:id="61"/>
      <w:r/>
      <w:bookmarkEnd w:id="62"/>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63" w:name="_Toc20823277"/>
      <w:r/>
      <w:bookmarkStart w:id="64" w:name="_Toc513029205"/>
      <w:r/>
      <w:bookmarkStart w:id="65" w:name="_Toc16938521"/>
      <w:r>
        <w:rPr>
          <w:rFonts w:hint="eastAsia" w:ascii="Arial" w:hAnsi="Arial" w:eastAsia="黑体" w:cs="Arial"/>
          <w:color w:val="000000"/>
          <w:sz w:val="28"/>
          <w:szCs w:val="28"/>
        </w:rPr>
        <w:t xml:space="preserve">2、合格的投标人</w:t>
      </w:r>
      <w:bookmarkEnd w:id="63"/>
      <w:r/>
      <w:bookmarkEnd w:id="64"/>
      <w:r/>
      <w:bookmarkEnd w:id="65"/>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rPr>
        <w:outlineLvl w:val="3"/>
      </w:pPr>
      <w:r/>
      <w:bookmarkStart w:id="66" w:name="_Toc20823278"/>
      <w:r/>
      <w:bookmarkStart w:id="67" w:name="_Toc16938522"/>
      <w:r/>
      <w:bookmarkStart w:id="68" w:name="_Toc513029206"/>
      <w:r>
        <w:rPr>
          <w:rFonts w:hint="eastAsia" w:ascii="Arial" w:hAnsi="Arial" w:eastAsia="黑体" w:cs="Arial"/>
          <w:color w:val="000000"/>
          <w:sz w:val="28"/>
          <w:szCs w:val="28"/>
        </w:rPr>
        <w:t xml:space="preserve">3、适用法律</w:t>
      </w:r>
      <w:bookmarkEnd w:id="66"/>
      <w:r/>
      <w:bookmarkEnd w:id="67"/>
      <w:r/>
      <w:bookmarkEnd w:id="68"/>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hint="eastAsia" w:ascii="Arial" w:hAnsi="Arial" w:eastAsia="黑体" w:cs="Arial"/>
          <w:color w:val="000000"/>
          <w:sz w:val="28"/>
          <w:szCs w:val="28"/>
        </w:rPr>
        <w:outlineLvl w:val="3"/>
      </w:pPr>
      <w:r/>
      <w:bookmarkStart w:id="69" w:name="_Toc513029207"/>
      <w:r/>
      <w:bookmarkStart w:id="70" w:name="_Toc462564067"/>
      <w:r/>
      <w:bookmarkStart w:id="71" w:name="_Toc20823279"/>
      <w:r/>
      <w:bookmarkStart w:id="72" w:name="_Toc16938523"/>
      <w:r>
        <w:rPr>
          <w:rFonts w:hint="eastAsia" w:ascii="Arial" w:hAnsi="Arial" w:eastAsia="黑体" w:cs="Arial"/>
          <w:color w:val="000000"/>
          <w:sz w:val="28"/>
          <w:szCs w:val="28"/>
        </w:rPr>
        <w:t xml:space="preserve">4、投标费用</w:t>
      </w:r>
      <w:bookmarkEnd w:id="69"/>
      <w:r/>
      <w:bookmarkEnd w:id="70"/>
      <w:r/>
      <w:bookmarkEnd w:id="71"/>
      <w:r/>
      <w:bookmarkEnd w:id="72"/>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56" w:after="156" w:line="400" w:lineRule="exact"/>
        <w:rPr>
          <w:rFonts w:hint="eastAsia" w:ascii="Times New Roman" w:hAnsi="Times New Roman"/>
          <w:b/>
          <w:bCs/>
          <w:color w:val="000000"/>
          <w:sz w:val="32"/>
          <w:szCs w:val="32"/>
        </w:rPr>
        <w:outlineLvl w:val="2"/>
      </w:pPr>
      <w:r/>
      <w:bookmarkStart w:id="73" w:name="_Toc120614215"/>
      <w:r/>
      <w:bookmarkStart w:id="74" w:name="_Toc20823281"/>
      <w:r/>
      <w:bookmarkStart w:id="75" w:name="_Toc513029209"/>
      <w:r/>
      <w:bookmarkStart w:id="76" w:name="_Toc16938525"/>
      <w:r>
        <w:rPr>
          <w:rFonts w:hint="eastAsia" w:ascii="Times New Roman" w:hAnsi="Times New Roman"/>
          <w:b/>
          <w:bCs/>
          <w:color w:val="000000"/>
          <w:sz w:val="32"/>
          <w:szCs w:val="32"/>
        </w:rPr>
        <w:t xml:space="preserve">二、招标文件</w:t>
      </w:r>
      <w:bookmarkEnd w:id="73"/>
      <w:r/>
      <w:bookmarkEnd w:id="74"/>
      <w:r/>
      <w:bookmarkEnd w:id="75"/>
      <w:r/>
      <w:bookmarkEnd w:id="76"/>
      <w:r/>
      <w:r/>
    </w:p>
    <w:p>
      <w:pPr>
        <w:ind w:firstLine="420"/>
        <w:keepLines/>
        <w:keepNext/>
        <w:spacing w:line="400" w:lineRule="exact"/>
        <w:rPr>
          <w:rFonts w:hint="eastAsia" w:ascii="Arial" w:hAnsi="Arial" w:eastAsia="黑体" w:cs="Arial"/>
          <w:color w:val="000000"/>
          <w:sz w:val="28"/>
          <w:szCs w:val="28"/>
        </w:rPr>
        <w:outlineLvl w:val="3"/>
      </w:pPr>
      <w:r/>
      <w:bookmarkStart w:id="77" w:name="_Toc16938526"/>
      <w:r/>
      <w:bookmarkStart w:id="78" w:name="_Toc513029210"/>
      <w:r/>
      <w:bookmarkStart w:id="79" w:name="_Toc20823282"/>
      <w:r>
        <w:rPr>
          <w:rFonts w:hint="eastAsia" w:ascii="Arial" w:hAnsi="Arial" w:eastAsia="黑体" w:cs="Arial"/>
          <w:color w:val="000000"/>
          <w:sz w:val="28"/>
          <w:szCs w:val="28"/>
        </w:rPr>
        <w:t xml:space="preserve">6、招标文件构成</w:t>
      </w:r>
      <w:bookmarkEnd w:id="77"/>
      <w:r/>
      <w:bookmarkEnd w:id="78"/>
      <w:r/>
      <w:bookmarkEnd w:id="79"/>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80" w:name="_Toc462564071"/>
      <w:r/>
      <w:bookmarkStart w:id="81" w:name="_Toc20823284"/>
      <w:r/>
      <w:bookmarkStart w:id="82" w:name="_Toc513029212"/>
      <w:r/>
      <w:bookmarkStart w:id="83"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80"/>
      <w:r/>
      <w:bookmarkEnd w:id="81"/>
      <w:r/>
      <w:bookmarkEnd w:id="82"/>
      <w:r/>
      <w:bookmarkEnd w:id="83"/>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rFonts w:hint="eastAsia" w:ascii="Times New Roman" w:hAnsi="Times New Roman"/>
          <w:b/>
          <w:bCs/>
          <w:color w:val="000000"/>
          <w:sz w:val="32"/>
          <w:szCs w:val="32"/>
        </w:rPr>
        <w:outlineLvl w:val="2"/>
      </w:pPr>
      <w:r/>
      <w:bookmarkStart w:id="84" w:name="_Toc513029213"/>
      <w:r/>
      <w:bookmarkStart w:id="85" w:name="_Toc462564072"/>
      <w:r/>
      <w:bookmarkStart w:id="86" w:name="_Toc16938529"/>
      <w:r/>
      <w:bookmarkStart w:id="87" w:name="_Toc20823285"/>
      <w:r/>
      <w:bookmarkStart w:id="88" w:name="_Toc120614216"/>
      <w:r>
        <w:rPr>
          <w:rFonts w:hint="eastAsia" w:ascii="Times New Roman" w:hAnsi="Times New Roman"/>
          <w:b/>
          <w:bCs/>
          <w:color w:val="000000"/>
          <w:sz w:val="32"/>
          <w:szCs w:val="32"/>
        </w:rPr>
        <w:t xml:space="preserve">三、投标文件的编制</w:t>
      </w:r>
      <w:bookmarkEnd w:id="84"/>
      <w:r/>
      <w:bookmarkEnd w:id="85"/>
      <w:r/>
      <w:bookmarkEnd w:id="86"/>
      <w:r/>
      <w:bookmarkEnd w:id="87"/>
      <w:r/>
      <w:bookmarkEnd w:id="88"/>
      <w:r/>
      <w:r/>
    </w:p>
    <w:p>
      <w:pPr>
        <w:ind w:firstLine="560"/>
        <w:keepLines/>
        <w:keepNext/>
        <w:spacing w:line="400" w:lineRule="exact"/>
        <w:rPr>
          <w:rFonts w:hint="eastAsia" w:ascii="Arial" w:hAnsi="Arial" w:eastAsia="黑体" w:cs="Arial"/>
          <w:b/>
          <w:color w:val="000000"/>
          <w:sz w:val="28"/>
          <w:szCs w:val="28"/>
        </w:rPr>
        <w:outlineLvl w:val="3"/>
      </w:pPr>
      <w:r/>
      <w:bookmarkStart w:id="89" w:name="_Toc513029214"/>
      <w:r/>
      <w:bookmarkStart w:id="90" w:name="_Toc462564073"/>
      <w:r/>
      <w:bookmarkStart w:id="91" w:name="_Toc16938530"/>
      <w:r/>
      <w:bookmarkStart w:id="92"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9"/>
      <w:r/>
      <w:bookmarkEnd w:id="90"/>
      <w:r/>
      <w:bookmarkEnd w:id="91"/>
      <w:r/>
      <w:bookmarkEnd w:id="92"/>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93" w:name="_Toc16938531"/>
      <w:r/>
      <w:bookmarkStart w:id="94" w:name="_Toc462564074"/>
      <w:r/>
      <w:bookmarkStart w:id="95" w:name="_Toc513029215"/>
      <w:r/>
      <w:bookmarkStart w:id="96"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3"/>
      <w:r/>
      <w:bookmarkEnd w:id="94"/>
      <w:r/>
      <w:bookmarkEnd w:id="95"/>
      <w:r/>
      <w:bookmarkEnd w:id="96"/>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7" w:name="_Hlt26668975"/>
      <w:r/>
      <w:bookmarkEnd w:id="97"/>
      <w:r/>
      <w:bookmarkStart w:id="98" w:name="_Hlt26954838"/>
      <w:r/>
      <w:bookmarkEnd w:id="98"/>
      <w:r/>
      <w:bookmarkStart w:id="99" w:name="_Hlt26670360"/>
      <w:r/>
      <w:bookmarkEnd w:id="99"/>
      <w:r/>
      <w:bookmarkStart w:id="100" w:name="_Toc49090509"/>
      <w:r/>
      <w:bookmarkStart w:id="101" w:name="_Toc513029219"/>
      <w:r/>
      <w:bookmarkStart w:id="102" w:name="_Toc14577357"/>
      <w:r/>
      <w:bookmarkStart w:id="103" w:name="_Toc49090507"/>
      <w:r/>
      <w:bookmarkStart w:id="104" w:name="_Toc513029216"/>
      <w:r/>
      <w:bookmarkStart w:id="105" w:name="_Toc14577354"/>
      <w:r/>
      <w:bookmarkStart w:id="106" w:name="_Toc49090508"/>
      <w:r/>
      <w:bookmarkStart w:id="107"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00"/>
      <w:r/>
      <w:bookmarkEnd w:id="101"/>
      <w:r/>
      <w:bookmarkEnd w:id="102"/>
      <w:r/>
      <w:bookmarkEnd w:id="103"/>
      <w:r/>
      <w:bookmarkEnd w:id="104"/>
      <w:r/>
      <w:bookmarkEnd w:id="105"/>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6"/>
      <w:r/>
      <w:bookmarkEnd w:id="107"/>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8" w:name="_Hlt26954840"/>
      <w:r/>
      <w:bookmarkEnd w:id="108"/>
      <w:r>
        <w:rPr>
          <w:rFonts w:hint="eastAsia" w:ascii="宋体" w:hAnsi="宋体"/>
          <w:sz w:val="24"/>
          <w:szCs w:val="21"/>
        </w:rPr>
        <w:t xml:space="preserve">标人按照招标文件规定格式填报投标分项报价表</w:t>
      </w:r>
      <w:bookmarkStart w:id="109" w:name="_Hlt26670399"/>
      <w:r/>
      <w:bookmarkEnd w:id="109"/>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10" w:name="_Hlt26954848"/>
      <w:r/>
      <w:bookmarkEnd w:id="110"/>
      <w:r/>
      <w:bookmarkStart w:id="111" w:name="_Hlt26670486"/>
      <w:r/>
      <w:bookmarkEnd w:id="111"/>
      <w:r/>
      <w:bookmarkStart w:id="112" w:name="_Hlt26670482"/>
      <w:r/>
      <w:bookmarkEnd w:id="112"/>
      <w:r/>
      <w:bookmarkStart w:id="113" w:name="_Hlt26954846"/>
      <w:r/>
      <w:bookmarkEnd w:id="113"/>
      <w:r/>
      <w:bookmarkStart w:id="114" w:name="_Hlt26954731"/>
      <w:r/>
      <w:bookmarkEnd w:id="11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5" w:name="_Toc14577359"/>
      <w:r/>
      <w:bookmarkStart w:id="116"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420"/>
        <w:keepLines/>
        <w:keepNext/>
        <w:spacing w:line="400" w:lineRule="exact"/>
        <w:rPr>
          <w:rFonts w:hint="eastAsia" w:ascii="Arial" w:hAnsi="Arial" w:eastAsia="黑体" w:cs="Arial"/>
          <w:color w:val="000000"/>
          <w:sz w:val="28"/>
          <w:szCs w:val="28"/>
        </w:rPr>
        <w:outlineLvl w:val="3"/>
      </w:pPr>
      <w:r/>
      <w:bookmarkStart w:id="117" w:name="_Toc49090511"/>
      <w:r/>
      <w:bookmarkStart w:id="118"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7"/>
      <w:r/>
      <w:bookmarkEnd w:id="118"/>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9" w:name="_Hlt26954852"/>
      <w:r/>
      <w:bookmarkEnd w:id="119"/>
      <w:r/>
      <w:bookmarkStart w:id="120" w:name="_Hlt26954739"/>
      <w:r/>
      <w:bookmarkEnd w:id="120"/>
      <w:r/>
      <w:bookmarkStart w:id="121" w:name="_Toc20823296"/>
      <w:r/>
      <w:bookmarkStart w:id="122" w:name="_Toc16938540"/>
      <w:r/>
      <w:bookmarkStart w:id="123" w:name="_Toc513029224"/>
      <w:r/>
      <w:bookmarkStart w:id="124" w:name="_Toc120614217"/>
      <w:r>
        <w:rPr>
          <w:rFonts w:hint="eastAsia" w:ascii="Times New Roman" w:hAnsi="Times New Roman"/>
          <w:b/>
          <w:bCs/>
          <w:color w:val="000000"/>
          <w:sz w:val="32"/>
          <w:szCs w:val="32"/>
        </w:rPr>
        <w:t xml:space="preserve">四、投标文件的递交</w:t>
      </w:r>
      <w:bookmarkEnd w:id="121"/>
      <w:r/>
      <w:bookmarkEnd w:id="122"/>
      <w:r/>
      <w:bookmarkEnd w:id="123"/>
      <w:r/>
      <w:bookmarkEnd w:id="124"/>
      <w:r/>
      <w:r/>
    </w:p>
    <w:p>
      <w:pPr>
        <w:ind w:firstLine="420"/>
        <w:keepLines/>
        <w:keepNext/>
        <w:spacing w:line="400" w:lineRule="exact"/>
        <w:rPr>
          <w:rFonts w:hint="eastAsia" w:ascii="黑体" w:hAnsi="Arial" w:eastAsia="黑体" w:cs="Arial"/>
          <w:color w:val="000000"/>
          <w:sz w:val="28"/>
          <w:szCs w:val="28"/>
        </w:rPr>
        <w:outlineLvl w:val="3"/>
      </w:pPr>
      <w:r/>
      <w:bookmarkStart w:id="125" w:name="_Toc20823297"/>
      <w:r/>
      <w:bookmarkStart w:id="126" w:name="_Toc462564084"/>
      <w:r/>
      <w:bookmarkStart w:id="127" w:name="_Toc16938541"/>
      <w:r/>
      <w:bookmarkStart w:id="128"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5"/>
      <w:r/>
      <w:bookmarkEnd w:id="126"/>
      <w:r/>
      <w:bookmarkEnd w:id="127"/>
      <w:r/>
      <w:bookmarkEnd w:id="128"/>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9" w:name="_Toc20823298"/>
      <w:r/>
      <w:bookmarkStart w:id="130" w:name="_Toc16938542"/>
      <w:r/>
      <w:bookmarkStart w:id="131"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9"/>
      <w:r/>
      <w:bookmarkEnd w:id="130"/>
      <w:r/>
      <w:bookmarkEnd w:id="131"/>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32" w:name="_Toc513029227"/>
      <w:r/>
      <w:bookmarkStart w:id="133" w:name="_Toc16938543"/>
      <w:r/>
      <w:bookmarkStart w:id="134"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2"/>
      <w:r/>
      <w:bookmarkEnd w:id="133"/>
      <w:r/>
      <w:bookmarkEnd w:id="134"/>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5" w:name="_Toc16938544"/>
      <w:r/>
      <w:bookmarkStart w:id="136" w:name="_Toc513029228"/>
      <w:r/>
      <w:bookmarkStart w:id="137"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5"/>
      <w:r/>
      <w:bookmarkEnd w:id="136"/>
      <w:r/>
      <w:bookmarkEnd w:id="13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rFonts w:hint="eastAsia" w:ascii="Times New Roman" w:hAnsi="Times New Roman"/>
          <w:b/>
          <w:bCs/>
          <w:color w:val="000000"/>
          <w:sz w:val="32"/>
          <w:szCs w:val="32"/>
        </w:rPr>
        <w:outlineLvl w:val="2"/>
      </w:pPr>
      <w:r/>
      <w:bookmarkStart w:id="138" w:name="_Toc16938545"/>
      <w:r/>
      <w:bookmarkStart w:id="139" w:name="_Toc20823301"/>
      <w:r/>
      <w:bookmarkStart w:id="140" w:name="_Toc513029229"/>
      <w:r/>
      <w:bookmarkStart w:id="141" w:name="_Toc120614218"/>
      <w:r>
        <w:rPr>
          <w:rFonts w:hint="eastAsia" w:ascii="Times New Roman" w:hAnsi="Times New Roman"/>
          <w:b/>
          <w:bCs/>
          <w:color w:val="000000"/>
          <w:sz w:val="32"/>
          <w:szCs w:val="32"/>
        </w:rPr>
        <w:t xml:space="preserve">五、开标与评标</w:t>
      </w:r>
      <w:bookmarkEnd w:id="138"/>
      <w:r/>
      <w:bookmarkEnd w:id="139"/>
      <w:r/>
      <w:bookmarkEnd w:id="140"/>
      <w:r/>
      <w:bookmarkEnd w:id="141"/>
      <w:r/>
      <w:r/>
    </w:p>
    <w:p>
      <w:pPr>
        <w:ind w:firstLine="420"/>
        <w:keepLines/>
        <w:keepNext/>
        <w:spacing w:line="400" w:lineRule="exact"/>
        <w:rPr>
          <w:rFonts w:hint="eastAsia" w:ascii="Arial" w:hAnsi="Arial" w:eastAsia="黑体" w:cs="Arial"/>
          <w:color w:val="000000"/>
          <w:sz w:val="28"/>
          <w:szCs w:val="28"/>
        </w:rPr>
        <w:outlineLvl w:val="3"/>
      </w:pPr>
      <w:r/>
      <w:bookmarkStart w:id="142" w:name="_Toc513029230"/>
      <w:r/>
      <w:bookmarkStart w:id="143" w:name="_Toc20823302"/>
      <w:r/>
      <w:bookmarkStart w:id="144"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2"/>
      <w:r/>
      <w:bookmarkEnd w:id="143"/>
      <w:r/>
      <w:bookmarkEnd w:id="144"/>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5" w:name="_Toc513029231"/>
      <w:r/>
      <w:bookmarkStart w:id="146" w:name="_Toc16938547"/>
      <w:r/>
      <w:bookmarkStart w:id="147"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5"/>
      <w:r/>
      <w:bookmarkEnd w:id="146"/>
      <w:r/>
      <w:bookmarkEnd w:id="147"/>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8" w:name="_Toc16938548"/>
      <w:r/>
      <w:bookmarkStart w:id="149" w:name="_Toc513029232"/>
      <w:r/>
      <w:bookmarkStart w:id="150"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8"/>
      <w:r/>
      <w:bookmarkEnd w:id="149"/>
      <w:r/>
      <w:bookmarkEnd w:id="150"/>
      <w:r/>
      <w:r/>
    </w:p>
    <w:p>
      <w:pPr>
        <w:ind w:firstLine="480"/>
        <w:spacing w:line="400" w:lineRule="exact"/>
        <w:rPr>
          <w:rFonts w:ascii="宋体" w:hAnsi="宋体"/>
          <w:color w:val="000000"/>
          <w:sz w:val="24"/>
          <w:szCs w:val="24"/>
        </w:rPr>
      </w:pPr>
      <w:r/>
      <w:bookmarkStart w:id="151" w:name="_Toc16938549"/>
      <w:r/>
      <w:bookmarkStart w:id="152" w:name="_Toc513029233"/>
      <w:r/>
      <w:bookmarkStart w:id="153"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51"/>
      <w:r/>
      <w:bookmarkEnd w:id="152"/>
      <w:r/>
      <w:bookmarkEnd w:id="153"/>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4" w:name="_Toc16938550"/>
      <w:r/>
      <w:bookmarkStart w:id="155" w:name="_Toc513029234"/>
      <w:r/>
      <w:bookmarkStart w:id="156"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ascii="宋体" w:hAnsi="宋体"/>
          <w:color w:val="ff0000"/>
          <w:sz w:val="24"/>
          <w:szCs w:val="21"/>
        </w:rPr>
      </w:pPr>
      <w:r>
        <w:rPr>
          <w:rFonts w:hint="eastAsia" w:ascii="宋体" w:hAnsi="宋体"/>
          <w:color w:val="ff0000"/>
          <w:sz w:val="24"/>
          <w:szCs w:val="21"/>
        </w:rPr>
        <w:t xml:space="preserve">25.8 异常</w:t>
      </w:r>
      <w:r>
        <w:rPr>
          <w:rFonts w:ascii="宋体" w:hAnsi="宋体"/>
          <w:color w:val="ff0000"/>
          <w:sz w:val="24"/>
          <w:szCs w:val="21"/>
        </w:rPr>
        <w:t xml:space="preserve">低价</w:t>
      </w:r>
      <w:r>
        <w:rPr>
          <w:rFonts w:hint="eastAsia" w:ascii="宋体" w:hAnsi="宋体"/>
          <w:color w:val="ff0000"/>
          <w:sz w:val="24"/>
          <w:szCs w:val="21"/>
        </w:rPr>
        <w:t xml:space="preserve">投标</w:t>
      </w:r>
      <w:r>
        <w:rPr>
          <w:rFonts w:ascii="宋体" w:hAnsi="宋体"/>
          <w:color w:val="ff0000"/>
          <w:sz w:val="24"/>
          <w:szCs w:val="21"/>
        </w:rPr>
        <w:t xml:space="preserve">审查</w:t>
      </w:r>
      <w:r/>
    </w:p>
    <w:p>
      <w:pPr>
        <w:ind w:firstLine="420"/>
        <w:spacing w:line="400" w:lineRule="exact"/>
        <w:rPr>
          <w:rFonts w:ascii="宋体" w:hAnsi="宋体"/>
          <w:color w:val="ff0000"/>
          <w:sz w:val="24"/>
          <w:szCs w:val="21"/>
        </w:rPr>
      </w:pPr>
      <w:r>
        <w:rPr>
          <w:rFonts w:hint="eastAsia" w:ascii="宋体" w:hAnsi="宋体"/>
          <w:color w:val="ff0000"/>
          <w:sz w:val="24"/>
          <w:szCs w:val="21"/>
        </w:rPr>
        <w:t xml:space="preserve">25.8.1 评标</w:t>
      </w:r>
      <w:r>
        <w:rPr>
          <w:rFonts w:ascii="宋体" w:hAnsi="宋体"/>
          <w:color w:val="ff0000"/>
          <w:sz w:val="24"/>
          <w:szCs w:val="21"/>
        </w:rPr>
        <w:t xml:space="preserve">过程中出现下列情形</w:t>
      </w:r>
      <w:r>
        <w:rPr>
          <w:rFonts w:hint="eastAsia" w:ascii="宋体" w:hAnsi="宋体"/>
          <w:color w:val="ff0000"/>
          <w:sz w:val="24"/>
          <w:szCs w:val="21"/>
        </w:rPr>
        <w:t xml:space="preserve">之一</w:t>
      </w:r>
      <w:r>
        <w:rPr>
          <w:rFonts w:ascii="宋体" w:hAnsi="宋体"/>
          <w:color w:val="ff0000"/>
          <w:sz w:val="24"/>
          <w:szCs w:val="21"/>
        </w:rPr>
        <w:t xml:space="preserve">的，评标委员会应当启动异常低价投标审查程序</w:t>
      </w:r>
      <w:r>
        <w:rPr>
          <w:rFonts w:hint="eastAsia" w:ascii="宋体" w:hAnsi="宋体"/>
          <w:color w:val="ff0000"/>
          <w:sz w:val="24"/>
          <w:szCs w:val="21"/>
        </w:rPr>
        <w:t xml:space="preserve">：</w:t>
      </w:r>
      <w:r/>
    </w:p>
    <w:p>
      <w:pPr>
        <w:ind w:firstLine="420"/>
        <w:spacing w:line="400" w:lineRule="exact"/>
        <w:rPr>
          <w:rFonts w:ascii="宋体" w:hAnsi="宋体"/>
          <w:color w:val="ff0000"/>
          <w:sz w:val="24"/>
          <w:szCs w:val="21"/>
        </w:rPr>
      </w:pPr>
      <w:r>
        <w:rPr>
          <w:rFonts w:hint="eastAsia" w:ascii="宋体" w:hAnsi="宋体"/>
          <w:color w:val="ff0000"/>
          <w:sz w:val="24"/>
          <w:szCs w:val="21"/>
        </w:rPr>
        <w:t xml:space="preserve">（1）投标</w:t>
      </w:r>
      <w:r>
        <w:rPr>
          <w:rFonts w:ascii="宋体" w:hAnsi="宋体"/>
          <w:color w:val="ff0000"/>
          <w:sz w:val="24"/>
          <w:szCs w:val="21"/>
        </w:rPr>
        <w:t xml:space="preserve">报价低于采购项目预算</w:t>
      </w:r>
      <w:r>
        <w:rPr>
          <w:rFonts w:hint="eastAsia" w:ascii="宋体" w:hAnsi="宋体"/>
          <w:color w:val="ff0000"/>
          <w:sz w:val="24"/>
          <w:szCs w:val="21"/>
        </w:rPr>
        <w:t xml:space="preserve">50%的</w:t>
      </w:r>
      <w:r>
        <w:rPr>
          <w:rFonts w:ascii="宋体" w:hAnsi="宋体"/>
          <w:color w:val="ff0000"/>
          <w:sz w:val="24"/>
          <w:szCs w:val="21"/>
        </w:rPr>
        <w:t xml:space="preserve">，即</w:t>
      </w:r>
      <w:r>
        <w:rPr>
          <w:rFonts w:hint="eastAsia" w:ascii="宋体" w:hAnsi="宋体"/>
          <w:color w:val="ff0000"/>
          <w:sz w:val="24"/>
          <w:szCs w:val="21"/>
        </w:rPr>
        <w:t xml:space="preserve">投标</w:t>
      </w:r>
      <w:r>
        <w:rPr>
          <w:rFonts w:ascii="宋体" w:hAnsi="宋体"/>
          <w:color w:val="ff0000"/>
          <w:sz w:val="24"/>
          <w:szCs w:val="21"/>
        </w:rPr>
        <w:t xml:space="preserve">报价</w:t>
      </w:r>
      <w:r>
        <w:rPr>
          <w:rFonts w:hint="eastAsia" w:ascii="宋体" w:hAnsi="宋体"/>
          <w:color w:val="ff0000"/>
          <w:sz w:val="24"/>
          <w:szCs w:val="21"/>
        </w:rPr>
        <w:t xml:space="preserve">＜采购</w:t>
      </w:r>
      <w:r>
        <w:rPr>
          <w:rFonts w:ascii="宋体" w:hAnsi="宋体"/>
          <w:color w:val="ff0000"/>
          <w:sz w:val="24"/>
          <w:szCs w:val="21"/>
        </w:rPr>
        <w:t xml:space="preserve">项目预算</w:t>
      </w:r>
      <w:r>
        <w:rPr>
          <w:rFonts w:hint="eastAsia" w:ascii="宋体" w:hAnsi="宋体"/>
          <w:color w:val="ff0000"/>
          <w:sz w:val="24"/>
          <w:szCs w:val="21"/>
        </w:rPr>
        <w:t xml:space="preserve">×50%；</w:t>
      </w:r>
      <w:r/>
    </w:p>
    <w:p>
      <w:pPr>
        <w:ind w:firstLine="420"/>
        <w:spacing w:line="400" w:lineRule="exact"/>
        <w:rPr>
          <w:rFonts w:ascii="宋体" w:hAnsi="宋体"/>
          <w:color w:val="ff0000"/>
          <w:sz w:val="24"/>
          <w:szCs w:val="21"/>
        </w:rPr>
      </w:pPr>
      <w:r>
        <w:rPr>
          <w:rFonts w:hint="eastAsia" w:ascii="宋体" w:hAnsi="宋体"/>
          <w:color w:val="ff0000"/>
          <w:sz w:val="24"/>
          <w:szCs w:val="21"/>
        </w:rPr>
        <w:t xml:space="preserve">（2）投标</w:t>
      </w:r>
      <w:r>
        <w:rPr>
          <w:rFonts w:ascii="宋体" w:hAnsi="宋体"/>
          <w:color w:val="ff0000"/>
          <w:sz w:val="24"/>
          <w:szCs w:val="21"/>
        </w:rPr>
        <w:t xml:space="preserve">报价</w:t>
      </w:r>
      <w:r>
        <w:rPr>
          <w:rFonts w:hint="eastAsia" w:ascii="宋体" w:hAnsi="宋体"/>
          <w:color w:val="ff0000"/>
          <w:sz w:val="24"/>
          <w:szCs w:val="21"/>
        </w:rPr>
        <w:t xml:space="preserve">低于</w:t>
      </w:r>
      <w:r>
        <w:rPr>
          <w:rFonts w:ascii="宋体" w:hAnsi="宋体"/>
          <w:color w:val="ff0000"/>
          <w:sz w:val="24"/>
          <w:szCs w:val="21"/>
        </w:rPr>
        <w:t xml:space="preserve">采购项目最高</w:t>
      </w:r>
      <w:r>
        <w:rPr>
          <w:rFonts w:hint="eastAsia" w:ascii="宋体" w:hAnsi="宋体"/>
          <w:color w:val="ff0000"/>
          <w:sz w:val="24"/>
          <w:szCs w:val="21"/>
        </w:rPr>
        <w:t xml:space="preserve">限价</w:t>
      </w:r>
      <w:r>
        <w:rPr>
          <w:rFonts w:ascii="宋体" w:hAnsi="宋体"/>
          <w:color w:val="ff0000"/>
          <w:sz w:val="24"/>
          <w:szCs w:val="21"/>
        </w:rPr>
        <w:t xml:space="preserve">45%</w:t>
      </w:r>
      <w:r>
        <w:rPr>
          <w:rFonts w:hint="eastAsia" w:ascii="宋体" w:hAnsi="宋体"/>
          <w:color w:val="ff0000"/>
          <w:sz w:val="24"/>
          <w:szCs w:val="21"/>
        </w:rPr>
        <w:t xml:space="preserve">的</w:t>
      </w:r>
      <w:r>
        <w:rPr>
          <w:rFonts w:ascii="宋体" w:hAnsi="宋体"/>
          <w:color w:val="ff0000"/>
          <w:sz w:val="24"/>
          <w:szCs w:val="21"/>
        </w:rPr>
        <w:t xml:space="preserve">，即投标报价</w:t>
      </w:r>
      <w:r>
        <w:rPr>
          <w:rFonts w:hint="eastAsia" w:ascii="宋体" w:hAnsi="宋体"/>
          <w:color w:val="ff0000"/>
          <w:sz w:val="24"/>
          <w:szCs w:val="21"/>
        </w:rPr>
        <w:t xml:space="preserve">＜采购</w:t>
      </w:r>
      <w:r>
        <w:rPr>
          <w:rFonts w:ascii="宋体" w:hAnsi="宋体"/>
          <w:color w:val="ff0000"/>
          <w:sz w:val="24"/>
          <w:szCs w:val="21"/>
        </w:rPr>
        <w:t xml:space="preserve">项目最高</w:t>
      </w:r>
      <w:r>
        <w:rPr>
          <w:rFonts w:hint="eastAsia" w:ascii="宋体" w:hAnsi="宋体"/>
          <w:color w:val="ff0000"/>
          <w:sz w:val="24"/>
          <w:szCs w:val="21"/>
        </w:rPr>
        <w:t xml:space="preserve">限价×45%；</w:t>
      </w:r>
      <w:r/>
    </w:p>
    <w:p>
      <w:pPr>
        <w:ind w:firstLine="420"/>
        <w:spacing w:line="400" w:lineRule="exact"/>
        <w:rPr>
          <w:rFonts w:ascii="宋体" w:hAnsi="宋体"/>
          <w:color w:val="ff0000"/>
          <w:sz w:val="24"/>
          <w:szCs w:val="21"/>
        </w:rPr>
      </w:pPr>
      <w:r>
        <w:rPr>
          <w:rFonts w:hint="eastAsia" w:ascii="宋体" w:hAnsi="宋体"/>
          <w:color w:val="ff0000"/>
          <w:sz w:val="24"/>
          <w:szCs w:val="21"/>
        </w:rPr>
        <w:t xml:space="preserve">（3）评标</w:t>
      </w:r>
      <w:r>
        <w:rPr>
          <w:rFonts w:ascii="宋体" w:hAnsi="宋体"/>
          <w:color w:val="ff0000"/>
          <w:sz w:val="24"/>
          <w:szCs w:val="21"/>
        </w:rPr>
        <w:t xml:space="preserve">委员会认定的供应商</w:t>
      </w:r>
      <w:r>
        <w:rPr>
          <w:rFonts w:hint="eastAsia" w:ascii="宋体" w:hAnsi="宋体"/>
          <w:color w:val="ff0000"/>
          <w:sz w:val="24"/>
          <w:szCs w:val="21"/>
        </w:rPr>
        <w:t xml:space="preserve">报价</w:t>
      </w:r>
      <w:r>
        <w:rPr>
          <w:rFonts w:ascii="宋体" w:hAnsi="宋体"/>
          <w:color w:val="ff0000"/>
          <w:sz w:val="24"/>
          <w:szCs w:val="21"/>
        </w:rPr>
        <w:t xml:space="preserve">过低</w:t>
      </w:r>
      <w:r>
        <w:rPr>
          <w:rFonts w:hint="eastAsia" w:ascii="宋体" w:hAnsi="宋体"/>
          <w:color w:val="ff0000"/>
          <w:sz w:val="24"/>
          <w:szCs w:val="21"/>
        </w:rPr>
        <w:t xml:space="preserve">、</w:t>
      </w:r>
      <w:r>
        <w:rPr>
          <w:rFonts w:ascii="宋体" w:hAnsi="宋体"/>
          <w:color w:val="ff0000"/>
          <w:sz w:val="24"/>
          <w:szCs w:val="21"/>
        </w:rPr>
        <w:t xml:space="preserve">有可能影响</w:t>
      </w:r>
      <w:r>
        <w:rPr>
          <w:rFonts w:hint="eastAsia" w:ascii="宋体" w:hAnsi="宋体"/>
          <w:color w:val="ff0000"/>
          <w:sz w:val="24"/>
          <w:szCs w:val="21"/>
        </w:rPr>
        <w:t xml:space="preserve">产品</w:t>
      </w:r>
      <w:r>
        <w:rPr>
          <w:rFonts w:ascii="宋体" w:hAnsi="宋体"/>
          <w:color w:val="ff0000"/>
          <w:sz w:val="24"/>
          <w:szCs w:val="21"/>
        </w:rPr>
        <w:t xml:space="preserve">质量或者不能诚信履约的其他情形。</w:t>
      </w:r>
      <w:r/>
    </w:p>
    <w:p>
      <w:pPr>
        <w:ind w:firstLine="420"/>
        <w:spacing w:line="400" w:lineRule="exact"/>
        <w:rPr>
          <w:rFonts w:hint="eastAsia" w:ascii="宋体" w:hAnsi="宋体"/>
          <w:color w:val="ff0000"/>
          <w:sz w:val="24"/>
          <w:szCs w:val="21"/>
        </w:rPr>
      </w:pPr>
      <w:r>
        <w:rPr>
          <w:rFonts w:ascii="宋体" w:hAnsi="宋体"/>
          <w:color w:val="ff0000"/>
          <w:sz w:val="24"/>
          <w:szCs w:val="21"/>
        </w:rPr>
        <w:t xml:space="preserve">25.8.2 </w:t>
      </w:r>
      <w:r>
        <w:rPr>
          <w:rFonts w:hint="eastAsia" w:ascii="宋体" w:hAnsi="宋体"/>
          <w:color w:val="ff0000"/>
          <w:sz w:val="24"/>
          <w:szCs w:val="21"/>
        </w:rPr>
        <w:t xml:space="preserve">启动</w:t>
      </w:r>
      <w:r>
        <w:rPr>
          <w:rFonts w:ascii="宋体" w:hAnsi="宋体"/>
          <w:color w:val="ff0000"/>
          <w:sz w:val="24"/>
          <w:szCs w:val="21"/>
        </w:rPr>
        <w:t xml:space="preserve">异常低价投标审查后，评标</w:t>
      </w:r>
      <w:r>
        <w:rPr>
          <w:rFonts w:hint="eastAsia" w:ascii="宋体" w:hAnsi="宋体"/>
          <w:color w:val="ff0000"/>
          <w:sz w:val="24"/>
          <w:szCs w:val="21"/>
        </w:rPr>
        <w:t xml:space="preserve">委员会</w:t>
      </w:r>
      <w:r>
        <w:rPr>
          <w:rFonts w:ascii="宋体" w:hAnsi="宋体"/>
          <w:color w:val="ff0000"/>
          <w:sz w:val="24"/>
          <w:szCs w:val="21"/>
        </w:rPr>
        <w:t xml:space="preserve">应当</w:t>
      </w:r>
      <w:r>
        <w:rPr>
          <w:rFonts w:hint="eastAsia" w:ascii="宋体" w:hAnsi="宋体"/>
          <w:color w:val="ff0000"/>
          <w:sz w:val="24"/>
          <w:szCs w:val="21"/>
        </w:rPr>
        <w:t xml:space="preserve">要求</w:t>
      </w:r>
      <w:r>
        <w:rPr>
          <w:rFonts w:ascii="宋体" w:hAnsi="宋体"/>
          <w:color w:val="ff0000"/>
          <w:sz w:val="24"/>
          <w:szCs w:val="21"/>
        </w:rPr>
        <w:t xml:space="preserve">相关供应商在评标现场合理的时间内，提供项目</w:t>
      </w:r>
      <w:r>
        <w:rPr>
          <w:rFonts w:hint="eastAsia" w:ascii="宋体" w:hAnsi="宋体"/>
          <w:color w:val="ff0000"/>
          <w:sz w:val="24"/>
          <w:szCs w:val="21"/>
        </w:rPr>
        <w:t xml:space="preserve">具体</w:t>
      </w:r>
      <w:r>
        <w:rPr>
          <w:rFonts w:ascii="宋体" w:hAnsi="宋体"/>
          <w:color w:val="ff0000"/>
          <w:sz w:val="24"/>
          <w:szCs w:val="21"/>
        </w:rPr>
        <w:t xml:space="preserve">成本测算等与报价合理性相关的书面说明材料</w:t>
      </w:r>
      <w:r>
        <w:rPr>
          <w:rFonts w:hint="eastAsia" w:ascii="宋体" w:hAnsi="宋体"/>
          <w:color w:val="ff0000"/>
          <w:sz w:val="24"/>
          <w:szCs w:val="21"/>
        </w:rPr>
        <w:t xml:space="preserve">及</w:t>
      </w:r>
      <w:r>
        <w:rPr>
          <w:rFonts w:ascii="宋体" w:hAnsi="宋体"/>
          <w:color w:val="ff0000"/>
          <w:sz w:val="24"/>
          <w:szCs w:val="21"/>
        </w:rPr>
        <w:t xml:space="preserve">相关证明材料，对</w:t>
      </w:r>
      <w:r>
        <w:rPr>
          <w:rFonts w:hint="eastAsia" w:ascii="宋体" w:hAnsi="宋体"/>
          <w:color w:val="ff0000"/>
          <w:sz w:val="24"/>
          <w:szCs w:val="21"/>
        </w:rPr>
        <w:t xml:space="preserve">投标</w:t>
      </w:r>
      <w:r>
        <w:rPr>
          <w:rFonts w:ascii="宋体" w:hAnsi="宋体"/>
          <w:color w:val="ff0000"/>
          <w:sz w:val="24"/>
          <w:szCs w:val="21"/>
        </w:rPr>
        <w:t xml:space="preserve">价格作出解释，</w:t>
      </w:r>
      <w:r>
        <w:rPr>
          <w:rFonts w:hint="eastAsia" w:ascii="宋体" w:hAnsi="宋体"/>
          <w:color w:val="ff0000"/>
          <w:sz w:val="24"/>
          <w:szCs w:val="21"/>
        </w:rPr>
        <w:t xml:space="preserve">由</w:t>
      </w:r>
      <w:r>
        <w:rPr>
          <w:rFonts w:ascii="宋体" w:hAnsi="宋体"/>
          <w:color w:val="ff0000"/>
          <w:sz w:val="24"/>
          <w:szCs w:val="21"/>
        </w:rPr>
        <w:t xml:space="preserve">评标委员会结合同类</w:t>
      </w:r>
      <w:r>
        <w:rPr>
          <w:rFonts w:hint="eastAsia" w:ascii="宋体" w:hAnsi="宋体"/>
          <w:color w:val="ff0000"/>
          <w:sz w:val="24"/>
          <w:szCs w:val="21"/>
        </w:rPr>
        <w:t xml:space="preserve">产品</w:t>
      </w:r>
      <w:r>
        <w:rPr>
          <w:rFonts w:ascii="宋体" w:hAnsi="宋体"/>
          <w:color w:val="ff0000"/>
          <w:sz w:val="24"/>
          <w:szCs w:val="21"/>
        </w:rPr>
        <w:t xml:space="preserve">在主要电商平台的价格</w:t>
      </w:r>
      <w:r>
        <w:rPr>
          <w:rFonts w:hint="eastAsia" w:ascii="宋体" w:hAnsi="宋体"/>
          <w:color w:val="ff0000"/>
          <w:sz w:val="24"/>
          <w:szCs w:val="21"/>
        </w:rPr>
        <w:t xml:space="preserve">、</w:t>
      </w:r>
      <w:r>
        <w:rPr>
          <w:rFonts w:ascii="宋体" w:hAnsi="宋体"/>
          <w:color w:val="ff0000"/>
          <w:sz w:val="24"/>
          <w:szCs w:val="21"/>
        </w:rPr>
        <w:t xml:space="preserve">该行业当地薪资水平等情况，</w:t>
      </w:r>
      <w:r>
        <w:rPr>
          <w:rFonts w:hint="eastAsia" w:ascii="宋体" w:hAnsi="宋体"/>
          <w:color w:val="ff0000"/>
          <w:sz w:val="24"/>
          <w:szCs w:val="21"/>
        </w:rPr>
        <w:t xml:space="preserve">依据</w:t>
      </w:r>
      <w:r>
        <w:rPr>
          <w:rFonts w:ascii="宋体" w:hAnsi="宋体"/>
          <w:color w:val="ff0000"/>
          <w:sz w:val="24"/>
          <w:szCs w:val="21"/>
        </w:rPr>
        <w:t xml:space="preserve">专业经验对供应商报价合理性进行判断。投标</w:t>
      </w:r>
      <w:r>
        <w:rPr>
          <w:rFonts w:hint="eastAsia" w:ascii="宋体" w:hAnsi="宋体"/>
          <w:color w:val="ff0000"/>
          <w:sz w:val="24"/>
          <w:szCs w:val="21"/>
        </w:rPr>
        <w:t xml:space="preserve">供应商</w:t>
      </w:r>
      <w:r>
        <w:rPr>
          <w:rFonts w:ascii="宋体" w:hAnsi="宋体"/>
          <w:color w:val="ff0000"/>
          <w:sz w:val="24"/>
          <w:szCs w:val="21"/>
        </w:rPr>
        <w:t xml:space="preserve">不提供</w:t>
      </w:r>
      <w:r>
        <w:rPr>
          <w:rFonts w:hint="eastAsia" w:ascii="宋体" w:hAnsi="宋体"/>
          <w:color w:val="ff0000"/>
          <w:sz w:val="24"/>
          <w:szCs w:val="21"/>
        </w:rPr>
        <w:t xml:space="preserve">书面</w:t>
      </w:r>
      <w:r>
        <w:rPr>
          <w:rFonts w:ascii="宋体" w:hAnsi="宋体"/>
          <w:color w:val="ff0000"/>
          <w:sz w:val="24"/>
          <w:szCs w:val="21"/>
        </w:rPr>
        <w:t xml:space="preserve">说明</w:t>
      </w:r>
      <w:r>
        <w:rPr>
          <w:rFonts w:hint="eastAsia" w:ascii="宋体" w:hAnsi="宋体"/>
          <w:color w:val="ff0000"/>
          <w:sz w:val="24"/>
          <w:szCs w:val="21"/>
        </w:rPr>
        <w:t xml:space="preserve">、</w:t>
      </w:r>
      <w:r>
        <w:rPr>
          <w:rFonts w:ascii="宋体" w:hAnsi="宋体"/>
          <w:color w:val="ff0000"/>
          <w:sz w:val="24"/>
          <w:szCs w:val="21"/>
        </w:rPr>
        <w:t xml:space="preserve">证明材料，</w:t>
      </w:r>
      <w:r>
        <w:rPr>
          <w:rFonts w:hint="eastAsia" w:ascii="宋体" w:hAnsi="宋体"/>
          <w:color w:val="ff0000"/>
          <w:sz w:val="24"/>
          <w:szCs w:val="21"/>
        </w:rPr>
        <w:t xml:space="preserve">或者</w:t>
      </w:r>
      <w:r>
        <w:rPr>
          <w:rFonts w:ascii="宋体" w:hAnsi="宋体"/>
          <w:color w:val="ff0000"/>
          <w:sz w:val="24"/>
          <w:szCs w:val="21"/>
        </w:rPr>
        <w:t xml:space="preserve">提供的书面</w:t>
      </w:r>
      <w:r>
        <w:rPr>
          <w:rFonts w:hint="eastAsia" w:ascii="宋体" w:hAnsi="宋体"/>
          <w:color w:val="ff0000"/>
          <w:sz w:val="24"/>
          <w:szCs w:val="21"/>
        </w:rPr>
        <w:t xml:space="preserve">说明</w:t>
      </w:r>
      <w:r>
        <w:rPr>
          <w:rFonts w:ascii="宋体" w:hAnsi="宋体"/>
          <w:color w:val="ff0000"/>
          <w:sz w:val="24"/>
          <w:szCs w:val="21"/>
        </w:rPr>
        <w:t xml:space="preserve">、</w:t>
      </w:r>
      <w:r>
        <w:rPr>
          <w:rFonts w:hint="eastAsia" w:ascii="宋体" w:hAnsi="宋体"/>
          <w:color w:val="ff0000"/>
          <w:sz w:val="24"/>
          <w:szCs w:val="21"/>
        </w:rPr>
        <w:t xml:space="preserve">证明</w:t>
      </w:r>
      <w:r>
        <w:rPr>
          <w:rFonts w:ascii="宋体" w:hAnsi="宋体"/>
          <w:color w:val="ff0000"/>
          <w:sz w:val="24"/>
          <w:szCs w:val="21"/>
        </w:rPr>
        <w:t xml:space="preserve">材料不能证明其报价合理性的，评标委员会应当将其作为无效投标处理。审查</w:t>
      </w:r>
      <w:r>
        <w:rPr>
          <w:rFonts w:hint="eastAsia" w:ascii="宋体" w:hAnsi="宋体"/>
          <w:color w:val="ff0000"/>
          <w:sz w:val="24"/>
          <w:szCs w:val="21"/>
        </w:rPr>
        <w:t xml:space="preserve">相关</w:t>
      </w:r>
      <w:r>
        <w:rPr>
          <w:rFonts w:ascii="宋体" w:hAnsi="宋体"/>
          <w:color w:val="ff0000"/>
          <w:sz w:val="24"/>
          <w:szCs w:val="21"/>
        </w:rPr>
        <w:t xml:space="preserve">情况应当在评标</w:t>
      </w:r>
      <w:r>
        <w:rPr>
          <w:rFonts w:hint="eastAsia" w:ascii="宋体" w:hAnsi="宋体"/>
          <w:color w:val="ff0000"/>
          <w:sz w:val="24"/>
          <w:szCs w:val="21"/>
        </w:rPr>
        <w:t xml:space="preserve">报告</w:t>
      </w:r>
      <w:r>
        <w:rPr>
          <w:rFonts w:ascii="宋体" w:hAnsi="宋体"/>
          <w:color w:val="ff0000"/>
          <w:sz w:val="24"/>
          <w:szCs w:val="21"/>
        </w:rPr>
        <w:t xml:space="preserve">中进行记录。</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无效投标条款和废标条款</w:t>
      </w:r>
      <w:r/>
    </w:p>
    <w:p>
      <w:pPr>
        <w:ind w:left="479"/>
        <w:spacing w:line="400" w:lineRule="exact"/>
        <w:rPr>
          <w:rFonts w:hint="eastAsia" w:ascii="宋体" w:hAnsi="宋体"/>
          <w:bCs/>
          <w:sz w:val="24"/>
          <w:szCs w:val="21"/>
        </w:rPr>
      </w:pPr>
      <w:r/>
      <w:bookmarkStart w:id="157" w:name="_Toc513029235"/>
      <w:r/>
      <w:bookmarkStart w:id="158" w:name="_Toc20823307"/>
      <w:r/>
      <w:bookmarkStart w:id="159"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6</w:t>
      </w:r>
      <w:r>
        <w:rPr>
          <w:rFonts w:hint="eastAsia" w:ascii="宋体" w:hAnsi="宋体"/>
          <w:bCs/>
          <w:color w:val="ff0000"/>
          <w:sz w:val="24"/>
          <w:szCs w:val="21"/>
        </w:rPr>
        <w:t xml:space="preserve">.1.</w:t>
      </w:r>
      <w:r>
        <w:rPr>
          <w:rFonts w:ascii="宋体" w:hAnsi="宋体"/>
          <w:bCs/>
          <w:color w:val="ff0000"/>
          <w:sz w:val="24"/>
          <w:szCs w:val="21"/>
        </w:rPr>
        <w:t xml:space="preserve">10 </w:t>
      </w:r>
      <w:r>
        <w:rPr>
          <w:rFonts w:hint="eastAsia" w:ascii="宋体" w:hAnsi="宋体"/>
          <w:bCs/>
          <w:color w:val="ff0000"/>
          <w:sz w:val="24"/>
          <w:szCs w:val="21"/>
        </w:rPr>
        <w:t xml:space="preserve">评标委员会按照本招标文件第二章第</w:t>
      </w:r>
      <w:r>
        <w:rPr>
          <w:rFonts w:ascii="宋体" w:hAnsi="宋体"/>
          <w:bCs/>
          <w:color w:val="ff0000"/>
          <w:sz w:val="24"/>
          <w:szCs w:val="21"/>
        </w:rPr>
        <w:t xml:space="preserve">25.8.2</w:t>
      </w:r>
      <w:r>
        <w:rPr>
          <w:rFonts w:hint="eastAsia" w:ascii="宋体" w:hAnsi="宋体"/>
          <w:bCs/>
          <w:color w:val="ff0000"/>
          <w:sz w:val="24"/>
          <w:szCs w:val="21"/>
        </w:rPr>
        <w:t xml:space="preserve">条规定对投标人进行异常</w:t>
      </w:r>
      <w:r>
        <w:rPr>
          <w:rFonts w:ascii="宋体" w:hAnsi="宋体"/>
          <w:bCs/>
          <w:color w:val="ff0000"/>
          <w:sz w:val="24"/>
          <w:szCs w:val="21"/>
        </w:rPr>
        <w:t xml:space="preserve">低价</w:t>
      </w:r>
      <w:r>
        <w:rPr>
          <w:rFonts w:hint="eastAsia" w:ascii="宋体" w:hAnsi="宋体"/>
          <w:bCs/>
          <w:color w:val="ff0000"/>
          <w:sz w:val="24"/>
          <w:szCs w:val="21"/>
        </w:rPr>
        <w:t xml:space="preserve">投标审查后，认为投标人不能证明其报价合理性的。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如本项目采</w:t>
      </w:r>
      <w:r>
        <w:rPr>
          <w:rFonts w:hint="eastAsia" w:ascii="宋体" w:hAnsi="宋体"/>
          <w:bCs/>
          <w:color w:val="000000"/>
          <w:sz w:val="24"/>
          <w:szCs w:val="21"/>
        </w:rPr>
        <w:t xml:space="preserve">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hint="eastAsia" w:ascii="Times New Roman" w:hAnsi="Times New Roman"/>
          <w:b/>
          <w:bCs/>
          <w:color w:val="000000"/>
          <w:sz w:val="32"/>
          <w:szCs w:val="32"/>
        </w:rPr>
        <w:outlineLvl w:val="2"/>
      </w:pPr>
      <w:r/>
      <w:bookmarkStart w:id="160" w:name="_Toc120614219"/>
      <w:r>
        <w:rPr>
          <w:rFonts w:hint="eastAsia" w:ascii="Times New Roman" w:hAnsi="Times New Roman"/>
          <w:b/>
          <w:bCs/>
          <w:color w:val="000000"/>
          <w:sz w:val="32"/>
          <w:szCs w:val="32"/>
        </w:rPr>
        <w:t xml:space="preserve">六、</w:t>
      </w:r>
      <w:bookmarkEnd w:id="157"/>
      <w:r/>
      <w:bookmarkEnd w:id="158"/>
      <w:r/>
      <w:bookmarkEnd w:id="159"/>
      <w:r>
        <w:rPr>
          <w:rFonts w:hint="eastAsia" w:ascii="Times New Roman" w:hAnsi="Times New Roman"/>
          <w:b/>
          <w:bCs/>
          <w:color w:val="000000"/>
          <w:sz w:val="32"/>
          <w:szCs w:val="32"/>
        </w:rPr>
        <w:t xml:space="preserve">定标</w:t>
      </w:r>
      <w:bookmarkEnd w:id="160"/>
      <w:r/>
      <w:r/>
    </w:p>
    <w:p>
      <w:pPr>
        <w:ind w:firstLine="600"/>
        <w:keepLines/>
        <w:keepNext/>
        <w:spacing w:line="400" w:lineRule="exact"/>
        <w:rPr>
          <w:rFonts w:hint="eastAsia" w:ascii="黑体" w:hAnsi="宋体" w:eastAsia="黑体"/>
          <w:bCs/>
          <w:color w:val="000000"/>
          <w:sz w:val="30"/>
          <w:szCs w:val="30"/>
        </w:rPr>
        <w:outlineLvl w:val="3"/>
      </w:pPr>
      <w:r/>
      <w:bookmarkStart w:id="161" w:name="_Toc513029238"/>
      <w:r/>
      <w:bookmarkStart w:id="162" w:name="_Toc20823310"/>
      <w:r/>
      <w:bookmarkStart w:id="163"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1"/>
      <w:r>
        <w:rPr>
          <w:rFonts w:hint="eastAsia" w:ascii="黑体" w:hAnsi="宋体" w:eastAsia="黑体"/>
          <w:bCs/>
          <w:color w:val="000000"/>
          <w:sz w:val="30"/>
          <w:szCs w:val="30"/>
        </w:rPr>
        <w:t xml:space="preserve">确定</w:t>
      </w:r>
      <w:bookmarkEnd w:id="162"/>
      <w:r/>
      <w:bookmarkEnd w:id="163"/>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4"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4"/>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5" w:name="_Toc120614220"/>
      <w:r/>
      <w:bookmarkStart w:id="166" w:name="_Toc16938552"/>
      <w:r/>
      <w:bookmarkStart w:id="167" w:name="_Toc513029236"/>
      <w:r/>
      <w:bookmarkStart w:id="168" w:name="_Toc20823308"/>
      <w:r>
        <w:rPr>
          <w:rFonts w:hint="eastAsia" w:ascii="Times New Roman" w:hAnsi="Times New Roman"/>
          <w:b/>
          <w:bCs/>
          <w:color w:val="000000"/>
          <w:sz w:val="32"/>
          <w:szCs w:val="32"/>
        </w:rPr>
        <w:t xml:space="preserve">七、授予合同</w:t>
      </w:r>
      <w:bookmarkEnd w:id="165"/>
      <w:r/>
      <w:bookmarkEnd w:id="166"/>
      <w:r/>
      <w:bookmarkEnd w:id="167"/>
      <w:r/>
      <w:bookmarkEnd w:id="168"/>
      <w:r/>
      <w:r/>
    </w:p>
    <w:p>
      <w:pPr>
        <w:ind w:firstLine="600"/>
        <w:keepLines/>
        <w:keepNext/>
        <w:spacing w:line="400" w:lineRule="exact"/>
        <w:rPr>
          <w:rFonts w:hint="eastAsia" w:ascii="黑体" w:hAnsi="宋体" w:eastAsia="黑体"/>
          <w:bCs/>
          <w:color w:val="000000"/>
          <w:sz w:val="30"/>
          <w:szCs w:val="30"/>
        </w:rPr>
        <w:outlineLvl w:val="3"/>
      </w:pPr>
      <w:r/>
      <w:bookmarkStart w:id="169" w:name="_Toc20823309"/>
      <w:r/>
      <w:bookmarkStart w:id="170" w:name="_Toc16938553"/>
      <w:r/>
      <w:bookmarkStart w:id="171"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r/>
      <w:bookmarkEnd w:id="170"/>
      <w:r/>
      <w:bookmarkEnd w:id="171"/>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r/>
      <w:r/>
    </w:p>
    <w:p>
      <w:r/>
      <w:r/>
    </w:p>
    <w:p>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rPr>
          <w:lang w:eastAsia="zh-CN"/>
        </w:rPr>
      </w:pPr>
      <w:r>
        <w:rPr>
          <w:lang w:eastAsia="zh-CN"/>
        </w:rPr>
      </w:r>
      <w:r/>
    </w:p>
    <w:p>
      <w:pPr>
        <w:pStyle w:val="921"/>
        <w:ind w:left="0"/>
        <w:rPr>
          <w:lang w:eastAsia="zh-CN"/>
        </w:rPr>
      </w:pPr>
      <w:r>
        <w:rPr>
          <w:lang w:eastAsia="zh-CN"/>
        </w:rPr>
      </w:r>
      <w:r/>
    </w:p>
    <w:p>
      <w:r/>
      <w:r/>
    </w:p>
    <w:p>
      <w:r/>
      <w:r/>
    </w:p>
    <w:p>
      <w:pPr>
        <w:ind w:firstLine="2640"/>
        <w:jc w:val="left"/>
        <w:keepNext/>
        <w:rPr>
          <w:rFonts w:ascii="宋体" w:hAnsi="宋体" w:eastAsia="宋体" w:cs="宋体"/>
          <w:b/>
          <w:bCs/>
          <w:spacing w:val="-20"/>
          <w:sz w:val="32"/>
          <w:szCs w:val="32"/>
        </w:rPr>
        <w:outlineLvl w:val="0"/>
      </w:pPr>
      <w:r>
        <w:rPr>
          <w:rFonts w:hint="eastAsia" w:ascii="黑体" w:eastAsia="黑体"/>
          <w:bCs/>
          <w:color w:val="000000"/>
          <w:sz w:val="44"/>
          <w:szCs w:val="28"/>
        </w:rPr>
        <w:t xml:space="preserve">第三章  合同文本</w:t>
      </w:r>
      <w:bookmarkStart w:id="172" w:name="_Toc3995"/>
      <w:r/>
      <w:bookmarkEnd w:id="172"/>
      <w:r/>
      <w:bookmarkEnd w:id="45"/>
      <w:r/>
      <w:bookmarkEnd w:id="46"/>
      <w:r/>
      <w:bookmarkEnd w:id="47"/>
      <w:r/>
      <w:bookmarkEnd w:id="48"/>
      <w:r/>
      <w:bookmarkEnd w:id="49"/>
      <w:r/>
      <w:r/>
    </w:p>
    <w:p>
      <w:pPr>
        <w:jc w:val="center"/>
        <w:rPr>
          <w:rFonts w:eastAsiaTheme="minorEastAsia"/>
          <w:b/>
          <w:sz w:val="30"/>
        </w:rPr>
      </w:pPr>
      <w:r>
        <w:rPr>
          <w:rFonts w:eastAsiaTheme="minorEastAsia"/>
          <w:b/>
          <w:sz w:val="30"/>
        </w:rPr>
        <w:t xml:space="preserve">江苏省政府采购合同</w:t>
      </w:r>
      <w:r/>
    </w:p>
    <w:p>
      <w:pPr>
        <w:pStyle w:val="921"/>
        <w:rPr>
          <w:rFonts w:ascii="Times New Roman" w:hAnsi="Times New Roman" w:eastAsiaTheme="minorEastAsia"/>
          <w:bCs/>
          <w:lang w:eastAsia="zh-CN"/>
        </w:rPr>
      </w:pPr>
      <w:r>
        <w:rPr>
          <w:rFonts w:ascii="Times New Roman" w:hAnsi="Times New Roman" w:eastAsiaTheme="minorEastAsia"/>
          <w:bCs/>
          <w:lang w:eastAsia="zh-CN"/>
        </w:rPr>
      </w:r>
      <w:r/>
    </w:p>
    <w:p>
      <w:pPr>
        <w:spacing w:line="360" w:lineRule="auto"/>
        <w:rPr>
          <w:rFonts w:eastAsiaTheme="minorEastAsia"/>
          <w:sz w:val="24"/>
          <w:szCs w:val="24"/>
        </w:rPr>
      </w:pPr>
      <w:r>
        <w:rPr>
          <w:rFonts w:eastAsia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-568960</wp:posOffset>
                </wp:positionH>
                <wp:positionV relativeFrom="paragraph">
                  <wp:posOffset>3846195</wp:posOffset>
                </wp:positionV>
                <wp:extent cx="76200" cy="180975"/>
                <wp:effectExtent l="0" t="0" r="0" b="0"/>
                <wp:wrapNone/>
                <wp:docPr id="3" name="画布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76200" cy="180975"/>
                          <a:chOff x="0" y="0"/>
                          <a:chExt cx="76200" cy="180975"/>
                        </a:xfrm>
                      </wpg:grpSpPr>
                      <wps:wsp>
                        <wps:cNvPr id="0" name=""/>
                        <wps:cNvSpPr txBox="1"/>
                        <wps:spPr bwMode="auto">
                          <a:xfrm>
                            <a:off x="2147185832" y="68408007"/>
                            <a:ext cx="0" cy="2904106"/>
                          </a:xfrm>
                          <a:prstGeom prst="rect">
                            <a:avLst/>
                          </a:prstGeom>
                          <a:noFill/>
                          <a:ln>
                            <a:noFill/>
                          </a:ln>
                        </wps:spPr>
                        <wps:txbx>
                          <w:txbxContent>
                            <w:p>
                              <w:pPr>
                                <w:pStyle w:val="919"/>
                              </w:pPr>
                              <w:r/>
                              <w:r/>
                            </w:p>
                          </w:txbxContent>
                        </wps:txbx>
                        <wps:bodyPr upright="1"/>
                      </wps:wsp>
                    </wpg:wgp>
                  </a:graphicData>
                </a:graphic>
              </wp:anchor>
            </w:drawing>
          </mc:Choice>
          <mc:Fallback>
            <w:pict>
              <v:group id="group 2" o:spid="_x0000_s0000" style="position:absolute;z-index:251660288;o:allowoverlap:true;o:allowincell:true;mso-position-horizontal-relative:text;margin-left:-44.8pt;mso-position-horizontal:absolute;mso-position-vertical-relative:text;margin-top:302.8pt;mso-position-vertical:absolute;width:6.0pt;height:14.2pt;mso-wrap-distance-left:9.0pt;mso-wrap-distance-top:0.0pt;mso-wrap-distance-right:9.0pt;mso-wrap-distance-bottom:0.0pt;" coordorigin="0,0" coordsize="762,1809">
                <v:shape id="shape 3" o:spid="_x0000_s3" o:spt="202" type="#_x0000_t202" style="position:absolute;left:21471858;top:684080;width:0;height:29041;visibility:visible;" filled="f" stroked="f">
                  <v:textbox inset="0,0,0,0">
                    <w:txbxContent>
                      <w:p>
                        <w:pPr>
                          <w:pStyle w:val="919"/>
                        </w:pPr>
                        <w:r/>
                        <w:r/>
                      </w:p>
                    </w:txbxContent>
                  </v:textbox>
                </v:shape>
              </v:group>
            </w:pict>
          </mc:Fallback>
        </mc:AlternateContent>
      </w:r>
      <w:r>
        <w:rPr>
          <w:rFonts w:eastAsiaTheme="minorEastAsia"/>
          <w:sz w:val="24"/>
          <w:szCs w:val="24"/>
        </w:rPr>
        <w:t xml:space="preserve">项目名称</w:t>
      </w:r>
      <w:r>
        <w:rPr>
          <w:rFonts w:eastAsiaTheme="minorEastAsia"/>
          <w:b/>
          <w:bCs/>
          <w:sz w:val="24"/>
          <w:szCs w:val="24"/>
        </w:rPr>
        <w:t xml:space="preserve">：</w:t>
      </w:r>
      <w:r>
        <w:rPr>
          <w:rFonts w:hint="eastAsia" w:eastAsiaTheme="minorEastAsia"/>
          <w:sz w:val="24"/>
          <w:szCs w:val="24"/>
        </w:rPr>
        <w:t xml:space="preserve">江苏省公安厅安全保障平台通用硬件设备</w:t>
      </w:r>
      <w:r/>
    </w:p>
    <w:p>
      <w:pPr>
        <w:spacing w:before="120" w:after="120" w:line="400" w:lineRule="exact"/>
        <w:rPr>
          <w:rFonts w:eastAsiaTheme="minorEastAsia"/>
          <w:sz w:val="24"/>
          <w:szCs w:val="24"/>
        </w:rPr>
      </w:pPr>
      <w:r>
        <w:rPr>
          <w:rFonts w:eastAsiaTheme="minorEastAsia"/>
          <w:sz w:val="24"/>
          <w:szCs w:val="24"/>
        </w:rPr>
        <w:t xml:space="preserve">项目编号：</w:t>
      </w:r>
      <w:r/>
    </w:p>
    <w:p>
      <w:pPr>
        <w:pStyle w:val="916"/>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甲方：（买方/采购人）</w:t>
      </w:r>
      <w:r/>
    </w:p>
    <w:p>
      <w:pPr>
        <w:pStyle w:val="916"/>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乙方：（卖方/中标供应商）</w:t>
      </w:r>
      <w:r/>
    </w:p>
    <w:p>
      <w:pPr>
        <w:ind w:firstLine="480"/>
        <w:spacing w:line="360" w:lineRule="auto"/>
        <w:rPr>
          <w:rFonts w:eastAsiaTheme="minorEastAsia"/>
          <w:b/>
          <w:sz w:val="24"/>
          <w:szCs w:val="24"/>
        </w:rPr>
      </w:pPr>
      <w:r>
        <w:rPr>
          <w:rFonts w:eastAsiaTheme="minorEastAsia"/>
          <w:sz w:val="24"/>
          <w:szCs w:val="24"/>
        </w:rPr>
        <w:t xml:space="preserve">甲、乙双方根据江苏省政府采购中心</w:t>
      </w:r>
      <w:r>
        <w:rPr>
          <w:rFonts w:hint="eastAsia" w:eastAsiaTheme="minorEastAsia"/>
          <w:sz w:val="24"/>
          <w:szCs w:val="24"/>
          <w:u w:val="single"/>
        </w:rPr>
        <w:t xml:space="preserve">江苏省公安厅安全保障平台通用硬件设备</w:t>
      </w:r>
      <w:r>
        <w:rPr>
          <w:rFonts w:eastAsiaTheme="minorEastAsia"/>
          <w:sz w:val="24"/>
          <w:szCs w:val="24"/>
        </w:rPr>
        <w:t xml:space="preserve">项目招标的结果，签署本合同。</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一、合同内容</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1.1标的名称：</w:t>
      </w:r>
      <w:r>
        <w:rPr>
          <w:rFonts w:ascii="Times New Roman" w:hAnsi="Times New Roman" w:cs="Times New Roman" w:eastAsiaTheme="minorEastAsia"/>
          <w:sz w:val="24"/>
          <w:szCs w:val="24"/>
          <w:u w:val="single"/>
        </w:rPr>
        <w:t xml:space="preserve">公安厅安全保障平台通用硬件</w:t>
      </w:r>
      <w:r>
        <w:rPr>
          <w:rFonts w:ascii="Times New Roman" w:hAnsi="Times New Roman" w:cs="Times New Roman" w:eastAsiaTheme="minorEastAsia"/>
          <w:sz w:val="24"/>
          <w:szCs w:val="24"/>
          <w:u w:val="single"/>
        </w:rPr>
      </w:r>
      <w:r/>
    </w:p>
    <w:p>
      <w:pPr>
        <w:pStyle w:val="916"/>
        <w:ind w:firstLine="480"/>
        <w:spacing w:before="120" w:after="120" w:line="400" w:lineRule="exact"/>
      </w:pPr>
      <w:r>
        <w:rPr>
          <w:rFonts w:ascii="Times New Roman" w:hAnsi="Times New Roman" w:cs="Times New Roman" w:eastAsiaTheme="minorEastAsia"/>
          <w:sz w:val="24"/>
          <w:szCs w:val="24"/>
        </w:rPr>
        <w:t xml:space="preserve">1.2标的内容：采购防火墙、入侵防御等网络安全设备（清单见附件一）</w:t>
      </w:r>
      <w:r>
        <w:rPr>
          <w:rFonts w:ascii="Times New Roman" w:hAnsi="Times New Roman" w:cs="Times New Roman" w:eastAsiaTheme="minorEastAsia"/>
          <w:sz w:val="24"/>
          <w:szCs w:val="24"/>
        </w:rPr>
      </w:r>
      <w:r/>
    </w:p>
    <w:p>
      <w:pPr>
        <w:pStyle w:val="916"/>
        <w:ind w:firstLine="480"/>
        <w:spacing w:before="120" w:after="120" w:line="400" w:lineRule="exact"/>
      </w:pPr>
      <w:r>
        <w:rPr>
          <w:rFonts w:ascii="Times New Roman" w:hAnsi="Times New Roman" w:cs="Times New Roman" w:eastAsiaTheme="minorEastAsia"/>
          <w:sz w:val="24"/>
          <w:szCs w:val="24"/>
        </w:rPr>
        <w:t xml:space="preserve">1.3标的质量：符合采购文件需求</w:t>
      </w:r>
      <w:r>
        <w:rPr>
          <w:rFonts w:ascii="Times New Roman" w:hAnsi="Times New Roman" w:cs="Times New Roman" w:eastAsiaTheme="minorEastAsia"/>
          <w:sz w:val="24"/>
          <w:szCs w:val="24"/>
        </w:rPr>
      </w:r>
      <w:r/>
    </w:p>
    <w:p>
      <w:pPr>
        <w:pStyle w:val="916"/>
        <w:ind w:firstLine="480"/>
        <w:spacing w:before="120" w:after="120" w:line="400" w:lineRule="exact"/>
      </w:pPr>
      <w:r>
        <w:rPr>
          <w:rFonts w:ascii="Times New Roman" w:hAnsi="Times New Roman" w:cs="Times New Roman" w:eastAsiaTheme="minorEastAsia"/>
          <w:sz w:val="24"/>
          <w:szCs w:val="24"/>
        </w:rPr>
        <w:t xml:space="preserve">1.4履行时间（期限）：自合同签订之日起的90个日历天内完成所有硬件设备到指定地点的供货，180个日历天内保证质量完成所投硬件设备的安装和调试；项目整体免费质保期   年（自项目终验合格之日起算）。</w:t>
      </w:r>
      <w:r>
        <w:rPr>
          <w:rFonts w:ascii="Times New Roman" w:hAnsi="Times New Roman" w:cs="Times New Roman" w:eastAsiaTheme="minorEastAsia"/>
          <w:sz w:val="24"/>
          <w:szCs w:val="24"/>
        </w:rPr>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1.5本项目招标文件、中标供应商的投标文件，以及采购过程中有关澄清、承诺文件是本合同的有效组成部分。</w:t>
      </w:r>
      <w:r>
        <w:rPr>
          <w:rFonts w:ascii="Times New Roman" w:hAnsi="Times New Roman" w:cs="Times New Roman" w:eastAsiaTheme="minorEastAsia"/>
          <w:sz w:val="24"/>
          <w:szCs w:val="24"/>
        </w:rPr>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二、合同金额</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2.1本合同金额为（大写）：</w:t>
      </w:r>
      <w:r>
        <w:rPr>
          <w:rFonts w:hint="eastAsia" w:ascii="Times New Roman" w:hAnsi="Times New Roman" w:cs="Times New Roman" w:eastAsiaTheme="minorEastAsia"/>
          <w:sz w:val="24"/>
          <w:szCs w:val="24"/>
        </w:rPr>
        <w:t xml:space="preserve">____________</w:t>
      </w:r>
      <w:r>
        <w:rPr>
          <w:rFonts w:ascii="Times New Roman" w:hAnsi="Times New Roman" w:cs="Times New Roman" w:eastAsiaTheme="minorEastAsia"/>
          <w:sz w:val="24"/>
          <w:szCs w:val="24"/>
        </w:rPr>
        <w:t xml:space="preserve">（￥</w:t>
      </w:r>
      <w:r>
        <w:rPr>
          <w:rFonts w:hint="eastAsia" w:ascii="Times New Roman" w:hAnsi="Times New Roman" w:cs="Times New Roman" w:eastAsiaTheme="minorEastAsia"/>
          <w:sz w:val="24"/>
          <w:szCs w:val="24"/>
        </w:rPr>
        <w:t xml:space="preserve">__________</w:t>
      </w:r>
      <w:r>
        <w:rPr>
          <w:rFonts w:ascii="Times New Roman" w:hAnsi="Times New Roman" w:cs="Times New Roman" w:eastAsiaTheme="minorEastAsia"/>
          <w:sz w:val="24"/>
          <w:szCs w:val="24"/>
        </w:rPr>
        <w:t xml:space="preserve">）人民币。</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三、技术资料</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3.1乙方应按招标文件规定的时间向甲方提供</w:t>
      </w:r>
      <w:r>
        <w:rPr>
          <w:rFonts w:hint="eastAsia" w:ascii="Times New Roman" w:hAnsi="Times New Roman" w:cs="Times New Roman" w:eastAsiaTheme="minorEastAsia"/>
          <w:sz w:val="24"/>
          <w:szCs w:val="24"/>
        </w:rPr>
        <w:t xml:space="preserve">货物</w:t>
      </w:r>
      <w:r>
        <w:rPr>
          <w:rFonts w:ascii="Times New Roman" w:hAnsi="Times New Roman" w:cs="Times New Roman" w:eastAsiaTheme="minorEastAsia"/>
          <w:sz w:val="24"/>
          <w:szCs w:val="24"/>
        </w:rPr>
        <w:t xml:space="preserve">（包含与</w:t>
      </w:r>
      <w:r>
        <w:rPr>
          <w:rFonts w:hint="eastAsia" w:ascii="Times New Roman" w:hAnsi="Times New Roman" w:cs="Times New Roman" w:eastAsiaTheme="minorEastAsia"/>
          <w:sz w:val="24"/>
          <w:szCs w:val="24"/>
        </w:rPr>
        <w:t xml:space="preserve">货物</w:t>
      </w:r>
      <w:r>
        <w:rPr>
          <w:rFonts w:ascii="Times New Roman" w:hAnsi="Times New Roman" w:cs="Times New Roman" w:eastAsiaTheme="minorEastAsia"/>
          <w:sz w:val="24"/>
          <w:szCs w:val="24"/>
        </w:rPr>
        <w:t xml:space="preserve">相关的</w:t>
      </w:r>
      <w:r>
        <w:rPr>
          <w:rFonts w:hint="eastAsia" w:ascii="Times New Roman" w:hAnsi="Times New Roman" w:cs="Times New Roman" w:eastAsiaTheme="minorEastAsia"/>
          <w:sz w:val="24"/>
          <w:szCs w:val="24"/>
        </w:rPr>
        <w:t xml:space="preserve">服务</w:t>
      </w:r>
      <w:r>
        <w:rPr>
          <w:rFonts w:ascii="Times New Roman" w:hAnsi="Times New Roman" w:cs="Times New Roman" w:eastAsiaTheme="minorEastAsia"/>
          <w:sz w:val="24"/>
          <w:szCs w:val="24"/>
        </w:rPr>
        <w:t xml:space="preserve">）的有关技术资料。</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四、知识产权</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4.1乙方应保证甲方在使用、接受本合同</w:t>
      </w:r>
      <w:r>
        <w:rPr>
          <w:rFonts w:hint="eastAsia" w:ascii="Times New Roman" w:hAnsi="Times New Roman" w:cs="Times New Roman" w:eastAsiaTheme="minorEastAsia"/>
          <w:sz w:val="24"/>
          <w:szCs w:val="24"/>
        </w:rPr>
        <w:t xml:space="preserve">货物</w:t>
      </w:r>
      <w:r>
        <w:rPr>
          <w:rFonts w:ascii="Times New Roman" w:hAnsi="Times New Roman" w:cs="Times New Roman" w:eastAsiaTheme="minorEastAsia"/>
          <w:sz w:val="24"/>
          <w:szCs w:val="24"/>
        </w:rPr>
        <w:t xml:space="preserve">（包含与</w:t>
      </w:r>
      <w:r>
        <w:rPr>
          <w:rFonts w:hint="eastAsia" w:ascii="Times New Roman" w:hAnsi="Times New Roman" w:cs="Times New Roman" w:eastAsiaTheme="minorEastAsia"/>
          <w:sz w:val="24"/>
          <w:szCs w:val="24"/>
        </w:rPr>
        <w:t xml:space="preserve">货物</w:t>
      </w:r>
      <w:r>
        <w:rPr>
          <w:rFonts w:ascii="Times New Roman" w:hAnsi="Times New Roman" w:cs="Times New Roman" w:eastAsiaTheme="minorEastAsia"/>
          <w:sz w:val="24"/>
          <w:szCs w:val="24"/>
        </w:rPr>
        <w:t xml:space="preserve">相关的</w:t>
      </w:r>
      <w:r>
        <w:rPr>
          <w:rFonts w:hint="eastAsia" w:ascii="Times New Roman" w:hAnsi="Times New Roman" w:cs="Times New Roman" w:eastAsiaTheme="minorEastAsia"/>
          <w:sz w:val="24"/>
          <w:szCs w:val="24"/>
        </w:rPr>
        <w:t xml:space="preserve">服务</w:t>
      </w:r>
      <w:r>
        <w:rPr>
          <w:rFonts w:ascii="Times New Roman" w:hAnsi="Times New Roman" w:cs="Times New Roman" w:eastAsiaTheme="minorEastAsia"/>
          <w:sz w:val="24"/>
          <w:szCs w:val="24"/>
        </w:rPr>
        <w:t xml:space="preserve">）或其任何一部分时不受第三方提出侵犯其专利权、版权、商标权和工业设计权等知识产权的起诉。一旦出现侵权，由乙方负全部责任。</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五、产权担保</w:t>
      </w:r>
      <w:r/>
    </w:p>
    <w:p>
      <w:pPr>
        <w:pStyle w:val="916"/>
        <w:ind w:firstLine="480"/>
        <w:spacing w:before="120" w:after="120" w:line="400" w:lineRule="exact"/>
        <w:rPr>
          <w:rFonts w:ascii="Times New Roman" w:hAnsi="Times New Roman" w:cs="Times New Roman" w:eastAsiaTheme="minorEastAsia"/>
          <w:sz w:val="24"/>
          <w:szCs w:val="24"/>
          <w:u w:val="single"/>
        </w:rPr>
      </w:pPr>
      <w:r>
        <w:rPr>
          <w:rFonts w:ascii="Times New Roman" w:hAnsi="Times New Roman" w:cs="Times New Roman" w:eastAsiaTheme="minorEastAsia"/>
          <w:sz w:val="24"/>
          <w:szCs w:val="24"/>
        </w:rPr>
        <w:t xml:space="preserve">5.1乙方保证所交付的</w:t>
      </w:r>
      <w:r>
        <w:rPr>
          <w:rFonts w:hint="eastAsia" w:ascii="Times New Roman" w:hAnsi="Times New Roman" w:cs="Times New Roman" w:eastAsiaTheme="minorEastAsia"/>
          <w:sz w:val="24"/>
          <w:szCs w:val="24"/>
        </w:rPr>
        <w:t xml:space="preserve">货物</w:t>
      </w:r>
      <w:r>
        <w:rPr>
          <w:rFonts w:ascii="Times New Roman" w:hAnsi="Times New Roman" w:cs="Times New Roman" w:eastAsiaTheme="minorEastAsia"/>
          <w:sz w:val="24"/>
          <w:szCs w:val="24"/>
        </w:rPr>
        <w:t xml:space="preserve">（包含与</w:t>
      </w:r>
      <w:r>
        <w:rPr>
          <w:rFonts w:hint="eastAsia" w:ascii="Times New Roman" w:hAnsi="Times New Roman" w:cs="Times New Roman" w:eastAsiaTheme="minorEastAsia"/>
          <w:sz w:val="24"/>
          <w:szCs w:val="24"/>
        </w:rPr>
        <w:t xml:space="preserve">货物</w:t>
      </w:r>
      <w:r>
        <w:rPr>
          <w:rFonts w:ascii="Times New Roman" w:hAnsi="Times New Roman" w:cs="Times New Roman" w:eastAsiaTheme="minorEastAsia"/>
          <w:sz w:val="24"/>
          <w:szCs w:val="24"/>
        </w:rPr>
        <w:t xml:space="preserve">相关的</w:t>
      </w:r>
      <w:r>
        <w:rPr>
          <w:rFonts w:hint="eastAsia" w:ascii="Times New Roman" w:hAnsi="Times New Roman" w:cs="Times New Roman" w:eastAsiaTheme="minorEastAsia"/>
          <w:sz w:val="24"/>
          <w:szCs w:val="24"/>
        </w:rPr>
        <w:t xml:space="preserve">服务</w:t>
      </w:r>
      <w:r>
        <w:rPr>
          <w:rFonts w:ascii="Times New Roman" w:hAnsi="Times New Roman" w:cs="Times New Roman" w:eastAsiaTheme="minorEastAsia"/>
          <w:sz w:val="24"/>
          <w:szCs w:val="24"/>
        </w:rPr>
        <w:t xml:space="preserve">）的所有权完全属于乙方且无任何抵押、查封等产权瑕疵。</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六、履约保证金</w:t>
      </w:r>
      <w:r/>
    </w:p>
    <w:p>
      <w:pPr>
        <w:ind w:firstLine="480"/>
        <w:spacing w:before="120" w:after="120" w:line="400" w:lineRule="exact"/>
        <w:rPr>
          <w:rFonts w:eastAsiaTheme="minorEastAsia"/>
          <w:bCs/>
          <w:sz w:val="24"/>
          <w:szCs w:val="24"/>
        </w:rPr>
      </w:pPr>
      <w:r>
        <w:rPr>
          <w:rFonts w:eastAsiaTheme="minorEastAsia"/>
          <w:sz w:val="24"/>
          <w:szCs w:val="24"/>
        </w:rPr>
        <w:t xml:space="preserve">6.1</w:t>
      </w:r>
      <w:r>
        <w:rPr>
          <w:rFonts w:eastAsiaTheme="minorEastAsia"/>
          <w:bCs/>
          <w:sz w:val="24"/>
          <w:szCs w:val="24"/>
        </w:rPr>
        <w:t xml:space="preserve">本项目不收取履约保证金。</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七、合同转包或分包</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7.1本合同范围内产品或服务，应由乙方直接供应，不得转让他人供应。</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7.2除非得到甲方的书面同意，乙方不得部分分包给他人供应。</w:t>
      </w:r>
      <w:r/>
    </w:p>
    <w:p>
      <w:pPr>
        <w:ind w:firstLine="480"/>
        <w:spacing w:line="400" w:lineRule="exact"/>
        <w:rPr>
          <w:rFonts w:eastAsiaTheme="minorEastAsia"/>
          <w:sz w:val="24"/>
          <w:szCs w:val="24"/>
        </w:rPr>
      </w:pPr>
      <w:r>
        <w:rPr>
          <w:rFonts w:eastAsiaTheme="minorEastAsia"/>
          <w:sz w:val="24"/>
          <w:szCs w:val="24"/>
        </w:rPr>
        <w:t xml:space="preserve">7.3如有转让和未经甲方同意的分包行为，甲方有权给予终止合同，</w:t>
      </w:r>
      <w:r>
        <w:rPr>
          <w:rFonts w:eastAsiaTheme="minorEastAsia"/>
          <w:sz w:val="24"/>
          <w:szCs w:val="24"/>
        </w:rPr>
        <w:t xml:space="preserve">并向甲方支付合同总额百分之十的违约金并退还甲方已支付的全部费用。</w:t>
      </w:r>
      <w:r>
        <w:rPr>
          <w:rFonts w:eastAsiaTheme="minorEastAsia"/>
          <w:sz w:val="24"/>
          <w:szCs w:val="24"/>
        </w:rPr>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八、质保期</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8.1本次项目整体免费质保期</w:t>
      </w:r>
      <w:r>
        <w:rPr>
          <w:rFonts w:hint="eastAsia" w:ascii="Times New Roman" w:hAnsi="Times New Roman" w:cs="Times New Roman" w:eastAsiaTheme="minorEastAsia"/>
          <w:sz w:val="24"/>
          <w:szCs w:val="24"/>
          <w:lang w:val="en-US" w:eastAsia="zh-CN"/>
        </w:rPr>
        <w:t xml:space="preserve">   </w:t>
      </w:r>
      <w:r>
        <w:rPr>
          <w:rFonts w:ascii="Times New Roman" w:hAnsi="Times New Roman" w:cs="Times New Roman" w:eastAsiaTheme="minorEastAsia"/>
          <w:sz w:val="24"/>
          <w:szCs w:val="24"/>
          <w:u w:val="single"/>
        </w:rPr>
        <w:t xml:space="preserve">年（自项目终验合格之日起算）</w:t>
      </w:r>
      <w:r>
        <w:rPr>
          <w:rFonts w:ascii="Times New Roman" w:hAnsi="Times New Roman" w:cs="Times New Roman" w:eastAsiaTheme="minorEastAsia"/>
          <w:sz w:val="24"/>
          <w:szCs w:val="24"/>
        </w:rPr>
        <w:t xml:space="preserve">。</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8.2免费质保期内乙方应提供免费维修、更换以及软件维护升级服务，免费质保期内更换的产品和零件应均为原厂件。</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九、交付期、交付方式及交付地点</w:t>
      </w:r>
      <w:r/>
    </w:p>
    <w:p>
      <w:pPr>
        <w:pStyle w:val="916"/>
        <w:ind w:firstLine="480"/>
        <w:spacing w:before="120" w:after="120" w:line="400" w:lineRule="exact"/>
        <w:rPr>
          <w:rFonts w:hint="eastAsia" w:ascii="Times New Roman" w:hAnsi="Times New Roman" w:cs="Times New Roman" w:eastAsiaTheme="minorEastAsia"/>
          <w:bCs/>
          <w:sz w:val="24"/>
          <w:szCs w:val="24"/>
          <w:u w:val="single"/>
          <w:lang w:eastAsia="zh-CN"/>
        </w:rPr>
      </w:pPr>
      <w:r>
        <w:rPr>
          <w:rFonts w:ascii="Times New Roman" w:hAnsi="Times New Roman" w:cs="Times New Roman" w:eastAsiaTheme="minorEastAsia"/>
          <w:bCs/>
          <w:sz w:val="24"/>
          <w:szCs w:val="24"/>
        </w:rPr>
        <w:t xml:space="preserve">9.1交付期：</w:t>
      </w:r>
      <w:r>
        <w:rPr>
          <w:rFonts w:hint="eastAsia" w:ascii="Times New Roman" w:hAnsi="Times New Roman" w:cs="Times New Roman" w:eastAsiaTheme="minorEastAsia"/>
          <w:sz w:val="24"/>
          <w:szCs w:val="24"/>
          <w:u w:val="single"/>
          <w:lang w:eastAsia="zh-CN"/>
        </w:rPr>
        <w:t xml:space="preserve">自合同签订之日起的90个日历天内完成所有硬件设备到指定地点的供货，180个日历天内保证质量完成所投硬件设备的安装和调试。</w:t>
      </w:r>
      <w:r/>
    </w:p>
    <w:p>
      <w:pPr>
        <w:pStyle w:val="916"/>
        <w:ind w:firstLine="480"/>
        <w:spacing w:before="120" w:after="120" w:line="400" w:lineRule="exact"/>
        <w:rPr>
          <w:rFonts w:ascii="Times New Roman" w:hAnsi="Times New Roman" w:cs="Times New Roman" w:eastAsiaTheme="minorEastAsia"/>
          <w:bCs/>
          <w:sz w:val="24"/>
          <w:szCs w:val="24"/>
        </w:rPr>
      </w:pPr>
      <w:r>
        <w:rPr>
          <w:rFonts w:ascii="Times New Roman" w:hAnsi="Times New Roman" w:cs="Times New Roman" w:eastAsiaTheme="minorEastAsia"/>
          <w:bCs/>
          <w:sz w:val="24"/>
          <w:szCs w:val="24"/>
        </w:rPr>
        <w:t xml:space="preserve">9.2交付方式：根据甲方要求。</w:t>
      </w:r>
      <w:r/>
    </w:p>
    <w:p>
      <w:pPr>
        <w:pStyle w:val="916"/>
        <w:ind w:firstLine="480"/>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Cs/>
          <w:sz w:val="24"/>
          <w:szCs w:val="24"/>
        </w:rPr>
        <w:t xml:space="preserve">9.3交付地点：根据甲方要求。</w:t>
      </w:r>
      <w:r/>
    </w:p>
    <w:p>
      <w:pPr>
        <w:pStyle w:val="916"/>
        <w:ind w:firstLine="482"/>
        <w:spacing w:before="120" w:after="120" w:line="400" w:lineRule="exact"/>
        <w:rPr>
          <w:rFonts w:ascii="Times New Roman" w:hAnsi="Times New Roman" w:cs="Times New Roman" w:eastAsiaTheme="minorEastAsia"/>
          <w:b/>
          <w:sz w:val="24"/>
          <w:szCs w:val="24"/>
        </w:rPr>
      </w:pPr>
      <w:r>
        <w:rPr>
          <w:rFonts w:hint="eastAsia" w:ascii="Times New Roman" w:hAnsi="Times New Roman" w:cs="Times New Roman" w:eastAsiaTheme="minorEastAsia"/>
          <w:b/>
          <w:sz w:val="24"/>
          <w:szCs w:val="24"/>
        </w:rPr>
        <w:t xml:space="preserve">十、</w:t>
      </w:r>
      <w:r>
        <w:rPr>
          <w:rFonts w:ascii="Times New Roman" w:hAnsi="Times New Roman" w:cs="Times New Roman" w:eastAsiaTheme="minorEastAsia"/>
          <w:b/>
          <w:sz w:val="24"/>
          <w:szCs w:val="24"/>
        </w:rPr>
        <w:t xml:space="preserve">合同款项支付</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由甲方按下列程序付款，每次付款前乙方需提供发票。甲方每次收到乙方发票后不迟于30天内完成付款。如因财政资金拨付不到位等原因，双方可协商延迟付款，甲方不承担违约责任。</w:t>
      </w:r>
      <w:r/>
    </w:p>
    <w:p>
      <w:pPr>
        <w:pStyle w:val="916"/>
        <w:ind w:firstLine="436"/>
        <w:spacing w:before="120" w:after="120" w:line="400" w:lineRule="exact"/>
        <w:rPr>
          <w:rFonts w:ascii="Times New Roman" w:hAnsi="Times New Roman" w:cs="Times New Roman" w:eastAsiaTheme="minorEastAsia"/>
          <w:spacing w:val="-11"/>
          <w:sz w:val="24"/>
          <w:szCs w:val="24"/>
        </w:rPr>
      </w:pPr>
      <w:r>
        <w:rPr>
          <w:rFonts w:ascii="Times New Roman" w:hAnsi="Times New Roman" w:cs="Times New Roman" w:eastAsiaTheme="minorEastAsia"/>
          <w:spacing w:val="-11"/>
          <w:sz w:val="24"/>
          <w:szCs w:val="24"/>
        </w:rPr>
        <w:t xml:space="preserve">1</w:t>
      </w:r>
      <w:r>
        <w:rPr>
          <w:rFonts w:hint="eastAsia" w:ascii="Times New Roman" w:hAnsi="Times New Roman" w:cs="Times New Roman" w:eastAsiaTheme="minorEastAsia"/>
          <w:spacing w:val="-11"/>
          <w:sz w:val="24"/>
          <w:szCs w:val="24"/>
        </w:rPr>
        <w:t xml:space="preserve">0.1</w:t>
      </w:r>
      <w:r>
        <w:rPr>
          <w:rFonts w:ascii="Times New Roman" w:hAnsi="Times New Roman" w:cs="Times New Roman" w:eastAsiaTheme="minorEastAsia"/>
          <w:spacing w:val="-11"/>
          <w:sz w:val="24"/>
          <w:szCs w:val="24"/>
        </w:rPr>
        <w:t xml:space="preserve">预付款：签订合同后，甲方支付合同额的30%。</w:t>
      </w:r>
      <w:r/>
    </w:p>
    <w:p>
      <w:pPr>
        <w:pStyle w:val="916"/>
        <w:ind w:firstLine="480"/>
        <w:spacing w:before="120" w:after="120" w:line="400" w:lineRule="exact"/>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 xml:space="preserve">10.2</w:t>
      </w:r>
      <w:r>
        <w:rPr>
          <w:rFonts w:ascii="Times New Roman" w:hAnsi="Times New Roman" w:cs="Times New Roman" w:eastAsiaTheme="minorEastAsia"/>
          <w:sz w:val="24"/>
          <w:szCs w:val="24"/>
        </w:rPr>
        <w:t xml:space="preserve">进度款</w:t>
      </w:r>
      <w:r>
        <w:rPr>
          <w:rFonts w:hint="eastAsia" w:ascii="Times New Roman" w:hAnsi="Times New Roman" w:cs="Times New Roman" w:eastAsiaTheme="minorEastAsia"/>
          <w:sz w:val="24"/>
          <w:szCs w:val="24"/>
          <w:lang w:eastAsia="zh-CN"/>
        </w:rPr>
        <w:t xml:space="preserve">：</w:t>
      </w:r>
      <w:r>
        <w:rPr>
          <w:rFonts w:hint="eastAsia" w:ascii="Times New Roman" w:hAnsi="Times New Roman" w:cs="Times New Roman" w:eastAsiaTheme="minorEastAsia"/>
          <w:sz w:val="24"/>
          <w:szCs w:val="24"/>
          <w:lang w:eastAsia="zh-CN"/>
        </w:rPr>
        <w:t xml:space="preserve">乙方完成所投硬件设备的安装和调试、大数据软件的部署和调试后，甲方于30日内组织初验，初验合格后30日支付至合同额的60%，试运行3个月正常，乙方提交全部报告材料，并通过甲方组织的终验，终验后30日内支付至合同额的100%。</w:t>
      </w:r>
      <w:r>
        <w:rPr>
          <w:rFonts w:hint="eastAsia" w:ascii="Times New Roman" w:hAnsi="Times New Roman" w:cs="Times New Roman" w:eastAsiaTheme="minorEastAsia"/>
          <w:sz w:val="24"/>
          <w:szCs w:val="24"/>
          <w:lang w:eastAsia="zh-CN"/>
        </w:rPr>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十一、税费</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11.1本合同执行中相关的一切税费均由乙方负担。</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十二、质量保证及售后服务</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12.1乙方应按采购文件规定和响应文件承诺的性能、技术要求、质量标准向甲方提供产品或服务。</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12.2乙方提供的产品或服务在免费质保期内因其本身出现质量问题，根据实际情况，经双方协商，可按以下办法处理：</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（1）更换：由乙方承担所发生的全部费用。</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（2）合同终止处理：合同终止，并退还甲方支付的合同款，同时应承担由此产生的所有费用，甲方不承担发生</w:t>
      </w:r>
      <w:r>
        <w:rPr>
          <w:rFonts w:hint="eastAsia" w:ascii="Times New Roman" w:hAnsi="Times New Roman" w:cs="Times New Roman" w:eastAsiaTheme="minorEastAsia"/>
          <w:sz w:val="24"/>
          <w:szCs w:val="24"/>
        </w:rPr>
        <w:t xml:space="preserve">的</w:t>
      </w:r>
      <w:r>
        <w:rPr>
          <w:rFonts w:ascii="Times New Roman" w:hAnsi="Times New Roman" w:cs="Times New Roman" w:eastAsiaTheme="minorEastAsia"/>
          <w:sz w:val="24"/>
          <w:szCs w:val="24"/>
        </w:rPr>
        <w:t xml:space="preserve">任何费用。</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（3）免费质保期内，关键部件多次维修、更换的，视为产品不合格，甲方有权解除合同。乙方应退还甲方支付款项并承担由此产生的费用。</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12.3如在使用过程中发生质量问题，乙方须在接到甲方通知后的2小时内到达甲方现场，并解决相关问题。</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12.4在免费质保期内，乙方应对产品或服务出现的质量及安全问题负责处理解决，并承担一切费用。</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12.5合同标的对质量保证和售后服务另有要求的，按采购文件中的相关要求处理。</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十三、项目验收</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13.1</w:t>
      </w:r>
      <w:r>
        <w:rPr>
          <w:rFonts w:ascii="Times New Roman" w:hAnsi="Times New Roman" w:cs="Times New Roman" w:eastAsiaTheme="minorEastAsia"/>
          <w:sz w:val="24"/>
          <w:szCs w:val="24"/>
        </w:rPr>
        <w:t xml:space="preserve">甲方对乙方提交的产品或服务依据采购文件上的项目需求要求、乙方响应文件及国家有关质量标准进行验收。乙方完成所投硬件设备的安装和调试、大数据软件的部署和调试后，甲方于30日内组织初验，通过后进入试运行阶段。正常试运行3个月后乙方提交全部报告材料，甲方依据采购需求要求、乙方响应文件及国家有关质量标准进行审核，通过后于20日内组织终验。</w:t>
      </w:r>
      <w:r>
        <w:rPr>
          <w:rFonts w:ascii="Times New Roman" w:hAnsi="Times New Roman" w:cs="Times New Roman" w:eastAsiaTheme="minorEastAsia"/>
          <w:sz w:val="24"/>
          <w:szCs w:val="24"/>
        </w:rPr>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13.2乙方交货前应对产品或服务作出全面检查和对验收文件进行整理，并列出清单，作为甲方验收和使用的技术条件依据，检验的结果应随服务一起提交甲方。</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13.3甲方在使用乙方提供的产品或服务前，乙方需负责培训甲方的使用操作人员，并协助甲方一起试用，直到符合技术要求，甲方才做最终验收。</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13.4对技术复杂的产品或服务，甲方可请国家认可的专业检测机构参与初步验收及最终验收，并由其出具质量检测报告。</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13.5采购文件规定以外的验收费用由甲乙双方协商解决。</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13.6合同标的对验收另有要求的，按采购文件中的相关要求执行。</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十四、合同内容的交付</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14.1乙方应保证合同标的安全运达甲方指定地点。</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14.2使用说明书、质量检验证明书一并提交甲方。</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14.3乙方在合同标的交付甲方48小时前通知甲方准备接收。</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14.4合同标的在交付甲方前发生的风险均由乙方负责。</w:t>
      </w:r>
      <w:r/>
    </w:p>
    <w:p>
      <w:pPr>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rPr>
          <w:rFonts w:ascii="SimSun" w:hAnsi="SimSun" w:eastAsia="SimSun" w:cs="SimSun"/>
          <w:color w:val="000000"/>
          <w:sz w:val="24"/>
        </w:rPr>
        <w:t xml:space="preserve">合同标的在规定的交付期限内由乙方送达甲方指定的地点</w:t>
      </w:r>
      <w:r>
        <w:rPr>
          <w:rFonts w:ascii="SimSun" w:hAnsi="SimSun" w:eastAsia="SimSun" w:cs="SimSun"/>
          <w:color w:val="ff0000"/>
          <w:sz w:val="24"/>
        </w:rPr>
        <w:t xml:space="preserve">并经甲方验收后</w:t>
      </w:r>
      <w:r>
        <w:rPr>
          <w:rFonts w:ascii="SimSun" w:hAnsi="SimSun" w:eastAsia="SimSun" w:cs="SimSun"/>
          <w:color w:val="000000"/>
          <w:sz w:val="24"/>
        </w:rPr>
        <w:t xml:space="preserve">视为交付，乙方同时需通知甲方已送达。</w:t>
      </w:r>
      <w:r>
        <w:rPr>
          <w:rFonts w:ascii="SimSun" w:hAnsi="SimSun" w:eastAsia="SimSun" w:cs="SimSun"/>
          <w:sz w:val="21"/>
        </w:rPr>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14.6合同标的对交付另有要求的，按采购文件中的相关要求执行。</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十五、违约责任</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15.1甲方无正当理由拒收的，甲方向乙方偿付拒收货款总值的百分之五违约金。</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15.2因乙方原因逾期交付合同标的的，乙方应按逾期交货总额每日</w:t>
      </w:r>
      <w:r>
        <w:rPr>
          <w:rFonts w:ascii="Times New Roman" w:hAnsi="Times New Roman" w:cs="Times New Roman" w:eastAsiaTheme="minorEastAsia"/>
          <w:sz w:val="24"/>
          <w:szCs w:val="24"/>
          <w:u w:val="single"/>
        </w:rPr>
        <w:t xml:space="preserve">万分之五</w:t>
      </w:r>
      <w:r>
        <w:rPr>
          <w:rFonts w:ascii="Times New Roman" w:hAnsi="Times New Roman" w:cs="Times New Roman" w:eastAsiaTheme="minorEastAsia"/>
          <w:sz w:val="24"/>
          <w:szCs w:val="24"/>
        </w:rPr>
        <w:t xml:space="preserve">向甲方支付违约金，由甲方从待付合同款中扣除。逾期超过约定日期10个工作日不能交付的，甲方可解除本合同。乙方因逾期交付或因其他违约行为导致甲方解除合同的，乙方应向甲方支付合同总值5%的违约金，并退还甲方支付费用，如造成甲方损失超过违约金的，超出部分由乙方继续承担赔偿责任。</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15.3</w:t>
      </w:r>
      <w:r>
        <w:rPr>
          <w:rFonts w:ascii="Times New Roman" w:hAnsi="Times New Roman" w:cs="Times New Roman" w:eastAsiaTheme="minorEastAsia"/>
          <w:sz w:val="24"/>
          <w:szCs w:val="24"/>
        </w:rPr>
        <w:t xml:space="preserve">乙方所交的产品或服务不符合项目需求要求或违反乙方响应文件承诺或不符合国家有关质量标准的，甲方有权拒收，乙方应在7日内更换，如未按时更换，按照逾期交付处理，愿意更换但逾期交付的，按乙方逾期交付处理。乙方拒绝更换的，甲方可单方面解除合同，并由乙方赔偿由此造成的甲方全部损失。因乙方造成合同违约的外，还应支付甲方因乙方违约而支出的诉讼费、律师费、鉴定费、差旅费等合理支出。</w:t>
      </w:r>
      <w:r>
        <w:rPr>
          <w:rFonts w:ascii="Times New Roman" w:hAnsi="Times New Roman" w:cs="Times New Roman" w:eastAsiaTheme="minorEastAsia"/>
          <w:sz w:val="24"/>
          <w:szCs w:val="24"/>
        </w:rPr>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15.4如乙方未能履行响应文件中的承诺事项，甲方有权不再支付剩余合同款项，同时，乙方自愿放弃参加甲方后三年组织的政府采购活动</w:t>
      </w:r>
      <w:r>
        <w:rPr>
          <w:rFonts w:hint="eastAsia" w:ascii="Times New Roman" w:hAnsi="Times New Roman" w:cs="Times New Roman" w:eastAsiaTheme="minorEastAsia"/>
          <w:sz w:val="24"/>
          <w:szCs w:val="24"/>
        </w:rPr>
        <w:t xml:space="preserve">，但乙方提出的理由正当，且甲方认可的除外</w:t>
      </w:r>
      <w:r>
        <w:rPr>
          <w:rFonts w:ascii="Times New Roman" w:hAnsi="Times New Roman" w:cs="Times New Roman" w:eastAsiaTheme="minorEastAsia"/>
          <w:sz w:val="24"/>
          <w:szCs w:val="24"/>
        </w:rPr>
        <w:t xml:space="preserve">。</w:t>
      </w:r>
      <w:r/>
    </w:p>
    <w:p>
      <w:pPr>
        <w:pStyle w:val="916"/>
        <w:ind w:firstLine="480"/>
        <w:spacing w:before="120" w:after="120" w:line="400" w:lineRule="exact"/>
        <w:rPr>
          <w:rFonts w:ascii="Times New Roman" w:hAnsi="Times New Roman" w:cs="Times New Roman" w:eastAsiaTheme="minorEastAsia"/>
          <w:sz w:val="24"/>
          <w:szCs w:val="24"/>
          <w:highlight w:val="none"/>
        </w:rPr>
      </w:pPr>
      <w:r>
        <w:rPr>
          <w:rFonts w:ascii="Times New Roman" w:hAnsi="Times New Roman" w:cs="Times New Roman" w:eastAsiaTheme="minorEastAsia"/>
          <w:sz w:val="24"/>
          <w:szCs w:val="24"/>
        </w:rPr>
        <w:t xml:space="preserve">15.5</w:t>
      </w:r>
      <w:r>
        <w:rPr>
          <w:rFonts w:hint="eastAsia" w:ascii="Times New Roman" w:hAnsi="Times New Roman" w:cs="Times New Roman" w:eastAsiaTheme="minorEastAsia"/>
          <w:sz w:val="24"/>
          <w:szCs w:val="24"/>
        </w:rPr>
        <w:t xml:space="preserve">乙方</w:t>
      </w:r>
      <w:r>
        <w:rPr>
          <w:rFonts w:ascii="Times New Roman" w:hAnsi="Times New Roman" w:cs="Times New Roman" w:eastAsiaTheme="minorEastAsia"/>
          <w:sz w:val="24"/>
          <w:szCs w:val="24"/>
        </w:rPr>
        <w:t xml:space="preserve">应按照法律法规制定安全作业规范，在项目实施过程中，</w:t>
      </w:r>
      <w:r>
        <w:rPr>
          <w:rFonts w:hint="eastAsia" w:ascii="Times New Roman" w:hAnsi="Times New Roman" w:cs="Times New Roman" w:eastAsiaTheme="minorEastAsia"/>
          <w:sz w:val="24"/>
          <w:szCs w:val="24"/>
        </w:rPr>
        <w:t xml:space="preserve">乙方</w:t>
      </w:r>
      <w:r>
        <w:rPr>
          <w:rFonts w:ascii="Times New Roman" w:hAnsi="Times New Roman" w:cs="Times New Roman" w:eastAsiaTheme="minorEastAsia"/>
          <w:sz w:val="24"/>
          <w:szCs w:val="24"/>
        </w:rPr>
        <w:t xml:space="preserve">一方发生的一切安全事故或给第三方造成的损害，由</w:t>
      </w:r>
      <w:r>
        <w:rPr>
          <w:rFonts w:hint="eastAsia" w:ascii="Times New Roman" w:hAnsi="Times New Roman" w:cs="Times New Roman" w:eastAsiaTheme="minorEastAsia"/>
          <w:sz w:val="24"/>
          <w:szCs w:val="24"/>
        </w:rPr>
        <w:t xml:space="preserve">乙方</w:t>
      </w:r>
      <w:r>
        <w:rPr>
          <w:rFonts w:ascii="Times New Roman" w:hAnsi="Times New Roman" w:cs="Times New Roman" w:eastAsiaTheme="minorEastAsia"/>
          <w:sz w:val="24"/>
          <w:szCs w:val="24"/>
        </w:rPr>
        <w:t xml:space="preserve">自行承担责任，</w:t>
      </w:r>
      <w:r>
        <w:rPr>
          <w:rFonts w:hint="eastAsia" w:ascii="Times New Roman" w:hAnsi="Times New Roman" w:cs="Times New Roman" w:eastAsiaTheme="minorEastAsia"/>
          <w:sz w:val="24"/>
          <w:szCs w:val="24"/>
        </w:rPr>
        <w:t xml:space="preserve">甲方</w:t>
      </w:r>
      <w:r>
        <w:rPr>
          <w:rFonts w:ascii="Times New Roman" w:hAnsi="Times New Roman" w:cs="Times New Roman" w:eastAsiaTheme="minorEastAsia"/>
          <w:sz w:val="24"/>
          <w:szCs w:val="24"/>
        </w:rPr>
        <w:t xml:space="preserve">不对项目实施人员负任何安全责任；若给</w:t>
      </w:r>
      <w:r>
        <w:rPr>
          <w:rFonts w:hint="eastAsia" w:ascii="Times New Roman" w:hAnsi="Times New Roman" w:cs="Times New Roman" w:eastAsiaTheme="minorEastAsia"/>
          <w:sz w:val="24"/>
          <w:szCs w:val="24"/>
        </w:rPr>
        <w:t xml:space="preserve">甲方</w:t>
      </w:r>
      <w:r>
        <w:rPr>
          <w:rFonts w:ascii="Times New Roman" w:hAnsi="Times New Roman" w:cs="Times New Roman" w:eastAsiaTheme="minorEastAsia"/>
          <w:sz w:val="24"/>
          <w:szCs w:val="24"/>
        </w:rPr>
        <w:t xml:space="preserve">造成损失和伤害的，赔偿一切直接、间接损失。</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highlight w:val="none"/>
        </w:rPr>
      </w:r>
      <w:r>
        <w:rPr>
          <w:rFonts w:ascii="Times New Roman" w:hAnsi="Times New Roman" w:cs="Times New Roman" w:eastAsiaTheme="minorEastAsia"/>
          <w:sz w:val="24"/>
          <w:szCs w:val="24"/>
          <w:highlight w:val="none"/>
        </w:rPr>
        <w:t xml:space="preserve">15.6乙未按合同规定和服务承诺提供伴随服务、售后服务的，应按合同价5%承担违约责任。</w:t>
      </w:r>
      <w:r>
        <w:rPr>
          <w:rFonts w:ascii="Times New Roman" w:hAnsi="Times New Roman" w:cs="Times New Roman" w:eastAsiaTheme="minorEastAsia"/>
          <w:sz w:val="24"/>
          <w:szCs w:val="24"/>
          <w:highlight w:val="none"/>
        </w:rPr>
      </w:r>
      <w:r/>
    </w:p>
    <w:p>
      <w:pPr>
        <w:pStyle w:val="916"/>
        <w:numPr>
          <w:ilvl w:val="0"/>
          <w:numId w:val="2"/>
        </w:numPr>
        <w:ind w:firstLine="482"/>
        <w:spacing w:before="120" w:after="120" w:line="400" w:lineRule="exact"/>
        <w:rPr>
          <w:rFonts w:ascii="Times New Roman" w:hAnsi="Times New Roman" w:cs="Times New Roman" w:eastAsiaTheme="minorEastAsia"/>
          <w:b/>
          <w:bCs/>
          <w:sz w:val="24"/>
          <w:szCs w:val="24"/>
        </w:rPr>
      </w:pPr>
      <w:r>
        <w:rPr>
          <w:rFonts w:ascii="Times New Roman" w:hAnsi="Times New Roman" w:cs="Times New Roman" w:eastAsiaTheme="minorEastAsia"/>
          <w:b/>
          <w:bCs/>
          <w:sz w:val="24"/>
          <w:szCs w:val="24"/>
        </w:rPr>
        <w:t xml:space="preserve">廉政廉洁条款</w:t>
      </w:r>
      <w:r/>
    </w:p>
    <w:p>
      <w:pPr>
        <w:pStyle w:val="916"/>
        <w:ind w:firstLine="480"/>
        <w:spacing w:before="120" w:after="120" w:line="400" w:lineRule="exact"/>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 xml:space="preserve">16.1</w:t>
      </w:r>
      <w:r>
        <w:rPr>
          <w:rFonts w:ascii="Times New Roman" w:hAnsi="Times New Roman" w:cs="Times New Roman" w:eastAsiaTheme="minorEastAsia"/>
          <w:sz w:val="24"/>
          <w:szCs w:val="24"/>
        </w:rPr>
        <w:t xml:space="preserve">采购过程中如发现乙方围标、串标，或向甲方行贿等违法违规行为的，一经查实，甲方有权</w:t>
      </w:r>
      <w:r>
        <w:rPr>
          <w:rFonts w:hint="eastAsia" w:ascii="Times New Roman" w:hAnsi="Times New Roman" w:cs="Times New Roman" w:eastAsiaTheme="minorEastAsia"/>
          <w:sz w:val="24"/>
          <w:szCs w:val="24"/>
        </w:rPr>
        <w:t xml:space="preserve">终</w:t>
      </w:r>
      <w:r>
        <w:rPr>
          <w:rFonts w:ascii="Times New Roman" w:hAnsi="Times New Roman" w:cs="Times New Roman" w:eastAsiaTheme="minorEastAsia"/>
          <w:sz w:val="24"/>
          <w:szCs w:val="24"/>
        </w:rPr>
        <w:t xml:space="preserve">止合同，并不再支付乙方剩余合同款，乙方退回已支付款项，同时承诺不再参加甲方后三年组织的政府采购活动。</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十</w:t>
      </w:r>
      <w:r>
        <w:rPr>
          <w:rFonts w:hint="eastAsia" w:ascii="Times New Roman" w:hAnsi="Times New Roman" w:cs="Times New Roman" w:eastAsiaTheme="minorEastAsia"/>
          <w:b/>
          <w:sz w:val="24"/>
          <w:szCs w:val="24"/>
        </w:rPr>
        <w:t xml:space="preserve">七</w:t>
      </w:r>
      <w:r>
        <w:rPr>
          <w:rFonts w:ascii="Times New Roman" w:hAnsi="Times New Roman" w:cs="Times New Roman" w:eastAsiaTheme="minorEastAsia"/>
          <w:b/>
          <w:sz w:val="24"/>
          <w:szCs w:val="24"/>
        </w:rPr>
        <w:t xml:space="preserve">、保密条款</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7</w:t>
      </w:r>
      <w:r>
        <w:rPr>
          <w:rFonts w:ascii="Times New Roman" w:hAnsi="Times New Roman" w:cs="Times New Roman" w:eastAsiaTheme="minorEastAsia"/>
          <w:sz w:val="24"/>
          <w:szCs w:val="24"/>
        </w:rPr>
        <w:t xml:space="preserve">.1</w:t>
      </w:r>
      <w:r>
        <w:rPr>
          <w:rFonts w:ascii="Times New Roman" w:hAnsi="Times New Roman" w:cs="Times New Roman" w:eastAsiaTheme="minorEastAsia"/>
          <w:sz w:val="24"/>
          <w:szCs w:val="24"/>
        </w:rPr>
        <w:t xml:space="preserve">根据甲方项目管理要求，乙方参与项目设备采购、系统建设和服务保障过程的人员须签订保密协议，采取严格、有效的内部保密制度和措施，履行保守相关信息的义务，加强人员教育，避免无关人员获悉相关项目信息。</w:t>
      </w:r>
      <w:r>
        <w:rPr>
          <w:rFonts w:ascii="Times New Roman" w:hAnsi="Times New Roman" w:cs="Times New Roman" w:eastAsiaTheme="minorEastAsia"/>
          <w:sz w:val="24"/>
          <w:szCs w:val="24"/>
        </w:rPr>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7</w:t>
      </w:r>
      <w:r>
        <w:rPr>
          <w:rFonts w:ascii="Times New Roman" w:hAnsi="Times New Roman" w:cs="Times New Roman" w:eastAsiaTheme="minorEastAsia"/>
          <w:sz w:val="24"/>
          <w:szCs w:val="24"/>
        </w:rPr>
        <w:t xml:space="preserve">.2未经甲方同意、乙方不得以包括但不限于誊写、复印、拍照录音、录像等任何方式进行复制工程相关文件、图纸、配置信息等,建设工作产生的信息不得以任何形式泄露给非相关方。</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7</w:t>
      </w:r>
      <w:r>
        <w:rPr>
          <w:rFonts w:ascii="Times New Roman" w:hAnsi="Times New Roman" w:cs="Times New Roman" w:eastAsiaTheme="minorEastAsia"/>
          <w:sz w:val="24"/>
          <w:szCs w:val="24"/>
        </w:rPr>
        <w:t xml:space="preserve">.3乙方在建设过程中使用的计算机终端，存储介质等均为保密专用，不得使用其他计算机设备进行相关操作，系统调试、工程资料编写完成后所产生的文件、图纸资料等应及时交还甲方，不得私自留存。</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7</w:t>
      </w:r>
      <w:r>
        <w:rPr>
          <w:rFonts w:ascii="Times New Roman" w:hAnsi="Times New Roman" w:cs="Times New Roman" w:eastAsiaTheme="minorEastAsia"/>
          <w:sz w:val="24"/>
          <w:szCs w:val="24"/>
        </w:rPr>
        <w:t xml:space="preserve">.4乙方在项目执行过程中发生失泄密事件的，甲方可单方面解除合同，乙方应退还甲方已支付款项以及自付款之日起至返还之日止的中国人民银行同期贷款利息，并由乙方赔偿由此造成的甲方全部损失（包括但不限于采取补救措施所产生的费用、诉讼费、仲裁费、律师费、第三方的违约金等其他费用）。造成严重后果的，甲方将根据有关法律法规追究乙方相关责任。构成犯罪的，依法追究其刑事责任。</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7</w:t>
      </w:r>
      <w:r>
        <w:rPr>
          <w:rFonts w:ascii="Times New Roman" w:hAnsi="Times New Roman" w:cs="Times New Roman" w:eastAsiaTheme="minorEastAsia"/>
          <w:sz w:val="24"/>
          <w:szCs w:val="24"/>
        </w:rPr>
        <w:t xml:space="preserve">.</w:t>
      </w:r>
      <w:r>
        <w:rPr>
          <w:rFonts w:hint="eastAsia" w:ascii="Times New Roman" w:hAnsi="Times New Roman" w:cs="Times New Roman" w:eastAsiaTheme="minorEastAsia"/>
          <w:sz w:val="24"/>
          <w:szCs w:val="24"/>
        </w:rPr>
        <w:t xml:space="preserve">5</w:t>
      </w:r>
      <w:r>
        <w:rPr>
          <w:rFonts w:ascii="Times New Roman" w:hAnsi="Times New Roman" w:cs="Times New Roman" w:eastAsiaTheme="minorEastAsia"/>
          <w:sz w:val="24"/>
          <w:szCs w:val="24"/>
        </w:rPr>
        <w:t xml:space="preserve">无论本合同是否变更、解除或终止，合同的保密条款不受其限制而继续有效，双方都应承担保密条款约定的保密责任。</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十</w:t>
      </w:r>
      <w:r>
        <w:rPr>
          <w:rFonts w:hint="eastAsia" w:ascii="Times New Roman" w:hAnsi="Times New Roman" w:cs="Times New Roman" w:eastAsiaTheme="minorEastAsia"/>
          <w:b/>
          <w:sz w:val="24"/>
          <w:szCs w:val="24"/>
        </w:rPr>
        <w:t xml:space="preserve">八</w:t>
      </w:r>
      <w:r>
        <w:rPr>
          <w:rFonts w:ascii="Times New Roman" w:hAnsi="Times New Roman" w:cs="Times New Roman" w:eastAsiaTheme="minorEastAsia"/>
          <w:b/>
          <w:sz w:val="24"/>
          <w:szCs w:val="24"/>
        </w:rPr>
        <w:t xml:space="preserve">、不可抗力事件处理</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8</w:t>
      </w:r>
      <w:r>
        <w:rPr>
          <w:rFonts w:ascii="Times New Roman" w:hAnsi="Times New Roman" w:cs="Times New Roman" w:eastAsiaTheme="minorEastAsia"/>
          <w:sz w:val="24"/>
          <w:szCs w:val="24"/>
        </w:rPr>
        <w:t xml:space="preserve">.1在合同有效期内，任何一方因不可抗力事件导致不能履行合同，则合同履行期可延长，其延长期与不可抗力影响期相同。</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8</w:t>
      </w:r>
      <w:r>
        <w:rPr>
          <w:rFonts w:ascii="Times New Roman" w:hAnsi="Times New Roman" w:cs="Times New Roman" w:eastAsiaTheme="minorEastAsia"/>
          <w:sz w:val="24"/>
          <w:szCs w:val="24"/>
        </w:rPr>
        <w:t xml:space="preserve">.2不可抗力事件发生后，应立即通知对方，并寄送有关权威机构出具的证明。</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8</w:t>
      </w:r>
      <w:r>
        <w:rPr>
          <w:rFonts w:ascii="Times New Roman" w:hAnsi="Times New Roman" w:cs="Times New Roman" w:eastAsiaTheme="minorEastAsia"/>
          <w:sz w:val="24"/>
          <w:szCs w:val="24"/>
        </w:rPr>
        <w:t xml:space="preserve">.3不可抗力事件延续120天以上，双方应通过友好协商，确定是否继续履行合同。</w:t>
      </w:r>
      <w:r/>
    </w:p>
    <w:p>
      <w:pPr>
        <w:pStyle w:val="916"/>
        <w:ind w:firstLine="482"/>
        <w:spacing w:before="120" w:after="120" w:line="400" w:lineRule="exact"/>
        <w:rPr>
          <w:rFonts w:ascii="Times New Roman" w:hAnsi="Times New Roman" w:cs="Times New Roman" w:eastAsiaTheme="minorEastAsia"/>
          <w:b/>
          <w:sz w:val="24"/>
          <w:szCs w:val="24"/>
        </w:rPr>
      </w:pPr>
      <w:r>
        <w:rPr>
          <w:rFonts w:ascii="Times New Roman" w:hAnsi="Times New Roman" w:cs="Times New Roman" w:eastAsiaTheme="minorEastAsia"/>
          <w:b/>
          <w:sz w:val="24"/>
          <w:szCs w:val="24"/>
        </w:rPr>
        <w:t xml:space="preserve">十</w:t>
      </w:r>
      <w:r>
        <w:rPr>
          <w:rFonts w:hint="eastAsia" w:ascii="Times New Roman" w:hAnsi="Times New Roman" w:cs="Times New Roman" w:eastAsiaTheme="minorEastAsia"/>
          <w:b/>
          <w:sz w:val="24"/>
          <w:szCs w:val="24"/>
        </w:rPr>
        <w:t xml:space="preserve">九</w:t>
      </w:r>
      <w:r>
        <w:rPr>
          <w:rFonts w:ascii="Times New Roman" w:hAnsi="Times New Roman" w:cs="Times New Roman" w:eastAsiaTheme="minorEastAsia"/>
          <w:b/>
          <w:sz w:val="24"/>
          <w:szCs w:val="24"/>
        </w:rPr>
        <w:t xml:space="preserve">、解决争议的方法</w:t>
      </w:r>
      <w:r/>
    </w:p>
    <w:p>
      <w:pPr>
        <w:pStyle w:val="916"/>
        <w:ind w:firstLine="480"/>
        <w:spacing w:before="120" w:after="120" w:line="40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1</w:t>
      </w:r>
      <w:r>
        <w:rPr>
          <w:rFonts w:hint="eastAsia" w:ascii="Times New Roman" w:hAnsi="Times New Roman" w:cs="Times New Roman" w:eastAsiaTheme="minorEastAsia"/>
          <w:sz w:val="24"/>
          <w:szCs w:val="24"/>
        </w:rPr>
        <w:t xml:space="preserve">9</w:t>
      </w:r>
      <w:r>
        <w:rPr>
          <w:rFonts w:ascii="Times New Roman" w:hAnsi="Times New Roman" w:cs="Times New Roman" w:eastAsiaTheme="minorEastAsia"/>
          <w:sz w:val="24"/>
          <w:szCs w:val="24"/>
        </w:rPr>
        <w:t xml:space="preserve">.1</w:t>
      </w:r>
      <w:r>
        <w:rPr>
          <w:rFonts w:ascii="Times New Roman" w:hAnsi="Times New Roman"/>
          <w:sz w:val="24"/>
          <w:szCs w:val="24"/>
        </w:rPr>
        <w:t xml:space="preserve">双方在执行合同中所发生的一切争议，应通过协商解决。如协商不成，可向合同签订地</w:t>
      </w:r>
      <w:r>
        <w:rPr>
          <w:rFonts w:hint="eastAsia" w:ascii="Times New Roman" w:hAnsi="Times New Roman"/>
          <w:sz w:val="24"/>
          <w:szCs w:val="24"/>
        </w:rPr>
        <w:t xml:space="preserve">的南京市鼓楼区人民</w:t>
      </w:r>
      <w:r>
        <w:rPr>
          <w:rFonts w:ascii="Times New Roman" w:hAnsi="Times New Roman"/>
          <w:sz w:val="24"/>
          <w:szCs w:val="24"/>
        </w:rPr>
        <w:t xml:space="preserve">法院起诉。</w:t>
      </w:r>
      <w:r/>
    </w:p>
    <w:p>
      <w:pPr>
        <w:pStyle w:val="916"/>
        <w:ind w:firstLine="482"/>
        <w:spacing w:before="120" w:after="120" w:line="400" w:lineRule="exact"/>
        <w:rPr>
          <w:rFonts w:ascii="Times New Roman" w:hAnsi="Times New Roman" w:cs="Times New Roman" w:eastAsiaTheme="minorEastAsia"/>
          <w:b/>
          <w:sz w:val="24"/>
          <w:szCs w:val="24"/>
        </w:rPr>
      </w:pPr>
      <w:r>
        <w:rPr>
          <w:rFonts w:hint="eastAsia" w:ascii="Times New Roman" w:hAnsi="Times New Roman" w:cs="Times New Roman" w:eastAsiaTheme="minorEastAsia"/>
          <w:b/>
          <w:sz w:val="24"/>
          <w:szCs w:val="24"/>
        </w:rPr>
        <w:t xml:space="preserve">二十</w:t>
      </w:r>
      <w:r>
        <w:rPr>
          <w:rFonts w:ascii="Times New Roman" w:hAnsi="Times New Roman" w:cs="Times New Roman" w:eastAsiaTheme="minorEastAsia"/>
          <w:b/>
          <w:sz w:val="24"/>
          <w:szCs w:val="24"/>
        </w:rPr>
        <w:t xml:space="preserve">、合同生效及其它</w:t>
      </w:r>
      <w:r/>
    </w:p>
    <w:p>
      <w:pPr>
        <w:pStyle w:val="916"/>
        <w:ind w:firstLine="480"/>
        <w:spacing w:before="120" w:after="120" w:line="400" w:lineRule="exact"/>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 xml:space="preserve">20</w:t>
      </w:r>
      <w:r>
        <w:rPr>
          <w:rFonts w:ascii="Times New Roman" w:hAnsi="Times New Roman" w:cs="Times New Roman" w:eastAsiaTheme="minorEastAsia"/>
          <w:sz w:val="24"/>
          <w:szCs w:val="24"/>
        </w:rPr>
        <w:t xml:space="preserve">.1合同经双方法定代表人或授权委托代表人签字并加盖单位公章后生效。</w:t>
      </w:r>
      <w:r/>
    </w:p>
    <w:p>
      <w:pPr>
        <w:pStyle w:val="916"/>
        <w:ind w:firstLine="480"/>
        <w:spacing w:before="120" w:after="120" w:line="400" w:lineRule="exact"/>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 xml:space="preserve">20</w:t>
      </w:r>
      <w:r>
        <w:rPr>
          <w:rFonts w:ascii="Times New Roman" w:hAnsi="Times New Roman" w:cs="Times New Roman" w:eastAsiaTheme="minorEastAsia"/>
          <w:sz w:val="24"/>
          <w:szCs w:val="24"/>
        </w:rPr>
        <w:t xml:space="preserve">.2本合同未尽事宜，遵照中华人民共和国现行法律法规有关条文执行。</w:t>
      </w:r>
      <w:r/>
    </w:p>
    <w:p>
      <w:pPr>
        <w:pStyle w:val="916"/>
        <w:ind w:firstLine="480"/>
        <w:spacing w:before="120" w:after="120" w:line="400" w:lineRule="exact"/>
        <w:rPr>
          <w:rFonts w:ascii="Times New Roman" w:hAnsi="Times New Roman" w:cs="Times New Roman" w:eastAsiaTheme="minorEastAsia"/>
          <w:sz w:val="24"/>
          <w:szCs w:val="24"/>
        </w:rPr>
      </w:pPr>
      <w:r>
        <w:rPr>
          <w:rFonts w:hint="eastAsia" w:ascii="Times New Roman" w:hAnsi="Times New Roman" w:cs="Times New Roman" w:eastAsiaTheme="minorEastAsia"/>
          <w:sz w:val="24"/>
          <w:szCs w:val="24"/>
        </w:rPr>
        <w:t xml:space="preserve">20</w:t>
      </w:r>
      <w:r>
        <w:rPr>
          <w:rFonts w:ascii="Times New Roman" w:hAnsi="Times New Roman" w:cs="Times New Roman" w:eastAsiaTheme="minorEastAsia"/>
          <w:sz w:val="24"/>
          <w:szCs w:val="24"/>
        </w:rPr>
        <w:t xml:space="preserve">.3本合同正本一式肆份，具有同等法律效力，甲方、乙方各执贰份。</w:t>
      </w:r>
      <w:r/>
    </w:p>
    <w:p>
      <w:pPr>
        <w:pStyle w:val="916"/>
        <w:ind w:firstLine="357"/>
        <w:spacing w:before="120" w:after="120" w:line="293" w:lineRule="auto"/>
        <w:rPr>
          <w:rFonts w:ascii="Times New Roman" w:hAnsi="Times New Roman" w:cs="Times New Roman" w:eastAsiaTheme="minorEastAsia"/>
          <w:sz w:val="24"/>
          <w:szCs w:val="24"/>
        </w:rPr>
      </w:pPr>
      <w:r>
        <w:rPr>
          <w:rFonts w:ascii="Times New Roman" w:hAnsi="Times New Roman" w:cs="Times New Roman" w:eastAsiaTheme="minorEastAsia"/>
          <w:sz w:val="24"/>
          <w:szCs w:val="24"/>
        </w:rPr>
      </w:r>
      <w:r/>
    </w:p>
    <w:p>
      <w:pPr>
        <w:pStyle w:val="916"/>
        <w:ind w:firstLine="357"/>
        <w:spacing w:before="120" w:after="120" w:line="293" w:lineRule="auto"/>
        <w:rPr>
          <w:rFonts w:ascii="Times New Roman" w:hAnsi="Times New Roman" w:cs="Times New Roman" w:eastAsiaTheme="minorEastAsia"/>
          <w:sz w:val="24"/>
          <w:szCs w:val="24"/>
        </w:rPr>
      </w:pPr>
      <w:r>
        <w:rPr>
          <w:rFonts w:ascii="Times New Roman" w:hAnsi="Times New Roman" w:cs="Times New Roman" w:eastAsiaTheme="minorEastAsia"/>
          <w:sz w:val="24"/>
          <w:szCs w:val="24"/>
        </w:rPr>
      </w:r>
      <w:r/>
    </w:p>
    <w:p>
      <w:pPr>
        <w:pStyle w:val="916"/>
        <w:spacing w:before="120" w:after="120" w:line="52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甲方：江苏省公安厅</w:t>
      </w:r>
      <w:r>
        <w:rPr>
          <w:rFonts w:hint="eastAsia" w:ascii="Times New Roman" w:hAnsi="Times New Roman" w:cs="Times New Roman" w:eastAsiaTheme="minorEastAsia"/>
          <w:sz w:val="24"/>
          <w:szCs w:val="24"/>
          <w:lang w:val="en-US" w:eastAsia="zh-CN"/>
        </w:rPr>
        <w:t xml:space="preserve">                                </w:t>
      </w:r>
      <w:r>
        <w:rPr>
          <w:rFonts w:ascii="Times New Roman" w:hAnsi="Times New Roman" w:cs="Times New Roman" w:eastAsiaTheme="minorEastAsia"/>
          <w:sz w:val="24"/>
          <w:szCs w:val="24"/>
        </w:rPr>
        <w:t xml:space="preserve">乙方：</w:t>
      </w:r>
      <w:r/>
    </w:p>
    <w:p>
      <w:pPr>
        <w:pStyle w:val="916"/>
        <w:spacing w:before="120" w:after="120" w:line="52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地址：</w:t>
      </w:r>
      <w:r>
        <w:rPr>
          <w:rFonts w:ascii="Times New Roman" w:hAnsi="Times New Roman" w:cs="Times New Roman" w:eastAsiaTheme="minorEastAsia"/>
          <w:color w:val="000000"/>
          <w:sz w:val="24"/>
          <w:szCs w:val="24"/>
        </w:rPr>
        <w:t xml:space="preserve">南京市鼓楼区扬州路1号</w:t>
      </w:r>
      <w:r>
        <w:rPr>
          <w:rFonts w:hint="eastAsia" w:ascii="Times New Roman" w:hAnsi="Times New Roman" w:cs="Times New Roman" w:eastAsiaTheme="minorEastAsia"/>
          <w:color w:val="000000"/>
          <w:sz w:val="24"/>
          <w:szCs w:val="24"/>
          <w:lang w:val="en-US" w:eastAsia="zh-CN"/>
        </w:rPr>
        <w:t xml:space="preserve">                      </w:t>
      </w:r>
      <w:r>
        <w:rPr>
          <w:rFonts w:ascii="Times New Roman" w:hAnsi="Times New Roman" w:cs="Times New Roman" w:eastAsiaTheme="minorEastAsia"/>
          <w:sz w:val="24"/>
          <w:szCs w:val="24"/>
        </w:rPr>
        <w:t xml:space="preserve">地址：</w:t>
      </w:r>
      <w:r/>
    </w:p>
    <w:p>
      <w:pPr>
        <w:pStyle w:val="916"/>
        <w:spacing w:before="120" w:after="120" w:line="520" w:lineRule="exact"/>
        <w:rPr>
          <w:rFonts w:ascii="Times New Roman" w:hAnsi="Times New Roman" w:cs="Times New Roman" w:eastAsiaTheme="minorEastAsia"/>
          <w:sz w:val="24"/>
          <w:szCs w:val="24"/>
        </w:rPr>
      </w:pPr>
      <w:r>
        <w:rPr>
          <w:rFonts w:ascii="Times New Roman" w:hAnsi="Times New Roman" w:cs="Times New Roman" w:eastAsiaTheme="minorEastAsia"/>
          <w:sz w:val="24"/>
          <w:szCs w:val="24"/>
        </w:rPr>
        <w:t xml:space="preserve">法定代表人或授权代表：</w:t>
      </w:r>
      <w:r>
        <w:rPr>
          <w:rFonts w:hint="eastAsia" w:ascii="Times New Roman" w:hAnsi="Times New Roman" w:cs="Times New Roman" w:eastAsiaTheme="minorEastAsia"/>
          <w:sz w:val="24"/>
          <w:szCs w:val="24"/>
          <w:lang w:val="en-US" w:eastAsia="zh-CN"/>
        </w:rPr>
        <w:t xml:space="preserve">                            </w:t>
      </w:r>
      <w:r>
        <w:rPr>
          <w:rFonts w:ascii="Times New Roman" w:hAnsi="Times New Roman" w:cs="Times New Roman" w:eastAsiaTheme="minorEastAsia"/>
          <w:sz w:val="24"/>
          <w:szCs w:val="24"/>
        </w:rPr>
        <w:t xml:space="preserve">法定代表人或授权代表：</w:t>
      </w:r>
      <w:r/>
    </w:p>
    <w:p>
      <w:pPr>
        <w:pStyle w:val="916"/>
        <w:spacing w:before="120" w:after="120" w:line="520" w:lineRule="exact"/>
        <w:rPr>
          <w:rFonts w:ascii="Times New Roman" w:hAnsi="Times New Roman" w:cs="Times New Roman" w:eastAsiaTheme="minorEastAsia"/>
        </w:rPr>
      </w:pPr>
      <w:r>
        <w:rPr>
          <w:rFonts w:ascii="Times New Roman" w:hAnsi="Times New Roman" w:cs="Times New Roman" w:eastAsiaTheme="minorEastAsia"/>
          <w:sz w:val="24"/>
          <w:szCs w:val="24"/>
        </w:rPr>
        <w:t xml:space="preserve">联系电话：</w:t>
      </w:r>
      <w:r>
        <w:rPr>
          <w:rFonts w:hint="eastAsia" w:ascii="Times New Roman" w:hAnsi="Times New Roman" w:cs="Times New Roman" w:eastAsiaTheme="minorEastAsia"/>
          <w:sz w:val="24"/>
          <w:szCs w:val="24"/>
          <w:lang w:val="en-US" w:eastAsia="zh-CN"/>
        </w:rPr>
        <w:t xml:space="preserve">                                        </w:t>
      </w:r>
      <w:r>
        <w:rPr>
          <w:rFonts w:ascii="Times New Roman" w:hAnsi="Times New Roman" w:cs="Times New Roman" w:eastAsiaTheme="minorEastAsia"/>
          <w:sz w:val="24"/>
          <w:szCs w:val="24"/>
        </w:rPr>
        <w:t xml:space="preserve">联系电话：</w:t>
      </w:r>
      <w:r/>
    </w:p>
    <w:p>
      <w:pPr>
        <w:spacing w:before="120" w:after="120" w:line="520" w:lineRule="exact"/>
        <w:rPr>
          <w:rFonts w:eastAsiaTheme="minorEastAsia"/>
          <w:sz w:val="24"/>
          <w:szCs w:val="24"/>
        </w:rPr>
      </w:pPr>
      <w:r>
        <w:rPr>
          <w:rFonts w:eastAsiaTheme="minorEastAsia"/>
          <w:sz w:val="24"/>
          <w:szCs w:val="24"/>
        </w:rPr>
        <w:t xml:space="preserve">签订日期：年月日</w:t>
      </w:r>
      <w:bookmarkStart w:id="173" w:name="_Hlt16619369"/>
      <w:r/>
      <w:bookmarkEnd w:id="173"/>
      <w:r>
        <w:rPr>
          <w:rFonts w:hint="eastAsia" w:eastAsiaTheme="minorEastAsia"/>
          <w:sz w:val="24"/>
          <w:szCs w:val="24"/>
          <w:lang w:val="en-US" w:eastAsia="zh-CN"/>
        </w:rPr>
        <w:t xml:space="preserve">                                  </w:t>
      </w:r>
      <w:r>
        <w:rPr>
          <w:rFonts w:eastAsiaTheme="minorEastAsia"/>
          <w:sz w:val="24"/>
          <w:szCs w:val="24"/>
        </w:rPr>
        <w:t xml:space="preserve">签订日期：年月日</w:t>
      </w:r>
      <w:r/>
    </w:p>
    <w:p>
      <w:pPr>
        <w:pStyle w:val="925"/>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附件一：明细报价表</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4"/>
        <w:gridCol w:w="877"/>
        <w:gridCol w:w="781"/>
        <w:gridCol w:w="714"/>
        <w:gridCol w:w="473"/>
        <w:gridCol w:w="498"/>
        <w:gridCol w:w="731"/>
        <w:gridCol w:w="783"/>
        <w:gridCol w:w="422"/>
        <w:gridCol w:w="647"/>
        <w:gridCol w:w="2865"/>
      </w:tblGrid>
      <w:tr>
        <w:trPr>
          <w:trHeight w:val="432"/>
        </w:trPr>
        <w:tc>
          <w:tcPr>
            <w:gridSpan w:val="1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（一）硬件部分</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13"/>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（二）服务部分</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（万元）</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集成服务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3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投标报价总计</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人民币（大写）</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拾    万   仟    佰    拾    元整</w:t>
            </w:r>
            <w:r/>
          </w:p>
        </w:tc>
      </w:tr>
    </w:tbl>
    <w:p>
      <w:pPr>
        <w:jc w:val="left"/>
        <w:widowControl/>
        <w:rPr>
          <w:rFonts w:ascii="黑体" w:hAnsi="Courier New" w:eastAsia="黑体" w:cs="Courier New"/>
          <w:bCs/>
          <w:color w:val="000000"/>
          <w:sz w:val="44"/>
          <w:szCs w:val="21"/>
        </w:rPr>
      </w:pPr>
      <w:r>
        <w:rPr>
          <w:rFonts w:ascii="黑体" w:hAnsi="Courier New" w:eastAsia="黑体" w:cs="Courier New"/>
          <w:bCs/>
          <w:color w:val="000000"/>
          <w:sz w:val="44"/>
          <w:szCs w:val="21"/>
        </w:rPr>
        <w:br w:type="page" w:clear="all"/>
      </w:r>
      <w:r/>
    </w:p>
    <w:p>
      <w:pPr>
        <w:ind w:firstLine="2640"/>
        <w:jc w:val="left"/>
        <w:keepNext/>
        <w:rPr>
          <w:rFonts w:ascii="黑体" w:eastAsia="黑体"/>
          <w:bCs/>
          <w:color w:val="000000"/>
          <w:sz w:val="44"/>
          <w:szCs w:val="28"/>
        </w:rPr>
        <w:outlineLvl w:val="0"/>
      </w:pPr>
      <w:r>
        <w:rPr>
          <w:rFonts w:hint="eastAsia" w:ascii="黑体" w:hAnsi="Courier New" w:eastAsia="黑体" w:cs="Courier New"/>
          <w:bCs/>
          <w:color w:val="000000"/>
          <w:sz w:val="44"/>
          <w:szCs w:val="21"/>
        </w:rPr>
        <w:t xml:space="preserve">第四章 采购需求</w:t>
      </w:r>
      <w:r/>
    </w:p>
    <w:p>
      <w:pPr>
        <w:spacing w:line="0" w:lineRule="atLeast"/>
        <w:rPr>
          <w:rFonts w:hint="eastAsia" w:ascii="宋体" w:hAnsi="宋体"/>
          <w:b/>
          <w:i/>
          <w:iCs/>
          <w:color w:val="000000"/>
          <w:sz w:val="24"/>
          <w:szCs w:val="24"/>
          <w:highlight w:val="none"/>
          <w:u w:val="single"/>
        </w:rPr>
      </w:pPr>
      <w:r/>
      <w:bookmarkStart w:id="174" w:name="_Toc479757211"/>
      <w:r/>
      <w:bookmarkStart w:id="175" w:name="_Toc462564139"/>
      <w:r/>
      <w:r/>
    </w:p>
    <w:p>
      <w:pPr>
        <w:spacing w:line="0" w:lineRule="atLeast"/>
        <w:rPr>
          <w:rFonts w:ascii="宋体" w:hAnsi="宋体" w:cs="Courier New"/>
          <w:color w:val="000000"/>
          <w:sz w:val="24"/>
          <w:szCs w:val="24"/>
        </w:rPr>
      </w:pPr>
      <w:r>
        <w:rPr>
          <w:rFonts w:hint="eastAsia" w:ascii="宋体" w:hAnsi="宋体"/>
          <w:b/>
          <w:i/>
          <w:iCs/>
          <w:color w:val="000000"/>
          <w:sz w:val="24"/>
          <w:szCs w:val="24"/>
          <w:highlight w:val="none"/>
          <w:u w:val="single"/>
        </w:rPr>
        <w:t xml:space="preserve">注：本招标文件中所有斜体下划线部分为实质性条款，如不满足，则为无效投标。</w:t>
      </w:r>
      <w:r/>
    </w:p>
    <w:p>
      <w:pPr>
        <w:spacing w:line="0" w:lineRule="atLeast"/>
        <w:rPr>
          <w:rFonts w:ascii="宋体" w:hAnsi="宋体"/>
          <w:b/>
          <w:sz w:val="24"/>
          <w:szCs w:val="24"/>
        </w:rPr>
      </w:pPr>
      <w:r/>
      <w:bookmarkStart w:id="176" w:name="_Toc49090575"/>
      <w:r/>
      <w:bookmarkStart w:id="177" w:name="_Toc26554093"/>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6"/>
        <w:gridCol w:w="2740"/>
        <w:gridCol w:w="2852"/>
      </w:tblGrid>
      <w:tr>
        <w:trPr>
          <w:cantSplit/>
          <w:jc w:val="center"/>
        </w:trPr>
        <w:tc>
          <w:tcPr>
            <w:tcW w:w="10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分包</w:t>
            </w:r>
            <w:r/>
          </w:p>
        </w:tc>
        <w:tc>
          <w:tcPr>
            <w:tcW w:w="27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W w:w="10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740" w:type="dxa"/>
            <w:vAlign w:val="center"/>
            <w:textDirection w:val="lrTb"/>
            <w:noWrap w:val="false"/>
          </w:tcPr>
          <w:p>
            <w:pPr>
              <w:jc w:val="center"/>
              <w:widowControl/>
              <w:rPr>
                <w:rFonts w:ascii="宋体" w:hAnsi="宋体"/>
                <w:sz w:val="24"/>
                <w:szCs w:val="24"/>
              </w:rPr>
            </w:pPr>
            <w:r>
              <w:rPr>
                <w:rFonts w:hint="eastAsia" w:ascii="宋体" w:hAnsi="宋体" w:cs="宋体"/>
                <w:color w:val="000000"/>
                <w:sz w:val="24"/>
                <w:szCs w:val="24"/>
              </w:rPr>
              <w:t xml:space="preserve">防火墙01</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防火墙02</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防火墙03</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防火墙04</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p>
        </w:tc>
        <w:tc>
          <w:tcPr>
            <w:tcW w:w="2740" w:type="dxa"/>
            <w:vAlign w:val="center"/>
            <w:textDirection w:val="lrTb"/>
            <w:noWrap w:val="false"/>
          </w:tcPr>
          <w:p>
            <w:pPr>
              <w:jc w:val="center"/>
              <w:widowControl/>
              <w:rPr>
                <w:rFonts w:hint="eastAsia" w:ascii="宋体" w:hAnsi="宋体"/>
                <w:b/>
                <w:bCs/>
                <w:sz w:val="24"/>
                <w:szCs w:val="24"/>
              </w:rPr>
            </w:pPr>
            <w:r>
              <w:rPr>
                <w:rFonts w:hint="eastAsia" w:ascii="宋体" w:hAnsi="宋体" w:cs="宋体"/>
                <w:b/>
                <w:bCs/>
                <w:color w:val="000000"/>
                <w:sz w:val="24"/>
                <w:szCs w:val="24"/>
              </w:rPr>
              <w:t xml:space="preserve">防火墙05（核心产品）</w:t>
            </w:r>
            <w:r>
              <w:rPr>
                <w:b/>
                <w:bCs/>
              </w:rPr>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6</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防火墙06</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7</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入侵防御（含防病毒功能）</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8</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终端数据防泄漏</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9</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WEB应用防护</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10</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数据库审计</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11</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bCs/>
                <w:color w:val="000000"/>
                <w:sz w:val="24"/>
                <w:szCs w:val="24"/>
              </w:rPr>
              <w:t xml:space="preserve">大数据安全审计</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jc w:val="center"/>
          <w:trHeight w:val="291"/>
        </w:trPr>
        <w:tc>
          <w:tcPr>
            <w:tcW w:w="1096"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12</w:t>
            </w:r>
            <w:r/>
          </w:p>
        </w:tc>
        <w:tc>
          <w:tcPr>
            <w:tcW w:w="2740"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24"/>
                <w:szCs w:val="24"/>
              </w:rPr>
              <w:t xml:space="preserve">安全漏洞防护</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spacing w:line="0" w:lineRule="atLeast"/>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lang w:eastAsia="zh-CN"/>
        </w:rPr>
        <w:t xml:space="preserve">一</w:t>
      </w:r>
      <w:r>
        <w:rPr>
          <w:rFonts w:hint="eastAsia" w:ascii="宋体" w:hAnsi="宋体" w:eastAsia="宋体"/>
          <w:b/>
          <w:color w:val="000000"/>
          <w:sz w:val="24"/>
          <w:szCs w:val="24"/>
          <w:highlight w:val="none"/>
          <w:lang w:eastAsia="zh-CN"/>
        </w:rPr>
        <w:t xml:space="preserve">、主要设备清单</w:t>
      </w:r>
      <w:r/>
    </w:p>
    <w:tbl>
      <w:tblPr>
        <w:tblStyle w:val="914"/>
        <w:tblW w:w="6616"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3605"/>
        <w:gridCol w:w="844"/>
        <w:gridCol w:w="1087"/>
      </w:tblGrid>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防火墙01</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防火墙02</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防火墙03</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防火墙04</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b/>
                <w:bCs/>
                <w:color w:val="000000"/>
                <w:sz w:val="24"/>
                <w:szCs w:val="24"/>
              </w:rPr>
              <w:t xml:space="preserve">防火墙05</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防火墙06</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入侵防御（含防病毒功能）</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终端数据防泄漏</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WEB应用防护</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数据库审计</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bCs/>
                <w:color w:val="000000"/>
                <w:sz w:val="24"/>
                <w:szCs w:val="24"/>
              </w:rPr>
              <w:t xml:space="preserve">大数据安全审计</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Cs/>
                <w:color w:val="000000"/>
                <w:sz w:val="24"/>
                <w:szCs w:val="24"/>
              </w:rPr>
            </w:pPr>
            <w:r>
              <w:rPr>
                <w:rFonts w:hint="eastAsia" w:ascii="宋体" w:hAnsi="宋体" w:cs="宋体"/>
                <w:bCs/>
                <w:color w:val="000000"/>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安全漏洞防护</w:t>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r>
    </w:tbl>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二、技术要求</w:t>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2.1设备招标技术参数</w:t>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1、防火墙01    2台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rHeight w:val="90"/>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整机要求</w:t>
            </w:r>
            <w:r/>
          </w:p>
        </w:tc>
        <w:tc>
          <w:tcPr>
            <w:tcW w:w="6600" w:type="dxa"/>
            <w:vAlign w:val="center"/>
            <w:textDirection w:val="lrTb"/>
            <w:noWrap w:val="false"/>
          </w:tcPr>
          <w:p>
            <w:pPr>
              <w:spacing w:line="276" w:lineRule="auto"/>
              <w:rPr>
                <w:rFonts w:ascii="宋体" w:hAnsi="宋体" w:cs="宋体"/>
                <w:i/>
                <w:iCs/>
                <w:color w:val="000000"/>
                <w:szCs w:val="21"/>
                <w:u w:val="single"/>
              </w:rPr>
            </w:pPr>
            <w:r>
              <w:rPr>
                <w:rFonts w:hint="eastAsia" w:cs="宋体"/>
                <w:i/>
                <w:iCs/>
                <w:color w:val="000000"/>
                <w:szCs w:val="21"/>
                <w:u w:val="single"/>
              </w:rPr>
              <w:t xml:space="preserve">CPU采用国产多核处理器芯片；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cs="宋体"/>
                <w:i/>
                <w:iCs/>
                <w:color w:val="000000"/>
                <w:szCs w:val="21"/>
                <w:u w:val="single"/>
              </w:rPr>
              <w:t xml:space="preserve">吞吐量</w:t>
            </w:r>
            <w:r>
              <w:rPr>
                <w:rFonts w:hint="eastAsia" w:ascii="宋体" w:hAnsi="宋体"/>
                <w:i/>
                <w:iCs/>
                <w:szCs w:val="21"/>
                <w:u w:val="single"/>
              </w:rPr>
              <w:t xml:space="preserve">≥</w:t>
            </w:r>
            <w:r>
              <w:rPr>
                <w:rFonts w:hint="eastAsia" w:ascii="宋体" w:hAnsi="宋体" w:cs="宋体"/>
                <w:i/>
                <w:iCs/>
                <w:color w:val="000000"/>
                <w:szCs w:val="21"/>
                <w:u w:val="single"/>
              </w:rPr>
              <w:t xml:space="preserve">1Gbps，IPSec吞吐量</w:t>
            </w:r>
            <w:r>
              <w:rPr>
                <w:rFonts w:hint="eastAsia" w:ascii="宋体" w:hAnsi="宋体"/>
                <w:i/>
                <w:iCs/>
                <w:szCs w:val="21"/>
                <w:u w:val="single"/>
              </w:rPr>
              <w:t xml:space="preserve">≥</w:t>
            </w:r>
            <w:r>
              <w:rPr>
                <w:rFonts w:hint="eastAsia" w:ascii="宋体" w:hAnsi="宋体" w:cs="宋体"/>
                <w:i/>
                <w:iCs/>
                <w:color w:val="000000"/>
                <w:szCs w:val="21"/>
                <w:u w:val="single"/>
              </w:rPr>
              <w:t xml:space="preserve">400Mbps，最大并发连接数</w:t>
            </w:r>
            <w:r>
              <w:rPr>
                <w:rFonts w:hint="eastAsia" w:ascii="宋体" w:hAnsi="宋体"/>
                <w:i/>
                <w:iCs/>
                <w:szCs w:val="21"/>
                <w:u w:val="single"/>
              </w:rPr>
              <w:t xml:space="preserve">≥</w:t>
            </w:r>
            <w:r>
              <w:rPr>
                <w:rFonts w:hint="eastAsia" w:ascii="宋体" w:hAnsi="宋体" w:cs="宋体"/>
                <w:i/>
                <w:iCs/>
                <w:color w:val="000000"/>
                <w:szCs w:val="21"/>
                <w:u w:val="single"/>
              </w:rPr>
              <w:t xml:space="preserve">150万，SSL VPN并发用户数</w:t>
            </w:r>
            <w:r>
              <w:rPr>
                <w:rFonts w:hint="eastAsia" w:ascii="宋体" w:hAnsi="宋体"/>
                <w:i/>
                <w:iCs/>
                <w:szCs w:val="21"/>
                <w:u w:val="single"/>
              </w:rPr>
              <w:t xml:space="preserve">≥</w:t>
            </w:r>
            <w:r>
              <w:rPr>
                <w:rFonts w:hint="eastAsia" w:ascii="宋体" w:hAnsi="宋体" w:cs="宋体"/>
                <w:i/>
                <w:iCs/>
                <w:color w:val="000000"/>
                <w:szCs w:val="21"/>
                <w:u w:val="single"/>
              </w:rPr>
              <w:t xml:space="preserve">500，每秒新建数</w:t>
            </w:r>
            <w:r>
              <w:rPr>
                <w:rFonts w:hint="eastAsia" w:ascii="宋体" w:hAnsi="宋体"/>
                <w:i/>
                <w:iCs/>
                <w:szCs w:val="21"/>
                <w:u w:val="single"/>
              </w:rPr>
              <w:t xml:space="preserve">≥</w:t>
            </w:r>
            <w:r>
              <w:rPr>
                <w:rFonts w:hint="eastAsia" w:ascii="宋体" w:hAnsi="宋体" w:cs="宋体"/>
                <w:i/>
                <w:iCs/>
                <w:color w:val="000000"/>
                <w:szCs w:val="21"/>
                <w:u w:val="single"/>
              </w:rPr>
              <w:t xml:space="preserve">3万，策略数</w:t>
            </w:r>
            <w:r>
              <w:rPr>
                <w:rFonts w:hint="eastAsia" w:ascii="宋体" w:hAnsi="宋体"/>
                <w:i/>
                <w:iCs/>
                <w:szCs w:val="21"/>
                <w:u w:val="single"/>
              </w:rPr>
              <w:t xml:space="preserve">≥</w:t>
            </w:r>
            <w:r>
              <w:rPr>
                <w:rFonts w:hint="eastAsia" w:ascii="宋体" w:hAnsi="宋体" w:cs="宋体"/>
                <w:i/>
                <w:iCs/>
                <w:color w:val="000000"/>
                <w:szCs w:val="21"/>
                <w:u w:val="single"/>
              </w:rPr>
              <w:t xml:space="preserve">1.5万；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cs="宋体"/>
                <w:i/>
                <w:iCs/>
                <w:color w:val="000000"/>
                <w:szCs w:val="21"/>
                <w:u w:val="single"/>
              </w:rPr>
              <w:t xml:space="preserve">光模块配置：千兆单模光模块</w:t>
            </w:r>
            <w:r>
              <w:rPr>
                <w:rFonts w:hint="eastAsia" w:ascii="宋体" w:hAnsi="宋体"/>
                <w:i/>
                <w:iCs/>
                <w:szCs w:val="21"/>
                <w:u w:val="single"/>
              </w:rPr>
              <w:t xml:space="preserve">≥</w:t>
            </w:r>
            <w:r>
              <w:rPr>
                <w:rFonts w:hint="eastAsia" w:ascii="宋体" w:hAnsi="宋体" w:cs="宋体"/>
                <w:i/>
                <w:iCs/>
                <w:color w:val="000000"/>
                <w:szCs w:val="21"/>
                <w:u w:val="single"/>
              </w:rPr>
              <w:t xml:space="preserve">2个；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cs="宋体"/>
                <w:i/>
                <w:iCs/>
                <w:color w:val="000000"/>
                <w:szCs w:val="21"/>
                <w:u w:val="single"/>
              </w:rPr>
              <w:t xml:space="preserve">冗余电源；</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接口</w:t>
            </w:r>
            <w:r>
              <w:rPr>
                <w:rFonts w:ascii="宋体" w:hAnsi="宋体"/>
                <w:szCs w:val="21"/>
              </w:rPr>
              <w:t xml:space="preserve">规模</w:t>
            </w:r>
            <w:r/>
          </w:p>
        </w:tc>
        <w:tc>
          <w:tcPr>
            <w:tcW w:w="660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端口类型：固定接口</w:t>
            </w:r>
            <w:r>
              <w:rPr>
                <w:rFonts w:hint="eastAsia" w:ascii="宋体" w:hAnsi="宋体"/>
                <w:szCs w:val="21"/>
              </w:rPr>
              <w:t xml:space="preserve">≥</w:t>
            </w:r>
            <w:r>
              <w:rPr>
                <w:rFonts w:hint="eastAsia" w:ascii="宋体" w:hAnsi="宋体" w:cs="宋体"/>
                <w:color w:val="000000"/>
                <w:szCs w:val="21"/>
              </w:rPr>
              <w:t xml:space="preserve">4GE+2Combo；</w:t>
            </w:r>
            <w:r/>
          </w:p>
          <w:p>
            <w:pPr>
              <w:rPr>
                <w:rFonts w:ascii="宋体" w:hAnsi="宋体"/>
                <w:szCs w:val="21"/>
              </w:rPr>
            </w:pPr>
            <w:r>
              <w:rPr>
                <w:rFonts w:hint="eastAsia" w:ascii="宋体" w:hAnsi="宋体" w:cs="宋体"/>
                <w:color w:val="000000"/>
                <w:szCs w:val="21"/>
              </w:rPr>
              <w:t xml:space="preserve">可扩展槽位</w:t>
            </w:r>
            <w:r>
              <w:rPr>
                <w:rFonts w:hint="eastAsia" w:ascii="宋体" w:hAnsi="宋体"/>
                <w:szCs w:val="21"/>
              </w:rPr>
              <w:t xml:space="preserve">≥</w:t>
            </w:r>
            <w:r>
              <w:rPr>
                <w:rFonts w:hint="eastAsia" w:ascii="宋体" w:hAnsi="宋体" w:cs="宋体"/>
                <w:color w:val="000000"/>
                <w:szCs w:val="21"/>
              </w:rPr>
              <w:t xml:space="preserve">2，可扩展卡类型：2×10GE（SFP+）+8×GE（RJ45)， 8×GE（RJ45），8×GE（SFP），4×GE（RJ45）BYPASS；</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路由功能</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支持多种路由：如静态路由、动态路由、策略路由及ISP路由等</w:t>
            </w:r>
            <w:r>
              <w:rPr>
                <w:rFonts w:hint="eastAsia" w:ascii="宋体" w:hAnsi="宋体"/>
                <w:b/>
                <w:bCs/>
                <w:szCs w:val="21"/>
              </w:rPr>
              <w:t xml:space="preserve">（提供设备功能截图）；</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接入管理</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支持链路聚合、虚拟线及子接口等多种网络接入方式；</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NAT</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支持源地址转换、目的地址转换、双向地址转换及端口转换功能；</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策略管理</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支持基于源地址、目的地址、应用连接限制；支持每IP连接总数限制、所有IP连接总数限制、每IP新建连接数限制；支持连接限制策略命中统计查看，显示最近被拒的地址对象节点信息，应用组对象节点信息等；</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攻击防御检测</w:t>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i/>
                <w:iCs/>
                <w:szCs w:val="21"/>
                <w:u w:val="single"/>
              </w:rPr>
              <w:t xml:space="preserve">基于特征检测，支持超过3500漏洞特征的攻击检测和防御，基于协议检测，支持协议自识别，基于协议异常检测，支持自定义IPS签名；</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spacing w:line="276" w:lineRule="auto"/>
              <w:rPr>
                <w:rFonts w:ascii="宋体" w:hAnsi="宋体" w:cs="宋体"/>
                <w:i/>
                <w:iCs/>
                <w:color w:val="000000"/>
                <w:szCs w:val="21"/>
                <w:u w:val="single"/>
              </w:rPr>
            </w:pPr>
            <w:r>
              <w:rPr>
                <w:rFonts w:hint="eastAsia" w:ascii="宋体" w:hAnsi="宋体" w:cs="宋体"/>
                <w:szCs w:val="21"/>
              </w:rPr>
              <w:t xml:space="preserve">系统预定义IPS签名数≥</w:t>
            </w:r>
            <w:r>
              <w:rPr>
                <w:rFonts w:hint="eastAsia" w:ascii="宋体" w:hAnsi="宋体" w:cs="宋体"/>
                <w:szCs w:val="21"/>
                <w:lang w:val="en-US" w:eastAsia="zh-CN"/>
              </w:rPr>
              <w:t xml:space="preserve">10</w:t>
            </w:r>
            <w:r>
              <w:rPr>
                <w:rFonts w:hint="eastAsia" w:ascii="宋体" w:hAnsi="宋体" w:cs="宋体"/>
                <w:szCs w:val="21"/>
              </w:rPr>
              <w:t xml:space="preserve">000；</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防病毒</w:t>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引入病毒库，能够深层检测HTTP、FTP、SMTP、POP3协议，发现包括木马、后门和蠕虫在内的新近流行的多种网络病毒；</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病毒库覆盖</w:t>
            </w:r>
            <w:r>
              <w:rPr>
                <w:rFonts w:hint="eastAsia" w:ascii="宋体" w:hAnsi="宋体" w:cs="宋体"/>
                <w:szCs w:val="21"/>
                <w:lang w:val="en-US" w:eastAsia="zh-CN"/>
              </w:rPr>
              <w:t xml:space="preserve">4</w:t>
            </w:r>
            <w:r>
              <w:rPr>
                <w:rFonts w:hint="eastAsia" w:ascii="宋体" w:hAnsi="宋体" w:cs="宋体"/>
                <w:szCs w:val="21"/>
              </w:rPr>
              <w:t xml:space="preserve">00万以上变种病毒；</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配置5年IPS特征库升级许可，5年防病毒功能升级许可。</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2、防火墙02    1台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整机要求</w:t>
            </w:r>
            <w:r/>
          </w:p>
        </w:tc>
        <w:tc>
          <w:tcPr>
            <w:tcW w:w="6600" w:type="dxa"/>
            <w:vAlign w:val="center"/>
            <w:textDirection w:val="lrTb"/>
            <w:noWrap w:val="false"/>
          </w:tcPr>
          <w:p>
            <w:pPr>
              <w:spacing w:line="276" w:lineRule="auto"/>
              <w:rPr>
                <w:rFonts w:ascii="宋体" w:hAnsi="宋体"/>
                <w:i/>
                <w:iCs/>
                <w:szCs w:val="21"/>
                <w:u w:val="single"/>
              </w:rPr>
            </w:pPr>
            <w:r>
              <w:rPr>
                <w:rFonts w:hint="eastAsia" w:cs="宋体"/>
                <w:i/>
                <w:iCs/>
                <w:color w:val="000000"/>
                <w:szCs w:val="21"/>
                <w:u w:val="single"/>
              </w:rPr>
              <w:t xml:space="preserve">CPU采用国产多核处理器芯片；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吞吐量≥30Gbps，最大并发连接数≥1100万，每秒新建连接数≥40万；</w:t>
            </w:r>
            <w:r/>
          </w:p>
        </w:tc>
      </w:tr>
      <w:tr>
        <w:trPr>
          <w:trHeight w:val="565"/>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cs="宋体"/>
                <w:i/>
                <w:iCs/>
                <w:color w:val="000000"/>
                <w:szCs w:val="21"/>
                <w:u w:val="single"/>
              </w:rPr>
              <w:t xml:space="preserve">配置光模块：万兆多模模块</w:t>
            </w:r>
            <w:r>
              <w:rPr>
                <w:rFonts w:hint="eastAsia" w:ascii="宋体" w:hAnsi="宋体"/>
                <w:i/>
                <w:iCs/>
                <w:szCs w:val="21"/>
                <w:u w:val="single"/>
              </w:rPr>
              <w:t xml:space="preserve">≥</w:t>
            </w:r>
            <w:r>
              <w:rPr>
                <w:rFonts w:hint="eastAsia" w:ascii="宋体" w:hAnsi="宋体" w:cs="宋体"/>
                <w:i/>
                <w:iCs/>
                <w:color w:val="000000"/>
                <w:szCs w:val="21"/>
                <w:u w:val="single"/>
              </w:rPr>
              <w:t xml:space="preserve">4个，万兆单模模块</w:t>
            </w:r>
            <w:r>
              <w:rPr>
                <w:rFonts w:hint="eastAsia" w:ascii="宋体" w:hAnsi="宋体"/>
                <w:i/>
                <w:iCs/>
                <w:szCs w:val="21"/>
                <w:u w:val="single"/>
              </w:rPr>
              <w:t xml:space="preserve">≥</w:t>
            </w:r>
            <w:r>
              <w:rPr>
                <w:rFonts w:hint="eastAsia" w:ascii="宋体" w:hAnsi="宋体" w:cs="宋体"/>
                <w:i/>
                <w:iCs/>
                <w:color w:val="000000"/>
                <w:szCs w:val="21"/>
                <w:u w:val="single"/>
              </w:rPr>
              <w:t xml:space="preserve">4个；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cs="宋体"/>
                <w:i/>
                <w:iCs/>
                <w:color w:val="000000"/>
                <w:szCs w:val="21"/>
                <w:u w:val="single"/>
              </w:rPr>
              <w:t xml:space="preserve">冗余电源；</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ascii="宋体" w:hAnsi="宋体"/>
                <w:i/>
                <w:iCs/>
                <w:szCs w:val="21"/>
                <w:u w:val="single"/>
              </w:rPr>
            </w:r>
            <w:r>
              <w:rPr>
                <w:rFonts w:ascii="SimSun" w:hAnsi="SimSun" w:eastAsia="SimSun" w:cs="SimSun"/>
                <w:color w:val="000000"/>
                <w:sz w:val="21"/>
              </w:rPr>
              <w:t xml:space="preserve">接口规模</w:t>
            </w:r>
            <w:r>
              <w:rPr>
                <w:rFonts w:ascii="宋体" w:hAnsi="宋体"/>
                <w:i/>
                <w:iCs/>
                <w:szCs w:val="21"/>
                <w:u w:val="single"/>
              </w:rPr>
            </w:r>
            <w:r/>
          </w:p>
        </w:tc>
        <w:tc>
          <w:tcPr>
            <w:tcW w:w="6600" w:type="dxa"/>
            <w:vAlign w:val="center"/>
            <w:vMerge w:val="restart"/>
            <w:textDirection w:val="lrTb"/>
            <w:noWrap w:val="false"/>
          </w:tcPr>
          <w:p>
            <w:pPr>
              <w:rPr>
                <w:rFonts w:hint="eastAsia" w:ascii="宋体" w:hAnsi="宋体" w:cs="宋体"/>
                <w:bCs w:val="0"/>
                <w:i w:val="0"/>
                <w:iCs/>
                <w:color w:val="000000"/>
                <w:szCs w:val="21"/>
                <w:u w:val="none"/>
              </w:rPr>
            </w:pPr>
            <w:r>
              <w:rPr>
                <w:rFonts w:hint="eastAsia" w:ascii="宋体" w:hAnsi="宋体" w:cs="宋体"/>
                <w:i w:val="0"/>
                <w:iCs w:val="0"/>
                <w:color w:val="000000"/>
                <w:szCs w:val="21"/>
                <w:u w:val="none"/>
              </w:rPr>
            </w:r>
            <w:r>
              <w:rPr>
                <w:rFonts w:hint="eastAsia" w:ascii="宋体" w:hAnsi="宋体" w:cs="宋体"/>
                <w:i w:val="0"/>
                <w:iCs w:val="0"/>
                <w:color w:val="000000"/>
                <w:szCs w:val="21"/>
                <w:u w:val="none"/>
              </w:rPr>
              <w:t xml:space="preserve">端口类型：千兆电口≥8个，万兆光口≥8个；</w:t>
            </w:r>
            <w:r>
              <w:rPr>
                <w:rFonts w:hint="eastAsia" w:ascii="宋体" w:hAnsi="宋体" w:cs="宋体"/>
                <w:i w:val="0"/>
                <w:iCs w:val="0"/>
                <w:color w:val="000000"/>
                <w:szCs w:val="21"/>
                <w:u w:val="none"/>
              </w:rPr>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路由功能</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支持多种路由：如静态路由、动态路由、策略路由及ISP路由等（提供设备功能截图）；</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接入管理</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支持链路聚合、虚拟线及子接口等多种网络接入方式。</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NAT</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支持源地址转换、目的地址转换、双向地址转换及端口转换功能；</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策略管理</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支持基于源地址、目的地址、应用连接限制；支持每IP连接总数限制、所有IP连接总数限制、每IP新建连接数限制；支持连接限制策略命中统计查看，显示最近被拒的地址对象节点信息，应用组对象节点信息等；</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rPr>
                <w:rFonts w:ascii="宋体" w:hAnsi="宋体"/>
                <w:szCs w:val="21"/>
              </w:rPr>
            </w:pPr>
            <w:r>
              <w:rPr>
                <w:rFonts w:hint="eastAsia" w:ascii="宋体" w:hAnsi="宋体" w:cs="宋体"/>
                <w:color w:val="000000"/>
                <w:szCs w:val="21"/>
              </w:rPr>
              <w:t xml:space="preserve">支持一条安全策略中同时配置ipv4和ipv6地址；</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攻击防御</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能够实时阻断包括溢出攻击、WEBCGI攻击、系统漏洞攻击等网络攻击行为；具有DDOS防御、流量滥用管控、上网行为管理等功能；</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系统预定义IPS签名数≥</w:t>
            </w:r>
            <w:r>
              <w:rPr>
                <w:rFonts w:hint="eastAsia" w:ascii="宋体" w:hAnsi="宋体" w:cs="宋体"/>
                <w:szCs w:val="21"/>
                <w:lang w:val="en-US" w:eastAsia="zh-CN"/>
              </w:rPr>
              <w:t xml:space="preserve">10</w:t>
            </w:r>
            <w:r>
              <w:rPr>
                <w:rFonts w:hint="eastAsia" w:ascii="宋体" w:hAnsi="宋体" w:cs="宋体"/>
                <w:szCs w:val="21"/>
              </w:rPr>
              <w:t xml:space="preserve">000</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攻击检测</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采用协议分析、模式识别、统计阀值和流量异常监视等综合技术手段，深入分析L2-L7层网络判断入侵行为，准确的发现包括溢出攻击、RPC攻击、WEBCGI攻击、木马蠕虫传播、系统漏洞攻击等网络攻击行为；</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应用流量监控</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采用深度的识别技术，对应用协议交互过程进行智能分析，对采用动态变化服务端口或者使用标准协议端口隐藏传输内容的应用可以准确识别和控制；</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防病毒</w:t>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引入病毒库，采用基于数据流的检测技术，能够深层检测HTTP、FTP、SMTP、POP3协议，发现包括木马、后门和蠕虫在内的新近流行的多种网络病毒；</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病毒库覆盖</w:t>
            </w:r>
            <w:r>
              <w:rPr>
                <w:rFonts w:hint="eastAsia" w:ascii="宋体" w:hAnsi="宋体" w:cs="宋体"/>
                <w:szCs w:val="21"/>
                <w:lang w:val="en-US" w:eastAsia="zh-CN"/>
              </w:rPr>
              <w:t xml:space="preserve">4</w:t>
            </w:r>
            <w:r>
              <w:rPr>
                <w:rFonts w:hint="eastAsia" w:ascii="宋体" w:hAnsi="宋体" w:cs="宋体"/>
                <w:szCs w:val="21"/>
              </w:rPr>
              <w:t xml:space="preserve">00万以上变种病毒</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配置5年IPS特征库升级许可，5年防病毒功能升级许可。</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3、防火墙03</w:t>
      </w:r>
      <w:r>
        <w:rPr>
          <w:rFonts w:hint="eastAsia" w:ascii="宋体" w:hAnsi="宋体" w:eastAsia="宋体"/>
          <w:b/>
          <w:color w:val="000000"/>
          <w:sz w:val="24"/>
          <w:szCs w:val="24"/>
          <w:highlight w:val="none"/>
          <w:lang w:val="en-US" w:eastAsia="zh-CN"/>
        </w:rPr>
        <w:t xml:space="preserve">       </w:t>
      </w:r>
      <w:r>
        <w:rPr>
          <w:rFonts w:hint="eastAsia" w:ascii="宋体" w:hAnsi="宋体" w:eastAsia="宋体"/>
          <w:b/>
          <w:color w:val="000000"/>
          <w:sz w:val="24"/>
          <w:szCs w:val="24"/>
          <w:highlight w:val="none"/>
          <w:lang w:eastAsia="zh-CN"/>
        </w:rPr>
        <w:t xml:space="preserve">2台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shd w:val="clear" w:color="auto" w:fill="auto"/>
            <w:tcW w:w="1696" w:type="dxa"/>
            <w:vAlign w:val="center"/>
            <w:vMerge w:val="restart"/>
            <w:textDirection w:val="lrTb"/>
            <w:noWrap w:val="false"/>
          </w:tcPr>
          <w:p>
            <w:pPr>
              <w:jc w:val="center"/>
              <w:spacing w:line="276" w:lineRule="auto"/>
              <w:rPr>
                <w:rFonts w:ascii="宋体" w:hAnsi="宋体" w:cs="宋体"/>
                <w:i/>
                <w:iCs/>
                <w:szCs w:val="21"/>
                <w:u w:val="single"/>
              </w:rPr>
            </w:pPr>
            <w:r>
              <w:rPr>
                <w:rFonts w:hint="eastAsia" w:ascii="宋体" w:hAnsi="宋体"/>
                <w:i/>
                <w:iCs/>
                <w:szCs w:val="21"/>
                <w:u w:val="single"/>
              </w:rPr>
              <w:t xml:space="preserve">整机要求</w:t>
            </w:r>
            <w:r/>
          </w:p>
        </w:tc>
        <w:tc>
          <w:tcPr>
            <w:shd w:val="clear" w:color="auto" w:fill="auto"/>
            <w:tcW w:w="6600" w:type="dxa"/>
            <w:vAlign w:val="center"/>
            <w:textDirection w:val="lrTb"/>
            <w:noWrap w:val="false"/>
          </w:tcPr>
          <w:p>
            <w:pPr>
              <w:jc w:val="left"/>
              <w:rPr>
                <w:rFonts w:ascii="宋体" w:hAnsi="宋体"/>
                <w:i/>
                <w:iCs/>
                <w:szCs w:val="21"/>
                <w:u w:val="single"/>
              </w:rPr>
            </w:pPr>
            <w:r>
              <w:rPr>
                <w:rFonts w:hint="eastAsia" w:cs="宋体"/>
                <w:i/>
                <w:iCs/>
                <w:color w:val="000000"/>
                <w:szCs w:val="21"/>
                <w:u w:val="single"/>
              </w:rPr>
              <w:t xml:space="preserve">CPU采用国产多核处理器芯片；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cs="宋体"/>
                <w:i/>
                <w:iCs/>
                <w:color w:val="000000"/>
                <w:szCs w:val="21"/>
                <w:u w:val="single"/>
              </w:rPr>
              <w:t xml:space="preserve">吞吐量≥30Gbps，最大并发连接数≥1100万，每秒新建连接数≥40万；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端口类型：千兆电口≥2个，万兆光口≥2个；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配置光模块：万兆单模光模块≥2个；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过滤已知特征（如SQL注入等）的网络攻击，配置访问策略，仅允许访问常用端口（如20、21、22、23、25、80、443、3389等），同时对常用端口中的敏感端口（21、22、23、3389等）进行认证控制，阻止一切非认证访问，并提供应用层威胁实时防护。</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路由功能</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支持多种路由：如静态路由、动态路由、策略路由及ISP路由等（提供设备功能截图）；</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接入管理</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支持链路聚合、虚拟线及子接口等多种网络接入方式；</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NAT</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支持源地址转换、目的地址转换、双向地址转换及端口转换功能；</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策略管理</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支持基于源地址、目的地址、应用连接限制；支持每IP连接总数限制、所有IP连接总数限制、每IP新建连接数限制；支持连接限制策略命中统计查看，显示最近被拒的地址对象节点信息，应用组对象节点信息等；</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rPr>
                <w:rFonts w:ascii="宋体" w:hAnsi="宋体"/>
                <w:szCs w:val="21"/>
              </w:rPr>
            </w:pPr>
            <w:r>
              <w:rPr>
                <w:rFonts w:hint="eastAsia" w:ascii="宋体" w:hAnsi="宋体" w:cs="宋体"/>
                <w:color w:val="000000"/>
                <w:szCs w:val="21"/>
              </w:rPr>
              <w:t xml:space="preserve">支持一条安全策略中同时配置ipv4和ipv6地址；</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攻击防御</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能够实时阻断包括溢出攻击、WEBCGI攻击、系统漏洞攻击等网络攻击行为；具有DDOS防御、流量滥用管控、上网行为管理等功能；</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系统预定义IPS签名数</w:t>
            </w:r>
            <w:r>
              <w:rPr>
                <w:rFonts w:hint="eastAsia" w:ascii="宋体" w:hAnsi="宋体" w:cs="宋体"/>
                <w:szCs w:val="21"/>
                <w:highlight w:val="none"/>
              </w:rPr>
              <w:t xml:space="preserve">≥10000</w:t>
            </w:r>
            <w:r>
              <w:rPr>
                <w:rFonts w:hint="eastAsia" w:ascii="宋体" w:hAnsi="宋体" w:cs="宋体"/>
                <w:szCs w:val="21"/>
              </w:rPr>
              <w:t xml:space="preserve">；</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攻击检测</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采用协议分析、模式识别、统计阀值和流量异常监视等综合技术手段，深入分析L2-L7层网络判断入侵行为，准确的发现包括溢出攻击、RPC攻击、WEBCGI攻击、木马蠕虫传播、系统漏洞攻击等网络攻击行为；</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应用流量监控</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采用深度的识别技术，对应用协议交互过程进行智能分析，对采用动态变化服务端口或者使用标准协议端口隐藏传输内容的应用可以准确识别和控制；</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防病毒</w:t>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引入病毒库，采用基于数据流的检测技术，能够深层检测HTTP、FTP、SMTP、POP3协议，发现包括木马、后门和蠕虫在内的新近流行的多种网络病毒；</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病毒库覆盖</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00万</w:t>
            </w:r>
            <w:r>
              <w:rPr>
                <w:rFonts w:hint="eastAsia" w:ascii="宋体" w:hAnsi="宋体" w:cs="宋体"/>
                <w:szCs w:val="21"/>
              </w:rPr>
              <w:t xml:space="preserve">以上变种病毒；</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配置5年IPS特征库升级许可，5年防病毒功能升级许可。</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4、防火墙04</w:t>
      </w:r>
      <w:r>
        <w:rPr>
          <w:rFonts w:hint="eastAsia" w:ascii="宋体" w:hAnsi="宋体" w:eastAsia="宋体"/>
          <w:b/>
          <w:color w:val="000000"/>
          <w:sz w:val="24"/>
          <w:szCs w:val="24"/>
          <w:highlight w:val="none"/>
          <w:lang w:val="en-US" w:eastAsia="zh-CN"/>
        </w:rPr>
        <w:t xml:space="preserve">   </w:t>
      </w:r>
      <w:r>
        <w:rPr>
          <w:rFonts w:hint="eastAsia" w:ascii="宋体" w:hAnsi="宋体" w:eastAsia="宋体"/>
          <w:b/>
          <w:color w:val="000000"/>
          <w:sz w:val="24"/>
          <w:szCs w:val="24"/>
          <w:highlight w:val="none"/>
          <w:lang w:eastAsia="zh-CN"/>
        </w:rPr>
        <w:t xml:space="preserve">1台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整机要求</w:t>
            </w:r>
            <w:r/>
          </w:p>
        </w:tc>
        <w:tc>
          <w:tcPr>
            <w:tcW w:w="6600" w:type="dxa"/>
            <w:vAlign w:val="center"/>
            <w:textDirection w:val="lrTb"/>
            <w:noWrap w:val="false"/>
          </w:tcPr>
          <w:p>
            <w:pPr>
              <w:spacing w:line="276" w:lineRule="auto"/>
              <w:rPr>
                <w:rFonts w:ascii="宋体" w:hAnsi="宋体" w:cs="宋体"/>
                <w:i/>
                <w:iCs/>
                <w:color w:val="000000"/>
                <w:szCs w:val="21"/>
                <w:u w:val="single"/>
              </w:rPr>
            </w:pPr>
            <w:r>
              <w:rPr>
                <w:rFonts w:hint="eastAsia" w:cs="宋体"/>
                <w:i/>
                <w:iCs/>
                <w:color w:val="000000"/>
                <w:szCs w:val="21"/>
                <w:u w:val="single"/>
              </w:rPr>
              <w:t xml:space="preserve">CPU采用国产多核处理器芯片；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cs="宋体"/>
                <w:i/>
                <w:iCs/>
                <w:color w:val="000000"/>
                <w:szCs w:val="21"/>
                <w:u w:val="single"/>
              </w:rPr>
              <w:t xml:space="preserve">吞吐量≥20Gbps，IPS吞吐量≥10Gbps，最大并发连接数≥800万，每秒新建连接数≥20万；</w:t>
            </w:r>
            <w:r/>
          </w:p>
        </w:tc>
      </w:tr>
      <w:tr>
        <w:trPr>
          <w:trHeight w:val="565"/>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Cs/>
                <w:color w:val="ff0000"/>
                <w:szCs w:val="21"/>
              </w:rPr>
            </w:pPr>
            <w:r>
              <w:rPr>
                <w:rFonts w:hint="eastAsia" w:ascii="宋体" w:hAnsi="宋体" w:cs="宋体"/>
                <w:i/>
                <w:szCs w:val="21"/>
                <w:u w:val="single"/>
              </w:rPr>
              <w:t xml:space="preserve">配置光模块：万兆多模模块</w:t>
            </w:r>
            <w:r>
              <w:rPr>
                <w:rFonts w:hint="eastAsia" w:ascii="宋体" w:hAnsi="宋体"/>
                <w:i/>
                <w:szCs w:val="21"/>
                <w:u w:val="single"/>
              </w:rPr>
              <w:t xml:space="preserve">≥</w:t>
            </w:r>
            <w:r>
              <w:rPr>
                <w:rFonts w:hint="eastAsia" w:ascii="宋体" w:hAnsi="宋体" w:cs="宋体"/>
                <w:i/>
                <w:szCs w:val="21"/>
                <w:u w:val="single"/>
              </w:rPr>
              <w:t xml:space="preserve">6个，千兆多模模块</w:t>
            </w:r>
            <w:r>
              <w:rPr>
                <w:rFonts w:hint="eastAsia" w:ascii="宋体" w:hAnsi="宋体"/>
                <w:i/>
                <w:szCs w:val="21"/>
                <w:u w:val="single"/>
              </w:rPr>
              <w:t xml:space="preserve">≥</w:t>
            </w:r>
            <w:r>
              <w:rPr>
                <w:rFonts w:hint="eastAsia" w:ascii="宋体" w:hAnsi="宋体" w:cs="宋体"/>
                <w:i/>
                <w:szCs w:val="21"/>
                <w:u w:val="single"/>
              </w:rPr>
              <w:t xml:space="preserve">10个；</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rPr>
                <w:rFonts w:ascii="宋体" w:hAnsi="宋体"/>
                <w:szCs w:val="21"/>
              </w:rPr>
            </w:pPr>
            <w:r>
              <w:rPr>
                <w:rFonts w:hint="eastAsia" w:ascii="宋体" w:hAnsi="宋体"/>
                <w:i/>
                <w:iCs/>
                <w:szCs w:val="21"/>
                <w:u w:val="single"/>
              </w:rPr>
              <w:t xml:space="preserve">静态动态路由功能，NAT功能，7层安全防护功能，攻击检测、防御功能，应用协议识别能力，病毒检测功能等。</w:t>
            </w:r>
            <w:r/>
          </w:p>
        </w:tc>
      </w:tr>
      <w:tr>
        <w:trPr/>
        <w:tc>
          <w:tcPr>
            <w:tcW w:w="1696" w:type="dxa"/>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r>
            <w:r>
              <w:rPr>
                <w:rFonts w:ascii="SimSun" w:hAnsi="SimSun" w:eastAsia="SimSun" w:cs="SimSun"/>
                <w:color w:val="000000"/>
                <w:sz w:val="21"/>
              </w:rPr>
              <w:t xml:space="preserve">接口规模</w:t>
            </w:r>
            <w:r>
              <w:rPr>
                <w:rFonts w:hint="eastAsia" w:ascii="宋体" w:hAnsi="宋体"/>
                <w:szCs w:val="21"/>
              </w:rPr>
            </w:r>
            <w:r/>
          </w:p>
        </w:tc>
        <w:tc>
          <w:tcPr>
            <w:tcW w:w="6600" w:type="dxa"/>
            <w:vAlign w:val="center"/>
            <w:vMerge w:val="restart"/>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rPr>
                <w:rFonts w:ascii="SimSun" w:hAnsi="SimSun" w:eastAsia="SimSun" w:cs="SimSun"/>
                <w:color w:val="000000" w:themeColor="text1"/>
                <w:sz w:val="21"/>
              </w:rPr>
              <w:t xml:space="preserve">端口类型：万兆光口≥</w:t>
            </w:r>
            <w:r>
              <w:rPr>
                <w:rFonts w:ascii="SimSun" w:hAnsi="SimSun" w:eastAsia="SimSun" w:cs="SimSun"/>
                <w:color w:val="000000" w:themeColor="text1"/>
                <w:sz w:val="21"/>
              </w:rPr>
              <w:t xml:space="preserve">6</w:t>
            </w:r>
            <w:r>
              <w:rPr>
                <w:rFonts w:ascii="SimSun" w:hAnsi="SimSun" w:eastAsia="SimSun" w:cs="SimSun"/>
                <w:color w:val="000000" w:themeColor="text1"/>
                <w:sz w:val="21"/>
              </w:rPr>
              <w:t xml:space="preserve">个，千兆光口≥</w:t>
            </w:r>
            <w:r>
              <w:rPr>
                <w:rFonts w:ascii="SimSun" w:hAnsi="SimSun" w:eastAsia="SimSun" w:cs="SimSun"/>
                <w:color w:val="000000" w:themeColor="text1"/>
                <w:sz w:val="21"/>
              </w:rPr>
              <w:t xml:space="preserve">4</w:t>
            </w:r>
            <w:r>
              <w:rPr>
                <w:rFonts w:ascii="SimSun" w:hAnsi="SimSun" w:eastAsia="SimSun" w:cs="SimSun"/>
                <w:color w:val="000000" w:themeColor="text1"/>
                <w:sz w:val="21"/>
              </w:rPr>
              <w:t xml:space="preserve">个，千兆电口≥</w:t>
            </w:r>
            <w:r>
              <w:rPr>
                <w:rFonts w:ascii="SimSun" w:hAnsi="SimSun" w:eastAsia="SimSun" w:cs="SimSun"/>
                <w:color w:val="000000" w:themeColor="text1"/>
                <w:sz w:val="21"/>
              </w:rPr>
              <w:t xml:space="preserve">12</w:t>
            </w:r>
            <w:r>
              <w:rPr>
                <w:rFonts w:ascii="SimSun" w:hAnsi="SimSun" w:eastAsia="SimSun" w:cs="SimSun"/>
                <w:color w:val="000000" w:themeColor="text1"/>
                <w:sz w:val="21"/>
              </w:rPr>
              <w:t xml:space="preserve">个；</w:t>
            </w:r>
            <w:r>
              <w:rPr>
                <w:rFonts w:hint="eastAsia" w:ascii="宋体" w:hAnsi="宋体"/>
                <w:color w:val="000000" w:themeColor="text1"/>
                <w:szCs w:val="21"/>
              </w:rPr>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路由功能</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支持多种路由：如静态路由、动态路由、策略路由及ISP路由等（提供设备功能截图）；</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接入管理</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支持链路聚合、虚拟线及子接口等多种网络接入方式；</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NAT</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支持源地址转换、目的地址转换、双向地址转换及端口转换功能；</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策略管理</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支持基于源地址、目的地址、应用连接限制；支持每IP连接总数限制、所有IP连接总数限制、每IP新建连接数限制；支持连接限制策略命中统计查看，显示最近被拒的地址对象节点信息，应用组对象节点信息等；</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rPr>
                <w:rFonts w:ascii="宋体" w:hAnsi="宋体"/>
                <w:szCs w:val="21"/>
              </w:rPr>
            </w:pPr>
            <w:r>
              <w:rPr>
                <w:rFonts w:hint="eastAsia" w:ascii="宋体" w:hAnsi="宋体" w:cs="宋体"/>
                <w:color w:val="000000"/>
                <w:szCs w:val="21"/>
              </w:rPr>
              <w:t xml:space="preserve">支持一条安全策略中同时配置ipv4和ipv6地址；</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攻击防御</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能够实时阻断包括溢出攻击、WEBCGI攻击、系统漏洞攻击等网络攻击行为；具有DDOS防御、流量滥用管控、上网行为管理等功能；</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系统预定义IPS签名数≥</w:t>
            </w:r>
            <w:r>
              <w:rPr>
                <w:rFonts w:hint="eastAsia" w:ascii="宋体" w:hAnsi="宋体" w:cs="宋体"/>
                <w:szCs w:val="21"/>
                <w:lang w:val="en-US" w:eastAsia="zh-CN"/>
              </w:rPr>
              <w:t xml:space="preserve">10</w:t>
            </w:r>
            <w:r>
              <w:rPr>
                <w:rFonts w:hint="eastAsia" w:ascii="宋体" w:hAnsi="宋体" w:cs="宋体"/>
                <w:szCs w:val="21"/>
              </w:rPr>
              <w:t xml:space="preserve">000；</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攻击检测</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采用协议分析、模式识别、统计阀值和流量异常监视等综合技术手段，深入分析L2-L7层网络判断入侵行为，准确的发现包括溢出攻击、RPC攻击、WEBCGI攻击、木马蠕虫传播、系统漏洞攻击等网络攻击行为；</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应用流量监控</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采用深度的识别技术，对应用协议交互过程进行智能分析，对采用动态变化服务端口或者使用标准协议端口隐藏传输内容的应用可以准确识别和控制；</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防病毒</w:t>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引入病毒库，采用基于数据流的检测技术，能够深层检测HTTP、FTP、SMTP、POP3协议，发现包括木马、后门和蠕虫在内的新近流行的多种网络病毒；</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病毒库覆盖</w:t>
            </w:r>
            <w:r>
              <w:rPr>
                <w:rFonts w:hint="eastAsia" w:ascii="宋体" w:hAnsi="宋体" w:cs="宋体"/>
                <w:szCs w:val="21"/>
                <w:lang w:val="en-US" w:eastAsia="zh-CN"/>
              </w:rPr>
              <w:t xml:space="preserve">4</w:t>
            </w:r>
            <w:r>
              <w:rPr>
                <w:rFonts w:hint="eastAsia" w:ascii="宋体" w:hAnsi="宋体" w:cs="宋体"/>
                <w:szCs w:val="21"/>
              </w:rPr>
              <w:t xml:space="preserve">00万以上变种病毒；</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配置5年IPS特征库升级许可，5年防病毒功能升级许可。</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5、防火墙05  4台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1"/>
        <w:gridCol w:w="6545"/>
      </w:tblGrid>
      <w:tr>
        <w:trPr/>
        <w:tc>
          <w:tcPr>
            <w:shd w:val="clear" w:color="auto" w:fill="bebebe"/>
            <w:tcW w:w="1751"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545"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shd w:val="clear" w:color="auto" w:fill="auto"/>
            <w:tcW w:w="1751" w:type="dxa"/>
            <w:vAlign w:val="center"/>
            <w:vMerge w:val="restart"/>
            <w:textDirection w:val="lrTb"/>
            <w:noWrap w:val="false"/>
          </w:tcPr>
          <w:p>
            <w:pPr>
              <w:jc w:val="center"/>
              <w:spacing w:line="276" w:lineRule="auto"/>
              <w:rPr>
                <w:rFonts w:ascii="宋体" w:hAnsi="宋体" w:cs="宋体"/>
                <w:i/>
                <w:iCs/>
                <w:szCs w:val="21"/>
                <w:u w:val="single"/>
              </w:rPr>
            </w:pPr>
            <w:r>
              <w:rPr>
                <w:rFonts w:hint="eastAsia" w:ascii="宋体" w:hAnsi="宋体"/>
                <w:i/>
                <w:iCs/>
                <w:szCs w:val="21"/>
                <w:u w:val="single"/>
              </w:rPr>
              <w:t xml:space="preserve">整机要求</w:t>
            </w:r>
            <w:r/>
          </w:p>
        </w:tc>
        <w:tc>
          <w:tcPr>
            <w:shd w:val="clear" w:color="auto" w:fill="auto"/>
            <w:tcW w:w="6545" w:type="dxa"/>
            <w:vAlign w:val="center"/>
            <w:textDirection w:val="lrTb"/>
            <w:noWrap w:val="false"/>
          </w:tcPr>
          <w:p>
            <w:pPr>
              <w:jc w:val="left"/>
              <w:rPr>
                <w:rFonts w:ascii="宋体" w:hAnsi="宋体"/>
                <w:i/>
                <w:iCs/>
                <w:szCs w:val="21"/>
                <w:u w:val="single"/>
              </w:rPr>
            </w:pPr>
            <w:r>
              <w:rPr>
                <w:rFonts w:hint="eastAsia" w:cs="宋体"/>
                <w:i/>
                <w:iCs/>
                <w:color w:val="000000"/>
                <w:szCs w:val="21"/>
                <w:u w:val="single"/>
              </w:rPr>
              <w:t xml:space="preserve">CPU采用国产多核处理器芯片；</w:t>
            </w:r>
            <w:r/>
          </w:p>
        </w:tc>
      </w:tr>
      <w:tr>
        <w:trPr/>
        <w:tc>
          <w:tcPr>
            <w:tcW w:w="1751"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545" w:type="dxa"/>
            <w:vAlign w:val="center"/>
            <w:textDirection w:val="lrTb"/>
            <w:noWrap w:val="false"/>
          </w:tcPr>
          <w:p>
            <w:pPr>
              <w:spacing w:line="276" w:lineRule="auto"/>
              <w:rPr>
                <w:rFonts w:ascii="宋体" w:hAnsi="宋体"/>
                <w:i/>
                <w:iCs/>
                <w:szCs w:val="21"/>
                <w:u w:val="single"/>
              </w:rPr>
            </w:pPr>
            <w:r>
              <w:rPr>
                <w:rFonts w:hint="eastAsia" w:ascii="宋体" w:hAnsi="宋体" w:cs="宋体"/>
                <w:i/>
                <w:iCs/>
                <w:color w:val="000000"/>
                <w:szCs w:val="21"/>
                <w:u w:val="single"/>
              </w:rPr>
              <w:t xml:space="preserve">吞吐量</w:t>
            </w:r>
            <w:r>
              <w:rPr>
                <w:rFonts w:hint="eastAsia" w:ascii="宋体" w:hAnsi="宋体"/>
                <w:i/>
                <w:iCs/>
                <w:szCs w:val="21"/>
                <w:u w:val="single"/>
              </w:rPr>
              <w:t xml:space="preserve">≥</w:t>
            </w:r>
            <w:r>
              <w:rPr>
                <w:rFonts w:hint="eastAsia" w:ascii="宋体" w:hAnsi="宋体" w:cs="宋体"/>
                <w:i/>
                <w:iCs/>
                <w:color w:val="000000"/>
                <w:szCs w:val="21"/>
                <w:u w:val="single"/>
              </w:rPr>
              <w:t xml:space="preserve">120Gbps，IPS吞吐率</w:t>
            </w:r>
            <w:r>
              <w:rPr>
                <w:rFonts w:hint="eastAsia" w:ascii="宋体" w:hAnsi="宋体"/>
                <w:i/>
                <w:iCs/>
                <w:szCs w:val="21"/>
                <w:u w:val="single"/>
              </w:rPr>
              <w:t xml:space="preserve">≥</w:t>
            </w:r>
            <w:r>
              <w:rPr>
                <w:rFonts w:hint="eastAsia" w:ascii="宋体" w:hAnsi="宋体" w:cs="宋体"/>
                <w:i/>
                <w:iCs/>
                <w:color w:val="000000"/>
                <w:szCs w:val="21"/>
                <w:u w:val="single"/>
              </w:rPr>
              <w:t xml:space="preserve">80Gbps，并发连接</w:t>
            </w:r>
            <w:r>
              <w:rPr>
                <w:rFonts w:hint="eastAsia" w:ascii="宋体" w:hAnsi="宋体"/>
                <w:i/>
                <w:iCs/>
                <w:szCs w:val="21"/>
                <w:u w:val="single"/>
              </w:rPr>
              <w:t xml:space="preserve">≥</w:t>
            </w:r>
            <w:r>
              <w:rPr>
                <w:rFonts w:hint="eastAsia" w:ascii="宋体" w:hAnsi="宋体" w:cs="宋体"/>
                <w:i/>
                <w:iCs/>
                <w:color w:val="000000"/>
                <w:szCs w:val="21"/>
                <w:u w:val="single"/>
              </w:rPr>
              <w:t xml:space="preserve">1.5亿；每秒新建并发连接数</w:t>
            </w:r>
            <w:r>
              <w:rPr>
                <w:rFonts w:hint="eastAsia" w:ascii="宋体" w:hAnsi="宋体"/>
                <w:i/>
                <w:iCs/>
                <w:szCs w:val="21"/>
                <w:u w:val="single"/>
              </w:rPr>
              <w:t xml:space="preserve">≥</w:t>
            </w:r>
            <w:r>
              <w:rPr>
                <w:rFonts w:hint="eastAsia" w:ascii="宋体" w:hAnsi="宋体" w:cs="宋体"/>
                <w:i/>
                <w:iCs/>
                <w:color w:val="000000"/>
                <w:szCs w:val="21"/>
                <w:u w:val="single"/>
              </w:rPr>
              <w:t xml:space="preserve">160万</w:t>
            </w:r>
            <w:r>
              <w:rPr>
                <w:rFonts w:hint="eastAsia" w:ascii="宋体" w:hAnsi="宋体" w:cs="宋体"/>
                <w:i/>
                <w:iCs/>
                <w:szCs w:val="21"/>
                <w:u w:val="single"/>
              </w:rPr>
              <w:t xml:space="preserve">；</w:t>
            </w:r>
            <w:r/>
          </w:p>
        </w:tc>
      </w:tr>
      <w:tr>
        <w:trPr>
          <w:trHeight w:val="565"/>
        </w:trPr>
        <w:tc>
          <w:tcPr>
            <w:tcW w:w="1751"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545"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配置光模块：40GE多模光模块</w:t>
            </w:r>
            <w:r>
              <w:rPr>
                <w:rFonts w:hint="eastAsia" w:ascii="宋体" w:hAnsi="宋体"/>
                <w:i/>
                <w:iCs/>
                <w:szCs w:val="21"/>
                <w:u w:val="single"/>
              </w:rPr>
              <w:t xml:space="preserve">≥</w:t>
            </w:r>
            <w:r>
              <w:rPr>
                <w:rFonts w:hint="eastAsia" w:ascii="宋体" w:hAnsi="宋体" w:cs="宋体"/>
                <w:i/>
                <w:iCs/>
                <w:color w:val="000000"/>
                <w:szCs w:val="21"/>
                <w:u w:val="single"/>
              </w:rPr>
              <w:t xml:space="preserve">6个，万兆多模光模块</w:t>
            </w:r>
            <w:r>
              <w:rPr>
                <w:rFonts w:hint="eastAsia" w:ascii="宋体" w:hAnsi="宋体"/>
                <w:i/>
                <w:iCs/>
                <w:szCs w:val="21"/>
                <w:u w:val="single"/>
              </w:rPr>
              <w:t xml:space="preserve">≥</w:t>
            </w:r>
            <w:r>
              <w:rPr>
                <w:rFonts w:hint="eastAsia" w:ascii="宋体" w:hAnsi="宋体" w:cs="宋体"/>
                <w:i/>
                <w:iCs/>
                <w:color w:val="000000"/>
                <w:szCs w:val="21"/>
                <w:u w:val="single"/>
              </w:rPr>
              <w:t xml:space="preserve">4个；</w:t>
            </w:r>
            <w:r/>
          </w:p>
        </w:tc>
      </w:tr>
      <w:tr>
        <w:trPr/>
        <w:tc>
          <w:tcPr>
            <w:tcW w:w="1751"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545"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冗余电源；</w:t>
            </w:r>
            <w:r/>
          </w:p>
        </w:tc>
      </w:tr>
      <w:tr>
        <w:trPr/>
        <w:tc>
          <w:tcPr>
            <w:tcW w:w="1751"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545"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静态动态路由功能，NAT功能，7层安全防护功能，攻击检测、防御功能，应用协议识别能力，病毒检测功能等。</w:t>
            </w:r>
            <w:r/>
          </w:p>
        </w:tc>
      </w:tr>
      <w:tr>
        <w:trPr/>
        <w:tc>
          <w:tcPr>
            <w:tcW w:w="1751" w:type="dxa"/>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r>
            <w:r>
              <w:rPr>
                <w:rFonts w:ascii="SimSun" w:hAnsi="SimSun" w:eastAsia="SimSun" w:cs="SimSun"/>
                <w:color w:val="000000"/>
                <w:sz w:val="21"/>
              </w:rPr>
              <w:t xml:space="preserve">接口规模</w:t>
            </w:r>
            <w:r>
              <w:rPr>
                <w:rFonts w:hint="eastAsia" w:ascii="宋体" w:hAnsi="宋体"/>
                <w:szCs w:val="21"/>
              </w:rPr>
            </w:r>
            <w:r/>
          </w:p>
        </w:tc>
        <w:tc>
          <w:tcPr>
            <w:tcW w:w="6545" w:type="dxa"/>
            <w:vAlign w:val="center"/>
            <w:vMerge w:val="restart"/>
            <w:textDirection w:val="lrTb"/>
            <w:noWrap w:val="false"/>
          </w:tcPr>
          <w:p>
            <w:pPr>
              <w:rPr>
                <w:rFonts w:hint="eastAsia" w:ascii="宋体" w:hAnsi="宋体"/>
                <w:szCs w:val="21"/>
              </w:rPr>
            </w:pPr>
            <w:r>
              <w:rPr>
                <w:rFonts w:hint="eastAsia" w:ascii="宋体" w:hAnsi="宋体"/>
                <w:szCs w:val="21"/>
              </w:rPr>
            </w:r>
            <w:r>
              <w:rPr>
                <w:rFonts w:hint="eastAsia" w:ascii="宋体" w:hAnsi="宋体"/>
                <w:szCs w:val="21"/>
              </w:rPr>
              <w:t xml:space="preserve">端口类型：40GE光口≥6个，万兆光口≥4个；</w:t>
            </w:r>
            <w:r>
              <w:rPr>
                <w:rFonts w:hint="eastAsia" w:ascii="宋体" w:hAnsi="宋体"/>
                <w:szCs w:val="21"/>
              </w:rPr>
            </w:r>
            <w:r/>
          </w:p>
        </w:tc>
      </w:tr>
      <w:tr>
        <w:trPr/>
        <w:tc>
          <w:tcPr>
            <w:tcW w:w="1751"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路由功能</w:t>
            </w:r>
            <w:r/>
          </w:p>
        </w:tc>
        <w:tc>
          <w:tcPr>
            <w:tcW w:w="6545" w:type="dxa"/>
            <w:vAlign w:val="center"/>
            <w:textDirection w:val="lrTb"/>
            <w:noWrap w:val="false"/>
          </w:tcPr>
          <w:p>
            <w:pPr>
              <w:rPr>
                <w:rFonts w:ascii="宋体" w:hAnsi="宋体"/>
                <w:szCs w:val="21"/>
              </w:rPr>
            </w:pPr>
            <w:r>
              <w:rPr>
                <w:rFonts w:hint="eastAsia" w:ascii="宋体" w:hAnsi="宋体"/>
                <w:szCs w:val="21"/>
              </w:rPr>
              <w:t xml:space="preserve">支持多种路由：如静态路由、动态路由、策略路由及ISP路由等（提供设备功能截图）；</w:t>
            </w:r>
            <w:r/>
          </w:p>
        </w:tc>
      </w:tr>
      <w:tr>
        <w:trPr/>
        <w:tc>
          <w:tcPr>
            <w:tcW w:w="1751"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接入管理</w:t>
            </w:r>
            <w:r/>
          </w:p>
        </w:tc>
        <w:tc>
          <w:tcPr>
            <w:tcW w:w="6545" w:type="dxa"/>
            <w:vAlign w:val="center"/>
            <w:textDirection w:val="lrTb"/>
            <w:noWrap w:val="false"/>
          </w:tcPr>
          <w:p>
            <w:pPr>
              <w:spacing w:line="276" w:lineRule="auto"/>
              <w:rPr>
                <w:rFonts w:ascii="宋体" w:hAnsi="宋体"/>
                <w:szCs w:val="21"/>
              </w:rPr>
            </w:pPr>
            <w:r>
              <w:rPr>
                <w:rFonts w:hint="eastAsia" w:ascii="宋体" w:hAnsi="宋体"/>
                <w:szCs w:val="21"/>
              </w:rPr>
              <w:t xml:space="preserve">支持链路聚合、虚拟线及子接口等多种网络接入方式；</w:t>
            </w:r>
            <w:r/>
          </w:p>
        </w:tc>
      </w:tr>
      <w:tr>
        <w:trPr/>
        <w:tc>
          <w:tcPr>
            <w:tcW w:w="1751"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NAT</w:t>
            </w:r>
            <w:r/>
          </w:p>
        </w:tc>
        <w:tc>
          <w:tcPr>
            <w:tcW w:w="6545" w:type="dxa"/>
            <w:vAlign w:val="center"/>
            <w:textDirection w:val="lrTb"/>
            <w:noWrap w:val="false"/>
          </w:tcPr>
          <w:p>
            <w:pPr>
              <w:rPr>
                <w:rFonts w:ascii="宋体" w:hAnsi="宋体"/>
                <w:szCs w:val="21"/>
              </w:rPr>
            </w:pPr>
            <w:r>
              <w:rPr>
                <w:rFonts w:hint="eastAsia" w:ascii="宋体" w:hAnsi="宋体"/>
                <w:szCs w:val="21"/>
              </w:rPr>
              <w:t xml:space="preserve">支持源地址转换、目的地址转换、双向地址转换及端口转换功能；</w:t>
            </w:r>
            <w:r/>
          </w:p>
        </w:tc>
      </w:tr>
      <w:tr>
        <w:trPr/>
        <w:tc>
          <w:tcPr>
            <w:tcW w:w="1751"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策略管理</w:t>
            </w:r>
            <w:r/>
          </w:p>
        </w:tc>
        <w:tc>
          <w:tcPr>
            <w:tcW w:w="6545" w:type="dxa"/>
            <w:vAlign w:val="center"/>
            <w:textDirection w:val="lrTb"/>
            <w:noWrap w:val="false"/>
          </w:tcPr>
          <w:p>
            <w:pPr>
              <w:rPr>
                <w:rFonts w:ascii="宋体" w:hAnsi="宋体"/>
                <w:szCs w:val="21"/>
              </w:rPr>
            </w:pPr>
            <w:r>
              <w:rPr>
                <w:rFonts w:hint="eastAsia" w:ascii="宋体" w:hAnsi="宋体"/>
                <w:szCs w:val="21"/>
              </w:rPr>
              <w:t xml:space="preserve">支持基于源地址、目的地址、应用连接限制；支持每IP连接总数限制、所有IP连接总数限制、每IP新建连接数限制；支持连接限制策略命中统计查看，显示最近被拒的地址对象节点信息，应用组对象节点信息等；</w:t>
            </w:r>
            <w:r/>
          </w:p>
        </w:tc>
      </w:tr>
      <w:tr>
        <w:trPr/>
        <w:tc>
          <w:tcPr>
            <w:tcW w:w="1751"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545" w:type="dxa"/>
            <w:vAlign w:val="center"/>
            <w:textDirection w:val="lrTb"/>
            <w:noWrap w:val="false"/>
          </w:tcPr>
          <w:p>
            <w:pPr>
              <w:rPr>
                <w:rFonts w:ascii="宋体" w:hAnsi="宋体"/>
                <w:szCs w:val="21"/>
              </w:rPr>
            </w:pPr>
            <w:r>
              <w:rPr>
                <w:rFonts w:hint="eastAsia" w:ascii="宋体" w:hAnsi="宋体" w:cs="宋体"/>
                <w:color w:val="000000"/>
                <w:szCs w:val="21"/>
              </w:rPr>
              <w:t xml:space="preserve">支持一条安全策略中同时配置ipv4和ipv6地址；</w:t>
            </w:r>
            <w:r/>
          </w:p>
        </w:tc>
      </w:tr>
      <w:tr>
        <w:trPr/>
        <w:tc>
          <w:tcPr>
            <w:tcW w:w="1751"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攻击防御</w:t>
            </w:r>
            <w:r/>
          </w:p>
        </w:tc>
        <w:tc>
          <w:tcPr>
            <w:tcW w:w="6545" w:type="dxa"/>
            <w:vAlign w:val="center"/>
            <w:textDirection w:val="lrTb"/>
            <w:noWrap w:val="false"/>
          </w:tcPr>
          <w:p>
            <w:pPr>
              <w:spacing w:line="276" w:lineRule="auto"/>
              <w:rPr>
                <w:rFonts w:ascii="宋体" w:hAnsi="宋体"/>
                <w:szCs w:val="21"/>
              </w:rPr>
            </w:pPr>
            <w:r>
              <w:rPr>
                <w:rFonts w:hint="eastAsia" w:ascii="宋体" w:hAnsi="宋体"/>
                <w:szCs w:val="21"/>
              </w:rPr>
              <w:t xml:space="preserve">能够实时阻断包括溢出攻击、WEBCGI攻击、系统漏洞攻击等网络攻击行为；具有DDOS防御、流量滥用管控、上网行为管理等功能；</w:t>
            </w:r>
            <w:r/>
          </w:p>
        </w:tc>
      </w:tr>
      <w:tr>
        <w:trPr/>
        <w:tc>
          <w:tcPr>
            <w:tcW w:w="1751"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545"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系统预定义IPS签名数≥</w:t>
            </w:r>
            <w:r>
              <w:rPr>
                <w:rFonts w:hint="eastAsia" w:ascii="宋体" w:hAnsi="宋体" w:cs="宋体"/>
                <w:szCs w:val="21"/>
                <w:lang w:val="en-US" w:eastAsia="zh-CN"/>
              </w:rPr>
              <w:t xml:space="preserve">10</w:t>
            </w:r>
            <w:r>
              <w:rPr>
                <w:rFonts w:hint="eastAsia" w:ascii="宋体" w:hAnsi="宋体" w:cs="宋体"/>
                <w:szCs w:val="21"/>
              </w:rPr>
              <w:t xml:space="preserve">000</w:t>
            </w:r>
            <w:r/>
          </w:p>
        </w:tc>
      </w:tr>
      <w:tr>
        <w:trPr/>
        <w:tc>
          <w:tcPr>
            <w:tcW w:w="1751"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攻击检测</w:t>
            </w:r>
            <w:r/>
          </w:p>
        </w:tc>
        <w:tc>
          <w:tcPr>
            <w:tcW w:w="6545" w:type="dxa"/>
            <w:vAlign w:val="center"/>
            <w:textDirection w:val="lrTb"/>
            <w:noWrap w:val="false"/>
          </w:tcPr>
          <w:p>
            <w:pPr>
              <w:spacing w:line="276" w:lineRule="auto"/>
              <w:rPr>
                <w:rFonts w:ascii="宋体" w:hAnsi="宋体"/>
                <w:szCs w:val="21"/>
              </w:rPr>
            </w:pPr>
            <w:r>
              <w:rPr>
                <w:rFonts w:hint="eastAsia" w:ascii="宋体" w:hAnsi="宋体"/>
                <w:szCs w:val="21"/>
              </w:rPr>
              <w:t xml:space="preserve">采用协议分析、模式识别、统计阀值和流量异常监视等综合技术手段，深入分析L2-L7层网络判断入侵行为，准确的发现包括溢出攻击、RPC攻击、WEBCGI攻击、木马蠕虫传播、系统漏洞攻击等网络攻击行为；</w:t>
            </w:r>
            <w:r/>
          </w:p>
        </w:tc>
      </w:tr>
      <w:tr>
        <w:trPr/>
        <w:tc>
          <w:tcPr>
            <w:tcW w:w="1751"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应用流量监控</w:t>
            </w:r>
            <w:r/>
          </w:p>
        </w:tc>
        <w:tc>
          <w:tcPr>
            <w:tcW w:w="6545" w:type="dxa"/>
            <w:vAlign w:val="center"/>
            <w:textDirection w:val="lrTb"/>
            <w:noWrap w:val="false"/>
          </w:tcPr>
          <w:p>
            <w:pPr>
              <w:spacing w:line="276" w:lineRule="auto"/>
              <w:rPr>
                <w:rFonts w:ascii="宋体" w:hAnsi="宋体"/>
                <w:szCs w:val="21"/>
              </w:rPr>
            </w:pPr>
            <w:r>
              <w:rPr>
                <w:rFonts w:hint="eastAsia" w:ascii="宋体" w:hAnsi="宋体"/>
                <w:szCs w:val="21"/>
              </w:rPr>
              <w:t xml:space="preserve">采用深度的识别技术，对应用协议交互过程进行智能分析，对采用动态变化服务端口或者使用标准协议端口隐藏传输内容的应用可以准确识别和控制；</w:t>
            </w:r>
            <w:r/>
          </w:p>
        </w:tc>
      </w:tr>
      <w:tr>
        <w:trPr/>
        <w:tc>
          <w:tcPr>
            <w:tcW w:w="1751"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防病毒</w:t>
            </w:r>
            <w:r/>
          </w:p>
        </w:tc>
        <w:tc>
          <w:tcPr>
            <w:tcW w:w="6545"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引入病毒库，采用基于数据流的检测技术，能够深层检测HTTP、FTP、SMTP、POP3协议，发现包括木马、后门和蠕虫在内的新近流行的多种网络病毒；</w:t>
            </w:r>
            <w:r/>
          </w:p>
        </w:tc>
      </w:tr>
      <w:tr>
        <w:trPr/>
        <w:tc>
          <w:tcPr>
            <w:tcW w:w="1751"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545"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病毒库覆盖</w:t>
            </w:r>
            <w:r>
              <w:rPr>
                <w:rFonts w:hint="eastAsia" w:ascii="宋体" w:hAnsi="宋体" w:cs="宋体"/>
                <w:szCs w:val="21"/>
                <w:lang w:val="en-US" w:eastAsia="zh-CN"/>
              </w:rPr>
              <w:t xml:space="preserve">4</w:t>
            </w:r>
            <w:r>
              <w:rPr>
                <w:rFonts w:hint="eastAsia" w:ascii="宋体" w:hAnsi="宋体" w:cs="宋体"/>
                <w:szCs w:val="21"/>
              </w:rPr>
              <w:t xml:space="preserve">00万以上变种病毒</w:t>
            </w:r>
            <w:r/>
          </w:p>
        </w:tc>
      </w:tr>
      <w:tr>
        <w:trPr/>
        <w:tc>
          <w:tcPr>
            <w:tcW w:w="1751"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545"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配置5年IPS特征库升级许可，5年防病毒功能升级许可。</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6、防火墙06</w:t>
      </w:r>
      <w:r>
        <w:rPr>
          <w:rFonts w:hint="eastAsia" w:ascii="宋体" w:hAnsi="宋体" w:eastAsia="宋体"/>
          <w:b/>
          <w:color w:val="000000"/>
          <w:sz w:val="24"/>
          <w:szCs w:val="24"/>
          <w:highlight w:val="none"/>
          <w:lang w:val="en-US" w:eastAsia="zh-CN"/>
        </w:rPr>
        <w:t xml:space="preserve">  </w:t>
      </w:r>
      <w:r>
        <w:rPr>
          <w:rFonts w:hint="eastAsia" w:ascii="宋体" w:hAnsi="宋体" w:eastAsia="宋体"/>
          <w:b/>
          <w:color w:val="000000"/>
          <w:sz w:val="24"/>
          <w:szCs w:val="24"/>
          <w:highlight w:val="none"/>
          <w:lang w:eastAsia="zh-CN"/>
        </w:rPr>
        <w:t xml:space="preserve">2台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shd w:val="clear" w:color="auto" w:fill="auto"/>
            <w:tcW w:w="1696" w:type="dxa"/>
            <w:vAlign w:val="center"/>
            <w:vMerge w:val="restart"/>
            <w:textDirection w:val="lrTb"/>
            <w:noWrap w:val="false"/>
          </w:tcPr>
          <w:p>
            <w:pPr>
              <w:jc w:val="center"/>
              <w:spacing w:line="276" w:lineRule="auto"/>
              <w:rPr>
                <w:rFonts w:ascii="宋体" w:hAnsi="宋体" w:cs="宋体"/>
                <w:i/>
                <w:iCs/>
                <w:szCs w:val="21"/>
                <w:u w:val="single"/>
              </w:rPr>
            </w:pPr>
            <w:r>
              <w:rPr>
                <w:rFonts w:hint="eastAsia" w:ascii="宋体" w:hAnsi="宋体"/>
                <w:i/>
                <w:iCs/>
                <w:szCs w:val="21"/>
                <w:u w:val="single"/>
              </w:rPr>
              <w:t xml:space="preserve">整机要求</w:t>
            </w:r>
            <w:r/>
          </w:p>
        </w:tc>
        <w:tc>
          <w:tcPr>
            <w:shd w:val="clear" w:color="auto" w:fill="auto"/>
            <w:tcW w:w="6600" w:type="dxa"/>
            <w:vAlign w:val="center"/>
            <w:textDirection w:val="lrTb"/>
            <w:noWrap w:val="false"/>
          </w:tcPr>
          <w:p>
            <w:pPr>
              <w:jc w:val="left"/>
              <w:rPr>
                <w:rFonts w:ascii="宋体" w:hAnsi="宋体"/>
                <w:i/>
                <w:iCs/>
                <w:szCs w:val="21"/>
                <w:u w:val="single"/>
              </w:rPr>
            </w:pPr>
            <w:r>
              <w:rPr>
                <w:rFonts w:hint="eastAsia" w:cs="宋体"/>
                <w:i/>
                <w:iCs/>
                <w:color w:val="000000"/>
                <w:szCs w:val="21"/>
                <w:u w:val="single"/>
              </w:rPr>
              <w:t xml:space="preserve">CPU采用国产多核处理器芯片；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cs="宋体"/>
                <w:i/>
                <w:iCs/>
                <w:color w:val="000000"/>
                <w:szCs w:val="21"/>
                <w:u w:val="single"/>
              </w:rPr>
              <w:t xml:space="preserve">网络层吞吐量≥40Gbps，IPS吞吐率≥15Gbps，并发连接≥1200万；每秒新建并发连接数≥40万；</w:t>
            </w:r>
            <w:r/>
          </w:p>
        </w:tc>
      </w:tr>
      <w:tr>
        <w:trPr>
          <w:trHeight w:val="565"/>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配置光模块：40GE多模光模块≥2个，万兆多模光模块≥4个；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标准机架式；冗余电源；</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静态动态路由功能，NAT功能，7层安全防护功能，攻击检测、防御功能，应用协议识别能力，病毒检测功能等。</w:t>
            </w:r>
            <w:r/>
          </w:p>
        </w:tc>
      </w:tr>
      <w:tr>
        <w:trPr/>
        <w:tc>
          <w:tcPr>
            <w:tcW w:w="1696" w:type="dxa"/>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r>
            <w:r>
              <w:rPr>
                <w:rFonts w:ascii="SimSun" w:hAnsi="SimSun" w:eastAsia="SimSun" w:cs="SimSun"/>
                <w:color w:val="000000"/>
                <w:sz w:val="21"/>
              </w:rPr>
              <w:t xml:space="preserve">接口规模</w:t>
            </w:r>
            <w:r>
              <w:rPr>
                <w:rFonts w:hint="eastAsia" w:ascii="宋体" w:hAnsi="宋体"/>
                <w:szCs w:val="21"/>
              </w:rPr>
            </w:r>
            <w:r>
              <w:rPr>
                <w:rFonts w:hint="eastAsia" w:ascii="宋体" w:hAnsi="宋体"/>
                <w:szCs w:val="21"/>
              </w:rPr>
            </w:r>
          </w:p>
        </w:tc>
        <w:tc>
          <w:tcPr>
            <w:tcW w:w="6600" w:type="dxa"/>
            <w:vAlign w:val="center"/>
            <w:vMerge w:val="restart"/>
            <w:textDirection w:val="lrTb"/>
            <w:noWrap w:val="false"/>
          </w:tcPr>
          <w:p>
            <w:pPr>
              <w:rPr>
                <w:rFonts w:hint="eastAsia" w:ascii="宋体" w:hAnsi="宋体"/>
                <w:szCs w:val="21"/>
              </w:rPr>
            </w:pPr>
            <w:r>
              <w:rPr>
                <w:rFonts w:hint="eastAsia" w:ascii="宋体" w:hAnsi="宋体"/>
                <w:szCs w:val="21"/>
              </w:rPr>
            </w:r>
            <w:r>
              <w:rPr>
                <w:rFonts w:hint="eastAsia" w:ascii="宋体" w:hAnsi="宋体"/>
                <w:szCs w:val="21"/>
              </w:rPr>
              <w:t xml:space="preserve">端口类型：40GE光口≥2个，万兆光口≥4个，千兆电口≥12个；</w:t>
            </w:r>
            <w:r>
              <w:rPr>
                <w:rFonts w:hint="eastAsia" w:ascii="宋体" w:hAnsi="宋体"/>
                <w:szCs w:val="21"/>
              </w:rPr>
            </w:r>
            <w:r>
              <w:rPr>
                <w:rFonts w:hint="eastAsia" w:ascii="宋体" w:hAnsi="宋体"/>
                <w:szCs w:val="21"/>
              </w:rP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路由功能</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支持多种路由：如静态路由、动态路由、策略路由及ISP路由等（提供设备功能截图）；</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接入管理</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支持链路聚合、虚拟线及子接口等多种网络接入方式；</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NAT</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支持源地址转换、目的地址转换、双向地址转换及端口转换功能；</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策略管理</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支持基于源地址、目的地址、应用连接限制；支持每IP连接总数限制、所有IP连接总数限制、每IP新建连接数限制；支持连接限制策略命中统计查看，显示最近被拒的地址对象节点信息，应用组对象节点信息等；</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rPr>
                <w:rFonts w:ascii="宋体" w:hAnsi="宋体"/>
                <w:szCs w:val="21"/>
              </w:rPr>
            </w:pPr>
            <w:r>
              <w:rPr>
                <w:rFonts w:hint="eastAsia" w:ascii="宋体" w:hAnsi="宋体" w:cs="宋体"/>
                <w:color w:val="000000"/>
                <w:szCs w:val="21"/>
              </w:rPr>
              <w:t xml:space="preserve">支持一条安全策略中同时配置ipv4和ipv6地址；</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攻击防御</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能够实时阻断包括溢出攻击、WEBCGI攻击、系统漏洞攻击等网络攻击行为；具有DDOS防御、流量滥用管控、上网行为管理等功能；</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系统预定义IPS签名数≥</w:t>
            </w:r>
            <w:r>
              <w:rPr>
                <w:rFonts w:hint="eastAsia" w:ascii="宋体" w:hAnsi="宋体" w:cs="宋体"/>
                <w:szCs w:val="21"/>
                <w:lang w:val="en-US" w:eastAsia="zh-CN"/>
              </w:rPr>
              <w:t xml:space="preserve">10</w:t>
            </w:r>
            <w:r>
              <w:rPr>
                <w:rFonts w:hint="eastAsia" w:ascii="宋体" w:hAnsi="宋体" w:cs="宋体"/>
                <w:szCs w:val="21"/>
              </w:rPr>
              <w:t xml:space="preserve">000</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攻击检测</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采用协议分析、模式识别、统计阀值和流量异常监视等综合技术手段，深入分析L2-L7层网络判断入侵行为，准确的发现包括溢出攻击、RPC攻击、WEBCGI攻击、木马蠕虫传播、系统漏洞攻击等网络攻击行为；</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应用流量监控</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采用深度的识别技术，对应用协议交互过程进行智能分析，对采用动态变化服务端口或者使用标准协议端口隐藏传输内容的应用可以准确识别和控制；</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防病毒</w:t>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引入病毒库，采用基于数据流的检测技术，能够深层检测HTTP、FTP、SMTP、POP3协议，发现包括木马、后门和蠕虫在内的新近流行的多种网络病毒；</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病毒库覆盖</w:t>
            </w:r>
            <w:r>
              <w:rPr>
                <w:rFonts w:hint="eastAsia" w:ascii="宋体" w:hAnsi="宋体" w:cs="宋体"/>
                <w:szCs w:val="21"/>
                <w:lang w:val="en-US" w:eastAsia="zh-CN"/>
              </w:rPr>
              <w:t xml:space="preserve">4</w:t>
            </w:r>
            <w:r>
              <w:rPr>
                <w:rFonts w:hint="eastAsia" w:ascii="宋体" w:hAnsi="宋体" w:cs="宋体"/>
                <w:szCs w:val="21"/>
              </w:rPr>
              <w:t xml:space="preserve">00万以上变种病毒</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配置5年IPS特征库升级许可，5年防病毒功能升级许可。</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7、入侵防御（含防病毒功能）8台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整机要求</w:t>
            </w:r>
            <w:r/>
          </w:p>
        </w:tc>
        <w:tc>
          <w:tcPr>
            <w:tcW w:w="6600" w:type="dxa"/>
            <w:vAlign w:val="center"/>
            <w:textDirection w:val="lrTb"/>
            <w:noWrap w:val="false"/>
          </w:tcPr>
          <w:p>
            <w:pPr>
              <w:spacing w:line="276" w:lineRule="auto"/>
              <w:rPr>
                <w:rFonts w:ascii="宋体" w:hAnsi="宋体" w:cs="宋体"/>
                <w:i/>
                <w:iCs/>
                <w:color w:val="000000"/>
                <w:szCs w:val="21"/>
                <w:u w:val="single"/>
              </w:rPr>
            </w:pPr>
            <w:r>
              <w:rPr>
                <w:rFonts w:hint="eastAsia" w:cs="宋体"/>
                <w:i/>
                <w:iCs/>
                <w:color w:val="000000"/>
                <w:szCs w:val="21"/>
                <w:u w:val="single"/>
              </w:rPr>
              <w:t xml:space="preserve">CPU采用国产多核处理器芯片；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cs="宋体"/>
                <w:i/>
                <w:iCs/>
                <w:color w:val="000000"/>
                <w:szCs w:val="21"/>
                <w:u w:val="single"/>
              </w:rPr>
              <w:t xml:space="preserve">网络层吞吐量≥20Gbps，IPS吞吐量≥10Gbps，并发连接数≥800万，每秒新建并发连接数≥20万；</w:t>
            </w:r>
            <w:r/>
          </w:p>
        </w:tc>
      </w:tr>
      <w:tr>
        <w:trPr>
          <w:trHeight w:val="549"/>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配置光模块：万兆多模光模块≥6个，千兆多模光模块≥6个；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标准机架式；冗余电源；</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攻击检测、防御功能，应用协议识别能力，病毒检测功能等。</w:t>
            </w:r>
            <w:r/>
          </w:p>
        </w:tc>
      </w:tr>
      <w:tr>
        <w:trPr/>
        <w:tc>
          <w:tcPr>
            <w:tcW w:w="1696" w:type="dxa"/>
            <w:vAlign w:val="center"/>
            <w:vMerge w:val="restart"/>
            <w:textDirection w:val="lrTb"/>
            <w:noWrap w:val="false"/>
          </w:tcPr>
          <w:p>
            <w:pPr>
              <w:jc w:val="center"/>
              <w:spacing w:line="276" w:lineRule="auto"/>
              <w:rPr>
                <w:rFonts w:hint="eastAsia" w:ascii="宋体" w:hAnsi="宋体"/>
                <w:szCs w:val="21"/>
              </w:rPr>
            </w:pPr>
            <w:r>
              <w:rPr>
                <w:rFonts w:hint="eastAsia" w:ascii="宋体" w:hAnsi="宋体"/>
                <w:szCs w:val="21"/>
              </w:rPr>
            </w:r>
            <w:r>
              <w:rPr>
                <w:rFonts w:ascii="SimSun" w:hAnsi="SimSun" w:eastAsia="SimSun" w:cs="SimSun"/>
                <w:color w:val="000000"/>
                <w:sz w:val="21"/>
              </w:rPr>
              <w:t xml:space="preserve">接口规模</w:t>
            </w:r>
            <w:r>
              <w:rPr>
                <w:rFonts w:hint="eastAsia" w:ascii="宋体" w:hAnsi="宋体"/>
                <w:szCs w:val="21"/>
              </w:rPr>
            </w:r>
            <w:r/>
          </w:p>
        </w:tc>
        <w:tc>
          <w:tcPr>
            <w:tcW w:w="6600" w:type="dxa"/>
            <w:vAlign w:val="center"/>
            <w:vMerge w:val="restart"/>
            <w:textDirection w:val="lrTb"/>
            <w:noWrap w:val="false"/>
          </w:tcPr>
          <w:p>
            <w:pPr>
              <w:spacing w:line="276" w:lineRule="auto"/>
              <w:rPr>
                <w:rFonts w:hint="eastAsia" w:ascii="宋体" w:hAnsi="宋体"/>
                <w:szCs w:val="21"/>
              </w:rPr>
            </w:pPr>
            <w:r>
              <w:rPr>
                <w:rFonts w:hint="eastAsia" w:ascii="宋体" w:hAnsi="宋体"/>
                <w:szCs w:val="21"/>
              </w:rPr>
            </w:r>
            <w:r>
              <w:rPr>
                <w:rFonts w:hint="eastAsia" w:ascii="宋体" w:hAnsi="宋体"/>
                <w:szCs w:val="21"/>
              </w:rPr>
              <w:t xml:space="preserve">端口类型：万兆光口≥6个，千兆光口≥6个，千兆电口≥8个；</w:t>
            </w:r>
            <w:r>
              <w:rPr>
                <w:rFonts w:hint="eastAsia" w:ascii="宋体" w:hAnsi="宋体"/>
                <w:szCs w:val="21"/>
              </w:rPr>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攻击防御</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能够实时阻断包括溢出攻击、WEBCGI攻击、系统漏洞攻击等网络攻击行为；具有DDOS防御、流量滥用管控、上网行为管理等功能；</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系统预定义IPS签名数≥</w:t>
            </w:r>
            <w:r>
              <w:rPr>
                <w:rFonts w:hint="eastAsia" w:ascii="宋体" w:hAnsi="宋体" w:cs="宋体"/>
                <w:szCs w:val="21"/>
                <w:lang w:val="en-US" w:eastAsia="zh-CN"/>
              </w:rPr>
              <w:t xml:space="preserve">10</w:t>
            </w:r>
            <w:r>
              <w:rPr>
                <w:rFonts w:hint="eastAsia" w:ascii="宋体" w:hAnsi="宋体" w:cs="宋体"/>
                <w:szCs w:val="21"/>
              </w:rPr>
              <w:t xml:space="preserve">000</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攻击检测</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采用协议分析、模式识别、统计阀值和流量异常监视等综合技术手段，深入分析L2-L7层网络判断入侵行为，准确的发现包括溢出攻击、RPC攻击、WEBCGI攻击、木马蠕虫传播、系统漏洞攻击等网络攻击行为；</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应用流量监控</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采用深度的识别技术，对应用协议交互过程进行智能分析，对采用动态变化服务端口或者使用标准协议端口隐藏传输内容的应用可以准确识别和控制；</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防病毒</w:t>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引入病毒库，采用基于数据流的检测技术，能够深层检测HTTP、FTP、SMTP、POP3协议，发现包括木马、后门和蠕虫在内的新近流行的多种网络病毒；</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病毒库覆盖</w:t>
            </w:r>
            <w:r>
              <w:rPr>
                <w:rFonts w:hint="eastAsia" w:ascii="宋体" w:hAnsi="宋体" w:cs="宋体"/>
                <w:szCs w:val="21"/>
                <w:lang w:val="en-US" w:eastAsia="zh-CN"/>
              </w:rPr>
              <w:t xml:space="preserve">4</w:t>
            </w:r>
            <w:r>
              <w:rPr>
                <w:rFonts w:hint="eastAsia" w:ascii="宋体" w:hAnsi="宋体" w:cs="宋体"/>
                <w:szCs w:val="21"/>
              </w:rPr>
              <w:t xml:space="preserve">00万以上变种病毒</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配置5年IPS特征库升级许可，5年防病毒功能升级许可。</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8、终端数据防泄漏1套</w:t>
      </w:r>
      <w:r/>
    </w:p>
    <w:tbl>
      <w:tblPr>
        <w:tblStyle w:val="9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功能要求</w:t>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i/>
                <w:iCs/>
                <w:szCs w:val="21"/>
                <w:u w:val="single"/>
              </w:rPr>
              <w:t xml:space="preserve">控制个人终端上的对外设备接口的使用，并结合深度内容识别技术监管通过其外发的数据内容；</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控制终端电脑上可安装、运行的应用软件，并对其被动/主动访问敏感数据内容的行为进行审计/阻断；</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支持闲时增量扫描个人终端电脑上的敏感数据存储状态及终端运行的应用软件情况，并上传扫描结果至管理平台，使管理人员实时、全面的掌握内网中所有个人终端上存储的敏感数据类型、数量，发现不当存储及高危应用软件；</w:t>
            </w:r>
            <w:r/>
          </w:p>
        </w:tc>
      </w:tr>
      <w:tr>
        <w:trPr/>
        <w:tc>
          <w:tcPr>
            <w:tcW w:w="1696" w:type="dxa"/>
            <w:vAlign w:val="center"/>
            <w:textDirection w:val="lrTb"/>
            <w:noWrap w:val="false"/>
          </w:tcPr>
          <w:p>
            <w:pPr>
              <w:jc w:val="center"/>
              <w:widowControl/>
              <w:rPr>
                <w:rFonts w:cs="宋体"/>
                <w:color w:val="000000"/>
                <w:szCs w:val="21"/>
              </w:rPr>
            </w:pPr>
            <w:r>
              <w:rPr>
                <w:rFonts w:hint="eastAsia" w:cs="宋体"/>
                <w:color w:val="000000"/>
                <w:szCs w:val="21"/>
              </w:rPr>
              <w:t xml:space="preserve">平台标准</w:t>
            </w:r>
            <w:r/>
          </w:p>
        </w:tc>
        <w:tc>
          <w:tcPr>
            <w:tcW w:w="6600" w:type="dxa"/>
            <w:vAlign w:val="center"/>
            <w:textDirection w:val="lrTb"/>
            <w:noWrap w:val="false"/>
          </w:tcPr>
          <w:p>
            <w:pPr>
              <w:widowControl/>
              <w:rPr>
                <w:rFonts w:cs="宋体"/>
                <w:color w:val="000000"/>
                <w:szCs w:val="21"/>
              </w:rPr>
            </w:pPr>
            <w:r>
              <w:rPr>
                <w:rFonts w:hint="eastAsia" w:cs="宋体"/>
                <w:color w:val="000000"/>
                <w:szCs w:val="21"/>
              </w:rPr>
              <w:t xml:space="preserve">采用C/S与B/S混合架构，支持WEB管理，方便运维；</w:t>
            </w:r>
            <w:r/>
          </w:p>
        </w:tc>
      </w:tr>
      <w:tr>
        <w:trPr/>
        <w:tc>
          <w:tcPr>
            <w:tcW w:w="1696" w:type="dxa"/>
            <w:vAlign w:val="center"/>
            <w:textDirection w:val="lrTb"/>
            <w:noWrap w:val="false"/>
          </w:tcPr>
          <w:p>
            <w:pPr>
              <w:jc w:val="center"/>
              <w:widowControl/>
              <w:rPr>
                <w:rFonts w:cs="宋体"/>
                <w:color w:val="000000"/>
                <w:szCs w:val="21"/>
              </w:rPr>
            </w:pPr>
            <w:r>
              <w:rPr>
                <w:rFonts w:hint="eastAsia" w:cs="宋体"/>
                <w:color w:val="000000"/>
                <w:szCs w:val="21"/>
              </w:rPr>
              <w:t xml:space="preserve">部署方式</w:t>
            </w:r>
            <w:r/>
          </w:p>
        </w:tc>
        <w:tc>
          <w:tcPr>
            <w:tcW w:w="6600" w:type="dxa"/>
            <w:vAlign w:val="center"/>
            <w:textDirection w:val="lrTb"/>
            <w:noWrap w:val="false"/>
          </w:tcPr>
          <w:p>
            <w:pPr>
              <w:widowControl/>
              <w:rPr>
                <w:rFonts w:cs="宋体"/>
                <w:color w:val="000000"/>
                <w:szCs w:val="21"/>
              </w:rPr>
            </w:pPr>
            <w:r>
              <w:rPr>
                <w:rFonts w:hint="eastAsia" w:cs="宋体"/>
                <w:color w:val="000000"/>
                <w:szCs w:val="21"/>
              </w:rPr>
              <w:t xml:space="preserve">为满足系统高可用性，系统支持集群式或双机热备部署架构；</w:t>
            </w:r>
            <w:r/>
          </w:p>
        </w:tc>
      </w:tr>
      <w:tr>
        <w:trPr/>
        <w:tc>
          <w:tcPr>
            <w:tcW w:w="1696" w:type="dxa"/>
            <w:vAlign w:val="center"/>
            <w:textDirection w:val="lrTb"/>
            <w:noWrap w:val="false"/>
          </w:tcPr>
          <w:p>
            <w:pPr>
              <w:jc w:val="center"/>
              <w:widowControl/>
              <w:rPr>
                <w:rFonts w:cs="宋体"/>
                <w:i/>
                <w:iCs/>
                <w:color w:val="000000"/>
                <w:szCs w:val="21"/>
                <w:u w:val="single"/>
              </w:rPr>
            </w:pPr>
            <w:r>
              <w:rPr>
                <w:rFonts w:hint="eastAsia" w:cs="宋体"/>
                <w:i/>
                <w:iCs/>
                <w:color w:val="000000"/>
                <w:szCs w:val="21"/>
                <w:u w:val="single"/>
              </w:rPr>
              <w:t xml:space="preserve">系统平台</w:t>
            </w:r>
            <w:r/>
          </w:p>
        </w:tc>
        <w:tc>
          <w:tcPr>
            <w:tcW w:w="6600" w:type="dxa"/>
            <w:vAlign w:val="center"/>
            <w:textDirection w:val="lrTb"/>
            <w:noWrap w:val="false"/>
          </w:tcPr>
          <w:p>
            <w:pPr>
              <w:widowControl/>
              <w:rPr>
                <w:rFonts w:cs="宋体"/>
                <w:i/>
                <w:iCs/>
                <w:color w:val="000000"/>
                <w:szCs w:val="21"/>
                <w:u w:val="single"/>
              </w:rPr>
            </w:pPr>
            <w:r>
              <w:rPr>
                <w:rFonts w:hint="eastAsia" w:cs="宋体"/>
                <w:i/>
                <w:iCs/>
                <w:color w:val="000000"/>
                <w:szCs w:val="21"/>
                <w:u w:val="single"/>
              </w:rPr>
              <w:t xml:space="preserve">支持私有化部署，支持国产化芯片ARM等架构；</w:t>
            </w:r>
            <w:r/>
          </w:p>
        </w:tc>
      </w:tr>
      <w:tr>
        <w:trPr/>
        <w:tc>
          <w:tcPr>
            <w:tcW w:w="1696" w:type="dxa"/>
            <w:vAlign w:val="center"/>
            <w:textDirection w:val="lrTb"/>
            <w:noWrap w:val="false"/>
          </w:tcPr>
          <w:p>
            <w:pPr>
              <w:jc w:val="center"/>
              <w:widowControl/>
              <w:rPr>
                <w:rFonts w:cs="宋体"/>
                <w:i/>
                <w:iCs/>
                <w:color w:val="000000"/>
                <w:szCs w:val="21"/>
                <w:u w:val="single"/>
              </w:rPr>
            </w:pPr>
            <w:r>
              <w:rPr>
                <w:rFonts w:hint="eastAsia" w:cs="宋体"/>
                <w:i/>
                <w:iCs/>
                <w:color w:val="000000"/>
                <w:szCs w:val="21"/>
                <w:u w:val="single"/>
              </w:rPr>
              <w:t xml:space="preserve">适配系统</w:t>
            </w:r>
            <w:r/>
          </w:p>
        </w:tc>
        <w:tc>
          <w:tcPr>
            <w:tcW w:w="6600" w:type="dxa"/>
            <w:vAlign w:val="center"/>
            <w:textDirection w:val="lrTb"/>
            <w:noWrap w:val="false"/>
          </w:tcPr>
          <w:p>
            <w:pPr>
              <w:widowControl/>
              <w:rPr>
                <w:rFonts w:cs="宋体"/>
                <w:i/>
                <w:iCs/>
                <w:color w:val="000000"/>
                <w:szCs w:val="21"/>
                <w:u w:val="single"/>
              </w:rPr>
            </w:pPr>
            <w:r>
              <w:rPr>
                <w:rFonts w:hint="eastAsia" w:cs="宋体"/>
                <w:i/>
                <w:iCs/>
                <w:color w:val="000000"/>
                <w:szCs w:val="21"/>
                <w:u w:val="single"/>
              </w:rPr>
              <w:t xml:space="preserve">客户端支持国产操作系统；</w:t>
            </w:r>
            <w:r/>
          </w:p>
        </w:tc>
      </w:tr>
      <w:tr>
        <w:trPr/>
        <w:tc>
          <w:tcPr>
            <w:tcW w:w="1696" w:type="dxa"/>
            <w:vAlign w:val="center"/>
            <w:textDirection w:val="lrTb"/>
            <w:noWrap w:val="false"/>
          </w:tcPr>
          <w:p>
            <w:pPr>
              <w:jc w:val="center"/>
              <w:widowControl/>
              <w:rPr>
                <w:rFonts w:cs="宋体"/>
                <w:color w:val="000000"/>
                <w:szCs w:val="21"/>
              </w:rPr>
            </w:pPr>
            <w:r>
              <w:rPr>
                <w:rFonts w:hint="eastAsia" w:cs="宋体"/>
                <w:color w:val="000000"/>
                <w:szCs w:val="21"/>
              </w:rPr>
              <w:t xml:space="preserve">终端标签</w:t>
            </w:r>
            <w:r/>
          </w:p>
        </w:tc>
        <w:tc>
          <w:tcPr>
            <w:tcW w:w="6600" w:type="dxa"/>
            <w:vAlign w:val="center"/>
            <w:textDirection w:val="lrTb"/>
            <w:noWrap w:val="false"/>
          </w:tcPr>
          <w:p>
            <w:pPr>
              <w:widowControl/>
              <w:rPr>
                <w:rFonts w:cs="宋体"/>
                <w:color w:val="000000"/>
                <w:szCs w:val="21"/>
              </w:rPr>
            </w:pPr>
            <w:r>
              <w:rPr>
                <w:rFonts w:hint="eastAsia" w:cs="宋体"/>
                <w:color w:val="000000"/>
                <w:szCs w:val="21"/>
              </w:rPr>
              <w:t xml:space="preserve">系统须支持基于终端设备的标签管理，可对终端标签下发策略进行管控；</w:t>
            </w:r>
            <w:r/>
          </w:p>
        </w:tc>
      </w:tr>
      <w:tr>
        <w:trPr/>
        <w:tc>
          <w:tcPr>
            <w:tcW w:w="1696" w:type="dxa"/>
            <w:vAlign w:val="center"/>
            <w:textDirection w:val="lrTb"/>
            <w:noWrap w:val="false"/>
          </w:tcPr>
          <w:p>
            <w:pPr>
              <w:jc w:val="center"/>
              <w:widowControl/>
              <w:rPr>
                <w:rFonts w:cs="宋体"/>
                <w:color w:val="000000"/>
                <w:szCs w:val="21"/>
              </w:rPr>
            </w:pPr>
            <w:r>
              <w:rPr>
                <w:rFonts w:hint="eastAsia" w:cs="宋体"/>
                <w:color w:val="000000"/>
                <w:szCs w:val="21"/>
              </w:rPr>
              <w:t xml:space="preserve">压缩包穿透</w:t>
            </w:r>
            <w:r/>
          </w:p>
        </w:tc>
        <w:tc>
          <w:tcPr>
            <w:tcW w:w="6600" w:type="dxa"/>
            <w:vAlign w:val="center"/>
            <w:textDirection w:val="lrTb"/>
            <w:noWrap w:val="false"/>
          </w:tcPr>
          <w:p>
            <w:pPr>
              <w:widowControl/>
              <w:rPr>
                <w:rFonts w:cs="宋体"/>
                <w:color w:val="000000"/>
                <w:szCs w:val="21"/>
              </w:rPr>
            </w:pPr>
            <w:r>
              <w:rPr>
                <w:rFonts w:hint="eastAsia" w:cs="宋体"/>
                <w:color w:val="000000"/>
                <w:szCs w:val="21"/>
              </w:rPr>
              <w:t xml:space="preserve">支持识别tar、zip、7z、win、rar等压缩文件内容；支持压缩包穿透检测；</w:t>
            </w:r>
            <w:r/>
          </w:p>
        </w:tc>
      </w:tr>
      <w:tr>
        <w:trPr/>
        <w:tc>
          <w:tcPr>
            <w:tcW w:w="1696" w:type="dxa"/>
            <w:vAlign w:val="center"/>
            <w:textDirection w:val="lrTb"/>
            <w:noWrap w:val="false"/>
          </w:tcPr>
          <w:p>
            <w:pPr>
              <w:jc w:val="center"/>
              <w:widowControl/>
              <w:rPr>
                <w:rFonts w:cs="宋体"/>
                <w:color w:val="000000"/>
                <w:szCs w:val="21"/>
              </w:rPr>
            </w:pPr>
            <w:r>
              <w:rPr>
                <w:rFonts w:hint="eastAsia" w:cs="宋体"/>
                <w:color w:val="000000"/>
                <w:szCs w:val="21"/>
              </w:rPr>
              <w:t xml:space="preserve">用户管理</w:t>
            </w:r>
            <w:r/>
          </w:p>
        </w:tc>
        <w:tc>
          <w:tcPr>
            <w:tcW w:w="6600" w:type="dxa"/>
            <w:vAlign w:val="center"/>
            <w:textDirection w:val="lrTb"/>
            <w:noWrap w:val="false"/>
          </w:tcPr>
          <w:p>
            <w:pPr>
              <w:widowControl/>
              <w:rPr>
                <w:rFonts w:cs="宋体"/>
                <w:color w:val="000000"/>
                <w:szCs w:val="21"/>
              </w:rPr>
            </w:pPr>
            <w:r>
              <w:rPr>
                <w:rFonts w:hint="eastAsia" w:cs="宋体"/>
                <w:color w:val="000000"/>
                <w:szCs w:val="21"/>
              </w:rPr>
              <w:t xml:space="preserve">服务端须支持用户信息清晰展示，用户姓名、邮箱、部门、组织架构、上级、用户设备、设备信息、策略信息、风险信息。并支持在平台内将用户与纳入管理的设备一键关联；</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终端授权≥500；5年升级服务。</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9、WEB应用防护1台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整机要求</w:t>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i/>
                <w:iCs/>
                <w:szCs w:val="21"/>
                <w:u w:val="single"/>
              </w:rPr>
              <w:t xml:space="preserve">标准机架式，多核国产CPU硬件架构；</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网络层吞吐率≥9Gbps，HTTP吞吐率≥8Gbps；并发连接数≥110万，最大新建连接数≥85000；</w:t>
            </w:r>
            <w:r>
              <w:rPr>
                <w:rFonts w:hint="eastAsia" w:ascii="宋体" w:hAnsi="宋体" w:cs="宋体"/>
                <w:i/>
                <w:iCs/>
                <w:color w:val="auto"/>
                <w:szCs w:val="21"/>
                <w:u w:val="single"/>
              </w:rPr>
              <w:t xml:space="preserve">防护数量根据用户</w:t>
            </w:r>
            <w:r>
              <w:rPr>
                <w:rFonts w:hint="eastAsia" w:ascii="宋体" w:hAnsi="宋体" w:cs="宋体"/>
                <w:i/>
                <w:iCs/>
                <w:color w:val="auto"/>
                <w:szCs w:val="21"/>
                <w:u w:val="single"/>
                <w:lang w:val="en-US" w:eastAsia="zh-CN"/>
              </w:rPr>
              <w:t xml:space="preserve">合理</w:t>
            </w:r>
            <w:r>
              <w:rPr>
                <w:rFonts w:hint="eastAsia" w:ascii="宋体" w:hAnsi="宋体" w:cs="宋体"/>
                <w:i/>
                <w:iCs/>
                <w:color w:val="auto"/>
                <w:szCs w:val="21"/>
                <w:u w:val="single"/>
              </w:rPr>
              <w:t xml:space="preserve">需求配置</w:t>
            </w:r>
            <w:r>
              <w:rPr>
                <w:rFonts w:hint="eastAsia" w:ascii="宋体" w:hAnsi="宋体" w:cs="宋体"/>
                <w:i/>
                <w:iCs/>
                <w:szCs w:val="21"/>
                <w:u w:val="single"/>
              </w:rPr>
              <w:t xml:space="preserve">；</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端口类型：万兆光口≥2个，千兆电接口≥2个；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配置光模块：万兆多模光模块≥2个；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SQL注入、XSS、CSRF等WEB攻击防护功能、URL访问控制功能、防盗链功能、WEB漏洞扫描防护功能、DDOS攻击防护功能、网页防篡改功能、报表分析及告警功能。</w:t>
            </w:r>
            <w:r/>
          </w:p>
        </w:tc>
      </w:tr>
      <w:tr>
        <w:trPr/>
        <w:tc>
          <w:tcPr>
            <w:tcW w:w="1696"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功能要求</w:t>
            </w:r>
            <w:r/>
          </w:p>
        </w:tc>
        <w:tc>
          <w:tcPr>
            <w:tcW w:w="6600" w:type="dxa"/>
            <w:vAlign w:val="center"/>
            <w:textDirection w:val="lrTb"/>
            <w:noWrap w:val="false"/>
          </w:tcPr>
          <w:p>
            <w:pPr>
              <w:rPr>
                <w:rFonts w:ascii="宋体" w:hAnsi="宋体"/>
                <w:szCs w:val="21"/>
              </w:rPr>
            </w:pPr>
            <w:r>
              <w:rPr>
                <w:rFonts w:hint="eastAsia" w:ascii="宋体" w:hAnsi="宋体"/>
                <w:szCs w:val="21"/>
              </w:rPr>
              <w:t xml:space="preserve">支持旁路防护模式部署，有效阻断如SQL注入攻击、网页篡改、网页挂马；</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采用双向数据检测机制，对进出WEB服务器的HTTP/HTTPS相关内容进行深度分析；</w:t>
            </w:r>
            <w:r/>
          </w:p>
        </w:tc>
      </w:tr>
      <w:tr>
        <w:trPr/>
        <w:tc>
          <w:tcPr>
            <w:tcW w:w="1696" w:type="dxa"/>
            <w:vAlign w:val="center"/>
            <w:vMerge w:val="continue"/>
            <w:textDirection w:val="lrTb"/>
            <w:noWrap w:val="false"/>
          </w:tcPr>
          <w:p>
            <w:pPr>
              <w:jc w:val="center"/>
              <w:spacing w:line="276" w:lineRule="auto"/>
              <w:rPr>
                <w:rFonts w:ascii="宋体" w:hAnsi="宋体"/>
                <w:szCs w:val="21"/>
              </w:rPr>
            </w:pPr>
            <w:r>
              <w:rPr>
                <w:rFonts w:ascii="宋体" w:hAnsi="宋体"/>
                <w:szCs w:val="21"/>
              </w:rPr>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针对WEB攻击内置专用特征规则库，涵盖SQL注入防护、XSS防护、爬虫防护、扫描防护、信息泄露防护、溢出防护、协议完整性检查等多种类规则；</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szCs w:val="21"/>
              </w:rPr>
              <w:t xml:space="preserve">防御动作</w:t>
            </w:r>
            <w:r/>
          </w:p>
        </w:tc>
        <w:tc>
          <w:tcPr>
            <w:tcW w:w="6600" w:type="dxa"/>
            <w:vAlign w:val="center"/>
            <w:textDirection w:val="lrTb"/>
            <w:noWrap w:val="false"/>
          </w:tcPr>
          <w:p>
            <w:pPr>
              <w:spacing w:line="276" w:lineRule="auto"/>
              <w:rPr>
                <w:rFonts w:ascii="宋体" w:hAnsi="宋体" w:cs="宋体"/>
                <w:i/>
                <w:iCs/>
                <w:color w:val="000000"/>
                <w:szCs w:val="21"/>
                <w:u w:val="single"/>
              </w:rPr>
            </w:pPr>
            <w:r>
              <w:rPr>
                <w:rFonts w:hint="eastAsia" w:ascii="宋体" w:hAnsi="宋体" w:cs="宋体"/>
                <w:szCs w:val="21"/>
              </w:rPr>
              <w:t xml:space="preserve">支持对触发规则行为仅告警、阻断并重定向到告警页面、添加到黑名单、添加为白名单等；</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cs="宋体"/>
                <w:szCs w:val="21"/>
              </w:rPr>
              <w:t xml:space="preserve">日志、报表和告警</w:t>
            </w:r>
            <w:r/>
          </w:p>
        </w:tc>
        <w:tc>
          <w:tcPr>
            <w:tcW w:w="6600" w:type="dxa"/>
            <w:vAlign w:val="center"/>
            <w:textDirection w:val="lrTb"/>
            <w:noWrap w:val="false"/>
          </w:tcPr>
          <w:p>
            <w:pPr>
              <w:spacing w:line="276" w:lineRule="auto"/>
              <w:rPr>
                <w:rFonts w:ascii="宋体" w:hAnsi="宋体" w:cs="宋体"/>
                <w:i/>
                <w:iCs/>
                <w:color w:val="000000"/>
                <w:szCs w:val="21"/>
                <w:u w:val="single"/>
              </w:rPr>
            </w:pPr>
            <w:r>
              <w:rPr>
                <w:rFonts w:hint="eastAsia" w:ascii="宋体" w:hAnsi="宋体" w:cs="宋体"/>
                <w:szCs w:val="21"/>
              </w:rPr>
              <w:t xml:space="preserve">提供设备管理日志、网络安全日志、网页安全日志、防篡改日志、访问控制日志、自学习策略日志等；</w:t>
            </w:r>
            <w:r/>
          </w:p>
        </w:tc>
      </w:tr>
      <w:tr>
        <w:trPr/>
        <w:tc>
          <w:tcPr>
            <w:tcW w:w="1696" w:type="dxa"/>
            <w:vAlign w:val="center"/>
            <w:vMerge w:val="continue"/>
            <w:textDirection w:val="lrTb"/>
            <w:noWrap w:val="false"/>
          </w:tcPr>
          <w:p>
            <w:pPr>
              <w:jc w:val="center"/>
              <w:spacing w:line="276" w:lineRule="auto"/>
              <w:rPr>
                <w:rFonts w:ascii="宋体" w:hAnsi="宋体" w:cs="宋体"/>
                <w:szCs w:val="21"/>
              </w:rPr>
            </w:pPr>
            <w:r>
              <w:rPr>
                <w:rFonts w:ascii="宋体" w:hAnsi="宋体" w:cs="宋体"/>
                <w:szCs w:val="21"/>
              </w:rPr>
            </w:r>
            <w:r/>
          </w:p>
        </w:tc>
        <w:tc>
          <w:tcPr>
            <w:tcW w:w="6600"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支持周期性报表输出，报表支持PDF、DOC格式</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配置5年WEB应用防护特征库升级许可。</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10、数据库审计2台</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tcW w:w="1696"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功能要求</w:t>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cs="宋体"/>
                <w:i/>
                <w:iCs/>
                <w:color w:val="000000"/>
                <w:szCs w:val="21"/>
                <w:u w:val="single"/>
              </w:rPr>
              <w:t xml:space="preserve">标准机架式，采用国产多核处理器芯片；</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峰值SQL吞吐量≥65000条/秒，在线会话≥20000个,在线SQL语句存储≥300亿条，</w:t>
            </w:r>
            <w:r>
              <w:rPr>
                <w:rFonts w:hint="eastAsia" w:ascii="宋体" w:hAnsi="宋体" w:cs="宋体"/>
                <w:i/>
                <w:iCs/>
                <w:color w:val="auto"/>
                <w:szCs w:val="21"/>
                <w:u w:val="single"/>
              </w:rPr>
              <w:t xml:space="preserve">支持的数据库实例数根据用户</w:t>
            </w:r>
            <w:r>
              <w:rPr>
                <w:rFonts w:hint="eastAsia" w:ascii="宋体" w:hAnsi="宋体" w:cs="宋体"/>
                <w:i/>
                <w:iCs/>
                <w:color w:val="auto"/>
                <w:szCs w:val="21"/>
                <w:u w:val="single"/>
                <w:lang w:val="en-US" w:eastAsia="zh-CN"/>
              </w:rPr>
              <w:t xml:space="preserve">合理</w:t>
            </w:r>
            <w:r>
              <w:rPr>
                <w:rFonts w:hint="eastAsia" w:ascii="宋体" w:hAnsi="宋体" w:cs="宋体"/>
                <w:i/>
                <w:iCs/>
                <w:color w:val="auto"/>
                <w:szCs w:val="21"/>
                <w:u w:val="single"/>
              </w:rPr>
              <w:t xml:space="preserve">需求配置</w:t>
            </w:r>
            <w:r>
              <w:rPr>
                <w:rFonts w:hint="eastAsia" w:ascii="宋体" w:hAnsi="宋体" w:cs="宋体"/>
                <w:i/>
                <w:iCs/>
                <w:color w:val="000000"/>
                <w:szCs w:val="21"/>
                <w:u w:val="single"/>
              </w:rPr>
              <w:t xml:space="preserve">；</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端口类型：万兆光口≥2个，千兆电口≥2个；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配置光模块：万兆多模光模块≥2个；</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冗余电源；</w:t>
            </w:r>
            <w:r/>
          </w:p>
        </w:tc>
      </w:tr>
      <w:tr>
        <w:trPr/>
        <w:tc>
          <w:tcPr>
            <w:tcW w:w="1696"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i/>
                <w:iCs/>
                <w:szCs w:val="21"/>
                <w:u w:val="single"/>
              </w:rPr>
              <w:t xml:space="preserve">基于数据资产安全访问合规，精确、全面审计，数据库安全审计日常化运营、可疑分析和安全报告，定位事件原因，支持查询、分析、过滤，实现对目标数据库系统的用户操作的监控和审计；</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数据库兼容性</w:t>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支持商业数据库包括</w:t>
            </w:r>
            <w:r>
              <w:rPr>
                <w:rFonts w:hint="eastAsia" w:ascii="宋体" w:hAnsi="宋体"/>
                <w:i/>
                <w:iCs/>
                <w:szCs w:val="21"/>
                <w:u w:val="single"/>
                <w:lang w:val="en-US" w:eastAsia="zh-CN"/>
              </w:rPr>
              <w:t xml:space="preserve">但不限于</w:t>
            </w:r>
            <w:r>
              <w:rPr>
                <w:rFonts w:hint="eastAsia" w:ascii="宋体" w:hAnsi="宋体"/>
                <w:i/>
                <w:iCs/>
                <w:szCs w:val="21"/>
                <w:u w:val="single"/>
              </w:rPr>
              <w:t xml:space="preserve">Oracle、 SQLServer，开源数据库包括</w:t>
            </w:r>
            <w:r>
              <w:rPr>
                <w:rFonts w:hint="eastAsia" w:ascii="宋体" w:hAnsi="宋体"/>
                <w:i/>
                <w:iCs/>
                <w:szCs w:val="21"/>
                <w:u w:val="single"/>
                <w:lang w:val="en-US" w:eastAsia="zh-CN"/>
              </w:rPr>
              <w:t xml:space="preserve">但不限于</w:t>
            </w:r>
            <w:r>
              <w:rPr>
                <w:rFonts w:hint="eastAsia" w:ascii="宋体" w:hAnsi="宋体"/>
                <w:i/>
                <w:iCs/>
                <w:szCs w:val="21"/>
                <w:u w:val="single"/>
              </w:rPr>
              <w:t xml:space="preserve">Mysql，PostgreSQL，国产数据库</w:t>
            </w:r>
            <w:r>
              <w:rPr>
                <w:rFonts w:hint="eastAsia" w:ascii="宋体" w:hAnsi="宋体"/>
                <w:i/>
                <w:iCs/>
                <w:szCs w:val="21"/>
                <w:u w:val="single"/>
                <w:lang w:val="en-US" w:eastAsia="zh-CN"/>
              </w:rPr>
              <w:t xml:space="preserve">包括但不限于</w:t>
            </w:r>
            <w:r>
              <w:rPr>
                <w:rFonts w:hint="eastAsia" w:ascii="宋体" w:hAnsi="宋体"/>
                <w:i/>
                <w:iCs/>
                <w:szCs w:val="21"/>
                <w:u w:val="single"/>
              </w:rPr>
              <w:t xml:space="preserve">人大金仓、达梦、南大通用、神通OSCAR，行业数据库包括</w:t>
            </w:r>
            <w:r>
              <w:rPr>
                <w:rFonts w:hint="eastAsia" w:ascii="宋体" w:hAnsi="宋体"/>
                <w:i/>
                <w:iCs/>
                <w:szCs w:val="21"/>
                <w:u w:val="single"/>
                <w:lang w:val="en-US" w:eastAsia="zh-CN"/>
              </w:rPr>
              <w:t xml:space="preserve">但不限于</w:t>
            </w:r>
            <w:r>
              <w:rPr>
                <w:rFonts w:hint="eastAsia" w:ascii="宋体" w:hAnsi="宋体"/>
                <w:i/>
                <w:iCs/>
                <w:szCs w:val="21"/>
                <w:u w:val="single"/>
              </w:rPr>
              <w:t xml:space="preserve">Cache，非关系型的数据库包括</w:t>
            </w:r>
            <w:r>
              <w:rPr>
                <w:rFonts w:hint="eastAsia" w:ascii="宋体" w:hAnsi="宋体"/>
                <w:i/>
                <w:iCs/>
                <w:szCs w:val="21"/>
                <w:u w:val="single"/>
                <w:lang w:val="en-US" w:eastAsia="zh-CN"/>
              </w:rPr>
              <w:t xml:space="preserve">但不限于</w:t>
            </w:r>
            <w:r>
              <w:rPr>
                <w:rFonts w:hint="eastAsia" w:ascii="宋体" w:hAnsi="宋体"/>
                <w:i/>
                <w:iCs/>
                <w:szCs w:val="21"/>
                <w:u w:val="single"/>
              </w:rPr>
              <w:t xml:space="preserve">MongoDB，数据仓库包括</w:t>
            </w:r>
            <w:r>
              <w:rPr>
                <w:rFonts w:hint="eastAsia" w:ascii="宋体" w:hAnsi="宋体"/>
                <w:i/>
                <w:iCs/>
                <w:szCs w:val="21"/>
                <w:u w:val="single"/>
                <w:lang w:val="en-US" w:eastAsia="zh-CN"/>
              </w:rPr>
              <w:t xml:space="preserve">但不限于</w:t>
            </w:r>
            <w:r>
              <w:rPr>
                <w:rFonts w:hint="eastAsia" w:ascii="宋体" w:hAnsi="宋体"/>
                <w:i/>
                <w:iCs/>
                <w:szCs w:val="21"/>
                <w:u w:val="single"/>
              </w:rPr>
              <w:t xml:space="preserve">TeraDATA；</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数据库安全</w:t>
            </w:r>
            <w:r/>
          </w:p>
        </w:tc>
        <w:tc>
          <w:tcPr>
            <w:tcW w:w="6600" w:type="dxa"/>
            <w:vAlign w:val="center"/>
            <w:textDirection w:val="lrTb"/>
            <w:noWrap w:val="false"/>
          </w:tcPr>
          <w:p>
            <w:pPr>
              <w:rPr>
                <w:rFonts w:ascii="宋体" w:hAnsi="宋体"/>
                <w:szCs w:val="21"/>
              </w:rPr>
            </w:pPr>
            <w:r>
              <w:rPr>
                <w:rFonts w:hint="eastAsia" w:ascii="宋体" w:hAnsi="宋体"/>
                <w:szCs w:val="21"/>
              </w:rPr>
              <w:t xml:space="preserve">根据解析的SQL，对数据库服务器进行安全判断、攻击检测，面对多种攻击检测场景能有效地作出告警等处理；能够通过审计记录发现生产数据库潜在安全威胁；</w:t>
            </w:r>
            <w:r/>
          </w:p>
          <w:p>
            <w:pPr>
              <w:rPr>
                <w:rFonts w:ascii="宋体" w:hAnsi="宋体"/>
                <w:szCs w:val="21"/>
              </w:rPr>
            </w:pPr>
            <w:r>
              <w:rPr>
                <w:rFonts w:hint="eastAsia" w:ascii="宋体" w:hAnsi="宋体"/>
                <w:szCs w:val="21"/>
              </w:rPr>
              <w:t xml:space="preserve">对针对数据库的XSS攻击行为进行审计；</w:t>
            </w:r>
            <w:r/>
          </w:p>
          <w:p>
            <w:pPr>
              <w:rPr>
                <w:rFonts w:ascii="宋体" w:hAnsi="宋体"/>
                <w:szCs w:val="21"/>
              </w:rPr>
            </w:pPr>
            <w:r>
              <w:rPr>
                <w:rFonts w:hint="eastAsia" w:ascii="宋体" w:hAnsi="宋体"/>
                <w:szCs w:val="21"/>
              </w:rPr>
              <w:t xml:space="preserve">对针对数据库的SQL注入攻击行为进行审计；</w:t>
            </w:r>
            <w:r/>
          </w:p>
          <w:p>
            <w:pPr>
              <w:rPr>
                <w:rFonts w:ascii="宋体" w:hAnsi="宋体"/>
                <w:szCs w:val="21"/>
              </w:rPr>
            </w:pPr>
            <w:r>
              <w:rPr>
                <w:rFonts w:hint="eastAsia" w:ascii="宋体" w:hAnsi="宋体"/>
                <w:szCs w:val="21"/>
              </w:rPr>
              <w:t xml:space="preserve">可自定义告警规则，针对所有审计结果的属性配置告警规则；</w:t>
            </w:r>
            <w:r/>
          </w:p>
          <w:p>
            <w:pPr>
              <w:rPr>
                <w:rFonts w:ascii="宋体" w:hAnsi="宋体"/>
                <w:szCs w:val="21"/>
              </w:rPr>
            </w:pPr>
            <w:r>
              <w:rPr>
                <w:rFonts w:hint="eastAsia" w:ascii="宋体" w:hAnsi="宋体"/>
                <w:szCs w:val="21"/>
              </w:rPr>
              <w:t xml:space="preserve">支持数据库账号登陆成功、失败的审计；</w:t>
            </w:r>
            <w:r/>
          </w:p>
          <w:p>
            <w:pPr>
              <w:rPr>
                <w:rFonts w:ascii="宋体" w:hAnsi="宋体"/>
                <w:szCs w:val="21"/>
              </w:rPr>
            </w:pPr>
            <w:r>
              <w:rPr>
                <w:rFonts w:hint="eastAsia" w:ascii="宋体" w:hAnsi="宋体"/>
                <w:szCs w:val="21"/>
              </w:rPr>
              <w:t xml:space="preserve">支持原始数据包留存，可通过sftp方式从设备中取得已记录的原始数据包；</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SQL操作审计</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支持自定义审计界面；</w:t>
            </w:r>
            <w:r/>
          </w:p>
          <w:p>
            <w:pPr>
              <w:spacing w:line="276" w:lineRule="auto"/>
              <w:rPr>
                <w:rFonts w:ascii="宋体" w:hAnsi="宋体"/>
                <w:szCs w:val="21"/>
              </w:rPr>
            </w:pPr>
            <w:r>
              <w:rPr>
                <w:rFonts w:hint="eastAsia" w:ascii="宋体" w:hAnsi="宋体"/>
                <w:szCs w:val="21"/>
              </w:rPr>
              <w:t xml:space="preserve">支持数据采集规则定义；</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业务关联分析</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通过对浏览器与Web服务器、Web服务器与数据库服务器之间所产生的HTTP事件、SQL事件进行业务关联分析，定位追查访问者，包括访问者用户名、源IP地址、SQL语句、业务用户IP、业务用户主机等信息；</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实名审计</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支持内网主机扫描，可自动发现IP与主机对应关系；</w:t>
            </w:r>
            <w:r/>
          </w:p>
          <w:p>
            <w:pPr>
              <w:spacing w:line="276" w:lineRule="auto"/>
              <w:rPr>
                <w:rFonts w:ascii="宋体" w:hAnsi="宋体"/>
                <w:szCs w:val="21"/>
              </w:rPr>
            </w:pPr>
            <w:r>
              <w:rPr>
                <w:rFonts w:hint="eastAsia" w:ascii="宋体" w:hAnsi="宋体"/>
                <w:szCs w:val="21"/>
              </w:rPr>
              <w:t xml:space="preserve">支持导入IP与用户对应关系；</w:t>
            </w:r>
            <w:r/>
          </w:p>
          <w:p>
            <w:pPr>
              <w:spacing w:line="276" w:lineRule="auto"/>
              <w:rPr>
                <w:rFonts w:ascii="宋体" w:hAnsi="宋体"/>
                <w:szCs w:val="21"/>
              </w:rPr>
            </w:pPr>
            <w:r>
              <w:rPr>
                <w:rFonts w:hint="eastAsia" w:ascii="宋体" w:hAnsi="宋体"/>
                <w:szCs w:val="21"/>
              </w:rPr>
              <w:t xml:space="preserve">支持IP归属地审计，定位事件到IP所在地，并提供地图展示功能；</w:t>
            </w:r>
            <w:r/>
          </w:p>
          <w:p>
            <w:pPr>
              <w:spacing w:line="276" w:lineRule="auto"/>
              <w:rPr>
                <w:rFonts w:ascii="宋体" w:hAnsi="宋体"/>
                <w:szCs w:val="21"/>
              </w:rPr>
            </w:pPr>
            <w:r>
              <w:rPr>
                <w:rFonts w:hint="eastAsia" w:ascii="宋体" w:hAnsi="宋体"/>
                <w:szCs w:val="21"/>
              </w:rPr>
              <w:t xml:space="preserve">支持PPPOE等实名审计，定位审计事件到人；</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多维度统计分析</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支持自定义多维度统计分析场景，对审计结果的任意属性进行统计分析；</w:t>
            </w:r>
            <w:r/>
          </w:p>
          <w:p>
            <w:pPr>
              <w:spacing w:line="276" w:lineRule="auto"/>
              <w:rPr>
                <w:rFonts w:ascii="宋体" w:hAnsi="宋体"/>
                <w:szCs w:val="21"/>
              </w:rPr>
            </w:pPr>
            <w:r>
              <w:rPr>
                <w:rFonts w:hint="eastAsia" w:ascii="宋体" w:hAnsi="宋体"/>
                <w:szCs w:val="21"/>
              </w:rPr>
              <w:t xml:space="preserve">支持统计分析的下钻与上卷；</w:t>
            </w:r>
            <w:r/>
          </w:p>
          <w:p>
            <w:pPr>
              <w:spacing w:line="276" w:lineRule="auto"/>
              <w:rPr>
                <w:rFonts w:ascii="宋体" w:hAnsi="宋体"/>
                <w:szCs w:val="21"/>
              </w:rPr>
            </w:pPr>
            <w:r>
              <w:rPr>
                <w:rFonts w:hint="eastAsia" w:ascii="宋体" w:hAnsi="宋体"/>
                <w:szCs w:val="21"/>
              </w:rPr>
              <w:t xml:space="preserve">事件实时统计，查看统计结果时快速返回；</w:t>
            </w:r>
            <w:r/>
          </w:p>
          <w:p>
            <w:pPr>
              <w:spacing w:line="276" w:lineRule="auto"/>
              <w:rPr>
                <w:rFonts w:ascii="宋体" w:hAnsi="宋体"/>
                <w:szCs w:val="21"/>
              </w:rPr>
            </w:pPr>
            <w:r>
              <w:rPr>
                <w:rFonts w:hint="eastAsia" w:ascii="宋体" w:hAnsi="宋体"/>
                <w:szCs w:val="21"/>
              </w:rPr>
              <w:t xml:space="preserve">统计结果以饼图、柱图展示，可导出统计结果报表；</w:t>
            </w:r>
            <w:r/>
          </w:p>
          <w:p>
            <w:pPr>
              <w:spacing w:line="276" w:lineRule="auto"/>
              <w:rPr>
                <w:rFonts w:ascii="宋体" w:hAnsi="宋体"/>
                <w:szCs w:val="21"/>
              </w:rPr>
            </w:pPr>
            <w:r>
              <w:rPr>
                <w:rFonts w:hint="eastAsia" w:ascii="宋体" w:hAnsi="宋体"/>
                <w:szCs w:val="21"/>
              </w:rPr>
              <w:t xml:space="preserve">支持自定义报表，根据需求定义报表模板生成所需报表；</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实时告警</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根据审计到的网络事件，判断事件的危险级别，进行实时的响应处理，包括：Syslog告警、SNMP Trap告警、邮件告警，支持旁路阻断等；</w:t>
            </w:r>
            <w:r/>
          </w:p>
        </w:tc>
      </w:tr>
      <w:tr>
        <w:trPr/>
        <w:tc>
          <w:tcPr>
            <w:tcW w:w="1696"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第三方接口</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支持SNMP方式，提供系统运行状态给第三方网管系统；</w:t>
            </w:r>
            <w:r/>
          </w:p>
          <w:p>
            <w:pPr>
              <w:spacing w:line="276" w:lineRule="auto"/>
              <w:rPr>
                <w:rFonts w:ascii="宋体" w:hAnsi="宋体"/>
                <w:szCs w:val="21"/>
              </w:rPr>
            </w:pPr>
            <w:r>
              <w:rPr>
                <w:rFonts w:hint="eastAsia" w:ascii="宋体" w:hAnsi="宋体"/>
                <w:szCs w:val="21"/>
              </w:rPr>
              <w:t xml:space="preserve">支持Syslog方式向外发送审计日志；</w:t>
            </w:r>
            <w:r/>
          </w:p>
          <w:p>
            <w:pPr>
              <w:spacing w:line="276" w:lineRule="auto"/>
              <w:rPr>
                <w:rFonts w:ascii="宋体" w:hAnsi="宋体"/>
                <w:szCs w:val="21"/>
              </w:rPr>
            </w:pPr>
            <w:r>
              <w:rPr>
                <w:rFonts w:hint="eastAsia" w:ascii="宋体" w:hAnsi="宋体"/>
                <w:szCs w:val="21"/>
              </w:rPr>
              <w:t xml:space="preserve">支持SNMP Trap方式向外发送审计日志；</w:t>
            </w:r>
            <w:r/>
          </w:p>
          <w:p>
            <w:pPr>
              <w:spacing w:line="276" w:lineRule="auto"/>
              <w:rPr>
                <w:rFonts w:ascii="宋体" w:hAnsi="宋体"/>
                <w:szCs w:val="21"/>
              </w:rPr>
            </w:pPr>
            <w:r>
              <w:rPr>
                <w:rFonts w:hint="eastAsia" w:ascii="宋体" w:hAnsi="宋体"/>
                <w:szCs w:val="21"/>
              </w:rPr>
              <w:t xml:space="preserve">支持NTP时间同步；</w:t>
            </w:r>
            <w:r/>
          </w:p>
        </w:tc>
      </w:tr>
      <w:tr>
        <w:trPr/>
        <w:tc>
          <w:tcPr>
            <w:tcW w:w="1696"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5年原厂</w:t>
            </w:r>
            <w:r>
              <w:rPr>
                <w:rFonts w:hint="eastAsia" w:ascii="宋体" w:hAnsi="宋体" w:cs="宋体"/>
                <w:i/>
                <w:iCs/>
                <w:color w:val="auto"/>
                <w:szCs w:val="21"/>
                <w:u w:val="single"/>
              </w:rPr>
              <w:t xml:space="preserve">升级</w:t>
            </w:r>
            <w:r>
              <w:rPr>
                <w:rFonts w:hint="eastAsia" w:ascii="宋体" w:hAnsi="宋体" w:cs="宋体"/>
                <w:i/>
                <w:iCs/>
                <w:color w:val="000000"/>
                <w:szCs w:val="21"/>
                <w:u w:val="single"/>
              </w:rPr>
              <w:t xml:space="preserve">。</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11、大数据安全审计2台</w:t>
      </w:r>
      <w:r/>
    </w:p>
    <w:tbl>
      <w:tblPr>
        <w:tblStyle w:val="914"/>
        <w:tblW w:w="0" w:type="auto"/>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6600"/>
      </w:tblGrid>
      <w:tr>
        <w:trPr/>
        <w:tc>
          <w:tcPr>
            <w:shd w:val="clear" w:color="auto" w:fill="bebebe"/>
            <w:tcW w:w="1762" w:type="dxa"/>
            <w:vAlign w:val="center"/>
            <w:textDirection w:val="lrTb"/>
            <w:noWrap w:val="false"/>
          </w:tcPr>
          <w:p>
            <w:pPr>
              <w:jc w:val="center"/>
              <w:rPr>
                <w:rFonts w:ascii="宋体" w:hAnsi="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szCs w:val="21"/>
              </w:rPr>
            </w:pPr>
            <w:r>
              <w:rPr>
                <w:rFonts w:hint="eastAsia" w:ascii="宋体" w:hAnsi="宋体"/>
                <w:szCs w:val="21"/>
              </w:rPr>
              <w:t xml:space="preserve">参数要求</w:t>
            </w:r>
            <w:r/>
          </w:p>
        </w:tc>
      </w:tr>
      <w:tr>
        <w:trPr/>
        <w:tc>
          <w:tcPr>
            <w:tcW w:w="1762" w:type="dxa"/>
            <w:vAlign w:val="center"/>
            <w:vMerge w:val="restart"/>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功能要求</w:t>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cs="宋体"/>
                <w:i/>
                <w:iCs/>
                <w:color w:val="000000"/>
                <w:szCs w:val="21"/>
                <w:u w:val="single"/>
              </w:rPr>
              <w:t xml:space="preserve">标准机架式，采用国产多核处理器芯片；</w:t>
            </w:r>
            <w:r/>
          </w:p>
        </w:tc>
      </w:tr>
      <w:tr>
        <w:trPr/>
        <w:tc>
          <w:tcPr>
            <w:tcW w:w="1762"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不限制数据库及实例数；采用多核多平台并行操作系统，SQL处理能力≥90000条/秒，采用高速存储与检索技术，存储日志量≥20亿条；</w:t>
            </w:r>
            <w:r/>
          </w:p>
        </w:tc>
      </w:tr>
      <w:tr>
        <w:trPr/>
        <w:tc>
          <w:tcPr>
            <w:tcW w:w="1762"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i/>
                <w:iCs/>
                <w:color w:val="000000"/>
                <w:szCs w:val="21"/>
                <w:u w:val="single"/>
              </w:rPr>
              <w:t xml:space="preserve">端口类型：万兆光口≥2个，千兆光口≥4个，千兆电口≥4个；</w:t>
            </w:r>
            <w:r/>
          </w:p>
        </w:tc>
      </w:tr>
      <w:tr>
        <w:trPr/>
        <w:tc>
          <w:tcPr>
            <w:tcW w:w="1762"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配置光模块：万兆多模光模块≥2个，千兆多模光模块≥4个；</w:t>
            </w:r>
            <w:r/>
          </w:p>
        </w:tc>
      </w:tr>
      <w:tr>
        <w:trPr/>
        <w:tc>
          <w:tcPr>
            <w:tcW w:w="1762"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rPr>
                <w:rFonts w:ascii="宋体" w:hAnsi="宋体"/>
                <w:i/>
                <w:iCs/>
                <w:szCs w:val="21"/>
                <w:u w:val="single"/>
              </w:rPr>
            </w:pPr>
            <w:r>
              <w:rPr>
                <w:rFonts w:hint="eastAsia" w:ascii="宋体" w:hAnsi="宋体"/>
                <w:i/>
                <w:iCs/>
                <w:szCs w:val="21"/>
                <w:u w:val="single"/>
              </w:rPr>
              <w:t xml:space="preserve">冗余电源；</w:t>
            </w:r>
            <w:r/>
          </w:p>
        </w:tc>
      </w:tr>
      <w:tr>
        <w:trPr>
          <w:trHeight w:val="90"/>
        </w:trPr>
        <w:tc>
          <w:tcPr>
            <w:tcW w:w="1762" w:type="dxa"/>
            <w:vAlign w:val="center"/>
            <w:vMerge w:val="continue"/>
            <w:textDirection w:val="lrTb"/>
            <w:noWrap w:val="false"/>
          </w:tcPr>
          <w:p>
            <w:pPr>
              <w:jc w:val="center"/>
              <w:spacing w:line="276" w:lineRule="auto"/>
              <w:rPr>
                <w:rFonts w:ascii="宋体" w:hAnsi="宋体"/>
                <w:i/>
                <w:iCs/>
                <w:szCs w:val="21"/>
                <w:u w:val="single"/>
              </w:rPr>
            </w:pPr>
            <w:r>
              <w:rPr>
                <w:rFonts w:ascii="宋体" w:hAnsi="宋体"/>
                <w:i/>
                <w:iCs/>
                <w:szCs w:val="21"/>
                <w:u w:val="single"/>
              </w:rPr>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i/>
                <w:iCs/>
                <w:szCs w:val="21"/>
                <w:u w:val="single"/>
              </w:rPr>
              <w:t xml:space="preserve">单一设备支持包括数据审计、风险扫描、漏洞扫描、状态监控等功能；</w:t>
            </w:r>
            <w:r/>
          </w:p>
        </w:tc>
      </w:tr>
      <w:tr>
        <w:trPr/>
        <w:tc>
          <w:tcPr>
            <w:tcW w:w="1762"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数据库兼容性</w:t>
            </w:r>
            <w:r/>
          </w:p>
        </w:tc>
        <w:tc>
          <w:tcPr>
            <w:tcW w:w="6600" w:type="dxa"/>
            <w:vAlign w:val="center"/>
            <w:textDirection w:val="lrTb"/>
            <w:noWrap w:val="false"/>
          </w:tcPr>
          <w:p>
            <w:pPr>
              <w:spacing w:line="276" w:lineRule="auto"/>
              <w:rPr>
                <w:rFonts w:ascii="宋体" w:hAnsi="宋体"/>
                <w:i/>
                <w:iCs/>
                <w:szCs w:val="21"/>
                <w:u w:val="single"/>
              </w:rPr>
            </w:pPr>
            <w:r>
              <w:rPr>
                <w:rFonts w:hint="eastAsia" w:ascii="宋体" w:hAnsi="宋体"/>
                <w:i/>
                <w:iCs/>
                <w:szCs w:val="21"/>
                <w:u w:val="single"/>
              </w:rPr>
              <w:t xml:space="preserve">支持非关系型数据库：MongoDB、Hive、HDFS文件系统、Hana、MPP、Hbase、ES、Solr、Redis、SSDB、Kingba；</w:t>
            </w:r>
            <w:r/>
          </w:p>
        </w:tc>
      </w:tr>
      <w:tr>
        <w:trPr/>
        <w:tc>
          <w:tcPr>
            <w:tcW w:w="1762"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IPv6支持</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支持IPv6网络配置，支持IPv6环境下的数据库协议审计；</w:t>
            </w:r>
            <w:r/>
          </w:p>
        </w:tc>
      </w:tr>
      <w:tr>
        <w:trPr/>
        <w:tc>
          <w:tcPr>
            <w:tcW w:w="1762"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敏感数据自动发现</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支持自动发现hadoop大数据平台中的电话号码、身份证、社保号等敏感信息；</w:t>
            </w:r>
            <w:r/>
          </w:p>
        </w:tc>
      </w:tr>
      <w:tr>
        <w:trPr/>
        <w:tc>
          <w:tcPr>
            <w:tcW w:w="1762"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数据库服务发现</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支持发现大数据集群下的各类服务和非关系型数据库并可进行智能化统计图形化展示；</w:t>
            </w:r>
            <w:r/>
          </w:p>
        </w:tc>
      </w:tr>
      <w:tr>
        <w:trPr/>
        <w:tc>
          <w:tcPr>
            <w:tcW w:w="1762"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访问行为审计</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支持实时记录访问大数据平台以及NOSQL数据库的行为，提供审计日志的查询、导出功能；支持</w:t>
            </w:r>
            <w:r>
              <w:rPr>
                <w:rFonts w:hint="eastAsia" w:ascii="宋体" w:hAnsi="宋体" w:cs="宋体"/>
                <w:szCs w:val="21"/>
              </w:rPr>
              <w:t xml:space="preserve">多维度统计分析；</w:t>
            </w:r>
            <w:r/>
          </w:p>
        </w:tc>
      </w:tr>
      <w:tr>
        <w:trPr/>
        <w:tc>
          <w:tcPr>
            <w:tcW w:w="1762"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审计告警</w:t>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支持用户设定多等级的威胁自动告警；</w:t>
            </w:r>
            <w:r/>
          </w:p>
        </w:tc>
      </w:tr>
      <w:tr>
        <w:trPr/>
        <w:tc>
          <w:tcPr>
            <w:tcW w:w="1762"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攻击回放</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支持对事件进行攻击回放。</w:t>
            </w:r>
            <w:r/>
          </w:p>
        </w:tc>
      </w:tr>
      <w:tr>
        <w:trPr/>
        <w:tc>
          <w:tcPr>
            <w:tcW w:w="1762"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日志报表</w:t>
            </w:r>
            <w:r/>
          </w:p>
        </w:tc>
        <w:tc>
          <w:tcPr>
            <w:tcW w:w="6600" w:type="dxa"/>
            <w:vAlign w:val="center"/>
            <w:textDirection w:val="lrTb"/>
            <w:noWrap w:val="false"/>
          </w:tcPr>
          <w:p>
            <w:pPr>
              <w:spacing w:line="276" w:lineRule="auto"/>
              <w:rPr>
                <w:rFonts w:ascii="宋体" w:hAnsi="宋体"/>
                <w:szCs w:val="21"/>
              </w:rPr>
            </w:pPr>
            <w:r>
              <w:rPr>
                <w:rFonts w:hint="eastAsia" w:ascii="宋体" w:hAnsi="宋体"/>
                <w:szCs w:val="21"/>
              </w:rPr>
              <w:t xml:space="preserve">提供报表模板以及支持定制客户报表；提供日志检索接口；支持多个查询条件进行组合检索；支持全文检索、布尔检索、通配符检索；支持生成自定义统计和排名报表；</w:t>
            </w:r>
            <w:r/>
          </w:p>
        </w:tc>
      </w:tr>
      <w:tr>
        <w:trPr/>
        <w:tc>
          <w:tcPr>
            <w:tcW w:w="1762"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日志管理</w:t>
            </w:r>
            <w:r/>
          </w:p>
        </w:tc>
        <w:tc>
          <w:tcPr>
            <w:tcW w:w="6600"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支持按日志属性、日志类型、时间范围进行数据备份；支持自动与手动方式备份；支持将数据备份至其他存储上；支持还原和查询转出的日志数据；</w:t>
            </w:r>
            <w:r/>
          </w:p>
        </w:tc>
      </w:tr>
      <w:tr>
        <w:trPr/>
        <w:tc>
          <w:tcPr>
            <w:tcW w:w="1762" w:type="dxa"/>
            <w:vAlign w:val="center"/>
            <w:textDirection w:val="lrTb"/>
            <w:noWrap w:val="false"/>
          </w:tcPr>
          <w:p>
            <w:pPr>
              <w:jc w:val="center"/>
              <w:spacing w:line="276" w:lineRule="auto"/>
              <w:rPr>
                <w:rFonts w:ascii="宋体" w:hAnsi="宋体"/>
                <w:i/>
                <w:iCs/>
                <w:szCs w:val="21"/>
                <w:u w:val="single"/>
              </w:rPr>
            </w:pPr>
            <w:r>
              <w:rPr>
                <w:rFonts w:hint="eastAsia" w:ascii="宋体" w:hAnsi="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u w:val="single"/>
              </w:rPr>
              <w:t xml:space="preserve">5年原厂升级。</w:t>
            </w:r>
            <w:r/>
          </w:p>
        </w:tc>
      </w:tr>
    </w:tbl>
    <w:p>
      <w:pPr>
        <w:pStyle w:val="922"/>
      </w:p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12、安全漏洞防护1套</w:t>
      </w:r>
      <w:r/>
    </w:p>
    <w:tbl>
      <w:tblPr>
        <w:tblStyle w:val="9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6600"/>
      </w:tblGrid>
      <w:tr>
        <w:trPr/>
        <w:tc>
          <w:tcPr>
            <w:shd w:val="clear" w:color="auto" w:fill="bebebe"/>
            <w:tcW w:w="1696" w:type="dxa"/>
            <w:vAlign w:val="center"/>
            <w:textDirection w:val="lrTb"/>
            <w:noWrap w:val="false"/>
          </w:tcPr>
          <w:p>
            <w:pPr>
              <w:jc w:val="center"/>
              <w:rPr>
                <w:rFonts w:ascii="宋体" w:hAnsi="宋体" w:cs="宋体"/>
                <w:szCs w:val="21"/>
              </w:rPr>
            </w:pPr>
            <w:r>
              <w:rPr>
                <w:rFonts w:hint="eastAsia" w:ascii="宋体" w:hAnsi="宋体" w:cs="宋体"/>
                <w:szCs w:val="21"/>
              </w:rPr>
              <w:t xml:space="preserve">功能指标</w:t>
            </w:r>
            <w:r/>
          </w:p>
        </w:tc>
        <w:tc>
          <w:tcPr>
            <w:shd w:val="clear" w:color="auto" w:fill="bebebe"/>
            <w:tcW w:w="6600" w:type="dxa"/>
            <w:vAlign w:val="center"/>
            <w:textDirection w:val="lrTb"/>
            <w:noWrap w:val="false"/>
          </w:tcPr>
          <w:p>
            <w:pPr>
              <w:jc w:val="center"/>
              <w:rPr>
                <w:rFonts w:ascii="宋体" w:hAnsi="宋体" w:cs="宋体"/>
                <w:szCs w:val="21"/>
              </w:rPr>
            </w:pPr>
            <w:r>
              <w:rPr>
                <w:rFonts w:hint="eastAsia" w:ascii="宋体" w:hAnsi="宋体" w:cs="宋体"/>
                <w:szCs w:val="21"/>
              </w:rPr>
              <w:t xml:space="preserve">参数要求</w:t>
            </w:r>
            <w:r/>
          </w:p>
        </w:tc>
      </w:tr>
      <w:tr>
        <w:trPr/>
        <w:tc>
          <w:tcPr>
            <w:tcW w:w="1696" w:type="dxa"/>
            <w:vAlign w:val="center"/>
            <w:textDirection w:val="lrTb"/>
            <w:noWrap w:val="false"/>
          </w:tcPr>
          <w:p>
            <w:pPr>
              <w:jc w:val="center"/>
              <w:spacing w:line="276" w:lineRule="auto"/>
              <w:rPr>
                <w:rFonts w:ascii="宋体" w:hAnsi="宋体" w:cs="宋体"/>
                <w:i/>
                <w:iCs/>
                <w:szCs w:val="21"/>
                <w:u w:val="single"/>
              </w:rPr>
            </w:pPr>
            <w:r>
              <w:rPr>
                <w:rFonts w:hint="eastAsia" w:ascii="宋体" w:hAnsi="宋体" w:cs="宋体"/>
                <w:i/>
                <w:iCs/>
                <w:szCs w:val="21"/>
                <w:u w:val="single"/>
              </w:rPr>
              <w:t xml:space="preserve">功能要求</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szCs w:val="21"/>
                <w:u w:val="single"/>
              </w:rPr>
              <w:t xml:space="preserve">包含资产盘点、端点发现、多级管理、虚拟化管理、杀毒管理、威胁详情、勒索防护、漏洞管理、进程管理、账户风险、主机资产管理、能耗管理、主机防火墙、入侵防御模块</w:t>
            </w:r>
            <w:r/>
          </w:p>
        </w:tc>
      </w:tr>
      <w:tr>
        <w:trPr/>
        <w:tc>
          <w:tcPr>
            <w:tcW w:w="1696" w:type="dxa"/>
            <w:vAlign w:val="center"/>
            <w:textDirection w:val="lrTb"/>
            <w:noWrap w:val="false"/>
          </w:tcPr>
          <w:p>
            <w:pPr>
              <w:jc w:val="center"/>
              <w:widowControl/>
              <w:rPr>
                <w:rFonts w:ascii="宋体" w:hAnsi="宋体" w:cs="宋体"/>
                <w:i/>
                <w:iCs/>
                <w:color w:val="000000"/>
                <w:szCs w:val="21"/>
                <w:u w:val="single"/>
              </w:rPr>
            </w:pPr>
            <w:r>
              <w:rPr>
                <w:rFonts w:hint="eastAsia" w:ascii="宋体" w:hAnsi="宋体" w:cs="宋体"/>
                <w:i/>
                <w:iCs/>
                <w:color w:val="000000"/>
                <w:szCs w:val="21"/>
                <w:u w:val="single"/>
              </w:rPr>
              <w:t xml:space="preserve">平台标准</w:t>
            </w:r>
            <w:r/>
          </w:p>
        </w:tc>
        <w:tc>
          <w:tcPr>
            <w:tcW w:w="6600" w:type="dxa"/>
            <w:vAlign w:val="center"/>
            <w:textDirection w:val="lrTb"/>
            <w:noWrap w:val="false"/>
          </w:tcPr>
          <w:p>
            <w:pPr>
              <w:widowControl/>
              <w:rPr>
                <w:rFonts w:ascii="宋体" w:hAnsi="宋体" w:cs="宋体"/>
                <w:i/>
                <w:iCs/>
                <w:color w:val="000000"/>
                <w:szCs w:val="21"/>
                <w:u w:val="single"/>
              </w:rPr>
            </w:pPr>
            <w:r>
              <w:rPr>
                <w:rFonts w:hint="eastAsia" w:ascii="宋体" w:hAnsi="宋体" w:cs="宋体"/>
                <w:i/>
                <w:iCs/>
                <w:color w:val="000000"/>
                <w:sz w:val="20"/>
                <w:szCs w:val="20"/>
                <w:u w:val="single"/>
              </w:rPr>
              <w:t xml:space="preserve">提供B/S架构集中管控平台，提供图形化安装界面；</w:t>
            </w:r>
            <w:r/>
          </w:p>
        </w:tc>
      </w:tr>
      <w:tr>
        <w:trPr/>
        <w:tc>
          <w:tcPr>
            <w:tcW w:w="169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部署模式</w:t>
            </w:r>
            <w:r/>
          </w:p>
        </w:tc>
        <w:tc>
          <w:tcPr>
            <w:tcW w:w="6600" w:type="dxa"/>
            <w:vAlign w:val="center"/>
            <w:textDirection w:val="lrTb"/>
            <w:noWrap w:val="false"/>
          </w:tcPr>
          <w:p>
            <w:pPr>
              <w:widowControl/>
              <w:rPr>
                <w:rFonts w:ascii="宋体" w:hAnsi="宋体" w:cs="宋体"/>
                <w:szCs w:val="21"/>
              </w:rPr>
            </w:pPr>
            <w:r>
              <w:rPr>
                <w:rFonts w:hint="eastAsia" w:ascii="宋体" w:hAnsi="宋体" w:cs="宋体"/>
                <w:szCs w:val="21"/>
              </w:rPr>
              <w:t xml:space="preserve">采用客户端-服务端架构，服务端支持级联模式以满足大规模跨地域部署需求；</w:t>
            </w:r>
            <w:r/>
          </w:p>
        </w:tc>
      </w:tr>
      <w:tr>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szCs w:val="21"/>
              </w:rPr>
              <w:t xml:space="preserve">客户端支持离线模式部署，而非功能精简化的单机版，可生成相应离线安装包；</w:t>
            </w:r>
            <w:r/>
          </w:p>
        </w:tc>
      </w:tr>
      <w:tr>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szCs w:val="21"/>
              </w:rPr>
              <w:t xml:space="preserve">支持客户端远程卸载；</w:t>
            </w:r>
            <w:r/>
          </w:p>
        </w:tc>
      </w:tr>
      <w:tr>
        <w:trPr/>
        <w:tc>
          <w:tcPr>
            <w:tcW w:w="169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系统兼容性</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服务端支持国产化版本操作系统</w:t>
            </w:r>
            <w:r>
              <w:rPr>
                <w:rFonts w:hint="eastAsia" w:ascii="宋体" w:hAnsi="宋体" w:cs="宋体"/>
                <w:color w:val="000000"/>
                <w:szCs w:val="21"/>
              </w:rPr>
              <w:t xml:space="preserve">；</w:t>
            </w:r>
            <w:r/>
          </w:p>
        </w:tc>
      </w:tr>
      <w:tr>
        <w:trPr/>
        <w:tc>
          <w:tcPr>
            <w:tcW w:w="1696" w:type="dxa"/>
            <w:vAlign w:val="center"/>
            <w:vMerge w:val="continue"/>
            <w:textDirection w:val="lrTb"/>
            <w:noWrap w:val="false"/>
          </w:tcPr>
          <w:p>
            <w:pPr>
              <w:jc w:val="center"/>
              <w:widowControl/>
              <w:rPr>
                <w:rFonts w:ascii="宋体" w:hAnsi="宋体" w:cs="宋体"/>
                <w:i/>
                <w:iCs/>
                <w:color w:val="000000"/>
                <w:szCs w:val="21"/>
                <w:u w:val="single"/>
              </w:rPr>
            </w:pPr>
            <w:r>
              <w:rPr>
                <w:rFonts w:ascii="宋体" w:hAnsi="宋体" w:cs="宋体"/>
                <w:i/>
                <w:iCs/>
                <w:color w:val="000000"/>
                <w:szCs w:val="21"/>
                <w:u w:val="single"/>
              </w:rPr>
            </w:r>
            <w:r/>
          </w:p>
        </w:tc>
        <w:tc>
          <w:tcPr>
            <w:tcW w:w="660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客户端支持多类型操作系统，包括Windows Server 2008/2012/2016/2019，Windows XP SP3/vista/7/8/10/11；</w:t>
            </w:r>
            <w:r>
              <w:rPr>
                <w:rFonts w:hint="eastAsia" w:ascii="宋体" w:hAnsi="宋体"/>
                <w:szCs w:val="21"/>
              </w:rPr>
              <w:t xml:space="preserve">Ubuntu 16.04.6 LTS/18.04.6 LTS，麒麟以及UOS国产化操作系统；</w:t>
            </w:r>
            <w:r/>
          </w:p>
        </w:tc>
      </w:tr>
      <w:tr>
        <w:trPr/>
        <w:tc>
          <w:tcPr>
            <w:tcW w:w="1696" w:type="dxa"/>
            <w:vAlign w:val="center"/>
            <w:vMerge w:val="continue"/>
            <w:textDirection w:val="lrTb"/>
            <w:noWrap w:val="false"/>
          </w:tcPr>
          <w:p>
            <w:pPr>
              <w:jc w:val="center"/>
              <w:widowControl/>
              <w:rPr>
                <w:rFonts w:ascii="宋体" w:hAnsi="宋体" w:cs="宋体"/>
                <w:i/>
                <w:iCs/>
                <w:color w:val="000000"/>
                <w:szCs w:val="21"/>
                <w:u w:val="single"/>
              </w:rPr>
            </w:pPr>
            <w:r>
              <w:rPr>
                <w:rFonts w:ascii="宋体" w:hAnsi="宋体" w:cs="宋体"/>
                <w:i/>
                <w:iCs/>
                <w:color w:val="000000"/>
                <w:szCs w:val="21"/>
                <w:u w:val="single"/>
              </w:rPr>
            </w:r>
            <w:r/>
          </w:p>
        </w:tc>
        <w:tc>
          <w:tcPr>
            <w:tcW w:w="6600" w:type="dxa"/>
            <w:vAlign w:val="center"/>
            <w:textDirection w:val="lrTb"/>
            <w:noWrap w:val="false"/>
          </w:tcPr>
          <w:p>
            <w:pPr>
              <w:jc w:val="left"/>
              <w:widowControl/>
              <w:rPr>
                <w:rFonts w:ascii="宋体" w:hAnsi="宋体" w:cs="宋体"/>
                <w:i/>
                <w:iCs/>
                <w:color w:val="000000"/>
                <w:szCs w:val="21"/>
                <w:u w:val="single"/>
              </w:rPr>
            </w:pPr>
            <w:r>
              <w:rPr>
                <w:rFonts w:hint="eastAsia" w:ascii="宋体" w:hAnsi="宋体" w:cs="宋体"/>
                <w:color w:val="000000"/>
                <w:szCs w:val="21"/>
              </w:rPr>
              <w:t xml:space="preserve">支持VMware、华为FusionSphere、华三CAS、品高云、Citrix Xen Server 、微软Hyper-v等；</w:t>
            </w:r>
            <w:r/>
          </w:p>
        </w:tc>
      </w:tr>
      <w:tr>
        <w:trPr/>
        <w:tc>
          <w:tcPr>
            <w:tcW w:w="169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入侵侦测和防御</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支持实体、虚拟及云端运算的服务器防御；</w:t>
            </w:r>
            <w:r/>
          </w:p>
        </w:tc>
      </w:tr>
      <w:tr>
        <w:trPr>
          <w:trHeight w:val="90"/>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支持防堵在应用程序和操作系统上已知及未知的漏洞；</w:t>
            </w:r>
            <w:r/>
          </w:p>
        </w:tc>
      </w:tr>
      <w:tr>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支持防止网页应用程序遭到SQL injection及Cross-site跨网站程序代码改写的攻击；</w:t>
            </w:r>
            <w:r/>
          </w:p>
        </w:tc>
      </w:tr>
      <w:tr>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阻挡针对业务系统的攻击；辨识可疑活动及行为，提供主动和预防措施；</w:t>
            </w:r>
            <w:r/>
          </w:p>
        </w:tc>
      </w:tr>
      <w:tr>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提供数据库、网页、电子邮件和FTP服务器等不少于100个应用程序的漏洞保护；</w:t>
            </w:r>
            <w:r/>
          </w:p>
        </w:tc>
      </w:tr>
      <w:tr>
        <w:trPr/>
        <w:tc>
          <w:tcPr>
            <w:tcW w:w="169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完整监控</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监视关键操作系统和应用程序，如目录、Registry keys及数值，以侦测出恶意和不寻常的更改；</w:t>
            </w:r>
            <w:r/>
          </w:p>
        </w:tc>
      </w:tr>
      <w:tr>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提供灵活且实用的监控，提供包含/排除和可审核报告；</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应用程序管理</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支持应用程序控管规则，增加对应用程序访问网络的控管及可见度；</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日志审查</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收集和分析操作系统和应用程序日志中的安全事件；</w:t>
            </w:r>
            <w:r/>
          </w:p>
          <w:p>
            <w:pPr>
              <w:widowControl/>
              <w:rPr>
                <w:rFonts w:ascii="宋体" w:hAnsi="宋体" w:cs="宋体"/>
                <w:color w:val="000000"/>
                <w:szCs w:val="21"/>
              </w:rPr>
            </w:pPr>
            <w:r>
              <w:rPr>
                <w:rFonts w:hint="eastAsia" w:ascii="宋体" w:hAnsi="宋体" w:cs="宋体"/>
                <w:color w:val="000000"/>
                <w:szCs w:val="21"/>
              </w:rPr>
              <w:t xml:space="preserve">可侦测可疑行为、收集数据中心的安全事件和管理操作，并创建进阶规则；</w:t>
            </w:r>
            <w:r/>
          </w:p>
        </w:tc>
      </w:tr>
      <w:tr>
        <w:trPr/>
        <w:tc>
          <w:tcPr>
            <w:tcW w:w="169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反病毒引擎</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适用各种终端系统及网络环境下的病毒查杀，提供多引擎杀毒能力；</w:t>
            </w:r>
            <w:r/>
          </w:p>
        </w:tc>
      </w:tr>
      <w:tr>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支持国产桌面终端的病毒查杀，至少包括云查杀引擎、大数据特征引擎、人工智能引擎、脚本引擎等，支持针对信创终端ELF文件的病毒查杀，客户端支持以图形化方式展示引擎信息；</w:t>
            </w:r>
            <w:r/>
          </w:p>
        </w:tc>
      </w:tr>
      <w:tr>
        <w:trPr/>
        <w:tc>
          <w:tcPr>
            <w:tcW w:w="169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扫描策略</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发现病毒时支持由客户端用户选择仅扫描或由系统自动处理。支持实时防护开关；支持实时防护文件大小设置；支持防护等级设置；支持压缩包防护设置；支持勒索软件等恶意软件行为进行监控检测及防护；</w:t>
            </w:r>
            <w:r/>
          </w:p>
        </w:tc>
      </w:tr>
      <w:tr>
        <w:trPr/>
        <w:tc>
          <w:tcPr>
            <w:tcW w:w="1696"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支持自定义扫描程序CPU使用率、内存占用大小阈值；</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漏洞扫描</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支持设置指定的时间自动扫描漏洞，可设置多个不同的时间。支持排除漏洞，建立排除漏洞列表；</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补丁管理</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补丁生效管理：补丁安装完成后提示重启/自动重启（使补丁及时生效），支持不少于3种重启策略设置方式；</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漏洞管理</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支持对扫描出的操作系统漏洞、第三方组件漏洞能执行一键修复或者进行关联规则设置，解决系统应用层面高危漏洞利用问题；</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控制策略</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记录资产详情，包括：ID、名称、状态、镜像、创建时间、宿主节点、宿主IP、上次查杀病毒、上次查杀时间等；</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弱口令检测</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支持系统/应用弱口令定时扫描任务、支持设置弱口令检测白名单；</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账户使用审计</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szCs w:val="21"/>
              </w:rPr>
              <w:t xml:space="preserve">支持账户使用监控，监控账户登录、新增、删除、注销、修改密码等行为，同时针对账户更改信息也可做相关审计，包含：更改账户全名、所属组、权限信息、更改“用户下次登录时需更改密码”、更改“用户不能修改密码”、更改“密码永不过期”、更改”用户已被禁用“设置、更改”账户已锁定“设置等；</w:t>
            </w:r>
            <w:r/>
          </w:p>
        </w:tc>
      </w:tr>
      <w:tr>
        <w:trPr/>
        <w:tc>
          <w:tcPr>
            <w:tcW w:w="1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策略设置</w:t>
            </w:r>
            <w:r/>
          </w:p>
        </w:tc>
        <w:tc>
          <w:tcPr>
            <w:tcW w:w="6600"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支持配置前置条件和检查条件，支持根据应用场景自行配置，终端根据管理员定义的配置和内容，自动完成检查；支持用户自定义安全体检项；</w:t>
            </w:r>
            <w:r/>
          </w:p>
        </w:tc>
      </w:tr>
      <w:tr>
        <w:trPr/>
        <w:tc>
          <w:tcPr>
            <w:tcW w:w="1696" w:type="dxa"/>
            <w:vAlign w:val="center"/>
            <w:textDirection w:val="lrTb"/>
            <w:noWrap w:val="false"/>
          </w:tcPr>
          <w:p>
            <w:pPr>
              <w:jc w:val="center"/>
              <w:spacing w:line="276" w:lineRule="auto"/>
              <w:rPr>
                <w:rFonts w:ascii="宋体" w:hAnsi="宋体" w:cs="宋体"/>
                <w:i/>
                <w:iCs/>
                <w:szCs w:val="21"/>
                <w:u w:val="single"/>
              </w:rPr>
            </w:pPr>
            <w:r>
              <w:rPr>
                <w:rFonts w:hint="eastAsia" w:ascii="宋体" w:hAnsi="宋体" w:cs="宋体"/>
                <w:i/>
                <w:iCs/>
                <w:szCs w:val="21"/>
                <w:u w:val="single"/>
              </w:rPr>
              <w:t xml:space="preserve">质保服务</w:t>
            </w:r>
            <w:r/>
          </w:p>
        </w:tc>
        <w:tc>
          <w:tcPr>
            <w:tcW w:w="6600" w:type="dxa"/>
            <w:vAlign w:val="center"/>
            <w:textDirection w:val="lrTb"/>
            <w:noWrap w:val="false"/>
          </w:tcPr>
          <w:p>
            <w:pPr>
              <w:spacing w:line="276" w:lineRule="auto"/>
              <w:rPr>
                <w:rFonts w:ascii="宋体" w:hAnsi="宋体" w:cs="宋体"/>
                <w:i/>
                <w:iCs/>
                <w:szCs w:val="21"/>
                <w:u w:val="single"/>
              </w:rPr>
            </w:pPr>
            <w:r>
              <w:rPr>
                <w:rFonts w:hint="eastAsia" w:ascii="宋体" w:hAnsi="宋体" w:cs="宋体"/>
                <w:i/>
                <w:iCs/>
                <w:color w:val="000000"/>
                <w:szCs w:val="21"/>
                <w:highlight w:val="none"/>
                <w:u w:val="single"/>
              </w:rPr>
              <w:t xml:space="preserve">服务器操作系统防护授权≥200</w:t>
            </w:r>
            <w:r>
              <w:rPr>
                <w:rFonts w:hint="eastAsia" w:ascii="宋体" w:hAnsi="宋体" w:cs="宋体"/>
                <w:i/>
                <w:iCs/>
                <w:color w:val="000000"/>
                <w:szCs w:val="21"/>
                <w:u w:val="single"/>
              </w:rPr>
              <w:t xml:space="preserve">；5年升级。</w:t>
            </w:r>
            <w:r/>
          </w:p>
        </w:tc>
      </w:tr>
    </w:tbl>
    <w:p>
      <w:pPr>
        <w:pStyle w:val="922"/>
      </w:pPr>
      <w:r/>
      <w:r/>
    </w:p>
    <w:p>
      <w:pPr>
        <w:spacing w:line="0" w:lineRule="atLeast"/>
        <w:rPr>
          <w:rFonts w:hint="eastAsia" w:cs="Arial" w:asciiTheme="minorEastAsia" w:hAnsiTheme="minorEastAsia" w:eastAsiaTheme="minorEastAsia"/>
          <w:b w:val="0"/>
          <w:bCs/>
          <w:color w:val="000000"/>
          <w:sz w:val="32"/>
          <w:szCs w:val="32"/>
          <w:lang w:val="en-US" w:eastAsia="zh-CN" w:bidi="ar-SA"/>
        </w:rPr>
      </w:pPr>
      <w:r>
        <w:rPr>
          <w:rFonts w:hint="eastAsia" w:ascii="宋体" w:hAnsi="宋体" w:eastAsia="宋体"/>
          <w:b/>
          <w:color w:val="000000"/>
          <w:sz w:val="24"/>
          <w:szCs w:val="24"/>
          <w:highlight w:val="none"/>
          <w:lang w:eastAsia="zh-CN"/>
        </w:rPr>
        <w:t xml:space="preserve">2.2技术方案要求</w:t>
      </w:r>
      <w:r/>
    </w:p>
    <w:p>
      <w:pPr>
        <w:spacing w:line="0" w:lineRule="atLeast"/>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2.2.1总体技术方案</w:t>
      </w:r>
      <w:r/>
    </w:p>
    <w:p>
      <w:pPr>
        <w:ind w:firstLine="420"/>
        <w:spacing w:before="120" w:after="120" w:line="300" w:lineRule="exact"/>
        <w:rPr>
          <w:rFonts w:hint="eastAsia" w:cs="Arial" w:asciiTheme="minorEastAsia" w:hAnsiTheme="minorEastAsia" w:eastAsiaTheme="minorEastAsia"/>
          <w:bCs/>
          <w:color w:val="000000"/>
          <w:sz w:val="32"/>
          <w:szCs w:val="32"/>
        </w:rPr>
      </w:pPr>
      <w:r>
        <w:rPr>
          <w:rFonts w:hint="eastAsia" w:ascii="宋体" w:hAnsi="宋体"/>
        </w:rPr>
        <w:t xml:space="preserve">投标人应根据招标文件对本项目需求，提供整体技术解决方案，包括需求分析、总体架构、、安全系统设计、</w:t>
      </w:r>
      <w:r>
        <w:rPr>
          <w:rFonts w:hint="eastAsia" w:ascii="宋体" w:hAnsi="宋体"/>
          <w:lang w:val="en-US" w:eastAsia="zh-CN"/>
        </w:rPr>
        <w:t xml:space="preserve">系统安全防护设计、</w:t>
      </w:r>
      <w:r>
        <w:rPr>
          <w:rFonts w:hint="eastAsia" w:ascii="宋体" w:hAnsi="宋体"/>
        </w:rPr>
        <w:t xml:space="preserve">运维体系设计等，整体技术解决方案应以文字+网络拓扑图等形式，清晰直观展现本次项目建设全景，突出各系统配置细节，提供完善的技术方案确保项目安全运行，方案应科学、合理、切实可行、针对性强、图文并茂，符合本项目建设目标。</w:t>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2.2.</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项目实施方案要求</w:t>
      </w:r>
      <w:r/>
    </w:p>
    <w:p>
      <w:pPr>
        <w:ind w:firstLine="420"/>
        <w:spacing w:before="120" w:after="120" w:line="300" w:lineRule="exact"/>
        <w:rPr>
          <w:rFonts w:ascii="宋体" w:hAnsi="宋体"/>
        </w:rPr>
      </w:pPr>
      <w:r>
        <w:rPr>
          <w:rFonts w:hint="eastAsia" w:ascii="宋体" w:hAnsi="宋体"/>
        </w:rPr>
        <w:t xml:space="preserve">投标人对项目实施应制定具体方案：工期进度计划、人员配备方案、项目质量管理措施、安全施工保证措施、应急服务方案等。</w:t>
      </w:r>
      <w:r/>
    </w:p>
    <w:p>
      <w:pPr>
        <w:ind w:firstLine="420"/>
        <w:spacing w:before="120" w:after="120" w:line="300" w:lineRule="exact"/>
        <w:rPr>
          <w:rFonts w:ascii="宋体" w:hAnsi="宋体"/>
        </w:rPr>
      </w:pPr>
      <w:r>
        <w:rPr>
          <w:rFonts w:ascii="宋体" w:hAnsi="宋体"/>
        </w:rPr>
        <w:t xml:space="preserve">1.</w:t>
      </w:r>
      <w:r>
        <w:rPr>
          <w:rFonts w:hint="eastAsia" w:ascii="宋体" w:hAnsi="宋体"/>
        </w:rPr>
        <w:t xml:space="preserve">以</w:t>
      </w:r>
      <w:r>
        <w:rPr>
          <w:rFonts w:ascii="宋体" w:hAnsi="宋体"/>
        </w:rPr>
        <w:t xml:space="preserve">周为单位</w:t>
      </w:r>
      <w:r>
        <w:rPr>
          <w:rFonts w:hint="eastAsia" w:ascii="宋体" w:hAnsi="宋体"/>
        </w:rPr>
        <w:t xml:space="preserve">制定详细可行的设备进场</w:t>
      </w:r>
      <w:r>
        <w:rPr>
          <w:rFonts w:ascii="宋体" w:hAnsi="宋体"/>
        </w:rPr>
        <w:t xml:space="preserve">和安装部署实施</w:t>
      </w:r>
      <w:r>
        <w:rPr>
          <w:rFonts w:hint="eastAsia" w:ascii="宋体" w:hAnsi="宋体"/>
        </w:rPr>
        <w:t xml:space="preserve">方案，落实计划与进度，对项目质量、风险等进行总体管控与协调，经用户认可后方可开始实施。在规定的时间内，保证质量完成投标所提供设备的规划、安装、调试及投入运行，达成项目建设目标。</w:t>
      </w:r>
      <w:r/>
    </w:p>
    <w:p>
      <w:pPr>
        <w:ind w:firstLine="420"/>
        <w:spacing w:before="120" w:after="120" w:line="300" w:lineRule="exact"/>
        <w:rPr>
          <w:rFonts w:ascii="宋体" w:hAnsi="宋体"/>
        </w:rPr>
      </w:pPr>
      <w:r>
        <w:rPr>
          <w:rFonts w:hint="eastAsia" w:ascii="宋体" w:hAnsi="宋体"/>
        </w:rPr>
        <w:t xml:space="preserve">2.中标单位需组织协调各设备原厂工程师、集成商工程师等相关人员对本项目进行联调实施，设备安装、调试所需的工具、仪表及安装材料由中标人自行解决；项目实施过程中，相关的耗材由中标单位提供。</w:t>
      </w:r>
      <w:r/>
    </w:p>
    <w:p>
      <w:pPr>
        <w:ind w:firstLine="420"/>
        <w:spacing w:before="120" w:after="120" w:line="300" w:lineRule="exact"/>
        <w:rPr>
          <w:rFonts w:ascii="宋体" w:hAnsi="宋体"/>
        </w:rPr>
      </w:pPr>
      <w:r>
        <w:rPr>
          <w:rFonts w:ascii="宋体" w:hAnsi="宋体"/>
        </w:rPr>
        <w:t xml:space="preserve">3.</w:t>
      </w:r>
      <w:r>
        <w:rPr>
          <w:rFonts w:hint="eastAsia" w:ascii="宋体" w:hAnsi="宋体"/>
        </w:rPr>
        <w:t xml:space="preserve">施工过程应严格执行相关的强弱电施工规范，并保证施工安全。</w:t>
      </w:r>
      <w:r/>
    </w:p>
    <w:p>
      <w:pPr>
        <w:ind w:firstLine="420"/>
        <w:spacing w:before="120" w:after="120" w:line="300" w:lineRule="exact"/>
      </w:pPr>
      <w:r>
        <w:rPr>
          <w:rFonts w:ascii="宋体" w:hAnsi="宋体"/>
        </w:rPr>
        <w:t xml:space="preserve">2.2.3供货方案</w:t>
      </w:r>
      <w:r>
        <w:rPr>
          <w:rFonts w:ascii="宋体" w:hAnsi="宋体"/>
        </w:rPr>
      </w:r>
      <w:r/>
    </w:p>
    <w:p>
      <w:pPr>
        <w:ind w:firstLine="420"/>
        <w:spacing w:before="120" w:after="120" w:line="300" w:lineRule="exact"/>
      </w:pPr>
      <w:r>
        <w:rPr>
          <w:rFonts w:ascii="宋体" w:hAnsi="宋体"/>
        </w:rPr>
        <w:t xml:space="preserve">投标人须从供货时间、供货质量、供货流程、违约责任等方面设计符合本项目实际需求的供货保障方案，确保货物到货时间、质量可控，保证项目在规定的时间范围内顺利进行。</w:t>
      </w:r>
      <w:r>
        <w:rPr>
          <w:rFonts w:ascii="宋体" w:hAnsi="宋体"/>
        </w:rPr>
      </w:r>
      <w:r/>
    </w:p>
    <w:p>
      <w:pPr>
        <w:ind w:firstLine="420"/>
        <w:spacing w:before="120" w:after="120" w:line="300" w:lineRule="exact"/>
      </w:pPr>
      <w:r>
        <w:rPr>
          <w:rFonts w:ascii="宋体" w:hAnsi="宋体"/>
        </w:rPr>
        <w:t xml:space="preserve">包括但不限于以下内容：</w:t>
      </w:r>
      <w:r>
        <w:rPr>
          <w:rFonts w:ascii="宋体" w:hAnsi="宋体"/>
        </w:rPr>
      </w:r>
      <w:r/>
    </w:p>
    <w:p>
      <w:pPr>
        <w:ind w:firstLine="420"/>
        <w:spacing w:before="120" w:after="120" w:line="300" w:lineRule="exact"/>
      </w:pPr>
      <w:r>
        <w:rPr>
          <w:rFonts w:ascii="宋体" w:hAnsi="宋体"/>
        </w:rPr>
        <w:t xml:space="preserve">供货时效。采购人下达中标通知书之日起，中标人根据采购人要求的供货时间、地点，按需及时供货。</w:t>
      </w:r>
      <w:r>
        <w:rPr>
          <w:rFonts w:ascii="宋体" w:hAnsi="宋体"/>
        </w:rPr>
      </w:r>
      <w:r/>
    </w:p>
    <w:p>
      <w:pPr>
        <w:ind w:firstLine="420"/>
        <w:spacing w:before="120" w:after="120" w:line="300" w:lineRule="exact"/>
      </w:pPr>
      <w:r>
        <w:rPr>
          <w:rFonts w:ascii="宋体" w:hAnsi="宋体"/>
        </w:rPr>
        <w:t xml:space="preserve">供货流程。投标人在投标文件中需明确供货流程，包括订单确认、生产、发货、运输、验收等环节。向采购人提供每周供货进度报告，包括生产进度、发货计划等。在货物发出后24小时内通知采购人，并提供发货单及物流信息。</w:t>
      </w:r>
      <w:r>
        <w:rPr>
          <w:rFonts w:ascii="宋体" w:hAnsi="宋体"/>
        </w:rPr>
      </w:r>
      <w:r/>
    </w:p>
    <w:p>
      <w:pPr>
        <w:ind w:firstLine="420"/>
        <w:spacing w:before="120" w:after="120" w:line="300" w:lineRule="exact"/>
        <w:rPr>
          <w:rFonts w:ascii="宋体" w:hAnsi="宋体"/>
        </w:rPr>
      </w:pPr>
      <w:r>
        <w:rPr>
          <w:rFonts w:ascii="宋体" w:hAnsi="宋体"/>
        </w:rPr>
        <w:t xml:space="preserve">供货质量。投标人提供的所有产品应符合国家或行业标准，并提供相关认证文件。货物到达后，采购人将进行到货验收，中标人需提供完整的验收报告及相关技术文档，验收内容包括但不限于：产品型号、数量、外观、性能测试等。中标人须向采购人提供未经使用的全新产品，设备首次开机出现故障，中标人须免费更换不低于故障设备性能的同型号全新设备。</w:t>
      </w:r>
      <w:r>
        <w:rPr>
          <w:rFonts w:ascii="宋体" w:hAnsi="宋体"/>
        </w:r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2.2.</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lang w:eastAsia="zh-CN"/>
        </w:rPr>
        <w:t xml:space="preserve">维护方案要求</w:t>
      </w:r>
      <w:r/>
    </w:p>
    <w:p>
      <w:pPr>
        <w:ind w:firstLine="420"/>
        <w:spacing w:before="120" w:after="120" w:line="300" w:lineRule="exact"/>
        <w:rPr>
          <w:rFonts w:ascii="宋体" w:hAnsi="宋体"/>
        </w:rPr>
      </w:pPr>
      <w:r>
        <w:rPr>
          <w:rFonts w:hint="eastAsia" w:ascii="宋体" w:hAnsi="宋体"/>
        </w:rPr>
        <w:t xml:space="preserve">投标人应针对所投产品质保期内的运行维护及管理制定维护方案，应包括运行管理要求、巡检工作要求、故障响应服务、备品备件以及质保期内外的售后服务范围等内容。</w:t>
      </w:r>
      <w:r/>
    </w:p>
    <w:p>
      <w:pPr>
        <w:ind w:firstLine="420"/>
        <w:spacing w:before="120" w:after="120" w:line="300" w:lineRule="exact"/>
        <w:rPr>
          <w:rFonts w:ascii="宋体" w:hAnsi="宋体"/>
          <w:i/>
          <w:iCs/>
          <w:u w:val="single"/>
        </w:rPr>
      </w:pPr>
      <w:r>
        <w:rPr>
          <w:rFonts w:hint="eastAsia" w:ascii="宋体" w:hAnsi="宋体"/>
          <w:i/>
          <w:iCs/>
          <w:u w:val="single"/>
        </w:rPr>
        <w:t xml:space="preserve">1.</w:t>
      </w:r>
      <w:r>
        <w:rPr>
          <w:rFonts w:ascii="宋体" w:hAnsi="宋体"/>
          <w:i/>
          <w:iCs/>
          <w:u w:val="single"/>
        </w:rPr>
        <w:t xml:space="preserve">提供</w:t>
      </w:r>
      <w:r>
        <w:rPr>
          <w:rFonts w:hint="eastAsia" w:ascii="宋体" w:hAnsi="宋体"/>
          <w:i/>
          <w:iCs/>
          <w:u w:val="single"/>
        </w:rPr>
        <w:t xml:space="preserve">配套统一</w:t>
      </w:r>
      <w:r>
        <w:rPr>
          <w:rFonts w:ascii="宋体" w:hAnsi="宋体"/>
          <w:i/>
          <w:iCs/>
          <w:u w:val="single"/>
        </w:rPr>
        <w:t xml:space="preserve">安全管理平台，支持</w:t>
      </w:r>
      <w:r>
        <w:rPr>
          <w:rFonts w:hint="eastAsia" w:ascii="宋体" w:hAnsi="宋体"/>
          <w:i/>
          <w:iCs/>
          <w:u w:val="single"/>
        </w:rPr>
        <w:t xml:space="preserve">主流品牌</w:t>
      </w:r>
      <w:r>
        <w:rPr>
          <w:rFonts w:ascii="宋体" w:hAnsi="宋体"/>
          <w:i/>
          <w:iCs/>
          <w:u w:val="single"/>
        </w:rPr>
        <w:t xml:space="preserve">防火墙等安全产品的设备管理</w:t>
      </w:r>
      <w:r>
        <w:rPr>
          <w:rFonts w:hint="eastAsia" w:ascii="宋体" w:hAnsi="宋体"/>
          <w:i/>
          <w:iCs/>
          <w:u w:val="single"/>
        </w:rPr>
        <w:t xml:space="preserve">，实现</w:t>
      </w:r>
      <w:r>
        <w:rPr>
          <w:rFonts w:ascii="宋体" w:hAnsi="宋体"/>
          <w:i/>
          <w:iCs/>
          <w:u w:val="single"/>
        </w:rPr>
        <w:t xml:space="preserve">日志接入</w:t>
      </w:r>
      <w:r>
        <w:rPr>
          <w:rFonts w:hint="eastAsia" w:ascii="宋体" w:hAnsi="宋体"/>
          <w:i/>
          <w:iCs/>
          <w:u w:val="single"/>
        </w:rPr>
        <w:t xml:space="preserve">查看</w:t>
      </w:r>
      <w:r>
        <w:rPr>
          <w:rFonts w:ascii="宋体" w:hAnsi="宋体"/>
          <w:i/>
          <w:iCs/>
          <w:u w:val="single"/>
        </w:rPr>
        <w:t xml:space="preserve">、</w:t>
      </w:r>
      <w:r>
        <w:rPr>
          <w:rFonts w:hint="eastAsia" w:ascii="宋体" w:hAnsi="宋体"/>
          <w:i/>
          <w:iCs/>
          <w:u w:val="single"/>
        </w:rPr>
        <w:t xml:space="preserve">下发安全</w:t>
      </w:r>
      <w:r>
        <w:rPr>
          <w:rFonts w:ascii="宋体" w:hAnsi="宋体"/>
          <w:i/>
          <w:iCs/>
          <w:u w:val="single"/>
        </w:rPr>
        <w:t xml:space="preserve">策略</w:t>
      </w:r>
      <w:r>
        <w:rPr>
          <w:rFonts w:hint="eastAsia" w:ascii="宋体" w:hAnsi="宋体"/>
          <w:i/>
          <w:iCs/>
          <w:u w:val="single"/>
        </w:rPr>
        <w:t xml:space="preserve">、升级特征库</w:t>
      </w:r>
      <w:r>
        <w:rPr>
          <w:rFonts w:ascii="宋体" w:hAnsi="宋体"/>
          <w:i/>
          <w:iCs/>
          <w:u w:val="single"/>
        </w:rPr>
        <w:t xml:space="preserve">等功能，</w:t>
      </w:r>
      <w:r>
        <w:rPr>
          <w:rFonts w:hint="eastAsia" w:ascii="宋体" w:hAnsi="宋体"/>
          <w:i/>
          <w:iCs/>
          <w:u w:val="single"/>
        </w:rPr>
        <w:t xml:space="preserve">展示管理</w:t>
      </w:r>
      <w:r>
        <w:rPr>
          <w:rFonts w:ascii="宋体" w:hAnsi="宋体"/>
          <w:i/>
          <w:iCs/>
          <w:u w:val="single"/>
        </w:rPr>
        <w:t xml:space="preserve">设备的</w:t>
      </w:r>
      <w:r>
        <w:rPr>
          <w:rFonts w:hint="eastAsia" w:ascii="宋体" w:hAnsi="宋体"/>
          <w:i/>
          <w:iCs/>
          <w:u w:val="single"/>
        </w:rPr>
        <w:t xml:space="preserve">状态</w:t>
      </w:r>
      <w:r>
        <w:rPr>
          <w:rFonts w:ascii="宋体" w:hAnsi="宋体"/>
          <w:i/>
          <w:iCs/>
          <w:u w:val="single"/>
        </w:rPr>
        <w:t xml:space="preserve">、告警等信息</w:t>
      </w:r>
      <w:r>
        <w:rPr>
          <w:rFonts w:hint="eastAsia" w:ascii="宋体" w:hAnsi="宋体"/>
          <w:i/>
          <w:iCs/>
          <w:u w:val="single"/>
        </w:rPr>
        <w:t xml:space="preserve">（无需登录每台设备）。</w:t>
      </w:r>
      <w:r/>
    </w:p>
    <w:p>
      <w:pPr>
        <w:ind w:firstLine="420"/>
        <w:spacing w:before="120" w:after="120" w:line="300" w:lineRule="exact"/>
        <w:rPr>
          <w:rFonts w:ascii="宋体" w:hAnsi="宋体"/>
          <w:i/>
          <w:iCs/>
          <w:u w:val="single"/>
        </w:rPr>
      </w:pPr>
      <w:r>
        <w:rPr>
          <w:rFonts w:hint="eastAsia" w:ascii="宋体" w:hAnsi="宋体"/>
          <w:i/>
          <w:iCs/>
          <w:u w:val="single"/>
        </w:rPr>
        <w:t xml:space="preserve">2.具备态势感知分析能力，提供不少于5个</w:t>
      </w:r>
      <w:r>
        <w:rPr>
          <w:rFonts w:ascii="宋体" w:hAnsi="宋体"/>
          <w:i/>
          <w:iCs/>
          <w:u w:val="single"/>
        </w:rPr>
        <w:t xml:space="preserve">采集</w:t>
      </w:r>
      <w:r>
        <w:rPr>
          <w:rFonts w:hint="eastAsia" w:ascii="宋体" w:hAnsi="宋体"/>
          <w:i/>
          <w:iCs/>
          <w:u w:val="single"/>
        </w:rPr>
        <w:t xml:space="preserve">节点（总</w:t>
      </w:r>
      <w:r>
        <w:rPr>
          <w:rFonts w:ascii="宋体" w:hAnsi="宋体"/>
          <w:i/>
          <w:iCs/>
          <w:u w:val="single"/>
        </w:rPr>
        <w:t xml:space="preserve">吞吐量不少于80Gbps</w:t>
      </w:r>
      <w:r>
        <w:rPr>
          <w:rFonts w:hint="eastAsia" w:ascii="宋体" w:hAnsi="宋体"/>
          <w:i/>
          <w:iCs/>
          <w:u w:val="single"/>
        </w:rPr>
        <w:t xml:space="preserve">），对网络内资产进行收集并形成资产库（包含IP地址、型号、厂商、操作系统、责任人等），收集和分析网络内安全设备、网络设备、服务器、终端日志，对网络内攻击行为进行分析并形成多种态势感知展示，包括：内外部威胁态势、资产态势、安全运营态势等。</w:t>
      </w:r>
      <w:r/>
    </w:p>
    <w:p>
      <w:pPr>
        <w:ind w:firstLine="420"/>
        <w:spacing w:before="120" w:after="120" w:line="300" w:lineRule="exact"/>
        <w:rPr>
          <w:rFonts w:ascii="宋体" w:hAnsi="宋体"/>
        </w:rPr>
      </w:pPr>
      <w:r>
        <w:rPr>
          <w:rFonts w:hint="eastAsia" w:ascii="宋体" w:hAnsi="宋体"/>
        </w:rPr>
        <w:t xml:space="preserve">3.</w:t>
      </w:r>
      <w:r>
        <w:rPr>
          <w:rFonts w:ascii="宋体" w:hAnsi="宋体"/>
          <w:highlight w:val="none"/>
        </w:rPr>
        <w:t xml:space="preserve">对</w:t>
      </w:r>
      <w:r>
        <w:rPr>
          <w:rFonts w:hint="eastAsia" w:ascii="宋体" w:hAnsi="宋体"/>
          <w:highlight w:val="none"/>
        </w:rPr>
        <w:t xml:space="preserve">采集到</w:t>
      </w:r>
      <w:r>
        <w:rPr>
          <w:rFonts w:ascii="宋体" w:hAnsi="宋体"/>
          <w:highlight w:val="none"/>
        </w:rPr>
        <w:t xml:space="preserve">的安全设备告警和日志进行二次</w:t>
      </w:r>
      <w:r>
        <w:rPr>
          <w:rFonts w:hint="eastAsia" w:ascii="宋体" w:hAnsi="宋体"/>
          <w:highlight w:val="none"/>
        </w:rPr>
        <w:t xml:space="preserve">检测，支持</w:t>
      </w:r>
      <w:r>
        <w:rPr>
          <w:rFonts w:ascii="宋体" w:hAnsi="宋体"/>
          <w:highlight w:val="none"/>
        </w:rPr>
        <w:t xml:space="preserve">利用AI大模型相关技术对复杂安全数据开展智能化解析</w:t>
      </w:r>
      <w:r>
        <w:rPr>
          <w:rFonts w:hint="eastAsia" w:ascii="宋体" w:hAnsi="宋体"/>
          <w:highlight w:val="none"/>
        </w:rPr>
        <w:t xml:space="preserve">并提供有效建议，支持配合用户对接现有大模型基础设施资源开展专网安全防护措施研究</w:t>
      </w:r>
      <w:r>
        <w:rPr>
          <w:rFonts w:hint="eastAsia" w:ascii="宋体" w:hAnsi="宋体"/>
        </w:rPr>
        <w:t xml:space="preserve">。</w:t>
      </w:r>
      <w:r/>
    </w:p>
    <w:p>
      <w:pPr>
        <w:ind w:firstLine="420"/>
        <w:spacing w:before="120" w:after="120" w:line="300" w:lineRule="exact"/>
        <w:rPr>
          <w:rFonts w:ascii="宋体" w:hAnsi="宋体"/>
        </w:rPr>
      </w:pPr>
      <w:r>
        <w:rPr>
          <w:rFonts w:hint="eastAsia" w:ascii="宋体" w:hAnsi="宋体"/>
        </w:rPr>
        <w:t xml:space="preserve">4.每日巡检1次,每周出具巡检报告；每12个月提供一次</w:t>
      </w:r>
      <w:r>
        <w:rPr>
          <w:rFonts w:ascii="宋体" w:hAnsi="宋体"/>
        </w:rPr>
        <w:t xml:space="preserve">年度</w:t>
      </w:r>
      <w:r>
        <w:rPr>
          <w:rFonts w:hint="eastAsia" w:ascii="宋体" w:hAnsi="宋体"/>
        </w:rPr>
        <w:t xml:space="preserve">服务</w:t>
      </w:r>
      <w:r>
        <w:rPr>
          <w:rFonts w:ascii="宋体" w:hAnsi="宋体"/>
        </w:rPr>
        <w:t xml:space="preserve">报告</w:t>
      </w:r>
      <w:r>
        <w:rPr>
          <w:rFonts w:hint="eastAsia" w:ascii="宋体" w:hAnsi="宋体"/>
        </w:rPr>
        <w:t xml:space="preserve">。</w:t>
      </w:r>
      <w:r/>
    </w:p>
    <w:p>
      <w:pPr>
        <w:ind w:firstLine="420"/>
        <w:spacing w:before="120" w:after="120" w:line="300" w:lineRule="exact"/>
        <w:rPr>
          <w:rFonts w:ascii="宋体" w:hAnsi="宋体"/>
        </w:rPr>
      </w:pPr>
      <w:r>
        <w:rPr>
          <w:rFonts w:hint="eastAsia" w:ascii="宋体" w:hAnsi="宋体"/>
        </w:rPr>
        <w:t xml:space="preserve">5.</w:t>
      </w:r>
      <w:r>
        <w:rPr>
          <w:rFonts w:ascii="宋体" w:hAnsi="宋体"/>
        </w:rPr>
        <w:t xml:space="preserve">提供现场</w:t>
      </w:r>
      <w:r>
        <w:rPr>
          <w:rFonts w:hint="eastAsia" w:ascii="宋体" w:hAnsi="宋体"/>
        </w:rPr>
        <w:t xml:space="preserve">维护</w:t>
      </w:r>
      <w:r>
        <w:rPr>
          <w:rFonts w:ascii="宋体" w:hAnsi="宋体"/>
        </w:rPr>
        <w:t xml:space="preserve">、电话</w:t>
      </w:r>
      <w:r>
        <w:rPr>
          <w:rFonts w:hint="eastAsia" w:ascii="宋体" w:hAnsi="宋体"/>
        </w:rPr>
        <w:t xml:space="preserve">支持</w:t>
      </w:r>
      <w:r>
        <w:rPr>
          <w:rFonts w:ascii="宋体" w:hAnsi="宋体"/>
        </w:rPr>
        <w:t xml:space="preserve">等售后服务</w:t>
      </w:r>
      <w:r>
        <w:rPr>
          <w:rFonts w:hint="eastAsia" w:ascii="宋体" w:hAnsi="宋体"/>
        </w:rPr>
        <w:t xml:space="preserve">，接到采购人报</w:t>
      </w:r>
      <w:r>
        <w:rPr>
          <w:rFonts w:ascii="宋体" w:hAnsi="宋体"/>
        </w:rPr>
        <w:t xml:space="preserve">障</w:t>
      </w:r>
      <w:r>
        <w:rPr>
          <w:rFonts w:hint="eastAsia" w:ascii="宋体" w:hAnsi="宋体"/>
        </w:rPr>
        <w:t xml:space="preserve">通知后，0.5小时以内响应，2小时内到现场。</w:t>
      </w:r>
      <w:r/>
    </w:p>
    <w:p>
      <w:pPr>
        <w:ind w:firstLine="420"/>
        <w:spacing w:before="120" w:after="120" w:line="300" w:lineRule="exact"/>
        <w:rPr>
          <w:rFonts w:ascii="宋体" w:hAnsi="宋体"/>
        </w:rPr>
      </w:pPr>
      <w:r>
        <w:rPr>
          <w:rFonts w:hint="eastAsia" w:ascii="宋体" w:hAnsi="宋体"/>
        </w:rPr>
        <w:t xml:space="preserve">6.为</w:t>
      </w:r>
      <w:r>
        <w:rPr>
          <w:rFonts w:ascii="宋体" w:hAnsi="宋体"/>
        </w:rPr>
        <w:t xml:space="preserve">本项目设备</w:t>
      </w:r>
      <w:r>
        <w:rPr>
          <w:rFonts w:hint="eastAsia" w:ascii="宋体" w:hAnsi="宋体"/>
        </w:rPr>
        <w:t xml:space="preserve">建立</w:t>
      </w:r>
      <w:r>
        <w:rPr>
          <w:rFonts w:ascii="宋体" w:hAnsi="宋体"/>
        </w:rPr>
        <w:t xml:space="preserve">备品备件</w:t>
      </w:r>
      <w:r>
        <w:rPr>
          <w:rFonts w:hint="eastAsia" w:ascii="宋体" w:hAnsi="宋体"/>
        </w:rPr>
        <w:t xml:space="preserve">库（列</w:t>
      </w:r>
      <w:r>
        <w:rPr>
          <w:rFonts w:ascii="宋体" w:hAnsi="宋体"/>
        </w:rPr>
        <w:t xml:space="preserve">明</w:t>
      </w:r>
      <w:r>
        <w:rPr>
          <w:rFonts w:hint="eastAsia" w:ascii="宋体" w:hAnsi="宋体"/>
        </w:rPr>
        <w:t xml:space="preserve">备品</w:t>
      </w:r>
      <w:r>
        <w:rPr>
          <w:rFonts w:ascii="宋体" w:hAnsi="宋体"/>
        </w:rPr>
        <w:t xml:space="preserve">备件清单）</w:t>
      </w:r>
      <w:r>
        <w:rPr>
          <w:rFonts w:hint="eastAsia" w:ascii="宋体" w:hAnsi="宋体"/>
        </w:rPr>
        <w:t xml:space="preserve">优先。</w:t>
      </w:r>
      <w:r/>
    </w:p>
    <w:p>
      <w:pPr>
        <w:ind w:firstLine="420"/>
        <w:spacing w:before="120" w:after="120" w:line="300" w:lineRule="exact"/>
        <w:rPr>
          <w:rFonts w:ascii="宋体" w:hAnsi="宋体"/>
        </w:rPr>
      </w:pPr>
      <w:r>
        <w:rPr>
          <w:rFonts w:hint="eastAsia" w:ascii="宋体" w:hAnsi="宋体"/>
        </w:rPr>
        <w:t xml:space="preserve">7.</w:t>
      </w:r>
      <w:r>
        <w:rPr>
          <w:rFonts w:ascii="宋体" w:hAnsi="宋体"/>
        </w:rPr>
        <w:t xml:space="preserve">质保期内，</w:t>
      </w:r>
      <w:r>
        <w:rPr>
          <w:rFonts w:hint="eastAsia" w:ascii="宋体" w:hAnsi="宋体"/>
        </w:rPr>
        <w:t xml:space="preserve">支持根据</w:t>
      </w:r>
      <w:r>
        <w:rPr>
          <w:rFonts w:ascii="宋体" w:hAnsi="宋体"/>
        </w:rPr>
        <w:t xml:space="preserve">用户需求</w:t>
      </w:r>
      <w:r>
        <w:rPr>
          <w:rFonts w:hint="eastAsia" w:ascii="宋体" w:hAnsi="宋体"/>
        </w:rPr>
        <w:t xml:space="preserve">实现相关设备及管理</w:t>
      </w:r>
      <w:r>
        <w:rPr>
          <w:rFonts w:ascii="宋体" w:hAnsi="宋体"/>
        </w:rPr>
        <w:t xml:space="preserve">平台</w:t>
      </w:r>
      <w:r>
        <w:rPr>
          <w:rFonts w:hint="eastAsia" w:ascii="宋体" w:hAnsi="宋体"/>
        </w:rPr>
        <w:t xml:space="preserve">数据的</w:t>
      </w:r>
      <w:r>
        <w:rPr>
          <w:rFonts w:ascii="宋体" w:hAnsi="宋体"/>
        </w:rPr>
        <w:t xml:space="preserve">对接</w:t>
      </w:r>
      <w:r>
        <w:rPr>
          <w:rFonts w:hint="eastAsia" w:ascii="宋体" w:hAnsi="宋体"/>
        </w:rPr>
        <w:t xml:space="preserve">和导出</w:t>
      </w:r>
      <w:r>
        <w:rPr>
          <w:rFonts w:ascii="宋体" w:hAnsi="宋体"/>
        </w:rPr>
        <w:t xml:space="preserve">。</w:t>
      </w:r>
      <w:r>
        <w:rPr>
          <w:rFonts w:ascii="宋体" w:hAnsi="宋体"/>
        </w:rPr>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2.2.</w:t>
      </w:r>
      <w:r>
        <w:rPr>
          <w:rFonts w:hint="eastAsia" w:ascii="宋体" w:hAnsi="宋体" w:eastAsia="宋体"/>
          <w:b/>
          <w:color w:val="000000"/>
          <w:sz w:val="24"/>
          <w:szCs w:val="24"/>
          <w:highlight w:val="none"/>
          <w:lang w:val="en-US" w:eastAsia="zh-CN"/>
        </w:rPr>
        <w:t xml:space="preserve">5</w:t>
      </w:r>
      <w:r>
        <w:rPr>
          <w:rFonts w:hint="eastAsia" w:ascii="宋体" w:hAnsi="宋体" w:eastAsia="宋体"/>
          <w:b/>
          <w:color w:val="000000"/>
          <w:sz w:val="24"/>
          <w:szCs w:val="24"/>
          <w:highlight w:val="none"/>
          <w:lang w:eastAsia="zh-CN"/>
        </w:rPr>
        <w:t xml:space="preserve">培训方案要求</w:t>
      </w:r>
      <w:r/>
    </w:p>
    <w:p>
      <w:pPr>
        <w:ind w:firstLine="420"/>
        <w:spacing w:before="120" w:after="120" w:line="300" w:lineRule="exact"/>
        <w:rPr>
          <w:rFonts w:ascii="宋体" w:hAnsi="宋体"/>
        </w:rPr>
      </w:pPr>
      <w:r>
        <w:rPr>
          <w:rFonts w:hint="eastAsia" w:ascii="宋体" w:hAnsi="宋体"/>
        </w:rPr>
        <w:t xml:space="preserve">投标人应制定项目培训方案，内容</w:t>
      </w:r>
      <w:r>
        <w:rPr>
          <w:rFonts w:ascii="宋体" w:hAnsi="宋体"/>
        </w:rPr>
        <w:t xml:space="preserve">至少包含</w:t>
      </w:r>
      <w:r>
        <w:rPr>
          <w:rFonts w:hint="eastAsia" w:ascii="宋体" w:hAnsi="宋体"/>
        </w:rPr>
        <w:t xml:space="preserve">内容课题</w:t>
      </w:r>
      <w:r>
        <w:rPr>
          <w:rFonts w:ascii="宋体" w:hAnsi="宋体"/>
        </w:rPr>
        <w:t xml:space="preserve">、培训时长、</w:t>
      </w:r>
      <w:r>
        <w:rPr>
          <w:rFonts w:hint="eastAsia" w:ascii="宋体" w:hAnsi="宋体"/>
        </w:rPr>
        <w:t xml:space="preserve">投入</w:t>
      </w:r>
      <w:r>
        <w:rPr>
          <w:rFonts w:ascii="宋体" w:hAnsi="宋体"/>
        </w:rPr>
        <w:t xml:space="preserve">师资力量</w:t>
      </w:r>
      <w:r>
        <w:rPr>
          <w:rFonts w:hint="eastAsia" w:ascii="宋体" w:hAnsi="宋体"/>
        </w:rPr>
        <w:t xml:space="preserve">。项目交付后，组织对</w:t>
      </w:r>
      <w:r>
        <w:rPr>
          <w:rFonts w:ascii="宋体" w:hAnsi="宋体"/>
        </w:rPr>
        <w:t xml:space="preserve">甲方单位</w:t>
      </w:r>
      <w:r>
        <w:rPr>
          <w:rFonts w:hint="eastAsia" w:ascii="宋体" w:hAnsi="宋体"/>
        </w:rPr>
        <w:t xml:space="preserve">操作</w:t>
      </w:r>
      <w:r>
        <w:rPr>
          <w:rFonts w:ascii="宋体" w:hAnsi="宋体"/>
        </w:rPr>
        <w:t xml:space="preserve">和运维人员组织开展技术培训</w:t>
      </w:r>
      <w:r>
        <w:rPr>
          <w:rFonts w:hint="eastAsia" w:ascii="宋体" w:hAnsi="宋体"/>
        </w:rPr>
        <w:t xml:space="preserve">。</w:t>
      </w:r>
      <w:r/>
    </w:p>
    <w:p>
      <w:pPr>
        <w:ind w:firstLine="420"/>
        <w:spacing w:before="120" w:after="120" w:line="300" w:lineRule="exact"/>
        <w:rPr>
          <w:rFonts w:ascii="宋体" w:hAnsi="宋体"/>
        </w:rPr>
      </w:pPr>
      <w:r>
        <w:rPr>
          <w:rFonts w:hint="eastAsia" w:ascii="宋体" w:hAnsi="宋体"/>
        </w:rPr>
        <w:t xml:space="preserve">1.制定详实的培训课程，内容至少应包含：1）对所投产品的功能介绍、配置使用、运行维护；2）网络安全通用知识体系及行业发展情况；3）当前主流网络安全防护解决方案；4）安全事件应急响应处置等。</w:t>
      </w:r>
      <w:r/>
    </w:p>
    <w:p>
      <w:pPr>
        <w:ind w:firstLine="420"/>
        <w:spacing w:before="120" w:after="120" w:line="300" w:lineRule="exact"/>
        <w:rPr>
          <w:rFonts w:ascii="宋体" w:hAnsi="宋体"/>
        </w:rPr>
      </w:pPr>
      <w:r>
        <w:rPr>
          <w:rFonts w:hint="eastAsia" w:ascii="宋体" w:hAnsi="宋体"/>
        </w:rPr>
        <w:t xml:space="preserve">2.定期组织开展培训，明确提供的培训数量和时长，培训次数不少于5次，每次时长不少于2小时。</w:t>
      </w:r>
      <w:r/>
    </w:p>
    <w:p>
      <w:pPr>
        <w:ind w:firstLine="420"/>
        <w:spacing w:before="120" w:after="120" w:line="300" w:lineRule="exact"/>
        <w:rPr>
          <w:rFonts w:ascii="宋体" w:hAnsi="宋体"/>
        </w:rPr>
      </w:pPr>
      <w:r>
        <w:rPr>
          <w:rFonts w:hint="eastAsia" w:ascii="宋体" w:hAnsi="宋体"/>
        </w:rPr>
        <w:t xml:space="preserve">3.配备专业的师资力量，每次培训投入不少于1名专业讲师，响应培训及日常的问题咨询。</w:t>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三、商务要求</w:t>
      </w:r>
      <w:r/>
    </w:p>
    <w:p>
      <w:pPr>
        <w:ind w:firstLine="420"/>
        <w:spacing w:line="400" w:lineRule="exact"/>
        <w:rPr>
          <w:rFonts w:ascii="宋体" w:hAnsi="宋体"/>
          <w:i/>
          <w:iCs/>
          <w:u w:val="single"/>
        </w:rPr>
      </w:pPr>
      <w:r/>
      <w:bookmarkStart w:id="178" w:name="_Toc241459649"/>
      <w:r/>
      <w:bookmarkStart w:id="179" w:name="_Toc342296243"/>
      <w:r/>
      <w:bookmarkStart w:id="180" w:name="_Toc342297700"/>
      <w:r>
        <w:rPr>
          <w:rFonts w:ascii="宋体" w:hAnsi="宋体"/>
          <w:i/>
          <w:iCs/>
          <w:u w:val="single"/>
        </w:rPr>
        <w:t xml:space="preserve">1</w:t>
      </w:r>
      <w:r>
        <w:rPr>
          <w:rFonts w:hint="eastAsia" w:ascii="宋体" w:hAnsi="宋体"/>
          <w:i/>
          <w:iCs/>
          <w:u w:val="single"/>
        </w:rPr>
        <w:t xml:space="preserve">.所投产品</w:t>
      </w:r>
      <w:r>
        <w:rPr>
          <w:rFonts w:ascii="宋体" w:hAnsi="宋体"/>
          <w:i/>
          <w:iCs/>
          <w:u w:val="single"/>
        </w:rPr>
        <w:t xml:space="preserve">采用自主可控产品；所投产品</w:t>
      </w:r>
      <w:r>
        <w:rPr>
          <w:rFonts w:hint="eastAsia" w:ascii="宋体" w:hAnsi="宋体"/>
          <w:i/>
          <w:iCs/>
          <w:u w:val="single"/>
        </w:rPr>
        <w:t xml:space="preserve">必须</w:t>
      </w:r>
      <w:r>
        <w:rPr>
          <w:rFonts w:ascii="宋体" w:hAnsi="宋体"/>
          <w:i/>
          <w:iCs/>
          <w:u w:val="single"/>
        </w:rPr>
        <w:t xml:space="preserve">是全新的</w:t>
      </w:r>
      <w:r>
        <w:rPr>
          <w:rFonts w:hint="eastAsia" w:ascii="宋体" w:hAnsi="宋体"/>
          <w:i/>
          <w:iCs/>
          <w:u w:val="single"/>
        </w:rPr>
        <w:t xml:space="preserve">（包含</w:t>
      </w:r>
      <w:r>
        <w:rPr>
          <w:rFonts w:ascii="宋体" w:hAnsi="宋体"/>
          <w:i/>
          <w:iCs/>
          <w:u w:val="single"/>
        </w:rPr>
        <w:t xml:space="preserve">零部件、专</w:t>
      </w:r>
      <w:r>
        <w:rPr>
          <w:rFonts w:hint="eastAsia" w:ascii="宋体" w:hAnsi="宋体"/>
          <w:i/>
          <w:iCs/>
          <w:u w:val="single"/>
        </w:rPr>
        <w:t xml:space="preserve">用</w:t>
      </w:r>
      <w:r>
        <w:rPr>
          <w:rFonts w:ascii="宋体" w:hAnsi="宋体"/>
          <w:i/>
          <w:iCs/>
          <w:u w:val="single"/>
        </w:rPr>
        <w:t xml:space="preserve">工具），</w:t>
      </w:r>
      <w:r>
        <w:rPr>
          <w:rFonts w:hint="eastAsia" w:ascii="宋体" w:hAnsi="宋体"/>
          <w:i/>
          <w:iCs/>
          <w:u w:val="single"/>
        </w:rPr>
        <w:t xml:space="preserve">无</w:t>
      </w:r>
      <w:r>
        <w:rPr>
          <w:rFonts w:ascii="宋体" w:hAnsi="宋体"/>
          <w:i/>
          <w:iCs/>
          <w:u w:val="single"/>
        </w:rPr>
        <w:t xml:space="preserve">损坏</w:t>
      </w:r>
      <w:r>
        <w:rPr>
          <w:rFonts w:hint="eastAsia" w:ascii="宋体" w:hAnsi="宋体"/>
          <w:i/>
          <w:iCs/>
          <w:u w:val="single"/>
        </w:rPr>
        <w:t xml:space="preserve">；各项</w:t>
      </w:r>
      <w:r>
        <w:rPr>
          <w:rFonts w:ascii="宋体" w:hAnsi="宋体"/>
          <w:i/>
          <w:iCs/>
          <w:u w:val="single"/>
        </w:rPr>
        <w:t xml:space="preserve">技术指标符合国家检测标准以及产品出厂标准。</w:t>
      </w:r>
      <w:r>
        <w:rPr>
          <w:rFonts w:hint="eastAsia" w:ascii="宋体" w:hAnsi="宋体"/>
          <w:i/>
          <w:iCs/>
          <w:u w:val="single"/>
        </w:rPr>
        <w:t xml:space="preserve">投标人</w:t>
      </w:r>
      <w:r>
        <w:rPr>
          <w:rFonts w:ascii="宋体" w:hAnsi="宋体"/>
          <w:i/>
          <w:iCs/>
          <w:u w:val="single"/>
        </w:rPr>
        <w:t xml:space="preserve">所提供设备，</w:t>
      </w:r>
      <w:r>
        <w:rPr>
          <w:rFonts w:hint="eastAsia" w:ascii="宋体" w:hAnsi="宋体"/>
          <w:i/>
          <w:iCs/>
          <w:u w:val="single"/>
        </w:rPr>
        <w:t xml:space="preserve">现场交货</w:t>
      </w:r>
      <w:r>
        <w:rPr>
          <w:rFonts w:ascii="宋体" w:hAnsi="宋体"/>
          <w:i/>
          <w:iCs/>
          <w:u w:val="single"/>
        </w:rPr>
        <w:t xml:space="preserve">验收过程中，</w:t>
      </w:r>
      <w:r>
        <w:rPr>
          <w:rFonts w:hint="eastAsia" w:ascii="宋体" w:hAnsi="宋体"/>
          <w:i/>
          <w:iCs/>
          <w:u w:val="single"/>
        </w:rPr>
        <w:t xml:space="preserve">如</w:t>
      </w:r>
      <w:r>
        <w:rPr>
          <w:rFonts w:ascii="宋体" w:hAnsi="宋体"/>
          <w:i/>
          <w:iCs/>
          <w:u w:val="single"/>
        </w:rPr>
        <w:t xml:space="preserve">采购人发现</w:t>
      </w:r>
      <w:r>
        <w:rPr>
          <w:rFonts w:hint="eastAsia" w:ascii="宋体" w:hAnsi="宋体"/>
          <w:i/>
          <w:iCs/>
          <w:u w:val="single"/>
        </w:rPr>
        <w:t xml:space="preserve">任何</w:t>
      </w:r>
      <w:r>
        <w:rPr>
          <w:rFonts w:ascii="宋体" w:hAnsi="宋体"/>
          <w:i/>
          <w:iCs/>
          <w:u w:val="single"/>
        </w:rPr>
        <w:t xml:space="preserve">问题</w:t>
      </w:r>
      <w:r>
        <w:rPr>
          <w:rFonts w:hint="eastAsia" w:ascii="宋体" w:hAnsi="宋体"/>
          <w:i/>
          <w:iCs/>
          <w:u w:val="single"/>
        </w:rPr>
        <w:t xml:space="preserve">（如</w:t>
      </w:r>
      <w:r>
        <w:rPr>
          <w:rFonts w:ascii="宋体" w:hAnsi="宋体"/>
          <w:i/>
          <w:iCs/>
          <w:u w:val="single"/>
        </w:rPr>
        <w:t xml:space="preserve">设备</w:t>
      </w:r>
      <w:r>
        <w:rPr>
          <w:rFonts w:hint="eastAsia" w:ascii="宋体" w:hAnsi="宋体"/>
          <w:i/>
          <w:iCs/>
          <w:u w:val="single"/>
        </w:rPr>
        <w:t xml:space="preserve">有</w:t>
      </w:r>
      <w:r>
        <w:rPr>
          <w:rFonts w:ascii="宋体" w:hAnsi="宋体"/>
          <w:i/>
          <w:iCs/>
          <w:u w:val="single"/>
        </w:rPr>
        <w:t xml:space="preserve">损坏）</w:t>
      </w:r>
      <w:r>
        <w:rPr>
          <w:rFonts w:hint="eastAsia" w:ascii="宋体" w:hAnsi="宋体"/>
          <w:i/>
          <w:iCs/>
          <w:u w:val="single"/>
        </w:rPr>
        <w:t xml:space="preserve">，投标人</w:t>
      </w:r>
      <w:r>
        <w:rPr>
          <w:rFonts w:ascii="宋体" w:hAnsi="宋体"/>
          <w:i/>
          <w:iCs/>
          <w:u w:val="single"/>
        </w:rPr>
        <w:t xml:space="preserve">应</w:t>
      </w:r>
      <w:r>
        <w:rPr>
          <w:rFonts w:hint="eastAsia" w:ascii="宋体" w:hAnsi="宋体"/>
          <w:i/>
          <w:iCs/>
          <w:u w:val="single"/>
        </w:rPr>
        <w:t xml:space="preserve">在</w:t>
      </w:r>
      <w:r>
        <w:rPr>
          <w:rFonts w:ascii="宋体" w:hAnsi="宋体"/>
          <w:i/>
          <w:iCs/>
          <w:u w:val="single"/>
        </w:rPr>
        <w:t xml:space="preserve">采购人商定时间内</w:t>
      </w:r>
      <w:r>
        <w:rPr>
          <w:rFonts w:hint="eastAsia" w:ascii="宋体" w:hAnsi="宋体"/>
          <w:i/>
          <w:iCs/>
          <w:u w:val="single"/>
        </w:rPr>
        <w:t xml:space="preserve">更换</w:t>
      </w:r>
      <w:r>
        <w:rPr>
          <w:rFonts w:ascii="宋体" w:hAnsi="宋体"/>
          <w:i/>
          <w:iCs/>
          <w:u w:val="single"/>
        </w:rPr>
        <w:t xml:space="preserve">，确保其使用。</w:t>
      </w:r>
      <w:r/>
    </w:p>
    <w:p>
      <w:pPr>
        <w:ind w:firstLine="420"/>
        <w:spacing w:line="400" w:lineRule="exact"/>
        <w:rPr>
          <w:rFonts w:ascii="宋体" w:hAnsi="宋体"/>
          <w:i/>
          <w:iCs/>
          <w:u w:val="single"/>
        </w:rPr>
      </w:pPr>
      <w:r>
        <w:rPr>
          <w:rFonts w:ascii="宋体" w:hAnsi="宋体"/>
          <w:i/>
          <w:iCs/>
          <w:u w:val="single"/>
        </w:rPr>
        <w:t xml:space="preserve">2</w:t>
      </w:r>
      <w:r>
        <w:rPr>
          <w:rFonts w:hint="eastAsia" w:ascii="宋体" w:hAnsi="宋体"/>
          <w:i/>
          <w:iCs/>
          <w:u w:val="single"/>
        </w:rPr>
        <w:t xml:space="preserve">.</w:t>
      </w:r>
      <w:bookmarkEnd w:id="178"/>
      <w:r/>
      <w:bookmarkEnd w:id="179"/>
      <w:r/>
      <w:bookmarkEnd w:id="180"/>
      <w:r>
        <w:rPr>
          <w:rFonts w:hint="eastAsia" w:ascii="宋体" w:hAnsi="宋体"/>
          <w:i/>
          <w:iCs/>
          <w:u w:val="single"/>
        </w:rPr>
        <w:t xml:space="preserve">交货地点</w:t>
      </w:r>
      <w:r>
        <w:rPr>
          <w:rFonts w:ascii="宋体" w:hAnsi="宋体"/>
          <w:i/>
          <w:iCs/>
          <w:u w:val="single"/>
        </w:rPr>
        <w:t xml:space="preserve">和交货</w:t>
      </w:r>
      <w:r>
        <w:rPr>
          <w:rFonts w:hint="eastAsia" w:ascii="宋体" w:hAnsi="宋体"/>
          <w:i/>
          <w:iCs/>
          <w:u w:val="single"/>
        </w:rPr>
        <w:t xml:space="preserve">期：</w:t>
      </w:r>
      <w:r>
        <w:rPr>
          <w:rFonts w:hint="eastAsia" w:ascii="宋体" w:hAnsi="宋体"/>
          <w:i/>
          <w:iCs/>
          <w:u w:val="single"/>
          <w:lang w:eastAsia="zh-CN"/>
        </w:rPr>
        <w:t xml:space="preserve">自合同签订之日起的90个日历天内完成所有硬件设备到指定地点的供货，180个日历天内保证质量完成所投硬件设备的安装和调试</w:t>
      </w:r>
      <w:r>
        <w:rPr>
          <w:rFonts w:hint="eastAsia" w:ascii="Times New Roman" w:hAnsi="Times New Roman" w:cs="Times New Roman" w:eastAsiaTheme="minorEastAsia"/>
          <w:i/>
          <w:iCs/>
          <w:sz w:val="24"/>
          <w:szCs w:val="24"/>
          <w:u w:val="single"/>
          <w:lang w:eastAsia="zh-CN"/>
        </w:rPr>
        <w:t xml:space="preserve">。</w:t>
      </w:r>
      <w:r>
        <w:rPr>
          <w:rFonts w:hint="eastAsia" w:ascii="宋体" w:hAnsi="宋体"/>
          <w:i/>
          <w:iCs/>
          <w:u w:val="single"/>
        </w:rPr>
        <w:t xml:space="preserve">投标人延期交货安装</w:t>
      </w:r>
      <w:r>
        <w:rPr>
          <w:rFonts w:ascii="宋体" w:hAnsi="宋体"/>
          <w:i/>
          <w:iCs/>
          <w:u w:val="single"/>
        </w:rPr>
        <w:t xml:space="preserve">的</w:t>
      </w:r>
      <w:r>
        <w:rPr>
          <w:rFonts w:hint="eastAsia" w:ascii="宋体" w:hAnsi="宋体"/>
          <w:i/>
          <w:iCs/>
          <w:u w:val="single"/>
        </w:rPr>
        <w:t xml:space="preserve">，</w:t>
      </w:r>
      <w:r>
        <w:rPr>
          <w:rFonts w:ascii="宋体" w:hAnsi="宋体"/>
          <w:i/>
          <w:iCs/>
          <w:u w:val="single"/>
        </w:rPr>
        <w:t xml:space="preserve">每延期一天按照合同价的</w:t>
      </w:r>
      <w:r>
        <w:rPr>
          <w:rFonts w:hint="eastAsia" w:ascii="宋体" w:hAnsi="宋体"/>
          <w:i/>
          <w:iCs/>
          <w:u w:val="single"/>
          <w:lang w:val="en-US" w:eastAsia="zh-CN"/>
        </w:rPr>
        <w:t xml:space="preserve">万分之五</w:t>
      </w:r>
      <w:r>
        <w:rPr>
          <w:rFonts w:hint="eastAsia" w:ascii="宋体" w:hAnsi="宋体"/>
          <w:i/>
          <w:iCs/>
          <w:u w:val="single"/>
        </w:rPr>
        <w:t xml:space="preserve">向</w:t>
      </w:r>
      <w:r>
        <w:rPr>
          <w:rFonts w:ascii="宋体" w:hAnsi="宋体"/>
          <w:i/>
          <w:iCs/>
          <w:u w:val="single"/>
        </w:rPr>
        <w:t xml:space="preserve">采购人偿付违约金，并承担采购人因此所受的损失费用。</w:t>
      </w:r>
      <w:r/>
    </w:p>
    <w:p>
      <w:pPr>
        <w:ind w:firstLine="420"/>
        <w:spacing w:line="400" w:lineRule="exact"/>
        <w:rPr>
          <w:rFonts w:ascii="宋体" w:hAnsi="宋体"/>
          <w:i/>
          <w:u w:val="single"/>
        </w:rPr>
      </w:pPr>
      <w:r>
        <w:rPr>
          <w:rFonts w:ascii="宋体" w:hAnsi="宋体"/>
          <w:i/>
          <w:u w:val="single"/>
        </w:rPr>
        <w:t xml:space="preserve">3</w:t>
      </w:r>
      <w:r>
        <w:rPr>
          <w:rFonts w:hint="eastAsia" w:ascii="宋体" w:hAnsi="宋体"/>
          <w:i/>
          <w:u w:val="single"/>
        </w:rPr>
        <w:t xml:space="preserve">.付款方式：</w:t>
      </w:r>
      <w:r/>
    </w:p>
    <w:p>
      <w:pPr>
        <w:pStyle w:val="916"/>
        <w:ind w:firstLine="420"/>
        <w:spacing w:before="120" w:after="120" w:line="400" w:lineRule="exact"/>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由甲方按下列程序付款，每次付款前乙方需提供发票。甲方每次收到乙方发票后不迟于10个工作日完成付款。如因财政资金拨付不到位等原因，双方可协商延迟付款，甲方不承担违约责任。</w:t>
      </w:r>
      <w:r/>
    </w:p>
    <w:p>
      <w:pPr>
        <w:pStyle w:val="916"/>
        <w:ind w:firstLine="376"/>
        <w:spacing w:before="120" w:after="120" w:line="400" w:lineRule="exact"/>
        <w:rPr>
          <w:rFonts w:hint="eastAsia" w:ascii="宋体" w:hAnsi="宋体" w:eastAsia="宋体" w:cs="宋体"/>
          <w:i/>
          <w:iCs/>
          <w:spacing w:val="-11"/>
          <w:sz w:val="21"/>
          <w:szCs w:val="21"/>
          <w:u w:val="single"/>
        </w:rPr>
      </w:pPr>
      <w:r>
        <w:rPr>
          <w:rFonts w:hint="eastAsia" w:ascii="宋体" w:hAnsi="宋体" w:eastAsia="宋体" w:cs="宋体"/>
          <w:i/>
          <w:iCs/>
          <w:spacing w:val="-11"/>
          <w:sz w:val="21"/>
          <w:szCs w:val="21"/>
          <w:u w:val="single"/>
          <w:lang w:eastAsia="zh-CN"/>
        </w:rPr>
        <w:t xml:space="preserve">（1）</w:t>
      </w:r>
      <w:r>
        <w:rPr>
          <w:rFonts w:hint="eastAsia" w:ascii="宋体" w:hAnsi="宋体" w:eastAsia="宋体" w:cs="宋体"/>
          <w:i/>
          <w:iCs/>
          <w:spacing w:val="-11"/>
          <w:sz w:val="21"/>
          <w:szCs w:val="21"/>
          <w:u w:val="single"/>
        </w:rPr>
        <w:t xml:space="preserve">预付款：签订合同后，甲方支付合同额的30%。</w:t>
      </w:r>
      <w:r/>
    </w:p>
    <w:p>
      <w:pPr>
        <w:pStyle w:val="916"/>
        <w:ind w:firstLine="420"/>
        <w:spacing w:before="120" w:after="120" w:line="400" w:lineRule="exact"/>
        <w:rPr>
          <w:rFonts w:hint="eastAsia" w:ascii="宋体" w:hAnsi="宋体" w:eastAsia="宋体" w:cs="宋体"/>
          <w:i/>
          <w:iCs/>
          <w:sz w:val="21"/>
          <w:szCs w:val="21"/>
          <w:u w:val="single"/>
        </w:rPr>
      </w:pPr>
      <w:r>
        <w:rPr>
          <w:rFonts w:hint="eastAsia" w:ascii="宋体" w:hAnsi="宋体" w:eastAsia="宋体" w:cs="宋体"/>
          <w:i/>
          <w:iCs/>
          <w:sz w:val="21"/>
          <w:szCs w:val="21"/>
          <w:u w:val="single"/>
          <w:lang w:eastAsia="zh-CN"/>
        </w:rPr>
      </w:r>
      <w:r>
        <w:rPr>
          <w:rFonts w:hint="eastAsia" w:ascii="宋体" w:hAnsi="宋体" w:eastAsia="宋体" w:cs="宋体"/>
          <w:i/>
          <w:iCs/>
          <w:sz w:val="21"/>
          <w:szCs w:val="21"/>
          <w:u w:val="single"/>
          <w:lang w:eastAsia="zh-CN"/>
        </w:rPr>
        <w:t xml:space="preserve">（2）进度款：乙方完成所投硬件设备的安装和调试、大数据软件的部署和调试后，甲方于30日内组织初验，初验合格后30日支付至合同额的60%，试运行3个月正常，乙方提交全部报告材料，并通过甲方组织的终验，终验后30日内支付至合同额的100%。</w:t>
      </w:r>
      <w:r>
        <w:rPr>
          <w:rFonts w:hint="eastAsia" w:ascii="宋体" w:hAnsi="宋体" w:eastAsia="宋体" w:cs="宋体"/>
          <w:i/>
          <w:iCs/>
          <w:sz w:val="21"/>
          <w:szCs w:val="21"/>
          <w:u w:val="single"/>
          <w:lang w:eastAsia="zh-CN"/>
        </w:rPr>
      </w:r>
      <w:r/>
    </w:p>
    <w:p>
      <w:pPr>
        <w:ind w:firstLine="420"/>
        <w:spacing w:line="400" w:lineRule="exact"/>
        <w:rPr>
          <w:rFonts w:hint="eastAsia" w:ascii="宋体" w:hAnsi="宋体"/>
          <w:i/>
          <w:iCs/>
          <w:u w:val="single"/>
        </w:rPr>
      </w:pPr>
      <w:r>
        <w:rPr>
          <w:rFonts w:hint="eastAsia" w:ascii="宋体" w:hAnsi="宋体"/>
          <w:i/>
          <w:u w:val="single"/>
          <w:lang w:val="en-US" w:eastAsia="zh-CN"/>
        </w:rPr>
        <w:t xml:space="preserve">4</w:t>
      </w:r>
      <w:r>
        <w:rPr>
          <w:rFonts w:hint="eastAsia" w:ascii="宋体" w:hAnsi="宋体"/>
          <w:i/>
          <w:u w:val="single"/>
        </w:rPr>
        <w:t xml:space="preserve">.本项目设备</w:t>
      </w:r>
      <w:r>
        <w:rPr>
          <w:rFonts w:ascii="宋体" w:hAnsi="宋体"/>
          <w:i/>
          <w:u w:val="single"/>
        </w:rPr>
        <w:t xml:space="preserve">免费质</w:t>
      </w:r>
      <w:r>
        <w:rPr>
          <w:rFonts w:hint="eastAsia" w:ascii="宋体" w:hAnsi="宋体"/>
          <w:i/>
          <w:u w:val="single"/>
          <w:lang w:val="en-US" w:eastAsia="zh-CN"/>
        </w:rPr>
        <w:t xml:space="preserve">原厂</w:t>
      </w:r>
      <w:r>
        <w:rPr>
          <w:rFonts w:ascii="宋体" w:hAnsi="宋体"/>
          <w:i/>
          <w:u w:val="single"/>
        </w:rPr>
        <w:t xml:space="preserve">保期不低于</w:t>
      </w:r>
      <w:r>
        <w:rPr>
          <w:rFonts w:hint="eastAsia" w:ascii="宋体" w:hAnsi="宋体"/>
          <w:i/>
          <w:u w:val="single"/>
        </w:rPr>
        <w:t xml:space="preserve">5年</w:t>
      </w:r>
      <w:r>
        <w:rPr>
          <w:rFonts w:ascii="宋体" w:hAnsi="宋体"/>
          <w:i/>
          <w:u w:val="single"/>
        </w:rPr>
        <w:t xml:space="preserve">，</w:t>
      </w:r>
      <w:r>
        <w:rPr>
          <w:rFonts w:hint="eastAsia" w:ascii="宋体" w:hAnsi="宋体"/>
          <w:i/>
          <w:iCs/>
          <w:u w:val="single"/>
        </w:rPr>
        <w:t xml:space="preserve">所有设备包含功能使用授权。（授权到期后不影响原有功能使用）</w:t>
      </w:r>
      <w:r/>
    </w:p>
    <w:p>
      <w:pPr>
        <w:ind w:firstLine="420"/>
        <w:spacing w:line="400" w:lineRule="exact"/>
        <w:rPr>
          <w:rFonts w:ascii="宋体" w:hAnsi="宋体"/>
          <w:i/>
          <w:iCs/>
          <w:u w:val="single"/>
        </w:rPr>
      </w:pPr>
      <w:r>
        <w:rPr>
          <w:rFonts w:hint="eastAsia" w:ascii="宋体" w:hAnsi="宋体"/>
          <w:i/>
          <w:iCs/>
          <w:u w:val="single"/>
          <w:lang w:val="en-US" w:eastAsia="zh-CN"/>
        </w:rPr>
        <w:t xml:space="preserve">5.</w:t>
      </w:r>
      <w:r>
        <w:rPr>
          <w:rFonts w:hint="eastAsia" w:ascii="宋体" w:hAnsi="宋体"/>
          <w:i/>
          <w:iCs/>
          <w:u w:val="single"/>
        </w:rPr>
        <w:t xml:space="preserve">中标后10个工作日内，提供原厂服务承诺函。</w:t>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四、其他要求</w:t>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4.1企业资质</w:t>
      </w:r>
      <w:r/>
    </w:p>
    <w:p>
      <w:pPr>
        <w:ind w:firstLine="420"/>
        <w:spacing w:before="120" w:after="120" w:line="300" w:lineRule="exact"/>
        <w:rPr>
          <w:rFonts w:ascii="宋体" w:hAnsi="宋体"/>
        </w:rPr>
      </w:pPr>
      <w:r>
        <w:rPr>
          <w:rFonts w:hint="eastAsia" w:ascii="宋体" w:hAnsi="宋体"/>
        </w:rPr>
        <w:t xml:space="preserve">投标人应具有由国家认证认可的监督管理部门批准设立的认证机构颁发并在有效期内的：</w:t>
      </w:r>
      <w:r>
        <w:rPr>
          <w:rFonts w:hint="eastAsia" w:ascii="宋体" w:hAnsi="宋体"/>
          <w:highlight w:val="none"/>
        </w:rPr>
        <w:t xml:space="preserve">ISO9000管理体系认证证书（质量管理体系）、ISO27001管理体系认证证书（信息安全管理体系）、</w:t>
      </w:r>
      <w:r>
        <w:rPr>
          <w:rFonts w:hint="eastAsia" w:ascii="宋体" w:hAnsi="宋体"/>
          <w:highlight w:val="none"/>
          <w:lang w:eastAsia="zh-CN"/>
        </w:rPr>
        <w:t xml:space="preserve">、</w:t>
      </w:r>
      <w:r>
        <w:rPr>
          <w:rFonts w:hint="eastAsia" w:ascii="宋体" w:hAnsi="宋体"/>
          <w:highlight w:val="none"/>
          <w:lang w:val="en-US" w:eastAsia="zh-CN"/>
        </w:rPr>
        <w:t xml:space="preserve">国家信息安全测评信息安全服务资质证书</w:t>
      </w:r>
      <w:r>
        <w:rPr>
          <w:rFonts w:hint="eastAsia" w:ascii="宋体" w:hAnsi="宋体"/>
        </w:rPr>
        <w:t xml:space="preserve">等。</w:t>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4.2项目案例</w:t>
      </w:r>
      <w:r/>
    </w:p>
    <w:p>
      <w:pPr>
        <w:ind w:firstLine="420"/>
        <w:spacing w:before="120" w:after="120" w:line="300" w:lineRule="exact"/>
        <w:rPr>
          <w:rFonts w:ascii="宋体" w:hAnsi="宋体"/>
        </w:rPr>
      </w:pPr>
      <w:r>
        <w:rPr>
          <w:rFonts w:ascii="宋体" w:hAnsi="宋体"/>
        </w:rPr>
        <w:t xml:space="preserve">投标人应具备自2022年1月1日起（以合同签订时间为准）签订的与本项目类似业绩</w:t>
      </w:r>
      <w:r>
        <w:rPr>
          <w:rFonts w:hint="eastAsia" w:ascii="宋体" w:hAnsi="宋体"/>
          <w:lang w:eastAsia="zh-CN"/>
        </w:rPr>
        <w:t xml:space="preserve">，</w:t>
      </w:r>
      <w:r>
        <w:rPr>
          <w:rFonts w:hint="eastAsia" w:ascii="宋体" w:hAnsi="宋体"/>
          <w:lang w:val="en-US" w:eastAsia="zh-CN"/>
        </w:rPr>
        <w:t xml:space="preserve">建设内容至少包括防火墙等安全设备</w:t>
      </w:r>
      <w:r>
        <w:rPr>
          <w:rFonts w:ascii="宋体" w:hAnsi="宋体"/>
        </w:rPr>
        <w:t xml:space="preserve">。</w:t>
      </w:r>
      <w:r/>
    </w:p>
    <w:p>
      <w:pPr>
        <w:spacing w:line="0" w:lineRule="atLeast"/>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lang w:eastAsia="zh-CN"/>
        </w:rPr>
        <w:t xml:space="preserve">4.3实施人员服务能力要求</w:t>
      </w:r>
      <w:r/>
    </w:p>
    <w:p>
      <w:pPr>
        <w:ind w:firstLine="420"/>
        <w:spacing w:before="120" w:after="120" w:line="300" w:lineRule="exact"/>
        <w:rPr>
          <w:rFonts w:ascii="宋体" w:hAnsi="宋体"/>
        </w:rPr>
      </w:pPr>
      <w:r>
        <w:rPr>
          <w:rFonts w:hint="eastAsia" w:ascii="宋体" w:hAnsi="宋体"/>
        </w:rPr>
        <w:t xml:space="preserve">投标人</w:t>
      </w:r>
      <w:r>
        <w:rPr>
          <w:rFonts w:ascii="宋体" w:hAnsi="宋体"/>
        </w:rPr>
        <w:t xml:space="preserve">应当为本项目履行配备专门团队</w:t>
      </w:r>
      <w:r>
        <w:rPr>
          <w:rFonts w:hint="eastAsia" w:ascii="宋体" w:hAnsi="宋体"/>
        </w:rPr>
        <w:t xml:space="preserve">并</w:t>
      </w:r>
      <w:r>
        <w:rPr>
          <w:rFonts w:ascii="宋体" w:hAnsi="宋体"/>
        </w:rPr>
        <w:t xml:space="preserve">持有相应</w:t>
      </w:r>
      <w:r>
        <w:rPr>
          <w:rFonts w:hint="eastAsia" w:ascii="宋体" w:hAnsi="宋体"/>
        </w:rPr>
        <w:t xml:space="preserve">专业</w:t>
      </w:r>
      <w:r>
        <w:rPr>
          <w:rFonts w:ascii="宋体" w:hAnsi="宋体"/>
        </w:rPr>
        <w:t xml:space="preserve">证书，包括</w:t>
      </w:r>
      <w:r>
        <w:rPr>
          <w:rFonts w:hint="eastAsia" w:ascii="宋体" w:hAnsi="宋体"/>
        </w:rPr>
        <w:t xml:space="preserve">但</w:t>
      </w:r>
      <w:r>
        <w:rPr>
          <w:rFonts w:ascii="宋体" w:hAnsi="宋体"/>
        </w:rPr>
        <w:t xml:space="preserve">不限于项目经理</w:t>
      </w:r>
      <w:r>
        <w:rPr>
          <w:rFonts w:hint="eastAsia" w:ascii="宋体" w:hAnsi="宋体"/>
        </w:rPr>
        <w:t xml:space="preserve">（1人</w:t>
      </w:r>
      <w:r>
        <w:rPr>
          <w:rFonts w:ascii="宋体" w:hAnsi="宋体"/>
        </w:rPr>
        <w:t xml:space="preserve">）、</w:t>
      </w:r>
      <w:r>
        <w:rPr>
          <w:rFonts w:hint="eastAsia" w:ascii="宋体" w:hAnsi="宋体"/>
          <w:lang w:val="en-US" w:eastAsia="zh-CN"/>
        </w:rPr>
        <w:t xml:space="preserve">技术总监（1人）</w:t>
      </w:r>
      <w:r>
        <w:rPr>
          <w:rFonts w:hint="eastAsia" w:ascii="宋体" w:hAnsi="宋体"/>
          <w:lang w:eastAsia="zh-CN"/>
        </w:rPr>
        <w:t xml:space="preserve">、</w:t>
      </w:r>
      <w:r>
        <w:rPr>
          <w:rFonts w:ascii="宋体" w:hAnsi="宋体"/>
        </w:rPr>
        <w:t xml:space="preserve">技术负责人</w:t>
      </w:r>
      <w:r>
        <w:rPr>
          <w:rFonts w:hint="eastAsia" w:ascii="宋体" w:hAnsi="宋体"/>
        </w:rPr>
        <w:t xml:space="preserve">（</w:t>
      </w:r>
      <w:r>
        <w:rPr>
          <w:rFonts w:ascii="宋体" w:hAnsi="宋体"/>
        </w:rPr>
        <w:t xml:space="preserve">1</w:t>
      </w:r>
      <w:r>
        <w:rPr>
          <w:rFonts w:hint="eastAsia" w:ascii="宋体" w:hAnsi="宋体"/>
        </w:rPr>
        <w:t xml:space="preserve">人）</w:t>
      </w:r>
      <w:r>
        <w:rPr>
          <w:rFonts w:ascii="宋体" w:hAnsi="宋体"/>
        </w:rPr>
        <w:t xml:space="preserve">等</w:t>
      </w:r>
      <w:r>
        <w:rPr>
          <w:rFonts w:hint="eastAsia" w:ascii="宋体" w:hAnsi="宋体"/>
        </w:rPr>
        <w:t xml:space="preserve">：</w:t>
      </w:r>
      <w:r/>
    </w:p>
    <w:p>
      <w:pPr>
        <w:ind w:firstLine="420"/>
        <w:spacing w:before="120" w:after="120" w:line="300" w:lineRule="exact"/>
      </w:pPr>
      <w:r>
        <w:rPr>
          <w:rFonts w:ascii="宋体" w:hAnsi="宋体"/>
          <w:i w:val="0"/>
          <w:iCs w:val="0"/>
          <w:color w:val="auto"/>
          <w:u w:val="none"/>
        </w:rPr>
        <w:t xml:space="preserve">1.项目经理（1人）应当具有具有信息系统项目管理师（计算机技术与软件专业技术资格证书高级）、系统规划与管理师（计算机技术与软件专业技术资格证书高级）、ITSS IT服务项目经理（中国电子技术标准化研究院）、信息安全工程师（计算机技术与软件专业技术资格证书中级）、注册信息安全专业人员（CISP中国信息安全测评中心）等专业证书。</w:t>
      </w:r>
      <w:r>
        <w:rPr>
          <w:rFonts w:ascii="宋体" w:hAnsi="宋体"/>
          <w:i w:val="0"/>
          <w:iCs w:val="0"/>
          <w:color w:val="auto"/>
          <w:u w:val="none"/>
        </w:rPr>
      </w:r>
      <w:r/>
    </w:p>
    <w:p>
      <w:pPr>
        <w:ind w:firstLine="420"/>
        <w:spacing w:before="120" w:after="120" w:line="300" w:lineRule="exact"/>
      </w:pPr>
      <w:r>
        <w:rPr>
          <w:rFonts w:ascii="宋体" w:hAnsi="宋体"/>
          <w:i w:val="0"/>
          <w:iCs w:val="0"/>
          <w:color w:val="auto"/>
          <w:u w:val="none"/>
        </w:rPr>
        <w:t xml:space="preserve">2.技术总监（1人）应当具有具有信息系统项目管理师（计算机技术与软件专业技术资格证书高级）、高级网络与信息安全工程师（工业和信息化部）、注册信息安全专业人员（CISP中国信息安全测评中心）、信息安全保障人员CISAW（中国网络安全审查认证和市场监督大数据中心）等专业证书。</w:t>
      </w:r>
      <w:r>
        <w:rPr>
          <w:rFonts w:ascii="宋体" w:hAnsi="宋体"/>
          <w:i w:val="0"/>
          <w:iCs w:val="0"/>
          <w:color w:val="auto"/>
          <w:u w:val="none"/>
        </w:rPr>
      </w:r>
      <w:r/>
    </w:p>
    <w:p>
      <w:pPr>
        <w:ind w:firstLine="420"/>
        <w:spacing w:before="120" w:after="120" w:line="300" w:lineRule="exact"/>
        <w:rPr>
          <w:rFonts w:ascii="宋体" w:hAnsi="宋体"/>
          <w:i w:val="0"/>
          <w:iCs w:val="0"/>
          <w:color w:val="auto"/>
          <w:u w:val="none"/>
        </w:rPr>
      </w:pPr>
      <w:r>
        <w:rPr>
          <w:rFonts w:ascii="宋体" w:hAnsi="宋体"/>
          <w:i w:val="0"/>
          <w:iCs w:val="0"/>
          <w:color w:val="auto"/>
          <w:u w:val="none"/>
        </w:rPr>
        <w:t xml:space="preserve">3、技术负责人（1人）应当具有信息系统项目管理师（计算机技术与软件专业技术资格证书高级）、ITSS IT服务工程师（中国电子技术标准化研究院）、注册信息安全专业人员（CISP）、信息安全保障人员CISAW（中国网络安全审查认证和市场监督大数据中心）等专业证书。</w:t>
      </w:r>
      <w:r>
        <w:rPr>
          <w:rFonts w:ascii="宋体" w:hAnsi="宋体"/>
          <w:i w:val="0"/>
          <w:iCs w:val="0"/>
          <w:color w:val="auto"/>
          <w:u w:val="none"/>
        </w:rPr>
      </w:r>
      <w:r/>
    </w:p>
    <w:p>
      <w:pPr>
        <w:spacing w:line="0" w:lineRule="atLeast"/>
        <w:rPr>
          <w:rFonts w:hint="eastAsia" w:ascii="宋体" w:hAnsi="宋体"/>
          <w:b/>
          <w:bCs/>
          <w:sz w:val="24"/>
          <w:szCs w:val="24"/>
        </w:rPr>
      </w:pPr>
      <w:r/>
      <w:bookmarkStart w:id="181" w:name="_Toc120614281"/>
      <w:r/>
      <w:r/>
    </w:p>
    <w:p>
      <w:pPr>
        <w:spacing w:line="0" w:lineRule="atLeast"/>
        <w:rPr>
          <w:rFonts w:hint="eastAsia" w:ascii="宋体" w:hAnsi="宋体"/>
          <w:b/>
          <w:bCs/>
          <w:sz w:val="24"/>
          <w:szCs w:val="24"/>
        </w:rPr>
      </w:pPr>
      <w:r>
        <w:rPr>
          <w:rFonts w:hint="eastAsia" w:ascii="宋体" w:hAnsi="宋体"/>
          <w:b/>
          <w:bCs/>
          <w:sz w:val="24"/>
          <w:szCs w:val="24"/>
        </w:rPr>
      </w:r>
      <w:r/>
    </w:p>
    <w:p>
      <w:pPr>
        <w:spacing w:line="0" w:lineRule="atLeast"/>
        <w:rPr>
          <w:rFonts w:hint="eastAsia" w:ascii="宋体" w:hAnsi="宋体"/>
          <w:b/>
          <w:bCs/>
          <w:sz w:val="24"/>
          <w:szCs w:val="24"/>
        </w:rPr>
      </w:pPr>
      <w:r>
        <w:rPr>
          <w:rFonts w:hint="eastAsia" w:ascii="宋体" w:hAnsi="宋体"/>
          <w:b/>
          <w:bCs/>
          <w:sz w:val="24"/>
          <w:szCs w:val="24"/>
        </w:rPr>
        <w:t xml:space="preserve">项目属性:货物类项目。</w:t>
      </w:r>
      <w:r/>
    </w:p>
    <w:p>
      <w:pPr>
        <w:spacing w:line="0" w:lineRule="atLeast"/>
        <w:rPr>
          <w:rFonts w:ascii="宋体" w:hAnsi="宋体"/>
          <w:b/>
          <w:bCs/>
          <w:sz w:val="24"/>
          <w:szCs w:val="24"/>
        </w:rPr>
      </w:pPr>
      <w:r>
        <w:rPr>
          <w:rFonts w:hint="eastAsia" w:ascii="宋体" w:hAnsi="宋体"/>
          <w:b/>
          <w:bCs/>
          <w:sz w:val="24"/>
          <w:szCs w:val="24"/>
        </w:rPr>
        <w:t xml:space="preserve">核心产品</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5612"/>
      </w:tblGrid>
      <w:tr>
        <w:trPr/>
        <w:tc>
          <w:tcPr>
            <w:tcW w:w="1096" w:type="dxa"/>
            <w:textDirection w:val="lrTb"/>
            <w:noWrap w:val="false"/>
          </w:tcPr>
          <w:p>
            <w:pPr>
              <w:jc w:val="center"/>
              <w:rPr>
                <w:rFonts w:ascii="宋体" w:hAnsi="宋体"/>
                <w:sz w:val="24"/>
                <w:szCs w:val="21"/>
              </w:rPr>
            </w:pPr>
            <w:r>
              <w:rPr>
                <w:rFonts w:hint="eastAsia" w:ascii="宋体" w:hAnsi="宋体"/>
                <w:sz w:val="24"/>
                <w:szCs w:val="21"/>
              </w:rPr>
              <w:t xml:space="preserve">分包号</w:t>
            </w:r>
            <w:r/>
          </w:p>
        </w:tc>
        <w:tc>
          <w:tcPr>
            <w:tcW w:w="5612" w:type="dxa"/>
            <w:textDirection w:val="lrTb"/>
            <w:noWrap w:val="false"/>
          </w:tcPr>
          <w:p>
            <w:pPr>
              <w:jc w:val="center"/>
              <w:rPr>
                <w:rFonts w:ascii="宋体" w:hAnsi="宋体"/>
                <w:sz w:val="24"/>
                <w:szCs w:val="21"/>
              </w:rPr>
            </w:pPr>
            <w:r>
              <w:rPr>
                <w:rFonts w:hint="eastAsia" w:ascii="宋体" w:hAnsi="宋体"/>
                <w:sz w:val="24"/>
                <w:szCs w:val="21"/>
              </w:rPr>
              <w:t xml:space="preserve">核心产品</w:t>
            </w:r>
            <w:r/>
          </w:p>
        </w:tc>
      </w:tr>
      <w:tr>
        <w:trPr/>
        <w:tc>
          <w:tcPr>
            <w:tcW w:w="1096" w:type="dxa"/>
            <w:textDirection w:val="lrTb"/>
            <w:noWrap w:val="false"/>
          </w:tcPr>
          <w:p>
            <w:pPr>
              <w:jc w:val="center"/>
              <w:rPr>
                <w:rFonts w:ascii="宋体" w:hAnsi="宋体"/>
                <w:sz w:val="24"/>
                <w:szCs w:val="21"/>
              </w:rPr>
            </w:pPr>
            <w:r>
              <w:rPr>
                <w:rFonts w:hint="eastAsia" w:ascii="宋体" w:hAnsi="宋体"/>
                <w:sz w:val="24"/>
                <w:szCs w:val="21"/>
              </w:rPr>
              <w:t xml:space="preserve">1</w:t>
            </w:r>
            <w:r/>
          </w:p>
        </w:tc>
        <w:tc>
          <w:tcPr>
            <w:tcW w:w="5612" w:type="dxa"/>
            <w:vAlign w:val="center"/>
            <w:textDirection w:val="lrTb"/>
            <w:noWrap w:val="false"/>
          </w:tcPr>
          <w:p>
            <w:pPr>
              <w:jc w:val="center"/>
              <w:widowControl/>
              <w:rPr>
                <w:rFonts w:ascii="宋体" w:hAnsi="宋体"/>
                <w:sz w:val="24"/>
                <w:szCs w:val="21"/>
              </w:rPr>
            </w:pPr>
            <w:r>
              <w:rPr>
                <w:rFonts w:hint="eastAsia" w:ascii="宋体" w:hAnsi="宋体"/>
                <w:b/>
                <w:sz w:val="24"/>
                <w:szCs w:val="21"/>
              </w:rPr>
              <w:t xml:space="preserve">防火墙05</w:t>
            </w:r>
            <w:r/>
          </w:p>
        </w:tc>
      </w:tr>
    </w:tbl>
    <w:p>
      <w:pPr>
        <w:spacing w:line="0" w:lineRule="atLeast"/>
        <w:rPr>
          <w:rFonts w:ascii="宋体" w:hAnsi="宋体"/>
          <w:b/>
          <w:bCs/>
          <w:sz w:val="24"/>
          <w:szCs w:val="24"/>
        </w:rPr>
      </w:pPr>
      <w:r>
        <w:rPr>
          <w:rFonts w:hint="eastAsia" w:ascii="宋体" w:hAnsi="宋体"/>
          <w:b/>
          <w:bCs/>
          <w:sz w:val="24"/>
          <w:szCs w:val="24"/>
        </w:rPr>
        <w:t xml:space="preserve">进口</w:t>
      </w:r>
      <w:r>
        <w:rPr>
          <w:rFonts w:ascii="宋体" w:hAnsi="宋体"/>
          <w:b/>
          <w:bCs/>
          <w:sz w:val="24"/>
          <w:szCs w:val="24"/>
        </w:rPr>
        <w:t xml:space="preserve">产品</w:t>
      </w:r>
      <w:r>
        <w:rPr>
          <w:rFonts w:hint="eastAsia" w:ascii="宋体" w:hAnsi="宋体"/>
          <w:b/>
          <w:bCs/>
          <w:sz w:val="24"/>
          <w:szCs w:val="24"/>
        </w:rPr>
        <w:t xml:space="preserve">投标</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5601"/>
      </w:tblGrid>
      <w:tr>
        <w:trPr/>
        <w:tc>
          <w:tcPr>
            <w:tcW w:w="1096" w:type="dxa"/>
            <w:textDirection w:val="lrTb"/>
            <w:noWrap w:val="false"/>
          </w:tcPr>
          <w:p>
            <w:pPr>
              <w:jc w:val="center"/>
              <w:rPr>
                <w:rFonts w:ascii="宋体" w:hAnsi="宋体"/>
                <w:sz w:val="24"/>
                <w:szCs w:val="21"/>
              </w:rPr>
            </w:pPr>
            <w:r>
              <w:rPr>
                <w:rFonts w:hint="eastAsia" w:ascii="宋体" w:hAnsi="宋体"/>
                <w:sz w:val="24"/>
                <w:szCs w:val="21"/>
              </w:rPr>
              <w:t xml:space="preserve">分包号</w:t>
            </w:r>
            <w:r/>
          </w:p>
        </w:tc>
        <w:tc>
          <w:tcPr>
            <w:tcW w:w="5601" w:type="dxa"/>
            <w:textDirection w:val="lrTb"/>
            <w:noWrap w:val="false"/>
          </w:tcPr>
          <w:p>
            <w:pPr>
              <w:jc w:val="center"/>
              <w:rPr>
                <w:rFonts w:ascii="宋体" w:hAnsi="宋体"/>
                <w:sz w:val="24"/>
                <w:szCs w:val="21"/>
              </w:rPr>
            </w:pPr>
            <w:r>
              <w:rPr>
                <w:rFonts w:hint="eastAsia" w:ascii="宋体" w:hAnsi="宋体"/>
                <w:sz w:val="24"/>
                <w:szCs w:val="21"/>
              </w:rPr>
              <w:t xml:space="preserve">是否接受进口产品投标</w:t>
            </w:r>
            <w:r/>
          </w:p>
          <w:p>
            <w:pPr>
              <w:jc w:val="center"/>
              <w:rPr>
                <w:rFonts w:ascii="宋体" w:hAnsi="宋体"/>
                <w:sz w:val="24"/>
                <w:szCs w:val="21"/>
              </w:rPr>
            </w:pPr>
            <w:r>
              <w:rPr>
                <w:rFonts w:hint="eastAsia" w:ascii="宋体" w:hAnsi="宋体"/>
                <w:sz w:val="24"/>
                <w:szCs w:val="21"/>
              </w:rPr>
              <w:t xml:space="preserve">（是/否）</w:t>
            </w:r>
            <w:r/>
          </w:p>
        </w:tc>
      </w:tr>
      <w:tr>
        <w:trPr/>
        <w:tc>
          <w:tcPr>
            <w:tcW w:w="1096" w:type="dxa"/>
            <w:textDirection w:val="lrTb"/>
            <w:noWrap w:val="false"/>
          </w:tcPr>
          <w:p>
            <w:pPr>
              <w:jc w:val="center"/>
              <w:rPr>
                <w:rFonts w:ascii="宋体" w:hAnsi="宋体"/>
                <w:sz w:val="24"/>
                <w:szCs w:val="21"/>
              </w:rPr>
            </w:pPr>
            <w:r>
              <w:rPr>
                <w:rFonts w:hint="eastAsia" w:ascii="宋体" w:hAnsi="宋体"/>
                <w:sz w:val="24"/>
                <w:szCs w:val="21"/>
              </w:rPr>
              <w:t xml:space="preserve">1</w:t>
            </w:r>
            <w:r/>
          </w:p>
        </w:tc>
        <w:tc>
          <w:tcPr>
            <w:tcW w:w="5601" w:type="dxa"/>
            <w:textDirection w:val="lrTb"/>
            <w:noWrap w:val="false"/>
          </w:tcPr>
          <w:p>
            <w:pPr>
              <w:jc w:val="center"/>
              <w:rPr>
                <w:rFonts w:ascii="宋体" w:hAnsi="宋体"/>
                <w:sz w:val="24"/>
                <w:szCs w:val="21"/>
              </w:rPr>
            </w:pPr>
            <w:r>
              <w:rPr>
                <w:rFonts w:hint="eastAsia" w:ascii="宋体" w:hAnsi="宋体"/>
                <w:sz w:val="24"/>
                <w:szCs w:val="21"/>
              </w:rPr>
              <w:t xml:space="preserve">否</w:t>
            </w:r>
            <w:r/>
          </w:p>
        </w:tc>
      </w:tr>
    </w:tbl>
    <w:p>
      <w:pPr>
        <w:spacing w:line="0" w:lineRule="atLeast"/>
        <w:rPr>
          <w:rFonts w:ascii="宋体" w:hAnsi="宋体"/>
          <w:b/>
          <w:sz w:val="24"/>
          <w:szCs w:val="24"/>
        </w:rPr>
      </w:pPr>
      <w:r>
        <w:rPr>
          <w:rFonts w:ascii="宋体" w:hAnsi="宋体"/>
          <w:b/>
          <w:sz w:val="24"/>
          <w:szCs w:val="24"/>
        </w:rPr>
      </w:r>
      <w:r/>
    </w:p>
    <w:p>
      <w:pPr>
        <w:jc w:val="left"/>
        <w:widowControl/>
        <w:rPr>
          <w:rFonts w:ascii="宋体" w:hAnsi="宋体"/>
        </w:rPr>
      </w:pPr>
      <w:r>
        <w:rPr>
          <w:rFonts w:ascii="宋体" w:hAnsi="宋体"/>
        </w:rPr>
      </w:r>
      <w:r/>
    </w:p>
    <w:p>
      <w:pPr>
        <w:spacing w:before="120" w:after="120" w:line="300" w:lineRule="exact"/>
        <w:rPr>
          <w:rFonts w:ascii="宋体" w:hAnsi="宋体"/>
        </w:rPr>
      </w:pPr>
      <w:r>
        <w:rPr>
          <w:rFonts w:ascii="宋体" w:hAnsi="宋体"/>
        </w:rPr>
      </w:r>
      <w:r/>
    </w:p>
    <w:p>
      <w:pPr>
        <w:spacing w:before="120" w:after="120" w:line="300" w:lineRule="exact"/>
        <w:rPr>
          <w:rFonts w:ascii="宋体" w:hAnsi="宋体"/>
        </w:rPr>
      </w:pPr>
      <w:r>
        <w:rPr>
          <w:rFonts w:ascii="宋体" w:hAnsi="宋体"/>
        </w:rPr>
      </w:r>
      <w:r>
        <w:rPr>
          <w:rFonts w:ascii="宋体" w:hAnsi="宋体"/>
        </w:rPr>
      </w:r>
      <w:r/>
    </w:p>
    <w:p>
      <w:pPr>
        <w:spacing w:before="120" w:after="120" w:line="300" w:lineRule="exact"/>
        <w:rPr>
          <w:rFonts w:ascii="宋体" w:hAnsi="宋体"/>
        </w:rPr>
      </w:pPr>
      <w:r>
        <w:rPr>
          <w:rFonts w:ascii="宋体" w:hAnsi="宋体"/>
        </w:rPr>
      </w:r>
      <w:r>
        <w:rPr>
          <w:rFonts w:ascii="宋体" w:hAnsi="宋体"/>
        </w:rPr>
      </w:r>
      <w:r/>
    </w:p>
    <w:p>
      <w:pPr>
        <w:spacing w:before="120" w:after="120" w:line="300" w:lineRule="exact"/>
        <w:rPr>
          <w:rFonts w:ascii="宋体" w:hAnsi="宋体"/>
        </w:rPr>
      </w:pPr>
      <w:r>
        <w:rPr>
          <w:rFonts w:ascii="宋体" w:hAnsi="宋体"/>
        </w:rPr>
      </w:r>
      <w:r>
        <w:rPr>
          <w:rFonts w:ascii="宋体" w:hAnsi="宋体"/>
        </w:rPr>
      </w:r>
      <w:r/>
    </w:p>
    <w:p>
      <w:pPr>
        <w:spacing w:before="120" w:after="120" w:line="300" w:lineRule="exact"/>
        <w:rPr>
          <w:rFonts w:ascii="宋体" w:hAnsi="宋体"/>
        </w:rPr>
      </w:pPr>
      <w:r>
        <w:rPr>
          <w:rFonts w:ascii="宋体" w:hAnsi="宋体"/>
        </w:rPr>
      </w:r>
      <w:r>
        <w:rPr>
          <w:rFonts w:ascii="宋体" w:hAnsi="宋体"/>
        </w:rPr>
      </w:r>
      <w:r/>
    </w:p>
    <w:p>
      <w:pPr>
        <w:spacing w:before="120" w:after="120" w:line="300" w:lineRule="exact"/>
        <w:rPr>
          <w:rFonts w:ascii="宋体" w:hAnsi="宋体"/>
        </w:rPr>
      </w:pPr>
      <w:r>
        <w:rPr>
          <w:rFonts w:ascii="宋体" w:hAnsi="宋体"/>
        </w:rPr>
      </w:r>
      <w:r>
        <w:rPr>
          <w:rFonts w:ascii="宋体" w:hAnsi="宋体"/>
        </w:rPr>
      </w:r>
      <w:r/>
    </w:p>
    <w:p>
      <w:pPr>
        <w:spacing w:before="120" w:after="120" w:line="300" w:lineRule="exact"/>
        <w:rPr>
          <w:rFonts w:ascii="宋体" w:hAnsi="宋体"/>
        </w:rPr>
      </w:pPr>
      <w:r>
        <w:rPr>
          <w:rFonts w:ascii="宋体" w:hAnsi="宋体"/>
        </w:rPr>
      </w:r>
      <w:r>
        <w:rPr>
          <w:rFonts w:ascii="宋体" w:hAnsi="宋体"/>
        </w:rPr>
      </w:r>
      <w:r/>
    </w:p>
    <w:p>
      <w:pPr>
        <w:spacing w:before="120" w:after="120" w:line="300" w:lineRule="exact"/>
        <w:rPr>
          <w:rFonts w:ascii="宋体" w:hAnsi="宋体"/>
        </w:rPr>
      </w:pPr>
      <w:r>
        <w:rPr>
          <w:rFonts w:ascii="宋体" w:hAnsi="宋体"/>
        </w:rPr>
      </w:r>
      <w:r/>
    </w:p>
    <w:p>
      <w:pPr>
        <w:jc w:val="left"/>
        <w:keepNext w:val="0"/>
        <w:rPr>
          <w:rFonts w:hint="eastAsia" w:ascii="黑体" w:eastAsia="黑体"/>
          <w:bCs/>
          <w:color w:val="000000"/>
          <w:sz w:val="44"/>
          <w:szCs w:val="28"/>
        </w:rPr>
        <w:outlineLvl w:val="9"/>
      </w:pPr>
      <w:r>
        <w:rPr>
          <w:rFonts w:hint="eastAsia"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sz w:val="24"/>
          <w:szCs w:val="24"/>
        </w:rPr>
      </w:pPr>
      <w:r>
        <w:rPr>
          <w:rFonts w:ascii="宋体" w:hAnsi="宋体"/>
          <w:color w:val="000000"/>
          <w:sz w:val="24"/>
          <w:szCs w:val="24"/>
        </w:rPr>
        <w:t xml:space="preserve">采用综合评</w:t>
      </w:r>
      <w:r>
        <w:rPr>
          <w:rFonts w:ascii="宋体" w:hAnsi="宋体"/>
          <w:sz w:val="24"/>
          <w:szCs w:val="24"/>
        </w:rPr>
        <w:t xml:space="preserve">分法的，评标结果按评审后得分由高到低顺序排列。得分相同的，按投标报价由低到高顺序排列。得分且投标报价相同的并列。</w:t>
      </w:r>
      <w:r/>
    </w:p>
    <w:tbl>
      <w:tblPr>
        <w:tblStyle w:val="91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分包号</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选取中标候选人数量</w:t>
            </w:r>
            <w:r/>
          </w:p>
        </w:tc>
        <w:tc>
          <w:tcPr>
            <w:tcW w:w="4325" w:type="dxa"/>
            <w:vAlign w:val="center"/>
            <w:textDirection w:val="lrTb"/>
            <w:noWrap w:val="false"/>
          </w:tcPr>
          <w:p>
            <w:pPr>
              <w:jc w:val="center"/>
              <w:rPr>
                <w:rFonts w:ascii="宋体" w:hAnsi="宋体"/>
                <w:szCs w:val="21"/>
              </w:rPr>
            </w:pPr>
            <w:r>
              <w:rPr>
                <w:rFonts w:hint="eastAsia" w:ascii="宋体" w:hAnsi="宋体"/>
                <w:szCs w:val="21"/>
              </w:rPr>
              <w:t xml:space="preserve">选取中标候选人的原则</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325" w:type="dxa"/>
            <w:vAlign w:val="center"/>
            <w:textDirection w:val="lrTb"/>
            <w:noWrap w:val="false"/>
          </w:tcPr>
          <w:p>
            <w:pPr>
              <w:jc w:val="center"/>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w:t>
      </w:r>
      <w:r>
        <w:rPr>
          <w:rFonts w:hint="eastAsia" w:ascii="宋体" w:hAnsi="宋体"/>
          <w:color w:val="000000"/>
          <w:sz w:val="24"/>
          <w:szCs w:val="24"/>
        </w:rPr>
        <w:t xml:space="preserve">格参与评审。（2）供应商需按照采购文件的要求提供相应的《小微企业声明函》。</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72"/>
        <w:jc w:val="left"/>
        <w:spacing w:before="120" w:after="120" w:line="400" w:lineRule="exact"/>
        <w:rPr>
          <w:rFonts w:ascii="Arial" w:hAnsi="Arial"/>
          <w:color w:val="000000"/>
          <w:sz w:val="24"/>
          <w:szCs w:val="24"/>
        </w:rPr>
      </w:pPr>
      <w:r>
        <w:rPr>
          <w:rFonts w:hint="eastAsia" w:ascii="宋体" w:hAnsi="宋体"/>
          <w:color w:val="000000"/>
          <w:sz w:val="24"/>
          <w:szCs w:val="24"/>
        </w:rPr>
        <w:t xml:space="preserve">7、根据《江苏省政府采购信用管理暂行办法》的规定，供应商信用评价结果为三星的扣2分，评价结果为二星的扣3分，评价结果为一星的扣4分。</w:t>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914"/>
        <w:tblW w:w="9879"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2435"/>
        <w:gridCol w:w="5517"/>
        <w:gridCol w:w="1080"/>
      </w:tblGrid>
      <w:tr>
        <w:trPr>
          <w:jc w:val="center"/>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评分因素</w:t>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评审细则</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分值</w:t>
            </w:r>
            <w:r/>
          </w:p>
        </w:tc>
      </w:tr>
      <w:tr>
        <w:trPr>
          <w:jc w:val="center"/>
          <w:trHeight w:val="180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价格</w:t>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(30分)</w:t>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b/>
                <w:bCs/>
                <w:color w:val="000000"/>
                <w:sz w:val="22"/>
                <w:szCs w:val="22"/>
              </w:rPr>
              <w:t xml:space="preserve">1.1</w:t>
            </w:r>
            <w:r>
              <w:rPr>
                <w:rFonts w:hint="default" w:ascii="Times New Roman" w:hAnsi="Times New Roman" w:cs="Times New Roman" w:eastAsiaTheme="minorEastAsia"/>
                <w:color w:val="000000"/>
                <w:sz w:val="22"/>
                <w:szCs w:val="22"/>
              </w:rPr>
              <w:t xml:space="preserve">满足招标文件要求且投标价格最低的投标报价为评标基准价，其价格为满分。其他投标人的价格分统一按下列公式计算：</w:t>
            </w:r>
            <w:r/>
          </w:p>
          <w:p>
            <w:pP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投标报价得分=（评标基准价/投标报价）×30。分值保留小数点后1位。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产品技术参数</w:t>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(35分)</w:t>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b/>
                <w:bCs/>
                <w:color w:val="000000"/>
                <w:sz w:val="22"/>
                <w:szCs w:val="22"/>
                <w:highlight w:val="none"/>
              </w:rPr>
              <w:t xml:space="preserve">2.1</w:t>
            </w:r>
            <w:r>
              <w:rPr>
                <w:rFonts w:hint="default" w:ascii="Times New Roman" w:hAnsi="Times New Roman" w:cs="Times New Roman" w:eastAsiaTheme="minorEastAsia"/>
                <w:color w:val="000000"/>
                <w:sz w:val="22"/>
                <w:szCs w:val="22"/>
                <w:highlight w:val="none"/>
              </w:rPr>
              <w:t xml:space="preserve">投标产品对招标文件具体需求的响应程度：</w:t>
            </w:r>
            <w:r>
              <w:rPr>
                <w:rFonts w:hint="default" w:ascii="Times New Roman" w:hAnsi="Times New Roman" w:cs="Times New Roman" w:eastAsiaTheme="minorEastAsia"/>
                <w:color w:val="000000"/>
                <w:sz w:val="22"/>
                <w:szCs w:val="22"/>
              </w:rPr>
              <w:t xml:space="preserve">产品</w:t>
            </w:r>
            <w:r>
              <w:rPr>
                <w:rFonts w:hint="eastAsia"/>
                <w:lang w:eastAsia="zh-CN"/>
              </w:rPr>
              <w:t xml:space="preserve">技术参数全部满足第四章采购需求</w:t>
            </w:r>
            <w:r>
              <w:rPr>
                <w:rFonts w:hint="eastAsia"/>
                <w:lang w:val="en-US" w:eastAsia="zh-CN"/>
              </w:rPr>
              <w:t xml:space="preserve">2.1设备招标技术参数的</w:t>
            </w:r>
            <w:r>
              <w:rPr>
                <w:rFonts w:hint="default" w:ascii="Times New Roman" w:hAnsi="Times New Roman" w:cs="Times New Roman" w:eastAsiaTheme="minorEastAsia"/>
                <w:color w:val="000000"/>
                <w:sz w:val="22"/>
                <w:szCs w:val="22"/>
              </w:rPr>
              <w:t xml:space="preserve">，得35分；斜体下划线指标为必须满足项，如有负偏离将作为无效投标；其余指标，有1项负偏离扣0.2分，扣完为止。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35</w:t>
            </w:r>
            <w:r/>
          </w:p>
        </w:tc>
      </w:tr>
      <w:tr>
        <w:trPr>
          <w:jc w:val="center"/>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val="en-US" w:eastAsia="zh-CN" w:bidi="ar-SA"/>
              </w:rPr>
            </w:pPr>
            <w:r>
              <w:rPr>
                <w:rFonts w:hint="default" w:ascii="Times New Roman" w:hAnsi="Times New Roman" w:cs="Times New Roman" w:eastAsiaTheme="minorEastAsia"/>
                <w:color w:val="000000"/>
                <w:sz w:val="22"/>
                <w:szCs w:val="22"/>
                <w:lang w:val="en-US" w:eastAsia="zh-CN"/>
              </w:rPr>
              <w:t xml:space="preserve">3</w:t>
            </w:r>
            <w:r/>
          </w:p>
        </w:tc>
        <w:tc>
          <w:tcPr>
            <w:tcBorders>
              <w:top w:val="single" w:color="000000" w:sz="4" w:space="0"/>
              <w:left w:val="single" w:color="000000" w:sz="4" w:space="0"/>
              <w:right w:val="single" w:color="000000" w:sz="4" w:space="0"/>
            </w:tcBorders>
            <w:tcW w:w="2435" w:type="dxa"/>
            <w:vAlign w:val="center"/>
            <w:textDirection w:val="lrTb"/>
            <w:noWrap w:val="false"/>
          </w:tcPr>
          <w:p>
            <w:pPr>
              <w:jc w:val="center"/>
              <w:rPr>
                <w:rFonts w:hint="default" w:ascii="Times New Roman" w:hAnsi="Times New Roman" w:cs="Times New Roman" w:eastAsiaTheme="minorEastAsia"/>
                <w:b w:val="0"/>
                <w:color w:val="000000"/>
                <w:sz w:val="22"/>
                <w:szCs w:val="22"/>
              </w:rPr>
            </w:pPr>
            <w:r>
              <w:rPr>
                <w:rFonts w:hint="default" w:ascii="Times New Roman" w:hAnsi="Times New Roman" w:cs="Times New Roman" w:eastAsiaTheme="minorEastAsia"/>
                <w:b w:val="0"/>
                <w:color w:val="000000"/>
                <w:sz w:val="22"/>
                <w:szCs w:val="22"/>
              </w:rPr>
              <w:t xml:space="preserve">质保服务承诺</w:t>
            </w:r>
            <w:r/>
          </w:p>
          <w:p>
            <w:pPr>
              <w:jc w:val="center"/>
              <w:rPr>
                <w:rFonts w:hint="default" w:ascii="Times New Roman" w:hAnsi="Times New Roman" w:cs="Times New Roman" w:eastAsiaTheme="minorEastAsia"/>
                <w:color w:val="000000"/>
                <w:sz w:val="22"/>
                <w:szCs w:val="22"/>
                <w:u w:val="single"/>
                <w:lang w:val="en-US" w:eastAsia="zh-CN" w:bidi="ar-SA"/>
              </w:rPr>
            </w:pPr>
            <w:r>
              <w:rPr>
                <w:rFonts w:hint="default" w:ascii="Times New Roman" w:hAnsi="Times New Roman" w:cs="Times New Roman" w:eastAsiaTheme="minorEastAsia"/>
                <w:b w:val="0"/>
                <w:color w:val="000000"/>
                <w:sz w:val="22"/>
                <w:szCs w:val="22"/>
                <w:lang w:eastAsia="zh-CN"/>
              </w:rPr>
              <w:t xml:space="preserve">（4分）</w:t>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jc w:val="left"/>
              <w:widowControl/>
              <w:rPr>
                <w:rFonts w:hint="default" w:ascii="Times New Roman" w:hAnsi="Times New Roman" w:cs="Times New Roman" w:eastAsiaTheme="minorEastAsia"/>
                <w:b/>
                <w:color w:val="000000"/>
                <w:sz w:val="22"/>
                <w:szCs w:val="22"/>
              </w:rPr>
            </w:pPr>
            <w:r>
              <w:rPr>
                <w:rFonts w:hint="default" w:ascii="Times New Roman" w:hAnsi="Times New Roman" w:cs="Times New Roman" w:eastAsiaTheme="minorEastAsia"/>
                <w:b/>
                <w:color w:val="000000"/>
                <w:sz w:val="22"/>
                <w:szCs w:val="22"/>
              </w:rPr>
              <w:t xml:space="preserve">3.1质保服务承诺（4分）</w:t>
            </w:r>
            <w:r/>
          </w:p>
          <w:p>
            <w:pPr>
              <w:jc w:val="left"/>
              <w:widowControl/>
              <w:rPr>
                <w:rFonts w:hint="default" w:ascii="Times New Roman" w:hAnsi="Times New Roman" w:cs="Times New Roman" w:eastAsiaTheme="minorEastAsia"/>
                <w:color w:val="000000"/>
                <w:sz w:val="22"/>
                <w:szCs w:val="22"/>
                <w:lang w:val="en-US" w:eastAsia="zh-CN" w:bidi="ar-SA"/>
              </w:rPr>
            </w:pPr>
            <w:r>
              <w:rPr>
                <w:rFonts w:hint="default" w:ascii="Times New Roman" w:hAnsi="Times New Roman" w:cs="Times New Roman" w:eastAsiaTheme="minorEastAsia"/>
                <w:color w:val="000000"/>
                <w:sz w:val="22"/>
                <w:szCs w:val="22"/>
              </w:rPr>
              <w:t xml:space="preserve">在所投产品制造商5年免费质保服务及技术支持服务的基础上，投标人承诺免费延长所投产品1年原厂升级、质保服务及技术支持服务的得2分，满分</w:t>
            </w:r>
            <w:r>
              <w:rPr>
                <w:rFonts w:hint="eastAsia" w:ascii="Times New Roman" w:hAnsi="Times New Roman" w:cs="Times New Roman" w:eastAsiaTheme="minorEastAsia"/>
                <w:color w:val="000000"/>
                <w:sz w:val="22"/>
                <w:szCs w:val="22"/>
                <w:lang w:val="en-US" w:eastAsia="zh-CN"/>
              </w:rPr>
              <w:t xml:space="preserve">4</w:t>
            </w:r>
            <w:r>
              <w:rPr>
                <w:rFonts w:hint="default" w:ascii="Times New Roman" w:hAnsi="Times New Roman" w:cs="Times New Roman" w:eastAsiaTheme="minorEastAsia"/>
                <w:color w:val="000000"/>
                <w:sz w:val="22"/>
                <w:szCs w:val="22"/>
              </w:rPr>
              <w:t xml:space="preserve">分。（提供书面承诺，加盖公章）。</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val="en-US" w:eastAsia="zh-CN" w:bidi="ar-SA"/>
              </w:rPr>
            </w:pPr>
            <w:r>
              <w:rPr>
                <w:rFonts w:hint="default" w:ascii="Times New Roman" w:hAnsi="Times New Roman" w:cs="Times New Roman" w:eastAsiaTheme="minorEastAsia"/>
                <w:color w:val="000000"/>
                <w:sz w:val="22"/>
                <w:szCs w:val="22"/>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4</w:t>
            </w:r>
            <w:r/>
          </w:p>
        </w:tc>
        <w:tc>
          <w:tcPr>
            <w:tcBorders>
              <w:top w:val="single" w:color="000000" w:sz="4" w:space="0"/>
              <w:left w:val="single" w:color="000000" w:sz="4" w:space="0"/>
              <w:right w:val="single" w:color="000000" w:sz="4" w:space="0"/>
            </w:tcBorders>
            <w:tcW w:w="2435" w:type="dxa"/>
            <w:vAlign w:val="center"/>
            <w:vMerge w:val="restart"/>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pStyle w:val="921"/>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pStyle w:val="921"/>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pStyle w:val="921"/>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pStyle w:val="921"/>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jc w:val="center"/>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p>
            <w:pPr>
              <w:ind w:firstLine="0"/>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履约能力</w:t>
            </w:r>
            <w:r/>
          </w:p>
          <w:p>
            <w:pPr>
              <w:jc w:val="center"/>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w:t>
            </w:r>
            <w:r>
              <w:rPr>
                <w:rFonts w:hint="default" w:ascii="Times New Roman" w:hAnsi="Times New Roman" w:cs="Times New Roman" w:eastAsiaTheme="minorEastAsia"/>
                <w:color w:val="000000"/>
                <w:sz w:val="22"/>
                <w:szCs w:val="22"/>
                <w:lang w:val="en-US" w:eastAsia="zh-CN"/>
              </w:rPr>
              <w:t xml:space="preserve">15</w:t>
            </w:r>
            <w:r>
              <w:rPr>
                <w:rFonts w:hint="default" w:ascii="Times New Roman" w:hAnsi="Times New Roman" w:cs="Times New Roman" w:eastAsiaTheme="minorEastAsia"/>
                <w:color w:val="000000"/>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widowControl/>
              <w:rPr>
                <w:rFonts w:hint="default" w:ascii="Times New Roman" w:hAnsi="Times New Roman" w:cs="Times New Roman" w:eastAsiaTheme="minorEastAsia"/>
                <w:b/>
                <w:color w:val="000000"/>
                <w:sz w:val="22"/>
                <w:szCs w:val="22"/>
              </w:rPr>
            </w:pPr>
            <w:r>
              <w:rPr>
                <w:rFonts w:hint="default" w:ascii="Times New Roman" w:hAnsi="Times New Roman" w:cs="Times New Roman" w:eastAsiaTheme="minorEastAsia"/>
                <w:b/>
                <w:color w:val="000000"/>
                <w:sz w:val="22"/>
                <w:szCs w:val="22"/>
              </w:rPr>
              <w:t xml:space="preserve">4.1企业资质（</w:t>
            </w:r>
            <w:r>
              <w:rPr>
                <w:rFonts w:hint="eastAsia" w:cs="Times New Roman" w:eastAsiaTheme="minorEastAsia"/>
                <w:b/>
                <w:color w:val="000000"/>
                <w:sz w:val="22"/>
                <w:szCs w:val="22"/>
                <w:lang w:val="en-US" w:eastAsia="zh-CN"/>
              </w:rPr>
              <w:t xml:space="preserve">3</w:t>
            </w:r>
            <w:r>
              <w:rPr>
                <w:rFonts w:hint="default" w:ascii="Times New Roman" w:hAnsi="Times New Roman" w:cs="Times New Roman" w:eastAsiaTheme="minorEastAsia"/>
                <w:b/>
                <w:color w:val="000000"/>
                <w:sz w:val="22"/>
                <w:szCs w:val="22"/>
              </w:rPr>
              <w:t xml:space="preserve">分）</w:t>
            </w:r>
            <w:r/>
          </w:p>
          <w:p>
            <w:pPr>
              <w:jc w:val="left"/>
              <w:widowControl/>
              <w:rPr>
                <w:rFonts w:hint="default" w:ascii="Times New Roman" w:hAnsi="Times New Roman" w:cs="Times New Roman" w:eastAsiaTheme="minorEastAsia"/>
                <w:color w:val="000000"/>
                <w:sz w:val="22"/>
                <w:szCs w:val="22"/>
                <w:highlight w:val="none"/>
              </w:rPr>
            </w:pPr>
            <w:r>
              <w:rPr>
                <w:rFonts w:hint="default" w:ascii="Times New Roman" w:hAnsi="Times New Roman" w:cs="Times New Roman" w:eastAsiaTheme="minorEastAsia"/>
                <w:color w:val="000000"/>
                <w:sz w:val="22"/>
                <w:szCs w:val="22"/>
                <w:highlight w:val="none"/>
              </w:rPr>
              <w:t xml:space="preserve">投标人具有由国家认证认可的监督管理部门批准设立的认证机构颁发并在有效期内的：</w:t>
            </w:r>
            <w:r/>
          </w:p>
          <w:p>
            <w:pPr>
              <w:jc w:val="left"/>
              <w:widowControl/>
              <w:rPr>
                <w:rFonts w:hint="default" w:ascii="Times New Roman" w:hAnsi="Times New Roman" w:cs="Times New Roman" w:eastAsiaTheme="minorEastAsia"/>
                <w:color w:val="000000"/>
                <w:sz w:val="22"/>
                <w:szCs w:val="22"/>
                <w:highlight w:val="none"/>
              </w:rPr>
            </w:pPr>
            <w:r>
              <w:rPr>
                <w:rFonts w:hint="default" w:ascii="Times New Roman" w:hAnsi="Times New Roman" w:cs="Times New Roman" w:eastAsiaTheme="minorEastAsia"/>
                <w:color w:val="000000"/>
                <w:sz w:val="22"/>
                <w:szCs w:val="22"/>
                <w:highlight w:val="none"/>
              </w:rPr>
              <w:t xml:space="preserve">1、具有ISO9001管理体系认证证书（质量管理体系），得1分；</w:t>
            </w:r>
            <w:r/>
          </w:p>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highlight w:val="none"/>
              </w:rPr>
              <w:t xml:space="preserve">2、具有ISO27001管理体系认证证书（信息安全管理体系），得1分；</w:t>
            </w:r>
            <w:r/>
          </w:p>
          <w:p>
            <w:pPr>
              <w:jc w:val="left"/>
              <w:widowControl/>
              <w:rPr>
                <w:rFonts w:hint="default" w:ascii="Times New Roman" w:hAnsi="Times New Roman" w:cs="Times New Roman" w:eastAsiaTheme="minorEastAsia"/>
                <w:color w:val="000000"/>
                <w:sz w:val="22"/>
                <w:szCs w:val="22"/>
                <w:highlight w:val="none"/>
              </w:rPr>
            </w:pPr>
            <w:r>
              <w:rPr>
                <w:rFonts w:hint="default" w:ascii="Times New Roman" w:hAnsi="Times New Roman" w:cs="Times New Roman" w:eastAsiaTheme="minorEastAsia"/>
                <w:color w:val="000000"/>
                <w:sz w:val="22"/>
                <w:szCs w:val="22"/>
                <w:lang w:val="en-US" w:eastAsia="zh-CN"/>
              </w:rPr>
              <w:t xml:space="preserve">3、</w:t>
            </w:r>
            <w:r>
              <w:rPr>
                <w:rFonts w:hint="default" w:ascii="Times New Roman" w:hAnsi="Times New Roman" w:cs="Times New Roman" w:eastAsiaTheme="minorEastAsia"/>
                <w:color w:val="000000"/>
                <w:sz w:val="22"/>
                <w:szCs w:val="22"/>
              </w:rPr>
              <w:t xml:space="preserve">具有</w:t>
            </w:r>
            <w:r>
              <w:rPr>
                <w:rFonts w:hint="default" w:ascii="Times New Roman" w:hAnsi="Times New Roman" w:cs="Times New Roman" w:eastAsiaTheme="minorEastAsia"/>
                <w:sz w:val="20"/>
                <w:szCs w:val="21"/>
                <w:highlight w:val="none"/>
              </w:rPr>
              <w:t xml:space="preserve">ISO20000管理体系认证证书（信息技术服务管理体系）</w:t>
            </w:r>
            <w:r>
              <w:rPr>
                <w:rFonts w:hint="default" w:ascii="Times New Roman" w:hAnsi="Times New Roman" w:cs="Times New Roman" w:eastAsiaTheme="minorEastAsia"/>
                <w:color w:val="000000"/>
                <w:sz w:val="22"/>
                <w:szCs w:val="22"/>
              </w:rPr>
              <w:t xml:space="preserve">，得1分；</w:t>
            </w:r>
            <w:r/>
          </w:p>
          <w:p>
            <w:pPr>
              <w:ind w:left="0"/>
              <w:rPr>
                <w:rFonts w:hint="default" w:ascii="Times New Roman" w:hAnsi="Times New Roman" w:cs="Times New Roman" w:eastAsiaTheme="minorEastAsia"/>
                <w:color w:val="000000"/>
                <w:sz w:val="22"/>
                <w:szCs w:val="22"/>
                <w:highlight w:val="none"/>
                <w:lang w:eastAsia="zh-CN"/>
              </w:rPr>
            </w:pPr>
            <w:r>
              <w:rPr>
                <w:rFonts w:hint="default" w:ascii="Times New Roman" w:hAnsi="Times New Roman" w:cs="Times New Roman" w:eastAsiaTheme="minorEastAsia"/>
                <w:color w:val="000000"/>
                <w:sz w:val="22"/>
                <w:szCs w:val="22"/>
                <w:highlight w:val="none"/>
                <w:lang w:eastAsia="zh-CN"/>
              </w:rPr>
              <w:t xml:space="preserve">本项最多得</w:t>
            </w:r>
            <w:r>
              <w:rPr>
                <w:rFonts w:hint="default" w:ascii="Times New Roman" w:hAnsi="Times New Roman" w:cs="Times New Roman" w:eastAsiaTheme="minorEastAsia"/>
                <w:color w:val="000000"/>
                <w:sz w:val="22"/>
                <w:szCs w:val="22"/>
                <w:lang w:val="en-US" w:eastAsia="zh-CN"/>
              </w:rPr>
              <w:t xml:space="preserve">3</w:t>
            </w:r>
            <w:r>
              <w:rPr>
                <w:rFonts w:hint="default" w:ascii="Times New Roman" w:hAnsi="Times New Roman" w:cs="Times New Roman" w:eastAsiaTheme="minorEastAsia"/>
                <w:color w:val="000000"/>
                <w:sz w:val="22"/>
                <w:szCs w:val="22"/>
                <w:highlight w:val="none"/>
                <w:lang w:eastAsia="zh-CN"/>
              </w:rPr>
              <w:t xml:space="preserve">分。</w:t>
            </w:r>
            <w:r/>
          </w:p>
          <w:p>
            <w:pP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highlight w:val="none"/>
              </w:rPr>
              <w:t xml:space="preserve">（提供证书复印件并加盖投标人公章）。</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5</w:t>
            </w:r>
            <w:r/>
          </w:p>
        </w:tc>
        <w:tc>
          <w:tcPr>
            <w:tcBorders>
              <w:left w:val="single" w:color="000000" w:sz="4" w:space="0"/>
              <w:right w:val="single" w:color="000000" w:sz="4" w:space="0"/>
            </w:tcBorders>
            <w:tcW w:w="2435" w:type="dxa"/>
            <w:vAlign w:val="center"/>
            <w:vMerge w:val="continue"/>
            <w:textDirection w:val="lrTb"/>
            <w:noWrap w:val="false"/>
          </w:tcPr>
          <w:p>
            <w:pPr>
              <w:jc w:val="center"/>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widowControl/>
              <w:rPr>
                <w:rFonts w:hint="default" w:ascii="Times New Roman" w:hAnsi="Times New Roman" w:cs="Times New Roman" w:eastAsiaTheme="minorEastAsia"/>
                <w:b/>
                <w:color w:val="000000"/>
                <w:sz w:val="22"/>
                <w:szCs w:val="22"/>
              </w:rPr>
            </w:pPr>
            <w:r>
              <w:rPr>
                <w:rFonts w:hint="default" w:ascii="Times New Roman" w:hAnsi="Times New Roman" w:cs="Times New Roman" w:eastAsiaTheme="minorEastAsia"/>
                <w:b/>
                <w:color w:val="000000"/>
                <w:sz w:val="22"/>
                <w:szCs w:val="22"/>
              </w:rPr>
              <w:t xml:space="preserve">5.1项目案例（</w:t>
            </w:r>
            <w:r>
              <w:rPr>
                <w:rFonts w:hint="eastAsia" w:cs="Times New Roman" w:eastAsiaTheme="minorEastAsia"/>
                <w:b/>
                <w:color w:val="000000"/>
                <w:sz w:val="22"/>
                <w:szCs w:val="22"/>
                <w:lang w:val="en-US" w:eastAsia="zh-CN"/>
              </w:rPr>
              <w:t xml:space="preserve">2</w:t>
            </w:r>
            <w:r>
              <w:rPr>
                <w:rFonts w:hint="default" w:ascii="Times New Roman" w:hAnsi="Times New Roman" w:cs="Times New Roman" w:eastAsiaTheme="minorEastAsia"/>
                <w:b/>
                <w:color w:val="000000"/>
                <w:sz w:val="22"/>
                <w:szCs w:val="22"/>
              </w:rPr>
              <w:t xml:space="preserve">分）</w:t>
            </w:r>
            <w:r/>
          </w:p>
          <w:p>
            <w:pPr>
              <w:jc w:val="left"/>
              <w:widowControl/>
              <w:rPr>
                <w:rFonts w:hint="default" w:ascii="Times New Roman" w:hAnsi="Times New Roman" w:cs="Times New Roman" w:eastAsiaTheme="minorEastAsia"/>
                <w:b/>
                <w:bCs/>
                <w:color w:val="000000"/>
                <w:sz w:val="22"/>
                <w:szCs w:val="22"/>
              </w:rPr>
            </w:pPr>
            <w:r>
              <w:rPr>
                <w:rFonts w:hint="default" w:ascii="Times New Roman" w:hAnsi="Times New Roman" w:cs="Times New Roman" w:eastAsiaTheme="minorEastAsia"/>
                <w:color w:val="000000"/>
                <w:sz w:val="22"/>
                <w:szCs w:val="22"/>
              </w:rPr>
              <w:t xml:space="preserve">提供投标人2022年1月1日起与本项目类似建设内容的网络安全设备合同案例，每提供1个得</w:t>
            </w:r>
            <w:r>
              <w:rPr>
                <w:rFonts w:hint="default" w:ascii="Times New Roman" w:hAnsi="Times New Roman" w:cs="Times New Roman" w:eastAsiaTheme="minorEastAsia"/>
                <w:color w:val="000000"/>
                <w:sz w:val="22"/>
                <w:szCs w:val="22"/>
                <w:lang w:val="en-US" w:eastAsia="zh-CN"/>
              </w:rPr>
              <w:t xml:space="preserve">1</w:t>
            </w:r>
            <w:r>
              <w:rPr>
                <w:rFonts w:hint="default" w:ascii="Times New Roman" w:hAnsi="Times New Roman" w:cs="Times New Roman" w:eastAsiaTheme="minorEastAsia"/>
                <w:color w:val="000000"/>
                <w:sz w:val="22"/>
                <w:szCs w:val="22"/>
              </w:rPr>
              <w:t xml:space="preserve">分，本项最多得</w:t>
            </w:r>
            <w:r>
              <w:rPr>
                <w:rFonts w:hint="default" w:ascii="Times New Roman" w:hAnsi="Times New Roman" w:cs="Times New Roman" w:eastAsiaTheme="minorEastAsia"/>
                <w:color w:val="000000"/>
                <w:sz w:val="22"/>
                <w:szCs w:val="22"/>
                <w:lang w:val="en-US" w:eastAsia="zh-CN"/>
              </w:rPr>
              <w:t xml:space="preserve">2</w:t>
            </w:r>
            <w:r>
              <w:rPr>
                <w:rFonts w:hint="default" w:ascii="Times New Roman" w:hAnsi="Times New Roman" w:cs="Times New Roman" w:eastAsiaTheme="minorEastAsia"/>
                <w:color w:val="000000"/>
                <w:sz w:val="22"/>
                <w:szCs w:val="22"/>
              </w:rPr>
              <w:t xml:space="preserve">分。（提供合同复印件并加盖投标人公章，合同须能反映主要标的、签订时间等相关信息）</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6</w:t>
            </w:r>
            <w:r/>
          </w:p>
        </w:tc>
        <w:tc>
          <w:tcPr>
            <w:tcBorders>
              <w:left w:val="single" w:color="000000" w:sz="4" w:space="0"/>
              <w:bottom w:val="single" w:color="auto" w:sz="4" w:space="0"/>
              <w:right w:val="single" w:color="000000" w:sz="4" w:space="0"/>
            </w:tcBorders>
            <w:tcW w:w="2435" w:type="dxa"/>
            <w:vAlign w:val="top"/>
            <w:vMerge w:val="continue"/>
            <w:textDirection w:val="lrTb"/>
            <w:noWrap w:val="false"/>
          </w:tcPr>
          <w:p>
            <w:pPr>
              <w:jc w:val="center"/>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b/>
                <w:color w:val="000000"/>
                <w:sz w:val="22"/>
                <w:szCs w:val="22"/>
              </w:rPr>
              <w:t xml:space="preserve">6.1团队成员（</w:t>
            </w:r>
            <w:r>
              <w:rPr>
                <w:rFonts w:hint="default" w:ascii="Times New Roman" w:hAnsi="Times New Roman" w:cs="Times New Roman" w:eastAsiaTheme="minorEastAsia"/>
                <w:b/>
                <w:color w:val="000000"/>
                <w:sz w:val="22"/>
                <w:szCs w:val="22"/>
                <w:lang w:val="en-US" w:eastAsia="zh-CN"/>
              </w:rPr>
              <w:t xml:space="preserve">10</w:t>
            </w:r>
            <w:r>
              <w:rPr>
                <w:rFonts w:hint="default" w:ascii="Times New Roman" w:hAnsi="Times New Roman" w:cs="Times New Roman" w:eastAsiaTheme="minorEastAsia"/>
                <w:b/>
                <w:color w:val="000000"/>
                <w:sz w:val="22"/>
                <w:szCs w:val="22"/>
              </w:rPr>
              <w:t xml:space="preserve">分）</w:t>
            </w:r>
            <w:r/>
          </w:p>
          <w:p>
            <w:pPr>
              <w:jc w:val="left"/>
              <w:widowControl/>
              <w:rPr>
                <w:rFonts w:hint="default" w:ascii="Times New Roman" w:hAnsi="Times New Roman" w:cs="Times New Roman" w:eastAsiaTheme="minorEastAsia"/>
                <w:color w:val="000000"/>
                <w:sz w:val="22"/>
                <w:szCs w:val="22"/>
                <w:highlight w:val="none"/>
              </w:rPr>
            </w:pPr>
            <w:r>
              <w:rPr>
                <w:rFonts w:hint="default" w:ascii="Times New Roman" w:hAnsi="Times New Roman" w:cs="Times New Roman" w:eastAsiaTheme="minorEastAsia"/>
                <w:color w:val="000000"/>
                <w:sz w:val="22"/>
                <w:szCs w:val="22"/>
                <w:lang w:val="en-US" w:eastAsia="zh-CN"/>
              </w:rPr>
              <w:t xml:space="preserve">6.1.1、</w:t>
            </w:r>
            <w:r>
              <w:rPr>
                <w:rFonts w:hint="default" w:ascii="Times New Roman" w:hAnsi="Times New Roman" w:cs="Times New Roman" w:eastAsiaTheme="minorEastAsia"/>
                <w:color w:val="000000"/>
                <w:sz w:val="22"/>
                <w:szCs w:val="22"/>
              </w:rPr>
              <w:t xml:space="preserve">投标人拟派现场的项目经理</w:t>
            </w:r>
            <w:r>
              <w:rPr>
                <w:rFonts w:hint="default" w:ascii="Times New Roman" w:hAnsi="Times New Roman" w:cs="Times New Roman" w:eastAsiaTheme="minorEastAsia"/>
                <w:color w:val="000000"/>
                <w:sz w:val="22"/>
                <w:szCs w:val="22"/>
                <w:lang w:val="en-US" w:eastAsia="zh-CN"/>
              </w:rPr>
              <w:t xml:space="preserve">（限1人）</w:t>
            </w:r>
            <w:r>
              <w:rPr>
                <w:rFonts w:hint="default" w:ascii="Times New Roman" w:hAnsi="Times New Roman" w:cs="Times New Roman" w:eastAsiaTheme="minorEastAsia"/>
                <w:color w:val="000000"/>
                <w:sz w:val="22"/>
                <w:szCs w:val="22"/>
              </w:rPr>
              <w:t xml:space="preserve">具有</w:t>
            </w:r>
            <w:r>
              <w:rPr>
                <w:rFonts w:hint="default" w:ascii="Times New Roman" w:hAnsi="Times New Roman" w:cs="Times New Roman" w:eastAsiaTheme="minorEastAsia"/>
                <w:color w:val="000000"/>
                <w:sz w:val="22"/>
                <w:szCs w:val="22"/>
                <w:highlight w:val="none"/>
              </w:rPr>
              <w:t xml:space="preserve">信息系统项目管理师、系统规划与管理师、ITSS IT服务项目经理、信息安全工程师、注册信息安全专业人员（CISP），每提供一个证书得1分，最高得4分。</w:t>
            </w:r>
            <w:r/>
          </w:p>
          <w:p>
            <w:pPr>
              <w:jc w:val="left"/>
              <w:widowControl/>
              <w:rPr>
                <w:rFonts w:hint="default" w:ascii="Times New Roman" w:hAnsi="Times New Roman" w:cs="Times New Roman" w:eastAsiaTheme="minorEastAsia"/>
                <w:color w:val="000000"/>
                <w:sz w:val="22"/>
                <w:szCs w:val="22"/>
                <w:highlight w:val="none"/>
              </w:rPr>
            </w:pPr>
            <w:r>
              <w:rPr>
                <w:rFonts w:hint="default" w:ascii="Times New Roman" w:hAnsi="Times New Roman" w:cs="Times New Roman" w:eastAsiaTheme="minorEastAsia"/>
                <w:color w:val="000000"/>
                <w:sz w:val="22"/>
                <w:szCs w:val="22"/>
                <w:highlight w:val="none"/>
                <w:lang w:val="en-US" w:eastAsia="zh-CN"/>
              </w:rPr>
              <w:t xml:space="preserve">6.1.2、</w:t>
            </w:r>
            <w:r>
              <w:rPr>
                <w:rFonts w:hint="default" w:ascii="Times New Roman" w:hAnsi="Times New Roman" w:cs="Times New Roman" w:eastAsiaTheme="minorEastAsia"/>
                <w:color w:val="000000"/>
                <w:sz w:val="22"/>
                <w:szCs w:val="22"/>
                <w:highlight w:val="none"/>
              </w:rPr>
              <w:t xml:space="preserve">投标人拟派现场的技术</w:t>
            </w:r>
            <w:r>
              <w:rPr>
                <w:rFonts w:hint="default" w:ascii="Times New Roman" w:hAnsi="Times New Roman" w:cs="Times New Roman" w:eastAsiaTheme="minorEastAsia"/>
                <w:color w:val="000000"/>
                <w:sz w:val="22"/>
                <w:szCs w:val="22"/>
                <w:highlight w:val="none"/>
                <w:lang w:val="en-US" w:eastAsia="zh-CN"/>
              </w:rPr>
              <w:t xml:space="preserve">总监（限1人）</w:t>
            </w:r>
            <w:r>
              <w:rPr>
                <w:rFonts w:hint="default" w:ascii="Times New Roman" w:hAnsi="Times New Roman" w:cs="Times New Roman" w:eastAsiaTheme="minorEastAsia"/>
                <w:color w:val="000000"/>
                <w:sz w:val="22"/>
                <w:szCs w:val="22"/>
                <w:highlight w:val="none"/>
              </w:rPr>
              <w:t xml:space="preserve">具有信息系统项目管理师、高级网络与信息安全工程师、注册信息安全专业人员（CISP）、信息安全保障人员CISAW的，每提供一个证书得1分，最高得</w:t>
            </w:r>
            <w:r>
              <w:rPr>
                <w:rFonts w:hint="default" w:ascii="Times New Roman" w:hAnsi="Times New Roman" w:cs="Times New Roman" w:eastAsiaTheme="minorEastAsia"/>
                <w:color w:val="000000"/>
                <w:sz w:val="22"/>
                <w:szCs w:val="22"/>
                <w:highlight w:val="none"/>
                <w:lang w:val="en-US" w:eastAsia="zh-CN"/>
              </w:rPr>
              <w:t xml:space="preserve">3</w:t>
            </w:r>
            <w:r>
              <w:rPr>
                <w:rFonts w:hint="default" w:ascii="Times New Roman" w:hAnsi="Times New Roman" w:cs="Times New Roman" w:eastAsiaTheme="minorEastAsia"/>
                <w:color w:val="000000"/>
                <w:sz w:val="22"/>
                <w:szCs w:val="22"/>
                <w:highlight w:val="none"/>
              </w:rPr>
              <w:t xml:space="preserve">分。</w:t>
            </w:r>
            <w:r/>
          </w:p>
          <w:p>
            <w:pPr>
              <w:jc w:val="left"/>
              <w:widowControl/>
              <w:rPr>
                <w:rFonts w:hint="default" w:ascii="Times New Roman" w:hAnsi="Times New Roman" w:cs="Times New Roman" w:eastAsiaTheme="minorEastAsia"/>
                <w:b/>
                <w:bCs/>
                <w:color w:val="000000"/>
                <w:sz w:val="22"/>
                <w:szCs w:val="22"/>
              </w:rPr>
            </w:pPr>
            <w:r>
              <w:rPr>
                <w:rFonts w:hint="default" w:ascii="Times New Roman" w:hAnsi="Times New Roman" w:cs="Times New Roman" w:eastAsiaTheme="minorEastAsia"/>
                <w:color w:val="000000"/>
                <w:sz w:val="22"/>
                <w:szCs w:val="22"/>
                <w:highlight w:val="none"/>
                <w:lang w:val="en-US" w:eastAsia="zh-CN"/>
              </w:rPr>
              <w:t xml:space="preserve">6.1.3、</w:t>
            </w:r>
            <w:r>
              <w:rPr>
                <w:rFonts w:hint="default" w:ascii="Times New Roman" w:hAnsi="Times New Roman" w:cs="Times New Roman" w:eastAsiaTheme="minorEastAsia"/>
                <w:color w:val="000000"/>
                <w:sz w:val="22"/>
                <w:szCs w:val="22"/>
                <w:highlight w:val="none"/>
              </w:rPr>
              <w:t xml:space="preserve">投标人拟派现场的技术负责人</w:t>
            </w:r>
            <w:r>
              <w:rPr>
                <w:rFonts w:hint="default" w:ascii="Times New Roman" w:hAnsi="Times New Roman" w:cs="Times New Roman" w:eastAsiaTheme="minorEastAsia"/>
                <w:color w:val="000000"/>
                <w:sz w:val="22"/>
                <w:szCs w:val="22"/>
                <w:highlight w:val="none"/>
                <w:lang w:val="en-US" w:eastAsia="zh-CN"/>
              </w:rPr>
              <w:t xml:space="preserve">（限1人）</w:t>
            </w:r>
            <w:r>
              <w:rPr>
                <w:rFonts w:hint="default" w:ascii="Times New Roman" w:hAnsi="Times New Roman" w:cs="Times New Roman" w:eastAsiaTheme="minorEastAsia"/>
                <w:color w:val="000000"/>
                <w:sz w:val="22"/>
                <w:szCs w:val="22"/>
                <w:highlight w:val="none"/>
              </w:rPr>
              <w:t xml:space="preserve">具有信息系统项目管理师、ITSS IT服务</w:t>
            </w:r>
            <w:r>
              <w:rPr>
                <w:rFonts w:hint="default" w:ascii="Times New Roman" w:hAnsi="Times New Roman" w:cs="Times New Roman" w:eastAsiaTheme="minorEastAsia"/>
                <w:color w:val="000000"/>
                <w:sz w:val="22"/>
                <w:szCs w:val="22"/>
                <w:highlight w:val="none"/>
                <w:lang w:val="en-US" w:eastAsia="zh-CN"/>
              </w:rPr>
              <w:t xml:space="preserve">工程师、</w:t>
            </w:r>
            <w:r>
              <w:rPr>
                <w:rFonts w:hint="default" w:ascii="Times New Roman" w:hAnsi="Times New Roman" w:cs="Times New Roman" w:eastAsiaTheme="minorEastAsia"/>
                <w:color w:val="000000"/>
                <w:sz w:val="22"/>
                <w:szCs w:val="22"/>
                <w:highlight w:val="none"/>
              </w:rPr>
              <w:t xml:space="preserve">注册信息安全专业人员（CISP）、信息安全保障人员CISAW</w:t>
            </w:r>
            <w:r>
              <w:rPr>
                <w:rFonts w:hint="default" w:ascii="Times New Roman" w:hAnsi="Times New Roman" w:cs="Times New Roman" w:eastAsiaTheme="minorEastAsia"/>
                <w:color w:val="000000"/>
                <w:sz w:val="22"/>
                <w:szCs w:val="22"/>
              </w:rPr>
              <w:t xml:space="preserve">的，每提供一个证书得1分，最高得</w:t>
            </w:r>
            <w:r>
              <w:rPr>
                <w:rFonts w:hint="default" w:ascii="Times New Roman" w:hAnsi="Times New Roman" w:cs="Times New Roman" w:eastAsiaTheme="minorEastAsia"/>
                <w:color w:val="000000"/>
                <w:sz w:val="22"/>
                <w:szCs w:val="22"/>
                <w:lang w:val="en-US" w:eastAsia="zh-CN"/>
              </w:rPr>
              <w:t xml:space="preserve">3</w:t>
            </w:r>
            <w:r>
              <w:rPr>
                <w:rFonts w:hint="default" w:ascii="Times New Roman" w:hAnsi="Times New Roman" w:cs="Times New Roman" w:eastAsiaTheme="minorEastAsia"/>
                <w:color w:val="000000"/>
                <w:sz w:val="22"/>
                <w:szCs w:val="22"/>
              </w:rPr>
              <w:t xml:space="preserve">分。（提供有效期内的认证证书复印件及近6个月</w:t>
            </w:r>
            <w:r>
              <w:rPr>
                <w:rFonts w:hint="eastAsia"/>
                <w:lang w:val="en-US" w:eastAsia="zh-CN"/>
              </w:rPr>
              <w:t xml:space="preserve">任意一个月</w:t>
            </w:r>
            <w:r>
              <w:rPr>
                <w:rFonts w:hint="default" w:ascii="Times New Roman" w:hAnsi="Times New Roman" w:cs="Times New Roman" w:eastAsiaTheme="minorEastAsia"/>
                <w:color w:val="000000"/>
                <w:sz w:val="22"/>
                <w:szCs w:val="22"/>
              </w:rPr>
              <w:t xml:space="preserve">社保缴纳证明）</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val="en-US"/>
              </w:rPr>
            </w:pPr>
            <w:r>
              <w:rPr>
                <w:rFonts w:hint="default" w:ascii="Times New Roman" w:hAnsi="Times New Roman" w:cs="Times New Roman" w:eastAsiaTheme="minorEastAsia"/>
                <w:color w:val="000000"/>
                <w:sz w:val="22"/>
                <w:szCs w:val="22"/>
                <w:lang w:val="en-US"/>
              </w:rPr>
            </w:r>
            <w:r/>
          </w:p>
          <w:p>
            <w:pPr>
              <w:jc w:val="center"/>
              <w:widowControl/>
              <w:rPr>
                <w:rFonts w:hint="default" w:ascii="Times New Roman" w:hAnsi="Times New Roman" w:cs="Times New Roman" w:eastAsiaTheme="minorEastAsia"/>
                <w:color w:val="000000"/>
                <w:sz w:val="22"/>
                <w:szCs w:val="22"/>
                <w:lang w:val="en-US"/>
              </w:rPr>
            </w:pPr>
            <w:r>
              <w:rPr>
                <w:rFonts w:hint="default" w:ascii="Times New Roman" w:hAnsi="Times New Roman" w:cs="Times New Roman" w:eastAsiaTheme="minorEastAsia"/>
                <w:color w:val="000000"/>
                <w:sz w:val="22"/>
                <w:szCs w:val="22"/>
                <w:lang w:val="en-US"/>
              </w:rPr>
            </w:r>
            <w:r/>
          </w:p>
          <w:p>
            <w:pPr>
              <w:jc w:val="center"/>
              <w:widowControl/>
              <w:rPr>
                <w:rFonts w:hint="default" w:ascii="Times New Roman" w:hAnsi="Times New Roman" w:cs="Times New Roman" w:eastAsiaTheme="minorEastAsia"/>
                <w:color w:val="000000"/>
                <w:sz w:val="22"/>
                <w:szCs w:val="22"/>
                <w:lang w:val="en-US"/>
              </w:rPr>
            </w:pPr>
            <w:r>
              <w:rPr>
                <w:rFonts w:hint="default" w:ascii="Times New Roman" w:hAnsi="Times New Roman" w:cs="Times New Roman" w:eastAsiaTheme="minorEastAsia"/>
                <w:color w:val="000000"/>
                <w:sz w:val="22"/>
                <w:szCs w:val="22"/>
                <w:lang w:val="en-US"/>
              </w:rPr>
            </w:r>
            <w:r/>
          </w:p>
          <w:p>
            <w:pPr>
              <w:jc w:val="center"/>
              <w:widowControl/>
              <w:rPr>
                <w:rFonts w:hint="default" w:ascii="Times New Roman" w:hAnsi="Times New Roman" w:cs="Times New Roman" w:eastAsiaTheme="minorEastAsia"/>
                <w:color w:val="000000"/>
                <w:sz w:val="22"/>
                <w:szCs w:val="22"/>
                <w:lang w:val="en-US"/>
              </w:rPr>
            </w:pPr>
            <w:r>
              <w:rPr>
                <w:rFonts w:hint="default" w:ascii="Times New Roman" w:hAnsi="Times New Roman" w:cs="Times New Roman" w:eastAsiaTheme="minorEastAsia"/>
                <w:color w:val="000000"/>
                <w:sz w:val="22"/>
                <w:szCs w:val="22"/>
                <w:lang w:val="en-US"/>
              </w:rPr>
            </w:r>
            <w:r/>
          </w:p>
          <w:p>
            <w:pPr>
              <w:jc w:val="center"/>
              <w:widowControl/>
              <w:rPr>
                <w:rFonts w:hint="default" w:ascii="Times New Roman" w:hAnsi="Times New Roman" w:cs="Times New Roman" w:eastAsiaTheme="minorEastAsia"/>
                <w:color w:val="000000"/>
                <w:sz w:val="22"/>
                <w:szCs w:val="22"/>
                <w:lang w:val="en-US" w:eastAsia="zh-CN"/>
              </w:rPr>
            </w:pPr>
            <w:r>
              <w:rPr>
                <w:rFonts w:hint="default" w:ascii="Times New Roman" w:hAnsi="Times New Roman" w:cs="Times New Roman" w:eastAsiaTheme="minorEastAsia"/>
                <w:color w:val="000000"/>
                <w:sz w:val="22"/>
                <w:szCs w:val="22"/>
                <w:lang w:val="en-US" w:eastAsia="zh-CN"/>
              </w:rPr>
              <w:t xml:space="preserve">10</w:t>
            </w:r>
            <w:r/>
          </w:p>
        </w:tc>
      </w:tr>
      <w:tr>
        <w:trPr>
          <w:jc w:val="center"/>
          <w:trHeight w:val="1977"/>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val="en-US" w:eastAsia="zh-CN"/>
              </w:rPr>
            </w:pPr>
            <w:r>
              <w:rPr>
                <w:rFonts w:hint="default" w:ascii="Times New Roman" w:hAnsi="Times New Roman" w:cs="Times New Roman" w:eastAsiaTheme="minorEastAsia"/>
                <w:color w:val="000000"/>
                <w:sz w:val="22"/>
                <w:szCs w:val="22"/>
                <w:lang w:val="en-US" w:eastAsia="zh-CN"/>
              </w:rPr>
              <w:t xml:space="preserve">7</w:t>
            </w:r>
            <w:r/>
          </w:p>
        </w:tc>
        <w:tc>
          <w:tcPr>
            <w:tcBorders>
              <w:top w:val="single" w:color="000000" w:sz="4" w:space="0"/>
              <w:left w:val="single" w:color="000000" w:sz="4" w:space="0"/>
              <w:right w:val="single" w:color="000000" w:sz="4" w:space="0"/>
            </w:tcBorders>
            <w:tcW w:w="2435" w:type="dxa"/>
            <w:vAlign w:val="center"/>
            <w:vMerge w:val="restart"/>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技术方案</w:t>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w:t>
            </w:r>
            <w:r>
              <w:rPr>
                <w:rFonts w:hint="default" w:ascii="Times New Roman" w:hAnsi="Times New Roman" w:cs="Times New Roman" w:eastAsiaTheme="minorEastAsia"/>
                <w:color w:val="000000"/>
                <w:sz w:val="22"/>
                <w:szCs w:val="22"/>
                <w:lang w:val="en-US" w:eastAsia="zh-CN"/>
              </w:rPr>
              <w:t xml:space="preserve">15</w:t>
            </w:r>
            <w:r>
              <w:rPr>
                <w:rFonts w:hint="default" w:ascii="Times New Roman" w:hAnsi="Times New Roman" w:cs="Times New Roman" w:eastAsiaTheme="minorEastAsia"/>
                <w:color w:val="000000"/>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b/>
                <w:bCs/>
                <w:color w:val="000000"/>
                <w:sz w:val="22"/>
                <w:szCs w:val="22"/>
                <w:highlight w:val="none"/>
              </w:rPr>
              <w:t xml:space="preserve">7.1总体技术方案</w:t>
            </w:r>
            <w:r>
              <w:rPr>
                <w:rFonts w:hint="default" w:ascii="Times New Roman" w:hAnsi="Times New Roman" w:cs="Times New Roman" w:eastAsiaTheme="minorEastAsia"/>
                <w:b/>
                <w:bCs/>
                <w:color w:val="000000"/>
                <w:sz w:val="22"/>
                <w:szCs w:val="22"/>
              </w:rPr>
              <w:t xml:space="preserve">(</w:t>
            </w:r>
            <w:r>
              <w:rPr>
                <w:rFonts w:hint="default" w:ascii="Times New Roman" w:hAnsi="Times New Roman" w:cs="Times New Roman" w:eastAsiaTheme="minorEastAsia"/>
                <w:b/>
                <w:bCs/>
                <w:color w:val="000000"/>
                <w:sz w:val="22"/>
                <w:szCs w:val="22"/>
                <w:lang w:val="en-US" w:eastAsia="zh-CN"/>
              </w:rPr>
              <w:t xml:space="preserve">3</w:t>
            </w:r>
            <w:r>
              <w:rPr>
                <w:rFonts w:hint="default" w:ascii="Times New Roman" w:hAnsi="Times New Roman" w:cs="Times New Roman" w:eastAsiaTheme="minorEastAsia"/>
                <w:b/>
                <w:bCs/>
                <w:color w:val="000000"/>
                <w:sz w:val="22"/>
                <w:szCs w:val="22"/>
              </w:rPr>
              <w:t xml:space="preserve">分)</w:t>
            </w:r>
            <w:r>
              <w:rPr>
                <w:rFonts w:hint="default" w:ascii="Times New Roman" w:hAnsi="Times New Roman" w:cs="Times New Roman" w:eastAsiaTheme="minorEastAsia"/>
                <w:color w:val="000000"/>
                <w:sz w:val="18"/>
                <w:szCs w:val="21"/>
                <w:highlight w:val="none"/>
              </w:rPr>
              <w:br w:type="textWrapping" w:clear="all"/>
            </w:r>
            <w:r>
              <w:rPr>
                <w:rFonts w:hint="default" w:ascii="Times New Roman" w:hAnsi="Times New Roman" w:cs="Times New Roman" w:eastAsiaTheme="minorEastAsia"/>
                <w:color w:val="000000"/>
                <w:sz w:val="22"/>
                <w:szCs w:val="22"/>
                <w:highlight w:val="none"/>
              </w:rPr>
              <w:t xml:space="preserve">投标人应根据招标文件要求提供总体技术方案，方案应科学、合理、切实可行、针对性强、图文并茂，符合本项目建设目标。方案优于招标文件要求的得3分，符合招标文件要求的得1.5分，不符合招标文件要求或未提供的不得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val="en-US" w:eastAsia="zh-CN"/>
              </w:rPr>
            </w:pPr>
            <w:r>
              <w:rPr>
                <w:rFonts w:hint="default" w:ascii="Times New Roman" w:hAnsi="Times New Roman" w:cs="Times New Roman" w:eastAsiaTheme="minorEastAsia"/>
                <w:color w:val="000000"/>
                <w:sz w:val="22"/>
                <w:szCs w:val="22"/>
                <w:lang w:val="en-US" w:eastAsia="zh-CN"/>
              </w:rPr>
              <w:t xml:space="preserve">3</w:t>
            </w:r>
            <w:r/>
          </w:p>
        </w:tc>
      </w:tr>
      <w:tr>
        <w:trPr>
          <w:jc w:val="center"/>
          <w:trHeight w:val="1977"/>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8</w:t>
            </w:r>
            <w:r/>
          </w:p>
        </w:tc>
        <w:tc>
          <w:tcPr>
            <w:tcBorders>
              <w:left w:val="single" w:color="000000" w:sz="4" w:space="0"/>
              <w:right w:val="single" w:color="000000" w:sz="4" w:space="0"/>
            </w:tcBorders>
            <w:tcW w:w="2435" w:type="dxa"/>
            <w:vAlign w:val="center"/>
            <w:vMerge w:val="continue"/>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b/>
                <w:bCs/>
                <w:color w:val="000000"/>
                <w:sz w:val="22"/>
                <w:szCs w:val="22"/>
              </w:rPr>
              <w:t xml:space="preserve">8.1项目实施方案(</w:t>
            </w:r>
            <w:r>
              <w:rPr>
                <w:rFonts w:hint="default" w:ascii="Times New Roman" w:hAnsi="Times New Roman" w:cs="Times New Roman" w:eastAsiaTheme="minorEastAsia"/>
                <w:b/>
                <w:bCs/>
                <w:color w:val="000000"/>
                <w:sz w:val="22"/>
                <w:szCs w:val="22"/>
                <w:lang w:val="en-US" w:eastAsia="zh-CN"/>
              </w:rPr>
              <w:t xml:space="preserve">3</w:t>
            </w:r>
            <w:r>
              <w:rPr>
                <w:rFonts w:hint="default" w:ascii="Times New Roman" w:hAnsi="Times New Roman" w:cs="Times New Roman" w:eastAsiaTheme="minorEastAsia"/>
                <w:b/>
                <w:bCs/>
                <w:color w:val="000000"/>
                <w:sz w:val="22"/>
                <w:szCs w:val="22"/>
              </w:rPr>
              <w:t xml:space="preserve">分)</w:t>
            </w:r>
            <w:r/>
          </w:p>
          <w:p>
            <w:pPr>
              <w:jc w:val="left"/>
              <w:widowControl/>
              <w:rPr>
                <w:rFonts w:hint="default" w:ascii="Times New Roman" w:hAnsi="Times New Roman" w:cs="Times New Roman" w:eastAsiaTheme="minorEastAsia"/>
                <w:b/>
                <w:bCs/>
                <w:color w:val="000000"/>
                <w:sz w:val="22"/>
                <w:szCs w:val="22"/>
              </w:rPr>
            </w:pPr>
            <w:r>
              <w:rPr>
                <w:rFonts w:hint="default" w:ascii="Times New Roman" w:hAnsi="Times New Roman" w:cs="Times New Roman" w:eastAsiaTheme="minorEastAsia"/>
                <w:color w:val="000000"/>
                <w:sz w:val="22"/>
                <w:szCs w:val="22"/>
              </w:rPr>
              <w:t xml:space="preserve">投标人应根据项目需求提供具体详实的项目实施方案，包括项目调研计划、实施方案制定、人员部署情况、施工进度安排、质量控制、安全生产等方面。优于项目需求的得</w:t>
            </w:r>
            <w:r>
              <w:rPr>
                <w:rFonts w:hint="default" w:ascii="Times New Roman" w:hAnsi="Times New Roman" w:cs="Times New Roman" w:eastAsiaTheme="minorEastAsia"/>
                <w:color w:val="000000"/>
                <w:sz w:val="22"/>
                <w:szCs w:val="22"/>
                <w:lang w:val="en-US" w:eastAsia="zh-CN"/>
              </w:rPr>
              <w:t xml:space="preserve">3</w:t>
            </w:r>
            <w:r>
              <w:rPr>
                <w:rFonts w:hint="default" w:ascii="Times New Roman" w:hAnsi="Times New Roman" w:cs="Times New Roman" w:eastAsiaTheme="minorEastAsia"/>
                <w:color w:val="000000"/>
                <w:sz w:val="22"/>
                <w:szCs w:val="22"/>
              </w:rPr>
              <w:t xml:space="preserve">分；</w:t>
            </w:r>
            <w:r>
              <w:rPr>
                <w:rFonts w:hint="default" w:ascii="Times New Roman" w:hAnsi="Times New Roman" w:cs="Times New Roman" w:eastAsiaTheme="minorEastAsia"/>
                <w:color w:val="000000"/>
                <w:sz w:val="22"/>
                <w:szCs w:val="22"/>
                <w:highlight w:val="none"/>
              </w:rPr>
              <w:t xml:space="preserve">符合招标文件要求的</w:t>
            </w:r>
            <w:r>
              <w:rPr>
                <w:rFonts w:hint="default" w:ascii="Times New Roman" w:hAnsi="Times New Roman" w:cs="Times New Roman" w:eastAsiaTheme="minorEastAsia"/>
                <w:color w:val="000000"/>
                <w:sz w:val="22"/>
                <w:szCs w:val="22"/>
              </w:rPr>
              <w:t xml:space="preserve">得</w:t>
            </w:r>
            <w:r>
              <w:rPr>
                <w:rFonts w:hint="default" w:ascii="Times New Roman" w:hAnsi="Times New Roman" w:cs="Times New Roman" w:eastAsiaTheme="minorEastAsia"/>
                <w:color w:val="000000"/>
                <w:sz w:val="22"/>
                <w:szCs w:val="22"/>
                <w:lang w:val="en-US" w:eastAsia="zh-CN"/>
              </w:rPr>
              <w:t xml:space="preserve">1.5</w:t>
            </w:r>
            <w:r>
              <w:rPr>
                <w:rFonts w:hint="default" w:ascii="Times New Roman" w:hAnsi="Times New Roman" w:cs="Times New Roman" w:eastAsiaTheme="minorEastAsia"/>
                <w:color w:val="000000"/>
                <w:sz w:val="22"/>
                <w:szCs w:val="22"/>
              </w:rPr>
              <w:t xml:space="preserve">分；不符合项目需求或未提供的得0分。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9</w:t>
            </w:r>
            <w:r/>
          </w:p>
        </w:tc>
        <w:tc>
          <w:tcPr>
            <w:tcBorders>
              <w:left w:val="single" w:color="000000" w:sz="4" w:space="0"/>
              <w:right w:val="single" w:color="000000" w:sz="4" w:space="0"/>
            </w:tcBorders>
            <w:tcW w:w="2435" w:type="dxa"/>
            <w:vAlign w:val="center"/>
            <w:vMerge w:val="continue"/>
            <w:textDirection w:val="lrTb"/>
            <w:noWrap w:val="false"/>
          </w:tcPr>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jc w:val="left"/>
              <w:widowControl/>
            </w:pPr>
            <w:r>
              <w:rPr>
                <w:rFonts w:hint="default" w:ascii="Times New Roman" w:hAnsi="Times New Roman" w:cs="Times New Roman" w:eastAsiaTheme="minorEastAsia"/>
                <w:b/>
                <w:bCs/>
                <w:color w:val="000000"/>
                <w:sz w:val="22"/>
                <w:szCs w:val="22"/>
              </w:rPr>
              <w:t xml:space="preserve">9.1</w:t>
            </w:r>
            <w:r>
              <w:rPr>
                <w:rFonts w:hint="default" w:ascii="Times New Roman" w:hAnsi="Times New Roman" w:cs="Times New Roman" w:eastAsiaTheme="minorEastAsia"/>
                <w:b/>
                <w:bCs/>
                <w:color w:val="000000"/>
                <w:sz w:val="22"/>
                <w:szCs w:val="22"/>
              </w:rPr>
              <w:t xml:space="preserve">供货方案（3分）</w:t>
            </w:r>
            <w:r>
              <w:rPr>
                <w:rFonts w:hint="default" w:ascii="Times New Roman" w:hAnsi="Times New Roman" w:cs="Times New Roman" w:eastAsiaTheme="minorEastAsia"/>
                <w:b/>
                <w:bCs/>
                <w:color w:val="000000"/>
                <w:sz w:val="22"/>
                <w:szCs w:val="22"/>
              </w:rPr>
            </w:r>
            <w:r/>
          </w:p>
          <w:p>
            <w:pPr>
              <w:jc w:val="left"/>
              <w:widowControl/>
              <w:rPr>
                <w:rFonts w:hint="default" w:ascii="Times New Roman" w:hAnsi="Times New Roman" w:cs="Times New Roman" w:eastAsiaTheme="minorEastAsia"/>
                <w:b w:val="0"/>
                <w:bCs w:val="0"/>
                <w:color w:val="000000"/>
                <w:sz w:val="22"/>
                <w:szCs w:val="22"/>
              </w:rPr>
            </w:pPr>
            <w:r>
              <w:rPr>
                <w:rFonts w:hint="default" w:ascii="Arial Narrow" w:hAnsi="Arial Narrow" w:eastAsia="Arial Narrow" w:cs="Arial Narrow" w:eastAsiaTheme="minorEastAsia"/>
                <w:b w:val="0"/>
                <w:bCs w:val="0"/>
                <w:color w:val="000000"/>
                <w:sz w:val="22"/>
                <w:szCs w:val="22"/>
              </w:rPr>
              <w:t xml:space="preserve">投标人应根据项目需求提供具体详实的验收方案，项目验收方案内容包括验收方法、验收程序、验收内容和标准等，方案优于项目需求的得3分；符合招标文件要求的得1分；不符合项目需求或未提供的得0分。</w:t>
            </w:r>
            <w:r>
              <w:rPr>
                <w:b w:val="0"/>
                <w:bCs w:val="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3</w:t>
            </w:r>
            <w:r/>
          </w:p>
        </w:tc>
      </w:tr>
      <w:tr>
        <w:trPr>
          <w:jc w:val="center"/>
          <w:trHeight w:val="1395"/>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val="en-US" w:eastAsia="zh-CN"/>
              </w:rPr>
            </w:pPr>
            <w:r>
              <w:rPr>
                <w:rFonts w:hint="default" w:ascii="Times New Roman" w:hAnsi="Times New Roman" w:cs="Times New Roman" w:eastAsiaTheme="minorEastAsia"/>
                <w:color w:val="000000"/>
                <w:sz w:val="22"/>
                <w:szCs w:val="22"/>
                <w:lang w:val="en-US" w:eastAsia="zh-CN"/>
              </w:rPr>
              <w:t xml:space="preserve">10</w:t>
            </w:r>
            <w:r/>
          </w:p>
        </w:tc>
        <w:tc>
          <w:tcPr>
            <w:tcBorders>
              <w:left w:val="single" w:color="000000" w:sz="4" w:space="0"/>
              <w:right w:val="single" w:color="000000" w:sz="4" w:space="0"/>
            </w:tcBorders>
            <w:tcW w:w="2435" w:type="dxa"/>
            <w:vAlign w:val="center"/>
            <w:vMerge w:val="continue"/>
            <w:textDirection w:val="lrTb"/>
            <w:noWrap w:val="false"/>
          </w:tcPr>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b/>
                <w:bCs/>
                <w:color w:val="000000"/>
                <w:sz w:val="22"/>
                <w:szCs w:val="22"/>
              </w:rPr>
              <w:t xml:space="preserve">10.1维护方案（3</w:t>
            </w:r>
            <w:r>
              <w:rPr>
                <w:rFonts w:hint="default" w:ascii="Times New Roman" w:hAnsi="Times New Roman" w:cs="Times New Roman" w:eastAsiaTheme="minorEastAsia"/>
                <w:b/>
                <w:bCs/>
                <w:color w:val="000000"/>
                <w:sz w:val="22"/>
                <w:szCs w:val="22"/>
              </w:rPr>
              <w:t xml:space="preserve">分）</w:t>
            </w:r>
            <w:r/>
          </w:p>
          <w:p>
            <w:pPr>
              <w:jc w:val="left"/>
              <w:widowControl/>
              <w:rPr>
                <w:rFonts w:hint="default" w:ascii="Times New Roman" w:hAnsi="Times New Roman" w:cs="Times New Roman" w:eastAsiaTheme="minorEastAsia"/>
                <w:b/>
                <w:bCs/>
                <w:color w:val="000000"/>
                <w:sz w:val="22"/>
                <w:szCs w:val="22"/>
              </w:rPr>
            </w:pPr>
            <w:r>
              <w:rPr>
                <w:rFonts w:hint="default" w:ascii="Times New Roman" w:hAnsi="Times New Roman" w:cs="Times New Roman" w:eastAsiaTheme="minorEastAsia"/>
                <w:color w:val="000000"/>
                <w:sz w:val="22"/>
                <w:szCs w:val="22"/>
              </w:rPr>
              <w:t xml:space="preserve">投标人应根据项目需求提供具体详实的售后方案，方案优于项目需求的得3</w:t>
            </w:r>
            <w:r>
              <w:rPr>
                <w:rFonts w:hint="default" w:ascii="Times New Roman" w:hAnsi="Times New Roman" w:cs="Times New Roman" w:eastAsiaTheme="minorEastAsia"/>
                <w:color w:val="000000"/>
                <w:sz w:val="22"/>
                <w:szCs w:val="22"/>
              </w:rPr>
              <w:t xml:space="preserve">分；</w:t>
            </w:r>
            <w:r>
              <w:rPr>
                <w:rFonts w:hint="default" w:ascii="Times New Roman" w:hAnsi="Times New Roman" w:cs="Times New Roman" w:eastAsiaTheme="minorEastAsia"/>
                <w:color w:val="000000"/>
                <w:sz w:val="22"/>
                <w:szCs w:val="22"/>
                <w:highlight w:val="none"/>
              </w:rPr>
              <w:t xml:space="preserve">符合招标文件要求的</w:t>
            </w:r>
            <w:r>
              <w:rPr>
                <w:rFonts w:hint="default" w:ascii="Times New Roman" w:hAnsi="Times New Roman" w:cs="Times New Roman" w:eastAsiaTheme="minorEastAsia"/>
                <w:color w:val="000000"/>
                <w:sz w:val="22"/>
                <w:szCs w:val="22"/>
              </w:rPr>
              <w:t xml:space="preserve">得1.5分；不符合项目需求或未提供的得0分。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3</w:t>
            </w:r>
            <w:r/>
          </w:p>
        </w:tc>
      </w:tr>
      <w:tr>
        <w:trPr>
          <w:jc w:val="center"/>
          <w:trHeight w:val="1505"/>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rPr>
              <w:t xml:space="preserve">1</w:t>
            </w:r>
            <w:r>
              <w:rPr>
                <w:rFonts w:hint="default" w:ascii="Times New Roman" w:hAnsi="Times New Roman" w:cs="Times New Roman" w:eastAsiaTheme="minorEastAsia"/>
                <w:color w:val="000000"/>
                <w:sz w:val="22"/>
                <w:szCs w:val="22"/>
                <w:lang w:val="en-US" w:eastAsia="zh-CN"/>
              </w:rPr>
              <w:t xml:space="preserve">1</w:t>
            </w:r>
            <w:r/>
          </w:p>
        </w:tc>
        <w:tc>
          <w:tcPr>
            <w:tcBorders>
              <w:left w:val="single" w:color="000000" w:sz="4" w:space="0"/>
              <w:bottom w:val="single" w:color="000000" w:sz="4" w:space="0"/>
              <w:right w:val="single" w:color="000000" w:sz="4" w:space="0"/>
            </w:tcBorders>
            <w:tcW w:w="2435" w:type="dxa"/>
            <w:vAlign w:val="center"/>
            <w:vMerge w:val="continue"/>
            <w:textDirection w:val="lrTb"/>
            <w:noWrap w:val="false"/>
          </w:tcPr>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b/>
                <w:bCs/>
                <w:color w:val="000000"/>
                <w:sz w:val="22"/>
                <w:szCs w:val="22"/>
              </w:rPr>
              <w:t xml:space="preserve">11.1培训方案（3</w:t>
            </w:r>
            <w:r>
              <w:rPr>
                <w:rFonts w:hint="default" w:ascii="Times New Roman" w:hAnsi="Times New Roman" w:cs="Times New Roman" w:eastAsiaTheme="minorEastAsia"/>
                <w:b/>
                <w:bCs/>
                <w:color w:val="000000"/>
                <w:sz w:val="22"/>
                <w:szCs w:val="22"/>
              </w:rPr>
              <w:t xml:space="preserve">分）</w:t>
            </w:r>
            <w:r/>
          </w:p>
          <w:p>
            <w:pPr>
              <w:jc w:val="left"/>
              <w:widowControl/>
              <w:rPr>
                <w:rFonts w:hint="default" w:ascii="Times New Roman" w:hAnsi="Times New Roman" w:cs="Times New Roman" w:eastAsiaTheme="minorEastAsia"/>
                <w:b/>
                <w:bCs/>
                <w:color w:val="000000"/>
                <w:sz w:val="22"/>
                <w:szCs w:val="22"/>
              </w:rPr>
            </w:pPr>
            <w:r>
              <w:rPr>
                <w:rFonts w:hint="default" w:ascii="Times New Roman" w:hAnsi="Times New Roman" w:cs="Times New Roman" w:eastAsiaTheme="minorEastAsia"/>
                <w:color w:val="000000"/>
                <w:sz w:val="22"/>
                <w:szCs w:val="22"/>
              </w:rPr>
              <w:t xml:space="preserve">投标人应根据项目需求提供具体详实的培训方案，方案优于项目需求的得3</w:t>
            </w:r>
            <w:r>
              <w:rPr>
                <w:rFonts w:hint="default" w:ascii="Times New Roman" w:hAnsi="Times New Roman" w:cs="Times New Roman" w:eastAsiaTheme="minorEastAsia"/>
                <w:color w:val="000000"/>
                <w:sz w:val="22"/>
                <w:szCs w:val="22"/>
              </w:rPr>
              <w:t xml:space="preserve">分；</w:t>
            </w:r>
            <w:r>
              <w:rPr>
                <w:rFonts w:hint="default" w:ascii="Times New Roman" w:hAnsi="Times New Roman" w:cs="Times New Roman" w:eastAsiaTheme="minorEastAsia"/>
                <w:color w:val="000000"/>
                <w:sz w:val="22"/>
                <w:szCs w:val="22"/>
                <w:highlight w:val="none"/>
              </w:rPr>
              <w:t xml:space="preserve">符合招标文件要求的</w:t>
            </w:r>
            <w:r>
              <w:rPr>
                <w:rFonts w:hint="default" w:ascii="Times New Roman" w:hAnsi="Times New Roman" w:cs="Times New Roman" w:eastAsiaTheme="minorEastAsia"/>
                <w:color w:val="000000"/>
                <w:sz w:val="22"/>
                <w:szCs w:val="22"/>
              </w:rPr>
              <w:t xml:space="preserve">得1.5</w:t>
            </w:r>
            <w:r>
              <w:rPr>
                <w:rFonts w:hint="default" w:ascii="Times New Roman" w:hAnsi="Times New Roman" w:cs="Times New Roman" w:eastAsiaTheme="minorEastAsia"/>
                <w:color w:val="000000"/>
                <w:sz w:val="22"/>
                <w:szCs w:val="22"/>
              </w:rPr>
              <w:t xml:space="preserve">分；不符合项目需求或未提供的得0分。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3</w:t>
            </w:r>
            <w:r/>
          </w:p>
        </w:tc>
      </w:tr>
      <w:tr>
        <w:trPr>
          <w:jc w:val="center"/>
          <w:trHeight w:val="277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widowControl/>
              <w:rPr>
                <w:rFonts w:hint="default" w:ascii="Times New Roman" w:hAnsi="Times New Roman" w:cs="Times New Roman" w:eastAsiaTheme="minorEastAsia"/>
                <w:color w:val="000000"/>
                <w:sz w:val="22"/>
                <w:szCs w:val="22"/>
                <w:lang w:eastAsia="zh-CN"/>
              </w:rPr>
            </w:pPr>
            <w:r>
              <w:rPr>
                <w:rFonts w:hint="default" w:ascii="Times New Roman" w:hAnsi="Times New Roman" w:cs="Times New Roman" w:eastAsiaTheme="minorEastAsia"/>
                <w:color w:val="000000"/>
                <w:sz w:val="22"/>
                <w:szCs w:val="22"/>
                <w:lang w:val="en-US" w:eastAsia="zh-CN"/>
              </w:rPr>
              <w:t xml:space="preserve">12</w:t>
            </w:r>
            <w:r/>
          </w:p>
        </w:tc>
        <w:tc>
          <w:tcPr>
            <w:tcBorders>
              <w:top w:val="non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节能环保</w:t>
            </w:r>
            <w:r/>
          </w:p>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（1分）</w:t>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12.1.投标核心产品属于财政部、国家发改委公布的“节能产品政府采购品目清单”范围内的，投标人提供国家确定的认证机构出具的、处于有效期之内的该节能产品认证证书复印件的，得0.5分。</w:t>
            </w:r>
            <w:r/>
          </w:p>
          <w:p>
            <w:pPr>
              <w:jc w:val="left"/>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12.2.投标核心产品属于财政部、生态环境部公布的“环境标志产品政府采购品目清单”范围内的，投标人提供国家确定的认证机构出具的、处于有效期内的该环保产品认证证书复印件的，得0.5分。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Times New Roman" w:hAnsi="Times New Roman" w:cs="Times New Roman" w:eastAsiaTheme="minorEastAsia"/>
                <w:color w:val="000000"/>
                <w:sz w:val="22"/>
                <w:szCs w:val="22"/>
              </w:rPr>
            </w:pPr>
            <w:r>
              <w:rPr>
                <w:rFonts w:hint="default" w:ascii="Times New Roman" w:hAnsi="Times New Roman" w:cs="Times New Roman" w:eastAsiaTheme="minorEastAsia"/>
                <w:color w:val="000000"/>
                <w:sz w:val="22"/>
                <w:szCs w:val="22"/>
              </w:rPr>
              <w:t xml:space="preserve">1</w:t>
            </w:r>
            <w:r/>
          </w:p>
        </w:tc>
      </w:tr>
    </w:tbl>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color w:val="000000"/>
          <w:sz w:val="44"/>
          <w:szCs w:val="44"/>
        </w:rPr>
        <w:outlineLvl w:val="0"/>
      </w:pPr>
      <w:r>
        <w:rPr>
          <w:rFonts w:ascii="黑体" w:eastAsia="黑体"/>
          <w:bCs/>
          <w:color w:val="000000"/>
          <w:sz w:val="44"/>
          <w:szCs w:val="28"/>
        </w:rPr>
      </w:r>
      <w:r>
        <w:rPr>
          <w:rFonts w:ascii="黑体" w:eastAsia="黑体"/>
          <w:bCs/>
          <w:color w:val="000000"/>
          <w:sz w:val="44"/>
          <w:szCs w:val="28"/>
        </w:rPr>
      </w:r>
      <w:r/>
    </w:p>
    <w:p>
      <w:pPr>
        <w:jc w:val="both"/>
        <w:keepNext/>
        <w:rPr>
          <w:rFonts w:ascii="黑体" w:eastAsia="黑体"/>
          <w:color w:val="000000"/>
          <w:sz w:val="44"/>
          <w:szCs w:val="44"/>
        </w:rPr>
        <w:outlineLvl w:val="0"/>
      </w:pPr>
      <w:r>
        <w:rPr>
          <w:rFonts w:ascii="黑体" w:eastAsia="黑体"/>
          <w:color w:val="000000"/>
          <w:sz w:val="44"/>
          <w:szCs w:val="44"/>
        </w:rPr>
      </w:r>
      <w:r>
        <w:rPr>
          <w:rFonts w:ascii="黑体" w:eastAsia="黑体"/>
          <w:color w:val="000000"/>
          <w:sz w:val="44"/>
          <w:szCs w:val="44"/>
        </w:rPr>
      </w:r>
      <w:r/>
    </w:p>
    <w:p>
      <w:pPr>
        <w:jc w:val="both"/>
        <w:keepNext/>
        <w:rPr>
          <w:rFonts w:ascii="黑体" w:eastAsia="黑体"/>
          <w:color w:val="000000"/>
          <w:sz w:val="44"/>
          <w:szCs w:val="44"/>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both"/>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176"/>
      <w:r/>
      <w:bookmarkEnd w:id="177"/>
      <w:r/>
      <w:bookmarkEnd w:id="181"/>
      <w:r>
        <w:rPr>
          <w:rFonts w:hint="eastAsia" w:ascii="黑体" w:eastAsia="黑体"/>
          <w:bCs/>
          <w:color w:val="000000"/>
          <w:sz w:val="44"/>
          <w:szCs w:val="28"/>
        </w:rPr>
        <w:t xml:space="preserve">文件格式 </w:t>
      </w:r>
      <w:r/>
    </w:p>
    <w:p>
      <w:pPr>
        <w:jc w:val="center"/>
        <w:rPr>
          <w:rFonts w:ascii="宋体" w:hAnsi="宋体"/>
          <w:b/>
          <w:color w:val="000000"/>
          <w:sz w:val="72"/>
          <w:szCs w:val="21"/>
        </w:rPr>
      </w:pPr>
      <w:r/>
      <w:bookmarkStart w:id="182" w:name="_Hlt26671244"/>
      <w:r/>
      <w:bookmarkEnd w:id="182"/>
      <w:r/>
      <w:bookmarkStart w:id="183" w:name="_Hlt26955039"/>
      <w:r/>
      <w:bookmarkEnd w:id="183"/>
      <w:r/>
      <w:bookmarkStart w:id="184" w:name="_Toc26554094"/>
      <w:r/>
      <w:bookmarkStart w:id="185" w:name="_Toc49090576"/>
      <w:r/>
      <w:bookmarkStart w:id="186"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b/>
          <w:bCs/>
          <w:color w:val="000000"/>
          <w:sz w:val="32"/>
          <w:szCs w:val="32"/>
        </w:rPr>
      </w:pPr>
      <w:r>
        <w:rPr>
          <w:rFonts w:ascii="宋体" w:hAnsi="宋体"/>
          <w:b/>
          <w:bCs/>
          <w:color w:val="000000"/>
          <w:sz w:val="32"/>
          <w:szCs w:val="32"/>
        </w:rPr>
        <w:br w:type="page" w:clear="all"/>
      </w:r>
      <w:bookmarkEnd w:id="174"/>
      <w:r/>
      <w:bookmarkEnd w:id="175"/>
      <w:r/>
      <w:bookmarkEnd w:id="184"/>
      <w:r/>
      <w:bookmarkEnd w:id="185"/>
      <w:r/>
      <w:bookmarkEnd w:id="186"/>
      <w:r/>
      <w:r/>
    </w:p>
    <w:p>
      <w:pPr>
        <w:jc w:val="both"/>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w:t>
      </w:r>
      <w:r/>
    </w:p>
    <w:p>
      <w:pPr>
        <w:spacing w:line="400" w:lineRule="exact"/>
        <w:rPr>
          <w:rFonts w:ascii="宋体" w:hAnsi="宋体"/>
          <w:sz w:val="24"/>
          <w:szCs w:val="21"/>
        </w:rPr>
      </w:pPr>
      <w:r>
        <w:rPr>
          <w:rFonts w:hint="eastAsia" w:ascii="宋体" w:hAnsi="宋体"/>
          <w:sz w:val="24"/>
          <w:szCs w:val="21"/>
        </w:rPr>
        <w:t xml:space="preserve">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spacing w:line="400" w:lineRule="exact"/>
        <w:rPr>
          <w:rFonts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rPr>
        <w:t xml:space="preserve">10.联合体协议（如果本项目接受联合体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中提供相关材料，否则作无效投标处理；6、10（投标人是联合体的）条如招标文件要求必须提供相关材料而未提供的，作无效投标处理。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9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rPr>
          <w:rFonts w:hint="eastAsia" w:ascii="宋体" w:hAnsi="宋体"/>
          <w:b/>
          <w:sz w:val="24"/>
          <w:szCs w:val="24"/>
          <w:lang w:val="en-US" w:eastAsia="zh-CN"/>
        </w:rPr>
      </w:pPr>
      <w:r>
        <w:rPr>
          <w:rFonts w:hint="eastAsia" w:ascii="宋体" w:hAnsi="宋体"/>
          <w:b/>
          <w:sz w:val="24"/>
          <w:szCs w:val="24"/>
          <w:lang w:val="en-US" w:eastAsia="zh-CN"/>
        </w:rPr>
        <w:t xml:space="preserve">附件二：分项报价表</w:t>
      </w:r>
      <w:r/>
    </w:p>
    <w:tbl>
      <w:tblPr>
        <w:tblStyle w:val="914"/>
        <w:tblpPr w:horzAnchor="page" w:tblpX="1051" w:vertAnchor="text" w:tblpY="118" w:leftFromText="180" w:topFromText="0" w:rightFromText="180" w:bottomFromText="0"/>
        <w:tblW w:w="10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315"/>
        <w:gridCol w:w="1160"/>
        <w:gridCol w:w="1053"/>
        <w:gridCol w:w="665"/>
        <w:gridCol w:w="691"/>
        <w:gridCol w:w="985"/>
        <w:gridCol w:w="1067"/>
        <w:gridCol w:w="583"/>
        <w:gridCol w:w="945"/>
        <w:gridCol w:w="1069"/>
      </w:tblGrid>
      <w:tr>
        <w:trPr>
          <w:trHeight w:val="432"/>
        </w:trPr>
        <w:tc>
          <w:tcPr>
            <w:gridSpan w:val="11"/>
            <w:tcBorders>
              <w:top w:val="single" w:color="auto" w:sz="4" w:space="0"/>
              <w:left w:val="single" w:color="auto" w:sz="4" w:space="0"/>
              <w:bottom w:val="single" w:color="auto" w:sz="4" w:space="0"/>
              <w:right w:val="single" w:color="auto" w:sz="4" w:space="0"/>
            </w:tcBorders>
            <w:tcW w:w="10329"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highlight w:val="none"/>
              </w:rPr>
              <w:t xml:space="preserve">（一）硬件部分</w:t>
            </w:r>
            <w:r/>
          </w:p>
        </w:tc>
      </w:tr>
      <w:tr>
        <w:trPr>
          <w:trHeight w:val="341"/>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设备名称</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品牌型号</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技术参数</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数量</w:t>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单位</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单价</w:t>
            </w:r>
            <w:r/>
          </w:p>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小计</w:t>
            </w:r>
            <w:r/>
          </w:p>
          <w:p>
            <w:pPr>
              <w:jc w:val="center"/>
              <w:spacing w:line="240" w:lineRule="exact"/>
              <w:rPr>
                <w:rFonts w:ascii="Times New Roman" w:hAnsi="Times New Roman"/>
                <w:sz w:val="18"/>
                <w:szCs w:val="18"/>
                <w:highlight w:val="none"/>
              </w:rPr>
            </w:pPr>
            <w:r>
              <w:rPr>
                <w:rFonts w:ascii="Times New Roman" w:hAnsi="Times New Roman"/>
                <w:b/>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产地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质保期</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240" w:lineRule="exact"/>
              <w:rPr>
                <w:rFonts w:ascii="Times New Roman" w:hAnsi="Times New Roman"/>
                <w:b/>
                <w:sz w:val="18"/>
                <w:szCs w:val="18"/>
                <w:highlight w:val="none"/>
              </w:rPr>
            </w:pPr>
            <w:r>
              <w:rPr>
                <w:rFonts w:ascii="Times New Roman" w:hAnsi="Times New Roman"/>
                <w:b/>
                <w:sz w:val="18"/>
                <w:szCs w:val="18"/>
                <w:highlight w:val="none"/>
              </w:rPr>
              <w:t xml:space="preserve">备注</w:t>
            </w:r>
            <w:r/>
          </w:p>
        </w:tc>
      </w:tr>
      <w:tr>
        <w:trPr>
          <w:trHeight w:val="280"/>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t xml:space="preserve">1</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t xml:space="preserve">2</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t xml:space="preserve">…</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r>
      <w:tr>
        <w:trPr>
          <w:trHeight w:val="313"/>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Times New Roman" w:hAnsi="Times New Roman"/>
                <w:b/>
                <w:highlight w:val="none"/>
              </w:rPr>
            </w:pPr>
            <w:r>
              <w:rPr>
                <w:rFonts w:hint="eastAsia" w:ascii="Times New Roman" w:hAnsi="Times New Roman"/>
                <w:b/>
                <w:highlight w:val="none"/>
              </w:rPr>
              <w:t xml:space="preserve">小</w:t>
            </w:r>
            <w:r>
              <w:rPr>
                <w:rFonts w:ascii="Times New Roman" w:hAnsi="Times New Roman"/>
                <w:b/>
                <w:highlight w:val="none"/>
              </w:rPr>
              <w:t xml:space="preserve">计</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r>
      <w:tr>
        <w:trPr>
          <w:trHeight w:val="313"/>
        </w:trPr>
        <w:tc>
          <w:tcPr>
            <w:gridSpan w:val="11"/>
            <w:tcBorders>
              <w:top w:val="single" w:color="auto" w:sz="4" w:space="0"/>
              <w:left w:val="single" w:color="auto" w:sz="4" w:space="0"/>
              <w:bottom w:val="single" w:color="auto" w:sz="4" w:space="0"/>
              <w:right w:val="single" w:color="auto" w:sz="4" w:space="0"/>
            </w:tcBorders>
            <w:tcW w:w="10329"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highlight w:val="none"/>
              </w:rPr>
              <w:t xml:space="preserve">（</w:t>
            </w:r>
            <w:r>
              <w:rPr>
                <w:rFonts w:hint="eastAsia" w:ascii="Times New Roman" w:hAnsi="Times New Roman"/>
                <w:highlight w:val="none"/>
              </w:rPr>
              <w:t xml:space="preserve">二</w:t>
            </w:r>
            <w:r>
              <w:rPr>
                <w:rFonts w:ascii="Times New Roman" w:hAnsi="Times New Roman"/>
                <w:highlight w:val="none"/>
              </w:rPr>
              <w:t xml:space="preserve">）</w:t>
            </w:r>
            <w:r>
              <w:rPr>
                <w:rFonts w:hint="eastAsia" w:ascii="Times New Roman" w:hAnsi="Times New Roman"/>
                <w:highlight w:val="none"/>
              </w:rPr>
              <w:t xml:space="preserve">服务</w:t>
            </w:r>
            <w:r>
              <w:rPr>
                <w:rFonts w:ascii="Times New Roman" w:hAnsi="Times New Roman"/>
                <w:highlight w:val="none"/>
              </w:rPr>
              <w:t xml:space="preserve">部分</w:t>
            </w:r>
            <w:r/>
          </w:p>
        </w:tc>
      </w:tr>
      <w:tr>
        <w:trPr>
          <w:trHeight w:val="313"/>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rPr>
                <w:rFonts w:hint="eastAsia" w:ascii="宋体" w:hAnsi="宋体" w:cs="宋体"/>
                <w:b/>
                <w:sz w:val="18"/>
                <w:szCs w:val="18"/>
                <w:highlight w:val="none"/>
              </w:rPr>
            </w:pPr>
            <w:r>
              <w:rPr>
                <w:rFonts w:hint="eastAsia" w:ascii="宋体" w:hAnsi="宋体" w:cs="宋体"/>
                <w:b/>
                <w:sz w:val="18"/>
                <w:szCs w:val="18"/>
                <w:highlight w:val="none"/>
              </w:rPr>
              <w:t xml:space="preserve">序号</w:t>
            </w:r>
            <w:r/>
          </w:p>
        </w:tc>
        <w:tc>
          <w:tcPr>
            <w:gridSpan w:val="3"/>
            <w:tcBorders>
              <w:top w:val="single" w:color="auto" w:sz="4" w:space="0"/>
              <w:left w:val="single" w:color="auto" w:sz="4" w:space="0"/>
              <w:bottom w:val="single" w:color="auto" w:sz="4" w:space="0"/>
              <w:right w:val="single" w:color="auto" w:sz="4" w:space="0"/>
            </w:tcBorders>
            <w:tcW w:w="3528" w:type="dxa"/>
            <w:vAlign w:val="center"/>
            <w:textDirection w:val="lrTb"/>
            <w:noWrap w:val="false"/>
          </w:tcPr>
          <w:p>
            <w:pPr>
              <w:jc w:val="center"/>
              <w:rPr>
                <w:rFonts w:hint="eastAsia" w:ascii="宋体" w:hAnsi="宋体" w:cs="宋体"/>
                <w:b/>
                <w:sz w:val="18"/>
                <w:szCs w:val="18"/>
                <w:highlight w:val="none"/>
              </w:rPr>
            </w:pPr>
            <w:r>
              <w:rPr>
                <w:rFonts w:hint="eastAsia" w:ascii="宋体" w:hAnsi="宋体" w:cs="宋体"/>
                <w:b/>
                <w:sz w:val="20"/>
                <w:szCs w:val="20"/>
                <w:highlight w:val="none"/>
              </w:rPr>
              <w:t xml:space="preserve">服务内容</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rPr>
                <w:rFonts w:hint="eastAsia" w:ascii="宋体" w:hAnsi="宋体" w:cs="宋体"/>
                <w:b/>
                <w:sz w:val="18"/>
                <w:szCs w:val="18"/>
                <w:highlight w:val="none"/>
              </w:rPr>
            </w:pPr>
            <w:r>
              <w:rPr>
                <w:rFonts w:hint="eastAsia" w:ascii="宋体" w:hAnsi="宋体" w:cs="宋体"/>
                <w:b/>
                <w:sz w:val="18"/>
                <w:szCs w:val="18"/>
                <w:highlight w:val="none"/>
              </w:rPr>
              <w:t xml:space="preserve">数量</w:t>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rPr>
                <w:rFonts w:ascii="宋体" w:hAnsi="宋体" w:cs="宋体"/>
                <w:b/>
                <w:sz w:val="18"/>
                <w:szCs w:val="18"/>
                <w:highlight w:val="none"/>
              </w:rPr>
            </w:pPr>
            <w:r>
              <w:rPr>
                <w:rFonts w:hint="eastAsia" w:ascii="宋体" w:hAnsi="宋体" w:cs="宋体"/>
                <w:b/>
                <w:sz w:val="18"/>
                <w:szCs w:val="18"/>
                <w:highlight w:val="none"/>
              </w:rPr>
              <w:t xml:space="preserve">单位</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rPr>
                <w:rFonts w:hint="eastAsia" w:ascii="宋体" w:hAnsi="宋体" w:cs="宋体"/>
                <w:b/>
                <w:sz w:val="18"/>
                <w:szCs w:val="18"/>
                <w:highlight w:val="none"/>
              </w:rPr>
            </w:pPr>
            <w:r>
              <w:rPr>
                <w:rFonts w:hint="eastAsia" w:ascii="宋体" w:hAnsi="宋体" w:cs="宋体"/>
                <w:b/>
                <w:sz w:val="18"/>
                <w:szCs w:val="18"/>
                <w:highlight w:val="none"/>
              </w:rPr>
              <w:t xml:space="preserve">单价</w:t>
            </w:r>
            <w:r/>
          </w:p>
          <w:p>
            <w:pPr>
              <w:jc w:val="center"/>
              <w:rPr>
                <w:rFonts w:hint="eastAsia" w:ascii="宋体" w:hAnsi="宋体" w:cs="宋体"/>
                <w:b/>
                <w:sz w:val="18"/>
                <w:szCs w:val="18"/>
                <w:highlight w:val="none"/>
              </w:rPr>
            </w:pPr>
            <w:r>
              <w:rPr>
                <w:rFonts w:hint="eastAsia" w:ascii="宋体" w:hAnsi="宋体" w:cs="宋体"/>
                <w:b/>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rPr>
                <w:rFonts w:hint="eastAsia" w:ascii="宋体" w:hAnsi="宋体" w:cs="宋体"/>
                <w:b/>
                <w:sz w:val="18"/>
                <w:szCs w:val="18"/>
                <w:highlight w:val="none"/>
              </w:rPr>
            </w:pPr>
            <w:r>
              <w:rPr>
                <w:rFonts w:hint="eastAsia" w:ascii="宋体" w:hAnsi="宋体" w:cs="宋体"/>
                <w:b/>
                <w:sz w:val="18"/>
                <w:szCs w:val="18"/>
                <w:highlight w:val="none"/>
              </w:rPr>
              <w:t xml:space="preserve">小计</w:t>
            </w:r>
            <w:r/>
          </w:p>
          <w:p>
            <w:pPr>
              <w:jc w:val="center"/>
              <w:rPr>
                <w:rFonts w:hint="eastAsia" w:ascii="宋体" w:hAnsi="宋体" w:cs="宋体"/>
                <w:b/>
                <w:sz w:val="18"/>
                <w:szCs w:val="18"/>
                <w:highlight w:val="none"/>
              </w:rPr>
            </w:pPr>
            <w:r>
              <w:rPr>
                <w:rFonts w:hint="eastAsia" w:ascii="宋体" w:hAnsi="宋体" w:cs="宋体"/>
                <w:b/>
                <w:sz w:val="18"/>
                <w:szCs w:val="18"/>
                <w:highlight w:val="none"/>
              </w:rPr>
              <w:t xml:space="preserve">（万元）</w:t>
            </w:r>
            <w:r/>
          </w:p>
        </w:tc>
        <w:tc>
          <w:tcPr>
            <w:gridSpan w:val="3"/>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rPr>
                <w:rFonts w:hint="eastAsia" w:ascii="宋体" w:hAnsi="宋体" w:cs="宋体"/>
                <w:b/>
                <w:sz w:val="18"/>
                <w:szCs w:val="18"/>
                <w:highlight w:val="none"/>
              </w:rPr>
            </w:pPr>
            <w:r>
              <w:rPr>
                <w:rFonts w:hint="eastAsia" w:ascii="宋体" w:hAnsi="宋体" w:cs="宋体"/>
                <w:b/>
                <w:sz w:val="18"/>
                <w:szCs w:val="18"/>
                <w:highlight w:val="none"/>
              </w:rPr>
              <w:t xml:space="preserve">备注</w:t>
            </w:r>
            <w:r/>
          </w:p>
        </w:tc>
      </w:tr>
      <w:tr>
        <w:trPr>
          <w:trHeight w:val="313"/>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Times New Roman" w:hAnsi="Times New Roman"/>
                <w:b/>
                <w:highlight w:val="none"/>
              </w:rPr>
            </w:pPr>
            <w:r>
              <w:rPr>
                <w:rFonts w:hint="eastAsia" w:ascii="Times New Roman" w:hAnsi="Times New Roman"/>
                <w:b/>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3528" w:type="dxa"/>
            <w:vAlign w:val="center"/>
            <w:textDirection w:val="lrTb"/>
            <w:noWrap w:val="false"/>
          </w:tcPr>
          <w:p>
            <w:pPr>
              <w:jc w:val="center"/>
              <w:spacing w:line="360" w:lineRule="auto"/>
              <w:rPr>
                <w:rFonts w:ascii="Times New Roman" w:hAnsi="Times New Roman"/>
                <w:b/>
                <w:highlight w:val="none"/>
              </w:rPr>
            </w:pPr>
            <w:r>
              <w:rPr>
                <w:rFonts w:hint="eastAsia"/>
                <w:b/>
                <w:highlight w:val="none"/>
                <w:lang w:val="en-US" w:eastAsia="zh-CN"/>
              </w:rPr>
              <w:t xml:space="preserve">集成</w:t>
            </w:r>
            <w:r>
              <w:rPr>
                <w:rFonts w:hint="eastAsia" w:ascii="Times New Roman" w:hAnsi="Times New Roman"/>
                <w:b/>
                <w:highlight w:val="none"/>
              </w:rPr>
              <w:t xml:space="preserve">服务</w:t>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auto"/>
              <w:rPr>
                <w:rFonts w:hint="eastAsia" w:ascii="Times New Roman" w:hAnsi="Times New Roman"/>
                <w:b/>
                <w:highlight w:val="none"/>
              </w:rPr>
            </w:pPr>
            <w:r>
              <w:rPr>
                <w:rFonts w:hint="eastAsia"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auto"/>
              <w:rPr>
                <w:rFonts w:hint="eastAsia" w:ascii="Times New Roman" w:hAnsi="Times New Roman"/>
                <w:b/>
                <w:highlight w:val="none"/>
              </w:rPr>
            </w:pPr>
            <w:r>
              <w:rPr>
                <w:rFonts w:hint="eastAsia" w:ascii="Times New Roman" w:hAnsi="Times New Roman"/>
                <w:b/>
                <w:highlight w:val="none"/>
              </w:rPr>
              <w:t xml:space="preserve">年</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gridSpan w:val="3"/>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r>
      <w:tr>
        <w:trPr>
          <w:trHeight w:val="313"/>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Times New Roman" w:hAnsi="Times New Roman"/>
                <w:b/>
                <w:highlight w:val="none"/>
              </w:rPr>
            </w:pPr>
            <w:r>
              <w:rPr>
                <w:rFonts w:hint="eastAsia" w:ascii="Times New Roman" w:hAnsi="Times New Roman"/>
                <w:b/>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3528"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360" w:lineRule="auto"/>
              <w:rPr>
                <w:rFonts w:ascii="Times New Roman" w:hAnsi="Times New Roman"/>
                <w:b/>
                <w:highlight w:val="none"/>
              </w:rPr>
            </w:pPr>
            <w:r>
              <w:rPr>
                <w:rFonts w:hint="eastAsia" w:ascii="Times New Roman" w:hAnsi="Times New Roman"/>
                <w:b/>
                <w:highlight w:val="none"/>
              </w:rPr>
              <w:t xml:space="preserve">年</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c>
          <w:tcPr>
            <w:gridSpan w:val="3"/>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highlight w:val="none"/>
              </w:rPr>
            </w:r>
            <w:r/>
          </w:p>
        </w:tc>
      </w:tr>
      <w:tr>
        <w:trPr>
          <w:trHeight w:val="375"/>
        </w:trPr>
        <w:tc>
          <w:tcPr>
            <w:gridSpan w:val="2"/>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bCs/>
                <w:highlight w:val="none"/>
              </w:rPr>
              <w:t xml:space="preserve">投标报价总计</w:t>
            </w:r>
            <w:r/>
          </w:p>
        </w:tc>
        <w:tc>
          <w:tcPr>
            <w:gridSpan w:val="9"/>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60" w:lineRule="auto"/>
              <w:rPr>
                <w:rFonts w:ascii="Times New Roman" w:hAnsi="Times New Roman"/>
                <w:b/>
                <w:highlight w:val="none"/>
              </w:rPr>
            </w:pPr>
            <w:r>
              <w:rPr>
                <w:rFonts w:ascii="Times New Roman" w:hAnsi="Times New Roman"/>
                <w:b/>
                <w:bCs/>
                <w:highlight w:val="none"/>
              </w:rPr>
              <w:t xml:space="preserve">¥                    人民币（大写）:    拾    万   仟    佰    拾    元整</w:t>
            </w:r>
            <w:r/>
          </w:p>
        </w:tc>
      </w:tr>
    </w:tbl>
    <w:p>
      <w:pPr>
        <w:jc w:val="left"/>
        <w:widowControl/>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jc w:val="both"/>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p>
    <w:p>
      <w:pPr>
        <w:pStyle w:val="921"/>
      </w:pPr>
      <w:r/>
      <w:r/>
    </w:p>
    <w:p>
      <w:pPr>
        <w:spacing w:line="460" w:lineRule="exact"/>
        <w:rPr>
          <w:rFonts w:ascii="宋体" w:hAnsi="宋体"/>
          <w:bCs/>
          <w:color w:val="000000"/>
          <w:sz w:val="24"/>
          <w:szCs w:val="21"/>
        </w:rPr>
      </w:pPr>
      <w:r>
        <w:rPr>
          <w:rFonts w:ascii="宋体" w:hAnsi="宋体"/>
          <w:bCs/>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187"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本授权书声明：____________（投标人名称，如是联合体请写明各方名称）授权________________（被授权人的姓名）为我方就JSZC-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被授权人身份证号码：</w:t>
      </w:r>
      <w:r/>
    </w:p>
    <w:p>
      <w:pPr>
        <w:spacing w:line="400" w:lineRule="exact"/>
        <w:tabs>
          <w:tab w:val="left" w:pos="360" w:leader="none"/>
        </w:tabs>
        <w:rPr>
          <w:color w:val="000000"/>
          <w:sz w:val="24"/>
          <w:szCs w:val="24"/>
          <w:u w:val="single"/>
        </w:rPr>
      </w:pPr>
      <w:r>
        <w:rPr>
          <w:rFonts w:hint="eastAsia"/>
          <w:color w:val="000000"/>
          <w:sz w:val="24"/>
          <w:szCs w:val="24"/>
        </w:rPr>
        <w:t xml:space="preserve">被授权人联系电话：（手机）</w:t>
      </w:r>
      <w:r/>
    </w:p>
    <w:p>
      <w:pPr>
        <w:ind w:firstLine="1200"/>
        <w:spacing w:line="400" w:lineRule="exact"/>
        <w:tabs>
          <w:tab w:val="left" w:pos="360" w:leader="none"/>
        </w:tabs>
        <w:rPr>
          <w:color w:val="000000"/>
          <w:sz w:val="24"/>
          <w:szCs w:val="24"/>
          <w:u w:val="single"/>
        </w:rPr>
      </w:pPr>
      <w:r>
        <w:rPr>
          <w:rFonts w:hint="eastAsia"/>
          <w:color w:val="000000"/>
          <w:sz w:val="24"/>
          <w:szCs w:val="24"/>
        </w:rPr>
        <w:t xml:space="preserve">被授权人电子邮箱：</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单位地址：</w:t>
      </w:r>
      <w:r/>
    </w:p>
    <w:p>
      <w:pPr>
        <w:ind w:firstLine="480"/>
        <w:spacing w:line="400" w:lineRule="exact"/>
        <w:tabs>
          <w:tab w:val="left" w:pos="360" w:leader="none"/>
        </w:tabs>
        <w:rPr>
          <w:color w:val="000000"/>
          <w:sz w:val="24"/>
          <w:szCs w:val="24"/>
        </w:rPr>
      </w:pPr>
      <w:r>
        <w:rPr>
          <w:rFonts w:hint="eastAsia"/>
          <w:color w:val="000000"/>
          <w:sz w:val="24"/>
          <w:szCs w:val="24"/>
        </w:rPr>
        <w:t xml:space="preserve">日期：</w:t>
      </w:r>
      <w:bookmarkStart w:id="188" w:name="_Hlt26955070"/>
      <w:r/>
      <w:bookmarkEnd w:id="188"/>
      <w:r/>
      <w:bookmarkStart w:id="189" w:name="_格式3__银行出具的资信证明"/>
      <w:r/>
      <w:bookmarkEnd w:id="189"/>
      <w:r/>
      <w:bookmarkStart w:id="190" w:name="_Hlt26671380"/>
      <w:r/>
      <w:bookmarkEnd w:id="190"/>
      <w:r/>
      <w:r/>
    </w:p>
    <w:p>
      <w:pPr>
        <w:ind w:firstLine="360"/>
        <w:spacing w:line="400" w:lineRule="exact"/>
        <w:rPr>
          <w:color w:val="000000"/>
          <w:sz w:val="24"/>
          <w:szCs w:val="24"/>
          <w:highlight w:val="yellow"/>
        </w:rPr>
      </w:pPr>
      <w:r>
        <w:rPr>
          <w:color w:val="000000"/>
          <w:sz w:val="24"/>
          <w:szCs w:val="24"/>
          <w:highlight w:val="yellow"/>
        </w:rPr>
      </w:r>
      <w:r/>
    </w:p>
    <w:p>
      <w:pPr>
        <w:ind w:firstLine="480"/>
        <w:spacing w:line="400" w:lineRule="exact"/>
        <w:rPr>
          <w:color w:val="000000"/>
          <w:sz w:val="24"/>
          <w:szCs w:val="24"/>
        </w:rPr>
      </w:pPr>
      <w:r>
        <w:rPr>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w:t>
      </w:r>
      <w:r>
        <w:rPr>
          <w:rFonts w:hint="eastAsia"/>
          <w:color w:val="000000"/>
          <w:sz w:val="24"/>
          <w:szCs w:val="24"/>
        </w:rPr>
        <w:t xml:space="preserve">，如是联合体请写明各方名称</w:t>
      </w:r>
      <w:r>
        <w:rPr>
          <w:rFonts w:hint="eastAsia" w:ascii="宋体" w:hAnsi="宋体"/>
          <w:color w:val="000000"/>
          <w:sz w:val="24"/>
          <w:szCs w:val="21"/>
        </w:rPr>
        <w:t xml:space="preserve">），全权处理本次项目投标的有关事宜。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jc w:val="center"/>
        <w:spacing w:line="560" w:lineRule="exact"/>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中小微企业声明函（货物类项目）（采购包号：**）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采购编号为JSZC</w:t>
      </w:r>
      <w:r>
        <w:rPr>
          <w:rFonts w:ascii="宋体" w:hAnsi="宋体"/>
          <w:color w:val="000000"/>
          <w:sz w:val="24"/>
          <w:szCs w:val="24"/>
        </w:rPr>
        <w:t xml:space="preserve">-320000-</w:t>
      </w:r>
      <w:r>
        <w:rPr>
          <w:rFonts w:hint="eastAsia" w:ascii="宋体" w:hAnsi="宋体"/>
          <w:color w:val="000000"/>
          <w:sz w:val="24"/>
          <w:szCs w:val="24"/>
          <w:u w:val="single"/>
        </w:rPr>
        <w:t xml:space="preserve">***</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4800"/>
        <w:spacing w:line="400" w:lineRule="exact"/>
        <w:rPr>
          <w:rFonts w:ascii="宋体" w:hAnsi="宋体"/>
          <w:color w:val="000000"/>
          <w:sz w:val="24"/>
          <w:szCs w:val="24"/>
        </w:rPr>
      </w:pPr>
      <w:r>
        <w:rPr>
          <w:rFonts w:hint="eastAsia" w:ascii="宋体" w:hAnsi="宋体"/>
          <w:color w:val="000000"/>
          <w:sz w:val="24"/>
          <w:szCs w:val="24"/>
        </w:rPr>
        <w:t xml:space="preserve">日  期：</w:t>
      </w:r>
      <w:r/>
    </w:p>
    <w:p>
      <w:pPr>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w:t>
      </w:r>
      <w:r/>
    </w:p>
    <w:p>
      <w:pPr>
        <w:jc w:val="center"/>
        <w:spacing w:line="400" w:lineRule="exact"/>
        <w:rPr>
          <w:rFonts w:ascii="宋体" w:hAnsi="宋体"/>
          <w:b/>
          <w:sz w:val="24"/>
          <w:szCs w:val="24"/>
        </w:rPr>
      </w:pPr>
      <w:r>
        <w:rPr>
          <w:rFonts w:hint="eastAsia" w:ascii="宋体" w:hAnsi="宋体"/>
          <w:color w:val="00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日  期：</w:t>
      </w:r>
      <w:r/>
    </w:p>
    <w:p>
      <w:pPr>
        <w:pStyle w:val="921"/>
        <w:rPr>
          <w:rFonts w:hint="eastAsia" w:ascii="宋体" w:hAnsi="宋体"/>
          <w:sz w:val="24"/>
          <w:szCs w:val="21"/>
        </w:rPr>
      </w:pPr>
      <w:r>
        <w:rPr>
          <w:rFonts w:hint="eastAsia" w:ascii="宋体" w:hAnsi="宋体"/>
          <w:sz w:val="24"/>
          <w:szCs w:val="21"/>
        </w:rPr>
      </w:r>
      <w:r/>
    </w:p>
    <w:p>
      <w:pPr>
        <w:pStyle w:val="921"/>
        <w:rPr>
          <w:rFonts w:hint="eastAsia" w:ascii="宋体" w:hAnsi="宋体"/>
          <w:sz w:val="24"/>
          <w:szCs w:val="21"/>
        </w:rPr>
      </w:pPr>
      <w:r>
        <w:rPr>
          <w:rFonts w:hint="eastAsia" w:ascii="宋体" w:hAnsi="宋体"/>
          <w:sz w:val="24"/>
          <w:szCs w:val="21"/>
        </w:rPr>
      </w:r>
      <w:r/>
    </w:p>
    <w:p>
      <w:pPr>
        <w:pStyle w:val="921"/>
        <w:rPr>
          <w:rFonts w:hint="eastAsia" w:ascii="宋体" w:hAnsi="宋体"/>
          <w:sz w:val="24"/>
          <w:szCs w:val="21"/>
        </w:rPr>
      </w:pPr>
      <w:r>
        <w:rPr>
          <w:rFonts w:hint="eastAsia" w:ascii="宋体" w:hAnsi="宋体"/>
          <w:sz w:val="24"/>
          <w:szCs w:val="21"/>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r>
      <w:r/>
    </w:p>
    <w:p>
      <w:pPr>
        <w:ind w:firstLine="646"/>
        <w:jc w:val="right"/>
        <w:spacing w:line="400" w:lineRule="exact"/>
        <w:rPr>
          <w:rFonts w:ascii="宋体" w:hAnsi="宋体"/>
          <w:b/>
          <w:bCs/>
          <w:sz w:val="24"/>
          <w:szCs w:val="21"/>
        </w:rPr>
      </w:pPr>
      <w:r>
        <w:rPr>
          <w:rFonts w:hint="eastAsia" w:ascii="宋体" w:hAnsi="宋体"/>
          <w:b/>
          <w:bCs/>
          <w:sz w:val="24"/>
          <w:szCs w:val="21"/>
        </w:rPr>
        <w:t xml:space="preserve">联合体中各供应商全称（公章）：</w:t>
      </w:r>
      <w:r/>
    </w:p>
    <w:p>
      <w:pPr>
        <w:ind w:firstLine="646"/>
        <w:spacing w:line="400" w:lineRule="exact"/>
        <w:rPr>
          <w:rFonts w:ascii="宋体" w:hAnsi="宋体"/>
          <w:sz w:val="24"/>
          <w:szCs w:val="21"/>
        </w:rPr>
      </w:pP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spacing w:line="560" w:lineRule="exact"/>
        <w:rPr>
          <w:rFonts w:ascii="宋体" w:hAnsi="宋体"/>
          <w:b/>
          <w:sz w:val="24"/>
        </w:rPr>
      </w:pPr>
      <w:r>
        <w:rPr>
          <w:rFonts w:hint="eastAsia" w:ascii="宋体" w:hAnsi="宋体"/>
          <w:b/>
          <w:sz w:val="24"/>
        </w:rPr>
        <w:t xml:space="preserve">备注：1、联合体各成员单位均须在联合体协议上加盖公章。</w:t>
      </w:r>
      <w:r/>
    </w:p>
    <w:p>
      <w:pPr>
        <w:pStyle w:val="922"/>
      </w:pPr>
      <w:r>
        <w:rPr>
          <w:rFonts w:hint="eastAsia" w:ascii="宋体" w:hAnsi="宋体"/>
          <w:sz w:val="24"/>
        </w:rPr>
        <w:t xml:space="preserve">2、本招标文件中要求加盖CA电子签章的地方，仅需加盖牵头单位的CA电子签章。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实质性要求响应及偏离表（采购包号：**）</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87"/>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pStyle w:val="921"/>
        <w:rPr>
          <w:rFonts w:ascii="宋体" w:hAnsi="宋体" w:cs="仿宋"/>
          <w:b/>
          <w:bCs/>
          <w:color w:val="000000"/>
          <w:sz w:val="32"/>
          <w:szCs w:val="32"/>
        </w:rPr>
      </w:pPr>
      <w:r>
        <w:rPr>
          <w:rFonts w:ascii="宋体" w:hAnsi="宋体" w:cs="仿宋"/>
          <w:b/>
          <w:bCs/>
          <w:color w:val="000000"/>
          <w:sz w:val="32"/>
          <w:szCs w:val="32"/>
        </w:rPr>
      </w:r>
      <w:r/>
    </w:p>
    <w:p>
      <w:pPr>
        <w:pStyle w:val="921"/>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ascii="宋体" w:hAnsi="宋体" w:cs="仿宋"/>
          <w:color w:val="000000"/>
          <w:sz w:val="24"/>
          <w:szCs w:val="24"/>
          <w:u w:val="single"/>
        </w:rPr>
      </w:pPr>
      <w:r>
        <w:rPr>
          <w:rFonts w:ascii="宋体" w:hAnsi="宋体" w:cs="仿宋"/>
          <w:color w:val="000000"/>
          <w:sz w:val="24"/>
          <w:szCs w:val="24"/>
          <w:u w:val="single"/>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ascii="宋体" w:hAnsi="宋体" w:cs="仿宋"/>
          <w:color w:val="000000"/>
          <w:sz w:val="24"/>
          <w:szCs w:val="24"/>
          <w:u w:val="single"/>
        </w:rPr>
      </w:pPr>
      <w:r>
        <w:rPr>
          <w:rFonts w:ascii="宋体" w:hAnsi="宋体" w:cs="仿宋"/>
          <w:color w:val="000000"/>
          <w:sz w:val="24"/>
          <w:szCs w:val="24"/>
          <w:u w:val="single"/>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华文新魏">
    <w:panose1 w:val="02010800040101010101"/>
  </w:font>
  <w:font w:name="SimHei">
    <w:panose1 w:val="02010609060101010101"/>
  </w:font>
  <w:font w:name="Showcard Gothic">
    <w:panose1 w:val="04020904020102020604"/>
  </w:font>
  <w:font w:name="仿宋_GB2312">
    <w:panose1 w:val="02010609060101010101"/>
  </w:font>
  <w:font w:name="幼圆">
    <w:panose1 w:val="02010509060101010101"/>
  </w:font>
  <w:font w:name="黑体">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rPr>
                              <w:rStyle w:val="928"/>
                              <w:rFonts w:ascii="宋体" w:hAnsi="宋体"/>
                            </w:rPr>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34</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rPr>
                        <w:rStyle w:val="928"/>
                        <w:rFonts w:ascii="宋体" w:hAnsi="宋体"/>
                      </w:rPr>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34</w:t>
                    </w:r>
                    <w:r>
                      <w:rPr>
                        <w:rFonts w:ascii="宋体" w:hAnsi="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12"/>
    <w:next w:val="912"/>
    <w:link w:val="737"/>
    <w:uiPriority w:val="9"/>
    <w:qFormat/>
    <w:pPr>
      <w:keepLines/>
      <w:keepNext/>
      <w:spacing w:before="480" w:after="200"/>
      <w:outlineLvl w:val="0"/>
    </w:pPr>
    <w:rPr>
      <w:rFonts w:ascii="Arial" w:hAnsi="Arial" w:eastAsia="Arial" w:cs="Arial"/>
      <w:sz w:val="40"/>
      <w:szCs w:val="40"/>
    </w:rPr>
  </w:style>
  <w:style w:type="character" w:styleId="737">
    <w:name w:val="Heading 1 Char"/>
    <w:basedOn w:val="913"/>
    <w:link w:val="736"/>
    <w:uiPriority w:val="9"/>
    <w:rPr>
      <w:rFonts w:ascii="Arial" w:hAnsi="Arial" w:eastAsia="Arial" w:cs="Arial"/>
      <w:sz w:val="40"/>
      <w:szCs w:val="40"/>
    </w:rPr>
  </w:style>
  <w:style w:type="paragraph" w:styleId="738">
    <w:name w:val="Heading 2"/>
    <w:basedOn w:val="912"/>
    <w:next w:val="912"/>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basedOn w:val="913"/>
    <w:link w:val="738"/>
    <w:uiPriority w:val="9"/>
    <w:rPr>
      <w:rFonts w:ascii="Arial" w:hAnsi="Arial" w:eastAsia="Arial" w:cs="Arial"/>
      <w:sz w:val="34"/>
    </w:rPr>
  </w:style>
  <w:style w:type="paragraph" w:styleId="740">
    <w:name w:val="Heading 3"/>
    <w:basedOn w:val="912"/>
    <w:next w:val="912"/>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basedOn w:val="913"/>
    <w:link w:val="740"/>
    <w:uiPriority w:val="9"/>
    <w:rPr>
      <w:rFonts w:ascii="Arial" w:hAnsi="Arial" w:eastAsia="Arial" w:cs="Arial"/>
      <w:sz w:val="30"/>
      <w:szCs w:val="30"/>
    </w:rPr>
  </w:style>
  <w:style w:type="paragraph" w:styleId="742">
    <w:name w:val="Heading 4"/>
    <w:basedOn w:val="912"/>
    <w:next w:val="912"/>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basedOn w:val="913"/>
    <w:link w:val="742"/>
    <w:uiPriority w:val="9"/>
    <w:rPr>
      <w:rFonts w:ascii="Arial" w:hAnsi="Arial" w:eastAsia="Arial" w:cs="Arial"/>
      <w:b/>
      <w:bCs/>
      <w:sz w:val="26"/>
      <w:szCs w:val="26"/>
    </w:rPr>
  </w:style>
  <w:style w:type="paragraph" w:styleId="744">
    <w:name w:val="Heading 5"/>
    <w:basedOn w:val="912"/>
    <w:next w:val="912"/>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basedOn w:val="913"/>
    <w:link w:val="744"/>
    <w:uiPriority w:val="9"/>
    <w:rPr>
      <w:rFonts w:ascii="Arial" w:hAnsi="Arial" w:eastAsia="Arial" w:cs="Arial"/>
      <w:b/>
      <w:bCs/>
      <w:sz w:val="24"/>
      <w:szCs w:val="24"/>
    </w:rPr>
  </w:style>
  <w:style w:type="paragraph" w:styleId="746">
    <w:name w:val="Heading 6"/>
    <w:basedOn w:val="912"/>
    <w:next w:val="912"/>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13"/>
    <w:link w:val="746"/>
    <w:uiPriority w:val="9"/>
    <w:rPr>
      <w:rFonts w:ascii="Arial" w:hAnsi="Arial" w:eastAsia="Arial" w:cs="Arial"/>
      <w:b/>
      <w:bCs/>
      <w:sz w:val="22"/>
      <w:szCs w:val="22"/>
    </w:rPr>
  </w:style>
  <w:style w:type="paragraph" w:styleId="748">
    <w:name w:val="Heading 7"/>
    <w:basedOn w:val="912"/>
    <w:next w:val="912"/>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3"/>
    <w:link w:val="748"/>
    <w:uiPriority w:val="9"/>
    <w:rPr>
      <w:rFonts w:ascii="Arial" w:hAnsi="Arial" w:eastAsia="Arial" w:cs="Arial"/>
      <w:b/>
      <w:bCs/>
      <w:i/>
      <w:iCs/>
      <w:sz w:val="22"/>
      <w:szCs w:val="22"/>
    </w:rPr>
  </w:style>
  <w:style w:type="paragraph" w:styleId="750">
    <w:name w:val="Heading 8"/>
    <w:basedOn w:val="912"/>
    <w:next w:val="912"/>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3"/>
    <w:link w:val="750"/>
    <w:uiPriority w:val="9"/>
    <w:rPr>
      <w:rFonts w:ascii="Arial" w:hAnsi="Arial" w:eastAsia="Arial" w:cs="Arial"/>
      <w:i/>
      <w:iCs/>
      <w:sz w:val="22"/>
      <w:szCs w:val="22"/>
    </w:rPr>
  </w:style>
  <w:style w:type="paragraph" w:styleId="752">
    <w:name w:val="Heading 9"/>
    <w:basedOn w:val="912"/>
    <w:next w:val="912"/>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3"/>
    <w:link w:val="752"/>
    <w:uiPriority w:val="9"/>
    <w:rPr>
      <w:rFonts w:ascii="Arial" w:hAnsi="Arial" w:eastAsia="Arial" w:cs="Arial"/>
      <w:i/>
      <w:iCs/>
      <w:sz w:val="21"/>
      <w:szCs w:val="21"/>
    </w:rPr>
  </w:style>
  <w:style w:type="paragraph" w:styleId="754">
    <w:name w:val="List Paragraph"/>
    <w:basedOn w:val="912"/>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12"/>
    <w:next w:val="912"/>
    <w:link w:val="757"/>
    <w:uiPriority w:val="10"/>
    <w:qFormat/>
    <w:pPr>
      <w:contextualSpacing/>
      <w:spacing w:before="300" w:after="200"/>
    </w:pPr>
    <w:rPr>
      <w:sz w:val="48"/>
      <w:szCs w:val="48"/>
    </w:rPr>
  </w:style>
  <w:style w:type="character" w:styleId="757">
    <w:name w:val="Title Char"/>
    <w:basedOn w:val="913"/>
    <w:link w:val="756"/>
    <w:uiPriority w:val="10"/>
    <w:rPr>
      <w:sz w:val="48"/>
      <w:szCs w:val="48"/>
    </w:rPr>
  </w:style>
  <w:style w:type="paragraph" w:styleId="758">
    <w:name w:val="Subtitle"/>
    <w:basedOn w:val="912"/>
    <w:next w:val="912"/>
    <w:link w:val="759"/>
    <w:uiPriority w:val="11"/>
    <w:qFormat/>
    <w:pPr>
      <w:spacing w:before="200" w:after="200"/>
    </w:pPr>
    <w:rPr>
      <w:sz w:val="24"/>
      <w:szCs w:val="24"/>
    </w:rPr>
  </w:style>
  <w:style w:type="character" w:styleId="759">
    <w:name w:val="Subtitle Char"/>
    <w:basedOn w:val="913"/>
    <w:link w:val="758"/>
    <w:uiPriority w:val="11"/>
    <w:rPr>
      <w:sz w:val="24"/>
      <w:szCs w:val="24"/>
    </w:rPr>
  </w:style>
  <w:style w:type="paragraph" w:styleId="760">
    <w:name w:val="Quote"/>
    <w:basedOn w:val="912"/>
    <w:next w:val="912"/>
    <w:link w:val="761"/>
    <w:uiPriority w:val="29"/>
    <w:qFormat/>
    <w:pPr>
      <w:ind w:left="720" w:right="720"/>
    </w:pPr>
    <w:rPr>
      <w:i/>
    </w:rPr>
  </w:style>
  <w:style w:type="character" w:styleId="761">
    <w:name w:val="Quote Char"/>
    <w:link w:val="760"/>
    <w:uiPriority w:val="29"/>
    <w:rPr>
      <w:i/>
    </w:rPr>
  </w:style>
  <w:style w:type="paragraph" w:styleId="762">
    <w:name w:val="Intense Quote"/>
    <w:basedOn w:val="912"/>
    <w:next w:val="912"/>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13"/>
    <w:link w:val="918"/>
    <w:uiPriority w:val="99"/>
  </w:style>
  <w:style w:type="character" w:styleId="765">
    <w:name w:val="Footer Char"/>
    <w:basedOn w:val="913"/>
    <w:link w:val="917"/>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917"/>
    <w:uiPriority w:val="99"/>
  </w:style>
  <w:style w:type="table" w:styleId="768">
    <w:name w:val="Table Grid"/>
    <w:basedOn w:val="9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5">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6">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7">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8">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9">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0">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7">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0">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1">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2">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3">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4">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5">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7">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8">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9">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0">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1">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2">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1">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2">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3">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4">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5">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6">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8">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9">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0">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1">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2">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3">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5">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6">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7">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8">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9">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0">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2">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6">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3"/>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3"/>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jc w:val="both"/>
      <w:widowControl w:val="off"/>
    </w:pPr>
    <w:rPr>
      <w:rFonts w:ascii="Calibri" w:hAnsi="Calibri" w:eastAsia="宋体" w:cs="Times New Roman"/>
      <w:sz w:val="21"/>
      <w:szCs w:val="24"/>
      <w:lang w:val="en-US" w:eastAsia="zh-CN" w:bidi="ar-SA"/>
    </w:rPr>
  </w:style>
  <w:style w:type="character" w:styleId="913" w:default="1">
    <w:name w:val="Default Paragraph Font"/>
    <w:uiPriority w:val="0"/>
    <w:semiHidden/>
  </w:style>
  <w:style w:type="table" w:styleId="914" w:default="1">
    <w:name w:val="Normal Table"/>
    <w:uiPriority w:val="0"/>
    <w:semiHidden/>
    <w:qFormat/>
    <w:tblPr>
      <w:tblCellMar>
        <w:left w:w="108" w:type="dxa"/>
        <w:top w:w="0" w:type="dxa"/>
        <w:right w:w="108" w:type="dxa"/>
        <w:bottom w:w="0" w:type="dxa"/>
      </w:tblCellMar>
    </w:tblPr>
  </w:style>
  <w:style w:type="paragraph" w:styleId="915">
    <w:name w:val="annotation text"/>
    <w:basedOn w:val="912"/>
    <w:uiPriority w:val="99"/>
    <w:semiHidden/>
    <w:unhideWhenUsed/>
    <w:qFormat/>
    <w:pPr>
      <w:jc w:val="left"/>
    </w:pPr>
  </w:style>
  <w:style w:type="paragraph" w:styleId="916">
    <w:name w:val="Plain Text"/>
    <w:basedOn w:val="912"/>
    <w:uiPriority w:val="0"/>
    <w:qFormat/>
    <w:rPr>
      <w:rFonts w:ascii="宋体" w:hAnsi="Courier New" w:cs="Courier New"/>
    </w:rPr>
  </w:style>
  <w:style w:type="paragraph" w:styleId="917">
    <w:name w:val="Footer"/>
    <w:basedOn w:val="912"/>
    <w:uiPriority w:val="0"/>
    <w:pPr>
      <w:jc w:val="left"/>
      <w:tabs>
        <w:tab w:val="center" w:pos="4153" w:leader="none"/>
        <w:tab w:val="right" w:pos="8306" w:leader="none"/>
      </w:tabs>
    </w:pPr>
    <w:rPr>
      <w:sz w:val="18"/>
    </w:rPr>
  </w:style>
  <w:style w:type="paragraph" w:styleId="918">
    <w:name w:val="Header"/>
    <w:basedOn w:val="912"/>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19">
    <w:name w:val="Normal (Web)"/>
    <w:basedOn w:val="912"/>
    <w:uiPriority w:val="0"/>
    <w:qFormat/>
    <w:pPr>
      <w:ind w:left="0" w:right="0"/>
      <w:jc w:val="left"/>
      <w:spacing w:before="100" w:beforeAutospacing="1" w:after="100" w:afterAutospacing="1"/>
    </w:pPr>
    <w:rPr>
      <w:sz w:val="24"/>
      <w:lang w:val="en-US" w:eastAsia="zh-CN" w:bidi="ar"/>
    </w:rPr>
  </w:style>
  <w:style w:type="character" w:styleId="920">
    <w:name w:val="Strong"/>
    <w:basedOn w:val="913"/>
    <w:uiPriority w:val="0"/>
    <w:qFormat/>
    <w:rPr>
      <w:b/>
    </w:rPr>
  </w:style>
  <w:style w:type="paragraph" w:styleId="921" w:customStyle="1">
    <w:name w:val="列出段落1"/>
    <w:basedOn w:val="912"/>
    <w:uiPriority w:val="0"/>
    <w:qFormat/>
    <w:pPr>
      <w:contextualSpacing/>
      <w:ind w:left="720"/>
      <w:jc w:val="left"/>
      <w:widowControl/>
    </w:pPr>
    <w:rPr>
      <w:rFonts w:ascii="Calibri" w:hAnsi="Calibri"/>
      <w:sz w:val="24"/>
      <w:szCs w:val="24"/>
      <w:lang w:eastAsia="en-US" w:bidi="en-US"/>
    </w:rPr>
  </w:style>
  <w:style w:type="paragraph" w:styleId="922" w:customStyle="1">
    <w:name w:val="正文缩进1"/>
    <w:basedOn w:val="912"/>
    <w:uiPriority w:val="0"/>
    <w:qFormat/>
    <w:pPr>
      <w:ind w:firstLine="420"/>
    </w:pPr>
    <w:rPr>
      <w:szCs w:val="21"/>
    </w:rPr>
  </w:style>
  <w:style w:type="paragraph" w:styleId="923" w:customStyle="1">
    <w:name w:val="批注文字1"/>
    <w:basedOn w:val="912"/>
    <w:uiPriority w:val="0"/>
    <w:unhideWhenUsed/>
    <w:qFormat/>
    <w:pPr>
      <w:jc w:val="left"/>
    </w:pPr>
  </w:style>
  <w:style w:type="character" w:styleId="924" w:customStyle="1">
    <w:name w:val="超链接1"/>
    <w:uiPriority w:val="0"/>
    <w:qFormat/>
    <w:rPr>
      <w:color w:val="0000ff"/>
      <w:u w:val="single"/>
    </w:rPr>
  </w:style>
  <w:style w:type="paragraph" w:styleId="925" w:customStyle="1">
    <w:name w:val="正文文本1"/>
    <w:basedOn w:val="912"/>
    <w:uiPriority w:val="0"/>
    <w:qFormat/>
    <w:rPr>
      <w:rFonts w:ascii="楷体_GB2312" w:hAnsi="Arial" w:eastAsia="楷体_GB2312"/>
      <w:sz w:val="28"/>
      <w:szCs w:val="28"/>
    </w:rPr>
  </w:style>
  <w:style w:type="paragraph" w:styleId="926" w:customStyle="1">
    <w:name w:val="页眉1"/>
    <w:basedOn w:val="912"/>
    <w:uiPriority w:val="0"/>
    <w:qFormat/>
    <w:pPr>
      <w:jc w:val="center"/>
      <w:tabs>
        <w:tab w:val="center" w:pos="4153" w:leader="none"/>
        <w:tab w:val="right" w:pos="8306" w:leader="none"/>
      </w:tabs>
      <w:pBdr>
        <w:bottom w:val="single" w:color="000000" w:sz="6" w:space="1"/>
      </w:pBdr>
    </w:pPr>
    <w:rPr>
      <w:sz w:val="18"/>
      <w:szCs w:val="18"/>
    </w:rPr>
  </w:style>
  <w:style w:type="paragraph" w:styleId="927" w:customStyle="1">
    <w:name w:val="页脚1"/>
    <w:basedOn w:val="912"/>
    <w:uiPriority w:val="0"/>
    <w:qFormat/>
    <w:pPr>
      <w:jc w:val="left"/>
      <w:tabs>
        <w:tab w:val="center" w:pos="4153" w:leader="none"/>
        <w:tab w:val="right" w:pos="8306" w:leader="none"/>
      </w:tabs>
    </w:pPr>
    <w:rPr>
      <w:sz w:val="18"/>
      <w:szCs w:val="18"/>
    </w:rPr>
  </w:style>
  <w:style w:type="character" w:styleId="928" w:customStyle="1">
    <w:name w:val="页码1"/>
    <w:uiPriority w:val="0"/>
    <w:qFormat/>
  </w:style>
  <w:style w:type="numbering" w:styleId="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省厅技侦卞小强</dc:creator>
  <cp:lastModifiedBy>时富荣</cp:lastModifiedBy>
  <cp:revision>6</cp:revision>
  <dcterms:created xsi:type="dcterms:W3CDTF">2025-11-05T09:41:00Z</dcterms:created>
  <dcterms:modified xsi:type="dcterms:W3CDTF">2026-01-19T01:15:46Z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952E423C3D2845E0B1F1775BD5AC151C</vt:lpwstr>
  </property>
  <property fmtid="{D5CDD505-2E9C-101B-9397-08002B2CF9AE}" pid="4" name="KSOTemplateDocerSaveRecord">
    <vt:lpwstr>eyJoZGlkIjoiNjczYzBkODdiODg3MzliMTg5YmZmNWRhY2ZiNWNhMDUiLCJ1c2VySWQiOiIxNTU2Mjc3MzAzIn0=</vt:lpwstr>
  </property>
</Properties>
</file>