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竞争性谈判文件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41" w:right="0" w:hanging="150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项目名称：2025年延令街道机关食堂净菜配送及食材采购服务项目</w:t>
      </w:r>
      <w:r/>
    </w:p>
    <w:p>
      <w:pPr>
        <w:ind w:left="0" w:right="0" w:firstLine="60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2241" w:right="0" w:hanging="150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项目编号：JSZC-321283-GXGL-T2025-0038</w:t>
      </w:r>
      <w:r/>
    </w:p>
    <w:p>
      <w:pPr>
        <w:ind w:left="2241" w:right="0" w:hanging="150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 w:right="0" w:firstLine="2"/>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采购人：泰兴市人民政府延令街道办事处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代理机构：江苏国兴建设项目管理有限公司</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2025年8月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线上评审响应文件制作提交说明</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http://www.ccgp-jiangsu.gov.cn/jiangsu/zlxz/ee/ee3a4bc5a3454aa2b0d9312230633ce9.html</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竞争性谈判公告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8"/>
          <w:u w:val="single"/>
        </w:rPr>
        <w:t xml:space="preserve">2025年延令街道机关食堂净菜配送及食材采购服务项目</w:t>
      </w:r>
      <w:r>
        <w:rPr>
          <w:rFonts w:ascii="SimSun" w:hAnsi="SimSun" w:eastAsia="SimSun" w:cs="SimSun"/>
          <w:color w:val="000000"/>
          <w:sz w:val="28"/>
        </w:rPr>
        <w:t xml:space="preserve">（</w:t>
      </w:r>
      <w:r>
        <w:rPr>
          <w:rFonts w:ascii="SimSun" w:hAnsi="SimSun" w:eastAsia="SimSun" w:cs="SimSun"/>
          <w:color w:val="000000"/>
          <w:sz w:val="28"/>
          <w:u w:val="single"/>
        </w:rPr>
        <w:t xml:space="preserve">JSZC-321283-GXGL-T2025-0038</w:t>
      </w:r>
      <w:r>
        <w:rPr>
          <w:rFonts w:ascii="SimSun" w:hAnsi="SimSun" w:eastAsia="SimSun" w:cs="SimSun"/>
          <w:color w:val="000000"/>
          <w:sz w:val="28"/>
        </w:rPr>
        <w:t xml:space="preserve">）的潜在供应商应在</w:t>
      </w:r>
      <w:r>
        <w:rPr>
          <w:rFonts w:ascii="SimSun" w:hAnsi="SimSun" w:eastAsia="SimSun" w:cs="SimSun"/>
          <w:color w:val="000000"/>
          <w:sz w:val="28"/>
          <w:u w:val="single"/>
        </w:rPr>
        <w:t xml:space="preserve">“苏采云”政府采购一体化平台</w:t>
      </w:r>
      <w:r>
        <w:rPr>
          <w:rFonts w:ascii="SimSun" w:hAnsi="SimSun" w:eastAsia="SimSun" w:cs="SimSun"/>
          <w:color w:val="000000"/>
          <w:sz w:val="28"/>
        </w:rPr>
        <w:t xml:space="preserve">获取竞争性谈判文件，并于</w:t>
      </w:r>
      <w:r>
        <w:rPr>
          <w:rFonts w:ascii="SimSun" w:hAnsi="SimSun" w:eastAsia="SimSun" w:cs="SimSun"/>
          <w:color w:val="000000"/>
          <w:sz w:val="28"/>
          <w:u w:val="single"/>
        </w:rPr>
        <w:t xml:space="preserve">2025年9月3日15点00分</w:t>
      </w:r>
      <w:r>
        <w:rPr>
          <w:rFonts w:ascii="SimSun" w:hAnsi="SimSun" w:eastAsia="SimSun" w:cs="SimSun"/>
          <w:color w:val="000000"/>
          <w:sz w:val="28"/>
        </w:rPr>
        <w:t xml:space="preserve">（北京时间）前提交响应文件。</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1.项目编号：JSZC-321283-GXGL-T2025-0038</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2.项目名称：</w:t>
      </w:r>
      <w:r>
        <w:rPr>
          <w:rFonts w:ascii="SimSun" w:hAnsi="SimSun" w:eastAsia="SimSun" w:cs="SimSun"/>
          <w:color w:val="000000"/>
          <w:spacing w:val="-14"/>
          <w:sz w:val="28"/>
        </w:rPr>
        <w:t xml:space="preserve">2025年延令街道机关食堂净菜配送及食材采购服务项目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3.采购方式：☑竞争性谈判 □竞争性磋商 □询价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4.预算金额：120万元/年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5.采购最低优惠率报价：5%</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注:苏采云系统仅支持优惠率报价，本项目</w:t>
      </w:r>
      <w:r>
        <w:rPr>
          <w:rFonts w:ascii="SimSun" w:hAnsi="SimSun" w:eastAsia="SimSun" w:cs="SimSun"/>
          <w:color w:val="000000"/>
          <w:sz w:val="28"/>
        </w:rPr>
        <w:t xml:space="preserve">采购最低优惠率报价</w:t>
      </w:r>
      <w:r>
        <w:rPr>
          <w:rFonts w:ascii="SimSun" w:hAnsi="SimSun" w:eastAsia="SimSun" w:cs="SimSun"/>
          <w:b/>
          <w:color w:val="000000"/>
          <w:sz w:val="28"/>
        </w:rPr>
        <w:t xml:space="preserve">为5%,供应商报价优惠率应≥5%,否则视为无效投标。投标折扣率=1-投标优惠率，请各投标人谨慎报价。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6.采购需求：根据采购人要求，为泰兴市人民政府延令街道办事处机关食堂进行净菜配送、提供食材及相关的配套服务</w:t>
      </w:r>
      <w:r>
        <w:rPr>
          <w:rFonts w:ascii="SimSun" w:hAnsi="SimSun" w:eastAsia="SimSun" w:cs="SimSun"/>
          <w:color w:val="000000"/>
          <w:sz w:val="21"/>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7.合同履行期限：三年（合同一年一签，在各项考核合格且甲乙双方协商一致后续签下一年合同）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8.付款方式：配送菜品货款按每季度结算一次，结算周期为三个自然月，当期应付货款在下个结算周期开始后的 15 个日历天内支付完成。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结算金额=当期交付的各产品数量×菜品单价×（1-优惠率）×（服务考核平均分</w:t>
      </w:r>
      <w:r>
        <w:rPr>
          <w:rFonts w:ascii="Arial" w:hAnsi="Arial" w:eastAsia="Arial" w:cs="Arial"/>
          <w:color w:val="000000"/>
          <w:sz w:val="28"/>
        </w:rPr>
        <w:t xml:space="preserve">÷</w:t>
      </w:r>
      <w:r>
        <w:rPr>
          <w:rFonts w:ascii="SimSun" w:hAnsi="SimSun" w:eastAsia="SimSun" w:cs="SimSun"/>
          <w:color w:val="000000"/>
          <w:sz w:val="28"/>
        </w:rPr>
        <w:t xml:space="preserve">100）（菜品单价以当地市场价为准，每季按实结算。结算时供应商需提供每次的采购清单，经采购人核实无误签字后提供发票结算。注：若实际结算金额超过预算金额，超过的部分不予结算）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9.本项目（</w:t>
      </w:r>
      <w:r>
        <w:rPr>
          <w:rFonts w:ascii="SimSun" w:hAnsi="SimSun" w:eastAsia="SimSun" w:cs="SimSun"/>
          <w:i/>
          <w:color w:val="000000"/>
          <w:sz w:val="28"/>
        </w:rPr>
        <w:t xml:space="preserve">是/否</w:t>
      </w:r>
      <w:r>
        <w:rPr>
          <w:rFonts w:ascii="SimSun" w:hAnsi="SimSun" w:eastAsia="SimSun" w:cs="SimSun"/>
          <w:color w:val="000000"/>
          <w:sz w:val="28"/>
        </w:rPr>
        <w:t xml:space="preserve">）接受联合体：</w:t>
      </w:r>
      <w:r>
        <w:rPr>
          <w:rFonts w:ascii="SimSun" w:hAnsi="SimSun" w:eastAsia="SimSun" w:cs="SimSun"/>
          <w:i/>
          <w:color w:val="000000"/>
          <w:sz w:val="28"/>
        </w:rPr>
        <w:t xml:space="preserve">否</w:t>
      </w:r>
      <w:r>
        <w:rPr>
          <w:rFonts w:ascii="SimSun" w:hAnsi="SimSun" w:eastAsia="SimSun" w:cs="SimSun"/>
          <w:color w:val="000000"/>
          <w:sz w:val="28"/>
        </w:rPr>
        <w:t xml:space="preserve">。</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1.满足《中华人民共和国政府采购法》第二十二条规定；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2.落实政府采购政策需满足的资格要求：本项目为非专门面向中小企业的项目。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3.本项目的特定资格要求：供应商须具有有效的《食品经营许可证》或《食品生产许可证》或《食品流通许可证》。</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三、获取谈判文件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时间：2025年8月28日至2025年9月1日，每天上午8:30至12:00，下午14:30至18:00（北京时间，法定节假日除外 ）</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地点：“苏采云”政府采购一体化平台。</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方式：线上获取</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截止时间：2025年9月3日15点00分（北京时间）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地点：“苏采云”政府采购一体化平台。</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五、开启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时间：2025年9月3日15点00分（北京时间）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地点：“苏采云”政府采购一体化平台。</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自本公告发布之日起3个工作日。</w:t>
      </w:r>
      <w:r/>
    </w:p>
    <w:p>
      <w:pPr>
        <w:pStyle w:val="64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七、其他补充事宜：采购信息发布媒介：江苏政府采购网（www.ccgp-jiangsu.gov.cn）。</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（3）有关本次招标的事项若存在变动或修改，敬请及时关注“江苏政府采购网”发布的更正公告。</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如潜在供应商未按上述要求操作，将自行承担所产生的风险。</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八、对本次招标提出询问，请按以下方式联系</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1.采购人信息</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名称：泰兴市人民政府延令街道办事处</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地址：江苏省泰州市泰兴市济川南路17号</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联系方式：13852886687</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2.采购代理机构信息</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 称：江苏国兴建设项目管理有限公司</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　址：泰兴市政务服务中心十楼</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联系方式：17701421886</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3.项目联系方式</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项目联系人：泰兴市人民政府延令街道办事处张建国</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话：13852886687</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项目联系人：江苏国兴建设项目管理有限公司刘雪芬</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话：17701421886</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tabs>
          <w:tab w:val="left" w:pos="3240" w:leader="none"/>
          <w:tab w:val="left" w:pos="9193" w:leader="none"/>
          <w:tab w:val="left" w:pos="982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第二章供应商须知</w:t>
      </w:r>
      <w:r/>
    </w:p>
    <w:p>
      <w:pPr>
        <w:ind w:left="0" w:right="0" w:firstLine="482"/>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供应商须知前附表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6"/>
        <w:gridCol w:w="1989"/>
        <w:gridCol w:w="6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编列内容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名称：泰兴市人民政府延令街道办事处</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地址：江苏省泰州市泰兴市济川南路17号</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联系人：张建国</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联系方式：13852886687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名称：江苏国兴建设项目管理有限公司</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地址：泰兴市政务服务中心10楼国兴办公室</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联系人：刘雪芬</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联系电话：17701421886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2025年延令街道机关食堂净菜配送及食材采购服务项目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资金来源及出资比例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资金来源：财政</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出资比例：100%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资金落实情况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已落实</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配送菜品货款按每季度结算一次，结算周期为三个自然月，当期应付货款在下个结算周期开始后的 15 个日历天内支付完成。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结算金额=当期交付的各产品数量×菜品单价×（1-优惠率）×（服务考核平均分</w:t>
            </w:r>
            <w:r>
              <w:rPr>
                <w:rFonts w:ascii="Arial" w:hAnsi="Arial" w:eastAsia="Arial" w:cs="Arial"/>
                <w:color w:val="000000"/>
                <w:sz w:val="28"/>
              </w:rPr>
              <w:t xml:space="preserve">÷</w:t>
            </w:r>
            <w:r>
              <w:rPr>
                <w:rFonts w:ascii="SimSun" w:hAnsi="SimSun" w:eastAsia="SimSun" w:cs="SimSun"/>
                <w:color w:val="000000"/>
                <w:sz w:val="28"/>
              </w:rPr>
              <w:t xml:space="preserve">100）（菜品单价以当地市场价为准，每季按实结算。结算时供应商需提供每次的采购清单，经采购人核实无误签字后提供发票结算。注：若实际结算金额超过预算金额，超过的部分不予结算）</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见竞争性谈判公告</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三年（合同一年一签，在各项考核合格且甲乙双方协商一致后续签下一年合同）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采购人要求供应商具备的特定条件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见竞争性谈判公告</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不允许</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不允许负偏离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构成竞争性谈判文件的</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其他材料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供应商要求澄清竞争性谈判文件的截止时间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2025年9月2日 18时</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提交响应性文件截止时间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2025年9月3日15时00分</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最低优惠率报价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见竞争性谈判公告</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60天</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响应文件的份数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电子响应文件壹份；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响应文件的签署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函及附录、供应商基本资格条件承诺书、中小企业声明函（若需）须加盖供应商法人章并经法定代表人或经其授权的代表签字或签章。授权代表签字或签章时，须将《法定代表人授权书》及其附件编制在响应文件中</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响应性文件递交截止时间和地点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1.本项目通过“苏采云”系统进行电子采购，即供应商响应文件从政府采购客户端工具制作并通过“苏采云”系统提交。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供应商应当通过“苏采云”系统提交数据电文形式的响应文件（即电子投标）。未进行线上响应文件提交并解密(因“苏采云”系统导致解密失败的除外)的供应商，响应无效。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“CA数字证书”的获取：供应商需办理CA锁，“CA数字证书”的办理方法详见“江苏省政府采购数字证书CA及电子签章办理指南”，网址：http://jsxcmm.com/help/ help.html。</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“苏采云”系统使用要求：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使用谷歌浏览器参与不见面开标及开标环节。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电脑需提前准备好麦克风、音响，摄像头，提前检查保证能够正常使用。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操作系统至少win7以上，建议使用win10操作系统。</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开标地点：“苏采云”系统（网址：http://jszfcg.jsczt.cn/）“开标大厅，点击“苏采云”进入系统“开标大厅”。）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2.初步审查结束后，谈判小组通过开评标系统与供应商进行谈判，供应商应及时在系统内确认。</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谈判结束后，所有继续参加谈判的供应商在规定时间内在苏采云采购系统中提交最后报价，初步审查及谈判的时长不确定，请投标供应商自行关注邮箱及报价系统，在报价系统开启后的20分钟内提交最终报价。20分钟内供应商可以对所提交的最后报价进行撤回和更改操作，未能在规定时间内完成最后报价的供应商视为放弃投标</w:t>
            </w:r>
            <w:r>
              <w:rPr>
                <w:rFonts w:ascii="SimSun" w:hAnsi="SimSun" w:eastAsia="SimSun" w:cs="SimSun"/>
                <w:color w:val="000000"/>
                <w:sz w:val="28"/>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4.供应商最终报价应在要求、服务等方面不降低的情况下，不得高于前一次报价。否则，谈判小组有权拒绝该谈判报价并不再给予报价补救机会。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5.谈判记录为本谈判文件不可分割的一部分，与其具有同等的法律效力。</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200" w:after="20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谈判小组组成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谈判小组人数：3人（含）以上单数</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成交公告媒介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江苏政府采购网（www.ccgp-jiangsu.gov.cn）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（1）履约保证金形式:以支票、汇票、本票或者金融机构、担保机构出具的保函等非现金形式。</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（2）金额：固定金额叁万元整。</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（3）缴纳时间：在确定成交供应商之后,签订采购合同前。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（4）退还时间：合同期满后无息退还。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签订合同的时间要求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自中标通知书发出之日起30天内</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9"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需要补充的其他内容</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9" w:type="dxa"/>
            <w:vAlign w:val="center"/>
            <w:textDirection w:val="lrTb"/>
            <w:noWrap w:val="false"/>
          </w:tcPr>
          <w:p>
            <w:pPr>
              <w:numPr>
                <w:ilvl w:val="0"/>
                <w:numId w:val="1"/>
              </w:numPr>
              <w:jc w:val="both"/>
              <w:spacing w:before="200" w:after="20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本项目代理服务费由成交人在领取成交通知书前代付。采购代理服务费收费标准：固定收费捌仟元整；评审费按苏财购〔2016〕48号规定，外加路费补贴。</w:t>
            </w:r>
            <w:r/>
          </w:p>
          <w:p>
            <w:pPr>
              <w:numPr>
                <w:ilvl w:val="0"/>
                <w:numId w:val="1"/>
              </w:numPr>
              <w:jc w:val="both"/>
              <w:spacing w:before="200" w:after="20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各供应商应慎重报价，不得恶意降价，若中标候选人因报价过低放弃中标或不能履约等，采购人将上报监管部门，进行不良行为公示。</w:t>
            </w:r>
            <w:r/>
          </w:p>
          <w:p>
            <w:pPr>
              <w:numPr>
                <w:ilvl w:val="0"/>
                <w:numId w:val="1"/>
              </w:numPr>
              <w:jc w:val="both"/>
              <w:spacing w:before="200" w:after="20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企业类型（小型、微型）的判定可参照《关于印发中小企业划型标准规定的通知》（工信部联企业【2011】300号）文件，本项目所属行业为人力资源服务行业。</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质疑和投诉按照《政府采购质疑和投诉办法》财政部令第94号执行</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依据《关于推动解决政府采购异常低价问题相关工作的通知》（苏财购[2025]62号文）规定：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（一）评审过程中出现下列情形之一的，评审委员会应当启动异常低价投标（响应）审查程序：</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（1）投标（响应）报价低于采购项目预算 50%的，即投标（响应）报价&lt;采购项目预算x50%；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（2）投标（响应）报价高于采购项目最低优惠率报价45%的，即投标（响应）报价＞采购项目最低优惠率报价x45%；</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（3）评审委员会认定的供应商报价过低、有可能影响产品质量或者不能诚信履约的其他情形。</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1.总则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 项目概况</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1.1.1根据《中华人民共和国政府采购法》等有关法律、法规和规章的规定，本采购项目已具备采购条件，现对本项目进行竞争性谈判采购。</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 采购人：见供应商须知前附表。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 采购代理机构：见供应商须知前附表。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 项目名称及项目编号：见供应商须知前附表。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 资金来源和落实情况及付款方式</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 资金来源及出资比例：见供应商须知前附表。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 资金落实情况：见供应商须知前附表。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1.2.3 付款方式：见供应商须知前附表。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 采购范围与合同工期</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 采购范围：见供应商须知前附表。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 合同工期：见供应商须知前附表。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 供应商资格要求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1.4.1供应商参加政府采购活动应当具备下列条件：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（1）须在中华人民共和国境内依法注册，具备独立法人资格，具有独立承担民事责任的能力。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（2）具有良好的商业信誉和健全的财务会计制度。</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（3）具有符合投标项目所需相关资质和履行合同所必需的设备和专业技术能力。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（4）参加政府采购活动前三年内，在经营活动中没有重大违法记录。需出具近3年内在经营活动中没有重大违法记录的书面声明。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（5）法律、行政法规规定的其他条件。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1.4.2采购人根据采购项目的特殊要求，规定供应商的特定条件：见供应商须知前附表。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1.4.3供应商不得存在下列情形之一：</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（l）与采购人或采购代理机构存在隶属关系或者其他利害关系；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（2）为采购项目提供了整体设计、规范编制或者项目管理、监理、检测等服务；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（3）单位负责人为同一人或者存在直接控股、管理关系的不同供应商，参加同一合同项下的政府采购活动；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（4）以联合体形式参加政府采购活动的，联合体各方再单独参加或者与其他供应商另外组成联合体参加同一合同项下的政府采购活动；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（5）处于被责令停业、财产被接管、冻结和破产状态，以及投标资格被取消或者被暂停且在暂停期内；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（6）因拖欠工人工资或者发生质量安全事故被有关部门限制在采购项目所在地承接工程的；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（7）供应商近3年内有行贿犯罪行为且被记录，或者法定代表人有行贿犯罪记录且自记录之日起未超过5年的；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（8）被“信用中国”网站（www.creditchina.gov.cn）列入失信被执行人的；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（9）被国家企业信用信息公示系统列入严重违法失信企业名单；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 费用承担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无论采购结果如何，供应商为准备和参加投标活动发生的费用自理。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 保密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参与采购项目采购活动的各方应对竞争性谈判文件和供应商响应文件中的商业和技术等秘密保密，违者应对由此造成的后果承担法律责任。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 语言文字</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响应文件使用的语言文字为中文。专用术语使用外文的，应附有中文注释。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 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所有计量均采用中华人民共和国法定计量单位。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 分包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本项目不接受分包。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1.10 偏离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1.10.1本条所称偏离为响应文件中的内容高于或者低于竞争性谈判文件中规定的技术参数、标准。低于的偏离为负偏离，即不满足、或不响应竞争性谈判文件规定的技术参数、标准；高于的为正偏离，即优于竞争性谈判文件规定的技术参数、标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1.10.2偏离的具体要求见供应商须知前附表。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 竞争性谈判文件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 竞争性谈判文件的组成</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本竞争性谈判文件包括：</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（1）竞争性谈判公告；</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（2）供应商须知；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（3）评审办法；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（4）采购需求；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（5）响应文件的编制及格式；</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（6）供应商须知前附表规定的构成竞争性谈判文件的其他材料。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 根据本章第2.2款和第2.3款对竞争性谈判文件所作的澄清、修改，构成竞争性谈判文件的组成部分。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2.1.3 供应商应认真阅读、并充分理解竞争性谈判文件的全部内容（包括所有的补充、修改内容、重要事项、格式、条款和技术规范、参数及要求等）。供应商没有对竞争性谈判文件出实质性响应将导致投标无效。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 竞争性谈判文件的澄清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供应商应仔细阅读和检查竞争性谈判文件的全部内容。如发现缺页或附件不全，应及时向采购人或采购代理机构提出，以便补齐。如有疑问，应在供应商须知前附表规定的时间前，要求采购人或采购代理机构对竞争性谈判文件予以澄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2.2.2竞争性谈判文件的澄清将在供应商须知前附表规定的投标截止时间前在原公告信息发布媒体公开发布，但不指明问题的来源。如果澄清内容影响响应文件编制的，将相应延长投标截止时间。</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2.2.3供应商未按澄清后的竞争性谈判文件编制的响应文件有可能被谈判小组否决。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 竞争性谈判文件的修改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采购人可以修改竞争性谈判文件，修改后的内容是竞争性谈判文件的组成部分，将在原公告信息发布媒体公开发布，修改后的竞争性谈判文件内容对潜在供应商具有约束力。如果修改内容影响响应文件编制的，将相应延长投标截止时间。</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潜在供应商应在投标截止时间前，关注竞争性谈判公告信息发布媒体有无补充文件信息。因潜在供应商自身原因不能及时获知补充文件信息的，采购人及采购代理机构不承担任何责任。潜在供应商未按修改后的竞争性谈判文件编制的响应文件有可能被谈判小组否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 最低优惠率报价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最低优惠率报价具体金额见投标须知前附表。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 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3.1响应文件的构成</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响应文件的组成：见供应商须知前附表。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w:t>
      </w:r>
      <w:r>
        <w:rPr>
          <w:rFonts w:ascii="SimSun" w:hAnsi="SimSun" w:eastAsia="SimSun" w:cs="SimSun"/>
          <w:color w:val="000000"/>
          <w:sz w:val="28"/>
        </w:rPr>
        <w:t xml:space="preserve">报价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 供应商应按竞争性谈判文件规定的技术和商务要求、责任范围和合同条件，以人民币进行报价。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 供应商只允许有一个报价，不接受选择性报价，否则，在评标时将其视为无效投标。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3.2.3供应商的报价低于超过采购项目最低优惠率报价。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3.3响应有效期</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 在供应商须知前附表规定的响应有效期内，供应商不得要求撤销或修改其响应文件。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3.3.2出现特殊情况需要延长响应有效期的，采购人以书面形式通知所有供应商。供应商同意延长的，但不得要求或被允许修改或撤销其响应文件；供应商拒绝延长的，其响应文件失效。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 谈判保证金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3.5响应文件的编制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3.5.1响应文件的编制应按第五章“响应文件编制和格式”要求进行编制，供应商需另行增加的，应将相关内容和材料编入响应文件相应章节，作为响应文件的组成部分。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3.5.2 响应文件应当对竞争性谈判文件有关合同工期、响应有效期、采购需求、采购范围等实质性内容作出响应。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3.5.3响应文件中涉及到的相关的资质、资格、业绩等材料，应按第五章“响应文件编制和格式”规定的方式编入响应文件。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3.6响应文件的签署</w:t>
      </w:r>
      <w:r/>
    </w:p>
    <w:p>
      <w:pPr>
        <w:ind w:left="0" w:right="0" w:firstLine="420"/>
        <w:spacing w:before="0" w:after="0"/>
        <w:tabs>
          <w:tab w:val="left" w:pos="-19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3.6.1 投标函等响应文件均需加盖电子签章。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3.6.2响应文件中的任何重要的插字、涂改和增删，修改处须有法定代表人或经其授权的代表的签章或签字</w:t>
      </w:r>
      <w:r>
        <w:rPr>
          <w:rFonts w:ascii="SimSun" w:hAnsi="SimSun" w:eastAsia="SimSun" w:cs="SimSun"/>
          <w:b/>
          <w:color w:val="000000"/>
          <w:sz w:val="2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 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4.1响应文件的递交</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4.1响应文件的上传</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应充分考虑网络及系统平台可能存在的非正常情况等各种风险因素，在谈判文件规定的响应截止时间前，通过江苏省政府采购管理交易系统（苏采云），完成响应文件的上传。在谈判文件规定的响应截止时间后，江苏省政府采购管理交易系统（苏采云）将不再接受响应文件的上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4.2响应文件的修改与撤回</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4.2.1在响应截止时间前，供应商可以修改或撤回已递交的响应文件。具体操作方法见《江苏省政府采购管理交易系统（苏采云）供应商操作手册》。</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4.2.2修改的响应文件应按照本采购文件规定进行编制和重新上传。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4.3响应文件的确认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供应商可以通过江苏省政府采购管理交易系统（苏采云）多次上传响应文件，以谈判文件规定的响应截止时间前，江苏省政府采购管理交易系统（苏采云）接受到的最后一份响应文件为准。</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响应文件的解密与评审</w:t>
      </w:r>
      <w:r/>
    </w:p>
    <w:p>
      <w:pPr>
        <w:numPr>
          <w:ilvl w:val="1"/>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响应文件解密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5.1.1供应商应当按照《操作手册》规定，在苏采云系统规定的时间内对谈判响应文件进行解密。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5.1.2特殊情况的处置</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5.1.3在响应截止时间后，开标系统出现下列情况之一时，项目未开标的，暂停开标活动；正在开标的，立即暂停开标，待系统恢复正常后再组织开标。</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（1）系统服务器发生故障，无法访问或无法使用系统；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（2）系统的软件或数据库出现错误，不能进行正常操作；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（3）系统发现有安全漏洞，有潜在的泄密危险；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（4）其他无法保证招响应过程公平和信息安全的情形。</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5.1.4因供应商自身原因造成响应文件无法解密的，视为撤销响应文件。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5.1.5供应商对开标过程和开标记录有疑义的，可向采购人或者采购代理机构提出。</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5.1.6供应商未在开标系统中确认开标结果的，视同认可开标结果。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5.2 谈判小组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5.2.1 评审由采购人依法组建的谈判小组负责。谈判小组由采购人代表，以及有关方面的专家组成。具体人数见供应商须知前附表。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5.2.2 谈判小组成员有下列情形之一的，应当回避：</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（1）供应商或供应商主要负责人的近亲属；</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（2）项目主管部门或者行政监督部门的人员；</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（3）与供应商有经济利益关系；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（4）曾因在招标、评标以及其他与招标投标有关活动中从事违法行为而受过行政处罚或刑事处罚的；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（5）与供应商有其他利害关系。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5.3 评审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5.3.1谈判小组将本着公平、公正、审慎的原则，严格按照法律法规和采购文件要求与各供应商进行评审。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5.3.2谈判小组按照第三章“评审办法”规定的方法、评审因素、标准和程序对响应文件进行评审。第三章“评审办法”没有规定的方法、评审因素和标准，不得作为评审依据。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 确定成交人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6.1采购人根据评审报告，确定排名第一的成交候选人为成交人。排名第一的成交候选人出现下列情形之一的，采购人将按照谈判小组提出的中标候选人名单排序依次确定其他成交候选人为成交人。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（1）因不可抗力或者自身原因不能履行合同的；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（2）财政部门经过处理投诉举报、监督检查，认定中标结果无效的；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（3）中标人拒绝与采购人签订合同的。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6.2成交人确定后，采购人将在供应商须知前附表规定的媒介上公告成交结果，并同时发出成交通知书。成交通知书对采购人和成交人具有同等法律效力。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 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7.1 履约保证金</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成交人应按供应商须知前附表规定的履约保证金的形式、金额和提交时间向采购人提交履约保证金。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7.2签订合同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采购人和成交人在供应商须知前附表规定的时间内，根据竞争性谈判文件和成交人的响应文件订立书面合同。成交人无正当理由拒签合同的，采购人取消其中标资格，并追究其相应责任。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8.废标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出现情形之一的，采购人将予以废标，并将废标理由通知所有供应商：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（1）除财库【2014】214号文第二十一条第三款规定的情形外，符合专业条件的供应商或者对竞争性谈判文件作实质响应的供应商不足三家的；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（2）出现影响采购公正的违法、违规行为的；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（3）供应商的报价均低于了最低优惠率报价，采购人不能支付的；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（4）因重大变故，采购任务取消的。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9纪律和监督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9.1 对采购人的纪律要求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采购人不得泄漏采购活动中应当保密的情况和资料，不得与供应商串通损害国家利益、社会公共利益或者他人合法权益。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9.2 对供应商的纪律要求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供应商不得相互串通投标或者与采购人串通投标，不得向采购人或者谈判小组成员行贿谋取中标，不得以他人名义投标或者以其他方式弄虚作假骗取中标；供应商不得以任何方式干扰、影响开、评标工作。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9.3 对谈判小组成员的纪律要求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谈判小组成员不得收受他人的财物或者其他好处，不得向他人透漏对响应文件的评审和比较、中标候选人的推荐情况以及评标有关的其他情况。在谈判活动中，谈判小组成员应当客观、公正地履行职责，遵守职业道德，不得擅离职守，影响评标程序正常进行，不得使用第三章“评标办法”没有规定的评审因素和标准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9.4 对与谈判活动有关的工作人员的纪律要求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9.5 投诉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供应商和其他利害关系人认为本次采购活动违反法律、法规和规章规定的，有权向财政部门投诉。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10.需要补充的其他内容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需要补充的其他内容：见供应商须知前附表。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11.竞争性谈判文件的解释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本竞争性谈判文件的解释权属于采购人。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1"/>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第三章评审办法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一、评审准备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1.1采购人的准备工作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（1）采购人向谈判小组提供评标所需的信息和数据，包括采购文件等；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（2）有关的法律、法规、规章、国家标准以及谈判小组认为必要的其他信息和数据。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1.2谈判小组的准备工作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（1）谈判小组成员到达评标现场时，须填写评标专家回避确认表，以确认参加本次评标工作无需要回避的情况。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（2）推荐谈判小组组长。谈判小组组长由谈判小组推选。谈判小组组长负责评标活动的组织领导工作，具有与谈判小组其他成员同等的表决权。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谈判小组组长组织谈判小组成员认真研究谈判文件，了解和熟悉采购目的、采购范围、主要合同条件、服务标准和要求、质量标准和合同履行期限要求等，掌握评标标准和方法，熟悉相关评标表格的使用，如果表格不能满足评标所需时，谈判小组应补充编制评标所需的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二、评审办法前附表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2.1资格性审查</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1"/>
        <w:gridCol w:w="1076"/>
        <w:gridCol w:w="2365"/>
        <w:gridCol w:w="272"/>
        <w:gridCol w:w="4587"/>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条款号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评审标准</w:t>
            </w:r>
            <w:r/>
          </w:p>
        </w:tc>
      </w:tr>
      <w:tr>
        <w:trPr>
          <w:trHeight w:val="30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响应文件初审</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资格性检查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55" w:right="44" w:firstLine="0"/>
              <w:jc w:val="center"/>
              <w:spacing w:before="2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具有独立承担民事责任的能力</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具备有效的营业执照，且名称与投标人名称一致。</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基本资格条件的承诺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9"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根据供应商提供的承诺书，内容完整且具有法人及法定代表人的印章。（内容及格式参照第六章《供应商基本资格条件承诺书》）</w:t>
            </w:r>
            <w:r/>
          </w:p>
        </w:tc>
      </w:tr>
      <w:tr>
        <w:trPr>
          <w:trHeight w:val="8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落实政府采购政策需满足的资格要求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9"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本项目为非专门面向中小企业的项目。</w:t>
            </w:r>
            <w:r/>
          </w:p>
        </w:tc>
      </w:tr>
      <w:tr>
        <w:trPr>
          <w:trHeight w:val="9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采购人根据本项目特点，要求供应商具备的条件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9"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供应商须具有有效的《食品经营许可证》或《食品生产许可证》或《食品流通许可证》</w:t>
            </w:r>
            <w:r/>
          </w:p>
        </w:tc>
      </w:tr>
      <w:tr>
        <w:trPr>
          <w:trHeight w:val="48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1"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资格性评审由谈判小组负责，响应文件不符合评审标准之一的，评审结论为不合格。</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2.2符合性审查</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4"/>
        <w:gridCol w:w="1030"/>
        <w:gridCol w:w="2662"/>
        <w:gridCol w:w="4728"/>
      </w:tblGrid>
      <w:tr>
        <w:trPr>
          <w:trHeight w:val="42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评审标准</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有且只有一个有效报价，本项目报价为下浮率报价，投标报价不得低于采购最低优惠率报价</w:t>
            </w:r>
            <w:r/>
          </w:p>
        </w:tc>
      </w:tr>
      <w:tr>
        <w:trPr>
          <w:trHeight w:val="49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技术要求</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如谈判后技术要求有变动的，按谈判后确定的技术要求提供相应材料</w:t>
            </w:r>
            <w:r/>
          </w:p>
        </w:tc>
      </w:tr>
      <w:tr>
        <w:trPr>
          <w:trHeight w:val="46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商务要求</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如谈判后商务要求有变动的，按谈判后确定的商务要求提供相应材料</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符合性评审由谈判小组负责，响应文件不符合评审标准之一的，评审结论为不合格。</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三、确定进入谈判的供应商名单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3.1初步评审中，资格审查和符合性评审的结果出现不合格的情形时，初步评审的结果为不合格，反之，初步评审的结果为合格，合格的供应商进入谈判程序。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3.2初步评审的结果为不合格的，作无效标处理，不再转入下步谈判程序。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四、谈判程序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 谈判小组邀请通过资格审查和符合性审查的供应商分别进行谈判。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4.2谈判的内容包括而不限于本文件采购需求明确的服务需求、人员配置、安全生产等，但谈判的内容须基于或优于采购需求确定的内容和标准。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4.3谈判环节中，供应商应及时关注苏采云系统，未在规定时间内及时响应谈判要求的，视作响应谈判小组通过谈判形成的采购需求。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4.4谈判小组根据谈判的结果，形成经过谈判后的采购需求，并提供给所有参加谈判的供应商。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4.5谈判小组提供的经谈判后确定的采购需求是供应商报价的依据。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4.6供应商按照谈判小组的要求，在规定的时间内，通过“苏采云”系统提交最终报价。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4.7 最终确定成交供应商。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五、谈判、评审及成交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1、对响应文件响应性的审查和确定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1.1谈判小组将对响应文件进行审查、质疑、询问、评估、比较和评定。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1.2谈判小组将依据法律法规和采购文件的规定,对供应商响应文件进行资格性检查和符合性检查,审查标准详见评审办法前附表，以确定是否符合参加谈判的资格和实质性响应采购文件的要求。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1.3谈判小组将审查响应文件是否对谈判采购文件做出了实质性响应而没有重大偏离。重大偏离的认定需经过谈判小组三分之二及以上成员的认定。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1.4被认定为非响应性的响应文件的情形：</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（1）资格性审查、符合性审查未通过的；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（2）不符合法律、法规和采购文件中规定的实质性要求的；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（3）其他法律、法规及本采购文件规定的以及与本采购文件所规定的技术和商务条款经谈判小组三分之二以上成员认定出现重大负偏离的情形。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2、响应文件内容的澄清和修改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谈判小组在谈判时将会要求供应商对其响应文件内容进行澄清或修改。谈判小组将允许修正响应文件中不构成重大偏离的、微小的、非正规的、不一致的或不规则的地方，但这些修改不能影响任何供应商相应的名次排列。</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2.2供应商所作的重要承诺均应补充以书面形式确认，并由其法定代表人或授权代表签署，作为响应文件的一部分，对供应商有约束力。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2.3供应商必须对谈判小组的澄清和修改要求做出明确响应，否则由此产生的任何不利于供应商的后果由其自行承担。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2.4除非谈判小组主动要求，谈判以外的任何时候供应商均不得就谈判事宜与谈判小组联系。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接到谈判小组澄清、说明和更正要求的供应商如未按规定做出澄清、说明和更正，其风险由供应商自行承担。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3、成交原则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w:t>
      </w:r>
      <w:r>
        <w:rPr>
          <w:rFonts w:ascii="SimSun" w:hAnsi="SimSun" w:eastAsia="SimSun" w:cs="SimSun"/>
          <w:b/>
          <w:color w:val="000000"/>
          <w:sz w:val="28"/>
        </w:rPr>
        <w:t xml:space="preserve">采购代理机构或采购人代表将通过苏采云采购系统提示符合要求的投标供应商进行最终报价。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 </w:t>
      </w:r>
      <w:r>
        <w:rPr>
          <w:rFonts w:ascii="SimSun" w:hAnsi="SimSun" w:eastAsia="SimSun" w:cs="SimSun"/>
          <w:b/>
          <w:color w:val="000000"/>
          <w:sz w:val="28"/>
        </w:rPr>
        <w:t xml:space="preserve">谈判最终报价将作为评审确定中标的依据。谈判承诺及书面报价均须由法定代表人或其授权代表签字确认。</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 供应商最后一次报价或最终报价应在要求、服务等方面不降低的情况下，不得高于前一次报价（本项目为优惠率报价，供应商的最后一次优惠率报价需高于前一次优惠率报价）。否则，谈判小组有权拒绝该谈判报价并不再给予报价补救机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3.4谈判小组应当从进入谈判的供应商中按采购需求、质量和服务均能满足本谈判文件实质性要求，且报价最低（本项目为优惠率报价，优惠率报价最高即报价最低）的原则确定成交供应商；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3.5如出现两个或两个以上实质性响应谈判文件要求且报价均为最低的供应商，则按苏采云系统中的顺序由采购人抽签确定成交供应商；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3.6所有供应商的报价均保留两位小数。</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3.7谈判的任何一方在未征得另一方同意的情况下，不得向第三方透露与谈判有关的一切技术资料、价格或其他信息。</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3.8进入谈判程序的递交响应文件或符合项目资格条件的供应商不足三家时，按政府采购相关规定执行。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6.1采购人或采购代理机构向成交供应商发出成交通知书，并在指定网站发布成交公告。</w:t>
      </w:r>
      <w:r/>
    </w:p>
    <w:p>
      <w:pPr>
        <w:ind w:left="0" w:right="0" w:firstLine="4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6.2成交供应商应按成交通知书规定的时间、地点，按照采购文件确定的事项与采购人签订政府采购合同，且不得迟于成交通知书发出之日起</w:t>
      </w:r>
      <w:r>
        <w:rPr>
          <w:rFonts w:ascii="SimSun" w:hAnsi="SimSun" w:eastAsia="SimSun" w:cs="SimSun"/>
          <w:b/>
          <w:color w:val="000000"/>
          <w:sz w:val="28"/>
          <w:u w:val="single"/>
        </w:rPr>
        <w:t xml:space="preserve">三十日内</w:t>
      </w:r>
      <w:r>
        <w:rPr>
          <w:rFonts w:ascii="SimSun" w:hAnsi="SimSun" w:eastAsia="SimSun" w:cs="SimSun"/>
          <w:color w:val="000000"/>
          <w:sz w:val="28"/>
        </w:rPr>
        <w:t xml:space="preserve">，如不执行由此给采购人造成损失的，成交供应商应承担相应赔偿责任。</w:t>
      </w:r>
      <w:r/>
    </w:p>
    <w:p>
      <w:pPr>
        <w:ind w:left="0" w:right="0" w:firstLine="4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6.3排名第一的成交供应商因不可抗力或者自身原因不能履行政府采购合同或在规定时间内未签订合同的，采购人可以与排名第二、第三的成交候选供应商签订政府采购合同。</w:t>
      </w:r>
      <w:r/>
    </w:p>
    <w:p>
      <w:pPr>
        <w:ind w:left="0" w:right="0" w:firstLine="4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6.4成交供应商有如下情况之一的：在成交后无正当理由不与采购人签订合同的；未经采购人同意，将成交项目分包给他人的；拒绝履行合同义务的。由此给采购人造成损失的，成交供应商还应承担赔偿责任；情节严重的，按政府采购相应条款进行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七、质疑和投诉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7.2质疑必须是参加谈判供应商法定代表人或授权代表以谈判文件中所确定的送达方式提交，未按上述要求提交的质疑函（含传真、电子邮件等）采购人有权不予受理。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7.3未参加谈判的供应商或在谈判活动中本身权益未受到损害或从谈判活动中收益的供应商所提出的质疑也不予受理。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7.4采购人将在收到供应商的书面质疑后七个工作日内作出答复，并以书面形式通知质疑供应商和其他有关供应商，但答复的内容不得涉及商业秘密。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7.5供应商提出书面质疑必须有理、有据，不得恶意质疑或提交虚假质疑。否则，一经查实，采购人有权依据政府采购的有关规定，报请政府采购监督管理部门对该供应商进行相应的行政处罚。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1"/>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采购需求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一、配送服务地点：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时间为：每工作日上午8：10之前，采购人可以根据实际情况调整。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本项目配送服务地点为：泰兴市人民政府延令街道办事处机关食堂。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根据采购人要求，为泰兴市人民政府延令街道办事处机关食堂进行净菜配送、提供食材及相关的配套服务。</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采购物料品种、规格及最低优惠率报价：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4720"/>
        <w:gridCol w:w="1339"/>
        <w:gridCol w:w="2507"/>
      </w:tblGrid>
      <w:tr>
        <w:trPr>
          <w:trHeight w:val="421"/>
        </w:trPr>
        <w:tc>
          <w:tcPr>
            <w:tcBorders>
              <w:top w:val="single" w:color="000000" w:sz="12" w:space="0"/>
              <w:left w:val="single" w:color="000000" w:sz="12" w:space="0"/>
              <w:bottom w:val="single" w:color="000000" w:sz="12" w:space="0"/>
              <w:right w:val="single" w:color="000000" w:sz="12" w:space="0"/>
            </w:tcBorders>
            <w:tcMar>
              <w:left w:w="0" w:type="dxa"/>
              <w:top w:w="0" w:type="dxa"/>
              <w:right w:w="0" w:type="dxa"/>
              <w:bottom w:w="0" w:type="dxa"/>
            </w:tcMar>
            <w:tcW w:w="784" w:type="dxa"/>
            <w:vAlign w:val="top"/>
            <w:textDirection w:val="lrTb"/>
            <w:noWrap w:val="false"/>
          </w:tcPr>
          <w:p>
            <w:pPr>
              <w:ind w:left="0" w:right="164" w:firstLine="0"/>
              <w:jc w:val="right"/>
              <w:spacing w:before="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12" w:space="0"/>
              <w:left w:val="single" w:color="000000" w:sz="12" w:space="0"/>
              <w:bottom w:val="single" w:color="000000" w:sz="12" w:space="0"/>
              <w:right w:val="single" w:color="000000" w:sz="8" w:space="0"/>
            </w:tcBorders>
            <w:tcMar>
              <w:left w:w="0" w:type="dxa"/>
              <w:top w:w="0" w:type="dxa"/>
              <w:right w:w="0" w:type="dxa"/>
              <w:bottom w:w="0" w:type="dxa"/>
            </w:tcMar>
            <w:tcW w:w="4720" w:type="dxa"/>
            <w:vAlign w:val="top"/>
            <w:textDirection w:val="lrTb"/>
            <w:noWrap w:val="false"/>
          </w:tcPr>
          <w:p>
            <w:pPr>
              <w:ind w:left="92" w:right="75" w:firstLine="0"/>
              <w:jc w:val="center"/>
              <w:spacing w:before="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12" w:space="0"/>
              <w:left w:val="none" w:color="000000" w:sz="4" w:space="0"/>
              <w:bottom w:val="single" w:color="000000" w:sz="12" w:space="0"/>
              <w:right w:val="single" w:color="000000" w:sz="8" w:space="0"/>
            </w:tcBorders>
            <w:tcMar>
              <w:left w:w="0" w:type="dxa"/>
              <w:top w:w="0" w:type="dxa"/>
              <w:right w:w="0" w:type="dxa"/>
              <w:bottom w:w="0" w:type="dxa"/>
            </w:tcMar>
            <w:tcW w:w="1339" w:type="dxa"/>
            <w:vAlign w:val="top"/>
            <w:textDirection w:val="lrTb"/>
            <w:noWrap w:val="false"/>
          </w:tcPr>
          <w:p>
            <w:pPr>
              <w:ind w:left="0" w:right="143" w:firstLine="0"/>
              <w:jc w:val="center"/>
              <w:spacing w:before="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规格、包装</w:t>
            </w:r>
            <w:r/>
          </w:p>
        </w:tc>
        <w:tc>
          <w:tcPr>
            <w:tcBorders>
              <w:top w:val="single" w:color="000000" w:sz="12" w:space="0"/>
              <w:left w:val="none" w:color="000000" w:sz="4" w:space="0"/>
              <w:bottom w:val="single" w:color="000000" w:sz="12" w:space="0"/>
              <w:right w:val="single" w:color="000000" w:sz="12" w:space="0"/>
            </w:tcBorders>
            <w:tcMar>
              <w:left w:w="0" w:type="dxa"/>
              <w:top w:w="0" w:type="dxa"/>
              <w:right w:w="0" w:type="dxa"/>
              <w:bottom w:w="0" w:type="dxa"/>
            </w:tcMar>
            <w:tcW w:w="2507" w:type="dxa"/>
            <w:vAlign w:val="top"/>
            <w:textDirection w:val="lrTb"/>
            <w:noWrap w:val="false"/>
          </w:tcPr>
          <w:p>
            <w:pPr>
              <w:ind w:left="104" w:right="57" w:firstLine="0"/>
              <w:jc w:val="center"/>
              <w:spacing w:before="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最低优惠率报价</w:t>
            </w:r>
            <w:r/>
          </w:p>
        </w:tc>
      </w:tr>
      <w:tr>
        <w:trPr>
          <w:trHeight w:val="272"/>
        </w:trPr>
        <w:tc>
          <w:tcPr>
            <w:gridSpan w:val="4"/>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9351" w:type="dxa"/>
            <w:vAlign w:val="top"/>
            <w:textDirection w:val="lrTb"/>
            <w:noWrap w:val="false"/>
          </w:tcPr>
          <w:p>
            <w:pPr>
              <w:ind w:left="107" w:right="0" w:firstLine="0"/>
              <w:spacing w:before="200" w:after="20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（一）蔬菜类产品</w:t>
            </w:r>
            <w:r/>
          </w:p>
        </w:tc>
      </w:tr>
      <w:tr>
        <w:trPr>
          <w:trHeight w:val="803"/>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5"/>
              </w:rPr>
              <w:t xml:space="preserve"> </w:t>
            </w:r>
            <w:r/>
          </w:p>
          <w:p>
            <w:pPr>
              <w:ind w:left="0" w:right="217"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107" w:right="-29" w:firstLine="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叶菜类产品（包括：西洋菜、本地菜心、水东芥菜、</w:t>
            </w:r>
            <w:r>
              <w:rPr>
                <w:rFonts w:ascii="SimSun" w:hAnsi="SimSun" w:eastAsia="SimSun" w:cs="SimSun"/>
                <w:color w:val="000000"/>
                <w:spacing w:val="-17"/>
                <w:sz w:val="21"/>
              </w:rPr>
              <w:t xml:space="preserve">通心菜、上海青、芥兰、椰菜、西芹、生菜、大白菜、</w:t>
            </w:r>
            <w:r/>
          </w:p>
          <w:p>
            <w:pPr>
              <w:ind w:left="107" w:right="0" w:firstLine="0"/>
              <w:spacing w:before="1" w:after="200" w:line="2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白苋菜、奶白菜、菠菜、花菜、蒜苔、韭菜等</w:t>
            </w:r>
            <w:r>
              <w:rPr>
                <w:rFonts w:ascii="SimSun" w:hAnsi="SimSun" w:eastAsia="SimSun" w:cs="SimSun"/>
                <w:color w:val="000000"/>
                <w:sz w:val="21"/>
              </w:rPr>
              <w:t xml:space="preserve">）</w:t>
            </w:r>
            <w:r/>
          </w:p>
        </w:tc>
        <w:tc>
          <w:tcPr>
            <w:tcBorders>
              <w:top w:val="single" w:color="000000" w:sz="8" w:space="0"/>
              <w:left w:val="none" w:color="000000" w:sz="4" w:space="0"/>
              <w:bottom w:val="single" w:color="000000" w:sz="12" w:space="0"/>
              <w:right w:val="single" w:color="000000" w:sz="8" w:space="0"/>
            </w:tcBorders>
            <w:tcMar>
              <w:left w:w="0" w:type="dxa"/>
              <w:top w:w="0" w:type="dxa"/>
              <w:right w:w="0" w:type="dxa"/>
              <w:bottom w:w="0" w:type="dxa"/>
            </w:tcMar>
            <w:tcW w:w="1339"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3"/>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按常规</w:t>
            </w:r>
            <w:r/>
          </w:p>
        </w:tc>
        <w:tc>
          <w:tcPr>
            <w:tcBorders>
              <w:top w:val="single" w:color="000000" w:sz="8" w:space="0"/>
              <w:left w:val="none" w:color="000000" w:sz="4" w:space="0"/>
              <w:bottom w:val="single" w:color="000000" w:sz="12" w:space="0"/>
              <w:right w:val="single" w:color="000000" w:sz="12" w:space="0"/>
            </w:tcBorders>
            <w:tcMar>
              <w:left w:w="0" w:type="dxa"/>
              <w:top w:w="0" w:type="dxa"/>
              <w:right w:w="0" w:type="dxa"/>
              <w:bottom w:w="0" w:type="dxa"/>
            </w:tcMar>
            <w:tcW w:w="2507"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15"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4"/>
              </w:rPr>
              <w:t xml:space="preserve"> </w:t>
            </w:r>
            <w:r/>
          </w:p>
          <w:p>
            <w:pPr>
              <w:ind w:left="0" w:right="71" w:firstLine="0"/>
              <w:jc w:val="both"/>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蔬菜类产品结算单价参照当地市场价（由成交供应商提供菜品明细及单价清单，采购人每日验收校对审核，若无同类产品，双方协商）</w:t>
            </w:r>
            <w:r/>
          </w:p>
        </w:tc>
      </w:tr>
      <w:tr>
        <w:trPr>
          <w:trHeight w:val="272"/>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0"/>
              <w:jc w:val="right"/>
              <w:spacing w:before="15" w:after="200" w:line="2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107" w:right="-29" w:firstLine="0"/>
              <w:spacing w:before="15" w:after="200" w:line="2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茄果类产品</w:t>
            </w:r>
            <w:r>
              <w:rPr>
                <w:rFonts w:ascii="SimSun" w:hAnsi="SimSun" w:eastAsia="SimSun" w:cs="SimSun"/>
                <w:color w:val="000000"/>
                <w:sz w:val="21"/>
              </w:rPr>
              <w:t xml:space="preserve">（</w:t>
            </w:r>
            <w:r>
              <w:rPr>
                <w:rFonts w:ascii="SimSun" w:hAnsi="SimSun" w:eastAsia="SimSun" w:cs="SimSun"/>
                <w:color w:val="000000"/>
                <w:spacing w:val="-15"/>
                <w:sz w:val="21"/>
              </w:rPr>
              <w:t xml:space="preserve">包括：西红柿、茄子、青尖椒、青豆角</w:t>
            </w:r>
            <w:r>
              <w:rPr>
                <w:rFonts w:ascii="SimSun" w:hAnsi="SimSun" w:eastAsia="SimSun" w:cs="SimSun"/>
                <w:color w:val="000000"/>
                <w:sz w:val="21"/>
              </w:rPr>
              <w:t xml:space="preserve">）</w:t>
            </w:r>
            <w:r/>
          </w:p>
        </w:tc>
        <w:tc>
          <w:tcPr>
            <w:vMerge w:val="continue"/>
            <w:textDirection w:val="lrTb"/>
            <w:noWrap w:val="false"/>
          </w:tcPr>
          <w:p>
            <w:r/>
            <w:r/>
          </w:p>
        </w:tc>
        <w:tc>
          <w:tcPr>
            <w:vMerge w:val="continue"/>
            <w:textDirection w:val="lrTb"/>
            <w:noWrap w:val="false"/>
          </w:tcPr>
          <w:p>
            <w:r/>
            <w:r/>
          </w:p>
        </w:tc>
      </w:tr>
      <w:tr>
        <w:trPr>
          <w:trHeight w:val="546"/>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0"/>
              <w:jc w:val="right"/>
              <w:spacing w:before="15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107" w:right="2" w:firstLine="0"/>
              <w:spacing w:before="200" w:after="200" w:line="2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瓜果类产品（包括：青皮冬瓜、南瓜、黄瓜、苦瓜、丝瓜）</w:t>
            </w:r>
            <w:r/>
          </w:p>
        </w:tc>
        <w:tc>
          <w:tcPr>
            <w:vMerge w:val="continue"/>
            <w:textDirection w:val="lrTb"/>
            <w:noWrap w:val="false"/>
          </w:tcPr>
          <w:p>
            <w:r/>
            <w:r/>
          </w:p>
        </w:tc>
        <w:tc>
          <w:tcPr>
            <w:vMerge w:val="continue"/>
            <w:textDirection w:val="lrTb"/>
            <w:noWrap w:val="false"/>
          </w:tcPr>
          <w:p>
            <w:r/>
            <w:r/>
          </w:p>
        </w:tc>
      </w:tr>
      <w:tr>
        <w:trPr>
          <w:trHeight w:val="272"/>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0"/>
              <w:jc w:val="right"/>
              <w:spacing w:before="13"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107" w:right="0" w:firstLine="0"/>
              <w:spacing w:before="13"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根茎类产品</w:t>
            </w:r>
            <w:r>
              <w:rPr>
                <w:rFonts w:ascii="SimSun" w:hAnsi="SimSun" w:eastAsia="SimSun" w:cs="SimSun"/>
                <w:color w:val="000000"/>
                <w:sz w:val="21"/>
              </w:rPr>
              <w:t xml:space="preserve">（包括：莲藕、白萝卜、红萝卜、莴笋）</w:t>
            </w:r>
            <w:r/>
          </w:p>
        </w:tc>
        <w:tc>
          <w:tcPr>
            <w:vMerge w:val="continue"/>
            <w:textDirection w:val="lrTb"/>
            <w:noWrap w:val="false"/>
          </w:tcPr>
          <w:p>
            <w:r/>
            <w:r/>
          </w:p>
        </w:tc>
        <w:tc>
          <w:tcPr>
            <w:vMerge w:val="continue"/>
            <w:textDirection w:val="lrTb"/>
            <w:noWrap w:val="false"/>
          </w:tcPr>
          <w:p>
            <w:r/>
            <w:r/>
          </w:p>
        </w:tc>
      </w:tr>
      <w:tr>
        <w:trPr>
          <w:trHeight w:val="543"/>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0"/>
              <w:jc w:val="right"/>
              <w:spacing w:before="14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107" w:right="88" w:firstLine="0"/>
              <w:spacing w:before="200" w:after="200" w:line="2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薯芋类产品（包括：土豆、甘薯、芋头、山药、荸荠</w:t>
            </w:r>
            <w:r>
              <w:rPr>
                <w:rFonts w:ascii="SimSun" w:hAnsi="SimSun" w:eastAsia="SimSun" w:cs="SimSun"/>
                <w:color w:val="000000"/>
                <w:sz w:val="21"/>
              </w:rPr>
              <w:t xml:space="preserve">等）</w:t>
            </w:r>
            <w:r/>
          </w:p>
        </w:tc>
        <w:tc>
          <w:tcPr>
            <w:vMerge w:val="continue"/>
            <w:textDirection w:val="lrTb"/>
            <w:noWrap w:val="false"/>
          </w:tcPr>
          <w:p>
            <w:r/>
            <w:r/>
          </w:p>
        </w:tc>
        <w:tc>
          <w:tcPr>
            <w:vMerge w:val="continue"/>
            <w:textDirection w:val="lrTb"/>
            <w:noWrap w:val="false"/>
          </w:tcPr>
          <w:p>
            <w:r/>
            <w:r/>
          </w:p>
        </w:tc>
      </w:tr>
      <w:tr>
        <w:trPr>
          <w:trHeight w:val="284"/>
        </w:trPr>
        <w:tc>
          <w:tcPr>
            <w:tcBorders>
              <w:top w:val="none" w:color="000000" w:sz="4" w:space="0"/>
              <w:left w:val="single" w:color="000000" w:sz="12" w:space="0"/>
              <w:bottom w:val="single" w:color="000000" w:sz="12"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0"/>
              <w:jc w:val="right"/>
              <w:spacing w:before="15"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4720" w:type="dxa"/>
            <w:vAlign w:val="top"/>
            <w:textDirection w:val="lrTb"/>
            <w:noWrap w:val="false"/>
          </w:tcPr>
          <w:p>
            <w:pPr>
              <w:ind w:left="107" w:right="0" w:firstLine="0"/>
              <w:spacing w:before="15"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其他类产品（包括：姜、葱、蒜等）</w:t>
            </w:r>
            <w:r/>
          </w:p>
        </w:tc>
        <w:tc>
          <w:tcPr>
            <w:vMerge w:val="continue"/>
            <w:textDirection w:val="lrTb"/>
            <w:noWrap w:val="false"/>
          </w:tcPr>
          <w:p>
            <w:r/>
            <w:r/>
          </w:p>
        </w:tc>
        <w:tc>
          <w:tcPr>
            <w:vMerge w:val="continue"/>
            <w:textDirection w:val="lrTb"/>
            <w:noWrap w:val="false"/>
          </w:tcPr>
          <w:p>
            <w:r/>
            <w:r/>
          </w:p>
        </w:tc>
      </w:tr>
      <w:tr>
        <w:trPr>
          <w:trHeight w:val="272"/>
        </w:trPr>
        <w:tc>
          <w:tcPr>
            <w:gridSpan w:val="4"/>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9351" w:type="dxa"/>
            <w:vAlign w:val="top"/>
            <w:textDirection w:val="lrTb"/>
            <w:noWrap w:val="false"/>
          </w:tcPr>
          <w:p>
            <w:pPr>
              <w:ind w:left="107" w:right="0" w:firstLine="0"/>
              <w:spacing w:before="200" w:after="20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（二）海鲜、肉类产品</w:t>
            </w:r>
            <w:r/>
          </w:p>
        </w:tc>
      </w:tr>
      <w:tr>
        <w:trPr>
          <w:trHeight w:val="348"/>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21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0" w:right="0" w:firstLine="210"/>
              <w:spacing w:before="1" w:after="200" w:line="2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肉类产品（包括：猪、牛、羊、鸡、鸭等全部位产品）</w:t>
            </w:r>
            <w:r/>
          </w:p>
        </w:tc>
        <w:tc>
          <w:tcPr>
            <w:tcBorders>
              <w:top w:val="single" w:color="000000" w:sz="8" w:space="0"/>
              <w:left w:val="none" w:color="000000" w:sz="4" w:space="0"/>
              <w:bottom w:val="single" w:color="000000" w:sz="12" w:space="0"/>
              <w:right w:val="single" w:color="000000" w:sz="8" w:space="0"/>
            </w:tcBorders>
            <w:tcMar>
              <w:left w:w="0" w:type="dxa"/>
              <w:top w:w="0" w:type="dxa"/>
              <w:right w:w="0" w:type="dxa"/>
              <w:bottom w:w="0" w:type="dxa"/>
            </w:tcMar>
            <w:tcW w:w="1339"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3"/>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按常规</w:t>
            </w:r>
            <w:r/>
          </w:p>
        </w:tc>
        <w:tc>
          <w:tcPr>
            <w:tcBorders>
              <w:top w:val="single" w:color="000000" w:sz="8" w:space="0"/>
              <w:left w:val="none" w:color="000000" w:sz="4" w:space="0"/>
              <w:bottom w:val="single" w:color="000000" w:sz="12" w:space="0"/>
              <w:right w:val="single" w:color="000000" w:sz="12" w:space="0"/>
            </w:tcBorders>
            <w:tcMar>
              <w:left w:w="0" w:type="dxa"/>
              <w:top w:w="0" w:type="dxa"/>
              <w:right w:w="0" w:type="dxa"/>
              <w:bottom w:w="0" w:type="dxa"/>
            </w:tcMar>
            <w:tcW w:w="2507" w:type="dxa"/>
            <w:vAlign w:val="top"/>
            <w:vMerge w:val="restart"/>
            <w:textDirection w:val="lrTb"/>
            <w:noWrap w:val="false"/>
          </w:tcPr>
          <w:p>
            <w:pPr>
              <w:ind w:left="0" w:right="71" w:firstLine="0"/>
              <w:jc w:val="both"/>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海鲜、肉类产品结算单价参照当地市场价（由成交供应商提供菜品明细及单价清单，采购人每日验收校对审核，若无同类产品，双方协商）</w:t>
            </w:r>
            <w:r/>
          </w:p>
        </w:tc>
      </w:tr>
      <w:tr>
        <w:trPr>
          <w:trHeight w:val="272"/>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210"/>
              <w:jc w:val="both"/>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0" w:right="217" w:firstLine="210"/>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鱼类产品（包括：鲫鱼、草鱼、黑鱼、桂鱼、鲈鱼、大头鱼、大黄鱼、多宝鱼等）</w:t>
            </w:r>
            <w:r/>
          </w:p>
        </w:tc>
        <w:tc>
          <w:tcPr>
            <w:vMerge w:val="continue"/>
            <w:textDirection w:val="lrTb"/>
            <w:noWrap w:val="false"/>
          </w:tcPr>
          <w:p>
            <w:r/>
            <w:r/>
          </w:p>
        </w:tc>
        <w:tc>
          <w:tcPr>
            <w:vMerge w:val="continue"/>
            <w:textDirection w:val="lrTb"/>
            <w:noWrap w:val="false"/>
          </w:tcPr>
          <w:p>
            <w:r/>
            <w:r/>
          </w:p>
        </w:tc>
      </w:tr>
      <w:tr>
        <w:trPr>
          <w:trHeight w:val="350"/>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210"/>
              <w:jc w:val="both"/>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0" w:right="217" w:firstLine="21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贝类产品（包括：蛏子、扇贝、牡蛎等）</w:t>
            </w:r>
            <w:r/>
          </w:p>
        </w:tc>
        <w:tc>
          <w:tcPr>
            <w:vMerge w:val="continue"/>
            <w:textDirection w:val="lrTb"/>
            <w:noWrap w:val="false"/>
          </w:tcPr>
          <w:p>
            <w:r/>
            <w:r/>
          </w:p>
        </w:tc>
        <w:tc>
          <w:tcPr>
            <w:vMerge w:val="continue"/>
            <w:textDirection w:val="lrTb"/>
            <w:noWrap w:val="false"/>
          </w:tcPr>
          <w:p>
            <w:r/>
            <w:r/>
          </w:p>
        </w:tc>
      </w:tr>
      <w:tr>
        <w:trPr>
          <w:trHeight w:val="272"/>
        </w:trPr>
        <w:tc>
          <w:tcPr>
            <w:tcBorders>
              <w:top w:val="none" w:color="000000" w:sz="4" w:space="0"/>
              <w:left w:val="single" w:color="000000" w:sz="12" w:space="0"/>
              <w:bottom w:val="single" w:color="000000" w:sz="8" w:space="0"/>
              <w:right w:val="single" w:color="000000" w:sz="12" w:space="0"/>
            </w:tcBorders>
            <w:tcMar>
              <w:left w:w="0" w:type="dxa"/>
              <w:top w:w="0" w:type="dxa"/>
              <w:right w:w="0" w:type="dxa"/>
              <w:bottom w:w="0" w:type="dxa"/>
            </w:tcMar>
            <w:tcW w:w="784" w:type="dxa"/>
            <w:vAlign w:val="top"/>
            <w:textDirection w:val="lrTb"/>
            <w:noWrap w:val="false"/>
          </w:tcPr>
          <w:p>
            <w:pPr>
              <w:ind w:left="0" w:right="217" w:firstLine="210"/>
              <w:jc w:val="both"/>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4720" w:type="dxa"/>
            <w:vAlign w:val="top"/>
            <w:textDirection w:val="lrTb"/>
            <w:noWrap w:val="false"/>
          </w:tcPr>
          <w:p>
            <w:pPr>
              <w:ind w:left="0" w:right="217" w:firstLine="210"/>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虾类产品（包括：河虾、龙虾、竹节虾、基围虾等）</w:t>
            </w:r>
            <w:r/>
          </w:p>
        </w:tc>
        <w:tc>
          <w:tcPr>
            <w:vMerge w:val="continue"/>
            <w:textDirection w:val="lrTb"/>
            <w:noWrap w:val="false"/>
          </w:tcPr>
          <w:p>
            <w:r/>
            <w:r/>
          </w:p>
        </w:tc>
        <w:tc>
          <w:tcPr>
            <w:vMerge w:val="continue"/>
            <w:textDirection w:val="lrTb"/>
            <w:noWrap w:val="false"/>
          </w:tcPr>
          <w:p>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rPr>
          <w:rFonts w:ascii="SimSun" w:hAnsi="SimSun" w:eastAsia="SimSun" w:cs="SimSun"/>
          <w:b/>
          <w:color w:val="000000"/>
          <w:sz w:val="22"/>
        </w:rPr>
        <w:t xml:space="preserve">1、在本项目服务期内，采购人有权根据实际需要增加采购物料产品品种。</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供货方式：</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每周的最后一个工作日根据采购人需求，将未来一周每天食堂所需的菜品品种、数量、规格、单价向采购人发出《周报食堂净菜配送单》（见下表），采购人在当天予以确认，供应商根据配送单需求在规定的时间内将相关的产品配置到采购人指定地点，具体方式如下：</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1、本项目所采购的配菜每工作日配送一次，具体的供货要求以采购人确认的通知单为准，每日到货后采购人会根据周报菜单明细表对每日配送菜单进行数量、单价和质量验收，实际到货数量以验收为准；</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2、采购人根据实际情况需要变更或追加配送内容的，可在每晚 9 点前向供应商发出第二天需要配送变更通知单，如遇特殊情况需增加配送内容，供应商须在一个小时之内配送到位。对此，供应商应积极予以配合，否则，采购人有权根据本项目的有关规定对供应商进行处理；</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3、供应商在收到配送通知后，如果因客观原因不能完全按要求进行配送的，应及时向采购人报告，以便采购人及时调整配送方案。</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SimSun" w:hAnsi="SimSun" w:eastAsia="SimSun" w:cs="SimSun"/>
          <w:color w:val="000000"/>
          <w:sz w:val="28"/>
        </w:rPr>
        <w:t xml:space="preserve">本项目采用月度考核，菜品单价参照当地市场价（由成交服务商提供菜品明细及单价清单，采购人每日验收校对审核；若因市场原则导致相应的蔬菜和其他副食品等饭堂物料价格上涨，甲方可以根据实际情况调整当期的菜品结算标准。</w:t>
      </w:r>
      <w:r>
        <w:rPr>
          <w:rFonts w:ascii="SimSun" w:hAnsi="SimSun" w:eastAsia="SimSun" w:cs="SimSun"/>
          <w:color w:val="000000"/>
          <w:sz w:val="24"/>
        </w:rPr>
        <w:t xml:space="preserve">投标单位应如实填写技术要求响应表，一旦发现成交后提供的实物与响应文件承诺的不相符合，采购人有权取消其中标资格，要求其赔偿损失，列入不良行为名单予以公示。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五、技术要求：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（一）产品标准要求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为本项目提供的各类食品必须符合国家相关的食品安全和卫生标准且为非转基因产品。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有保质期的产品，在交付时，应当保证其剩余保质时间不少于保质期的三分之二。</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19"/>
        <w:gridCol w:w="7435"/>
      </w:tblGrid>
      <w:tr>
        <w:trPr>
          <w:trHeight w:val="4357"/>
        </w:trPr>
        <w:tc>
          <w:tcPr>
            <w:tcBorders>
              <w:top w:val="single" w:color="000000" w:sz="12" w:space="0"/>
              <w:left w:val="single" w:color="000000" w:sz="12" w:space="0"/>
              <w:bottom w:val="single" w:color="000000" w:sz="12" w:space="0"/>
              <w:right w:val="single" w:color="000000" w:sz="8" w:space="0"/>
            </w:tcBorders>
            <w:tcMar>
              <w:left w:w="0" w:type="dxa"/>
              <w:top w:w="0" w:type="dxa"/>
              <w:right w:w="0" w:type="dxa"/>
              <w:bottom w:w="0" w:type="dxa"/>
            </w:tcMar>
            <w:tcW w:w="191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9"/>
              </w:rPr>
              <w:t xml:space="preserve"> </w:t>
            </w:r>
            <w:r/>
          </w:p>
          <w:p>
            <w:pPr>
              <w:ind w:left="24"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一、蔬菜类产品</w:t>
            </w:r>
            <w:r/>
          </w:p>
        </w:tc>
        <w:tc>
          <w:tcPr>
            <w:tcBorders>
              <w:top w:val="single" w:color="000000" w:sz="12" w:space="0"/>
              <w:left w:val="none" w:color="000000" w:sz="4" w:space="0"/>
              <w:bottom w:val="single" w:color="000000" w:sz="12" w:space="0"/>
              <w:right w:val="single" w:color="000000" w:sz="12" w:space="0"/>
            </w:tcBorders>
            <w:tcMar>
              <w:left w:w="0" w:type="dxa"/>
              <w:top w:w="0" w:type="dxa"/>
              <w:right w:w="0" w:type="dxa"/>
              <w:bottom w:w="0" w:type="dxa"/>
            </w:tcMar>
            <w:tcW w:w="7435" w:type="dxa"/>
            <w:vAlign w:val="top"/>
            <w:textDirection w:val="lrTb"/>
            <w:noWrap w:val="false"/>
          </w:tcPr>
          <w:p>
            <w:pPr>
              <w:ind w:left="112" w:right="73" w:firstLine="42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1、叶菜类：属同一品种规格，肉质鲜嫩形态好，色泽正常，茎基部削平，无</w:t>
            </w:r>
            <w:r>
              <w:rPr>
                <w:rFonts w:ascii="SimSun" w:hAnsi="SimSun" w:eastAsia="SimSun" w:cs="SimSun"/>
                <w:color w:val="000000"/>
                <w:spacing w:val="-2"/>
                <w:sz w:val="21"/>
              </w:rPr>
              <w:t xml:space="preserve">枯黄叶、病叶、泥土、明显机械伤和病虫害伤，无烧心焦边、腐烂等现象，无抽苔</w:t>
            </w:r>
            <w:r/>
          </w:p>
          <w:p>
            <w:pPr>
              <w:ind w:left="112" w:right="78" w:firstLine="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w:t>
            </w:r>
            <w:r>
              <w:rPr>
                <w:rFonts w:ascii="SimSun" w:hAnsi="SimSun" w:eastAsia="SimSun" w:cs="SimSun"/>
                <w:color w:val="000000"/>
                <w:sz w:val="21"/>
              </w:rPr>
              <w:t xml:space="preserve">菜心除外</w:t>
            </w:r>
            <w:r>
              <w:rPr>
                <w:rFonts w:ascii="SimSun" w:hAnsi="SimSun" w:eastAsia="SimSun" w:cs="SimSun"/>
                <w:color w:val="000000"/>
                <w:spacing w:val="-106"/>
                <w:sz w:val="21"/>
              </w:rPr>
              <w:t xml:space="preserve">）</w:t>
            </w:r>
            <w:r>
              <w:rPr>
                <w:rFonts w:ascii="SimSun" w:hAnsi="SimSun" w:eastAsia="SimSun" w:cs="SimSun"/>
                <w:color w:val="000000"/>
                <w:spacing w:val="-1"/>
                <w:sz w:val="21"/>
              </w:rPr>
              <w:t xml:space="preserve">，无畸形、异味，结球叶菜要结球适度，花椰菜应新鲜洁白，不带叶</w:t>
            </w:r>
            <w:r>
              <w:rPr>
                <w:rFonts w:ascii="SimSun" w:hAnsi="SimSun" w:eastAsia="SimSun" w:cs="SimSun"/>
                <w:color w:val="000000"/>
                <w:sz w:val="21"/>
              </w:rPr>
              <w:t xml:space="preserve">麸，无畸形花。</w:t>
            </w:r>
            <w:r/>
          </w:p>
          <w:p>
            <w:pPr>
              <w:ind w:left="112" w:right="71" w:firstLine="42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2、茄果类：属同一品种规格，果实整洁，成熟度适中，番茄花蒂不明显，无</w:t>
            </w:r>
            <w:r>
              <w:rPr>
                <w:rFonts w:ascii="SimSun" w:hAnsi="SimSun" w:eastAsia="SimSun" w:cs="SimSun"/>
                <w:color w:val="000000"/>
                <w:spacing w:val="-1"/>
                <w:sz w:val="21"/>
              </w:rPr>
              <w:t xml:space="preserve">裂果及空洞现象，茄果不能有裂蒂及果皮变硬现象，无腐烂、畸形、异味，无明显</w:t>
            </w:r>
            <w:r>
              <w:rPr>
                <w:rFonts w:ascii="SimSun" w:hAnsi="SimSun" w:eastAsia="SimSun" w:cs="SimSun"/>
                <w:color w:val="000000"/>
                <w:sz w:val="21"/>
              </w:rPr>
              <w:t xml:space="preserve">机械伤。</w:t>
            </w:r>
            <w:r/>
          </w:p>
          <w:p>
            <w:pPr>
              <w:ind w:left="112" w:right="-44" w:firstLine="42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3、瓜果类：属同一品种规格，形状、色泽一致，瓜条均匀，无疤点，无断裂，</w:t>
            </w:r>
            <w:r>
              <w:rPr>
                <w:rFonts w:ascii="SimSun" w:hAnsi="SimSun" w:eastAsia="SimSun" w:cs="SimSun"/>
                <w:color w:val="000000"/>
                <w:spacing w:val="-102"/>
                <w:sz w:val="21"/>
              </w:rPr>
              <w:t xml:space="preserve"> </w:t>
            </w:r>
            <w:r>
              <w:rPr>
                <w:rFonts w:ascii="SimSun" w:hAnsi="SimSun" w:eastAsia="SimSun" w:cs="SimSun"/>
                <w:color w:val="000000"/>
                <w:sz w:val="21"/>
              </w:rPr>
              <w:t xml:space="preserve">无腐烂、畸形、异味、明显机械伤，不带泥土。</w:t>
            </w:r>
            <w:r/>
          </w:p>
          <w:p>
            <w:pPr>
              <w:ind w:left="112" w:right="77" w:firstLine="42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4、根菜类：属同一品种规格，皮细光滑，大小均匀，肉质脆嫩致密新鲜，无腐烂、畸形、裂痕、糠心、异味，不带泥沙，不带茎叶和须根。</w:t>
            </w:r>
            <w:r/>
          </w:p>
          <w:p>
            <w:pPr>
              <w:ind w:left="112" w:right="77" w:firstLine="42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5、薯芋类：属同一品种规格，色泽一致，不带泥沙，不带须根、茎叶，不干瘪，无腐烂、畸形、异味、明显机械伤、病虫害斑，马铃薯无发芽，皮不变绿。</w:t>
            </w:r>
            <w:r/>
          </w:p>
          <w:p>
            <w:pPr>
              <w:ind w:left="532"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6、姜：鲜嫩、无腐烂、无千裂皱皮、无破损现象，程浅黄色。</w:t>
            </w:r>
            <w:r/>
          </w:p>
          <w:p>
            <w:pPr>
              <w:ind w:left="532"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7、葱：鲜嫩、无腐烂、无千裂皱皮、无枯叶现象，有葱固有气味。</w:t>
            </w:r>
            <w:r/>
          </w:p>
          <w:p>
            <w:pPr>
              <w:ind w:left="532" w:right="0" w:firstLine="0"/>
              <w:spacing w:before="4"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8、蒜：蒜瓣新鲜完整不破皮，无腐烂发芽等现象。</w:t>
            </w:r>
            <w:r/>
          </w:p>
        </w:tc>
      </w:tr>
      <w:tr>
        <w:trPr>
          <w:trHeight w:val="59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91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hanging="42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二、海鲜、肉类产品</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7435" w:type="dxa"/>
            <w:vAlign w:val="top"/>
            <w:textDirection w:val="lrTb"/>
            <w:noWrap w:val="false"/>
          </w:tcPr>
          <w:p>
            <w:pPr>
              <w:ind w:left="112" w:right="71" w:firstLine="420"/>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1、肉类：新鲜、肉质佳，色泽正常，</w:t>
            </w:r>
            <w:r>
              <w:rPr>
                <w:rFonts w:ascii="SimSun" w:hAnsi="SimSun" w:eastAsia="SimSun" w:cs="SimSun"/>
                <w:color w:val="000000"/>
                <w:spacing w:val="-2"/>
                <w:sz w:val="21"/>
              </w:rPr>
              <w:t xml:space="preserve">无异味、腐烂等现象</w:t>
            </w:r>
            <w:r/>
          </w:p>
          <w:p>
            <w:pPr>
              <w:ind w:left="112" w:right="71" w:firstLine="420"/>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2、海鲜类：外观佳、鱼虾鲜活，</w:t>
            </w:r>
            <w:r>
              <w:rPr>
                <w:rFonts w:ascii="SimSun" w:hAnsi="SimSun" w:eastAsia="SimSun" w:cs="SimSun"/>
                <w:color w:val="000000"/>
                <w:spacing w:val="-2"/>
                <w:sz w:val="21"/>
              </w:rPr>
              <w:t xml:space="preserve">无异味、腐烂等现象</w:t>
            </w:r>
            <w:r>
              <w:rPr>
                <w:rFonts w:ascii="SimSun" w:hAnsi="SimSun" w:eastAsia="SimSun" w:cs="SimSun"/>
                <w:color w:val="000000"/>
                <w:sz w:val="21"/>
              </w:rPr>
              <w:t xml:space="preserve">。</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包装及载具要求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预包装食品选用的包装材料及包装标示内容符合国家相关标准、通则规定。配送产品的外包装应完好、洁净、不存在污染、破损情况。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2、载具及保存要求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在配送过程，要求根据不同类目的产品配置专用的容器进行分类装载运输，以防止产品交叉污染或串味，同时，相关的专用容器应有明显的标识。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专用运输车辆和用于装载产品的专用容器要求必须在每次使用前进行彻底的清洗、消毒，以防止食品污染情况的发生，如因此造成采购人或第三方受到损害或损失的，相关的一切后果和责任由供应商自行承担。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运输车厢的内仓，包括地面、厢体和顶，应为抗腐蚀、防潮、防虫、防鼠的设计。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（三）配送日常管理要求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1、投入本项目服务的相关的工作人员应配备符合卫生要求的统一工作服装以防止病原、细菌传播， 如因此造成采购人或第三方受到损害或损失的，相关的一切后果和责任由供应商自行承担。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2、同时在进行装载运输时，</w:t>
      </w:r>
      <w:r>
        <w:rPr>
          <w:rFonts w:ascii="SimSun" w:hAnsi="SimSun" w:eastAsia="SimSun" w:cs="SimSun"/>
          <w:b/>
          <w:color w:val="000000"/>
          <w:sz w:val="24"/>
        </w:rPr>
        <w:t xml:space="preserve">应安排具有健康证明的专职司机、理货员进行操作</w:t>
      </w:r>
      <w:r>
        <w:rPr>
          <w:rFonts w:ascii="SimSun" w:hAnsi="SimSun" w:eastAsia="SimSun" w:cs="SimSun"/>
          <w:color w:val="000000"/>
          <w:sz w:val="24"/>
        </w:rPr>
        <w:t xml:space="preserve">。严禁将零散收购的产品供应给采购人。如因供应商供应的产品质量原因造成食品安全事故的， 相关的一切责任由供应商承担。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3、不得以“短斤少两、虚增价格、以次充好”等方式损害采购人的利益。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4、运输途中要求严防日晒、雨淋，注意通风散热；食品堆放科学合理，避免造成食品的交叉污染；如对温度有要求的食品应确定食品的温度，记录送货车辆温度，并记录存档。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除不可抗力的原因之外，应依照采购人下达的送货通知要求，准时将相关的产品按质、按量送达至指定的地点。供应商不能按时、按质、按量供货，导致采购人无法正常供应伙食的，采购人有权自行采购同等质量的货物，由此造成的经济损失和责任均由供应商承担，并承担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9、供应商应积极配合由采购人派出的后勤工作人员的指导和管理。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10、在产品组织、配送过程中，与供应商相关的一切风险、责任和相关的费用由供应商承担。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（四）应急配送要求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如采购人需要临时增加产品配送的，供应商须根据通知要求在规定的时间内完成配送。否则，采购人有权自行采购相关食材以解决临时需求，同时，因此而产生的费用由供应商负责承担。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（五）配送产品交付要求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1、交付的产品应为当天生产、制作的产品，其他产品须满足即时食用的条件，且为送达前 2 小时内的制成品。同时，应确保在送达时温度不得低于 40℃、不存在污染、变形、糊化、生冷的情况。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2、交付的产品为预包装产品（半成品）的，应确保全程冷链配送并在送达时不存在变形、糊化、有异味的情况。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3、在交付时，供应商应同时向采购人（用户）提供加盖公章的送货清单，采购人签字后留档保存。说明：以上格式采购人有权根据管理需要进行调整。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（六）商务要求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一、人员配置及管理要求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1、供应商应为本项目配置一个由项目负责人（1 人）为了便于沟通和管理，供应商在与采购人签订本项目合同时，应将项目负责人身份证明、健康证证明、联系方式报采购人备案。如在本项目供货期内，相关人员或联系方式发生变动的，应及时通知采购人。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二、考核办法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1、在本项目服务期内，采购人将按每月对成交供应商的供货质量和服务质量及服务管理规范进行监督、考核，季度对每月考核进行汇总，并根据每个季度考核扣分情况对供应商作出相应的处理，考核方式如下：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9"/>
        <w:gridCol w:w="1142"/>
        <w:gridCol w:w="5201"/>
        <w:gridCol w:w="760"/>
        <w:gridCol w:w="1124"/>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评分占比</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因产品质量原因导致食品安全事件的，每次扣 15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分</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供应的产品经查实为伪劣产品的，每次扣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未经许可，擅自更改送货内容的，每次扣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存在短斤少两、以次充好，每次扣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交付的产品质量或等级不符合要求的，每项、每次扣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交付的产品的规格不符合要求的，每项、每次扣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供应的产品经具有相应资质的检测机构鉴定为不符合国家质量标准的，每次扣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将零散收购的产品供应给采购人的，每次扣 3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以虚增价格的方式损害采购人利益的，每次扣 3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本项考核扣分合计（最少得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在产品交付时，没有按要求提交产品清单、相关产品来源证明、质量检验报告及相关交付产品的零售（基准）价格表的（除采购人同意），每次、每项扣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 分</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不按采购人下达的采购通知及时送货或不按规定及时更换不符合要求产品的，每次扣 2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项目工作人员不服从采购方工作人员指挥或管理的，每次扣 3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专用运输车辆、专用容器有污垢、杂物的，每次扣 5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运输车辆发生有责安全事故，每次扣 10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本项考核扣分合计（最少得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服务规范</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供应商需服从采购人的管理，有但不仅限于下列情形:项目专职人员在提供服务期间，存在态度恶劣或“粗言秽语”情况的，每次扣 2 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分</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对采购人的服务需求没有及时作出响应的，每次扣 4 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本项考核扣分合计（最少得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22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当月考核扣分合计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 分</w:t>
            </w:r>
            <w:r/>
          </w:p>
        </w:tc>
      </w:tr>
      <w:tr>
        <w:trPr>
          <w:trHeight w:val="10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br/>
              <w:t xml:space="preserve">1、每个季度考核得分=100 分-当季度每次考核扣分合计。</w:t>
              <w:br/>
              <w:t xml:space="preserve">2、在本项目实施期内，采购人有权根据实际需要对本考核和处理办法进行优化、调整。</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2、如在本项目执行期内，供应商未能按采购要求或承诺提供产品或服务的，除按上述标准考核扣分外，采购人有权采取减少或暂停分派配送任务给相关供应商，以作警示，直至其改正为止。</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项目服务期内采购人将不定期对成交单位进行实地考察，考察内容包含但不仅限于：原材料采购及加工、产品质量管理、供货流程等，如发现成交单位存在不符合国家相关行业的法律法规或招标文件要求的情况，采购人对成交单位发出整改通知，成交单位必须在整改通知限期内对存在问题进行整改，如本项目服务期内成交供应商收到 3 次或以上整改通知的，采购人有权取消其供货资格并终止合同。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4、如出现以下情况，除按上述标准考核扣分外，同时作以下处理：</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1、如果因供应商不按规定及时送货或更换不符合要求的产品导致采购人的饭堂工作停顿的，须按每次 5000 元的方式计算向采购人支付违约金，违约金由采购人在应付的货款或履约保证金中直接扣除。</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因供应商不按规定及时送货或更换不符合要求的产品导致饭堂工作停顿的，采购人有权自行采购相应的产品，以解决饭堂工作停顿的问题，但期间所产生的一切费用（包括产品采购成本）由供应商支付或由采购人在应付的货款中或履约保证金直接扣除。</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菜品结算单价参照当地市场价（由成交供应商提供菜品明细及单价清单，采购人每日验收校对审核），若采购人发现成交供应商提供的菜品单价清单明显高出市场合理价，中标单位未能做出合理有效说明的，每发现一次，成交供应商按5000 元的方式计算向采购人支付违约金，违约金由采购人在应付的货款或履约保证金中直接扣除。</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（七）合同终止情形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在本项目服务期内，如供应商存在以下问题的，采购人有权终止与供应商签订的合同、没收履约保证金。如相关的问题涉及法律、经济责任的，追究其法律和经济责任：</w:t>
      </w:r>
      <w:r/>
    </w:p>
    <w:p>
      <w:pPr>
        <w:ind w:left="0" w:right="0" w:firstLine="420"/>
        <w:spacing w:before="158"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1、因不法经营等原因，被相关行政主管部门勒令停业；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2、存在行贿、给回扣等不法行为；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3、因所供产品质量原因导致食品卫生安全事故发生；</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4、在一个月内，因同类问题连续三次或累计五次受到采购人书面警告的；</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5、在配送服务考核中，月得分不足 80分。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4"/>
        <w:gridCol w:w="492"/>
        <w:gridCol w:w="516"/>
        <w:gridCol w:w="486"/>
        <w:gridCol w:w="499"/>
        <w:gridCol w:w="501"/>
        <w:gridCol w:w="499"/>
        <w:gridCol w:w="501"/>
        <w:gridCol w:w="499"/>
        <w:gridCol w:w="501"/>
        <w:gridCol w:w="499"/>
        <w:gridCol w:w="502"/>
        <w:gridCol w:w="499"/>
        <w:gridCol w:w="501"/>
        <w:gridCol w:w="499"/>
        <w:gridCol w:w="502"/>
        <w:gridCol w:w="515"/>
        <w:gridCol w:w="273"/>
        <w:gridCol w:w="273"/>
        <w:gridCol w:w="521"/>
      </w:tblGrid>
      <w:tr>
        <w:trPr>
          <w:trHeight w:val="540"/>
        </w:trPr>
        <w:tc>
          <w:tcPr>
            <w:gridSpan w:val="20"/>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200" w:after="200" w:line="31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附表一（说明供应商可自拟格式）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周报菜单明细表</w:t>
            </w:r>
            <w:r/>
          </w:p>
        </w:tc>
      </w:tr>
      <w:tr>
        <w:trPr>
          <w:trHeight w:val="27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星期一</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星期二</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星期三</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星期四</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星期五</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1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1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报送时间：2021年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                                   确认负责人（签字）</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01"/>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301"/>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响应文件的编制及格式</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1.响应文件的组成</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见第二章3.1条。</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2.响应文件的编制内容及编制要求</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2.1报价一览表</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2.1.1供应商应按表中格式完整、清晰、正确填写；</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2.1.2报价一览表中的价格应与响应文件中的价格一致；</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2.1.3报价一览表格式见附件。</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2.2响应函</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2.2.1供应商应按表中格式完整、清晰、正确填写；</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2.2.2响应函必须加盖供应商法人公章并经法定代表人签字或签章。</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2.3资格条件证明文件</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2.3.1供应商基本资格条件承诺书；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2.3.2征集文件要求的其他资格条件证明材料。</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2.4采购需求响应表</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供应商应仔细阅读采购需求，结合自身的实际情况，如实编制，格式自拟。采购需求响应表须详细说明实际提供的货物、服务及其他采购需求中相关要求的响应情况。</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2.5供应商认为应列入响应文件的其他材料</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供应商应对照第三章的评审因素，结合自身的实际情况，如实编制，格式自拟。</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3.响应文件参考格式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3.1响应文件封面格式</w:t>
      </w:r>
      <w:r/>
    </w:p>
    <w:p>
      <w:pPr>
        <w:ind w:left="0" w:right="0" w:firstLine="60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0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p>
    <w:p>
      <w:pPr>
        <w:ind w:left="0" w:right="0" w:firstLine="456"/>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105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340"/>
        <w:jc w:val="both"/>
        <w:spacing w:before="0" w:after="0"/>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w:t>
      </w:r>
      <w:r>
        <w:rPr>
          <w:rFonts w:ascii="SimSun" w:hAnsi="SimSun" w:eastAsia="SimSun" w:cs="SimSun"/>
          <w:color w:val="000000"/>
          <w:sz w:val="28"/>
          <w:u w:val="single"/>
        </w:rPr>
        <w:t xml:space="preserve">（加盖CA电子公章）</w:t>
      </w:r>
      <w:r/>
    </w:p>
    <w:p>
      <w:pPr>
        <w:ind w:left="0" w:right="0" w:firstLine="2340"/>
        <w:jc w:val="both"/>
        <w:spacing w:before="0" w:after="0"/>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w:t>
      </w:r>
      <w:r/>
    </w:p>
    <w:p>
      <w:pPr>
        <w:ind w:left="0" w:right="0" w:firstLine="2340"/>
        <w:jc w:val="both"/>
        <w:spacing w:before="0" w:after="0"/>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2340"/>
        <w:jc w:val="both"/>
        <w:spacing w:before="0" w:after="0"/>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邮箱：</w:t>
      </w:r>
      <w:r/>
    </w:p>
    <w:p>
      <w:pPr>
        <w:ind w:left="0" w:right="0" w:firstLine="2340"/>
        <w:jc w:val="both"/>
        <w:spacing w:before="0" w:after="0"/>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3.2谈判报价表</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报价一览表（谈判报价表）</w:t>
      </w:r>
      <w:r/>
    </w:p>
    <w:p>
      <w:pPr>
        <w:ind w:left="0" w:right="0" w:firstLine="0"/>
        <w:jc w:val="both"/>
        <w:spacing w:before="0" w:after="12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按“江苏省政府采购管理交易系统（苏采云）”中格式填写。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投标人公章：（电子签章）</w:t>
      </w:r>
      <w:r/>
    </w:p>
    <w:p>
      <w:pPr>
        <w:ind w:left="0" w:right="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报价时间：</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 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致：(采购人名称)：</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w:t>
      </w:r>
      <w:r>
        <w:rPr>
          <w:rFonts w:ascii="SimSun" w:hAnsi="SimSun" w:eastAsia="SimSun" w:cs="SimSun"/>
          <w:color w:val="000000"/>
          <w:sz w:val="28"/>
          <w:u w:val="single"/>
        </w:rPr>
        <w:t xml:space="preserve">（项目名称） </w:t>
      </w:r>
      <w:r>
        <w:rPr>
          <w:rFonts w:ascii="SimSun" w:hAnsi="SimSun" w:eastAsia="SimSun" w:cs="SimSun"/>
          <w:color w:val="000000"/>
          <w:sz w:val="28"/>
        </w:rPr>
        <w:t xml:space="preserve">竞争性谈判文件的所有条款要求，遵照《中华人民共和国政府采购法》、《中华人民共和国政府采购法实施条例》等有关规定，我方承诺如下：</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1、我方愿意按照采购文件的一切要求，提供本项目的报价，并以最后一轮谈判报价为本项目最终报价，详见谈判报价表。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2、我方将按竞争性谈判文件的规定履行合同责任和义务。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3、我方已详细审查全部竞争性谈判文件。我们完全理解并同意放弃对这方面有不明及误解的权力。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4、在响应有效期内我方同意遵守本响应文件中的承诺且在此期限期满之前响应文件对我方具有法律约束力。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5、如我方成交：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（1）我方承诺在收到成交通知书后，在成交通知书规定的期限内与你方签订合同。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（2）随同本响应函递交的谈判报价表是本响应函的组成部分，对我方构成约束力。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（3）我方承诺按照采购文件规定向你方递交履约担保。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（4）我方承诺在合同约定的期限内完成全部合同内容。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6、根据第二章“供应商须知”第1.4条规定，我方承诺：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（1）我们在参加本项目政府采购活动前三年内，在经营活动中没有违背法律的行为，并提供“参加政府采购活动前三年内在经营活动中没有重大违法记录的书面声明”；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（2）我们依照有关法律的规定，没有偷税、漏税的行为，没有逃避缴纳社会保险资金的行为；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（3）与采购人和采购代理机构无任何的隶属关系或者其他利害关系。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7、同意提供贵方可能要求的与其投标有关的一切数据或资料。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8、我方所递交的响应文件及有关资料内容完整、真实和准确，且不存在第二章“供应商须知”第1.4.3项规定的任何一种情形。</w:t>
      </w:r>
      <w:r/>
    </w:p>
    <w:p>
      <w:pPr>
        <w:ind w:left="1260" w:right="0" w:firstLine="0"/>
        <w:spacing w:before="156"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1260" w:right="0" w:firstLine="0"/>
        <w:jc w:val="right"/>
        <w:spacing w:before="156"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供应商名称(加盖CA电子公章)：</w:t>
      </w:r>
      <w:r/>
    </w:p>
    <w:p>
      <w:pPr>
        <w:ind w:left="0" w:right="0" w:firstLine="0"/>
        <w:jc w:val="right"/>
        <w:spacing w:before="15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法定代表人或其授权的代理人(签字或签章)：</w:t>
      </w:r>
      <w:r/>
    </w:p>
    <w:p>
      <w:pPr>
        <w:ind w:left="0" w:right="0" w:firstLine="0"/>
        <w:jc w:val="right"/>
        <w:spacing w:before="15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right"/>
        <w:spacing w:before="0" w:after="0" w:line="400" w:lineRule="atLeast"/>
        <w:tabs>
          <w:tab w:val="left" w:pos="63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0" w:after="0" w:line="400" w:lineRule="atLeast"/>
        <w:tabs>
          <w:tab w:val="left" w:pos="63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tabs>
          <w:tab w:val="left" w:pos="63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3.4供应商资格条件证明文件</w:t>
      </w:r>
      <w:r/>
    </w:p>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3.4.1供应商基本资格条件承诺书</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供应商基本资格条件承诺书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一、按照《政府采购法》第二十二条规定的供应商基本资格条件，我公司郑重承诺如下：</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1.我公司具有良好的商业信誉和健全的财务制度；</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2.我公司具有履行合同所必须的设备和专业技术能力；</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3.我公司具有依法缴纳税收和社会保障资金的良好记录；</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4.我公司参加政府采购活动前三年内，在经营活动中没有重大违法记录；</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5.我公司未列入在信用中国网站（www.creditchina.gov.cn）“失信被执行人”“重大税收违法案件当事人名单”中，也未列入中国政府采购网（www.ccgp.gov.cn）“政府采购严重违法失信行为记录名单”中。</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二、我公司承诺：在本次投标过程中，我公司不存在本项目采购文件第二章第1.4.3条所列情形之一。</w:t>
      </w:r>
      <w:r/>
    </w:p>
    <w:p>
      <w:pPr>
        <w:ind w:left="0" w:right="0" w:firstLine="3920"/>
        <w:jc w:val="both"/>
        <w:spacing w:before="156"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920"/>
        <w:jc w:val="both"/>
        <w:spacing w:before="156"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供应商名称(加盖CA电子公章)：</w:t>
      </w:r>
      <w:r/>
    </w:p>
    <w:p>
      <w:pPr>
        <w:ind w:left="0" w:right="0" w:firstLine="3920"/>
        <w:jc w:val="both"/>
        <w:spacing w:before="156"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法定代表人(签字或签章)：</w:t>
      </w:r>
      <w:r/>
    </w:p>
    <w:p>
      <w:pPr>
        <w:ind w:left="0" w:right="0" w:firstLine="3920"/>
        <w:jc w:val="both"/>
        <w:spacing w:before="156"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3.4.2中小企业声明函格式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57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本公司（联合体）郑重声明，根据《政府采购促进中小企业发展管理办法》（财库[2020]46号）的规定，本公司（联合体）参加</w:t>
      </w:r>
      <w:r>
        <w:rPr>
          <w:rFonts w:ascii="SimSun" w:hAnsi="SimSun" w:eastAsia="SimSun" w:cs="SimSun"/>
          <w:color w:val="000000"/>
          <w:sz w:val="28"/>
          <w:u w:val="single"/>
        </w:rPr>
        <w:t xml:space="preserve"> （单位名称）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 （标的名称）</w:t>
      </w:r>
      <w:r>
        <w:rPr>
          <w:rFonts w:ascii="SimSun" w:hAnsi="SimSun" w:eastAsia="SimSun" w:cs="SimSun"/>
          <w:color w:val="000000"/>
          <w:sz w:val="28"/>
        </w:rPr>
        <w:t xml:space="preserve">采购活动，提供的货物或服务全部由符合政策要求的小微企业提供。相关企业（含联合体中的中小企业、签订分包意向协议的中小企业）的具体情况如下：</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 （标的名称）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         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 （企业名称）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 （中型企业、小型企业、微型企业）</w:t>
      </w:r>
      <w:r>
        <w:rPr>
          <w:rFonts w:ascii="SimSun" w:hAnsi="SimSun" w:eastAsia="SimSun" w:cs="SimSun"/>
          <w:color w:val="000000"/>
          <w:sz w:val="28"/>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  （采购文件中明确的所属行业） </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 （企业名称）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 （中型企业、小型企业、微型企业）</w:t>
      </w:r>
      <w:r>
        <w:rPr>
          <w:rFonts w:ascii="SimSun" w:hAnsi="SimSun" w:eastAsia="SimSun" w:cs="SimSun"/>
          <w:color w:val="000000"/>
          <w:sz w:val="28"/>
        </w:rPr>
        <w:t xml:space="preserve">；</w:t>
      </w:r>
      <w:r/>
    </w:p>
    <w:p>
      <w:pPr>
        <w:ind w:left="93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7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47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7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注：从业人员、营业收入、资产总额填报上一年度数据，无上一年度数据的新成立企业可不填报。供应商如不提供此声明函，价格将不做相应扣除。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3.4.3 法定代表人身份证明书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法定代表人身份证明书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单位名称：</w:t>
      </w:r>
      <w:r>
        <w:rPr>
          <w:rFonts w:ascii="SimSun" w:hAnsi="SimSun" w:eastAsia="SimSun" w:cs="SimSun"/>
          <w:color w:val="000000"/>
          <w:sz w:val="28"/>
          <w:u w:val="single"/>
        </w:rPr>
        <w:tab/>
        <w:tab/>
        <w:tab/>
        <w:tab/>
        <w:tab/>
        <w:tab/>
        <w:tab/>
        <w:tab/>
        <w:tab/>
        <w:tab/>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单位性质：</w:t>
      </w:r>
      <w:r>
        <w:rPr>
          <w:rFonts w:ascii="SimSun" w:hAnsi="SimSun" w:eastAsia="SimSun" w:cs="SimSun"/>
          <w:color w:val="000000"/>
          <w:sz w:val="28"/>
          <w:u w:val="single"/>
        </w:rPr>
        <w:tab/>
        <w:tab/>
        <w:tab/>
        <w:tab/>
        <w:tab/>
        <w:tab/>
        <w:tab/>
        <w:tab/>
        <w:tab/>
        <w:tab/>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SimSun" w:hAnsi="SimSun" w:eastAsia="SimSun" w:cs="SimSun"/>
          <w:color w:val="000000"/>
          <w:sz w:val="28"/>
          <w:u w:val="single"/>
        </w:rPr>
        <w:tab/>
        <w:tab/>
        <w:tab/>
        <w:tab/>
        <w:tab/>
        <w:tab/>
        <w:tab/>
        <w:tab/>
        <w:t xml:space="preserve">       </w:t>
        <w:tab/>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成立时间：</w:t>
      </w:r>
      <w:r>
        <w:rPr>
          <w:rFonts w:ascii="SimSun" w:hAnsi="SimSun" w:eastAsia="SimSun" w:cs="SimSun"/>
          <w:color w:val="000000"/>
          <w:sz w:val="28"/>
          <w:u w:val="single"/>
        </w:rPr>
        <w:tab/>
        <w:tab/>
      </w:r>
      <w:r>
        <w:rPr>
          <w:rFonts w:ascii="SimSun" w:hAnsi="SimSun" w:eastAsia="SimSun" w:cs="SimSun"/>
          <w:color w:val="000000"/>
          <w:sz w:val="28"/>
        </w:rPr>
        <w:t xml:space="preserve">年</w:t>
      </w:r>
      <w:r>
        <w:rPr>
          <w:rFonts w:ascii="SimSun" w:hAnsi="SimSun" w:eastAsia="SimSun" w:cs="SimSun"/>
          <w:color w:val="000000"/>
          <w:sz w:val="28"/>
          <w:u w:val="single"/>
        </w:rPr>
        <w:tab/>
        <w:tab/>
      </w:r>
      <w:r>
        <w:rPr>
          <w:rFonts w:ascii="SimSun" w:hAnsi="SimSun" w:eastAsia="SimSun" w:cs="SimSun"/>
          <w:color w:val="000000"/>
          <w:sz w:val="28"/>
        </w:rPr>
        <w:t xml:space="preserve">月</w:t>
      </w:r>
      <w:r>
        <w:rPr>
          <w:rFonts w:ascii="SimSun" w:hAnsi="SimSun" w:eastAsia="SimSun" w:cs="SimSun"/>
          <w:color w:val="000000"/>
          <w:sz w:val="28"/>
          <w:u w:val="single"/>
        </w:rPr>
        <w:tab/>
        <w:tab/>
      </w:r>
      <w:r>
        <w:rPr>
          <w:rFonts w:ascii="SimSun" w:hAnsi="SimSun" w:eastAsia="SimSun" w:cs="SimSun"/>
          <w:color w:val="000000"/>
          <w:sz w:val="28"/>
        </w:rPr>
        <w:t xml:space="preserve">日</w:t>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经营期限：</w:t>
      </w:r>
      <w:r>
        <w:rPr>
          <w:rFonts w:ascii="SimSun" w:hAnsi="SimSun" w:eastAsia="SimSun" w:cs="SimSun"/>
          <w:color w:val="000000"/>
          <w:sz w:val="28"/>
          <w:u w:val="single"/>
        </w:rPr>
        <w:tab/>
        <w:tab/>
        <w:t xml:space="preserve">                           </w:t>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rPr>
          <w:rFonts w:ascii="SimSun" w:hAnsi="SimSun" w:eastAsia="SimSun" w:cs="SimSun"/>
          <w:color w:val="000000"/>
          <w:sz w:val="28"/>
          <w:u w:val="single"/>
        </w:rPr>
        <w:tab/>
        <w:tab/>
      </w:r>
      <w:r>
        <w:rPr>
          <w:rFonts w:ascii="SimSun" w:hAnsi="SimSun" w:eastAsia="SimSun" w:cs="SimSun"/>
          <w:color w:val="000000"/>
          <w:sz w:val="28"/>
        </w:rPr>
        <w:t xml:space="preserve">性别：</w:t>
      </w:r>
      <w:r>
        <w:rPr>
          <w:rFonts w:ascii="SimSun" w:hAnsi="SimSun" w:eastAsia="SimSun" w:cs="SimSun"/>
          <w:color w:val="000000"/>
          <w:sz w:val="28"/>
          <w:u w:val="single"/>
        </w:rPr>
        <w:tab/>
        <w:t xml:space="preserve"> </w:t>
        <w:tab/>
      </w:r>
      <w:r>
        <w:rPr>
          <w:rFonts w:ascii="SimSun" w:hAnsi="SimSun" w:eastAsia="SimSun" w:cs="SimSun"/>
          <w:color w:val="000000"/>
          <w:sz w:val="28"/>
        </w:rPr>
        <w:t xml:space="preserve">年龄：</w:t>
      </w:r>
      <w:r>
        <w:rPr>
          <w:rFonts w:ascii="SimSun" w:hAnsi="SimSun" w:eastAsia="SimSun" w:cs="SimSun"/>
          <w:color w:val="000000"/>
          <w:sz w:val="28"/>
          <w:u w:val="single"/>
        </w:rPr>
        <w:tab/>
        <w:tab/>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身份证号码：</w:t>
      </w:r>
      <w:r>
        <w:rPr>
          <w:rFonts w:ascii="SimSun" w:hAnsi="SimSun" w:eastAsia="SimSun" w:cs="SimSun"/>
          <w:color w:val="000000"/>
          <w:sz w:val="28"/>
          <w:u w:val="single"/>
        </w:rPr>
        <w:tab/>
        <w:tab/>
        <w:t xml:space="preserve">                 </w:t>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系</w:t>
      </w:r>
      <w:r>
        <w:rPr>
          <w:rFonts w:ascii="SimSun" w:hAnsi="SimSun" w:eastAsia="SimSun" w:cs="SimSun"/>
          <w:color w:val="000000"/>
          <w:sz w:val="28"/>
          <w:u w:val="single"/>
        </w:rPr>
        <w:t xml:space="preserve">（供应商单位名称）</w:t>
      </w:r>
      <w:r>
        <w:rPr>
          <w:rFonts w:ascii="SimSun" w:hAnsi="SimSun" w:eastAsia="SimSun" w:cs="SimSun"/>
          <w:color w:val="000000"/>
          <w:sz w:val="28"/>
        </w:rPr>
        <w:t xml:space="preserve">的法定代表人。</w:t>
      </w:r>
      <w:r/>
    </w:p>
    <w:p>
      <w:pPr>
        <w:ind w:left="0" w:right="0" w:firstLine="6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56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（须附身份证复印件）</w:t>
      </w:r>
      <w:r/>
    </w:p>
    <w:p>
      <w:pPr>
        <w:ind w:left="0" w:right="0" w:firstLine="51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（加盖CA电子公章）</w:t>
      </w:r>
      <w:r/>
    </w:p>
    <w:p>
      <w:pPr>
        <w:ind w:left="0" w:right="0" w:firstLine="51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法定代表人签名或盖章</w:t>
      </w:r>
      <w:r>
        <w:rPr>
          <w:rFonts w:ascii="SimSun" w:hAnsi="SimSun" w:eastAsia="SimSun" w:cs="SimSun"/>
          <w:color w:val="000000"/>
          <w:sz w:val="28"/>
          <w:u w:val="single"/>
        </w:rPr>
        <w:t xml:space="preserve">：</w:t>
      </w:r>
      <w:r/>
    </w:p>
    <w:p>
      <w:pPr>
        <w:ind w:left="0" w:right="0" w:firstLine="51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3.4.4授权委托书</w:t>
      </w:r>
      <w:r/>
    </w:p>
    <w:p>
      <w:pPr>
        <w:ind w:left="0" w:right="0" w:firstLine="0"/>
        <w:jc w:val="center"/>
        <w:spacing w:before="312"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授权委托书</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委托人（供应商）：</w:t>
      </w:r>
      <w:r>
        <w:rPr>
          <w:rFonts w:ascii="SimSun" w:hAnsi="SimSun" w:eastAsia="SimSun" w:cs="SimSun"/>
          <w:color w:val="000000"/>
          <w:sz w:val="28"/>
          <w:u w:val="single"/>
        </w:rPr>
        <w:tab/>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SimSun" w:hAnsi="SimSun" w:eastAsia="SimSun" w:cs="SimSun"/>
          <w:color w:val="000000"/>
          <w:sz w:val="28"/>
          <w:u w:val="single"/>
        </w:rPr>
        <w:tab/>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w:t>
      </w:r>
      <w:r>
        <w:rPr>
          <w:rFonts w:ascii="SimSun" w:hAnsi="SimSun" w:eastAsia="SimSun" w:cs="SimSun"/>
          <w:color w:val="000000"/>
          <w:sz w:val="28"/>
          <w:u w:val="single"/>
        </w:rPr>
        <w:tab/>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受委托人：</w:t>
      </w:r>
      <w:r>
        <w:rPr>
          <w:rFonts w:ascii="SimSun" w:hAnsi="SimSun" w:eastAsia="SimSun" w:cs="SimSun"/>
          <w:color w:val="000000"/>
          <w:sz w:val="28"/>
          <w:u w:val="single"/>
        </w:rPr>
        <w:tab/>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受委托人身份证号码：</w:t>
      </w:r>
      <w:r>
        <w:rPr>
          <w:rFonts w:ascii="SimSun" w:hAnsi="SimSun" w:eastAsia="SimSun" w:cs="SimSun"/>
          <w:color w:val="000000"/>
          <w:sz w:val="28"/>
          <w:u w:val="single"/>
        </w:rPr>
        <w:tab/>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受委托人电话：</w:t>
      </w:r>
      <w:r>
        <w:rPr>
          <w:rFonts w:ascii="SimSun" w:hAnsi="SimSun" w:eastAsia="SimSun" w:cs="SimSun"/>
          <w:color w:val="000000"/>
          <w:sz w:val="28"/>
          <w:u w:val="single"/>
        </w:rPr>
        <w:tab/>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现委托上述受委托人在</w:t>
      </w:r>
      <w:r>
        <w:rPr>
          <w:rFonts w:ascii="SimSun" w:hAnsi="SimSun" w:eastAsia="SimSun" w:cs="SimSun"/>
          <w:color w:val="000000"/>
          <w:sz w:val="28"/>
          <w:u w:val="single"/>
        </w:rPr>
        <w:t xml:space="preserve">（采购项目名称）</w:t>
      </w:r>
      <w:r>
        <w:rPr>
          <w:rFonts w:ascii="SimSun" w:hAnsi="SimSun" w:eastAsia="SimSun" w:cs="SimSun"/>
          <w:color w:val="000000"/>
          <w:sz w:val="28"/>
        </w:rPr>
        <w:t xml:space="preserve">采购活动中，作为委托人的授权委托人。</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授权委托人无转委托权。采购人（采购代理机构）有权拒绝其他任何代表委托人行使的投标事宜，以及超出本授权范围的其他事宜。</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委托期限自</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日起，至</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日止。</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99"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（须附法定代表人、受委托人身份证复印件）</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委托人：（加盖CA电子公章）</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法定代表人：（签字或签章）</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受委托人：（签字）</w:t>
      </w:r>
      <w:r/>
    </w:p>
    <w:p>
      <w:pPr>
        <w:ind w:left="0" w:right="0" w:firstLine="383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3.5采购需求响应表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65"/>
        <w:gridCol w:w="2166"/>
        <w:gridCol w:w="2165"/>
        <w:gridCol w:w="216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36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供应商（加盖CA电子公章）：</w:t>
      </w:r>
      <w:r/>
    </w:p>
    <w:p>
      <w:pPr>
        <w:ind w:left="36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法定代表人或授权委托人（签字或盖章）：</w:t>
      </w:r>
      <w:r/>
    </w:p>
    <w:p>
      <w:pPr>
        <w:ind w:left="36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8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注：（1）本表不得删除；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（2）如无任何偏离，请于本表 “偏离说明”中注明“无偏离”；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（3）如有偏离项，请于本表中列明偏离内容，如需要可自行延长，其余无偏离内容不须赘述。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3.6资格及资信证明文件</w:t>
      </w:r>
      <w:r/>
    </w:p>
    <w:p>
      <w:pPr>
        <w:ind w:left="48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3.7供应商认为应列入响应文件的其他材料</w:t>
      </w:r>
      <w:r/>
    </w:p>
    <w:p>
      <w:pPr>
        <w:ind w:left="0" w:right="0" w:firstLine="0"/>
        <w:jc w:val="both"/>
        <w:spacing w:before="0" w:after="0" w:line="400" w:lineRule="atLeast"/>
        <w:tabs>
          <w:tab w:val="left" w:pos="631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合同条款及格式</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一、通用合同条款部分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1.定义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本合同中的下列术语应解释为：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1.1“合同”系指买方、见证方与卖方签署的、合同格式中载明的买方与卖方所达成的协议，包括所有的附件、附录和构成合同的所有文件。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1.2“合同价”系指根据合同规定，卖方在正确地完全履行合同义务后买方应支付给卖方的价格。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1.3“服务”系指根据合同规定卖方承担与供货有关所有的辅助服务，如运输、保险以及其它的伴随服务，比如安装、调试、测试、提供技术服务、培训和其他所有的卖方应承担的义务。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1.4“买方”系指购买服务的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1.5“卖方”系指提供服务的中标供应商。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1.6“见证方”系指采购人。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1.7“采购人”系指购买服务的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2.技术规范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卖方所提供服务的技术规格、内容应与招标文件规定的业务要求相一致；若技术性能无相应说明，则按国家有关部门最新颁布的标准及规范为准。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3.专利权及版权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4.1本合同以人民币付款。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4.2付款方式见合同专用条款。</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5.伴随服务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5.1卖方应按照投标文件的承诺和合同中所附的服务承诺提供服务。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5.2除本章第5.1条规定外，卖方还应提供下列服务：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5.2.1服务的现场质量管理与监督；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5.2.2提供服务和维护所需的工具；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5.2.3在合同中卖方承诺的期限内对所提供服务实施运行监督、维护，但前提条件是该服务并不能免除卖方在质量保证期内应承担的义务；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5.2.4对服务人员进行培训。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5.3伴随服务的费用应含在合同价中，不单独进行支付。</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6.质量保证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6.1供应商所提供服务必须遵守各种国家和部颁标准及有关规定。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6.2供应商所提供服务必须达到本招标文件中规定的要求。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6.3履行本合同的过程中，确因在现有水平和条件下难以克服的技术困难，导致部分或全部达不到招标规定的服务标准，乙方应当承担违约责任。</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7.不可抗力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7.1尽管有合同条款第11条、12条的规定，如果卖方因不可抗力而导致合同实施延误或不能履行合同义务的话，不应该被没收履约保证金，也不应该承担误期赔偿的责任。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7.2本条所述的“不可抗力”系指那些卖方无法控制、不可预见的事件，但不包括卖方的违约或疏忽。这些事件包括：战争、严重火灾、洪水、台风、地震以及其它买方和卖方商定的事件。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SimSun" w:hAnsi="SimSun" w:eastAsia="SimSun" w:cs="SimSun"/>
          <w:color w:val="000000"/>
          <w:sz w:val="28"/>
          <w:u w:val="single"/>
        </w:rPr>
        <w:t xml:space="preserve">    </w:t>
      </w:r>
      <w:r>
        <w:rPr>
          <w:rFonts w:ascii="SimSun" w:hAnsi="SimSun" w:eastAsia="SimSun" w:cs="SimSun"/>
          <w:color w:val="000000"/>
          <w:sz w:val="28"/>
        </w:rPr>
        <w:t xml:space="preserve">天以上时，买方有权终止与卖方的合同，买方也可以和卖方通过友好协商在合理的时间内达成进一步履行合同的协议。</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8.税费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本项目实施过程中发生的一切税费均由卖方承担。</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9.1成交供应商与采购人签订政府采购合同前，须提交履约保证金，否则视为放弃中标，给采购人造成损失的，成交供应商还应当予以赔偿。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履约保证金的形式：支票、汇票、本票或者金融机构、担保机构出具的保函等非现金形式。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履约保证金的金额：固定金额叁万元整。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9.2如卖方未能履行合同规定的义务，买方有权从履约保证金中取得补偿。</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10.仲裁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10.1在执行本合同中所发生的或与本合同有关的一切争议，买方和卖方应通过友好协商的办法进行解决。如从协商开始</w:t>
      </w:r>
      <w:r>
        <w:rPr>
          <w:rFonts w:ascii="SimSun" w:hAnsi="SimSun" w:eastAsia="SimSun" w:cs="SimSun"/>
          <w:color w:val="000000"/>
          <w:sz w:val="28"/>
          <w:u w:val="single"/>
        </w:rPr>
        <w:t xml:space="preserve">    </w:t>
      </w:r>
      <w:r>
        <w:rPr>
          <w:rFonts w:ascii="SimSun" w:hAnsi="SimSun" w:eastAsia="SimSun" w:cs="SimSun"/>
          <w:color w:val="000000"/>
          <w:sz w:val="28"/>
        </w:rPr>
        <w:t xml:space="preserve">天内仍不能解决，应将争议提交有关省、市政府或行业主管部门寻求可能解决的办法。如果提交有关省、市政府或行业主管部门后</w:t>
      </w:r>
      <w:r>
        <w:rPr>
          <w:rFonts w:ascii="SimSun" w:hAnsi="SimSun" w:eastAsia="SimSun" w:cs="SimSun"/>
          <w:color w:val="000000"/>
          <w:sz w:val="28"/>
          <w:u w:val="single"/>
        </w:rPr>
        <w:t xml:space="preserve">    </w:t>
      </w:r>
      <w:r>
        <w:rPr>
          <w:rFonts w:ascii="SimSun" w:hAnsi="SimSun" w:eastAsia="SimSun" w:cs="SimSun"/>
          <w:color w:val="000000"/>
          <w:sz w:val="28"/>
        </w:rPr>
        <w:t xml:space="preserve">天内仍得不到解决，则应申请仲裁。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10.2仲裁应根据《中华人民共和国仲裁法》的规定向泰州仲裁委员会申请仲裁。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10.3仲裁裁决为最终裁决，对买方和卖方均有约束力。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10.4在仲裁期间，本合同应继续执行。</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11.违约终止合同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11.1在买方对卖方违约而采取的任何补救措施不受影响的情况下，买方可向卖方发出终止部分或全部合同的书面通知书。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11.1.1如果卖方未能按合同规定的期限或买方同意延长的限期内提供部分或全部服务；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11.1.2卖方在收到买方发出的违约通知后</w:t>
      </w:r>
      <w:r>
        <w:rPr>
          <w:rFonts w:ascii="SimSun" w:hAnsi="SimSun" w:eastAsia="SimSun" w:cs="SimSun"/>
          <w:color w:val="000000"/>
          <w:sz w:val="28"/>
          <w:u w:val="single"/>
        </w:rPr>
        <w:t xml:space="preserve">  60  </w:t>
      </w:r>
      <w:r>
        <w:rPr>
          <w:rFonts w:ascii="SimSun" w:hAnsi="SimSun" w:eastAsia="SimSun" w:cs="SimSun"/>
          <w:color w:val="000000"/>
          <w:sz w:val="28"/>
        </w:rPr>
        <w:t xml:space="preserve">天内，或经买方书面认可延长的时间内未能纠正其过失；</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11.1.3如果卖方未能履行合同规定的其他义务。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12.破产中止合同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12.1如果卖方破产或无清偿能力时，买方在任何时候书面通知卖方中止合同而不给卖方补偿。该中止合同将不损害或影响买方已经或将要采取的补救措施的权利。</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13.转让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13.1除买方事先书面同意外，卖方不得部分转让或全部转让其应履行的合同义务。</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14.合同生效及其它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14.1合同应在买方、卖方、见证方签字，并在卖方向见证方交纳履约保证金后生效。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14.2本合同一式</w:t>
      </w:r>
      <w:r>
        <w:rPr>
          <w:rFonts w:ascii="SimSun" w:hAnsi="SimSun" w:eastAsia="SimSun" w:cs="SimSun"/>
          <w:color w:val="000000"/>
          <w:sz w:val="28"/>
          <w:u w:val="single"/>
        </w:rPr>
        <w:t xml:space="preserve">    </w:t>
      </w:r>
      <w:r>
        <w:rPr>
          <w:rFonts w:ascii="SimSun" w:hAnsi="SimSun" w:eastAsia="SimSun" w:cs="SimSun"/>
          <w:color w:val="000000"/>
          <w:sz w:val="28"/>
        </w:rPr>
        <w:t xml:space="preserve">份，以中文书写，买方</w:t>
      </w:r>
      <w:r>
        <w:rPr>
          <w:rFonts w:ascii="SimSun" w:hAnsi="SimSun" w:eastAsia="SimSun" w:cs="SimSun"/>
          <w:color w:val="000000"/>
          <w:sz w:val="28"/>
          <w:u w:val="single"/>
        </w:rPr>
        <w:t xml:space="preserve">    </w:t>
      </w:r>
      <w:r>
        <w:rPr>
          <w:rFonts w:ascii="SimSun" w:hAnsi="SimSun" w:eastAsia="SimSun" w:cs="SimSun"/>
          <w:color w:val="000000"/>
          <w:sz w:val="28"/>
        </w:rPr>
        <w:t xml:space="preserve">份，卖方、见证方、各执</w:t>
      </w:r>
      <w:r>
        <w:rPr>
          <w:rFonts w:ascii="SimSun" w:hAnsi="SimSun" w:eastAsia="SimSun" w:cs="SimSun"/>
          <w:color w:val="000000"/>
          <w:sz w:val="28"/>
          <w:u w:val="single"/>
        </w:rPr>
        <w:t xml:space="preserve">    </w:t>
      </w:r>
      <w:r>
        <w:rPr>
          <w:rFonts w:ascii="SimSun" w:hAnsi="SimSun" w:eastAsia="SimSun" w:cs="SimSun"/>
          <w:color w:val="000000"/>
          <w:sz w:val="28"/>
        </w:rPr>
        <w:t xml:space="preserve">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14.3如需修改或补充合同内容，应经买方、卖方、见证方协商一致，签署书面修改或补充协议。该协议将作为本合同不可分割的一部分。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14.4本合同应按照中华人民共和国的现行法律进行解释。</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二、专用合同条款部分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甲乙双方根据政府采购编号</w:t>
      </w:r>
      <w:r>
        <w:rPr>
          <w:rFonts w:ascii="SimSun" w:hAnsi="SimSun" w:eastAsia="SimSun" w:cs="SimSun"/>
          <w:color w:val="000000"/>
          <w:sz w:val="28"/>
          <w:u w:val="single"/>
        </w:rPr>
        <w:t xml:space="preserve">                </w:t>
      </w:r>
      <w:r>
        <w:rPr>
          <w:rFonts w:ascii="SimSun" w:hAnsi="SimSun" w:eastAsia="SimSun" w:cs="SimSun"/>
          <w:color w:val="000000"/>
          <w:sz w:val="28"/>
        </w:rPr>
        <w:t xml:space="preserve">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项目采购结果及招标文件的要求,经协商一致,达成如下采购服务合同: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根据《中华人民共和国政府采购法》《中华人民共和国民法典》和相关行业法律法规等法律法规的规定，甲乙双方按照**的招标结果签订本合同。</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1.项目概况</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1.1项目名称：</w:t>
      </w:r>
      <w:r>
        <w:rPr>
          <w:rFonts w:ascii="SimSun" w:hAnsi="SimSun" w:eastAsia="SimSun" w:cs="SimSun"/>
          <w:color w:val="000000"/>
          <w:sz w:val="28"/>
          <w:u w:val="single"/>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1.2项目地点：</w:t>
      </w:r>
      <w:r>
        <w:rPr>
          <w:rFonts w:ascii="SimSun" w:hAnsi="SimSun" w:eastAsia="SimSun" w:cs="SimSun"/>
          <w:color w:val="000000"/>
          <w:sz w:val="28"/>
          <w:u w:val="single"/>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1.3项目内容：</w:t>
      </w:r>
      <w:r>
        <w:rPr>
          <w:rFonts w:ascii="SimSun" w:hAnsi="SimSun" w:eastAsia="SimSun" w:cs="SimSun"/>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1.4合同价款：</w:t>
      </w:r>
      <w:r>
        <w:rPr>
          <w:rFonts w:ascii="SimSun" w:hAnsi="SimSun" w:eastAsia="SimSun" w:cs="SimSun"/>
          <w:color w:val="000000"/>
          <w:sz w:val="28"/>
          <w:u w:val="single"/>
        </w:rPr>
        <w:t xml:space="preserve">                       </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2.定义</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2.2“合同价格”系指根据合同规定，在乙方全面正确地履行合同义务后甲方应支付给乙方的价格。</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2.3“甲方”系指采购人。</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2.4“乙方”系指成交供应商。</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3.适用范围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本合同条款适用于本次招标项目。</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4.服务工作执行技术标准、验收标准及工期：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4.1技术标准与招标文件一致。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4.2验收时间及标准：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4.3项目履行期限：</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5.项目经费来源、价款以及支付方式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5.1经费来源：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5.2项目价款：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5.2.1***</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5.2.2***</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5.3支付方式、时间、条件： </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6.甲方的义务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6.1负责本项目的组织协商，配合乙方做好相关工作。</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6.2足额向乙方支付经费。</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7.乙方义务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严格按照甲方的委托要求独立开展工作，并保证及时高质量完成甲方委托任务，具体事项有：</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w:t>
      </w:r>
      <w:r>
        <w:rPr>
          <w:rFonts w:ascii="SimSun" w:hAnsi="SimSun" w:eastAsia="SimSun" w:cs="SimSun"/>
          <w:color w:val="000000"/>
          <w:sz w:val="28"/>
          <w:u w:val="single"/>
        </w:rPr>
        <w:t xml:space="preserve">（如有，另行协商）</w:t>
      </w:r>
      <w:r>
        <w:rPr>
          <w:rFonts w:ascii="SimSun" w:hAnsi="SimSun" w:eastAsia="SimSun" w:cs="SimSun"/>
          <w:color w:val="000000"/>
          <w:sz w:val="28"/>
        </w:rPr>
        <w:t xml:space="preserve">。</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8.其他</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9.履约保证金</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9.1成交供应商与采购人签订政府采购合同前，须提交履约保证金，否则视为放弃中标，给采购人造成损失的，成交供应商还应当予以赔偿。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履约保证金的形式：支票、汇票、本票或者金融机构、担保机构出具的保函等非现金形式。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履约保证金的金额：固定金额叁万元整。</w:t>
      </w:r>
      <w:r/>
    </w:p>
    <w:p>
      <w:pPr>
        <w:ind w:left="0" w:right="0" w:firstLine="0"/>
        <w:jc w:val="both"/>
        <w:spacing w:before="20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履约保证金退还方式、时间、条件：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9.2如卖方未能履行合同规定的义务，买方有权从履约保证金中取得补偿。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9.3乙方由于过错而导致支付违约金和赔偿损失时可由履约保证金抵顶支付；当违约金和赔偿金额超过履约保证金时，甲方可追偿超过履约保证金的部分。</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10.不可抗力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10.1签约双方任一方由于受诸如战争、严重火灾、洪水、台风、地震等不可抗力事故的影响而不能执行合同时，履行合同的期限应予以延长，延长的期限应相当于事故所影响的时间。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10.2受阻一方应在不可抗力事故发生后尽快用电报、传真或电传通知对方，并于事故发生后</w:t>
      </w:r>
      <w:r>
        <w:rPr>
          <w:rFonts w:ascii="SimSun" w:hAnsi="SimSun" w:eastAsia="SimSun" w:cs="SimSun"/>
          <w:color w:val="000000"/>
          <w:sz w:val="28"/>
          <w:u w:val="single"/>
        </w:rPr>
        <w:t xml:space="preserve">    </w:t>
      </w:r>
      <w:r>
        <w:rPr>
          <w:rFonts w:ascii="SimSun" w:hAnsi="SimSun" w:eastAsia="SimSun" w:cs="SimSun"/>
          <w:color w:val="000000"/>
          <w:sz w:val="28"/>
        </w:rPr>
        <w:t xml:space="preserve">天内将有关当局出具的证明文件用特快专递寄给对方审阅确认。一旦不可抗力事故的影响持续</w:t>
      </w:r>
      <w:r>
        <w:rPr>
          <w:rFonts w:ascii="SimSun" w:hAnsi="SimSun" w:eastAsia="SimSun" w:cs="SimSun"/>
          <w:color w:val="000000"/>
          <w:sz w:val="28"/>
          <w:u w:val="single"/>
        </w:rPr>
        <w:t xml:space="preserve">    </w:t>
      </w:r>
      <w:r>
        <w:rPr>
          <w:rFonts w:ascii="SimSun" w:hAnsi="SimSun" w:eastAsia="SimSun" w:cs="SimSun"/>
          <w:color w:val="000000"/>
          <w:sz w:val="28"/>
        </w:rPr>
        <w:t xml:space="preserve">天以上，双方（或三方）应通过友好协商在合理的时间内达成是否继续履行合同的协议。</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11.税费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与履行本合同有关的一切税费，由乙方承担。</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12.争议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12.1在执行本合同中发生的或与本合同有关的争议，双方应通过友好协商解决。经协商不能达成协议时，可向泰兴市仲裁委员会按其仲裁规则申请仲裁。若仲裁不成功，向合同签约地的人民法院提请诉讼。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12.2在仲裁和诉讼期间，双方应继续履行争议部分以外的合同内容。</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13.违约终止合同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有下列情况之一的，甲方有权终止协议：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13.1.1乙方未能按上级要求造成结果失真或未能按进保质完成甲方委托任务的。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13.1.2乙方违反从业道德，影响甲方声誉或投诉查实的。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13.2因解除而终止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13.2.3合同一方依本合同约定行使解除权的，合同自解除通知送达另一方之日起终止。违约方应当按本合同约定支付违约金或赔偿损失。</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13.2.4合同终止后，不妨碍守约方向违约方追究违约责任。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13.3甲方未能按规定时限支付评估经费的，每延迟一天，按应付金额的0.1%对乙方进行违约赔偿。</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14.变更指示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14.1甲方有权根据实际需要，在《政府采购法》允许的范围内提出变更要求。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15.合同修改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对合同条款作出任何改动或偏离，均须甲乙双方签署书面的合同修改书。</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16.适用法律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本合同应按中华人民共和国的法律解释。</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17.语言与计量单位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17.1合同书写应用中文。甲乙双方所有的来往函电以及与合同有关的文件均应以中文书写。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17.2除技术规格中另有规定外，所有计量均采用中华人民共和国法定计量单位。</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18.通知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本合同任何一方给另一方的通知都应以书面形式发送，而另一方应以书面形式确认并发送到对方明确的地址。</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19.合同文件及资料的保密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19.1在未经甲方同意的情况下，乙方不得将合同、合同中的规定、有关研究、设计图纸、式样、样本或甲方为乙方提供的资料透露给任何人。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19.2除合同本身以外，乙方从甲方处获得的所有资料其知识产权归甲方所有，乙方应于其合同义务履行完毕以后将这些资料（包括所有副本）退还甲方。</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20.合同生效及其他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20.1除合同中另有说明，本合同经双方法定代表人或其委托代理人签字并加盖公章或合同专用章后，即开始生效。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20.2合同一式肆份，具有同等法律效力。</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21.合同文件及解释顺序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下列文件均为合同组成文件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21.1招标文件（包括澄清、答疑、修改和补充通知）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21.2投标文件（包括修改、澄清）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21.3中标通知书（包括供应商“回执”）</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21.4双方商定的补充协议或合同期内双方签署的备忘录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21.5双方签署的合同谈判备忘录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21.6与本合同有关的其他文件</w:t>
      </w:r>
      <w:r/>
    </w:p>
    <w:p>
      <w:pPr>
        <w:ind w:left="0" w:right="0" w:firstLine="562"/>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22.合同的变更和终止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22.1除《政府采购法》第50条第二款规定的情形外，本合同一经签订，甲乙双方不得擅自变更、中止或终止合同。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22.2除发生法律规定的不能预见、不能避免并不能克服的客观情况外，甲乙双方不得放弃或拒绝履行合同。乙方放弃或拒绝履行合同，在三年内不得参加政府采购活动。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甲方：（盖章）乙方：（盖章）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法定代表人法定代表人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（或授权代理人）：（或授权代理人）：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单位地址：单位地址：</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邮编：邮编：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电话：电话：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传真：传真：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开户银行：开户银行：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帐号：帐号：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杨益飞</cp:lastModifiedBy>
  <cp:revision>2</cp:revision>
  <dcterms:created xsi:type="dcterms:W3CDTF">2025-08-26T08:28:41Z</dcterms:created>
  <dcterms:modified xsi:type="dcterms:W3CDTF">2025-08-27T09:12:14Z</dcterms:modified>
</cp:coreProperties>
</file>